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BF0" w:rsidRPr="006C2D38" w:rsidRDefault="00373D72" w:rsidP="00642DF8">
      <w:pPr>
        <w:pStyle w:val="Heading2"/>
        <w:jc w:val="center"/>
        <w:rPr>
          <w:rStyle w:val="BookTitle"/>
          <w:rFonts w:ascii="Times New Roman" w:hAnsi="Times New Roman" w:cs="Times New Roman"/>
          <w:b/>
          <w:smallCaps w:val="0"/>
          <w:spacing w:val="0"/>
          <w:sz w:val="28"/>
          <w:szCs w:val="28"/>
          <w:lang w:val="en-GB"/>
        </w:rPr>
      </w:pPr>
      <w:r w:rsidRPr="00373D72">
        <w:rPr>
          <w:rStyle w:val="BookTitle"/>
          <w:rFonts w:ascii="Times New Roman" w:hAnsi="Times New Roman" w:cs="Times New Roman"/>
          <w:b/>
          <w:smallCaps w:val="0"/>
          <w:spacing w:val="0"/>
          <w:sz w:val="28"/>
          <w:szCs w:val="28"/>
          <w:lang w:val="en-GB"/>
        </w:rPr>
        <w:t>Do Corpora</w:t>
      </w:r>
      <w:r>
        <w:rPr>
          <w:rStyle w:val="BookTitle"/>
          <w:rFonts w:ascii="Times New Roman" w:hAnsi="Times New Roman" w:cs="Times New Roman"/>
          <w:b/>
          <w:smallCaps w:val="0"/>
          <w:spacing w:val="0"/>
          <w:sz w:val="28"/>
          <w:szCs w:val="28"/>
          <w:lang w:val="en-GB"/>
        </w:rPr>
        <w:t xml:space="preserve">te Taxes harm </w:t>
      </w:r>
      <w:r w:rsidR="005D052D">
        <w:rPr>
          <w:rStyle w:val="BookTitle"/>
          <w:rFonts w:ascii="Times New Roman" w:hAnsi="Times New Roman" w:cs="Times New Roman"/>
          <w:b/>
          <w:smallCaps w:val="0"/>
          <w:spacing w:val="0"/>
          <w:sz w:val="28"/>
          <w:szCs w:val="28"/>
          <w:lang w:val="en-GB"/>
        </w:rPr>
        <w:t>economic</w:t>
      </w:r>
      <w:r>
        <w:rPr>
          <w:rStyle w:val="BookTitle"/>
          <w:rFonts w:ascii="Times New Roman" w:hAnsi="Times New Roman" w:cs="Times New Roman"/>
          <w:b/>
          <w:smallCaps w:val="0"/>
          <w:spacing w:val="0"/>
          <w:sz w:val="28"/>
          <w:szCs w:val="28"/>
          <w:lang w:val="en-GB"/>
        </w:rPr>
        <w:t xml:space="preserve"> performance?</w:t>
      </w:r>
    </w:p>
    <w:p w:rsidR="00642DF8" w:rsidRDefault="00321AD6" w:rsidP="00945994">
      <w:pPr>
        <w:jc w:val="center"/>
        <w:rPr>
          <w:rFonts w:ascii="Times New Roman" w:hAnsi="Times New Roman"/>
          <w:b/>
          <w:color w:val="4F81BD" w:themeColor="accent1"/>
          <w:sz w:val="24"/>
          <w:szCs w:val="24"/>
          <w:lang w:val="en-US"/>
        </w:rPr>
      </w:pPr>
      <w:r>
        <w:rPr>
          <w:rFonts w:ascii="Times New Roman" w:hAnsi="Times New Roman"/>
          <w:b/>
          <w:color w:val="4F81BD" w:themeColor="accent1"/>
          <w:sz w:val="24"/>
          <w:szCs w:val="24"/>
          <w:lang w:val="en-US"/>
        </w:rPr>
        <w:t>Expl</w:t>
      </w:r>
      <w:r w:rsidR="0070353F">
        <w:rPr>
          <w:rFonts w:ascii="Times New Roman" w:hAnsi="Times New Roman"/>
          <w:b/>
          <w:color w:val="4F81BD" w:themeColor="accent1"/>
          <w:sz w:val="24"/>
          <w:szCs w:val="24"/>
          <w:lang w:val="en-US"/>
        </w:rPr>
        <w:t>aining</w:t>
      </w:r>
      <w:r w:rsidR="00A84D77" w:rsidRPr="00A84D77">
        <w:rPr>
          <w:rFonts w:ascii="Times New Roman" w:hAnsi="Times New Roman"/>
          <w:b/>
          <w:color w:val="4F81BD" w:themeColor="accent1"/>
          <w:sz w:val="24"/>
          <w:szCs w:val="24"/>
          <w:lang w:val="en-US"/>
        </w:rPr>
        <w:t xml:space="preserve"> distortions in</w:t>
      </w:r>
      <w:r w:rsidR="006C2D38" w:rsidRPr="00A84D77">
        <w:rPr>
          <w:rFonts w:ascii="Times New Roman" w:hAnsi="Times New Roman"/>
          <w:b/>
          <w:color w:val="4F81BD" w:themeColor="accent1"/>
          <w:sz w:val="24"/>
          <w:szCs w:val="24"/>
          <w:lang w:val="en-US"/>
        </w:rPr>
        <w:t xml:space="preserve"> R&amp;D</w:t>
      </w:r>
      <w:r w:rsidR="005D052D">
        <w:rPr>
          <w:rFonts w:ascii="Times New Roman" w:hAnsi="Times New Roman"/>
          <w:b/>
          <w:color w:val="4F81BD" w:themeColor="accent1"/>
          <w:sz w:val="24"/>
          <w:szCs w:val="24"/>
          <w:lang w:val="en-US"/>
        </w:rPr>
        <w:t>-</w:t>
      </w:r>
      <w:r w:rsidR="006C2D38" w:rsidRPr="00A84D77">
        <w:rPr>
          <w:rFonts w:ascii="Times New Roman" w:hAnsi="Times New Roman"/>
          <w:b/>
          <w:color w:val="4F81BD" w:themeColor="accent1"/>
          <w:sz w:val="24"/>
          <w:szCs w:val="24"/>
          <w:lang w:val="en-US"/>
        </w:rPr>
        <w:t xml:space="preserve"> and Export</w:t>
      </w:r>
      <w:r w:rsidR="005D052D">
        <w:rPr>
          <w:rFonts w:ascii="Times New Roman" w:hAnsi="Times New Roman"/>
          <w:b/>
          <w:color w:val="4F81BD" w:themeColor="accent1"/>
          <w:sz w:val="24"/>
          <w:szCs w:val="24"/>
          <w:lang w:val="en-US"/>
        </w:rPr>
        <w:t>-</w:t>
      </w:r>
      <w:r w:rsidR="006C2D38" w:rsidRPr="00A84D77">
        <w:rPr>
          <w:rFonts w:ascii="Times New Roman" w:hAnsi="Times New Roman"/>
          <w:b/>
          <w:color w:val="4F81BD" w:themeColor="accent1"/>
          <w:sz w:val="24"/>
          <w:szCs w:val="24"/>
          <w:lang w:val="en-US"/>
        </w:rPr>
        <w:t xml:space="preserve">Intensive </w:t>
      </w:r>
      <w:r w:rsidR="005D052D">
        <w:rPr>
          <w:rFonts w:ascii="Times New Roman" w:hAnsi="Times New Roman"/>
          <w:b/>
          <w:color w:val="4F81BD" w:themeColor="accent1"/>
          <w:sz w:val="24"/>
          <w:szCs w:val="24"/>
          <w:lang w:val="en-US"/>
        </w:rPr>
        <w:t xml:space="preserve">UK </w:t>
      </w:r>
      <w:r w:rsidR="00A84D77" w:rsidRPr="00A84D77">
        <w:rPr>
          <w:rFonts w:ascii="Times New Roman" w:hAnsi="Times New Roman"/>
          <w:b/>
          <w:color w:val="4F81BD" w:themeColor="accent1"/>
          <w:sz w:val="24"/>
          <w:szCs w:val="24"/>
          <w:lang w:val="en-US"/>
        </w:rPr>
        <w:t>Firms</w:t>
      </w:r>
      <w:r w:rsidR="00945994" w:rsidRPr="00945994">
        <w:rPr>
          <w:rStyle w:val="FootnoteReference"/>
          <w:rFonts w:ascii="Times New Roman" w:hAnsi="Times New Roman"/>
          <w:b/>
          <w:color w:val="4F81BD" w:themeColor="accent1"/>
          <w:sz w:val="32"/>
          <w:szCs w:val="32"/>
          <w:lang w:val="en-US"/>
        </w:rPr>
        <w:t xml:space="preserve"> </w:t>
      </w:r>
      <w:r w:rsidR="00945994">
        <w:rPr>
          <w:rStyle w:val="FootnoteReference"/>
          <w:rFonts w:ascii="Times New Roman" w:hAnsi="Times New Roman"/>
          <w:b/>
          <w:color w:val="4F81BD" w:themeColor="accent1"/>
          <w:sz w:val="32"/>
          <w:szCs w:val="32"/>
          <w:lang w:val="en-US"/>
        </w:rPr>
        <w:footnoteReference w:customMarkFollows="1" w:id="1"/>
        <w:t>*</w:t>
      </w:r>
    </w:p>
    <w:p w:rsidR="00E6707C" w:rsidRPr="00A84D77" w:rsidRDefault="00E6707C" w:rsidP="00642DF8">
      <w:pPr>
        <w:jc w:val="center"/>
        <w:rPr>
          <w:rFonts w:ascii="Times New Roman" w:hAnsi="Times New Roman"/>
          <w:b/>
          <w:color w:val="4F81BD" w:themeColor="accent1"/>
          <w:sz w:val="24"/>
          <w:szCs w:val="24"/>
          <w:lang w:val="en-US"/>
        </w:rPr>
      </w:pPr>
    </w:p>
    <w:p w:rsidR="00304D15" w:rsidRPr="00411E78" w:rsidRDefault="00304D15" w:rsidP="00304D15">
      <w:pPr>
        <w:jc w:val="center"/>
        <w:rPr>
          <w:rFonts w:ascii="Times New Roman" w:hAnsi="Times New Roman"/>
          <w:sz w:val="24"/>
          <w:szCs w:val="24"/>
          <w:lang w:val="en-US"/>
        </w:rPr>
      </w:pPr>
      <w:r>
        <w:rPr>
          <w:rFonts w:ascii="Times New Roman" w:hAnsi="Times New Roman"/>
          <w:sz w:val="24"/>
          <w:szCs w:val="24"/>
          <w:lang w:val="en-US"/>
        </w:rPr>
        <w:t>Ioannis B</w:t>
      </w:r>
      <w:r w:rsidRPr="00411E78">
        <w:rPr>
          <w:rFonts w:ascii="Times New Roman" w:hAnsi="Times New Roman"/>
          <w:sz w:val="24"/>
          <w:szCs w:val="24"/>
          <w:lang w:val="en-US"/>
        </w:rPr>
        <w:t>ournakis</w:t>
      </w:r>
      <w:r w:rsidRPr="00411E78">
        <w:rPr>
          <w:rStyle w:val="FootnoteReference"/>
          <w:rFonts w:ascii="Times New Roman" w:hAnsi="Times New Roman"/>
          <w:sz w:val="24"/>
          <w:szCs w:val="24"/>
          <w:lang w:val="en-US"/>
        </w:rPr>
        <w:footnoteReference w:id="2"/>
      </w:r>
      <w:r>
        <w:rPr>
          <w:rFonts w:ascii="Times New Roman" w:hAnsi="Times New Roman"/>
          <w:sz w:val="24"/>
          <w:szCs w:val="24"/>
          <w:lang w:val="en-US"/>
        </w:rPr>
        <w:t xml:space="preserve"> </w:t>
      </w:r>
      <w:r w:rsidR="00500BF0">
        <w:rPr>
          <w:rFonts w:ascii="Times New Roman" w:hAnsi="Times New Roman"/>
          <w:sz w:val="24"/>
          <w:szCs w:val="24"/>
          <w:lang w:val="en-US"/>
        </w:rPr>
        <w:t xml:space="preserve">and </w:t>
      </w:r>
      <w:r>
        <w:rPr>
          <w:rFonts w:ascii="Times New Roman" w:hAnsi="Times New Roman"/>
          <w:sz w:val="24"/>
          <w:szCs w:val="24"/>
          <w:lang w:val="en-US"/>
        </w:rPr>
        <w:t>Sushanta Mallick</w:t>
      </w:r>
      <w:r>
        <w:rPr>
          <w:rStyle w:val="FootnoteReference"/>
          <w:rFonts w:ascii="Times New Roman" w:hAnsi="Times New Roman"/>
          <w:sz w:val="24"/>
          <w:szCs w:val="24"/>
          <w:lang w:val="en-US"/>
        </w:rPr>
        <w:footnoteReference w:id="3"/>
      </w:r>
    </w:p>
    <w:p w:rsidR="00AE41F9" w:rsidRDefault="00AE41F9" w:rsidP="00457A04">
      <w:pPr>
        <w:jc w:val="center"/>
        <w:rPr>
          <w:rFonts w:ascii="Times New Roman" w:hAnsi="Times New Roman"/>
          <w:b/>
          <w:sz w:val="24"/>
          <w:lang w:val="en-GB"/>
        </w:rPr>
      </w:pPr>
    </w:p>
    <w:p w:rsidR="00457A04" w:rsidRPr="007C6EC7" w:rsidRDefault="00457A04" w:rsidP="00457A04">
      <w:pPr>
        <w:jc w:val="center"/>
        <w:rPr>
          <w:rFonts w:ascii="Times New Roman" w:hAnsi="Times New Roman"/>
          <w:b/>
          <w:sz w:val="24"/>
          <w:lang w:val="en-GB"/>
        </w:rPr>
      </w:pPr>
      <w:r w:rsidRPr="007C6EC7">
        <w:rPr>
          <w:rFonts w:ascii="Times New Roman" w:hAnsi="Times New Roman"/>
          <w:b/>
          <w:sz w:val="24"/>
          <w:lang w:val="en-GB"/>
        </w:rPr>
        <w:t>Abstract</w:t>
      </w:r>
    </w:p>
    <w:p w:rsidR="00457A04" w:rsidRPr="005B48B2" w:rsidRDefault="00457A04" w:rsidP="00457A04">
      <w:pPr>
        <w:jc w:val="center"/>
        <w:rPr>
          <w:rFonts w:ascii="Times New Roman" w:hAnsi="Times New Roman"/>
          <w:sz w:val="24"/>
          <w:lang w:val="en-GB"/>
        </w:rPr>
      </w:pPr>
    </w:p>
    <w:p w:rsidR="002C4ADE" w:rsidRDefault="006A2DF6" w:rsidP="00FD6CF2">
      <w:pPr>
        <w:tabs>
          <w:tab w:val="left" w:pos="2565"/>
        </w:tabs>
        <w:rPr>
          <w:rFonts w:ascii="Times New Roman" w:hAnsi="Times New Roman"/>
          <w:bCs/>
          <w:sz w:val="24"/>
          <w:szCs w:val="24"/>
          <w:lang w:val="en-US"/>
        </w:rPr>
      </w:pPr>
      <w:r w:rsidRPr="006A2DF6">
        <w:rPr>
          <w:rFonts w:ascii="Times New Roman" w:hAnsi="Times New Roman"/>
          <w:bCs/>
          <w:sz w:val="24"/>
          <w:szCs w:val="24"/>
          <w:lang w:val="en-US"/>
        </w:rPr>
        <w:t xml:space="preserve">This paper </w:t>
      </w:r>
      <w:r w:rsidR="005D052D">
        <w:rPr>
          <w:rFonts w:ascii="Times New Roman" w:hAnsi="Times New Roman"/>
          <w:bCs/>
          <w:sz w:val="24"/>
          <w:szCs w:val="24"/>
          <w:lang w:val="en-US"/>
        </w:rPr>
        <w:t>makes a first attempt to</w:t>
      </w:r>
      <w:r w:rsidR="002C4ADE">
        <w:rPr>
          <w:rFonts w:ascii="Times New Roman" w:hAnsi="Times New Roman"/>
          <w:bCs/>
          <w:sz w:val="24"/>
          <w:szCs w:val="24"/>
          <w:lang w:val="en-US"/>
        </w:rPr>
        <w:t xml:space="preserve"> analyse the effects of corporate tax </w:t>
      </w:r>
      <w:r w:rsidR="00FD6CF2">
        <w:rPr>
          <w:rFonts w:ascii="Times New Roman" w:hAnsi="Times New Roman"/>
          <w:bCs/>
          <w:sz w:val="24"/>
          <w:szCs w:val="24"/>
          <w:lang w:val="en-US"/>
        </w:rPr>
        <w:t>liability</w:t>
      </w:r>
      <w:r w:rsidR="002C4ADE">
        <w:rPr>
          <w:rFonts w:ascii="Times New Roman" w:hAnsi="Times New Roman"/>
          <w:bCs/>
          <w:sz w:val="24"/>
          <w:szCs w:val="24"/>
          <w:lang w:val="en-US"/>
        </w:rPr>
        <w:t xml:space="preserve"> </w:t>
      </w:r>
      <w:r w:rsidR="005D052D">
        <w:rPr>
          <w:rFonts w:ascii="Times New Roman" w:hAnsi="Times New Roman"/>
          <w:bCs/>
          <w:sz w:val="24"/>
          <w:szCs w:val="24"/>
          <w:lang w:val="en-US"/>
        </w:rPr>
        <w:t>on</w:t>
      </w:r>
      <w:r w:rsidR="002C4ADE">
        <w:rPr>
          <w:rFonts w:ascii="Times New Roman" w:hAnsi="Times New Roman"/>
          <w:bCs/>
          <w:sz w:val="24"/>
          <w:szCs w:val="24"/>
          <w:lang w:val="en-US"/>
        </w:rPr>
        <w:t xml:space="preserve"> firm level </w:t>
      </w:r>
      <w:r w:rsidR="00FD6CF2">
        <w:rPr>
          <w:rFonts w:ascii="Times New Roman" w:hAnsi="Times New Roman"/>
          <w:bCs/>
          <w:sz w:val="24"/>
          <w:szCs w:val="24"/>
          <w:lang w:val="en-US"/>
        </w:rPr>
        <w:t>Total Factor Productivity (TFP)</w:t>
      </w:r>
      <w:r w:rsidR="005D052D">
        <w:rPr>
          <w:rFonts w:ascii="Times New Roman" w:hAnsi="Times New Roman"/>
          <w:bCs/>
          <w:sz w:val="24"/>
          <w:szCs w:val="24"/>
          <w:lang w:val="en-US"/>
        </w:rPr>
        <w:t xml:space="preserve"> </w:t>
      </w:r>
      <w:r w:rsidR="001D04B1">
        <w:rPr>
          <w:rFonts w:ascii="Times New Roman" w:hAnsi="Times New Roman"/>
          <w:bCs/>
          <w:sz w:val="24"/>
          <w:szCs w:val="24"/>
          <w:lang w:val="en-US"/>
        </w:rPr>
        <w:t xml:space="preserve">– </w:t>
      </w:r>
      <w:r w:rsidR="005D052D">
        <w:rPr>
          <w:rFonts w:ascii="Times New Roman" w:hAnsi="Times New Roman"/>
          <w:bCs/>
          <w:sz w:val="24"/>
          <w:szCs w:val="24"/>
          <w:lang w:val="en-US"/>
        </w:rPr>
        <w:t>as the key driver of economic performance</w:t>
      </w:r>
      <w:r w:rsidR="002C4ADE">
        <w:rPr>
          <w:rFonts w:ascii="Times New Roman" w:hAnsi="Times New Roman"/>
          <w:bCs/>
          <w:sz w:val="24"/>
          <w:szCs w:val="24"/>
          <w:lang w:val="en-US"/>
        </w:rPr>
        <w:t xml:space="preserve">. </w:t>
      </w:r>
      <w:r w:rsidR="00FD6CF2">
        <w:rPr>
          <w:rFonts w:ascii="Times New Roman" w:hAnsi="Times New Roman"/>
          <w:bCs/>
          <w:sz w:val="24"/>
          <w:szCs w:val="24"/>
          <w:lang w:val="en-US"/>
        </w:rPr>
        <w:t xml:space="preserve">This is a new dimension in the UK productivity puzzle that has not attracted attention so far.  We use </w:t>
      </w:r>
      <w:r w:rsidR="00772941">
        <w:rPr>
          <w:rFonts w:ascii="Times New Roman" w:hAnsi="Times New Roman"/>
          <w:bCs/>
          <w:sz w:val="24"/>
          <w:szCs w:val="24"/>
          <w:lang w:val="en-US"/>
        </w:rPr>
        <w:t>6559</w:t>
      </w:r>
      <w:r w:rsidR="00FD6CF2">
        <w:rPr>
          <w:rFonts w:ascii="Times New Roman" w:hAnsi="Times New Roman"/>
          <w:bCs/>
          <w:sz w:val="24"/>
          <w:szCs w:val="24"/>
          <w:lang w:val="en-US"/>
        </w:rPr>
        <w:t xml:space="preserve"> manufacturing firms over 2004-2011 to investigate whether higher levels of corporate tax affect the</w:t>
      </w:r>
      <w:r w:rsidR="0055250A">
        <w:rPr>
          <w:rFonts w:ascii="Times New Roman" w:hAnsi="Times New Roman"/>
          <w:bCs/>
          <w:sz w:val="24"/>
          <w:szCs w:val="24"/>
          <w:lang w:val="en-US"/>
        </w:rPr>
        <w:t xml:space="preserve"> productivity</w:t>
      </w:r>
      <w:r w:rsidR="00FD6CF2">
        <w:rPr>
          <w:rFonts w:ascii="Times New Roman" w:hAnsi="Times New Roman"/>
          <w:bCs/>
          <w:sz w:val="24"/>
          <w:szCs w:val="24"/>
          <w:lang w:val="en-US"/>
        </w:rPr>
        <w:t xml:space="preserve"> catch-up process by reducing after tax earnings that can be alternatively used for productivity enhancing investment. We particularly focus on </w:t>
      </w:r>
      <w:r w:rsidR="0055250A">
        <w:rPr>
          <w:rFonts w:ascii="Times New Roman" w:hAnsi="Times New Roman"/>
          <w:bCs/>
          <w:sz w:val="24"/>
          <w:szCs w:val="24"/>
          <w:lang w:val="en-US"/>
        </w:rPr>
        <w:t>R&amp;D and export intensive firms</w:t>
      </w:r>
      <w:r w:rsidR="00FD6CF2">
        <w:rPr>
          <w:rFonts w:ascii="Times New Roman" w:hAnsi="Times New Roman"/>
          <w:bCs/>
          <w:sz w:val="24"/>
          <w:szCs w:val="24"/>
          <w:lang w:val="en-US"/>
        </w:rPr>
        <w:t xml:space="preserve">. Our key results </w:t>
      </w:r>
      <w:r w:rsidR="00BE3A89">
        <w:rPr>
          <w:rFonts w:ascii="Times New Roman" w:hAnsi="Times New Roman"/>
          <w:bCs/>
          <w:sz w:val="24"/>
          <w:szCs w:val="24"/>
          <w:lang w:val="en-US"/>
        </w:rPr>
        <w:t>are</w:t>
      </w:r>
      <w:r w:rsidR="00FD6CF2">
        <w:rPr>
          <w:rFonts w:ascii="Times New Roman" w:hAnsi="Times New Roman"/>
          <w:bCs/>
          <w:sz w:val="24"/>
          <w:szCs w:val="24"/>
          <w:lang w:val="en-US"/>
        </w:rPr>
        <w:t xml:space="preserve"> summarized as: </w:t>
      </w:r>
      <w:r w:rsidR="00321AD6">
        <w:rPr>
          <w:rFonts w:ascii="Times New Roman" w:hAnsi="Times New Roman"/>
          <w:bCs/>
          <w:sz w:val="24"/>
          <w:szCs w:val="24"/>
          <w:lang w:val="en-US"/>
        </w:rPr>
        <w:t>first,</w:t>
      </w:r>
      <w:r w:rsidR="00FD6CF2">
        <w:rPr>
          <w:rFonts w:ascii="Times New Roman" w:hAnsi="Times New Roman"/>
          <w:bCs/>
          <w:sz w:val="24"/>
          <w:szCs w:val="24"/>
          <w:lang w:val="en-US"/>
        </w:rPr>
        <w:t xml:space="preserve"> higher levels of corporate taxation impact adversely on TFP and this finding is robust to different tax measures and </w:t>
      </w:r>
      <w:r w:rsidR="008F5265">
        <w:rPr>
          <w:rFonts w:ascii="Times New Roman" w:hAnsi="Times New Roman"/>
          <w:bCs/>
          <w:sz w:val="24"/>
          <w:szCs w:val="24"/>
          <w:lang w:val="en-US"/>
        </w:rPr>
        <w:t>insensitive to</w:t>
      </w:r>
      <w:r w:rsidR="00FD6CF2">
        <w:rPr>
          <w:rFonts w:ascii="Times New Roman" w:hAnsi="Times New Roman"/>
          <w:bCs/>
          <w:sz w:val="24"/>
          <w:szCs w:val="24"/>
          <w:lang w:val="en-US"/>
        </w:rPr>
        <w:t xml:space="preserve"> endogeneity bias</w:t>
      </w:r>
      <w:r w:rsidR="00321AD6">
        <w:rPr>
          <w:rFonts w:ascii="Times New Roman" w:hAnsi="Times New Roman"/>
          <w:bCs/>
          <w:sz w:val="24"/>
          <w:szCs w:val="24"/>
          <w:lang w:val="en-US"/>
        </w:rPr>
        <w:t>;</w:t>
      </w:r>
      <w:r w:rsidR="00FD6CF2">
        <w:rPr>
          <w:rFonts w:ascii="Times New Roman" w:hAnsi="Times New Roman"/>
          <w:bCs/>
          <w:sz w:val="24"/>
          <w:szCs w:val="24"/>
          <w:lang w:val="en-US"/>
        </w:rPr>
        <w:t xml:space="preserve"> </w:t>
      </w:r>
      <w:r w:rsidR="00321AD6">
        <w:rPr>
          <w:rFonts w:ascii="Times New Roman" w:hAnsi="Times New Roman"/>
          <w:bCs/>
          <w:sz w:val="24"/>
          <w:szCs w:val="24"/>
          <w:lang w:val="en-US"/>
        </w:rPr>
        <w:t>second,</w:t>
      </w:r>
      <w:r w:rsidR="00FD6CF2">
        <w:rPr>
          <w:rFonts w:ascii="Times New Roman" w:hAnsi="Times New Roman"/>
          <w:bCs/>
          <w:sz w:val="24"/>
          <w:szCs w:val="24"/>
          <w:lang w:val="en-US"/>
        </w:rPr>
        <w:t xml:space="preserve"> </w:t>
      </w:r>
      <w:r w:rsidR="0055250A">
        <w:rPr>
          <w:rFonts w:ascii="Times New Roman" w:hAnsi="Times New Roman"/>
          <w:bCs/>
          <w:sz w:val="24"/>
          <w:szCs w:val="24"/>
          <w:lang w:val="en-US"/>
        </w:rPr>
        <w:t xml:space="preserve">R&amp;D and export intensive </w:t>
      </w:r>
      <w:r w:rsidR="00FD6CF2">
        <w:rPr>
          <w:rFonts w:ascii="Times New Roman" w:hAnsi="Times New Roman"/>
          <w:bCs/>
          <w:sz w:val="24"/>
          <w:szCs w:val="24"/>
          <w:lang w:val="en-US"/>
        </w:rPr>
        <w:t>firms tend to have higher rates of TFP growth</w:t>
      </w:r>
      <w:r w:rsidR="00321AD6">
        <w:rPr>
          <w:rFonts w:ascii="Times New Roman" w:hAnsi="Times New Roman"/>
          <w:bCs/>
          <w:sz w:val="24"/>
          <w:szCs w:val="24"/>
          <w:lang w:val="en-US"/>
        </w:rPr>
        <w:t>;</w:t>
      </w:r>
      <w:r w:rsidR="00FD6CF2">
        <w:rPr>
          <w:rFonts w:ascii="Times New Roman" w:hAnsi="Times New Roman"/>
          <w:bCs/>
          <w:sz w:val="24"/>
          <w:szCs w:val="24"/>
          <w:lang w:val="en-US"/>
        </w:rPr>
        <w:t xml:space="preserve"> </w:t>
      </w:r>
      <w:r w:rsidR="00321AD6">
        <w:rPr>
          <w:rFonts w:ascii="Times New Roman" w:hAnsi="Times New Roman"/>
          <w:bCs/>
          <w:sz w:val="24"/>
          <w:szCs w:val="24"/>
          <w:lang w:val="en-US"/>
        </w:rPr>
        <w:t>finally,</w:t>
      </w:r>
      <w:r w:rsidR="00FD6CF2">
        <w:rPr>
          <w:rFonts w:ascii="Times New Roman" w:hAnsi="Times New Roman"/>
          <w:bCs/>
          <w:sz w:val="24"/>
          <w:szCs w:val="24"/>
          <w:lang w:val="en-US"/>
        </w:rPr>
        <w:t xml:space="preserve"> higher levels of </w:t>
      </w:r>
      <w:r w:rsidR="0063674B">
        <w:rPr>
          <w:rFonts w:ascii="Times New Roman" w:hAnsi="Times New Roman"/>
          <w:bCs/>
          <w:sz w:val="24"/>
          <w:szCs w:val="24"/>
          <w:lang w:val="en-US"/>
        </w:rPr>
        <w:t xml:space="preserve">tax liability as a share of Earnings Before Interest and Tax (EBIT) decelerate TFP growth of </w:t>
      </w:r>
      <w:r w:rsidR="00321AD6">
        <w:rPr>
          <w:rFonts w:ascii="Times New Roman" w:hAnsi="Times New Roman"/>
          <w:bCs/>
          <w:sz w:val="24"/>
          <w:szCs w:val="24"/>
          <w:lang w:val="en-US"/>
        </w:rPr>
        <w:t>these</w:t>
      </w:r>
      <w:r w:rsidR="00FD6CF2">
        <w:rPr>
          <w:rFonts w:ascii="Times New Roman" w:hAnsi="Times New Roman"/>
          <w:bCs/>
          <w:sz w:val="24"/>
          <w:szCs w:val="24"/>
          <w:lang w:val="en-US"/>
        </w:rPr>
        <w:t xml:space="preserve"> </w:t>
      </w:r>
      <w:r w:rsidR="00FD6CF2" w:rsidRPr="006A2DF6">
        <w:rPr>
          <w:rFonts w:ascii="Times New Roman" w:hAnsi="Times New Roman"/>
          <w:bCs/>
          <w:sz w:val="24"/>
          <w:szCs w:val="24"/>
          <w:lang w:val="en-US"/>
        </w:rPr>
        <w:t>firm</w:t>
      </w:r>
      <w:r w:rsidR="00FD6CF2">
        <w:rPr>
          <w:rFonts w:ascii="Times New Roman" w:hAnsi="Times New Roman"/>
          <w:bCs/>
          <w:sz w:val="24"/>
          <w:szCs w:val="24"/>
          <w:lang w:val="en-US"/>
        </w:rPr>
        <w:t>s</w:t>
      </w:r>
      <w:r w:rsidR="0063674B">
        <w:rPr>
          <w:rFonts w:ascii="Times New Roman" w:hAnsi="Times New Roman"/>
          <w:bCs/>
          <w:sz w:val="24"/>
          <w:szCs w:val="24"/>
          <w:lang w:val="en-US"/>
        </w:rPr>
        <w:t>.</w:t>
      </w:r>
      <w:r w:rsidR="00FD6CF2">
        <w:rPr>
          <w:rFonts w:ascii="Times New Roman" w:hAnsi="Times New Roman"/>
          <w:bCs/>
          <w:sz w:val="24"/>
          <w:szCs w:val="24"/>
          <w:lang w:val="en-US"/>
        </w:rPr>
        <w:t xml:space="preserve"> </w:t>
      </w:r>
      <w:r w:rsidR="00FD6CF2">
        <w:rPr>
          <w:rFonts w:ascii="Times New Roman" w:hAnsi="Times New Roman"/>
          <w:bCs/>
          <w:sz w:val="24"/>
          <w:szCs w:val="24"/>
          <w:lang w:val="en-US"/>
        </w:rPr>
        <w:tab/>
      </w:r>
    </w:p>
    <w:p w:rsidR="00FD6CF2" w:rsidRDefault="00FD6CF2" w:rsidP="00AB349C">
      <w:pPr>
        <w:rPr>
          <w:rFonts w:ascii="Times New Roman" w:hAnsi="Times New Roman"/>
          <w:bCs/>
          <w:sz w:val="24"/>
          <w:szCs w:val="24"/>
          <w:lang w:val="en-US"/>
        </w:rPr>
      </w:pPr>
    </w:p>
    <w:p w:rsidR="00AB349C" w:rsidRDefault="00AB349C" w:rsidP="00AB349C">
      <w:pPr>
        <w:rPr>
          <w:rFonts w:ascii="Times New Roman" w:hAnsi="Times New Roman"/>
          <w:b/>
          <w:sz w:val="24"/>
          <w:szCs w:val="24"/>
          <w:lang w:val="en-US"/>
        </w:rPr>
      </w:pPr>
    </w:p>
    <w:p w:rsidR="001718B0" w:rsidRDefault="00D531D2">
      <w:pPr>
        <w:rPr>
          <w:rFonts w:ascii="Times New Roman" w:hAnsi="Times New Roman"/>
          <w:sz w:val="24"/>
          <w:szCs w:val="24"/>
          <w:lang w:val="en-US"/>
        </w:rPr>
      </w:pPr>
      <w:r w:rsidRPr="00411E78">
        <w:rPr>
          <w:rFonts w:ascii="Times New Roman" w:hAnsi="Times New Roman"/>
          <w:b/>
          <w:sz w:val="24"/>
          <w:szCs w:val="24"/>
          <w:lang w:val="en-US"/>
        </w:rPr>
        <w:t xml:space="preserve">Keywords: </w:t>
      </w:r>
      <w:r w:rsidR="009E6751">
        <w:rPr>
          <w:rFonts w:ascii="Times New Roman" w:hAnsi="Times New Roman"/>
          <w:sz w:val="24"/>
          <w:szCs w:val="24"/>
          <w:lang w:val="en-US"/>
        </w:rPr>
        <w:t>Total Factor Productivity</w:t>
      </w:r>
      <w:r w:rsidR="0063674B">
        <w:rPr>
          <w:rFonts w:ascii="Times New Roman" w:hAnsi="Times New Roman"/>
          <w:sz w:val="24"/>
          <w:szCs w:val="24"/>
          <w:lang w:val="en-US"/>
        </w:rPr>
        <w:t xml:space="preserve"> (TFP)</w:t>
      </w:r>
      <w:r w:rsidR="009E6751">
        <w:rPr>
          <w:rFonts w:ascii="Times New Roman" w:hAnsi="Times New Roman"/>
          <w:sz w:val="24"/>
          <w:szCs w:val="24"/>
          <w:lang w:val="en-US"/>
        </w:rPr>
        <w:t>,</w:t>
      </w:r>
      <w:r w:rsidR="00E8182A">
        <w:rPr>
          <w:rFonts w:ascii="Times New Roman" w:hAnsi="Times New Roman"/>
          <w:sz w:val="24"/>
          <w:szCs w:val="24"/>
          <w:lang w:val="en-US"/>
        </w:rPr>
        <w:t xml:space="preserve"> Catch-Up</w:t>
      </w:r>
      <w:r w:rsidR="008F4647">
        <w:rPr>
          <w:rFonts w:ascii="Times New Roman" w:hAnsi="Times New Roman"/>
          <w:sz w:val="24"/>
          <w:szCs w:val="24"/>
          <w:lang w:val="en-US"/>
        </w:rPr>
        <w:t xml:space="preserve">, </w:t>
      </w:r>
      <w:r w:rsidR="00210F69">
        <w:rPr>
          <w:rFonts w:ascii="Times New Roman" w:hAnsi="Times New Roman"/>
          <w:sz w:val="24"/>
          <w:szCs w:val="24"/>
          <w:lang w:val="en-US"/>
        </w:rPr>
        <w:t xml:space="preserve">Tax Liability, </w:t>
      </w:r>
      <w:r w:rsidR="00BC04AE">
        <w:rPr>
          <w:rFonts w:ascii="Times New Roman" w:hAnsi="Times New Roman"/>
          <w:sz w:val="24"/>
          <w:szCs w:val="24"/>
          <w:lang w:val="en-US"/>
        </w:rPr>
        <w:t>Effective Tax</w:t>
      </w:r>
      <w:r w:rsidR="009E6751">
        <w:rPr>
          <w:rFonts w:ascii="Times New Roman" w:hAnsi="Times New Roman"/>
          <w:sz w:val="24"/>
          <w:szCs w:val="24"/>
          <w:lang w:val="en-US"/>
        </w:rPr>
        <w:t xml:space="preserve"> </w:t>
      </w:r>
      <w:r w:rsidR="00E8182A">
        <w:rPr>
          <w:rFonts w:ascii="Times New Roman" w:hAnsi="Times New Roman"/>
          <w:sz w:val="24"/>
          <w:szCs w:val="24"/>
          <w:lang w:val="en-US"/>
        </w:rPr>
        <w:t>Rate</w:t>
      </w:r>
      <w:r w:rsidR="009E6751">
        <w:rPr>
          <w:rFonts w:ascii="Times New Roman" w:hAnsi="Times New Roman"/>
          <w:sz w:val="24"/>
          <w:szCs w:val="24"/>
          <w:lang w:val="en-US"/>
        </w:rPr>
        <w:t xml:space="preserve">, Firm-level </w:t>
      </w:r>
      <w:r w:rsidR="00012FBE">
        <w:rPr>
          <w:rFonts w:ascii="Times New Roman" w:hAnsi="Times New Roman"/>
          <w:sz w:val="24"/>
          <w:szCs w:val="24"/>
          <w:lang w:val="en-US"/>
        </w:rPr>
        <w:t>Data</w:t>
      </w:r>
      <w:r w:rsidR="00E8182A">
        <w:rPr>
          <w:rFonts w:ascii="Times New Roman" w:hAnsi="Times New Roman"/>
          <w:sz w:val="24"/>
          <w:szCs w:val="24"/>
          <w:lang w:val="en-US"/>
        </w:rPr>
        <w:t xml:space="preserve">, </w:t>
      </w:r>
      <w:r w:rsidR="00210F69">
        <w:rPr>
          <w:rFonts w:ascii="Times New Roman" w:hAnsi="Times New Roman"/>
          <w:sz w:val="24"/>
          <w:szCs w:val="24"/>
          <w:lang w:val="en-US"/>
        </w:rPr>
        <w:t xml:space="preserve">FAME Data, </w:t>
      </w:r>
      <w:r w:rsidR="00E8182A">
        <w:rPr>
          <w:rFonts w:ascii="Times New Roman" w:hAnsi="Times New Roman"/>
          <w:sz w:val="24"/>
          <w:szCs w:val="24"/>
          <w:lang w:val="en-US"/>
        </w:rPr>
        <w:t>UK</w:t>
      </w:r>
      <w:r w:rsidR="009E6751">
        <w:rPr>
          <w:rFonts w:ascii="Times New Roman" w:hAnsi="Times New Roman"/>
          <w:sz w:val="24"/>
          <w:szCs w:val="24"/>
          <w:lang w:val="en-US"/>
        </w:rPr>
        <w:t>.</w:t>
      </w:r>
    </w:p>
    <w:p w:rsidR="001718B0" w:rsidRDefault="005D7E7C" w:rsidP="005D7E7C">
      <w:pPr>
        <w:tabs>
          <w:tab w:val="left" w:pos="1260"/>
        </w:tabs>
        <w:rPr>
          <w:rFonts w:ascii="Times New Roman" w:hAnsi="Times New Roman"/>
          <w:sz w:val="24"/>
          <w:szCs w:val="24"/>
          <w:lang w:val="en-US"/>
        </w:rPr>
      </w:pPr>
      <w:r>
        <w:rPr>
          <w:rFonts w:ascii="Times New Roman" w:hAnsi="Times New Roman"/>
          <w:sz w:val="24"/>
          <w:szCs w:val="24"/>
          <w:lang w:val="en-US"/>
        </w:rPr>
        <w:tab/>
      </w:r>
    </w:p>
    <w:p w:rsidR="00AB5705" w:rsidRDefault="00D531D2" w:rsidP="00B95602">
      <w:pPr>
        <w:rPr>
          <w:rFonts w:ascii="Times New Roman" w:hAnsi="Times New Roman"/>
          <w:sz w:val="24"/>
          <w:szCs w:val="24"/>
          <w:lang w:val="en-US"/>
        </w:rPr>
      </w:pPr>
      <w:r w:rsidRPr="00411E78">
        <w:rPr>
          <w:rFonts w:ascii="Times New Roman" w:hAnsi="Times New Roman"/>
          <w:b/>
          <w:sz w:val="24"/>
          <w:szCs w:val="24"/>
          <w:lang w:val="en-US"/>
        </w:rPr>
        <w:t>JEL Classification</w:t>
      </w:r>
      <w:r w:rsidR="008F4647" w:rsidRPr="00411E78">
        <w:rPr>
          <w:rFonts w:ascii="Times New Roman" w:hAnsi="Times New Roman"/>
          <w:b/>
          <w:sz w:val="24"/>
          <w:szCs w:val="24"/>
          <w:lang w:val="en-US"/>
        </w:rPr>
        <w:t>:</w:t>
      </w:r>
      <w:r w:rsidR="008F4647" w:rsidRPr="00411E78">
        <w:rPr>
          <w:rFonts w:ascii="Times New Roman" w:hAnsi="Times New Roman"/>
          <w:sz w:val="24"/>
          <w:szCs w:val="24"/>
          <w:lang w:val="en-US"/>
        </w:rPr>
        <w:t xml:space="preserve"> O3</w:t>
      </w:r>
      <w:r w:rsidR="000D4ECD" w:rsidRPr="00411E78">
        <w:rPr>
          <w:rFonts w:ascii="Times New Roman" w:hAnsi="Times New Roman"/>
          <w:sz w:val="24"/>
          <w:szCs w:val="24"/>
          <w:lang w:val="en-US"/>
        </w:rPr>
        <w:t>, O4.</w:t>
      </w:r>
    </w:p>
    <w:p w:rsidR="00F151CC" w:rsidRDefault="00F151CC">
      <w:pPr>
        <w:rPr>
          <w:rFonts w:ascii="Times New Roman" w:hAnsi="Times New Roman"/>
          <w:b/>
          <w:sz w:val="24"/>
          <w:szCs w:val="24"/>
          <w:lang w:val="en-US"/>
        </w:rPr>
      </w:pPr>
      <w:r>
        <w:rPr>
          <w:rFonts w:ascii="Times New Roman" w:hAnsi="Times New Roman"/>
          <w:b/>
          <w:sz w:val="24"/>
          <w:szCs w:val="24"/>
          <w:lang w:val="en-US"/>
        </w:rPr>
        <w:br w:type="page"/>
      </w:r>
      <w:bookmarkStart w:id="0" w:name="_GoBack"/>
      <w:bookmarkEnd w:id="0"/>
    </w:p>
    <w:p w:rsidR="00653BBD" w:rsidRDefault="00653BBD" w:rsidP="006B1694">
      <w:pPr>
        <w:pStyle w:val="ListParagraph"/>
        <w:numPr>
          <w:ilvl w:val="0"/>
          <w:numId w:val="3"/>
        </w:numPr>
        <w:rPr>
          <w:rFonts w:ascii="Times New Roman" w:hAnsi="Times New Roman"/>
          <w:b/>
          <w:sz w:val="24"/>
          <w:szCs w:val="24"/>
          <w:lang w:val="en-US"/>
        </w:rPr>
      </w:pPr>
      <w:r w:rsidRPr="00411E78">
        <w:rPr>
          <w:rFonts w:ascii="Times New Roman" w:hAnsi="Times New Roman"/>
          <w:b/>
          <w:sz w:val="24"/>
          <w:szCs w:val="24"/>
          <w:lang w:val="en-US"/>
        </w:rPr>
        <w:lastRenderedPageBreak/>
        <w:t>Introduction</w:t>
      </w:r>
    </w:p>
    <w:p w:rsidR="00D36412" w:rsidRPr="00411E78" w:rsidRDefault="00D36412" w:rsidP="00D36412">
      <w:pPr>
        <w:pStyle w:val="ListParagraph"/>
        <w:ind w:left="360" w:firstLine="0"/>
        <w:rPr>
          <w:rFonts w:ascii="Times New Roman" w:hAnsi="Times New Roman"/>
          <w:b/>
          <w:sz w:val="24"/>
          <w:szCs w:val="24"/>
          <w:lang w:val="en-US"/>
        </w:rPr>
      </w:pPr>
    </w:p>
    <w:p w:rsidR="002C2CF6" w:rsidRDefault="00233F3D" w:rsidP="007943BE">
      <w:pPr>
        <w:rPr>
          <w:rFonts w:ascii="Times New Roman" w:hAnsi="Times New Roman"/>
          <w:sz w:val="24"/>
          <w:szCs w:val="24"/>
          <w:lang w:val="en-US"/>
        </w:rPr>
      </w:pPr>
      <w:r w:rsidRPr="00233F3D">
        <w:rPr>
          <w:rFonts w:ascii="Times New Roman" w:hAnsi="Times New Roman"/>
          <w:sz w:val="24"/>
          <w:szCs w:val="24"/>
          <w:lang w:val="en-US"/>
        </w:rPr>
        <w:t>The</w:t>
      </w:r>
      <w:r w:rsidR="00970466">
        <w:rPr>
          <w:rFonts w:ascii="Times New Roman" w:hAnsi="Times New Roman"/>
          <w:sz w:val="24"/>
          <w:szCs w:val="24"/>
          <w:lang w:val="en-US"/>
        </w:rPr>
        <w:t xml:space="preserve"> persistent losses in</w:t>
      </w:r>
      <w:r w:rsidRPr="00233F3D">
        <w:rPr>
          <w:rFonts w:ascii="Times New Roman" w:hAnsi="Times New Roman"/>
          <w:sz w:val="24"/>
          <w:szCs w:val="24"/>
          <w:lang w:val="en-US"/>
        </w:rPr>
        <w:t xml:space="preserve"> UK productivity</w:t>
      </w:r>
      <w:r w:rsidR="00A61231" w:rsidRPr="00A61231">
        <w:rPr>
          <w:rFonts w:ascii="Times New Roman" w:hAnsi="Times New Roman"/>
          <w:sz w:val="24"/>
          <w:szCs w:val="24"/>
          <w:lang w:val="en-US"/>
        </w:rPr>
        <w:t xml:space="preserve"> </w:t>
      </w:r>
      <w:r>
        <w:rPr>
          <w:rFonts w:ascii="Times New Roman" w:hAnsi="Times New Roman"/>
          <w:sz w:val="24"/>
          <w:szCs w:val="24"/>
          <w:lang w:val="en-US"/>
        </w:rPr>
        <w:t>since 2007 indicate</w:t>
      </w:r>
      <w:r w:rsidR="00A61231" w:rsidRPr="00A61231">
        <w:rPr>
          <w:rFonts w:ascii="Times New Roman" w:hAnsi="Times New Roman"/>
          <w:sz w:val="24"/>
          <w:szCs w:val="24"/>
          <w:lang w:val="en-US"/>
        </w:rPr>
        <w:t xml:space="preserve"> that</w:t>
      </w:r>
      <w:r w:rsidR="00970466">
        <w:rPr>
          <w:rFonts w:ascii="Times New Roman" w:hAnsi="Times New Roman"/>
          <w:sz w:val="24"/>
          <w:szCs w:val="24"/>
          <w:lang w:val="en-US"/>
        </w:rPr>
        <w:t xml:space="preserve"> understanding the productivity puzzle requires a combination of factors -other than pure </w:t>
      </w:r>
      <w:r w:rsidR="00970466" w:rsidRPr="00A61231">
        <w:rPr>
          <w:rFonts w:ascii="Times New Roman" w:hAnsi="Times New Roman"/>
          <w:sz w:val="24"/>
          <w:szCs w:val="24"/>
          <w:lang w:val="en-US"/>
        </w:rPr>
        <w:t>cyclical</w:t>
      </w:r>
      <w:r w:rsidR="00502B8D">
        <w:rPr>
          <w:rFonts w:ascii="Times New Roman" w:hAnsi="Times New Roman"/>
          <w:sz w:val="24"/>
          <w:szCs w:val="24"/>
          <w:lang w:val="en-US"/>
        </w:rPr>
        <w:t xml:space="preserve"> effects- such as: </w:t>
      </w:r>
      <w:r w:rsidR="00970466">
        <w:rPr>
          <w:rFonts w:ascii="Times New Roman" w:hAnsi="Times New Roman"/>
          <w:sz w:val="24"/>
          <w:szCs w:val="24"/>
          <w:lang w:val="en-US"/>
        </w:rPr>
        <w:t>investment in intangible capital</w:t>
      </w:r>
      <w:r w:rsidR="00CE03A0">
        <w:rPr>
          <w:rFonts w:ascii="Times New Roman" w:hAnsi="Times New Roman"/>
          <w:sz w:val="24"/>
          <w:szCs w:val="24"/>
          <w:lang w:val="en-US"/>
        </w:rPr>
        <w:t xml:space="preserve"> formation (Goodridge et al.</w:t>
      </w:r>
      <w:r w:rsidR="00AD5C1A">
        <w:rPr>
          <w:rFonts w:ascii="Times New Roman" w:hAnsi="Times New Roman"/>
          <w:sz w:val="24"/>
          <w:szCs w:val="24"/>
          <w:lang w:val="en-US"/>
        </w:rPr>
        <w:t>,</w:t>
      </w:r>
      <w:r w:rsidR="00CE03A0">
        <w:rPr>
          <w:rFonts w:ascii="Times New Roman" w:hAnsi="Times New Roman"/>
          <w:sz w:val="24"/>
          <w:szCs w:val="24"/>
          <w:lang w:val="en-US"/>
        </w:rPr>
        <w:t xml:space="preserve"> 2013), </w:t>
      </w:r>
      <w:r w:rsidR="00970466">
        <w:rPr>
          <w:rFonts w:ascii="Times New Roman" w:hAnsi="Times New Roman"/>
          <w:sz w:val="24"/>
          <w:szCs w:val="24"/>
          <w:lang w:val="en-US"/>
        </w:rPr>
        <w:t>impaired resource allocation (</w:t>
      </w:r>
      <w:r w:rsidR="00CE03A0">
        <w:rPr>
          <w:rFonts w:ascii="Times New Roman" w:hAnsi="Times New Roman"/>
          <w:sz w:val="24"/>
          <w:szCs w:val="24"/>
          <w:lang w:val="en-US"/>
        </w:rPr>
        <w:t>Oulton</w:t>
      </w:r>
      <w:r w:rsidR="00AD5C1A">
        <w:rPr>
          <w:rFonts w:ascii="Times New Roman" w:hAnsi="Times New Roman"/>
          <w:sz w:val="24"/>
          <w:szCs w:val="24"/>
          <w:lang w:val="en-US"/>
        </w:rPr>
        <w:t xml:space="preserve">, </w:t>
      </w:r>
      <w:r w:rsidR="00CE03A0">
        <w:rPr>
          <w:rFonts w:ascii="Times New Roman" w:hAnsi="Times New Roman"/>
          <w:sz w:val="24"/>
          <w:szCs w:val="24"/>
          <w:lang w:val="en-US"/>
        </w:rPr>
        <w:t xml:space="preserve">2001) and </w:t>
      </w:r>
      <w:r w:rsidR="00970466">
        <w:rPr>
          <w:rFonts w:ascii="Times New Roman" w:hAnsi="Times New Roman"/>
          <w:sz w:val="24"/>
          <w:szCs w:val="24"/>
          <w:lang w:val="en-US"/>
        </w:rPr>
        <w:t>Ba</w:t>
      </w:r>
      <w:r w:rsidR="00316495">
        <w:rPr>
          <w:rFonts w:ascii="Times New Roman" w:hAnsi="Times New Roman"/>
          <w:sz w:val="24"/>
          <w:szCs w:val="24"/>
          <w:lang w:val="en-US"/>
        </w:rPr>
        <w:t>rnett et al</w:t>
      </w:r>
      <w:r w:rsidR="00C36E06">
        <w:rPr>
          <w:rFonts w:ascii="Times New Roman" w:hAnsi="Times New Roman"/>
          <w:sz w:val="24"/>
          <w:szCs w:val="24"/>
          <w:lang w:val="en-US"/>
        </w:rPr>
        <w:t>.</w:t>
      </w:r>
      <w:r w:rsidR="00970466">
        <w:rPr>
          <w:rFonts w:ascii="Times New Roman" w:hAnsi="Times New Roman"/>
          <w:sz w:val="24"/>
          <w:szCs w:val="24"/>
          <w:lang w:val="en-US"/>
        </w:rPr>
        <w:t xml:space="preserve"> 2014</w:t>
      </w:r>
      <w:r w:rsidR="00CE03A0">
        <w:rPr>
          <w:rFonts w:ascii="Times New Roman" w:hAnsi="Times New Roman"/>
          <w:sz w:val="24"/>
          <w:szCs w:val="24"/>
          <w:lang w:val="en-US"/>
        </w:rPr>
        <w:t>) and factors proport</w:t>
      </w:r>
      <w:r w:rsidR="00805DDA">
        <w:rPr>
          <w:rFonts w:ascii="Times New Roman" w:hAnsi="Times New Roman"/>
          <w:sz w:val="24"/>
          <w:szCs w:val="24"/>
          <w:lang w:val="en-US"/>
        </w:rPr>
        <w:t>ion (Harris and Moffat</w:t>
      </w:r>
      <w:r w:rsidR="000A7838">
        <w:rPr>
          <w:rFonts w:ascii="Times New Roman" w:hAnsi="Times New Roman"/>
          <w:sz w:val="24"/>
          <w:szCs w:val="24"/>
          <w:lang w:val="en-US"/>
        </w:rPr>
        <w:t>,</w:t>
      </w:r>
      <w:r w:rsidR="00805DDA">
        <w:rPr>
          <w:rFonts w:ascii="Times New Roman" w:hAnsi="Times New Roman"/>
          <w:sz w:val="24"/>
          <w:szCs w:val="24"/>
          <w:lang w:val="en-US"/>
        </w:rPr>
        <w:t xml:space="preserve"> 2016)</w:t>
      </w:r>
      <w:r w:rsidR="00502B8D">
        <w:rPr>
          <w:rFonts w:ascii="Times New Roman" w:hAnsi="Times New Roman"/>
          <w:sz w:val="24"/>
          <w:szCs w:val="24"/>
          <w:lang w:val="en-US"/>
        </w:rPr>
        <w:t>.</w:t>
      </w:r>
      <w:r w:rsidR="00970466">
        <w:rPr>
          <w:rFonts w:ascii="Times New Roman" w:hAnsi="Times New Roman"/>
          <w:sz w:val="24"/>
          <w:szCs w:val="24"/>
          <w:lang w:val="en-US"/>
        </w:rPr>
        <w:t xml:space="preserve"> </w:t>
      </w:r>
      <w:r w:rsidR="00152645">
        <w:rPr>
          <w:rFonts w:ascii="Times New Roman" w:hAnsi="Times New Roman"/>
          <w:sz w:val="24"/>
          <w:szCs w:val="24"/>
          <w:lang w:val="en-US"/>
        </w:rPr>
        <w:t xml:space="preserve">In </w:t>
      </w:r>
      <w:r w:rsidR="00152645" w:rsidRPr="002C2CF6">
        <w:rPr>
          <w:rFonts w:ascii="Times New Roman" w:hAnsi="Times New Roman"/>
          <w:sz w:val="24"/>
          <w:szCs w:val="24"/>
          <w:lang w:val="en-US"/>
        </w:rPr>
        <w:t xml:space="preserve">this paper we </w:t>
      </w:r>
      <w:r w:rsidR="005A6F15">
        <w:rPr>
          <w:rFonts w:ascii="Times New Roman" w:hAnsi="Times New Roman"/>
          <w:sz w:val="24"/>
          <w:szCs w:val="24"/>
          <w:lang w:val="en-US"/>
        </w:rPr>
        <w:t xml:space="preserve">seek to </w:t>
      </w:r>
      <w:r w:rsidR="00711ED5">
        <w:rPr>
          <w:rFonts w:ascii="Times New Roman" w:hAnsi="Times New Roman"/>
          <w:sz w:val="24"/>
          <w:szCs w:val="24"/>
          <w:lang w:val="en-US"/>
        </w:rPr>
        <w:t>explain</w:t>
      </w:r>
      <w:r w:rsidR="005A6F15">
        <w:rPr>
          <w:rFonts w:ascii="Times New Roman" w:hAnsi="Times New Roman"/>
          <w:sz w:val="24"/>
          <w:szCs w:val="24"/>
          <w:lang w:val="en-US"/>
        </w:rPr>
        <w:t xml:space="preserve"> this </w:t>
      </w:r>
      <w:r w:rsidR="00711ED5">
        <w:rPr>
          <w:rFonts w:ascii="Times New Roman" w:hAnsi="Times New Roman"/>
          <w:sz w:val="24"/>
          <w:szCs w:val="24"/>
          <w:lang w:val="en-US"/>
        </w:rPr>
        <w:t>puzzle</w:t>
      </w:r>
      <w:r w:rsidR="005A6F15">
        <w:rPr>
          <w:rFonts w:ascii="Times New Roman" w:hAnsi="Times New Roman"/>
          <w:sz w:val="24"/>
          <w:szCs w:val="24"/>
          <w:lang w:val="en-US"/>
        </w:rPr>
        <w:t xml:space="preserve"> by </w:t>
      </w:r>
      <w:r w:rsidR="00152645" w:rsidRPr="002C2CF6">
        <w:rPr>
          <w:rFonts w:ascii="Times New Roman" w:hAnsi="Times New Roman"/>
          <w:sz w:val="24"/>
          <w:szCs w:val="24"/>
          <w:lang w:val="en-US"/>
        </w:rPr>
        <w:t>investigat</w:t>
      </w:r>
      <w:r w:rsidR="005A6F15">
        <w:rPr>
          <w:rFonts w:ascii="Times New Roman" w:hAnsi="Times New Roman"/>
          <w:sz w:val="24"/>
          <w:szCs w:val="24"/>
          <w:lang w:val="en-US"/>
        </w:rPr>
        <w:t>ing</w:t>
      </w:r>
      <w:r w:rsidR="00152645" w:rsidRPr="002C2CF6">
        <w:rPr>
          <w:rFonts w:ascii="Times New Roman" w:hAnsi="Times New Roman"/>
          <w:sz w:val="24"/>
          <w:szCs w:val="24"/>
          <w:lang w:val="en-US"/>
        </w:rPr>
        <w:t xml:space="preserve"> </w:t>
      </w:r>
      <w:r w:rsidR="005A6F15">
        <w:rPr>
          <w:rFonts w:ascii="Times New Roman" w:hAnsi="Times New Roman"/>
          <w:sz w:val="24"/>
          <w:szCs w:val="24"/>
          <w:lang w:val="en-US"/>
        </w:rPr>
        <w:t xml:space="preserve">any </w:t>
      </w:r>
      <w:r w:rsidR="00152645" w:rsidRPr="002C2CF6">
        <w:rPr>
          <w:rFonts w:ascii="Times New Roman" w:hAnsi="Times New Roman"/>
          <w:sz w:val="24"/>
          <w:szCs w:val="24"/>
          <w:lang w:val="en-US"/>
        </w:rPr>
        <w:t>possibl</w:t>
      </w:r>
      <w:r w:rsidR="00C363E2" w:rsidRPr="002C2CF6">
        <w:rPr>
          <w:rFonts w:ascii="Times New Roman" w:hAnsi="Times New Roman"/>
          <w:sz w:val="24"/>
          <w:szCs w:val="24"/>
          <w:lang w:val="en-US"/>
        </w:rPr>
        <w:t>e</w:t>
      </w:r>
      <w:r w:rsidR="00152645" w:rsidRPr="002C2CF6">
        <w:rPr>
          <w:rFonts w:ascii="Times New Roman" w:hAnsi="Times New Roman"/>
          <w:sz w:val="24"/>
          <w:szCs w:val="24"/>
          <w:lang w:val="en-US"/>
        </w:rPr>
        <w:t xml:space="preserve"> </w:t>
      </w:r>
      <w:r w:rsidR="005A6F15">
        <w:rPr>
          <w:rFonts w:ascii="Times New Roman" w:hAnsi="Times New Roman"/>
          <w:sz w:val="24"/>
          <w:szCs w:val="24"/>
          <w:lang w:val="en-US"/>
        </w:rPr>
        <w:t xml:space="preserve">unintended effects </w:t>
      </w:r>
      <w:r w:rsidR="002C2CF6" w:rsidRPr="002C2CF6">
        <w:rPr>
          <w:rFonts w:ascii="Times New Roman" w:hAnsi="Times New Roman"/>
          <w:sz w:val="24"/>
          <w:szCs w:val="24"/>
          <w:lang w:val="en-US"/>
        </w:rPr>
        <w:t>on</w:t>
      </w:r>
      <w:r w:rsidR="00C363E2" w:rsidRPr="002C2CF6">
        <w:rPr>
          <w:rFonts w:ascii="Times New Roman" w:hAnsi="Times New Roman"/>
          <w:sz w:val="24"/>
          <w:szCs w:val="24"/>
          <w:lang w:val="en-US"/>
        </w:rPr>
        <w:t xml:space="preserve"> productivity </w:t>
      </w:r>
      <w:r w:rsidR="005A6F15">
        <w:rPr>
          <w:rFonts w:ascii="Times New Roman" w:hAnsi="Times New Roman"/>
          <w:sz w:val="24"/>
          <w:szCs w:val="24"/>
          <w:lang w:val="en-US"/>
        </w:rPr>
        <w:t xml:space="preserve">arising from </w:t>
      </w:r>
      <w:r w:rsidR="00771057">
        <w:rPr>
          <w:rFonts w:ascii="Times New Roman" w:hAnsi="Times New Roman"/>
          <w:sz w:val="24"/>
          <w:szCs w:val="24"/>
          <w:lang w:val="en-US"/>
        </w:rPr>
        <w:t xml:space="preserve">higher levels of </w:t>
      </w:r>
      <w:r w:rsidR="00AA3B97">
        <w:rPr>
          <w:rFonts w:ascii="Times New Roman" w:hAnsi="Times New Roman"/>
          <w:sz w:val="24"/>
          <w:szCs w:val="24"/>
          <w:lang w:val="en-US"/>
        </w:rPr>
        <w:t xml:space="preserve">corporate tax during </w:t>
      </w:r>
      <w:r w:rsidR="00947969">
        <w:rPr>
          <w:rFonts w:ascii="Times New Roman" w:hAnsi="Times New Roman"/>
          <w:sz w:val="24"/>
          <w:szCs w:val="24"/>
          <w:lang w:val="en-US"/>
        </w:rPr>
        <w:t xml:space="preserve">the </w:t>
      </w:r>
      <w:r w:rsidR="00AA3B97">
        <w:rPr>
          <w:rFonts w:ascii="Times New Roman" w:hAnsi="Times New Roman"/>
          <w:sz w:val="24"/>
          <w:szCs w:val="24"/>
          <w:lang w:val="en-US"/>
        </w:rPr>
        <w:t xml:space="preserve">2000s. </w:t>
      </w:r>
      <w:r w:rsidR="00B4409F">
        <w:rPr>
          <w:rFonts w:ascii="Times New Roman" w:hAnsi="Times New Roman"/>
          <w:sz w:val="24"/>
          <w:szCs w:val="24"/>
          <w:lang w:val="en-US"/>
        </w:rPr>
        <w:t>In particular, o</w:t>
      </w:r>
      <w:r w:rsidR="00AA3B97">
        <w:rPr>
          <w:rFonts w:ascii="Times New Roman" w:hAnsi="Times New Roman"/>
          <w:sz w:val="24"/>
          <w:szCs w:val="24"/>
          <w:lang w:val="en-US"/>
        </w:rPr>
        <w:t xml:space="preserve">ur analysis uses </w:t>
      </w:r>
      <w:r w:rsidR="00AA3B97" w:rsidRPr="002C2CF6">
        <w:rPr>
          <w:rFonts w:ascii="Times New Roman" w:hAnsi="Times New Roman"/>
          <w:sz w:val="24"/>
          <w:szCs w:val="24"/>
          <w:lang w:val="en-US"/>
        </w:rPr>
        <w:t>firm level</w:t>
      </w:r>
      <w:r w:rsidR="00AA3B97">
        <w:rPr>
          <w:rFonts w:ascii="Times New Roman" w:hAnsi="Times New Roman"/>
          <w:sz w:val="24"/>
          <w:szCs w:val="24"/>
          <w:lang w:val="en-US"/>
        </w:rPr>
        <w:t xml:space="preserve"> </w:t>
      </w:r>
      <w:r w:rsidR="00B4409F">
        <w:rPr>
          <w:rFonts w:ascii="Times New Roman" w:hAnsi="Times New Roman"/>
          <w:sz w:val="24"/>
          <w:szCs w:val="24"/>
          <w:lang w:val="en-US"/>
        </w:rPr>
        <w:t xml:space="preserve">data </w:t>
      </w:r>
      <w:r w:rsidR="00AA3B97">
        <w:rPr>
          <w:rFonts w:ascii="Times New Roman" w:hAnsi="Times New Roman"/>
          <w:sz w:val="24"/>
          <w:szCs w:val="24"/>
          <w:lang w:val="en-US"/>
        </w:rPr>
        <w:t>to exp</w:t>
      </w:r>
      <w:r w:rsidR="007943BE">
        <w:rPr>
          <w:rFonts w:ascii="Times New Roman" w:hAnsi="Times New Roman"/>
          <w:sz w:val="24"/>
          <w:szCs w:val="24"/>
          <w:lang w:val="en-US"/>
        </w:rPr>
        <w:t xml:space="preserve">lore how corporate tax </w:t>
      </w:r>
      <w:r w:rsidR="009D760F">
        <w:rPr>
          <w:rFonts w:ascii="Times New Roman" w:hAnsi="Times New Roman"/>
          <w:sz w:val="24"/>
          <w:szCs w:val="24"/>
          <w:lang w:val="en-US"/>
        </w:rPr>
        <w:t>liability</w:t>
      </w:r>
      <w:r w:rsidR="00AA3B97">
        <w:rPr>
          <w:rFonts w:ascii="Times New Roman" w:hAnsi="Times New Roman"/>
          <w:sz w:val="24"/>
          <w:szCs w:val="24"/>
          <w:lang w:val="en-US"/>
        </w:rPr>
        <w:t xml:space="preserve"> </w:t>
      </w:r>
      <w:r w:rsidR="00777CE1" w:rsidRPr="002C2CF6">
        <w:rPr>
          <w:rFonts w:ascii="Times New Roman" w:hAnsi="Times New Roman"/>
          <w:sz w:val="24"/>
          <w:szCs w:val="24"/>
          <w:lang w:val="en-US"/>
        </w:rPr>
        <w:t>affect</w:t>
      </w:r>
      <w:r w:rsidR="00AA3B97">
        <w:rPr>
          <w:rFonts w:ascii="Times New Roman" w:hAnsi="Times New Roman"/>
          <w:sz w:val="24"/>
          <w:szCs w:val="24"/>
          <w:lang w:val="en-US"/>
        </w:rPr>
        <w:t>s</w:t>
      </w:r>
      <w:r w:rsidR="00B57F1F" w:rsidRPr="002C2CF6">
        <w:rPr>
          <w:rFonts w:ascii="Times New Roman" w:hAnsi="Times New Roman"/>
          <w:sz w:val="24"/>
          <w:szCs w:val="24"/>
          <w:lang w:val="en-US"/>
        </w:rPr>
        <w:t xml:space="preserve"> productivity </w:t>
      </w:r>
      <w:r w:rsidR="00974E22" w:rsidRPr="002C2CF6">
        <w:rPr>
          <w:rFonts w:ascii="Times New Roman" w:hAnsi="Times New Roman"/>
          <w:sz w:val="24"/>
          <w:szCs w:val="24"/>
          <w:lang w:val="en-US"/>
        </w:rPr>
        <w:t>performance</w:t>
      </w:r>
      <w:r w:rsidR="00B57F1F" w:rsidRPr="002C2CF6">
        <w:rPr>
          <w:rFonts w:ascii="Times New Roman" w:hAnsi="Times New Roman"/>
          <w:sz w:val="24"/>
          <w:szCs w:val="24"/>
          <w:lang w:val="en-US"/>
        </w:rPr>
        <w:t xml:space="preserve"> </w:t>
      </w:r>
      <w:r w:rsidR="00AA3B97">
        <w:rPr>
          <w:rFonts w:ascii="Times New Roman" w:hAnsi="Times New Roman"/>
          <w:sz w:val="24"/>
          <w:szCs w:val="24"/>
          <w:lang w:val="en-US"/>
        </w:rPr>
        <w:t xml:space="preserve">within a </w:t>
      </w:r>
      <w:r w:rsidR="00711ED5">
        <w:rPr>
          <w:rFonts w:ascii="Times New Roman" w:hAnsi="Times New Roman"/>
          <w:sz w:val="24"/>
          <w:szCs w:val="24"/>
          <w:lang w:val="en-US"/>
        </w:rPr>
        <w:t xml:space="preserve">firm-level </w:t>
      </w:r>
      <w:r w:rsidR="00AA3B97">
        <w:rPr>
          <w:rFonts w:ascii="Times New Roman" w:hAnsi="Times New Roman"/>
          <w:sz w:val="24"/>
          <w:szCs w:val="24"/>
          <w:lang w:val="en-US"/>
        </w:rPr>
        <w:t>productivity convergence framework</w:t>
      </w:r>
      <w:r w:rsidR="002C2CF6" w:rsidRPr="002C2CF6">
        <w:rPr>
          <w:rFonts w:ascii="Times New Roman" w:hAnsi="Times New Roman"/>
          <w:sz w:val="24"/>
          <w:szCs w:val="24"/>
          <w:lang w:val="en-US"/>
        </w:rPr>
        <w:t>.</w:t>
      </w:r>
      <w:r w:rsidR="002C2CF6">
        <w:rPr>
          <w:rFonts w:ascii="Times New Roman" w:hAnsi="Times New Roman"/>
          <w:sz w:val="24"/>
          <w:szCs w:val="24"/>
          <w:lang w:val="en-US"/>
        </w:rPr>
        <w:t xml:space="preserve"> </w:t>
      </w:r>
    </w:p>
    <w:p w:rsidR="00A952F9" w:rsidRDefault="00B4409F" w:rsidP="000875E0">
      <w:pPr>
        <w:ind w:firstLine="360"/>
        <w:rPr>
          <w:rFonts w:ascii="Times New Roman" w:hAnsi="Times New Roman"/>
          <w:sz w:val="24"/>
          <w:szCs w:val="24"/>
          <w:lang w:val="en-US"/>
        </w:rPr>
      </w:pPr>
      <w:r>
        <w:rPr>
          <w:rFonts w:ascii="Times New Roman" w:hAnsi="Times New Roman"/>
          <w:sz w:val="24"/>
          <w:szCs w:val="24"/>
          <w:lang w:val="en-US"/>
        </w:rPr>
        <w:t xml:space="preserve">There is a strand </w:t>
      </w:r>
      <w:r w:rsidR="002F1697">
        <w:rPr>
          <w:rFonts w:ascii="Times New Roman" w:hAnsi="Times New Roman"/>
          <w:sz w:val="24"/>
          <w:szCs w:val="24"/>
          <w:lang w:val="en-US"/>
        </w:rPr>
        <w:t>of</w:t>
      </w:r>
      <w:r>
        <w:rPr>
          <w:rFonts w:ascii="Times New Roman" w:hAnsi="Times New Roman"/>
          <w:sz w:val="24"/>
          <w:szCs w:val="24"/>
          <w:lang w:val="en-US"/>
        </w:rPr>
        <w:t xml:space="preserve"> literature that stresses the role of taxes on various aspects of firm performance. </w:t>
      </w:r>
      <w:r w:rsidR="009D07B9">
        <w:rPr>
          <w:rFonts w:ascii="Times New Roman" w:hAnsi="Times New Roman"/>
          <w:sz w:val="24"/>
          <w:szCs w:val="24"/>
          <w:lang w:val="en-US"/>
        </w:rPr>
        <w:t xml:space="preserve">Hall and Van Reenen (2000) </w:t>
      </w:r>
      <w:r>
        <w:rPr>
          <w:rFonts w:ascii="Times New Roman" w:hAnsi="Times New Roman"/>
          <w:sz w:val="24"/>
          <w:szCs w:val="24"/>
          <w:lang w:val="en-US"/>
        </w:rPr>
        <w:t>argue</w:t>
      </w:r>
      <w:r w:rsidR="000C0363" w:rsidRPr="000C0363">
        <w:rPr>
          <w:rFonts w:ascii="Times New Roman" w:hAnsi="Times New Roman"/>
          <w:sz w:val="24"/>
          <w:szCs w:val="24"/>
          <w:lang w:val="en-US"/>
        </w:rPr>
        <w:t xml:space="preserve"> that there is </w:t>
      </w:r>
      <w:r w:rsidR="00777CE1" w:rsidRPr="000C0363">
        <w:rPr>
          <w:rFonts w:ascii="Times New Roman" w:hAnsi="Times New Roman"/>
          <w:sz w:val="24"/>
          <w:szCs w:val="24"/>
          <w:lang w:val="en-US"/>
        </w:rPr>
        <w:t>a</w:t>
      </w:r>
      <w:r w:rsidR="00777CE1">
        <w:rPr>
          <w:rFonts w:ascii="Times New Roman" w:hAnsi="Times New Roman"/>
          <w:sz w:val="24"/>
          <w:szCs w:val="24"/>
          <w:lang w:val="en-US"/>
        </w:rPr>
        <w:t>n equal</w:t>
      </w:r>
      <w:r w:rsidR="00C84E45">
        <w:rPr>
          <w:rFonts w:ascii="Times New Roman" w:hAnsi="Times New Roman"/>
          <w:sz w:val="24"/>
          <w:szCs w:val="24"/>
          <w:lang w:val="en-US"/>
        </w:rPr>
        <w:t xml:space="preserve"> </w:t>
      </w:r>
      <w:r w:rsidR="00777CE1" w:rsidRPr="009B75AD">
        <w:rPr>
          <w:rFonts w:ascii="Times New Roman" w:hAnsi="Times New Roman"/>
          <w:sz w:val="24"/>
          <w:szCs w:val="24"/>
          <w:lang w:val="en-US"/>
        </w:rPr>
        <w:t>and</w:t>
      </w:r>
      <w:r w:rsidR="00777CE1" w:rsidRPr="000C0363">
        <w:rPr>
          <w:rFonts w:ascii="Times New Roman" w:hAnsi="Times New Roman"/>
          <w:sz w:val="24"/>
          <w:szCs w:val="24"/>
          <w:lang w:val="en-US"/>
        </w:rPr>
        <w:t xml:space="preserve"> proportionate</w:t>
      </w:r>
      <w:r w:rsidR="000C0363" w:rsidRPr="000C0363">
        <w:rPr>
          <w:rFonts w:ascii="Times New Roman" w:hAnsi="Times New Roman"/>
          <w:sz w:val="24"/>
          <w:szCs w:val="24"/>
          <w:lang w:val="en-US"/>
        </w:rPr>
        <w:t xml:space="preserve"> </w:t>
      </w:r>
      <w:r w:rsidR="00C84E45">
        <w:rPr>
          <w:rFonts w:ascii="Times New Roman" w:hAnsi="Times New Roman"/>
          <w:sz w:val="24"/>
          <w:szCs w:val="24"/>
          <w:lang w:val="en-US"/>
        </w:rPr>
        <w:t xml:space="preserve">relationship </w:t>
      </w:r>
      <w:r w:rsidR="009D07B9">
        <w:rPr>
          <w:rFonts w:ascii="Times New Roman" w:hAnsi="Times New Roman"/>
          <w:sz w:val="24"/>
          <w:szCs w:val="24"/>
          <w:lang w:val="en-US"/>
        </w:rPr>
        <w:t>between tax exemptions and R&amp;D in</w:t>
      </w:r>
      <w:r w:rsidR="00AD5E87">
        <w:rPr>
          <w:rFonts w:ascii="Times New Roman" w:hAnsi="Times New Roman"/>
          <w:sz w:val="24"/>
          <w:szCs w:val="24"/>
          <w:lang w:val="en-US"/>
        </w:rPr>
        <w:t>vestment that largely determine</w:t>
      </w:r>
      <w:r w:rsidR="009D07B9">
        <w:rPr>
          <w:rFonts w:ascii="Times New Roman" w:hAnsi="Times New Roman"/>
          <w:sz w:val="24"/>
          <w:szCs w:val="24"/>
          <w:lang w:val="en-US"/>
        </w:rPr>
        <w:t xml:space="preserve"> the location of R&amp;D activity. Djankov et al. (2010) </w:t>
      </w:r>
      <w:r w:rsidR="005F1AA4">
        <w:rPr>
          <w:rFonts w:ascii="Times New Roman" w:hAnsi="Times New Roman"/>
          <w:sz w:val="24"/>
          <w:szCs w:val="24"/>
          <w:lang w:val="en-US"/>
        </w:rPr>
        <w:t>have</w:t>
      </w:r>
      <w:r w:rsidR="00BA38E6">
        <w:rPr>
          <w:rFonts w:ascii="Times New Roman" w:hAnsi="Times New Roman"/>
          <w:sz w:val="24"/>
          <w:szCs w:val="24"/>
          <w:lang w:val="en-US"/>
        </w:rPr>
        <w:t xml:space="preserve"> found </w:t>
      </w:r>
      <w:r w:rsidR="00E560A2">
        <w:rPr>
          <w:rFonts w:ascii="Times New Roman" w:hAnsi="Times New Roman"/>
          <w:sz w:val="24"/>
          <w:szCs w:val="24"/>
          <w:lang w:val="en-US"/>
        </w:rPr>
        <w:t xml:space="preserve">in a cross-country context </w:t>
      </w:r>
      <w:r w:rsidR="005F1AA4">
        <w:rPr>
          <w:rFonts w:ascii="Times New Roman" w:hAnsi="Times New Roman"/>
          <w:sz w:val="24"/>
          <w:szCs w:val="24"/>
          <w:lang w:val="en-US"/>
        </w:rPr>
        <w:t xml:space="preserve">how different types </w:t>
      </w:r>
      <w:r w:rsidR="00BA38E6">
        <w:rPr>
          <w:rFonts w:ascii="Times New Roman" w:hAnsi="Times New Roman"/>
          <w:sz w:val="24"/>
          <w:szCs w:val="24"/>
          <w:lang w:val="en-US"/>
        </w:rPr>
        <w:t xml:space="preserve">of corporate taxation </w:t>
      </w:r>
      <w:r w:rsidR="005F1AA4">
        <w:rPr>
          <w:rFonts w:ascii="Times New Roman" w:hAnsi="Times New Roman"/>
          <w:sz w:val="24"/>
          <w:szCs w:val="24"/>
          <w:lang w:val="en-US"/>
        </w:rPr>
        <w:t>affect</w:t>
      </w:r>
      <w:r w:rsidR="00BA38E6">
        <w:rPr>
          <w:rFonts w:ascii="Times New Roman" w:hAnsi="Times New Roman"/>
          <w:sz w:val="24"/>
          <w:szCs w:val="24"/>
          <w:lang w:val="en-US"/>
        </w:rPr>
        <w:t xml:space="preserve"> FDI and </w:t>
      </w:r>
      <w:r w:rsidR="00936CFC">
        <w:rPr>
          <w:rFonts w:ascii="Times New Roman" w:hAnsi="Times New Roman"/>
          <w:sz w:val="24"/>
          <w:szCs w:val="24"/>
          <w:lang w:val="en-US"/>
        </w:rPr>
        <w:t>industry dynamics focusing on firms’</w:t>
      </w:r>
      <w:r w:rsidR="00E560A2">
        <w:rPr>
          <w:rFonts w:ascii="Times New Roman" w:hAnsi="Times New Roman"/>
          <w:sz w:val="24"/>
          <w:szCs w:val="24"/>
          <w:lang w:val="en-US"/>
        </w:rPr>
        <w:t xml:space="preserve"> entry and exit decisions</w:t>
      </w:r>
      <w:r w:rsidR="00936CFC">
        <w:rPr>
          <w:rFonts w:ascii="Times New Roman" w:hAnsi="Times New Roman"/>
          <w:sz w:val="24"/>
          <w:szCs w:val="24"/>
          <w:lang w:val="en-US"/>
        </w:rPr>
        <w:t>.</w:t>
      </w:r>
      <w:r w:rsidR="00333A46">
        <w:rPr>
          <w:rFonts w:ascii="Times New Roman" w:hAnsi="Times New Roman"/>
          <w:sz w:val="24"/>
          <w:szCs w:val="24"/>
          <w:lang w:val="en-US"/>
        </w:rPr>
        <w:t xml:space="preserve"> </w:t>
      </w:r>
      <w:r w:rsidR="005B1010">
        <w:rPr>
          <w:rFonts w:ascii="Times New Roman" w:hAnsi="Times New Roman"/>
          <w:sz w:val="24"/>
          <w:szCs w:val="24"/>
          <w:lang w:val="en-US"/>
        </w:rPr>
        <w:t xml:space="preserve">With the exception of </w:t>
      </w:r>
      <w:r w:rsidR="005B1010" w:rsidRPr="005A6F15">
        <w:rPr>
          <w:rFonts w:ascii="Times New Roman" w:hAnsi="Times New Roman"/>
          <w:sz w:val="24"/>
          <w:szCs w:val="24"/>
          <w:lang w:val="en-US"/>
        </w:rPr>
        <w:t>Arnold et al. (2011)</w:t>
      </w:r>
      <w:r w:rsidR="00D14692">
        <w:rPr>
          <w:rFonts w:ascii="Times New Roman" w:hAnsi="Times New Roman"/>
          <w:sz w:val="24"/>
          <w:szCs w:val="24"/>
          <w:lang w:val="en-US"/>
        </w:rPr>
        <w:t>,</w:t>
      </w:r>
      <w:r w:rsidR="005B1010" w:rsidRPr="005A6F15">
        <w:rPr>
          <w:rFonts w:ascii="Times New Roman" w:hAnsi="Times New Roman"/>
          <w:sz w:val="24"/>
          <w:szCs w:val="24"/>
          <w:lang w:val="en-US"/>
        </w:rPr>
        <w:t xml:space="preserve"> </w:t>
      </w:r>
      <w:r w:rsidR="00333A46">
        <w:rPr>
          <w:rFonts w:ascii="Times New Roman" w:hAnsi="Times New Roman"/>
          <w:sz w:val="24"/>
          <w:szCs w:val="24"/>
          <w:lang w:val="en-US"/>
        </w:rPr>
        <w:t>evidence on the effect of corporate tax on</w:t>
      </w:r>
      <w:r w:rsidR="005B1010">
        <w:rPr>
          <w:rFonts w:ascii="Times New Roman" w:hAnsi="Times New Roman"/>
          <w:sz w:val="24"/>
          <w:szCs w:val="24"/>
          <w:lang w:val="en-US"/>
        </w:rPr>
        <w:t xml:space="preserve"> </w:t>
      </w:r>
      <w:r w:rsidR="00045071">
        <w:rPr>
          <w:rFonts w:ascii="Times New Roman" w:hAnsi="Times New Roman"/>
          <w:sz w:val="24"/>
          <w:szCs w:val="24"/>
          <w:lang w:val="en-US"/>
        </w:rPr>
        <w:t>productivity</w:t>
      </w:r>
      <w:r w:rsidR="00333A46">
        <w:rPr>
          <w:rFonts w:ascii="Times New Roman" w:hAnsi="Times New Roman"/>
          <w:sz w:val="24"/>
          <w:szCs w:val="24"/>
          <w:lang w:val="en-US"/>
        </w:rPr>
        <w:t xml:space="preserve"> </w:t>
      </w:r>
      <w:r w:rsidR="00004844">
        <w:rPr>
          <w:rFonts w:ascii="Times New Roman" w:hAnsi="Times New Roman"/>
          <w:sz w:val="24"/>
          <w:szCs w:val="24"/>
          <w:lang w:val="en-US"/>
        </w:rPr>
        <w:t>is</w:t>
      </w:r>
      <w:r w:rsidR="00E560A2">
        <w:rPr>
          <w:rFonts w:ascii="Times New Roman" w:hAnsi="Times New Roman"/>
          <w:sz w:val="24"/>
          <w:szCs w:val="24"/>
          <w:lang w:val="en-US"/>
        </w:rPr>
        <w:t xml:space="preserve"> </w:t>
      </w:r>
      <w:r w:rsidR="00FA02C3">
        <w:rPr>
          <w:rFonts w:ascii="Times New Roman" w:hAnsi="Times New Roman"/>
          <w:sz w:val="24"/>
          <w:szCs w:val="24"/>
          <w:lang w:val="en-US"/>
        </w:rPr>
        <w:t>scarce</w:t>
      </w:r>
      <w:r w:rsidR="005B1010">
        <w:rPr>
          <w:rFonts w:ascii="Times New Roman" w:hAnsi="Times New Roman"/>
          <w:sz w:val="24"/>
          <w:szCs w:val="24"/>
          <w:lang w:val="en-US"/>
        </w:rPr>
        <w:t xml:space="preserve">. The empirical evidence from Arnold </w:t>
      </w:r>
      <w:r w:rsidR="002F1697">
        <w:rPr>
          <w:rFonts w:ascii="Times New Roman" w:hAnsi="Times New Roman"/>
          <w:sz w:val="24"/>
          <w:szCs w:val="24"/>
          <w:lang w:val="en-US"/>
        </w:rPr>
        <w:t>e</w:t>
      </w:r>
      <w:r w:rsidR="005B1010">
        <w:rPr>
          <w:rFonts w:ascii="Times New Roman" w:hAnsi="Times New Roman"/>
          <w:sz w:val="24"/>
          <w:szCs w:val="24"/>
          <w:lang w:val="en-US"/>
        </w:rPr>
        <w:t xml:space="preserve">t al. (2011) indicates that higher </w:t>
      </w:r>
      <w:r w:rsidR="00E560A2" w:rsidRPr="005A6F15">
        <w:rPr>
          <w:rFonts w:ascii="Times New Roman" w:hAnsi="Times New Roman"/>
          <w:sz w:val="24"/>
          <w:szCs w:val="24"/>
          <w:lang w:val="en-US"/>
        </w:rPr>
        <w:t xml:space="preserve">corporate tax </w:t>
      </w:r>
      <w:r w:rsidR="005B1010">
        <w:rPr>
          <w:rFonts w:ascii="Times New Roman" w:hAnsi="Times New Roman"/>
          <w:sz w:val="24"/>
          <w:szCs w:val="24"/>
          <w:lang w:val="en-US"/>
        </w:rPr>
        <w:t xml:space="preserve">negatively </w:t>
      </w:r>
      <w:r w:rsidR="002F1697">
        <w:rPr>
          <w:rFonts w:ascii="Times New Roman" w:hAnsi="Times New Roman"/>
          <w:sz w:val="24"/>
          <w:szCs w:val="24"/>
          <w:lang w:val="en-US"/>
        </w:rPr>
        <w:t xml:space="preserve">affects </w:t>
      </w:r>
      <w:r w:rsidR="005B1010">
        <w:rPr>
          <w:rFonts w:ascii="Times New Roman" w:hAnsi="Times New Roman"/>
          <w:sz w:val="24"/>
          <w:szCs w:val="24"/>
          <w:lang w:val="en-US"/>
        </w:rPr>
        <w:t xml:space="preserve">productivity growth in </w:t>
      </w:r>
      <w:r w:rsidR="00E560A2" w:rsidRPr="005A6F15">
        <w:rPr>
          <w:rFonts w:ascii="Times New Roman" w:hAnsi="Times New Roman"/>
          <w:sz w:val="24"/>
          <w:szCs w:val="24"/>
          <w:lang w:val="en-US"/>
        </w:rPr>
        <w:t xml:space="preserve">more profitable industries. </w:t>
      </w:r>
      <w:r w:rsidR="005B1010">
        <w:rPr>
          <w:rFonts w:ascii="Times New Roman" w:hAnsi="Times New Roman"/>
          <w:sz w:val="24"/>
          <w:szCs w:val="24"/>
          <w:lang w:val="en-US"/>
        </w:rPr>
        <w:t xml:space="preserve">The present study is motivated from </w:t>
      </w:r>
      <w:r w:rsidR="00D14692">
        <w:rPr>
          <w:rFonts w:ascii="Times New Roman" w:hAnsi="Times New Roman"/>
          <w:sz w:val="24"/>
          <w:szCs w:val="24"/>
          <w:lang w:val="en-US"/>
        </w:rPr>
        <w:t xml:space="preserve">findings of </w:t>
      </w:r>
      <w:r w:rsidR="005B1010">
        <w:rPr>
          <w:rFonts w:ascii="Times New Roman" w:hAnsi="Times New Roman"/>
          <w:sz w:val="24"/>
          <w:szCs w:val="24"/>
          <w:lang w:val="en-US"/>
        </w:rPr>
        <w:t xml:space="preserve">the </w:t>
      </w:r>
      <w:r w:rsidR="00714DB9">
        <w:rPr>
          <w:rFonts w:ascii="Times New Roman" w:hAnsi="Times New Roman"/>
          <w:sz w:val="24"/>
          <w:szCs w:val="24"/>
          <w:lang w:val="en-US"/>
        </w:rPr>
        <w:t>above</w:t>
      </w:r>
      <w:r w:rsidR="00D14692">
        <w:rPr>
          <w:rFonts w:ascii="Times New Roman" w:hAnsi="Times New Roman"/>
          <w:sz w:val="24"/>
          <w:szCs w:val="24"/>
          <w:lang w:val="en-US"/>
        </w:rPr>
        <w:t xml:space="preserve"> studies</w:t>
      </w:r>
      <w:r w:rsidR="00714DB9">
        <w:rPr>
          <w:rFonts w:ascii="Times New Roman" w:hAnsi="Times New Roman"/>
          <w:sz w:val="24"/>
          <w:szCs w:val="24"/>
          <w:lang w:val="en-US"/>
        </w:rPr>
        <w:t xml:space="preserve"> </w:t>
      </w:r>
      <w:r w:rsidR="005B1010">
        <w:rPr>
          <w:rFonts w:ascii="Times New Roman" w:hAnsi="Times New Roman"/>
          <w:sz w:val="24"/>
          <w:szCs w:val="24"/>
          <w:lang w:val="en-US"/>
        </w:rPr>
        <w:t xml:space="preserve">in order to investigate whether changes in </w:t>
      </w:r>
      <w:r w:rsidR="00E560A2">
        <w:rPr>
          <w:rFonts w:ascii="Times New Roman" w:hAnsi="Times New Roman"/>
          <w:sz w:val="24"/>
          <w:szCs w:val="24"/>
          <w:lang w:val="en-US"/>
        </w:rPr>
        <w:t xml:space="preserve">corporate taxation </w:t>
      </w:r>
      <w:r w:rsidR="005B1010">
        <w:rPr>
          <w:rFonts w:ascii="Times New Roman" w:hAnsi="Times New Roman"/>
          <w:sz w:val="24"/>
          <w:szCs w:val="24"/>
          <w:lang w:val="en-US"/>
        </w:rPr>
        <w:t xml:space="preserve">can </w:t>
      </w:r>
      <w:r w:rsidR="008F5265">
        <w:rPr>
          <w:rFonts w:ascii="Times New Roman" w:hAnsi="Times New Roman"/>
          <w:sz w:val="24"/>
          <w:szCs w:val="24"/>
          <w:lang w:val="en-US"/>
        </w:rPr>
        <w:t>have</w:t>
      </w:r>
      <w:r w:rsidR="005B1010">
        <w:rPr>
          <w:rFonts w:ascii="Times New Roman" w:hAnsi="Times New Roman"/>
          <w:sz w:val="24"/>
          <w:szCs w:val="24"/>
          <w:lang w:val="en-US"/>
        </w:rPr>
        <w:t xml:space="preserve"> effects on productivity</w:t>
      </w:r>
      <w:r w:rsidR="00714DB9">
        <w:rPr>
          <w:rFonts w:ascii="Times New Roman" w:hAnsi="Times New Roman"/>
          <w:sz w:val="24"/>
          <w:szCs w:val="24"/>
          <w:lang w:val="en-US"/>
        </w:rPr>
        <w:t xml:space="preserve"> performance</w:t>
      </w:r>
      <w:r w:rsidR="005B1010">
        <w:rPr>
          <w:rFonts w:ascii="Times New Roman" w:hAnsi="Times New Roman"/>
          <w:sz w:val="24"/>
          <w:szCs w:val="24"/>
          <w:lang w:val="en-US"/>
        </w:rPr>
        <w:t xml:space="preserve"> of R&amp;D</w:t>
      </w:r>
      <w:r w:rsidR="00D14692">
        <w:rPr>
          <w:rFonts w:ascii="Times New Roman" w:hAnsi="Times New Roman"/>
          <w:sz w:val="24"/>
          <w:szCs w:val="24"/>
          <w:lang w:val="en-US"/>
        </w:rPr>
        <w:t xml:space="preserve"> and exporting</w:t>
      </w:r>
      <w:r w:rsidR="005B1010">
        <w:rPr>
          <w:rFonts w:ascii="Times New Roman" w:hAnsi="Times New Roman"/>
          <w:sz w:val="24"/>
          <w:szCs w:val="24"/>
          <w:lang w:val="en-US"/>
        </w:rPr>
        <w:t xml:space="preserve"> firms</w:t>
      </w:r>
      <w:r w:rsidR="00D14692">
        <w:rPr>
          <w:rFonts w:ascii="Times New Roman" w:hAnsi="Times New Roman"/>
          <w:sz w:val="24"/>
          <w:szCs w:val="24"/>
          <w:lang w:val="en-US"/>
        </w:rPr>
        <w:t>.</w:t>
      </w:r>
      <w:r w:rsidR="005B1010">
        <w:rPr>
          <w:rFonts w:ascii="Times New Roman" w:hAnsi="Times New Roman"/>
          <w:sz w:val="24"/>
          <w:szCs w:val="24"/>
          <w:lang w:val="en-US"/>
        </w:rPr>
        <w:t xml:space="preserve"> </w:t>
      </w:r>
      <w:r w:rsidR="00714DB9">
        <w:rPr>
          <w:rFonts w:ascii="Times New Roman" w:hAnsi="Times New Roman"/>
          <w:sz w:val="24"/>
          <w:szCs w:val="24"/>
          <w:lang w:val="en-US"/>
        </w:rPr>
        <w:t xml:space="preserve">Our motivation to </w:t>
      </w:r>
      <w:r w:rsidR="00A952F9">
        <w:rPr>
          <w:rFonts w:ascii="Times New Roman" w:hAnsi="Times New Roman"/>
          <w:sz w:val="24"/>
          <w:szCs w:val="24"/>
          <w:lang w:val="en-US"/>
        </w:rPr>
        <w:t>investigate</w:t>
      </w:r>
      <w:r w:rsidR="00714DB9">
        <w:rPr>
          <w:rFonts w:ascii="Times New Roman" w:hAnsi="Times New Roman"/>
          <w:sz w:val="24"/>
          <w:szCs w:val="24"/>
          <w:lang w:val="en-US"/>
        </w:rPr>
        <w:t xml:space="preserve"> </w:t>
      </w:r>
      <w:r w:rsidR="00D14692">
        <w:rPr>
          <w:rFonts w:ascii="Times New Roman" w:hAnsi="Times New Roman"/>
          <w:sz w:val="24"/>
          <w:szCs w:val="24"/>
          <w:lang w:val="en-US"/>
        </w:rPr>
        <w:t xml:space="preserve">the effects of </w:t>
      </w:r>
      <w:r w:rsidR="00714DB9">
        <w:rPr>
          <w:rFonts w:ascii="Times New Roman" w:hAnsi="Times New Roman"/>
          <w:sz w:val="24"/>
          <w:szCs w:val="24"/>
          <w:lang w:val="en-US"/>
        </w:rPr>
        <w:t xml:space="preserve">corporate </w:t>
      </w:r>
      <w:r w:rsidR="00FE2522">
        <w:rPr>
          <w:rFonts w:ascii="Times New Roman" w:hAnsi="Times New Roman"/>
          <w:sz w:val="24"/>
          <w:szCs w:val="24"/>
          <w:lang w:val="en-US"/>
        </w:rPr>
        <w:t>taxation</w:t>
      </w:r>
      <w:r w:rsidR="00714DB9">
        <w:rPr>
          <w:rFonts w:ascii="Times New Roman" w:hAnsi="Times New Roman"/>
          <w:sz w:val="24"/>
          <w:szCs w:val="24"/>
          <w:lang w:val="en-US"/>
        </w:rPr>
        <w:t xml:space="preserve"> </w:t>
      </w:r>
      <w:r w:rsidR="00FE2522">
        <w:rPr>
          <w:rFonts w:ascii="Times New Roman" w:hAnsi="Times New Roman"/>
          <w:sz w:val="24"/>
          <w:szCs w:val="24"/>
          <w:lang w:val="en-US"/>
        </w:rPr>
        <w:t>across</w:t>
      </w:r>
      <w:r w:rsidR="00714DB9">
        <w:rPr>
          <w:rFonts w:ascii="Times New Roman" w:hAnsi="Times New Roman"/>
          <w:sz w:val="24"/>
          <w:szCs w:val="24"/>
          <w:lang w:val="en-US"/>
        </w:rPr>
        <w:t xml:space="preserve"> firms with </w:t>
      </w:r>
      <w:r w:rsidR="00FE2522">
        <w:rPr>
          <w:rFonts w:ascii="Times New Roman" w:hAnsi="Times New Roman"/>
          <w:sz w:val="24"/>
          <w:szCs w:val="24"/>
          <w:lang w:val="en-US"/>
        </w:rPr>
        <w:t>different</w:t>
      </w:r>
      <w:r w:rsidR="00714DB9">
        <w:rPr>
          <w:rFonts w:ascii="Times New Roman" w:hAnsi="Times New Roman"/>
          <w:sz w:val="24"/>
          <w:szCs w:val="24"/>
          <w:lang w:val="en-US"/>
        </w:rPr>
        <w:t xml:space="preserve"> R</w:t>
      </w:r>
      <w:r w:rsidR="00FE2522">
        <w:rPr>
          <w:rFonts w:ascii="Times New Roman" w:hAnsi="Times New Roman"/>
          <w:sz w:val="24"/>
          <w:szCs w:val="24"/>
          <w:lang w:val="en-US"/>
        </w:rPr>
        <w:t>&amp;</w:t>
      </w:r>
      <w:r w:rsidR="00D14692">
        <w:rPr>
          <w:rFonts w:ascii="Times New Roman" w:hAnsi="Times New Roman"/>
          <w:sz w:val="24"/>
          <w:szCs w:val="24"/>
          <w:lang w:val="en-US"/>
        </w:rPr>
        <w:t>D and export</w:t>
      </w:r>
      <w:r w:rsidR="00714DB9">
        <w:rPr>
          <w:rFonts w:ascii="Times New Roman" w:hAnsi="Times New Roman"/>
          <w:sz w:val="24"/>
          <w:szCs w:val="24"/>
          <w:lang w:val="en-US"/>
        </w:rPr>
        <w:t xml:space="preserve"> </w:t>
      </w:r>
      <w:r w:rsidR="00FE2522">
        <w:rPr>
          <w:rFonts w:ascii="Times New Roman" w:hAnsi="Times New Roman"/>
          <w:sz w:val="24"/>
          <w:szCs w:val="24"/>
          <w:lang w:val="en-US"/>
        </w:rPr>
        <w:t>status</w:t>
      </w:r>
      <w:r w:rsidR="00714DB9">
        <w:rPr>
          <w:rFonts w:ascii="Times New Roman" w:hAnsi="Times New Roman"/>
          <w:sz w:val="24"/>
          <w:szCs w:val="24"/>
          <w:lang w:val="en-US"/>
        </w:rPr>
        <w:t xml:space="preserve"> rel</w:t>
      </w:r>
      <w:r w:rsidR="008F5265">
        <w:rPr>
          <w:rFonts w:ascii="Times New Roman" w:hAnsi="Times New Roman"/>
          <w:sz w:val="24"/>
          <w:szCs w:val="24"/>
          <w:lang w:val="en-US"/>
        </w:rPr>
        <w:t>y</w:t>
      </w:r>
      <w:r w:rsidR="00714DB9">
        <w:rPr>
          <w:rFonts w:ascii="Times New Roman" w:hAnsi="Times New Roman"/>
          <w:sz w:val="24"/>
          <w:szCs w:val="24"/>
          <w:lang w:val="en-US"/>
        </w:rPr>
        <w:t>i</w:t>
      </w:r>
      <w:r w:rsidR="008F5265">
        <w:rPr>
          <w:rFonts w:ascii="Times New Roman" w:hAnsi="Times New Roman"/>
          <w:sz w:val="24"/>
          <w:szCs w:val="24"/>
          <w:lang w:val="en-US"/>
        </w:rPr>
        <w:t>ng</w:t>
      </w:r>
      <w:r w:rsidR="00714DB9">
        <w:rPr>
          <w:rFonts w:ascii="Times New Roman" w:hAnsi="Times New Roman"/>
          <w:sz w:val="24"/>
          <w:szCs w:val="24"/>
          <w:lang w:val="en-US"/>
        </w:rPr>
        <w:t xml:space="preserve"> on corporate </w:t>
      </w:r>
      <w:r w:rsidR="00FE2522">
        <w:rPr>
          <w:rFonts w:ascii="Times New Roman" w:hAnsi="Times New Roman"/>
          <w:sz w:val="24"/>
          <w:szCs w:val="24"/>
          <w:lang w:val="en-US"/>
        </w:rPr>
        <w:t xml:space="preserve">finance </w:t>
      </w:r>
      <w:r w:rsidR="005919BF">
        <w:rPr>
          <w:rFonts w:ascii="Times New Roman" w:hAnsi="Times New Roman"/>
          <w:sz w:val="24"/>
          <w:szCs w:val="24"/>
          <w:lang w:val="en-US"/>
        </w:rPr>
        <w:t>models</w:t>
      </w:r>
      <w:r w:rsidR="007943BE">
        <w:rPr>
          <w:rFonts w:ascii="Times New Roman" w:hAnsi="Times New Roman"/>
          <w:sz w:val="24"/>
          <w:szCs w:val="24"/>
          <w:lang w:val="en-US"/>
        </w:rPr>
        <w:t xml:space="preserve"> (</w:t>
      </w:r>
      <w:r w:rsidR="00BB122D">
        <w:rPr>
          <w:rFonts w:ascii="Times New Roman" w:hAnsi="Times New Roman"/>
          <w:sz w:val="24"/>
          <w:szCs w:val="24"/>
          <w:lang w:val="en-US"/>
        </w:rPr>
        <w:t xml:space="preserve">see </w:t>
      </w:r>
      <w:r w:rsidR="007943BE">
        <w:rPr>
          <w:rFonts w:ascii="Times New Roman" w:hAnsi="Times New Roman"/>
          <w:sz w:val="24"/>
          <w:szCs w:val="24"/>
          <w:lang w:val="en-US"/>
        </w:rPr>
        <w:t>Keuschnig</w:t>
      </w:r>
      <w:r w:rsidR="007911F8">
        <w:rPr>
          <w:rFonts w:ascii="Times New Roman" w:hAnsi="Times New Roman"/>
          <w:sz w:val="24"/>
          <w:szCs w:val="24"/>
          <w:lang w:val="en-US"/>
        </w:rPr>
        <w:t>g</w:t>
      </w:r>
      <w:r w:rsidR="007943BE">
        <w:rPr>
          <w:rFonts w:ascii="Times New Roman" w:hAnsi="Times New Roman"/>
          <w:sz w:val="24"/>
          <w:szCs w:val="24"/>
          <w:lang w:val="en-US"/>
        </w:rPr>
        <w:t xml:space="preserve"> and Ribi</w:t>
      </w:r>
      <w:r w:rsidR="008F5265">
        <w:rPr>
          <w:rFonts w:ascii="Times New Roman" w:hAnsi="Times New Roman"/>
          <w:sz w:val="24"/>
          <w:szCs w:val="24"/>
          <w:lang w:val="en-US"/>
        </w:rPr>
        <w:t>,</w:t>
      </w:r>
      <w:r w:rsidR="007943BE">
        <w:rPr>
          <w:rFonts w:ascii="Times New Roman" w:hAnsi="Times New Roman"/>
          <w:sz w:val="24"/>
          <w:szCs w:val="24"/>
          <w:lang w:val="en-US"/>
        </w:rPr>
        <w:t xml:space="preserve"> 201</w:t>
      </w:r>
      <w:r w:rsidR="00420629">
        <w:rPr>
          <w:rFonts w:ascii="Times New Roman" w:hAnsi="Times New Roman"/>
          <w:sz w:val="24"/>
          <w:szCs w:val="24"/>
          <w:lang w:val="en-US"/>
        </w:rPr>
        <w:t>3</w:t>
      </w:r>
      <w:r w:rsidR="007943BE">
        <w:rPr>
          <w:rFonts w:ascii="Times New Roman" w:hAnsi="Times New Roman"/>
          <w:sz w:val="24"/>
          <w:szCs w:val="24"/>
          <w:lang w:val="en-US"/>
        </w:rPr>
        <w:t>)</w:t>
      </w:r>
      <w:r w:rsidR="00BB122D">
        <w:rPr>
          <w:rFonts w:ascii="Times New Roman" w:hAnsi="Times New Roman"/>
          <w:sz w:val="24"/>
          <w:szCs w:val="24"/>
          <w:lang w:val="en-US"/>
        </w:rPr>
        <w:t xml:space="preserve"> and Brekke et al.</w:t>
      </w:r>
      <w:r w:rsidR="008F5265">
        <w:rPr>
          <w:rFonts w:ascii="Times New Roman" w:hAnsi="Times New Roman"/>
          <w:sz w:val="24"/>
          <w:szCs w:val="24"/>
          <w:lang w:val="en-US"/>
        </w:rPr>
        <w:t>,</w:t>
      </w:r>
      <w:r w:rsidR="00947969">
        <w:rPr>
          <w:rFonts w:ascii="Times New Roman" w:hAnsi="Times New Roman"/>
          <w:sz w:val="24"/>
          <w:szCs w:val="24"/>
          <w:lang w:val="en-US"/>
        </w:rPr>
        <w:t xml:space="preserve"> </w:t>
      </w:r>
      <w:r w:rsidR="00BB122D">
        <w:rPr>
          <w:rFonts w:ascii="Times New Roman" w:hAnsi="Times New Roman"/>
          <w:sz w:val="24"/>
          <w:szCs w:val="24"/>
          <w:lang w:val="en-US"/>
        </w:rPr>
        <w:t>2014</w:t>
      </w:r>
      <w:r w:rsidR="007943BE">
        <w:rPr>
          <w:rFonts w:ascii="Times New Roman" w:hAnsi="Times New Roman"/>
          <w:sz w:val="24"/>
          <w:szCs w:val="24"/>
          <w:lang w:val="en-US"/>
        </w:rPr>
        <w:t>) that</w:t>
      </w:r>
      <w:r w:rsidR="00714DB9">
        <w:rPr>
          <w:rFonts w:ascii="Times New Roman" w:hAnsi="Times New Roman"/>
          <w:sz w:val="24"/>
          <w:szCs w:val="24"/>
          <w:lang w:val="en-US"/>
        </w:rPr>
        <w:t xml:space="preserve"> show how tax liability can impact on </w:t>
      </w:r>
      <w:r w:rsidR="00FE2522">
        <w:rPr>
          <w:rFonts w:ascii="Times New Roman" w:hAnsi="Times New Roman"/>
          <w:sz w:val="24"/>
          <w:szCs w:val="24"/>
          <w:lang w:val="en-US"/>
        </w:rPr>
        <w:t xml:space="preserve">investment </w:t>
      </w:r>
      <w:r w:rsidR="00BB1F51">
        <w:rPr>
          <w:rFonts w:ascii="Times New Roman" w:hAnsi="Times New Roman"/>
          <w:sz w:val="24"/>
          <w:szCs w:val="24"/>
          <w:lang w:val="en-US"/>
        </w:rPr>
        <w:t>decisions</w:t>
      </w:r>
      <w:r w:rsidR="00D14692">
        <w:rPr>
          <w:rFonts w:ascii="Times New Roman" w:hAnsi="Times New Roman"/>
          <w:sz w:val="24"/>
          <w:szCs w:val="24"/>
          <w:lang w:val="en-US"/>
        </w:rPr>
        <w:t xml:space="preserve"> of firms</w:t>
      </w:r>
      <w:r w:rsidR="00714DB9">
        <w:rPr>
          <w:rFonts w:ascii="Times New Roman" w:hAnsi="Times New Roman"/>
          <w:sz w:val="24"/>
          <w:szCs w:val="24"/>
          <w:lang w:val="en-US"/>
        </w:rPr>
        <w:t xml:space="preserve"> </w:t>
      </w:r>
      <w:r w:rsidR="008F5265">
        <w:rPr>
          <w:rFonts w:ascii="Times New Roman" w:hAnsi="Times New Roman"/>
          <w:sz w:val="24"/>
          <w:szCs w:val="24"/>
          <w:lang w:val="en-US"/>
        </w:rPr>
        <w:t>which</w:t>
      </w:r>
      <w:r w:rsidR="00714DB9">
        <w:rPr>
          <w:rFonts w:ascii="Times New Roman" w:hAnsi="Times New Roman"/>
          <w:sz w:val="24"/>
          <w:szCs w:val="24"/>
          <w:lang w:val="en-US"/>
        </w:rPr>
        <w:t xml:space="preserve"> are financially </w:t>
      </w:r>
      <w:r w:rsidR="00FE2522">
        <w:rPr>
          <w:rFonts w:ascii="Times New Roman" w:hAnsi="Times New Roman"/>
          <w:sz w:val="24"/>
          <w:szCs w:val="24"/>
          <w:lang w:val="en-US"/>
        </w:rPr>
        <w:t>constrained</w:t>
      </w:r>
      <w:r w:rsidR="00714DB9">
        <w:rPr>
          <w:rFonts w:ascii="Times New Roman" w:hAnsi="Times New Roman"/>
          <w:sz w:val="24"/>
          <w:szCs w:val="24"/>
          <w:lang w:val="en-US"/>
        </w:rPr>
        <w:t xml:space="preserve">. </w:t>
      </w:r>
      <w:r w:rsidR="00BB122D">
        <w:rPr>
          <w:rFonts w:ascii="Times New Roman" w:hAnsi="Times New Roman"/>
          <w:sz w:val="24"/>
          <w:szCs w:val="24"/>
          <w:lang w:val="en-US"/>
        </w:rPr>
        <w:t xml:space="preserve">This </w:t>
      </w:r>
      <w:r w:rsidR="005919BF">
        <w:rPr>
          <w:rFonts w:ascii="Times New Roman" w:hAnsi="Times New Roman"/>
          <w:sz w:val="24"/>
          <w:szCs w:val="24"/>
          <w:lang w:val="en-US"/>
        </w:rPr>
        <w:t>literature</w:t>
      </w:r>
      <w:r w:rsidR="00BB122D">
        <w:rPr>
          <w:rFonts w:ascii="Times New Roman" w:hAnsi="Times New Roman"/>
          <w:sz w:val="24"/>
          <w:szCs w:val="24"/>
          <w:lang w:val="en-US"/>
        </w:rPr>
        <w:t xml:space="preserve"> argues</w:t>
      </w:r>
      <w:r w:rsidR="00714DB9">
        <w:rPr>
          <w:rFonts w:ascii="Times New Roman" w:hAnsi="Times New Roman"/>
          <w:sz w:val="24"/>
          <w:szCs w:val="24"/>
          <w:lang w:val="en-US"/>
        </w:rPr>
        <w:t xml:space="preserve"> that external </w:t>
      </w:r>
      <w:r w:rsidR="005919BF">
        <w:rPr>
          <w:rFonts w:ascii="Times New Roman" w:hAnsi="Times New Roman"/>
          <w:sz w:val="24"/>
          <w:szCs w:val="24"/>
          <w:lang w:val="en-US"/>
        </w:rPr>
        <w:t>creditors</w:t>
      </w:r>
      <w:r w:rsidR="00714DB9">
        <w:rPr>
          <w:rFonts w:ascii="Times New Roman" w:hAnsi="Times New Roman"/>
          <w:sz w:val="24"/>
          <w:szCs w:val="24"/>
          <w:lang w:val="en-US"/>
        </w:rPr>
        <w:t xml:space="preserve"> </w:t>
      </w:r>
      <w:r w:rsidR="00BB122D">
        <w:rPr>
          <w:rFonts w:ascii="Times New Roman" w:hAnsi="Times New Roman"/>
          <w:sz w:val="24"/>
          <w:szCs w:val="24"/>
          <w:lang w:val="en-US"/>
        </w:rPr>
        <w:t>fac</w:t>
      </w:r>
      <w:r w:rsidR="00714DB9">
        <w:rPr>
          <w:rFonts w:ascii="Times New Roman" w:hAnsi="Times New Roman"/>
          <w:sz w:val="24"/>
          <w:szCs w:val="24"/>
          <w:lang w:val="en-US"/>
        </w:rPr>
        <w:t>e</w:t>
      </w:r>
      <w:r w:rsidR="00BB122D">
        <w:rPr>
          <w:rFonts w:ascii="Times New Roman" w:hAnsi="Times New Roman"/>
          <w:sz w:val="24"/>
          <w:szCs w:val="24"/>
          <w:lang w:val="en-US"/>
        </w:rPr>
        <w:t xml:space="preserve"> </w:t>
      </w:r>
      <w:r w:rsidR="00FE2522">
        <w:rPr>
          <w:rFonts w:ascii="Times New Roman" w:hAnsi="Times New Roman"/>
          <w:sz w:val="24"/>
          <w:szCs w:val="24"/>
          <w:lang w:val="en-US"/>
        </w:rPr>
        <w:t>asymmetric</w:t>
      </w:r>
      <w:r w:rsidR="00714DB9">
        <w:rPr>
          <w:rFonts w:ascii="Times New Roman" w:hAnsi="Times New Roman"/>
          <w:sz w:val="24"/>
          <w:szCs w:val="24"/>
          <w:lang w:val="en-US"/>
        </w:rPr>
        <w:t xml:space="preserve"> information</w:t>
      </w:r>
      <w:r w:rsidR="005919BF">
        <w:rPr>
          <w:rFonts w:ascii="Times New Roman" w:hAnsi="Times New Roman"/>
          <w:sz w:val="24"/>
          <w:szCs w:val="24"/>
          <w:lang w:val="en-US"/>
        </w:rPr>
        <w:t xml:space="preserve"> when </w:t>
      </w:r>
      <w:r w:rsidR="002F1697">
        <w:rPr>
          <w:rFonts w:ascii="Times New Roman" w:hAnsi="Times New Roman"/>
          <w:sz w:val="24"/>
          <w:szCs w:val="24"/>
          <w:lang w:val="en-US"/>
        </w:rPr>
        <w:t xml:space="preserve">they </w:t>
      </w:r>
      <w:r w:rsidR="005919BF">
        <w:rPr>
          <w:rFonts w:ascii="Times New Roman" w:hAnsi="Times New Roman"/>
          <w:sz w:val="24"/>
          <w:szCs w:val="24"/>
          <w:lang w:val="en-US"/>
        </w:rPr>
        <w:t>decide the</w:t>
      </w:r>
      <w:r w:rsidR="002F1697">
        <w:rPr>
          <w:rFonts w:ascii="Times New Roman" w:hAnsi="Times New Roman"/>
          <w:sz w:val="24"/>
          <w:szCs w:val="24"/>
          <w:lang w:val="en-US"/>
        </w:rPr>
        <w:t>ir</w:t>
      </w:r>
      <w:r w:rsidR="005919BF">
        <w:rPr>
          <w:rFonts w:ascii="Times New Roman" w:hAnsi="Times New Roman"/>
          <w:sz w:val="24"/>
          <w:szCs w:val="24"/>
          <w:lang w:val="en-US"/>
        </w:rPr>
        <w:t xml:space="preserve"> allocation of funds across firms</w:t>
      </w:r>
      <w:r w:rsidR="002F1697">
        <w:rPr>
          <w:rFonts w:ascii="Times New Roman" w:hAnsi="Times New Roman"/>
          <w:sz w:val="24"/>
          <w:szCs w:val="24"/>
          <w:lang w:val="en-US"/>
        </w:rPr>
        <w:t>;</w:t>
      </w:r>
      <w:r w:rsidR="00714DB9">
        <w:rPr>
          <w:rFonts w:ascii="Times New Roman" w:hAnsi="Times New Roman"/>
          <w:sz w:val="24"/>
          <w:szCs w:val="24"/>
          <w:lang w:val="en-US"/>
        </w:rPr>
        <w:t xml:space="preserve"> so any </w:t>
      </w:r>
      <w:r w:rsidR="005919BF">
        <w:rPr>
          <w:rFonts w:ascii="Times New Roman" w:hAnsi="Times New Roman"/>
          <w:sz w:val="24"/>
          <w:szCs w:val="24"/>
          <w:lang w:val="en-US"/>
        </w:rPr>
        <w:t xml:space="preserve">firm </w:t>
      </w:r>
      <w:r w:rsidR="00714DB9">
        <w:rPr>
          <w:rFonts w:ascii="Times New Roman" w:hAnsi="Times New Roman"/>
          <w:sz w:val="24"/>
          <w:szCs w:val="24"/>
          <w:lang w:val="en-US"/>
        </w:rPr>
        <w:t xml:space="preserve">liability that reduces </w:t>
      </w:r>
      <w:r w:rsidR="005919BF">
        <w:rPr>
          <w:rFonts w:ascii="Times New Roman" w:hAnsi="Times New Roman"/>
          <w:sz w:val="24"/>
          <w:szCs w:val="24"/>
          <w:lang w:val="en-US"/>
        </w:rPr>
        <w:t>the</w:t>
      </w:r>
      <w:r w:rsidR="00714DB9">
        <w:rPr>
          <w:rFonts w:ascii="Times New Roman" w:hAnsi="Times New Roman"/>
          <w:sz w:val="24"/>
          <w:szCs w:val="24"/>
          <w:lang w:val="en-US"/>
        </w:rPr>
        <w:t xml:space="preserve"> amount of profit potentially limit</w:t>
      </w:r>
      <w:r w:rsidR="000875E0">
        <w:rPr>
          <w:rFonts w:ascii="Times New Roman" w:hAnsi="Times New Roman"/>
          <w:sz w:val="24"/>
          <w:szCs w:val="24"/>
          <w:lang w:val="en-US"/>
        </w:rPr>
        <w:t>s</w:t>
      </w:r>
      <w:r w:rsidR="00714DB9">
        <w:rPr>
          <w:rFonts w:ascii="Times New Roman" w:hAnsi="Times New Roman"/>
          <w:sz w:val="24"/>
          <w:szCs w:val="24"/>
          <w:lang w:val="en-US"/>
        </w:rPr>
        <w:t xml:space="preserve"> the amount of </w:t>
      </w:r>
      <w:r w:rsidR="00FE2522">
        <w:rPr>
          <w:rFonts w:ascii="Times New Roman" w:hAnsi="Times New Roman"/>
          <w:sz w:val="24"/>
          <w:szCs w:val="24"/>
          <w:lang w:val="en-US"/>
        </w:rPr>
        <w:t>external</w:t>
      </w:r>
      <w:r w:rsidR="00714DB9">
        <w:rPr>
          <w:rFonts w:ascii="Times New Roman" w:hAnsi="Times New Roman"/>
          <w:sz w:val="24"/>
          <w:szCs w:val="24"/>
          <w:lang w:val="en-US"/>
        </w:rPr>
        <w:t xml:space="preserve"> credit. </w:t>
      </w:r>
      <w:r w:rsidR="00BC0735">
        <w:rPr>
          <w:rFonts w:ascii="Times New Roman" w:hAnsi="Times New Roman"/>
          <w:sz w:val="24"/>
          <w:szCs w:val="24"/>
          <w:lang w:val="en-US"/>
        </w:rPr>
        <w:t>R&amp;D</w:t>
      </w:r>
      <w:r w:rsidR="00714DB9">
        <w:rPr>
          <w:rFonts w:ascii="Times New Roman" w:hAnsi="Times New Roman"/>
          <w:sz w:val="24"/>
          <w:szCs w:val="24"/>
          <w:lang w:val="en-US"/>
        </w:rPr>
        <w:t xml:space="preserve"> a</w:t>
      </w:r>
      <w:r w:rsidR="00BB1F51">
        <w:rPr>
          <w:rFonts w:ascii="Times New Roman" w:hAnsi="Times New Roman"/>
          <w:sz w:val="24"/>
          <w:szCs w:val="24"/>
          <w:lang w:val="en-US"/>
        </w:rPr>
        <w:t>nd export</w:t>
      </w:r>
      <w:r w:rsidR="00BC0735">
        <w:rPr>
          <w:rFonts w:ascii="Times New Roman" w:hAnsi="Times New Roman"/>
          <w:sz w:val="24"/>
          <w:szCs w:val="24"/>
          <w:lang w:val="en-US"/>
        </w:rPr>
        <w:t xml:space="preserve">ing </w:t>
      </w:r>
      <w:r w:rsidR="00947969">
        <w:rPr>
          <w:rFonts w:ascii="Times New Roman" w:hAnsi="Times New Roman"/>
          <w:sz w:val="24"/>
          <w:szCs w:val="24"/>
          <w:lang w:val="en-US"/>
        </w:rPr>
        <w:t xml:space="preserve">firms </w:t>
      </w:r>
      <w:r w:rsidR="00BB1F51">
        <w:rPr>
          <w:rFonts w:ascii="Times New Roman" w:hAnsi="Times New Roman"/>
          <w:sz w:val="24"/>
          <w:szCs w:val="24"/>
          <w:lang w:val="en-US"/>
        </w:rPr>
        <w:t>are</w:t>
      </w:r>
      <w:r w:rsidR="000875E0">
        <w:rPr>
          <w:rFonts w:ascii="Times New Roman" w:hAnsi="Times New Roman"/>
          <w:sz w:val="24"/>
          <w:szCs w:val="24"/>
          <w:lang w:val="en-US"/>
        </w:rPr>
        <w:t xml:space="preserve"> </w:t>
      </w:r>
      <w:r w:rsidR="00BC0735">
        <w:rPr>
          <w:rFonts w:ascii="Times New Roman" w:hAnsi="Times New Roman"/>
          <w:sz w:val="24"/>
          <w:szCs w:val="24"/>
          <w:lang w:val="en-US"/>
        </w:rPr>
        <w:t>heavily dependent</w:t>
      </w:r>
      <w:r w:rsidR="00BB1F51">
        <w:rPr>
          <w:rFonts w:ascii="Times New Roman" w:hAnsi="Times New Roman"/>
          <w:sz w:val="24"/>
          <w:szCs w:val="24"/>
          <w:lang w:val="en-US"/>
        </w:rPr>
        <w:t xml:space="preserve"> </w:t>
      </w:r>
      <w:r w:rsidR="00714DB9">
        <w:rPr>
          <w:rFonts w:ascii="Times New Roman" w:hAnsi="Times New Roman"/>
          <w:sz w:val="24"/>
          <w:szCs w:val="24"/>
          <w:lang w:val="en-US"/>
        </w:rPr>
        <w:t>on external funding</w:t>
      </w:r>
      <w:r w:rsidR="00947969">
        <w:rPr>
          <w:rFonts w:ascii="Times New Roman" w:hAnsi="Times New Roman"/>
          <w:sz w:val="24"/>
          <w:szCs w:val="24"/>
          <w:lang w:val="en-US"/>
        </w:rPr>
        <w:t>;</w:t>
      </w:r>
      <w:r w:rsidR="00714DB9">
        <w:rPr>
          <w:rFonts w:ascii="Times New Roman" w:hAnsi="Times New Roman"/>
          <w:sz w:val="24"/>
          <w:szCs w:val="24"/>
          <w:lang w:val="en-US"/>
        </w:rPr>
        <w:t xml:space="preserve"> </w:t>
      </w:r>
      <w:r w:rsidR="00A952F9">
        <w:rPr>
          <w:rFonts w:ascii="Times New Roman" w:hAnsi="Times New Roman"/>
          <w:sz w:val="24"/>
          <w:szCs w:val="24"/>
          <w:lang w:val="en-US"/>
        </w:rPr>
        <w:t xml:space="preserve">thus </w:t>
      </w:r>
      <w:r w:rsidR="00BC0735">
        <w:rPr>
          <w:rFonts w:ascii="Times New Roman" w:hAnsi="Times New Roman"/>
          <w:sz w:val="24"/>
          <w:szCs w:val="24"/>
          <w:lang w:val="en-US"/>
        </w:rPr>
        <w:t>one should identify whether there are</w:t>
      </w:r>
      <w:r w:rsidR="00A952F9">
        <w:rPr>
          <w:rFonts w:ascii="Times New Roman" w:hAnsi="Times New Roman"/>
          <w:sz w:val="24"/>
          <w:szCs w:val="24"/>
          <w:lang w:val="en-US"/>
        </w:rPr>
        <w:t xml:space="preserve"> tax</w:t>
      </w:r>
      <w:r w:rsidR="002F1697">
        <w:rPr>
          <w:rFonts w:ascii="Times New Roman" w:hAnsi="Times New Roman"/>
          <w:sz w:val="24"/>
          <w:szCs w:val="24"/>
          <w:lang w:val="en-US"/>
        </w:rPr>
        <w:t>-</w:t>
      </w:r>
      <w:r w:rsidR="00A952F9">
        <w:rPr>
          <w:rFonts w:ascii="Times New Roman" w:hAnsi="Times New Roman"/>
          <w:sz w:val="24"/>
          <w:szCs w:val="24"/>
          <w:lang w:val="en-US"/>
        </w:rPr>
        <w:t>induced effect</w:t>
      </w:r>
      <w:r w:rsidR="00BC0735">
        <w:rPr>
          <w:rFonts w:ascii="Times New Roman" w:hAnsi="Times New Roman"/>
          <w:sz w:val="24"/>
          <w:szCs w:val="24"/>
          <w:lang w:val="en-US"/>
        </w:rPr>
        <w:t>s</w:t>
      </w:r>
      <w:r w:rsidR="00A952F9">
        <w:rPr>
          <w:rFonts w:ascii="Times New Roman" w:hAnsi="Times New Roman"/>
          <w:sz w:val="24"/>
          <w:szCs w:val="24"/>
          <w:lang w:val="en-US"/>
        </w:rPr>
        <w:t xml:space="preserve"> that adversely impact</w:t>
      </w:r>
      <w:r w:rsidR="00BC0735">
        <w:rPr>
          <w:rFonts w:ascii="Times New Roman" w:hAnsi="Times New Roman"/>
          <w:sz w:val="24"/>
          <w:szCs w:val="24"/>
          <w:lang w:val="en-US"/>
        </w:rPr>
        <w:t xml:space="preserve"> </w:t>
      </w:r>
      <w:r w:rsidR="00FA02C3">
        <w:rPr>
          <w:rFonts w:ascii="Times New Roman" w:hAnsi="Times New Roman"/>
          <w:sz w:val="24"/>
          <w:szCs w:val="24"/>
          <w:lang w:val="en-US"/>
        </w:rPr>
        <w:t xml:space="preserve">on </w:t>
      </w:r>
      <w:r w:rsidR="00BC0735">
        <w:rPr>
          <w:rFonts w:ascii="Times New Roman" w:hAnsi="Times New Roman"/>
          <w:sz w:val="24"/>
          <w:szCs w:val="24"/>
          <w:lang w:val="en-US"/>
        </w:rPr>
        <w:t>these activities</w:t>
      </w:r>
      <w:r w:rsidR="00A952F9">
        <w:rPr>
          <w:rFonts w:ascii="Times New Roman" w:hAnsi="Times New Roman"/>
          <w:sz w:val="24"/>
          <w:szCs w:val="24"/>
          <w:lang w:val="en-US"/>
        </w:rPr>
        <w:t>.</w:t>
      </w:r>
      <w:r w:rsidR="00BC0735">
        <w:rPr>
          <w:rStyle w:val="FootnoteReference"/>
          <w:rFonts w:ascii="Times New Roman" w:hAnsi="Times New Roman"/>
          <w:sz w:val="24"/>
          <w:szCs w:val="24"/>
          <w:lang w:val="en-US"/>
        </w:rPr>
        <w:footnoteReference w:id="4"/>
      </w:r>
      <w:r w:rsidR="00A952F9">
        <w:rPr>
          <w:rFonts w:ascii="Times New Roman" w:hAnsi="Times New Roman"/>
          <w:sz w:val="24"/>
          <w:szCs w:val="24"/>
          <w:lang w:val="en-US"/>
        </w:rPr>
        <w:t xml:space="preserve"> </w:t>
      </w:r>
    </w:p>
    <w:p w:rsidR="00A952F9" w:rsidRDefault="00277F45" w:rsidP="000875E0">
      <w:pPr>
        <w:ind w:firstLine="357"/>
        <w:rPr>
          <w:rFonts w:ascii="Times New Roman" w:hAnsi="Times New Roman"/>
          <w:sz w:val="24"/>
          <w:szCs w:val="24"/>
          <w:lang w:val="en-US"/>
        </w:rPr>
      </w:pPr>
      <w:r>
        <w:rPr>
          <w:rFonts w:ascii="Times New Roman" w:hAnsi="Times New Roman"/>
          <w:sz w:val="24"/>
          <w:szCs w:val="24"/>
          <w:lang w:val="en-US"/>
        </w:rPr>
        <w:lastRenderedPageBreak/>
        <w:t xml:space="preserve">In this context, </w:t>
      </w:r>
      <w:r w:rsidR="000B5229">
        <w:rPr>
          <w:rFonts w:ascii="Times New Roman" w:hAnsi="Times New Roman"/>
          <w:sz w:val="24"/>
          <w:szCs w:val="24"/>
          <w:lang w:val="en-US"/>
        </w:rPr>
        <w:t xml:space="preserve">our paper contributes to the firm productivity literature investigating the existence of fiscal effects that might matter for </w:t>
      </w:r>
      <w:r w:rsidR="000B5229" w:rsidRPr="003A5730">
        <w:rPr>
          <w:rFonts w:ascii="Times New Roman" w:hAnsi="Times New Roman"/>
          <w:sz w:val="24"/>
          <w:szCs w:val="24"/>
          <w:lang w:val="en-US"/>
        </w:rPr>
        <w:t>the</w:t>
      </w:r>
      <w:r w:rsidR="000B5229">
        <w:rPr>
          <w:rFonts w:ascii="Times New Roman" w:hAnsi="Times New Roman"/>
          <w:sz w:val="24"/>
          <w:szCs w:val="24"/>
          <w:lang w:val="en-US"/>
        </w:rPr>
        <w:t xml:space="preserve"> rate</w:t>
      </w:r>
      <w:r w:rsidR="000B5229" w:rsidRPr="003A5730">
        <w:rPr>
          <w:rFonts w:ascii="Times New Roman" w:hAnsi="Times New Roman"/>
          <w:sz w:val="24"/>
          <w:szCs w:val="24"/>
          <w:lang w:val="en-US"/>
        </w:rPr>
        <w:t xml:space="preserve"> of productivity growth</w:t>
      </w:r>
      <w:r w:rsidR="00062050">
        <w:rPr>
          <w:rFonts w:ascii="Times New Roman" w:hAnsi="Times New Roman"/>
          <w:sz w:val="24"/>
          <w:szCs w:val="24"/>
          <w:lang w:val="en-US"/>
        </w:rPr>
        <w:t xml:space="preserve"> at the firm level</w:t>
      </w:r>
      <w:r w:rsidR="000B5229">
        <w:rPr>
          <w:rFonts w:ascii="Times New Roman" w:hAnsi="Times New Roman"/>
          <w:sz w:val="24"/>
          <w:szCs w:val="24"/>
          <w:lang w:val="en-US"/>
        </w:rPr>
        <w:t xml:space="preserve">. More precisely, </w:t>
      </w:r>
      <w:r w:rsidR="000875E0">
        <w:rPr>
          <w:rFonts w:ascii="Times New Roman" w:hAnsi="Times New Roman"/>
          <w:sz w:val="24"/>
          <w:szCs w:val="24"/>
          <w:lang w:val="en-US"/>
        </w:rPr>
        <w:t>we address</w:t>
      </w:r>
      <w:r>
        <w:rPr>
          <w:rFonts w:ascii="Times New Roman" w:hAnsi="Times New Roman"/>
          <w:sz w:val="24"/>
          <w:szCs w:val="24"/>
          <w:lang w:val="en-US"/>
        </w:rPr>
        <w:t xml:space="preserve"> two questions: (i) whether changes in the</w:t>
      </w:r>
      <w:r w:rsidRPr="00C97869">
        <w:rPr>
          <w:rFonts w:ascii="Times New Roman" w:hAnsi="Times New Roman"/>
          <w:sz w:val="24"/>
          <w:szCs w:val="24"/>
          <w:lang w:val="en-US"/>
        </w:rPr>
        <w:t xml:space="preserve"> </w:t>
      </w:r>
      <w:r>
        <w:rPr>
          <w:rFonts w:ascii="Times New Roman" w:hAnsi="Times New Roman"/>
          <w:sz w:val="24"/>
          <w:szCs w:val="24"/>
          <w:lang w:val="en-US"/>
        </w:rPr>
        <w:t>statutory corporate tax rates</w:t>
      </w:r>
      <w:r w:rsidRPr="00045071">
        <w:rPr>
          <w:rFonts w:ascii="Times New Roman" w:hAnsi="Times New Roman"/>
          <w:sz w:val="24"/>
          <w:szCs w:val="24"/>
          <w:lang w:val="en-US"/>
        </w:rPr>
        <w:t xml:space="preserve"> </w:t>
      </w:r>
      <w:r>
        <w:rPr>
          <w:rFonts w:ascii="Times New Roman" w:hAnsi="Times New Roman"/>
          <w:sz w:val="24"/>
          <w:szCs w:val="24"/>
          <w:lang w:val="en-US"/>
        </w:rPr>
        <w:t>affect investment decisions in productivity enhanci</w:t>
      </w:r>
      <w:r w:rsidR="000875E0">
        <w:rPr>
          <w:rFonts w:ascii="Times New Roman" w:hAnsi="Times New Roman"/>
          <w:sz w:val="24"/>
          <w:szCs w:val="24"/>
          <w:lang w:val="en-US"/>
        </w:rPr>
        <w:t>ng projects and (ii) whether tax</w:t>
      </w:r>
      <w:r>
        <w:rPr>
          <w:rFonts w:ascii="Times New Roman" w:hAnsi="Times New Roman"/>
          <w:sz w:val="24"/>
          <w:szCs w:val="24"/>
          <w:lang w:val="en-US"/>
        </w:rPr>
        <w:t xml:space="preserve"> effects vary for </w:t>
      </w:r>
      <w:r w:rsidR="00D14692">
        <w:rPr>
          <w:rFonts w:ascii="Times New Roman" w:hAnsi="Times New Roman"/>
          <w:sz w:val="24"/>
          <w:szCs w:val="24"/>
          <w:lang w:val="en-US"/>
        </w:rPr>
        <w:t>R&amp;D and export</w:t>
      </w:r>
      <w:r w:rsidR="000875E0">
        <w:rPr>
          <w:rFonts w:ascii="Times New Roman" w:hAnsi="Times New Roman"/>
          <w:sz w:val="24"/>
          <w:szCs w:val="24"/>
          <w:lang w:val="en-US"/>
        </w:rPr>
        <w:t>ing firms</w:t>
      </w:r>
      <w:r>
        <w:rPr>
          <w:rFonts w:ascii="Times New Roman" w:hAnsi="Times New Roman"/>
          <w:sz w:val="24"/>
          <w:szCs w:val="24"/>
          <w:lang w:val="en-US"/>
        </w:rPr>
        <w:t>.</w:t>
      </w:r>
      <w:r w:rsidR="000B5229">
        <w:rPr>
          <w:rFonts w:ascii="Times New Roman" w:hAnsi="Times New Roman"/>
          <w:sz w:val="24"/>
          <w:szCs w:val="24"/>
          <w:lang w:val="en-US"/>
        </w:rPr>
        <w:t xml:space="preserve"> </w:t>
      </w:r>
      <w:r w:rsidR="00062050">
        <w:rPr>
          <w:rFonts w:ascii="Times New Roman" w:hAnsi="Times New Roman"/>
          <w:sz w:val="24"/>
          <w:szCs w:val="24"/>
          <w:lang w:val="en-US"/>
        </w:rPr>
        <w:t xml:space="preserve">A novel aspect of our paper is that we do not rely only on how exogenous statutory corporate tax rates affect productivity but we also use firm specific payments of corporate tax to capture all the within-firm manipulations </w:t>
      </w:r>
      <w:r w:rsidR="00FA02C3">
        <w:rPr>
          <w:rFonts w:ascii="Times New Roman" w:hAnsi="Times New Roman"/>
          <w:sz w:val="24"/>
          <w:szCs w:val="24"/>
          <w:lang w:val="en-US"/>
        </w:rPr>
        <w:t>realised</w:t>
      </w:r>
      <w:r w:rsidR="00062050">
        <w:rPr>
          <w:rFonts w:ascii="Times New Roman" w:hAnsi="Times New Roman"/>
          <w:sz w:val="24"/>
          <w:szCs w:val="24"/>
          <w:lang w:val="en-US"/>
        </w:rPr>
        <w:t xml:space="preserve"> when firms comply with tax legislation.</w:t>
      </w:r>
      <w:r w:rsidR="000B5229">
        <w:rPr>
          <w:rFonts w:ascii="Times New Roman" w:hAnsi="Times New Roman"/>
          <w:sz w:val="24"/>
          <w:szCs w:val="24"/>
          <w:lang w:val="en-US"/>
        </w:rPr>
        <w:t xml:space="preserve">  </w:t>
      </w:r>
      <w:r>
        <w:rPr>
          <w:rFonts w:ascii="Times New Roman" w:hAnsi="Times New Roman"/>
          <w:sz w:val="24"/>
          <w:szCs w:val="24"/>
          <w:lang w:val="en-US"/>
        </w:rPr>
        <w:t xml:space="preserve"> </w:t>
      </w:r>
    </w:p>
    <w:p w:rsidR="006E2163" w:rsidRDefault="00D14692" w:rsidP="006D3864">
      <w:pPr>
        <w:ind w:firstLine="357"/>
        <w:rPr>
          <w:rFonts w:ascii="Times New Roman" w:hAnsi="Times New Roman"/>
          <w:sz w:val="24"/>
          <w:szCs w:val="24"/>
          <w:lang w:val="en-US"/>
        </w:rPr>
      </w:pPr>
      <w:r>
        <w:rPr>
          <w:rFonts w:ascii="Times New Roman" w:hAnsi="Times New Roman"/>
          <w:sz w:val="24"/>
          <w:szCs w:val="24"/>
          <w:lang w:val="en-US"/>
        </w:rPr>
        <w:t xml:space="preserve">Two main stylized facts justify why </w:t>
      </w:r>
      <w:r w:rsidR="00BB1F51">
        <w:rPr>
          <w:rFonts w:ascii="Times New Roman" w:hAnsi="Times New Roman"/>
          <w:sz w:val="24"/>
          <w:szCs w:val="24"/>
          <w:lang w:val="en-US"/>
        </w:rPr>
        <w:t xml:space="preserve">evidence from </w:t>
      </w:r>
      <w:r w:rsidR="00BB1F51" w:rsidRPr="005A6F15">
        <w:rPr>
          <w:rFonts w:ascii="Times New Roman" w:hAnsi="Times New Roman"/>
          <w:sz w:val="24"/>
          <w:szCs w:val="24"/>
          <w:lang w:val="en-US"/>
        </w:rPr>
        <w:t xml:space="preserve">UK </w:t>
      </w:r>
      <w:r w:rsidR="00BB1F51">
        <w:rPr>
          <w:rFonts w:ascii="Times New Roman" w:hAnsi="Times New Roman"/>
          <w:sz w:val="24"/>
          <w:szCs w:val="24"/>
          <w:lang w:val="en-US"/>
        </w:rPr>
        <w:t xml:space="preserve">firms </w:t>
      </w:r>
      <w:r w:rsidR="00BB1F51" w:rsidRPr="005A6F15">
        <w:rPr>
          <w:rFonts w:ascii="Times New Roman" w:hAnsi="Times New Roman"/>
          <w:sz w:val="24"/>
          <w:szCs w:val="24"/>
          <w:lang w:val="en-US"/>
        </w:rPr>
        <w:t>is well su</w:t>
      </w:r>
      <w:r w:rsidR="00BB1F51">
        <w:rPr>
          <w:rFonts w:ascii="Times New Roman" w:hAnsi="Times New Roman"/>
          <w:sz w:val="24"/>
          <w:szCs w:val="24"/>
          <w:lang w:val="en-US"/>
        </w:rPr>
        <w:t>ited to this sort of analysis. First, in recent decades, productivity levels in the UK have substantially fallen behind those of the US (Cameron et al., 2005</w:t>
      </w:r>
      <w:r w:rsidR="00947969">
        <w:rPr>
          <w:rFonts w:ascii="Times New Roman" w:hAnsi="Times New Roman"/>
          <w:sz w:val="24"/>
          <w:szCs w:val="24"/>
          <w:lang w:val="en-US"/>
        </w:rPr>
        <w:t>;</w:t>
      </w:r>
      <w:r w:rsidR="00840BDE">
        <w:rPr>
          <w:rFonts w:ascii="Times New Roman" w:hAnsi="Times New Roman"/>
          <w:sz w:val="24"/>
          <w:szCs w:val="24"/>
          <w:lang w:val="en-US"/>
        </w:rPr>
        <w:t xml:space="preserve"> </w:t>
      </w:r>
      <w:r w:rsidR="006642D4">
        <w:rPr>
          <w:rFonts w:ascii="Times New Roman" w:hAnsi="Times New Roman"/>
          <w:sz w:val="24"/>
          <w:szCs w:val="24"/>
          <w:lang w:val="en-US"/>
        </w:rPr>
        <w:t>Mayhew et al.</w:t>
      </w:r>
      <w:r w:rsidR="00947969">
        <w:rPr>
          <w:rFonts w:ascii="Times New Roman" w:hAnsi="Times New Roman"/>
          <w:sz w:val="24"/>
          <w:szCs w:val="24"/>
          <w:lang w:val="en-US"/>
        </w:rPr>
        <w:t>,</w:t>
      </w:r>
      <w:r w:rsidR="006642D4">
        <w:rPr>
          <w:rFonts w:ascii="Times New Roman" w:hAnsi="Times New Roman"/>
          <w:sz w:val="24"/>
          <w:szCs w:val="24"/>
          <w:lang w:val="en-US"/>
        </w:rPr>
        <w:t xml:space="preserve"> 2006</w:t>
      </w:r>
      <w:r w:rsidR="00BB1F51">
        <w:rPr>
          <w:rFonts w:ascii="Times New Roman" w:hAnsi="Times New Roman"/>
          <w:sz w:val="24"/>
          <w:szCs w:val="24"/>
          <w:lang w:val="en-US"/>
        </w:rPr>
        <w:t>)</w:t>
      </w:r>
      <w:r w:rsidR="006642D4">
        <w:rPr>
          <w:rFonts w:ascii="Times New Roman" w:hAnsi="Times New Roman"/>
          <w:sz w:val="24"/>
          <w:szCs w:val="24"/>
          <w:lang w:val="en-US"/>
        </w:rPr>
        <w:t xml:space="preserve"> while there is also evidence of within industry productivity dispersion (Griffith et al. 2006)</w:t>
      </w:r>
      <w:r w:rsidR="00BB1F51">
        <w:rPr>
          <w:rFonts w:ascii="Times New Roman" w:hAnsi="Times New Roman"/>
          <w:sz w:val="24"/>
          <w:szCs w:val="24"/>
          <w:lang w:val="en-US"/>
        </w:rPr>
        <w:t>. Therefore, it becomes importan</w:t>
      </w:r>
      <w:r w:rsidR="002F1697">
        <w:rPr>
          <w:rFonts w:ascii="Times New Roman" w:hAnsi="Times New Roman"/>
          <w:sz w:val="24"/>
          <w:szCs w:val="24"/>
          <w:lang w:val="en-US"/>
        </w:rPr>
        <w:t>t</w:t>
      </w:r>
      <w:r w:rsidR="00BB1F51">
        <w:rPr>
          <w:rFonts w:ascii="Times New Roman" w:hAnsi="Times New Roman"/>
          <w:sz w:val="24"/>
          <w:szCs w:val="24"/>
          <w:lang w:val="en-US"/>
        </w:rPr>
        <w:t xml:space="preserve"> to identify whether there are fiscal aspects </w:t>
      </w:r>
      <w:r w:rsidR="0030235B">
        <w:rPr>
          <w:rFonts w:ascii="Times New Roman" w:hAnsi="Times New Roman"/>
          <w:sz w:val="24"/>
          <w:szCs w:val="24"/>
          <w:lang w:val="en-US"/>
        </w:rPr>
        <w:t xml:space="preserve">of </w:t>
      </w:r>
      <w:r w:rsidR="00BB1F51">
        <w:rPr>
          <w:rFonts w:ascii="Times New Roman" w:hAnsi="Times New Roman"/>
          <w:sz w:val="24"/>
          <w:szCs w:val="24"/>
          <w:lang w:val="en-US"/>
        </w:rPr>
        <w:t xml:space="preserve">this productivity handicap. Second, the existence of </w:t>
      </w:r>
      <w:r w:rsidR="006D3864" w:rsidRPr="009B75AD">
        <w:rPr>
          <w:rFonts w:ascii="Times New Roman" w:hAnsi="Times New Roman"/>
          <w:sz w:val="24"/>
          <w:szCs w:val="24"/>
          <w:lang w:val="en-US"/>
        </w:rPr>
        <w:t xml:space="preserve">considerable </w:t>
      </w:r>
      <w:r w:rsidR="00BB1F51" w:rsidRPr="009B75AD">
        <w:rPr>
          <w:rFonts w:ascii="Times New Roman" w:hAnsi="Times New Roman"/>
          <w:sz w:val="24"/>
          <w:szCs w:val="24"/>
          <w:lang w:val="en-US"/>
        </w:rPr>
        <w:t xml:space="preserve">firm-level heterogeneity (Davis et al., 1996; </w:t>
      </w:r>
      <w:r w:rsidR="00C36E06" w:rsidRPr="009B75AD">
        <w:rPr>
          <w:rFonts w:ascii="Times New Roman" w:hAnsi="Times New Roman"/>
          <w:sz w:val="24"/>
          <w:szCs w:val="24"/>
          <w:lang w:val="en-US"/>
        </w:rPr>
        <w:t>Bartelsman</w:t>
      </w:r>
      <w:r w:rsidR="00BB1F51" w:rsidRPr="009B75AD">
        <w:rPr>
          <w:rFonts w:ascii="Times New Roman" w:hAnsi="Times New Roman"/>
          <w:sz w:val="24"/>
          <w:szCs w:val="24"/>
          <w:lang w:val="en-US"/>
        </w:rPr>
        <w:t xml:space="preserve"> and Doms, 2000; Disney et al., 2003) bot</w:t>
      </w:r>
      <w:r w:rsidR="006D3864">
        <w:rPr>
          <w:rFonts w:ascii="Times New Roman" w:hAnsi="Times New Roman"/>
          <w:sz w:val="24"/>
          <w:szCs w:val="24"/>
          <w:lang w:val="en-US"/>
        </w:rPr>
        <w:t xml:space="preserve">h across and within industries </w:t>
      </w:r>
      <w:r>
        <w:rPr>
          <w:rFonts w:ascii="Times New Roman" w:hAnsi="Times New Roman"/>
          <w:sz w:val="24"/>
          <w:szCs w:val="24"/>
          <w:lang w:val="en-US"/>
        </w:rPr>
        <w:t xml:space="preserve">suggests </w:t>
      </w:r>
      <w:r w:rsidR="00BB1F51">
        <w:rPr>
          <w:rFonts w:ascii="Times New Roman" w:hAnsi="Times New Roman"/>
          <w:sz w:val="24"/>
          <w:szCs w:val="24"/>
          <w:lang w:val="en-US"/>
        </w:rPr>
        <w:t xml:space="preserve">that UK firms are quite likely to </w:t>
      </w:r>
      <w:r w:rsidR="00AC7C86">
        <w:rPr>
          <w:rFonts w:ascii="Times New Roman" w:hAnsi="Times New Roman"/>
          <w:sz w:val="24"/>
          <w:szCs w:val="24"/>
          <w:lang w:val="en-US"/>
        </w:rPr>
        <w:t xml:space="preserve">react </w:t>
      </w:r>
      <w:r w:rsidR="00BB1F51">
        <w:rPr>
          <w:rFonts w:ascii="Times New Roman" w:hAnsi="Times New Roman"/>
          <w:sz w:val="24"/>
          <w:szCs w:val="24"/>
          <w:lang w:val="en-US"/>
        </w:rPr>
        <w:t>differently to external shocks, which</w:t>
      </w:r>
      <w:r>
        <w:rPr>
          <w:rFonts w:ascii="Times New Roman" w:hAnsi="Times New Roman"/>
          <w:sz w:val="24"/>
          <w:szCs w:val="24"/>
          <w:lang w:val="en-US"/>
        </w:rPr>
        <w:t xml:space="preserve"> in turn</w:t>
      </w:r>
      <w:r w:rsidR="00BB1F51">
        <w:rPr>
          <w:rFonts w:ascii="Times New Roman" w:hAnsi="Times New Roman"/>
          <w:sz w:val="24"/>
          <w:szCs w:val="24"/>
          <w:lang w:val="en-US"/>
        </w:rPr>
        <w:t xml:space="preserve"> </w:t>
      </w:r>
      <w:r w:rsidR="006D3864">
        <w:rPr>
          <w:rFonts w:ascii="Times New Roman" w:hAnsi="Times New Roman"/>
          <w:sz w:val="24"/>
          <w:szCs w:val="24"/>
          <w:lang w:val="en-US"/>
        </w:rPr>
        <w:t>affect</w:t>
      </w:r>
      <w:r w:rsidR="00BB1F51">
        <w:rPr>
          <w:rFonts w:ascii="Times New Roman" w:hAnsi="Times New Roman"/>
          <w:sz w:val="24"/>
          <w:szCs w:val="24"/>
          <w:lang w:val="en-US"/>
        </w:rPr>
        <w:t xml:space="preserve"> both </w:t>
      </w:r>
      <w:r>
        <w:rPr>
          <w:rFonts w:ascii="Times New Roman" w:hAnsi="Times New Roman"/>
          <w:sz w:val="24"/>
          <w:szCs w:val="24"/>
          <w:lang w:val="en-US"/>
        </w:rPr>
        <w:t>firms</w:t>
      </w:r>
      <w:r w:rsidR="0030235B">
        <w:rPr>
          <w:rFonts w:ascii="Times New Roman" w:hAnsi="Times New Roman"/>
          <w:sz w:val="24"/>
          <w:szCs w:val="24"/>
          <w:lang w:val="en-US"/>
        </w:rPr>
        <w:t>’</w:t>
      </w:r>
      <w:r w:rsidR="00BB1F51">
        <w:rPr>
          <w:rFonts w:ascii="Times New Roman" w:hAnsi="Times New Roman"/>
          <w:sz w:val="24"/>
          <w:szCs w:val="24"/>
          <w:lang w:val="en-US"/>
        </w:rPr>
        <w:t xml:space="preserve"> rate of productivity growth and the speed of convergence towards</w:t>
      </w:r>
      <w:r w:rsidR="000B5229">
        <w:rPr>
          <w:rFonts w:ascii="Times New Roman" w:hAnsi="Times New Roman"/>
          <w:sz w:val="24"/>
          <w:szCs w:val="24"/>
          <w:lang w:val="en-US"/>
        </w:rPr>
        <w:t xml:space="preserve"> </w:t>
      </w:r>
      <w:r w:rsidR="00FA02C3">
        <w:rPr>
          <w:rFonts w:ascii="Times New Roman" w:hAnsi="Times New Roman"/>
          <w:sz w:val="24"/>
          <w:szCs w:val="24"/>
          <w:lang w:val="en-US"/>
        </w:rPr>
        <w:t xml:space="preserve">the national frontier. </w:t>
      </w:r>
      <w:r w:rsidR="005C3243" w:rsidRPr="006E2163">
        <w:rPr>
          <w:rFonts w:ascii="Times New Roman" w:hAnsi="Times New Roman"/>
          <w:sz w:val="24"/>
          <w:szCs w:val="24"/>
          <w:lang w:val="en-US"/>
        </w:rPr>
        <w:t xml:space="preserve">Understanding how firms respond to changes in tax policy is vital from a macroeconomic perspective when policy makers make choices between different types of taxation and their potential impact on </w:t>
      </w:r>
      <w:r w:rsidR="002F1697">
        <w:rPr>
          <w:rFonts w:ascii="Times New Roman" w:hAnsi="Times New Roman"/>
          <w:sz w:val="24"/>
          <w:szCs w:val="24"/>
          <w:lang w:val="en-US"/>
        </w:rPr>
        <w:t>firm-level productivity</w:t>
      </w:r>
      <w:r w:rsidR="005C3243" w:rsidRPr="006E2163">
        <w:rPr>
          <w:rFonts w:ascii="Times New Roman" w:hAnsi="Times New Roman"/>
          <w:sz w:val="24"/>
          <w:szCs w:val="24"/>
          <w:lang w:val="en-US"/>
        </w:rPr>
        <w:t xml:space="preserve"> growth.</w:t>
      </w:r>
      <w:r w:rsidR="00947969" w:rsidRPr="00947969">
        <w:rPr>
          <w:rFonts w:ascii="Times New Roman" w:hAnsi="Times New Roman"/>
          <w:bCs/>
          <w:sz w:val="24"/>
          <w:szCs w:val="24"/>
          <w:lang w:val="en-US"/>
        </w:rPr>
        <w:t xml:space="preserve"> </w:t>
      </w:r>
      <w:r w:rsidR="00947969">
        <w:rPr>
          <w:rFonts w:ascii="Times New Roman" w:hAnsi="Times New Roman"/>
          <w:bCs/>
          <w:sz w:val="24"/>
          <w:szCs w:val="24"/>
          <w:lang w:val="en-US"/>
        </w:rPr>
        <w:t>The empirical part of the paper builds upon recent theoretical model</w:t>
      </w:r>
      <w:r w:rsidR="00AC7C86">
        <w:rPr>
          <w:rFonts w:ascii="Times New Roman" w:hAnsi="Times New Roman"/>
          <w:bCs/>
          <w:sz w:val="24"/>
          <w:szCs w:val="24"/>
          <w:lang w:val="en-US"/>
        </w:rPr>
        <w:t xml:space="preserve"> (</w:t>
      </w:r>
      <w:r w:rsidR="00AC7C86">
        <w:rPr>
          <w:rFonts w:ascii="Times New Roman" w:hAnsi="Times New Roman"/>
          <w:sz w:val="24"/>
          <w:szCs w:val="24"/>
          <w:lang w:val="en-US"/>
        </w:rPr>
        <w:t>Keuschnigg and Ribi (2013)</w:t>
      </w:r>
      <w:r w:rsidR="005A3EC6">
        <w:rPr>
          <w:rFonts w:ascii="Times New Roman" w:hAnsi="Times New Roman"/>
          <w:sz w:val="24"/>
          <w:szCs w:val="24"/>
          <w:lang w:val="en-US"/>
        </w:rPr>
        <w:t>)</w:t>
      </w:r>
      <w:r w:rsidR="00947969">
        <w:rPr>
          <w:rFonts w:ascii="Times New Roman" w:hAnsi="Times New Roman"/>
          <w:bCs/>
          <w:sz w:val="24"/>
          <w:szCs w:val="24"/>
          <w:lang w:val="en-US"/>
        </w:rPr>
        <w:t xml:space="preserve"> that highlights the importance of post-tax income as an asset for external funding. The theoretical prediction of this model is that higher levels of corporate tax negatively affect investment decisions and thus productivity growth.</w:t>
      </w:r>
    </w:p>
    <w:p w:rsidR="00BB1F51" w:rsidRDefault="003A5730" w:rsidP="006D3864">
      <w:pPr>
        <w:ind w:firstLine="357"/>
        <w:rPr>
          <w:rFonts w:ascii="Times New Roman" w:hAnsi="Times New Roman"/>
          <w:sz w:val="24"/>
          <w:szCs w:val="24"/>
          <w:lang w:val="en-US"/>
        </w:rPr>
      </w:pPr>
      <w:r w:rsidRPr="00411E78">
        <w:rPr>
          <w:rFonts w:ascii="Times New Roman" w:hAnsi="Times New Roman"/>
          <w:sz w:val="24"/>
          <w:szCs w:val="24"/>
          <w:lang w:val="en-US"/>
        </w:rPr>
        <w:t>The remain</w:t>
      </w:r>
      <w:r>
        <w:rPr>
          <w:rFonts w:ascii="Times New Roman" w:hAnsi="Times New Roman"/>
          <w:sz w:val="24"/>
          <w:szCs w:val="24"/>
          <w:lang w:val="en-US"/>
        </w:rPr>
        <w:t>der</w:t>
      </w:r>
      <w:r w:rsidRPr="00411E78">
        <w:rPr>
          <w:rFonts w:ascii="Times New Roman" w:hAnsi="Times New Roman"/>
          <w:sz w:val="24"/>
          <w:szCs w:val="24"/>
          <w:lang w:val="en-US"/>
        </w:rPr>
        <w:t xml:space="preserve"> of the paper is organized as follows: </w:t>
      </w:r>
      <w:r>
        <w:rPr>
          <w:rFonts w:ascii="Times New Roman" w:hAnsi="Times New Roman"/>
          <w:sz w:val="24"/>
          <w:szCs w:val="24"/>
          <w:lang w:val="en-US"/>
        </w:rPr>
        <w:t xml:space="preserve">section 2 overviews key aspects of </w:t>
      </w:r>
      <w:r w:rsidR="006D3864">
        <w:rPr>
          <w:rFonts w:ascii="Times New Roman" w:hAnsi="Times New Roman"/>
          <w:sz w:val="24"/>
          <w:szCs w:val="24"/>
          <w:lang w:val="en-US"/>
        </w:rPr>
        <w:t>the taxation-productivity nexus</w:t>
      </w:r>
      <w:r>
        <w:rPr>
          <w:rFonts w:ascii="Times New Roman" w:hAnsi="Times New Roman"/>
          <w:sz w:val="24"/>
          <w:szCs w:val="24"/>
          <w:lang w:val="en-US"/>
        </w:rPr>
        <w:t>;</w:t>
      </w:r>
      <w:r w:rsidRPr="00411E78">
        <w:rPr>
          <w:rFonts w:ascii="Times New Roman" w:hAnsi="Times New Roman"/>
          <w:sz w:val="24"/>
          <w:szCs w:val="24"/>
          <w:lang w:val="en-US"/>
        </w:rPr>
        <w:t xml:space="preserve"> section</w:t>
      </w:r>
      <w:r>
        <w:rPr>
          <w:rFonts w:ascii="Times New Roman" w:hAnsi="Times New Roman"/>
          <w:sz w:val="24"/>
          <w:szCs w:val="24"/>
          <w:lang w:val="en-US"/>
        </w:rPr>
        <w:t xml:space="preserve"> </w:t>
      </w:r>
      <w:r w:rsidRPr="00411E78">
        <w:rPr>
          <w:rFonts w:ascii="Times New Roman" w:hAnsi="Times New Roman"/>
          <w:sz w:val="24"/>
          <w:szCs w:val="24"/>
          <w:lang w:val="en-US"/>
        </w:rPr>
        <w:t>3</w:t>
      </w:r>
      <w:r>
        <w:rPr>
          <w:rFonts w:ascii="Times New Roman" w:hAnsi="Times New Roman"/>
          <w:sz w:val="24"/>
          <w:szCs w:val="24"/>
          <w:lang w:val="en-US"/>
        </w:rPr>
        <w:t xml:space="preserve"> </w:t>
      </w:r>
      <w:r w:rsidR="006D3864">
        <w:rPr>
          <w:rFonts w:ascii="Times New Roman" w:hAnsi="Times New Roman"/>
          <w:sz w:val="24"/>
          <w:szCs w:val="24"/>
          <w:lang w:val="en-US"/>
        </w:rPr>
        <w:t xml:space="preserve">presents the empirical strategy alongside data and key features of the UK corporate tax system; </w:t>
      </w:r>
      <w:r>
        <w:rPr>
          <w:rFonts w:ascii="Times New Roman" w:hAnsi="Times New Roman"/>
          <w:sz w:val="24"/>
          <w:szCs w:val="24"/>
          <w:lang w:val="en-US"/>
        </w:rPr>
        <w:t>section 4</w:t>
      </w:r>
      <w:r w:rsidR="006D3864">
        <w:rPr>
          <w:rFonts w:ascii="Times New Roman" w:hAnsi="Times New Roman"/>
          <w:sz w:val="24"/>
          <w:szCs w:val="24"/>
          <w:lang w:val="en-US"/>
        </w:rPr>
        <w:t xml:space="preserve"> presents the econometric specification and </w:t>
      </w:r>
      <w:r>
        <w:rPr>
          <w:rFonts w:ascii="Times New Roman" w:hAnsi="Times New Roman"/>
          <w:sz w:val="24"/>
          <w:szCs w:val="24"/>
          <w:lang w:val="en-US"/>
        </w:rPr>
        <w:t xml:space="preserve">results from baseline and sensitivity analysis; and </w:t>
      </w:r>
      <w:r w:rsidRPr="00411E78">
        <w:rPr>
          <w:rFonts w:ascii="Times New Roman" w:hAnsi="Times New Roman"/>
          <w:sz w:val="24"/>
          <w:szCs w:val="24"/>
          <w:lang w:val="en-US"/>
        </w:rPr>
        <w:t xml:space="preserve">section </w:t>
      </w:r>
      <w:r w:rsidR="005F65B8">
        <w:rPr>
          <w:rFonts w:ascii="Times New Roman" w:hAnsi="Times New Roman"/>
          <w:sz w:val="24"/>
          <w:szCs w:val="24"/>
          <w:lang w:val="en-US"/>
        </w:rPr>
        <w:t>5</w:t>
      </w:r>
      <w:r w:rsidRPr="00411E78">
        <w:rPr>
          <w:rFonts w:ascii="Times New Roman" w:hAnsi="Times New Roman"/>
          <w:sz w:val="24"/>
          <w:szCs w:val="24"/>
          <w:lang w:val="en-US"/>
        </w:rPr>
        <w:t xml:space="preserve"> concludes</w:t>
      </w:r>
      <w:r>
        <w:rPr>
          <w:rFonts w:ascii="Times New Roman" w:hAnsi="Times New Roman"/>
          <w:sz w:val="24"/>
          <w:szCs w:val="24"/>
          <w:lang w:val="en-US"/>
        </w:rPr>
        <w:t xml:space="preserve"> the paper</w:t>
      </w:r>
      <w:r w:rsidRPr="00411E78">
        <w:rPr>
          <w:rFonts w:ascii="Times New Roman" w:hAnsi="Times New Roman"/>
          <w:sz w:val="24"/>
          <w:szCs w:val="24"/>
          <w:lang w:val="en-US"/>
        </w:rPr>
        <w:t>.</w:t>
      </w:r>
    </w:p>
    <w:p w:rsidR="00BB1F51" w:rsidRDefault="006D3864" w:rsidP="006D3864">
      <w:pPr>
        <w:tabs>
          <w:tab w:val="left" w:pos="7050"/>
        </w:tabs>
        <w:spacing w:before="120"/>
        <w:ind w:firstLine="360"/>
        <w:rPr>
          <w:rFonts w:ascii="Times New Roman" w:hAnsi="Times New Roman"/>
          <w:sz w:val="24"/>
          <w:szCs w:val="24"/>
          <w:lang w:val="en-US"/>
        </w:rPr>
      </w:pPr>
      <w:r>
        <w:rPr>
          <w:rFonts w:ascii="Times New Roman" w:hAnsi="Times New Roman"/>
          <w:sz w:val="24"/>
          <w:szCs w:val="24"/>
          <w:lang w:val="en-US"/>
        </w:rPr>
        <w:tab/>
      </w:r>
    </w:p>
    <w:p w:rsidR="00BB1F51" w:rsidRDefault="00BB1F51" w:rsidP="00F8494D">
      <w:pPr>
        <w:spacing w:before="120"/>
        <w:ind w:firstLine="360"/>
        <w:rPr>
          <w:rFonts w:ascii="Times New Roman" w:hAnsi="Times New Roman"/>
          <w:sz w:val="24"/>
          <w:szCs w:val="24"/>
          <w:lang w:val="en-US"/>
        </w:rPr>
      </w:pPr>
    </w:p>
    <w:p w:rsidR="000020DB" w:rsidRDefault="000020DB" w:rsidP="00F8494D">
      <w:pPr>
        <w:spacing w:before="120"/>
        <w:ind w:firstLine="360"/>
        <w:rPr>
          <w:rFonts w:ascii="Times New Roman" w:hAnsi="Times New Roman"/>
          <w:sz w:val="24"/>
          <w:szCs w:val="24"/>
          <w:lang w:val="en-US"/>
        </w:rPr>
      </w:pPr>
    </w:p>
    <w:p w:rsidR="000020DB" w:rsidRDefault="000020DB" w:rsidP="00F8494D">
      <w:pPr>
        <w:spacing w:before="120"/>
        <w:ind w:firstLine="360"/>
        <w:rPr>
          <w:rFonts w:ascii="Times New Roman" w:hAnsi="Times New Roman"/>
          <w:sz w:val="24"/>
          <w:szCs w:val="24"/>
          <w:lang w:val="en-US"/>
        </w:rPr>
      </w:pPr>
    </w:p>
    <w:p w:rsidR="00942C5D" w:rsidRDefault="00942C5D" w:rsidP="007C079D">
      <w:pPr>
        <w:rPr>
          <w:rFonts w:ascii="Times New Roman" w:hAnsi="Times New Roman"/>
          <w:sz w:val="24"/>
          <w:szCs w:val="24"/>
          <w:lang w:val="en-US"/>
        </w:rPr>
      </w:pPr>
    </w:p>
    <w:p w:rsidR="008D4A88" w:rsidRPr="00293993" w:rsidRDefault="00BF5811" w:rsidP="005D50AF">
      <w:pPr>
        <w:pStyle w:val="ListParagraph"/>
        <w:numPr>
          <w:ilvl w:val="0"/>
          <w:numId w:val="3"/>
        </w:numPr>
        <w:rPr>
          <w:rFonts w:ascii="Times New Roman" w:hAnsi="Times New Roman"/>
          <w:sz w:val="24"/>
          <w:szCs w:val="24"/>
          <w:lang w:val="en-US"/>
        </w:rPr>
      </w:pPr>
      <w:r>
        <w:rPr>
          <w:rFonts w:ascii="Times New Roman" w:hAnsi="Times New Roman"/>
          <w:b/>
          <w:sz w:val="24"/>
          <w:szCs w:val="24"/>
          <w:lang w:val="en-US"/>
        </w:rPr>
        <w:t>Analytical Underpinnings for</w:t>
      </w:r>
      <w:r w:rsidR="005D50AF" w:rsidRPr="00293993">
        <w:rPr>
          <w:rFonts w:ascii="Times New Roman" w:hAnsi="Times New Roman"/>
          <w:b/>
          <w:sz w:val="24"/>
          <w:szCs w:val="24"/>
          <w:lang w:val="en-US"/>
        </w:rPr>
        <w:t xml:space="preserve"> the </w:t>
      </w:r>
      <w:r w:rsidR="00FB7734" w:rsidRPr="00293993">
        <w:rPr>
          <w:rFonts w:ascii="Times New Roman" w:hAnsi="Times New Roman"/>
          <w:b/>
          <w:sz w:val="24"/>
          <w:szCs w:val="24"/>
          <w:lang w:val="en-US"/>
        </w:rPr>
        <w:t>Taxation</w:t>
      </w:r>
      <w:r w:rsidR="005D50AF" w:rsidRPr="00293993">
        <w:rPr>
          <w:rFonts w:ascii="Times New Roman" w:hAnsi="Times New Roman"/>
          <w:b/>
          <w:sz w:val="24"/>
          <w:szCs w:val="24"/>
          <w:lang w:val="en-US"/>
        </w:rPr>
        <w:t>-Productivity Link</w:t>
      </w:r>
    </w:p>
    <w:p w:rsidR="008575FF" w:rsidRDefault="00AD3B87" w:rsidP="004F575A">
      <w:pPr>
        <w:ind w:firstLine="357"/>
        <w:rPr>
          <w:rFonts w:ascii="Times New Roman" w:hAnsi="Times New Roman"/>
          <w:sz w:val="24"/>
          <w:szCs w:val="24"/>
          <w:lang w:val="en-US"/>
        </w:rPr>
      </w:pPr>
      <w:r>
        <w:rPr>
          <w:rFonts w:ascii="Times New Roman" w:hAnsi="Times New Roman"/>
          <w:sz w:val="24"/>
          <w:szCs w:val="24"/>
          <w:lang w:val="en-US"/>
        </w:rPr>
        <w:t>Corporate finance models (Hubbard (1998), Cullen and Gordon (2007) and Keuschnigg and Ribi (2013)) that analyze how taxation policy can affect investment motivate t</w:t>
      </w:r>
      <w:r w:rsidR="00542BB2">
        <w:rPr>
          <w:rFonts w:ascii="Times New Roman" w:hAnsi="Times New Roman"/>
          <w:sz w:val="24"/>
          <w:szCs w:val="24"/>
          <w:lang w:val="en-US"/>
        </w:rPr>
        <w:t xml:space="preserve">he empirical </w:t>
      </w:r>
      <w:r w:rsidR="002516CC">
        <w:rPr>
          <w:rFonts w:ascii="Times New Roman" w:hAnsi="Times New Roman"/>
          <w:sz w:val="24"/>
          <w:szCs w:val="24"/>
          <w:lang w:val="en-US"/>
        </w:rPr>
        <w:t>framework</w:t>
      </w:r>
      <w:r>
        <w:rPr>
          <w:rFonts w:ascii="Times New Roman" w:hAnsi="Times New Roman"/>
          <w:sz w:val="24"/>
          <w:szCs w:val="24"/>
          <w:lang w:val="en-US"/>
        </w:rPr>
        <w:t xml:space="preserve"> of the paper.</w:t>
      </w:r>
      <w:r w:rsidR="007C3F5B">
        <w:rPr>
          <w:rFonts w:ascii="Times New Roman" w:hAnsi="Times New Roman"/>
          <w:sz w:val="24"/>
          <w:szCs w:val="24"/>
          <w:lang w:val="en-US"/>
        </w:rPr>
        <w:t xml:space="preserve"> </w:t>
      </w:r>
      <w:r w:rsidR="00542BB2">
        <w:rPr>
          <w:rFonts w:ascii="Times New Roman" w:hAnsi="Times New Roman"/>
          <w:sz w:val="24"/>
          <w:szCs w:val="24"/>
          <w:lang w:val="en-US"/>
        </w:rPr>
        <w:t xml:space="preserve"> </w:t>
      </w:r>
      <w:r w:rsidR="0075211F">
        <w:rPr>
          <w:rFonts w:ascii="Times New Roman" w:hAnsi="Times New Roman"/>
          <w:sz w:val="24"/>
          <w:szCs w:val="24"/>
          <w:lang w:val="en-US"/>
        </w:rPr>
        <w:t>These models propose that corporate tax in</w:t>
      </w:r>
      <w:r w:rsidR="00280880">
        <w:rPr>
          <w:rFonts w:ascii="Times New Roman" w:hAnsi="Times New Roman"/>
          <w:sz w:val="24"/>
          <w:szCs w:val="24"/>
          <w:lang w:val="en-US"/>
        </w:rPr>
        <w:t>crease</w:t>
      </w:r>
      <w:r w:rsidR="002D650D">
        <w:rPr>
          <w:rFonts w:ascii="Times New Roman" w:hAnsi="Times New Roman"/>
          <w:sz w:val="24"/>
          <w:szCs w:val="24"/>
          <w:lang w:val="en-US"/>
        </w:rPr>
        <w:t>s</w:t>
      </w:r>
      <w:r w:rsidR="00280880">
        <w:rPr>
          <w:rFonts w:ascii="Times New Roman" w:hAnsi="Times New Roman"/>
          <w:sz w:val="24"/>
          <w:szCs w:val="24"/>
          <w:lang w:val="en-US"/>
        </w:rPr>
        <w:t xml:space="preserve"> the user cost of capital</w:t>
      </w:r>
      <w:r w:rsidR="0030235B">
        <w:rPr>
          <w:rFonts w:ascii="Times New Roman" w:hAnsi="Times New Roman"/>
          <w:sz w:val="24"/>
          <w:szCs w:val="24"/>
          <w:lang w:val="en-US"/>
        </w:rPr>
        <w:t>,</w:t>
      </w:r>
      <w:r w:rsidR="00280880">
        <w:rPr>
          <w:rFonts w:ascii="Times New Roman" w:hAnsi="Times New Roman"/>
          <w:sz w:val="24"/>
          <w:szCs w:val="24"/>
          <w:lang w:val="en-US"/>
        </w:rPr>
        <w:t xml:space="preserve"> </w:t>
      </w:r>
      <w:r w:rsidR="002D650D">
        <w:rPr>
          <w:rFonts w:ascii="Times New Roman" w:hAnsi="Times New Roman"/>
          <w:sz w:val="24"/>
          <w:szCs w:val="24"/>
          <w:lang w:val="en-US"/>
        </w:rPr>
        <w:t>and</w:t>
      </w:r>
      <w:r w:rsidR="00280880">
        <w:rPr>
          <w:rFonts w:ascii="Times New Roman" w:hAnsi="Times New Roman"/>
          <w:sz w:val="24"/>
          <w:szCs w:val="24"/>
          <w:lang w:val="en-US"/>
        </w:rPr>
        <w:t xml:space="preserve"> also ide</w:t>
      </w:r>
      <w:r w:rsidR="0075211F">
        <w:rPr>
          <w:rFonts w:ascii="Times New Roman" w:hAnsi="Times New Roman"/>
          <w:sz w:val="24"/>
          <w:szCs w:val="24"/>
          <w:lang w:val="en-US"/>
        </w:rPr>
        <w:t xml:space="preserve">ntify </w:t>
      </w:r>
      <w:r w:rsidR="00280880">
        <w:rPr>
          <w:rFonts w:ascii="Times New Roman" w:hAnsi="Times New Roman"/>
          <w:sz w:val="24"/>
          <w:szCs w:val="24"/>
          <w:lang w:val="en-US"/>
        </w:rPr>
        <w:t>mechanisms through which taxation worsens</w:t>
      </w:r>
      <w:r w:rsidR="0075211F">
        <w:rPr>
          <w:rFonts w:ascii="Times New Roman" w:hAnsi="Times New Roman"/>
          <w:sz w:val="24"/>
          <w:szCs w:val="24"/>
          <w:lang w:val="en-US"/>
        </w:rPr>
        <w:t xml:space="preserve"> </w:t>
      </w:r>
      <w:r w:rsidR="00280880">
        <w:rPr>
          <w:rFonts w:ascii="Times New Roman" w:hAnsi="Times New Roman"/>
          <w:sz w:val="24"/>
          <w:szCs w:val="24"/>
          <w:lang w:val="en-US"/>
        </w:rPr>
        <w:t>financial</w:t>
      </w:r>
      <w:r w:rsidR="0075211F">
        <w:rPr>
          <w:rFonts w:ascii="Times New Roman" w:hAnsi="Times New Roman"/>
          <w:sz w:val="24"/>
          <w:szCs w:val="24"/>
          <w:lang w:val="en-US"/>
        </w:rPr>
        <w:t xml:space="preserve"> constraints </w:t>
      </w:r>
      <w:r w:rsidR="00280880">
        <w:rPr>
          <w:rFonts w:ascii="Times New Roman" w:hAnsi="Times New Roman"/>
          <w:sz w:val="24"/>
          <w:szCs w:val="24"/>
          <w:lang w:val="en-US"/>
        </w:rPr>
        <w:t>due to m</w:t>
      </w:r>
      <w:r w:rsidR="0075211F">
        <w:rPr>
          <w:rFonts w:ascii="Times New Roman" w:hAnsi="Times New Roman"/>
          <w:sz w:val="24"/>
          <w:szCs w:val="24"/>
          <w:lang w:val="en-US"/>
        </w:rPr>
        <w:t xml:space="preserve">oral hazard and </w:t>
      </w:r>
      <w:r w:rsidR="00280880">
        <w:rPr>
          <w:rFonts w:ascii="Times New Roman" w:hAnsi="Times New Roman"/>
          <w:sz w:val="24"/>
          <w:szCs w:val="24"/>
          <w:lang w:val="en-US"/>
        </w:rPr>
        <w:t>asymmetric</w:t>
      </w:r>
      <w:r w:rsidR="0075211F">
        <w:rPr>
          <w:rFonts w:ascii="Times New Roman" w:hAnsi="Times New Roman"/>
          <w:sz w:val="24"/>
          <w:szCs w:val="24"/>
          <w:lang w:val="en-US"/>
        </w:rPr>
        <w:t xml:space="preserve"> information </w:t>
      </w:r>
      <w:r w:rsidR="00280880">
        <w:rPr>
          <w:rFonts w:ascii="Times New Roman" w:hAnsi="Times New Roman"/>
          <w:sz w:val="24"/>
          <w:szCs w:val="24"/>
          <w:lang w:val="en-US"/>
        </w:rPr>
        <w:t>between</w:t>
      </w:r>
      <w:r w:rsidR="0075211F">
        <w:rPr>
          <w:rFonts w:ascii="Times New Roman" w:hAnsi="Times New Roman"/>
          <w:sz w:val="24"/>
          <w:szCs w:val="24"/>
          <w:lang w:val="en-US"/>
        </w:rPr>
        <w:t xml:space="preserve"> external</w:t>
      </w:r>
      <w:r w:rsidR="00280880">
        <w:rPr>
          <w:rFonts w:ascii="Times New Roman" w:hAnsi="Times New Roman"/>
          <w:sz w:val="24"/>
          <w:szCs w:val="24"/>
          <w:lang w:val="en-US"/>
        </w:rPr>
        <w:t xml:space="preserve"> creditors and the firm</w:t>
      </w:r>
      <w:r w:rsidR="0075211F">
        <w:rPr>
          <w:rFonts w:ascii="Times New Roman" w:hAnsi="Times New Roman"/>
          <w:sz w:val="24"/>
          <w:szCs w:val="24"/>
          <w:lang w:val="en-US"/>
        </w:rPr>
        <w:t xml:space="preserve">. </w:t>
      </w:r>
      <w:r w:rsidR="002D650D">
        <w:rPr>
          <w:rFonts w:ascii="Times New Roman" w:hAnsi="Times New Roman"/>
          <w:sz w:val="24"/>
          <w:szCs w:val="24"/>
          <w:lang w:val="en-US"/>
        </w:rPr>
        <w:t>We</w:t>
      </w:r>
      <w:r w:rsidR="00280880">
        <w:rPr>
          <w:rFonts w:ascii="Times New Roman" w:hAnsi="Times New Roman"/>
          <w:sz w:val="24"/>
          <w:szCs w:val="24"/>
          <w:lang w:val="en-US"/>
        </w:rPr>
        <w:t xml:space="preserve"> assume that investment</w:t>
      </w:r>
      <w:r w:rsidR="0075211F">
        <w:rPr>
          <w:rFonts w:ascii="Times New Roman" w:hAnsi="Times New Roman"/>
          <w:sz w:val="24"/>
          <w:szCs w:val="24"/>
          <w:lang w:val="en-US"/>
        </w:rPr>
        <w:t xml:space="preserve"> decisions are sensitive to </w:t>
      </w:r>
      <w:r w:rsidR="00280880">
        <w:rPr>
          <w:rFonts w:ascii="Times New Roman" w:hAnsi="Times New Roman"/>
          <w:sz w:val="24"/>
          <w:szCs w:val="24"/>
          <w:lang w:val="en-US"/>
        </w:rPr>
        <w:t>external</w:t>
      </w:r>
      <w:r w:rsidR="0075211F">
        <w:rPr>
          <w:rFonts w:ascii="Times New Roman" w:hAnsi="Times New Roman"/>
          <w:sz w:val="24"/>
          <w:szCs w:val="24"/>
          <w:lang w:val="en-US"/>
        </w:rPr>
        <w:t xml:space="preserve"> finance </w:t>
      </w:r>
      <w:r w:rsidR="002D650D">
        <w:rPr>
          <w:rFonts w:ascii="Times New Roman" w:hAnsi="Times New Roman"/>
          <w:sz w:val="24"/>
          <w:szCs w:val="24"/>
          <w:lang w:val="en-US"/>
        </w:rPr>
        <w:t>and hence</w:t>
      </w:r>
      <w:r w:rsidR="0075211F">
        <w:rPr>
          <w:rFonts w:ascii="Times New Roman" w:hAnsi="Times New Roman"/>
          <w:sz w:val="24"/>
          <w:szCs w:val="24"/>
          <w:lang w:val="en-US"/>
        </w:rPr>
        <w:t xml:space="preserve"> </w:t>
      </w:r>
      <w:r w:rsidR="00666C9D">
        <w:rPr>
          <w:rFonts w:ascii="Times New Roman" w:hAnsi="Times New Roman"/>
          <w:sz w:val="24"/>
          <w:szCs w:val="24"/>
          <w:lang w:val="en-US"/>
        </w:rPr>
        <w:t xml:space="preserve">higher </w:t>
      </w:r>
      <w:r w:rsidR="0075211F">
        <w:rPr>
          <w:rFonts w:ascii="Times New Roman" w:hAnsi="Times New Roman"/>
          <w:sz w:val="24"/>
          <w:szCs w:val="24"/>
          <w:lang w:val="en-US"/>
        </w:rPr>
        <w:t>levels of corporate tax liability decrease</w:t>
      </w:r>
      <w:r w:rsidR="00666C9D">
        <w:rPr>
          <w:rFonts w:ascii="Times New Roman" w:hAnsi="Times New Roman"/>
          <w:sz w:val="24"/>
          <w:szCs w:val="24"/>
          <w:lang w:val="en-US"/>
        </w:rPr>
        <w:t xml:space="preserve"> the amount of </w:t>
      </w:r>
      <w:r w:rsidR="00E30B78">
        <w:rPr>
          <w:rFonts w:ascii="Times New Roman" w:hAnsi="Times New Roman"/>
          <w:sz w:val="24"/>
          <w:szCs w:val="24"/>
          <w:lang w:val="en-US"/>
        </w:rPr>
        <w:t xml:space="preserve">post-tax </w:t>
      </w:r>
      <w:r w:rsidR="00666C9D" w:rsidRPr="00832087">
        <w:rPr>
          <w:rFonts w:ascii="Times New Roman" w:hAnsi="Times New Roman"/>
          <w:sz w:val="24"/>
          <w:szCs w:val="24"/>
          <w:lang w:val="en-US"/>
        </w:rPr>
        <w:t>working capital</w:t>
      </w:r>
      <w:r w:rsidR="0075211F">
        <w:rPr>
          <w:rFonts w:ascii="Times New Roman" w:hAnsi="Times New Roman"/>
          <w:sz w:val="24"/>
          <w:szCs w:val="24"/>
          <w:lang w:val="en-US"/>
        </w:rPr>
        <w:t xml:space="preserve"> that firms can </w:t>
      </w:r>
      <w:r w:rsidR="00FA02C3">
        <w:rPr>
          <w:rFonts w:ascii="Times New Roman" w:hAnsi="Times New Roman"/>
          <w:sz w:val="24"/>
          <w:szCs w:val="24"/>
          <w:lang w:val="en-US"/>
        </w:rPr>
        <w:t>use as collateral for raising external funds.</w:t>
      </w:r>
      <w:r w:rsidR="0075211F">
        <w:rPr>
          <w:rFonts w:ascii="Times New Roman" w:hAnsi="Times New Roman"/>
          <w:sz w:val="24"/>
          <w:szCs w:val="24"/>
          <w:lang w:val="en-US"/>
        </w:rPr>
        <w:t xml:space="preserve"> This </w:t>
      </w:r>
      <w:r w:rsidR="000F1671">
        <w:rPr>
          <w:rFonts w:ascii="Times New Roman" w:hAnsi="Times New Roman"/>
          <w:sz w:val="24"/>
          <w:szCs w:val="24"/>
          <w:lang w:val="en-US"/>
        </w:rPr>
        <w:t>leads to</w:t>
      </w:r>
      <w:r w:rsidR="0075211F">
        <w:rPr>
          <w:rFonts w:ascii="Times New Roman" w:hAnsi="Times New Roman"/>
          <w:sz w:val="24"/>
          <w:szCs w:val="24"/>
          <w:lang w:val="en-US"/>
        </w:rPr>
        <w:t xml:space="preserve"> financial </w:t>
      </w:r>
      <w:r w:rsidR="002C7765">
        <w:rPr>
          <w:rFonts w:ascii="Times New Roman" w:hAnsi="Times New Roman"/>
          <w:sz w:val="24"/>
          <w:szCs w:val="24"/>
          <w:lang w:val="en-US"/>
        </w:rPr>
        <w:t xml:space="preserve">constraints </w:t>
      </w:r>
      <w:r w:rsidR="00280880">
        <w:rPr>
          <w:rFonts w:ascii="Times New Roman" w:hAnsi="Times New Roman"/>
          <w:sz w:val="24"/>
          <w:szCs w:val="24"/>
          <w:lang w:val="en-US"/>
        </w:rPr>
        <w:t>that potentially</w:t>
      </w:r>
      <w:r w:rsidR="0075211F">
        <w:rPr>
          <w:rFonts w:ascii="Times New Roman" w:hAnsi="Times New Roman"/>
          <w:sz w:val="24"/>
          <w:szCs w:val="24"/>
          <w:lang w:val="en-US"/>
        </w:rPr>
        <w:t xml:space="preserve"> </w:t>
      </w:r>
      <w:r w:rsidR="00280880">
        <w:rPr>
          <w:rFonts w:ascii="Times New Roman" w:hAnsi="Times New Roman"/>
          <w:sz w:val="24"/>
          <w:szCs w:val="24"/>
          <w:lang w:val="en-US"/>
        </w:rPr>
        <w:t>decrease</w:t>
      </w:r>
      <w:r w:rsidR="00CC610C">
        <w:rPr>
          <w:rFonts w:ascii="Times New Roman" w:hAnsi="Times New Roman"/>
          <w:sz w:val="24"/>
          <w:szCs w:val="24"/>
          <w:lang w:val="en-US"/>
        </w:rPr>
        <w:t xml:space="preserve"> </w:t>
      </w:r>
      <w:r w:rsidR="00CC610C" w:rsidRPr="00FF48A4">
        <w:rPr>
          <w:rFonts w:ascii="Times New Roman" w:hAnsi="Times New Roman"/>
          <w:sz w:val="24"/>
          <w:szCs w:val="24"/>
          <w:lang w:val="en-US"/>
        </w:rPr>
        <w:t>invest</w:t>
      </w:r>
      <w:r w:rsidR="00280880">
        <w:rPr>
          <w:rFonts w:ascii="Times New Roman" w:hAnsi="Times New Roman"/>
          <w:sz w:val="24"/>
          <w:szCs w:val="24"/>
          <w:lang w:val="en-US"/>
        </w:rPr>
        <w:t>ment</w:t>
      </w:r>
      <w:r w:rsidR="00CC610C" w:rsidRPr="00FF48A4">
        <w:rPr>
          <w:rFonts w:ascii="Times New Roman" w:hAnsi="Times New Roman"/>
          <w:sz w:val="24"/>
          <w:szCs w:val="24"/>
          <w:lang w:val="en-US"/>
        </w:rPr>
        <w:t xml:space="preserve"> in activities </w:t>
      </w:r>
      <w:r w:rsidR="000F1671">
        <w:rPr>
          <w:rFonts w:ascii="Times New Roman" w:hAnsi="Times New Roman"/>
          <w:sz w:val="24"/>
          <w:szCs w:val="24"/>
          <w:lang w:val="en-US"/>
        </w:rPr>
        <w:t>which</w:t>
      </w:r>
      <w:r w:rsidR="00CC610C" w:rsidRPr="00FF48A4">
        <w:rPr>
          <w:rFonts w:ascii="Times New Roman" w:hAnsi="Times New Roman"/>
          <w:sz w:val="24"/>
          <w:szCs w:val="24"/>
          <w:lang w:val="en-US"/>
        </w:rPr>
        <w:t xml:space="preserve"> </w:t>
      </w:r>
      <w:r w:rsidR="000F1671">
        <w:rPr>
          <w:rFonts w:ascii="Times New Roman" w:hAnsi="Times New Roman"/>
          <w:sz w:val="24"/>
          <w:szCs w:val="24"/>
          <w:lang w:val="en-US"/>
        </w:rPr>
        <w:t xml:space="preserve">can </w:t>
      </w:r>
      <w:r w:rsidR="00CC610C" w:rsidRPr="00FF48A4">
        <w:rPr>
          <w:rFonts w:ascii="Times New Roman" w:hAnsi="Times New Roman"/>
          <w:sz w:val="24"/>
          <w:szCs w:val="24"/>
          <w:lang w:val="en-US"/>
        </w:rPr>
        <w:t xml:space="preserve">promote </w:t>
      </w:r>
      <w:r w:rsidR="00E30B78" w:rsidRPr="00FF48A4">
        <w:rPr>
          <w:rFonts w:ascii="Times New Roman" w:hAnsi="Times New Roman"/>
          <w:sz w:val="24"/>
          <w:szCs w:val="24"/>
          <w:lang w:val="en-US"/>
        </w:rPr>
        <w:t>technical</w:t>
      </w:r>
      <w:r w:rsidR="00CC610C" w:rsidRPr="00FF48A4">
        <w:rPr>
          <w:rFonts w:ascii="Times New Roman" w:hAnsi="Times New Roman"/>
          <w:sz w:val="24"/>
          <w:szCs w:val="24"/>
          <w:lang w:val="en-US"/>
        </w:rPr>
        <w:t xml:space="preserve"> efficiency.</w:t>
      </w:r>
      <w:r w:rsidR="00666C9D" w:rsidRPr="00FF48A4">
        <w:rPr>
          <w:rStyle w:val="FootnoteReference"/>
          <w:rFonts w:ascii="Times New Roman" w:hAnsi="Times New Roman"/>
          <w:sz w:val="24"/>
          <w:szCs w:val="24"/>
          <w:lang w:val="en-US"/>
        </w:rPr>
        <w:footnoteReference w:id="5"/>
      </w:r>
      <w:r w:rsidR="00666C9D" w:rsidRPr="00FF48A4">
        <w:rPr>
          <w:rFonts w:ascii="Times New Roman" w:hAnsi="Times New Roman"/>
          <w:sz w:val="24"/>
          <w:szCs w:val="24"/>
          <w:lang w:val="en-US"/>
        </w:rPr>
        <w:t xml:space="preserve"> </w:t>
      </w:r>
      <w:r w:rsidR="0075211F">
        <w:rPr>
          <w:rFonts w:ascii="Times New Roman" w:hAnsi="Times New Roman"/>
          <w:sz w:val="24"/>
          <w:szCs w:val="24"/>
          <w:lang w:val="en-US"/>
        </w:rPr>
        <w:t xml:space="preserve">We </w:t>
      </w:r>
      <w:r w:rsidR="00A976C4">
        <w:rPr>
          <w:rFonts w:ascii="Times New Roman" w:hAnsi="Times New Roman"/>
          <w:sz w:val="24"/>
          <w:szCs w:val="24"/>
          <w:lang w:val="en-US"/>
        </w:rPr>
        <w:t>analyze</w:t>
      </w:r>
      <w:r w:rsidR="00FF48A4" w:rsidRPr="00FF48A4">
        <w:rPr>
          <w:rFonts w:ascii="Times New Roman" w:hAnsi="Times New Roman"/>
          <w:sz w:val="24"/>
          <w:szCs w:val="24"/>
          <w:lang w:val="en-US"/>
        </w:rPr>
        <w:t xml:space="preserve"> the adverse tax induced effects </w:t>
      </w:r>
      <w:r w:rsidR="00C20588" w:rsidRPr="00FF48A4">
        <w:rPr>
          <w:rFonts w:ascii="Times New Roman" w:hAnsi="Times New Roman"/>
          <w:sz w:val="24"/>
          <w:szCs w:val="24"/>
          <w:lang w:val="en-US"/>
        </w:rPr>
        <w:t xml:space="preserve">on </w:t>
      </w:r>
      <w:r w:rsidR="0075211F">
        <w:rPr>
          <w:rFonts w:ascii="Times New Roman" w:hAnsi="Times New Roman"/>
          <w:sz w:val="24"/>
          <w:szCs w:val="24"/>
          <w:lang w:val="en-US"/>
        </w:rPr>
        <w:t xml:space="preserve">a </w:t>
      </w:r>
      <w:r w:rsidR="00FF48A4" w:rsidRPr="00FF48A4">
        <w:rPr>
          <w:rFonts w:ascii="Times New Roman" w:hAnsi="Times New Roman"/>
          <w:sz w:val="24"/>
          <w:szCs w:val="24"/>
          <w:lang w:val="en-US"/>
        </w:rPr>
        <w:t>firm’s</w:t>
      </w:r>
      <w:r w:rsidR="00C20588" w:rsidRPr="00FF48A4">
        <w:rPr>
          <w:rFonts w:ascii="Times New Roman" w:hAnsi="Times New Roman"/>
          <w:sz w:val="24"/>
          <w:szCs w:val="24"/>
          <w:lang w:val="en-US"/>
        </w:rPr>
        <w:t xml:space="preserve"> performance</w:t>
      </w:r>
      <w:r w:rsidR="0075211F">
        <w:rPr>
          <w:rFonts w:ascii="Times New Roman" w:hAnsi="Times New Roman"/>
          <w:sz w:val="24"/>
          <w:szCs w:val="24"/>
          <w:lang w:val="en-US"/>
        </w:rPr>
        <w:t xml:space="preserve"> within a</w:t>
      </w:r>
      <w:r w:rsidR="00FF48A4" w:rsidRPr="00FF48A4">
        <w:rPr>
          <w:rFonts w:ascii="Times New Roman" w:hAnsi="Times New Roman"/>
          <w:sz w:val="24"/>
          <w:szCs w:val="24"/>
          <w:lang w:val="en-US"/>
        </w:rPr>
        <w:t xml:space="preserve"> productivity convergence framework in</w:t>
      </w:r>
      <w:r>
        <w:rPr>
          <w:rFonts w:ascii="Times New Roman" w:hAnsi="Times New Roman"/>
          <w:sz w:val="24"/>
          <w:szCs w:val="24"/>
          <w:lang w:val="en-US"/>
        </w:rPr>
        <w:t xml:space="preserve"> the </w:t>
      </w:r>
      <w:r w:rsidR="00F67A99">
        <w:rPr>
          <w:rFonts w:ascii="Times New Roman" w:hAnsi="Times New Roman"/>
          <w:sz w:val="24"/>
          <w:szCs w:val="24"/>
          <w:lang w:val="en-US"/>
        </w:rPr>
        <w:t xml:space="preserve">spirit </w:t>
      </w:r>
      <w:r>
        <w:rPr>
          <w:rFonts w:ascii="Times New Roman" w:hAnsi="Times New Roman"/>
          <w:sz w:val="24"/>
          <w:szCs w:val="24"/>
          <w:lang w:val="en-US"/>
        </w:rPr>
        <w:t xml:space="preserve">of Aghion and Howitt (1998) </w:t>
      </w:r>
      <w:r w:rsidR="00FA02C3">
        <w:rPr>
          <w:rFonts w:ascii="Times New Roman" w:hAnsi="Times New Roman"/>
          <w:sz w:val="24"/>
          <w:szCs w:val="24"/>
          <w:lang w:val="en-US"/>
        </w:rPr>
        <w:t xml:space="preserve">allowing for </w:t>
      </w:r>
      <w:r>
        <w:rPr>
          <w:rFonts w:ascii="Times New Roman" w:hAnsi="Times New Roman"/>
          <w:sz w:val="24"/>
          <w:szCs w:val="24"/>
          <w:lang w:val="en-US"/>
        </w:rPr>
        <w:t>corporate</w:t>
      </w:r>
      <w:r w:rsidR="0075211F">
        <w:rPr>
          <w:rFonts w:ascii="Times New Roman" w:hAnsi="Times New Roman"/>
          <w:sz w:val="24"/>
          <w:szCs w:val="24"/>
          <w:lang w:val="en-US"/>
        </w:rPr>
        <w:t xml:space="preserve"> </w:t>
      </w:r>
      <w:r w:rsidR="00FF48A4" w:rsidRPr="00FF48A4">
        <w:rPr>
          <w:rFonts w:ascii="Times New Roman" w:hAnsi="Times New Roman"/>
          <w:sz w:val="24"/>
          <w:szCs w:val="24"/>
          <w:lang w:val="en-US"/>
        </w:rPr>
        <w:t xml:space="preserve">tax liability </w:t>
      </w:r>
      <w:r w:rsidR="00FF48A4">
        <w:rPr>
          <w:rFonts w:ascii="Times New Roman" w:hAnsi="Times New Roman"/>
          <w:sz w:val="24"/>
          <w:szCs w:val="24"/>
          <w:lang w:val="en-US"/>
        </w:rPr>
        <w:t xml:space="preserve">to drive both </w:t>
      </w:r>
      <w:r w:rsidR="004F575A">
        <w:rPr>
          <w:rFonts w:ascii="Times New Roman" w:hAnsi="Times New Roman"/>
          <w:sz w:val="24"/>
          <w:szCs w:val="24"/>
          <w:lang w:val="en-US"/>
        </w:rPr>
        <w:t xml:space="preserve">firm </w:t>
      </w:r>
      <w:r w:rsidR="00FF48A4">
        <w:rPr>
          <w:rFonts w:ascii="Times New Roman" w:hAnsi="Times New Roman"/>
          <w:sz w:val="24"/>
          <w:szCs w:val="24"/>
          <w:lang w:val="en-US"/>
        </w:rPr>
        <w:t xml:space="preserve">productivity growth and </w:t>
      </w:r>
      <w:r w:rsidR="00A976C4">
        <w:rPr>
          <w:rFonts w:ascii="Times New Roman" w:hAnsi="Times New Roman"/>
          <w:sz w:val="24"/>
          <w:szCs w:val="24"/>
          <w:lang w:val="en-US"/>
        </w:rPr>
        <w:t xml:space="preserve">the </w:t>
      </w:r>
      <w:r w:rsidR="004F575A">
        <w:rPr>
          <w:rFonts w:ascii="Times New Roman" w:hAnsi="Times New Roman"/>
          <w:sz w:val="24"/>
          <w:szCs w:val="24"/>
          <w:lang w:val="en-US"/>
        </w:rPr>
        <w:t xml:space="preserve">catch up </w:t>
      </w:r>
      <w:r w:rsidR="00A976C4">
        <w:rPr>
          <w:rFonts w:ascii="Times New Roman" w:hAnsi="Times New Roman"/>
          <w:sz w:val="24"/>
          <w:szCs w:val="24"/>
          <w:lang w:val="en-US"/>
        </w:rPr>
        <w:t>process towards the frontier</w:t>
      </w:r>
      <w:r w:rsidR="00FF48A4">
        <w:rPr>
          <w:rFonts w:ascii="Times New Roman" w:hAnsi="Times New Roman"/>
          <w:sz w:val="24"/>
          <w:szCs w:val="24"/>
          <w:lang w:val="en-US"/>
        </w:rPr>
        <w:t xml:space="preserve">. </w:t>
      </w:r>
    </w:p>
    <w:p w:rsidR="00666C9D" w:rsidRPr="008C3D1F" w:rsidRDefault="00A976C4" w:rsidP="00464EAC">
      <w:pPr>
        <w:ind w:firstLine="357"/>
        <w:rPr>
          <w:rFonts w:ascii="Times New Roman" w:hAnsi="Times New Roman"/>
          <w:sz w:val="24"/>
          <w:szCs w:val="24"/>
          <w:lang w:val="en-US"/>
        </w:rPr>
      </w:pPr>
      <w:r>
        <w:rPr>
          <w:rFonts w:ascii="Times New Roman" w:hAnsi="Times New Roman"/>
          <w:sz w:val="24"/>
          <w:szCs w:val="24"/>
          <w:lang w:val="en-US"/>
        </w:rPr>
        <w:t>Corporate</w:t>
      </w:r>
      <w:r w:rsidR="00190FDE" w:rsidRPr="008C3D1F">
        <w:rPr>
          <w:rFonts w:ascii="Times New Roman" w:hAnsi="Times New Roman"/>
          <w:sz w:val="24"/>
          <w:szCs w:val="24"/>
          <w:lang w:val="en-US"/>
        </w:rPr>
        <w:t xml:space="preserve"> </w:t>
      </w:r>
      <w:r w:rsidRPr="008C3D1F">
        <w:rPr>
          <w:rFonts w:ascii="Times New Roman" w:hAnsi="Times New Roman"/>
          <w:sz w:val="24"/>
          <w:szCs w:val="24"/>
          <w:lang w:val="en-US"/>
        </w:rPr>
        <w:t xml:space="preserve">taxation </w:t>
      </w:r>
      <w:r>
        <w:rPr>
          <w:rFonts w:ascii="Times New Roman" w:hAnsi="Times New Roman"/>
          <w:sz w:val="24"/>
          <w:szCs w:val="24"/>
          <w:lang w:val="en-US"/>
        </w:rPr>
        <w:t>can cause</w:t>
      </w:r>
      <w:r w:rsidR="00FF48A4" w:rsidRPr="008C3D1F">
        <w:rPr>
          <w:rFonts w:ascii="Times New Roman" w:hAnsi="Times New Roman"/>
          <w:sz w:val="24"/>
          <w:szCs w:val="24"/>
          <w:lang w:val="en-US"/>
        </w:rPr>
        <w:t xml:space="preserve"> </w:t>
      </w:r>
      <w:r w:rsidR="006C2D38">
        <w:rPr>
          <w:rFonts w:ascii="Times New Roman" w:hAnsi="Times New Roman"/>
          <w:sz w:val="24"/>
          <w:szCs w:val="24"/>
          <w:lang w:val="en-US"/>
        </w:rPr>
        <w:t>disproportionate</w:t>
      </w:r>
      <w:r w:rsidR="00FF48A4" w:rsidRPr="008C3D1F">
        <w:rPr>
          <w:rFonts w:ascii="Times New Roman" w:hAnsi="Times New Roman"/>
          <w:sz w:val="24"/>
          <w:szCs w:val="24"/>
          <w:lang w:val="en-US"/>
        </w:rPr>
        <w:t xml:space="preserve"> effects </w:t>
      </w:r>
      <w:r w:rsidR="00190FDE" w:rsidRPr="008C3D1F">
        <w:rPr>
          <w:rFonts w:ascii="Times New Roman" w:hAnsi="Times New Roman"/>
          <w:sz w:val="24"/>
          <w:szCs w:val="24"/>
          <w:lang w:val="en-US"/>
        </w:rPr>
        <w:t>on R&amp;D and</w:t>
      </w:r>
      <w:r>
        <w:rPr>
          <w:rFonts w:ascii="Times New Roman" w:hAnsi="Times New Roman"/>
          <w:sz w:val="24"/>
          <w:szCs w:val="24"/>
          <w:lang w:val="en-US"/>
        </w:rPr>
        <w:t xml:space="preserve"> exporting firms as these two groups are relatively more sensitive to external finance. The key</w:t>
      </w:r>
      <w:r w:rsidR="00190FDE" w:rsidRPr="008C3D1F">
        <w:rPr>
          <w:rFonts w:ascii="Times New Roman" w:hAnsi="Times New Roman"/>
          <w:sz w:val="24"/>
          <w:szCs w:val="24"/>
          <w:lang w:val="en-US"/>
        </w:rPr>
        <w:t xml:space="preserve"> </w:t>
      </w:r>
      <w:r w:rsidR="00FA292F">
        <w:rPr>
          <w:rFonts w:ascii="Times New Roman" w:hAnsi="Times New Roman"/>
          <w:sz w:val="24"/>
          <w:szCs w:val="24"/>
          <w:lang w:val="en-US"/>
        </w:rPr>
        <w:t>objective</w:t>
      </w:r>
      <w:r w:rsidR="00190FDE" w:rsidRPr="008C3D1F">
        <w:rPr>
          <w:rFonts w:ascii="Times New Roman" w:hAnsi="Times New Roman"/>
          <w:sz w:val="24"/>
          <w:szCs w:val="24"/>
          <w:lang w:val="en-US"/>
        </w:rPr>
        <w:t xml:space="preserve"> </w:t>
      </w:r>
      <w:r>
        <w:rPr>
          <w:rFonts w:ascii="Times New Roman" w:hAnsi="Times New Roman"/>
          <w:sz w:val="24"/>
          <w:szCs w:val="24"/>
          <w:lang w:val="en-US"/>
        </w:rPr>
        <w:t>investigated</w:t>
      </w:r>
      <w:r w:rsidR="00190FDE" w:rsidRPr="008C3D1F">
        <w:rPr>
          <w:rFonts w:ascii="Times New Roman" w:hAnsi="Times New Roman"/>
          <w:sz w:val="24"/>
          <w:szCs w:val="24"/>
          <w:lang w:val="en-US"/>
        </w:rPr>
        <w:t xml:space="preserve"> in the present paper is </w:t>
      </w:r>
      <w:r w:rsidR="00FA292F">
        <w:rPr>
          <w:rFonts w:ascii="Times New Roman" w:hAnsi="Times New Roman"/>
          <w:sz w:val="24"/>
          <w:szCs w:val="24"/>
          <w:lang w:val="en-US"/>
        </w:rPr>
        <w:t>whether</w:t>
      </w:r>
      <w:r w:rsidR="00190FDE" w:rsidRPr="008C3D1F">
        <w:rPr>
          <w:rFonts w:ascii="Times New Roman" w:hAnsi="Times New Roman"/>
          <w:sz w:val="24"/>
          <w:szCs w:val="24"/>
          <w:lang w:val="en-US"/>
        </w:rPr>
        <w:t xml:space="preserve"> changes in tax policy affect </w:t>
      </w:r>
      <w:r w:rsidR="00735D60" w:rsidRPr="008C3D1F">
        <w:rPr>
          <w:rFonts w:ascii="Times New Roman" w:hAnsi="Times New Roman"/>
          <w:sz w:val="24"/>
          <w:szCs w:val="24"/>
          <w:lang w:val="en-US"/>
        </w:rPr>
        <w:t xml:space="preserve">productivity </w:t>
      </w:r>
      <w:r w:rsidR="00190FDE" w:rsidRPr="008C3D1F">
        <w:rPr>
          <w:rFonts w:ascii="Times New Roman" w:hAnsi="Times New Roman"/>
          <w:sz w:val="24"/>
          <w:szCs w:val="24"/>
          <w:lang w:val="en-US"/>
        </w:rPr>
        <w:t>performance of more risk-taking firms.</w:t>
      </w:r>
      <w:r w:rsidR="009177D2" w:rsidRPr="008C3D1F">
        <w:rPr>
          <w:rFonts w:ascii="Times New Roman" w:hAnsi="Times New Roman"/>
          <w:sz w:val="24"/>
          <w:szCs w:val="24"/>
          <w:lang w:val="en-US"/>
        </w:rPr>
        <w:t xml:space="preserve"> </w:t>
      </w:r>
      <w:r w:rsidR="00FF48A4" w:rsidRPr="008C3D1F">
        <w:rPr>
          <w:rFonts w:ascii="Times New Roman" w:hAnsi="Times New Roman"/>
          <w:sz w:val="24"/>
          <w:szCs w:val="24"/>
          <w:lang w:val="en-US"/>
        </w:rPr>
        <w:t>R&amp;D</w:t>
      </w:r>
      <w:r w:rsidR="000D590F" w:rsidRPr="008C3D1F">
        <w:rPr>
          <w:rFonts w:ascii="Times New Roman" w:hAnsi="Times New Roman"/>
          <w:sz w:val="24"/>
          <w:szCs w:val="24"/>
          <w:lang w:val="en-US"/>
        </w:rPr>
        <w:t xml:space="preserve"> activity is </w:t>
      </w:r>
      <w:r w:rsidR="007702E0" w:rsidRPr="008C3D1F">
        <w:rPr>
          <w:rFonts w:ascii="Times New Roman" w:hAnsi="Times New Roman"/>
          <w:sz w:val="24"/>
          <w:szCs w:val="24"/>
          <w:lang w:val="en-US"/>
        </w:rPr>
        <w:t>very</w:t>
      </w:r>
      <w:r w:rsidR="000D590F" w:rsidRPr="008C3D1F">
        <w:rPr>
          <w:rFonts w:ascii="Times New Roman" w:hAnsi="Times New Roman"/>
          <w:sz w:val="24"/>
          <w:szCs w:val="24"/>
          <w:lang w:val="en-US"/>
        </w:rPr>
        <w:t xml:space="preserve"> likely to</w:t>
      </w:r>
      <w:r w:rsidR="001450D3" w:rsidRPr="008C3D1F">
        <w:rPr>
          <w:rFonts w:ascii="Times New Roman" w:hAnsi="Times New Roman"/>
          <w:sz w:val="24"/>
          <w:szCs w:val="24"/>
          <w:lang w:val="en-US"/>
        </w:rPr>
        <w:t xml:space="preserve"> </w:t>
      </w:r>
      <w:r w:rsidR="007702E0" w:rsidRPr="008C3D1F">
        <w:rPr>
          <w:rFonts w:ascii="Times New Roman" w:hAnsi="Times New Roman"/>
          <w:sz w:val="24"/>
          <w:szCs w:val="24"/>
          <w:lang w:val="en-US"/>
        </w:rPr>
        <w:t>incur</w:t>
      </w:r>
      <w:r w:rsidR="001450D3" w:rsidRPr="008C3D1F">
        <w:rPr>
          <w:rFonts w:ascii="Times New Roman" w:hAnsi="Times New Roman"/>
          <w:sz w:val="24"/>
          <w:szCs w:val="24"/>
          <w:lang w:val="en-US"/>
        </w:rPr>
        <w:t xml:space="preserve"> </w:t>
      </w:r>
      <w:r w:rsidR="000D590F" w:rsidRPr="008C3D1F">
        <w:rPr>
          <w:rFonts w:ascii="Times New Roman" w:hAnsi="Times New Roman"/>
          <w:sz w:val="24"/>
          <w:szCs w:val="24"/>
          <w:lang w:val="en-US"/>
        </w:rPr>
        <w:t>losses in the short-run</w:t>
      </w:r>
      <w:r w:rsidR="004B65A2" w:rsidRPr="008C3D1F">
        <w:rPr>
          <w:rStyle w:val="FootnoteReference"/>
          <w:rFonts w:ascii="Times New Roman" w:hAnsi="Times New Roman"/>
          <w:sz w:val="24"/>
          <w:szCs w:val="24"/>
          <w:lang w:val="en-US"/>
        </w:rPr>
        <w:footnoteReference w:id="6"/>
      </w:r>
      <w:r w:rsidR="007702E0" w:rsidRPr="008C3D1F">
        <w:rPr>
          <w:rFonts w:ascii="Times New Roman" w:hAnsi="Times New Roman"/>
          <w:sz w:val="24"/>
          <w:szCs w:val="24"/>
          <w:lang w:val="en-US"/>
        </w:rPr>
        <w:t xml:space="preserve"> as it involves substantial start-up costs that are to a large extent sunk. These costs </w:t>
      </w:r>
      <w:r w:rsidR="004F575A">
        <w:rPr>
          <w:rFonts w:ascii="Times New Roman" w:hAnsi="Times New Roman"/>
          <w:sz w:val="24"/>
          <w:szCs w:val="24"/>
          <w:lang w:val="en-US"/>
        </w:rPr>
        <w:t xml:space="preserve">are </w:t>
      </w:r>
      <w:r w:rsidR="005311A6">
        <w:rPr>
          <w:rFonts w:ascii="Times New Roman" w:hAnsi="Times New Roman"/>
          <w:sz w:val="24"/>
          <w:szCs w:val="24"/>
          <w:lang w:val="en-US"/>
        </w:rPr>
        <w:t>paid</w:t>
      </w:r>
      <w:r w:rsidR="007702E0" w:rsidRPr="008C3D1F">
        <w:rPr>
          <w:rFonts w:ascii="Times New Roman" w:hAnsi="Times New Roman"/>
          <w:sz w:val="24"/>
          <w:szCs w:val="24"/>
          <w:lang w:val="en-US"/>
        </w:rPr>
        <w:t xml:space="preserve"> up</w:t>
      </w:r>
      <w:r w:rsidR="00F67A99">
        <w:rPr>
          <w:rFonts w:ascii="Times New Roman" w:hAnsi="Times New Roman"/>
          <w:sz w:val="24"/>
          <w:szCs w:val="24"/>
          <w:lang w:val="en-US"/>
        </w:rPr>
        <w:t>-</w:t>
      </w:r>
      <w:r w:rsidR="007702E0" w:rsidRPr="008C3D1F">
        <w:rPr>
          <w:rFonts w:ascii="Times New Roman" w:hAnsi="Times New Roman"/>
          <w:sz w:val="24"/>
          <w:szCs w:val="24"/>
          <w:lang w:val="en-US"/>
        </w:rPr>
        <w:t xml:space="preserve">front, which </w:t>
      </w:r>
      <w:r w:rsidR="005311A6">
        <w:rPr>
          <w:rFonts w:ascii="Times New Roman" w:hAnsi="Times New Roman"/>
          <w:sz w:val="24"/>
          <w:szCs w:val="24"/>
          <w:lang w:val="en-US"/>
        </w:rPr>
        <w:t>require sufficient</w:t>
      </w:r>
      <w:r>
        <w:rPr>
          <w:rFonts w:ascii="Times New Roman" w:hAnsi="Times New Roman"/>
          <w:sz w:val="24"/>
          <w:szCs w:val="24"/>
          <w:lang w:val="en-US"/>
        </w:rPr>
        <w:t xml:space="preserve"> cash-flows that </w:t>
      </w:r>
      <w:r w:rsidR="00F67A99">
        <w:rPr>
          <w:rFonts w:ascii="Times New Roman" w:hAnsi="Times New Roman"/>
          <w:sz w:val="24"/>
          <w:szCs w:val="24"/>
          <w:lang w:val="en-US"/>
        </w:rPr>
        <w:t xml:space="preserve">are </w:t>
      </w:r>
      <w:r w:rsidR="005311A6">
        <w:rPr>
          <w:rFonts w:ascii="Times New Roman" w:hAnsi="Times New Roman"/>
          <w:sz w:val="24"/>
          <w:szCs w:val="24"/>
          <w:lang w:val="en-US"/>
        </w:rPr>
        <w:t>usually</w:t>
      </w:r>
      <w:r>
        <w:rPr>
          <w:rFonts w:ascii="Times New Roman" w:hAnsi="Times New Roman"/>
          <w:sz w:val="24"/>
          <w:szCs w:val="24"/>
          <w:lang w:val="en-US"/>
        </w:rPr>
        <w:t xml:space="preserve"> derived from</w:t>
      </w:r>
      <w:r w:rsidR="007702E0" w:rsidRPr="008C3D1F">
        <w:rPr>
          <w:rFonts w:ascii="Times New Roman" w:hAnsi="Times New Roman"/>
          <w:sz w:val="24"/>
          <w:szCs w:val="24"/>
          <w:lang w:val="en-US"/>
        </w:rPr>
        <w:t xml:space="preserve"> external </w:t>
      </w:r>
      <w:r>
        <w:rPr>
          <w:rFonts w:ascii="Times New Roman" w:hAnsi="Times New Roman"/>
          <w:sz w:val="24"/>
          <w:szCs w:val="24"/>
          <w:lang w:val="en-US"/>
        </w:rPr>
        <w:t>sources</w:t>
      </w:r>
      <w:r w:rsidR="007702E0" w:rsidRPr="008C3D1F">
        <w:rPr>
          <w:rFonts w:ascii="Times New Roman" w:hAnsi="Times New Roman"/>
          <w:sz w:val="24"/>
          <w:szCs w:val="24"/>
          <w:lang w:val="en-US"/>
        </w:rPr>
        <w:t xml:space="preserve">. </w:t>
      </w:r>
      <w:r w:rsidR="005311A6">
        <w:rPr>
          <w:rFonts w:ascii="Times New Roman" w:hAnsi="Times New Roman"/>
          <w:sz w:val="24"/>
          <w:szCs w:val="24"/>
          <w:lang w:val="en-US"/>
        </w:rPr>
        <w:t>Furthermore</w:t>
      </w:r>
      <w:r w:rsidR="007702E0" w:rsidRPr="008C3D1F">
        <w:rPr>
          <w:rFonts w:ascii="Times New Roman" w:hAnsi="Times New Roman"/>
          <w:sz w:val="24"/>
          <w:szCs w:val="24"/>
          <w:lang w:val="en-US"/>
        </w:rPr>
        <w:t>,</w:t>
      </w:r>
      <w:r w:rsidR="005311A6">
        <w:rPr>
          <w:rFonts w:ascii="Times New Roman" w:hAnsi="Times New Roman"/>
          <w:sz w:val="24"/>
          <w:szCs w:val="24"/>
          <w:lang w:val="en-US"/>
        </w:rPr>
        <w:t xml:space="preserve"> one should not ignore that</w:t>
      </w:r>
      <w:r w:rsidR="007702E0" w:rsidRPr="008C3D1F">
        <w:rPr>
          <w:rFonts w:ascii="Times New Roman" w:hAnsi="Times New Roman"/>
          <w:sz w:val="24"/>
          <w:szCs w:val="24"/>
          <w:lang w:val="en-US"/>
        </w:rPr>
        <w:t xml:space="preserve"> </w:t>
      </w:r>
      <w:r w:rsidR="005311A6" w:rsidRPr="008C3D1F">
        <w:rPr>
          <w:rFonts w:ascii="Times New Roman" w:hAnsi="Times New Roman"/>
          <w:sz w:val="24"/>
          <w:szCs w:val="24"/>
          <w:lang w:val="en-US"/>
        </w:rPr>
        <w:t>R</w:t>
      </w:r>
      <w:r w:rsidR="005311A6" w:rsidRPr="008C3D1F">
        <w:rPr>
          <w:rFonts w:asciiTheme="majorBidi" w:hAnsiTheme="majorBidi" w:cstheme="majorBidi"/>
          <w:sz w:val="24"/>
          <w:szCs w:val="24"/>
          <w:lang w:val="en-GB"/>
        </w:rPr>
        <w:t xml:space="preserve">&amp;D projects </w:t>
      </w:r>
      <w:r w:rsidR="005311A6">
        <w:rPr>
          <w:rFonts w:ascii="Times New Roman" w:hAnsi="Times New Roman"/>
          <w:sz w:val="24"/>
          <w:szCs w:val="24"/>
          <w:lang w:val="en-US"/>
        </w:rPr>
        <w:t>are</w:t>
      </w:r>
      <w:r w:rsidR="007702E0" w:rsidRPr="008C3D1F">
        <w:rPr>
          <w:rFonts w:ascii="Times New Roman" w:hAnsi="Times New Roman"/>
          <w:sz w:val="24"/>
          <w:szCs w:val="24"/>
          <w:lang w:val="en-US"/>
        </w:rPr>
        <w:t xml:space="preserve"> highly uncertain</w:t>
      </w:r>
      <w:r w:rsidR="005311A6">
        <w:rPr>
          <w:rFonts w:ascii="Times New Roman" w:hAnsi="Times New Roman"/>
          <w:sz w:val="24"/>
          <w:szCs w:val="24"/>
          <w:lang w:val="en-US"/>
        </w:rPr>
        <w:t xml:space="preserve"> adding</w:t>
      </w:r>
      <w:r w:rsidR="007C1C49" w:rsidRPr="008C3D1F">
        <w:rPr>
          <w:rFonts w:asciiTheme="majorBidi" w:hAnsiTheme="majorBidi" w:cstheme="majorBidi"/>
          <w:sz w:val="24"/>
          <w:szCs w:val="24"/>
          <w:lang w:val="en-GB"/>
        </w:rPr>
        <w:t>to R&amp;D firms</w:t>
      </w:r>
      <w:r w:rsidR="00A778C9">
        <w:rPr>
          <w:rFonts w:asciiTheme="majorBidi" w:hAnsiTheme="majorBidi" w:cstheme="majorBidi"/>
          <w:sz w:val="24"/>
          <w:szCs w:val="24"/>
          <w:lang w:val="en-GB"/>
        </w:rPr>
        <w:t>’</w:t>
      </w:r>
      <w:r w:rsidR="007702E0" w:rsidRPr="008C3D1F">
        <w:rPr>
          <w:rFonts w:asciiTheme="majorBidi" w:hAnsiTheme="majorBidi" w:cstheme="majorBidi"/>
          <w:sz w:val="24"/>
          <w:szCs w:val="24"/>
          <w:lang w:val="en-GB"/>
        </w:rPr>
        <w:t xml:space="preserve"> extra liquidity</w:t>
      </w:r>
      <w:r w:rsidR="007C1C49" w:rsidRPr="008C3D1F">
        <w:rPr>
          <w:rFonts w:asciiTheme="majorBidi" w:hAnsiTheme="majorBidi" w:cstheme="majorBidi"/>
          <w:sz w:val="24"/>
          <w:szCs w:val="24"/>
          <w:lang w:val="en-GB"/>
        </w:rPr>
        <w:t xml:space="preserve"> pressure</w:t>
      </w:r>
      <w:r w:rsidR="007702E0" w:rsidRPr="008C3D1F">
        <w:rPr>
          <w:rFonts w:asciiTheme="majorBidi" w:hAnsiTheme="majorBidi" w:cstheme="majorBidi"/>
          <w:sz w:val="24"/>
          <w:szCs w:val="24"/>
          <w:lang w:val="en-GB"/>
        </w:rPr>
        <w:t>, which</w:t>
      </w:r>
      <w:r w:rsidR="00FA292F">
        <w:rPr>
          <w:rFonts w:asciiTheme="majorBidi" w:hAnsiTheme="majorBidi" w:cstheme="majorBidi"/>
          <w:sz w:val="24"/>
          <w:szCs w:val="24"/>
          <w:lang w:val="en-GB"/>
        </w:rPr>
        <w:t xml:space="preserve"> is</w:t>
      </w:r>
      <w:r w:rsidR="007702E0" w:rsidRPr="008C3D1F">
        <w:rPr>
          <w:rFonts w:asciiTheme="majorBidi" w:hAnsiTheme="majorBidi" w:cstheme="majorBidi"/>
          <w:sz w:val="24"/>
          <w:szCs w:val="24"/>
          <w:lang w:val="en-GB"/>
        </w:rPr>
        <w:t xml:space="preserve"> </w:t>
      </w:r>
      <w:r w:rsidR="007C1C49" w:rsidRPr="008C3D1F">
        <w:rPr>
          <w:rFonts w:asciiTheme="majorBidi" w:hAnsiTheme="majorBidi" w:cstheme="majorBidi"/>
          <w:sz w:val="24"/>
          <w:szCs w:val="24"/>
          <w:lang w:val="en-GB"/>
        </w:rPr>
        <w:t xml:space="preserve">again </w:t>
      </w:r>
      <w:r w:rsidRPr="008C3D1F">
        <w:rPr>
          <w:rFonts w:asciiTheme="majorBidi" w:hAnsiTheme="majorBidi" w:cstheme="majorBidi"/>
          <w:sz w:val="24"/>
          <w:szCs w:val="24"/>
          <w:lang w:val="en-GB"/>
        </w:rPr>
        <w:t>covered from</w:t>
      </w:r>
      <w:r>
        <w:rPr>
          <w:rFonts w:asciiTheme="majorBidi" w:hAnsiTheme="majorBidi" w:cstheme="majorBidi"/>
          <w:sz w:val="24"/>
          <w:szCs w:val="24"/>
          <w:lang w:val="en-GB"/>
        </w:rPr>
        <w:t xml:space="preserve"> </w:t>
      </w:r>
      <w:r w:rsidR="003F1A16" w:rsidRPr="008C3D1F">
        <w:rPr>
          <w:rFonts w:asciiTheme="majorBidi" w:hAnsiTheme="majorBidi" w:cstheme="majorBidi"/>
          <w:sz w:val="24"/>
          <w:szCs w:val="24"/>
          <w:lang w:val="en-GB"/>
        </w:rPr>
        <w:t>external</w:t>
      </w:r>
      <w:r w:rsidR="007702E0" w:rsidRPr="008C3D1F">
        <w:rPr>
          <w:rFonts w:asciiTheme="majorBidi" w:hAnsiTheme="majorBidi" w:cstheme="majorBidi"/>
          <w:sz w:val="24"/>
          <w:szCs w:val="24"/>
          <w:lang w:val="en-GB"/>
        </w:rPr>
        <w:t xml:space="preserve"> finance</w:t>
      </w:r>
      <w:r w:rsidR="007C1C49" w:rsidRPr="008C3D1F">
        <w:rPr>
          <w:rFonts w:asciiTheme="majorBidi" w:hAnsiTheme="majorBidi" w:cstheme="majorBidi"/>
          <w:sz w:val="24"/>
          <w:szCs w:val="24"/>
          <w:lang w:val="en-GB"/>
        </w:rPr>
        <w:t xml:space="preserve"> (</w:t>
      </w:r>
      <w:r w:rsidR="00D36412" w:rsidRPr="00D36412">
        <w:rPr>
          <w:rFonts w:ascii="Times New Roman" w:hAnsi="Times New Roman"/>
          <w:sz w:val="24"/>
          <w:szCs w:val="24"/>
        </w:rPr>
        <w:t>Máñez</w:t>
      </w:r>
      <w:r w:rsidR="00D36412">
        <w:rPr>
          <w:rFonts w:asciiTheme="majorBidi" w:hAnsiTheme="majorBidi" w:cstheme="majorBidi"/>
          <w:sz w:val="24"/>
          <w:szCs w:val="24"/>
          <w:lang w:val="en-GB"/>
        </w:rPr>
        <w:t xml:space="preserve"> </w:t>
      </w:r>
      <w:r w:rsidR="007C1C49" w:rsidRPr="008C3D1F">
        <w:rPr>
          <w:rFonts w:asciiTheme="majorBidi" w:hAnsiTheme="majorBidi" w:cstheme="majorBidi"/>
          <w:sz w:val="24"/>
          <w:szCs w:val="24"/>
          <w:lang w:val="en-GB"/>
        </w:rPr>
        <w:t>et al.</w:t>
      </w:r>
      <w:r w:rsidR="00A778C9">
        <w:rPr>
          <w:rFonts w:asciiTheme="majorBidi" w:hAnsiTheme="majorBidi" w:cstheme="majorBidi"/>
          <w:sz w:val="24"/>
          <w:szCs w:val="24"/>
          <w:lang w:val="en-GB"/>
        </w:rPr>
        <w:t>,</w:t>
      </w:r>
      <w:r w:rsidR="007C1C49" w:rsidRPr="008C3D1F">
        <w:rPr>
          <w:rFonts w:asciiTheme="majorBidi" w:hAnsiTheme="majorBidi" w:cstheme="majorBidi"/>
          <w:sz w:val="24"/>
          <w:szCs w:val="24"/>
          <w:lang w:val="en-GB"/>
        </w:rPr>
        <w:t xml:space="preserve"> 2014)</w:t>
      </w:r>
      <w:r w:rsidR="007702E0" w:rsidRPr="008C3D1F">
        <w:rPr>
          <w:rFonts w:asciiTheme="majorBidi" w:hAnsiTheme="majorBidi" w:cstheme="majorBidi"/>
          <w:sz w:val="24"/>
          <w:szCs w:val="24"/>
          <w:lang w:val="en-GB"/>
        </w:rPr>
        <w:t xml:space="preserve">. </w:t>
      </w:r>
      <w:r w:rsidR="002C7765">
        <w:rPr>
          <w:rFonts w:ascii="Times New Roman" w:hAnsi="Times New Roman"/>
          <w:sz w:val="24"/>
          <w:szCs w:val="24"/>
          <w:lang w:val="en-US"/>
        </w:rPr>
        <w:t>I</w:t>
      </w:r>
      <w:r w:rsidR="00787FDD">
        <w:rPr>
          <w:rFonts w:ascii="Times New Roman" w:hAnsi="Times New Roman"/>
          <w:sz w:val="24"/>
          <w:szCs w:val="24"/>
          <w:lang w:val="en-US"/>
        </w:rPr>
        <w:t>n a neoclassical</w:t>
      </w:r>
      <w:r w:rsidR="002C7765">
        <w:rPr>
          <w:rFonts w:ascii="Times New Roman" w:hAnsi="Times New Roman"/>
          <w:sz w:val="24"/>
          <w:szCs w:val="24"/>
          <w:lang w:val="en-US"/>
        </w:rPr>
        <w:t xml:space="preserve"> set-up</w:t>
      </w:r>
      <w:r w:rsidR="00787FDD">
        <w:rPr>
          <w:rFonts w:ascii="Times New Roman" w:hAnsi="Times New Roman"/>
          <w:sz w:val="24"/>
          <w:szCs w:val="24"/>
          <w:lang w:val="en-US"/>
        </w:rPr>
        <w:t xml:space="preserve"> (</w:t>
      </w:r>
      <w:r w:rsidR="00787FDD" w:rsidRPr="008C3D1F">
        <w:rPr>
          <w:rFonts w:asciiTheme="majorBidi" w:hAnsiTheme="majorBidi" w:cstheme="majorBidi"/>
          <w:sz w:val="24"/>
          <w:szCs w:val="24"/>
          <w:lang w:val="en-GB"/>
        </w:rPr>
        <w:t>Hubbard</w:t>
      </w:r>
      <w:r w:rsidR="00A778C9">
        <w:rPr>
          <w:rFonts w:asciiTheme="majorBidi" w:hAnsiTheme="majorBidi" w:cstheme="majorBidi"/>
          <w:sz w:val="24"/>
          <w:szCs w:val="24"/>
          <w:lang w:val="en-GB"/>
        </w:rPr>
        <w:t>,</w:t>
      </w:r>
      <w:r w:rsidR="00787FDD" w:rsidRPr="008C3D1F">
        <w:rPr>
          <w:rFonts w:asciiTheme="majorBidi" w:hAnsiTheme="majorBidi" w:cstheme="majorBidi"/>
          <w:sz w:val="24"/>
          <w:szCs w:val="24"/>
          <w:lang w:val="en-GB"/>
        </w:rPr>
        <w:t xml:space="preserve"> 1998) </w:t>
      </w:r>
      <w:r w:rsidR="00787FDD">
        <w:rPr>
          <w:rFonts w:ascii="Times New Roman" w:hAnsi="Times New Roman"/>
          <w:sz w:val="24"/>
          <w:szCs w:val="24"/>
          <w:lang w:val="en-US"/>
        </w:rPr>
        <w:t xml:space="preserve">with </w:t>
      </w:r>
      <w:r w:rsidR="004F575A">
        <w:rPr>
          <w:rFonts w:ascii="Times New Roman" w:hAnsi="Times New Roman"/>
          <w:sz w:val="24"/>
          <w:szCs w:val="24"/>
          <w:lang w:val="en-US"/>
        </w:rPr>
        <w:t>perfect</w:t>
      </w:r>
      <w:r w:rsidR="00787FDD">
        <w:rPr>
          <w:rFonts w:ascii="Times New Roman" w:hAnsi="Times New Roman"/>
          <w:sz w:val="24"/>
          <w:szCs w:val="24"/>
          <w:lang w:val="en-US"/>
        </w:rPr>
        <w:t xml:space="preserve"> information</w:t>
      </w:r>
      <w:r w:rsidR="004F575A">
        <w:rPr>
          <w:rFonts w:ascii="Times New Roman" w:hAnsi="Times New Roman"/>
          <w:sz w:val="24"/>
          <w:szCs w:val="24"/>
          <w:lang w:val="en-US"/>
        </w:rPr>
        <w:t xml:space="preserve">, </w:t>
      </w:r>
      <w:r w:rsidR="00787FDD">
        <w:rPr>
          <w:rFonts w:ascii="Times New Roman" w:hAnsi="Times New Roman"/>
          <w:sz w:val="24"/>
          <w:szCs w:val="24"/>
          <w:lang w:val="en-US"/>
        </w:rPr>
        <w:t>taxation</w:t>
      </w:r>
      <w:r w:rsidR="009236DB">
        <w:rPr>
          <w:rFonts w:ascii="Times New Roman" w:hAnsi="Times New Roman"/>
          <w:sz w:val="24"/>
          <w:szCs w:val="24"/>
          <w:lang w:val="en-US"/>
        </w:rPr>
        <w:t xml:space="preserve"> affects investment </w:t>
      </w:r>
      <w:r w:rsidR="004F575A">
        <w:rPr>
          <w:rFonts w:ascii="Times New Roman" w:hAnsi="Times New Roman"/>
          <w:sz w:val="24"/>
          <w:szCs w:val="24"/>
          <w:lang w:val="en-US"/>
        </w:rPr>
        <w:t xml:space="preserve">only </w:t>
      </w:r>
      <w:r w:rsidR="009236DB">
        <w:rPr>
          <w:rFonts w:ascii="Times New Roman" w:hAnsi="Times New Roman"/>
          <w:sz w:val="24"/>
          <w:szCs w:val="24"/>
          <w:lang w:val="en-US"/>
        </w:rPr>
        <w:t>via an</w:t>
      </w:r>
      <w:r w:rsidR="00787FDD">
        <w:rPr>
          <w:rFonts w:ascii="Times New Roman" w:hAnsi="Times New Roman"/>
          <w:sz w:val="24"/>
          <w:szCs w:val="24"/>
          <w:lang w:val="en-US"/>
        </w:rPr>
        <w:t xml:space="preserve"> increase</w:t>
      </w:r>
      <w:r w:rsidR="00FA292F">
        <w:rPr>
          <w:rFonts w:ascii="Times New Roman" w:hAnsi="Times New Roman"/>
          <w:sz w:val="24"/>
          <w:szCs w:val="24"/>
          <w:lang w:val="en-US"/>
        </w:rPr>
        <w:t xml:space="preserve"> in</w:t>
      </w:r>
      <w:r w:rsidR="00787FDD">
        <w:rPr>
          <w:rFonts w:ascii="Times New Roman" w:hAnsi="Times New Roman"/>
          <w:sz w:val="24"/>
          <w:szCs w:val="24"/>
          <w:lang w:val="en-US"/>
        </w:rPr>
        <w:t xml:space="preserve"> the user cost of capital which </w:t>
      </w:r>
      <w:r w:rsidR="005311A6">
        <w:rPr>
          <w:rFonts w:ascii="Times New Roman" w:hAnsi="Times New Roman"/>
          <w:sz w:val="24"/>
          <w:szCs w:val="24"/>
          <w:lang w:val="en-US"/>
        </w:rPr>
        <w:t>is</w:t>
      </w:r>
      <w:r w:rsidR="009236DB">
        <w:rPr>
          <w:rFonts w:ascii="Times New Roman" w:hAnsi="Times New Roman"/>
          <w:sz w:val="24"/>
          <w:szCs w:val="24"/>
          <w:lang w:val="en-US"/>
        </w:rPr>
        <w:t xml:space="preserve"> </w:t>
      </w:r>
      <w:r w:rsidR="00787FDD">
        <w:rPr>
          <w:rFonts w:ascii="Times New Roman" w:hAnsi="Times New Roman"/>
          <w:sz w:val="24"/>
          <w:szCs w:val="24"/>
          <w:lang w:val="en-US"/>
        </w:rPr>
        <w:t>the opportunity cost associated with the alternative uses of firm’s income.</w:t>
      </w:r>
      <w:r w:rsidR="004F575A">
        <w:rPr>
          <w:rFonts w:ascii="Times New Roman" w:hAnsi="Times New Roman"/>
          <w:sz w:val="24"/>
          <w:szCs w:val="24"/>
          <w:lang w:val="en-US"/>
        </w:rPr>
        <w:t xml:space="preserve"> The model of Keuschnigg</w:t>
      </w:r>
      <w:r w:rsidR="00787FDD">
        <w:rPr>
          <w:rFonts w:ascii="Times New Roman" w:hAnsi="Times New Roman"/>
          <w:sz w:val="24"/>
          <w:szCs w:val="24"/>
          <w:lang w:val="en-US"/>
        </w:rPr>
        <w:t xml:space="preserve"> and Ribi (2013) </w:t>
      </w:r>
      <w:r w:rsidR="00FA292F">
        <w:rPr>
          <w:rFonts w:ascii="Times New Roman" w:hAnsi="Times New Roman"/>
          <w:sz w:val="24"/>
          <w:szCs w:val="24"/>
          <w:lang w:val="en-US"/>
        </w:rPr>
        <w:t>propose</w:t>
      </w:r>
      <w:r w:rsidR="004F575A">
        <w:rPr>
          <w:rFonts w:ascii="Times New Roman" w:hAnsi="Times New Roman"/>
          <w:sz w:val="24"/>
          <w:szCs w:val="24"/>
          <w:lang w:val="en-US"/>
        </w:rPr>
        <w:t>s</w:t>
      </w:r>
      <w:r w:rsidR="005311A6">
        <w:rPr>
          <w:rFonts w:ascii="Times New Roman" w:hAnsi="Times New Roman"/>
          <w:sz w:val="24"/>
          <w:szCs w:val="24"/>
          <w:lang w:val="en-US"/>
        </w:rPr>
        <w:t xml:space="preserve"> another view in which firms operate in an </w:t>
      </w:r>
      <w:r w:rsidR="00851AA1">
        <w:rPr>
          <w:rFonts w:ascii="Times New Roman" w:hAnsi="Times New Roman"/>
          <w:sz w:val="24"/>
          <w:szCs w:val="24"/>
          <w:lang w:val="en-US"/>
        </w:rPr>
        <w:t>environment</w:t>
      </w:r>
      <w:r w:rsidR="005311A6">
        <w:rPr>
          <w:rFonts w:ascii="Times New Roman" w:hAnsi="Times New Roman"/>
          <w:sz w:val="24"/>
          <w:szCs w:val="24"/>
          <w:lang w:val="en-US"/>
        </w:rPr>
        <w:t xml:space="preserve"> of</w:t>
      </w:r>
      <w:r w:rsidR="004F575A">
        <w:rPr>
          <w:rFonts w:ascii="Times New Roman" w:hAnsi="Times New Roman"/>
          <w:sz w:val="24"/>
          <w:szCs w:val="24"/>
          <w:lang w:val="en-US"/>
        </w:rPr>
        <w:t xml:space="preserve"> </w:t>
      </w:r>
      <w:r w:rsidR="005311A6">
        <w:rPr>
          <w:rFonts w:ascii="Times New Roman" w:hAnsi="Times New Roman"/>
          <w:sz w:val="24"/>
          <w:szCs w:val="24"/>
          <w:lang w:val="en-US"/>
        </w:rPr>
        <w:t>tight credit constraints and imperfect information</w:t>
      </w:r>
      <w:r w:rsidR="00851AA1">
        <w:rPr>
          <w:rFonts w:ascii="Times New Roman" w:hAnsi="Times New Roman"/>
          <w:sz w:val="24"/>
          <w:szCs w:val="24"/>
          <w:lang w:val="en-US"/>
        </w:rPr>
        <w:t xml:space="preserve"> between the firm and its </w:t>
      </w:r>
      <w:r w:rsidR="005311A6">
        <w:rPr>
          <w:rFonts w:ascii="Times New Roman" w:hAnsi="Times New Roman"/>
          <w:sz w:val="24"/>
          <w:szCs w:val="24"/>
          <w:lang w:val="en-US"/>
        </w:rPr>
        <w:t xml:space="preserve">creditor. </w:t>
      </w:r>
      <w:r w:rsidR="00851AA1">
        <w:rPr>
          <w:rFonts w:ascii="Times New Roman" w:hAnsi="Times New Roman"/>
          <w:sz w:val="24"/>
          <w:szCs w:val="24"/>
          <w:lang w:val="en-US"/>
        </w:rPr>
        <w:t>Based on these considerations</w:t>
      </w:r>
      <w:r w:rsidR="005311A6">
        <w:rPr>
          <w:rFonts w:ascii="Times New Roman" w:hAnsi="Times New Roman"/>
          <w:sz w:val="24"/>
          <w:szCs w:val="24"/>
          <w:lang w:val="en-US"/>
        </w:rPr>
        <w:t xml:space="preserve">, </w:t>
      </w:r>
      <w:r w:rsidR="00F1098B">
        <w:rPr>
          <w:rFonts w:ascii="Times New Roman" w:hAnsi="Times New Roman"/>
          <w:sz w:val="24"/>
          <w:szCs w:val="24"/>
          <w:lang w:val="en-US"/>
        </w:rPr>
        <w:t xml:space="preserve">higher </w:t>
      </w:r>
      <w:r w:rsidR="004F575A">
        <w:rPr>
          <w:rFonts w:ascii="Times New Roman" w:hAnsi="Times New Roman"/>
          <w:sz w:val="24"/>
          <w:szCs w:val="24"/>
          <w:lang w:val="en-US"/>
        </w:rPr>
        <w:t>corporate</w:t>
      </w:r>
      <w:r w:rsidR="004F575A" w:rsidRPr="008C3D1F">
        <w:rPr>
          <w:rFonts w:ascii="Times New Roman" w:hAnsi="Times New Roman"/>
          <w:sz w:val="24"/>
          <w:szCs w:val="24"/>
          <w:lang w:val="en-US"/>
        </w:rPr>
        <w:t xml:space="preserve"> tax lower</w:t>
      </w:r>
      <w:r w:rsidR="004F575A">
        <w:rPr>
          <w:rFonts w:ascii="Times New Roman" w:hAnsi="Times New Roman"/>
          <w:sz w:val="24"/>
          <w:szCs w:val="24"/>
          <w:lang w:val="en-US"/>
        </w:rPr>
        <w:t>s</w:t>
      </w:r>
      <w:r w:rsidR="004F575A" w:rsidRPr="008C3D1F">
        <w:rPr>
          <w:rFonts w:ascii="Times New Roman" w:hAnsi="Times New Roman"/>
          <w:sz w:val="24"/>
          <w:szCs w:val="24"/>
          <w:lang w:val="en-US"/>
        </w:rPr>
        <w:t xml:space="preserve"> the amount of post-tax income</w:t>
      </w:r>
      <w:r w:rsidR="00851AA1">
        <w:rPr>
          <w:rFonts w:ascii="Times New Roman" w:hAnsi="Times New Roman"/>
          <w:sz w:val="24"/>
          <w:szCs w:val="24"/>
          <w:lang w:val="en-US"/>
        </w:rPr>
        <w:t xml:space="preserve"> a</w:t>
      </w:r>
      <w:r w:rsidR="00B768BE">
        <w:rPr>
          <w:rFonts w:ascii="Times New Roman" w:hAnsi="Times New Roman"/>
          <w:sz w:val="24"/>
          <w:szCs w:val="24"/>
          <w:lang w:val="en-US"/>
        </w:rPr>
        <w:t>nd</w:t>
      </w:r>
      <w:r w:rsidR="00851AA1">
        <w:rPr>
          <w:rFonts w:ascii="Times New Roman" w:hAnsi="Times New Roman"/>
          <w:sz w:val="24"/>
          <w:szCs w:val="24"/>
          <w:lang w:val="en-US"/>
        </w:rPr>
        <w:t xml:space="preserve"> it shrinks </w:t>
      </w:r>
      <w:r w:rsidR="004F575A">
        <w:rPr>
          <w:rFonts w:ascii="Times New Roman" w:hAnsi="Times New Roman"/>
          <w:sz w:val="24"/>
          <w:szCs w:val="24"/>
          <w:lang w:val="en-US"/>
        </w:rPr>
        <w:t>the</w:t>
      </w:r>
      <w:r w:rsidR="004F575A" w:rsidRPr="008C3D1F">
        <w:rPr>
          <w:rFonts w:ascii="Times New Roman" w:hAnsi="Times New Roman"/>
          <w:sz w:val="24"/>
          <w:szCs w:val="24"/>
          <w:lang w:val="en-US"/>
        </w:rPr>
        <w:t xml:space="preserve"> borrowing </w:t>
      </w:r>
      <w:r w:rsidR="004F575A">
        <w:rPr>
          <w:rFonts w:ascii="Times New Roman" w:hAnsi="Times New Roman"/>
          <w:sz w:val="24"/>
          <w:szCs w:val="24"/>
          <w:lang w:val="en-US"/>
        </w:rPr>
        <w:t>capacity of the firm.</w:t>
      </w:r>
      <w:r w:rsidR="00FA292F">
        <w:rPr>
          <w:rFonts w:ascii="Times New Roman" w:hAnsi="Times New Roman"/>
          <w:sz w:val="24"/>
          <w:szCs w:val="24"/>
          <w:lang w:val="en-US"/>
        </w:rPr>
        <w:t xml:space="preserve"> </w:t>
      </w:r>
      <w:r w:rsidR="003F1A16" w:rsidRPr="008C3D1F">
        <w:rPr>
          <w:rFonts w:ascii="Times New Roman" w:hAnsi="Times New Roman"/>
          <w:sz w:val="24"/>
          <w:szCs w:val="24"/>
          <w:lang w:val="en-US"/>
        </w:rPr>
        <w:t>The</w:t>
      </w:r>
      <w:r w:rsidR="00851AA1">
        <w:rPr>
          <w:rFonts w:ascii="Times New Roman" w:hAnsi="Times New Roman"/>
          <w:sz w:val="24"/>
          <w:szCs w:val="24"/>
          <w:lang w:val="en-US"/>
        </w:rPr>
        <w:t xml:space="preserve"> main</w:t>
      </w:r>
      <w:r w:rsidR="00FA292F">
        <w:rPr>
          <w:rFonts w:ascii="Times New Roman" w:hAnsi="Times New Roman"/>
          <w:sz w:val="24"/>
          <w:szCs w:val="24"/>
          <w:lang w:val="en-US"/>
        </w:rPr>
        <w:t xml:space="preserve"> implication of this</w:t>
      </w:r>
      <w:r w:rsidR="00851AA1">
        <w:rPr>
          <w:rFonts w:ascii="Times New Roman" w:hAnsi="Times New Roman"/>
          <w:sz w:val="24"/>
          <w:szCs w:val="24"/>
          <w:lang w:val="en-US"/>
        </w:rPr>
        <w:t xml:space="preserve"> theoretical</w:t>
      </w:r>
      <w:r w:rsidR="00FA292F">
        <w:rPr>
          <w:rFonts w:ascii="Times New Roman" w:hAnsi="Times New Roman"/>
          <w:sz w:val="24"/>
          <w:szCs w:val="24"/>
          <w:lang w:val="en-US"/>
        </w:rPr>
        <w:t xml:space="preserve"> </w:t>
      </w:r>
      <w:r w:rsidR="00F1098B">
        <w:rPr>
          <w:rFonts w:ascii="Times New Roman" w:hAnsi="Times New Roman"/>
          <w:sz w:val="24"/>
          <w:szCs w:val="24"/>
          <w:lang w:val="en-US"/>
        </w:rPr>
        <w:t>proposition</w:t>
      </w:r>
      <w:r w:rsidR="00851AA1">
        <w:rPr>
          <w:rFonts w:ascii="Times New Roman" w:hAnsi="Times New Roman"/>
          <w:sz w:val="24"/>
          <w:szCs w:val="24"/>
          <w:lang w:val="en-US"/>
        </w:rPr>
        <w:t xml:space="preserve"> is that</w:t>
      </w:r>
      <w:r w:rsidR="00D06B74" w:rsidRPr="008C3D1F">
        <w:rPr>
          <w:rFonts w:ascii="Times New Roman" w:hAnsi="Times New Roman"/>
          <w:sz w:val="24"/>
          <w:szCs w:val="24"/>
          <w:lang w:val="en-US"/>
        </w:rPr>
        <w:t xml:space="preserve"> </w:t>
      </w:r>
      <w:r w:rsidR="003F1A16" w:rsidRPr="008C3D1F">
        <w:rPr>
          <w:rFonts w:ascii="Times New Roman" w:hAnsi="Times New Roman"/>
          <w:sz w:val="24"/>
          <w:szCs w:val="24"/>
          <w:lang w:val="en-US"/>
        </w:rPr>
        <w:lastRenderedPageBreak/>
        <w:t>R&amp;D firms</w:t>
      </w:r>
      <w:r w:rsidR="00D06B74" w:rsidRPr="008C3D1F">
        <w:rPr>
          <w:rFonts w:ascii="Times New Roman" w:hAnsi="Times New Roman"/>
          <w:sz w:val="24"/>
          <w:szCs w:val="24"/>
          <w:lang w:val="en-US"/>
        </w:rPr>
        <w:t xml:space="preserve"> encounter</w:t>
      </w:r>
      <w:r w:rsidR="003F1A16" w:rsidRPr="008C3D1F">
        <w:rPr>
          <w:rFonts w:ascii="Times New Roman" w:hAnsi="Times New Roman"/>
          <w:sz w:val="24"/>
          <w:szCs w:val="24"/>
          <w:lang w:val="en-US"/>
        </w:rPr>
        <w:t xml:space="preserve"> </w:t>
      </w:r>
      <w:r w:rsidR="00D06B74" w:rsidRPr="008C3D1F">
        <w:rPr>
          <w:rFonts w:ascii="Times New Roman" w:hAnsi="Times New Roman"/>
          <w:sz w:val="24"/>
          <w:szCs w:val="24"/>
          <w:lang w:val="en-US"/>
        </w:rPr>
        <w:t>difficulties to finance</w:t>
      </w:r>
      <w:r w:rsidR="003F1A16" w:rsidRPr="008C3D1F">
        <w:rPr>
          <w:rFonts w:ascii="Times New Roman" w:hAnsi="Times New Roman"/>
          <w:sz w:val="24"/>
          <w:szCs w:val="24"/>
          <w:lang w:val="en-US"/>
        </w:rPr>
        <w:t xml:space="preserve"> </w:t>
      </w:r>
      <w:r w:rsidR="00FA292F" w:rsidRPr="008C3D1F">
        <w:rPr>
          <w:rFonts w:ascii="Times New Roman" w:hAnsi="Times New Roman"/>
          <w:sz w:val="24"/>
          <w:szCs w:val="24"/>
          <w:lang w:val="en-US"/>
        </w:rPr>
        <w:t>future innovation projects</w:t>
      </w:r>
      <w:r w:rsidR="00851AA1">
        <w:rPr>
          <w:rFonts w:ascii="Times New Roman" w:hAnsi="Times New Roman"/>
          <w:sz w:val="24"/>
          <w:szCs w:val="24"/>
          <w:lang w:val="en-US"/>
        </w:rPr>
        <w:t>, which in turn</w:t>
      </w:r>
      <w:r w:rsidR="00FA292F" w:rsidRPr="008C3D1F">
        <w:rPr>
          <w:rFonts w:ascii="Times New Roman" w:hAnsi="Times New Roman"/>
          <w:sz w:val="24"/>
          <w:szCs w:val="24"/>
          <w:lang w:val="en-US"/>
        </w:rPr>
        <w:t xml:space="preserve"> lead</w:t>
      </w:r>
      <w:r w:rsidR="003F1A16" w:rsidRPr="008C3D1F">
        <w:rPr>
          <w:rFonts w:ascii="Times New Roman" w:hAnsi="Times New Roman"/>
          <w:sz w:val="24"/>
          <w:szCs w:val="24"/>
          <w:lang w:val="en-US"/>
        </w:rPr>
        <w:t xml:space="preserve"> </w:t>
      </w:r>
      <w:r w:rsidR="001450D3" w:rsidRPr="008C3D1F">
        <w:rPr>
          <w:rFonts w:ascii="Times New Roman" w:hAnsi="Times New Roman"/>
          <w:sz w:val="24"/>
          <w:szCs w:val="24"/>
          <w:lang w:val="en-US"/>
        </w:rPr>
        <w:t>to efficiency losses and lower productivity growth. The key element tested in th</w:t>
      </w:r>
      <w:r w:rsidR="00B768BE">
        <w:rPr>
          <w:rFonts w:ascii="Times New Roman" w:hAnsi="Times New Roman"/>
          <w:sz w:val="24"/>
          <w:szCs w:val="24"/>
          <w:lang w:val="en-US"/>
        </w:rPr>
        <w:t>is</w:t>
      </w:r>
      <w:r w:rsidR="001450D3" w:rsidRPr="008C3D1F">
        <w:rPr>
          <w:rFonts w:ascii="Times New Roman" w:hAnsi="Times New Roman"/>
          <w:sz w:val="24"/>
          <w:szCs w:val="24"/>
          <w:lang w:val="en-US"/>
        </w:rPr>
        <w:t xml:space="preserve"> paper is whether</w:t>
      </w:r>
      <w:r w:rsidR="007E5BCF">
        <w:rPr>
          <w:rFonts w:ascii="Times New Roman" w:hAnsi="Times New Roman"/>
          <w:sz w:val="24"/>
          <w:szCs w:val="24"/>
          <w:lang w:val="en-US"/>
        </w:rPr>
        <w:t xml:space="preserve"> higher average tax expen</w:t>
      </w:r>
      <w:r w:rsidR="00B768BE">
        <w:rPr>
          <w:rFonts w:ascii="Times New Roman" w:hAnsi="Times New Roman"/>
          <w:sz w:val="24"/>
          <w:szCs w:val="24"/>
          <w:lang w:val="en-US"/>
        </w:rPr>
        <w:t>ses</w:t>
      </w:r>
      <w:r w:rsidR="007E5BCF">
        <w:rPr>
          <w:rFonts w:ascii="Times New Roman" w:hAnsi="Times New Roman"/>
          <w:sz w:val="24"/>
          <w:szCs w:val="24"/>
          <w:lang w:val="en-US"/>
        </w:rPr>
        <w:t xml:space="preserve"> </w:t>
      </w:r>
      <w:r w:rsidR="00B768BE">
        <w:rPr>
          <w:rFonts w:ascii="Times New Roman" w:hAnsi="Times New Roman"/>
          <w:sz w:val="24"/>
          <w:szCs w:val="24"/>
          <w:lang w:val="en-US"/>
        </w:rPr>
        <w:t>lead to</w:t>
      </w:r>
      <w:r w:rsidR="007E5BCF">
        <w:rPr>
          <w:rFonts w:ascii="Times New Roman" w:hAnsi="Times New Roman"/>
          <w:sz w:val="24"/>
          <w:szCs w:val="24"/>
          <w:lang w:val="en-US"/>
        </w:rPr>
        <w:t xml:space="preserve"> adverse effects </w:t>
      </w:r>
      <w:r w:rsidR="00B768BE">
        <w:rPr>
          <w:rFonts w:ascii="Times New Roman" w:hAnsi="Times New Roman"/>
          <w:sz w:val="24"/>
          <w:szCs w:val="24"/>
          <w:lang w:val="en-US"/>
        </w:rPr>
        <w:t>o</w:t>
      </w:r>
      <w:r w:rsidR="007E5BCF" w:rsidRPr="008C3D1F">
        <w:rPr>
          <w:rFonts w:ascii="Times New Roman" w:hAnsi="Times New Roman"/>
          <w:sz w:val="24"/>
          <w:szCs w:val="24"/>
          <w:lang w:val="en-US"/>
        </w:rPr>
        <w:t xml:space="preserve">n the financial position </w:t>
      </w:r>
      <w:r w:rsidR="007E5BCF">
        <w:rPr>
          <w:rFonts w:ascii="Times New Roman" w:hAnsi="Times New Roman"/>
          <w:sz w:val="24"/>
          <w:szCs w:val="24"/>
          <w:lang w:val="en-US"/>
        </w:rPr>
        <w:t xml:space="preserve">and </w:t>
      </w:r>
      <w:r w:rsidR="007E5BCF" w:rsidRPr="008C3D1F">
        <w:rPr>
          <w:rFonts w:ascii="Times New Roman" w:hAnsi="Times New Roman"/>
          <w:sz w:val="24"/>
          <w:szCs w:val="24"/>
          <w:lang w:val="en-US"/>
        </w:rPr>
        <w:t>borrowing capacity of R&amp;D firms</w:t>
      </w:r>
      <w:r w:rsidR="007E5BCF">
        <w:rPr>
          <w:rFonts w:ascii="Times New Roman" w:hAnsi="Times New Roman"/>
          <w:sz w:val="24"/>
          <w:szCs w:val="24"/>
          <w:lang w:val="en-US"/>
        </w:rPr>
        <w:t>.</w:t>
      </w:r>
    </w:p>
    <w:p w:rsidR="00EF0740" w:rsidRDefault="00464EAC" w:rsidP="003835D9">
      <w:pPr>
        <w:ind w:firstLine="357"/>
        <w:rPr>
          <w:rFonts w:ascii="Times New Roman" w:hAnsi="Times New Roman"/>
          <w:sz w:val="24"/>
          <w:szCs w:val="24"/>
          <w:lang w:val="en-US"/>
        </w:rPr>
      </w:pPr>
      <w:r>
        <w:rPr>
          <w:rFonts w:ascii="Times New Roman" w:hAnsi="Times New Roman"/>
          <w:sz w:val="24"/>
          <w:szCs w:val="24"/>
          <w:lang w:val="en-US"/>
        </w:rPr>
        <w:t xml:space="preserve">Changes in the corporate tax can also impact </w:t>
      </w:r>
      <w:r w:rsidR="009F2535">
        <w:rPr>
          <w:rFonts w:ascii="Times New Roman" w:hAnsi="Times New Roman"/>
          <w:sz w:val="24"/>
          <w:szCs w:val="24"/>
          <w:lang w:val="en-US"/>
        </w:rPr>
        <w:t>firm</w:t>
      </w:r>
      <w:r>
        <w:rPr>
          <w:rFonts w:ascii="Times New Roman" w:hAnsi="Times New Roman"/>
          <w:sz w:val="24"/>
          <w:szCs w:val="24"/>
          <w:lang w:val="en-US"/>
        </w:rPr>
        <w:t xml:space="preserve">s’ commitments in serving </w:t>
      </w:r>
      <w:r w:rsidR="00F30538">
        <w:rPr>
          <w:rFonts w:ascii="Times New Roman" w:hAnsi="Times New Roman"/>
          <w:sz w:val="24"/>
          <w:szCs w:val="24"/>
          <w:lang w:val="en-US"/>
        </w:rPr>
        <w:t>international market</w:t>
      </w:r>
      <w:r w:rsidR="00E964F6">
        <w:rPr>
          <w:rFonts w:ascii="Times New Roman" w:hAnsi="Times New Roman"/>
          <w:sz w:val="24"/>
          <w:szCs w:val="24"/>
          <w:lang w:val="en-US"/>
        </w:rPr>
        <w:t>s</w:t>
      </w:r>
      <w:r>
        <w:rPr>
          <w:rFonts w:ascii="Times New Roman" w:hAnsi="Times New Roman"/>
          <w:sz w:val="24"/>
          <w:szCs w:val="24"/>
          <w:lang w:val="en-US"/>
        </w:rPr>
        <w:t>. Exporting</w:t>
      </w:r>
      <w:r w:rsidR="00F30538">
        <w:rPr>
          <w:rFonts w:ascii="Times New Roman" w:hAnsi="Times New Roman"/>
          <w:sz w:val="24"/>
          <w:szCs w:val="24"/>
          <w:lang w:val="en-US"/>
        </w:rPr>
        <w:t xml:space="preserve"> </w:t>
      </w:r>
      <w:r w:rsidR="00B768BE">
        <w:rPr>
          <w:rFonts w:ascii="Times New Roman" w:hAnsi="Times New Roman"/>
          <w:sz w:val="24"/>
          <w:szCs w:val="24"/>
          <w:lang w:val="en-US"/>
        </w:rPr>
        <w:t xml:space="preserve">involves </w:t>
      </w:r>
      <w:r>
        <w:rPr>
          <w:rFonts w:ascii="Times New Roman" w:hAnsi="Times New Roman"/>
          <w:sz w:val="24"/>
          <w:szCs w:val="24"/>
          <w:lang w:val="en-US"/>
        </w:rPr>
        <w:t xml:space="preserve">relatively </w:t>
      </w:r>
      <w:r w:rsidR="00F30538">
        <w:rPr>
          <w:rFonts w:ascii="Times New Roman" w:hAnsi="Times New Roman"/>
          <w:sz w:val="24"/>
          <w:szCs w:val="24"/>
          <w:lang w:val="en-US"/>
        </w:rPr>
        <w:t>hig</w:t>
      </w:r>
      <w:r w:rsidR="00465F34">
        <w:rPr>
          <w:rFonts w:ascii="Times New Roman" w:hAnsi="Times New Roman"/>
          <w:sz w:val="24"/>
          <w:szCs w:val="24"/>
          <w:lang w:val="en-US"/>
        </w:rPr>
        <w:t>her levels of</w:t>
      </w:r>
      <w:r w:rsidR="00EA3DBE">
        <w:rPr>
          <w:rFonts w:ascii="Times New Roman" w:hAnsi="Times New Roman"/>
          <w:sz w:val="24"/>
          <w:szCs w:val="24"/>
          <w:lang w:val="en-US"/>
        </w:rPr>
        <w:t xml:space="preserve"> </w:t>
      </w:r>
      <w:r w:rsidR="00DC06CC">
        <w:rPr>
          <w:rFonts w:ascii="Times New Roman" w:hAnsi="Times New Roman"/>
          <w:sz w:val="24"/>
          <w:szCs w:val="24"/>
          <w:lang w:val="en-US"/>
        </w:rPr>
        <w:t>business</w:t>
      </w:r>
      <w:r w:rsidR="00465F34">
        <w:rPr>
          <w:rFonts w:ascii="Times New Roman" w:hAnsi="Times New Roman"/>
          <w:sz w:val="24"/>
          <w:szCs w:val="24"/>
          <w:lang w:val="en-US"/>
        </w:rPr>
        <w:t xml:space="preserve"> </w:t>
      </w:r>
      <w:r w:rsidR="001E185B">
        <w:rPr>
          <w:rFonts w:ascii="Times New Roman" w:hAnsi="Times New Roman"/>
          <w:sz w:val="24"/>
          <w:szCs w:val="24"/>
          <w:lang w:val="en-US"/>
        </w:rPr>
        <w:t>costs</w:t>
      </w:r>
      <w:r w:rsidR="008C3D1F">
        <w:rPr>
          <w:rFonts w:ascii="Times New Roman" w:hAnsi="Times New Roman"/>
          <w:sz w:val="24"/>
          <w:szCs w:val="24"/>
          <w:lang w:val="en-US"/>
        </w:rPr>
        <w:t>,</w:t>
      </w:r>
      <w:r w:rsidR="008C3D1F">
        <w:rPr>
          <w:rStyle w:val="FootnoteReference"/>
          <w:rFonts w:ascii="Times New Roman" w:hAnsi="Times New Roman"/>
          <w:sz w:val="24"/>
          <w:szCs w:val="24"/>
          <w:lang w:val="en-US"/>
        </w:rPr>
        <w:footnoteReference w:id="7"/>
      </w:r>
      <w:r w:rsidR="001E185B">
        <w:rPr>
          <w:rFonts w:ascii="Times New Roman" w:hAnsi="Times New Roman"/>
          <w:sz w:val="24"/>
          <w:szCs w:val="24"/>
          <w:lang w:val="en-US"/>
        </w:rPr>
        <w:t xml:space="preserve"> </w:t>
      </w:r>
      <w:r w:rsidR="008C3D1F">
        <w:rPr>
          <w:rFonts w:ascii="Times New Roman" w:hAnsi="Times New Roman"/>
          <w:sz w:val="24"/>
          <w:szCs w:val="24"/>
          <w:lang w:val="en-US"/>
        </w:rPr>
        <w:t xml:space="preserve">which </w:t>
      </w:r>
      <w:r w:rsidR="001E185B">
        <w:rPr>
          <w:rFonts w:ascii="Times New Roman" w:hAnsi="Times New Roman"/>
          <w:sz w:val="24"/>
          <w:szCs w:val="24"/>
          <w:lang w:val="en-US"/>
        </w:rPr>
        <w:t>require</w:t>
      </w:r>
      <w:r w:rsidR="008C3D1F">
        <w:rPr>
          <w:rFonts w:ascii="Times New Roman" w:hAnsi="Times New Roman"/>
          <w:sz w:val="24"/>
          <w:szCs w:val="24"/>
          <w:lang w:val="en-US"/>
        </w:rPr>
        <w:t xml:space="preserve"> additional financial strength.</w:t>
      </w:r>
      <w:r w:rsidR="00EA3DBE">
        <w:rPr>
          <w:rFonts w:ascii="Times New Roman" w:hAnsi="Times New Roman"/>
          <w:sz w:val="24"/>
          <w:szCs w:val="24"/>
          <w:lang w:val="en-US"/>
        </w:rPr>
        <w:t xml:space="preserve"> </w:t>
      </w:r>
      <w:r w:rsidR="00E964F6">
        <w:rPr>
          <w:rFonts w:ascii="Times New Roman" w:hAnsi="Times New Roman"/>
          <w:sz w:val="24"/>
          <w:szCs w:val="24"/>
          <w:lang w:val="en-US"/>
        </w:rPr>
        <w:t>The c</w:t>
      </w:r>
      <w:r w:rsidR="009C0017">
        <w:rPr>
          <w:rFonts w:ascii="Times New Roman" w:hAnsi="Times New Roman"/>
          <w:sz w:val="24"/>
          <w:szCs w:val="24"/>
          <w:lang w:val="en-US"/>
        </w:rPr>
        <w:t xml:space="preserve">orporate tax system </w:t>
      </w:r>
      <w:r w:rsidR="00F30538">
        <w:rPr>
          <w:rFonts w:ascii="Times New Roman" w:hAnsi="Times New Roman"/>
          <w:sz w:val="24"/>
          <w:szCs w:val="24"/>
          <w:lang w:val="en-US"/>
        </w:rPr>
        <w:t xml:space="preserve">can create </w:t>
      </w:r>
      <w:r w:rsidR="00465F34">
        <w:rPr>
          <w:rFonts w:ascii="Times New Roman" w:hAnsi="Times New Roman"/>
          <w:sz w:val="24"/>
          <w:szCs w:val="24"/>
          <w:lang w:val="en-US"/>
        </w:rPr>
        <w:t>incentive</w:t>
      </w:r>
      <w:r w:rsidR="00E964F6">
        <w:rPr>
          <w:rFonts w:ascii="Times New Roman" w:hAnsi="Times New Roman"/>
          <w:sz w:val="24"/>
          <w:szCs w:val="24"/>
          <w:lang w:val="en-US"/>
        </w:rPr>
        <w:t>s</w:t>
      </w:r>
      <w:r w:rsidR="00465F34">
        <w:rPr>
          <w:rFonts w:ascii="Times New Roman" w:hAnsi="Times New Roman"/>
          <w:sz w:val="24"/>
          <w:szCs w:val="24"/>
          <w:lang w:val="en-US"/>
        </w:rPr>
        <w:t xml:space="preserve"> or disincentives for </w:t>
      </w:r>
      <w:r w:rsidR="00F30538">
        <w:rPr>
          <w:rFonts w:ascii="Times New Roman" w:hAnsi="Times New Roman"/>
          <w:sz w:val="24"/>
          <w:szCs w:val="24"/>
          <w:lang w:val="en-US"/>
        </w:rPr>
        <w:t>exporters</w:t>
      </w:r>
      <w:r w:rsidR="009C0017">
        <w:rPr>
          <w:rFonts w:ascii="Times New Roman" w:hAnsi="Times New Roman"/>
          <w:sz w:val="24"/>
          <w:szCs w:val="24"/>
          <w:lang w:val="en-US"/>
        </w:rPr>
        <w:t xml:space="preserve"> in a similar </w:t>
      </w:r>
      <w:r w:rsidR="00851AA1">
        <w:rPr>
          <w:rFonts w:ascii="Times New Roman" w:hAnsi="Times New Roman"/>
          <w:sz w:val="24"/>
          <w:szCs w:val="24"/>
          <w:lang w:val="en-US"/>
        </w:rPr>
        <w:t>fashion</w:t>
      </w:r>
      <w:r w:rsidR="009C0017">
        <w:rPr>
          <w:rFonts w:ascii="Times New Roman" w:hAnsi="Times New Roman"/>
          <w:sz w:val="24"/>
          <w:szCs w:val="24"/>
          <w:lang w:val="en-US"/>
        </w:rPr>
        <w:t xml:space="preserve"> </w:t>
      </w:r>
      <w:r w:rsidR="00DC06CC">
        <w:rPr>
          <w:rFonts w:ascii="Times New Roman" w:hAnsi="Times New Roman"/>
          <w:sz w:val="24"/>
          <w:szCs w:val="24"/>
          <w:lang w:val="en-US"/>
        </w:rPr>
        <w:t>as</w:t>
      </w:r>
      <w:r w:rsidR="009F2535">
        <w:rPr>
          <w:rFonts w:ascii="Times New Roman" w:hAnsi="Times New Roman"/>
          <w:sz w:val="24"/>
          <w:szCs w:val="24"/>
          <w:lang w:val="en-US"/>
        </w:rPr>
        <w:t xml:space="preserve"> it is with </w:t>
      </w:r>
      <w:r w:rsidR="009C0017">
        <w:rPr>
          <w:rFonts w:ascii="Times New Roman" w:hAnsi="Times New Roman"/>
          <w:sz w:val="24"/>
          <w:szCs w:val="24"/>
          <w:lang w:val="en-US"/>
        </w:rPr>
        <w:t>R&amp;D firms</w:t>
      </w:r>
      <w:r w:rsidR="00465F34">
        <w:rPr>
          <w:rFonts w:ascii="Times New Roman" w:hAnsi="Times New Roman"/>
          <w:sz w:val="24"/>
          <w:szCs w:val="24"/>
          <w:lang w:val="en-US"/>
        </w:rPr>
        <w:t xml:space="preserve">. </w:t>
      </w:r>
      <w:r w:rsidR="00A2208B">
        <w:rPr>
          <w:rFonts w:ascii="Times New Roman" w:hAnsi="Times New Roman"/>
          <w:sz w:val="24"/>
          <w:szCs w:val="24"/>
          <w:lang w:val="en-US"/>
        </w:rPr>
        <w:t>A</w:t>
      </w:r>
      <w:r w:rsidR="007E5BCF">
        <w:rPr>
          <w:rFonts w:ascii="Times New Roman" w:hAnsi="Times New Roman"/>
          <w:sz w:val="24"/>
          <w:szCs w:val="24"/>
          <w:lang w:val="en-US"/>
        </w:rPr>
        <w:t xml:space="preserve"> higher corporate liability </w:t>
      </w:r>
      <w:r w:rsidR="00175167">
        <w:rPr>
          <w:rFonts w:ascii="Times New Roman" w:hAnsi="Times New Roman"/>
          <w:sz w:val="24"/>
          <w:szCs w:val="24"/>
          <w:lang w:val="en-US"/>
        </w:rPr>
        <w:t>reduces firm’s working</w:t>
      </w:r>
      <w:r w:rsidR="00F30538">
        <w:rPr>
          <w:rFonts w:ascii="Times New Roman" w:hAnsi="Times New Roman"/>
          <w:sz w:val="24"/>
          <w:szCs w:val="24"/>
          <w:lang w:val="en-US"/>
        </w:rPr>
        <w:t xml:space="preserve"> </w:t>
      </w:r>
      <w:r w:rsidR="009C0017">
        <w:rPr>
          <w:rFonts w:ascii="Times New Roman" w:hAnsi="Times New Roman"/>
          <w:sz w:val="24"/>
          <w:szCs w:val="24"/>
          <w:lang w:val="en-US"/>
        </w:rPr>
        <w:t>capital</w:t>
      </w:r>
      <w:r w:rsidR="00A2208B">
        <w:rPr>
          <w:rFonts w:ascii="Times New Roman" w:hAnsi="Times New Roman"/>
          <w:sz w:val="24"/>
          <w:szCs w:val="24"/>
          <w:lang w:val="en-US"/>
        </w:rPr>
        <w:t xml:space="preserve"> a</w:t>
      </w:r>
      <w:r w:rsidR="00175167">
        <w:rPr>
          <w:rFonts w:ascii="Times New Roman" w:hAnsi="Times New Roman"/>
          <w:sz w:val="24"/>
          <w:szCs w:val="24"/>
          <w:lang w:val="en-US"/>
        </w:rPr>
        <w:t xml:space="preserve">s well as </w:t>
      </w:r>
      <w:r w:rsidR="00AD1753">
        <w:rPr>
          <w:rFonts w:ascii="Times New Roman" w:hAnsi="Times New Roman"/>
          <w:sz w:val="24"/>
          <w:szCs w:val="24"/>
          <w:lang w:val="en-US"/>
        </w:rPr>
        <w:t>it deteriorates</w:t>
      </w:r>
      <w:r w:rsidR="00A96406">
        <w:rPr>
          <w:rFonts w:ascii="Times New Roman" w:hAnsi="Times New Roman"/>
          <w:sz w:val="24"/>
          <w:szCs w:val="24"/>
          <w:lang w:val="en-US"/>
        </w:rPr>
        <w:t xml:space="preserve"> </w:t>
      </w:r>
      <w:r w:rsidR="001E185B">
        <w:rPr>
          <w:rFonts w:ascii="Times New Roman" w:hAnsi="Times New Roman"/>
          <w:sz w:val="24"/>
          <w:szCs w:val="24"/>
          <w:lang w:val="en-US"/>
        </w:rPr>
        <w:t>chances</w:t>
      </w:r>
      <w:r w:rsidR="008C3D1F">
        <w:rPr>
          <w:rFonts w:ascii="Times New Roman" w:hAnsi="Times New Roman"/>
          <w:sz w:val="24"/>
          <w:szCs w:val="24"/>
          <w:lang w:val="en-US"/>
        </w:rPr>
        <w:t xml:space="preserve"> for external finance.</w:t>
      </w:r>
      <w:r w:rsidR="009C0017">
        <w:rPr>
          <w:rFonts w:ascii="Times New Roman" w:hAnsi="Times New Roman"/>
          <w:sz w:val="24"/>
          <w:szCs w:val="24"/>
          <w:lang w:val="en-US"/>
        </w:rPr>
        <w:t xml:space="preserve"> </w:t>
      </w:r>
      <w:r w:rsidR="001E185B">
        <w:rPr>
          <w:rFonts w:ascii="Times New Roman" w:hAnsi="Times New Roman"/>
          <w:sz w:val="24"/>
          <w:szCs w:val="24"/>
          <w:lang w:val="en-US"/>
        </w:rPr>
        <w:t>Likewise with R&amp;D firms</w:t>
      </w:r>
      <w:r w:rsidR="008C3D1F">
        <w:rPr>
          <w:rFonts w:ascii="Times New Roman" w:hAnsi="Times New Roman"/>
          <w:sz w:val="24"/>
          <w:szCs w:val="24"/>
          <w:lang w:val="en-US"/>
        </w:rPr>
        <w:t>,</w:t>
      </w:r>
      <w:r w:rsidR="009C0017">
        <w:rPr>
          <w:rFonts w:ascii="Times New Roman" w:hAnsi="Times New Roman"/>
          <w:sz w:val="24"/>
          <w:szCs w:val="24"/>
          <w:lang w:val="en-US"/>
        </w:rPr>
        <w:t xml:space="preserve"> the</w:t>
      </w:r>
      <w:r w:rsidR="008C3D1F">
        <w:rPr>
          <w:rFonts w:ascii="Times New Roman" w:hAnsi="Times New Roman"/>
          <w:sz w:val="24"/>
          <w:szCs w:val="24"/>
          <w:lang w:val="en-US"/>
        </w:rPr>
        <w:t xml:space="preserve"> </w:t>
      </w:r>
      <w:r w:rsidR="00A2208B">
        <w:rPr>
          <w:rFonts w:ascii="Times New Roman" w:hAnsi="Times New Roman"/>
          <w:sz w:val="24"/>
          <w:szCs w:val="24"/>
          <w:lang w:val="en-US"/>
        </w:rPr>
        <w:t>paper investigates</w:t>
      </w:r>
      <w:r w:rsidR="008C3D1F">
        <w:rPr>
          <w:rFonts w:ascii="Times New Roman" w:hAnsi="Times New Roman"/>
          <w:sz w:val="24"/>
          <w:szCs w:val="24"/>
          <w:lang w:val="en-US"/>
        </w:rPr>
        <w:t xml:space="preserve"> whether higher levels of corporate taxation affect investment, which can lower</w:t>
      </w:r>
      <w:r w:rsidR="001E185B">
        <w:rPr>
          <w:rFonts w:ascii="Times New Roman" w:hAnsi="Times New Roman"/>
          <w:sz w:val="24"/>
          <w:szCs w:val="24"/>
          <w:lang w:val="en-US"/>
        </w:rPr>
        <w:t xml:space="preserve"> </w:t>
      </w:r>
      <w:r w:rsidR="008C3D1F">
        <w:rPr>
          <w:rFonts w:ascii="Times New Roman" w:hAnsi="Times New Roman"/>
          <w:sz w:val="24"/>
          <w:szCs w:val="24"/>
          <w:lang w:val="en-US"/>
        </w:rPr>
        <w:t xml:space="preserve">productivity </w:t>
      </w:r>
      <w:r w:rsidR="001E185B">
        <w:rPr>
          <w:rFonts w:ascii="Times New Roman" w:hAnsi="Times New Roman"/>
          <w:sz w:val="24"/>
          <w:szCs w:val="24"/>
          <w:lang w:val="en-US"/>
        </w:rPr>
        <w:t xml:space="preserve">growth and </w:t>
      </w:r>
      <w:r w:rsidR="00157BA3">
        <w:rPr>
          <w:rFonts w:ascii="Times New Roman" w:hAnsi="Times New Roman"/>
          <w:sz w:val="24"/>
          <w:szCs w:val="24"/>
          <w:lang w:val="en-US"/>
        </w:rPr>
        <w:t>restrict</w:t>
      </w:r>
      <w:r w:rsidR="008C3D1F">
        <w:rPr>
          <w:rFonts w:ascii="Times New Roman" w:hAnsi="Times New Roman"/>
          <w:sz w:val="24"/>
          <w:szCs w:val="24"/>
          <w:lang w:val="en-US"/>
        </w:rPr>
        <w:t xml:space="preserve"> the </w:t>
      </w:r>
      <w:r w:rsidR="001E185B">
        <w:rPr>
          <w:rFonts w:ascii="Times New Roman" w:hAnsi="Times New Roman"/>
          <w:sz w:val="24"/>
          <w:szCs w:val="24"/>
          <w:lang w:val="en-US"/>
        </w:rPr>
        <w:t xml:space="preserve">international </w:t>
      </w:r>
      <w:r w:rsidR="008C3D1F">
        <w:rPr>
          <w:rFonts w:ascii="Times New Roman" w:hAnsi="Times New Roman"/>
          <w:sz w:val="24"/>
          <w:szCs w:val="24"/>
          <w:lang w:val="en-US"/>
        </w:rPr>
        <w:t xml:space="preserve">commitment </w:t>
      </w:r>
      <w:r w:rsidR="001E185B">
        <w:rPr>
          <w:rFonts w:ascii="Times New Roman" w:hAnsi="Times New Roman"/>
          <w:sz w:val="24"/>
          <w:szCs w:val="24"/>
          <w:lang w:val="en-US"/>
        </w:rPr>
        <w:t>of UK exporters</w:t>
      </w:r>
      <w:r w:rsidR="007103A6">
        <w:rPr>
          <w:rFonts w:ascii="Times New Roman" w:hAnsi="Times New Roman"/>
          <w:sz w:val="24"/>
          <w:szCs w:val="24"/>
          <w:lang w:val="en-US"/>
        </w:rPr>
        <w:t>.</w:t>
      </w:r>
      <w:r w:rsidR="00EF0740">
        <w:rPr>
          <w:rStyle w:val="FootnoteReference"/>
          <w:rFonts w:ascii="Times New Roman" w:hAnsi="Times New Roman"/>
          <w:sz w:val="24"/>
          <w:szCs w:val="24"/>
          <w:lang w:val="en-US"/>
        </w:rPr>
        <w:footnoteReference w:id="8"/>
      </w:r>
      <w:r w:rsidR="00EF0740">
        <w:rPr>
          <w:rFonts w:ascii="Times New Roman" w:hAnsi="Times New Roman"/>
          <w:sz w:val="24"/>
          <w:szCs w:val="24"/>
          <w:lang w:val="en-US"/>
        </w:rPr>
        <w:tab/>
      </w:r>
    </w:p>
    <w:p w:rsidR="003163C2" w:rsidRDefault="005C61CB" w:rsidP="003835D9">
      <w:pPr>
        <w:ind w:firstLine="357"/>
        <w:rPr>
          <w:rFonts w:ascii="Times New Roman" w:hAnsi="Times New Roman"/>
          <w:sz w:val="24"/>
          <w:szCs w:val="24"/>
          <w:lang w:val="en-US"/>
        </w:rPr>
      </w:pPr>
      <w:r>
        <w:rPr>
          <w:rFonts w:asciiTheme="majorBidi" w:hAnsiTheme="majorBidi" w:cstheme="majorBidi"/>
          <w:sz w:val="24"/>
          <w:szCs w:val="24"/>
          <w:lang w:val="en-US"/>
        </w:rPr>
        <w:t>To sum up</w:t>
      </w:r>
      <w:r w:rsidR="003E74EB" w:rsidRPr="00835E4A">
        <w:rPr>
          <w:rFonts w:asciiTheme="majorBidi" w:hAnsiTheme="majorBidi" w:cstheme="majorBidi"/>
          <w:sz w:val="24"/>
          <w:szCs w:val="24"/>
          <w:lang w:val="en-US"/>
        </w:rPr>
        <w:t xml:space="preserve"> the previous considerations, we </w:t>
      </w:r>
      <w:r w:rsidR="004C30A9" w:rsidRPr="00835E4A">
        <w:rPr>
          <w:rFonts w:asciiTheme="majorBidi" w:hAnsiTheme="majorBidi" w:cstheme="majorBidi"/>
          <w:sz w:val="24"/>
          <w:szCs w:val="24"/>
          <w:lang w:val="en-US"/>
        </w:rPr>
        <w:t>investigate</w:t>
      </w:r>
      <w:r w:rsidR="003E74EB" w:rsidRPr="00835E4A">
        <w:rPr>
          <w:rFonts w:asciiTheme="majorBidi" w:hAnsiTheme="majorBidi" w:cstheme="majorBidi"/>
          <w:sz w:val="24"/>
          <w:szCs w:val="24"/>
          <w:lang w:val="en-US"/>
        </w:rPr>
        <w:t xml:space="preserve"> the </w:t>
      </w:r>
      <w:r w:rsidR="007103A6">
        <w:rPr>
          <w:rFonts w:asciiTheme="majorBidi" w:hAnsiTheme="majorBidi" w:cstheme="majorBidi"/>
          <w:sz w:val="24"/>
          <w:szCs w:val="24"/>
          <w:lang w:val="en-US"/>
        </w:rPr>
        <w:t xml:space="preserve">distortionary </w:t>
      </w:r>
      <w:r w:rsidR="003E74EB" w:rsidRPr="00835E4A">
        <w:rPr>
          <w:rFonts w:asciiTheme="majorBidi" w:hAnsiTheme="majorBidi" w:cstheme="majorBidi"/>
          <w:sz w:val="24"/>
          <w:szCs w:val="24"/>
          <w:lang w:val="en-US"/>
        </w:rPr>
        <w:t>effect</w:t>
      </w:r>
      <w:r w:rsidR="007103A6">
        <w:rPr>
          <w:rFonts w:asciiTheme="majorBidi" w:hAnsiTheme="majorBidi" w:cstheme="majorBidi"/>
          <w:sz w:val="24"/>
          <w:szCs w:val="24"/>
          <w:lang w:val="en-US"/>
        </w:rPr>
        <w:t>s</w:t>
      </w:r>
      <w:r w:rsidR="003E74EB" w:rsidRPr="00835E4A">
        <w:rPr>
          <w:rFonts w:asciiTheme="majorBidi" w:hAnsiTheme="majorBidi" w:cstheme="majorBidi"/>
          <w:sz w:val="24"/>
          <w:szCs w:val="24"/>
          <w:lang w:val="en-US"/>
        </w:rPr>
        <w:t xml:space="preserve"> of taxation on</w:t>
      </w:r>
      <w:r w:rsidR="007103A6">
        <w:rPr>
          <w:rFonts w:asciiTheme="majorBidi" w:hAnsiTheme="majorBidi" w:cstheme="majorBidi"/>
          <w:sz w:val="24"/>
          <w:szCs w:val="24"/>
          <w:lang w:val="en-US"/>
        </w:rPr>
        <w:t xml:space="preserve"> firm</w:t>
      </w:r>
      <w:r w:rsidR="003E74EB" w:rsidRPr="00835E4A">
        <w:rPr>
          <w:rFonts w:asciiTheme="majorBidi" w:hAnsiTheme="majorBidi" w:cstheme="majorBidi"/>
          <w:sz w:val="24"/>
          <w:szCs w:val="24"/>
          <w:lang w:val="en-US"/>
        </w:rPr>
        <w:t xml:space="preserve"> productivity with</w:t>
      </w:r>
      <w:r w:rsidR="004C30A9" w:rsidRPr="00835E4A">
        <w:rPr>
          <w:rFonts w:asciiTheme="majorBidi" w:hAnsiTheme="majorBidi" w:cstheme="majorBidi"/>
          <w:sz w:val="24"/>
          <w:szCs w:val="24"/>
          <w:lang w:val="en-US"/>
        </w:rPr>
        <w:t>in</w:t>
      </w:r>
      <w:r w:rsidR="003E74EB" w:rsidRPr="00835E4A">
        <w:rPr>
          <w:rFonts w:asciiTheme="majorBidi" w:hAnsiTheme="majorBidi" w:cstheme="majorBidi"/>
          <w:sz w:val="24"/>
          <w:szCs w:val="24"/>
          <w:lang w:val="en-US"/>
        </w:rPr>
        <w:t xml:space="preserve"> a convergence </w:t>
      </w:r>
      <w:r w:rsidR="004C30A9" w:rsidRPr="00835E4A">
        <w:rPr>
          <w:rFonts w:asciiTheme="majorBidi" w:hAnsiTheme="majorBidi" w:cstheme="majorBidi"/>
          <w:sz w:val="24"/>
          <w:szCs w:val="24"/>
          <w:lang w:val="en-US"/>
        </w:rPr>
        <w:t>framework</w:t>
      </w:r>
      <w:r w:rsidR="006737C7">
        <w:rPr>
          <w:rFonts w:asciiTheme="majorBidi" w:hAnsiTheme="majorBidi" w:cstheme="majorBidi"/>
          <w:sz w:val="24"/>
          <w:szCs w:val="24"/>
          <w:lang w:val="en-US"/>
        </w:rPr>
        <w:t xml:space="preserve">. </w:t>
      </w:r>
      <w:r w:rsidR="00DC06CC">
        <w:rPr>
          <w:rFonts w:ascii="Times New Roman" w:hAnsi="Times New Roman"/>
          <w:sz w:val="24"/>
          <w:szCs w:val="24"/>
          <w:lang w:val="en-US"/>
        </w:rPr>
        <w:t xml:space="preserve">The </w:t>
      </w:r>
      <w:r w:rsidR="007103A6">
        <w:rPr>
          <w:rFonts w:ascii="Times New Roman" w:hAnsi="Times New Roman"/>
          <w:sz w:val="24"/>
          <w:szCs w:val="24"/>
          <w:lang w:val="en-US"/>
        </w:rPr>
        <w:t>empirical</w:t>
      </w:r>
      <w:r w:rsidR="00BD0960">
        <w:rPr>
          <w:rFonts w:ascii="Times New Roman" w:hAnsi="Times New Roman"/>
          <w:sz w:val="24"/>
          <w:szCs w:val="24"/>
          <w:lang w:val="en-US"/>
        </w:rPr>
        <w:t xml:space="preserve"> </w:t>
      </w:r>
      <w:r w:rsidR="00DC06CC">
        <w:rPr>
          <w:rFonts w:ascii="Times New Roman" w:hAnsi="Times New Roman"/>
          <w:sz w:val="24"/>
          <w:szCs w:val="24"/>
          <w:lang w:val="en-US"/>
        </w:rPr>
        <w:t xml:space="preserve">evidence </w:t>
      </w:r>
      <w:r w:rsidR="007103A6">
        <w:rPr>
          <w:rFonts w:ascii="Times New Roman" w:hAnsi="Times New Roman"/>
          <w:sz w:val="24"/>
          <w:szCs w:val="24"/>
          <w:lang w:val="en-US"/>
        </w:rPr>
        <w:t>o</w:t>
      </w:r>
      <w:r w:rsidR="00DC06CC">
        <w:rPr>
          <w:rFonts w:ascii="Times New Roman" w:hAnsi="Times New Roman"/>
          <w:sz w:val="24"/>
          <w:szCs w:val="24"/>
          <w:lang w:val="en-US"/>
        </w:rPr>
        <w:t>f</w:t>
      </w:r>
      <w:r w:rsidR="007103A6">
        <w:rPr>
          <w:rFonts w:ascii="Times New Roman" w:hAnsi="Times New Roman"/>
          <w:sz w:val="24"/>
          <w:szCs w:val="24"/>
          <w:lang w:val="en-US"/>
        </w:rPr>
        <w:t xml:space="preserve"> </w:t>
      </w:r>
      <w:r w:rsidR="00BD0960">
        <w:rPr>
          <w:rFonts w:ascii="Times New Roman" w:hAnsi="Times New Roman"/>
          <w:sz w:val="24"/>
          <w:szCs w:val="24"/>
          <w:lang w:val="en-US"/>
        </w:rPr>
        <w:t xml:space="preserve">the </w:t>
      </w:r>
      <w:r w:rsidR="007103A6">
        <w:rPr>
          <w:rFonts w:ascii="Times New Roman" w:hAnsi="Times New Roman"/>
          <w:sz w:val="24"/>
          <w:szCs w:val="24"/>
          <w:lang w:val="en-US"/>
        </w:rPr>
        <w:t>paper is taken from</w:t>
      </w:r>
      <w:r w:rsidR="00BD0960">
        <w:rPr>
          <w:rFonts w:ascii="Times New Roman" w:hAnsi="Times New Roman"/>
          <w:sz w:val="24"/>
          <w:szCs w:val="24"/>
          <w:lang w:val="en-US"/>
        </w:rPr>
        <w:t xml:space="preserve"> FAME</w:t>
      </w:r>
      <w:r w:rsidR="00BD0960" w:rsidRPr="00411E78">
        <w:rPr>
          <w:rFonts w:ascii="Times New Roman" w:hAnsi="Times New Roman"/>
          <w:sz w:val="24"/>
          <w:szCs w:val="24"/>
          <w:lang w:val="en-US"/>
        </w:rPr>
        <w:t xml:space="preserve"> data</w:t>
      </w:r>
      <w:r w:rsidR="007103A6">
        <w:rPr>
          <w:rFonts w:ascii="Times New Roman" w:hAnsi="Times New Roman"/>
          <w:sz w:val="24"/>
          <w:szCs w:val="24"/>
          <w:lang w:val="en-US"/>
        </w:rPr>
        <w:t xml:space="preserve"> of</w:t>
      </w:r>
      <w:r w:rsidR="00BD0960" w:rsidRPr="00411E78">
        <w:rPr>
          <w:rFonts w:ascii="Times New Roman" w:hAnsi="Times New Roman"/>
          <w:sz w:val="24"/>
          <w:szCs w:val="24"/>
          <w:lang w:val="en-US"/>
        </w:rPr>
        <w:t xml:space="preserve"> </w:t>
      </w:r>
      <w:r w:rsidR="007103A6" w:rsidRPr="00411E78">
        <w:rPr>
          <w:rFonts w:ascii="Times New Roman" w:hAnsi="Times New Roman"/>
          <w:sz w:val="24"/>
          <w:szCs w:val="24"/>
          <w:lang w:val="en-US"/>
        </w:rPr>
        <w:t xml:space="preserve">UK </w:t>
      </w:r>
      <w:r w:rsidR="00BD0960" w:rsidRPr="00411E78">
        <w:rPr>
          <w:rFonts w:ascii="Times New Roman" w:hAnsi="Times New Roman"/>
          <w:sz w:val="24"/>
          <w:szCs w:val="24"/>
          <w:lang w:val="en-US"/>
        </w:rPr>
        <w:t xml:space="preserve">manufacturing firms </w:t>
      </w:r>
      <w:r w:rsidR="007103A6">
        <w:rPr>
          <w:rFonts w:ascii="Times New Roman" w:hAnsi="Times New Roman"/>
          <w:sz w:val="24"/>
          <w:szCs w:val="24"/>
          <w:lang w:val="en-US"/>
        </w:rPr>
        <w:t>for</w:t>
      </w:r>
      <w:r w:rsidR="00BD0960" w:rsidRPr="00411E78">
        <w:rPr>
          <w:rFonts w:ascii="Times New Roman" w:hAnsi="Times New Roman"/>
          <w:sz w:val="24"/>
          <w:szCs w:val="24"/>
          <w:lang w:val="en-US"/>
        </w:rPr>
        <w:t xml:space="preserve"> the period </w:t>
      </w:r>
      <w:r w:rsidR="00BD0960">
        <w:rPr>
          <w:rFonts w:ascii="Times New Roman" w:hAnsi="Times New Roman"/>
          <w:sz w:val="24"/>
          <w:szCs w:val="24"/>
          <w:lang w:val="en-US"/>
        </w:rPr>
        <w:t>2004</w:t>
      </w:r>
      <w:r w:rsidR="00BD0960" w:rsidRPr="00411E78">
        <w:rPr>
          <w:rFonts w:ascii="Times New Roman" w:hAnsi="Times New Roman"/>
          <w:sz w:val="24"/>
          <w:szCs w:val="24"/>
          <w:lang w:val="en-US"/>
        </w:rPr>
        <w:t>-20</w:t>
      </w:r>
      <w:r w:rsidR="00BD0960">
        <w:rPr>
          <w:rFonts w:ascii="Times New Roman" w:hAnsi="Times New Roman"/>
          <w:sz w:val="24"/>
          <w:szCs w:val="24"/>
          <w:lang w:val="en-US"/>
        </w:rPr>
        <w:t xml:space="preserve">11. </w:t>
      </w:r>
      <w:r w:rsidR="007103A6">
        <w:rPr>
          <w:rFonts w:ascii="Times New Roman" w:hAnsi="Times New Roman"/>
          <w:sz w:val="24"/>
          <w:szCs w:val="24"/>
          <w:lang w:val="en-US"/>
        </w:rPr>
        <w:t>For the implementation of th</w:t>
      </w:r>
      <w:r w:rsidR="00175167">
        <w:rPr>
          <w:rFonts w:ascii="Times New Roman" w:hAnsi="Times New Roman"/>
          <w:sz w:val="24"/>
          <w:szCs w:val="24"/>
          <w:lang w:val="en-US"/>
        </w:rPr>
        <w:t xml:space="preserve">e </w:t>
      </w:r>
      <w:r w:rsidR="00A04E03">
        <w:rPr>
          <w:rFonts w:ascii="Times New Roman" w:hAnsi="Times New Roman"/>
          <w:sz w:val="24"/>
          <w:szCs w:val="24"/>
          <w:lang w:val="en-US"/>
        </w:rPr>
        <w:t>empirical</w:t>
      </w:r>
      <w:r w:rsidR="00175167">
        <w:rPr>
          <w:rFonts w:ascii="Times New Roman" w:hAnsi="Times New Roman"/>
          <w:sz w:val="24"/>
          <w:szCs w:val="24"/>
          <w:lang w:val="en-US"/>
        </w:rPr>
        <w:t xml:space="preserve"> analysis</w:t>
      </w:r>
      <w:r w:rsidR="00A04E03">
        <w:rPr>
          <w:rFonts w:ascii="Times New Roman" w:hAnsi="Times New Roman"/>
          <w:sz w:val="24"/>
          <w:szCs w:val="24"/>
          <w:lang w:val="en-US"/>
        </w:rPr>
        <w:t xml:space="preserve">, </w:t>
      </w:r>
      <w:r w:rsidR="00BD0960">
        <w:rPr>
          <w:rFonts w:ascii="Times New Roman" w:hAnsi="Times New Roman"/>
          <w:sz w:val="24"/>
          <w:szCs w:val="24"/>
          <w:lang w:val="en-US"/>
        </w:rPr>
        <w:t xml:space="preserve">a well-specified TFP </w:t>
      </w:r>
      <w:r w:rsidR="007103A6">
        <w:rPr>
          <w:rFonts w:ascii="Times New Roman" w:hAnsi="Times New Roman"/>
          <w:sz w:val="24"/>
          <w:szCs w:val="24"/>
          <w:lang w:val="en-US"/>
        </w:rPr>
        <w:t xml:space="preserve">measure </w:t>
      </w:r>
      <w:r w:rsidR="00A04E03">
        <w:rPr>
          <w:rFonts w:ascii="Times New Roman" w:hAnsi="Times New Roman"/>
          <w:sz w:val="24"/>
          <w:szCs w:val="24"/>
          <w:lang w:val="en-US"/>
        </w:rPr>
        <w:t xml:space="preserve">is </w:t>
      </w:r>
      <w:r w:rsidR="007103A6">
        <w:rPr>
          <w:rFonts w:ascii="Times New Roman" w:hAnsi="Times New Roman"/>
          <w:sz w:val="24"/>
          <w:szCs w:val="24"/>
          <w:lang w:val="en-US"/>
        </w:rPr>
        <w:t>required</w:t>
      </w:r>
      <w:r w:rsidR="00C2101E">
        <w:rPr>
          <w:rFonts w:ascii="Times New Roman" w:hAnsi="Times New Roman"/>
          <w:sz w:val="24"/>
          <w:szCs w:val="24"/>
          <w:lang w:val="en-US"/>
        </w:rPr>
        <w:t>.</w:t>
      </w:r>
      <w:r w:rsidR="003163C2">
        <w:rPr>
          <w:rFonts w:ascii="Times New Roman" w:hAnsi="Times New Roman"/>
          <w:sz w:val="24"/>
          <w:szCs w:val="24"/>
          <w:lang w:val="en-US"/>
        </w:rPr>
        <w:t xml:space="preserve"> We</w:t>
      </w:r>
      <w:r w:rsidR="00BD0960">
        <w:rPr>
          <w:rFonts w:ascii="Times New Roman" w:hAnsi="Times New Roman"/>
          <w:sz w:val="24"/>
          <w:szCs w:val="24"/>
          <w:lang w:val="en-US"/>
        </w:rPr>
        <w:t xml:space="preserve"> </w:t>
      </w:r>
      <w:r w:rsidR="003163C2" w:rsidRPr="00411E78">
        <w:rPr>
          <w:rFonts w:ascii="Times New Roman" w:hAnsi="Times New Roman"/>
          <w:sz w:val="24"/>
          <w:szCs w:val="24"/>
          <w:lang w:val="en-US"/>
        </w:rPr>
        <w:t xml:space="preserve">use </w:t>
      </w:r>
      <w:r w:rsidR="003163C2">
        <w:rPr>
          <w:rFonts w:ascii="Times New Roman" w:hAnsi="Times New Roman"/>
          <w:sz w:val="24"/>
          <w:szCs w:val="24"/>
          <w:lang w:val="en-US"/>
        </w:rPr>
        <w:t xml:space="preserve">the </w:t>
      </w:r>
      <w:r w:rsidR="003163C2" w:rsidRPr="00411E78">
        <w:rPr>
          <w:rFonts w:ascii="Times New Roman" w:hAnsi="Times New Roman"/>
          <w:sz w:val="24"/>
          <w:szCs w:val="24"/>
          <w:lang w:val="en-US"/>
        </w:rPr>
        <w:t xml:space="preserve">semi-parametric </w:t>
      </w:r>
      <w:r w:rsidR="003163C2">
        <w:rPr>
          <w:rFonts w:ascii="Times New Roman" w:hAnsi="Times New Roman"/>
          <w:sz w:val="24"/>
          <w:szCs w:val="24"/>
          <w:lang w:val="en-US"/>
        </w:rPr>
        <w:t>approach of</w:t>
      </w:r>
      <w:r w:rsidR="003163C2" w:rsidRPr="00411E78">
        <w:rPr>
          <w:rFonts w:ascii="Times New Roman" w:hAnsi="Times New Roman"/>
          <w:sz w:val="24"/>
          <w:szCs w:val="24"/>
          <w:lang w:val="en-US"/>
        </w:rPr>
        <w:t xml:space="preserve"> Olley and Pakes</w:t>
      </w:r>
      <w:r w:rsidR="003163C2">
        <w:rPr>
          <w:rFonts w:ascii="Times New Roman" w:hAnsi="Times New Roman"/>
          <w:sz w:val="24"/>
          <w:szCs w:val="24"/>
          <w:lang w:val="en-US"/>
        </w:rPr>
        <w:t xml:space="preserve"> </w:t>
      </w:r>
      <w:r w:rsidR="003163C2" w:rsidRPr="00411E78">
        <w:rPr>
          <w:rFonts w:ascii="Times New Roman" w:hAnsi="Times New Roman"/>
          <w:sz w:val="24"/>
          <w:szCs w:val="24"/>
          <w:lang w:val="en-US"/>
        </w:rPr>
        <w:t>(1996) (OP</w:t>
      </w:r>
      <w:r w:rsidR="003163C2">
        <w:rPr>
          <w:rFonts w:ascii="Times New Roman" w:hAnsi="Times New Roman"/>
          <w:sz w:val="24"/>
          <w:szCs w:val="24"/>
          <w:lang w:val="en-US"/>
        </w:rPr>
        <w:t>, hereafter</w:t>
      </w:r>
      <w:r w:rsidR="003163C2" w:rsidRPr="00411E78">
        <w:rPr>
          <w:rFonts w:ascii="Times New Roman" w:hAnsi="Times New Roman"/>
          <w:sz w:val="24"/>
          <w:szCs w:val="24"/>
          <w:lang w:val="en-US"/>
        </w:rPr>
        <w:t>)</w:t>
      </w:r>
      <w:r w:rsidR="003163C2">
        <w:rPr>
          <w:rFonts w:ascii="Times New Roman" w:hAnsi="Times New Roman"/>
          <w:sz w:val="24"/>
          <w:szCs w:val="24"/>
          <w:lang w:val="en-US"/>
        </w:rPr>
        <w:t xml:space="preserve"> to derive TFP</w:t>
      </w:r>
      <w:r w:rsidR="003163C2" w:rsidRPr="00411E78">
        <w:rPr>
          <w:rFonts w:ascii="Times New Roman" w:hAnsi="Times New Roman"/>
          <w:sz w:val="24"/>
          <w:szCs w:val="24"/>
          <w:lang w:val="en-US"/>
        </w:rPr>
        <w:t xml:space="preserve"> </w:t>
      </w:r>
      <w:r w:rsidR="003163C2">
        <w:rPr>
          <w:rFonts w:ascii="Times New Roman" w:hAnsi="Times New Roman"/>
          <w:sz w:val="24"/>
          <w:szCs w:val="24"/>
          <w:lang w:val="en-US"/>
        </w:rPr>
        <w:t>that</w:t>
      </w:r>
      <w:r w:rsidR="007103A6">
        <w:rPr>
          <w:rFonts w:ascii="Times New Roman" w:hAnsi="Times New Roman"/>
          <w:sz w:val="24"/>
          <w:szCs w:val="24"/>
          <w:lang w:val="en-US"/>
        </w:rPr>
        <w:t xml:space="preserve"> addresses</w:t>
      </w:r>
      <w:r w:rsidR="003835D9">
        <w:rPr>
          <w:rFonts w:ascii="Times New Roman" w:hAnsi="Times New Roman"/>
          <w:sz w:val="24"/>
          <w:szCs w:val="24"/>
          <w:lang w:val="en-US"/>
        </w:rPr>
        <w:t xml:space="preserve">, first, </w:t>
      </w:r>
      <w:r w:rsidR="00BD0960" w:rsidRPr="00411E78">
        <w:rPr>
          <w:rFonts w:ascii="Times New Roman" w:hAnsi="Times New Roman"/>
          <w:sz w:val="24"/>
          <w:szCs w:val="24"/>
          <w:lang w:val="en-US"/>
        </w:rPr>
        <w:t xml:space="preserve">simultaneity bias between inputs and </w:t>
      </w:r>
      <w:r w:rsidR="00BD0960">
        <w:rPr>
          <w:rFonts w:ascii="Times New Roman" w:hAnsi="Times New Roman"/>
          <w:sz w:val="24"/>
          <w:szCs w:val="24"/>
          <w:lang w:val="en-US"/>
        </w:rPr>
        <w:t xml:space="preserve">various </w:t>
      </w:r>
      <w:r w:rsidR="00C2101E">
        <w:rPr>
          <w:rFonts w:ascii="Times New Roman" w:hAnsi="Times New Roman"/>
          <w:sz w:val="24"/>
          <w:szCs w:val="24"/>
          <w:lang w:val="en-US"/>
        </w:rPr>
        <w:t xml:space="preserve">unobserved </w:t>
      </w:r>
      <w:r w:rsidR="00BD0960" w:rsidRPr="00411E78">
        <w:rPr>
          <w:rFonts w:ascii="Times New Roman" w:hAnsi="Times New Roman"/>
          <w:sz w:val="24"/>
          <w:szCs w:val="24"/>
          <w:lang w:val="en-US"/>
        </w:rPr>
        <w:t>productivity shock</w:t>
      </w:r>
      <w:r w:rsidR="003163C2">
        <w:rPr>
          <w:rFonts w:ascii="Times New Roman" w:hAnsi="Times New Roman"/>
          <w:sz w:val="24"/>
          <w:szCs w:val="24"/>
          <w:lang w:val="en-US"/>
        </w:rPr>
        <w:t>s and</w:t>
      </w:r>
      <w:r w:rsidR="003835D9">
        <w:rPr>
          <w:rFonts w:ascii="Times New Roman" w:hAnsi="Times New Roman"/>
          <w:sz w:val="24"/>
          <w:szCs w:val="24"/>
          <w:lang w:val="en-US"/>
        </w:rPr>
        <w:t xml:space="preserve"> second,</w:t>
      </w:r>
      <w:r w:rsidR="003163C2">
        <w:rPr>
          <w:rFonts w:ascii="Times New Roman" w:hAnsi="Times New Roman"/>
          <w:sz w:val="24"/>
          <w:szCs w:val="24"/>
          <w:lang w:val="en-US"/>
        </w:rPr>
        <w:t xml:space="preserve"> selection bias.</w:t>
      </w:r>
      <w:r w:rsidR="00175167" w:rsidRPr="00175167">
        <w:rPr>
          <w:rStyle w:val="FootnoteReference"/>
          <w:rFonts w:ascii="Times New Roman" w:hAnsi="Times New Roman"/>
          <w:sz w:val="24"/>
          <w:szCs w:val="24"/>
          <w:lang w:val="en-US"/>
        </w:rPr>
        <w:t xml:space="preserve"> </w:t>
      </w:r>
      <w:r w:rsidR="00175167">
        <w:rPr>
          <w:rStyle w:val="FootnoteReference"/>
          <w:rFonts w:ascii="Times New Roman" w:hAnsi="Times New Roman"/>
          <w:sz w:val="24"/>
          <w:szCs w:val="24"/>
          <w:lang w:val="en-US"/>
        </w:rPr>
        <w:footnoteReference w:id="9"/>
      </w:r>
      <w:r w:rsidR="003163C2">
        <w:rPr>
          <w:rFonts w:ascii="Times New Roman" w:hAnsi="Times New Roman"/>
          <w:sz w:val="24"/>
          <w:szCs w:val="24"/>
          <w:lang w:val="en-US"/>
        </w:rPr>
        <w:t xml:space="preserve"> OP </w:t>
      </w:r>
      <w:r w:rsidR="007574D8">
        <w:rPr>
          <w:rFonts w:ascii="Times New Roman" w:hAnsi="Times New Roman"/>
          <w:sz w:val="24"/>
          <w:szCs w:val="24"/>
          <w:lang w:val="en-US"/>
        </w:rPr>
        <w:t>offers more flexibility than</w:t>
      </w:r>
      <w:r w:rsidR="003163C2">
        <w:rPr>
          <w:rFonts w:ascii="Times New Roman" w:hAnsi="Times New Roman"/>
          <w:sz w:val="24"/>
          <w:szCs w:val="24"/>
          <w:lang w:val="en-US"/>
        </w:rPr>
        <w:t xml:space="preserve"> standard OLS and </w:t>
      </w:r>
      <w:r w:rsidR="007574D8">
        <w:rPr>
          <w:rFonts w:ascii="Times New Roman" w:hAnsi="Times New Roman"/>
          <w:sz w:val="24"/>
          <w:szCs w:val="24"/>
          <w:lang w:val="en-US"/>
        </w:rPr>
        <w:t xml:space="preserve">purely </w:t>
      </w:r>
      <w:r w:rsidR="003163C2">
        <w:rPr>
          <w:rFonts w:ascii="Times New Roman" w:hAnsi="Times New Roman"/>
          <w:sz w:val="24"/>
          <w:szCs w:val="24"/>
          <w:lang w:val="en-US"/>
        </w:rPr>
        <w:t>non-parametric TFP technique</w:t>
      </w:r>
      <w:r w:rsidR="007574D8">
        <w:rPr>
          <w:rFonts w:ascii="Times New Roman" w:hAnsi="Times New Roman"/>
          <w:sz w:val="24"/>
          <w:szCs w:val="24"/>
          <w:lang w:val="en-US"/>
        </w:rPr>
        <w:t xml:space="preserve"> rely</w:t>
      </w:r>
      <w:r w:rsidR="004953FB">
        <w:rPr>
          <w:rFonts w:ascii="Times New Roman" w:hAnsi="Times New Roman"/>
          <w:sz w:val="24"/>
          <w:szCs w:val="24"/>
          <w:lang w:val="en-US"/>
        </w:rPr>
        <w:t>ing</w:t>
      </w:r>
      <w:r w:rsidR="007574D8">
        <w:rPr>
          <w:rFonts w:ascii="Times New Roman" w:hAnsi="Times New Roman"/>
          <w:sz w:val="24"/>
          <w:szCs w:val="24"/>
          <w:lang w:val="en-US"/>
        </w:rPr>
        <w:t xml:space="preserve"> on </w:t>
      </w:r>
      <w:r w:rsidR="00713E3C">
        <w:rPr>
          <w:rFonts w:ascii="Times New Roman" w:hAnsi="Times New Roman"/>
          <w:sz w:val="24"/>
          <w:szCs w:val="24"/>
          <w:lang w:val="en-US"/>
        </w:rPr>
        <w:t xml:space="preserve">a set </w:t>
      </w:r>
      <w:r w:rsidR="00BC23AE">
        <w:rPr>
          <w:rFonts w:ascii="Times New Roman" w:hAnsi="Times New Roman"/>
          <w:sz w:val="24"/>
          <w:szCs w:val="24"/>
          <w:lang w:val="en-US"/>
        </w:rPr>
        <w:t>of strong</w:t>
      </w:r>
      <w:r w:rsidR="007574D8">
        <w:rPr>
          <w:rFonts w:ascii="Times New Roman" w:hAnsi="Times New Roman"/>
          <w:sz w:val="24"/>
          <w:szCs w:val="24"/>
          <w:lang w:val="en-US"/>
        </w:rPr>
        <w:t xml:space="preserve"> assumptions</w:t>
      </w:r>
      <w:r w:rsidR="003835D9">
        <w:rPr>
          <w:rFonts w:ascii="Times New Roman" w:hAnsi="Times New Roman"/>
          <w:sz w:val="24"/>
          <w:szCs w:val="24"/>
          <w:lang w:val="en-US"/>
        </w:rPr>
        <w:t>.</w:t>
      </w:r>
      <w:r w:rsidR="003163C2">
        <w:rPr>
          <w:rStyle w:val="FootnoteReference"/>
          <w:rFonts w:ascii="Times New Roman" w:hAnsi="Times New Roman"/>
          <w:sz w:val="24"/>
          <w:szCs w:val="24"/>
          <w:lang w:val="en-US"/>
        </w:rPr>
        <w:footnoteReference w:id="10"/>
      </w:r>
      <w:r w:rsidR="003163C2">
        <w:rPr>
          <w:rFonts w:ascii="Times New Roman" w:hAnsi="Times New Roman"/>
          <w:sz w:val="24"/>
          <w:szCs w:val="24"/>
          <w:lang w:val="en-US"/>
        </w:rPr>
        <w:t xml:space="preserve"> We</w:t>
      </w:r>
      <w:r w:rsidR="003163C2" w:rsidRPr="00411E78">
        <w:rPr>
          <w:rFonts w:ascii="Times New Roman" w:hAnsi="Times New Roman"/>
          <w:sz w:val="24"/>
          <w:szCs w:val="24"/>
          <w:lang w:val="en-US"/>
        </w:rPr>
        <w:t xml:space="preserve"> </w:t>
      </w:r>
      <w:r w:rsidR="003163C2">
        <w:rPr>
          <w:rFonts w:ascii="Times New Roman" w:hAnsi="Times New Roman"/>
          <w:sz w:val="24"/>
          <w:szCs w:val="24"/>
          <w:lang w:val="en-US"/>
        </w:rPr>
        <w:t xml:space="preserve">outline the OP methodology and </w:t>
      </w:r>
      <w:r w:rsidR="004953FB">
        <w:rPr>
          <w:rFonts w:ascii="Times New Roman" w:hAnsi="Times New Roman"/>
          <w:sz w:val="24"/>
          <w:szCs w:val="24"/>
          <w:lang w:val="en-US"/>
        </w:rPr>
        <w:t xml:space="preserve">the </w:t>
      </w:r>
      <w:r w:rsidR="003163C2">
        <w:rPr>
          <w:rFonts w:ascii="Times New Roman" w:hAnsi="Times New Roman"/>
          <w:sz w:val="24"/>
          <w:szCs w:val="24"/>
          <w:lang w:val="en-US"/>
        </w:rPr>
        <w:t>issues re</w:t>
      </w:r>
      <w:r w:rsidR="005A3EC6">
        <w:rPr>
          <w:rFonts w:ascii="Times New Roman" w:hAnsi="Times New Roman"/>
          <w:sz w:val="24"/>
          <w:szCs w:val="24"/>
          <w:lang w:val="en-US"/>
        </w:rPr>
        <w:t xml:space="preserve">lated to FAME data in Appendix </w:t>
      </w:r>
      <w:r w:rsidR="003163C2">
        <w:rPr>
          <w:rFonts w:ascii="Times New Roman" w:hAnsi="Times New Roman"/>
          <w:sz w:val="24"/>
          <w:szCs w:val="24"/>
          <w:lang w:val="en-US"/>
        </w:rPr>
        <w:t xml:space="preserve">2. </w:t>
      </w:r>
    </w:p>
    <w:p w:rsidR="00C87E80" w:rsidRDefault="00C87E80" w:rsidP="009578D4">
      <w:pPr>
        <w:rPr>
          <w:rFonts w:ascii="Times New Roman" w:hAnsi="Times New Roman"/>
          <w:sz w:val="24"/>
          <w:szCs w:val="24"/>
          <w:lang w:val="en-US"/>
        </w:rPr>
      </w:pPr>
    </w:p>
    <w:p w:rsidR="00AD1753" w:rsidRDefault="00AD1753" w:rsidP="009578D4">
      <w:pPr>
        <w:rPr>
          <w:rFonts w:ascii="Times New Roman" w:hAnsi="Times New Roman"/>
          <w:sz w:val="24"/>
          <w:szCs w:val="24"/>
          <w:lang w:val="en-US"/>
        </w:rPr>
      </w:pPr>
    </w:p>
    <w:p w:rsidR="00A80E3C" w:rsidRDefault="00A80E3C" w:rsidP="009578D4">
      <w:pPr>
        <w:rPr>
          <w:rFonts w:ascii="Times New Roman" w:hAnsi="Times New Roman"/>
          <w:sz w:val="24"/>
          <w:szCs w:val="24"/>
          <w:lang w:val="en-US"/>
        </w:rPr>
      </w:pPr>
    </w:p>
    <w:p w:rsidR="00A80E3C" w:rsidRDefault="00A80E3C" w:rsidP="009578D4">
      <w:pPr>
        <w:rPr>
          <w:rFonts w:ascii="Times New Roman" w:hAnsi="Times New Roman"/>
          <w:sz w:val="24"/>
          <w:szCs w:val="24"/>
          <w:lang w:val="en-US"/>
        </w:rPr>
      </w:pPr>
    </w:p>
    <w:p w:rsidR="00AD1753" w:rsidRDefault="00AD1753" w:rsidP="009578D4">
      <w:pPr>
        <w:rPr>
          <w:rFonts w:ascii="Times New Roman" w:hAnsi="Times New Roman"/>
          <w:sz w:val="24"/>
          <w:szCs w:val="24"/>
          <w:lang w:val="en-US"/>
        </w:rPr>
      </w:pPr>
    </w:p>
    <w:p w:rsidR="00A80E3C" w:rsidRPr="001B1100" w:rsidRDefault="00293993" w:rsidP="00A80E3C">
      <w:pPr>
        <w:pStyle w:val="ListParagraph"/>
        <w:numPr>
          <w:ilvl w:val="0"/>
          <w:numId w:val="3"/>
        </w:numPr>
        <w:rPr>
          <w:rFonts w:ascii="Times New Roman" w:hAnsi="Times New Roman"/>
          <w:b/>
          <w:sz w:val="24"/>
          <w:szCs w:val="24"/>
          <w:lang w:val="en-US"/>
        </w:rPr>
      </w:pPr>
      <w:r>
        <w:rPr>
          <w:rFonts w:ascii="Times New Roman" w:hAnsi="Times New Roman"/>
          <w:b/>
          <w:sz w:val="24"/>
          <w:szCs w:val="24"/>
          <w:lang w:val="en-US"/>
        </w:rPr>
        <w:lastRenderedPageBreak/>
        <w:t>Empirical Strategy</w:t>
      </w:r>
    </w:p>
    <w:p w:rsidR="00660AE3" w:rsidRDefault="00D30B02" w:rsidP="002050BF">
      <w:pPr>
        <w:pStyle w:val="ListParagraph"/>
        <w:numPr>
          <w:ilvl w:val="1"/>
          <w:numId w:val="3"/>
        </w:numPr>
        <w:rPr>
          <w:rFonts w:ascii="Times New Roman" w:hAnsi="Times New Roman"/>
          <w:bCs/>
          <w:i/>
          <w:iCs/>
          <w:sz w:val="24"/>
          <w:szCs w:val="24"/>
          <w:lang w:val="en-US"/>
        </w:rPr>
      </w:pPr>
      <w:r>
        <w:rPr>
          <w:rFonts w:ascii="Times New Roman" w:hAnsi="Times New Roman"/>
          <w:bCs/>
          <w:i/>
          <w:iCs/>
          <w:sz w:val="24"/>
          <w:szCs w:val="24"/>
          <w:lang w:val="en-US"/>
        </w:rPr>
        <w:t>Model Specification</w:t>
      </w:r>
    </w:p>
    <w:p w:rsidR="002050BF" w:rsidRPr="002050BF" w:rsidRDefault="00D30B02" w:rsidP="00660AE3">
      <w:pPr>
        <w:pStyle w:val="ListParagraph"/>
        <w:ind w:left="1000"/>
        <w:rPr>
          <w:rFonts w:ascii="Times New Roman" w:hAnsi="Times New Roman"/>
          <w:bCs/>
          <w:i/>
          <w:iCs/>
          <w:sz w:val="24"/>
          <w:szCs w:val="24"/>
          <w:lang w:val="en-US"/>
        </w:rPr>
      </w:pPr>
      <w:r>
        <w:rPr>
          <w:rFonts w:ascii="Times New Roman" w:hAnsi="Times New Roman"/>
          <w:bCs/>
          <w:i/>
          <w:iCs/>
          <w:sz w:val="24"/>
          <w:szCs w:val="24"/>
          <w:lang w:val="en-US"/>
        </w:rPr>
        <w:t xml:space="preserve"> </w:t>
      </w:r>
    </w:p>
    <w:p w:rsidR="00A14F8C" w:rsidRDefault="00A325BB" w:rsidP="00DF6355">
      <w:pPr>
        <w:rPr>
          <w:rFonts w:ascii="Times New Roman" w:hAnsi="Times New Roman"/>
          <w:sz w:val="24"/>
          <w:szCs w:val="24"/>
          <w:lang w:val="en-GB"/>
        </w:rPr>
      </w:pPr>
      <w:r w:rsidRPr="00DF6355">
        <w:rPr>
          <w:rFonts w:ascii="Times New Roman" w:hAnsi="Times New Roman"/>
          <w:sz w:val="24"/>
          <w:szCs w:val="24"/>
          <w:lang w:val="en-GB"/>
        </w:rPr>
        <w:t>Th</w:t>
      </w:r>
      <w:r w:rsidR="00DF6355" w:rsidRPr="00DF6355">
        <w:rPr>
          <w:rFonts w:ascii="Times New Roman" w:hAnsi="Times New Roman"/>
          <w:sz w:val="24"/>
          <w:szCs w:val="24"/>
          <w:lang w:val="en-GB"/>
        </w:rPr>
        <w:t xml:space="preserve">e empirical </w:t>
      </w:r>
      <w:r w:rsidR="00A80E3C">
        <w:rPr>
          <w:rFonts w:ascii="Times New Roman" w:hAnsi="Times New Roman"/>
          <w:sz w:val="24"/>
          <w:szCs w:val="24"/>
          <w:lang w:val="en-GB"/>
        </w:rPr>
        <w:t>model</w:t>
      </w:r>
      <w:r w:rsidR="00DF6355" w:rsidRPr="00DF6355">
        <w:rPr>
          <w:rFonts w:ascii="Times New Roman" w:hAnsi="Times New Roman"/>
          <w:sz w:val="24"/>
          <w:szCs w:val="24"/>
          <w:lang w:val="en-GB"/>
        </w:rPr>
        <w:t xml:space="preserve"> is derived from a</w:t>
      </w:r>
      <w:r w:rsidR="004062EF">
        <w:rPr>
          <w:rFonts w:ascii="Times New Roman" w:hAnsi="Times New Roman"/>
          <w:sz w:val="24"/>
          <w:szCs w:val="24"/>
          <w:lang w:val="en-GB"/>
        </w:rPr>
        <w:t>n</w:t>
      </w:r>
      <w:r w:rsidR="00DF6355" w:rsidRPr="00DF6355">
        <w:rPr>
          <w:rFonts w:ascii="Times New Roman" w:hAnsi="Times New Roman"/>
          <w:sz w:val="24"/>
          <w:szCs w:val="24"/>
          <w:lang w:val="en-GB"/>
        </w:rPr>
        <w:t xml:space="preserve"> </w:t>
      </w:r>
      <w:r w:rsidR="004062EF">
        <w:rPr>
          <w:rFonts w:ascii="Times New Roman" w:hAnsi="Times New Roman"/>
          <w:sz w:val="24"/>
          <w:szCs w:val="24"/>
          <w:lang w:val="en-GB"/>
        </w:rPr>
        <w:t>autoregressive specification</w:t>
      </w:r>
      <w:r w:rsidR="00513EF3">
        <w:rPr>
          <w:rFonts w:ascii="Times New Roman" w:hAnsi="Times New Roman"/>
          <w:sz w:val="24"/>
          <w:szCs w:val="24"/>
          <w:lang w:val="en-GB"/>
        </w:rPr>
        <w:t xml:space="preserve"> </w:t>
      </w:r>
      <w:r w:rsidR="004062EF">
        <w:rPr>
          <w:rFonts w:ascii="Times New Roman" w:hAnsi="Times New Roman"/>
          <w:sz w:val="24"/>
          <w:szCs w:val="24"/>
          <w:lang w:val="en-GB"/>
        </w:rPr>
        <w:t xml:space="preserve">of </w:t>
      </w:r>
      <w:r w:rsidR="00192645">
        <w:rPr>
          <w:rFonts w:ascii="Times New Roman" w:hAnsi="Times New Roman"/>
          <w:sz w:val="24"/>
          <w:szCs w:val="24"/>
          <w:lang w:val="en-GB"/>
        </w:rPr>
        <w:t>productivity as</w:t>
      </w:r>
      <w:r w:rsidR="004062EF">
        <w:rPr>
          <w:rFonts w:ascii="Times New Roman" w:hAnsi="Times New Roman"/>
          <w:sz w:val="24"/>
          <w:szCs w:val="24"/>
          <w:lang w:val="en-GB"/>
        </w:rPr>
        <w:t xml:space="preserve"> per</w:t>
      </w:r>
      <w:r w:rsidR="007F47BE" w:rsidRPr="00DF6355">
        <w:rPr>
          <w:rFonts w:ascii="Times New Roman" w:hAnsi="Times New Roman"/>
          <w:sz w:val="24"/>
          <w:szCs w:val="24"/>
          <w:lang w:val="en-GB"/>
        </w:rPr>
        <w:t xml:space="preserve"> </w:t>
      </w:r>
      <w:r w:rsidRPr="00DF6355">
        <w:rPr>
          <w:rFonts w:ascii="Times New Roman" w:hAnsi="Times New Roman"/>
          <w:sz w:val="24"/>
          <w:szCs w:val="24"/>
          <w:lang w:val="en-GB"/>
        </w:rPr>
        <w:t>Bernard and Jones</w:t>
      </w:r>
      <w:r w:rsidR="004062EF">
        <w:rPr>
          <w:rFonts w:ascii="Times New Roman" w:hAnsi="Times New Roman"/>
          <w:sz w:val="24"/>
          <w:szCs w:val="24"/>
          <w:lang w:val="en-GB"/>
        </w:rPr>
        <w:t xml:space="preserve"> (1</w:t>
      </w:r>
      <w:r w:rsidRPr="00DF6355">
        <w:rPr>
          <w:rFonts w:ascii="Times New Roman" w:hAnsi="Times New Roman"/>
          <w:sz w:val="24"/>
          <w:szCs w:val="24"/>
          <w:lang w:val="en-GB"/>
        </w:rPr>
        <w:t>996</w:t>
      </w:r>
      <w:r w:rsidR="00B41F5E" w:rsidRPr="00DF6355">
        <w:rPr>
          <w:rFonts w:ascii="Times New Roman" w:hAnsi="Times New Roman"/>
          <w:sz w:val="24"/>
          <w:szCs w:val="24"/>
          <w:lang w:val="en-GB"/>
        </w:rPr>
        <w:t>a</w:t>
      </w:r>
      <w:r w:rsidR="00855AB5" w:rsidRPr="00DF6355">
        <w:rPr>
          <w:rFonts w:ascii="Times New Roman" w:hAnsi="Times New Roman"/>
          <w:sz w:val="24"/>
          <w:szCs w:val="24"/>
          <w:lang w:val="en-GB"/>
        </w:rPr>
        <w:t xml:space="preserve"> and</w:t>
      </w:r>
      <w:r w:rsidR="00B41F5E" w:rsidRPr="00DF6355">
        <w:rPr>
          <w:rFonts w:ascii="Times New Roman" w:hAnsi="Times New Roman"/>
          <w:sz w:val="24"/>
          <w:szCs w:val="24"/>
          <w:lang w:val="en-GB"/>
        </w:rPr>
        <w:t xml:space="preserve"> 1996b</w:t>
      </w:r>
      <w:r w:rsidR="00A14F8C">
        <w:rPr>
          <w:rFonts w:ascii="Times New Roman" w:hAnsi="Times New Roman"/>
          <w:sz w:val="24"/>
          <w:szCs w:val="24"/>
          <w:lang w:val="en-GB"/>
        </w:rPr>
        <w:t xml:space="preserve">) and </w:t>
      </w:r>
      <w:r w:rsidR="00BB6A1F">
        <w:rPr>
          <w:rFonts w:ascii="Times New Roman" w:hAnsi="Times New Roman"/>
          <w:sz w:val="24"/>
          <w:szCs w:val="24"/>
          <w:lang w:val="en-GB"/>
        </w:rPr>
        <w:t xml:space="preserve">Griffith et al. </w:t>
      </w:r>
      <w:r w:rsidR="00A14F8C">
        <w:rPr>
          <w:rFonts w:ascii="Times New Roman" w:hAnsi="Times New Roman"/>
          <w:sz w:val="24"/>
          <w:szCs w:val="24"/>
          <w:lang w:val="en-GB"/>
        </w:rPr>
        <w:t>(</w:t>
      </w:r>
      <w:r w:rsidR="00BB6A1F">
        <w:rPr>
          <w:rFonts w:ascii="Times New Roman" w:hAnsi="Times New Roman"/>
          <w:sz w:val="24"/>
          <w:szCs w:val="24"/>
          <w:lang w:val="en-GB"/>
        </w:rPr>
        <w:t>2009</w:t>
      </w:r>
      <w:r w:rsidR="00B41F5E" w:rsidRPr="00DF6355">
        <w:rPr>
          <w:rFonts w:ascii="Times New Roman" w:hAnsi="Times New Roman"/>
          <w:sz w:val="24"/>
          <w:szCs w:val="24"/>
          <w:lang w:val="en-GB"/>
        </w:rPr>
        <w:t>)</w:t>
      </w:r>
      <w:r w:rsidR="00192645">
        <w:rPr>
          <w:rFonts w:ascii="Times New Roman" w:hAnsi="Times New Roman"/>
          <w:sz w:val="24"/>
          <w:szCs w:val="24"/>
          <w:lang w:val="en-GB"/>
        </w:rPr>
        <w:t xml:space="preserve"> </w:t>
      </w:r>
      <w:r w:rsidR="00A80E3C">
        <w:rPr>
          <w:rFonts w:ascii="Times New Roman" w:hAnsi="Times New Roman"/>
          <w:sz w:val="24"/>
          <w:szCs w:val="24"/>
          <w:lang w:val="en-GB"/>
        </w:rPr>
        <w:t>formulation</w:t>
      </w:r>
      <w:r w:rsidR="00192645">
        <w:rPr>
          <w:rFonts w:ascii="Times New Roman" w:hAnsi="Times New Roman"/>
          <w:sz w:val="24"/>
          <w:szCs w:val="24"/>
          <w:lang w:val="en-GB"/>
        </w:rPr>
        <w:t xml:space="preserve">. Parameter </w:t>
      </w:r>
      <w:r w:rsidR="00192645" w:rsidRPr="00192645">
        <w:rPr>
          <w:rFonts w:ascii="Times New Roman" w:hAnsi="Times New Roman"/>
          <w:i/>
          <w:sz w:val="24"/>
          <w:szCs w:val="24"/>
          <w:lang w:val="en-GB"/>
        </w:rPr>
        <w:t>A</w:t>
      </w:r>
      <w:r w:rsidR="00192645">
        <w:rPr>
          <w:rFonts w:ascii="Times New Roman" w:hAnsi="Times New Roman"/>
          <w:sz w:val="24"/>
          <w:szCs w:val="24"/>
          <w:lang w:val="en-GB"/>
        </w:rPr>
        <w:t xml:space="preserve"> is the </w:t>
      </w:r>
      <w:r w:rsidR="00A14F8C">
        <w:rPr>
          <w:rFonts w:ascii="Times New Roman" w:hAnsi="Times New Roman"/>
          <w:sz w:val="24"/>
          <w:szCs w:val="24"/>
          <w:lang w:val="en-GB"/>
        </w:rPr>
        <w:t xml:space="preserve">measure of </w:t>
      </w:r>
      <w:r w:rsidR="00192645">
        <w:rPr>
          <w:rFonts w:ascii="Times New Roman" w:hAnsi="Times New Roman"/>
          <w:sz w:val="24"/>
          <w:szCs w:val="24"/>
          <w:lang w:val="en-GB"/>
        </w:rPr>
        <w:t>technical efficiency</w:t>
      </w:r>
      <w:r w:rsidR="00513EF3">
        <w:rPr>
          <w:rFonts w:ascii="Times New Roman" w:hAnsi="Times New Roman"/>
          <w:sz w:val="24"/>
          <w:szCs w:val="24"/>
          <w:lang w:val="en-GB"/>
        </w:rPr>
        <w:t xml:space="preserve">, which </w:t>
      </w:r>
      <w:r w:rsidR="00192645">
        <w:rPr>
          <w:rFonts w:ascii="Times New Roman" w:hAnsi="Times New Roman"/>
          <w:sz w:val="24"/>
          <w:szCs w:val="24"/>
          <w:lang w:val="en-GB"/>
        </w:rPr>
        <w:t xml:space="preserve">is assumed to be homogenous of degree 1 </w:t>
      </w:r>
      <w:r w:rsidR="00513EF3">
        <w:rPr>
          <w:rFonts w:ascii="Times New Roman" w:hAnsi="Times New Roman"/>
          <w:sz w:val="24"/>
          <w:szCs w:val="24"/>
          <w:lang w:val="en-GB"/>
        </w:rPr>
        <w:t>and exhibit decreasing returns with reference to each individual</w:t>
      </w:r>
      <w:r w:rsidR="00A14F8C">
        <w:rPr>
          <w:rFonts w:ascii="Times New Roman" w:hAnsi="Times New Roman"/>
          <w:sz w:val="24"/>
          <w:szCs w:val="24"/>
          <w:lang w:val="en-GB"/>
        </w:rPr>
        <w:t xml:space="preserve"> production</w:t>
      </w:r>
      <w:r w:rsidR="00513EF3">
        <w:rPr>
          <w:rFonts w:ascii="Times New Roman" w:hAnsi="Times New Roman"/>
          <w:sz w:val="24"/>
          <w:szCs w:val="24"/>
          <w:lang w:val="en-GB"/>
        </w:rPr>
        <w:t xml:space="preserve"> input.</w:t>
      </w:r>
      <w:r w:rsidR="00A80E3C">
        <w:rPr>
          <w:rFonts w:ascii="Times New Roman" w:hAnsi="Times New Roman"/>
          <w:sz w:val="24"/>
          <w:szCs w:val="24"/>
          <w:lang w:val="en-GB"/>
        </w:rPr>
        <w:t xml:space="preserve"> Vector </w:t>
      </w:r>
      <w:r w:rsidR="00A80E3C" w:rsidRPr="00A80E3C">
        <w:rPr>
          <w:rFonts w:ascii="Times New Roman" w:hAnsi="Times New Roman"/>
          <w:position w:val="-12"/>
          <w:sz w:val="24"/>
          <w:szCs w:val="24"/>
          <w:lang w:val="en-GB"/>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75pt" o:ole="">
            <v:imagedata r:id="rId8" o:title=""/>
          </v:shape>
          <o:OLEObject Type="Embed" ProgID="Equation.DSMT4" ShapeID="_x0000_i1025" DrawAspect="Content" ObjectID="_1604251440" r:id="rId9"/>
        </w:object>
      </w:r>
      <w:r w:rsidR="00A80E3C">
        <w:rPr>
          <w:rFonts w:ascii="Times New Roman" w:hAnsi="Times New Roman"/>
          <w:sz w:val="24"/>
          <w:szCs w:val="24"/>
          <w:lang w:val="en-GB"/>
        </w:rPr>
        <w:t xml:space="preserve"> includes other firm sp</w:t>
      </w:r>
      <w:r w:rsidR="003F06AB">
        <w:rPr>
          <w:rFonts w:ascii="Times New Roman" w:hAnsi="Times New Roman"/>
          <w:sz w:val="24"/>
          <w:szCs w:val="24"/>
          <w:lang w:val="en-GB"/>
        </w:rPr>
        <w:t>ecific characteristics that</w:t>
      </w:r>
      <w:r w:rsidR="00A14F8C">
        <w:rPr>
          <w:rFonts w:ascii="Times New Roman" w:hAnsi="Times New Roman"/>
          <w:sz w:val="24"/>
          <w:szCs w:val="24"/>
          <w:lang w:val="en-GB"/>
        </w:rPr>
        <w:t xml:space="preserve"> literature suggests (Aw et al.</w:t>
      </w:r>
      <w:r w:rsidR="00061C5D">
        <w:rPr>
          <w:rFonts w:ascii="Times New Roman" w:hAnsi="Times New Roman"/>
          <w:sz w:val="24"/>
          <w:szCs w:val="24"/>
          <w:lang w:val="en-GB"/>
        </w:rPr>
        <w:t>,</w:t>
      </w:r>
      <w:r w:rsidR="00A14F8C">
        <w:rPr>
          <w:rFonts w:ascii="Times New Roman" w:hAnsi="Times New Roman"/>
          <w:sz w:val="24"/>
          <w:szCs w:val="24"/>
          <w:lang w:val="en-GB"/>
        </w:rPr>
        <w:t xml:space="preserve"> 200</w:t>
      </w:r>
      <w:r w:rsidR="00851AA1">
        <w:rPr>
          <w:rFonts w:ascii="Times New Roman" w:hAnsi="Times New Roman"/>
          <w:sz w:val="24"/>
          <w:szCs w:val="24"/>
          <w:lang w:val="en-GB"/>
        </w:rPr>
        <w:t>8</w:t>
      </w:r>
      <w:r w:rsidR="00A14F8C">
        <w:rPr>
          <w:rFonts w:ascii="Times New Roman" w:hAnsi="Times New Roman"/>
          <w:sz w:val="24"/>
          <w:szCs w:val="24"/>
          <w:lang w:val="en-GB"/>
        </w:rPr>
        <w:t>) as crucial</w:t>
      </w:r>
      <w:r w:rsidR="003F06AB">
        <w:rPr>
          <w:rFonts w:ascii="Times New Roman" w:hAnsi="Times New Roman"/>
          <w:sz w:val="24"/>
          <w:szCs w:val="24"/>
          <w:lang w:val="en-GB"/>
        </w:rPr>
        <w:t xml:space="preserve"> </w:t>
      </w:r>
      <w:r w:rsidR="00A14F8C">
        <w:rPr>
          <w:rFonts w:ascii="Times New Roman" w:hAnsi="Times New Roman"/>
          <w:sz w:val="24"/>
          <w:szCs w:val="24"/>
          <w:lang w:val="en-GB"/>
        </w:rPr>
        <w:t>determinants in</w:t>
      </w:r>
      <w:r w:rsidR="003F06AB">
        <w:rPr>
          <w:rFonts w:ascii="Times New Roman" w:hAnsi="Times New Roman"/>
          <w:sz w:val="24"/>
          <w:szCs w:val="24"/>
          <w:lang w:val="en-GB"/>
        </w:rPr>
        <w:t xml:space="preserve"> the evolution of </w:t>
      </w:r>
      <w:r w:rsidR="003F06AB" w:rsidRPr="003F06AB">
        <w:rPr>
          <w:rFonts w:ascii="Times New Roman" w:hAnsi="Times New Roman"/>
          <w:i/>
          <w:sz w:val="24"/>
          <w:szCs w:val="24"/>
          <w:lang w:val="en-GB"/>
        </w:rPr>
        <w:t>A</w:t>
      </w:r>
      <w:r w:rsidR="003F06AB">
        <w:rPr>
          <w:rFonts w:ascii="Times New Roman" w:hAnsi="Times New Roman"/>
          <w:sz w:val="24"/>
          <w:szCs w:val="24"/>
          <w:lang w:val="en-GB"/>
        </w:rPr>
        <w:t xml:space="preserve">. </w:t>
      </w:r>
      <w:r w:rsidR="00513EF3">
        <w:rPr>
          <w:rFonts w:ascii="Times New Roman" w:hAnsi="Times New Roman"/>
          <w:sz w:val="24"/>
          <w:szCs w:val="24"/>
          <w:lang w:val="en-GB"/>
        </w:rPr>
        <w:t xml:space="preserve">The empirical variant of </w:t>
      </w:r>
      <w:r w:rsidR="00513EF3" w:rsidRPr="00513EF3">
        <w:rPr>
          <w:rFonts w:ascii="Times New Roman" w:hAnsi="Times New Roman"/>
          <w:i/>
          <w:sz w:val="24"/>
          <w:szCs w:val="24"/>
          <w:lang w:val="en-GB"/>
        </w:rPr>
        <w:t>A</w:t>
      </w:r>
      <w:r w:rsidR="00513EF3">
        <w:rPr>
          <w:rFonts w:ascii="Times New Roman" w:hAnsi="Times New Roman"/>
          <w:sz w:val="24"/>
          <w:szCs w:val="24"/>
          <w:lang w:val="en-GB"/>
        </w:rPr>
        <w:t xml:space="preserve"> is</w:t>
      </w:r>
      <w:r w:rsidR="00192645">
        <w:rPr>
          <w:rFonts w:ascii="Times New Roman" w:hAnsi="Times New Roman"/>
          <w:sz w:val="24"/>
          <w:szCs w:val="24"/>
          <w:lang w:val="en-GB"/>
        </w:rPr>
        <w:t xml:space="preserve"> </w:t>
      </w:r>
      <w:r w:rsidR="00513EF3">
        <w:rPr>
          <w:rFonts w:ascii="Times New Roman" w:hAnsi="Times New Roman"/>
          <w:sz w:val="24"/>
          <w:szCs w:val="24"/>
          <w:lang w:val="en-GB"/>
        </w:rPr>
        <w:t>a</w:t>
      </w:r>
      <w:r w:rsidR="00192645">
        <w:rPr>
          <w:rFonts w:ascii="Times New Roman" w:hAnsi="Times New Roman"/>
          <w:sz w:val="24"/>
          <w:szCs w:val="24"/>
          <w:lang w:val="en-GB"/>
        </w:rPr>
        <w:t xml:space="preserve"> </w:t>
      </w:r>
      <w:r w:rsidR="00513EF3">
        <w:rPr>
          <w:rFonts w:ascii="Times New Roman" w:hAnsi="Times New Roman"/>
          <w:sz w:val="24"/>
          <w:szCs w:val="24"/>
          <w:lang w:val="en-GB"/>
        </w:rPr>
        <w:t>TFP index:</w:t>
      </w:r>
    </w:p>
    <w:p w:rsidR="004062EF" w:rsidRDefault="004062EF" w:rsidP="004062EF">
      <w:pPr>
        <w:pStyle w:val="MTDisplayEquation"/>
      </w:pPr>
      <w:r>
        <w:tab/>
      </w:r>
      <w:r w:rsidR="005B14A9" w:rsidRPr="005B14A9">
        <w:rPr>
          <w:position w:val="-12"/>
        </w:rPr>
        <w:object w:dxaOrig="4580" w:dyaOrig="360">
          <v:shape id="_x0000_i1026" type="#_x0000_t75" style="width:228.75pt;height:18.75pt" o:ole="">
            <v:imagedata r:id="rId10" o:title=""/>
          </v:shape>
          <o:OLEObject Type="Embed" ProgID="Equation.DSMT4" ShapeID="_x0000_i1026" DrawAspect="Content" ObjectID="_1604251441" r:id="rId11"/>
        </w:object>
      </w:r>
      <w:r>
        <w:t xml:space="preserve"> </w:t>
      </w:r>
      <w:r>
        <w:tab/>
      </w:r>
      <w:r w:rsidR="00700A72">
        <w:t>[3.1]</w:t>
      </w:r>
    </w:p>
    <w:p w:rsidR="003F06AB" w:rsidRPr="003F06AB" w:rsidRDefault="003F06AB" w:rsidP="003F06AB">
      <w:pPr>
        <w:rPr>
          <w:lang w:val="en-US"/>
        </w:rPr>
      </w:pPr>
    </w:p>
    <w:p w:rsidR="00DF6355" w:rsidRPr="00DF6355" w:rsidRDefault="00660AE3" w:rsidP="00DF6355">
      <w:pPr>
        <w:rPr>
          <w:rFonts w:ascii="Times New Roman" w:hAnsi="Times New Roman"/>
          <w:sz w:val="24"/>
          <w:szCs w:val="24"/>
          <w:lang w:val="en-GB"/>
        </w:rPr>
      </w:pPr>
      <w:r>
        <w:rPr>
          <w:rFonts w:ascii="Times New Roman" w:hAnsi="Times New Roman"/>
          <w:sz w:val="24"/>
          <w:szCs w:val="24"/>
          <w:lang w:val="en-GB"/>
        </w:rPr>
        <w:t>Equation [3.1] can be</w:t>
      </w:r>
      <w:r w:rsidR="004062EF">
        <w:rPr>
          <w:rFonts w:ascii="Times New Roman" w:hAnsi="Times New Roman"/>
          <w:sz w:val="24"/>
          <w:szCs w:val="24"/>
          <w:lang w:val="en-GB"/>
        </w:rPr>
        <w:t xml:space="preserve"> empirical</w:t>
      </w:r>
      <w:r>
        <w:rPr>
          <w:rFonts w:ascii="Times New Roman" w:hAnsi="Times New Roman"/>
          <w:sz w:val="24"/>
          <w:szCs w:val="24"/>
          <w:lang w:val="en-GB"/>
        </w:rPr>
        <w:t>ly</w:t>
      </w:r>
      <w:r w:rsidR="004062EF">
        <w:rPr>
          <w:rFonts w:ascii="Times New Roman" w:hAnsi="Times New Roman"/>
          <w:sz w:val="24"/>
          <w:szCs w:val="24"/>
          <w:lang w:val="en-GB"/>
        </w:rPr>
        <w:t xml:space="preserve"> </w:t>
      </w:r>
      <w:r w:rsidR="00513EF3">
        <w:rPr>
          <w:rFonts w:ascii="Times New Roman" w:hAnsi="Times New Roman"/>
          <w:sz w:val="24"/>
          <w:szCs w:val="24"/>
          <w:lang w:val="en-GB"/>
        </w:rPr>
        <w:t>reformulat</w:t>
      </w:r>
      <w:r>
        <w:rPr>
          <w:rFonts w:ascii="Times New Roman" w:hAnsi="Times New Roman"/>
          <w:sz w:val="24"/>
          <w:szCs w:val="24"/>
          <w:lang w:val="en-GB"/>
        </w:rPr>
        <w:t>ed into</w:t>
      </w:r>
      <w:r w:rsidR="004062EF">
        <w:rPr>
          <w:rFonts w:ascii="Times New Roman" w:hAnsi="Times New Roman"/>
          <w:sz w:val="24"/>
          <w:szCs w:val="24"/>
          <w:lang w:val="en-GB"/>
        </w:rPr>
        <w:t xml:space="preserve"> </w:t>
      </w:r>
      <w:r w:rsidR="00DF6355" w:rsidRPr="00DF6355">
        <w:rPr>
          <w:rFonts w:ascii="Times New Roman" w:hAnsi="Times New Roman"/>
          <w:sz w:val="24"/>
          <w:szCs w:val="24"/>
          <w:lang w:val="en-GB"/>
        </w:rPr>
        <w:t xml:space="preserve">an </w:t>
      </w:r>
      <w:r w:rsidR="00DF6355" w:rsidRPr="00DF6355">
        <w:rPr>
          <w:rFonts w:ascii="Times New Roman" w:hAnsi="Times New Roman"/>
          <w:sz w:val="24"/>
          <w:szCs w:val="24"/>
        </w:rPr>
        <w:t>Error Correction Model (ECM)</w:t>
      </w:r>
      <w:r w:rsidR="004062EF">
        <w:rPr>
          <w:rFonts w:ascii="Times New Roman" w:hAnsi="Times New Roman"/>
          <w:sz w:val="24"/>
          <w:szCs w:val="24"/>
          <w:lang w:val="en-GB"/>
        </w:rPr>
        <w:t xml:space="preserve"> </w:t>
      </w:r>
      <w:r>
        <w:rPr>
          <w:rFonts w:ascii="Times New Roman" w:hAnsi="Times New Roman"/>
          <w:sz w:val="24"/>
          <w:szCs w:val="24"/>
          <w:lang w:val="en-GB"/>
        </w:rPr>
        <w:t>specifying</w:t>
      </w:r>
      <w:r w:rsidR="004062EF">
        <w:rPr>
          <w:rFonts w:ascii="Times New Roman" w:hAnsi="Times New Roman"/>
          <w:sz w:val="24"/>
          <w:szCs w:val="24"/>
          <w:lang w:val="en-GB"/>
        </w:rPr>
        <w:t xml:space="preserve"> </w:t>
      </w:r>
      <w:r w:rsidR="00DF6355">
        <w:rPr>
          <w:rFonts w:ascii="Times New Roman" w:hAnsi="Times New Roman"/>
          <w:sz w:val="24"/>
          <w:szCs w:val="24"/>
          <w:lang w:val="en-US"/>
        </w:rPr>
        <w:t xml:space="preserve">TFP growth in firm </w:t>
      </w:r>
      <w:r w:rsidR="00DF6355" w:rsidRPr="00DF6355">
        <w:rPr>
          <w:rFonts w:ascii="Times New Roman" w:hAnsi="Times New Roman"/>
          <w:i/>
          <w:sz w:val="24"/>
          <w:szCs w:val="24"/>
          <w:lang w:val="en-US"/>
        </w:rPr>
        <w:t>i</w:t>
      </w:r>
      <w:r w:rsidR="00DF6355">
        <w:rPr>
          <w:rFonts w:ascii="Times New Roman" w:hAnsi="Times New Roman"/>
          <w:sz w:val="24"/>
          <w:szCs w:val="24"/>
          <w:lang w:val="en-US"/>
        </w:rPr>
        <w:t xml:space="preserve"> as:</w:t>
      </w:r>
      <w:r w:rsidR="00DF6355">
        <w:rPr>
          <w:rFonts w:ascii="Times New Roman" w:hAnsi="Times New Roman"/>
          <w:sz w:val="24"/>
          <w:szCs w:val="24"/>
          <w:lang w:val="en-US"/>
        </w:rPr>
        <w:fldChar w:fldCharType="begin"/>
      </w:r>
      <w:r w:rsidR="00DF6355">
        <w:rPr>
          <w:rFonts w:ascii="Times New Roman" w:hAnsi="Times New Roman"/>
          <w:sz w:val="24"/>
          <w:szCs w:val="24"/>
          <w:lang w:val="en-US"/>
        </w:rPr>
        <w:instrText xml:space="preserve"> MACROBUTTON MTEditEquationSection2 </w:instrText>
      </w:r>
      <w:r w:rsidR="00DF6355" w:rsidRPr="009578D4">
        <w:rPr>
          <w:rStyle w:val="MTEquationSection"/>
        </w:rPr>
        <w:instrText>Equation Section 5</w:instrText>
      </w:r>
      <w:r w:rsidR="00DF6355">
        <w:rPr>
          <w:rFonts w:ascii="Times New Roman" w:hAnsi="Times New Roman"/>
          <w:sz w:val="24"/>
          <w:szCs w:val="24"/>
          <w:lang w:val="en-US"/>
        </w:rPr>
        <w:fldChar w:fldCharType="end"/>
      </w:r>
    </w:p>
    <w:p w:rsidR="00DF6355" w:rsidRDefault="00DF6355" w:rsidP="00DF6355">
      <w:pPr>
        <w:pStyle w:val="MTDisplayEquation"/>
      </w:pPr>
      <w:r>
        <w:tab/>
      </w:r>
      <w:r w:rsidR="002346A7" w:rsidRPr="007A4735">
        <w:rPr>
          <w:position w:val="-32"/>
        </w:rPr>
        <w:object w:dxaOrig="4760" w:dyaOrig="760">
          <v:shape id="_x0000_i1027" type="#_x0000_t75" style="width:237.75pt;height:37.5pt" o:ole="">
            <v:imagedata r:id="rId12" o:title=""/>
          </v:shape>
          <o:OLEObject Type="Embed" ProgID="Equation.DSMT4" ShapeID="_x0000_i1027" DrawAspect="Content" ObjectID="_1604251442" r:id="rId13"/>
        </w:object>
      </w:r>
      <w:r>
        <w:t xml:space="preserve"> </w:t>
      </w:r>
      <w:r>
        <w:tab/>
      </w:r>
      <w:r>
        <w:fldChar w:fldCharType="begin"/>
      </w:r>
      <w:r>
        <w:instrText xml:space="preserve"> MACROBUTTON MTEditEquationSection2 </w:instrText>
      </w:r>
      <w:r w:rsidRPr="00DC3E84">
        <w:rPr>
          <w:rStyle w:val="MTEquationSection"/>
        </w:rPr>
        <w:instrText>Equation Section (Next)</w:instrText>
      </w:r>
      <w:r>
        <w:fldChar w:fldCharType="begin"/>
      </w:r>
      <w:r>
        <w:instrText xml:space="preserve"> SEQ MTEqn \r \h \* MERGEFORMAT </w:instrText>
      </w:r>
      <w:r>
        <w:fldChar w:fldCharType="end"/>
      </w:r>
      <w:r>
        <w:fldChar w:fldCharType="begin"/>
      </w:r>
      <w:r>
        <w:instrText xml:space="preserve"> SEQ MTSec \h \* MERGEFORMAT </w:instrText>
      </w:r>
      <w:r>
        <w:fldChar w:fldCharType="end"/>
      </w:r>
      <w:r>
        <w:fldChar w:fldCharType="end"/>
      </w:r>
      <w:r>
        <w:t>[3.</w:t>
      </w:r>
      <w:r w:rsidR="004062EF">
        <w:t>2</w:t>
      </w:r>
      <w:r>
        <w:t>]</w:t>
      </w:r>
    </w:p>
    <w:p w:rsidR="00660AE3" w:rsidRPr="00660AE3" w:rsidRDefault="00660AE3" w:rsidP="00660AE3">
      <w:pPr>
        <w:rPr>
          <w:lang w:val="en-US"/>
        </w:rPr>
      </w:pPr>
    </w:p>
    <w:p w:rsidR="00DF6355" w:rsidRPr="00B20A28" w:rsidRDefault="00DF6355" w:rsidP="00B20A28">
      <w:pPr>
        <w:pStyle w:val="MTDisplayEquation"/>
        <w:rPr>
          <w:lang w:val="en-GB"/>
        </w:rPr>
      </w:pPr>
      <w:r w:rsidRPr="00B20A28">
        <w:t>Δln</w:t>
      </w:r>
      <w:r w:rsidRPr="00B20A28">
        <w:rPr>
          <w:i/>
        </w:rPr>
        <w:t>TFP</w:t>
      </w:r>
      <w:r w:rsidRPr="00B20A28">
        <w:rPr>
          <w:i/>
          <w:vertAlign w:val="subscript"/>
        </w:rPr>
        <w:t xml:space="preserve">F </w:t>
      </w:r>
      <w:r w:rsidRPr="00B20A28">
        <w:t xml:space="preserve">is the growth </w:t>
      </w:r>
      <w:r w:rsidR="00DD5556">
        <w:t xml:space="preserve">rate </w:t>
      </w:r>
      <w:r w:rsidRPr="00B20A28">
        <w:t xml:space="preserve">of the frontier </w:t>
      </w:r>
      <w:r w:rsidRPr="00B20A28">
        <w:rPr>
          <w:i/>
        </w:rPr>
        <w:t>F</w:t>
      </w:r>
      <w:r w:rsidRPr="00B20A28">
        <w:t xml:space="preserve">, </w:t>
      </w:r>
      <w:r w:rsidRPr="00B20A28">
        <w:rPr>
          <w:i/>
          <w:iCs/>
          <w:lang w:val="en-GB"/>
        </w:rPr>
        <w:t>Tax</w:t>
      </w:r>
      <w:r w:rsidRPr="00B20A28">
        <w:rPr>
          <w:lang w:val="en-GB"/>
        </w:rPr>
        <w:t xml:space="preserve"> refers to</w:t>
      </w:r>
      <w:r w:rsidR="00431B98">
        <w:rPr>
          <w:lang w:val="en-GB"/>
        </w:rPr>
        <w:t xml:space="preserve"> the tax measure</w:t>
      </w:r>
      <w:r w:rsidRPr="00B20A28">
        <w:rPr>
          <w:lang w:val="en-GB"/>
        </w:rPr>
        <w:t xml:space="preserve"> </w:t>
      </w:r>
      <w:r w:rsidR="00431B98">
        <w:rPr>
          <w:lang w:val="en-GB"/>
        </w:rPr>
        <w:t>(</w:t>
      </w:r>
      <w:r w:rsidRPr="00B20A28">
        <w:rPr>
          <w:lang w:val="en-GB"/>
        </w:rPr>
        <w:t>corporate tax liability or effective tax rate (ETR)</w:t>
      </w:r>
      <w:r w:rsidR="00431B98">
        <w:rPr>
          <w:lang w:val="en-GB"/>
        </w:rPr>
        <w:t>)</w:t>
      </w:r>
      <w:r w:rsidRPr="00B20A28">
        <w:rPr>
          <w:lang w:val="en-GB"/>
        </w:rPr>
        <w:t xml:space="preserve">, </w:t>
      </w:r>
      <w:r w:rsidRPr="00B20A28">
        <w:rPr>
          <w:i/>
          <w:iCs/>
          <w:lang w:val="en-GB"/>
        </w:rPr>
        <w:t>R</w:t>
      </w:r>
      <w:r w:rsidRPr="00B20A28">
        <w:rPr>
          <w:lang w:val="en-GB"/>
        </w:rPr>
        <w:t xml:space="preserve"> and </w:t>
      </w:r>
      <w:r w:rsidRPr="00B20A28">
        <w:rPr>
          <w:i/>
          <w:iCs/>
          <w:lang w:val="en-GB"/>
        </w:rPr>
        <w:t>E</w:t>
      </w:r>
      <w:r w:rsidRPr="00B20A28">
        <w:rPr>
          <w:lang w:val="en-GB"/>
        </w:rPr>
        <w:t xml:space="preserve"> are binary variables </w:t>
      </w:r>
      <w:r w:rsidR="003F06AB">
        <w:rPr>
          <w:lang w:val="en-GB"/>
        </w:rPr>
        <w:t>referring to</w:t>
      </w:r>
      <w:r w:rsidRPr="00B20A28">
        <w:rPr>
          <w:lang w:val="en-GB"/>
        </w:rPr>
        <w:t xml:space="preserve"> the R&amp;D and Export status of the firm, (</w:t>
      </w:r>
      <w:r w:rsidRPr="00B20A28">
        <w:rPr>
          <w:i/>
          <w:lang w:val="en-GB"/>
        </w:rPr>
        <w:t>R=</w:t>
      </w:r>
      <w:r w:rsidRPr="00B20A28">
        <w:rPr>
          <w:lang w:val="en-GB"/>
        </w:rPr>
        <w:t>1</w:t>
      </w:r>
      <w:r w:rsidR="00660AE3">
        <w:rPr>
          <w:lang w:val="en-GB"/>
        </w:rPr>
        <w:t>,</w:t>
      </w:r>
      <w:r w:rsidRPr="00B20A28">
        <w:rPr>
          <w:lang w:val="en-GB"/>
        </w:rPr>
        <w:t xml:space="preserve"> if </w:t>
      </w:r>
      <w:r w:rsidR="007548D4" w:rsidRPr="00B20A28">
        <w:rPr>
          <w:i/>
          <w:iCs/>
          <w:lang w:val="en-GB"/>
        </w:rPr>
        <w:t xml:space="preserve">i </w:t>
      </w:r>
      <w:r w:rsidRPr="00B20A28">
        <w:rPr>
          <w:lang w:val="en-GB"/>
        </w:rPr>
        <w:t xml:space="preserve">is an R&amp;D </w:t>
      </w:r>
      <w:r w:rsidR="007548D4" w:rsidRPr="00B20A28">
        <w:rPr>
          <w:lang w:val="en-GB"/>
        </w:rPr>
        <w:t>active</w:t>
      </w:r>
      <w:r w:rsidRPr="00B20A28">
        <w:rPr>
          <w:lang w:val="en-GB"/>
        </w:rPr>
        <w:t xml:space="preserve"> firm </w:t>
      </w:r>
      <w:r w:rsidR="00660AE3">
        <w:rPr>
          <w:lang w:val="en-GB"/>
        </w:rPr>
        <w:t>during</w:t>
      </w:r>
      <w:r w:rsidRPr="00B20A28">
        <w:rPr>
          <w:lang w:val="en-GB"/>
        </w:rPr>
        <w:t xml:space="preserve"> the</w:t>
      </w:r>
      <w:r w:rsidR="00660AE3">
        <w:rPr>
          <w:lang w:val="en-GB"/>
        </w:rPr>
        <w:t xml:space="preserve"> whole</w:t>
      </w:r>
      <w:r w:rsidRPr="00B20A28">
        <w:rPr>
          <w:lang w:val="en-GB"/>
        </w:rPr>
        <w:t xml:space="preserve"> perio</w:t>
      </w:r>
      <w:r w:rsidR="00660AE3">
        <w:rPr>
          <w:lang w:val="en-GB"/>
        </w:rPr>
        <w:t>d of our sample and 0 otherwise;</w:t>
      </w:r>
      <w:r w:rsidRPr="00B20A28">
        <w:rPr>
          <w:lang w:val="en-GB"/>
        </w:rPr>
        <w:t xml:space="preserve"> </w:t>
      </w:r>
      <w:r w:rsidR="003F06AB">
        <w:rPr>
          <w:lang w:val="en-GB"/>
        </w:rPr>
        <w:t xml:space="preserve">a similar definition </w:t>
      </w:r>
      <w:r w:rsidR="00660AE3">
        <w:rPr>
          <w:lang w:val="en-GB"/>
        </w:rPr>
        <w:t>applies to</w:t>
      </w:r>
      <w:r w:rsidRPr="00B20A28">
        <w:rPr>
          <w:lang w:val="en-GB"/>
        </w:rPr>
        <w:t xml:space="preserve"> </w:t>
      </w:r>
      <w:r w:rsidRPr="00B20A28">
        <w:rPr>
          <w:i/>
          <w:lang w:val="en-GB"/>
        </w:rPr>
        <w:t>E</w:t>
      </w:r>
      <w:r w:rsidRPr="00B20A28">
        <w:rPr>
          <w:lang w:val="en-GB"/>
        </w:rPr>
        <w:t>).</w:t>
      </w:r>
      <w:r w:rsidR="007548D4" w:rsidRPr="00B20A28">
        <w:t xml:space="preserve"> </w:t>
      </w:r>
      <w:r w:rsidR="002346A7" w:rsidRPr="002346A7">
        <w:rPr>
          <w:position w:val="-12"/>
        </w:rPr>
        <w:object w:dxaOrig="720" w:dyaOrig="360">
          <v:shape id="_x0000_i1028" type="#_x0000_t75" style="width:37.5pt;height:17.25pt" o:ole="">
            <v:imagedata r:id="rId14" o:title=""/>
          </v:shape>
          <o:OLEObject Type="Embed" ProgID="Equation.DSMT4" ShapeID="_x0000_i1028" DrawAspect="Content" ObjectID="_1604251443" r:id="rId15"/>
        </w:object>
      </w:r>
      <w:r w:rsidR="007548D4" w:rsidRPr="00B20A28">
        <w:t xml:space="preserve">represents the </w:t>
      </w:r>
      <w:r w:rsidR="00431B98" w:rsidRPr="00B20A28">
        <w:t xml:space="preserve">TFP </w:t>
      </w:r>
      <w:r w:rsidR="007548D4" w:rsidRPr="00B20A28">
        <w:t xml:space="preserve">distance between firm </w:t>
      </w:r>
      <w:r w:rsidR="007548D4" w:rsidRPr="00B20A28">
        <w:rPr>
          <w:i/>
        </w:rPr>
        <w:t xml:space="preserve">i </w:t>
      </w:r>
      <w:r w:rsidR="007548D4" w:rsidRPr="00B20A28">
        <w:t xml:space="preserve">and </w:t>
      </w:r>
      <w:r w:rsidR="00431B98">
        <w:t xml:space="preserve">the </w:t>
      </w:r>
      <w:r w:rsidR="007548D4" w:rsidRPr="00B20A28">
        <w:t xml:space="preserve">frontier firm </w:t>
      </w:r>
      <w:r w:rsidR="007548D4" w:rsidRPr="00B20A28">
        <w:rPr>
          <w:i/>
        </w:rPr>
        <w:t>F</w:t>
      </w:r>
      <w:r w:rsidR="003F06AB">
        <w:t xml:space="preserve">, </w:t>
      </w:r>
      <w:r w:rsidR="002346A7" w:rsidRPr="002346A7">
        <w:rPr>
          <w:position w:val="-14"/>
        </w:rPr>
        <w:object w:dxaOrig="1579" w:dyaOrig="420">
          <v:shape id="_x0000_i1029" type="#_x0000_t75" style="width:78.75pt;height:21pt" o:ole="">
            <v:imagedata r:id="rId16" o:title=""/>
          </v:shape>
          <o:OLEObject Type="Embed" ProgID="Equation.DSMT4" ShapeID="_x0000_i1029" DrawAspect="Content" ObjectID="_1604251444" r:id="rId17"/>
        </w:object>
      </w:r>
      <w:r w:rsidR="003F06AB">
        <w:t xml:space="preserve">. Our benchmark frontier measure is the firm with the highest TFP in industry </w:t>
      </w:r>
      <w:r w:rsidR="003F06AB" w:rsidRPr="003F06AB">
        <w:rPr>
          <w:i/>
        </w:rPr>
        <w:t>j</w:t>
      </w:r>
      <w:r w:rsidR="003F06AB">
        <w:t xml:space="preserve"> at year </w:t>
      </w:r>
      <w:r w:rsidR="003F06AB" w:rsidRPr="003F06AB">
        <w:rPr>
          <w:i/>
        </w:rPr>
        <w:t>t</w:t>
      </w:r>
      <w:r w:rsidR="003F06AB">
        <w:t>.</w:t>
      </w:r>
      <w:r w:rsidR="001F6580" w:rsidRPr="001F6580">
        <w:rPr>
          <w:rStyle w:val="FootnoteReference"/>
          <w:lang w:val="en-GB"/>
        </w:rPr>
        <w:t xml:space="preserve"> </w:t>
      </w:r>
      <w:r w:rsidR="001F6580" w:rsidRPr="003C10B0">
        <w:rPr>
          <w:rStyle w:val="FootnoteReference"/>
          <w:lang w:val="en-GB"/>
        </w:rPr>
        <w:footnoteReference w:id="11"/>
      </w:r>
      <w:r w:rsidR="001F6580">
        <w:rPr>
          <w:rStyle w:val="FootnoteReference"/>
          <w:lang w:val="en-GB"/>
        </w:rPr>
        <w:t xml:space="preserve"> </w:t>
      </w:r>
      <w:r w:rsidR="007548D4" w:rsidRPr="00B20A28">
        <w:t>The specification is also augmented with a set of year (</w:t>
      </w:r>
      <w:r w:rsidR="007548D4" w:rsidRPr="00B20A28">
        <w:rPr>
          <w:position w:val="-4"/>
        </w:rPr>
        <w:object w:dxaOrig="240" w:dyaOrig="260">
          <v:shape id="_x0000_i1030" type="#_x0000_t75" style="width:12.75pt;height:13.5pt" o:ole="">
            <v:imagedata r:id="rId18" o:title=""/>
          </v:shape>
          <o:OLEObject Type="Embed" ProgID="Equation.DSMT4" ShapeID="_x0000_i1030" DrawAspect="Content" ObjectID="_1604251445" r:id="rId19"/>
        </w:object>
      </w:r>
      <w:r w:rsidR="007548D4" w:rsidRPr="00B20A28">
        <w:t>) and four-digit NACE (Rev2) sectors (</w:t>
      </w:r>
      <w:r w:rsidR="007548D4" w:rsidRPr="00B20A28">
        <w:rPr>
          <w:position w:val="-6"/>
        </w:rPr>
        <w:object w:dxaOrig="220" w:dyaOrig="279">
          <v:shape id="_x0000_i1031" type="#_x0000_t75" style="width:11.25pt;height:14.25pt" o:ole="">
            <v:imagedata r:id="rId20" o:title=""/>
          </v:shape>
          <o:OLEObject Type="Embed" ProgID="Equation.DSMT4" ShapeID="_x0000_i1031" DrawAspect="Content" ObjectID="_1604251446" r:id="rId21"/>
        </w:object>
      </w:r>
      <w:r w:rsidR="007548D4" w:rsidRPr="00B20A28">
        <w:t xml:space="preserve">) dummies to capture common macroeconomic shocks and fixed idiosyncrasies at the industry level. Finally, </w:t>
      </w:r>
      <w:r w:rsidR="007548D4" w:rsidRPr="00B20A28">
        <w:rPr>
          <w:lang w:val="en-GB"/>
        </w:rPr>
        <w:t xml:space="preserve">there is a stochastic error </w:t>
      </w:r>
      <w:r w:rsidR="00DD5556" w:rsidRPr="00B20A28">
        <w:rPr>
          <w:lang w:val="en-GB"/>
        </w:rPr>
        <w:t>term</w:t>
      </w:r>
      <w:r w:rsidR="00E35858">
        <w:rPr>
          <w:lang w:val="en-GB"/>
        </w:rPr>
        <w:t xml:space="preserve"> </w:t>
      </w:r>
      <w:r w:rsidR="00660AE3" w:rsidRPr="00660AE3">
        <w:rPr>
          <w:position w:val="-12"/>
          <w:lang w:val="en-GB"/>
        </w:rPr>
        <w:object w:dxaOrig="279" w:dyaOrig="360">
          <v:shape id="_x0000_i1032" type="#_x0000_t75" style="width:14.25pt;height:18.75pt" o:ole="">
            <v:imagedata r:id="rId22" o:title=""/>
          </v:shape>
          <o:OLEObject Type="Embed" ProgID="Equation.DSMT4" ShapeID="_x0000_i1032" DrawAspect="Content" ObjectID="_1604251447" r:id="rId23"/>
        </w:object>
      </w:r>
      <w:r w:rsidR="00660AE3">
        <w:rPr>
          <w:lang w:val="en-GB"/>
        </w:rPr>
        <w:t xml:space="preserve">. </w:t>
      </w:r>
    </w:p>
    <w:p w:rsidR="007548D4" w:rsidRPr="00B20A28" w:rsidRDefault="007548D4" w:rsidP="00D51605">
      <w:pPr>
        <w:ind w:firstLine="357"/>
        <w:rPr>
          <w:rFonts w:ascii="Times New Roman" w:hAnsi="Times New Roman"/>
          <w:sz w:val="24"/>
          <w:szCs w:val="24"/>
          <w:lang w:val="en-GB"/>
        </w:rPr>
      </w:pPr>
      <w:r w:rsidRPr="00B20A28">
        <w:rPr>
          <w:rFonts w:ascii="Times New Roman" w:hAnsi="Times New Roman"/>
          <w:sz w:val="24"/>
          <w:szCs w:val="24"/>
          <w:lang w:val="en-GB"/>
        </w:rPr>
        <w:lastRenderedPageBreak/>
        <w:tab/>
        <w:t>A variant of [3.</w:t>
      </w:r>
      <w:r w:rsidR="00431B98">
        <w:rPr>
          <w:rFonts w:ascii="Times New Roman" w:hAnsi="Times New Roman"/>
          <w:sz w:val="24"/>
          <w:szCs w:val="24"/>
          <w:lang w:val="en-GB"/>
        </w:rPr>
        <w:t>2</w:t>
      </w:r>
      <w:r w:rsidRPr="00B20A28">
        <w:rPr>
          <w:rFonts w:ascii="Times New Roman" w:hAnsi="Times New Roman"/>
          <w:sz w:val="24"/>
          <w:szCs w:val="24"/>
          <w:lang w:val="en-GB"/>
        </w:rPr>
        <w:t xml:space="preserve">] </w:t>
      </w:r>
      <w:r w:rsidR="00DD5556">
        <w:rPr>
          <w:rFonts w:ascii="Times New Roman" w:hAnsi="Times New Roman"/>
          <w:sz w:val="24"/>
          <w:szCs w:val="24"/>
          <w:lang w:val="en-GB"/>
        </w:rPr>
        <w:t xml:space="preserve">is also considered </w:t>
      </w:r>
      <w:r w:rsidR="00431B98">
        <w:rPr>
          <w:rFonts w:ascii="Times New Roman" w:hAnsi="Times New Roman"/>
          <w:sz w:val="24"/>
          <w:szCs w:val="24"/>
          <w:lang w:val="en-GB"/>
        </w:rPr>
        <w:t>for</w:t>
      </w:r>
      <w:r w:rsidR="00DD5556">
        <w:rPr>
          <w:rFonts w:ascii="Times New Roman" w:hAnsi="Times New Roman"/>
          <w:sz w:val="24"/>
          <w:szCs w:val="24"/>
          <w:lang w:val="en-GB"/>
        </w:rPr>
        <w:t xml:space="preserve"> </w:t>
      </w:r>
      <w:r w:rsidRPr="00B20A28">
        <w:rPr>
          <w:rFonts w:ascii="Times New Roman" w:hAnsi="Times New Roman"/>
          <w:sz w:val="24"/>
          <w:szCs w:val="24"/>
          <w:lang w:val="en-GB"/>
        </w:rPr>
        <w:t>test</w:t>
      </w:r>
      <w:r w:rsidR="00431B98">
        <w:rPr>
          <w:rFonts w:ascii="Times New Roman" w:hAnsi="Times New Roman"/>
          <w:sz w:val="24"/>
          <w:szCs w:val="24"/>
          <w:lang w:val="en-GB"/>
        </w:rPr>
        <w:t>ing</w:t>
      </w:r>
      <w:r w:rsidRPr="00B20A28">
        <w:rPr>
          <w:rFonts w:ascii="Times New Roman" w:hAnsi="Times New Roman"/>
          <w:sz w:val="24"/>
          <w:szCs w:val="24"/>
          <w:lang w:val="en-GB"/>
        </w:rPr>
        <w:t xml:space="preserve"> whether the effect of corporate tax on TFP growth varies with firm </w:t>
      </w:r>
      <w:r w:rsidRPr="00B20A28">
        <w:rPr>
          <w:rFonts w:ascii="Times New Roman" w:hAnsi="Times New Roman"/>
          <w:i/>
          <w:sz w:val="24"/>
          <w:szCs w:val="24"/>
          <w:lang w:val="en-GB"/>
        </w:rPr>
        <w:t>i</w:t>
      </w:r>
      <w:r w:rsidRPr="00B20A28">
        <w:rPr>
          <w:rFonts w:ascii="Times New Roman" w:hAnsi="Times New Roman"/>
          <w:iCs/>
          <w:sz w:val="24"/>
          <w:szCs w:val="24"/>
          <w:lang w:val="en-GB"/>
        </w:rPr>
        <w:t>’s</w:t>
      </w:r>
      <w:r w:rsidRPr="00B20A28">
        <w:rPr>
          <w:rFonts w:ascii="Times New Roman" w:hAnsi="Times New Roman"/>
          <w:sz w:val="24"/>
          <w:szCs w:val="24"/>
          <w:lang w:val="en-GB"/>
        </w:rPr>
        <w:t xml:space="preserve"> distance from the frontier </w:t>
      </w:r>
      <w:r w:rsidR="007B1625" w:rsidRPr="00B20A28">
        <w:rPr>
          <w:rFonts w:ascii="Times New Roman" w:hAnsi="Times New Roman"/>
          <w:sz w:val="24"/>
          <w:szCs w:val="24"/>
          <w:lang w:val="en-GB"/>
        </w:rPr>
        <w:t xml:space="preserve">using </w:t>
      </w:r>
      <w:r w:rsidR="007B1625" w:rsidRPr="00B20A28">
        <w:rPr>
          <w:rFonts w:ascii="Times New Roman" w:hAnsi="Times New Roman"/>
          <w:sz w:val="24"/>
          <w:szCs w:val="24"/>
        </w:rPr>
        <w:t>an</w:t>
      </w:r>
      <w:r w:rsidRPr="00B20A28">
        <w:rPr>
          <w:rFonts w:ascii="Times New Roman" w:hAnsi="Times New Roman"/>
          <w:sz w:val="24"/>
          <w:szCs w:val="24"/>
        </w:rPr>
        <w:t xml:space="preserve"> interaction term of</w:t>
      </w:r>
      <w:r w:rsidRPr="00B20A28">
        <w:rPr>
          <w:rFonts w:ascii="Times New Roman" w:hAnsi="Times New Roman"/>
          <w:i/>
          <w:sz w:val="24"/>
          <w:szCs w:val="24"/>
        </w:rPr>
        <w:t xml:space="preserve"> GAP</w:t>
      </w:r>
      <w:r w:rsidRPr="00B20A28">
        <w:rPr>
          <w:rFonts w:ascii="Times New Roman" w:hAnsi="Times New Roman"/>
          <w:sz w:val="24"/>
          <w:szCs w:val="24"/>
        </w:rPr>
        <w:t xml:space="preserve"> and </w:t>
      </w:r>
      <w:r w:rsidRPr="00B20A28">
        <w:rPr>
          <w:rFonts w:ascii="Times New Roman" w:hAnsi="Times New Roman"/>
          <w:i/>
          <w:sz w:val="24"/>
          <w:szCs w:val="24"/>
        </w:rPr>
        <w:t>Tax</w:t>
      </w:r>
      <w:r w:rsidRPr="00B20A28">
        <w:rPr>
          <w:rFonts w:ascii="Times New Roman" w:hAnsi="Times New Roman"/>
          <w:i/>
          <w:sz w:val="24"/>
          <w:szCs w:val="24"/>
          <w:lang w:val="en-GB"/>
        </w:rPr>
        <w:t>.</w:t>
      </w:r>
    </w:p>
    <w:p w:rsidR="007548D4" w:rsidRPr="002A6A02" w:rsidRDefault="007548D4" w:rsidP="00B20A28">
      <w:pPr>
        <w:pStyle w:val="MTDisplayEquation"/>
      </w:pPr>
      <w:r>
        <w:tab/>
      </w:r>
      <w:r w:rsidR="00A14F8C" w:rsidRPr="00627E29">
        <w:rPr>
          <w:position w:val="-14"/>
        </w:rPr>
        <w:object w:dxaOrig="5780" w:dyaOrig="740">
          <v:shape id="_x0000_i1033" type="#_x0000_t75" style="width:289.5pt;height:38.25pt" o:ole="">
            <v:imagedata r:id="rId24" o:title=""/>
          </v:shape>
          <o:OLEObject Type="Embed" ProgID="Equation.DSMT4" ShapeID="_x0000_i1033" DrawAspect="Content" ObjectID="_1604251448" r:id="rId25"/>
        </w:object>
      </w:r>
      <w:r>
        <w:tab/>
        <w:t>[3.</w:t>
      </w:r>
      <w:r w:rsidR="0048773A">
        <w:t>3</w:t>
      </w:r>
      <w:r>
        <w:t>]</w:t>
      </w:r>
    </w:p>
    <w:p w:rsidR="00B20A28" w:rsidRPr="00660AE3" w:rsidRDefault="007548D4" w:rsidP="00B20A28">
      <w:pPr>
        <w:rPr>
          <w:rFonts w:ascii="Times New Roman" w:hAnsi="Times New Roman"/>
          <w:sz w:val="24"/>
          <w:szCs w:val="24"/>
          <w:lang w:val="en-GB"/>
        </w:rPr>
      </w:pPr>
      <w:r w:rsidRPr="002A6A02">
        <w:rPr>
          <w:rFonts w:ascii="Times New Roman" w:hAnsi="Times New Roman"/>
          <w:sz w:val="24"/>
          <w:szCs w:val="24"/>
          <w:lang w:val="en-GB"/>
        </w:rPr>
        <w:t>Parameter</w:t>
      </w:r>
      <w:r w:rsidRPr="002A6A02">
        <w:rPr>
          <w:rFonts w:ascii="Times New Roman" w:hAnsi="Times New Roman"/>
          <w:position w:val="-10"/>
          <w:sz w:val="24"/>
          <w:szCs w:val="24"/>
          <w:lang w:val="en-GB"/>
        </w:rPr>
        <w:object w:dxaOrig="240" w:dyaOrig="260">
          <v:shape id="_x0000_i1034" type="#_x0000_t75" style="width:12.75pt;height:12.75pt" o:ole="">
            <v:imagedata r:id="rId26" o:title=""/>
          </v:shape>
          <o:OLEObject Type="Embed" ProgID="Equation.DSMT4" ShapeID="_x0000_i1034" DrawAspect="Content" ObjectID="_1604251449" r:id="rId27"/>
        </w:object>
      </w:r>
      <w:r w:rsidRPr="002A6A02">
        <w:rPr>
          <w:rFonts w:ascii="Times New Roman" w:hAnsi="Times New Roman"/>
          <w:sz w:val="24"/>
          <w:szCs w:val="24"/>
          <w:lang w:val="en-GB"/>
        </w:rPr>
        <w:t>captures</w:t>
      </w:r>
      <w:r w:rsidR="00DD5556">
        <w:rPr>
          <w:rFonts w:ascii="Times New Roman" w:hAnsi="Times New Roman"/>
          <w:sz w:val="24"/>
          <w:szCs w:val="24"/>
          <w:lang w:val="en-GB"/>
        </w:rPr>
        <w:t xml:space="preserve"> the effect of </w:t>
      </w:r>
      <w:r w:rsidR="00DD5556" w:rsidRPr="002A6A02">
        <w:rPr>
          <w:rFonts w:ascii="Times New Roman" w:hAnsi="Times New Roman"/>
          <w:sz w:val="24"/>
          <w:szCs w:val="24"/>
          <w:lang w:val="en-GB"/>
        </w:rPr>
        <w:t xml:space="preserve">corporate tax </w:t>
      </w:r>
      <w:r w:rsidR="00DD5556">
        <w:rPr>
          <w:rFonts w:ascii="Times New Roman" w:hAnsi="Times New Roman"/>
          <w:sz w:val="24"/>
          <w:szCs w:val="24"/>
          <w:lang w:val="en-GB"/>
        </w:rPr>
        <w:t xml:space="preserve">on the </w:t>
      </w:r>
      <w:r w:rsidRPr="002A6A02">
        <w:rPr>
          <w:rFonts w:ascii="Times New Roman" w:hAnsi="Times New Roman"/>
          <w:sz w:val="24"/>
          <w:szCs w:val="24"/>
          <w:lang w:val="en-GB"/>
        </w:rPr>
        <w:t>catch-up process</w:t>
      </w:r>
      <w:r w:rsidR="00DD5556">
        <w:rPr>
          <w:rFonts w:ascii="Times New Roman" w:hAnsi="Times New Roman"/>
          <w:sz w:val="24"/>
          <w:szCs w:val="24"/>
          <w:lang w:val="en-GB"/>
        </w:rPr>
        <w:t>. Accordingly</w:t>
      </w:r>
      <w:r w:rsidR="00431B98">
        <w:rPr>
          <w:rFonts w:ascii="Times New Roman" w:hAnsi="Times New Roman"/>
          <w:sz w:val="24"/>
          <w:szCs w:val="24"/>
          <w:lang w:val="en-GB"/>
        </w:rPr>
        <w:t>,</w:t>
      </w:r>
      <w:r w:rsidR="00DD5556">
        <w:rPr>
          <w:rFonts w:ascii="Times New Roman" w:hAnsi="Times New Roman"/>
          <w:sz w:val="24"/>
          <w:szCs w:val="24"/>
          <w:lang w:val="en-GB"/>
        </w:rPr>
        <w:t xml:space="preserve"> we posit a positive sign for the estimated coefficient of</w:t>
      </w:r>
      <w:r w:rsidR="00660AE3">
        <w:rPr>
          <w:rFonts w:ascii="Times New Roman" w:hAnsi="Times New Roman"/>
          <w:sz w:val="24"/>
          <w:szCs w:val="24"/>
          <w:lang w:val="en-GB"/>
        </w:rPr>
        <w:t xml:space="preserve"> </w:t>
      </w:r>
      <w:r w:rsidR="00DD5556" w:rsidRPr="00DD5556">
        <w:rPr>
          <w:rFonts w:ascii="Times New Roman" w:hAnsi="Times New Roman"/>
          <w:position w:val="-10"/>
          <w:sz w:val="24"/>
          <w:szCs w:val="24"/>
          <w:lang w:val="en-GB"/>
        </w:rPr>
        <w:object w:dxaOrig="240" w:dyaOrig="260">
          <v:shape id="_x0000_i1035" type="#_x0000_t75" style="width:12pt;height:12.75pt" o:ole="">
            <v:imagedata r:id="rId28" o:title=""/>
          </v:shape>
          <o:OLEObject Type="Embed" ProgID="Equation.DSMT4" ShapeID="_x0000_i1035" DrawAspect="Content" ObjectID="_1604251450" r:id="rId29"/>
        </w:object>
      </w:r>
      <w:r w:rsidR="00DD5556">
        <w:rPr>
          <w:rFonts w:ascii="Times New Roman" w:hAnsi="Times New Roman"/>
          <w:sz w:val="24"/>
          <w:szCs w:val="24"/>
          <w:lang w:val="en-GB"/>
        </w:rPr>
        <w:t>.</w:t>
      </w:r>
      <w:r w:rsidRPr="002A6A02">
        <w:rPr>
          <w:rFonts w:ascii="Times New Roman" w:hAnsi="Times New Roman"/>
          <w:sz w:val="24"/>
          <w:szCs w:val="24"/>
          <w:lang w:val="en-GB"/>
        </w:rPr>
        <w:t xml:space="preserve"> </w:t>
      </w:r>
      <w:r w:rsidR="002A6A02" w:rsidRPr="002A6A02">
        <w:rPr>
          <w:rFonts w:ascii="Times New Roman" w:hAnsi="Times New Roman"/>
          <w:sz w:val="24"/>
          <w:szCs w:val="24"/>
        </w:rPr>
        <w:t>We</w:t>
      </w:r>
      <w:r w:rsidR="00DD5556">
        <w:rPr>
          <w:rFonts w:ascii="Times New Roman" w:hAnsi="Times New Roman"/>
          <w:sz w:val="24"/>
          <w:szCs w:val="24"/>
          <w:lang w:val="en-GB"/>
        </w:rPr>
        <w:t xml:space="preserve"> also</w:t>
      </w:r>
      <w:r w:rsidR="002A6A02" w:rsidRPr="002A6A02">
        <w:rPr>
          <w:rFonts w:ascii="Times New Roman" w:hAnsi="Times New Roman"/>
          <w:sz w:val="24"/>
          <w:szCs w:val="24"/>
        </w:rPr>
        <w:t xml:space="preserve"> anticipate that estimated parameters</w:t>
      </w:r>
      <w:r w:rsidR="002A6A02" w:rsidRPr="002A6A02">
        <w:rPr>
          <w:rFonts w:ascii="Times New Roman" w:hAnsi="Times New Roman"/>
          <w:position w:val="-14"/>
          <w:sz w:val="24"/>
          <w:szCs w:val="24"/>
        </w:rPr>
        <w:object w:dxaOrig="260" w:dyaOrig="400">
          <v:shape id="_x0000_i1036" type="#_x0000_t75" style="width:12.75pt;height:20.25pt" o:ole="">
            <v:imagedata r:id="rId30" o:title=""/>
          </v:shape>
          <o:OLEObject Type="Embed" ProgID="Equation.DSMT4" ShapeID="_x0000_i1036" DrawAspect="Content" ObjectID="_1604251451" r:id="rId31"/>
        </w:object>
      </w:r>
      <w:r w:rsidR="002A6A02" w:rsidRPr="002A6A02">
        <w:rPr>
          <w:rFonts w:ascii="Times New Roman" w:hAnsi="Times New Roman"/>
          <w:sz w:val="24"/>
          <w:szCs w:val="24"/>
        </w:rPr>
        <w:t>,</w:t>
      </w:r>
      <w:r w:rsidR="002A6A02" w:rsidRPr="002A6A02">
        <w:rPr>
          <w:rFonts w:ascii="Times New Roman" w:hAnsi="Times New Roman"/>
          <w:position w:val="-14"/>
          <w:sz w:val="24"/>
          <w:szCs w:val="24"/>
        </w:rPr>
        <w:object w:dxaOrig="260" w:dyaOrig="400">
          <v:shape id="_x0000_i1037" type="#_x0000_t75" style="width:12.75pt;height:20.25pt" o:ole="">
            <v:imagedata r:id="rId32" o:title=""/>
          </v:shape>
          <o:OLEObject Type="Embed" ProgID="Equation.DSMT4" ShapeID="_x0000_i1037" DrawAspect="Content" ObjectID="_1604251452" r:id="rId33"/>
        </w:object>
      </w:r>
      <w:r w:rsidR="002A6A02" w:rsidRPr="002A6A02">
        <w:rPr>
          <w:rFonts w:ascii="Times New Roman" w:hAnsi="Times New Roman"/>
          <w:sz w:val="24"/>
          <w:szCs w:val="24"/>
        </w:rPr>
        <w:t xml:space="preserve"> and </w:t>
      </w:r>
      <w:r w:rsidR="002A6A02" w:rsidRPr="002A6A02">
        <w:rPr>
          <w:rFonts w:ascii="Times New Roman" w:hAnsi="Times New Roman"/>
          <w:position w:val="-14"/>
          <w:sz w:val="24"/>
          <w:szCs w:val="24"/>
        </w:rPr>
        <w:object w:dxaOrig="260" w:dyaOrig="400">
          <v:shape id="_x0000_i1038" type="#_x0000_t75" style="width:12.75pt;height:20.25pt" o:ole="">
            <v:imagedata r:id="rId34" o:title=""/>
          </v:shape>
          <o:OLEObject Type="Embed" ProgID="Equation.DSMT4" ShapeID="_x0000_i1038" DrawAspect="Content" ObjectID="_1604251453" r:id="rId35"/>
        </w:object>
      </w:r>
      <w:r w:rsidR="002A6A02" w:rsidRPr="002A6A02">
        <w:rPr>
          <w:rFonts w:ascii="Times New Roman" w:hAnsi="Times New Roman"/>
          <w:sz w:val="24"/>
          <w:szCs w:val="24"/>
        </w:rPr>
        <w:t xml:space="preserve">will be positive while parameters </w:t>
      </w:r>
      <w:r w:rsidR="002A6A02" w:rsidRPr="002A6A02">
        <w:rPr>
          <w:rFonts w:ascii="Times New Roman" w:hAnsi="Times New Roman"/>
          <w:position w:val="-14"/>
          <w:sz w:val="24"/>
          <w:szCs w:val="24"/>
        </w:rPr>
        <w:object w:dxaOrig="260" w:dyaOrig="400">
          <v:shape id="_x0000_i1039" type="#_x0000_t75" style="width:12.75pt;height:20.25pt" o:ole="">
            <v:imagedata r:id="rId36" o:title=""/>
          </v:shape>
          <o:OLEObject Type="Embed" ProgID="Equation.DSMT4" ShapeID="_x0000_i1039" DrawAspect="Content" ObjectID="_1604251454" r:id="rId37"/>
        </w:object>
      </w:r>
      <w:r w:rsidR="002A6A02" w:rsidRPr="002A6A02">
        <w:rPr>
          <w:rFonts w:ascii="Times New Roman" w:hAnsi="Times New Roman"/>
          <w:sz w:val="24"/>
          <w:szCs w:val="24"/>
        </w:rPr>
        <w:t xml:space="preserve">and </w:t>
      </w:r>
      <w:r w:rsidR="002A6A02" w:rsidRPr="002A6A02">
        <w:rPr>
          <w:rFonts w:ascii="Times New Roman" w:hAnsi="Times New Roman"/>
          <w:position w:val="-6"/>
          <w:sz w:val="24"/>
          <w:szCs w:val="24"/>
        </w:rPr>
        <w:object w:dxaOrig="220" w:dyaOrig="279">
          <v:shape id="_x0000_i1040" type="#_x0000_t75" style="width:11.25pt;height:14.25pt" o:ole="">
            <v:imagedata r:id="rId38" o:title=""/>
          </v:shape>
          <o:OLEObject Type="Embed" ProgID="Equation.DSMT4" ShapeID="_x0000_i1040" DrawAspect="Content" ObjectID="_1604251455" r:id="rId39"/>
        </w:object>
      </w:r>
      <w:r w:rsidR="002A6A02" w:rsidRPr="002A6A02">
        <w:rPr>
          <w:rFonts w:ascii="Times New Roman" w:hAnsi="Times New Roman"/>
          <w:sz w:val="24"/>
          <w:szCs w:val="24"/>
        </w:rPr>
        <w:t xml:space="preserve"> will be negative. </w:t>
      </w:r>
      <w:r w:rsidR="00660AE3">
        <w:rPr>
          <w:rFonts w:ascii="Times New Roman" w:hAnsi="Times New Roman"/>
          <w:sz w:val="24"/>
          <w:szCs w:val="24"/>
          <w:lang w:val="en-GB"/>
        </w:rPr>
        <w:t>Finally we consider another variant of [3.2] that</w:t>
      </w:r>
      <w:r w:rsidR="005F62BA">
        <w:rPr>
          <w:rFonts w:ascii="Times New Roman" w:hAnsi="Times New Roman"/>
          <w:sz w:val="24"/>
          <w:szCs w:val="24"/>
          <w:lang w:val="en-GB"/>
        </w:rPr>
        <w:t xml:space="preserve"> uses interchangeably the</w:t>
      </w:r>
      <w:r w:rsidR="00660AE3">
        <w:rPr>
          <w:rFonts w:ascii="Times New Roman" w:hAnsi="Times New Roman"/>
          <w:sz w:val="24"/>
          <w:szCs w:val="24"/>
          <w:lang w:val="en-GB"/>
        </w:rPr>
        <w:t xml:space="preserve"> interact</w:t>
      </w:r>
      <w:r w:rsidR="005F62BA">
        <w:rPr>
          <w:rFonts w:ascii="Times New Roman" w:hAnsi="Times New Roman"/>
          <w:sz w:val="24"/>
          <w:szCs w:val="24"/>
          <w:lang w:val="en-GB"/>
        </w:rPr>
        <w:t xml:space="preserve">ion terms of </w:t>
      </w:r>
      <w:r w:rsidR="005F62BA" w:rsidRPr="00A14F8C">
        <w:rPr>
          <w:rFonts w:asciiTheme="majorBidi" w:hAnsiTheme="majorBidi" w:cstheme="majorBidi"/>
          <w:position w:val="-12"/>
          <w:sz w:val="24"/>
          <w:szCs w:val="24"/>
          <w:lang w:val="en-US"/>
        </w:rPr>
        <w:object w:dxaOrig="1200" w:dyaOrig="360">
          <v:shape id="_x0000_i1041" type="#_x0000_t75" style="width:60pt;height:18.75pt" o:ole="">
            <v:imagedata r:id="rId40" o:title=""/>
          </v:shape>
          <o:OLEObject Type="Embed" ProgID="Equation.DSMT4" ShapeID="_x0000_i1041" DrawAspect="Content" ObjectID="_1604251456" r:id="rId41"/>
        </w:object>
      </w:r>
      <w:r w:rsidR="005F62BA">
        <w:rPr>
          <w:rFonts w:asciiTheme="majorBidi" w:hAnsiTheme="majorBidi" w:cstheme="majorBidi"/>
          <w:sz w:val="24"/>
          <w:szCs w:val="24"/>
          <w:lang w:val="en-US"/>
        </w:rPr>
        <w:t xml:space="preserve"> and </w:t>
      </w:r>
      <w:r w:rsidR="005F62BA" w:rsidRPr="00A14F8C">
        <w:rPr>
          <w:rFonts w:asciiTheme="majorBidi" w:hAnsiTheme="majorBidi" w:cstheme="majorBidi"/>
          <w:position w:val="-12"/>
          <w:sz w:val="24"/>
          <w:szCs w:val="24"/>
          <w:lang w:val="en-US"/>
        </w:rPr>
        <w:object w:dxaOrig="1200" w:dyaOrig="360">
          <v:shape id="_x0000_i1042" type="#_x0000_t75" style="width:60pt;height:18.75pt" o:ole="">
            <v:imagedata r:id="rId42" o:title=""/>
          </v:shape>
          <o:OLEObject Type="Embed" ProgID="Equation.DSMT4" ShapeID="_x0000_i1042" DrawAspect="Content" ObjectID="_1604251457" r:id="rId43"/>
        </w:object>
      </w:r>
      <w:r w:rsidR="005F62BA">
        <w:rPr>
          <w:rFonts w:ascii="Times New Roman" w:hAnsi="Times New Roman"/>
          <w:sz w:val="24"/>
          <w:szCs w:val="24"/>
          <w:lang w:val="en-GB"/>
        </w:rPr>
        <w:t xml:space="preserve"> </w:t>
      </w:r>
      <w:r w:rsidR="00660AE3">
        <w:rPr>
          <w:rFonts w:ascii="Times New Roman" w:hAnsi="Times New Roman"/>
          <w:sz w:val="24"/>
          <w:szCs w:val="24"/>
          <w:lang w:val="en-GB"/>
        </w:rPr>
        <w:t xml:space="preserve"> </w:t>
      </w:r>
      <w:r w:rsidR="005F62BA">
        <w:rPr>
          <w:rFonts w:ascii="Times New Roman" w:hAnsi="Times New Roman"/>
          <w:sz w:val="24"/>
          <w:szCs w:val="24"/>
          <w:lang w:val="en-GB"/>
        </w:rPr>
        <w:t xml:space="preserve">in order </w:t>
      </w:r>
      <w:r w:rsidR="00660AE3">
        <w:rPr>
          <w:rFonts w:ascii="Times New Roman" w:hAnsi="Times New Roman"/>
          <w:sz w:val="24"/>
          <w:szCs w:val="24"/>
          <w:lang w:val="en-GB"/>
        </w:rPr>
        <w:t xml:space="preserve">to test whether the effect of tax liability varies with the </w:t>
      </w:r>
      <w:r w:rsidR="005F62BA">
        <w:rPr>
          <w:rFonts w:ascii="Times New Roman" w:hAnsi="Times New Roman"/>
          <w:sz w:val="24"/>
          <w:szCs w:val="24"/>
          <w:lang w:val="en-GB"/>
        </w:rPr>
        <w:t xml:space="preserve">R&amp;D and export </w:t>
      </w:r>
      <w:r w:rsidR="00660AE3">
        <w:rPr>
          <w:rFonts w:ascii="Times New Roman" w:hAnsi="Times New Roman"/>
          <w:sz w:val="24"/>
          <w:szCs w:val="24"/>
          <w:lang w:val="en-GB"/>
        </w:rPr>
        <w:t>status</w:t>
      </w:r>
      <w:r w:rsidR="005F62BA">
        <w:rPr>
          <w:rFonts w:ascii="Times New Roman" w:hAnsi="Times New Roman"/>
          <w:sz w:val="24"/>
          <w:szCs w:val="24"/>
          <w:lang w:val="en-GB"/>
        </w:rPr>
        <w:t xml:space="preserve"> of the firm.</w:t>
      </w:r>
      <w:r w:rsidR="00660AE3">
        <w:rPr>
          <w:rFonts w:ascii="Times New Roman" w:hAnsi="Times New Roman"/>
          <w:sz w:val="24"/>
          <w:szCs w:val="24"/>
          <w:lang w:val="en-GB"/>
        </w:rPr>
        <w:t xml:space="preserve"> </w:t>
      </w:r>
    </w:p>
    <w:p w:rsidR="00D51605" w:rsidRDefault="00B20A28" w:rsidP="00D51605">
      <w:pPr>
        <w:pStyle w:val="ListParagraph"/>
        <w:ind w:left="0" w:firstLine="284"/>
        <w:rPr>
          <w:rFonts w:ascii="Times New Roman" w:eastAsia="Times New Roman" w:hAnsi="Times New Roman"/>
          <w:sz w:val="24"/>
          <w:szCs w:val="24"/>
          <w:lang w:val="en-US"/>
        </w:rPr>
      </w:pPr>
      <w:r w:rsidRPr="003C10B0">
        <w:rPr>
          <w:rFonts w:ascii="Times New Roman" w:hAnsi="Times New Roman"/>
          <w:sz w:val="24"/>
          <w:szCs w:val="24"/>
          <w:lang w:val="en-GB"/>
        </w:rPr>
        <w:tab/>
      </w:r>
      <w:r w:rsidR="00513EF3">
        <w:rPr>
          <w:rFonts w:ascii="Times New Roman" w:hAnsi="Times New Roman"/>
          <w:sz w:val="24"/>
          <w:szCs w:val="24"/>
          <w:lang w:val="en-GB"/>
        </w:rPr>
        <w:t xml:space="preserve">We use two alternative definitions of </w:t>
      </w:r>
      <w:r w:rsidRPr="009D0B93">
        <w:rPr>
          <w:rFonts w:ascii="Times New Roman" w:hAnsi="Times New Roman"/>
          <w:i/>
          <w:sz w:val="24"/>
          <w:szCs w:val="24"/>
          <w:lang w:val="en-GB"/>
        </w:rPr>
        <w:t>Tax</w:t>
      </w:r>
      <w:r w:rsidR="00513EF3">
        <w:rPr>
          <w:rFonts w:ascii="Times New Roman" w:hAnsi="Times New Roman"/>
          <w:sz w:val="24"/>
          <w:szCs w:val="24"/>
          <w:lang w:val="en-GB"/>
        </w:rPr>
        <w:t xml:space="preserve"> seeking to capture two different conceptualisation</w:t>
      </w:r>
      <w:r w:rsidR="009D0B93">
        <w:rPr>
          <w:rFonts w:ascii="Times New Roman" w:hAnsi="Times New Roman"/>
          <w:sz w:val="24"/>
          <w:szCs w:val="24"/>
          <w:lang w:val="en-GB"/>
        </w:rPr>
        <w:t>s</w:t>
      </w:r>
      <w:r w:rsidR="00513EF3">
        <w:rPr>
          <w:rFonts w:ascii="Times New Roman" w:hAnsi="Times New Roman"/>
          <w:sz w:val="24"/>
          <w:szCs w:val="24"/>
          <w:lang w:val="en-GB"/>
        </w:rPr>
        <w:t xml:space="preserve"> </w:t>
      </w:r>
      <w:r w:rsidR="00926149">
        <w:rPr>
          <w:rFonts w:ascii="Times New Roman" w:hAnsi="Times New Roman"/>
          <w:sz w:val="24"/>
          <w:szCs w:val="24"/>
          <w:lang w:val="en-GB"/>
        </w:rPr>
        <w:t>regarding the impact of</w:t>
      </w:r>
      <w:r w:rsidR="00513EF3">
        <w:rPr>
          <w:rFonts w:ascii="Times New Roman" w:hAnsi="Times New Roman"/>
          <w:sz w:val="24"/>
          <w:szCs w:val="24"/>
          <w:lang w:val="en-GB"/>
        </w:rPr>
        <w:t xml:space="preserve"> tax</w:t>
      </w:r>
      <w:r w:rsidR="00926149">
        <w:rPr>
          <w:rFonts w:ascii="Times New Roman" w:hAnsi="Times New Roman"/>
          <w:sz w:val="24"/>
          <w:szCs w:val="24"/>
          <w:lang w:val="en-GB"/>
        </w:rPr>
        <w:t xml:space="preserve"> burden</w:t>
      </w:r>
      <w:r w:rsidR="00513EF3">
        <w:rPr>
          <w:rFonts w:ascii="Times New Roman" w:hAnsi="Times New Roman"/>
          <w:sz w:val="24"/>
          <w:szCs w:val="24"/>
          <w:lang w:val="en-GB"/>
        </w:rPr>
        <w:t xml:space="preserve">. The first </w:t>
      </w:r>
      <w:r w:rsidR="00926149">
        <w:rPr>
          <w:rFonts w:ascii="Times New Roman" w:hAnsi="Times New Roman"/>
          <w:sz w:val="24"/>
          <w:szCs w:val="24"/>
          <w:lang w:val="en-GB"/>
        </w:rPr>
        <w:t>measure</w:t>
      </w:r>
      <w:r w:rsidR="00513EF3">
        <w:rPr>
          <w:rFonts w:ascii="Times New Roman" w:hAnsi="Times New Roman"/>
          <w:sz w:val="24"/>
          <w:szCs w:val="24"/>
          <w:lang w:val="en-GB"/>
        </w:rPr>
        <w:t xml:space="preserve"> is the amount of tax bill that is due using</w:t>
      </w:r>
      <w:r w:rsidRPr="003C10B0">
        <w:rPr>
          <w:rFonts w:ascii="Times New Roman" w:hAnsi="Times New Roman"/>
          <w:sz w:val="24"/>
          <w:szCs w:val="24"/>
          <w:lang w:val="en-GB"/>
        </w:rPr>
        <w:t xml:space="preserve"> the statutory tax rate </w:t>
      </w:r>
      <w:r w:rsidR="009D0B93">
        <w:rPr>
          <w:rFonts w:ascii="Times New Roman" w:hAnsi="Times New Roman"/>
          <w:sz w:val="24"/>
          <w:szCs w:val="24"/>
          <w:lang w:val="en-GB"/>
        </w:rPr>
        <w:t xml:space="preserve">that </w:t>
      </w:r>
      <w:r w:rsidR="00513EF3">
        <w:rPr>
          <w:rFonts w:ascii="Times New Roman" w:hAnsi="Times New Roman"/>
          <w:sz w:val="24"/>
          <w:szCs w:val="24"/>
          <w:lang w:val="en-GB"/>
        </w:rPr>
        <w:t>applies</w:t>
      </w:r>
      <w:r w:rsidRPr="003C10B0">
        <w:rPr>
          <w:rFonts w:ascii="Times New Roman" w:hAnsi="Times New Roman"/>
          <w:sz w:val="24"/>
          <w:szCs w:val="24"/>
          <w:lang w:val="en-GB"/>
        </w:rPr>
        <w:t xml:space="preserve"> </w:t>
      </w:r>
      <w:r w:rsidR="00513EF3">
        <w:rPr>
          <w:rFonts w:ascii="Times New Roman" w:hAnsi="Times New Roman"/>
          <w:sz w:val="24"/>
          <w:szCs w:val="24"/>
          <w:lang w:val="en-GB"/>
        </w:rPr>
        <w:t>for each</w:t>
      </w:r>
      <w:r w:rsidRPr="003C10B0">
        <w:rPr>
          <w:rFonts w:ascii="Times New Roman" w:hAnsi="Times New Roman"/>
          <w:sz w:val="24"/>
          <w:szCs w:val="24"/>
          <w:lang w:val="en-GB"/>
        </w:rPr>
        <w:t xml:space="preserve"> different</w:t>
      </w:r>
      <w:r w:rsidR="009D0B93">
        <w:rPr>
          <w:rFonts w:ascii="Times New Roman" w:hAnsi="Times New Roman"/>
          <w:sz w:val="24"/>
          <w:szCs w:val="24"/>
          <w:lang w:val="en-GB"/>
        </w:rPr>
        <w:t xml:space="preserve"> profit category. </w:t>
      </w:r>
      <w:r w:rsidR="001004C1">
        <w:rPr>
          <w:rFonts w:ascii="Times New Roman" w:hAnsi="Times New Roman"/>
          <w:sz w:val="24"/>
          <w:szCs w:val="24"/>
          <w:lang w:val="en-GB"/>
        </w:rPr>
        <w:t xml:space="preserve">Based on this, </w:t>
      </w:r>
      <w:r w:rsidR="00926149">
        <w:rPr>
          <w:rFonts w:ascii="Times New Roman" w:eastAsia="Times New Roman" w:hAnsi="Times New Roman"/>
          <w:sz w:val="24"/>
          <w:szCs w:val="24"/>
          <w:lang w:val="en-US"/>
        </w:rPr>
        <w:t xml:space="preserve">corporate tax liability </w:t>
      </w:r>
      <w:r w:rsidR="001004C1">
        <w:rPr>
          <w:rFonts w:ascii="Times New Roman" w:eastAsia="Times New Roman" w:hAnsi="Times New Roman"/>
          <w:sz w:val="24"/>
          <w:szCs w:val="24"/>
          <w:lang w:val="en-US"/>
        </w:rPr>
        <w:t>(</w:t>
      </w:r>
      <w:r w:rsidR="001004C1" w:rsidRPr="005D1F9A">
        <w:rPr>
          <w:rFonts w:ascii="Times New Roman" w:eastAsia="Times New Roman" w:hAnsi="Times New Roman"/>
          <w:i/>
          <w:iCs/>
          <w:sz w:val="24"/>
          <w:szCs w:val="24"/>
          <w:lang w:val="en-US"/>
        </w:rPr>
        <w:t>Tax</w:t>
      </w:r>
      <w:r w:rsidR="001004C1">
        <w:rPr>
          <w:rFonts w:ascii="Times New Roman" w:eastAsia="Times New Roman" w:hAnsi="Times New Roman"/>
          <w:sz w:val="24"/>
          <w:szCs w:val="24"/>
          <w:lang w:val="en-US"/>
        </w:rPr>
        <w:t>) is defined as follows:</w:t>
      </w:r>
      <w:r w:rsidR="007C7860" w:rsidRPr="001004C1">
        <w:rPr>
          <w:rFonts w:ascii="Times New Roman" w:eastAsia="Times New Roman" w:hAnsi="Times New Roman"/>
          <w:position w:val="-28"/>
          <w:sz w:val="24"/>
          <w:szCs w:val="24"/>
          <w:lang w:val="en-US"/>
        </w:rPr>
        <w:object w:dxaOrig="2780" w:dyaOrig="700">
          <v:shape id="_x0000_i1043" type="#_x0000_t75" style="width:138.75pt;height:35.25pt" o:ole="">
            <v:imagedata r:id="rId44" o:title=""/>
          </v:shape>
          <o:OLEObject Type="Embed" ProgID="Equation.DSMT4" ShapeID="_x0000_i1043" DrawAspect="Content" ObjectID="_1604251458" r:id="rId45"/>
        </w:object>
      </w:r>
      <w:r w:rsidR="001004C1">
        <w:rPr>
          <w:rFonts w:ascii="Times New Roman" w:eastAsia="Times New Roman" w:hAnsi="Times New Roman"/>
          <w:sz w:val="24"/>
          <w:szCs w:val="24"/>
          <w:lang w:val="en-US"/>
        </w:rPr>
        <w:t xml:space="preserve">, where </w:t>
      </w:r>
      <w:r w:rsidR="001004C1" w:rsidRPr="005D1F9A">
        <w:rPr>
          <w:rFonts w:ascii="Times New Roman" w:eastAsia="Times New Roman" w:hAnsi="Times New Roman"/>
          <w:i/>
          <w:iCs/>
          <w:sz w:val="24"/>
          <w:szCs w:val="24"/>
          <w:lang w:val="en-US"/>
        </w:rPr>
        <w:t xml:space="preserve">EBIT </w:t>
      </w:r>
      <w:r w:rsidR="001004C1">
        <w:rPr>
          <w:rFonts w:ascii="Times New Roman" w:eastAsia="Times New Roman" w:hAnsi="Times New Roman"/>
          <w:sz w:val="24"/>
          <w:szCs w:val="24"/>
          <w:lang w:val="en-US"/>
        </w:rPr>
        <w:t xml:space="preserve">are </w:t>
      </w:r>
      <w:r w:rsidR="007C7860" w:rsidRPr="00034690">
        <w:rPr>
          <w:rFonts w:ascii="Times New Roman" w:eastAsia="Times New Roman" w:hAnsi="Times New Roman"/>
          <w:sz w:val="24"/>
          <w:szCs w:val="24"/>
          <w:lang w:val="en-US"/>
        </w:rPr>
        <w:t>earning</w:t>
      </w:r>
      <w:r w:rsidR="007C7860">
        <w:rPr>
          <w:rFonts w:ascii="Times New Roman" w:eastAsia="Times New Roman" w:hAnsi="Times New Roman"/>
          <w:sz w:val="24"/>
          <w:szCs w:val="24"/>
          <w:lang w:val="en-US"/>
        </w:rPr>
        <w:t xml:space="preserve">s before interest and taxes </w:t>
      </w:r>
      <w:r w:rsidR="00926149">
        <w:rPr>
          <w:rFonts w:ascii="Times New Roman" w:eastAsia="Times New Roman" w:hAnsi="Times New Roman"/>
          <w:sz w:val="24"/>
          <w:szCs w:val="24"/>
          <w:lang w:val="en-US"/>
        </w:rPr>
        <w:t>as reported in</w:t>
      </w:r>
      <w:r w:rsidR="001004C1">
        <w:rPr>
          <w:rFonts w:ascii="Times New Roman" w:eastAsia="Times New Roman" w:hAnsi="Times New Roman"/>
          <w:sz w:val="24"/>
          <w:szCs w:val="24"/>
          <w:lang w:val="en-US"/>
        </w:rPr>
        <w:t xml:space="preserve"> FAME, </w:t>
      </w:r>
      <w:r w:rsidR="001004C1">
        <w:rPr>
          <w:rFonts w:ascii="Times New Roman" w:eastAsia="Times New Roman" w:hAnsi="Times New Roman"/>
          <w:i/>
          <w:iCs/>
          <w:sz w:val="24"/>
          <w:szCs w:val="24"/>
          <w:lang w:val="en-US"/>
        </w:rPr>
        <w:t>h</w:t>
      </w:r>
      <w:r w:rsidR="001004C1">
        <w:rPr>
          <w:rFonts w:ascii="Times New Roman" w:eastAsia="Times New Roman" w:hAnsi="Times New Roman"/>
          <w:sz w:val="24"/>
          <w:szCs w:val="24"/>
          <w:lang w:val="en-US"/>
        </w:rPr>
        <w:t xml:space="preserve"> is the size range (threshold) in which the statutory tax rate changes and </w:t>
      </w:r>
      <w:r w:rsidR="001004C1">
        <w:rPr>
          <w:rFonts w:ascii="Times New Roman" w:eastAsia="Times New Roman" w:hAnsi="Times New Roman"/>
          <w:i/>
          <w:iCs/>
          <w:sz w:val="24"/>
          <w:szCs w:val="24"/>
          <w:lang w:val="en-US"/>
        </w:rPr>
        <w:t xml:space="preserve">τ </w:t>
      </w:r>
      <w:r w:rsidR="001004C1">
        <w:rPr>
          <w:rFonts w:ascii="Times New Roman" w:eastAsia="Times New Roman" w:hAnsi="Times New Roman"/>
          <w:sz w:val="24"/>
          <w:szCs w:val="24"/>
          <w:lang w:val="en-US"/>
        </w:rPr>
        <w:t xml:space="preserve">is the statutory tax rate applied for </w:t>
      </w:r>
      <w:r w:rsidR="005B14A9">
        <w:rPr>
          <w:rFonts w:ascii="Times New Roman" w:eastAsia="Times New Roman" w:hAnsi="Times New Roman"/>
          <w:sz w:val="24"/>
          <w:szCs w:val="24"/>
          <w:lang w:val="en-US"/>
        </w:rPr>
        <w:t xml:space="preserve">the </w:t>
      </w:r>
      <w:r w:rsidR="001004C1">
        <w:rPr>
          <w:rFonts w:ascii="Times New Roman" w:eastAsia="Times New Roman" w:hAnsi="Times New Roman"/>
          <w:sz w:val="24"/>
          <w:szCs w:val="24"/>
          <w:lang w:val="en-US"/>
        </w:rPr>
        <w:t>size range</w:t>
      </w:r>
      <w:r w:rsidR="005B14A9">
        <w:rPr>
          <w:rFonts w:ascii="Times New Roman" w:eastAsia="Times New Roman" w:hAnsi="Times New Roman"/>
          <w:sz w:val="24"/>
          <w:szCs w:val="24"/>
          <w:lang w:val="en-US"/>
        </w:rPr>
        <w:t xml:space="preserve"> </w:t>
      </w:r>
      <w:r w:rsidR="005B14A9" w:rsidRPr="005B14A9">
        <w:rPr>
          <w:rFonts w:ascii="Times New Roman" w:eastAsia="Times New Roman" w:hAnsi="Times New Roman"/>
          <w:i/>
          <w:sz w:val="24"/>
          <w:szCs w:val="24"/>
          <w:lang w:val="en-US"/>
        </w:rPr>
        <w:t>h</w:t>
      </w:r>
      <w:r w:rsidR="005B14A9" w:rsidRPr="005B14A9">
        <w:rPr>
          <w:rFonts w:ascii="Times New Roman" w:eastAsia="Times New Roman" w:hAnsi="Times New Roman"/>
          <w:i/>
          <w:sz w:val="24"/>
          <w:szCs w:val="24"/>
          <w:vertAlign w:val="subscript"/>
          <w:lang w:val="en-US"/>
        </w:rPr>
        <w:t>s</w:t>
      </w:r>
      <w:r w:rsidR="001004C1">
        <w:rPr>
          <w:rFonts w:ascii="Times New Roman" w:eastAsia="Times New Roman" w:hAnsi="Times New Roman"/>
          <w:sz w:val="24"/>
          <w:szCs w:val="24"/>
          <w:lang w:val="en-US"/>
        </w:rPr>
        <w:t xml:space="preserve"> in year </w:t>
      </w:r>
      <w:r w:rsidR="001004C1" w:rsidRPr="009C2D93">
        <w:rPr>
          <w:rFonts w:ascii="Times New Roman" w:eastAsia="Times New Roman" w:hAnsi="Times New Roman"/>
          <w:i/>
          <w:iCs/>
          <w:sz w:val="24"/>
          <w:szCs w:val="24"/>
          <w:lang w:val="en-US"/>
        </w:rPr>
        <w:t>t</w:t>
      </w:r>
      <w:r w:rsidR="001004C1">
        <w:rPr>
          <w:rFonts w:ascii="Times New Roman" w:eastAsia="Times New Roman" w:hAnsi="Times New Roman"/>
          <w:sz w:val="24"/>
          <w:szCs w:val="24"/>
          <w:lang w:val="en-US"/>
        </w:rPr>
        <w:t xml:space="preserve">. </w:t>
      </w:r>
      <w:r w:rsidR="007C7860" w:rsidRPr="007C7860">
        <w:rPr>
          <w:rFonts w:ascii="Times New Roman" w:eastAsia="Times New Roman" w:hAnsi="Times New Roman"/>
          <w:i/>
          <w:sz w:val="24"/>
          <w:szCs w:val="24"/>
          <w:lang w:val="en-US"/>
        </w:rPr>
        <w:t>T</w:t>
      </w:r>
      <w:r w:rsidR="007C7860">
        <w:rPr>
          <w:rFonts w:ascii="Times New Roman" w:eastAsia="Times New Roman" w:hAnsi="Times New Roman"/>
          <w:i/>
          <w:sz w:val="24"/>
          <w:szCs w:val="24"/>
          <w:lang w:val="en-US"/>
        </w:rPr>
        <w:t>ax</w:t>
      </w:r>
      <w:r w:rsidR="007C7860">
        <w:rPr>
          <w:rFonts w:ascii="Times New Roman" w:eastAsia="Times New Roman" w:hAnsi="Times New Roman"/>
          <w:i/>
          <w:sz w:val="24"/>
          <w:szCs w:val="24"/>
          <w:vertAlign w:val="subscript"/>
          <w:lang w:val="en-US"/>
        </w:rPr>
        <w:t>it</w:t>
      </w:r>
      <w:r w:rsidR="007C7860">
        <w:rPr>
          <w:rFonts w:ascii="Times New Roman" w:eastAsia="Times New Roman" w:hAnsi="Times New Roman"/>
          <w:sz w:val="24"/>
          <w:szCs w:val="24"/>
          <w:lang w:val="en-US"/>
        </w:rPr>
        <w:t xml:space="preserve"> is expressed as</w:t>
      </w:r>
      <w:r w:rsidR="001004C1">
        <w:rPr>
          <w:rFonts w:ascii="Times New Roman" w:eastAsia="Times New Roman" w:hAnsi="Times New Roman"/>
          <w:sz w:val="24"/>
          <w:szCs w:val="24"/>
          <w:lang w:val="en-US"/>
        </w:rPr>
        <w:t xml:space="preserve"> a ratio of taxable profit</w:t>
      </w:r>
      <w:r w:rsidR="001004C1">
        <w:rPr>
          <w:rStyle w:val="FootnoteReference"/>
          <w:rFonts w:ascii="Times New Roman" w:eastAsia="Times New Roman" w:hAnsi="Times New Roman"/>
          <w:sz w:val="24"/>
          <w:szCs w:val="24"/>
          <w:lang w:val="en-US"/>
        </w:rPr>
        <w:footnoteReference w:id="12"/>
      </w:r>
      <w:r w:rsidR="001004C1">
        <w:rPr>
          <w:rFonts w:ascii="Times New Roman" w:eastAsia="Times New Roman" w:hAnsi="Times New Roman"/>
          <w:sz w:val="24"/>
          <w:szCs w:val="24"/>
          <w:lang w:val="en-US"/>
        </w:rPr>
        <w:t xml:space="preserve"> to obtain the share of tax </w:t>
      </w:r>
      <w:r w:rsidR="00926149">
        <w:rPr>
          <w:rFonts w:ascii="Times New Roman" w:eastAsia="Times New Roman" w:hAnsi="Times New Roman"/>
          <w:sz w:val="24"/>
          <w:szCs w:val="24"/>
          <w:lang w:val="en-US"/>
        </w:rPr>
        <w:t>liability</w:t>
      </w:r>
      <w:r w:rsidR="001004C1">
        <w:rPr>
          <w:rFonts w:ascii="Times New Roman" w:eastAsia="Times New Roman" w:hAnsi="Times New Roman"/>
          <w:sz w:val="24"/>
          <w:szCs w:val="24"/>
          <w:lang w:val="en-US"/>
        </w:rPr>
        <w:t xml:space="preserve">. The statutory tax rate </w:t>
      </w:r>
      <w:r w:rsidR="007C7860" w:rsidRPr="007C7860">
        <w:rPr>
          <w:rFonts w:ascii="Times New Roman" w:eastAsia="Times New Roman" w:hAnsi="Times New Roman"/>
          <w:i/>
          <w:sz w:val="24"/>
          <w:szCs w:val="24"/>
          <w:lang w:val="en-US"/>
        </w:rPr>
        <w:t>τ</w:t>
      </w:r>
      <w:r w:rsidR="007C7860">
        <w:rPr>
          <w:rFonts w:ascii="Times New Roman" w:eastAsia="Times New Roman" w:hAnsi="Times New Roman"/>
          <w:sz w:val="24"/>
          <w:szCs w:val="24"/>
          <w:lang w:val="en-US"/>
        </w:rPr>
        <w:t xml:space="preserve"> </w:t>
      </w:r>
      <w:r w:rsidR="001004C1">
        <w:rPr>
          <w:rFonts w:ascii="Times New Roman" w:eastAsia="Times New Roman" w:hAnsi="Times New Roman"/>
          <w:sz w:val="24"/>
          <w:szCs w:val="24"/>
          <w:lang w:val="en-US"/>
        </w:rPr>
        <w:t xml:space="preserve">might </w:t>
      </w:r>
      <w:r w:rsidR="007C7860">
        <w:rPr>
          <w:rFonts w:ascii="Times New Roman" w:eastAsia="Times New Roman" w:hAnsi="Times New Roman"/>
          <w:sz w:val="24"/>
          <w:szCs w:val="24"/>
          <w:lang w:val="en-US"/>
        </w:rPr>
        <w:t xml:space="preserve">not </w:t>
      </w:r>
      <w:r w:rsidR="001004C1">
        <w:rPr>
          <w:rFonts w:ascii="Times New Roman" w:eastAsia="Times New Roman" w:hAnsi="Times New Roman"/>
          <w:sz w:val="24"/>
          <w:szCs w:val="24"/>
          <w:lang w:val="en-US"/>
        </w:rPr>
        <w:t xml:space="preserve">change </w:t>
      </w:r>
      <w:r w:rsidR="007C7860">
        <w:rPr>
          <w:rFonts w:ascii="Times New Roman" w:eastAsia="Times New Roman" w:hAnsi="Times New Roman"/>
          <w:sz w:val="24"/>
          <w:szCs w:val="24"/>
          <w:lang w:val="en-US"/>
        </w:rPr>
        <w:t xml:space="preserve">much over time </w:t>
      </w:r>
      <w:r w:rsidR="001004C1">
        <w:rPr>
          <w:rFonts w:ascii="Times New Roman" w:eastAsia="Times New Roman" w:hAnsi="Times New Roman"/>
          <w:sz w:val="24"/>
          <w:szCs w:val="24"/>
          <w:lang w:val="en-US"/>
        </w:rPr>
        <w:t xml:space="preserve">for some group of firms but for small and very large sized firms there have been substantial changes in the period </w:t>
      </w:r>
      <w:r w:rsidR="00926149">
        <w:rPr>
          <w:rFonts w:ascii="Times New Roman" w:eastAsia="Times New Roman" w:hAnsi="Times New Roman"/>
          <w:sz w:val="24"/>
          <w:szCs w:val="24"/>
          <w:lang w:val="en-US"/>
        </w:rPr>
        <w:t>studied</w:t>
      </w:r>
      <w:r w:rsidR="001004C1">
        <w:rPr>
          <w:rFonts w:ascii="Times New Roman" w:eastAsia="Times New Roman" w:hAnsi="Times New Roman"/>
          <w:sz w:val="24"/>
          <w:szCs w:val="24"/>
          <w:lang w:val="en-US"/>
        </w:rPr>
        <w:t xml:space="preserve">. </w:t>
      </w:r>
      <w:r w:rsidR="00086DA5">
        <w:rPr>
          <w:rFonts w:ascii="Times New Roman" w:hAnsi="Times New Roman"/>
          <w:sz w:val="24"/>
          <w:szCs w:val="24"/>
          <w:lang w:val="en-GB"/>
        </w:rPr>
        <w:t xml:space="preserve">The second </w:t>
      </w:r>
      <w:r w:rsidR="00926149">
        <w:rPr>
          <w:rFonts w:ascii="Times New Roman" w:eastAsia="Times New Roman" w:hAnsi="Times New Roman"/>
          <w:sz w:val="24"/>
          <w:szCs w:val="24"/>
          <w:lang w:val="en-US"/>
        </w:rPr>
        <w:t>tax measure is</w:t>
      </w:r>
      <w:r w:rsidR="00086DA5">
        <w:rPr>
          <w:rFonts w:ascii="Times New Roman" w:hAnsi="Times New Roman"/>
          <w:sz w:val="24"/>
          <w:szCs w:val="24"/>
          <w:lang w:val="en-GB"/>
        </w:rPr>
        <w:t xml:space="preserve"> </w:t>
      </w:r>
      <w:r w:rsidR="00086DA5" w:rsidRPr="003C10B0">
        <w:rPr>
          <w:rFonts w:ascii="Times New Roman" w:hAnsi="Times New Roman"/>
          <w:sz w:val="24"/>
          <w:szCs w:val="24"/>
          <w:lang w:val="en-GB"/>
        </w:rPr>
        <w:t xml:space="preserve">ETR </w:t>
      </w:r>
      <w:r w:rsidR="00926149">
        <w:rPr>
          <w:rFonts w:ascii="Times New Roman" w:hAnsi="Times New Roman"/>
          <w:sz w:val="24"/>
          <w:szCs w:val="24"/>
          <w:lang w:val="en-GB"/>
        </w:rPr>
        <w:t xml:space="preserve">expressed </w:t>
      </w:r>
      <w:r w:rsidR="0044008B">
        <w:rPr>
          <w:rFonts w:ascii="Times New Roman" w:hAnsi="Times New Roman"/>
          <w:sz w:val="24"/>
          <w:szCs w:val="24"/>
          <w:lang w:val="en-GB"/>
        </w:rPr>
        <w:t>as</w:t>
      </w:r>
      <w:r w:rsidR="0044008B">
        <w:rPr>
          <w:rFonts w:ascii="Times New Roman" w:eastAsia="Times New Roman" w:hAnsi="Times New Roman"/>
          <w:sz w:val="24"/>
          <w:szCs w:val="24"/>
          <w:lang w:val="en-US"/>
        </w:rPr>
        <w:t xml:space="preserve"> the ratio of corporate tax payment over </w:t>
      </w:r>
      <w:r w:rsidR="0044008B" w:rsidRPr="00E26A48">
        <w:rPr>
          <w:rFonts w:ascii="Times New Roman" w:eastAsia="Times New Roman" w:hAnsi="Times New Roman"/>
          <w:i/>
          <w:iCs/>
          <w:sz w:val="24"/>
          <w:szCs w:val="24"/>
          <w:lang w:val="en-US"/>
        </w:rPr>
        <w:t>EBIT</w:t>
      </w:r>
      <w:r w:rsidR="0044008B" w:rsidRPr="003C10B0">
        <w:rPr>
          <w:rFonts w:ascii="Times New Roman" w:hAnsi="Times New Roman"/>
          <w:sz w:val="24"/>
          <w:szCs w:val="24"/>
          <w:lang w:val="en-GB"/>
        </w:rPr>
        <w:t xml:space="preserve"> </w:t>
      </w:r>
      <w:r w:rsidR="0044008B">
        <w:rPr>
          <w:rFonts w:ascii="Times New Roman" w:hAnsi="Times New Roman"/>
          <w:sz w:val="24"/>
          <w:szCs w:val="24"/>
          <w:lang w:val="en-GB"/>
        </w:rPr>
        <w:t xml:space="preserve">using only the information available </w:t>
      </w:r>
      <w:r w:rsidR="00086DA5" w:rsidRPr="003C10B0">
        <w:rPr>
          <w:rFonts w:ascii="Times New Roman" w:hAnsi="Times New Roman"/>
          <w:sz w:val="24"/>
          <w:szCs w:val="24"/>
          <w:lang w:val="en-GB"/>
        </w:rPr>
        <w:t xml:space="preserve">from </w:t>
      </w:r>
      <w:r w:rsidR="00086DA5">
        <w:rPr>
          <w:rFonts w:ascii="Times New Roman" w:hAnsi="Times New Roman"/>
          <w:sz w:val="24"/>
          <w:szCs w:val="24"/>
          <w:lang w:val="en-GB"/>
        </w:rPr>
        <w:t>FAME</w:t>
      </w:r>
      <w:r w:rsidR="00086DA5">
        <w:rPr>
          <w:rFonts w:ascii="Times New Roman" w:eastAsia="Times New Roman" w:hAnsi="Times New Roman"/>
          <w:iCs/>
          <w:sz w:val="24"/>
          <w:szCs w:val="24"/>
          <w:lang w:val="en-US"/>
        </w:rPr>
        <w:t xml:space="preserve">. </w:t>
      </w:r>
      <w:r w:rsidR="0044008B">
        <w:rPr>
          <w:rFonts w:ascii="Times New Roman" w:eastAsia="Times New Roman" w:hAnsi="Times New Roman"/>
          <w:iCs/>
          <w:sz w:val="24"/>
          <w:szCs w:val="24"/>
          <w:lang w:val="en-US"/>
        </w:rPr>
        <w:t>ETR</w:t>
      </w:r>
      <w:r w:rsidR="00086DA5">
        <w:rPr>
          <w:rFonts w:ascii="Times New Roman" w:hAnsi="Times New Roman"/>
          <w:sz w:val="24"/>
          <w:szCs w:val="24"/>
          <w:lang w:val="en-GB"/>
        </w:rPr>
        <w:t xml:space="preserve"> takes into account all </w:t>
      </w:r>
      <w:r w:rsidR="0044008B">
        <w:rPr>
          <w:rFonts w:ascii="Times New Roman" w:hAnsi="Times New Roman"/>
          <w:sz w:val="24"/>
          <w:szCs w:val="24"/>
          <w:lang w:val="en-GB"/>
        </w:rPr>
        <w:t xml:space="preserve">the </w:t>
      </w:r>
      <w:r w:rsidR="00086DA5">
        <w:rPr>
          <w:rFonts w:ascii="Times New Roman" w:hAnsi="Times New Roman"/>
          <w:sz w:val="24"/>
          <w:szCs w:val="24"/>
          <w:lang w:val="en-GB"/>
        </w:rPr>
        <w:t xml:space="preserve">ex post </w:t>
      </w:r>
      <w:r w:rsidR="00926149">
        <w:rPr>
          <w:rFonts w:ascii="Times New Roman" w:hAnsi="Times New Roman"/>
          <w:sz w:val="24"/>
          <w:szCs w:val="24"/>
          <w:lang w:val="en-GB"/>
        </w:rPr>
        <w:t>within business</w:t>
      </w:r>
      <w:r w:rsidR="00086DA5">
        <w:rPr>
          <w:rFonts w:ascii="Times New Roman" w:hAnsi="Times New Roman"/>
          <w:sz w:val="24"/>
          <w:szCs w:val="24"/>
          <w:lang w:val="en-GB"/>
        </w:rPr>
        <w:t xml:space="preserve"> manipulations that firms do before paying the final tax bill. </w:t>
      </w:r>
      <w:r w:rsidR="00D751E7">
        <w:rPr>
          <w:rFonts w:ascii="Times New Roman" w:hAnsi="Times New Roman"/>
          <w:sz w:val="24"/>
          <w:szCs w:val="24"/>
          <w:lang w:val="en-GB"/>
        </w:rPr>
        <w:t>Appendix 1</w:t>
      </w:r>
      <w:r w:rsidR="00FF3AFA">
        <w:rPr>
          <w:rFonts w:ascii="Times New Roman" w:hAnsi="Times New Roman"/>
          <w:sz w:val="24"/>
          <w:szCs w:val="24"/>
          <w:lang w:val="en-GB"/>
        </w:rPr>
        <w:t>A</w:t>
      </w:r>
      <w:r w:rsidR="00D751E7">
        <w:rPr>
          <w:rFonts w:ascii="Times New Roman" w:hAnsi="Times New Roman"/>
          <w:sz w:val="24"/>
          <w:szCs w:val="24"/>
          <w:lang w:val="en-GB"/>
        </w:rPr>
        <w:t xml:space="preserve"> outlines some key characteristics of the UK corporate system in the period under </w:t>
      </w:r>
      <w:r w:rsidR="0044008B">
        <w:rPr>
          <w:rFonts w:ascii="Times New Roman" w:hAnsi="Times New Roman"/>
          <w:sz w:val="24"/>
          <w:szCs w:val="24"/>
          <w:lang w:val="en-GB"/>
        </w:rPr>
        <w:t>review</w:t>
      </w:r>
      <w:r w:rsidR="00D751E7">
        <w:rPr>
          <w:rFonts w:ascii="Times New Roman" w:hAnsi="Times New Roman"/>
          <w:sz w:val="24"/>
          <w:szCs w:val="24"/>
          <w:lang w:val="en-GB"/>
        </w:rPr>
        <w:t xml:space="preserve">. </w:t>
      </w:r>
      <w:r w:rsidR="00086DA5" w:rsidRPr="003C10B0">
        <w:rPr>
          <w:rFonts w:ascii="Times New Roman" w:hAnsi="Times New Roman"/>
          <w:sz w:val="24"/>
          <w:szCs w:val="24"/>
          <w:lang w:val="en-GB"/>
        </w:rPr>
        <w:t xml:space="preserve"> </w:t>
      </w:r>
    </w:p>
    <w:p w:rsidR="00DF6355" w:rsidRPr="00700A72" w:rsidRDefault="00926149" w:rsidP="00EE6901">
      <w:pPr>
        <w:ind w:firstLine="426"/>
        <w:rPr>
          <w:rFonts w:ascii="Times New Roman" w:hAnsi="Times New Roman"/>
          <w:sz w:val="24"/>
          <w:szCs w:val="24"/>
          <w:lang w:val="en-GB"/>
        </w:rPr>
      </w:pPr>
      <w:r>
        <w:rPr>
          <w:rFonts w:ascii="Times New Roman" w:hAnsi="Times New Roman"/>
          <w:sz w:val="24"/>
          <w:szCs w:val="24"/>
          <w:lang w:val="en-GB"/>
        </w:rPr>
        <w:t>Regarding</w:t>
      </w:r>
      <w:r w:rsidR="009D0B93" w:rsidRPr="00700A72">
        <w:rPr>
          <w:rFonts w:ascii="Times New Roman" w:hAnsi="Times New Roman"/>
          <w:sz w:val="24"/>
          <w:szCs w:val="24"/>
          <w:lang w:val="en-GB"/>
        </w:rPr>
        <w:t xml:space="preserve"> the </w:t>
      </w:r>
      <w:r w:rsidR="00B20A28" w:rsidRPr="00700A72">
        <w:rPr>
          <w:rFonts w:ascii="Times New Roman" w:eastAsia="Times New Roman" w:hAnsi="Times New Roman"/>
          <w:sz w:val="24"/>
          <w:szCs w:val="24"/>
          <w:lang w:val="en-US"/>
        </w:rPr>
        <w:t xml:space="preserve">definitions of </w:t>
      </w:r>
      <w:r w:rsidR="00B20A28" w:rsidRPr="00700A72">
        <w:rPr>
          <w:rFonts w:ascii="Times New Roman" w:eastAsia="Times New Roman" w:hAnsi="Times New Roman"/>
          <w:i/>
          <w:sz w:val="24"/>
          <w:szCs w:val="24"/>
          <w:lang w:val="en-US"/>
        </w:rPr>
        <w:t>R</w:t>
      </w:r>
      <w:r w:rsidR="00B20A28" w:rsidRPr="00700A72">
        <w:rPr>
          <w:rFonts w:ascii="Times New Roman" w:eastAsia="Times New Roman" w:hAnsi="Times New Roman"/>
          <w:sz w:val="24"/>
          <w:szCs w:val="24"/>
          <w:lang w:val="en-US"/>
        </w:rPr>
        <w:t xml:space="preserve"> and </w:t>
      </w:r>
      <w:r w:rsidR="00B20A28" w:rsidRPr="00700A72">
        <w:rPr>
          <w:rFonts w:ascii="Times New Roman" w:eastAsia="Times New Roman" w:hAnsi="Times New Roman"/>
          <w:i/>
          <w:sz w:val="24"/>
          <w:szCs w:val="24"/>
          <w:lang w:val="en-US"/>
        </w:rPr>
        <w:t>E</w:t>
      </w:r>
      <w:r w:rsidR="009D0B93" w:rsidRPr="00700A72">
        <w:rPr>
          <w:rFonts w:ascii="Times New Roman" w:eastAsia="Times New Roman" w:hAnsi="Times New Roman"/>
          <w:sz w:val="24"/>
          <w:szCs w:val="24"/>
          <w:lang w:val="en-US"/>
        </w:rPr>
        <w:t>,</w:t>
      </w:r>
      <w:r w:rsidR="00B20A28" w:rsidRPr="00700A72">
        <w:rPr>
          <w:rFonts w:ascii="Times New Roman" w:eastAsia="Times New Roman" w:hAnsi="Times New Roman"/>
          <w:sz w:val="24"/>
          <w:szCs w:val="24"/>
          <w:lang w:val="en-US"/>
        </w:rPr>
        <w:t xml:space="preserve"> </w:t>
      </w:r>
      <w:r w:rsidR="009D0B93" w:rsidRPr="00700A72">
        <w:rPr>
          <w:rFonts w:ascii="Times New Roman" w:eastAsia="Times New Roman" w:hAnsi="Times New Roman"/>
          <w:sz w:val="24"/>
          <w:szCs w:val="24"/>
          <w:lang w:val="en-US"/>
        </w:rPr>
        <w:t>we</w:t>
      </w:r>
      <w:r w:rsidR="00243D92" w:rsidRPr="00700A72">
        <w:rPr>
          <w:rFonts w:ascii="Times New Roman" w:eastAsia="Times New Roman" w:hAnsi="Times New Roman"/>
          <w:sz w:val="24"/>
          <w:szCs w:val="24"/>
          <w:lang w:val="en-US"/>
        </w:rPr>
        <w:t xml:space="preserve"> only</w:t>
      </w:r>
      <w:r w:rsidR="009D0B93" w:rsidRPr="00700A72">
        <w:rPr>
          <w:rFonts w:ascii="Times New Roman" w:eastAsia="Times New Roman" w:hAnsi="Times New Roman"/>
          <w:sz w:val="24"/>
          <w:szCs w:val="24"/>
          <w:lang w:val="en-US"/>
        </w:rPr>
        <w:t xml:space="preserve"> </w:t>
      </w:r>
      <w:r w:rsidR="00B20A28" w:rsidRPr="00700A72">
        <w:rPr>
          <w:rFonts w:ascii="Times New Roman" w:eastAsia="Times New Roman" w:hAnsi="Times New Roman"/>
          <w:sz w:val="24"/>
          <w:szCs w:val="24"/>
          <w:lang w:val="en-US"/>
        </w:rPr>
        <w:t>include committed R&amp;D and export</w:t>
      </w:r>
      <w:r w:rsidR="00243D92" w:rsidRPr="00700A72">
        <w:rPr>
          <w:rFonts w:ascii="Times New Roman" w:eastAsia="Times New Roman" w:hAnsi="Times New Roman"/>
          <w:sz w:val="24"/>
          <w:szCs w:val="24"/>
          <w:lang w:val="en-US"/>
        </w:rPr>
        <w:t>ing</w:t>
      </w:r>
      <w:r w:rsidR="00B20A28" w:rsidRPr="00700A72">
        <w:rPr>
          <w:rFonts w:ascii="Times New Roman" w:eastAsia="Times New Roman" w:hAnsi="Times New Roman"/>
          <w:sz w:val="24"/>
          <w:szCs w:val="24"/>
          <w:lang w:val="en-US"/>
        </w:rPr>
        <w:t xml:space="preserve"> </w:t>
      </w:r>
      <w:r w:rsidR="009D0B93" w:rsidRPr="00700A72">
        <w:rPr>
          <w:rFonts w:ascii="Times New Roman" w:eastAsia="Times New Roman" w:hAnsi="Times New Roman"/>
          <w:sz w:val="24"/>
          <w:szCs w:val="24"/>
          <w:lang w:val="en-US"/>
        </w:rPr>
        <w:t xml:space="preserve">firms implying that </w:t>
      </w:r>
      <w:r w:rsidR="00B20A28" w:rsidRPr="00700A72">
        <w:rPr>
          <w:rFonts w:ascii="Times New Roman" w:eastAsia="Times New Roman" w:hAnsi="Times New Roman"/>
          <w:i/>
          <w:sz w:val="24"/>
          <w:szCs w:val="24"/>
          <w:lang w:val="en-US"/>
        </w:rPr>
        <w:t>R</w:t>
      </w:r>
      <w:r w:rsidR="00B20A28" w:rsidRPr="00700A72">
        <w:rPr>
          <w:rFonts w:ascii="Times New Roman" w:eastAsia="Times New Roman" w:hAnsi="Times New Roman"/>
          <w:sz w:val="24"/>
          <w:szCs w:val="24"/>
          <w:lang w:val="en-US"/>
        </w:rPr>
        <w:t xml:space="preserve"> and </w:t>
      </w:r>
      <w:r w:rsidR="00B20A28" w:rsidRPr="00700A72">
        <w:rPr>
          <w:rFonts w:ascii="Times New Roman" w:eastAsia="Times New Roman" w:hAnsi="Times New Roman"/>
          <w:i/>
          <w:sz w:val="24"/>
          <w:szCs w:val="24"/>
          <w:lang w:val="en-US"/>
        </w:rPr>
        <w:t>E</w:t>
      </w:r>
      <w:r w:rsidR="00B20A28" w:rsidRPr="00700A72">
        <w:rPr>
          <w:rFonts w:ascii="Times New Roman" w:eastAsia="Times New Roman" w:hAnsi="Times New Roman"/>
          <w:sz w:val="24"/>
          <w:szCs w:val="24"/>
          <w:lang w:val="en-US"/>
        </w:rPr>
        <w:t xml:space="preserve"> </w:t>
      </w:r>
      <w:r w:rsidR="009D0B93" w:rsidRPr="00700A72">
        <w:rPr>
          <w:rFonts w:ascii="Times New Roman" w:eastAsia="Times New Roman" w:hAnsi="Times New Roman"/>
          <w:sz w:val="24"/>
          <w:szCs w:val="24"/>
          <w:lang w:val="en-US"/>
        </w:rPr>
        <w:t>are assigned</w:t>
      </w:r>
      <w:r w:rsidR="00B20A28" w:rsidRPr="00700A72">
        <w:rPr>
          <w:rFonts w:ascii="Times New Roman" w:eastAsia="Times New Roman" w:hAnsi="Times New Roman"/>
          <w:sz w:val="24"/>
          <w:szCs w:val="24"/>
          <w:lang w:val="en-US"/>
        </w:rPr>
        <w:t xml:space="preserve"> value 1 only if </w:t>
      </w:r>
      <w:r w:rsidR="00E92EC7" w:rsidRPr="00700A72">
        <w:rPr>
          <w:rFonts w:ascii="Times New Roman" w:eastAsia="Times New Roman" w:hAnsi="Times New Roman"/>
          <w:i/>
          <w:sz w:val="24"/>
          <w:szCs w:val="24"/>
          <w:lang w:val="en-US"/>
        </w:rPr>
        <w:t>i</w:t>
      </w:r>
      <w:r w:rsidR="00B20A28" w:rsidRPr="00700A72">
        <w:rPr>
          <w:rFonts w:ascii="Times New Roman" w:eastAsia="Times New Roman" w:hAnsi="Times New Roman"/>
          <w:sz w:val="24"/>
          <w:szCs w:val="24"/>
          <w:lang w:val="en-US"/>
        </w:rPr>
        <w:t xml:space="preserve"> reports data on R&amp;D expenditure and export sales </w:t>
      </w:r>
      <w:r w:rsidR="00E92EC7" w:rsidRPr="00700A72">
        <w:rPr>
          <w:rFonts w:ascii="Times New Roman" w:eastAsia="Times New Roman" w:hAnsi="Times New Roman"/>
          <w:sz w:val="24"/>
          <w:szCs w:val="24"/>
          <w:lang w:val="en-US"/>
        </w:rPr>
        <w:t>for</w:t>
      </w:r>
      <w:r w:rsidR="00B20A28" w:rsidRPr="00700A72">
        <w:rPr>
          <w:rFonts w:ascii="Times New Roman" w:eastAsia="Times New Roman" w:hAnsi="Times New Roman"/>
          <w:sz w:val="24"/>
          <w:szCs w:val="24"/>
          <w:lang w:val="en-US"/>
        </w:rPr>
        <w:t xml:space="preserve"> all eight years of the period 2004-2011.</w:t>
      </w:r>
      <w:r w:rsidR="00E92EC7" w:rsidRPr="00700A72">
        <w:rPr>
          <w:rStyle w:val="FootnoteReference"/>
          <w:rFonts w:ascii="Times New Roman" w:eastAsia="Times New Roman" w:hAnsi="Times New Roman"/>
          <w:sz w:val="24"/>
          <w:szCs w:val="24"/>
          <w:lang w:val="en-US"/>
        </w:rPr>
        <w:footnoteReference w:id="13"/>
      </w:r>
      <w:r w:rsidR="00E30446" w:rsidRPr="00700A72">
        <w:rPr>
          <w:rFonts w:ascii="Times New Roman" w:hAnsi="Times New Roman"/>
          <w:sz w:val="24"/>
          <w:szCs w:val="24"/>
          <w:lang w:val="en-GB"/>
        </w:rPr>
        <w:t xml:space="preserve"> </w:t>
      </w:r>
      <w:r w:rsidR="004207DA">
        <w:rPr>
          <w:rFonts w:ascii="Times New Roman" w:hAnsi="Times New Roman"/>
          <w:sz w:val="24"/>
          <w:szCs w:val="24"/>
          <w:lang w:val="en-GB"/>
        </w:rPr>
        <w:t xml:space="preserve">Based on this </w:t>
      </w:r>
      <w:r w:rsidR="00351F43">
        <w:rPr>
          <w:rFonts w:ascii="Times New Roman" w:hAnsi="Times New Roman"/>
          <w:sz w:val="24"/>
          <w:szCs w:val="24"/>
          <w:lang w:val="en-GB"/>
        </w:rPr>
        <w:t>definition</w:t>
      </w:r>
      <w:r w:rsidR="004207DA">
        <w:rPr>
          <w:rFonts w:ascii="Times New Roman" w:hAnsi="Times New Roman"/>
          <w:sz w:val="24"/>
          <w:szCs w:val="24"/>
          <w:lang w:val="en-GB"/>
        </w:rPr>
        <w:t xml:space="preserve">, the </w:t>
      </w:r>
      <w:r w:rsidR="004207DA">
        <w:rPr>
          <w:rFonts w:ascii="Times New Roman" w:hAnsi="Times New Roman"/>
          <w:sz w:val="24"/>
          <w:szCs w:val="24"/>
          <w:lang w:val="en-GB"/>
        </w:rPr>
        <w:lastRenderedPageBreak/>
        <w:t xml:space="preserve">number of </w:t>
      </w:r>
      <w:r w:rsidR="00351F43">
        <w:rPr>
          <w:rFonts w:ascii="Times New Roman" w:hAnsi="Times New Roman"/>
          <w:sz w:val="24"/>
          <w:szCs w:val="24"/>
          <w:lang w:val="en-GB"/>
        </w:rPr>
        <w:t xml:space="preserve">R&amp;D firms is 945 while the number of exporting firms is 1773. </w:t>
      </w:r>
      <w:r w:rsidR="00700A72" w:rsidRPr="00700A72">
        <w:rPr>
          <w:rFonts w:ascii="Times New Roman" w:hAnsi="Times New Roman"/>
          <w:sz w:val="24"/>
          <w:szCs w:val="24"/>
          <w:lang w:val="en-GB"/>
        </w:rPr>
        <w:t xml:space="preserve">Some preliminary evidence in </w:t>
      </w:r>
      <w:r w:rsidR="00EE6901" w:rsidRPr="00700A72">
        <w:rPr>
          <w:rFonts w:ascii="Times New Roman" w:hAnsi="Times New Roman"/>
          <w:sz w:val="24"/>
          <w:szCs w:val="24"/>
          <w:lang w:val="en-GB"/>
        </w:rPr>
        <w:t xml:space="preserve">Figures </w:t>
      </w:r>
      <w:r w:rsidR="003B6DF2">
        <w:rPr>
          <w:rFonts w:ascii="Times New Roman" w:hAnsi="Times New Roman"/>
          <w:sz w:val="24"/>
          <w:szCs w:val="24"/>
          <w:lang w:val="en-GB"/>
        </w:rPr>
        <w:t>1</w:t>
      </w:r>
      <w:r w:rsidR="003B6DF2" w:rsidRPr="00700A72">
        <w:rPr>
          <w:rFonts w:ascii="Times New Roman" w:hAnsi="Times New Roman"/>
          <w:sz w:val="24"/>
          <w:szCs w:val="24"/>
          <w:lang w:val="en-GB"/>
        </w:rPr>
        <w:t xml:space="preserve"> </w:t>
      </w:r>
      <w:r w:rsidR="00EE6901" w:rsidRPr="00700A72">
        <w:rPr>
          <w:rFonts w:ascii="Times New Roman" w:hAnsi="Times New Roman"/>
          <w:sz w:val="24"/>
          <w:szCs w:val="24"/>
          <w:lang w:val="en-GB"/>
        </w:rPr>
        <w:t xml:space="preserve">and </w:t>
      </w:r>
      <w:r w:rsidR="003B6DF2">
        <w:rPr>
          <w:rFonts w:ascii="Times New Roman" w:hAnsi="Times New Roman"/>
          <w:sz w:val="24"/>
          <w:szCs w:val="24"/>
          <w:lang w:val="en-GB"/>
        </w:rPr>
        <w:t>2</w:t>
      </w:r>
      <w:r w:rsidR="003B6DF2" w:rsidRPr="00700A72">
        <w:rPr>
          <w:rFonts w:ascii="Times New Roman" w:hAnsi="Times New Roman"/>
          <w:sz w:val="24"/>
          <w:szCs w:val="24"/>
          <w:lang w:val="en-GB"/>
        </w:rPr>
        <w:t xml:space="preserve"> </w:t>
      </w:r>
      <w:r w:rsidR="00700A72" w:rsidRPr="00700A72">
        <w:rPr>
          <w:rFonts w:ascii="Times New Roman" w:hAnsi="Times New Roman"/>
          <w:sz w:val="24"/>
          <w:szCs w:val="24"/>
          <w:lang w:val="en-GB"/>
        </w:rPr>
        <w:t>show that</w:t>
      </w:r>
      <w:r w:rsidR="00EE6901" w:rsidRPr="00700A72">
        <w:rPr>
          <w:rFonts w:ascii="Times New Roman" w:hAnsi="Times New Roman"/>
          <w:sz w:val="24"/>
          <w:szCs w:val="24"/>
          <w:lang w:val="en-GB"/>
        </w:rPr>
        <w:t xml:space="preserve"> </w:t>
      </w:r>
      <w:r w:rsidR="00700A72" w:rsidRPr="00700A72">
        <w:rPr>
          <w:rFonts w:ascii="Times New Roman" w:hAnsi="Times New Roman"/>
          <w:sz w:val="24"/>
          <w:szCs w:val="24"/>
          <w:lang w:val="en-GB"/>
        </w:rPr>
        <w:t>R&amp;D and exporting</w:t>
      </w:r>
      <w:r w:rsidR="00700A72">
        <w:rPr>
          <w:rFonts w:ascii="Times New Roman" w:hAnsi="Times New Roman"/>
          <w:sz w:val="24"/>
          <w:szCs w:val="24"/>
          <w:lang w:val="en-GB"/>
        </w:rPr>
        <w:t xml:space="preserve"> firms clearly maintain a higher level of </w:t>
      </w:r>
      <w:r w:rsidR="00EE6901" w:rsidRPr="00700A72">
        <w:rPr>
          <w:rFonts w:ascii="Times New Roman" w:hAnsi="Times New Roman"/>
          <w:sz w:val="24"/>
          <w:szCs w:val="24"/>
          <w:lang w:val="en-GB"/>
        </w:rPr>
        <w:t xml:space="preserve">TFP </w:t>
      </w:r>
      <w:r w:rsidR="00700A72">
        <w:rPr>
          <w:rFonts w:ascii="Times New Roman" w:hAnsi="Times New Roman"/>
          <w:sz w:val="24"/>
          <w:szCs w:val="24"/>
          <w:lang w:val="en-GB"/>
        </w:rPr>
        <w:t>than other counterparts</w:t>
      </w:r>
      <w:r w:rsidR="00EE6901" w:rsidRPr="00700A72">
        <w:rPr>
          <w:rFonts w:ascii="Times New Roman" w:hAnsi="Times New Roman"/>
          <w:sz w:val="24"/>
          <w:szCs w:val="24"/>
          <w:lang w:val="en-GB"/>
        </w:rPr>
        <w:t xml:space="preserve">, which </w:t>
      </w:r>
      <w:r>
        <w:rPr>
          <w:rFonts w:ascii="Times New Roman" w:hAnsi="Times New Roman"/>
          <w:sz w:val="24"/>
          <w:szCs w:val="24"/>
          <w:lang w:val="en-GB"/>
        </w:rPr>
        <w:t>gives a signal</w:t>
      </w:r>
      <w:r w:rsidR="00EE6901" w:rsidRPr="00700A72">
        <w:rPr>
          <w:rFonts w:ascii="Times New Roman" w:hAnsi="Times New Roman"/>
          <w:sz w:val="24"/>
          <w:szCs w:val="24"/>
          <w:lang w:val="en-GB"/>
        </w:rPr>
        <w:t xml:space="preserve"> that the levels of profitability are </w:t>
      </w:r>
      <w:r w:rsidR="00280785">
        <w:rPr>
          <w:rFonts w:ascii="Times New Roman" w:hAnsi="Times New Roman"/>
          <w:sz w:val="24"/>
          <w:szCs w:val="24"/>
          <w:lang w:val="en-GB"/>
        </w:rPr>
        <w:t xml:space="preserve">also </w:t>
      </w:r>
      <w:r w:rsidR="00EE6901" w:rsidRPr="00700A72">
        <w:rPr>
          <w:rFonts w:ascii="Times New Roman" w:hAnsi="Times New Roman"/>
          <w:sz w:val="24"/>
          <w:szCs w:val="24"/>
          <w:lang w:val="en-GB"/>
        </w:rPr>
        <w:t xml:space="preserve">likely to be higher, thus </w:t>
      </w:r>
      <w:r w:rsidR="00700A72">
        <w:rPr>
          <w:rFonts w:ascii="Times New Roman" w:hAnsi="Times New Roman"/>
          <w:sz w:val="24"/>
          <w:szCs w:val="24"/>
          <w:lang w:val="en-GB"/>
        </w:rPr>
        <w:t>the issue</w:t>
      </w:r>
      <w:r w:rsidR="00EE6901" w:rsidRPr="00700A72">
        <w:rPr>
          <w:rFonts w:ascii="Times New Roman" w:hAnsi="Times New Roman"/>
          <w:sz w:val="24"/>
          <w:szCs w:val="24"/>
          <w:lang w:val="en-GB"/>
        </w:rPr>
        <w:t xml:space="preserve"> </w:t>
      </w:r>
      <w:r>
        <w:rPr>
          <w:rFonts w:ascii="Times New Roman" w:hAnsi="Times New Roman"/>
          <w:sz w:val="24"/>
          <w:szCs w:val="24"/>
          <w:lang w:val="en-GB"/>
        </w:rPr>
        <w:t>worth exploring</w:t>
      </w:r>
      <w:r w:rsidR="00EE6901" w:rsidRPr="00700A72">
        <w:rPr>
          <w:rFonts w:ascii="Times New Roman" w:hAnsi="Times New Roman"/>
          <w:sz w:val="24"/>
          <w:szCs w:val="24"/>
          <w:lang w:val="en-GB"/>
        </w:rPr>
        <w:t xml:space="preserve"> is whether the distortionary effect of corporate taxation </w:t>
      </w:r>
      <w:r w:rsidR="00700A72">
        <w:rPr>
          <w:rFonts w:ascii="Times New Roman" w:hAnsi="Times New Roman"/>
          <w:sz w:val="24"/>
          <w:szCs w:val="24"/>
          <w:lang w:val="en-GB"/>
        </w:rPr>
        <w:t>is</w:t>
      </w:r>
      <w:r w:rsidR="00EE6901" w:rsidRPr="00700A72">
        <w:rPr>
          <w:rFonts w:ascii="Times New Roman" w:hAnsi="Times New Roman"/>
          <w:sz w:val="24"/>
          <w:szCs w:val="24"/>
          <w:lang w:val="en-GB"/>
        </w:rPr>
        <w:t xml:space="preserve"> more severe </w:t>
      </w:r>
      <w:r w:rsidR="00280785">
        <w:rPr>
          <w:rFonts w:ascii="Times New Roman" w:hAnsi="Times New Roman"/>
          <w:sz w:val="24"/>
          <w:szCs w:val="24"/>
          <w:lang w:val="en-GB"/>
        </w:rPr>
        <w:t>in these group of firms</w:t>
      </w:r>
      <w:r w:rsidR="00EE6901" w:rsidRPr="00700A72">
        <w:rPr>
          <w:rFonts w:ascii="Times New Roman" w:hAnsi="Times New Roman"/>
          <w:sz w:val="24"/>
          <w:szCs w:val="24"/>
          <w:lang w:val="en-GB"/>
        </w:rPr>
        <w:t xml:space="preserve">. </w:t>
      </w:r>
    </w:p>
    <w:p w:rsidR="00243D92" w:rsidRDefault="0048773A" w:rsidP="00EE6901">
      <w:pPr>
        <w:ind w:firstLine="425"/>
        <w:rPr>
          <w:rFonts w:ascii="Times New Roman" w:hAnsi="Times New Roman"/>
          <w:sz w:val="24"/>
          <w:szCs w:val="24"/>
          <w:lang w:val="en-US"/>
        </w:rPr>
      </w:pPr>
      <w:r>
        <w:rPr>
          <w:rFonts w:ascii="Times New Roman" w:hAnsi="Times New Roman"/>
          <w:sz w:val="24"/>
          <w:szCs w:val="24"/>
          <w:lang w:val="en-GB"/>
        </w:rPr>
        <w:t xml:space="preserve">To estimate [3.2] and [3.3] we use </w:t>
      </w:r>
      <w:r w:rsidRPr="00EB0359">
        <w:rPr>
          <w:rFonts w:ascii="Times New Roman" w:eastAsia="Times New Roman" w:hAnsi="Times New Roman"/>
          <w:sz w:val="24"/>
          <w:szCs w:val="24"/>
          <w:lang w:val="en-US"/>
        </w:rPr>
        <w:t>FAME</w:t>
      </w:r>
      <w:r>
        <w:rPr>
          <w:rFonts w:ascii="Times New Roman" w:eastAsia="Times New Roman" w:hAnsi="Times New Roman"/>
          <w:sz w:val="24"/>
          <w:szCs w:val="24"/>
          <w:lang w:val="en-US"/>
        </w:rPr>
        <w:t xml:space="preserve"> database that covers both private and public companies in the UK.</w:t>
      </w:r>
      <w:r w:rsidRPr="0048773A">
        <w:rPr>
          <w:rFonts w:ascii="Times New Roman" w:eastAsia="Times New Roman" w:hAnsi="Times New Roman"/>
          <w:sz w:val="24"/>
          <w:szCs w:val="24"/>
          <w:lang w:val="en-US"/>
        </w:rPr>
        <w:t xml:space="preserve"> </w:t>
      </w:r>
      <w:r w:rsidR="00700A72">
        <w:rPr>
          <w:rFonts w:ascii="Times New Roman" w:eastAsia="Times New Roman" w:hAnsi="Times New Roman"/>
          <w:sz w:val="24"/>
          <w:szCs w:val="24"/>
          <w:lang w:val="en-US"/>
        </w:rPr>
        <w:t>Our</w:t>
      </w:r>
      <w:r w:rsidRPr="00EB0359">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sample</w:t>
      </w:r>
      <w:r w:rsidR="00700A72">
        <w:rPr>
          <w:rFonts w:ascii="Times New Roman" w:eastAsia="Times New Roman" w:hAnsi="Times New Roman"/>
          <w:sz w:val="24"/>
          <w:szCs w:val="24"/>
          <w:lang w:val="en-US"/>
        </w:rPr>
        <w:t xml:space="preserve"> is an unbalanced </w:t>
      </w:r>
      <w:r w:rsidR="004E3267">
        <w:rPr>
          <w:rFonts w:ascii="Times New Roman" w:eastAsia="Times New Roman" w:hAnsi="Times New Roman"/>
          <w:sz w:val="24"/>
          <w:szCs w:val="24"/>
          <w:lang w:val="en-US"/>
        </w:rPr>
        <w:t>panel</w:t>
      </w:r>
      <w:r>
        <w:rPr>
          <w:rFonts w:ascii="Times New Roman" w:eastAsia="Times New Roman" w:hAnsi="Times New Roman"/>
          <w:sz w:val="24"/>
          <w:szCs w:val="24"/>
          <w:lang w:val="en-US"/>
        </w:rPr>
        <w:t xml:space="preserve"> of manufacturing firms (</w:t>
      </w:r>
      <w:r w:rsidR="00BA21AB">
        <w:rPr>
          <w:rFonts w:ascii="Times New Roman" w:eastAsia="Times New Roman" w:hAnsi="Times New Roman"/>
          <w:sz w:val="24"/>
          <w:szCs w:val="24"/>
          <w:lang w:val="en-US"/>
        </w:rPr>
        <w:t xml:space="preserve">4-digit </w:t>
      </w:r>
      <w:r w:rsidRPr="00EB0359">
        <w:rPr>
          <w:rFonts w:ascii="Times New Roman" w:eastAsia="Times New Roman" w:hAnsi="Times New Roman"/>
          <w:sz w:val="24"/>
          <w:szCs w:val="24"/>
          <w:lang w:val="en-US"/>
        </w:rPr>
        <w:t xml:space="preserve">NACE Rev.2 </w:t>
      </w:r>
      <w:r>
        <w:rPr>
          <w:rFonts w:ascii="Times New Roman" w:eastAsia="Times New Roman" w:hAnsi="Times New Roman"/>
          <w:sz w:val="24"/>
          <w:szCs w:val="24"/>
          <w:lang w:val="en-US"/>
        </w:rPr>
        <w:t xml:space="preserve">classification) over the </w:t>
      </w:r>
      <w:r w:rsidRPr="00EB0359">
        <w:rPr>
          <w:rFonts w:ascii="Times New Roman" w:eastAsia="Times New Roman" w:hAnsi="Times New Roman"/>
          <w:sz w:val="24"/>
          <w:szCs w:val="24"/>
          <w:lang w:val="en-US"/>
        </w:rPr>
        <w:t>period 2004 to 2011</w:t>
      </w:r>
      <w:r>
        <w:rPr>
          <w:rFonts w:ascii="Times New Roman" w:eastAsia="Times New Roman" w:hAnsi="Times New Roman"/>
          <w:sz w:val="24"/>
          <w:szCs w:val="24"/>
          <w:lang w:val="en-US"/>
        </w:rPr>
        <w:t xml:space="preserve">. </w:t>
      </w:r>
      <w:r>
        <w:rPr>
          <w:rFonts w:ascii="Times New Roman" w:hAnsi="Times New Roman"/>
          <w:sz w:val="24"/>
          <w:szCs w:val="24"/>
          <w:lang w:val="en-US"/>
        </w:rPr>
        <w:t xml:space="preserve">All data </w:t>
      </w:r>
      <w:r>
        <w:rPr>
          <w:rFonts w:ascii="Times New Roman" w:eastAsia="Times New Roman" w:hAnsi="Times New Roman"/>
          <w:sz w:val="24"/>
          <w:szCs w:val="24"/>
          <w:lang w:val="en-US"/>
        </w:rPr>
        <w:t>report</w:t>
      </w:r>
      <w:r>
        <w:rPr>
          <w:rFonts w:ascii="Times New Roman" w:hAnsi="Times New Roman"/>
          <w:sz w:val="24"/>
          <w:szCs w:val="24"/>
          <w:lang w:val="en-US"/>
        </w:rPr>
        <w:t>ed in</w:t>
      </w:r>
      <w:r>
        <w:rPr>
          <w:rFonts w:ascii="Times New Roman" w:eastAsia="Times New Roman" w:hAnsi="Times New Roman"/>
          <w:sz w:val="24"/>
          <w:szCs w:val="24"/>
          <w:lang w:val="en-US"/>
        </w:rPr>
        <w:t xml:space="preserve"> FAME are </w:t>
      </w:r>
      <w:r>
        <w:rPr>
          <w:rFonts w:ascii="Times New Roman" w:hAnsi="Times New Roman"/>
          <w:sz w:val="24"/>
          <w:szCs w:val="24"/>
          <w:lang w:val="en-US"/>
        </w:rPr>
        <w:t xml:space="preserve">from unconsolidated accounts </w:t>
      </w:r>
      <w:r w:rsidR="00280785">
        <w:rPr>
          <w:rFonts w:ascii="Times New Roman" w:eastAsia="Times New Roman" w:hAnsi="Times New Roman"/>
          <w:sz w:val="24"/>
          <w:szCs w:val="24"/>
          <w:lang w:val="en-US"/>
        </w:rPr>
        <w:t>derived</w:t>
      </w:r>
      <w:r>
        <w:rPr>
          <w:rFonts w:ascii="Times New Roman" w:eastAsia="Times New Roman" w:hAnsi="Times New Roman"/>
          <w:sz w:val="24"/>
          <w:szCs w:val="24"/>
          <w:lang w:val="en-US"/>
        </w:rPr>
        <w:t xml:space="preserve"> from Profit-Loss and Balance sheets. We focus on variables</w:t>
      </w:r>
      <w:r w:rsidR="00700A72">
        <w:rPr>
          <w:rFonts w:ascii="Times New Roman" w:eastAsia="Times New Roman" w:hAnsi="Times New Roman"/>
          <w:sz w:val="24"/>
          <w:szCs w:val="24"/>
          <w:lang w:val="en-US"/>
        </w:rPr>
        <w:t xml:space="preserve"> that are needed for the</w:t>
      </w:r>
      <w:r>
        <w:rPr>
          <w:rFonts w:ascii="Times New Roman" w:eastAsia="Times New Roman" w:hAnsi="Times New Roman"/>
          <w:sz w:val="24"/>
          <w:szCs w:val="24"/>
          <w:lang w:val="en-US"/>
        </w:rPr>
        <w:t xml:space="preserve"> comput</w:t>
      </w:r>
      <w:r w:rsidR="00700A72">
        <w:rPr>
          <w:rFonts w:ascii="Times New Roman" w:eastAsia="Times New Roman" w:hAnsi="Times New Roman"/>
          <w:sz w:val="24"/>
          <w:szCs w:val="24"/>
          <w:lang w:val="en-US"/>
        </w:rPr>
        <w:t>ation of TFP;</w:t>
      </w:r>
      <w:r>
        <w:rPr>
          <w:rFonts w:ascii="Times New Roman" w:eastAsia="Times New Roman" w:hAnsi="Times New Roman"/>
          <w:sz w:val="24"/>
          <w:szCs w:val="24"/>
          <w:lang w:val="en-US"/>
        </w:rPr>
        <w:t xml:space="preserve"> </w:t>
      </w:r>
      <w:r w:rsidR="00157B64">
        <w:rPr>
          <w:rFonts w:ascii="Times New Roman" w:eastAsia="Times New Roman" w:hAnsi="Times New Roman"/>
          <w:sz w:val="24"/>
          <w:szCs w:val="24"/>
          <w:lang w:val="en-US"/>
        </w:rPr>
        <w:t>output is measured a</w:t>
      </w:r>
      <w:r>
        <w:rPr>
          <w:rFonts w:ascii="Times New Roman" w:eastAsia="Times New Roman" w:hAnsi="Times New Roman"/>
          <w:sz w:val="24"/>
          <w:szCs w:val="24"/>
          <w:lang w:val="en-US"/>
        </w:rPr>
        <w:t>s</w:t>
      </w:r>
      <w:r w:rsidR="00157B64">
        <w:rPr>
          <w:rFonts w:ascii="Times New Roman" w:eastAsia="Times New Roman" w:hAnsi="Times New Roman"/>
          <w:sz w:val="24"/>
          <w:szCs w:val="24"/>
          <w:lang w:val="en-US"/>
        </w:rPr>
        <w:t xml:space="preserve"> </w:t>
      </w:r>
      <w:r w:rsidR="00157B64">
        <w:rPr>
          <w:rFonts w:ascii="Times New Roman" w:hAnsi="Times New Roman"/>
          <w:sz w:val="24"/>
          <w:szCs w:val="24"/>
          <w:lang w:val="en-US"/>
        </w:rPr>
        <w:t xml:space="preserve">total sales adjusted for the cost of materials and </w:t>
      </w:r>
      <w:r w:rsidR="00157B64" w:rsidRPr="00FB1071">
        <w:rPr>
          <w:rFonts w:ascii="Times New Roman" w:hAnsi="Times New Roman"/>
          <w:sz w:val="24"/>
          <w:szCs w:val="24"/>
          <w:lang w:val="en-US"/>
        </w:rPr>
        <w:t>firm</w:t>
      </w:r>
      <w:r w:rsidR="00157B64">
        <w:rPr>
          <w:rFonts w:ascii="Times New Roman" w:hAnsi="Times New Roman"/>
          <w:sz w:val="24"/>
          <w:szCs w:val="24"/>
          <w:lang w:val="en-US"/>
        </w:rPr>
        <w:t xml:space="preserve"> inventories. Book values from FAME are converted into </w:t>
      </w:r>
      <w:r w:rsidR="00E35858">
        <w:rPr>
          <w:rFonts w:ascii="Times New Roman" w:hAnsi="Times New Roman"/>
          <w:sz w:val="24"/>
          <w:szCs w:val="24"/>
          <w:lang w:val="en-US"/>
        </w:rPr>
        <w:t>2005 constant prices</w:t>
      </w:r>
      <w:r w:rsidR="00157B64">
        <w:rPr>
          <w:rFonts w:ascii="Times New Roman" w:hAnsi="Times New Roman"/>
          <w:sz w:val="24"/>
          <w:szCs w:val="24"/>
          <w:lang w:val="en-US"/>
        </w:rPr>
        <w:t xml:space="preserve"> using 4-digit NACE industry production price indices (Office of National Statistics</w:t>
      </w:r>
      <w:r w:rsidR="00243D92">
        <w:rPr>
          <w:rFonts w:ascii="Times New Roman" w:hAnsi="Times New Roman"/>
          <w:sz w:val="24"/>
          <w:szCs w:val="24"/>
          <w:lang w:val="en-US"/>
        </w:rPr>
        <w:t>-ONS</w:t>
      </w:r>
      <w:r w:rsidR="00157B64">
        <w:rPr>
          <w:rFonts w:ascii="Times New Roman" w:hAnsi="Times New Roman"/>
          <w:sz w:val="24"/>
          <w:szCs w:val="24"/>
          <w:lang w:val="en-US"/>
        </w:rPr>
        <w:t>).</w:t>
      </w:r>
      <w:r w:rsidR="00243D92">
        <w:rPr>
          <w:rFonts w:ascii="Times New Roman" w:hAnsi="Times New Roman"/>
          <w:sz w:val="24"/>
          <w:szCs w:val="24"/>
          <w:lang w:val="en-US"/>
        </w:rPr>
        <w:t xml:space="preserve"> Capital is measured </w:t>
      </w:r>
      <w:r w:rsidR="00700A72">
        <w:rPr>
          <w:rFonts w:ascii="Times New Roman" w:hAnsi="Times New Roman"/>
          <w:sz w:val="24"/>
          <w:szCs w:val="24"/>
          <w:lang w:val="en-US"/>
        </w:rPr>
        <w:t xml:space="preserve">from the book value of </w:t>
      </w:r>
      <w:r w:rsidR="00243D92">
        <w:rPr>
          <w:rFonts w:ascii="Times New Roman" w:hAnsi="Times New Roman"/>
          <w:sz w:val="24"/>
          <w:szCs w:val="24"/>
          <w:lang w:val="en-US"/>
        </w:rPr>
        <w:t xml:space="preserve">total fixed assets </w:t>
      </w:r>
      <w:r w:rsidR="00280785">
        <w:rPr>
          <w:rFonts w:ascii="Times New Roman" w:hAnsi="Times New Roman"/>
          <w:sz w:val="24"/>
          <w:szCs w:val="24"/>
          <w:lang w:val="en-US"/>
        </w:rPr>
        <w:t>in</w:t>
      </w:r>
      <w:r w:rsidR="00243D92">
        <w:rPr>
          <w:rFonts w:ascii="Times New Roman" w:hAnsi="Times New Roman"/>
          <w:sz w:val="24"/>
          <w:szCs w:val="24"/>
          <w:lang w:val="en-US"/>
        </w:rPr>
        <w:t xml:space="preserve"> FAME </w:t>
      </w:r>
      <w:r w:rsidR="00A80E3C">
        <w:rPr>
          <w:rFonts w:ascii="Times New Roman" w:hAnsi="Times New Roman"/>
          <w:sz w:val="24"/>
          <w:szCs w:val="24"/>
          <w:lang w:val="en-US"/>
        </w:rPr>
        <w:t>after being</w:t>
      </w:r>
      <w:r w:rsidR="00243D92">
        <w:rPr>
          <w:rFonts w:ascii="Times New Roman" w:hAnsi="Times New Roman"/>
          <w:sz w:val="24"/>
          <w:szCs w:val="24"/>
          <w:lang w:val="en-US"/>
        </w:rPr>
        <w:t xml:space="preserve"> converted into </w:t>
      </w:r>
      <w:r w:rsidR="00700A72">
        <w:rPr>
          <w:rFonts w:ascii="Times New Roman" w:hAnsi="Times New Roman"/>
          <w:sz w:val="24"/>
          <w:szCs w:val="24"/>
          <w:lang w:val="en-US"/>
        </w:rPr>
        <w:t>2005 constant prices</w:t>
      </w:r>
      <w:r w:rsidR="00243D92">
        <w:rPr>
          <w:rFonts w:ascii="Times New Roman" w:hAnsi="Times New Roman"/>
          <w:sz w:val="24"/>
          <w:szCs w:val="24"/>
          <w:lang w:val="en-US"/>
        </w:rPr>
        <w:t xml:space="preserve"> </w:t>
      </w:r>
      <w:r w:rsidR="00A80E3C">
        <w:rPr>
          <w:rFonts w:ascii="Times New Roman" w:hAnsi="Times New Roman"/>
          <w:sz w:val="24"/>
          <w:szCs w:val="24"/>
          <w:lang w:val="en-US"/>
        </w:rPr>
        <w:t>with an industry</w:t>
      </w:r>
      <w:r w:rsidR="00243D92">
        <w:rPr>
          <w:rFonts w:ascii="Times New Roman" w:hAnsi="Times New Roman"/>
          <w:sz w:val="24"/>
          <w:szCs w:val="24"/>
          <w:lang w:val="en-US"/>
        </w:rPr>
        <w:t xml:space="preserve"> invariant capital price index from ONS. Labour is measured as the number of employees.</w:t>
      </w:r>
      <w:r w:rsidR="00A80E3C">
        <w:rPr>
          <w:rFonts w:ascii="Times New Roman" w:hAnsi="Times New Roman"/>
          <w:sz w:val="24"/>
          <w:szCs w:val="24"/>
          <w:lang w:val="en-US"/>
        </w:rPr>
        <w:t xml:space="preserve"> Appendix 2</w:t>
      </w:r>
      <w:r w:rsidR="00C774B9">
        <w:rPr>
          <w:rFonts w:ascii="Times New Roman" w:hAnsi="Times New Roman"/>
          <w:sz w:val="24"/>
          <w:szCs w:val="24"/>
          <w:lang w:val="en-US"/>
        </w:rPr>
        <w:t>A</w:t>
      </w:r>
      <w:r w:rsidR="00A80E3C">
        <w:rPr>
          <w:rFonts w:ascii="Times New Roman" w:hAnsi="Times New Roman"/>
          <w:sz w:val="24"/>
          <w:szCs w:val="24"/>
          <w:lang w:val="en-US"/>
        </w:rPr>
        <w:t xml:space="preserve"> outlines the key steps for the derivation of TFP </w:t>
      </w:r>
      <w:r w:rsidR="00E35858">
        <w:rPr>
          <w:rFonts w:ascii="Times New Roman" w:hAnsi="Times New Roman"/>
          <w:sz w:val="24"/>
          <w:szCs w:val="24"/>
          <w:lang w:val="en-US"/>
        </w:rPr>
        <w:t>following</w:t>
      </w:r>
      <w:r w:rsidR="00A80E3C">
        <w:rPr>
          <w:rFonts w:ascii="Times New Roman" w:hAnsi="Times New Roman"/>
          <w:sz w:val="24"/>
          <w:szCs w:val="24"/>
          <w:lang w:val="en-US"/>
        </w:rPr>
        <w:t xml:space="preserve"> the Olley and Pakes </w:t>
      </w:r>
      <w:r w:rsidR="00C774B9">
        <w:rPr>
          <w:rFonts w:ascii="Times New Roman" w:hAnsi="Times New Roman"/>
          <w:sz w:val="24"/>
          <w:szCs w:val="24"/>
          <w:lang w:val="en-US"/>
        </w:rPr>
        <w:t>(1996) algorithm and Appendix 2B</w:t>
      </w:r>
      <w:r w:rsidR="001B1100">
        <w:rPr>
          <w:rFonts w:ascii="Times New Roman" w:hAnsi="Times New Roman"/>
          <w:sz w:val="24"/>
          <w:szCs w:val="24"/>
          <w:lang w:val="en-US"/>
        </w:rPr>
        <w:t xml:space="preserve"> displays summary statistics of all variables used in the analysis.</w:t>
      </w:r>
    </w:p>
    <w:p w:rsidR="00157B64" w:rsidRDefault="00157B64" w:rsidP="00B21C1A">
      <w:pPr>
        <w:ind w:firstLine="426"/>
        <w:rPr>
          <w:rFonts w:ascii="Times New Roman" w:eastAsia="Times New Roman" w:hAnsi="Times New Roman"/>
          <w:sz w:val="24"/>
          <w:szCs w:val="24"/>
          <w:lang w:val="en-US"/>
        </w:rPr>
      </w:pPr>
    </w:p>
    <w:p w:rsidR="00157B64" w:rsidRDefault="00157B64" w:rsidP="00B21C1A">
      <w:pPr>
        <w:ind w:firstLine="426"/>
        <w:rPr>
          <w:rFonts w:ascii="Times New Roman" w:eastAsia="Times New Roman" w:hAnsi="Times New Roman"/>
          <w:sz w:val="24"/>
          <w:szCs w:val="24"/>
          <w:lang w:val="en-US"/>
        </w:rPr>
      </w:pPr>
    </w:p>
    <w:p w:rsidR="0053375E" w:rsidRDefault="0053375E" w:rsidP="00795233">
      <w:pPr>
        <w:rPr>
          <w:noProof/>
          <w:lang w:val="en-GB" w:eastAsia="zh-CN"/>
        </w:rPr>
      </w:pPr>
      <w:r w:rsidRPr="00795233">
        <w:rPr>
          <w:rFonts w:ascii="Times New Roman" w:hAnsi="Times New Roman"/>
          <w:b/>
          <w:color w:val="000000" w:themeColor="text1"/>
          <w:sz w:val="24"/>
          <w:szCs w:val="24"/>
          <w:lang w:val="en-GB"/>
        </w:rPr>
        <w:t>F</w:t>
      </w:r>
      <w:r w:rsidR="00DB3C44" w:rsidRPr="00795233">
        <w:rPr>
          <w:rFonts w:ascii="Times New Roman" w:hAnsi="Times New Roman"/>
          <w:b/>
          <w:color w:val="000000" w:themeColor="text1"/>
          <w:sz w:val="24"/>
          <w:szCs w:val="24"/>
          <w:lang w:val="en-GB"/>
        </w:rPr>
        <w:t xml:space="preserve">igure </w:t>
      </w:r>
      <w:r w:rsidR="003B6DF2">
        <w:rPr>
          <w:rFonts w:ascii="Times New Roman" w:hAnsi="Times New Roman"/>
          <w:b/>
          <w:color w:val="000000" w:themeColor="text1"/>
          <w:sz w:val="24"/>
          <w:szCs w:val="24"/>
          <w:lang w:val="en-GB"/>
        </w:rPr>
        <w:t>1</w:t>
      </w:r>
      <w:r w:rsidRPr="00795233">
        <w:rPr>
          <w:rFonts w:ascii="Times New Roman" w:hAnsi="Times New Roman"/>
          <w:b/>
          <w:color w:val="000000" w:themeColor="text1"/>
          <w:sz w:val="24"/>
          <w:szCs w:val="24"/>
          <w:lang w:val="en-GB"/>
        </w:rPr>
        <w:t xml:space="preserve">: Average TFP Levels of </w:t>
      </w:r>
      <w:r w:rsidR="00EF5611" w:rsidRPr="00795233">
        <w:rPr>
          <w:rFonts w:ascii="Times New Roman" w:hAnsi="Times New Roman"/>
          <w:b/>
          <w:color w:val="000000" w:themeColor="text1"/>
          <w:sz w:val="24"/>
          <w:szCs w:val="24"/>
          <w:lang w:val="en-GB"/>
        </w:rPr>
        <w:t>R&amp;D</w:t>
      </w:r>
      <w:r w:rsidRPr="00795233">
        <w:rPr>
          <w:rFonts w:ascii="Times New Roman" w:hAnsi="Times New Roman"/>
          <w:b/>
          <w:color w:val="000000" w:themeColor="text1"/>
          <w:sz w:val="24"/>
          <w:szCs w:val="24"/>
          <w:lang w:val="en-GB"/>
        </w:rPr>
        <w:t xml:space="preserve"> and Non-</w:t>
      </w:r>
      <w:r w:rsidR="00EF5611" w:rsidRPr="00795233">
        <w:rPr>
          <w:rFonts w:ascii="Times New Roman" w:hAnsi="Times New Roman"/>
          <w:b/>
          <w:color w:val="000000" w:themeColor="text1"/>
          <w:sz w:val="24"/>
          <w:szCs w:val="24"/>
          <w:lang w:val="en-GB"/>
        </w:rPr>
        <w:t>R&amp;D Firms</w:t>
      </w:r>
      <w:r w:rsidRPr="00795233">
        <w:rPr>
          <w:rFonts w:ascii="Times New Roman" w:hAnsi="Times New Roman"/>
          <w:b/>
          <w:color w:val="000000" w:themeColor="text1"/>
          <w:sz w:val="24"/>
          <w:szCs w:val="24"/>
          <w:lang w:val="en-GB"/>
        </w:rPr>
        <w:t>, UK Firms 2004-2011</w:t>
      </w:r>
      <w:r w:rsidR="00DB3C44">
        <w:rPr>
          <w:noProof/>
          <w:lang w:val="en-GB" w:eastAsia="en-GB"/>
        </w:rPr>
        <w:drawing>
          <wp:inline distT="0" distB="0" distL="0" distR="0" wp14:anchorId="1A367507" wp14:editId="363457F3">
            <wp:extent cx="5381626" cy="2938463"/>
            <wp:effectExtent l="0" t="0" r="9525" b="146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DB3C44" w:rsidRDefault="00DB3C44" w:rsidP="00FE3C84">
      <w:pPr>
        <w:pStyle w:val="Caption"/>
        <w:keepNext/>
        <w:ind w:firstLine="360"/>
        <w:rPr>
          <w:rFonts w:ascii="Times New Roman" w:hAnsi="Times New Roman"/>
          <w:color w:val="000000" w:themeColor="text1"/>
          <w:sz w:val="24"/>
          <w:szCs w:val="24"/>
          <w:lang w:val="en-GB"/>
        </w:rPr>
      </w:pPr>
    </w:p>
    <w:p w:rsidR="00DB3C44" w:rsidRDefault="00DB3C44" w:rsidP="00FE3C84">
      <w:pPr>
        <w:pStyle w:val="Caption"/>
        <w:keepNext/>
        <w:ind w:firstLine="360"/>
        <w:rPr>
          <w:rFonts w:ascii="Times New Roman" w:hAnsi="Times New Roman"/>
          <w:color w:val="000000" w:themeColor="text1"/>
          <w:sz w:val="24"/>
          <w:szCs w:val="24"/>
          <w:lang w:val="en-GB"/>
        </w:rPr>
      </w:pPr>
    </w:p>
    <w:p w:rsidR="00FE3C84" w:rsidRPr="00FE3C84" w:rsidRDefault="00226EC4" w:rsidP="007C079D">
      <w:pPr>
        <w:pStyle w:val="Caption"/>
        <w:keepNext/>
        <w:ind w:firstLine="360"/>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 xml:space="preserve">Figure </w:t>
      </w:r>
      <w:r w:rsidR="003B6DF2">
        <w:rPr>
          <w:rFonts w:ascii="Times New Roman" w:hAnsi="Times New Roman"/>
          <w:color w:val="000000" w:themeColor="text1"/>
          <w:sz w:val="24"/>
          <w:szCs w:val="24"/>
          <w:lang w:val="en-GB"/>
        </w:rPr>
        <w:t>2</w:t>
      </w:r>
      <w:r w:rsidR="00FE3C84">
        <w:rPr>
          <w:rFonts w:ascii="Times New Roman" w:hAnsi="Times New Roman"/>
          <w:color w:val="000000" w:themeColor="text1"/>
          <w:sz w:val="24"/>
          <w:szCs w:val="24"/>
          <w:lang w:val="en-GB"/>
        </w:rPr>
        <w:t xml:space="preserve">: Average </w:t>
      </w:r>
      <w:r w:rsidR="00FE3C84" w:rsidRPr="00FE3C84">
        <w:rPr>
          <w:rFonts w:ascii="Times New Roman" w:hAnsi="Times New Roman"/>
          <w:color w:val="000000" w:themeColor="text1"/>
          <w:sz w:val="24"/>
          <w:szCs w:val="24"/>
          <w:lang w:val="en-GB"/>
        </w:rPr>
        <w:t xml:space="preserve">TFP Levels </w:t>
      </w:r>
      <w:r w:rsidR="00FE3C84">
        <w:rPr>
          <w:rFonts w:ascii="Times New Roman" w:hAnsi="Times New Roman"/>
          <w:color w:val="000000" w:themeColor="text1"/>
          <w:sz w:val="24"/>
          <w:szCs w:val="24"/>
          <w:lang w:val="en-GB"/>
        </w:rPr>
        <w:t xml:space="preserve">of </w:t>
      </w:r>
      <w:r w:rsidR="00FE3C84" w:rsidRPr="00FE3C84">
        <w:rPr>
          <w:rFonts w:ascii="Times New Roman" w:hAnsi="Times New Roman"/>
          <w:color w:val="000000" w:themeColor="text1"/>
          <w:sz w:val="24"/>
          <w:szCs w:val="24"/>
          <w:lang w:val="en-GB"/>
        </w:rPr>
        <w:t>Exporte</w:t>
      </w:r>
      <w:r w:rsidR="00FE3C84">
        <w:rPr>
          <w:rFonts w:ascii="Times New Roman" w:hAnsi="Times New Roman"/>
          <w:color w:val="000000" w:themeColor="text1"/>
          <w:sz w:val="24"/>
          <w:szCs w:val="24"/>
          <w:lang w:val="en-GB"/>
        </w:rPr>
        <w:t>rs and Non-Exporters, UK Firms 2004-</w:t>
      </w:r>
      <w:r w:rsidR="00FE3C84" w:rsidRPr="00FE3C84">
        <w:rPr>
          <w:rFonts w:ascii="Times New Roman" w:hAnsi="Times New Roman"/>
          <w:color w:val="000000" w:themeColor="text1"/>
          <w:sz w:val="24"/>
          <w:szCs w:val="24"/>
          <w:lang w:val="en-GB"/>
        </w:rPr>
        <w:t>2011</w:t>
      </w:r>
    </w:p>
    <w:p w:rsidR="00FE3C84" w:rsidRDefault="00A4453A" w:rsidP="00FE3C84">
      <w:pPr>
        <w:keepNext/>
        <w:spacing w:after="100" w:afterAutospacing="1"/>
        <w:ind w:left="360" w:firstLine="66"/>
      </w:pPr>
      <w:r>
        <w:rPr>
          <w:noProof/>
          <w:lang w:val="en-GB" w:eastAsia="en-GB"/>
        </w:rPr>
        <w:drawing>
          <wp:inline distT="0" distB="0" distL="0" distR="0" wp14:anchorId="111EC6EB" wp14:editId="64C1DD57">
            <wp:extent cx="5381625" cy="274320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DC3E84" w:rsidRDefault="00DC3E84">
      <w:pPr>
        <w:rPr>
          <w:rFonts w:ascii="Times New Roman" w:eastAsia="Times New Roman" w:hAnsi="Times New Roman"/>
          <w:sz w:val="24"/>
          <w:szCs w:val="24"/>
          <w:lang w:val="en-US"/>
        </w:rPr>
      </w:pPr>
      <w:r>
        <w:rPr>
          <w:rFonts w:ascii="Times New Roman" w:eastAsia="Times New Roman" w:hAnsi="Times New Roman"/>
          <w:sz w:val="24"/>
          <w:szCs w:val="24"/>
          <w:lang w:val="en-US"/>
        </w:rPr>
        <w:br w:type="page"/>
      </w:r>
    </w:p>
    <w:p w:rsidR="00280EA9" w:rsidRPr="00C70EC7" w:rsidRDefault="00280EA9" w:rsidP="00700A72">
      <w:pPr>
        <w:pStyle w:val="ListParagraph"/>
        <w:numPr>
          <w:ilvl w:val="1"/>
          <w:numId w:val="10"/>
        </w:numPr>
        <w:ind w:left="993" w:hanging="426"/>
        <w:rPr>
          <w:i/>
          <w:sz w:val="24"/>
          <w:szCs w:val="24"/>
          <w:lang w:val="en-GB"/>
        </w:rPr>
      </w:pPr>
      <w:r w:rsidRPr="00C70EC7">
        <w:rPr>
          <w:rFonts w:ascii="Times New Roman" w:hAnsi="Times New Roman"/>
          <w:i/>
          <w:sz w:val="24"/>
          <w:szCs w:val="24"/>
          <w:lang w:val="en-US"/>
        </w:rPr>
        <w:lastRenderedPageBreak/>
        <w:t>Baseline OLS Estimates</w:t>
      </w:r>
    </w:p>
    <w:p w:rsidR="00361FAA" w:rsidRDefault="00BE29F8" w:rsidP="00280EA9">
      <w:pPr>
        <w:pStyle w:val="MTDisplayEquation"/>
        <w:spacing w:before="120"/>
      </w:pPr>
      <w:r>
        <w:t>We start with OLS baseline estimates for</w:t>
      </w:r>
      <w:r w:rsidR="009578D4">
        <w:t xml:space="preserve"> </w:t>
      </w:r>
      <w:r w:rsidR="009578D4" w:rsidRPr="00BE29F8">
        <w:t>[</w:t>
      </w:r>
      <w:r w:rsidRPr="00BE29F8">
        <w:t>3.2</w:t>
      </w:r>
      <w:r w:rsidR="00486030" w:rsidRPr="00BE29F8">
        <w:t>]</w:t>
      </w:r>
      <w:r w:rsidRPr="00BE29F8">
        <w:t xml:space="preserve"> and</w:t>
      </w:r>
      <w:r>
        <w:t xml:space="preserve"> [3.3], </w:t>
      </w:r>
      <w:r w:rsidR="00A05869">
        <w:t>which</w:t>
      </w:r>
      <w:r>
        <w:t xml:space="preserve"> are shown in Table 1.</w:t>
      </w:r>
      <w:r w:rsidR="00361FAA">
        <w:t xml:space="preserve"> The</w:t>
      </w:r>
      <w:r w:rsidR="00EA4070">
        <w:t xml:space="preserve"> coefficient of</w:t>
      </w:r>
      <w:r w:rsidR="00361FAA">
        <w:t xml:space="preserve"> </w:t>
      </w:r>
      <w:r w:rsidR="00361FAA" w:rsidRPr="008F2C9D">
        <w:rPr>
          <w:i/>
        </w:rPr>
        <w:t>GAP</w:t>
      </w:r>
      <w:r w:rsidR="00280785">
        <w:rPr>
          <w:i/>
          <w:vertAlign w:val="subscript"/>
        </w:rPr>
        <w:t>it-1</w:t>
      </w:r>
      <w:r w:rsidR="00361FAA">
        <w:t xml:space="preserve"> is negative and highly significant</w:t>
      </w:r>
      <w:r>
        <w:t xml:space="preserve">, which is in line with </w:t>
      </w:r>
      <w:r w:rsidR="00361FAA">
        <w:t xml:space="preserve">the hypothesis that laggard firms tend to grow faster. R&amp;D active firms experience higher TFP growth rates while </w:t>
      </w:r>
      <w:r>
        <w:t xml:space="preserve">productivity </w:t>
      </w:r>
      <w:r w:rsidR="00EA4070">
        <w:t xml:space="preserve">growth </w:t>
      </w:r>
      <w:r w:rsidR="00361FAA">
        <w:t>difference</w:t>
      </w:r>
      <w:r w:rsidR="00EA4070">
        <w:t xml:space="preserve">s </w:t>
      </w:r>
      <w:r w:rsidR="00150C09">
        <w:t>between exporters and non-exporters</w:t>
      </w:r>
      <w:r w:rsidR="00361FAA">
        <w:t xml:space="preserve"> </w:t>
      </w:r>
      <w:r w:rsidR="00EA4070">
        <w:t>are</w:t>
      </w:r>
      <w:r w:rsidR="00361FAA">
        <w:t xml:space="preserve"> insignificant in conventional statistical terms. </w:t>
      </w:r>
      <w:r w:rsidR="00B83A33">
        <w:t xml:space="preserve">The autonomous effect of </w:t>
      </w:r>
      <w:r w:rsidR="003C10B0">
        <w:t>TFP growth of the</w:t>
      </w:r>
      <w:r w:rsidR="00E612D5">
        <w:t xml:space="preserve"> frontier</w:t>
      </w:r>
      <w:r w:rsidR="00B83A33">
        <w:t xml:space="preserve"> is</w:t>
      </w:r>
      <w:r w:rsidR="00361FAA">
        <w:t xml:space="preserve"> positive </w:t>
      </w:r>
      <w:r w:rsidR="00B83A33">
        <w:t>signifying</w:t>
      </w:r>
      <w:r w:rsidR="00361FAA">
        <w:t xml:space="preserve"> the existence of</w:t>
      </w:r>
      <w:r w:rsidR="00E612D5">
        <w:t xml:space="preserve"> </w:t>
      </w:r>
      <w:r>
        <w:t>knowledge</w:t>
      </w:r>
      <w:r w:rsidR="00361FAA">
        <w:t xml:space="preserve"> spillovers</w:t>
      </w:r>
      <w:r w:rsidR="00E612D5">
        <w:t xml:space="preserve"> </w:t>
      </w:r>
      <w:r w:rsidR="003C10B0">
        <w:t>derived</w:t>
      </w:r>
      <w:r w:rsidR="00E612D5">
        <w:t xml:space="preserve"> from more productive firms</w:t>
      </w:r>
      <w:r w:rsidR="003C10B0">
        <w:t xml:space="preserve"> in the industry</w:t>
      </w:r>
      <w:r w:rsidR="00E612D5">
        <w:t>.</w:t>
      </w:r>
      <w:r>
        <w:t xml:space="preserve"> The magnitude of</w:t>
      </w:r>
      <w:r w:rsidR="00361FAA">
        <w:t xml:space="preserve"> this effect is strong </w:t>
      </w:r>
      <w:r w:rsidR="00E612D5">
        <w:t>suggesting</w:t>
      </w:r>
      <w:r w:rsidR="00361FAA">
        <w:t xml:space="preserve"> that 1% increase in the TFP growth of </w:t>
      </w:r>
      <w:r w:rsidR="003C10B0" w:rsidRPr="003C10B0">
        <w:rPr>
          <w:iCs/>
        </w:rPr>
        <w:t>the frontier</w:t>
      </w:r>
      <w:r w:rsidR="00361FAA">
        <w:t xml:space="preserve"> increases</w:t>
      </w:r>
      <w:r>
        <w:t xml:space="preserve"> TFP</w:t>
      </w:r>
      <w:r w:rsidR="00361FAA">
        <w:t xml:space="preserve"> growth rate in </w:t>
      </w:r>
      <w:r w:rsidR="00E612D5" w:rsidRPr="00E612D5">
        <w:rPr>
          <w:i/>
          <w:iCs/>
        </w:rPr>
        <w:t>i</w:t>
      </w:r>
      <w:r w:rsidR="00361FAA">
        <w:t xml:space="preserve"> by 0.21 percentage points. </w:t>
      </w:r>
      <w:r>
        <w:t>The</w:t>
      </w:r>
      <w:r w:rsidR="00361FAA">
        <w:t xml:space="preserve"> effect of corporate tax liability</w:t>
      </w:r>
      <w:r>
        <w:t xml:space="preserve"> (</w:t>
      </w:r>
      <w:r w:rsidRPr="00BE29F8">
        <w:rPr>
          <w:i/>
        </w:rPr>
        <w:t>Tax</w:t>
      </w:r>
      <w:r w:rsidR="00280785">
        <w:rPr>
          <w:i/>
          <w:vertAlign w:val="subscript"/>
        </w:rPr>
        <w:t>it-1</w:t>
      </w:r>
      <w:r>
        <w:t>)</w:t>
      </w:r>
      <w:r w:rsidR="00361FAA">
        <w:t xml:space="preserve"> on </w:t>
      </w:r>
      <w:r w:rsidR="003C10B0">
        <w:t xml:space="preserve">TFP </w:t>
      </w:r>
      <w:r w:rsidR="00361FAA">
        <w:t xml:space="preserve">growth is negative and statistically significant at the 1% level. </w:t>
      </w:r>
      <w:r>
        <w:t>C</w:t>
      </w:r>
      <w:r w:rsidR="00361FAA">
        <w:t>olumn (2) replica</w:t>
      </w:r>
      <w:r w:rsidR="009578D4">
        <w:t>te</w:t>
      </w:r>
      <w:r>
        <w:t>s</w:t>
      </w:r>
      <w:r w:rsidR="009578D4">
        <w:t xml:space="preserve"> results from specification </w:t>
      </w:r>
      <w:r>
        <w:t>[3.3]</w:t>
      </w:r>
      <w:r w:rsidR="003C1D62">
        <w:t xml:space="preserve">, which </w:t>
      </w:r>
      <w:r>
        <w:t>augment</w:t>
      </w:r>
      <w:r w:rsidR="003C1D62">
        <w:t>s</w:t>
      </w:r>
      <w:r>
        <w:t xml:space="preserve"> </w:t>
      </w:r>
      <w:r w:rsidR="003C1D62">
        <w:t>the original productivity model with</w:t>
      </w:r>
      <w:r>
        <w:t xml:space="preserve"> the</w:t>
      </w:r>
      <w:r w:rsidR="00361FAA">
        <w:t xml:space="preserve"> interaction </w:t>
      </w:r>
      <w:r w:rsidR="00DB0CAC">
        <w:t>term</w:t>
      </w:r>
      <w:r w:rsidR="00A14F8C" w:rsidRPr="006B0480">
        <w:rPr>
          <w:position w:val="-12"/>
        </w:rPr>
        <w:object w:dxaOrig="1660" w:dyaOrig="360">
          <v:shape id="_x0000_i1044" type="#_x0000_t75" style="width:83.25pt;height:17.25pt" o:ole="">
            <v:imagedata r:id="rId48" o:title=""/>
          </v:shape>
          <o:OLEObject Type="Embed" ProgID="Equation.DSMT4" ShapeID="_x0000_i1044" DrawAspect="Content" ObjectID="_1604251459" r:id="rId49"/>
        </w:object>
      </w:r>
      <w:r w:rsidR="00EA4070">
        <w:t xml:space="preserve">. The </w:t>
      </w:r>
      <w:r w:rsidR="003C1D62">
        <w:t xml:space="preserve">positive </w:t>
      </w:r>
      <w:r w:rsidR="00EA4070">
        <w:t xml:space="preserve">coefficient of the </w:t>
      </w:r>
      <w:r w:rsidR="003C1D62">
        <w:t xml:space="preserve">multiplicative </w:t>
      </w:r>
      <w:r w:rsidR="00EA4070">
        <w:t>term</w:t>
      </w:r>
      <w:r w:rsidR="00361FAA">
        <w:t xml:space="preserve"> </w:t>
      </w:r>
      <w:r w:rsidR="003C1D62">
        <w:t xml:space="preserve">suggests that as tax liability increases the rate of productivity catch-up falls, which is compatible to </w:t>
      </w:r>
      <w:r w:rsidR="006B0480">
        <w:t>our first hypothesis</w:t>
      </w:r>
      <w:r w:rsidR="00361FAA">
        <w:t xml:space="preserve"> </w:t>
      </w:r>
      <w:r w:rsidR="003C1D62">
        <w:t xml:space="preserve">that corporate taxation </w:t>
      </w:r>
      <w:r w:rsidR="00361FAA">
        <w:t xml:space="preserve">restrains resources </w:t>
      </w:r>
      <w:r w:rsidR="00280785">
        <w:t>whose</w:t>
      </w:r>
      <w:r w:rsidR="00361FAA">
        <w:t xml:space="preserve"> alternative use </w:t>
      </w:r>
      <w:r w:rsidR="00280785">
        <w:t xml:space="preserve">is in </w:t>
      </w:r>
      <w:r w:rsidR="006B0480">
        <w:t>productiv</w:t>
      </w:r>
      <w:r w:rsidR="00280785">
        <w:t>ity enhancing</w:t>
      </w:r>
      <w:r w:rsidR="00361FAA">
        <w:t xml:space="preserve"> </w:t>
      </w:r>
      <w:r w:rsidR="00EA4070">
        <w:t>investment</w:t>
      </w:r>
      <w:r w:rsidR="006B0480">
        <w:t>s.</w:t>
      </w:r>
      <w:r w:rsidR="00361FAA">
        <w:t xml:space="preserve"> </w:t>
      </w:r>
    </w:p>
    <w:p w:rsidR="007E2BA1" w:rsidRDefault="00FA2830" w:rsidP="00F12112">
      <w:pPr>
        <w:ind w:firstLine="425"/>
        <w:rPr>
          <w:rFonts w:asciiTheme="majorBidi" w:hAnsiTheme="majorBidi" w:cstheme="majorBidi"/>
          <w:sz w:val="24"/>
          <w:szCs w:val="24"/>
          <w:lang w:val="en-US"/>
        </w:rPr>
      </w:pPr>
      <w:r>
        <w:rPr>
          <w:rFonts w:asciiTheme="majorBidi" w:hAnsiTheme="majorBidi" w:cstheme="majorBidi"/>
          <w:sz w:val="24"/>
          <w:szCs w:val="24"/>
          <w:lang w:val="en-US"/>
        </w:rPr>
        <w:t>The</w:t>
      </w:r>
      <w:r w:rsidR="00AD428F" w:rsidRPr="009F15B7">
        <w:rPr>
          <w:rFonts w:asciiTheme="majorBidi" w:hAnsiTheme="majorBidi" w:cstheme="majorBidi"/>
          <w:sz w:val="24"/>
          <w:szCs w:val="24"/>
          <w:lang w:val="en-US"/>
        </w:rPr>
        <w:t xml:space="preserve"> role of corporate tax in </w:t>
      </w:r>
      <w:r w:rsidR="00EA1B3B" w:rsidRPr="009F15B7">
        <w:rPr>
          <w:rFonts w:asciiTheme="majorBidi" w:hAnsiTheme="majorBidi" w:cstheme="majorBidi"/>
          <w:sz w:val="24"/>
          <w:szCs w:val="24"/>
          <w:lang w:val="en-US"/>
        </w:rPr>
        <w:t>driving</w:t>
      </w:r>
      <w:r w:rsidR="00AD428F" w:rsidRPr="009F15B7">
        <w:rPr>
          <w:rFonts w:asciiTheme="majorBidi" w:hAnsiTheme="majorBidi" w:cstheme="majorBidi"/>
          <w:sz w:val="24"/>
          <w:szCs w:val="24"/>
          <w:lang w:val="en-US"/>
        </w:rPr>
        <w:t xml:space="preserve"> </w:t>
      </w:r>
      <w:r w:rsidR="00280785">
        <w:rPr>
          <w:rFonts w:asciiTheme="majorBidi" w:hAnsiTheme="majorBidi" w:cstheme="majorBidi"/>
          <w:sz w:val="24"/>
          <w:szCs w:val="24"/>
          <w:lang w:val="en-US"/>
        </w:rPr>
        <w:t>productivity</w:t>
      </w:r>
      <w:r w:rsidR="00AD428F" w:rsidRPr="009F15B7">
        <w:rPr>
          <w:rFonts w:asciiTheme="majorBidi" w:hAnsiTheme="majorBidi" w:cstheme="majorBidi"/>
          <w:sz w:val="24"/>
          <w:szCs w:val="24"/>
          <w:lang w:val="en-US"/>
        </w:rPr>
        <w:t xml:space="preserve"> growth of</w:t>
      </w:r>
      <w:r w:rsidR="00CB2D62">
        <w:rPr>
          <w:rFonts w:asciiTheme="majorBidi" w:hAnsiTheme="majorBidi" w:cstheme="majorBidi"/>
          <w:sz w:val="24"/>
          <w:szCs w:val="24"/>
          <w:lang w:val="en-US"/>
        </w:rPr>
        <w:t xml:space="preserve"> innovators and e</w:t>
      </w:r>
      <w:r w:rsidR="00AD428F" w:rsidRPr="009F15B7">
        <w:rPr>
          <w:rFonts w:asciiTheme="majorBidi" w:hAnsiTheme="majorBidi" w:cstheme="majorBidi"/>
          <w:sz w:val="24"/>
          <w:szCs w:val="24"/>
          <w:lang w:val="en-US"/>
        </w:rPr>
        <w:t>xport</w:t>
      </w:r>
      <w:r w:rsidR="00CB2D62">
        <w:rPr>
          <w:rFonts w:asciiTheme="majorBidi" w:hAnsiTheme="majorBidi" w:cstheme="majorBidi"/>
          <w:sz w:val="24"/>
          <w:szCs w:val="24"/>
          <w:lang w:val="en-US"/>
        </w:rPr>
        <w:t>ers</w:t>
      </w:r>
      <w:r>
        <w:rPr>
          <w:rFonts w:asciiTheme="majorBidi" w:hAnsiTheme="majorBidi" w:cstheme="majorBidi"/>
          <w:sz w:val="24"/>
          <w:szCs w:val="24"/>
          <w:lang w:val="en-US"/>
        </w:rPr>
        <w:t xml:space="preserve"> is examined </w:t>
      </w:r>
      <w:r w:rsidRPr="009F15B7">
        <w:rPr>
          <w:rFonts w:asciiTheme="majorBidi" w:hAnsiTheme="majorBidi" w:cstheme="majorBidi"/>
          <w:sz w:val="24"/>
          <w:szCs w:val="24"/>
          <w:lang w:val="en-US"/>
        </w:rPr>
        <w:t>in column</w:t>
      </w:r>
      <w:r w:rsidR="00280785">
        <w:rPr>
          <w:rFonts w:asciiTheme="majorBidi" w:hAnsiTheme="majorBidi" w:cstheme="majorBidi"/>
          <w:sz w:val="24"/>
          <w:szCs w:val="24"/>
          <w:lang w:val="en-US"/>
        </w:rPr>
        <w:t xml:space="preserve">s (3) and (4) with the interaction terms </w:t>
      </w:r>
      <w:r w:rsidR="00280785" w:rsidRPr="00A14F8C">
        <w:rPr>
          <w:rFonts w:asciiTheme="majorBidi" w:hAnsiTheme="majorBidi" w:cstheme="majorBidi"/>
          <w:position w:val="-12"/>
          <w:sz w:val="24"/>
          <w:szCs w:val="24"/>
          <w:lang w:val="en-US"/>
        </w:rPr>
        <w:object w:dxaOrig="1200" w:dyaOrig="360">
          <v:shape id="_x0000_i1045" type="#_x0000_t75" style="width:60pt;height:18.75pt" o:ole="">
            <v:imagedata r:id="rId40" o:title=""/>
          </v:shape>
          <o:OLEObject Type="Embed" ProgID="Equation.DSMT4" ShapeID="_x0000_i1045" DrawAspect="Content" ObjectID="_1604251460" r:id="rId50"/>
        </w:object>
      </w:r>
      <w:r w:rsidR="00280785">
        <w:rPr>
          <w:rFonts w:asciiTheme="majorBidi" w:hAnsiTheme="majorBidi" w:cstheme="majorBidi"/>
          <w:sz w:val="24"/>
          <w:szCs w:val="24"/>
          <w:lang w:val="en-US"/>
        </w:rPr>
        <w:t xml:space="preserve"> </w:t>
      </w:r>
      <w:r w:rsidR="007638DF">
        <w:rPr>
          <w:rFonts w:asciiTheme="majorBidi" w:hAnsiTheme="majorBidi" w:cstheme="majorBidi"/>
          <w:sz w:val="24"/>
          <w:szCs w:val="24"/>
          <w:lang w:val="en-US"/>
        </w:rPr>
        <w:t>and</w:t>
      </w:r>
      <w:r w:rsidR="00280785" w:rsidRPr="00A14F8C">
        <w:rPr>
          <w:rFonts w:asciiTheme="majorBidi" w:hAnsiTheme="majorBidi" w:cstheme="majorBidi"/>
          <w:position w:val="-12"/>
          <w:sz w:val="24"/>
          <w:szCs w:val="24"/>
          <w:lang w:val="en-US"/>
        </w:rPr>
        <w:object w:dxaOrig="1200" w:dyaOrig="360">
          <v:shape id="_x0000_i1046" type="#_x0000_t75" style="width:60pt;height:18.75pt" o:ole="">
            <v:imagedata r:id="rId42" o:title=""/>
          </v:shape>
          <o:OLEObject Type="Embed" ProgID="Equation.DSMT4" ShapeID="_x0000_i1046" DrawAspect="Content" ObjectID="_1604251461" r:id="rId51"/>
        </w:object>
      </w:r>
      <w:r w:rsidR="00280785">
        <w:rPr>
          <w:rFonts w:asciiTheme="majorBidi" w:hAnsiTheme="majorBidi" w:cstheme="majorBidi"/>
          <w:sz w:val="24"/>
          <w:szCs w:val="24"/>
          <w:lang w:val="en-US"/>
        </w:rPr>
        <w:t xml:space="preserve">. </w:t>
      </w:r>
      <w:r w:rsidR="00A77B47" w:rsidRPr="009F15B7">
        <w:rPr>
          <w:rFonts w:asciiTheme="majorBidi" w:hAnsiTheme="majorBidi" w:cstheme="majorBidi"/>
          <w:sz w:val="24"/>
          <w:szCs w:val="24"/>
          <w:lang w:val="en-US"/>
        </w:rPr>
        <w:t>Coefficients</w:t>
      </w:r>
      <w:r w:rsidR="00AD428F" w:rsidRPr="009F15B7">
        <w:rPr>
          <w:rFonts w:asciiTheme="majorBidi" w:hAnsiTheme="majorBidi" w:cstheme="majorBidi"/>
          <w:sz w:val="24"/>
          <w:szCs w:val="24"/>
          <w:lang w:val="en-US"/>
        </w:rPr>
        <w:t xml:space="preserve"> of </w:t>
      </w:r>
      <w:r w:rsidR="007638DF">
        <w:rPr>
          <w:rFonts w:asciiTheme="majorBidi" w:hAnsiTheme="majorBidi" w:cstheme="majorBidi"/>
          <w:sz w:val="24"/>
          <w:szCs w:val="24"/>
          <w:lang w:val="en-US"/>
        </w:rPr>
        <w:t>the multiplicative</w:t>
      </w:r>
      <w:r w:rsidR="00AD428F" w:rsidRPr="009F15B7">
        <w:rPr>
          <w:rFonts w:asciiTheme="majorBidi" w:hAnsiTheme="majorBidi" w:cstheme="majorBidi"/>
          <w:sz w:val="24"/>
          <w:szCs w:val="24"/>
          <w:lang w:val="en-US"/>
        </w:rPr>
        <w:t xml:space="preserve"> variables</w:t>
      </w:r>
      <w:r w:rsidR="00A14F8C">
        <w:rPr>
          <w:rFonts w:asciiTheme="majorBidi" w:hAnsiTheme="majorBidi" w:cstheme="majorBidi"/>
          <w:sz w:val="24"/>
          <w:szCs w:val="24"/>
          <w:lang w:val="en-US"/>
        </w:rPr>
        <w:t xml:space="preserve"> </w:t>
      </w:r>
      <w:r w:rsidR="00AD428F" w:rsidRPr="009F15B7">
        <w:rPr>
          <w:rFonts w:asciiTheme="majorBidi" w:hAnsiTheme="majorBidi" w:cstheme="majorBidi"/>
          <w:sz w:val="24"/>
          <w:szCs w:val="24"/>
          <w:lang w:val="en-US"/>
        </w:rPr>
        <w:t>a</w:t>
      </w:r>
      <w:r w:rsidR="00EA1B3B" w:rsidRPr="009F15B7">
        <w:rPr>
          <w:rFonts w:asciiTheme="majorBidi" w:hAnsiTheme="majorBidi" w:cstheme="majorBidi"/>
          <w:sz w:val="24"/>
          <w:szCs w:val="24"/>
          <w:lang w:val="en-US"/>
        </w:rPr>
        <w:t>re</w:t>
      </w:r>
      <w:r w:rsidR="00AD428F" w:rsidRPr="009F15B7">
        <w:rPr>
          <w:rFonts w:asciiTheme="majorBidi" w:hAnsiTheme="majorBidi" w:cstheme="majorBidi"/>
          <w:sz w:val="24"/>
          <w:szCs w:val="24"/>
          <w:lang w:val="en-US"/>
        </w:rPr>
        <w:t xml:space="preserve"> </w:t>
      </w:r>
      <w:r w:rsidR="00EA1B3B" w:rsidRPr="009F15B7">
        <w:rPr>
          <w:rFonts w:asciiTheme="majorBidi" w:hAnsiTheme="majorBidi" w:cstheme="majorBidi"/>
          <w:sz w:val="24"/>
          <w:szCs w:val="24"/>
          <w:lang w:val="en-US"/>
        </w:rPr>
        <w:t>negative</w:t>
      </w:r>
      <w:r w:rsidR="00AD428F" w:rsidRPr="009F15B7">
        <w:rPr>
          <w:rFonts w:asciiTheme="majorBidi" w:hAnsiTheme="majorBidi" w:cstheme="majorBidi"/>
          <w:sz w:val="24"/>
          <w:szCs w:val="24"/>
          <w:lang w:val="en-US"/>
        </w:rPr>
        <w:t xml:space="preserve"> and significant</w:t>
      </w:r>
      <w:r>
        <w:rPr>
          <w:rFonts w:asciiTheme="majorBidi" w:hAnsiTheme="majorBidi" w:cstheme="majorBidi"/>
          <w:sz w:val="24"/>
          <w:szCs w:val="24"/>
          <w:lang w:val="en-US"/>
        </w:rPr>
        <w:t xml:space="preserve"> suggesting that the </w:t>
      </w:r>
      <w:r w:rsidRPr="009F15B7">
        <w:rPr>
          <w:rFonts w:asciiTheme="majorBidi" w:hAnsiTheme="majorBidi" w:cstheme="majorBidi"/>
          <w:sz w:val="24"/>
          <w:szCs w:val="24"/>
          <w:lang w:val="en-US"/>
        </w:rPr>
        <w:t>burden</w:t>
      </w:r>
      <w:r>
        <w:rPr>
          <w:rFonts w:asciiTheme="majorBidi" w:hAnsiTheme="majorBidi" w:cstheme="majorBidi"/>
          <w:sz w:val="24"/>
          <w:szCs w:val="24"/>
          <w:lang w:val="en-US"/>
        </w:rPr>
        <w:t xml:space="preserve"> of </w:t>
      </w:r>
      <w:r w:rsidRPr="009F15B7">
        <w:rPr>
          <w:rFonts w:asciiTheme="majorBidi" w:hAnsiTheme="majorBidi" w:cstheme="majorBidi"/>
          <w:sz w:val="24"/>
          <w:szCs w:val="24"/>
          <w:lang w:val="en-US"/>
        </w:rPr>
        <w:t>corporate tax</w:t>
      </w:r>
      <w:r w:rsidRPr="00FA2830">
        <w:rPr>
          <w:rFonts w:asciiTheme="majorBidi" w:hAnsiTheme="majorBidi" w:cstheme="majorBidi"/>
          <w:sz w:val="24"/>
          <w:szCs w:val="24"/>
          <w:lang w:val="en-US"/>
        </w:rPr>
        <w:t xml:space="preserve"> </w:t>
      </w:r>
      <w:r>
        <w:rPr>
          <w:rFonts w:asciiTheme="majorBidi" w:hAnsiTheme="majorBidi" w:cstheme="majorBidi"/>
          <w:sz w:val="24"/>
          <w:szCs w:val="24"/>
          <w:lang w:val="en-US"/>
        </w:rPr>
        <w:t>causes</w:t>
      </w:r>
      <w:r w:rsidRPr="009F15B7">
        <w:rPr>
          <w:rFonts w:asciiTheme="majorBidi" w:hAnsiTheme="majorBidi" w:cstheme="majorBidi"/>
          <w:sz w:val="24"/>
          <w:szCs w:val="24"/>
          <w:lang w:val="en-US"/>
        </w:rPr>
        <w:t xml:space="preserve"> adverse</w:t>
      </w:r>
      <w:r>
        <w:rPr>
          <w:rFonts w:asciiTheme="majorBidi" w:hAnsiTheme="majorBidi" w:cstheme="majorBidi"/>
          <w:sz w:val="24"/>
          <w:szCs w:val="24"/>
          <w:lang w:val="en-US"/>
        </w:rPr>
        <w:t xml:space="preserve"> productivity </w:t>
      </w:r>
      <w:r w:rsidRPr="009F15B7">
        <w:rPr>
          <w:rFonts w:asciiTheme="majorBidi" w:hAnsiTheme="majorBidi" w:cstheme="majorBidi"/>
          <w:sz w:val="24"/>
          <w:szCs w:val="24"/>
          <w:lang w:val="en-US"/>
        </w:rPr>
        <w:t>effect</w:t>
      </w:r>
      <w:r>
        <w:rPr>
          <w:rFonts w:asciiTheme="majorBidi" w:hAnsiTheme="majorBidi" w:cstheme="majorBidi"/>
          <w:sz w:val="24"/>
          <w:szCs w:val="24"/>
          <w:lang w:val="en-US"/>
        </w:rPr>
        <w:t>s in those two</w:t>
      </w:r>
      <w:r w:rsidR="00F12112">
        <w:rPr>
          <w:rFonts w:asciiTheme="majorBidi" w:hAnsiTheme="majorBidi" w:cstheme="majorBidi"/>
          <w:sz w:val="24"/>
          <w:szCs w:val="24"/>
          <w:lang w:val="en-US"/>
        </w:rPr>
        <w:t xml:space="preserve"> groups</w:t>
      </w:r>
      <w:r>
        <w:rPr>
          <w:rFonts w:asciiTheme="majorBidi" w:hAnsiTheme="majorBidi" w:cstheme="majorBidi"/>
          <w:sz w:val="24"/>
          <w:szCs w:val="24"/>
          <w:lang w:val="en-US"/>
        </w:rPr>
        <w:t>.</w:t>
      </w:r>
      <w:r w:rsidR="00AD428F" w:rsidRPr="009F15B7">
        <w:rPr>
          <w:rFonts w:asciiTheme="majorBidi" w:hAnsiTheme="majorBidi" w:cstheme="majorBidi"/>
          <w:sz w:val="24"/>
          <w:szCs w:val="24"/>
          <w:lang w:val="en-US"/>
        </w:rPr>
        <w:t xml:space="preserve"> </w:t>
      </w:r>
      <w:r w:rsidR="00A77B47" w:rsidRPr="009F15B7">
        <w:rPr>
          <w:rFonts w:asciiTheme="majorBidi" w:hAnsiTheme="majorBidi" w:cstheme="majorBidi"/>
          <w:sz w:val="24"/>
          <w:szCs w:val="24"/>
          <w:lang w:val="en-US"/>
        </w:rPr>
        <w:t xml:space="preserve">A further investigation </w:t>
      </w:r>
      <w:r w:rsidR="007638DF">
        <w:rPr>
          <w:rFonts w:asciiTheme="majorBidi" w:hAnsiTheme="majorBidi" w:cstheme="majorBidi"/>
          <w:sz w:val="24"/>
          <w:szCs w:val="24"/>
          <w:lang w:val="en-US"/>
        </w:rPr>
        <w:t>is undertaken with</w:t>
      </w:r>
      <w:r w:rsidR="00EA1B3B" w:rsidRPr="009F15B7">
        <w:rPr>
          <w:rFonts w:asciiTheme="majorBidi" w:hAnsiTheme="majorBidi" w:cstheme="majorBidi"/>
          <w:sz w:val="24"/>
          <w:szCs w:val="24"/>
          <w:lang w:val="en-US"/>
        </w:rPr>
        <w:t xml:space="preserve"> a</w:t>
      </w:r>
      <w:r w:rsidR="00AD428F" w:rsidRPr="009F15B7">
        <w:rPr>
          <w:rFonts w:asciiTheme="majorBidi" w:hAnsiTheme="majorBidi" w:cstheme="majorBidi"/>
          <w:sz w:val="24"/>
          <w:szCs w:val="24"/>
          <w:lang w:val="en-US"/>
        </w:rPr>
        <w:t xml:space="preserve"> triple </w:t>
      </w:r>
      <w:r w:rsidR="00EA1B3B" w:rsidRPr="009F15B7">
        <w:rPr>
          <w:rFonts w:asciiTheme="majorBidi" w:hAnsiTheme="majorBidi" w:cstheme="majorBidi"/>
          <w:sz w:val="24"/>
          <w:szCs w:val="24"/>
          <w:lang w:val="en-US"/>
        </w:rPr>
        <w:t>interaction</w:t>
      </w:r>
      <w:r w:rsidR="00AD428F" w:rsidRPr="009F15B7">
        <w:rPr>
          <w:rFonts w:asciiTheme="majorBidi" w:hAnsiTheme="majorBidi" w:cstheme="majorBidi"/>
          <w:sz w:val="24"/>
          <w:szCs w:val="24"/>
          <w:lang w:val="en-US"/>
        </w:rPr>
        <w:t xml:space="preserve"> term </w:t>
      </w:r>
      <w:r w:rsidR="00AC3032">
        <w:rPr>
          <w:rFonts w:asciiTheme="majorBidi" w:hAnsiTheme="majorBidi" w:cstheme="majorBidi"/>
          <w:sz w:val="24"/>
          <w:szCs w:val="24"/>
          <w:lang w:val="en-US"/>
        </w:rPr>
        <w:t>to test whether</w:t>
      </w:r>
      <w:r w:rsidR="00AC3032" w:rsidRPr="00AC3032">
        <w:rPr>
          <w:rFonts w:asciiTheme="majorBidi" w:hAnsiTheme="majorBidi" w:cstheme="majorBidi"/>
          <w:sz w:val="24"/>
          <w:szCs w:val="24"/>
          <w:lang w:val="en-US"/>
        </w:rPr>
        <w:t xml:space="preserve"> </w:t>
      </w:r>
      <w:r w:rsidR="00AC3032">
        <w:rPr>
          <w:rFonts w:asciiTheme="majorBidi" w:hAnsiTheme="majorBidi" w:cstheme="majorBidi"/>
          <w:sz w:val="24"/>
          <w:szCs w:val="24"/>
          <w:lang w:val="en-US"/>
        </w:rPr>
        <w:t>innovators and exporters grow faster</w:t>
      </w:r>
      <w:r w:rsidR="00AC3032" w:rsidRPr="009F15B7">
        <w:rPr>
          <w:rFonts w:asciiTheme="majorBidi" w:hAnsiTheme="majorBidi" w:cstheme="majorBidi"/>
          <w:sz w:val="24"/>
          <w:szCs w:val="24"/>
          <w:lang w:val="en-US"/>
        </w:rPr>
        <w:t xml:space="preserve"> </w:t>
      </w:r>
      <w:r w:rsidR="00AC3032">
        <w:rPr>
          <w:rFonts w:asciiTheme="majorBidi" w:hAnsiTheme="majorBidi" w:cstheme="majorBidi"/>
          <w:sz w:val="24"/>
          <w:szCs w:val="24"/>
          <w:lang w:val="en-US"/>
        </w:rPr>
        <w:t xml:space="preserve">compared to non-innovators and non-exporters, conditional </w:t>
      </w:r>
      <w:r w:rsidR="00A05869">
        <w:rPr>
          <w:rFonts w:asciiTheme="majorBidi" w:hAnsiTheme="majorBidi" w:cstheme="majorBidi"/>
          <w:sz w:val="24"/>
          <w:szCs w:val="24"/>
          <w:lang w:val="en-US"/>
        </w:rPr>
        <w:t>on</w:t>
      </w:r>
      <w:r w:rsidR="00AC3032">
        <w:rPr>
          <w:rFonts w:asciiTheme="majorBidi" w:hAnsiTheme="majorBidi" w:cstheme="majorBidi"/>
          <w:sz w:val="24"/>
          <w:szCs w:val="24"/>
          <w:lang w:val="en-US"/>
        </w:rPr>
        <w:t xml:space="preserve"> the distance </w:t>
      </w:r>
      <w:r w:rsidR="004649E8">
        <w:rPr>
          <w:rFonts w:asciiTheme="majorBidi" w:hAnsiTheme="majorBidi" w:cstheme="majorBidi"/>
          <w:sz w:val="24"/>
          <w:szCs w:val="24"/>
          <w:lang w:val="en-US"/>
        </w:rPr>
        <w:t>from</w:t>
      </w:r>
      <w:r w:rsidR="00AC3032">
        <w:rPr>
          <w:rFonts w:asciiTheme="majorBidi" w:hAnsiTheme="majorBidi" w:cstheme="majorBidi"/>
          <w:sz w:val="24"/>
          <w:szCs w:val="24"/>
          <w:lang w:val="en-US"/>
        </w:rPr>
        <w:t xml:space="preserve"> the frontier and the level of tax liability.</w:t>
      </w:r>
      <w:r w:rsidR="004649E8">
        <w:rPr>
          <w:rFonts w:asciiTheme="majorBidi" w:hAnsiTheme="majorBidi" w:cstheme="majorBidi"/>
          <w:sz w:val="24"/>
          <w:szCs w:val="24"/>
          <w:lang w:val="en-US"/>
        </w:rPr>
        <w:t xml:space="preserve"> </w:t>
      </w:r>
      <w:r w:rsidRPr="009F15B7">
        <w:rPr>
          <w:rFonts w:asciiTheme="majorBidi" w:hAnsiTheme="majorBidi" w:cstheme="majorBidi"/>
          <w:sz w:val="24"/>
          <w:szCs w:val="24"/>
          <w:lang w:val="en-US"/>
        </w:rPr>
        <w:t>Results</w:t>
      </w:r>
      <w:r>
        <w:rPr>
          <w:rFonts w:asciiTheme="majorBidi" w:hAnsiTheme="majorBidi" w:cstheme="majorBidi"/>
          <w:sz w:val="24"/>
          <w:szCs w:val="24"/>
          <w:lang w:val="en-US"/>
        </w:rPr>
        <w:t xml:space="preserve"> </w:t>
      </w:r>
      <w:r w:rsidR="00F12112">
        <w:rPr>
          <w:rFonts w:asciiTheme="majorBidi" w:hAnsiTheme="majorBidi" w:cstheme="majorBidi"/>
          <w:sz w:val="24"/>
          <w:szCs w:val="24"/>
          <w:lang w:val="en-US"/>
        </w:rPr>
        <w:t xml:space="preserve">are </w:t>
      </w:r>
      <w:r w:rsidR="004649E8">
        <w:rPr>
          <w:rFonts w:asciiTheme="majorBidi" w:hAnsiTheme="majorBidi" w:cstheme="majorBidi"/>
          <w:sz w:val="24"/>
          <w:szCs w:val="24"/>
          <w:lang w:val="en-US"/>
        </w:rPr>
        <w:t>shown in columns (5) and (6)</w:t>
      </w:r>
      <w:r w:rsidR="00F12112">
        <w:rPr>
          <w:rFonts w:asciiTheme="majorBidi" w:hAnsiTheme="majorBidi" w:cstheme="majorBidi"/>
          <w:sz w:val="24"/>
          <w:szCs w:val="24"/>
          <w:lang w:val="en-US"/>
        </w:rPr>
        <w:t xml:space="preserve"> </w:t>
      </w:r>
      <w:r w:rsidR="00AC3032">
        <w:rPr>
          <w:rFonts w:ascii="Times New Roman" w:hAnsi="Times New Roman"/>
          <w:sz w:val="24"/>
          <w:szCs w:val="24"/>
          <w:lang w:val="en-US"/>
        </w:rPr>
        <w:t>signify</w:t>
      </w:r>
      <w:r>
        <w:rPr>
          <w:rFonts w:ascii="Times New Roman" w:hAnsi="Times New Roman"/>
          <w:sz w:val="24"/>
          <w:szCs w:val="24"/>
          <w:lang w:val="en-US"/>
        </w:rPr>
        <w:t>ing</w:t>
      </w:r>
      <w:r w:rsidR="00AC3032">
        <w:rPr>
          <w:rFonts w:ascii="Times New Roman" w:hAnsi="Times New Roman"/>
          <w:sz w:val="24"/>
          <w:szCs w:val="24"/>
          <w:lang w:val="en-US"/>
        </w:rPr>
        <w:t xml:space="preserve"> </w:t>
      </w:r>
      <w:r w:rsidR="00F12112">
        <w:rPr>
          <w:rFonts w:ascii="Times New Roman" w:hAnsi="Times New Roman"/>
          <w:sz w:val="24"/>
          <w:szCs w:val="24"/>
          <w:lang w:val="en-US"/>
        </w:rPr>
        <w:t xml:space="preserve">that innovators and exporters </w:t>
      </w:r>
      <w:r>
        <w:rPr>
          <w:rFonts w:ascii="Times New Roman" w:hAnsi="Times New Roman"/>
          <w:sz w:val="24"/>
          <w:szCs w:val="24"/>
          <w:lang w:val="en-US"/>
        </w:rPr>
        <w:t xml:space="preserve">typically maintain higher </w:t>
      </w:r>
      <w:r w:rsidR="00AC3032">
        <w:rPr>
          <w:rFonts w:ascii="Times New Roman" w:hAnsi="Times New Roman"/>
          <w:sz w:val="24"/>
          <w:szCs w:val="24"/>
          <w:lang w:val="en-US"/>
        </w:rPr>
        <w:t>absorptive capacity</w:t>
      </w:r>
      <w:r w:rsidR="00E83163">
        <w:rPr>
          <w:rFonts w:ascii="Times New Roman" w:hAnsi="Times New Roman"/>
          <w:sz w:val="24"/>
          <w:szCs w:val="24"/>
          <w:lang w:val="en-US"/>
        </w:rPr>
        <w:t xml:space="preserve"> </w:t>
      </w:r>
      <w:r w:rsidR="007E2BA1">
        <w:rPr>
          <w:rFonts w:ascii="Times New Roman" w:hAnsi="Times New Roman"/>
          <w:sz w:val="24"/>
          <w:szCs w:val="24"/>
          <w:lang w:val="en-US"/>
        </w:rPr>
        <w:t>clos</w:t>
      </w:r>
      <w:r w:rsidR="00F12112">
        <w:rPr>
          <w:rFonts w:ascii="Times New Roman" w:hAnsi="Times New Roman"/>
          <w:sz w:val="24"/>
          <w:szCs w:val="24"/>
          <w:lang w:val="en-US"/>
        </w:rPr>
        <w:t>ing</w:t>
      </w:r>
      <w:r w:rsidR="00AC3032">
        <w:rPr>
          <w:rFonts w:ascii="Times New Roman" w:hAnsi="Times New Roman"/>
          <w:sz w:val="24"/>
          <w:szCs w:val="24"/>
          <w:lang w:val="en-US"/>
        </w:rPr>
        <w:t xml:space="preserve"> </w:t>
      </w:r>
      <w:r w:rsidR="007E2BA1">
        <w:rPr>
          <w:rFonts w:ascii="Times New Roman" w:hAnsi="Times New Roman"/>
          <w:sz w:val="24"/>
          <w:szCs w:val="24"/>
          <w:lang w:val="en-US"/>
        </w:rPr>
        <w:t xml:space="preserve">the </w:t>
      </w:r>
      <w:r w:rsidR="00053A9A">
        <w:rPr>
          <w:rFonts w:ascii="Times New Roman" w:hAnsi="Times New Roman"/>
          <w:sz w:val="24"/>
          <w:szCs w:val="24"/>
          <w:lang w:val="en-US"/>
        </w:rPr>
        <w:t>productivity</w:t>
      </w:r>
      <w:r w:rsidR="007E2BA1">
        <w:rPr>
          <w:rFonts w:ascii="Times New Roman" w:hAnsi="Times New Roman"/>
          <w:sz w:val="24"/>
          <w:szCs w:val="24"/>
          <w:lang w:val="en-US"/>
        </w:rPr>
        <w:t xml:space="preserve"> gap</w:t>
      </w:r>
      <w:r w:rsidR="00053A9A">
        <w:rPr>
          <w:rFonts w:ascii="Times New Roman" w:hAnsi="Times New Roman"/>
          <w:sz w:val="24"/>
          <w:szCs w:val="24"/>
          <w:lang w:val="en-US"/>
        </w:rPr>
        <w:t xml:space="preserve"> </w:t>
      </w:r>
      <w:r w:rsidR="00AC3032">
        <w:rPr>
          <w:rFonts w:ascii="Times New Roman" w:hAnsi="Times New Roman"/>
          <w:sz w:val="24"/>
          <w:szCs w:val="24"/>
          <w:lang w:val="en-US"/>
        </w:rPr>
        <w:t>faster</w:t>
      </w:r>
      <w:r w:rsidR="004649E8">
        <w:rPr>
          <w:rFonts w:ascii="Times New Roman" w:hAnsi="Times New Roman"/>
          <w:sz w:val="24"/>
          <w:szCs w:val="24"/>
          <w:lang w:val="en-US"/>
        </w:rPr>
        <w:t xml:space="preserve"> with the speed of this process </w:t>
      </w:r>
      <w:r w:rsidR="00C31199">
        <w:rPr>
          <w:rFonts w:ascii="Times New Roman" w:hAnsi="Times New Roman"/>
          <w:sz w:val="24"/>
          <w:szCs w:val="24"/>
          <w:lang w:val="en-US"/>
        </w:rPr>
        <w:t xml:space="preserve">to </w:t>
      </w:r>
      <w:r w:rsidR="00F12112">
        <w:rPr>
          <w:rFonts w:ascii="Times New Roman" w:hAnsi="Times New Roman"/>
          <w:sz w:val="24"/>
          <w:szCs w:val="24"/>
          <w:lang w:val="en-US"/>
        </w:rPr>
        <w:t>depend</w:t>
      </w:r>
      <w:r w:rsidR="007C079D">
        <w:rPr>
          <w:rFonts w:ascii="Times New Roman" w:hAnsi="Times New Roman"/>
          <w:sz w:val="24"/>
          <w:szCs w:val="24"/>
          <w:lang w:val="en-US"/>
        </w:rPr>
        <w:t xml:space="preserve"> </w:t>
      </w:r>
      <w:r w:rsidR="00053A9A">
        <w:rPr>
          <w:rFonts w:ascii="Times New Roman" w:hAnsi="Times New Roman"/>
          <w:sz w:val="24"/>
          <w:szCs w:val="24"/>
          <w:lang w:val="en-US"/>
        </w:rPr>
        <w:t xml:space="preserve">on the level of corporate tax liability. </w:t>
      </w:r>
    </w:p>
    <w:p w:rsidR="00822CC3" w:rsidRDefault="00E22B14" w:rsidP="006A52B9">
      <w:pPr>
        <w:ind w:firstLine="425"/>
        <w:rPr>
          <w:lang w:val="en-US"/>
        </w:rPr>
      </w:pPr>
      <w:r>
        <w:rPr>
          <w:rFonts w:asciiTheme="majorBidi" w:hAnsiTheme="majorBidi" w:cstheme="majorBidi"/>
          <w:sz w:val="24"/>
          <w:szCs w:val="24"/>
          <w:lang w:val="en-US"/>
        </w:rPr>
        <w:t xml:space="preserve">OLS estimates </w:t>
      </w:r>
      <w:r w:rsidR="007638DF">
        <w:rPr>
          <w:rFonts w:asciiTheme="majorBidi" w:hAnsiTheme="majorBidi" w:cstheme="majorBidi"/>
          <w:sz w:val="24"/>
          <w:szCs w:val="24"/>
          <w:lang w:val="en-US"/>
        </w:rPr>
        <w:t>for</w:t>
      </w:r>
      <w:r>
        <w:rPr>
          <w:rFonts w:asciiTheme="majorBidi" w:hAnsiTheme="majorBidi" w:cstheme="majorBidi"/>
          <w:sz w:val="24"/>
          <w:szCs w:val="24"/>
          <w:lang w:val="en-US"/>
        </w:rPr>
        <w:t xml:space="preserve"> [3.2] and [3.3]</w:t>
      </w:r>
      <w:r w:rsidR="00A77B47" w:rsidRPr="008F7B86">
        <w:rPr>
          <w:rFonts w:asciiTheme="majorBidi" w:hAnsiTheme="majorBidi" w:cstheme="majorBidi"/>
          <w:sz w:val="24"/>
          <w:szCs w:val="24"/>
          <w:lang w:val="en-US"/>
        </w:rPr>
        <w:t xml:space="preserve"> </w:t>
      </w:r>
      <w:r>
        <w:rPr>
          <w:rFonts w:asciiTheme="majorBidi" w:hAnsiTheme="majorBidi" w:cstheme="majorBidi"/>
          <w:sz w:val="24"/>
          <w:szCs w:val="24"/>
          <w:lang w:val="en-US"/>
        </w:rPr>
        <w:t>are</w:t>
      </w:r>
      <w:r w:rsidR="00617D61" w:rsidRPr="008F7B86">
        <w:rPr>
          <w:rFonts w:asciiTheme="majorBidi" w:hAnsiTheme="majorBidi" w:cstheme="majorBidi"/>
          <w:sz w:val="24"/>
          <w:szCs w:val="24"/>
          <w:lang w:val="en-US"/>
        </w:rPr>
        <w:t xml:space="preserve"> </w:t>
      </w:r>
      <w:r w:rsidR="00EA1B3B" w:rsidRPr="008F7B86">
        <w:rPr>
          <w:rFonts w:asciiTheme="majorBidi" w:hAnsiTheme="majorBidi" w:cstheme="majorBidi"/>
          <w:sz w:val="24"/>
          <w:szCs w:val="24"/>
          <w:lang w:val="en-US"/>
        </w:rPr>
        <w:t>support</w:t>
      </w:r>
      <w:r w:rsidR="00617D61" w:rsidRPr="008F7B86">
        <w:rPr>
          <w:rFonts w:asciiTheme="majorBidi" w:hAnsiTheme="majorBidi" w:cstheme="majorBidi"/>
          <w:sz w:val="24"/>
          <w:szCs w:val="24"/>
          <w:lang w:val="en-US"/>
        </w:rPr>
        <w:t xml:space="preserve">ive </w:t>
      </w:r>
      <w:r w:rsidR="005F2A89">
        <w:rPr>
          <w:rFonts w:asciiTheme="majorBidi" w:hAnsiTheme="majorBidi" w:cstheme="majorBidi"/>
          <w:sz w:val="24"/>
          <w:szCs w:val="24"/>
          <w:lang w:val="en-US"/>
        </w:rPr>
        <w:t>of</w:t>
      </w:r>
      <w:r w:rsidR="006B0480">
        <w:rPr>
          <w:rFonts w:asciiTheme="majorBidi" w:hAnsiTheme="majorBidi" w:cstheme="majorBidi"/>
          <w:sz w:val="24"/>
          <w:szCs w:val="24"/>
          <w:lang w:val="en-US"/>
        </w:rPr>
        <w:t xml:space="preserve"> </w:t>
      </w:r>
      <w:r w:rsidR="005F2A89">
        <w:rPr>
          <w:rFonts w:asciiTheme="majorBidi" w:hAnsiTheme="majorBidi" w:cstheme="majorBidi"/>
          <w:sz w:val="24"/>
          <w:szCs w:val="24"/>
          <w:lang w:val="en-US"/>
        </w:rPr>
        <w:t>the</w:t>
      </w:r>
      <w:r>
        <w:rPr>
          <w:rFonts w:asciiTheme="majorBidi" w:hAnsiTheme="majorBidi" w:cstheme="majorBidi"/>
          <w:sz w:val="24"/>
          <w:szCs w:val="24"/>
          <w:lang w:val="en-US"/>
        </w:rPr>
        <w:t xml:space="preserve"> </w:t>
      </w:r>
      <w:r w:rsidR="00617D61" w:rsidRPr="008F7B86">
        <w:rPr>
          <w:rFonts w:asciiTheme="majorBidi" w:hAnsiTheme="majorBidi" w:cstheme="majorBidi"/>
          <w:sz w:val="24"/>
          <w:szCs w:val="24"/>
          <w:lang w:val="en-US"/>
        </w:rPr>
        <w:t>initial hypothes</w:t>
      </w:r>
      <w:r w:rsidR="006B0480">
        <w:rPr>
          <w:rFonts w:asciiTheme="majorBidi" w:hAnsiTheme="majorBidi" w:cstheme="majorBidi"/>
          <w:sz w:val="24"/>
          <w:szCs w:val="24"/>
          <w:lang w:val="en-US"/>
        </w:rPr>
        <w:t>e</w:t>
      </w:r>
      <w:r w:rsidR="00A77B47" w:rsidRPr="008F7B86">
        <w:rPr>
          <w:rFonts w:asciiTheme="majorBidi" w:hAnsiTheme="majorBidi" w:cstheme="majorBidi"/>
          <w:sz w:val="24"/>
          <w:szCs w:val="24"/>
          <w:lang w:val="en-US"/>
        </w:rPr>
        <w:t>s</w:t>
      </w:r>
      <w:r>
        <w:rPr>
          <w:rFonts w:asciiTheme="majorBidi" w:hAnsiTheme="majorBidi" w:cstheme="majorBidi"/>
          <w:sz w:val="24"/>
          <w:szCs w:val="24"/>
          <w:lang w:val="en-US"/>
        </w:rPr>
        <w:t xml:space="preserve"> that </w:t>
      </w:r>
      <w:r w:rsidR="00B06D95" w:rsidRPr="008F7B86">
        <w:rPr>
          <w:rFonts w:asciiTheme="majorBidi" w:hAnsiTheme="majorBidi" w:cstheme="majorBidi"/>
          <w:sz w:val="24"/>
          <w:szCs w:val="24"/>
          <w:lang w:val="en-GB"/>
        </w:rPr>
        <w:t xml:space="preserve">higher tax liability </w:t>
      </w:r>
      <w:r>
        <w:rPr>
          <w:rFonts w:asciiTheme="majorBidi" w:hAnsiTheme="majorBidi" w:cstheme="majorBidi"/>
          <w:sz w:val="24"/>
          <w:szCs w:val="24"/>
          <w:lang w:val="en-GB"/>
        </w:rPr>
        <w:t>reduces</w:t>
      </w:r>
      <w:r w:rsidRPr="008F7B86">
        <w:rPr>
          <w:rFonts w:asciiTheme="majorBidi" w:hAnsiTheme="majorBidi" w:cstheme="majorBidi"/>
          <w:sz w:val="24"/>
          <w:szCs w:val="24"/>
          <w:lang w:val="en-GB"/>
        </w:rPr>
        <w:t xml:space="preserve"> the amount of working capital</w:t>
      </w:r>
      <w:r>
        <w:rPr>
          <w:rFonts w:asciiTheme="majorBidi" w:hAnsiTheme="majorBidi" w:cstheme="majorBidi"/>
          <w:sz w:val="24"/>
          <w:szCs w:val="24"/>
          <w:lang w:val="en-GB"/>
        </w:rPr>
        <w:t xml:space="preserve"> weakening a firm’s position to invest in productivity enhancement assets</w:t>
      </w:r>
      <w:r w:rsidR="00DB36FB" w:rsidRPr="008F7B86">
        <w:rPr>
          <w:rStyle w:val="FootnoteReference"/>
          <w:rFonts w:asciiTheme="majorBidi" w:hAnsiTheme="majorBidi" w:cstheme="majorBidi"/>
          <w:sz w:val="24"/>
          <w:szCs w:val="24"/>
          <w:lang w:val="en-US"/>
        </w:rPr>
        <w:footnoteReference w:id="14"/>
      </w:r>
      <w:r>
        <w:rPr>
          <w:rFonts w:asciiTheme="majorBidi" w:hAnsiTheme="majorBidi" w:cstheme="majorBidi"/>
          <w:sz w:val="24"/>
          <w:szCs w:val="24"/>
          <w:lang w:val="en-GB"/>
        </w:rPr>
        <w:t xml:space="preserve"> and </w:t>
      </w:r>
      <w:r w:rsidR="00DB36FB">
        <w:rPr>
          <w:rFonts w:asciiTheme="majorBidi" w:hAnsiTheme="majorBidi" w:cstheme="majorBidi"/>
          <w:sz w:val="24"/>
          <w:szCs w:val="24"/>
          <w:lang w:val="en-GB"/>
        </w:rPr>
        <w:t xml:space="preserve">the distortive effect of </w:t>
      </w:r>
      <w:r w:rsidR="00DB36FB" w:rsidRPr="008F7B86">
        <w:rPr>
          <w:rFonts w:asciiTheme="majorBidi" w:hAnsiTheme="majorBidi" w:cstheme="majorBidi"/>
          <w:sz w:val="24"/>
          <w:szCs w:val="24"/>
          <w:lang w:val="en-US"/>
        </w:rPr>
        <w:t>corporate tax</w:t>
      </w:r>
      <w:r w:rsidR="00DB36FB" w:rsidRPr="00DB36FB">
        <w:rPr>
          <w:rFonts w:asciiTheme="majorBidi" w:hAnsiTheme="majorBidi" w:cstheme="majorBidi"/>
          <w:sz w:val="24"/>
          <w:szCs w:val="24"/>
          <w:lang w:val="en-US"/>
        </w:rPr>
        <w:t xml:space="preserve"> </w:t>
      </w:r>
      <w:r w:rsidR="00DB36FB">
        <w:rPr>
          <w:rFonts w:asciiTheme="majorBidi" w:hAnsiTheme="majorBidi" w:cstheme="majorBidi"/>
          <w:sz w:val="24"/>
          <w:szCs w:val="24"/>
          <w:lang w:val="en-US"/>
        </w:rPr>
        <w:t xml:space="preserve">is disproportionately higher </w:t>
      </w:r>
      <w:r w:rsidR="00A05869">
        <w:rPr>
          <w:rFonts w:asciiTheme="majorBidi" w:hAnsiTheme="majorBidi" w:cstheme="majorBidi"/>
          <w:sz w:val="24"/>
          <w:szCs w:val="24"/>
          <w:lang w:val="en-US"/>
        </w:rPr>
        <w:t>on</w:t>
      </w:r>
      <w:r w:rsidR="00DB36FB" w:rsidRPr="008F7B86">
        <w:rPr>
          <w:rFonts w:asciiTheme="majorBidi" w:hAnsiTheme="majorBidi" w:cstheme="majorBidi"/>
          <w:sz w:val="24"/>
          <w:szCs w:val="24"/>
          <w:lang w:val="en-US"/>
        </w:rPr>
        <w:t xml:space="preserve"> </w:t>
      </w:r>
      <w:r w:rsidR="00DB36FB">
        <w:rPr>
          <w:rFonts w:asciiTheme="majorBidi" w:hAnsiTheme="majorBidi" w:cstheme="majorBidi"/>
          <w:sz w:val="24"/>
          <w:szCs w:val="24"/>
          <w:lang w:val="en-GB"/>
        </w:rPr>
        <w:t>firms that invest in R&amp;D and export activities.</w:t>
      </w:r>
      <w:r w:rsidR="007B7615" w:rsidRPr="007B7615">
        <w:rPr>
          <w:rFonts w:asciiTheme="majorBidi" w:hAnsiTheme="majorBidi" w:cstheme="majorBidi"/>
          <w:sz w:val="24"/>
          <w:szCs w:val="24"/>
          <w:lang w:val="en-US"/>
        </w:rPr>
        <w:t xml:space="preserve"> </w:t>
      </w:r>
      <w:r w:rsidR="007B7615">
        <w:rPr>
          <w:rFonts w:asciiTheme="majorBidi" w:hAnsiTheme="majorBidi" w:cstheme="majorBidi"/>
          <w:sz w:val="24"/>
          <w:szCs w:val="24"/>
          <w:lang w:val="en-US"/>
        </w:rPr>
        <w:t>Firms that undertake e</w:t>
      </w:r>
      <w:r w:rsidR="007B7615" w:rsidRPr="008F7B86">
        <w:rPr>
          <w:rFonts w:asciiTheme="majorBidi" w:hAnsiTheme="majorBidi" w:cstheme="majorBidi"/>
          <w:sz w:val="24"/>
          <w:szCs w:val="24"/>
          <w:lang w:val="en-US"/>
        </w:rPr>
        <w:t>fficiency enhancing activities</w:t>
      </w:r>
      <w:r w:rsidR="007B7615">
        <w:rPr>
          <w:rFonts w:asciiTheme="majorBidi" w:hAnsiTheme="majorBidi" w:cstheme="majorBidi"/>
          <w:sz w:val="24"/>
          <w:szCs w:val="24"/>
          <w:lang w:val="en-US"/>
        </w:rPr>
        <w:t xml:space="preserve"> such as innovation and international market expansion encounter various uncertainties</w:t>
      </w:r>
      <w:r w:rsidR="007638DF">
        <w:rPr>
          <w:rFonts w:asciiTheme="majorBidi" w:hAnsiTheme="majorBidi" w:cstheme="majorBidi"/>
          <w:sz w:val="24"/>
          <w:szCs w:val="24"/>
          <w:lang w:val="en-US"/>
        </w:rPr>
        <w:t xml:space="preserve"> </w:t>
      </w:r>
      <w:r w:rsidR="00A05869">
        <w:rPr>
          <w:rFonts w:asciiTheme="majorBidi" w:hAnsiTheme="majorBidi" w:cstheme="majorBidi"/>
          <w:sz w:val="24"/>
          <w:szCs w:val="24"/>
          <w:lang w:val="en-US"/>
        </w:rPr>
        <w:t>that require</w:t>
      </w:r>
      <w:r w:rsidR="007B7615">
        <w:rPr>
          <w:rFonts w:asciiTheme="majorBidi" w:hAnsiTheme="majorBidi" w:cstheme="majorBidi"/>
          <w:sz w:val="24"/>
          <w:szCs w:val="24"/>
          <w:lang w:val="en-US"/>
        </w:rPr>
        <w:t xml:space="preserve"> high</w:t>
      </w:r>
      <w:r w:rsidR="00A05869">
        <w:rPr>
          <w:rFonts w:asciiTheme="majorBidi" w:hAnsiTheme="majorBidi" w:cstheme="majorBidi"/>
          <w:sz w:val="24"/>
          <w:szCs w:val="24"/>
          <w:lang w:val="en-US"/>
        </w:rPr>
        <w:t>er</w:t>
      </w:r>
      <w:r w:rsidR="007B7615">
        <w:rPr>
          <w:rFonts w:asciiTheme="majorBidi" w:hAnsiTheme="majorBidi" w:cstheme="majorBidi"/>
          <w:sz w:val="24"/>
          <w:szCs w:val="24"/>
          <w:lang w:val="en-US"/>
        </w:rPr>
        <w:t xml:space="preserve"> levels of </w:t>
      </w:r>
      <w:r w:rsidR="007B7615" w:rsidRPr="008F7B86">
        <w:rPr>
          <w:rFonts w:asciiTheme="majorBidi" w:hAnsiTheme="majorBidi" w:cstheme="majorBidi"/>
          <w:sz w:val="24"/>
          <w:szCs w:val="24"/>
          <w:lang w:val="en-US"/>
        </w:rPr>
        <w:t>working capital</w:t>
      </w:r>
      <w:r w:rsidR="007B7615">
        <w:rPr>
          <w:rFonts w:asciiTheme="majorBidi" w:hAnsiTheme="majorBidi" w:cstheme="majorBidi"/>
          <w:sz w:val="24"/>
          <w:szCs w:val="24"/>
          <w:lang w:val="en-US"/>
        </w:rPr>
        <w:t xml:space="preserve"> as a </w:t>
      </w:r>
      <w:r w:rsidR="007638DF">
        <w:rPr>
          <w:rFonts w:asciiTheme="majorBidi" w:hAnsiTheme="majorBidi" w:cstheme="majorBidi"/>
          <w:sz w:val="24"/>
          <w:szCs w:val="24"/>
          <w:lang w:val="en-US"/>
        </w:rPr>
        <w:lastRenderedPageBreak/>
        <w:t>counterweight for likely short-</w:t>
      </w:r>
      <w:r w:rsidR="007B7615">
        <w:rPr>
          <w:rFonts w:asciiTheme="majorBidi" w:hAnsiTheme="majorBidi" w:cstheme="majorBidi"/>
          <w:sz w:val="24"/>
          <w:szCs w:val="24"/>
          <w:lang w:val="en-US"/>
        </w:rPr>
        <w:t xml:space="preserve">term losses. Working capital is the main collateral that firms </w:t>
      </w:r>
      <w:r w:rsidR="007B7615" w:rsidRPr="00E6707C">
        <w:rPr>
          <w:rFonts w:asciiTheme="majorBidi" w:hAnsiTheme="majorBidi" w:cstheme="majorBidi"/>
          <w:sz w:val="24"/>
          <w:szCs w:val="24"/>
          <w:lang w:val="en-US"/>
        </w:rPr>
        <w:t>can use for obtaining external funding and continue business activities. The use of triple interaction terms [</w:t>
      </w:r>
      <w:r w:rsidR="007B7615" w:rsidRPr="007638DF">
        <w:rPr>
          <w:rFonts w:asciiTheme="majorBidi" w:hAnsiTheme="majorBidi" w:cstheme="majorBidi"/>
          <w:i/>
          <w:sz w:val="24"/>
          <w:szCs w:val="24"/>
          <w:lang w:val="en-US"/>
        </w:rPr>
        <w:t>GAP</w:t>
      </w:r>
      <w:r w:rsidR="007638DF" w:rsidRPr="007638DF">
        <w:rPr>
          <w:rFonts w:asciiTheme="majorBidi" w:hAnsiTheme="majorBidi" w:cstheme="majorBidi"/>
          <w:i/>
          <w:sz w:val="24"/>
          <w:szCs w:val="24"/>
          <w:vertAlign w:val="subscript"/>
          <w:lang w:val="en-US"/>
        </w:rPr>
        <w:t>i</w:t>
      </w:r>
      <w:r w:rsidR="007638DF">
        <w:rPr>
          <w:rFonts w:asciiTheme="majorBidi" w:hAnsiTheme="majorBidi" w:cstheme="majorBidi"/>
          <w:i/>
          <w:sz w:val="24"/>
          <w:szCs w:val="24"/>
          <w:vertAlign w:val="subscript"/>
          <w:lang w:val="en-US"/>
        </w:rPr>
        <w:t>t-1</w:t>
      </w:r>
      <w:r w:rsidR="007B7615" w:rsidRPr="00E6707C">
        <w:rPr>
          <w:rFonts w:asciiTheme="majorBidi" w:hAnsiTheme="majorBidi" w:cstheme="majorBidi"/>
          <w:sz w:val="24"/>
          <w:szCs w:val="24"/>
          <w:lang w:val="en-US"/>
        </w:rPr>
        <w:t>×</w:t>
      </w:r>
      <w:r w:rsidR="007B7615" w:rsidRPr="00D5186E">
        <w:rPr>
          <w:rFonts w:asciiTheme="majorBidi" w:hAnsiTheme="majorBidi" w:cstheme="majorBidi"/>
          <w:i/>
          <w:sz w:val="24"/>
          <w:szCs w:val="24"/>
          <w:lang w:val="en-US"/>
        </w:rPr>
        <w:t>Tax</w:t>
      </w:r>
      <w:r w:rsidR="007638DF">
        <w:rPr>
          <w:rFonts w:asciiTheme="majorBidi" w:hAnsiTheme="majorBidi" w:cstheme="majorBidi"/>
          <w:i/>
          <w:sz w:val="24"/>
          <w:szCs w:val="24"/>
          <w:vertAlign w:val="subscript"/>
          <w:lang w:val="en-US"/>
        </w:rPr>
        <w:t>it-1</w:t>
      </w:r>
      <w:r w:rsidR="007B7615" w:rsidRPr="00E6707C">
        <w:rPr>
          <w:rFonts w:asciiTheme="majorBidi" w:hAnsiTheme="majorBidi" w:cstheme="majorBidi"/>
          <w:sz w:val="24"/>
          <w:szCs w:val="24"/>
          <w:lang w:val="en-US"/>
        </w:rPr>
        <w:t>×</w:t>
      </w:r>
      <w:r w:rsidR="007B7615" w:rsidRPr="00D5186E">
        <w:rPr>
          <w:rFonts w:asciiTheme="majorBidi" w:hAnsiTheme="majorBidi" w:cstheme="majorBidi"/>
          <w:i/>
          <w:sz w:val="24"/>
          <w:szCs w:val="24"/>
          <w:lang w:val="en-US"/>
        </w:rPr>
        <w:t>R</w:t>
      </w:r>
      <w:r w:rsidR="007638DF">
        <w:rPr>
          <w:rFonts w:asciiTheme="majorBidi" w:hAnsiTheme="majorBidi" w:cstheme="majorBidi"/>
          <w:i/>
          <w:sz w:val="24"/>
          <w:szCs w:val="24"/>
          <w:vertAlign w:val="subscript"/>
          <w:lang w:val="en-US"/>
        </w:rPr>
        <w:t>i</w:t>
      </w:r>
      <w:r w:rsidR="007B7615" w:rsidRPr="00E6707C">
        <w:rPr>
          <w:rFonts w:asciiTheme="majorBidi" w:hAnsiTheme="majorBidi" w:cstheme="majorBidi"/>
          <w:sz w:val="24"/>
          <w:szCs w:val="24"/>
          <w:lang w:val="en-US"/>
        </w:rPr>
        <w:t>] and</w:t>
      </w:r>
      <w:r w:rsidR="007638DF">
        <w:rPr>
          <w:rFonts w:asciiTheme="majorBidi" w:hAnsiTheme="majorBidi" w:cstheme="majorBidi"/>
          <w:sz w:val="24"/>
          <w:szCs w:val="24"/>
          <w:lang w:val="en-US"/>
        </w:rPr>
        <w:t xml:space="preserve"> </w:t>
      </w:r>
      <w:r w:rsidR="007638DF" w:rsidRPr="00E6707C">
        <w:rPr>
          <w:rFonts w:asciiTheme="majorBidi" w:hAnsiTheme="majorBidi" w:cstheme="majorBidi"/>
          <w:sz w:val="24"/>
          <w:szCs w:val="24"/>
          <w:lang w:val="en-US"/>
        </w:rPr>
        <w:t>[</w:t>
      </w:r>
      <w:r w:rsidR="007638DF" w:rsidRPr="007638DF">
        <w:rPr>
          <w:rFonts w:asciiTheme="majorBidi" w:hAnsiTheme="majorBidi" w:cstheme="majorBidi"/>
          <w:i/>
          <w:sz w:val="24"/>
          <w:szCs w:val="24"/>
          <w:lang w:val="en-US"/>
        </w:rPr>
        <w:t>GAP</w:t>
      </w:r>
      <w:r w:rsidR="007638DF" w:rsidRPr="007638DF">
        <w:rPr>
          <w:rFonts w:asciiTheme="majorBidi" w:hAnsiTheme="majorBidi" w:cstheme="majorBidi"/>
          <w:i/>
          <w:sz w:val="24"/>
          <w:szCs w:val="24"/>
          <w:vertAlign w:val="subscript"/>
          <w:lang w:val="en-US"/>
        </w:rPr>
        <w:t>i</w:t>
      </w:r>
      <w:r w:rsidR="007638DF">
        <w:rPr>
          <w:rFonts w:asciiTheme="majorBidi" w:hAnsiTheme="majorBidi" w:cstheme="majorBidi"/>
          <w:i/>
          <w:sz w:val="24"/>
          <w:szCs w:val="24"/>
          <w:vertAlign w:val="subscript"/>
          <w:lang w:val="en-US"/>
        </w:rPr>
        <w:t>t-1</w:t>
      </w:r>
      <w:r w:rsidR="007638DF" w:rsidRPr="00E6707C">
        <w:rPr>
          <w:rFonts w:asciiTheme="majorBidi" w:hAnsiTheme="majorBidi" w:cstheme="majorBidi"/>
          <w:sz w:val="24"/>
          <w:szCs w:val="24"/>
          <w:lang w:val="en-US"/>
        </w:rPr>
        <w:t>×</w:t>
      </w:r>
      <w:r w:rsidR="007638DF" w:rsidRPr="00D5186E">
        <w:rPr>
          <w:rFonts w:asciiTheme="majorBidi" w:hAnsiTheme="majorBidi" w:cstheme="majorBidi"/>
          <w:i/>
          <w:sz w:val="24"/>
          <w:szCs w:val="24"/>
          <w:lang w:val="en-US"/>
        </w:rPr>
        <w:t>Tax</w:t>
      </w:r>
      <w:r w:rsidR="007638DF">
        <w:rPr>
          <w:rFonts w:asciiTheme="majorBidi" w:hAnsiTheme="majorBidi" w:cstheme="majorBidi"/>
          <w:i/>
          <w:sz w:val="24"/>
          <w:szCs w:val="24"/>
          <w:vertAlign w:val="subscript"/>
          <w:lang w:val="en-US"/>
        </w:rPr>
        <w:t>it-1</w:t>
      </w:r>
      <w:r w:rsidR="007638DF" w:rsidRPr="00E6707C">
        <w:rPr>
          <w:rFonts w:asciiTheme="majorBidi" w:hAnsiTheme="majorBidi" w:cstheme="majorBidi"/>
          <w:sz w:val="24"/>
          <w:szCs w:val="24"/>
          <w:lang w:val="en-US"/>
        </w:rPr>
        <w:t>×</w:t>
      </w:r>
      <w:r w:rsidR="007638DF">
        <w:rPr>
          <w:rFonts w:asciiTheme="majorBidi" w:hAnsiTheme="majorBidi" w:cstheme="majorBidi"/>
          <w:i/>
          <w:sz w:val="24"/>
          <w:szCs w:val="24"/>
          <w:lang w:val="en-US"/>
        </w:rPr>
        <w:t>E</w:t>
      </w:r>
      <w:r w:rsidR="007638DF">
        <w:rPr>
          <w:rFonts w:asciiTheme="majorBidi" w:hAnsiTheme="majorBidi" w:cstheme="majorBidi"/>
          <w:i/>
          <w:sz w:val="24"/>
          <w:szCs w:val="24"/>
          <w:vertAlign w:val="subscript"/>
          <w:lang w:val="en-US"/>
        </w:rPr>
        <w:t>i</w:t>
      </w:r>
      <w:r w:rsidR="007638DF" w:rsidRPr="00E6707C">
        <w:rPr>
          <w:rFonts w:asciiTheme="majorBidi" w:hAnsiTheme="majorBidi" w:cstheme="majorBidi"/>
          <w:sz w:val="24"/>
          <w:szCs w:val="24"/>
          <w:lang w:val="en-US"/>
        </w:rPr>
        <w:t xml:space="preserve">] </w:t>
      </w:r>
      <w:r w:rsidR="007B7615" w:rsidRPr="00E6707C">
        <w:rPr>
          <w:rFonts w:asciiTheme="majorBidi" w:hAnsiTheme="majorBidi" w:cstheme="majorBidi"/>
          <w:sz w:val="24"/>
          <w:szCs w:val="24"/>
          <w:lang w:val="en-US"/>
        </w:rPr>
        <w:t>support a similar scenario; the distortive effect of taxation harm</w:t>
      </w:r>
      <w:r w:rsidR="007638DF">
        <w:rPr>
          <w:rFonts w:asciiTheme="majorBidi" w:hAnsiTheme="majorBidi" w:cstheme="majorBidi"/>
          <w:sz w:val="24"/>
          <w:szCs w:val="24"/>
          <w:lang w:val="en-US"/>
        </w:rPr>
        <w:t>s</w:t>
      </w:r>
      <w:r w:rsidR="007B7615" w:rsidRPr="00E6707C">
        <w:rPr>
          <w:rFonts w:asciiTheme="majorBidi" w:hAnsiTheme="majorBidi" w:cstheme="majorBidi"/>
          <w:sz w:val="24"/>
          <w:szCs w:val="24"/>
          <w:lang w:val="en-US"/>
        </w:rPr>
        <w:t xml:space="preserve"> disproportionately the catch up process of dynamic firms, which might induce uncompensated international competitiveness losses for UK innovators and exporters. Finally,</w:t>
      </w:r>
      <w:r w:rsidR="00DB36FB" w:rsidRPr="00E6707C">
        <w:rPr>
          <w:rFonts w:asciiTheme="majorBidi" w:hAnsiTheme="majorBidi" w:cstheme="majorBidi"/>
          <w:sz w:val="24"/>
          <w:szCs w:val="24"/>
          <w:lang w:val="en-US"/>
        </w:rPr>
        <w:t xml:space="preserve"> </w:t>
      </w:r>
      <w:r w:rsidR="007B7615" w:rsidRPr="00E6707C">
        <w:rPr>
          <w:rFonts w:asciiTheme="majorBidi" w:hAnsiTheme="majorBidi" w:cstheme="majorBidi"/>
          <w:sz w:val="24"/>
          <w:szCs w:val="24"/>
          <w:lang w:val="en-US"/>
        </w:rPr>
        <w:t>t</w:t>
      </w:r>
      <w:r w:rsidR="00B86253" w:rsidRPr="00E6707C">
        <w:rPr>
          <w:rFonts w:asciiTheme="majorBidi" w:hAnsiTheme="majorBidi" w:cstheme="majorBidi"/>
          <w:sz w:val="24"/>
          <w:szCs w:val="24"/>
          <w:lang w:val="en-US"/>
        </w:rPr>
        <w:t xml:space="preserve">he </w:t>
      </w:r>
      <w:r w:rsidR="00EA1B3B" w:rsidRPr="00E6707C">
        <w:rPr>
          <w:rFonts w:asciiTheme="majorBidi" w:hAnsiTheme="majorBidi" w:cstheme="majorBidi"/>
          <w:sz w:val="24"/>
          <w:szCs w:val="24"/>
          <w:lang w:val="en-US"/>
        </w:rPr>
        <w:t>diagnostic</w:t>
      </w:r>
      <w:r w:rsidR="00B86253" w:rsidRPr="00E6707C">
        <w:rPr>
          <w:rFonts w:asciiTheme="majorBidi" w:hAnsiTheme="majorBidi" w:cstheme="majorBidi"/>
          <w:sz w:val="24"/>
          <w:szCs w:val="24"/>
          <w:lang w:val="en-US"/>
        </w:rPr>
        <w:t xml:space="preserve"> test</w:t>
      </w:r>
      <w:r w:rsidR="00783DF8" w:rsidRPr="00E6707C">
        <w:rPr>
          <w:rFonts w:asciiTheme="majorBidi" w:hAnsiTheme="majorBidi" w:cstheme="majorBidi"/>
          <w:sz w:val="24"/>
          <w:szCs w:val="24"/>
          <w:lang w:val="en-US"/>
        </w:rPr>
        <w:t>s</w:t>
      </w:r>
      <w:r w:rsidR="00B86253" w:rsidRPr="00E6707C">
        <w:rPr>
          <w:rFonts w:asciiTheme="majorBidi" w:hAnsiTheme="majorBidi" w:cstheme="majorBidi"/>
          <w:sz w:val="24"/>
          <w:szCs w:val="24"/>
          <w:lang w:val="en-US"/>
        </w:rPr>
        <w:t xml:space="preserve"> </w:t>
      </w:r>
      <w:r w:rsidR="00DB36FB" w:rsidRPr="00E6707C">
        <w:rPr>
          <w:rFonts w:asciiTheme="majorBidi" w:hAnsiTheme="majorBidi" w:cstheme="majorBidi"/>
          <w:sz w:val="24"/>
          <w:szCs w:val="24"/>
          <w:lang w:val="en-US"/>
        </w:rPr>
        <w:t>at the bottom</w:t>
      </w:r>
      <w:r w:rsidR="00B86253" w:rsidRPr="00E6707C">
        <w:rPr>
          <w:rFonts w:asciiTheme="majorBidi" w:hAnsiTheme="majorBidi" w:cstheme="majorBidi"/>
          <w:sz w:val="24"/>
          <w:szCs w:val="24"/>
          <w:lang w:val="en-US"/>
        </w:rPr>
        <w:t xml:space="preserve"> of Table 1 </w:t>
      </w:r>
      <w:r w:rsidR="00DB36FB" w:rsidRPr="00E6707C">
        <w:rPr>
          <w:rFonts w:asciiTheme="majorBidi" w:hAnsiTheme="majorBidi" w:cstheme="majorBidi"/>
          <w:sz w:val="24"/>
          <w:szCs w:val="24"/>
          <w:lang w:val="en-US"/>
        </w:rPr>
        <w:t xml:space="preserve">report low R-squared values reflecting </w:t>
      </w:r>
      <w:r w:rsidR="007638DF" w:rsidRPr="00E6707C">
        <w:rPr>
          <w:rFonts w:asciiTheme="majorBidi" w:hAnsiTheme="majorBidi" w:cstheme="majorBidi"/>
          <w:sz w:val="24"/>
          <w:szCs w:val="24"/>
          <w:lang w:val="en-US"/>
        </w:rPr>
        <w:t xml:space="preserve">omitted variables </w:t>
      </w:r>
      <w:r w:rsidR="007B7615" w:rsidRPr="00E6707C">
        <w:rPr>
          <w:rFonts w:asciiTheme="majorBidi" w:hAnsiTheme="majorBidi" w:cstheme="majorBidi"/>
          <w:sz w:val="24"/>
          <w:szCs w:val="24"/>
          <w:lang w:val="en-US"/>
        </w:rPr>
        <w:t>bias</w:t>
      </w:r>
      <w:r w:rsidR="00B86253" w:rsidRPr="00E6707C">
        <w:rPr>
          <w:rFonts w:asciiTheme="majorBidi" w:hAnsiTheme="majorBidi" w:cstheme="majorBidi"/>
          <w:sz w:val="24"/>
          <w:szCs w:val="24"/>
          <w:lang w:val="en-US"/>
        </w:rPr>
        <w:t xml:space="preserve">. This </w:t>
      </w:r>
      <w:r w:rsidR="007B7615" w:rsidRPr="00E6707C">
        <w:rPr>
          <w:rFonts w:asciiTheme="majorBidi" w:hAnsiTheme="majorBidi" w:cstheme="majorBidi"/>
          <w:sz w:val="24"/>
          <w:szCs w:val="24"/>
          <w:lang w:val="en-US"/>
        </w:rPr>
        <w:t>is to say</w:t>
      </w:r>
      <w:r w:rsidR="00B86253" w:rsidRPr="00E6707C">
        <w:rPr>
          <w:rFonts w:asciiTheme="majorBidi" w:hAnsiTheme="majorBidi" w:cstheme="majorBidi"/>
          <w:sz w:val="24"/>
          <w:szCs w:val="24"/>
          <w:lang w:val="en-US"/>
        </w:rPr>
        <w:t xml:space="preserve"> that there </w:t>
      </w:r>
      <w:r w:rsidR="00DB36FB" w:rsidRPr="00E6707C">
        <w:rPr>
          <w:rFonts w:asciiTheme="majorBidi" w:hAnsiTheme="majorBidi" w:cstheme="majorBidi"/>
          <w:sz w:val="24"/>
          <w:szCs w:val="24"/>
          <w:lang w:val="en-US"/>
        </w:rPr>
        <w:t>are</w:t>
      </w:r>
      <w:r w:rsidR="00B86253" w:rsidRPr="00E6707C">
        <w:rPr>
          <w:rFonts w:asciiTheme="majorBidi" w:hAnsiTheme="majorBidi" w:cstheme="majorBidi"/>
          <w:sz w:val="24"/>
          <w:szCs w:val="24"/>
          <w:lang w:val="en-US"/>
        </w:rPr>
        <w:t xml:space="preserve"> </w:t>
      </w:r>
      <w:r w:rsidR="00EA1B3B" w:rsidRPr="00E6707C">
        <w:rPr>
          <w:rFonts w:asciiTheme="majorBidi" w:hAnsiTheme="majorBidi" w:cstheme="majorBidi"/>
          <w:sz w:val="24"/>
          <w:szCs w:val="24"/>
          <w:lang w:val="en-US"/>
        </w:rPr>
        <w:t>other</w:t>
      </w:r>
      <w:r w:rsidR="00BB6D30" w:rsidRPr="00E6707C">
        <w:rPr>
          <w:rFonts w:asciiTheme="majorBidi" w:hAnsiTheme="majorBidi" w:cstheme="majorBidi"/>
          <w:sz w:val="24"/>
          <w:szCs w:val="24"/>
          <w:lang w:val="en-US"/>
        </w:rPr>
        <w:t xml:space="preserve"> equally</w:t>
      </w:r>
      <w:r w:rsidR="00B86253" w:rsidRPr="00E6707C">
        <w:rPr>
          <w:rFonts w:asciiTheme="majorBidi" w:hAnsiTheme="majorBidi" w:cstheme="majorBidi"/>
          <w:sz w:val="24"/>
          <w:szCs w:val="24"/>
          <w:lang w:val="en-US"/>
        </w:rPr>
        <w:t xml:space="preserve"> </w:t>
      </w:r>
      <w:r w:rsidR="0028559D" w:rsidRPr="00E6707C">
        <w:rPr>
          <w:rFonts w:asciiTheme="majorBidi" w:hAnsiTheme="majorBidi" w:cstheme="majorBidi"/>
          <w:sz w:val="24"/>
          <w:szCs w:val="24"/>
          <w:lang w:val="en-US"/>
        </w:rPr>
        <w:t>important</w:t>
      </w:r>
      <w:r w:rsidR="008F7B86" w:rsidRPr="00E6707C">
        <w:rPr>
          <w:rFonts w:asciiTheme="majorBidi" w:hAnsiTheme="majorBidi" w:cstheme="majorBidi"/>
          <w:sz w:val="24"/>
          <w:szCs w:val="24"/>
          <w:lang w:val="en-US"/>
        </w:rPr>
        <w:t xml:space="preserve"> </w:t>
      </w:r>
      <w:r w:rsidR="00DB36FB" w:rsidRPr="00E6707C">
        <w:rPr>
          <w:rFonts w:asciiTheme="majorBidi" w:hAnsiTheme="majorBidi" w:cstheme="majorBidi"/>
          <w:sz w:val="24"/>
          <w:szCs w:val="24"/>
          <w:lang w:val="en-US"/>
        </w:rPr>
        <w:t xml:space="preserve">TFP growth </w:t>
      </w:r>
      <w:r w:rsidR="008F7B86" w:rsidRPr="00E6707C">
        <w:rPr>
          <w:rFonts w:asciiTheme="majorBidi" w:hAnsiTheme="majorBidi" w:cstheme="majorBidi"/>
          <w:sz w:val="24"/>
          <w:szCs w:val="24"/>
          <w:lang w:val="en-US"/>
        </w:rPr>
        <w:t xml:space="preserve">drivers </w:t>
      </w:r>
      <w:r w:rsidR="00EA1B3B" w:rsidRPr="00E6707C">
        <w:rPr>
          <w:rFonts w:asciiTheme="majorBidi" w:hAnsiTheme="majorBidi" w:cstheme="majorBidi"/>
          <w:sz w:val="24"/>
          <w:szCs w:val="24"/>
          <w:lang w:val="en-US"/>
        </w:rPr>
        <w:t>that are</w:t>
      </w:r>
      <w:r w:rsidR="00DF61EF" w:rsidRPr="00E6707C">
        <w:rPr>
          <w:rFonts w:asciiTheme="majorBidi" w:hAnsiTheme="majorBidi" w:cstheme="majorBidi"/>
          <w:sz w:val="24"/>
          <w:szCs w:val="24"/>
          <w:lang w:val="en-US"/>
        </w:rPr>
        <w:t xml:space="preserve"> currently</w:t>
      </w:r>
      <w:r w:rsidR="00EA1B3B" w:rsidRPr="00E6707C">
        <w:rPr>
          <w:rFonts w:asciiTheme="majorBidi" w:hAnsiTheme="majorBidi" w:cstheme="majorBidi"/>
          <w:sz w:val="24"/>
          <w:szCs w:val="24"/>
          <w:lang w:val="en-US"/>
        </w:rPr>
        <w:t xml:space="preserve"> ex</w:t>
      </w:r>
      <w:r w:rsidR="00B86253" w:rsidRPr="00E6707C">
        <w:rPr>
          <w:rFonts w:asciiTheme="majorBidi" w:hAnsiTheme="majorBidi" w:cstheme="majorBidi"/>
          <w:sz w:val="24"/>
          <w:szCs w:val="24"/>
          <w:lang w:val="en-US"/>
        </w:rPr>
        <w:t xml:space="preserve">cluded </w:t>
      </w:r>
      <w:r w:rsidR="00EA1B3B" w:rsidRPr="00E6707C">
        <w:rPr>
          <w:rFonts w:asciiTheme="majorBidi" w:hAnsiTheme="majorBidi" w:cstheme="majorBidi"/>
          <w:sz w:val="24"/>
          <w:szCs w:val="24"/>
          <w:lang w:val="en-US"/>
        </w:rPr>
        <w:t>from</w:t>
      </w:r>
      <w:r w:rsidR="00B86253" w:rsidRPr="00E6707C">
        <w:rPr>
          <w:rFonts w:asciiTheme="majorBidi" w:hAnsiTheme="majorBidi" w:cstheme="majorBidi"/>
          <w:sz w:val="24"/>
          <w:szCs w:val="24"/>
          <w:lang w:val="en-US"/>
        </w:rPr>
        <w:t xml:space="preserve"> </w:t>
      </w:r>
      <w:r w:rsidR="00DB36FB" w:rsidRPr="00E6707C">
        <w:rPr>
          <w:rFonts w:asciiTheme="majorBidi" w:hAnsiTheme="majorBidi" w:cstheme="majorBidi"/>
          <w:sz w:val="24"/>
          <w:szCs w:val="24"/>
          <w:lang w:val="en-US"/>
        </w:rPr>
        <w:t>the specifications</w:t>
      </w:r>
      <w:r w:rsidR="00B86253" w:rsidRPr="00E6707C">
        <w:rPr>
          <w:rFonts w:asciiTheme="majorBidi" w:hAnsiTheme="majorBidi" w:cstheme="majorBidi"/>
          <w:sz w:val="24"/>
          <w:szCs w:val="24"/>
          <w:lang w:val="en-US"/>
        </w:rPr>
        <w:t xml:space="preserve">. </w:t>
      </w:r>
      <w:r w:rsidR="006A52B9" w:rsidRPr="00E6707C">
        <w:rPr>
          <w:rFonts w:asciiTheme="majorBidi" w:hAnsiTheme="majorBidi" w:cstheme="majorBidi"/>
          <w:sz w:val="24"/>
          <w:szCs w:val="24"/>
          <w:lang w:val="en-US"/>
        </w:rPr>
        <w:t xml:space="preserve">Some robustness tests are provided in the following sections to prove whether OLS estimates are robust or results are driven </w:t>
      </w:r>
      <w:r w:rsidR="00A05869">
        <w:rPr>
          <w:rFonts w:asciiTheme="majorBidi" w:hAnsiTheme="majorBidi" w:cstheme="majorBidi"/>
          <w:sz w:val="24"/>
          <w:szCs w:val="24"/>
          <w:lang w:val="en-US"/>
        </w:rPr>
        <w:t>by</w:t>
      </w:r>
      <w:r w:rsidR="006A52B9" w:rsidRPr="00E6707C">
        <w:rPr>
          <w:rFonts w:asciiTheme="majorBidi" w:hAnsiTheme="majorBidi" w:cstheme="majorBidi"/>
          <w:sz w:val="24"/>
          <w:szCs w:val="24"/>
          <w:lang w:val="en-US"/>
        </w:rPr>
        <w:t xml:space="preserve"> potential endogeneity</w:t>
      </w:r>
      <w:r w:rsidR="007638DF">
        <w:rPr>
          <w:rFonts w:asciiTheme="majorBidi" w:hAnsiTheme="majorBidi" w:cstheme="majorBidi"/>
          <w:sz w:val="24"/>
          <w:szCs w:val="24"/>
          <w:lang w:val="en-US"/>
        </w:rPr>
        <w:t xml:space="preserve"> and measurement</w:t>
      </w:r>
      <w:r w:rsidR="006A52B9" w:rsidRPr="00E6707C">
        <w:rPr>
          <w:rFonts w:asciiTheme="majorBidi" w:hAnsiTheme="majorBidi" w:cstheme="majorBidi"/>
          <w:sz w:val="24"/>
          <w:szCs w:val="24"/>
          <w:lang w:val="en-US"/>
        </w:rPr>
        <w:t xml:space="preserve"> bias between TFP growth and </w:t>
      </w:r>
      <w:r w:rsidR="006A52B9" w:rsidRPr="007638DF">
        <w:rPr>
          <w:rFonts w:asciiTheme="majorBidi" w:hAnsiTheme="majorBidi" w:cstheme="majorBidi"/>
          <w:i/>
          <w:sz w:val="24"/>
          <w:szCs w:val="24"/>
          <w:lang w:val="en-US"/>
        </w:rPr>
        <w:t>GAP</w:t>
      </w:r>
      <w:r w:rsidR="007638DF">
        <w:rPr>
          <w:rFonts w:asciiTheme="majorBidi" w:hAnsiTheme="majorBidi" w:cstheme="majorBidi"/>
          <w:i/>
          <w:sz w:val="24"/>
          <w:szCs w:val="24"/>
          <w:vertAlign w:val="subscript"/>
          <w:lang w:val="en-US"/>
        </w:rPr>
        <w:t>it-1</w:t>
      </w:r>
      <w:r w:rsidR="006A52B9" w:rsidRPr="00E6707C">
        <w:rPr>
          <w:rFonts w:asciiTheme="majorBidi" w:hAnsiTheme="majorBidi" w:cstheme="majorBidi"/>
          <w:sz w:val="24"/>
          <w:szCs w:val="24"/>
          <w:lang w:val="en-US"/>
        </w:rPr>
        <w:t>.</w:t>
      </w:r>
      <w:r w:rsidR="006A52B9">
        <w:rPr>
          <w:rFonts w:asciiTheme="majorBidi" w:hAnsiTheme="majorBidi" w:cstheme="majorBidi"/>
          <w:sz w:val="24"/>
          <w:szCs w:val="24"/>
          <w:lang w:val="en-US"/>
        </w:rPr>
        <w:t xml:space="preserve"> </w:t>
      </w:r>
    </w:p>
    <w:p w:rsidR="00A07A79" w:rsidRDefault="00A07A79" w:rsidP="00F0453C">
      <w:pPr>
        <w:rPr>
          <w:lang w:val="en-US"/>
        </w:rPr>
      </w:pPr>
    </w:p>
    <w:p w:rsidR="00A07A79" w:rsidRDefault="00A07A79" w:rsidP="00F0453C">
      <w:pPr>
        <w:rPr>
          <w:lang w:val="en-US"/>
        </w:rPr>
      </w:pPr>
    </w:p>
    <w:p w:rsidR="00A07A79" w:rsidRDefault="00A07A79" w:rsidP="00F0453C">
      <w:pPr>
        <w:rPr>
          <w:lang w:val="en-US"/>
        </w:rPr>
      </w:pPr>
    </w:p>
    <w:p w:rsidR="00A07A79" w:rsidRDefault="00A07A79" w:rsidP="00F0453C">
      <w:pPr>
        <w:rPr>
          <w:lang w:val="en-US"/>
        </w:rPr>
      </w:pPr>
    </w:p>
    <w:p w:rsidR="00A07A79" w:rsidRDefault="00A07A79" w:rsidP="00F0453C">
      <w:pPr>
        <w:rPr>
          <w:lang w:val="en-US"/>
        </w:rPr>
      </w:pPr>
    </w:p>
    <w:p w:rsidR="00A07A79" w:rsidRDefault="00A07A79" w:rsidP="00F0453C">
      <w:pPr>
        <w:rPr>
          <w:lang w:val="en-US"/>
        </w:rPr>
      </w:pPr>
    </w:p>
    <w:p w:rsidR="00A07A79" w:rsidRDefault="00A07A79" w:rsidP="00F0453C">
      <w:pPr>
        <w:rPr>
          <w:lang w:val="en-US"/>
        </w:rPr>
      </w:pPr>
    </w:p>
    <w:p w:rsidR="00A07A79" w:rsidRDefault="00A07A79" w:rsidP="00F0453C">
      <w:pPr>
        <w:rPr>
          <w:lang w:val="en-US"/>
        </w:rPr>
      </w:pPr>
    </w:p>
    <w:p w:rsidR="00A07A79" w:rsidRDefault="00A07A79" w:rsidP="00F0453C">
      <w:pPr>
        <w:rPr>
          <w:lang w:val="en-US"/>
        </w:rPr>
      </w:pPr>
    </w:p>
    <w:p w:rsidR="00A07A79" w:rsidRDefault="00A07A79" w:rsidP="00F0453C">
      <w:pPr>
        <w:rPr>
          <w:lang w:val="en-US"/>
        </w:rPr>
      </w:pPr>
    </w:p>
    <w:p w:rsidR="00A07A79" w:rsidRDefault="00A07A79" w:rsidP="00F0453C">
      <w:pPr>
        <w:rPr>
          <w:lang w:val="en-US"/>
        </w:rPr>
      </w:pPr>
    </w:p>
    <w:p w:rsidR="00A07A79" w:rsidRDefault="00A07A79" w:rsidP="00F0453C">
      <w:pPr>
        <w:rPr>
          <w:lang w:val="en-US"/>
        </w:rPr>
      </w:pPr>
    </w:p>
    <w:p w:rsidR="007A4735" w:rsidRDefault="007A4735" w:rsidP="00F0453C">
      <w:pPr>
        <w:rPr>
          <w:lang w:val="en-US"/>
        </w:rPr>
      </w:pPr>
    </w:p>
    <w:p w:rsidR="007A4735" w:rsidRDefault="007A4735" w:rsidP="00F0453C">
      <w:pPr>
        <w:rPr>
          <w:lang w:val="en-US"/>
        </w:rPr>
      </w:pPr>
    </w:p>
    <w:p w:rsidR="007A4735" w:rsidRDefault="007A4735" w:rsidP="00F0453C">
      <w:pPr>
        <w:rPr>
          <w:lang w:val="en-US"/>
        </w:rPr>
      </w:pPr>
    </w:p>
    <w:p w:rsidR="007A4735" w:rsidRDefault="007A4735" w:rsidP="00F0453C">
      <w:pPr>
        <w:rPr>
          <w:lang w:val="en-US"/>
        </w:rPr>
      </w:pPr>
    </w:p>
    <w:p w:rsidR="000020DB" w:rsidRDefault="000020DB" w:rsidP="00F0453C">
      <w:pPr>
        <w:rPr>
          <w:lang w:val="en-US"/>
        </w:rPr>
      </w:pPr>
    </w:p>
    <w:p w:rsidR="00A9650C" w:rsidRDefault="00A9650C" w:rsidP="00F0453C">
      <w:pPr>
        <w:rPr>
          <w:lang w:val="en-US"/>
        </w:rPr>
      </w:pPr>
    </w:p>
    <w:p w:rsidR="007C079D" w:rsidRDefault="007C079D" w:rsidP="00F0453C">
      <w:pPr>
        <w:rPr>
          <w:lang w:val="en-US"/>
        </w:rPr>
      </w:pPr>
    </w:p>
    <w:p w:rsidR="007C079D" w:rsidRDefault="007C079D" w:rsidP="00F0453C">
      <w:pPr>
        <w:rPr>
          <w:lang w:val="en-US"/>
        </w:rPr>
      </w:pPr>
    </w:p>
    <w:p w:rsidR="007C079D" w:rsidRDefault="007C079D" w:rsidP="00F0453C">
      <w:pPr>
        <w:rPr>
          <w:lang w:val="en-US"/>
        </w:rPr>
      </w:pPr>
    </w:p>
    <w:p w:rsidR="007C079D" w:rsidRDefault="007C079D" w:rsidP="00F0453C">
      <w:pPr>
        <w:rPr>
          <w:lang w:val="en-US"/>
        </w:rPr>
      </w:pPr>
    </w:p>
    <w:p w:rsidR="007C079D" w:rsidRDefault="007C079D" w:rsidP="00F0453C">
      <w:pPr>
        <w:rPr>
          <w:lang w:val="en-US"/>
        </w:rPr>
      </w:pPr>
    </w:p>
    <w:p w:rsidR="007A1A56" w:rsidRDefault="007A1A56" w:rsidP="00F0453C">
      <w:pPr>
        <w:rPr>
          <w:lang w:val="en-US"/>
        </w:rPr>
      </w:pPr>
    </w:p>
    <w:p w:rsidR="00EE193B" w:rsidRPr="00E941C1" w:rsidRDefault="00EE193B" w:rsidP="00EE193B">
      <w:pPr>
        <w:rPr>
          <w:rFonts w:asciiTheme="majorBidi" w:hAnsiTheme="majorBidi" w:cstheme="majorBidi"/>
          <w:b/>
          <w:sz w:val="24"/>
          <w:szCs w:val="24"/>
          <w:lang w:val="en-US"/>
        </w:rPr>
      </w:pPr>
      <w:r w:rsidRPr="00E941C1">
        <w:rPr>
          <w:rFonts w:asciiTheme="majorBidi" w:hAnsiTheme="majorBidi" w:cstheme="majorBidi"/>
          <w:b/>
          <w:sz w:val="24"/>
          <w:szCs w:val="24"/>
          <w:lang w:val="en-US"/>
        </w:rPr>
        <w:lastRenderedPageBreak/>
        <w:t>Table 1: OLS Regressions of TFP Growth and Tax Liability</w:t>
      </w:r>
      <w:r w:rsidR="00C60E5C">
        <w:rPr>
          <w:rFonts w:asciiTheme="majorBidi" w:hAnsiTheme="majorBidi" w:cstheme="majorBidi"/>
          <w:b/>
          <w:sz w:val="24"/>
          <w:szCs w:val="24"/>
          <w:lang w:val="en-US"/>
        </w:rPr>
        <w:t xml:space="preserve"> by</w:t>
      </w:r>
      <w:r w:rsidRPr="00E941C1">
        <w:rPr>
          <w:rFonts w:asciiTheme="majorBidi" w:hAnsiTheme="majorBidi" w:cstheme="majorBidi"/>
          <w:b/>
          <w:sz w:val="24"/>
          <w:szCs w:val="24"/>
          <w:lang w:val="en-US"/>
        </w:rPr>
        <w:t xml:space="preserve"> UK Firms </w:t>
      </w:r>
      <w:r w:rsidR="00C60E5C">
        <w:rPr>
          <w:rFonts w:asciiTheme="majorBidi" w:hAnsiTheme="majorBidi" w:cstheme="majorBidi"/>
          <w:b/>
          <w:sz w:val="24"/>
          <w:szCs w:val="24"/>
          <w:lang w:val="en-US"/>
        </w:rPr>
        <w:t xml:space="preserve">during </w:t>
      </w:r>
      <w:r w:rsidRPr="00E941C1">
        <w:rPr>
          <w:rFonts w:asciiTheme="majorBidi" w:hAnsiTheme="majorBidi" w:cstheme="majorBidi"/>
          <w:b/>
          <w:sz w:val="24"/>
          <w:szCs w:val="24"/>
          <w:lang w:val="en-US"/>
        </w:rPr>
        <w:t>2004-2011</w:t>
      </w:r>
    </w:p>
    <w:tbl>
      <w:tblPr>
        <w:tblW w:w="9473" w:type="dxa"/>
        <w:tblLook w:val="0000" w:firstRow="0" w:lastRow="0" w:firstColumn="0" w:lastColumn="0" w:noHBand="0" w:noVBand="0"/>
      </w:tblPr>
      <w:tblGrid>
        <w:gridCol w:w="2375"/>
        <w:gridCol w:w="1183"/>
        <w:gridCol w:w="1183"/>
        <w:gridCol w:w="1183"/>
        <w:gridCol w:w="1183"/>
        <w:gridCol w:w="1183"/>
        <w:gridCol w:w="1183"/>
      </w:tblGrid>
      <w:tr w:rsidR="00EE193B" w:rsidRPr="007A4735" w:rsidTr="000A3F44">
        <w:tc>
          <w:tcPr>
            <w:tcW w:w="2376" w:type="dxa"/>
            <w:tcBorders>
              <w:top w:val="single" w:sz="4" w:space="0" w:color="auto"/>
              <w:left w:val="nil"/>
              <w:bottom w:val="nil"/>
              <w:right w:val="nil"/>
            </w:tcBorders>
          </w:tcPr>
          <w:p w:rsidR="00EE193B" w:rsidRPr="007A4735" w:rsidRDefault="00EE193B" w:rsidP="00484433">
            <w:pPr>
              <w:spacing w:line="240" w:lineRule="auto"/>
              <w:ind w:firstLine="0"/>
              <w:rPr>
                <w:rFonts w:asciiTheme="majorBidi" w:hAnsiTheme="majorBidi" w:cstheme="majorBidi"/>
                <w:sz w:val="24"/>
                <w:szCs w:val="24"/>
                <w:lang w:val="en-US"/>
              </w:rPr>
            </w:pPr>
          </w:p>
        </w:tc>
        <w:tc>
          <w:tcPr>
            <w:tcW w:w="0" w:type="auto"/>
            <w:tcBorders>
              <w:top w:val="single" w:sz="4" w:space="0" w:color="auto"/>
              <w:left w:val="nil"/>
              <w:bottom w:val="nil"/>
              <w:right w:val="nil"/>
            </w:tcBorders>
            <w:vAlign w:val="center"/>
          </w:tcPr>
          <w:p w:rsidR="00EE193B" w:rsidRPr="000A3F44" w:rsidRDefault="00E6707C"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w:t>
            </w:r>
            <w:r w:rsidR="00EE193B" w:rsidRPr="000A3F44">
              <w:rPr>
                <w:rFonts w:asciiTheme="majorBidi" w:hAnsiTheme="majorBidi" w:cstheme="majorBidi"/>
                <w:lang w:val="en-US"/>
              </w:rPr>
              <w:t>1</w:t>
            </w:r>
            <w:r w:rsidRPr="000A3F44">
              <w:rPr>
                <w:rFonts w:asciiTheme="majorBidi" w:hAnsiTheme="majorBidi" w:cstheme="majorBidi"/>
                <w:lang w:val="en-US"/>
              </w:rPr>
              <w:t>)</w:t>
            </w:r>
          </w:p>
        </w:tc>
        <w:tc>
          <w:tcPr>
            <w:tcW w:w="0" w:type="auto"/>
            <w:tcBorders>
              <w:top w:val="single" w:sz="4" w:space="0" w:color="auto"/>
              <w:left w:val="nil"/>
              <w:bottom w:val="nil"/>
              <w:right w:val="nil"/>
            </w:tcBorders>
            <w:vAlign w:val="center"/>
          </w:tcPr>
          <w:p w:rsidR="00EE193B" w:rsidRPr="000A3F44" w:rsidRDefault="00E6707C"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w:t>
            </w:r>
            <w:r w:rsidR="00EE193B" w:rsidRPr="000A3F44">
              <w:rPr>
                <w:rFonts w:asciiTheme="majorBidi" w:hAnsiTheme="majorBidi" w:cstheme="majorBidi"/>
                <w:lang w:val="en-US"/>
              </w:rPr>
              <w:t>2</w:t>
            </w:r>
            <w:r w:rsidRPr="000A3F44">
              <w:rPr>
                <w:rFonts w:asciiTheme="majorBidi" w:hAnsiTheme="majorBidi" w:cstheme="majorBidi"/>
                <w:lang w:val="en-US"/>
              </w:rPr>
              <w:t>)</w:t>
            </w:r>
          </w:p>
        </w:tc>
        <w:tc>
          <w:tcPr>
            <w:tcW w:w="0" w:type="auto"/>
            <w:tcBorders>
              <w:top w:val="single" w:sz="4" w:space="0" w:color="auto"/>
              <w:left w:val="nil"/>
              <w:bottom w:val="nil"/>
              <w:right w:val="nil"/>
            </w:tcBorders>
            <w:vAlign w:val="center"/>
          </w:tcPr>
          <w:p w:rsidR="00EE193B" w:rsidRPr="000A3F44" w:rsidRDefault="00E6707C"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w:t>
            </w:r>
            <w:r w:rsidR="00EE193B" w:rsidRPr="000A3F44">
              <w:rPr>
                <w:rFonts w:asciiTheme="majorBidi" w:hAnsiTheme="majorBidi" w:cstheme="majorBidi"/>
                <w:lang w:val="en-US"/>
              </w:rPr>
              <w:t>3</w:t>
            </w:r>
            <w:r w:rsidRPr="000A3F44">
              <w:rPr>
                <w:rFonts w:asciiTheme="majorBidi" w:hAnsiTheme="majorBidi" w:cstheme="majorBidi"/>
                <w:lang w:val="en-US"/>
              </w:rPr>
              <w:t>)</w:t>
            </w:r>
          </w:p>
        </w:tc>
        <w:tc>
          <w:tcPr>
            <w:tcW w:w="0" w:type="auto"/>
            <w:tcBorders>
              <w:top w:val="single" w:sz="4" w:space="0" w:color="auto"/>
              <w:left w:val="nil"/>
              <w:bottom w:val="nil"/>
              <w:right w:val="nil"/>
            </w:tcBorders>
            <w:vAlign w:val="center"/>
          </w:tcPr>
          <w:p w:rsidR="00EE193B" w:rsidRPr="000A3F44" w:rsidRDefault="00E6707C"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w:t>
            </w:r>
            <w:r w:rsidR="00EE193B" w:rsidRPr="000A3F44">
              <w:rPr>
                <w:rFonts w:asciiTheme="majorBidi" w:hAnsiTheme="majorBidi" w:cstheme="majorBidi"/>
                <w:lang w:val="en-US"/>
              </w:rPr>
              <w:t>4</w:t>
            </w:r>
            <w:r w:rsidRPr="000A3F44">
              <w:rPr>
                <w:rFonts w:asciiTheme="majorBidi" w:hAnsiTheme="majorBidi" w:cstheme="majorBidi"/>
                <w:lang w:val="en-US"/>
              </w:rPr>
              <w:t>)</w:t>
            </w:r>
          </w:p>
        </w:tc>
        <w:tc>
          <w:tcPr>
            <w:tcW w:w="0" w:type="auto"/>
            <w:tcBorders>
              <w:top w:val="single" w:sz="4" w:space="0" w:color="auto"/>
              <w:left w:val="nil"/>
              <w:bottom w:val="nil"/>
              <w:right w:val="nil"/>
            </w:tcBorders>
            <w:vAlign w:val="center"/>
          </w:tcPr>
          <w:p w:rsidR="00EE193B" w:rsidRPr="000A3F44" w:rsidRDefault="00E6707C"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w:t>
            </w:r>
            <w:r w:rsidR="00EE193B" w:rsidRPr="000A3F44">
              <w:rPr>
                <w:rFonts w:asciiTheme="majorBidi" w:hAnsiTheme="majorBidi" w:cstheme="majorBidi"/>
                <w:lang w:val="en-US"/>
              </w:rPr>
              <w:t>5</w:t>
            </w:r>
            <w:r w:rsidRPr="000A3F44">
              <w:rPr>
                <w:rFonts w:asciiTheme="majorBidi" w:hAnsiTheme="majorBidi" w:cstheme="majorBidi"/>
                <w:lang w:val="en-US"/>
              </w:rPr>
              <w:t>)</w:t>
            </w:r>
          </w:p>
        </w:tc>
        <w:tc>
          <w:tcPr>
            <w:tcW w:w="0" w:type="auto"/>
            <w:tcBorders>
              <w:top w:val="single" w:sz="4" w:space="0" w:color="auto"/>
              <w:left w:val="nil"/>
              <w:bottom w:val="nil"/>
              <w:right w:val="nil"/>
            </w:tcBorders>
            <w:vAlign w:val="center"/>
          </w:tcPr>
          <w:p w:rsidR="00EE193B" w:rsidRPr="000A3F44" w:rsidRDefault="00E6707C"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w:t>
            </w:r>
            <w:r w:rsidR="00EE193B" w:rsidRPr="000A3F44">
              <w:rPr>
                <w:rFonts w:asciiTheme="majorBidi" w:hAnsiTheme="majorBidi" w:cstheme="majorBidi"/>
                <w:lang w:val="en-US"/>
              </w:rPr>
              <w:t>6</w:t>
            </w:r>
            <w:r w:rsidRPr="000A3F44">
              <w:rPr>
                <w:rFonts w:asciiTheme="majorBidi" w:hAnsiTheme="majorBidi" w:cstheme="majorBidi"/>
                <w:lang w:val="en-US"/>
              </w:rPr>
              <w:t>)</w:t>
            </w:r>
          </w:p>
        </w:tc>
      </w:tr>
      <w:tr w:rsidR="00EE193B" w:rsidRPr="007A4735" w:rsidTr="000A3F44">
        <w:tc>
          <w:tcPr>
            <w:tcW w:w="2376" w:type="dxa"/>
            <w:tcBorders>
              <w:top w:val="single" w:sz="4" w:space="0" w:color="auto"/>
              <w:left w:val="nil"/>
              <w:bottom w:val="nil"/>
              <w:right w:val="nil"/>
            </w:tcBorders>
          </w:tcPr>
          <w:p w:rsidR="00EE193B" w:rsidRPr="000133C7" w:rsidRDefault="00EE193B" w:rsidP="00484433">
            <w:pPr>
              <w:spacing w:line="240" w:lineRule="auto"/>
              <w:ind w:firstLine="0"/>
              <w:rPr>
                <w:rFonts w:asciiTheme="majorBidi" w:hAnsiTheme="majorBidi" w:cstheme="majorBidi"/>
                <w:i/>
                <w:sz w:val="24"/>
                <w:szCs w:val="24"/>
                <w:lang w:val="en-US"/>
              </w:rPr>
            </w:pPr>
            <w:r w:rsidRPr="007A4735">
              <w:rPr>
                <w:rFonts w:asciiTheme="majorBidi" w:hAnsiTheme="majorBidi" w:cstheme="majorBidi"/>
                <w:sz w:val="24"/>
                <w:szCs w:val="24"/>
                <w:lang w:val="en-US"/>
              </w:rPr>
              <w:t>Δln</w:t>
            </w:r>
            <w:r w:rsidRPr="000133C7">
              <w:rPr>
                <w:rFonts w:asciiTheme="majorBidi" w:hAnsiTheme="majorBidi" w:cstheme="majorBidi"/>
                <w:i/>
                <w:sz w:val="24"/>
                <w:szCs w:val="24"/>
                <w:lang w:val="en-US"/>
              </w:rPr>
              <w:t>TFP</w:t>
            </w:r>
            <w:r w:rsidRPr="000133C7">
              <w:rPr>
                <w:rFonts w:asciiTheme="majorBidi" w:hAnsiTheme="majorBidi" w:cstheme="majorBidi"/>
                <w:i/>
                <w:sz w:val="24"/>
                <w:szCs w:val="24"/>
                <w:vertAlign w:val="subscript"/>
                <w:lang w:val="en-US"/>
              </w:rPr>
              <w:t>F</w:t>
            </w:r>
            <w:r w:rsidR="000133C7" w:rsidRPr="000133C7">
              <w:rPr>
                <w:rFonts w:asciiTheme="majorBidi" w:hAnsiTheme="majorBidi" w:cstheme="majorBidi"/>
                <w:i/>
                <w:sz w:val="24"/>
                <w:szCs w:val="24"/>
                <w:vertAlign w:val="subscript"/>
                <w:lang w:val="en-US"/>
              </w:rPr>
              <w:t>t</w:t>
            </w:r>
          </w:p>
        </w:tc>
        <w:tc>
          <w:tcPr>
            <w:tcW w:w="0" w:type="auto"/>
            <w:tcBorders>
              <w:top w:val="single" w:sz="4" w:space="0" w:color="auto"/>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0.216***</w:t>
            </w:r>
          </w:p>
        </w:tc>
        <w:tc>
          <w:tcPr>
            <w:tcW w:w="0" w:type="auto"/>
            <w:tcBorders>
              <w:top w:val="single" w:sz="4" w:space="0" w:color="auto"/>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0.264***</w:t>
            </w:r>
          </w:p>
        </w:tc>
        <w:tc>
          <w:tcPr>
            <w:tcW w:w="0" w:type="auto"/>
            <w:tcBorders>
              <w:top w:val="single" w:sz="4" w:space="0" w:color="auto"/>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0.189***</w:t>
            </w:r>
          </w:p>
        </w:tc>
        <w:tc>
          <w:tcPr>
            <w:tcW w:w="0" w:type="auto"/>
            <w:tcBorders>
              <w:top w:val="single" w:sz="4" w:space="0" w:color="auto"/>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0.182***</w:t>
            </w:r>
          </w:p>
        </w:tc>
        <w:tc>
          <w:tcPr>
            <w:tcW w:w="0" w:type="auto"/>
            <w:tcBorders>
              <w:top w:val="single" w:sz="4" w:space="0" w:color="auto"/>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0.219***</w:t>
            </w:r>
          </w:p>
        </w:tc>
        <w:tc>
          <w:tcPr>
            <w:tcW w:w="0" w:type="auto"/>
            <w:tcBorders>
              <w:top w:val="single" w:sz="4" w:space="0" w:color="auto"/>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0.227***</w:t>
            </w:r>
          </w:p>
        </w:tc>
      </w:tr>
      <w:tr w:rsidR="00EE193B" w:rsidRPr="007A4735" w:rsidTr="000A3F44">
        <w:tc>
          <w:tcPr>
            <w:tcW w:w="2376" w:type="dxa"/>
            <w:tcBorders>
              <w:top w:val="nil"/>
              <w:left w:val="nil"/>
              <w:bottom w:val="nil"/>
              <w:right w:val="nil"/>
            </w:tcBorders>
          </w:tcPr>
          <w:p w:rsidR="00EE193B" w:rsidRPr="007A4735" w:rsidRDefault="00EE193B" w:rsidP="00484433">
            <w:pPr>
              <w:spacing w:line="240" w:lineRule="auto"/>
              <w:ind w:firstLine="0"/>
              <w:rPr>
                <w:rFonts w:asciiTheme="majorBidi" w:hAnsiTheme="majorBidi" w:cstheme="majorBidi"/>
                <w:sz w:val="24"/>
                <w:szCs w:val="24"/>
                <w:lang w:val="en-US"/>
              </w:rPr>
            </w:pP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(14.29)</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(10.86)</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(13.82)</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(13.22)</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(14.23)</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(13.71)</w:t>
            </w:r>
          </w:p>
        </w:tc>
      </w:tr>
      <w:tr w:rsidR="00EE193B" w:rsidRPr="007A4735" w:rsidTr="000A3F44">
        <w:tc>
          <w:tcPr>
            <w:tcW w:w="2376" w:type="dxa"/>
            <w:tcBorders>
              <w:top w:val="nil"/>
              <w:left w:val="nil"/>
              <w:bottom w:val="nil"/>
              <w:right w:val="nil"/>
            </w:tcBorders>
          </w:tcPr>
          <w:p w:rsidR="00EE193B" w:rsidRPr="000133C7" w:rsidRDefault="00EE193B" w:rsidP="00484433">
            <w:pPr>
              <w:spacing w:line="240" w:lineRule="auto"/>
              <w:ind w:firstLine="0"/>
              <w:rPr>
                <w:rFonts w:asciiTheme="majorBidi" w:hAnsiTheme="majorBidi" w:cstheme="majorBidi"/>
                <w:i/>
                <w:sz w:val="24"/>
                <w:szCs w:val="24"/>
                <w:vertAlign w:val="subscript"/>
                <w:lang w:val="en-US"/>
              </w:rPr>
            </w:pPr>
            <w:r w:rsidRPr="000133C7">
              <w:rPr>
                <w:rFonts w:asciiTheme="majorBidi" w:hAnsiTheme="majorBidi" w:cstheme="majorBidi"/>
                <w:i/>
                <w:sz w:val="24"/>
                <w:szCs w:val="24"/>
                <w:lang w:val="en-US"/>
              </w:rPr>
              <w:t>GAP</w:t>
            </w:r>
            <w:r w:rsidR="000133C7">
              <w:rPr>
                <w:rFonts w:asciiTheme="majorBidi" w:hAnsiTheme="majorBidi" w:cstheme="majorBidi"/>
                <w:i/>
                <w:sz w:val="24"/>
                <w:szCs w:val="24"/>
                <w:vertAlign w:val="subscript"/>
                <w:lang w:val="en-US"/>
              </w:rPr>
              <w:t>it-1</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-0.189***</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-0.261***</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-0.136***</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-0.135***</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-0.191***</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-0.197***</w:t>
            </w:r>
          </w:p>
        </w:tc>
      </w:tr>
      <w:tr w:rsidR="00EE193B" w:rsidRPr="007A4735" w:rsidTr="000A3F44">
        <w:tc>
          <w:tcPr>
            <w:tcW w:w="2376" w:type="dxa"/>
            <w:tcBorders>
              <w:top w:val="nil"/>
              <w:left w:val="nil"/>
              <w:bottom w:val="nil"/>
              <w:right w:val="nil"/>
            </w:tcBorders>
          </w:tcPr>
          <w:p w:rsidR="00EE193B" w:rsidRPr="007A4735" w:rsidRDefault="00EE193B" w:rsidP="00484433">
            <w:pPr>
              <w:spacing w:line="240" w:lineRule="auto"/>
              <w:ind w:firstLine="0"/>
              <w:rPr>
                <w:rFonts w:asciiTheme="majorBidi" w:hAnsiTheme="majorBidi" w:cstheme="majorBidi"/>
                <w:sz w:val="24"/>
                <w:szCs w:val="24"/>
                <w:lang w:val="en-US"/>
              </w:rPr>
            </w:pP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(14.49)</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(8.55)</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(12.30)</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(12.17)</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(14.38)</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(13.85)</w:t>
            </w:r>
          </w:p>
        </w:tc>
      </w:tr>
      <w:tr w:rsidR="00EE193B" w:rsidRPr="007A4735" w:rsidTr="000A3F44">
        <w:tc>
          <w:tcPr>
            <w:tcW w:w="2376" w:type="dxa"/>
            <w:tcBorders>
              <w:top w:val="nil"/>
              <w:left w:val="nil"/>
              <w:bottom w:val="nil"/>
              <w:right w:val="nil"/>
            </w:tcBorders>
          </w:tcPr>
          <w:p w:rsidR="00EE193B" w:rsidRPr="007A4735" w:rsidRDefault="00EE193B" w:rsidP="00484433">
            <w:pPr>
              <w:spacing w:line="240" w:lineRule="auto"/>
              <w:ind w:firstLine="0"/>
              <w:rPr>
                <w:rFonts w:asciiTheme="majorBidi" w:hAnsiTheme="majorBidi" w:cstheme="majorBidi"/>
                <w:sz w:val="24"/>
                <w:szCs w:val="24"/>
                <w:lang w:val="en-US"/>
              </w:rPr>
            </w:pPr>
            <w:r w:rsidRPr="00D5186E">
              <w:rPr>
                <w:rFonts w:asciiTheme="majorBidi" w:hAnsiTheme="majorBidi" w:cstheme="majorBidi"/>
                <w:i/>
                <w:sz w:val="24"/>
                <w:szCs w:val="24"/>
                <w:lang w:val="en-US"/>
              </w:rPr>
              <w:t>Tax</w:t>
            </w:r>
            <w:r w:rsidR="000133C7" w:rsidRPr="000133C7">
              <w:rPr>
                <w:rFonts w:asciiTheme="majorBidi" w:hAnsiTheme="majorBidi" w:cstheme="majorBidi"/>
                <w:i/>
                <w:sz w:val="24"/>
                <w:szCs w:val="24"/>
                <w:vertAlign w:val="subscript"/>
                <w:lang w:val="en-US"/>
              </w:rPr>
              <w:t>i</w:t>
            </w:r>
            <w:r w:rsidRPr="000133C7">
              <w:rPr>
                <w:rFonts w:asciiTheme="majorBidi" w:hAnsiTheme="majorBidi" w:cstheme="majorBidi"/>
                <w:i/>
                <w:sz w:val="24"/>
                <w:szCs w:val="24"/>
                <w:vertAlign w:val="subscript"/>
                <w:lang w:val="en-US"/>
              </w:rPr>
              <w:t>t-1</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-0.069***</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-0.359***</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-0.097***</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-0.062***</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-0.074***</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-0.102***</w:t>
            </w:r>
          </w:p>
        </w:tc>
      </w:tr>
      <w:tr w:rsidR="00EE193B" w:rsidRPr="007A4735" w:rsidTr="000A3F44">
        <w:tc>
          <w:tcPr>
            <w:tcW w:w="2376" w:type="dxa"/>
            <w:tcBorders>
              <w:top w:val="nil"/>
              <w:left w:val="nil"/>
              <w:bottom w:val="nil"/>
              <w:right w:val="nil"/>
            </w:tcBorders>
          </w:tcPr>
          <w:p w:rsidR="00EE193B" w:rsidRPr="007A4735" w:rsidRDefault="00EE193B" w:rsidP="00484433">
            <w:pPr>
              <w:spacing w:line="240" w:lineRule="auto"/>
              <w:ind w:firstLine="0"/>
              <w:rPr>
                <w:rFonts w:asciiTheme="majorBidi" w:hAnsiTheme="majorBidi" w:cstheme="majorBidi"/>
                <w:sz w:val="24"/>
                <w:szCs w:val="24"/>
                <w:lang w:val="en-US"/>
              </w:rPr>
            </w:pP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(6.09)</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(3.65)</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(6.66)</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(3.67)</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(6.12)</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(4.87)</w:t>
            </w:r>
          </w:p>
        </w:tc>
      </w:tr>
      <w:tr w:rsidR="00EE193B" w:rsidRPr="007A4735" w:rsidTr="000A3F44">
        <w:tc>
          <w:tcPr>
            <w:tcW w:w="2376" w:type="dxa"/>
            <w:tcBorders>
              <w:top w:val="nil"/>
              <w:left w:val="nil"/>
              <w:bottom w:val="nil"/>
              <w:right w:val="nil"/>
            </w:tcBorders>
          </w:tcPr>
          <w:p w:rsidR="00EE193B" w:rsidRPr="007A4735" w:rsidRDefault="00EE193B" w:rsidP="00484433">
            <w:pPr>
              <w:spacing w:line="240" w:lineRule="auto"/>
              <w:ind w:firstLine="0"/>
              <w:rPr>
                <w:rFonts w:asciiTheme="majorBidi" w:hAnsiTheme="majorBidi" w:cstheme="majorBidi"/>
                <w:sz w:val="24"/>
                <w:szCs w:val="24"/>
                <w:lang w:val="en-US"/>
              </w:rPr>
            </w:pPr>
            <w:r w:rsidRPr="007A4735">
              <w:rPr>
                <w:rFonts w:asciiTheme="majorBidi" w:hAnsiTheme="majorBidi" w:cstheme="majorBidi"/>
                <w:sz w:val="24"/>
                <w:szCs w:val="24"/>
                <w:lang w:val="en-US"/>
              </w:rPr>
              <w:t>[</w:t>
            </w:r>
            <w:r w:rsidR="000133C7" w:rsidRPr="000133C7">
              <w:rPr>
                <w:rFonts w:asciiTheme="majorBidi" w:hAnsiTheme="majorBidi" w:cstheme="majorBidi"/>
                <w:i/>
                <w:sz w:val="24"/>
                <w:szCs w:val="24"/>
                <w:lang w:val="en-US"/>
              </w:rPr>
              <w:t>GAP</w:t>
            </w:r>
            <w:r w:rsidR="000133C7">
              <w:rPr>
                <w:rFonts w:asciiTheme="majorBidi" w:hAnsiTheme="majorBidi" w:cstheme="majorBidi"/>
                <w:i/>
                <w:sz w:val="24"/>
                <w:szCs w:val="24"/>
                <w:vertAlign w:val="subscript"/>
                <w:lang w:val="en-US"/>
              </w:rPr>
              <w:t>it-1</w:t>
            </w:r>
            <w:r w:rsidRPr="007A4735">
              <w:rPr>
                <w:rFonts w:asciiTheme="majorBidi" w:hAnsiTheme="majorBidi" w:cstheme="majorBidi"/>
                <w:sz w:val="24"/>
                <w:szCs w:val="24"/>
                <w:lang w:val="en-US"/>
              </w:rPr>
              <w:t>×</w:t>
            </w:r>
            <w:r w:rsidR="000133C7" w:rsidRPr="00D5186E">
              <w:rPr>
                <w:rFonts w:asciiTheme="majorBidi" w:hAnsiTheme="majorBidi" w:cstheme="majorBidi"/>
                <w:i/>
                <w:sz w:val="24"/>
                <w:szCs w:val="24"/>
                <w:lang w:val="en-US"/>
              </w:rPr>
              <w:t xml:space="preserve"> Tax</w:t>
            </w:r>
            <w:r w:rsidR="000133C7" w:rsidRPr="000133C7">
              <w:rPr>
                <w:rFonts w:asciiTheme="majorBidi" w:hAnsiTheme="majorBidi" w:cstheme="majorBidi"/>
                <w:i/>
                <w:sz w:val="24"/>
                <w:szCs w:val="24"/>
                <w:vertAlign w:val="subscript"/>
                <w:lang w:val="en-US"/>
              </w:rPr>
              <w:t>it-1</w:t>
            </w:r>
            <w:r w:rsidRPr="007A4735">
              <w:rPr>
                <w:rFonts w:asciiTheme="majorBidi" w:hAnsiTheme="majorBidi" w:cstheme="majorBidi"/>
                <w:sz w:val="24"/>
                <w:szCs w:val="24"/>
                <w:lang w:val="en-US"/>
              </w:rPr>
              <w:t>]</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0.435***</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r>
      <w:tr w:rsidR="00EE193B" w:rsidRPr="007A4735" w:rsidTr="000A3F44">
        <w:tc>
          <w:tcPr>
            <w:tcW w:w="2376" w:type="dxa"/>
            <w:tcBorders>
              <w:top w:val="nil"/>
              <w:left w:val="nil"/>
              <w:bottom w:val="nil"/>
              <w:right w:val="nil"/>
            </w:tcBorders>
          </w:tcPr>
          <w:p w:rsidR="00EE193B" w:rsidRPr="007A4735" w:rsidRDefault="00EE193B" w:rsidP="00484433">
            <w:pPr>
              <w:spacing w:line="240" w:lineRule="auto"/>
              <w:ind w:firstLine="0"/>
              <w:rPr>
                <w:rFonts w:asciiTheme="majorBidi" w:hAnsiTheme="majorBidi" w:cstheme="majorBidi"/>
                <w:sz w:val="24"/>
                <w:szCs w:val="24"/>
                <w:lang w:val="en-US"/>
              </w:rPr>
            </w:pP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(3.09)</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r>
      <w:tr w:rsidR="00EE193B" w:rsidRPr="007A4735" w:rsidTr="000A3F44">
        <w:tc>
          <w:tcPr>
            <w:tcW w:w="2376" w:type="dxa"/>
            <w:tcBorders>
              <w:top w:val="nil"/>
              <w:left w:val="nil"/>
              <w:bottom w:val="nil"/>
              <w:right w:val="nil"/>
            </w:tcBorders>
          </w:tcPr>
          <w:p w:rsidR="00EE193B" w:rsidRPr="000133C7" w:rsidRDefault="00EE193B" w:rsidP="00484433">
            <w:pPr>
              <w:spacing w:line="240" w:lineRule="auto"/>
              <w:ind w:firstLine="0"/>
              <w:rPr>
                <w:rFonts w:asciiTheme="majorBidi" w:hAnsiTheme="majorBidi" w:cstheme="majorBidi"/>
                <w:i/>
                <w:sz w:val="24"/>
                <w:szCs w:val="24"/>
                <w:vertAlign w:val="subscript"/>
                <w:lang w:val="en-US"/>
              </w:rPr>
            </w:pPr>
            <w:r w:rsidRPr="006A52B9">
              <w:rPr>
                <w:rFonts w:asciiTheme="majorBidi" w:hAnsiTheme="majorBidi" w:cstheme="majorBidi"/>
                <w:i/>
                <w:sz w:val="24"/>
                <w:szCs w:val="24"/>
                <w:lang w:val="en-US"/>
              </w:rPr>
              <w:t>R</w:t>
            </w:r>
            <w:r w:rsidR="000133C7">
              <w:rPr>
                <w:rFonts w:asciiTheme="majorBidi" w:hAnsiTheme="majorBidi" w:cstheme="majorBidi"/>
                <w:i/>
                <w:sz w:val="24"/>
                <w:szCs w:val="24"/>
                <w:vertAlign w:val="subscript"/>
                <w:lang w:val="en-US"/>
              </w:rPr>
              <w:t>i</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0.005*</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0.005*</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0.012**</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0.004</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0.004</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0.005*</w:t>
            </w:r>
          </w:p>
        </w:tc>
      </w:tr>
      <w:tr w:rsidR="00EE193B" w:rsidRPr="007A4735" w:rsidTr="000A3F44">
        <w:tc>
          <w:tcPr>
            <w:tcW w:w="2376" w:type="dxa"/>
            <w:tcBorders>
              <w:top w:val="nil"/>
              <w:left w:val="nil"/>
              <w:bottom w:val="nil"/>
              <w:right w:val="nil"/>
            </w:tcBorders>
          </w:tcPr>
          <w:p w:rsidR="00EE193B" w:rsidRPr="007A4735" w:rsidRDefault="00EE193B" w:rsidP="00484433">
            <w:pPr>
              <w:spacing w:line="240" w:lineRule="auto"/>
              <w:ind w:firstLine="0"/>
              <w:rPr>
                <w:rFonts w:asciiTheme="majorBidi" w:hAnsiTheme="majorBidi" w:cstheme="majorBidi"/>
                <w:sz w:val="24"/>
                <w:szCs w:val="24"/>
                <w:lang w:val="en-US"/>
              </w:rPr>
            </w:pP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(1.79)</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(1.69)</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(2.15)</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(1.36)</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(0.70)</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(1.75)</w:t>
            </w:r>
          </w:p>
        </w:tc>
      </w:tr>
      <w:tr w:rsidR="00EE193B" w:rsidRPr="007A4735" w:rsidTr="000A3F44">
        <w:tc>
          <w:tcPr>
            <w:tcW w:w="2376" w:type="dxa"/>
            <w:tcBorders>
              <w:top w:val="nil"/>
              <w:left w:val="nil"/>
              <w:bottom w:val="nil"/>
              <w:right w:val="nil"/>
            </w:tcBorders>
          </w:tcPr>
          <w:p w:rsidR="00EE193B" w:rsidRPr="000133C7" w:rsidRDefault="00EE193B" w:rsidP="00484433">
            <w:pPr>
              <w:spacing w:line="240" w:lineRule="auto"/>
              <w:ind w:firstLine="0"/>
              <w:rPr>
                <w:rFonts w:asciiTheme="majorBidi" w:hAnsiTheme="majorBidi" w:cstheme="majorBidi"/>
                <w:i/>
                <w:sz w:val="24"/>
                <w:szCs w:val="24"/>
                <w:vertAlign w:val="subscript"/>
                <w:lang w:val="en-US"/>
              </w:rPr>
            </w:pPr>
            <w:r w:rsidRPr="006A52B9">
              <w:rPr>
                <w:rFonts w:asciiTheme="majorBidi" w:hAnsiTheme="majorBidi" w:cstheme="majorBidi"/>
                <w:i/>
                <w:sz w:val="24"/>
                <w:szCs w:val="24"/>
                <w:lang w:val="en-US"/>
              </w:rPr>
              <w:t>E</w:t>
            </w:r>
            <w:r w:rsidR="000133C7">
              <w:rPr>
                <w:rFonts w:asciiTheme="majorBidi" w:hAnsiTheme="majorBidi" w:cstheme="majorBidi"/>
                <w:i/>
                <w:sz w:val="24"/>
                <w:szCs w:val="24"/>
                <w:vertAlign w:val="subscript"/>
                <w:lang w:val="en-US"/>
              </w:rPr>
              <w:t>i</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0.001</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0.001</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0.001</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0.011***</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0.001</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0.007</w:t>
            </w:r>
          </w:p>
        </w:tc>
      </w:tr>
      <w:tr w:rsidR="00EE193B" w:rsidRPr="007A4735" w:rsidTr="000A3F44">
        <w:tc>
          <w:tcPr>
            <w:tcW w:w="2376" w:type="dxa"/>
            <w:tcBorders>
              <w:top w:val="nil"/>
              <w:left w:val="nil"/>
              <w:bottom w:val="nil"/>
              <w:right w:val="nil"/>
            </w:tcBorders>
          </w:tcPr>
          <w:p w:rsidR="00EE193B" w:rsidRPr="007A4735" w:rsidRDefault="00EE193B" w:rsidP="00484433">
            <w:pPr>
              <w:spacing w:line="240" w:lineRule="auto"/>
              <w:ind w:firstLine="0"/>
              <w:rPr>
                <w:rFonts w:asciiTheme="majorBidi" w:hAnsiTheme="majorBidi" w:cstheme="majorBidi"/>
                <w:sz w:val="24"/>
                <w:szCs w:val="24"/>
                <w:lang w:val="en-US"/>
              </w:rPr>
            </w:pP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(0.35)</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(0.36)</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(0.70)</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(3.54)</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(0.36)</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(1.55)</w:t>
            </w:r>
          </w:p>
        </w:tc>
      </w:tr>
      <w:tr w:rsidR="00EE193B" w:rsidRPr="007A4735" w:rsidTr="000A3F44">
        <w:tc>
          <w:tcPr>
            <w:tcW w:w="2376" w:type="dxa"/>
            <w:tcBorders>
              <w:top w:val="nil"/>
              <w:left w:val="nil"/>
              <w:bottom w:val="nil"/>
              <w:right w:val="nil"/>
            </w:tcBorders>
          </w:tcPr>
          <w:p w:rsidR="00EE193B" w:rsidRPr="007A1A56" w:rsidRDefault="00EE193B" w:rsidP="00484433">
            <w:pPr>
              <w:spacing w:line="240" w:lineRule="auto"/>
              <w:ind w:firstLine="0"/>
              <w:rPr>
                <w:rFonts w:asciiTheme="majorBidi" w:hAnsiTheme="majorBidi" w:cstheme="majorBidi"/>
                <w:sz w:val="24"/>
                <w:szCs w:val="24"/>
                <w:lang w:val="en-US"/>
              </w:rPr>
            </w:pPr>
            <w:r w:rsidRPr="007A1A56">
              <w:rPr>
                <w:rFonts w:asciiTheme="majorBidi" w:hAnsiTheme="majorBidi" w:cstheme="majorBidi"/>
                <w:sz w:val="24"/>
                <w:szCs w:val="24"/>
                <w:lang w:val="en-US"/>
              </w:rPr>
              <w:t>[</w:t>
            </w:r>
            <w:r w:rsidR="001657CC" w:rsidRPr="006A52B9">
              <w:rPr>
                <w:rFonts w:asciiTheme="majorBidi" w:hAnsiTheme="majorBidi" w:cstheme="majorBidi"/>
                <w:i/>
                <w:sz w:val="24"/>
                <w:szCs w:val="24"/>
                <w:lang w:val="en-US"/>
              </w:rPr>
              <w:t>R</w:t>
            </w:r>
            <w:r w:rsidR="001657CC">
              <w:rPr>
                <w:rFonts w:asciiTheme="majorBidi" w:hAnsiTheme="majorBidi" w:cstheme="majorBidi"/>
                <w:i/>
                <w:sz w:val="24"/>
                <w:szCs w:val="24"/>
                <w:vertAlign w:val="subscript"/>
                <w:lang w:val="en-US"/>
              </w:rPr>
              <w:t>i</w:t>
            </w:r>
            <w:r w:rsidR="001657CC" w:rsidRPr="007A1A56">
              <w:rPr>
                <w:rFonts w:asciiTheme="majorBidi" w:hAnsiTheme="majorBidi" w:cstheme="majorBidi"/>
                <w:sz w:val="24"/>
                <w:szCs w:val="24"/>
                <w:lang w:val="en-US"/>
              </w:rPr>
              <w:t xml:space="preserve"> </w:t>
            </w:r>
            <w:r w:rsidRPr="007A1A56">
              <w:rPr>
                <w:rFonts w:asciiTheme="majorBidi" w:hAnsiTheme="majorBidi" w:cstheme="majorBidi"/>
                <w:sz w:val="24"/>
                <w:szCs w:val="24"/>
                <w:lang w:val="en-US"/>
              </w:rPr>
              <w:t>×</w:t>
            </w:r>
            <w:r w:rsidR="001657CC" w:rsidRPr="00D5186E">
              <w:rPr>
                <w:rFonts w:asciiTheme="majorBidi" w:hAnsiTheme="majorBidi" w:cstheme="majorBidi"/>
                <w:i/>
                <w:sz w:val="24"/>
                <w:szCs w:val="24"/>
                <w:lang w:val="en-US"/>
              </w:rPr>
              <w:t>Tax</w:t>
            </w:r>
            <w:r w:rsidR="001657CC" w:rsidRPr="000133C7">
              <w:rPr>
                <w:rFonts w:asciiTheme="majorBidi" w:hAnsiTheme="majorBidi" w:cstheme="majorBidi"/>
                <w:i/>
                <w:sz w:val="24"/>
                <w:szCs w:val="24"/>
                <w:vertAlign w:val="subscript"/>
                <w:lang w:val="en-US"/>
              </w:rPr>
              <w:t>it-1</w:t>
            </w:r>
            <w:r w:rsidRPr="007A1A56">
              <w:rPr>
                <w:rFonts w:asciiTheme="majorBidi" w:hAnsiTheme="majorBidi" w:cstheme="majorBidi"/>
                <w:sz w:val="24"/>
                <w:szCs w:val="24"/>
                <w:lang w:val="en-US"/>
              </w:rPr>
              <w:t>]</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-0.053*</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r>
      <w:tr w:rsidR="00EE193B" w:rsidRPr="007A4735" w:rsidTr="000A3F44">
        <w:tc>
          <w:tcPr>
            <w:tcW w:w="2376" w:type="dxa"/>
            <w:tcBorders>
              <w:top w:val="nil"/>
              <w:left w:val="nil"/>
              <w:bottom w:val="nil"/>
              <w:right w:val="nil"/>
            </w:tcBorders>
          </w:tcPr>
          <w:p w:rsidR="00EE193B" w:rsidRPr="007A1A56" w:rsidRDefault="00EE193B" w:rsidP="00484433">
            <w:pPr>
              <w:spacing w:line="240" w:lineRule="auto"/>
              <w:ind w:firstLine="0"/>
              <w:rPr>
                <w:rFonts w:asciiTheme="majorBidi" w:hAnsiTheme="majorBidi" w:cstheme="majorBidi"/>
                <w:sz w:val="24"/>
                <w:szCs w:val="24"/>
                <w:lang w:val="en-US"/>
              </w:rPr>
            </w:pP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(1.71)</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r>
      <w:tr w:rsidR="00EE193B" w:rsidRPr="007A4735" w:rsidTr="000A3F44">
        <w:tc>
          <w:tcPr>
            <w:tcW w:w="2376" w:type="dxa"/>
            <w:tcBorders>
              <w:top w:val="nil"/>
              <w:left w:val="nil"/>
              <w:bottom w:val="nil"/>
              <w:right w:val="nil"/>
            </w:tcBorders>
          </w:tcPr>
          <w:p w:rsidR="00EE193B" w:rsidRPr="007A1A56" w:rsidRDefault="001657CC" w:rsidP="00484433">
            <w:pPr>
              <w:spacing w:line="240" w:lineRule="auto"/>
              <w:ind w:firstLine="0"/>
              <w:rPr>
                <w:rFonts w:asciiTheme="majorBidi" w:hAnsiTheme="majorBidi" w:cstheme="majorBidi"/>
                <w:sz w:val="24"/>
                <w:szCs w:val="24"/>
                <w:lang w:val="en-US"/>
              </w:rPr>
            </w:pPr>
            <w:r w:rsidRPr="007A1A56">
              <w:rPr>
                <w:rFonts w:asciiTheme="majorBidi" w:hAnsiTheme="majorBidi" w:cstheme="majorBidi"/>
                <w:sz w:val="24"/>
                <w:szCs w:val="24"/>
                <w:lang w:val="en-US"/>
              </w:rPr>
              <w:t>[</w:t>
            </w:r>
            <w:r>
              <w:rPr>
                <w:rFonts w:asciiTheme="majorBidi" w:hAnsiTheme="majorBidi" w:cstheme="majorBidi"/>
                <w:i/>
                <w:sz w:val="24"/>
                <w:szCs w:val="24"/>
                <w:lang w:val="en-US"/>
              </w:rPr>
              <w:t>E</w:t>
            </w:r>
            <w:r>
              <w:rPr>
                <w:rFonts w:asciiTheme="majorBidi" w:hAnsiTheme="majorBidi" w:cstheme="majorBidi"/>
                <w:i/>
                <w:sz w:val="24"/>
                <w:szCs w:val="24"/>
                <w:vertAlign w:val="subscript"/>
                <w:lang w:val="en-US"/>
              </w:rPr>
              <w:t>i</w:t>
            </w:r>
            <w:r w:rsidRPr="007A1A56">
              <w:rPr>
                <w:rFonts w:asciiTheme="majorBidi" w:hAnsiTheme="majorBidi" w:cstheme="majorBidi"/>
                <w:sz w:val="24"/>
                <w:szCs w:val="24"/>
                <w:lang w:val="en-US"/>
              </w:rPr>
              <w:t xml:space="preserve"> ×</w:t>
            </w:r>
            <w:r w:rsidRPr="00D5186E">
              <w:rPr>
                <w:rFonts w:asciiTheme="majorBidi" w:hAnsiTheme="majorBidi" w:cstheme="majorBidi"/>
                <w:i/>
                <w:sz w:val="24"/>
                <w:szCs w:val="24"/>
                <w:lang w:val="en-US"/>
              </w:rPr>
              <w:t>Tax</w:t>
            </w:r>
            <w:r w:rsidRPr="000133C7">
              <w:rPr>
                <w:rFonts w:asciiTheme="majorBidi" w:hAnsiTheme="majorBidi" w:cstheme="majorBidi"/>
                <w:i/>
                <w:sz w:val="24"/>
                <w:szCs w:val="24"/>
                <w:vertAlign w:val="subscript"/>
                <w:lang w:val="en-US"/>
              </w:rPr>
              <w:t>it-1</w:t>
            </w:r>
            <w:r w:rsidRPr="007A1A56">
              <w:rPr>
                <w:rFonts w:asciiTheme="majorBidi" w:hAnsiTheme="majorBidi" w:cstheme="majorBidi"/>
                <w:sz w:val="24"/>
                <w:szCs w:val="24"/>
                <w:lang w:val="en-US"/>
              </w:rPr>
              <w:t>]</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-0.063***</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r>
      <w:tr w:rsidR="00EE193B" w:rsidRPr="007A4735" w:rsidTr="000A3F44">
        <w:tc>
          <w:tcPr>
            <w:tcW w:w="2376" w:type="dxa"/>
            <w:tcBorders>
              <w:top w:val="nil"/>
              <w:left w:val="nil"/>
              <w:bottom w:val="nil"/>
              <w:right w:val="nil"/>
            </w:tcBorders>
          </w:tcPr>
          <w:p w:rsidR="00EE193B" w:rsidRPr="007A4735" w:rsidRDefault="00EE193B" w:rsidP="00484433">
            <w:pPr>
              <w:spacing w:line="240" w:lineRule="auto"/>
              <w:ind w:firstLine="0"/>
              <w:rPr>
                <w:rFonts w:asciiTheme="majorBidi" w:hAnsiTheme="majorBidi" w:cstheme="majorBidi"/>
                <w:sz w:val="24"/>
                <w:szCs w:val="24"/>
                <w:lang w:val="en-US"/>
              </w:rPr>
            </w:pP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(4.10)</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r>
      <w:tr w:rsidR="00EE193B" w:rsidRPr="007A4735" w:rsidTr="000A3F44">
        <w:tc>
          <w:tcPr>
            <w:tcW w:w="2376" w:type="dxa"/>
            <w:tcBorders>
              <w:top w:val="nil"/>
              <w:left w:val="nil"/>
              <w:bottom w:val="nil"/>
              <w:right w:val="nil"/>
            </w:tcBorders>
          </w:tcPr>
          <w:p w:rsidR="00EE193B" w:rsidRPr="007A4735" w:rsidRDefault="00EE193B" w:rsidP="00484433">
            <w:pPr>
              <w:spacing w:line="240" w:lineRule="auto"/>
              <w:ind w:firstLine="0"/>
              <w:rPr>
                <w:rFonts w:asciiTheme="majorBidi" w:hAnsiTheme="majorBidi" w:cstheme="majorBidi"/>
                <w:sz w:val="24"/>
                <w:szCs w:val="24"/>
                <w:lang w:val="en-US"/>
              </w:rPr>
            </w:pPr>
            <w:r w:rsidRPr="007A4735">
              <w:rPr>
                <w:rFonts w:asciiTheme="majorBidi" w:hAnsiTheme="majorBidi" w:cstheme="majorBidi"/>
                <w:sz w:val="24"/>
                <w:szCs w:val="24"/>
                <w:lang w:val="en-US"/>
              </w:rPr>
              <w:t>[</w:t>
            </w:r>
            <w:r w:rsidR="000A3F44" w:rsidRPr="000133C7">
              <w:rPr>
                <w:rFonts w:asciiTheme="majorBidi" w:hAnsiTheme="majorBidi" w:cstheme="majorBidi"/>
                <w:i/>
                <w:sz w:val="24"/>
                <w:szCs w:val="24"/>
                <w:lang w:val="en-US"/>
              </w:rPr>
              <w:t>GAP</w:t>
            </w:r>
            <w:r w:rsidR="000A3F44">
              <w:rPr>
                <w:rFonts w:asciiTheme="majorBidi" w:hAnsiTheme="majorBidi" w:cstheme="majorBidi"/>
                <w:i/>
                <w:sz w:val="24"/>
                <w:szCs w:val="24"/>
                <w:vertAlign w:val="subscript"/>
                <w:lang w:val="en-US"/>
              </w:rPr>
              <w:t>it-1</w:t>
            </w:r>
            <w:r w:rsidR="000A3F44" w:rsidRPr="007A4735">
              <w:rPr>
                <w:rFonts w:asciiTheme="majorBidi" w:hAnsiTheme="majorBidi" w:cstheme="majorBidi"/>
                <w:sz w:val="24"/>
                <w:szCs w:val="24"/>
                <w:lang w:val="en-US"/>
              </w:rPr>
              <w:t>×</w:t>
            </w:r>
            <w:r w:rsidR="000A3F44" w:rsidRPr="00D5186E">
              <w:rPr>
                <w:rFonts w:asciiTheme="majorBidi" w:hAnsiTheme="majorBidi" w:cstheme="majorBidi"/>
                <w:i/>
                <w:sz w:val="24"/>
                <w:szCs w:val="24"/>
                <w:lang w:val="en-US"/>
              </w:rPr>
              <w:t>Tax</w:t>
            </w:r>
            <w:r w:rsidR="000A3F44" w:rsidRPr="000133C7">
              <w:rPr>
                <w:rFonts w:asciiTheme="majorBidi" w:hAnsiTheme="majorBidi" w:cstheme="majorBidi"/>
                <w:i/>
                <w:sz w:val="24"/>
                <w:szCs w:val="24"/>
                <w:vertAlign w:val="subscript"/>
                <w:lang w:val="en-US"/>
              </w:rPr>
              <w:t>it-1</w:t>
            </w:r>
            <w:r w:rsidRPr="007A4735">
              <w:rPr>
                <w:rFonts w:asciiTheme="majorBidi" w:hAnsiTheme="majorBidi" w:cstheme="majorBidi"/>
                <w:sz w:val="24"/>
                <w:szCs w:val="24"/>
                <w:lang w:val="en-US"/>
              </w:rPr>
              <w:t>×</w:t>
            </w:r>
            <w:r w:rsidR="000A3F44" w:rsidRPr="006A52B9">
              <w:rPr>
                <w:rFonts w:asciiTheme="majorBidi" w:hAnsiTheme="majorBidi" w:cstheme="majorBidi"/>
                <w:i/>
                <w:sz w:val="24"/>
                <w:szCs w:val="24"/>
                <w:lang w:val="en-US"/>
              </w:rPr>
              <w:t>R</w:t>
            </w:r>
            <w:r w:rsidR="000A3F44">
              <w:rPr>
                <w:rFonts w:asciiTheme="majorBidi" w:hAnsiTheme="majorBidi" w:cstheme="majorBidi"/>
                <w:i/>
                <w:sz w:val="24"/>
                <w:szCs w:val="24"/>
                <w:vertAlign w:val="subscript"/>
                <w:lang w:val="en-US"/>
              </w:rPr>
              <w:t>i</w:t>
            </w:r>
            <w:r w:rsidRPr="007A4735">
              <w:rPr>
                <w:rFonts w:asciiTheme="majorBidi" w:hAnsiTheme="majorBidi" w:cstheme="majorBidi"/>
                <w:sz w:val="24"/>
                <w:szCs w:val="24"/>
                <w:lang w:val="en-US"/>
              </w:rPr>
              <w:t>]</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0.075*</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r>
      <w:tr w:rsidR="00EE193B" w:rsidRPr="007A4735" w:rsidTr="000A3F44">
        <w:tc>
          <w:tcPr>
            <w:tcW w:w="2376" w:type="dxa"/>
            <w:tcBorders>
              <w:top w:val="nil"/>
              <w:left w:val="nil"/>
              <w:bottom w:val="nil"/>
              <w:right w:val="nil"/>
            </w:tcBorders>
          </w:tcPr>
          <w:p w:rsidR="00EE193B" w:rsidRPr="007A4735" w:rsidRDefault="00EE193B" w:rsidP="00484433">
            <w:pPr>
              <w:spacing w:line="240" w:lineRule="auto"/>
              <w:ind w:firstLine="0"/>
              <w:rPr>
                <w:rFonts w:asciiTheme="majorBidi" w:hAnsiTheme="majorBidi" w:cstheme="majorBidi"/>
                <w:sz w:val="24"/>
                <w:szCs w:val="24"/>
                <w:lang w:val="en-US"/>
              </w:rPr>
            </w:pP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(1.88)</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r>
      <w:tr w:rsidR="00EE193B" w:rsidRPr="007A4735" w:rsidTr="000A3F44">
        <w:tc>
          <w:tcPr>
            <w:tcW w:w="2376" w:type="dxa"/>
            <w:tcBorders>
              <w:top w:val="nil"/>
              <w:left w:val="nil"/>
              <w:bottom w:val="nil"/>
              <w:right w:val="nil"/>
            </w:tcBorders>
          </w:tcPr>
          <w:p w:rsidR="00EE193B" w:rsidRPr="007A4735" w:rsidRDefault="000A3F44" w:rsidP="00484433">
            <w:pPr>
              <w:spacing w:line="240" w:lineRule="auto"/>
              <w:ind w:firstLine="0"/>
              <w:rPr>
                <w:rFonts w:asciiTheme="majorBidi" w:hAnsiTheme="majorBidi" w:cstheme="majorBidi"/>
                <w:sz w:val="24"/>
                <w:szCs w:val="24"/>
                <w:lang w:val="en-US"/>
              </w:rPr>
            </w:pPr>
            <w:r w:rsidRPr="007A4735">
              <w:rPr>
                <w:rFonts w:asciiTheme="majorBidi" w:hAnsiTheme="majorBidi" w:cstheme="majorBidi"/>
                <w:sz w:val="24"/>
                <w:szCs w:val="24"/>
                <w:lang w:val="en-US"/>
              </w:rPr>
              <w:t>[</w:t>
            </w:r>
            <w:r w:rsidRPr="000133C7">
              <w:rPr>
                <w:rFonts w:asciiTheme="majorBidi" w:hAnsiTheme="majorBidi" w:cstheme="majorBidi"/>
                <w:i/>
                <w:sz w:val="24"/>
                <w:szCs w:val="24"/>
                <w:lang w:val="en-US"/>
              </w:rPr>
              <w:t>GAP</w:t>
            </w:r>
            <w:r>
              <w:rPr>
                <w:rFonts w:asciiTheme="majorBidi" w:hAnsiTheme="majorBidi" w:cstheme="majorBidi"/>
                <w:i/>
                <w:sz w:val="24"/>
                <w:szCs w:val="24"/>
                <w:vertAlign w:val="subscript"/>
                <w:lang w:val="en-US"/>
              </w:rPr>
              <w:t>it-1</w:t>
            </w:r>
            <w:r w:rsidRPr="007A4735">
              <w:rPr>
                <w:rFonts w:asciiTheme="majorBidi" w:hAnsiTheme="majorBidi" w:cstheme="majorBidi"/>
                <w:sz w:val="24"/>
                <w:szCs w:val="24"/>
                <w:lang w:val="en-US"/>
              </w:rPr>
              <w:t>×</w:t>
            </w:r>
            <w:r w:rsidRPr="00D5186E">
              <w:rPr>
                <w:rFonts w:asciiTheme="majorBidi" w:hAnsiTheme="majorBidi" w:cstheme="majorBidi"/>
                <w:i/>
                <w:sz w:val="24"/>
                <w:szCs w:val="24"/>
                <w:lang w:val="en-US"/>
              </w:rPr>
              <w:t>Tax</w:t>
            </w:r>
            <w:r w:rsidRPr="000133C7">
              <w:rPr>
                <w:rFonts w:asciiTheme="majorBidi" w:hAnsiTheme="majorBidi" w:cstheme="majorBidi"/>
                <w:i/>
                <w:sz w:val="24"/>
                <w:szCs w:val="24"/>
                <w:vertAlign w:val="subscript"/>
                <w:lang w:val="en-US"/>
              </w:rPr>
              <w:t>it-1</w:t>
            </w:r>
            <w:r w:rsidRPr="007A4735">
              <w:rPr>
                <w:rFonts w:asciiTheme="majorBidi" w:hAnsiTheme="majorBidi" w:cstheme="majorBidi"/>
                <w:sz w:val="24"/>
                <w:szCs w:val="24"/>
                <w:lang w:val="en-US"/>
              </w:rPr>
              <w:t>×</w:t>
            </w:r>
            <w:r>
              <w:rPr>
                <w:rFonts w:asciiTheme="majorBidi" w:hAnsiTheme="majorBidi" w:cstheme="majorBidi"/>
                <w:i/>
                <w:sz w:val="24"/>
                <w:szCs w:val="24"/>
                <w:lang w:val="en-US"/>
              </w:rPr>
              <w:t>E</w:t>
            </w:r>
            <w:r>
              <w:rPr>
                <w:rFonts w:asciiTheme="majorBidi" w:hAnsiTheme="majorBidi" w:cstheme="majorBidi"/>
                <w:i/>
                <w:sz w:val="24"/>
                <w:szCs w:val="24"/>
                <w:vertAlign w:val="subscript"/>
                <w:lang w:val="en-US"/>
              </w:rPr>
              <w:t>i</w:t>
            </w:r>
            <w:r w:rsidRPr="007A4735">
              <w:rPr>
                <w:rFonts w:asciiTheme="majorBidi" w:hAnsiTheme="majorBidi" w:cstheme="majorBidi"/>
                <w:sz w:val="24"/>
                <w:szCs w:val="24"/>
                <w:lang w:val="en-US"/>
              </w:rPr>
              <w:t>]</w:t>
            </w: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c>
          <w:tcPr>
            <w:tcW w:w="0" w:type="auto"/>
            <w:tcBorders>
              <w:top w:val="nil"/>
              <w:left w:val="nil"/>
              <w:bottom w:val="nil"/>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0.071**</w:t>
            </w:r>
          </w:p>
        </w:tc>
      </w:tr>
      <w:tr w:rsidR="00EE193B" w:rsidRPr="007A4735" w:rsidTr="000A3F44">
        <w:tc>
          <w:tcPr>
            <w:tcW w:w="2376" w:type="dxa"/>
            <w:tcBorders>
              <w:top w:val="nil"/>
              <w:left w:val="nil"/>
              <w:bottom w:val="single" w:sz="4" w:space="0" w:color="auto"/>
              <w:right w:val="nil"/>
            </w:tcBorders>
          </w:tcPr>
          <w:p w:rsidR="00EE193B" w:rsidRPr="007A4735" w:rsidRDefault="00EE193B" w:rsidP="00484433">
            <w:pPr>
              <w:spacing w:line="240" w:lineRule="auto"/>
              <w:ind w:firstLine="0"/>
              <w:rPr>
                <w:rFonts w:asciiTheme="majorBidi" w:hAnsiTheme="majorBidi" w:cstheme="majorBidi"/>
                <w:sz w:val="24"/>
                <w:szCs w:val="24"/>
                <w:lang w:val="en-US"/>
              </w:rPr>
            </w:pPr>
          </w:p>
        </w:tc>
        <w:tc>
          <w:tcPr>
            <w:tcW w:w="0" w:type="auto"/>
            <w:tcBorders>
              <w:top w:val="nil"/>
              <w:left w:val="nil"/>
              <w:bottom w:val="single" w:sz="4" w:space="0" w:color="auto"/>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c>
          <w:tcPr>
            <w:tcW w:w="0" w:type="auto"/>
            <w:tcBorders>
              <w:top w:val="nil"/>
              <w:left w:val="nil"/>
              <w:bottom w:val="single" w:sz="4" w:space="0" w:color="auto"/>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c>
          <w:tcPr>
            <w:tcW w:w="0" w:type="auto"/>
            <w:tcBorders>
              <w:top w:val="nil"/>
              <w:left w:val="nil"/>
              <w:bottom w:val="single" w:sz="4" w:space="0" w:color="auto"/>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c>
          <w:tcPr>
            <w:tcW w:w="0" w:type="auto"/>
            <w:tcBorders>
              <w:top w:val="nil"/>
              <w:left w:val="nil"/>
              <w:bottom w:val="single" w:sz="4" w:space="0" w:color="auto"/>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c>
          <w:tcPr>
            <w:tcW w:w="0" w:type="auto"/>
            <w:tcBorders>
              <w:top w:val="nil"/>
              <w:left w:val="nil"/>
              <w:bottom w:val="single" w:sz="4" w:space="0" w:color="auto"/>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p>
        </w:tc>
        <w:tc>
          <w:tcPr>
            <w:tcW w:w="0" w:type="auto"/>
            <w:tcBorders>
              <w:top w:val="nil"/>
              <w:left w:val="nil"/>
              <w:bottom w:val="single" w:sz="4" w:space="0" w:color="auto"/>
              <w:right w:val="nil"/>
            </w:tcBorders>
            <w:vAlign w:val="center"/>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(2.07)</w:t>
            </w:r>
          </w:p>
        </w:tc>
      </w:tr>
      <w:tr w:rsidR="00EE193B" w:rsidRPr="007A4735" w:rsidTr="000A3F44">
        <w:tc>
          <w:tcPr>
            <w:tcW w:w="2376" w:type="dxa"/>
            <w:tcBorders>
              <w:top w:val="nil"/>
              <w:left w:val="nil"/>
              <w:bottom w:val="single" w:sz="4" w:space="0" w:color="auto"/>
              <w:right w:val="nil"/>
            </w:tcBorders>
          </w:tcPr>
          <w:p w:rsidR="00EE193B" w:rsidRPr="007A4735" w:rsidRDefault="00EE193B" w:rsidP="00484433">
            <w:pPr>
              <w:spacing w:line="240" w:lineRule="auto"/>
              <w:ind w:firstLine="0"/>
              <w:rPr>
                <w:rFonts w:asciiTheme="majorBidi" w:hAnsiTheme="majorBidi" w:cstheme="majorBidi"/>
                <w:sz w:val="24"/>
                <w:szCs w:val="24"/>
                <w:lang w:val="en-US"/>
              </w:rPr>
            </w:pPr>
            <w:r w:rsidRPr="007A4735">
              <w:rPr>
                <w:rFonts w:asciiTheme="majorBidi" w:hAnsiTheme="majorBidi" w:cstheme="majorBidi"/>
                <w:sz w:val="24"/>
                <w:szCs w:val="24"/>
                <w:lang w:val="en-US"/>
              </w:rPr>
              <w:t>Industry dummies</w:t>
            </w:r>
          </w:p>
        </w:tc>
        <w:tc>
          <w:tcPr>
            <w:tcW w:w="0" w:type="auto"/>
            <w:tcBorders>
              <w:top w:val="nil"/>
              <w:left w:val="nil"/>
              <w:bottom w:val="single" w:sz="4" w:space="0" w:color="auto"/>
              <w:right w:val="nil"/>
            </w:tcBorders>
          </w:tcPr>
          <w:p w:rsidR="00EE193B" w:rsidRPr="000A3F44" w:rsidRDefault="00EE193B" w:rsidP="00484433">
            <w:pPr>
              <w:spacing w:line="240" w:lineRule="auto"/>
              <w:ind w:firstLine="0"/>
              <w:jc w:val="center"/>
              <w:rPr>
                <w:rFonts w:asciiTheme="majorBidi" w:hAnsiTheme="majorBidi" w:cstheme="majorBidi"/>
                <w:lang w:val="en-GB"/>
              </w:rPr>
            </w:pPr>
            <w:r w:rsidRPr="000A3F44">
              <w:rPr>
                <w:rFonts w:asciiTheme="majorBidi" w:hAnsiTheme="majorBidi" w:cstheme="majorBidi"/>
                <w:lang w:val="en-US"/>
              </w:rPr>
              <w:t>Yes</w:t>
            </w:r>
          </w:p>
        </w:tc>
        <w:tc>
          <w:tcPr>
            <w:tcW w:w="0" w:type="auto"/>
            <w:tcBorders>
              <w:top w:val="nil"/>
              <w:left w:val="nil"/>
              <w:bottom w:val="single" w:sz="4" w:space="0" w:color="auto"/>
              <w:right w:val="nil"/>
            </w:tcBorders>
          </w:tcPr>
          <w:p w:rsidR="00EE193B" w:rsidRPr="000A3F44" w:rsidRDefault="00EE193B" w:rsidP="00484433">
            <w:pPr>
              <w:spacing w:line="240" w:lineRule="auto"/>
              <w:ind w:firstLine="0"/>
              <w:jc w:val="center"/>
              <w:rPr>
                <w:rFonts w:asciiTheme="majorBidi" w:hAnsiTheme="majorBidi" w:cstheme="majorBidi"/>
                <w:lang w:val="en-GB"/>
              </w:rPr>
            </w:pPr>
            <w:r w:rsidRPr="000A3F44">
              <w:rPr>
                <w:rFonts w:asciiTheme="majorBidi" w:hAnsiTheme="majorBidi" w:cstheme="majorBidi"/>
                <w:lang w:val="en-US"/>
              </w:rPr>
              <w:t>Yes</w:t>
            </w:r>
          </w:p>
        </w:tc>
        <w:tc>
          <w:tcPr>
            <w:tcW w:w="0" w:type="auto"/>
            <w:tcBorders>
              <w:top w:val="nil"/>
              <w:left w:val="nil"/>
              <w:bottom w:val="single" w:sz="4" w:space="0" w:color="auto"/>
              <w:right w:val="nil"/>
            </w:tcBorders>
          </w:tcPr>
          <w:p w:rsidR="00EE193B" w:rsidRPr="000A3F44" w:rsidRDefault="00EE193B" w:rsidP="00484433">
            <w:pPr>
              <w:spacing w:line="240" w:lineRule="auto"/>
              <w:ind w:firstLine="0"/>
              <w:jc w:val="center"/>
              <w:rPr>
                <w:rFonts w:asciiTheme="majorBidi" w:hAnsiTheme="majorBidi" w:cstheme="majorBidi"/>
                <w:lang w:val="en-GB"/>
              </w:rPr>
            </w:pPr>
            <w:r w:rsidRPr="000A3F44">
              <w:rPr>
                <w:rFonts w:asciiTheme="majorBidi" w:hAnsiTheme="majorBidi" w:cstheme="majorBidi"/>
                <w:lang w:val="en-US"/>
              </w:rPr>
              <w:t>Yes</w:t>
            </w:r>
          </w:p>
        </w:tc>
        <w:tc>
          <w:tcPr>
            <w:tcW w:w="0" w:type="auto"/>
            <w:tcBorders>
              <w:top w:val="nil"/>
              <w:left w:val="nil"/>
              <w:bottom w:val="single" w:sz="4" w:space="0" w:color="auto"/>
              <w:right w:val="nil"/>
            </w:tcBorders>
          </w:tcPr>
          <w:p w:rsidR="00EE193B" w:rsidRPr="000A3F44" w:rsidRDefault="00EE193B" w:rsidP="00484433">
            <w:pPr>
              <w:spacing w:line="240" w:lineRule="auto"/>
              <w:ind w:firstLine="0"/>
              <w:jc w:val="center"/>
              <w:rPr>
                <w:rFonts w:asciiTheme="majorBidi" w:hAnsiTheme="majorBidi" w:cstheme="majorBidi"/>
                <w:lang w:val="en-GB"/>
              </w:rPr>
            </w:pPr>
            <w:r w:rsidRPr="000A3F44">
              <w:rPr>
                <w:rFonts w:asciiTheme="majorBidi" w:hAnsiTheme="majorBidi" w:cstheme="majorBidi"/>
                <w:lang w:val="en-US"/>
              </w:rPr>
              <w:t>Yes</w:t>
            </w:r>
          </w:p>
        </w:tc>
        <w:tc>
          <w:tcPr>
            <w:tcW w:w="0" w:type="auto"/>
            <w:tcBorders>
              <w:top w:val="nil"/>
              <w:left w:val="nil"/>
              <w:bottom w:val="single" w:sz="4" w:space="0" w:color="auto"/>
              <w:right w:val="nil"/>
            </w:tcBorders>
          </w:tcPr>
          <w:p w:rsidR="00EE193B" w:rsidRPr="000A3F44" w:rsidRDefault="00EE193B" w:rsidP="00484433">
            <w:pPr>
              <w:spacing w:line="240" w:lineRule="auto"/>
              <w:ind w:firstLine="0"/>
              <w:jc w:val="center"/>
              <w:rPr>
                <w:rFonts w:asciiTheme="majorBidi" w:hAnsiTheme="majorBidi" w:cstheme="majorBidi"/>
                <w:lang w:val="en-GB"/>
              </w:rPr>
            </w:pPr>
            <w:r w:rsidRPr="000A3F44">
              <w:rPr>
                <w:rFonts w:asciiTheme="majorBidi" w:hAnsiTheme="majorBidi" w:cstheme="majorBidi"/>
                <w:lang w:val="en-US"/>
              </w:rPr>
              <w:t>Yes</w:t>
            </w:r>
          </w:p>
        </w:tc>
        <w:tc>
          <w:tcPr>
            <w:tcW w:w="0" w:type="auto"/>
            <w:tcBorders>
              <w:top w:val="nil"/>
              <w:left w:val="nil"/>
              <w:bottom w:val="single" w:sz="4" w:space="0" w:color="auto"/>
              <w:right w:val="nil"/>
            </w:tcBorders>
          </w:tcPr>
          <w:p w:rsidR="00EE193B" w:rsidRPr="000A3F44" w:rsidRDefault="00EE193B" w:rsidP="00484433">
            <w:pPr>
              <w:spacing w:line="240" w:lineRule="auto"/>
              <w:ind w:firstLine="0"/>
              <w:jc w:val="center"/>
              <w:rPr>
                <w:rFonts w:asciiTheme="majorBidi" w:hAnsiTheme="majorBidi" w:cstheme="majorBidi"/>
                <w:lang w:val="en-GB"/>
              </w:rPr>
            </w:pPr>
            <w:r w:rsidRPr="000A3F44">
              <w:rPr>
                <w:rFonts w:asciiTheme="majorBidi" w:hAnsiTheme="majorBidi" w:cstheme="majorBidi"/>
                <w:lang w:val="en-US"/>
              </w:rPr>
              <w:t>Yes</w:t>
            </w:r>
          </w:p>
        </w:tc>
      </w:tr>
      <w:tr w:rsidR="00EE193B" w:rsidRPr="007A4735" w:rsidTr="000A3F44">
        <w:tc>
          <w:tcPr>
            <w:tcW w:w="2376" w:type="dxa"/>
            <w:tcBorders>
              <w:top w:val="nil"/>
              <w:left w:val="nil"/>
              <w:bottom w:val="single" w:sz="4" w:space="0" w:color="auto"/>
              <w:right w:val="nil"/>
            </w:tcBorders>
          </w:tcPr>
          <w:p w:rsidR="00EE193B" w:rsidRPr="007A4735" w:rsidRDefault="00EE193B" w:rsidP="00484433">
            <w:pPr>
              <w:spacing w:line="240" w:lineRule="auto"/>
              <w:ind w:firstLine="0"/>
              <w:rPr>
                <w:rFonts w:asciiTheme="majorBidi" w:hAnsiTheme="majorBidi" w:cstheme="majorBidi"/>
                <w:sz w:val="24"/>
                <w:szCs w:val="24"/>
                <w:lang w:val="en-US"/>
              </w:rPr>
            </w:pPr>
            <w:r w:rsidRPr="007A4735">
              <w:rPr>
                <w:rFonts w:asciiTheme="majorBidi" w:hAnsiTheme="majorBidi" w:cstheme="majorBidi"/>
                <w:sz w:val="24"/>
                <w:szCs w:val="24"/>
                <w:lang w:val="en-US"/>
              </w:rPr>
              <w:t>Year dummies</w:t>
            </w:r>
          </w:p>
        </w:tc>
        <w:tc>
          <w:tcPr>
            <w:tcW w:w="0" w:type="auto"/>
            <w:tcBorders>
              <w:top w:val="nil"/>
              <w:left w:val="nil"/>
              <w:bottom w:val="single" w:sz="4" w:space="0" w:color="auto"/>
              <w:right w:val="nil"/>
            </w:tcBorders>
          </w:tcPr>
          <w:p w:rsidR="00EE193B" w:rsidRPr="000A3F44" w:rsidRDefault="00EE193B" w:rsidP="00484433">
            <w:pPr>
              <w:spacing w:line="240" w:lineRule="auto"/>
              <w:ind w:firstLine="0"/>
              <w:jc w:val="center"/>
              <w:rPr>
                <w:rFonts w:asciiTheme="majorBidi" w:hAnsiTheme="majorBidi" w:cstheme="majorBidi"/>
                <w:lang w:val="en-GB"/>
              </w:rPr>
            </w:pPr>
            <w:r w:rsidRPr="000A3F44">
              <w:rPr>
                <w:rFonts w:asciiTheme="majorBidi" w:hAnsiTheme="majorBidi" w:cstheme="majorBidi"/>
                <w:lang w:val="en-US"/>
              </w:rPr>
              <w:t>Yes</w:t>
            </w:r>
          </w:p>
        </w:tc>
        <w:tc>
          <w:tcPr>
            <w:tcW w:w="0" w:type="auto"/>
            <w:tcBorders>
              <w:top w:val="nil"/>
              <w:left w:val="nil"/>
              <w:bottom w:val="single" w:sz="4" w:space="0" w:color="auto"/>
              <w:right w:val="nil"/>
            </w:tcBorders>
          </w:tcPr>
          <w:p w:rsidR="00EE193B" w:rsidRPr="000A3F44" w:rsidRDefault="00EE193B" w:rsidP="00484433">
            <w:pPr>
              <w:spacing w:line="240" w:lineRule="auto"/>
              <w:ind w:firstLine="0"/>
              <w:jc w:val="center"/>
              <w:rPr>
                <w:rFonts w:asciiTheme="majorBidi" w:hAnsiTheme="majorBidi" w:cstheme="majorBidi"/>
                <w:lang w:val="en-GB"/>
              </w:rPr>
            </w:pPr>
            <w:r w:rsidRPr="000A3F44">
              <w:rPr>
                <w:rFonts w:asciiTheme="majorBidi" w:hAnsiTheme="majorBidi" w:cstheme="majorBidi"/>
                <w:lang w:val="en-US"/>
              </w:rPr>
              <w:t>Yes</w:t>
            </w:r>
          </w:p>
        </w:tc>
        <w:tc>
          <w:tcPr>
            <w:tcW w:w="0" w:type="auto"/>
            <w:tcBorders>
              <w:top w:val="nil"/>
              <w:left w:val="nil"/>
              <w:bottom w:val="single" w:sz="4" w:space="0" w:color="auto"/>
              <w:right w:val="nil"/>
            </w:tcBorders>
          </w:tcPr>
          <w:p w:rsidR="00EE193B" w:rsidRPr="000A3F44" w:rsidRDefault="00EE193B" w:rsidP="00484433">
            <w:pPr>
              <w:spacing w:line="240" w:lineRule="auto"/>
              <w:ind w:firstLine="0"/>
              <w:jc w:val="center"/>
              <w:rPr>
                <w:rFonts w:asciiTheme="majorBidi" w:hAnsiTheme="majorBidi" w:cstheme="majorBidi"/>
                <w:lang w:val="en-GB"/>
              </w:rPr>
            </w:pPr>
            <w:r w:rsidRPr="000A3F44">
              <w:rPr>
                <w:rFonts w:asciiTheme="majorBidi" w:hAnsiTheme="majorBidi" w:cstheme="majorBidi"/>
                <w:lang w:val="en-US"/>
              </w:rPr>
              <w:t>Yes</w:t>
            </w:r>
          </w:p>
        </w:tc>
        <w:tc>
          <w:tcPr>
            <w:tcW w:w="0" w:type="auto"/>
            <w:tcBorders>
              <w:top w:val="nil"/>
              <w:left w:val="nil"/>
              <w:bottom w:val="single" w:sz="4" w:space="0" w:color="auto"/>
              <w:right w:val="nil"/>
            </w:tcBorders>
          </w:tcPr>
          <w:p w:rsidR="00EE193B" w:rsidRPr="000A3F44" w:rsidRDefault="00EE193B" w:rsidP="00484433">
            <w:pPr>
              <w:spacing w:line="240" w:lineRule="auto"/>
              <w:ind w:firstLine="0"/>
              <w:jc w:val="center"/>
              <w:rPr>
                <w:rFonts w:asciiTheme="majorBidi" w:hAnsiTheme="majorBidi" w:cstheme="majorBidi"/>
                <w:lang w:val="en-GB"/>
              </w:rPr>
            </w:pPr>
            <w:r w:rsidRPr="000A3F44">
              <w:rPr>
                <w:rFonts w:asciiTheme="majorBidi" w:hAnsiTheme="majorBidi" w:cstheme="majorBidi"/>
                <w:lang w:val="en-US"/>
              </w:rPr>
              <w:t>Yes</w:t>
            </w:r>
          </w:p>
        </w:tc>
        <w:tc>
          <w:tcPr>
            <w:tcW w:w="0" w:type="auto"/>
            <w:tcBorders>
              <w:top w:val="nil"/>
              <w:left w:val="nil"/>
              <w:bottom w:val="single" w:sz="4" w:space="0" w:color="auto"/>
              <w:right w:val="nil"/>
            </w:tcBorders>
          </w:tcPr>
          <w:p w:rsidR="00EE193B" w:rsidRPr="000A3F44" w:rsidRDefault="00EE193B" w:rsidP="00484433">
            <w:pPr>
              <w:spacing w:line="240" w:lineRule="auto"/>
              <w:ind w:firstLine="0"/>
              <w:jc w:val="center"/>
              <w:rPr>
                <w:rFonts w:asciiTheme="majorBidi" w:hAnsiTheme="majorBidi" w:cstheme="majorBidi"/>
                <w:lang w:val="en-GB"/>
              </w:rPr>
            </w:pPr>
            <w:r w:rsidRPr="000A3F44">
              <w:rPr>
                <w:rFonts w:asciiTheme="majorBidi" w:hAnsiTheme="majorBidi" w:cstheme="majorBidi"/>
                <w:lang w:val="en-US"/>
              </w:rPr>
              <w:t>Yes</w:t>
            </w:r>
          </w:p>
        </w:tc>
        <w:tc>
          <w:tcPr>
            <w:tcW w:w="0" w:type="auto"/>
            <w:tcBorders>
              <w:top w:val="nil"/>
              <w:left w:val="nil"/>
              <w:bottom w:val="single" w:sz="4" w:space="0" w:color="auto"/>
              <w:right w:val="nil"/>
            </w:tcBorders>
          </w:tcPr>
          <w:p w:rsidR="00EE193B" w:rsidRPr="000A3F44" w:rsidRDefault="00EE193B" w:rsidP="00484433">
            <w:pPr>
              <w:spacing w:line="240" w:lineRule="auto"/>
              <w:ind w:firstLine="0"/>
              <w:jc w:val="center"/>
              <w:rPr>
                <w:rFonts w:asciiTheme="majorBidi" w:hAnsiTheme="majorBidi" w:cstheme="majorBidi"/>
                <w:lang w:val="en-GB"/>
              </w:rPr>
            </w:pPr>
            <w:r w:rsidRPr="000A3F44">
              <w:rPr>
                <w:rFonts w:asciiTheme="majorBidi" w:hAnsiTheme="majorBidi" w:cstheme="majorBidi"/>
                <w:lang w:val="en-US"/>
              </w:rPr>
              <w:t>Yes</w:t>
            </w:r>
          </w:p>
        </w:tc>
      </w:tr>
      <w:tr w:rsidR="00EE193B" w:rsidRPr="007A4735" w:rsidTr="000A3F44">
        <w:tc>
          <w:tcPr>
            <w:tcW w:w="2376" w:type="dxa"/>
            <w:tcBorders>
              <w:top w:val="single" w:sz="4" w:space="0" w:color="auto"/>
              <w:left w:val="nil"/>
              <w:bottom w:val="nil"/>
              <w:right w:val="nil"/>
            </w:tcBorders>
          </w:tcPr>
          <w:p w:rsidR="00EE193B" w:rsidRPr="007A4735" w:rsidRDefault="00EE193B" w:rsidP="00484433">
            <w:pPr>
              <w:spacing w:line="240" w:lineRule="auto"/>
              <w:ind w:firstLine="0"/>
              <w:rPr>
                <w:rFonts w:asciiTheme="majorBidi" w:hAnsiTheme="majorBidi" w:cstheme="majorBidi"/>
                <w:sz w:val="24"/>
                <w:szCs w:val="24"/>
                <w:lang w:val="en-US"/>
              </w:rPr>
            </w:pPr>
            <w:r w:rsidRPr="007A4735">
              <w:rPr>
                <w:rFonts w:asciiTheme="majorBidi" w:hAnsiTheme="majorBidi" w:cstheme="majorBidi"/>
                <w:sz w:val="24"/>
                <w:szCs w:val="24"/>
                <w:lang w:val="en-US"/>
              </w:rPr>
              <w:t>Observations</w:t>
            </w:r>
          </w:p>
        </w:tc>
        <w:tc>
          <w:tcPr>
            <w:tcW w:w="0" w:type="auto"/>
            <w:tcBorders>
              <w:top w:val="single" w:sz="4" w:space="0" w:color="auto"/>
              <w:left w:val="nil"/>
              <w:bottom w:val="nil"/>
              <w:right w:val="nil"/>
            </w:tcBorders>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32178</w:t>
            </w:r>
          </w:p>
        </w:tc>
        <w:tc>
          <w:tcPr>
            <w:tcW w:w="0" w:type="auto"/>
            <w:tcBorders>
              <w:top w:val="single" w:sz="4" w:space="0" w:color="auto"/>
              <w:left w:val="nil"/>
              <w:bottom w:val="nil"/>
              <w:right w:val="nil"/>
            </w:tcBorders>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32178</w:t>
            </w:r>
          </w:p>
        </w:tc>
        <w:tc>
          <w:tcPr>
            <w:tcW w:w="0" w:type="auto"/>
            <w:tcBorders>
              <w:top w:val="single" w:sz="4" w:space="0" w:color="auto"/>
              <w:left w:val="nil"/>
              <w:bottom w:val="nil"/>
              <w:right w:val="nil"/>
            </w:tcBorders>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26861</w:t>
            </w:r>
          </w:p>
        </w:tc>
        <w:tc>
          <w:tcPr>
            <w:tcW w:w="0" w:type="auto"/>
            <w:tcBorders>
              <w:top w:val="single" w:sz="4" w:space="0" w:color="auto"/>
              <w:left w:val="nil"/>
              <w:bottom w:val="nil"/>
              <w:right w:val="nil"/>
            </w:tcBorders>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26861</w:t>
            </w:r>
          </w:p>
        </w:tc>
        <w:tc>
          <w:tcPr>
            <w:tcW w:w="0" w:type="auto"/>
            <w:tcBorders>
              <w:top w:val="single" w:sz="4" w:space="0" w:color="auto"/>
              <w:left w:val="nil"/>
              <w:bottom w:val="nil"/>
              <w:right w:val="nil"/>
            </w:tcBorders>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32178</w:t>
            </w:r>
          </w:p>
        </w:tc>
        <w:tc>
          <w:tcPr>
            <w:tcW w:w="0" w:type="auto"/>
            <w:tcBorders>
              <w:top w:val="single" w:sz="4" w:space="0" w:color="auto"/>
              <w:left w:val="nil"/>
              <w:bottom w:val="nil"/>
              <w:right w:val="nil"/>
            </w:tcBorders>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32178</w:t>
            </w:r>
          </w:p>
        </w:tc>
      </w:tr>
      <w:tr w:rsidR="00EE193B" w:rsidRPr="007A4735" w:rsidTr="000A3F44">
        <w:tc>
          <w:tcPr>
            <w:tcW w:w="2376" w:type="dxa"/>
            <w:tcBorders>
              <w:top w:val="nil"/>
              <w:left w:val="nil"/>
              <w:bottom w:val="nil"/>
              <w:right w:val="nil"/>
            </w:tcBorders>
          </w:tcPr>
          <w:p w:rsidR="00EE193B" w:rsidRPr="007A4735" w:rsidRDefault="00EE193B" w:rsidP="00484433">
            <w:pPr>
              <w:spacing w:line="240" w:lineRule="auto"/>
              <w:ind w:firstLine="0"/>
              <w:rPr>
                <w:rFonts w:asciiTheme="majorBidi" w:hAnsiTheme="majorBidi" w:cstheme="majorBidi"/>
                <w:sz w:val="24"/>
                <w:szCs w:val="24"/>
                <w:lang w:val="en-US"/>
              </w:rPr>
            </w:pPr>
            <w:r w:rsidRPr="007A4735">
              <w:rPr>
                <w:rFonts w:asciiTheme="majorBidi" w:hAnsiTheme="majorBidi" w:cstheme="majorBidi"/>
                <w:sz w:val="24"/>
                <w:szCs w:val="24"/>
                <w:lang w:val="en-US"/>
              </w:rPr>
              <w:t xml:space="preserve">Adjusted </w:t>
            </w:r>
            <w:r w:rsidRPr="007A4735">
              <w:rPr>
                <w:rFonts w:asciiTheme="majorBidi" w:hAnsiTheme="majorBidi" w:cstheme="majorBidi"/>
                <w:i/>
                <w:iCs/>
                <w:sz w:val="24"/>
                <w:szCs w:val="24"/>
                <w:lang w:val="en-US"/>
              </w:rPr>
              <w:t>R</w:t>
            </w:r>
            <w:r w:rsidRPr="007A4735">
              <w:rPr>
                <w:rFonts w:asciiTheme="majorBidi" w:hAnsiTheme="majorBidi" w:cstheme="majorBidi"/>
                <w:sz w:val="24"/>
                <w:szCs w:val="24"/>
                <w:vertAlign w:val="superscript"/>
                <w:lang w:val="en-US"/>
              </w:rPr>
              <w:t>2</w:t>
            </w:r>
          </w:p>
        </w:tc>
        <w:tc>
          <w:tcPr>
            <w:tcW w:w="0" w:type="auto"/>
            <w:tcBorders>
              <w:top w:val="nil"/>
              <w:left w:val="nil"/>
              <w:bottom w:val="nil"/>
              <w:right w:val="nil"/>
            </w:tcBorders>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0.023</w:t>
            </w:r>
          </w:p>
        </w:tc>
        <w:tc>
          <w:tcPr>
            <w:tcW w:w="0" w:type="auto"/>
            <w:tcBorders>
              <w:top w:val="nil"/>
              <w:left w:val="nil"/>
              <w:bottom w:val="nil"/>
              <w:right w:val="nil"/>
            </w:tcBorders>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0.024</w:t>
            </w:r>
          </w:p>
        </w:tc>
        <w:tc>
          <w:tcPr>
            <w:tcW w:w="0" w:type="auto"/>
            <w:tcBorders>
              <w:top w:val="nil"/>
              <w:left w:val="nil"/>
              <w:bottom w:val="nil"/>
              <w:right w:val="nil"/>
            </w:tcBorders>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0.017</w:t>
            </w:r>
          </w:p>
        </w:tc>
        <w:tc>
          <w:tcPr>
            <w:tcW w:w="0" w:type="auto"/>
            <w:tcBorders>
              <w:top w:val="nil"/>
              <w:left w:val="nil"/>
              <w:bottom w:val="nil"/>
              <w:right w:val="nil"/>
            </w:tcBorders>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0.017</w:t>
            </w:r>
          </w:p>
        </w:tc>
        <w:tc>
          <w:tcPr>
            <w:tcW w:w="0" w:type="auto"/>
            <w:tcBorders>
              <w:top w:val="nil"/>
              <w:left w:val="nil"/>
              <w:bottom w:val="nil"/>
              <w:right w:val="nil"/>
            </w:tcBorders>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0.023</w:t>
            </w:r>
          </w:p>
        </w:tc>
        <w:tc>
          <w:tcPr>
            <w:tcW w:w="0" w:type="auto"/>
            <w:tcBorders>
              <w:top w:val="nil"/>
              <w:left w:val="nil"/>
              <w:bottom w:val="nil"/>
              <w:right w:val="nil"/>
            </w:tcBorders>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0.023</w:t>
            </w:r>
          </w:p>
        </w:tc>
      </w:tr>
      <w:tr w:rsidR="00EE193B" w:rsidRPr="007A4735" w:rsidTr="000A3F44">
        <w:tc>
          <w:tcPr>
            <w:tcW w:w="2376" w:type="dxa"/>
            <w:tcBorders>
              <w:top w:val="nil"/>
              <w:left w:val="nil"/>
              <w:bottom w:val="nil"/>
              <w:right w:val="nil"/>
            </w:tcBorders>
          </w:tcPr>
          <w:p w:rsidR="00EE193B" w:rsidRPr="007A4735" w:rsidRDefault="00EE193B" w:rsidP="00484433">
            <w:pPr>
              <w:spacing w:line="240" w:lineRule="auto"/>
              <w:ind w:firstLine="0"/>
              <w:rPr>
                <w:rFonts w:asciiTheme="majorBidi" w:hAnsiTheme="majorBidi" w:cstheme="majorBidi"/>
                <w:sz w:val="24"/>
                <w:szCs w:val="24"/>
                <w:lang w:val="en-US"/>
              </w:rPr>
            </w:pPr>
            <w:r w:rsidRPr="007A4735">
              <w:rPr>
                <w:rFonts w:asciiTheme="majorBidi" w:hAnsiTheme="majorBidi" w:cstheme="majorBidi"/>
                <w:i/>
                <w:iCs/>
                <w:sz w:val="24"/>
                <w:szCs w:val="24"/>
                <w:lang w:val="en-US"/>
              </w:rPr>
              <w:t>AIC</w:t>
            </w:r>
          </w:p>
        </w:tc>
        <w:tc>
          <w:tcPr>
            <w:tcW w:w="0" w:type="auto"/>
            <w:tcBorders>
              <w:top w:val="nil"/>
              <w:left w:val="nil"/>
              <w:bottom w:val="nil"/>
              <w:right w:val="nil"/>
            </w:tcBorders>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-25806</w:t>
            </w:r>
          </w:p>
        </w:tc>
        <w:tc>
          <w:tcPr>
            <w:tcW w:w="0" w:type="auto"/>
            <w:tcBorders>
              <w:top w:val="nil"/>
              <w:left w:val="nil"/>
              <w:bottom w:val="nil"/>
              <w:right w:val="nil"/>
            </w:tcBorders>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-25830</w:t>
            </w:r>
          </w:p>
        </w:tc>
        <w:tc>
          <w:tcPr>
            <w:tcW w:w="0" w:type="auto"/>
            <w:tcBorders>
              <w:top w:val="nil"/>
              <w:left w:val="nil"/>
              <w:bottom w:val="nil"/>
              <w:right w:val="nil"/>
            </w:tcBorders>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-25779</w:t>
            </w:r>
          </w:p>
        </w:tc>
        <w:tc>
          <w:tcPr>
            <w:tcW w:w="0" w:type="auto"/>
            <w:tcBorders>
              <w:top w:val="nil"/>
              <w:left w:val="nil"/>
              <w:bottom w:val="nil"/>
              <w:right w:val="nil"/>
            </w:tcBorders>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-25793</w:t>
            </w:r>
          </w:p>
        </w:tc>
        <w:tc>
          <w:tcPr>
            <w:tcW w:w="0" w:type="auto"/>
            <w:tcBorders>
              <w:top w:val="nil"/>
              <w:left w:val="nil"/>
              <w:bottom w:val="nil"/>
              <w:right w:val="nil"/>
            </w:tcBorders>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-25807</w:t>
            </w:r>
          </w:p>
        </w:tc>
        <w:tc>
          <w:tcPr>
            <w:tcW w:w="0" w:type="auto"/>
            <w:tcBorders>
              <w:top w:val="nil"/>
              <w:left w:val="nil"/>
              <w:bottom w:val="nil"/>
              <w:right w:val="nil"/>
            </w:tcBorders>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-25809</w:t>
            </w:r>
          </w:p>
        </w:tc>
      </w:tr>
      <w:tr w:rsidR="00EE193B" w:rsidRPr="007A4735" w:rsidTr="000A3F44">
        <w:tc>
          <w:tcPr>
            <w:tcW w:w="2376" w:type="dxa"/>
            <w:tcBorders>
              <w:top w:val="nil"/>
              <w:left w:val="nil"/>
              <w:bottom w:val="nil"/>
              <w:right w:val="nil"/>
            </w:tcBorders>
          </w:tcPr>
          <w:p w:rsidR="00EE193B" w:rsidRPr="007A4735" w:rsidRDefault="00623234" w:rsidP="00484433">
            <w:pPr>
              <w:spacing w:line="240" w:lineRule="auto"/>
              <w:ind w:firstLine="0"/>
              <w:rPr>
                <w:rFonts w:asciiTheme="majorBidi" w:hAnsiTheme="majorBidi" w:cstheme="majorBidi"/>
                <w:sz w:val="24"/>
                <w:szCs w:val="24"/>
                <w:lang w:val="en-US"/>
              </w:rPr>
            </w:pPr>
            <w:r w:rsidRPr="007A4735">
              <w:rPr>
                <w:rFonts w:asciiTheme="majorBidi" w:hAnsiTheme="majorBidi" w:cstheme="majorBidi"/>
                <w:sz w:val="24"/>
                <w:szCs w:val="24"/>
                <w:lang w:val="en-US"/>
              </w:rPr>
              <w:t>RESET</w:t>
            </w:r>
          </w:p>
        </w:tc>
        <w:tc>
          <w:tcPr>
            <w:tcW w:w="0" w:type="auto"/>
            <w:tcBorders>
              <w:top w:val="nil"/>
              <w:left w:val="nil"/>
              <w:bottom w:val="nil"/>
              <w:right w:val="nil"/>
            </w:tcBorders>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126.750</w:t>
            </w:r>
          </w:p>
        </w:tc>
        <w:tc>
          <w:tcPr>
            <w:tcW w:w="0" w:type="auto"/>
            <w:tcBorders>
              <w:top w:val="nil"/>
              <w:left w:val="nil"/>
              <w:bottom w:val="nil"/>
              <w:right w:val="nil"/>
            </w:tcBorders>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147.274</w:t>
            </w:r>
          </w:p>
        </w:tc>
        <w:tc>
          <w:tcPr>
            <w:tcW w:w="0" w:type="auto"/>
            <w:tcBorders>
              <w:top w:val="nil"/>
              <w:left w:val="nil"/>
              <w:bottom w:val="nil"/>
              <w:right w:val="nil"/>
            </w:tcBorders>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25.043</w:t>
            </w:r>
          </w:p>
        </w:tc>
        <w:tc>
          <w:tcPr>
            <w:tcW w:w="0" w:type="auto"/>
            <w:tcBorders>
              <w:top w:val="nil"/>
              <w:left w:val="nil"/>
              <w:bottom w:val="nil"/>
              <w:right w:val="nil"/>
            </w:tcBorders>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20.915</w:t>
            </w:r>
          </w:p>
        </w:tc>
        <w:tc>
          <w:tcPr>
            <w:tcW w:w="0" w:type="auto"/>
            <w:tcBorders>
              <w:top w:val="nil"/>
              <w:left w:val="nil"/>
              <w:bottom w:val="nil"/>
              <w:right w:val="nil"/>
            </w:tcBorders>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127.204</w:t>
            </w:r>
          </w:p>
        </w:tc>
        <w:tc>
          <w:tcPr>
            <w:tcW w:w="0" w:type="auto"/>
            <w:tcBorders>
              <w:top w:val="nil"/>
              <w:left w:val="nil"/>
              <w:bottom w:val="nil"/>
              <w:right w:val="nil"/>
            </w:tcBorders>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130.464</w:t>
            </w:r>
          </w:p>
        </w:tc>
      </w:tr>
      <w:tr w:rsidR="00EE193B" w:rsidRPr="007A4735" w:rsidTr="000A3F44">
        <w:tc>
          <w:tcPr>
            <w:tcW w:w="2376" w:type="dxa"/>
            <w:tcBorders>
              <w:top w:val="nil"/>
              <w:left w:val="nil"/>
              <w:bottom w:val="single" w:sz="4" w:space="0" w:color="auto"/>
              <w:right w:val="nil"/>
            </w:tcBorders>
          </w:tcPr>
          <w:p w:rsidR="00EE193B" w:rsidRPr="007A4735" w:rsidRDefault="00623234" w:rsidP="00484433">
            <w:pPr>
              <w:spacing w:line="240" w:lineRule="auto"/>
              <w:ind w:firstLine="0"/>
              <w:rPr>
                <w:rFonts w:asciiTheme="majorBidi" w:hAnsiTheme="majorBidi" w:cstheme="majorBidi"/>
                <w:sz w:val="24"/>
                <w:szCs w:val="24"/>
                <w:lang w:val="en-US"/>
              </w:rPr>
            </w:pPr>
            <w:r>
              <w:rPr>
                <w:rFonts w:asciiTheme="majorBidi" w:hAnsiTheme="majorBidi" w:cstheme="majorBidi"/>
                <w:sz w:val="24"/>
                <w:szCs w:val="24"/>
                <w:lang w:val="en-US"/>
              </w:rPr>
              <w:t xml:space="preserve">RESET </w:t>
            </w:r>
            <w:r w:rsidR="00626DB2">
              <w:rPr>
                <w:rFonts w:asciiTheme="majorBidi" w:hAnsiTheme="majorBidi" w:cstheme="majorBidi"/>
                <w:sz w:val="24"/>
                <w:szCs w:val="24"/>
                <w:lang w:val="en-US"/>
              </w:rPr>
              <w:t xml:space="preserve">p </w:t>
            </w:r>
            <w:r>
              <w:rPr>
                <w:rFonts w:asciiTheme="majorBidi" w:hAnsiTheme="majorBidi" w:cstheme="majorBidi"/>
                <w:sz w:val="24"/>
                <w:szCs w:val="24"/>
                <w:lang w:val="en-US"/>
              </w:rPr>
              <w:t>value</w:t>
            </w:r>
          </w:p>
        </w:tc>
        <w:tc>
          <w:tcPr>
            <w:tcW w:w="0" w:type="auto"/>
            <w:tcBorders>
              <w:top w:val="nil"/>
              <w:left w:val="nil"/>
              <w:bottom w:val="single" w:sz="4" w:space="0" w:color="auto"/>
              <w:right w:val="nil"/>
            </w:tcBorders>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0.000</w:t>
            </w:r>
          </w:p>
        </w:tc>
        <w:tc>
          <w:tcPr>
            <w:tcW w:w="0" w:type="auto"/>
            <w:tcBorders>
              <w:top w:val="nil"/>
              <w:left w:val="nil"/>
              <w:bottom w:val="single" w:sz="4" w:space="0" w:color="auto"/>
              <w:right w:val="nil"/>
            </w:tcBorders>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0.000</w:t>
            </w:r>
          </w:p>
        </w:tc>
        <w:tc>
          <w:tcPr>
            <w:tcW w:w="0" w:type="auto"/>
            <w:tcBorders>
              <w:top w:val="nil"/>
              <w:left w:val="nil"/>
              <w:bottom w:val="single" w:sz="4" w:space="0" w:color="auto"/>
              <w:right w:val="nil"/>
            </w:tcBorders>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0.000</w:t>
            </w:r>
          </w:p>
        </w:tc>
        <w:tc>
          <w:tcPr>
            <w:tcW w:w="0" w:type="auto"/>
            <w:tcBorders>
              <w:top w:val="nil"/>
              <w:left w:val="nil"/>
              <w:bottom w:val="single" w:sz="4" w:space="0" w:color="auto"/>
              <w:right w:val="nil"/>
            </w:tcBorders>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0.000</w:t>
            </w:r>
          </w:p>
        </w:tc>
        <w:tc>
          <w:tcPr>
            <w:tcW w:w="0" w:type="auto"/>
            <w:tcBorders>
              <w:top w:val="nil"/>
              <w:left w:val="nil"/>
              <w:bottom w:val="single" w:sz="4" w:space="0" w:color="auto"/>
              <w:right w:val="nil"/>
            </w:tcBorders>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0.000</w:t>
            </w:r>
          </w:p>
        </w:tc>
        <w:tc>
          <w:tcPr>
            <w:tcW w:w="0" w:type="auto"/>
            <w:tcBorders>
              <w:top w:val="nil"/>
              <w:left w:val="nil"/>
              <w:bottom w:val="single" w:sz="4" w:space="0" w:color="auto"/>
              <w:right w:val="nil"/>
            </w:tcBorders>
          </w:tcPr>
          <w:p w:rsidR="00EE193B" w:rsidRPr="000A3F44" w:rsidRDefault="00EE193B" w:rsidP="00484433">
            <w:pPr>
              <w:spacing w:line="240" w:lineRule="auto"/>
              <w:ind w:firstLine="0"/>
              <w:jc w:val="center"/>
              <w:rPr>
                <w:rFonts w:asciiTheme="majorBidi" w:hAnsiTheme="majorBidi" w:cstheme="majorBidi"/>
                <w:lang w:val="en-US"/>
              </w:rPr>
            </w:pPr>
            <w:r w:rsidRPr="000A3F44">
              <w:rPr>
                <w:rFonts w:asciiTheme="majorBidi" w:hAnsiTheme="majorBidi" w:cstheme="majorBidi"/>
                <w:lang w:val="en-US"/>
              </w:rPr>
              <w:t>0.000</w:t>
            </w:r>
          </w:p>
        </w:tc>
      </w:tr>
    </w:tbl>
    <w:p w:rsidR="00EE193B" w:rsidRPr="006B16D2" w:rsidRDefault="00EE193B" w:rsidP="00484433">
      <w:pPr>
        <w:spacing w:line="240" w:lineRule="auto"/>
        <w:rPr>
          <w:rFonts w:asciiTheme="majorBidi" w:hAnsiTheme="majorBidi" w:cstheme="majorBidi"/>
          <w:lang w:val="en-US"/>
        </w:rPr>
      </w:pPr>
      <w:r w:rsidRPr="006B16D2">
        <w:rPr>
          <w:rFonts w:asciiTheme="majorBidi" w:hAnsiTheme="majorBidi" w:cstheme="majorBidi"/>
          <w:lang w:val="en-US"/>
        </w:rPr>
        <w:t xml:space="preserve">Absolute t-statistics in parentheses are consistent robust standard errors clustered by firm and *indicates p&lt; 0.10, **indicates p&lt; 0.05, ***indicates p&lt; 0.01. RESET test refers to the hypothesis that the model has no omitted variables. AIC is the Akaike information criterion. </w:t>
      </w:r>
      <w:r w:rsidR="000A3F44">
        <w:rPr>
          <w:rFonts w:asciiTheme="majorBidi" w:hAnsiTheme="majorBidi" w:cstheme="majorBidi"/>
          <w:lang w:val="en-US"/>
        </w:rPr>
        <w:t xml:space="preserve">In relative terms the preferred model is the one that minimizes the AIC </w:t>
      </w:r>
      <w:r w:rsidR="00FB73DA">
        <w:rPr>
          <w:rFonts w:asciiTheme="majorBidi" w:hAnsiTheme="majorBidi" w:cstheme="majorBidi"/>
          <w:lang w:val="en-US"/>
        </w:rPr>
        <w:t>value.</w:t>
      </w:r>
    </w:p>
    <w:p w:rsidR="00EE193B" w:rsidRPr="00EE193B" w:rsidRDefault="00EE193B" w:rsidP="00EE193B">
      <w:pPr>
        <w:rPr>
          <w:lang w:val="en-US"/>
        </w:rPr>
      </w:pPr>
    </w:p>
    <w:p w:rsidR="00EE193B" w:rsidRDefault="00EE193B" w:rsidP="00F0453C">
      <w:pPr>
        <w:rPr>
          <w:lang w:val="en-US"/>
        </w:rPr>
      </w:pPr>
    </w:p>
    <w:p w:rsidR="00F0453C" w:rsidRPr="00F0453C" w:rsidRDefault="00F0453C" w:rsidP="00F0453C">
      <w:pPr>
        <w:rPr>
          <w:rFonts w:ascii="Times New Roman" w:hAnsi="Times New Roman"/>
          <w:sz w:val="24"/>
          <w:szCs w:val="24"/>
          <w:lang w:val="en-US"/>
        </w:rPr>
      </w:pPr>
    </w:p>
    <w:p w:rsidR="00044769" w:rsidRDefault="004400CA" w:rsidP="00212774">
      <w:pPr>
        <w:pStyle w:val="ListParagraph"/>
        <w:numPr>
          <w:ilvl w:val="1"/>
          <w:numId w:val="10"/>
        </w:numPr>
        <w:rPr>
          <w:rFonts w:ascii="Times New Roman" w:hAnsi="Times New Roman"/>
          <w:bCs/>
          <w:i/>
          <w:iCs/>
          <w:sz w:val="24"/>
          <w:szCs w:val="24"/>
          <w:lang w:val="en-US"/>
        </w:rPr>
      </w:pPr>
      <w:r w:rsidRPr="007A1A56">
        <w:rPr>
          <w:rFonts w:ascii="Times New Roman" w:hAnsi="Times New Roman"/>
          <w:bCs/>
          <w:i/>
          <w:iCs/>
          <w:sz w:val="24"/>
          <w:szCs w:val="24"/>
          <w:lang w:val="en-US"/>
        </w:rPr>
        <w:t>GMM Estimates</w:t>
      </w:r>
      <w:r w:rsidR="00806496" w:rsidRPr="007A1A56">
        <w:rPr>
          <w:rFonts w:ascii="Times New Roman" w:hAnsi="Times New Roman"/>
          <w:bCs/>
          <w:i/>
          <w:iCs/>
          <w:sz w:val="24"/>
          <w:szCs w:val="24"/>
          <w:lang w:val="en-US"/>
        </w:rPr>
        <w:t xml:space="preserve"> for Endogeneity</w:t>
      </w:r>
      <w:r w:rsidR="00700D49" w:rsidRPr="007A1A56">
        <w:rPr>
          <w:rFonts w:ascii="Times New Roman" w:hAnsi="Times New Roman"/>
          <w:bCs/>
          <w:i/>
          <w:iCs/>
          <w:sz w:val="24"/>
          <w:szCs w:val="24"/>
          <w:lang w:val="en-US"/>
        </w:rPr>
        <w:t xml:space="preserve"> and </w:t>
      </w:r>
      <w:r w:rsidRPr="007A1A56">
        <w:rPr>
          <w:rFonts w:ascii="Times New Roman" w:hAnsi="Times New Roman"/>
          <w:bCs/>
          <w:i/>
          <w:iCs/>
          <w:sz w:val="24"/>
          <w:szCs w:val="24"/>
          <w:lang w:val="en-US"/>
        </w:rPr>
        <w:t>Measurement Bias</w:t>
      </w:r>
    </w:p>
    <w:p w:rsidR="00212774" w:rsidRPr="00212774" w:rsidRDefault="00212774" w:rsidP="00212774">
      <w:pPr>
        <w:pStyle w:val="ListParagraph"/>
        <w:ind w:left="1353"/>
        <w:rPr>
          <w:rFonts w:ascii="Times New Roman" w:hAnsi="Times New Roman"/>
          <w:bCs/>
          <w:i/>
          <w:iCs/>
          <w:sz w:val="24"/>
          <w:szCs w:val="24"/>
          <w:lang w:val="en-US"/>
        </w:rPr>
      </w:pPr>
    </w:p>
    <w:p w:rsidR="003F352D" w:rsidRDefault="00B16BD0" w:rsidP="003F352D">
      <w:pPr>
        <w:pStyle w:val="ListParagraph"/>
        <w:ind w:left="0" w:firstLine="426"/>
        <w:rPr>
          <w:rFonts w:ascii="Times New Roman" w:hAnsi="Times New Roman"/>
          <w:sz w:val="24"/>
          <w:szCs w:val="24"/>
          <w:lang w:val="en-US"/>
        </w:rPr>
      </w:pPr>
      <w:r>
        <w:rPr>
          <w:rFonts w:ascii="Times New Roman" w:hAnsi="Times New Roman"/>
          <w:sz w:val="24"/>
          <w:szCs w:val="24"/>
          <w:lang w:val="en-US"/>
        </w:rPr>
        <w:t xml:space="preserve">The </w:t>
      </w:r>
      <w:r w:rsidRPr="008C527D">
        <w:rPr>
          <w:rFonts w:ascii="Times New Roman" w:hAnsi="Times New Roman"/>
          <w:i/>
          <w:sz w:val="24"/>
          <w:szCs w:val="24"/>
          <w:lang w:val="en-US"/>
        </w:rPr>
        <w:t>GAP</w:t>
      </w:r>
      <w:r w:rsidRPr="008C527D">
        <w:rPr>
          <w:rFonts w:ascii="Times New Roman" w:hAnsi="Times New Roman"/>
          <w:i/>
          <w:sz w:val="24"/>
          <w:szCs w:val="24"/>
          <w:vertAlign w:val="subscript"/>
          <w:lang w:val="en-US"/>
        </w:rPr>
        <w:t xml:space="preserve">it-1 </w:t>
      </w:r>
      <w:r>
        <w:rPr>
          <w:rFonts w:ascii="Times New Roman" w:hAnsi="Times New Roman"/>
          <w:sz w:val="24"/>
          <w:szCs w:val="24"/>
          <w:lang w:val="en-US"/>
        </w:rPr>
        <w:t xml:space="preserve">term in </w:t>
      </w:r>
      <w:r w:rsidR="008C527D">
        <w:rPr>
          <w:rFonts w:ascii="Times New Roman" w:hAnsi="Times New Roman"/>
          <w:sz w:val="24"/>
          <w:szCs w:val="24"/>
          <w:lang w:val="en-US"/>
        </w:rPr>
        <w:t>specifications</w:t>
      </w:r>
      <w:r>
        <w:rPr>
          <w:rFonts w:ascii="Times New Roman" w:hAnsi="Times New Roman"/>
          <w:sz w:val="24"/>
          <w:szCs w:val="24"/>
          <w:lang w:val="en-US"/>
        </w:rPr>
        <w:t xml:space="preserve"> [3.2] and [3.3] comprises the levels of TFPit-1, which is also a </w:t>
      </w:r>
      <w:r w:rsidR="008C527D">
        <w:rPr>
          <w:rFonts w:ascii="Times New Roman" w:hAnsi="Times New Roman"/>
          <w:sz w:val="24"/>
          <w:szCs w:val="24"/>
          <w:lang w:val="en-US"/>
        </w:rPr>
        <w:t>component</w:t>
      </w:r>
      <w:r>
        <w:rPr>
          <w:rFonts w:ascii="Times New Roman" w:hAnsi="Times New Roman"/>
          <w:sz w:val="24"/>
          <w:szCs w:val="24"/>
          <w:lang w:val="en-US"/>
        </w:rPr>
        <w:t xml:space="preserve"> of TFP </w:t>
      </w:r>
      <w:r w:rsidR="008C527D">
        <w:rPr>
          <w:rFonts w:ascii="Times New Roman" w:hAnsi="Times New Roman"/>
          <w:sz w:val="24"/>
          <w:szCs w:val="24"/>
          <w:lang w:val="en-US"/>
        </w:rPr>
        <w:t>growth</w:t>
      </w:r>
      <w:r>
        <w:rPr>
          <w:rFonts w:ascii="Times New Roman" w:hAnsi="Times New Roman"/>
          <w:sz w:val="24"/>
          <w:szCs w:val="24"/>
          <w:lang w:val="en-US"/>
        </w:rPr>
        <w:t xml:space="preserve"> rate. </w:t>
      </w:r>
      <w:r w:rsidR="008C527D">
        <w:rPr>
          <w:rFonts w:ascii="Times New Roman" w:hAnsi="Times New Roman"/>
          <w:sz w:val="24"/>
          <w:szCs w:val="24"/>
          <w:lang w:val="en-US"/>
        </w:rPr>
        <w:t>Concerning</w:t>
      </w:r>
      <w:r>
        <w:rPr>
          <w:rFonts w:ascii="Times New Roman" w:hAnsi="Times New Roman"/>
          <w:sz w:val="24"/>
          <w:szCs w:val="24"/>
          <w:lang w:val="en-US"/>
        </w:rPr>
        <w:t xml:space="preserve"> </w:t>
      </w:r>
      <w:r w:rsidR="008C527D" w:rsidRPr="008C527D">
        <w:rPr>
          <w:rFonts w:ascii="Times New Roman" w:hAnsi="Times New Roman"/>
          <w:i/>
          <w:sz w:val="24"/>
          <w:szCs w:val="24"/>
          <w:lang w:val="en-US"/>
        </w:rPr>
        <w:t>Tax</w:t>
      </w:r>
      <w:r w:rsidR="008C527D">
        <w:rPr>
          <w:rFonts w:ascii="Times New Roman" w:hAnsi="Times New Roman"/>
          <w:sz w:val="24"/>
          <w:szCs w:val="24"/>
          <w:lang w:val="en-US"/>
        </w:rPr>
        <w:t xml:space="preserve"> and ETR </w:t>
      </w:r>
      <w:r w:rsidR="00301C72">
        <w:rPr>
          <w:rFonts w:ascii="Times New Roman" w:hAnsi="Times New Roman"/>
          <w:sz w:val="24"/>
          <w:szCs w:val="24"/>
          <w:lang w:val="en-US"/>
        </w:rPr>
        <w:t xml:space="preserve">which </w:t>
      </w:r>
      <w:r w:rsidR="008C527D">
        <w:rPr>
          <w:rFonts w:ascii="Times New Roman" w:hAnsi="Times New Roman"/>
          <w:sz w:val="24"/>
          <w:szCs w:val="24"/>
          <w:lang w:val="en-US"/>
        </w:rPr>
        <w:t>enter</w:t>
      </w:r>
      <w:r>
        <w:rPr>
          <w:rFonts w:ascii="Times New Roman" w:hAnsi="Times New Roman"/>
          <w:sz w:val="24"/>
          <w:szCs w:val="24"/>
          <w:lang w:val="en-US"/>
        </w:rPr>
        <w:t xml:space="preserve"> the </w:t>
      </w:r>
      <w:r w:rsidR="008C527D">
        <w:rPr>
          <w:rFonts w:ascii="Times New Roman" w:hAnsi="Times New Roman"/>
          <w:sz w:val="24"/>
          <w:szCs w:val="24"/>
          <w:lang w:val="en-US"/>
        </w:rPr>
        <w:t xml:space="preserve">regressions in lags, </w:t>
      </w:r>
      <w:r w:rsidR="00301C72">
        <w:rPr>
          <w:rFonts w:ascii="Times New Roman" w:hAnsi="Times New Roman"/>
          <w:sz w:val="24"/>
          <w:szCs w:val="24"/>
          <w:lang w:val="en-US"/>
        </w:rPr>
        <w:t>they</w:t>
      </w:r>
      <w:r w:rsidR="008C527D">
        <w:rPr>
          <w:rFonts w:ascii="Times New Roman" w:hAnsi="Times New Roman"/>
          <w:sz w:val="24"/>
          <w:szCs w:val="24"/>
          <w:lang w:val="en-US"/>
        </w:rPr>
        <w:t xml:space="preserve"> only satisf</w:t>
      </w:r>
      <w:r w:rsidR="00301C72">
        <w:rPr>
          <w:rFonts w:ascii="Times New Roman" w:hAnsi="Times New Roman"/>
          <w:sz w:val="24"/>
          <w:szCs w:val="24"/>
          <w:lang w:val="en-US"/>
        </w:rPr>
        <w:t>y</w:t>
      </w:r>
      <w:r w:rsidR="008C527D">
        <w:rPr>
          <w:rFonts w:ascii="Times New Roman" w:hAnsi="Times New Roman"/>
          <w:sz w:val="24"/>
          <w:szCs w:val="24"/>
          <w:lang w:val="en-US"/>
        </w:rPr>
        <w:t xml:space="preserve"> weak exogeneity</w:t>
      </w:r>
      <w:r>
        <w:rPr>
          <w:rFonts w:ascii="Times New Roman" w:hAnsi="Times New Roman"/>
          <w:sz w:val="24"/>
          <w:szCs w:val="24"/>
          <w:lang w:val="en-US"/>
        </w:rPr>
        <w:t xml:space="preserve">. </w:t>
      </w:r>
      <w:r w:rsidR="008C527D">
        <w:rPr>
          <w:rFonts w:ascii="Times New Roman" w:hAnsi="Times New Roman"/>
          <w:sz w:val="24"/>
          <w:szCs w:val="24"/>
          <w:lang w:val="en-US"/>
        </w:rPr>
        <w:t>The tax and TFP relationship might have be</w:t>
      </w:r>
      <w:r w:rsidR="00301C72">
        <w:rPr>
          <w:rFonts w:ascii="Times New Roman" w:hAnsi="Times New Roman"/>
          <w:sz w:val="24"/>
          <w:szCs w:val="24"/>
          <w:lang w:val="en-US"/>
        </w:rPr>
        <w:t>en</w:t>
      </w:r>
      <w:r w:rsidR="008C527D">
        <w:rPr>
          <w:rFonts w:ascii="Times New Roman" w:hAnsi="Times New Roman"/>
          <w:sz w:val="24"/>
          <w:szCs w:val="24"/>
          <w:lang w:val="en-US"/>
        </w:rPr>
        <w:t xml:space="preserve"> persistent</w:t>
      </w:r>
      <w:r w:rsidR="00301C72">
        <w:rPr>
          <w:rFonts w:ascii="Times New Roman" w:hAnsi="Times New Roman"/>
          <w:sz w:val="24"/>
          <w:szCs w:val="24"/>
          <w:lang w:val="en-US"/>
        </w:rPr>
        <w:t>,</w:t>
      </w:r>
      <w:r w:rsidR="008C527D">
        <w:rPr>
          <w:rFonts w:ascii="Times New Roman" w:hAnsi="Times New Roman"/>
          <w:sz w:val="24"/>
          <w:szCs w:val="24"/>
          <w:lang w:val="en-US"/>
        </w:rPr>
        <w:t xml:space="preserve"> as previous TFP realizations impact on future tax liabilities.</w:t>
      </w:r>
      <w:r>
        <w:rPr>
          <w:rFonts w:ascii="Times New Roman" w:hAnsi="Times New Roman"/>
          <w:sz w:val="24"/>
          <w:szCs w:val="24"/>
          <w:lang w:val="en-US"/>
        </w:rPr>
        <w:t xml:space="preserve"> </w:t>
      </w:r>
      <w:r w:rsidR="008C527D">
        <w:rPr>
          <w:rFonts w:ascii="Times New Roman" w:hAnsi="Times New Roman"/>
          <w:sz w:val="24"/>
          <w:szCs w:val="24"/>
          <w:lang w:val="en-US"/>
        </w:rPr>
        <w:t xml:space="preserve">These considerations imply that OLS estimates suffer from endogeneity bias. </w:t>
      </w:r>
      <w:r w:rsidR="00685D58">
        <w:rPr>
          <w:rFonts w:ascii="Times New Roman" w:hAnsi="Times New Roman"/>
          <w:sz w:val="24"/>
          <w:szCs w:val="24"/>
          <w:lang w:val="en-US"/>
        </w:rPr>
        <w:t xml:space="preserve">Another crucial issue </w:t>
      </w:r>
      <w:r w:rsidR="00212774">
        <w:rPr>
          <w:rFonts w:ascii="Times New Roman" w:hAnsi="Times New Roman"/>
          <w:sz w:val="24"/>
          <w:szCs w:val="24"/>
          <w:lang w:val="en-US"/>
        </w:rPr>
        <w:lastRenderedPageBreak/>
        <w:t xml:space="preserve">in </w:t>
      </w:r>
      <w:r w:rsidR="008C527D">
        <w:rPr>
          <w:rFonts w:ascii="Times New Roman" w:hAnsi="Times New Roman"/>
          <w:sz w:val="24"/>
          <w:szCs w:val="24"/>
          <w:lang w:val="en-US"/>
        </w:rPr>
        <w:t xml:space="preserve">estimating </w:t>
      </w:r>
      <w:r w:rsidR="00212774">
        <w:rPr>
          <w:rFonts w:ascii="Times New Roman" w:hAnsi="Times New Roman"/>
          <w:sz w:val="24"/>
          <w:szCs w:val="24"/>
          <w:lang w:val="en-US"/>
        </w:rPr>
        <w:t>[3.2] and [3.3</w:t>
      </w:r>
      <w:r w:rsidR="00E971AE">
        <w:rPr>
          <w:rFonts w:ascii="Times New Roman" w:hAnsi="Times New Roman"/>
          <w:sz w:val="24"/>
          <w:szCs w:val="24"/>
          <w:lang w:val="en-US"/>
        </w:rPr>
        <w:t xml:space="preserve">] </w:t>
      </w:r>
      <w:r w:rsidR="00685D58">
        <w:rPr>
          <w:rFonts w:ascii="Times New Roman" w:hAnsi="Times New Roman"/>
          <w:sz w:val="24"/>
          <w:szCs w:val="24"/>
          <w:lang w:val="en-US"/>
        </w:rPr>
        <w:t xml:space="preserve">is </w:t>
      </w:r>
      <w:r w:rsidR="00E971AE">
        <w:rPr>
          <w:rFonts w:ascii="Times New Roman" w:hAnsi="Times New Roman"/>
          <w:sz w:val="24"/>
          <w:szCs w:val="24"/>
          <w:lang w:val="en-US"/>
        </w:rPr>
        <w:t xml:space="preserve">the impact of “noisy” TFP measure, </w:t>
      </w:r>
      <w:r w:rsidR="00685D58">
        <w:rPr>
          <w:rFonts w:ascii="Times New Roman" w:hAnsi="Times New Roman"/>
          <w:sz w:val="24"/>
          <w:szCs w:val="24"/>
          <w:lang w:val="en-US"/>
        </w:rPr>
        <w:t>which is a common characteristic in firm level studies.</w:t>
      </w:r>
      <w:r w:rsidR="00793163">
        <w:rPr>
          <w:rStyle w:val="FootnoteReference"/>
          <w:rFonts w:ascii="Times New Roman" w:hAnsi="Times New Roman"/>
          <w:sz w:val="24"/>
          <w:szCs w:val="24"/>
          <w:lang w:val="en-US"/>
        </w:rPr>
        <w:footnoteReference w:id="15"/>
      </w:r>
      <w:r w:rsidR="00793163">
        <w:rPr>
          <w:rFonts w:ascii="Times New Roman" w:hAnsi="Times New Roman"/>
          <w:sz w:val="24"/>
          <w:szCs w:val="24"/>
          <w:lang w:val="en-US"/>
        </w:rPr>
        <w:t xml:space="preserve"> </w:t>
      </w:r>
      <w:r w:rsidR="00EF4EA3">
        <w:rPr>
          <w:rFonts w:ascii="Times New Roman" w:hAnsi="Times New Roman"/>
          <w:sz w:val="24"/>
          <w:szCs w:val="24"/>
          <w:lang w:val="en-US"/>
        </w:rPr>
        <w:t xml:space="preserve">To provide </w:t>
      </w:r>
      <w:r w:rsidR="008C527D">
        <w:rPr>
          <w:rFonts w:ascii="Times New Roman" w:hAnsi="Times New Roman"/>
          <w:sz w:val="24"/>
          <w:szCs w:val="24"/>
          <w:lang w:val="en-US"/>
        </w:rPr>
        <w:t xml:space="preserve">a more systematic treatment </w:t>
      </w:r>
      <w:r w:rsidR="00233D41">
        <w:rPr>
          <w:rFonts w:ascii="Times New Roman" w:hAnsi="Times New Roman"/>
          <w:sz w:val="24"/>
          <w:szCs w:val="24"/>
          <w:lang w:val="en-US"/>
        </w:rPr>
        <w:t>of en</w:t>
      </w:r>
      <w:r w:rsidR="00E96DF2">
        <w:rPr>
          <w:rFonts w:ascii="Times New Roman" w:hAnsi="Times New Roman"/>
          <w:sz w:val="24"/>
          <w:szCs w:val="24"/>
          <w:lang w:val="en-US"/>
        </w:rPr>
        <w:t>dogeneity</w:t>
      </w:r>
      <w:r w:rsidR="00685D58">
        <w:rPr>
          <w:rFonts w:ascii="Times New Roman" w:hAnsi="Times New Roman"/>
          <w:sz w:val="24"/>
          <w:szCs w:val="24"/>
          <w:lang w:val="en-US"/>
        </w:rPr>
        <w:t xml:space="preserve"> and measurement </w:t>
      </w:r>
      <w:r w:rsidR="00330F70">
        <w:rPr>
          <w:rFonts w:ascii="Times New Roman" w:hAnsi="Times New Roman"/>
          <w:sz w:val="24"/>
          <w:szCs w:val="24"/>
          <w:lang w:val="en-US"/>
        </w:rPr>
        <w:t>bias</w:t>
      </w:r>
      <w:r w:rsidR="00EF4EA3">
        <w:rPr>
          <w:rFonts w:ascii="Times New Roman" w:hAnsi="Times New Roman"/>
          <w:sz w:val="24"/>
          <w:szCs w:val="24"/>
          <w:lang w:val="en-US"/>
        </w:rPr>
        <w:t xml:space="preserve">, we replicate results of Table 1 using </w:t>
      </w:r>
      <w:r w:rsidR="00330F70">
        <w:rPr>
          <w:rFonts w:ascii="Times New Roman" w:hAnsi="Times New Roman"/>
          <w:sz w:val="24"/>
          <w:szCs w:val="24"/>
          <w:lang w:val="en-US"/>
        </w:rPr>
        <w:t xml:space="preserve">a </w:t>
      </w:r>
      <w:r w:rsidR="00212774">
        <w:rPr>
          <w:rFonts w:ascii="Times New Roman" w:hAnsi="Times New Roman"/>
          <w:sz w:val="24"/>
          <w:szCs w:val="24"/>
          <w:lang w:val="en-US"/>
        </w:rPr>
        <w:t>Generalized Methods of Moments (</w:t>
      </w:r>
      <w:r w:rsidR="00330F70">
        <w:rPr>
          <w:rFonts w:ascii="Times New Roman" w:hAnsi="Times New Roman"/>
          <w:sz w:val="24"/>
          <w:szCs w:val="24"/>
          <w:lang w:val="en-US"/>
        </w:rPr>
        <w:t>GMM</w:t>
      </w:r>
      <w:r w:rsidR="00212774">
        <w:rPr>
          <w:rFonts w:ascii="Times New Roman" w:hAnsi="Times New Roman"/>
          <w:sz w:val="24"/>
          <w:szCs w:val="24"/>
          <w:lang w:val="en-US"/>
        </w:rPr>
        <w:t>)</w:t>
      </w:r>
      <w:r w:rsidR="00E971AE">
        <w:rPr>
          <w:rFonts w:ascii="Times New Roman" w:hAnsi="Times New Roman"/>
          <w:sz w:val="24"/>
          <w:szCs w:val="24"/>
          <w:lang w:val="en-US"/>
        </w:rPr>
        <w:t xml:space="preserve"> </w:t>
      </w:r>
      <w:r w:rsidR="00645564">
        <w:rPr>
          <w:rFonts w:ascii="Times New Roman" w:hAnsi="Times New Roman"/>
          <w:sz w:val="24"/>
          <w:szCs w:val="24"/>
          <w:lang w:val="en-US"/>
        </w:rPr>
        <w:t>estimator.</w:t>
      </w:r>
      <w:r w:rsidR="005B3A5F">
        <w:rPr>
          <w:rFonts w:ascii="Times New Roman" w:hAnsi="Times New Roman"/>
          <w:sz w:val="24"/>
          <w:szCs w:val="24"/>
          <w:lang w:val="en-US"/>
        </w:rPr>
        <w:t xml:space="preserve"> The </w:t>
      </w:r>
      <w:r w:rsidR="005B3A5F" w:rsidRPr="00E971AE">
        <w:rPr>
          <w:rFonts w:asciiTheme="majorBidi" w:hAnsiTheme="majorBidi" w:cstheme="majorBidi"/>
          <w:sz w:val="24"/>
          <w:szCs w:val="24"/>
          <w:lang w:val="en-GB"/>
        </w:rPr>
        <w:t xml:space="preserve">challenging </w:t>
      </w:r>
      <w:r w:rsidR="005B3A5F">
        <w:rPr>
          <w:rFonts w:asciiTheme="majorBidi" w:hAnsiTheme="majorBidi" w:cstheme="majorBidi"/>
          <w:sz w:val="24"/>
          <w:szCs w:val="24"/>
          <w:lang w:val="en-GB"/>
        </w:rPr>
        <w:t xml:space="preserve">task </w:t>
      </w:r>
      <w:r w:rsidR="008C527D">
        <w:rPr>
          <w:rFonts w:asciiTheme="majorBidi" w:hAnsiTheme="majorBidi" w:cstheme="majorBidi"/>
          <w:sz w:val="24"/>
          <w:szCs w:val="24"/>
          <w:lang w:val="en-GB"/>
        </w:rPr>
        <w:t xml:space="preserve">about </w:t>
      </w:r>
      <w:r w:rsidR="005B3A5F">
        <w:rPr>
          <w:rFonts w:ascii="Times New Roman" w:hAnsi="Times New Roman"/>
          <w:sz w:val="24"/>
          <w:szCs w:val="24"/>
          <w:lang w:val="en-US"/>
        </w:rPr>
        <w:t xml:space="preserve">GMM </w:t>
      </w:r>
      <w:r w:rsidR="008C527D">
        <w:rPr>
          <w:rFonts w:ascii="Times New Roman" w:hAnsi="Times New Roman"/>
          <w:sz w:val="24"/>
          <w:szCs w:val="24"/>
          <w:lang w:val="en-US"/>
        </w:rPr>
        <w:t xml:space="preserve">estimation </w:t>
      </w:r>
      <w:r w:rsidR="005B3A5F">
        <w:rPr>
          <w:rFonts w:ascii="Times New Roman" w:hAnsi="Times New Roman"/>
          <w:sz w:val="24"/>
          <w:szCs w:val="24"/>
          <w:lang w:val="en-US"/>
        </w:rPr>
        <w:t xml:space="preserve">is to identify appropriately </w:t>
      </w:r>
      <w:r w:rsidR="008C527D">
        <w:rPr>
          <w:rFonts w:ascii="Times New Roman" w:hAnsi="Times New Roman"/>
          <w:sz w:val="24"/>
          <w:szCs w:val="24"/>
          <w:lang w:val="en-US"/>
        </w:rPr>
        <w:t>endogenous variables</w:t>
      </w:r>
      <w:r w:rsidR="005B3A5F">
        <w:rPr>
          <w:rFonts w:ascii="Times New Roman" w:hAnsi="Times New Roman"/>
          <w:sz w:val="24"/>
          <w:szCs w:val="24"/>
          <w:lang w:val="en-US"/>
        </w:rPr>
        <w:t>;</w:t>
      </w:r>
      <w:r w:rsidR="008C527D">
        <w:rPr>
          <w:rFonts w:ascii="Times New Roman" w:hAnsi="Times New Roman"/>
          <w:sz w:val="24"/>
          <w:szCs w:val="24"/>
          <w:lang w:val="en-US"/>
        </w:rPr>
        <w:t xml:space="preserve"> this is to find</w:t>
      </w:r>
      <w:r w:rsidR="005B3A5F">
        <w:rPr>
          <w:rFonts w:ascii="Times New Roman" w:hAnsi="Times New Roman"/>
          <w:sz w:val="24"/>
          <w:szCs w:val="24"/>
          <w:lang w:val="en-US"/>
        </w:rPr>
        <w:t xml:space="preserve"> </w:t>
      </w:r>
      <w:r w:rsidR="00C950CE">
        <w:rPr>
          <w:rFonts w:ascii="Times New Roman" w:hAnsi="Times New Roman"/>
          <w:sz w:val="24"/>
          <w:szCs w:val="24"/>
          <w:lang w:val="en-US"/>
        </w:rPr>
        <w:t>valid</w:t>
      </w:r>
      <w:r w:rsidR="00685D58" w:rsidRPr="00E971AE">
        <w:rPr>
          <w:rFonts w:asciiTheme="majorBidi" w:hAnsiTheme="majorBidi" w:cstheme="majorBidi"/>
          <w:sz w:val="24"/>
          <w:szCs w:val="24"/>
          <w:lang w:val="en-GB"/>
        </w:rPr>
        <w:t xml:space="preserve"> </w:t>
      </w:r>
      <w:r w:rsidR="00E971AE">
        <w:rPr>
          <w:rFonts w:asciiTheme="majorBidi" w:hAnsiTheme="majorBidi" w:cstheme="majorBidi"/>
          <w:sz w:val="24"/>
          <w:szCs w:val="24"/>
          <w:lang w:val="en-GB"/>
        </w:rPr>
        <w:t xml:space="preserve">instruments for </w:t>
      </w:r>
      <w:r w:rsidR="005B3A5F" w:rsidRPr="00D5186E">
        <w:rPr>
          <w:rFonts w:asciiTheme="majorBidi" w:hAnsiTheme="majorBidi" w:cstheme="majorBidi"/>
          <w:i/>
          <w:sz w:val="24"/>
          <w:szCs w:val="24"/>
          <w:lang w:val="en-GB"/>
        </w:rPr>
        <w:t>Tax</w:t>
      </w:r>
      <w:r w:rsidR="008C527D">
        <w:rPr>
          <w:rFonts w:asciiTheme="majorBidi" w:hAnsiTheme="majorBidi" w:cstheme="majorBidi"/>
          <w:i/>
          <w:sz w:val="24"/>
          <w:szCs w:val="24"/>
          <w:vertAlign w:val="subscript"/>
          <w:lang w:val="en-GB"/>
        </w:rPr>
        <w:t>it-1</w:t>
      </w:r>
      <w:r w:rsidR="008C527D">
        <w:rPr>
          <w:rFonts w:asciiTheme="majorBidi" w:hAnsiTheme="majorBidi" w:cstheme="majorBidi"/>
          <w:sz w:val="24"/>
          <w:szCs w:val="24"/>
          <w:lang w:val="en-GB"/>
        </w:rPr>
        <w:t xml:space="preserve">, </w:t>
      </w:r>
      <w:r w:rsidR="008C527D" w:rsidRPr="00C950CE">
        <w:rPr>
          <w:rFonts w:asciiTheme="majorBidi" w:hAnsiTheme="majorBidi" w:cstheme="majorBidi"/>
          <w:sz w:val="24"/>
          <w:szCs w:val="24"/>
          <w:lang w:val="en-GB"/>
        </w:rPr>
        <w:t>ETR</w:t>
      </w:r>
      <w:r w:rsidR="00C950CE">
        <w:rPr>
          <w:rFonts w:asciiTheme="majorBidi" w:hAnsiTheme="majorBidi" w:cstheme="majorBidi"/>
          <w:i/>
          <w:sz w:val="24"/>
          <w:szCs w:val="24"/>
          <w:vertAlign w:val="subscript"/>
          <w:lang w:val="en-GB"/>
        </w:rPr>
        <w:t>it-1</w:t>
      </w:r>
      <w:r w:rsidR="008C527D">
        <w:rPr>
          <w:rFonts w:asciiTheme="majorBidi" w:hAnsiTheme="majorBidi" w:cstheme="majorBidi"/>
          <w:sz w:val="24"/>
          <w:szCs w:val="24"/>
          <w:lang w:val="en-GB"/>
        </w:rPr>
        <w:t xml:space="preserve"> and </w:t>
      </w:r>
      <w:r w:rsidR="00C950CE" w:rsidRPr="008C527D">
        <w:rPr>
          <w:rFonts w:ascii="Times New Roman" w:hAnsi="Times New Roman"/>
          <w:i/>
          <w:sz w:val="24"/>
          <w:szCs w:val="24"/>
          <w:lang w:val="en-US"/>
        </w:rPr>
        <w:t>GAP</w:t>
      </w:r>
      <w:r w:rsidR="00C950CE" w:rsidRPr="008C527D">
        <w:rPr>
          <w:rFonts w:ascii="Times New Roman" w:hAnsi="Times New Roman"/>
          <w:i/>
          <w:sz w:val="24"/>
          <w:szCs w:val="24"/>
          <w:vertAlign w:val="subscript"/>
          <w:lang w:val="en-US"/>
        </w:rPr>
        <w:t xml:space="preserve">it-1 </w:t>
      </w:r>
      <w:r w:rsidR="008C527D">
        <w:rPr>
          <w:rFonts w:asciiTheme="majorBidi" w:hAnsiTheme="majorBidi" w:cstheme="majorBidi"/>
          <w:sz w:val="24"/>
          <w:szCs w:val="24"/>
          <w:lang w:val="en-GB"/>
        </w:rPr>
        <w:t>that will be</w:t>
      </w:r>
      <w:r w:rsidR="005B3A5F">
        <w:rPr>
          <w:rFonts w:asciiTheme="majorBidi" w:hAnsiTheme="majorBidi" w:cstheme="majorBidi"/>
          <w:sz w:val="24"/>
          <w:szCs w:val="24"/>
          <w:lang w:val="en-GB"/>
        </w:rPr>
        <w:t xml:space="preserve"> </w:t>
      </w:r>
      <w:r w:rsidR="008C527D">
        <w:rPr>
          <w:rFonts w:asciiTheme="majorBidi" w:hAnsiTheme="majorBidi" w:cstheme="majorBidi"/>
          <w:sz w:val="24"/>
          <w:szCs w:val="24"/>
          <w:lang w:val="en-GB"/>
        </w:rPr>
        <w:t>un</w:t>
      </w:r>
      <w:r w:rsidR="005B3A5F">
        <w:rPr>
          <w:rFonts w:asciiTheme="majorBidi" w:hAnsiTheme="majorBidi" w:cstheme="majorBidi"/>
          <w:sz w:val="24"/>
          <w:szCs w:val="24"/>
          <w:lang w:val="en-GB"/>
        </w:rPr>
        <w:t xml:space="preserve">correlated with the error term in the TFP growth. </w:t>
      </w:r>
      <w:r w:rsidR="00645564">
        <w:rPr>
          <w:rFonts w:asciiTheme="majorBidi" w:hAnsiTheme="majorBidi" w:cstheme="majorBidi"/>
          <w:sz w:val="24"/>
          <w:szCs w:val="24"/>
          <w:lang w:val="en-GB"/>
        </w:rPr>
        <w:t xml:space="preserve">In our case, industry averages </w:t>
      </w:r>
      <w:r w:rsidR="00C950CE">
        <w:rPr>
          <w:rFonts w:asciiTheme="majorBidi" w:hAnsiTheme="majorBidi" w:cstheme="majorBidi"/>
          <w:sz w:val="24"/>
          <w:szCs w:val="24"/>
          <w:lang w:val="en-GB"/>
        </w:rPr>
        <w:t>could be</w:t>
      </w:r>
      <w:r w:rsidR="00645564">
        <w:rPr>
          <w:rFonts w:asciiTheme="majorBidi" w:hAnsiTheme="majorBidi" w:cstheme="majorBidi"/>
          <w:sz w:val="24"/>
          <w:szCs w:val="24"/>
          <w:lang w:val="en-GB"/>
        </w:rPr>
        <w:t xml:space="preserve"> </w:t>
      </w:r>
      <w:r w:rsidR="002E39D5">
        <w:rPr>
          <w:rFonts w:asciiTheme="majorBidi" w:hAnsiTheme="majorBidi" w:cstheme="majorBidi"/>
          <w:sz w:val="24"/>
          <w:szCs w:val="24"/>
          <w:lang w:val="en-GB"/>
        </w:rPr>
        <w:t>valid</w:t>
      </w:r>
      <w:r w:rsidR="00645564">
        <w:rPr>
          <w:rFonts w:asciiTheme="majorBidi" w:hAnsiTheme="majorBidi" w:cstheme="majorBidi"/>
          <w:sz w:val="24"/>
          <w:szCs w:val="24"/>
          <w:lang w:val="en-GB"/>
        </w:rPr>
        <w:t xml:space="preserve"> instruments since errors that are </w:t>
      </w:r>
      <w:r w:rsidR="0047482D">
        <w:rPr>
          <w:rFonts w:asciiTheme="majorBidi" w:hAnsiTheme="majorBidi" w:cstheme="majorBidi"/>
          <w:sz w:val="24"/>
          <w:szCs w:val="24"/>
          <w:lang w:val="en-GB"/>
        </w:rPr>
        <w:t>largely</w:t>
      </w:r>
      <w:r w:rsidR="00645564">
        <w:rPr>
          <w:rFonts w:asciiTheme="majorBidi" w:hAnsiTheme="majorBidi" w:cstheme="majorBidi"/>
          <w:sz w:val="24"/>
          <w:szCs w:val="24"/>
          <w:lang w:val="en-GB"/>
        </w:rPr>
        <w:t xml:space="preserve"> </w:t>
      </w:r>
      <w:r w:rsidR="0047482D">
        <w:rPr>
          <w:rFonts w:asciiTheme="majorBidi" w:hAnsiTheme="majorBidi" w:cstheme="majorBidi"/>
          <w:sz w:val="24"/>
          <w:szCs w:val="24"/>
          <w:lang w:val="en-GB"/>
        </w:rPr>
        <w:t>idiosyncratic</w:t>
      </w:r>
      <w:r w:rsidR="00645564">
        <w:rPr>
          <w:rFonts w:asciiTheme="majorBidi" w:hAnsiTheme="majorBidi" w:cstheme="majorBidi"/>
          <w:sz w:val="24"/>
          <w:szCs w:val="24"/>
          <w:lang w:val="en-GB"/>
        </w:rPr>
        <w:t xml:space="preserve"> to the firm are </w:t>
      </w:r>
      <w:r w:rsidR="00C950CE">
        <w:rPr>
          <w:rFonts w:asciiTheme="majorBidi" w:hAnsiTheme="majorBidi" w:cstheme="majorBidi"/>
          <w:sz w:val="24"/>
          <w:szCs w:val="24"/>
          <w:lang w:val="en-GB"/>
        </w:rPr>
        <w:t>very unlikely to be</w:t>
      </w:r>
      <w:r w:rsidR="00645564">
        <w:rPr>
          <w:rFonts w:asciiTheme="majorBidi" w:hAnsiTheme="majorBidi" w:cstheme="majorBidi"/>
          <w:sz w:val="24"/>
          <w:szCs w:val="24"/>
          <w:lang w:val="en-GB"/>
        </w:rPr>
        <w:t xml:space="preserve"> correlated to industry average values</w:t>
      </w:r>
      <w:r w:rsidR="0047482D">
        <w:rPr>
          <w:rFonts w:asciiTheme="majorBidi" w:hAnsiTheme="majorBidi" w:cstheme="majorBidi"/>
          <w:sz w:val="24"/>
          <w:szCs w:val="24"/>
          <w:lang w:val="en-GB"/>
        </w:rPr>
        <w:t xml:space="preserve"> (Fisman and Svensson, 2007)</w:t>
      </w:r>
      <w:r w:rsidR="00645564">
        <w:rPr>
          <w:rFonts w:asciiTheme="majorBidi" w:hAnsiTheme="majorBidi" w:cstheme="majorBidi"/>
          <w:sz w:val="24"/>
          <w:szCs w:val="24"/>
          <w:lang w:val="en-GB"/>
        </w:rPr>
        <w:t xml:space="preserve">. </w:t>
      </w:r>
      <w:r w:rsidR="00E971AE">
        <w:rPr>
          <w:rFonts w:asciiTheme="majorBidi" w:hAnsiTheme="majorBidi" w:cstheme="majorBidi"/>
          <w:sz w:val="24"/>
          <w:szCs w:val="24"/>
          <w:lang w:val="en-GB"/>
        </w:rPr>
        <w:t xml:space="preserve">We </w:t>
      </w:r>
      <w:r w:rsidR="00645564">
        <w:rPr>
          <w:rFonts w:asciiTheme="majorBidi" w:hAnsiTheme="majorBidi" w:cstheme="majorBidi"/>
          <w:sz w:val="24"/>
          <w:szCs w:val="24"/>
          <w:lang w:val="en-GB"/>
        </w:rPr>
        <w:t xml:space="preserve">select </w:t>
      </w:r>
      <w:r w:rsidR="00415ADB">
        <w:rPr>
          <w:rFonts w:asciiTheme="majorBidi" w:hAnsiTheme="majorBidi" w:cstheme="majorBidi"/>
          <w:sz w:val="24"/>
          <w:szCs w:val="24"/>
          <w:lang w:val="en-GB"/>
        </w:rPr>
        <w:t>values</w:t>
      </w:r>
      <w:r w:rsidR="002E39D5">
        <w:rPr>
          <w:rFonts w:asciiTheme="majorBidi" w:hAnsiTheme="majorBidi" w:cstheme="majorBidi"/>
          <w:sz w:val="24"/>
          <w:szCs w:val="24"/>
          <w:lang w:val="en-GB"/>
        </w:rPr>
        <w:t xml:space="preserve"> in period</w:t>
      </w:r>
      <w:r w:rsidR="00645564">
        <w:rPr>
          <w:rFonts w:asciiTheme="majorBidi" w:hAnsiTheme="majorBidi" w:cstheme="majorBidi"/>
          <w:sz w:val="24"/>
          <w:szCs w:val="24"/>
          <w:lang w:val="en-GB"/>
        </w:rPr>
        <w:t xml:space="preserve"> t-1</w:t>
      </w:r>
      <w:r w:rsidR="00415ADB">
        <w:rPr>
          <w:rFonts w:asciiTheme="majorBidi" w:hAnsiTheme="majorBidi" w:cstheme="majorBidi"/>
          <w:sz w:val="24"/>
          <w:szCs w:val="24"/>
          <w:lang w:val="en-GB"/>
        </w:rPr>
        <w:t xml:space="preserve"> up to t-3 of the following industry</w:t>
      </w:r>
      <w:r w:rsidR="00BA21AB">
        <w:rPr>
          <w:rFonts w:asciiTheme="majorBidi" w:hAnsiTheme="majorBidi" w:cstheme="majorBidi"/>
          <w:sz w:val="24"/>
          <w:szCs w:val="24"/>
          <w:lang w:val="en-GB"/>
        </w:rPr>
        <w:t xml:space="preserve"> (4-digit NACE Rev2)</w:t>
      </w:r>
      <w:r w:rsidR="00415ADB">
        <w:rPr>
          <w:rFonts w:asciiTheme="majorBidi" w:hAnsiTheme="majorBidi" w:cstheme="majorBidi"/>
          <w:sz w:val="24"/>
          <w:szCs w:val="24"/>
          <w:lang w:val="en-GB"/>
        </w:rPr>
        <w:t xml:space="preserve"> </w:t>
      </w:r>
      <w:r w:rsidR="00E971AE">
        <w:rPr>
          <w:rFonts w:asciiTheme="majorBidi" w:hAnsiTheme="majorBidi" w:cstheme="majorBidi"/>
          <w:sz w:val="24"/>
          <w:szCs w:val="24"/>
          <w:lang w:val="en-GB"/>
        </w:rPr>
        <w:t>average</w:t>
      </w:r>
      <w:r w:rsidR="00415ADB">
        <w:rPr>
          <w:rFonts w:asciiTheme="majorBidi" w:hAnsiTheme="majorBidi" w:cstheme="majorBidi"/>
          <w:sz w:val="24"/>
          <w:szCs w:val="24"/>
          <w:lang w:val="en-GB"/>
        </w:rPr>
        <w:t xml:space="preserve"> variables:</w:t>
      </w:r>
      <w:r w:rsidR="00BA21AB">
        <w:rPr>
          <w:rFonts w:asciiTheme="majorBidi" w:hAnsiTheme="majorBidi" w:cstheme="majorBidi"/>
          <w:sz w:val="24"/>
          <w:szCs w:val="24"/>
          <w:lang w:val="en-GB"/>
        </w:rPr>
        <w:t xml:space="preserve"> </w:t>
      </w:r>
      <w:r w:rsidR="00BA3DBE">
        <w:rPr>
          <w:rFonts w:asciiTheme="majorBidi" w:hAnsiTheme="majorBidi" w:cstheme="majorBidi"/>
          <w:sz w:val="24"/>
          <w:szCs w:val="24"/>
          <w:lang w:val="en-GB"/>
        </w:rPr>
        <w:t>profit rate, equity and TFP</w:t>
      </w:r>
      <w:r w:rsidR="00637032">
        <w:rPr>
          <w:rStyle w:val="FootnoteReference"/>
          <w:rFonts w:asciiTheme="majorBidi" w:hAnsiTheme="majorBidi" w:cstheme="majorBidi"/>
          <w:sz w:val="24"/>
          <w:szCs w:val="24"/>
          <w:lang w:val="en-GB"/>
        </w:rPr>
        <w:footnoteReference w:id="16"/>
      </w:r>
      <w:r w:rsidR="00BA21AB">
        <w:rPr>
          <w:rFonts w:asciiTheme="majorBidi" w:hAnsiTheme="majorBidi" w:cstheme="majorBidi"/>
          <w:sz w:val="24"/>
          <w:szCs w:val="24"/>
          <w:lang w:val="en-GB"/>
        </w:rPr>
        <w:t>.</w:t>
      </w:r>
      <w:r w:rsidR="00894881">
        <w:rPr>
          <w:rFonts w:asciiTheme="majorBidi" w:hAnsiTheme="majorBidi" w:cstheme="majorBidi"/>
          <w:sz w:val="24"/>
          <w:szCs w:val="24"/>
          <w:lang w:val="en-GB"/>
        </w:rPr>
        <w:t xml:space="preserve"> </w:t>
      </w:r>
      <w:r w:rsidR="00034BB3">
        <w:rPr>
          <w:rFonts w:asciiTheme="majorBidi" w:hAnsiTheme="majorBidi" w:cstheme="majorBidi"/>
          <w:sz w:val="24"/>
          <w:szCs w:val="24"/>
          <w:lang w:val="en-GB"/>
        </w:rPr>
        <w:t>We use the orthogonality condition test (Sargan statistic)</w:t>
      </w:r>
      <w:r w:rsidR="00415ADB" w:rsidRPr="00EF4EA3">
        <w:rPr>
          <w:rFonts w:ascii="Times New Roman" w:hAnsi="Times New Roman"/>
          <w:position w:val="-16"/>
          <w:sz w:val="24"/>
          <w:szCs w:val="24"/>
          <w:lang w:val="en-US"/>
        </w:rPr>
        <w:object w:dxaOrig="1480" w:dyaOrig="440">
          <v:shape id="_x0000_i1047" type="#_x0000_t75" style="width:74.25pt;height:21.75pt" o:ole="">
            <v:imagedata r:id="rId52" o:title=""/>
          </v:shape>
          <o:OLEObject Type="Embed" ProgID="Equation.DSMT4" ShapeID="_x0000_i1047" DrawAspect="Content" ObjectID="_1604251462" r:id="rId53"/>
        </w:object>
      </w:r>
      <w:r w:rsidR="00415ADB">
        <w:rPr>
          <w:rFonts w:ascii="Times New Roman" w:hAnsi="Times New Roman"/>
          <w:sz w:val="24"/>
          <w:szCs w:val="24"/>
          <w:lang w:val="en-US"/>
        </w:rPr>
        <w:t xml:space="preserve">, where </w:t>
      </w:r>
      <w:r w:rsidR="00415ADB" w:rsidRPr="00EF4EA3">
        <w:rPr>
          <w:rFonts w:ascii="Times New Roman" w:hAnsi="Times New Roman"/>
          <w:i/>
          <w:iCs/>
          <w:sz w:val="24"/>
          <w:szCs w:val="24"/>
          <w:lang w:val="en-US"/>
        </w:rPr>
        <w:t>Z</w:t>
      </w:r>
      <w:r w:rsidR="00415ADB">
        <w:rPr>
          <w:rFonts w:ascii="Times New Roman" w:hAnsi="Times New Roman"/>
          <w:sz w:val="24"/>
          <w:szCs w:val="24"/>
          <w:lang w:val="en-US"/>
        </w:rPr>
        <w:t xml:space="preserve"> is the set of instruments and the Anderson </w:t>
      </w:r>
      <w:r w:rsidR="00685D58" w:rsidRPr="00E971AE">
        <w:rPr>
          <w:rFonts w:asciiTheme="majorBidi" w:hAnsiTheme="majorBidi" w:cstheme="majorBidi"/>
          <w:sz w:val="24"/>
          <w:szCs w:val="24"/>
          <w:lang w:val="en-GB"/>
        </w:rPr>
        <w:t xml:space="preserve">LM </w:t>
      </w:r>
      <w:r w:rsidR="00793163">
        <w:rPr>
          <w:rFonts w:asciiTheme="majorBidi" w:hAnsiTheme="majorBidi" w:cstheme="majorBidi"/>
          <w:sz w:val="24"/>
          <w:szCs w:val="24"/>
          <w:lang w:val="en-GB"/>
        </w:rPr>
        <w:t>statistic</w:t>
      </w:r>
      <w:r w:rsidR="00685D58" w:rsidRPr="00E971AE">
        <w:rPr>
          <w:rFonts w:asciiTheme="majorBidi" w:hAnsiTheme="majorBidi" w:cstheme="majorBidi"/>
          <w:sz w:val="24"/>
          <w:szCs w:val="24"/>
          <w:lang w:val="en-GB"/>
        </w:rPr>
        <w:t xml:space="preserve"> of under-identification</w:t>
      </w:r>
      <w:r w:rsidR="00415ADB">
        <w:rPr>
          <w:rFonts w:asciiTheme="majorBidi" w:hAnsiTheme="majorBidi" w:cstheme="majorBidi"/>
          <w:sz w:val="24"/>
          <w:szCs w:val="24"/>
          <w:lang w:val="en-GB"/>
        </w:rPr>
        <w:t>,</w:t>
      </w:r>
      <w:r w:rsidR="00415ADB" w:rsidRPr="00EF4EA3">
        <w:rPr>
          <w:rFonts w:ascii="Times New Roman" w:hAnsi="Times New Roman"/>
          <w:position w:val="-14"/>
          <w:sz w:val="24"/>
          <w:szCs w:val="24"/>
          <w:lang w:val="en-US"/>
        </w:rPr>
        <w:object w:dxaOrig="1620" w:dyaOrig="400">
          <v:shape id="_x0000_i1048" type="#_x0000_t75" style="width:81.75pt;height:20.25pt" o:ole="">
            <v:imagedata r:id="rId54" o:title=""/>
          </v:shape>
          <o:OLEObject Type="Embed" ProgID="Equation.DSMT4" ShapeID="_x0000_i1048" DrawAspect="Content" ObjectID="_1604251463" r:id="rId55"/>
        </w:object>
      </w:r>
      <w:r w:rsidR="00415ADB">
        <w:rPr>
          <w:rFonts w:ascii="Times New Roman" w:hAnsi="Times New Roman"/>
          <w:sz w:val="24"/>
          <w:szCs w:val="24"/>
          <w:lang w:val="en-US"/>
        </w:rPr>
        <w:t>.</w:t>
      </w:r>
      <w:r w:rsidR="00E971AE">
        <w:rPr>
          <w:rFonts w:ascii="Times New Roman" w:hAnsi="Times New Roman"/>
          <w:sz w:val="24"/>
          <w:szCs w:val="24"/>
          <w:lang w:val="en-US"/>
        </w:rPr>
        <w:t xml:space="preserve"> </w:t>
      </w:r>
      <w:r w:rsidR="00E7174F">
        <w:rPr>
          <w:rFonts w:ascii="Times New Roman" w:hAnsi="Times New Roman"/>
          <w:sz w:val="24"/>
          <w:szCs w:val="24"/>
          <w:lang w:val="en-US"/>
        </w:rPr>
        <w:t>T</w:t>
      </w:r>
      <w:r w:rsidR="00900CA5">
        <w:rPr>
          <w:rFonts w:ascii="Times New Roman" w:hAnsi="Times New Roman"/>
          <w:sz w:val="24"/>
          <w:szCs w:val="24"/>
          <w:lang w:val="en-US"/>
        </w:rPr>
        <w:t xml:space="preserve">he </w:t>
      </w:r>
      <w:r w:rsidR="006F6E2D">
        <w:rPr>
          <w:rFonts w:ascii="Times New Roman" w:hAnsi="Times New Roman"/>
          <w:sz w:val="24"/>
          <w:szCs w:val="24"/>
          <w:lang w:val="en-US"/>
        </w:rPr>
        <w:t xml:space="preserve">Anderson LM statistic </w:t>
      </w:r>
      <w:r w:rsidR="00034BB3">
        <w:rPr>
          <w:rFonts w:ascii="Times New Roman" w:hAnsi="Times New Roman"/>
          <w:sz w:val="24"/>
          <w:szCs w:val="24"/>
          <w:lang w:val="en-US"/>
        </w:rPr>
        <w:t>tests the hypothesis whether</w:t>
      </w:r>
      <w:r w:rsidR="006F6E2D">
        <w:rPr>
          <w:rFonts w:ascii="Times New Roman" w:hAnsi="Times New Roman"/>
          <w:sz w:val="24"/>
          <w:szCs w:val="24"/>
          <w:lang w:val="en-US"/>
        </w:rPr>
        <w:t xml:space="preserve"> the excluded instruments are weak</w:t>
      </w:r>
      <w:r w:rsidR="00301C72">
        <w:rPr>
          <w:rFonts w:ascii="Times New Roman" w:hAnsi="Times New Roman"/>
          <w:sz w:val="24"/>
          <w:szCs w:val="24"/>
          <w:lang w:val="en-US"/>
        </w:rPr>
        <w:t>;</w:t>
      </w:r>
      <w:r w:rsidR="006F6E2D">
        <w:rPr>
          <w:rFonts w:ascii="Times New Roman" w:hAnsi="Times New Roman"/>
          <w:sz w:val="24"/>
          <w:szCs w:val="24"/>
          <w:lang w:val="en-US"/>
        </w:rPr>
        <w:t xml:space="preserve"> so</w:t>
      </w:r>
      <w:r w:rsidR="00034BB3">
        <w:rPr>
          <w:rFonts w:ascii="Times New Roman" w:hAnsi="Times New Roman"/>
          <w:sz w:val="24"/>
          <w:szCs w:val="24"/>
          <w:lang w:val="en-US"/>
        </w:rPr>
        <w:t xml:space="preserve"> they are</w:t>
      </w:r>
      <w:r w:rsidR="006F6E2D">
        <w:rPr>
          <w:rFonts w:ascii="Times New Roman" w:hAnsi="Times New Roman"/>
          <w:sz w:val="24"/>
          <w:szCs w:val="24"/>
          <w:lang w:val="en-US"/>
        </w:rPr>
        <w:t xml:space="preserve"> appropriately excluded from the regression</w:t>
      </w:r>
      <w:r w:rsidR="00034BB3">
        <w:rPr>
          <w:rFonts w:ascii="Times New Roman" w:hAnsi="Times New Roman"/>
          <w:sz w:val="24"/>
          <w:szCs w:val="24"/>
          <w:lang w:val="en-US"/>
        </w:rPr>
        <w:t>.</w:t>
      </w:r>
      <w:r w:rsidR="006F6E2D">
        <w:rPr>
          <w:rFonts w:ascii="Times New Roman" w:hAnsi="Times New Roman"/>
          <w:sz w:val="24"/>
          <w:szCs w:val="24"/>
          <w:lang w:val="en-US"/>
        </w:rPr>
        <w:t xml:space="preserve"> </w:t>
      </w:r>
    </w:p>
    <w:p w:rsidR="00330F70" w:rsidRDefault="00AB3EA1" w:rsidP="00A41E89">
      <w:pPr>
        <w:pStyle w:val="ListParagraph"/>
        <w:ind w:left="0" w:firstLine="426"/>
        <w:rPr>
          <w:rFonts w:ascii="Times New Roman" w:hAnsi="Times New Roman"/>
          <w:sz w:val="24"/>
          <w:szCs w:val="24"/>
          <w:lang w:val="en-US"/>
        </w:rPr>
      </w:pPr>
      <w:r w:rsidRPr="00232936">
        <w:rPr>
          <w:rFonts w:ascii="Times New Roman" w:hAnsi="Times New Roman"/>
          <w:sz w:val="24"/>
          <w:szCs w:val="24"/>
          <w:lang w:val="en-US"/>
        </w:rPr>
        <w:t>Instrument diagnostic tests</w:t>
      </w:r>
      <w:r w:rsidR="00482643" w:rsidRPr="00232936">
        <w:rPr>
          <w:rFonts w:ascii="Times New Roman" w:hAnsi="Times New Roman"/>
          <w:sz w:val="24"/>
          <w:szCs w:val="24"/>
          <w:lang w:val="en-US"/>
        </w:rPr>
        <w:t xml:space="preserve"> support</w:t>
      </w:r>
      <w:r w:rsidR="00232936" w:rsidRPr="00232936">
        <w:rPr>
          <w:rFonts w:ascii="Times New Roman" w:hAnsi="Times New Roman"/>
          <w:sz w:val="24"/>
          <w:szCs w:val="24"/>
          <w:lang w:val="en-US"/>
        </w:rPr>
        <w:t xml:space="preserve"> our identification strategy with Sargan test being unable to reject the null</w:t>
      </w:r>
      <w:r w:rsidR="00232936">
        <w:rPr>
          <w:rFonts w:ascii="Times New Roman" w:hAnsi="Times New Roman"/>
          <w:sz w:val="24"/>
          <w:szCs w:val="24"/>
          <w:lang w:val="en-US"/>
        </w:rPr>
        <w:t xml:space="preserve"> while LM test clearly rejects the null that excluded instruments are relevant. </w:t>
      </w:r>
      <w:r w:rsidR="00793163">
        <w:rPr>
          <w:rFonts w:ascii="Times New Roman" w:hAnsi="Times New Roman"/>
          <w:sz w:val="24"/>
          <w:szCs w:val="24"/>
          <w:lang w:val="en-US"/>
        </w:rPr>
        <w:t xml:space="preserve">Turning to </w:t>
      </w:r>
      <w:r w:rsidR="00232936">
        <w:rPr>
          <w:rFonts w:ascii="Times New Roman" w:hAnsi="Times New Roman"/>
          <w:sz w:val="24"/>
          <w:szCs w:val="24"/>
          <w:lang w:val="en-US"/>
        </w:rPr>
        <w:t>GMM estimates</w:t>
      </w:r>
      <w:r w:rsidR="00793163">
        <w:rPr>
          <w:rFonts w:ascii="Times New Roman" w:hAnsi="Times New Roman"/>
          <w:sz w:val="24"/>
          <w:szCs w:val="24"/>
          <w:lang w:val="en-US"/>
        </w:rPr>
        <w:t>,</w:t>
      </w:r>
      <w:r w:rsidR="009F3527">
        <w:rPr>
          <w:rFonts w:ascii="Times New Roman" w:hAnsi="Times New Roman"/>
          <w:sz w:val="24"/>
          <w:szCs w:val="24"/>
          <w:lang w:val="en-US"/>
        </w:rPr>
        <w:t xml:space="preserve"> </w:t>
      </w:r>
      <w:r w:rsidR="009F3527" w:rsidRPr="009F3527">
        <w:rPr>
          <w:rFonts w:ascii="Times New Roman" w:hAnsi="Times New Roman"/>
          <w:i/>
          <w:iCs/>
          <w:sz w:val="24"/>
          <w:szCs w:val="24"/>
          <w:lang w:val="en-US"/>
        </w:rPr>
        <w:t>Tax</w:t>
      </w:r>
      <w:r w:rsidR="009F3527">
        <w:rPr>
          <w:rFonts w:ascii="Times New Roman" w:hAnsi="Times New Roman"/>
          <w:sz w:val="24"/>
          <w:szCs w:val="24"/>
          <w:lang w:val="en-US"/>
        </w:rPr>
        <w:t xml:space="preserve"> </w:t>
      </w:r>
      <w:r w:rsidR="00232936">
        <w:rPr>
          <w:rFonts w:ascii="Times New Roman" w:hAnsi="Times New Roman"/>
          <w:sz w:val="24"/>
          <w:szCs w:val="24"/>
          <w:lang w:val="en-US"/>
        </w:rPr>
        <w:t>maintains a</w:t>
      </w:r>
      <w:r w:rsidR="00793163">
        <w:rPr>
          <w:rFonts w:ascii="Times New Roman" w:hAnsi="Times New Roman"/>
          <w:sz w:val="24"/>
          <w:szCs w:val="24"/>
          <w:lang w:val="en-US"/>
        </w:rPr>
        <w:t xml:space="preserve"> negative</w:t>
      </w:r>
      <w:r w:rsidR="00232936">
        <w:rPr>
          <w:rFonts w:ascii="Times New Roman" w:hAnsi="Times New Roman"/>
          <w:sz w:val="24"/>
          <w:szCs w:val="24"/>
          <w:lang w:val="en-US"/>
        </w:rPr>
        <w:t xml:space="preserve"> coefficient</w:t>
      </w:r>
      <w:r w:rsidR="00793163">
        <w:rPr>
          <w:rFonts w:ascii="Times New Roman" w:hAnsi="Times New Roman"/>
          <w:sz w:val="24"/>
          <w:szCs w:val="24"/>
          <w:lang w:val="en-US"/>
        </w:rPr>
        <w:t xml:space="preserve"> in four out of six models </w:t>
      </w:r>
      <w:r w:rsidR="00232936">
        <w:rPr>
          <w:rFonts w:ascii="Times New Roman" w:hAnsi="Times New Roman"/>
          <w:sz w:val="24"/>
          <w:szCs w:val="24"/>
          <w:lang w:val="en-US"/>
        </w:rPr>
        <w:t>shown in</w:t>
      </w:r>
      <w:r w:rsidR="003F352D">
        <w:rPr>
          <w:rFonts w:ascii="Times New Roman" w:hAnsi="Times New Roman"/>
          <w:sz w:val="24"/>
          <w:szCs w:val="24"/>
          <w:lang w:val="en-US"/>
        </w:rPr>
        <w:t xml:space="preserve"> Table 2 while</w:t>
      </w:r>
      <w:r w:rsidR="00232936">
        <w:rPr>
          <w:rFonts w:ascii="Times New Roman" w:hAnsi="Times New Roman"/>
          <w:sz w:val="24"/>
          <w:szCs w:val="24"/>
          <w:lang w:val="en-US"/>
        </w:rPr>
        <w:t xml:space="preserve"> estimates for</w:t>
      </w:r>
      <w:r w:rsidR="003F352D">
        <w:rPr>
          <w:rFonts w:ascii="Times New Roman" w:hAnsi="Times New Roman"/>
          <w:sz w:val="24"/>
          <w:szCs w:val="24"/>
          <w:lang w:val="en-US"/>
        </w:rPr>
        <w:t xml:space="preserve"> the interaction terms between </w:t>
      </w:r>
      <w:r w:rsidR="003F352D" w:rsidRPr="003F352D">
        <w:rPr>
          <w:rFonts w:ascii="Times New Roman" w:hAnsi="Times New Roman"/>
          <w:i/>
          <w:sz w:val="24"/>
          <w:szCs w:val="24"/>
          <w:lang w:val="en-US"/>
        </w:rPr>
        <w:t>Tax</w:t>
      </w:r>
      <w:r w:rsidR="003F352D">
        <w:rPr>
          <w:rFonts w:ascii="Times New Roman" w:hAnsi="Times New Roman"/>
          <w:sz w:val="24"/>
          <w:szCs w:val="24"/>
          <w:lang w:val="en-US"/>
        </w:rPr>
        <w:t xml:space="preserve">, </w:t>
      </w:r>
      <w:r w:rsidR="00830B1D" w:rsidRPr="00830B1D">
        <w:rPr>
          <w:rFonts w:ascii="Times New Roman" w:hAnsi="Times New Roman"/>
          <w:i/>
          <w:sz w:val="24"/>
          <w:szCs w:val="24"/>
          <w:lang w:val="en-US"/>
        </w:rPr>
        <w:t>R</w:t>
      </w:r>
      <w:r w:rsidR="003F352D">
        <w:rPr>
          <w:rFonts w:ascii="Times New Roman" w:hAnsi="Times New Roman"/>
          <w:sz w:val="24"/>
          <w:szCs w:val="24"/>
          <w:lang w:val="en-US"/>
        </w:rPr>
        <w:t xml:space="preserve"> and </w:t>
      </w:r>
      <w:r w:rsidR="00830B1D" w:rsidRPr="00830B1D">
        <w:rPr>
          <w:rFonts w:ascii="Times New Roman" w:hAnsi="Times New Roman"/>
          <w:i/>
          <w:sz w:val="24"/>
          <w:szCs w:val="24"/>
          <w:lang w:val="en-US"/>
        </w:rPr>
        <w:t>E</w:t>
      </w:r>
      <w:r w:rsidR="003F352D">
        <w:rPr>
          <w:rFonts w:ascii="Times New Roman" w:hAnsi="Times New Roman"/>
          <w:sz w:val="24"/>
          <w:szCs w:val="24"/>
          <w:lang w:val="en-US"/>
        </w:rPr>
        <w:t xml:space="preserve"> are also negative </w:t>
      </w:r>
      <w:r w:rsidR="00232936">
        <w:rPr>
          <w:rFonts w:ascii="Times New Roman" w:hAnsi="Times New Roman"/>
          <w:sz w:val="24"/>
          <w:szCs w:val="24"/>
          <w:lang w:val="en-US"/>
        </w:rPr>
        <w:t>in columns (3) and (4)</w:t>
      </w:r>
      <w:r w:rsidR="003F352D">
        <w:rPr>
          <w:rFonts w:ascii="Times New Roman" w:hAnsi="Times New Roman"/>
          <w:sz w:val="24"/>
          <w:szCs w:val="24"/>
          <w:lang w:val="en-US"/>
        </w:rPr>
        <w:t xml:space="preserve">. The remaining </w:t>
      </w:r>
      <w:r w:rsidR="00232936">
        <w:rPr>
          <w:rFonts w:ascii="Times New Roman" w:hAnsi="Times New Roman"/>
          <w:sz w:val="24"/>
          <w:szCs w:val="24"/>
          <w:lang w:val="en-US"/>
        </w:rPr>
        <w:t>coefficients</w:t>
      </w:r>
      <w:r w:rsidR="003F352D">
        <w:rPr>
          <w:rFonts w:ascii="Times New Roman" w:hAnsi="Times New Roman"/>
          <w:sz w:val="24"/>
          <w:szCs w:val="24"/>
          <w:lang w:val="en-US"/>
        </w:rPr>
        <w:t xml:space="preserve"> remain </w:t>
      </w:r>
      <w:r w:rsidR="009F3527">
        <w:rPr>
          <w:rFonts w:ascii="Times New Roman" w:hAnsi="Times New Roman"/>
          <w:sz w:val="24"/>
          <w:szCs w:val="24"/>
          <w:lang w:val="en-US"/>
        </w:rPr>
        <w:t xml:space="preserve">qualitatively similar to </w:t>
      </w:r>
      <w:r w:rsidR="00232936">
        <w:rPr>
          <w:rFonts w:ascii="Times New Roman" w:hAnsi="Times New Roman"/>
          <w:sz w:val="24"/>
          <w:szCs w:val="24"/>
          <w:lang w:val="en-US"/>
        </w:rPr>
        <w:t>OLS estimates</w:t>
      </w:r>
      <w:r w:rsidR="00D02509">
        <w:rPr>
          <w:rFonts w:ascii="Times New Roman" w:hAnsi="Times New Roman"/>
          <w:sz w:val="24"/>
          <w:szCs w:val="24"/>
          <w:lang w:val="en-US"/>
        </w:rPr>
        <w:t xml:space="preserve"> in </w:t>
      </w:r>
      <w:r w:rsidR="003F352D">
        <w:rPr>
          <w:rFonts w:ascii="Times New Roman" w:hAnsi="Times New Roman"/>
          <w:sz w:val="24"/>
          <w:szCs w:val="24"/>
          <w:lang w:val="en-US"/>
        </w:rPr>
        <w:t>Table 1</w:t>
      </w:r>
      <w:r w:rsidR="00232936">
        <w:rPr>
          <w:rFonts w:ascii="Times New Roman" w:hAnsi="Times New Roman"/>
          <w:sz w:val="24"/>
          <w:szCs w:val="24"/>
          <w:lang w:val="en-US"/>
        </w:rPr>
        <w:t>,</w:t>
      </w:r>
      <w:r w:rsidR="003F352D">
        <w:rPr>
          <w:rFonts w:ascii="Times New Roman" w:hAnsi="Times New Roman"/>
          <w:sz w:val="24"/>
          <w:szCs w:val="24"/>
          <w:lang w:val="en-US"/>
        </w:rPr>
        <w:t xml:space="preserve"> </w:t>
      </w:r>
      <w:r w:rsidR="00301C72">
        <w:rPr>
          <w:rFonts w:ascii="Times New Roman" w:hAnsi="Times New Roman"/>
          <w:sz w:val="24"/>
          <w:szCs w:val="24"/>
          <w:lang w:val="en-US"/>
        </w:rPr>
        <w:t xml:space="preserve">and </w:t>
      </w:r>
      <w:r w:rsidR="003F352D">
        <w:rPr>
          <w:rFonts w:ascii="Times New Roman" w:hAnsi="Times New Roman"/>
          <w:sz w:val="24"/>
          <w:szCs w:val="24"/>
          <w:lang w:val="en-US"/>
        </w:rPr>
        <w:t>exception</w:t>
      </w:r>
      <w:r w:rsidR="00232936">
        <w:rPr>
          <w:rFonts w:ascii="Times New Roman" w:hAnsi="Times New Roman"/>
          <w:sz w:val="24"/>
          <w:szCs w:val="24"/>
          <w:lang w:val="en-US"/>
        </w:rPr>
        <w:t>ally</w:t>
      </w:r>
      <w:r w:rsidR="003F352D">
        <w:rPr>
          <w:rFonts w:ascii="Times New Roman" w:hAnsi="Times New Roman"/>
          <w:sz w:val="24"/>
          <w:szCs w:val="24"/>
          <w:lang w:val="en-US"/>
        </w:rPr>
        <w:t xml:space="preserve"> the triple interaction terms are</w:t>
      </w:r>
      <w:r w:rsidR="00232936">
        <w:rPr>
          <w:rFonts w:ascii="Times New Roman" w:hAnsi="Times New Roman"/>
          <w:sz w:val="24"/>
          <w:szCs w:val="24"/>
          <w:lang w:val="en-US"/>
        </w:rPr>
        <w:t xml:space="preserve"> </w:t>
      </w:r>
      <w:r w:rsidR="00C950CE">
        <w:rPr>
          <w:rFonts w:ascii="Times New Roman" w:hAnsi="Times New Roman"/>
          <w:sz w:val="24"/>
          <w:szCs w:val="24"/>
          <w:lang w:val="en-US"/>
        </w:rPr>
        <w:t xml:space="preserve">now </w:t>
      </w:r>
      <w:r w:rsidR="00232936">
        <w:rPr>
          <w:rFonts w:ascii="Times New Roman" w:hAnsi="Times New Roman"/>
          <w:sz w:val="24"/>
          <w:szCs w:val="24"/>
          <w:lang w:val="en-US"/>
        </w:rPr>
        <w:t xml:space="preserve">statistically </w:t>
      </w:r>
      <w:r w:rsidR="00C950CE">
        <w:rPr>
          <w:rFonts w:ascii="Times New Roman" w:hAnsi="Times New Roman"/>
          <w:sz w:val="24"/>
          <w:szCs w:val="24"/>
          <w:lang w:val="en-US"/>
        </w:rPr>
        <w:t xml:space="preserve">not </w:t>
      </w:r>
      <w:r w:rsidR="00232936">
        <w:rPr>
          <w:rFonts w:ascii="Times New Roman" w:hAnsi="Times New Roman"/>
          <w:sz w:val="24"/>
          <w:szCs w:val="24"/>
          <w:lang w:val="en-US"/>
        </w:rPr>
        <w:t>different from zero.</w:t>
      </w:r>
      <w:r w:rsidR="003F352D">
        <w:rPr>
          <w:rFonts w:ascii="Times New Roman" w:hAnsi="Times New Roman"/>
          <w:sz w:val="24"/>
          <w:szCs w:val="24"/>
          <w:lang w:val="en-US"/>
        </w:rPr>
        <w:t xml:space="preserve"> </w:t>
      </w:r>
      <w:r w:rsidR="00232936">
        <w:rPr>
          <w:rFonts w:ascii="Times New Roman" w:hAnsi="Times New Roman"/>
          <w:sz w:val="24"/>
          <w:szCs w:val="24"/>
          <w:lang w:val="en-US"/>
        </w:rPr>
        <w:t>GMM estimates</w:t>
      </w:r>
      <w:r w:rsidR="003F352D">
        <w:rPr>
          <w:rFonts w:ascii="Times New Roman" w:hAnsi="Times New Roman"/>
          <w:sz w:val="24"/>
          <w:szCs w:val="24"/>
          <w:lang w:val="en-US"/>
        </w:rPr>
        <w:t xml:space="preserve"> </w:t>
      </w:r>
      <w:r w:rsidR="00232936">
        <w:rPr>
          <w:rFonts w:ascii="Times New Roman" w:hAnsi="Times New Roman"/>
          <w:sz w:val="24"/>
          <w:szCs w:val="24"/>
          <w:lang w:val="en-US"/>
        </w:rPr>
        <w:t>confirm</w:t>
      </w:r>
      <w:r w:rsidR="009F3527">
        <w:rPr>
          <w:rFonts w:ascii="Times New Roman" w:hAnsi="Times New Roman"/>
          <w:sz w:val="24"/>
          <w:szCs w:val="24"/>
          <w:lang w:val="en-US"/>
        </w:rPr>
        <w:t xml:space="preserve"> that</w:t>
      </w:r>
      <w:r w:rsidR="00232936">
        <w:rPr>
          <w:rFonts w:ascii="Times New Roman" w:hAnsi="Times New Roman"/>
          <w:sz w:val="24"/>
          <w:szCs w:val="24"/>
          <w:lang w:val="en-US"/>
        </w:rPr>
        <w:t xml:space="preserve"> </w:t>
      </w:r>
      <w:r w:rsidR="00D542F3">
        <w:rPr>
          <w:rFonts w:ascii="Times New Roman" w:hAnsi="Times New Roman"/>
          <w:sz w:val="24"/>
          <w:szCs w:val="24"/>
          <w:lang w:val="en-US"/>
        </w:rPr>
        <w:t xml:space="preserve">a </w:t>
      </w:r>
      <w:r w:rsidR="00232936">
        <w:rPr>
          <w:rFonts w:ascii="Times New Roman" w:hAnsi="Times New Roman"/>
          <w:sz w:val="24"/>
          <w:szCs w:val="24"/>
          <w:lang w:val="en-US"/>
        </w:rPr>
        <w:t>higher level of</w:t>
      </w:r>
      <w:r w:rsidR="009F3527">
        <w:rPr>
          <w:rFonts w:ascii="Times New Roman" w:hAnsi="Times New Roman"/>
          <w:sz w:val="24"/>
          <w:szCs w:val="24"/>
          <w:lang w:val="en-US"/>
        </w:rPr>
        <w:t xml:space="preserve"> </w:t>
      </w:r>
      <w:r w:rsidR="00232936">
        <w:rPr>
          <w:rFonts w:ascii="Times New Roman" w:hAnsi="Times New Roman"/>
          <w:sz w:val="24"/>
          <w:szCs w:val="24"/>
          <w:lang w:val="en-US"/>
        </w:rPr>
        <w:t xml:space="preserve">tax liability </w:t>
      </w:r>
      <w:r w:rsidR="00D542F3">
        <w:rPr>
          <w:rFonts w:ascii="Times New Roman" w:hAnsi="Times New Roman"/>
          <w:sz w:val="24"/>
          <w:szCs w:val="24"/>
          <w:lang w:val="en-US"/>
        </w:rPr>
        <w:t>has a</w:t>
      </w:r>
      <w:r w:rsidR="009F3527">
        <w:rPr>
          <w:rFonts w:ascii="Times New Roman" w:hAnsi="Times New Roman"/>
          <w:sz w:val="24"/>
          <w:szCs w:val="24"/>
          <w:lang w:val="en-US"/>
        </w:rPr>
        <w:t xml:space="preserve"> distortionary nature</w:t>
      </w:r>
      <w:r w:rsidR="00D542F3">
        <w:rPr>
          <w:rFonts w:ascii="Times New Roman" w:hAnsi="Times New Roman"/>
          <w:sz w:val="24"/>
          <w:szCs w:val="24"/>
          <w:lang w:val="en-US"/>
        </w:rPr>
        <w:t xml:space="preserve"> on productivity growth a</w:t>
      </w:r>
      <w:r w:rsidR="00C60E5C">
        <w:rPr>
          <w:rFonts w:ascii="Times New Roman" w:hAnsi="Times New Roman"/>
          <w:sz w:val="24"/>
          <w:szCs w:val="24"/>
          <w:lang w:val="en-US"/>
        </w:rPr>
        <w:t>nd</w:t>
      </w:r>
      <w:r w:rsidR="00D542F3">
        <w:rPr>
          <w:rFonts w:ascii="Times New Roman" w:hAnsi="Times New Roman"/>
          <w:sz w:val="24"/>
          <w:szCs w:val="24"/>
          <w:lang w:val="en-US"/>
        </w:rPr>
        <w:t xml:space="preserve"> it affects the catch up process of firms towards the frontier; these negative effects prevail even after controlling for endogeneity </w:t>
      </w:r>
      <w:r w:rsidR="00C950CE">
        <w:rPr>
          <w:rFonts w:ascii="Times New Roman" w:hAnsi="Times New Roman"/>
          <w:sz w:val="24"/>
          <w:szCs w:val="24"/>
          <w:lang w:val="en-US"/>
        </w:rPr>
        <w:t>and</w:t>
      </w:r>
      <w:r w:rsidR="009F3527">
        <w:rPr>
          <w:rFonts w:ascii="Times New Roman" w:hAnsi="Times New Roman"/>
          <w:sz w:val="24"/>
          <w:szCs w:val="24"/>
          <w:lang w:val="en-US"/>
        </w:rPr>
        <w:t xml:space="preserve"> any other unobserved </w:t>
      </w:r>
      <w:r w:rsidR="00D542F3">
        <w:rPr>
          <w:rFonts w:ascii="Times New Roman" w:hAnsi="Times New Roman"/>
          <w:sz w:val="24"/>
          <w:szCs w:val="24"/>
          <w:lang w:val="en-US"/>
        </w:rPr>
        <w:t xml:space="preserve">measurement </w:t>
      </w:r>
      <w:r w:rsidR="009F3527">
        <w:rPr>
          <w:rFonts w:ascii="Times New Roman" w:hAnsi="Times New Roman"/>
          <w:sz w:val="24"/>
          <w:szCs w:val="24"/>
          <w:lang w:val="en-US"/>
        </w:rPr>
        <w:t xml:space="preserve">bias. </w:t>
      </w:r>
    </w:p>
    <w:p w:rsidR="00D542F3" w:rsidRDefault="00D542F3" w:rsidP="00A41E89">
      <w:pPr>
        <w:pStyle w:val="ListParagraph"/>
        <w:ind w:left="0" w:firstLine="426"/>
        <w:rPr>
          <w:rFonts w:ascii="Times New Roman" w:hAnsi="Times New Roman"/>
          <w:sz w:val="24"/>
          <w:szCs w:val="24"/>
          <w:lang w:val="en-US"/>
        </w:rPr>
      </w:pPr>
    </w:p>
    <w:p w:rsidR="00C950CE" w:rsidRDefault="00C950CE" w:rsidP="00A41E89">
      <w:pPr>
        <w:pStyle w:val="ListParagraph"/>
        <w:ind w:left="0" w:firstLine="426"/>
        <w:rPr>
          <w:rFonts w:ascii="Times New Roman" w:hAnsi="Times New Roman"/>
          <w:sz w:val="24"/>
          <w:szCs w:val="24"/>
          <w:lang w:val="en-US"/>
        </w:rPr>
      </w:pPr>
    </w:p>
    <w:p w:rsidR="00C950CE" w:rsidRPr="00A41E89" w:rsidRDefault="00C950CE" w:rsidP="00A41E89">
      <w:pPr>
        <w:pStyle w:val="ListParagraph"/>
        <w:ind w:left="0" w:firstLine="426"/>
        <w:rPr>
          <w:rFonts w:ascii="Times New Roman" w:hAnsi="Times New Roman"/>
          <w:sz w:val="24"/>
          <w:szCs w:val="24"/>
          <w:lang w:val="en-US"/>
        </w:rPr>
      </w:pPr>
    </w:p>
    <w:p w:rsidR="00637032" w:rsidRPr="00637032" w:rsidRDefault="00637032" w:rsidP="00637032">
      <w:pPr>
        <w:keepNext/>
        <w:widowControl w:val="0"/>
        <w:autoSpaceDE w:val="0"/>
        <w:autoSpaceDN w:val="0"/>
        <w:adjustRightInd w:val="0"/>
        <w:rPr>
          <w:rFonts w:ascii="Times New Roman" w:eastAsia="SimSun" w:hAnsi="Times New Roman"/>
          <w:b/>
          <w:sz w:val="24"/>
          <w:szCs w:val="24"/>
          <w:lang w:val="en-US" w:eastAsia="zh-CN"/>
        </w:rPr>
      </w:pPr>
      <w:r w:rsidRPr="003C1B03">
        <w:rPr>
          <w:rFonts w:ascii="Times New Roman" w:eastAsia="SimSun" w:hAnsi="Times New Roman"/>
          <w:b/>
          <w:sz w:val="24"/>
          <w:szCs w:val="24"/>
          <w:lang w:val="en-US" w:eastAsia="zh-CN"/>
        </w:rPr>
        <w:lastRenderedPageBreak/>
        <w:t>Table 2</w:t>
      </w:r>
      <w:r w:rsidRPr="00637032">
        <w:rPr>
          <w:rFonts w:ascii="Times New Roman" w:eastAsia="SimSun" w:hAnsi="Times New Roman"/>
          <w:b/>
          <w:sz w:val="24"/>
          <w:szCs w:val="24"/>
          <w:lang w:val="en-US" w:eastAsia="zh-CN"/>
        </w:rPr>
        <w:t>: GMM Regressions with Industry Level Instruments for TFP Growth and Tax Liability</w:t>
      </w:r>
      <w:r w:rsidR="00C60E5C">
        <w:rPr>
          <w:rFonts w:ascii="Times New Roman" w:eastAsia="SimSun" w:hAnsi="Times New Roman"/>
          <w:b/>
          <w:sz w:val="24"/>
          <w:szCs w:val="24"/>
          <w:lang w:val="en-US" w:eastAsia="zh-CN"/>
        </w:rPr>
        <w:t xml:space="preserve"> of</w:t>
      </w:r>
      <w:r w:rsidRPr="00637032">
        <w:rPr>
          <w:rFonts w:ascii="Times New Roman" w:eastAsia="SimSun" w:hAnsi="Times New Roman"/>
          <w:b/>
          <w:sz w:val="24"/>
          <w:szCs w:val="24"/>
          <w:lang w:val="en-US" w:eastAsia="zh-CN"/>
        </w:rPr>
        <w:t xml:space="preserve"> UK Firms </w:t>
      </w:r>
      <w:r w:rsidR="00C60E5C">
        <w:rPr>
          <w:rFonts w:ascii="Times New Roman" w:eastAsia="SimSun" w:hAnsi="Times New Roman"/>
          <w:b/>
          <w:sz w:val="24"/>
          <w:szCs w:val="24"/>
          <w:lang w:val="en-US" w:eastAsia="zh-CN"/>
        </w:rPr>
        <w:t xml:space="preserve">during </w:t>
      </w:r>
      <w:r w:rsidRPr="00637032">
        <w:rPr>
          <w:rFonts w:ascii="Times New Roman" w:eastAsia="SimSun" w:hAnsi="Times New Roman"/>
          <w:b/>
          <w:sz w:val="24"/>
          <w:szCs w:val="24"/>
          <w:lang w:val="en-US" w:eastAsia="zh-CN"/>
        </w:rPr>
        <w:t>2004-2011</w:t>
      </w:r>
    </w:p>
    <w:tbl>
      <w:tblPr>
        <w:tblW w:w="0" w:type="auto"/>
        <w:tblLook w:val="0000" w:firstRow="0" w:lastRow="0" w:firstColumn="0" w:lastColumn="0" w:noHBand="0" w:noVBand="0"/>
      </w:tblPr>
      <w:tblGrid>
        <w:gridCol w:w="2109"/>
        <w:gridCol w:w="1115"/>
        <w:gridCol w:w="1115"/>
        <w:gridCol w:w="1225"/>
        <w:gridCol w:w="1115"/>
        <w:gridCol w:w="1115"/>
        <w:gridCol w:w="1115"/>
      </w:tblGrid>
      <w:tr w:rsidR="009D633C" w:rsidRPr="00637032" w:rsidTr="003D09D1">
        <w:tc>
          <w:tcPr>
            <w:tcW w:w="0" w:type="auto"/>
            <w:tcBorders>
              <w:top w:val="single" w:sz="4" w:space="0" w:color="auto"/>
              <w:left w:val="nil"/>
              <w:bottom w:val="nil"/>
              <w:right w:val="nil"/>
            </w:tcBorders>
          </w:tcPr>
          <w:p w:rsidR="00637032" w:rsidRPr="00637032" w:rsidRDefault="00637032" w:rsidP="00C774B9">
            <w:pPr>
              <w:widowControl w:val="0"/>
              <w:autoSpaceDE w:val="0"/>
              <w:autoSpaceDN w:val="0"/>
              <w:adjustRightInd w:val="0"/>
              <w:spacing w:line="240" w:lineRule="auto"/>
              <w:ind w:firstLine="0"/>
              <w:contextualSpacing/>
              <w:rPr>
                <w:rFonts w:ascii="Times New Roman" w:eastAsia="SimSun" w:hAnsi="Times New Roman"/>
                <w:sz w:val="24"/>
                <w:szCs w:val="24"/>
                <w:lang w:val="en-US" w:eastAsia="zh-CN"/>
              </w:rPr>
            </w:pPr>
          </w:p>
        </w:tc>
        <w:tc>
          <w:tcPr>
            <w:tcW w:w="0" w:type="auto"/>
            <w:tcBorders>
              <w:top w:val="single" w:sz="4" w:space="0" w:color="auto"/>
              <w:left w:val="nil"/>
              <w:bottom w:val="nil"/>
              <w:right w:val="nil"/>
            </w:tcBorders>
          </w:tcPr>
          <w:p w:rsidR="00637032" w:rsidRPr="0026790F" w:rsidRDefault="00BF5811"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w:t>
            </w:r>
            <w:r w:rsidR="00637032" w:rsidRPr="0026790F">
              <w:rPr>
                <w:rFonts w:ascii="Times New Roman" w:eastAsia="SimSun" w:hAnsi="Times New Roman"/>
                <w:lang w:val="en-US" w:eastAsia="zh-CN"/>
              </w:rPr>
              <w:t>1</w:t>
            </w:r>
            <w:r w:rsidRPr="0026790F">
              <w:rPr>
                <w:rFonts w:ascii="Times New Roman" w:eastAsia="SimSun" w:hAnsi="Times New Roman"/>
                <w:lang w:val="en-US" w:eastAsia="zh-CN"/>
              </w:rPr>
              <w:t>)</w:t>
            </w:r>
          </w:p>
        </w:tc>
        <w:tc>
          <w:tcPr>
            <w:tcW w:w="0" w:type="auto"/>
            <w:tcBorders>
              <w:top w:val="single" w:sz="4" w:space="0" w:color="auto"/>
              <w:left w:val="nil"/>
              <w:bottom w:val="nil"/>
              <w:right w:val="nil"/>
            </w:tcBorders>
          </w:tcPr>
          <w:p w:rsidR="00637032" w:rsidRPr="0026790F" w:rsidRDefault="00BF5811"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w:t>
            </w:r>
            <w:r w:rsidR="00637032" w:rsidRPr="0026790F">
              <w:rPr>
                <w:rFonts w:ascii="Times New Roman" w:eastAsia="SimSun" w:hAnsi="Times New Roman"/>
                <w:lang w:val="en-US" w:eastAsia="zh-CN"/>
              </w:rPr>
              <w:t>2</w:t>
            </w:r>
            <w:r w:rsidRPr="0026790F">
              <w:rPr>
                <w:rFonts w:ascii="Times New Roman" w:eastAsia="SimSun" w:hAnsi="Times New Roman"/>
                <w:lang w:val="en-US" w:eastAsia="zh-CN"/>
              </w:rPr>
              <w:t>)</w:t>
            </w:r>
          </w:p>
        </w:tc>
        <w:tc>
          <w:tcPr>
            <w:tcW w:w="0" w:type="auto"/>
            <w:tcBorders>
              <w:top w:val="single" w:sz="4" w:space="0" w:color="auto"/>
              <w:left w:val="nil"/>
              <w:bottom w:val="nil"/>
              <w:right w:val="nil"/>
            </w:tcBorders>
          </w:tcPr>
          <w:p w:rsidR="00637032" w:rsidRPr="0026790F" w:rsidRDefault="00BF5811"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w:t>
            </w:r>
            <w:r w:rsidR="00637032" w:rsidRPr="0026790F">
              <w:rPr>
                <w:rFonts w:ascii="Times New Roman" w:eastAsia="SimSun" w:hAnsi="Times New Roman"/>
                <w:lang w:val="en-US" w:eastAsia="zh-CN"/>
              </w:rPr>
              <w:t>3</w:t>
            </w:r>
            <w:r w:rsidRPr="0026790F">
              <w:rPr>
                <w:rFonts w:ascii="Times New Roman" w:eastAsia="SimSun" w:hAnsi="Times New Roman"/>
                <w:lang w:val="en-US" w:eastAsia="zh-CN"/>
              </w:rPr>
              <w:t>)</w:t>
            </w:r>
          </w:p>
        </w:tc>
        <w:tc>
          <w:tcPr>
            <w:tcW w:w="0" w:type="auto"/>
            <w:tcBorders>
              <w:top w:val="single" w:sz="4" w:space="0" w:color="auto"/>
              <w:left w:val="nil"/>
              <w:bottom w:val="nil"/>
              <w:right w:val="nil"/>
            </w:tcBorders>
          </w:tcPr>
          <w:p w:rsidR="00637032" w:rsidRPr="0026790F" w:rsidRDefault="00BF5811"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w:t>
            </w:r>
            <w:r w:rsidR="00637032" w:rsidRPr="0026790F">
              <w:rPr>
                <w:rFonts w:ascii="Times New Roman" w:eastAsia="SimSun" w:hAnsi="Times New Roman"/>
                <w:lang w:val="en-US" w:eastAsia="zh-CN"/>
              </w:rPr>
              <w:t>4</w:t>
            </w:r>
            <w:r w:rsidRPr="0026790F">
              <w:rPr>
                <w:rFonts w:ascii="Times New Roman" w:eastAsia="SimSun" w:hAnsi="Times New Roman"/>
                <w:lang w:val="en-US" w:eastAsia="zh-CN"/>
              </w:rPr>
              <w:t>)</w:t>
            </w:r>
          </w:p>
        </w:tc>
        <w:tc>
          <w:tcPr>
            <w:tcW w:w="0" w:type="auto"/>
            <w:tcBorders>
              <w:top w:val="single" w:sz="4" w:space="0" w:color="auto"/>
              <w:left w:val="nil"/>
              <w:bottom w:val="nil"/>
              <w:right w:val="nil"/>
            </w:tcBorders>
          </w:tcPr>
          <w:p w:rsidR="00637032" w:rsidRPr="0026790F" w:rsidRDefault="00BF5811"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w:t>
            </w:r>
            <w:r w:rsidR="00637032" w:rsidRPr="0026790F">
              <w:rPr>
                <w:rFonts w:ascii="Times New Roman" w:eastAsia="SimSun" w:hAnsi="Times New Roman"/>
                <w:lang w:val="en-US" w:eastAsia="zh-CN"/>
              </w:rPr>
              <w:t>5</w:t>
            </w:r>
            <w:r w:rsidRPr="0026790F">
              <w:rPr>
                <w:rFonts w:ascii="Times New Roman" w:eastAsia="SimSun" w:hAnsi="Times New Roman"/>
                <w:lang w:val="en-US" w:eastAsia="zh-CN"/>
              </w:rPr>
              <w:t>)</w:t>
            </w:r>
          </w:p>
        </w:tc>
        <w:tc>
          <w:tcPr>
            <w:tcW w:w="0" w:type="auto"/>
            <w:tcBorders>
              <w:top w:val="single" w:sz="4" w:space="0" w:color="auto"/>
              <w:left w:val="nil"/>
              <w:bottom w:val="nil"/>
              <w:right w:val="nil"/>
            </w:tcBorders>
          </w:tcPr>
          <w:p w:rsidR="00637032" w:rsidRPr="0026790F" w:rsidRDefault="00BF5811"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(6)</w:t>
            </w:r>
          </w:p>
        </w:tc>
      </w:tr>
      <w:tr w:rsidR="0026790F" w:rsidRPr="00637032" w:rsidTr="003D09D1">
        <w:tc>
          <w:tcPr>
            <w:tcW w:w="0" w:type="auto"/>
            <w:tcBorders>
              <w:top w:val="single" w:sz="4" w:space="0" w:color="auto"/>
              <w:left w:val="nil"/>
              <w:bottom w:val="nil"/>
              <w:right w:val="nil"/>
            </w:tcBorders>
          </w:tcPr>
          <w:p w:rsidR="0026790F" w:rsidRPr="000133C7" w:rsidRDefault="0026790F" w:rsidP="00C774B9">
            <w:pPr>
              <w:spacing w:line="240" w:lineRule="auto"/>
              <w:ind w:firstLine="0"/>
              <w:contextualSpacing/>
              <w:rPr>
                <w:rFonts w:asciiTheme="majorBidi" w:hAnsiTheme="majorBidi" w:cstheme="majorBidi"/>
                <w:i/>
                <w:sz w:val="24"/>
                <w:szCs w:val="24"/>
                <w:lang w:val="en-US"/>
              </w:rPr>
            </w:pPr>
            <w:r w:rsidRPr="007A4735">
              <w:rPr>
                <w:rFonts w:asciiTheme="majorBidi" w:hAnsiTheme="majorBidi" w:cstheme="majorBidi"/>
                <w:sz w:val="24"/>
                <w:szCs w:val="24"/>
                <w:lang w:val="en-US"/>
              </w:rPr>
              <w:t>Δln</w:t>
            </w:r>
            <w:r w:rsidRPr="000133C7">
              <w:rPr>
                <w:rFonts w:asciiTheme="majorBidi" w:hAnsiTheme="majorBidi" w:cstheme="majorBidi"/>
                <w:i/>
                <w:sz w:val="24"/>
                <w:szCs w:val="24"/>
                <w:lang w:val="en-US"/>
              </w:rPr>
              <w:t>TFP</w:t>
            </w:r>
            <w:r w:rsidRPr="000133C7">
              <w:rPr>
                <w:rFonts w:asciiTheme="majorBidi" w:hAnsiTheme="majorBidi" w:cstheme="majorBidi"/>
                <w:i/>
                <w:sz w:val="24"/>
                <w:szCs w:val="24"/>
                <w:vertAlign w:val="subscript"/>
                <w:lang w:val="en-US"/>
              </w:rPr>
              <w:t>Ft</w:t>
            </w:r>
          </w:p>
        </w:tc>
        <w:tc>
          <w:tcPr>
            <w:tcW w:w="0" w:type="auto"/>
            <w:tcBorders>
              <w:top w:val="single" w:sz="4" w:space="0" w:color="auto"/>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3.959***</w:t>
            </w:r>
          </w:p>
        </w:tc>
        <w:tc>
          <w:tcPr>
            <w:tcW w:w="0" w:type="auto"/>
            <w:tcBorders>
              <w:top w:val="single" w:sz="4" w:space="0" w:color="auto"/>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3.858***</w:t>
            </w:r>
          </w:p>
        </w:tc>
        <w:tc>
          <w:tcPr>
            <w:tcW w:w="0" w:type="auto"/>
            <w:tcBorders>
              <w:top w:val="single" w:sz="4" w:space="0" w:color="auto"/>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3.906***</w:t>
            </w:r>
          </w:p>
        </w:tc>
        <w:tc>
          <w:tcPr>
            <w:tcW w:w="0" w:type="auto"/>
            <w:tcBorders>
              <w:top w:val="single" w:sz="4" w:space="0" w:color="auto"/>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3.908***</w:t>
            </w:r>
          </w:p>
        </w:tc>
        <w:tc>
          <w:tcPr>
            <w:tcW w:w="0" w:type="auto"/>
            <w:tcBorders>
              <w:top w:val="single" w:sz="4" w:space="0" w:color="auto"/>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3.578***</w:t>
            </w:r>
          </w:p>
        </w:tc>
        <w:tc>
          <w:tcPr>
            <w:tcW w:w="0" w:type="auto"/>
            <w:tcBorders>
              <w:top w:val="single" w:sz="4" w:space="0" w:color="auto"/>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3.645***</w:t>
            </w:r>
          </w:p>
        </w:tc>
      </w:tr>
      <w:tr w:rsidR="0026790F" w:rsidRPr="00637032" w:rsidTr="003D09D1">
        <w:tc>
          <w:tcPr>
            <w:tcW w:w="0" w:type="auto"/>
            <w:tcBorders>
              <w:top w:val="nil"/>
              <w:left w:val="nil"/>
              <w:bottom w:val="nil"/>
              <w:right w:val="nil"/>
            </w:tcBorders>
          </w:tcPr>
          <w:p w:rsidR="0026790F" w:rsidRPr="007A4735" w:rsidRDefault="0026790F" w:rsidP="00C774B9">
            <w:pPr>
              <w:spacing w:line="240" w:lineRule="auto"/>
              <w:ind w:firstLine="0"/>
              <w:contextualSpacing/>
              <w:rPr>
                <w:rFonts w:asciiTheme="majorBidi" w:hAnsiTheme="majorBidi" w:cstheme="majorBidi"/>
                <w:sz w:val="24"/>
                <w:szCs w:val="24"/>
                <w:lang w:val="en-US"/>
              </w:rPr>
            </w:pP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(7.83)</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(7.61)</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(7.32)</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(7.35)</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(7.02)</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(7.54)</w:t>
            </w:r>
          </w:p>
        </w:tc>
      </w:tr>
      <w:tr w:rsidR="0026790F" w:rsidRPr="00637032" w:rsidTr="003D09D1">
        <w:tc>
          <w:tcPr>
            <w:tcW w:w="0" w:type="auto"/>
            <w:tcBorders>
              <w:top w:val="nil"/>
              <w:left w:val="nil"/>
              <w:bottom w:val="nil"/>
              <w:right w:val="nil"/>
            </w:tcBorders>
          </w:tcPr>
          <w:p w:rsidR="0026790F" w:rsidRPr="000133C7" w:rsidRDefault="0026790F" w:rsidP="00C774B9">
            <w:pPr>
              <w:spacing w:line="240" w:lineRule="auto"/>
              <w:ind w:firstLine="0"/>
              <w:contextualSpacing/>
              <w:rPr>
                <w:rFonts w:asciiTheme="majorBidi" w:hAnsiTheme="majorBidi" w:cstheme="majorBidi"/>
                <w:i/>
                <w:sz w:val="24"/>
                <w:szCs w:val="24"/>
                <w:vertAlign w:val="subscript"/>
                <w:lang w:val="en-US"/>
              </w:rPr>
            </w:pPr>
            <w:r w:rsidRPr="000133C7">
              <w:rPr>
                <w:rFonts w:asciiTheme="majorBidi" w:hAnsiTheme="majorBidi" w:cstheme="majorBidi"/>
                <w:i/>
                <w:sz w:val="24"/>
                <w:szCs w:val="24"/>
                <w:lang w:val="en-US"/>
              </w:rPr>
              <w:t>GAP</w:t>
            </w:r>
            <w:r>
              <w:rPr>
                <w:rFonts w:asciiTheme="majorBidi" w:hAnsiTheme="majorBidi" w:cstheme="majorBidi"/>
                <w:i/>
                <w:sz w:val="24"/>
                <w:szCs w:val="24"/>
                <w:vertAlign w:val="subscript"/>
                <w:lang w:val="en-US"/>
              </w:rPr>
              <w:t>it-1</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-0.01***</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-0.013***</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-0.08***</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-0.08***</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-0.015***</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-0.014***</w:t>
            </w:r>
          </w:p>
        </w:tc>
      </w:tr>
      <w:tr w:rsidR="0026790F" w:rsidRPr="00637032" w:rsidTr="003D09D1">
        <w:tc>
          <w:tcPr>
            <w:tcW w:w="0" w:type="auto"/>
            <w:tcBorders>
              <w:top w:val="nil"/>
              <w:left w:val="nil"/>
              <w:bottom w:val="nil"/>
              <w:right w:val="nil"/>
            </w:tcBorders>
          </w:tcPr>
          <w:p w:rsidR="0026790F" w:rsidRPr="007A4735" w:rsidRDefault="0026790F" w:rsidP="00C774B9">
            <w:pPr>
              <w:spacing w:line="240" w:lineRule="auto"/>
              <w:ind w:firstLine="0"/>
              <w:contextualSpacing/>
              <w:rPr>
                <w:rFonts w:asciiTheme="majorBidi" w:hAnsiTheme="majorBidi" w:cstheme="majorBidi"/>
                <w:sz w:val="24"/>
                <w:szCs w:val="24"/>
                <w:lang w:val="en-US"/>
              </w:rPr>
            </w:pP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(6.53)</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(6.31)</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(6.13)</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(6.15)</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(6.09)</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(6.34)</w:t>
            </w:r>
          </w:p>
        </w:tc>
      </w:tr>
      <w:tr w:rsidR="0026790F" w:rsidRPr="00637032" w:rsidTr="003D09D1">
        <w:tc>
          <w:tcPr>
            <w:tcW w:w="0" w:type="auto"/>
            <w:tcBorders>
              <w:top w:val="nil"/>
              <w:left w:val="nil"/>
              <w:bottom w:val="nil"/>
              <w:right w:val="nil"/>
            </w:tcBorders>
          </w:tcPr>
          <w:p w:rsidR="0026790F" w:rsidRPr="007A4735" w:rsidRDefault="0026790F" w:rsidP="00C774B9">
            <w:pPr>
              <w:spacing w:line="240" w:lineRule="auto"/>
              <w:ind w:firstLine="0"/>
              <w:contextualSpacing/>
              <w:rPr>
                <w:rFonts w:asciiTheme="majorBidi" w:hAnsiTheme="majorBidi" w:cstheme="majorBidi"/>
                <w:sz w:val="24"/>
                <w:szCs w:val="24"/>
                <w:lang w:val="en-US"/>
              </w:rPr>
            </w:pPr>
            <w:r w:rsidRPr="00D5186E">
              <w:rPr>
                <w:rFonts w:asciiTheme="majorBidi" w:hAnsiTheme="majorBidi" w:cstheme="majorBidi"/>
                <w:i/>
                <w:sz w:val="24"/>
                <w:szCs w:val="24"/>
                <w:lang w:val="en-US"/>
              </w:rPr>
              <w:t>Tax</w:t>
            </w:r>
            <w:r w:rsidRPr="000133C7">
              <w:rPr>
                <w:rFonts w:asciiTheme="majorBidi" w:hAnsiTheme="majorBidi" w:cstheme="majorBidi"/>
                <w:i/>
                <w:sz w:val="24"/>
                <w:szCs w:val="24"/>
                <w:vertAlign w:val="subscript"/>
                <w:lang w:val="en-US"/>
              </w:rPr>
              <w:t>it-1</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-0.122***</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-0.175**</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-0.355</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-0.357</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-0.204*</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-0.187**</w:t>
            </w:r>
          </w:p>
        </w:tc>
      </w:tr>
      <w:tr w:rsidR="0026790F" w:rsidRPr="00637032" w:rsidTr="003D09D1">
        <w:tc>
          <w:tcPr>
            <w:tcW w:w="0" w:type="auto"/>
            <w:tcBorders>
              <w:top w:val="nil"/>
              <w:left w:val="nil"/>
              <w:bottom w:val="nil"/>
              <w:right w:val="nil"/>
            </w:tcBorders>
          </w:tcPr>
          <w:p w:rsidR="0026790F" w:rsidRPr="007A4735" w:rsidRDefault="0026790F" w:rsidP="00C774B9">
            <w:pPr>
              <w:spacing w:line="240" w:lineRule="auto"/>
              <w:ind w:firstLine="0"/>
              <w:contextualSpacing/>
              <w:rPr>
                <w:rFonts w:asciiTheme="majorBidi" w:hAnsiTheme="majorBidi" w:cstheme="majorBidi"/>
                <w:sz w:val="24"/>
                <w:szCs w:val="24"/>
                <w:lang w:val="en-US"/>
              </w:rPr>
            </w:pP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(3.51)</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(2.14)</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(1.40)</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(1.49)</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(1.66)</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(2.02)</w:t>
            </w:r>
          </w:p>
        </w:tc>
      </w:tr>
      <w:tr w:rsidR="0026790F" w:rsidRPr="00637032" w:rsidTr="003D09D1">
        <w:tc>
          <w:tcPr>
            <w:tcW w:w="0" w:type="auto"/>
            <w:tcBorders>
              <w:top w:val="nil"/>
              <w:left w:val="nil"/>
              <w:bottom w:val="nil"/>
              <w:right w:val="nil"/>
            </w:tcBorders>
          </w:tcPr>
          <w:p w:rsidR="0026790F" w:rsidRPr="007A4735" w:rsidRDefault="0026790F" w:rsidP="00C774B9">
            <w:pPr>
              <w:spacing w:line="240" w:lineRule="auto"/>
              <w:ind w:firstLine="0"/>
              <w:contextualSpacing/>
              <w:rPr>
                <w:rFonts w:asciiTheme="majorBidi" w:hAnsiTheme="majorBidi" w:cstheme="majorBidi"/>
                <w:sz w:val="24"/>
                <w:szCs w:val="24"/>
                <w:lang w:val="en-US"/>
              </w:rPr>
            </w:pPr>
            <w:r w:rsidRPr="007A4735">
              <w:rPr>
                <w:rFonts w:asciiTheme="majorBidi" w:hAnsiTheme="majorBidi" w:cstheme="majorBidi"/>
                <w:sz w:val="24"/>
                <w:szCs w:val="24"/>
                <w:lang w:val="en-US"/>
              </w:rPr>
              <w:t>[</w:t>
            </w:r>
            <w:r w:rsidRPr="000133C7">
              <w:rPr>
                <w:rFonts w:asciiTheme="majorBidi" w:hAnsiTheme="majorBidi" w:cstheme="majorBidi"/>
                <w:i/>
                <w:sz w:val="24"/>
                <w:szCs w:val="24"/>
                <w:lang w:val="en-US"/>
              </w:rPr>
              <w:t>GAP</w:t>
            </w:r>
            <w:r>
              <w:rPr>
                <w:rFonts w:asciiTheme="majorBidi" w:hAnsiTheme="majorBidi" w:cstheme="majorBidi"/>
                <w:i/>
                <w:sz w:val="24"/>
                <w:szCs w:val="24"/>
                <w:vertAlign w:val="subscript"/>
                <w:lang w:val="en-US"/>
              </w:rPr>
              <w:t>it-1</w:t>
            </w:r>
            <w:r w:rsidRPr="007A4735">
              <w:rPr>
                <w:rFonts w:asciiTheme="majorBidi" w:hAnsiTheme="majorBidi" w:cstheme="majorBidi"/>
                <w:sz w:val="24"/>
                <w:szCs w:val="24"/>
                <w:lang w:val="en-US"/>
              </w:rPr>
              <w:t>×</w:t>
            </w:r>
            <w:r w:rsidRPr="00D5186E">
              <w:rPr>
                <w:rFonts w:asciiTheme="majorBidi" w:hAnsiTheme="majorBidi" w:cstheme="majorBidi"/>
                <w:i/>
                <w:sz w:val="24"/>
                <w:szCs w:val="24"/>
                <w:lang w:val="en-US"/>
              </w:rPr>
              <w:t xml:space="preserve"> Tax</w:t>
            </w:r>
            <w:r w:rsidRPr="000133C7">
              <w:rPr>
                <w:rFonts w:asciiTheme="majorBidi" w:hAnsiTheme="majorBidi" w:cstheme="majorBidi"/>
                <w:i/>
                <w:sz w:val="24"/>
                <w:szCs w:val="24"/>
                <w:vertAlign w:val="subscript"/>
                <w:lang w:val="en-US"/>
              </w:rPr>
              <w:t>it-1</w:t>
            </w:r>
            <w:r w:rsidRPr="007A4735">
              <w:rPr>
                <w:rFonts w:asciiTheme="majorBidi" w:hAnsiTheme="majorBidi" w:cstheme="majorBidi"/>
                <w:sz w:val="24"/>
                <w:szCs w:val="24"/>
                <w:lang w:val="en-US"/>
              </w:rPr>
              <w:t>]</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-1.170</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r>
      <w:tr w:rsidR="0026790F" w:rsidRPr="00637032" w:rsidTr="003D09D1">
        <w:tc>
          <w:tcPr>
            <w:tcW w:w="0" w:type="auto"/>
            <w:tcBorders>
              <w:top w:val="nil"/>
              <w:left w:val="nil"/>
              <w:bottom w:val="nil"/>
              <w:right w:val="nil"/>
            </w:tcBorders>
          </w:tcPr>
          <w:p w:rsidR="0026790F" w:rsidRPr="007A4735" w:rsidRDefault="0026790F" w:rsidP="00C774B9">
            <w:pPr>
              <w:spacing w:line="240" w:lineRule="auto"/>
              <w:ind w:firstLine="0"/>
              <w:contextualSpacing/>
              <w:rPr>
                <w:rFonts w:asciiTheme="majorBidi" w:hAnsiTheme="majorBidi" w:cstheme="majorBidi"/>
                <w:sz w:val="24"/>
                <w:szCs w:val="24"/>
                <w:lang w:val="en-US"/>
              </w:rPr>
            </w:pP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(0.91)</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r>
      <w:tr w:rsidR="0026790F" w:rsidRPr="00637032" w:rsidTr="003D09D1">
        <w:tc>
          <w:tcPr>
            <w:tcW w:w="0" w:type="auto"/>
            <w:tcBorders>
              <w:top w:val="nil"/>
              <w:left w:val="nil"/>
              <w:bottom w:val="nil"/>
              <w:right w:val="nil"/>
            </w:tcBorders>
          </w:tcPr>
          <w:p w:rsidR="0026790F" w:rsidRPr="000133C7" w:rsidRDefault="0026790F" w:rsidP="00C774B9">
            <w:pPr>
              <w:spacing w:line="240" w:lineRule="auto"/>
              <w:ind w:firstLine="0"/>
              <w:contextualSpacing/>
              <w:rPr>
                <w:rFonts w:asciiTheme="majorBidi" w:hAnsiTheme="majorBidi" w:cstheme="majorBidi"/>
                <w:i/>
                <w:sz w:val="24"/>
                <w:szCs w:val="24"/>
                <w:vertAlign w:val="subscript"/>
                <w:lang w:val="en-US"/>
              </w:rPr>
            </w:pPr>
            <w:r w:rsidRPr="006A52B9">
              <w:rPr>
                <w:rFonts w:asciiTheme="majorBidi" w:hAnsiTheme="majorBidi" w:cstheme="majorBidi"/>
                <w:i/>
                <w:sz w:val="24"/>
                <w:szCs w:val="24"/>
                <w:lang w:val="en-US"/>
              </w:rPr>
              <w:t>R</w:t>
            </w:r>
            <w:r>
              <w:rPr>
                <w:rFonts w:asciiTheme="majorBidi" w:hAnsiTheme="majorBidi" w:cstheme="majorBidi"/>
                <w:i/>
                <w:sz w:val="24"/>
                <w:szCs w:val="24"/>
                <w:vertAlign w:val="subscript"/>
                <w:lang w:val="en-US"/>
              </w:rPr>
              <w:t>i</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0.294***</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0.288***</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3.627***</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0.304***</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2.044</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0.289***</w:t>
            </w:r>
          </w:p>
        </w:tc>
      </w:tr>
      <w:tr w:rsidR="0026790F" w:rsidRPr="00637032" w:rsidTr="003D09D1">
        <w:tc>
          <w:tcPr>
            <w:tcW w:w="0" w:type="auto"/>
            <w:tcBorders>
              <w:top w:val="nil"/>
              <w:left w:val="nil"/>
              <w:bottom w:val="nil"/>
              <w:right w:val="nil"/>
            </w:tcBorders>
          </w:tcPr>
          <w:p w:rsidR="0026790F" w:rsidRPr="007A4735" w:rsidRDefault="0026790F" w:rsidP="00C774B9">
            <w:pPr>
              <w:spacing w:line="240" w:lineRule="auto"/>
              <w:ind w:firstLine="0"/>
              <w:contextualSpacing/>
              <w:rPr>
                <w:rFonts w:asciiTheme="majorBidi" w:hAnsiTheme="majorBidi" w:cstheme="majorBidi"/>
                <w:sz w:val="24"/>
                <w:szCs w:val="24"/>
                <w:lang w:val="en-US"/>
              </w:rPr>
            </w:pP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(6.31)</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(5.90)</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(4.02)</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(5.97)</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(1.07)</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(5.79)</w:t>
            </w:r>
          </w:p>
        </w:tc>
      </w:tr>
      <w:tr w:rsidR="0026790F" w:rsidRPr="00637032" w:rsidTr="003D09D1">
        <w:tc>
          <w:tcPr>
            <w:tcW w:w="0" w:type="auto"/>
            <w:tcBorders>
              <w:top w:val="nil"/>
              <w:left w:val="nil"/>
              <w:bottom w:val="nil"/>
              <w:right w:val="nil"/>
            </w:tcBorders>
          </w:tcPr>
          <w:p w:rsidR="0026790F" w:rsidRPr="000133C7" w:rsidRDefault="0026790F" w:rsidP="00C774B9">
            <w:pPr>
              <w:spacing w:line="240" w:lineRule="auto"/>
              <w:ind w:firstLine="0"/>
              <w:contextualSpacing/>
              <w:rPr>
                <w:rFonts w:asciiTheme="majorBidi" w:hAnsiTheme="majorBidi" w:cstheme="majorBidi"/>
                <w:i/>
                <w:sz w:val="24"/>
                <w:szCs w:val="24"/>
                <w:vertAlign w:val="subscript"/>
                <w:lang w:val="en-US"/>
              </w:rPr>
            </w:pPr>
            <w:r w:rsidRPr="006A52B9">
              <w:rPr>
                <w:rFonts w:asciiTheme="majorBidi" w:hAnsiTheme="majorBidi" w:cstheme="majorBidi"/>
                <w:i/>
                <w:sz w:val="24"/>
                <w:szCs w:val="24"/>
                <w:lang w:val="en-US"/>
              </w:rPr>
              <w:t>E</w:t>
            </w:r>
            <w:r>
              <w:rPr>
                <w:rFonts w:asciiTheme="majorBidi" w:hAnsiTheme="majorBidi" w:cstheme="majorBidi"/>
                <w:i/>
                <w:sz w:val="24"/>
                <w:szCs w:val="24"/>
                <w:vertAlign w:val="subscript"/>
                <w:lang w:val="en-US"/>
              </w:rPr>
              <w:t>i</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0.078***</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0.077***</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0.081***</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0.635***</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0.073***</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0.356</w:t>
            </w:r>
          </w:p>
        </w:tc>
      </w:tr>
      <w:tr w:rsidR="0026790F" w:rsidRPr="00637032" w:rsidTr="003D09D1">
        <w:tc>
          <w:tcPr>
            <w:tcW w:w="0" w:type="auto"/>
            <w:tcBorders>
              <w:top w:val="nil"/>
              <w:left w:val="nil"/>
              <w:bottom w:val="nil"/>
              <w:right w:val="nil"/>
            </w:tcBorders>
          </w:tcPr>
          <w:p w:rsidR="0026790F" w:rsidRPr="007A4735" w:rsidRDefault="0026790F" w:rsidP="00C774B9">
            <w:pPr>
              <w:spacing w:line="240" w:lineRule="auto"/>
              <w:ind w:firstLine="0"/>
              <w:contextualSpacing/>
              <w:rPr>
                <w:rFonts w:asciiTheme="majorBidi" w:hAnsiTheme="majorBidi" w:cstheme="majorBidi"/>
                <w:sz w:val="24"/>
                <w:szCs w:val="24"/>
                <w:lang w:val="en-US"/>
              </w:rPr>
            </w:pP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(5.57)</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(5.32)</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(5.31)</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(4.11)</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(5.19)</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(1.30)</w:t>
            </w:r>
          </w:p>
        </w:tc>
      </w:tr>
      <w:tr w:rsidR="0026790F" w:rsidRPr="00637032" w:rsidTr="003D09D1">
        <w:tc>
          <w:tcPr>
            <w:tcW w:w="0" w:type="auto"/>
            <w:tcBorders>
              <w:top w:val="nil"/>
              <w:left w:val="nil"/>
              <w:bottom w:val="nil"/>
              <w:right w:val="nil"/>
            </w:tcBorders>
          </w:tcPr>
          <w:p w:rsidR="0026790F" w:rsidRPr="007A1A56" w:rsidRDefault="0026790F" w:rsidP="00C774B9">
            <w:pPr>
              <w:spacing w:line="240" w:lineRule="auto"/>
              <w:ind w:firstLine="0"/>
              <w:contextualSpacing/>
              <w:rPr>
                <w:rFonts w:asciiTheme="majorBidi" w:hAnsiTheme="majorBidi" w:cstheme="majorBidi"/>
                <w:sz w:val="24"/>
                <w:szCs w:val="24"/>
                <w:lang w:val="en-US"/>
              </w:rPr>
            </w:pPr>
            <w:r w:rsidRPr="007A1A56">
              <w:rPr>
                <w:rFonts w:asciiTheme="majorBidi" w:hAnsiTheme="majorBidi" w:cstheme="majorBidi"/>
                <w:sz w:val="24"/>
                <w:szCs w:val="24"/>
                <w:lang w:val="en-US"/>
              </w:rPr>
              <w:t>[</w:t>
            </w:r>
            <w:r w:rsidRPr="006A52B9">
              <w:rPr>
                <w:rFonts w:asciiTheme="majorBidi" w:hAnsiTheme="majorBidi" w:cstheme="majorBidi"/>
                <w:i/>
                <w:sz w:val="24"/>
                <w:szCs w:val="24"/>
                <w:lang w:val="en-US"/>
              </w:rPr>
              <w:t>R</w:t>
            </w:r>
            <w:r>
              <w:rPr>
                <w:rFonts w:asciiTheme="majorBidi" w:hAnsiTheme="majorBidi" w:cstheme="majorBidi"/>
                <w:i/>
                <w:sz w:val="24"/>
                <w:szCs w:val="24"/>
                <w:vertAlign w:val="subscript"/>
                <w:lang w:val="en-US"/>
              </w:rPr>
              <w:t>i</w:t>
            </w:r>
            <w:r w:rsidRPr="007A1A56">
              <w:rPr>
                <w:rFonts w:asciiTheme="majorBidi" w:hAnsiTheme="majorBidi" w:cstheme="majorBidi"/>
                <w:sz w:val="24"/>
                <w:szCs w:val="24"/>
                <w:lang w:val="en-US"/>
              </w:rPr>
              <w:t xml:space="preserve"> ×</w:t>
            </w:r>
            <w:r w:rsidRPr="00D5186E">
              <w:rPr>
                <w:rFonts w:asciiTheme="majorBidi" w:hAnsiTheme="majorBidi" w:cstheme="majorBidi"/>
                <w:i/>
                <w:sz w:val="24"/>
                <w:szCs w:val="24"/>
                <w:lang w:val="en-US"/>
              </w:rPr>
              <w:t>Tax</w:t>
            </w:r>
            <w:r w:rsidRPr="000133C7">
              <w:rPr>
                <w:rFonts w:asciiTheme="majorBidi" w:hAnsiTheme="majorBidi" w:cstheme="majorBidi"/>
                <w:i/>
                <w:sz w:val="24"/>
                <w:szCs w:val="24"/>
                <w:vertAlign w:val="subscript"/>
                <w:lang w:val="en-US"/>
              </w:rPr>
              <w:t>it-1</w:t>
            </w:r>
            <w:r w:rsidRPr="007A1A56">
              <w:rPr>
                <w:rFonts w:asciiTheme="majorBidi" w:hAnsiTheme="majorBidi" w:cstheme="majorBidi"/>
                <w:sz w:val="24"/>
                <w:szCs w:val="24"/>
                <w:lang w:val="en-US"/>
              </w:rPr>
              <w:t>]</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-16.228***</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r>
      <w:tr w:rsidR="0026790F" w:rsidRPr="00637032" w:rsidTr="003D09D1">
        <w:tc>
          <w:tcPr>
            <w:tcW w:w="0" w:type="auto"/>
            <w:tcBorders>
              <w:top w:val="nil"/>
              <w:left w:val="nil"/>
              <w:bottom w:val="nil"/>
              <w:right w:val="nil"/>
            </w:tcBorders>
          </w:tcPr>
          <w:p w:rsidR="0026790F" w:rsidRPr="007A1A56" w:rsidRDefault="0026790F" w:rsidP="00C774B9">
            <w:pPr>
              <w:spacing w:line="240" w:lineRule="auto"/>
              <w:ind w:firstLine="0"/>
              <w:contextualSpacing/>
              <w:rPr>
                <w:rFonts w:asciiTheme="majorBidi" w:hAnsiTheme="majorBidi" w:cstheme="majorBidi"/>
                <w:sz w:val="24"/>
                <w:szCs w:val="24"/>
                <w:lang w:val="en-US"/>
              </w:rPr>
            </w:pP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(3.81)</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r>
      <w:tr w:rsidR="0026790F" w:rsidRPr="00637032" w:rsidTr="003D09D1">
        <w:tc>
          <w:tcPr>
            <w:tcW w:w="0" w:type="auto"/>
            <w:tcBorders>
              <w:top w:val="nil"/>
              <w:left w:val="nil"/>
              <w:bottom w:val="nil"/>
              <w:right w:val="nil"/>
            </w:tcBorders>
          </w:tcPr>
          <w:p w:rsidR="0026790F" w:rsidRPr="007A1A56" w:rsidRDefault="0026790F" w:rsidP="00C774B9">
            <w:pPr>
              <w:spacing w:line="240" w:lineRule="auto"/>
              <w:ind w:firstLine="0"/>
              <w:contextualSpacing/>
              <w:rPr>
                <w:rFonts w:asciiTheme="majorBidi" w:hAnsiTheme="majorBidi" w:cstheme="majorBidi"/>
                <w:sz w:val="24"/>
                <w:szCs w:val="24"/>
                <w:lang w:val="en-US"/>
              </w:rPr>
            </w:pPr>
            <w:r w:rsidRPr="007A1A56">
              <w:rPr>
                <w:rFonts w:asciiTheme="majorBidi" w:hAnsiTheme="majorBidi" w:cstheme="majorBidi"/>
                <w:sz w:val="24"/>
                <w:szCs w:val="24"/>
                <w:lang w:val="en-US"/>
              </w:rPr>
              <w:t>[</w:t>
            </w:r>
            <w:r>
              <w:rPr>
                <w:rFonts w:asciiTheme="majorBidi" w:hAnsiTheme="majorBidi" w:cstheme="majorBidi"/>
                <w:i/>
                <w:sz w:val="24"/>
                <w:szCs w:val="24"/>
                <w:lang w:val="en-US"/>
              </w:rPr>
              <w:t>E</w:t>
            </w:r>
            <w:r>
              <w:rPr>
                <w:rFonts w:asciiTheme="majorBidi" w:hAnsiTheme="majorBidi" w:cstheme="majorBidi"/>
                <w:i/>
                <w:sz w:val="24"/>
                <w:szCs w:val="24"/>
                <w:vertAlign w:val="subscript"/>
                <w:lang w:val="en-US"/>
              </w:rPr>
              <w:t>i</w:t>
            </w:r>
            <w:r w:rsidRPr="007A1A56">
              <w:rPr>
                <w:rFonts w:asciiTheme="majorBidi" w:hAnsiTheme="majorBidi" w:cstheme="majorBidi"/>
                <w:sz w:val="24"/>
                <w:szCs w:val="24"/>
                <w:lang w:val="en-US"/>
              </w:rPr>
              <w:t xml:space="preserve"> ×</w:t>
            </w:r>
            <w:r w:rsidRPr="00D5186E">
              <w:rPr>
                <w:rFonts w:asciiTheme="majorBidi" w:hAnsiTheme="majorBidi" w:cstheme="majorBidi"/>
                <w:i/>
                <w:sz w:val="24"/>
                <w:szCs w:val="24"/>
                <w:lang w:val="en-US"/>
              </w:rPr>
              <w:t>Tax</w:t>
            </w:r>
            <w:r w:rsidRPr="000133C7">
              <w:rPr>
                <w:rFonts w:asciiTheme="majorBidi" w:hAnsiTheme="majorBidi" w:cstheme="majorBidi"/>
                <w:i/>
                <w:sz w:val="24"/>
                <w:szCs w:val="24"/>
                <w:vertAlign w:val="subscript"/>
                <w:lang w:val="en-US"/>
              </w:rPr>
              <w:t>it-1</w:t>
            </w:r>
            <w:r w:rsidRPr="007A1A56">
              <w:rPr>
                <w:rFonts w:asciiTheme="majorBidi" w:hAnsiTheme="majorBidi" w:cstheme="majorBidi"/>
                <w:sz w:val="24"/>
                <w:szCs w:val="24"/>
                <w:lang w:val="en-US"/>
              </w:rPr>
              <w:t>]</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-2.703***</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r>
      <w:tr w:rsidR="0026790F" w:rsidRPr="00637032" w:rsidTr="003D09D1">
        <w:tc>
          <w:tcPr>
            <w:tcW w:w="0" w:type="auto"/>
            <w:tcBorders>
              <w:top w:val="nil"/>
              <w:left w:val="nil"/>
              <w:bottom w:val="nil"/>
              <w:right w:val="nil"/>
            </w:tcBorders>
          </w:tcPr>
          <w:p w:rsidR="0026790F" w:rsidRPr="007A4735" w:rsidRDefault="0026790F" w:rsidP="00C774B9">
            <w:pPr>
              <w:spacing w:line="240" w:lineRule="auto"/>
              <w:ind w:firstLine="0"/>
              <w:contextualSpacing/>
              <w:rPr>
                <w:rFonts w:asciiTheme="majorBidi" w:hAnsiTheme="majorBidi" w:cstheme="majorBidi"/>
                <w:sz w:val="24"/>
                <w:szCs w:val="24"/>
                <w:lang w:val="en-US"/>
              </w:rPr>
            </w:pP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(3.79)</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r>
      <w:tr w:rsidR="0026790F" w:rsidRPr="00637032" w:rsidTr="003D09D1">
        <w:tc>
          <w:tcPr>
            <w:tcW w:w="0" w:type="auto"/>
            <w:tcBorders>
              <w:top w:val="nil"/>
              <w:left w:val="nil"/>
              <w:bottom w:val="nil"/>
              <w:right w:val="nil"/>
            </w:tcBorders>
          </w:tcPr>
          <w:p w:rsidR="0026790F" w:rsidRPr="007A4735" w:rsidRDefault="0026790F" w:rsidP="00C774B9">
            <w:pPr>
              <w:spacing w:line="240" w:lineRule="auto"/>
              <w:ind w:firstLine="0"/>
              <w:contextualSpacing/>
              <w:rPr>
                <w:rFonts w:asciiTheme="majorBidi" w:hAnsiTheme="majorBidi" w:cstheme="majorBidi"/>
                <w:sz w:val="24"/>
                <w:szCs w:val="24"/>
                <w:lang w:val="en-US"/>
              </w:rPr>
            </w:pPr>
            <w:r w:rsidRPr="007A4735">
              <w:rPr>
                <w:rFonts w:asciiTheme="majorBidi" w:hAnsiTheme="majorBidi" w:cstheme="majorBidi"/>
                <w:sz w:val="24"/>
                <w:szCs w:val="24"/>
                <w:lang w:val="en-US"/>
              </w:rPr>
              <w:t>[</w:t>
            </w:r>
            <w:r w:rsidRPr="000133C7">
              <w:rPr>
                <w:rFonts w:asciiTheme="majorBidi" w:hAnsiTheme="majorBidi" w:cstheme="majorBidi"/>
                <w:i/>
                <w:sz w:val="24"/>
                <w:szCs w:val="24"/>
                <w:lang w:val="en-US"/>
              </w:rPr>
              <w:t>GAP</w:t>
            </w:r>
            <w:r>
              <w:rPr>
                <w:rFonts w:asciiTheme="majorBidi" w:hAnsiTheme="majorBidi" w:cstheme="majorBidi"/>
                <w:i/>
                <w:sz w:val="24"/>
                <w:szCs w:val="24"/>
                <w:vertAlign w:val="subscript"/>
                <w:lang w:val="en-US"/>
              </w:rPr>
              <w:t>it-1</w:t>
            </w:r>
            <w:r w:rsidRPr="007A4735">
              <w:rPr>
                <w:rFonts w:asciiTheme="majorBidi" w:hAnsiTheme="majorBidi" w:cstheme="majorBidi"/>
                <w:sz w:val="24"/>
                <w:szCs w:val="24"/>
                <w:lang w:val="en-US"/>
              </w:rPr>
              <w:t>×</w:t>
            </w:r>
            <w:r w:rsidRPr="00D5186E">
              <w:rPr>
                <w:rFonts w:asciiTheme="majorBidi" w:hAnsiTheme="majorBidi" w:cstheme="majorBidi"/>
                <w:i/>
                <w:sz w:val="24"/>
                <w:szCs w:val="24"/>
                <w:lang w:val="en-US"/>
              </w:rPr>
              <w:t>Tax</w:t>
            </w:r>
            <w:r w:rsidRPr="000133C7">
              <w:rPr>
                <w:rFonts w:asciiTheme="majorBidi" w:hAnsiTheme="majorBidi" w:cstheme="majorBidi"/>
                <w:i/>
                <w:sz w:val="24"/>
                <w:szCs w:val="24"/>
                <w:vertAlign w:val="subscript"/>
                <w:lang w:val="en-US"/>
              </w:rPr>
              <w:t>it-1</w:t>
            </w:r>
            <w:r w:rsidRPr="007A4735">
              <w:rPr>
                <w:rFonts w:asciiTheme="majorBidi" w:hAnsiTheme="majorBidi" w:cstheme="majorBidi"/>
                <w:sz w:val="24"/>
                <w:szCs w:val="24"/>
                <w:lang w:val="en-US"/>
              </w:rPr>
              <w:t>×</w:t>
            </w:r>
            <w:r w:rsidRPr="006A52B9">
              <w:rPr>
                <w:rFonts w:asciiTheme="majorBidi" w:hAnsiTheme="majorBidi" w:cstheme="majorBidi"/>
                <w:i/>
                <w:sz w:val="24"/>
                <w:szCs w:val="24"/>
                <w:lang w:val="en-US"/>
              </w:rPr>
              <w:t>R</w:t>
            </w:r>
            <w:r>
              <w:rPr>
                <w:rFonts w:asciiTheme="majorBidi" w:hAnsiTheme="majorBidi" w:cstheme="majorBidi"/>
                <w:i/>
                <w:sz w:val="24"/>
                <w:szCs w:val="24"/>
                <w:vertAlign w:val="subscript"/>
                <w:lang w:val="en-US"/>
              </w:rPr>
              <w:t>i</w:t>
            </w:r>
            <w:r w:rsidRPr="007A4735">
              <w:rPr>
                <w:rFonts w:asciiTheme="majorBidi" w:hAnsiTheme="majorBidi" w:cstheme="majorBidi"/>
                <w:sz w:val="24"/>
                <w:szCs w:val="24"/>
                <w:lang w:val="en-US"/>
              </w:rPr>
              <w:t>]</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-11.895</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r>
      <w:tr w:rsidR="0026790F" w:rsidRPr="00637032" w:rsidTr="003D09D1">
        <w:tc>
          <w:tcPr>
            <w:tcW w:w="0" w:type="auto"/>
            <w:tcBorders>
              <w:top w:val="nil"/>
              <w:left w:val="nil"/>
              <w:bottom w:val="nil"/>
              <w:right w:val="nil"/>
            </w:tcBorders>
          </w:tcPr>
          <w:p w:rsidR="0026790F" w:rsidRPr="007A4735" w:rsidRDefault="0026790F" w:rsidP="00C774B9">
            <w:pPr>
              <w:spacing w:line="240" w:lineRule="auto"/>
              <w:ind w:firstLine="0"/>
              <w:contextualSpacing/>
              <w:rPr>
                <w:rFonts w:asciiTheme="majorBidi" w:hAnsiTheme="majorBidi" w:cstheme="majorBidi"/>
                <w:sz w:val="24"/>
                <w:szCs w:val="24"/>
                <w:lang w:val="en-US"/>
              </w:rPr>
            </w:pP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(0.94)</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r>
      <w:tr w:rsidR="0026790F" w:rsidRPr="00637032" w:rsidTr="003D09D1">
        <w:tc>
          <w:tcPr>
            <w:tcW w:w="0" w:type="auto"/>
            <w:tcBorders>
              <w:top w:val="nil"/>
              <w:left w:val="nil"/>
              <w:bottom w:val="nil"/>
              <w:right w:val="nil"/>
            </w:tcBorders>
          </w:tcPr>
          <w:p w:rsidR="0026790F" w:rsidRPr="007A4735" w:rsidRDefault="0026790F" w:rsidP="00C774B9">
            <w:pPr>
              <w:spacing w:line="240" w:lineRule="auto"/>
              <w:ind w:firstLine="0"/>
              <w:contextualSpacing/>
              <w:rPr>
                <w:rFonts w:asciiTheme="majorBidi" w:hAnsiTheme="majorBidi" w:cstheme="majorBidi"/>
                <w:sz w:val="24"/>
                <w:szCs w:val="24"/>
                <w:lang w:val="en-US"/>
              </w:rPr>
            </w:pPr>
            <w:r w:rsidRPr="007A4735">
              <w:rPr>
                <w:rFonts w:asciiTheme="majorBidi" w:hAnsiTheme="majorBidi" w:cstheme="majorBidi"/>
                <w:sz w:val="24"/>
                <w:szCs w:val="24"/>
                <w:lang w:val="en-US"/>
              </w:rPr>
              <w:t>[</w:t>
            </w:r>
            <w:r w:rsidRPr="000133C7">
              <w:rPr>
                <w:rFonts w:asciiTheme="majorBidi" w:hAnsiTheme="majorBidi" w:cstheme="majorBidi"/>
                <w:i/>
                <w:sz w:val="24"/>
                <w:szCs w:val="24"/>
                <w:lang w:val="en-US"/>
              </w:rPr>
              <w:t>GAP</w:t>
            </w:r>
            <w:r>
              <w:rPr>
                <w:rFonts w:asciiTheme="majorBidi" w:hAnsiTheme="majorBidi" w:cstheme="majorBidi"/>
                <w:i/>
                <w:sz w:val="24"/>
                <w:szCs w:val="24"/>
                <w:vertAlign w:val="subscript"/>
                <w:lang w:val="en-US"/>
              </w:rPr>
              <w:t>it-1</w:t>
            </w:r>
            <w:r w:rsidRPr="007A4735">
              <w:rPr>
                <w:rFonts w:asciiTheme="majorBidi" w:hAnsiTheme="majorBidi" w:cstheme="majorBidi"/>
                <w:sz w:val="24"/>
                <w:szCs w:val="24"/>
                <w:lang w:val="en-US"/>
              </w:rPr>
              <w:t>×</w:t>
            </w:r>
            <w:r w:rsidRPr="00D5186E">
              <w:rPr>
                <w:rFonts w:asciiTheme="majorBidi" w:hAnsiTheme="majorBidi" w:cstheme="majorBidi"/>
                <w:i/>
                <w:sz w:val="24"/>
                <w:szCs w:val="24"/>
                <w:lang w:val="en-US"/>
              </w:rPr>
              <w:t>Tax</w:t>
            </w:r>
            <w:r w:rsidRPr="000133C7">
              <w:rPr>
                <w:rFonts w:asciiTheme="majorBidi" w:hAnsiTheme="majorBidi" w:cstheme="majorBidi"/>
                <w:i/>
                <w:sz w:val="24"/>
                <w:szCs w:val="24"/>
                <w:vertAlign w:val="subscript"/>
                <w:lang w:val="en-US"/>
              </w:rPr>
              <w:t>it-1</w:t>
            </w:r>
            <w:r w:rsidRPr="007A4735">
              <w:rPr>
                <w:rFonts w:asciiTheme="majorBidi" w:hAnsiTheme="majorBidi" w:cstheme="majorBidi"/>
                <w:sz w:val="24"/>
                <w:szCs w:val="24"/>
                <w:lang w:val="en-US"/>
              </w:rPr>
              <w:t>×</w:t>
            </w:r>
            <w:r>
              <w:rPr>
                <w:rFonts w:asciiTheme="majorBidi" w:hAnsiTheme="majorBidi" w:cstheme="majorBidi"/>
                <w:i/>
                <w:sz w:val="24"/>
                <w:szCs w:val="24"/>
                <w:lang w:val="en-US"/>
              </w:rPr>
              <w:t>E</w:t>
            </w:r>
            <w:r>
              <w:rPr>
                <w:rFonts w:asciiTheme="majorBidi" w:hAnsiTheme="majorBidi" w:cstheme="majorBidi"/>
                <w:i/>
                <w:sz w:val="24"/>
                <w:szCs w:val="24"/>
                <w:vertAlign w:val="subscript"/>
                <w:lang w:val="en-US"/>
              </w:rPr>
              <w:t>i</w:t>
            </w:r>
            <w:r w:rsidRPr="007A4735">
              <w:rPr>
                <w:rFonts w:asciiTheme="majorBidi" w:hAnsiTheme="majorBidi" w:cstheme="majorBidi"/>
                <w:sz w:val="24"/>
                <w:szCs w:val="24"/>
                <w:lang w:val="en-US"/>
              </w:rPr>
              <w:t>]</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-2.006</w:t>
            </w:r>
          </w:p>
        </w:tc>
      </w:tr>
      <w:tr w:rsidR="0026790F" w:rsidRPr="00637032" w:rsidTr="003D09D1">
        <w:tc>
          <w:tcPr>
            <w:tcW w:w="0" w:type="auto"/>
            <w:tcBorders>
              <w:top w:val="nil"/>
              <w:left w:val="nil"/>
              <w:bottom w:val="single" w:sz="4" w:space="0" w:color="auto"/>
              <w:right w:val="nil"/>
            </w:tcBorders>
          </w:tcPr>
          <w:p w:rsidR="0026790F" w:rsidRPr="007A4735" w:rsidRDefault="0026790F" w:rsidP="00C774B9">
            <w:pPr>
              <w:spacing w:line="240" w:lineRule="auto"/>
              <w:ind w:firstLine="0"/>
              <w:contextualSpacing/>
              <w:rPr>
                <w:rFonts w:asciiTheme="majorBidi" w:hAnsiTheme="majorBidi" w:cstheme="majorBidi"/>
                <w:sz w:val="24"/>
                <w:szCs w:val="24"/>
                <w:lang w:val="en-US"/>
              </w:rPr>
            </w:pPr>
          </w:p>
        </w:tc>
        <w:tc>
          <w:tcPr>
            <w:tcW w:w="0" w:type="auto"/>
            <w:tcBorders>
              <w:top w:val="nil"/>
              <w:left w:val="nil"/>
              <w:bottom w:val="single" w:sz="4" w:space="0" w:color="auto"/>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c>
          <w:tcPr>
            <w:tcW w:w="0" w:type="auto"/>
            <w:tcBorders>
              <w:top w:val="nil"/>
              <w:left w:val="nil"/>
              <w:bottom w:val="single" w:sz="4" w:space="0" w:color="auto"/>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c>
          <w:tcPr>
            <w:tcW w:w="0" w:type="auto"/>
            <w:tcBorders>
              <w:top w:val="nil"/>
              <w:left w:val="nil"/>
              <w:bottom w:val="single" w:sz="4" w:space="0" w:color="auto"/>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c>
          <w:tcPr>
            <w:tcW w:w="0" w:type="auto"/>
            <w:tcBorders>
              <w:top w:val="nil"/>
              <w:left w:val="nil"/>
              <w:bottom w:val="single" w:sz="4" w:space="0" w:color="auto"/>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c>
          <w:tcPr>
            <w:tcW w:w="0" w:type="auto"/>
            <w:tcBorders>
              <w:top w:val="nil"/>
              <w:left w:val="nil"/>
              <w:bottom w:val="single" w:sz="4" w:space="0" w:color="auto"/>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p>
        </w:tc>
        <w:tc>
          <w:tcPr>
            <w:tcW w:w="0" w:type="auto"/>
            <w:tcBorders>
              <w:top w:val="nil"/>
              <w:left w:val="nil"/>
              <w:bottom w:val="single" w:sz="4" w:space="0" w:color="auto"/>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(1.04)</w:t>
            </w:r>
          </w:p>
        </w:tc>
      </w:tr>
      <w:tr w:rsidR="0026790F" w:rsidRPr="00637032" w:rsidTr="003D09D1">
        <w:tc>
          <w:tcPr>
            <w:tcW w:w="0" w:type="auto"/>
            <w:tcBorders>
              <w:top w:val="nil"/>
              <w:left w:val="nil"/>
              <w:bottom w:val="single" w:sz="4" w:space="0" w:color="auto"/>
              <w:right w:val="nil"/>
            </w:tcBorders>
          </w:tcPr>
          <w:p w:rsidR="0026790F" w:rsidRPr="006B16D2" w:rsidRDefault="0026790F" w:rsidP="00C774B9">
            <w:pPr>
              <w:spacing w:line="240" w:lineRule="auto"/>
              <w:ind w:firstLine="0"/>
              <w:contextualSpacing/>
              <w:jc w:val="center"/>
              <w:rPr>
                <w:rFonts w:asciiTheme="majorBidi" w:hAnsiTheme="majorBidi" w:cstheme="majorBidi"/>
                <w:lang w:val="en-US"/>
              </w:rPr>
            </w:pPr>
            <w:r w:rsidRPr="006B16D2">
              <w:rPr>
                <w:rFonts w:asciiTheme="majorBidi" w:hAnsiTheme="majorBidi" w:cstheme="majorBidi"/>
                <w:lang w:val="en-US"/>
              </w:rPr>
              <w:t>Industry dummies</w:t>
            </w:r>
          </w:p>
        </w:tc>
        <w:tc>
          <w:tcPr>
            <w:tcW w:w="0" w:type="auto"/>
            <w:tcBorders>
              <w:top w:val="nil"/>
              <w:left w:val="nil"/>
              <w:bottom w:val="single" w:sz="4" w:space="0" w:color="auto"/>
              <w:right w:val="nil"/>
            </w:tcBorders>
          </w:tcPr>
          <w:p w:rsidR="0026790F" w:rsidRPr="0026790F" w:rsidRDefault="0026790F" w:rsidP="00C774B9">
            <w:pPr>
              <w:spacing w:line="240" w:lineRule="auto"/>
              <w:ind w:firstLine="0"/>
              <w:contextualSpacing/>
              <w:jc w:val="center"/>
              <w:rPr>
                <w:rFonts w:asciiTheme="majorBidi" w:hAnsiTheme="majorBidi" w:cstheme="majorBidi"/>
                <w:lang w:val="en-GB"/>
              </w:rPr>
            </w:pPr>
            <w:r w:rsidRPr="0026790F">
              <w:rPr>
                <w:rFonts w:asciiTheme="majorBidi" w:hAnsiTheme="majorBidi" w:cstheme="majorBidi"/>
                <w:lang w:val="en-US"/>
              </w:rPr>
              <w:t>Yes</w:t>
            </w:r>
          </w:p>
        </w:tc>
        <w:tc>
          <w:tcPr>
            <w:tcW w:w="0" w:type="auto"/>
            <w:tcBorders>
              <w:top w:val="nil"/>
              <w:left w:val="nil"/>
              <w:bottom w:val="single" w:sz="4" w:space="0" w:color="auto"/>
              <w:right w:val="nil"/>
            </w:tcBorders>
          </w:tcPr>
          <w:p w:rsidR="0026790F" w:rsidRPr="0026790F" w:rsidRDefault="0026790F" w:rsidP="00C774B9">
            <w:pPr>
              <w:spacing w:line="240" w:lineRule="auto"/>
              <w:ind w:firstLine="0"/>
              <w:contextualSpacing/>
              <w:jc w:val="center"/>
              <w:rPr>
                <w:rFonts w:asciiTheme="majorBidi" w:hAnsiTheme="majorBidi" w:cstheme="majorBidi"/>
                <w:lang w:val="en-GB"/>
              </w:rPr>
            </w:pPr>
            <w:r w:rsidRPr="0026790F">
              <w:rPr>
                <w:rFonts w:asciiTheme="majorBidi" w:hAnsiTheme="majorBidi" w:cstheme="majorBidi"/>
                <w:lang w:val="en-US"/>
              </w:rPr>
              <w:t>Yes</w:t>
            </w:r>
          </w:p>
        </w:tc>
        <w:tc>
          <w:tcPr>
            <w:tcW w:w="0" w:type="auto"/>
            <w:tcBorders>
              <w:top w:val="nil"/>
              <w:left w:val="nil"/>
              <w:bottom w:val="single" w:sz="4" w:space="0" w:color="auto"/>
              <w:right w:val="nil"/>
            </w:tcBorders>
          </w:tcPr>
          <w:p w:rsidR="0026790F" w:rsidRPr="0026790F" w:rsidRDefault="0026790F" w:rsidP="00C774B9">
            <w:pPr>
              <w:spacing w:line="240" w:lineRule="auto"/>
              <w:ind w:firstLine="0"/>
              <w:contextualSpacing/>
              <w:jc w:val="center"/>
              <w:rPr>
                <w:rFonts w:asciiTheme="majorBidi" w:hAnsiTheme="majorBidi" w:cstheme="majorBidi"/>
                <w:lang w:val="en-GB"/>
              </w:rPr>
            </w:pPr>
            <w:r w:rsidRPr="0026790F">
              <w:rPr>
                <w:rFonts w:asciiTheme="majorBidi" w:hAnsiTheme="majorBidi" w:cstheme="majorBidi"/>
                <w:lang w:val="en-US"/>
              </w:rPr>
              <w:t>Yes</w:t>
            </w:r>
          </w:p>
        </w:tc>
        <w:tc>
          <w:tcPr>
            <w:tcW w:w="0" w:type="auto"/>
            <w:tcBorders>
              <w:top w:val="nil"/>
              <w:left w:val="nil"/>
              <w:bottom w:val="single" w:sz="4" w:space="0" w:color="auto"/>
              <w:right w:val="nil"/>
            </w:tcBorders>
          </w:tcPr>
          <w:p w:rsidR="0026790F" w:rsidRPr="0026790F" w:rsidRDefault="0026790F" w:rsidP="00C774B9">
            <w:pPr>
              <w:spacing w:line="240" w:lineRule="auto"/>
              <w:ind w:firstLine="0"/>
              <w:contextualSpacing/>
              <w:jc w:val="center"/>
              <w:rPr>
                <w:rFonts w:asciiTheme="majorBidi" w:hAnsiTheme="majorBidi" w:cstheme="majorBidi"/>
                <w:lang w:val="en-GB"/>
              </w:rPr>
            </w:pPr>
            <w:r w:rsidRPr="0026790F">
              <w:rPr>
                <w:rFonts w:asciiTheme="majorBidi" w:hAnsiTheme="majorBidi" w:cstheme="majorBidi"/>
                <w:lang w:val="en-US"/>
              </w:rPr>
              <w:t>Yes</w:t>
            </w:r>
          </w:p>
        </w:tc>
        <w:tc>
          <w:tcPr>
            <w:tcW w:w="0" w:type="auto"/>
            <w:tcBorders>
              <w:top w:val="nil"/>
              <w:left w:val="nil"/>
              <w:bottom w:val="single" w:sz="4" w:space="0" w:color="auto"/>
              <w:right w:val="nil"/>
            </w:tcBorders>
          </w:tcPr>
          <w:p w:rsidR="0026790F" w:rsidRPr="0026790F" w:rsidRDefault="0026790F" w:rsidP="00C774B9">
            <w:pPr>
              <w:spacing w:line="240" w:lineRule="auto"/>
              <w:ind w:firstLine="0"/>
              <w:contextualSpacing/>
              <w:jc w:val="center"/>
              <w:rPr>
                <w:rFonts w:asciiTheme="majorBidi" w:hAnsiTheme="majorBidi" w:cstheme="majorBidi"/>
                <w:lang w:val="en-GB"/>
              </w:rPr>
            </w:pPr>
            <w:r w:rsidRPr="0026790F">
              <w:rPr>
                <w:rFonts w:asciiTheme="majorBidi" w:hAnsiTheme="majorBidi" w:cstheme="majorBidi"/>
                <w:lang w:val="en-US"/>
              </w:rPr>
              <w:t>Yes</w:t>
            </w:r>
          </w:p>
        </w:tc>
        <w:tc>
          <w:tcPr>
            <w:tcW w:w="0" w:type="auto"/>
            <w:tcBorders>
              <w:top w:val="nil"/>
              <w:left w:val="nil"/>
              <w:bottom w:val="single" w:sz="4" w:space="0" w:color="auto"/>
              <w:right w:val="nil"/>
            </w:tcBorders>
          </w:tcPr>
          <w:p w:rsidR="0026790F" w:rsidRPr="0026790F" w:rsidRDefault="0026790F" w:rsidP="00C774B9">
            <w:pPr>
              <w:spacing w:line="240" w:lineRule="auto"/>
              <w:ind w:firstLine="0"/>
              <w:contextualSpacing/>
              <w:jc w:val="center"/>
              <w:rPr>
                <w:rFonts w:asciiTheme="majorBidi" w:hAnsiTheme="majorBidi" w:cstheme="majorBidi"/>
                <w:lang w:val="en-GB"/>
              </w:rPr>
            </w:pPr>
            <w:r w:rsidRPr="0026790F">
              <w:rPr>
                <w:rFonts w:asciiTheme="majorBidi" w:hAnsiTheme="majorBidi" w:cstheme="majorBidi"/>
                <w:lang w:val="en-US"/>
              </w:rPr>
              <w:t>Yes</w:t>
            </w:r>
          </w:p>
        </w:tc>
      </w:tr>
      <w:tr w:rsidR="0026790F" w:rsidRPr="00637032" w:rsidTr="003D09D1">
        <w:tc>
          <w:tcPr>
            <w:tcW w:w="0" w:type="auto"/>
            <w:tcBorders>
              <w:top w:val="nil"/>
              <w:left w:val="nil"/>
              <w:bottom w:val="single" w:sz="4" w:space="0" w:color="auto"/>
              <w:right w:val="nil"/>
            </w:tcBorders>
          </w:tcPr>
          <w:p w:rsidR="0026790F" w:rsidRPr="006B16D2" w:rsidRDefault="0026790F" w:rsidP="00C774B9">
            <w:pPr>
              <w:spacing w:line="240" w:lineRule="auto"/>
              <w:ind w:firstLine="0"/>
              <w:contextualSpacing/>
              <w:jc w:val="center"/>
              <w:rPr>
                <w:rFonts w:asciiTheme="majorBidi" w:hAnsiTheme="majorBidi" w:cstheme="majorBidi"/>
                <w:lang w:val="en-US"/>
              </w:rPr>
            </w:pPr>
            <w:r w:rsidRPr="006B16D2">
              <w:rPr>
                <w:rFonts w:asciiTheme="majorBidi" w:hAnsiTheme="majorBidi" w:cstheme="majorBidi"/>
                <w:lang w:val="en-US"/>
              </w:rPr>
              <w:t>Year dummies</w:t>
            </w:r>
          </w:p>
        </w:tc>
        <w:tc>
          <w:tcPr>
            <w:tcW w:w="0" w:type="auto"/>
            <w:tcBorders>
              <w:top w:val="nil"/>
              <w:left w:val="nil"/>
              <w:bottom w:val="single" w:sz="4" w:space="0" w:color="auto"/>
              <w:right w:val="nil"/>
            </w:tcBorders>
          </w:tcPr>
          <w:p w:rsidR="0026790F" w:rsidRPr="0026790F" w:rsidRDefault="0026790F" w:rsidP="00C774B9">
            <w:pPr>
              <w:spacing w:line="240" w:lineRule="auto"/>
              <w:ind w:firstLine="0"/>
              <w:contextualSpacing/>
              <w:jc w:val="center"/>
              <w:rPr>
                <w:rFonts w:asciiTheme="majorBidi" w:hAnsiTheme="majorBidi" w:cstheme="majorBidi"/>
                <w:lang w:val="en-GB"/>
              </w:rPr>
            </w:pPr>
            <w:r w:rsidRPr="0026790F">
              <w:rPr>
                <w:rFonts w:asciiTheme="majorBidi" w:hAnsiTheme="majorBidi" w:cstheme="majorBidi"/>
                <w:lang w:val="en-US"/>
              </w:rPr>
              <w:t>Yes</w:t>
            </w:r>
          </w:p>
        </w:tc>
        <w:tc>
          <w:tcPr>
            <w:tcW w:w="0" w:type="auto"/>
            <w:tcBorders>
              <w:top w:val="nil"/>
              <w:left w:val="nil"/>
              <w:bottom w:val="single" w:sz="4" w:space="0" w:color="auto"/>
              <w:right w:val="nil"/>
            </w:tcBorders>
          </w:tcPr>
          <w:p w:rsidR="0026790F" w:rsidRPr="0026790F" w:rsidRDefault="0026790F" w:rsidP="00C774B9">
            <w:pPr>
              <w:spacing w:line="240" w:lineRule="auto"/>
              <w:ind w:firstLine="0"/>
              <w:contextualSpacing/>
              <w:jc w:val="center"/>
              <w:rPr>
                <w:rFonts w:asciiTheme="majorBidi" w:hAnsiTheme="majorBidi" w:cstheme="majorBidi"/>
                <w:lang w:val="en-GB"/>
              </w:rPr>
            </w:pPr>
            <w:r w:rsidRPr="0026790F">
              <w:rPr>
                <w:rFonts w:asciiTheme="majorBidi" w:hAnsiTheme="majorBidi" w:cstheme="majorBidi"/>
                <w:lang w:val="en-US"/>
              </w:rPr>
              <w:t>Yes</w:t>
            </w:r>
          </w:p>
        </w:tc>
        <w:tc>
          <w:tcPr>
            <w:tcW w:w="0" w:type="auto"/>
            <w:tcBorders>
              <w:top w:val="nil"/>
              <w:left w:val="nil"/>
              <w:bottom w:val="single" w:sz="4" w:space="0" w:color="auto"/>
              <w:right w:val="nil"/>
            </w:tcBorders>
          </w:tcPr>
          <w:p w:rsidR="0026790F" w:rsidRPr="0026790F" w:rsidRDefault="0026790F" w:rsidP="00C774B9">
            <w:pPr>
              <w:spacing w:line="240" w:lineRule="auto"/>
              <w:ind w:firstLine="0"/>
              <w:contextualSpacing/>
              <w:jc w:val="center"/>
              <w:rPr>
                <w:rFonts w:asciiTheme="majorBidi" w:hAnsiTheme="majorBidi" w:cstheme="majorBidi"/>
                <w:lang w:val="en-GB"/>
              </w:rPr>
            </w:pPr>
            <w:r w:rsidRPr="0026790F">
              <w:rPr>
                <w:rFonts w:asciiTheme="majorBidi" w:hAnsiTheme="majorBidi" w:cstheme="majorBidi"/>
                <w:lang w:val="en-US"/>
              </w:rPr>
              <w:t>Yes</w:t>
            </w:r>
          </w:p>
        </w:tc>
        <w:tc>
          <w:tcPr>
            <w:tcW w:w="0" w:type="auto"/>
            <w:tcBorders>
              <w:top w:val="nil"/>
              <w:left w:val="nil"/>
              <w:bottom w:val="single" w:sz="4" w:space="0" w:color="auto"/>
              <w:right w:val="nil"/>
            </w:tcBorders>
          </w:tcPr>
          <w:p w:rsidR="0026790F" w:rsidRPr="0026790F" w:rsidRDefault="0026790F" w:rsidP="00C774B9">
            <w:pPr>
              <w:spacing w:line="240" w:lineRule="auto"/>
              <w:ind w:firstLine="0"/>
              <w:contextualSpacing/>
              <w:jc w:val="center"/>
              <w:rPr>
                <w:rFonts w:asciiTheme="majorBidi" w:hAnsiTheme="majorBidi" w:cstheme="majorBidi"/>
                <w:lang w:val="en-GB"/>
              </w:rPr>
            </w:pPr>
            <w:r w:rsidRPr="0026790F">
              <w:rPr>
                <w:rFonts w:asciiTheme="majorBidi" w:hAnsiTheme="majorBidi" w:cstheme="majorBidi"/>
                <w:lang w:val="en-US"/>
              </w:rPr>
              <w:t>Yes</w:t>
            </w:r>
          </w:p>
        </w:tc>
        <w:tc>
          <w:tcPr>
            <w:tcW w:w="0" w:type="auto"/>
            <w:tcBorders>
              <w:top w:val="nil"/>
              <w:left w:val="nil"/>
              <w:bottom w:val="single" w:sz="4" w:space="0" w:color="auto"/>
              <w:right w:val="nil"/>
            </w:tcBorders>
          </w:tcPr>
          <w:p w:rsidR="0026790F" w:rsidRPr="0026790F" w:rsidRDefault="0026790F" w:rsidP="00C774B9">
            <w:pPr>
              <w:spacing w:line="240" w:lineRule="auto"/>
              <w:ind w:firstLine="0"/>
              <w:contextualSpacing/>
              <w:jc w:val="center"/>
              <w:rPr>
                <w:rFonts w:asciiTheme="majorBidi" w:hAnsiTheme="majorBidi" w:cstheme="majorBidi"/>
                <w:lang w:val="en-GB"/>
              </w:rPr>
            </w:pPr>
            <w:r w:rsidRPr="0026790F">
              <w:rPr>
                <w:rFonts w:asciiTheme="majorBidi" w:hAnsiTheme="majorBidi" w:cstheme="majorBidi"/>
                <w:lang w:val="en-US"/>
              </w:rPr>
              <w:t>Yes</w:t>
            </w:r>
          </w:p>
        </w:tc>
        <w:tc>
          <w:tcPr>
            <w:tcW w:w="0" w:type="auto"/>
            <w:tcBorders>
              <w:top w:val="nil"/>
              <w:left w:val="nil"/>
              <w:bottom w:val="single" w:sz="4" w:space="0" w:color="auto"/>
              <w:right w:val="nil"/>
            </w:tcBorders>
          </w:tcPr>
          <w:p w:rsidR="0026790F" w:rsidRPr="0026790F" w:rsidRDefault="0026790F" w:rsidP="00C774B9">
            <w:pPr>
              <w:spacing w:line="240" w:lineRule="auto"/>
              <w:ind w:firstLine="0"/>
              <w:contextualSpacing/>
              <w:jc w:val="center"/>
              <w:rPr>
                <w:rFonts w:asciiTheme="majorBidi" w:hAnsiTheme="majorBidi" w:cstheme="majorBidi"/>
                <w:lang w:val="en-GB"/>
              </w:rPr>
            </w:pPr>
            <w:r w:rsidRPr="0026790F">
              <w:rPr>
                <w:rFonts w:asciiTheme="majorBidi" w:hAnsiTheme="majorBidi" w:cstheme="majorBidi"/>
                <w:lang w:val="en-US"/>
              </w:rPr>
              <w:t>Yes</w:t>
            </w:r>
          </w:p>
        </w:tc>
      </w:tr>
      <w:tr w:rsidR="0026790F" w:rsidRPr="00637032" w:rsidTr="003D09D1">
        <w:tc>
          <w:tcPr>
            <w:tcW w:w="0" w:type="auto"/>
            <w:tcBorders>
              <w:top w:val="single" w:sz="4" w:space="0" w:color="auto"/>
              <w:left w:val="nil"/>
              <w:bottom w:val="nil"/>
              <w:right w:val="nil"/>
            </w:tcBorders>
          </w:tcPr>
          <w:p w:rsidR="0026790F" w:rsidRPr="00637032" w:rsidRDefault="0026790F" w:rsidP="00C774B9">
            <w:pPr>
              <w:widowControl w:val="0"/>
              <w:autoSpaceDE w:val="0"/>
              <w:autoSpaceDN w:val="0"/>
              <w:adjustRightInd w:val="0"/>
              <w:spacing w:line="240" w:lineRule="auto"/>
              <w:ind w:firstLine="0"/>
              <w:contextualSpacing/>
              <w:rPr>
                <w:rFonts w:ascii="Times New Roman" w:eastAsia="SimSun" w:hAnsi="Times New Roman"/>
                <w:sz w:val="24"/>
                <w:szCs w:val="24"/>
                <w:lang w:val="en-US" w:eastAsia="zh-CN"/>
              </w:rPr>
            </w:pPr>
            <w:r w:rsidRPr="00637032">
              <w:rPr>
                <w:rFonts w:ascii="Times New Roman" w:eastAsia="SimSun" w:hAnsi="Times New Roman"/>
                <w:sz w:val="24"/>
                <w:szCs w:val="24"/>
                <w:lang w:val="en-US" w:eastAsia="zh-CN"/>
              </w:rPr>
              <w:t>Observations</w:t>
            </w:r>
          </w:p>
        </w:tc>
        <w:tc>
          <w:tcPr>
            <w:tcW w:w="0" w:type="auto"/>
            <w:tcBorders>
              <w:top w:val="single" w:sz="4" w:space="0" w:color="auto"/>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32390</w:t>
            </w:r>
          </w:p>
        </w:tc>
        <w:tc>
          <w:tcPr>
            <w:tcW w:w="0" w:type="auto"/>
            <w:tcBorders>
              <w:top w:val="single" w:sz="4" w:space="0" w:color="auto"/>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32137</w:t>
            </w:r>
          </w:p>
        </w:tc>
        <w:tc>
          <w:tcPr>
            <w:tcW w:w="0" w:type="auto"/>
            <w:tcBorders>
              <w:top w:val="single" w:sz="4" w:space="0" w:color="auto"/>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32136</w:t>
            </w:r>
          </w:p>
        </w:tc>
        <w:tc>
          <w:tcPr>
            <w:tcW w:w="0" w:type="auto"/>
            <w:tcBorders>
              <w:top w:val="single" w:sz="4" w:space="0" w:color="auto"/>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32136</w:t>
            </w:r>
          </w:p>
        </w:tc>
        <w:tc>
          <w:tcPr>
            <w:tcW w:w="0" w:type="auto"/>
            <w:tcBorders>
              <w:top w:val="single" w:sz="4" w:space="0" w:color="auto"/>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32137</w:t>
            </w:r>
          </w:p>
        </w:tc>
        <w:tc>
          <w:tcPr>
            <w:tcW w:w="0" w:type="auto"/>
            <w:tcBorders>
              <w:top w:val="single" w:sz="4" w:space="0" w:color="auto"/>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32137</w:t>
            </w:r>
          </w:p>
        </w:tc>
      </w:tr>
      <w:tr w:rsidR="0026790F" w:rsidRPr="00637032" w:rsidTr="003D09D1">
        <w:tc>
          <w:tcPr>
            <w:tcW w:w="0" w:type="auto"/>
            <w:tcBorders>
              <w:top w:val="nil"/>
              <w:left w:val="nil"/>
              <w:bottom w:val="nil"/>
              <w:right w:val="nil"/>
            </w:tcBorders>
          </w:tcPr>
          <w:p w:rsidR="0026790F" w:rsidRPr="00637032" w:rsidRDefault="0026790F" w:rsidP="00C774B9">
            <w:pPr>
              <w:widowControl w:val="0"/>
              <w:autoSpaceDE w:val="0"/>
              <w:autoSpaceDN w:val="0"/>
              <w:adjustRightInd w:val="0"/>
              <w:spacing w:line="240" w:lineRule="auto"/>
              <w:ind w:firstLine="0"/>
              <w:contextualSpacing/>
              <w:rPr>
                <w:rFonts w:ascii="Times New Roman" w:eastAsia="SimSun" w:hAnsi="Times New Roman"/>
                <w:sz w:val="24"/>
                <w:szCs w:val="24"/>
                <w:lang w:val="en-US" w:eastAsia="zh-CN"/>
              </w:rPr>
            </w:pPr>
            <w:r w:rsidRPr="00637032">
              <w:rPr>
                <w:rFonts w:ascii="Times New Roman" w:eastAsia="SimSun" w:hAnsi="Times New Roman"/>
                <w:sz w:val="24"/>
                <w:szCs w:val="24"/>
                <w:lang w:val="en-US" w:eastAsia="zh-CN"/>
              </w:rPr>
              <w:t xml:space="preserve">Adjusted </w:t>
            </w:r>
            <w:r w:rsidRPr="00637032">
              <w:rPr>
                <w:rFonts w:ascii="Times New Roman" w:eastAsia="SimSun" w:hAnsi="Times New Roman"/>
                <w:i/>
                <w:iCs/>
                <w:sz w:val="24"/>
                <w:szCs w:val="24"/>
                <w:lang w:val="en-US" w:eastAsia="zh-CN"/>
              </w:rPr>
              <w:t>R</w:t>
            </w:r>
            <w:r w:rsidRPr="00637032">
              <w:rPr>
                <w:rFonts w:ascii="Times New Roman" w:eastAsia="SimSun" w:hAnsi="Times New Roman"/>
                <w:sz w:val="24"/>
                <w:szCs w:val="24"/>
                <w:vertAlign w:val="superscript"/>
                <w:lang w:val="en-US" w:eastAsia="zh-CN"/>
              </w:rPr>
              <w:t>2</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hAnsi="Times New Roman"/>
                <w:lang w:val="en-US"/>
              </w:rPr>
            </w:pPr>
            <w:r w:rsidRPr="0026790F">
              <w:rPr>
                <w:rFonts w:ascii="Times New Roman" w:hAnsi="Times New Roman"/>
                <w:lang w:val="en-US"/>
              </w:rPr>
              <w:t>0.014</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hAnsi="Times New Roman"/>
                <w:lang w:val="en-US"/>
              </w:rPr>
            </w:pPr>
            <w:r w:rsidRPr="0026790F">
              <w:rPr>
                <w:rFonts w:ascii="Times New Roman" w:hAnsi="Times New Roman"/>
                <w:lang w:val="en-US"/>
              </w:rPr>
              <w:t>0.014</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hAnsi="Times New Roman"/>
                <w:lang w:val="en-US"/>
              </w:rPr>
            </w:pPr>
            <w:r w:rsidRPr="0026790F">
              <w:rPr>
                <w:rFonts w:ascii="Times New Roman" w:hAnsi="Times New Roman"/>
                <w:lang w:val="en-US"/>
              </w:rPr>
              <w:t>0.014</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hAnsi="Times New Roman"/>
                <w:lang w:val="en-US"/>
              </w:rPr>
            </w:pPr>
            <w:r w:rsidRPr="0026790F">
              <w:rPr>
                <w:rFonts w:ascii="Times New Roman" w:hAnsi="Times New Roman"/>
                <w:lang w:val="en-US"/>
              </w:rPr>
              <w:t>0.014</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hAnsi="Times New Roman"/>
                <w:lang w:val="en-US"/>
              </w:rPr>
            </w:pPr>
            <w:r w:rsidRPr="0026790F">
              <w:rPr>
                <w:rFonts w:ascii="Times New Roman" w:hAnsi="Times New Roman"/>
                <w:lang w:val="en-US"/>
              </w:rPr>
              <w:t>0.014</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hAnsi="Times New Roman"/>
                <w:lang w:val="en-US"/>
              </w:rPr>
            </w:pPr>
            <w:r w:rsidRPr="0026790F">
              <w:rPr>
                <w:rFonts w:ascii="Times New Roman" w:hAnsi="Times New Roman"/>
                <w:lang w:val="en-US"/>
              </w:rPr>
              <w:t>0.014</w:t>
            </w:r>
          </w:p>
        </w:tc>
      </w:tr>
      <w:tr w:rsidR="0026790F" w:rsidRPr="00637032" w:rsidTr="003D09D1">
        <w:tc>
          <w:tcPr>
            <w:tcW w:w="0" w:type="auto"/>
            <w:tcBorders>
              <w:top w:val="nil"/>
              <w:left w:val="nil"/>
              <w:bottom w:val="nil"/>
              <w:right w:val="nil"/>
            </w:tcBorders>
          </w:tcPr>
          <w:p w:rsidR="0026790F" w:rsidRPr="00637032" w:rsidRDefault="0026790F" w:rsidP="00C774B9">
            <w:pPr>
              <w:widowControl w:val="0"/>
              <w:autoSpaceDE w:val="0"/>
              <w:autoSpaceDN w:val="0"/>
              <w:adjustRightInd w:val="0"/>
              <w:spacing w:line="240" w:lineRule="auto"/>
              <w:ind w:firstLine="0"/>
              <w:contextualSpacing/>
              <w:rPr>
                <w:rFonts w:ascii="Times New Roman" w:eastAsia="SimSun" w:hAnsi="Times New Roman"/>
                <w:sz w:val="24"/>
                <w:szCs w:val="24"/>
                <w:lang w:val="en-US" w:eastAsia="zh-CN"/>
              </w:rPr>
            </w:pPr>
            <w:r>
              <w:rPr>
                <w:rFonts w:ascii="Times New Roman" w:eastAsia="SimSun" w:hAnsi="Times New Roman"/>
                <w:sz w:val="24"/>
                <w:szCs w:val="24"/>
                <w:lang w:val="en-US" w:eastAsia="zh-CN"/>
              </w:rPr>
              <w:t>Anderson LM</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52.077</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37.236</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47.361</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48.325</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18.597</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41.507</w:t>
            </w:r>
          </w:p>
        </w:tc>
      </w:tr>
      <w:tr w:rsidR="0026790F" w:rsidRPr="00637032" w:rsidTr="003D09D1">
        <w:tc>
          <w:tcPr>
            <w:tcW w:w="0" w:type="auto"/>
            <w:tcBorders>
              <w:top w:val="nil"/>
              <w:left w:val="nil"/>
              <w:bottom w:val="nil"/>
              <w:right w:val="nil"/>
            </w:tcBorders>
          </w:tcPr>
          <w:p w:rsidR="0026790F" w:rsidRPr="00637032" w:rsidRDefault="0026790F" w:rsidP="00C774B9">
            <w:pPr>
              <w:widowControl w:val="0"/>
              <w:autoSpaceDE w:val="0"/>
              <w:autoSpaceDN w:val="0"/>
              <w:adjustRightInd w:val="0"/>
              <w:spacing w:line="240" w:lineRule="auto"/>
              <w:ind w:firstLine="0"/>
              <w:contextualSpacing/>
              <w:rPr>
                <w:rFonts w:ascii="Times New Roman" w:eastAsia="SimSun" w:hAnsi="Times New Roman"/>
                <w:sz w:val="24"/>
                <w:szCs w:val="24"/>
                <w:lang w:val="en-US" w:eastAsia="zh-CN"/>
              </w:rPr>
            </w:pPr>
            <w:r>
              <w:rPr>
                <w:rFonts w:ascii="Times New Roman" w:eastAsia="SimSun" w:hAnsi="Times New Roman"/>
                <w:sz w:val="24"/>
                <w:szCs w:val="24"/>
                <w:lang w:val="en-US" w:eastAsia="zh-CN"/>
              </w:rPr>
              <w:t>Anderson-p value</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0.000</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0.000</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0.000</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0.000</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0.017</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0.000</w:t>
            </w:r>
          </w:p>
        </w:tc>
      </w:tr>
      <w:tr w:rsidR="0026790F" w:rsidRPr="00637032" w:rsidTr="003D09D1">
        <w:tc>
          <w:tcPr>
            <w:tcW w:w="0" w:type="auto"/>
            <w:tcBorders>
              <w:top w:val="nil"/>
              <w:left w:val="nil"/>
              <w:bottom w:val="nil"/>
              <w:right w:val="nil"/>
            </w:tcBorders>
          </w:tcPr>
          <w:p w:rsidR="0026790F" w:rsidRPr="00637032" w:rsidRDefault="0026790F" w:rsidP="00C774B9">
            <w:pPr>
              <w:widowControl w:val="0"/>
              <w:autoSpaceDE w:val="0"/>
              <w:autoSpaceDN w:val="0"/>
              <w:adjustRightInd w:val="0"/>
              <w:spacing w:line="240" w:lineRule="auto"/>
              <w:ind w:firstLine="0"/>
              <w:contextualSpacing/>
              <w:rPr>
                <w:rFonts w:ascii="Times New Roman" w:eastAsia="SimSun" w:hAnsi="Times New Roman"/>
                <w:sz w:val="24"/>
                <w:szCs w:val="24"/>
                <w:lang w:val="en-US" w:eastAsia="zh-CN"/>
              </w:rPr>
            </w:pPr>
            <w:r>
              <w:rPr>
                <w:rFonts w:ascii="Times New Roman" w:eastAsia="SimSun" w:hAnsi="Times New Roman"/>
                <w:sz w:val="24"/>
                <w:szCs w:val="24"/>
                <w:lang w:val="en-US" w:eastAsia="zh-CN"/>
              </w:rPr>
              <w:t>Sargan</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7.083</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0.306</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10.216</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10.852</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5.843</w:t>
            </w:r>
          </w:p>
        </w:tc>
        <w:tc>
          <w:tcPr>
            <w:tcW w:w="0" w:type="auto"/>
            <w:tcBorders>
              <w:top w:val="nil"/>
              <w:left w:val="nil"/>
              <w:bottom w:val="nil"/>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5.859</w:t>
            </w:r>
          </w:p>
        </w:tc>
      </w:tr>
      <w:tr w:rsidR="0026790F" w:rsidRPr="00637032" w:rsidTr="003D09D1">
        <w:tc>
          <w:tcPr>
            <w:tcW w:w="0" w:type="auto"/>
            <w:tcBorders>
              <w:top w:val="nil"/>
              <w:left w:val="nil"/>
              <w:bottom w:val="single" w:sz="4" w:space="0" w:color="auto"/>
              <w:right w:val="nil"/>
            </w:tcBorders>
          </w:tcPr>
          <w:p w:rsidR="0026790F" w:rsidRPr="00637032" w:rsidRDefault="0026790F" w:rsidP="00C774B9">
            <w:pPr>
              <w:widowControl w:val="0"/>
              <w:autoSpaceDE w:val="0"/>
              <w:autoSpaceDN w:val="0"/>
              <w:adjustRightInd w:val="0"/>
              <w:spacing w:line="240" w:lineRule="auto"/>
              <w:ind w:firstLine="0"/>
              <w:contextualSpacing/>
              <w:rPr>
                <w:rFonts w:ascii="Times New Roman" w:eastAsia="SimSun" w:hAnsi="Times New Roman"/>
                <w:sz w:val="24"/>
                <w:szCs w:val="24"/>
                <w:lang w:val="en-US" w:eastAsia="zh-CN"/>
              </w:rPr>
            </w:pPr>
            <w:r w:rsidRPr="00637032">
              <w:rPr>
                <w:rFonts w:ascii="Times New Roman" w:eastAsia="SimSun" w:hAnsi="Times New Roman"/>
                <w:sz w:val="24"/>
                <w:szCs w:val="24"/>
                <w:lang w:val="en-US" w:eastAsia="zh-CN"/>
              </w:rPr>
              <w:t>Sargan</w:t>
            </w:r>
            <w:r>
              <w:rPr>
                <w:rFonts w:ascii="Times New Roman" w:eastAsia="SimSun" w:hAnsi="Times New Roman"/>
                <w:sz w:val="24"/>
                <w:szCs w:val="24"/>
                <w:lang w:val="en-US" w:eastAsia="zh-CN"/>
              </w:rPr>
              <w:t>-</w:t>
            </w:r>
            <w:r w:rsidRPr="00637032">
              <w:rPr>
                <w:rFonts w:ascii="Times New Roman" w:eastAsia="SimSun" w:hAnsi="Times New Roman"/>
                <w:sz w:val="24"/>
                <w:szCs w:val="24"/>
                <w:lang w:val="en-US" w:eastAsia="zh-CN"/>
              </w:rPr>
              <w:t>p</w:t>
            </w:r>
            <w:r>
              <w:rPr>
                <w:rFonts w:ascii="Times New Roman" w:eastAsia="SimSun" w:hAnsi="Times New Roman"/>
                <w:sz w:val="24"/>
                <w:szCs w:val="24"/>
                <w:lang w:val="en-US" w:eastAsia="zh-CN"/>
              </w:rPr>
              <w:t xml:space="preserve"> value</w:t>
            </w:r>
          </w:p>
        </w:tc>
        <w:tc>
          <w:tcPr>
            <w:tcW w:w="0" w:type="auto"/>
            <w:tcBorders>
              <w:top w:val="nil"/>
              <w:left w:val="nil"/>
              <w:bottom w:val="single" w:sz="4" w:space="0" w:color="auto"/>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0.528</w:t>
            </w:r>
          </w:p>
        </w:tc>
        <w:tc>
          <w:tcPr>
            <w:tcW w:w="0" w:type="auto"/>
            <w:tcBorders>
              <w:top w:val="nil"/>
              <w:left w:val="nil"/>
              <w:bottom w:val="single" w:sz="4" w:space="0" w:color="auto"/>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0.989</w:t>
            </w:r>
          </w:p>
        </w:tc>
        <w:tc>
          <w:tcPr>
            <w:tcW w:w="0" w:type="auto"/>
            <w:tcBorders>
              <w:top w:val="nil"/>
              <w:left w:val="nil"/>
              <w:bottom w:val="single" w:sz="4" w:space="0" w:color="auto"/>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0.333</w:t>
            </w:r>
          </w:p>
        </w:tc>
        <w:tc>
          <w:tcPr>
            <w:tcW w:w="0" w:type="auto"/>
            <w:tcBorders>
              <w:top w:val="nil"/>
              <w:left w:val="nil"/>
              <w:bottom w:val="single" w:sz="4" w:space="0" w:color="auto"/>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0.286</w:t>
            </w:r>
          </w:p>
        </w:tc>
        <w:tc>
          <w:tcPr>
            <w:tcW w:w="0" w:type="auto"/>
            <w:tcBorders>
              <w:top w:val="nil"/>
              <w:left w:val="nil"/>
              <w:bottom w:val="single" w:sz="4" w:space="0" w:color="auto"/>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0.558</w:t>
            </w:r>
          </w:p>
        </w:tc>
        <w:tc>
          <w:tcPr>
            <w:tcW w:w="0" w:type="auto"/>
            <w:tcBorders>
              <w:top w:val="nil"/>
              <w:left w:val="nil"/>
              <w:bottom w:val="single" w:sz="4" w:space="0" w:color="auto"/>
              <w:right w:val="nil"/>
            </w:tcBorders>
          </w:tcPr>
          <w:p w:rsidR="0026790F" w:rsidRPr="0026790F" w:rsidRDefault="0026790F" w:rsidP="00C774B9">
            <w:pPr>
              <w:widowControl w:val="0"/>
              <w:autoSpaceDE w:val="0"/>
              <w:autoSpaceDN w:val="0"/>
              <w:adjustRightInd w:val="0"/>
              <w:spacing w:line="240" w:lineRule="auto"/>
              <w:ind w:firstLine="0"/>
              <w:contextualSpacing/>
              <w:jc w:val="center"/>
              <w:rPr>
                <w:rFonts w:ascii="Times New Roman" w:eastAsia="SimSun" w:hAnsi="Times New Roman"/>
                <w:lang w:val="en-US" w:eastAsia="zh-CN"/>
              </w:rPr>
            </w:pPr>
            <w:r w:rsidRPr="0026790F">
              <w:rPr>
                <w:rFonts w:ascii="Times New Roman" w:eastAsia="SimSun" w:hAnsi="Times New Roman"/>
                <w:lang w:val="en-US" w:eastAsia="zh-CN"/>
              </w:rPr>
              <w:t>0.556</w:t>
            </w:r>
          </w:p>
        </w:tc>
      </w:tr>
    </w:tbl>
    <w:p w:rsidR="00637032" w:rsidRPr="00637032" w:rsidRDefault="00637032" w:rsidP="00C774B9">
      <w:pPr>
        <w:widowControl w:val="0"/>
        <w:autoSpaceDE w:val="0"/>
        <w:autoSpaceDN w:val="0"/>
        <w:adjustRightInd w:val="0"/>
        <w:spacing w:line="240" w:lineRule="auto"/>
        <w:ind w:firstLine="0"/>
        <w:rPr>
          <w:rFonts w:ascii="Times New Roman" w:eastAsia="SimSun" w:hAnsi="Times New Roman"/>
          <w:lang w:val="en-US" w:eastAsia="zh-CN"/>
        </w:rPr>
      </w:pPr>
      <w:r w:rsidRPr="00637032">
        <w:rPr>
          <w:rFonts w:ascii="Times New Roman" w:eastAsia="SimSun" w:hAnsi="Times New Roman"/>
          <w:lang w:val="en-US" w:eastAsia="zh-CN"/>
        </w:rPr>
        <w:t>Absolute t-statistics in parentheses calculated consistently for robust standard errors clustered by firm and *indicates p&lt; 0.10, **indicates p&lt; 0.05, ***indicates p&lt; 0.01.</w:t>
      </w:r>
      <w:r w:rsidR="00C60E5C">
        <w:rPr>
          <w:rFonts w:ascii="Times New Roman" w:eastAsia="SimSun" w:hAnsi="Times New Roman"/>
          <w:lang w:val="en-US" w:eastAsia="zh-CN"/>
        </w:rPr>
        <w:t xml:space="preserve"> </w:t>
      </w:r>
      <w:r w:rsidR="00701D6E">
        <w:rPr>
          <w:rFonts w:ascii="Times New Roman" w:eastAsia="SimSun" w:hAnsi="Times New Roman"/>
          <w:lang w:val="en-US" w:eastAsia="zh-CN"/>
        </w:rPr>
        <w:t>The</w:t>
      </w:r>
      <w:r w:rsidR="00704BCC" w:rsidRPr="00704BCC">
        <w:rPr>
          <w:rFonts w:ascii="Times New Roman" w:eastAsia="SimSun" w:hAnsi="Times New Roman"/>
          <w:lang w:val="en-US" w:eastAsia="zh-CN"/>
        </w:rPr>
        <w:t xml:space="preserve"> </w:t>
      </w:r>
      <w:r w:rsidR="00701D6E" w:rsidRPr="00704BCC">
        <w:rPr>
          <w:rFonts w:ascii="Times New Roman" w:eastAsia="SimSun" w:hAnsi="Times New Roman"/>
          <w:lang w:val="en-US" w:eastAsia="zh-CN"/>
        </w:rPr>
        <w:t xml:space="preserve">instruments </w:t>
      </w:r>
      <w:r w:rsidR="00704BCC" w:rsidRPr="00704BCC">
        <w:rPr>
          <w:rFonts w:ascii="Times New Roman" w:eastAsia="SimSun" w:hAnsi="Times New Roman"/>
          <w:lang w:val="en-US" w:eastAsia="zh-CN"/>
        </w:rPr>
        <w:t xml:space="preserve">in all specifications are the average values of profit rate, </w:t>
      </w:r>
      <w:r w:rsidRPr="00637032">
        <w:rPr>
          <w:rFonts w:ascii="Times New Roman" w:eastAsia="SimSun" w:hAnsi="Times New Roman"/>
          <w:lang w:val="en-US" w:eastAsia="zh-CN"/>
        </w:rPr>
        <w:t xml:space="preserve">equity </w:t>
      </w:r>
      <w:r w:rsidR="00704BCC" w:rsidRPr="00637032">
        <w:rPr>
          <w:rFonts w:ascii="Times New Roman" w:eastAsia="SimSun" w:hAnsi="Times New Roman"/>
          <w:lang w:val="en-US" w:eastAsia="zh-CN"/>
        </w:rPr>
        <w:t>and TFP</w:t>
      </w:r>
      <w:r w:rsidR="00704BCC" w:rsidRPr="00704BCC">
        <w:rPr>
          <w:rFonts w:ascii="Times New Roman" w:eastAsia="SimSun" w:hAnsi="Times New Roman"/>
          <w:lang w:val="en-US" w:eastAsia="zh-CN"/>
        </w:rPr>
        <w:t xml:space="preserve"> </w:t>
      </w:r>
      <w:r w:rsidRPr="00637032">
        <w:rPr>
          <w:rFonts w:ascii="Times New Roman" w:eastAsia="SimSun" w:hAnsi="Times New Roman"/>
          <w:lang w:val="en-US" w:eastAsia="zh-CN"/>
        </w:rPr>
        <w:t>at the NACE Rev 2 industry level in periods t-1,</w:t>
      </w:r>
      <w:r w:rsidR="00704BCC" w:rsidRPr="00704BCC">
        <w:rPr>
          <w:rFonts w:ascii="Times New Roman" w:eastAsia="SimSun" w:hAnsi="Times New Roman"/>
          <w:lang w:val="en-US" w:eastAsia="zh-CN"/>
        </w:rPr>
        <w:t xml:space="preserve"> </w:t>
      </w:r>
      <w:r w:rsidRPr="00637032">
        <w:rPr>
          <w:rFonts w:ascii="Times New Roman" w:eastAsia="SimSun" w:hAnsi="Times New Roman"/>
          <w:lang w:val="en-US" w:eastAsia="zh-CN"/>
        </w:rPr>
        <w:t>t-2 and t-3.</w:t>
      </w:r>
      <w:r w:rsidR="00C60E5C">
        <w:rPr>
          <w:rFonts w:ascii="Times New Roman" w:eastAsia="SimSun" w:hAnsi="Times New Roman"/>
          <w:lang w:val="en-US" w:eastAsia="zh-CN"/>
        </w:rPr>
        <w:t xml:space="preserve"> </w:t>
      </w:r>
      <w:r w:rsidRPr="00637032">
        <w:rPr>
          <w:rFonts w:ascii="Times New Roman" w:eastAsia="SimSun" w:hAnsi="Times New Roman"/>
          <w:lang w:val="en-US" w:eastAsia="zh-CN"/>
        </w:rPr>
        <w:t xml:space="preserve">The Sargan test refers to the orthogonality </w:t>
      </w:r>
      <w:r w:rsidR="00704BCC" w:rsidRPr="00704BCC">
        <w:rPr>
          <w:rFonts w:ascii="Times New Roman" w:eastAsia="SimSun" w:hAnsi="Times New Roman"/>
          <w:lang w:val="en-US" w:eastAsia="zh-CN"/>
        </w:rPr>
        <w:t>condition; under</w:t>
      </w:r>
      <w:r w:rsidRPr="00637032">
        <w:rPr>
          <w:rFonts w:ascii="Times New Roman" w:eastAsia="SimSun" w:hAnsi="Times New Roman"/>
          <w:lang w:val="en-US" w:eastAsia="zh-CN"/>
        </w:rPr>
        <w:t xml:space="preserve"> the null the </w:t>
      </w:r>
      <w:r w:rsidR="00704BCC" w:rsidRPr="00704BCC">
        <w:rPr>
          <w:rFonts w:ascii="Times New Roman" w:eastAsia="SimSun" w:hAnsi="Times New Roman"/>
          <w:lang w:val="en-US" w:eastAsia="zh-CN"/>
        </w:rPr>
        <w:t>instruments</w:t>
      </w:r>
      <w:r w:rsidRPr="00637032">
        <w:rPr>
          <w:rFonts w:ascii="Times New Roman" w:eastAsia="SimSun" w:hAnsi="Times New Roman"/>
          <w:lang w:val="en-US" w:eastAsia="zh-CN"/>
        </w:rPr>
        <w:t xml:space="preserve"> used are valid (i.e. uncorrelated with the error term.</w:t>
      </w:r>
      <w:r w:rsidR="00704BCC" w:rsidRPr="00704BCC">
        <w:rPr>
          <w:rFonts w:ascii="Times New Roman" w:eastAsia="SimSun" w:hAnsi="Times New Roman"/>
          <w:lang w:val="en-US" w:eastAsia="zh-CN"/>
        </w:rPr>
        <w:t xml:space="preserve"> </w:t>
      </w:r>
      <w:r w:rsidRPr="00637032">
        <w:rPr>
          <w:rFonts w:ascii="Times New Roman" w:eastAsia="SimSun" w:hAnsi="Times New Roman"/>
          <w:lang w:val="en-US" w:eastAsia="zh-CN"/>
        </w:rPr>
        <w:t xml:space="preserve">The Anderson LM test refers to the relevance of instruments with the endogenous </w:t>
      </w:r>
      <w:r w:rsidR="00704BCC" w:rsidRPr="00704BCC">
        <w:rPr>
          <w:rFonts w:ascii="Times New Roman" w:eastAsia="SimSun" w:hAnsi="Times New Roman"/>
          <w:lang w:val="en-US" w:eastAsia="zh-CN"/>
        </w:rPr>
        <w:t>variable; under</w:t>
      </w:r>
      <w:r w:rsidRPr="00637032">
        <w:rPr>
          <w:rFonts w:ascii="Times New Roman" w:eastAsia="SimSun" w:hAnsi="Times New Roman"/>
          <w:lang w:val="en-US" w:eastAsia="zh-CN"/>
        </w:rPr>
        <w:t xml:space="preserve"> the null the set of instruments used is weak.</w:t>
      </w:r>
      <w:r w:rsidR="00704BCC" w:rsidRPr="00704BCC">
        <w:rPr>
          <w:rFonts w:ascii="Times New Roman" w:eastAsia="SimSun" w:hAnsi="Times New Roman"/>
          <w:lang w:val="en-US" w:eastAsia="zh-CN"/>
        </w:rPr>
        <w:t xml:space="preserve"> </w:t>
      </w:r>
    </w:p>
    <w:p w:rsidR="00A75D6C" w:rsidRDefault="00A75D6C" w:rsidP="00A07A79">
      <w:pPr>
        <w:widowControl w:val="0"/>
        <w:autoSpaceDE w:val="0"/>
        <w:autoSpaceDN w:val="0"/>
        <w:adjustRightInd w:val="0"/>
        <w:rPr>
          <w:rFonts w:ascii="Times New Roman" w:hAnsi="Times New Roman"/>
          <w:sz w:val="24"/>
          <w:szCs w:val="24"/>
          <w:lang w:val="en-US"/>
        </w:rPr>
      </w:pPr>
    </w:p>
    <w:p w:rsidR="009B2275" w:rsidRDefault="00F12AF1" w:rsidP="004A0742">
      <w:pPr>
        <w:pStyle w:val="ListParagraph"/>
        <w:ind w:left="0" w:firstLine="426"/>
        <w:rPr>
          <w:rFonts w:ascii="Times New Roman" w:hAnsi="Times New Roman"/>
          <w:i/>
          <w:iCs/>
          <w:sz w:val="24"/>
          <w:szCs w:val="24"/>
          <w:lang w:val="en-US"/>
        </w:rPr>
      </w:pPr>
      <w:r>
        <w:rPr>
          <w:rFonts w:ascii="Times New Roman" w:hAnsi="Times New Roman"/>
          <w:i/>
          <w:iCs/>
          <w:sz w:val="24"/>
          <w:szCs w:val="24"/>
          <w:lang w:val="en-US"/>
        </w:rPr>
        <w:t>3</w:t>
      </w:r>
      <w:r w:rsidR="00584EEF" w:rsidRPr="009B2275">
        <w:rPr>
          <w:rFonts w:ascii="Times New Roman" w:hAnsi="Times New Roman"/>
          <w:i/>
          <w:iCs/>
          <w:sz w:val="24"/>
          <w:szCs w:val="24"/>
          <w:lang w:val="en-US"/>
        </w:rPr>
        <w:t>.</w:t>
      </w:r>
      <w:r>
        <w:rPr>
          <w:rFonts w:ascii="Times New Roman" w:hAnsi="Times New Roman"/>
          <w:i/>
          <w:iCs/>
          <w:sz w:val="24"/>
          <w:szCs w:val="24"/>
          <w:lang w:val="en-US"/>
        </w:rPr>
        <w:t>4</w:t>
      </w:r>
      <w:r w:rsidR="00584EEF" w:rsidRPr="009B2275">
        <w:rPr>
          <w:rFonts w:ascii="Times New Roman" w:hAnsi="Times New Roman"/>
          <w:i/>
          <w:iCs/>
          <w:sz w:val="24"/>
          <w:szCs w:val="24"/>
          <w:lang w:val="en-US"/>
        </w:rPr>
        <w:t xml:space="preserve"> </w:t>
      </w:r>
      <w:r>
        <w:rPr>
          <w:rFonts w:ascii="Times New Roman" w:hAnsi="Times New Roman"/>
          <w:i/>
          <w:iCs/>
          <w:sz w:val="24"/>
          <w:szCs w:val="24"/>
          <w:lang w:val="en-US"/>
        </w:rPr>
        <w:t xml:space="preserve">Further Sensitivity Tests with </w:t>
      </w:r>
      <w:r w:rsidR="00584EEF" w:rsidRPr="009B2275">
        <w:rPr>
          <w:rFonts w:ascii="Times New Roman" w:hAnsi="Times New Roman"/>
          <w:i/>
          <w:iCs/>
          <w:sz w:val="24"/>
          <w:szCs w:val="24"/>
          <w:lang w:val="en-US"/>
        </w:rPr>
        <w:t xml:space="preserve">Alternative </w:t>
      </w:r>
      <w:r w:rsidR="009B2275" w:rsidRPr="009B2275">
        <w:rPr>
          <w:rFonts w:ascii="Times New Roman" w:hAnsi="Times New Roman"/>
          <w:i/>
          <w:iCs/>
          <w:sz w:val="24"/>
          <w:szCs w:val="24"/>
          <w:lang w:val="en-US"/>
        </w:rPr>
        <w:t>Measure</w:t>
      </w:r>
      <w:r w:rsidR="004A0742">
        <w:rPr>
          <w:rFonts w:ascii="Times New Roman" w:hAnsi="Times New Roman"/>
          <w:i/>
          <w:iCs/>
          <w:sz w:val="24"/>
          <w:szCs w:val="24"/>
          <w:lang w:val="en-US"/>
        </w:rPr>
        <w:t>s</w:t>
      </w:r>
      <w:r w:rsidR="009B2275" w:rsidRPr="009B2275">
        <w:rPr>
          <w:rFonts w:ascii="Times New Roman" w:hAnsi="Times New Roman"/>
          <w:i/>
          <w:iCs/>
          <w:sz w:val="24"/>
          <w:szCs w:val="24"/>
          <w:lang w:val="en-US"/>
        </w:rPr>
        <w:t xml:space="preserve"> of</w:t>
      </w:r>
      <w:r w:rsidR="004A0742">
        <w:rPr>
          <w:rFonts w:ascii="Times New Roman" w:hAnsi="Times New Roman"/>
          <w:i/>
          <w:iCs/>
          <w:sz w:val="24"/>
          <w:szCs w:val="24"/>
          <w:lang w:val="en-US"/>
        </w:rPr>
        <w:t xml:space="preserve"> Corporate </w:t>
      </w:r>
      <w:r w:rsidR="009B2275" w:rsidRPr="009B2275">
        <w:rPr>
          <w:rFonts w:ascii="Times New Roman" w:hAnsi="Times New Roman"/>
          <w:i/>
          <w:iCs/>
          <w:sz w:val="24"/>
          <w:szCs w:val="24"/>
          <w:lang w:val="en-US"/>
        </w:rPr>
        <w:t>Tax</w:t>
      </w:r>
      <w:r w:rsidR="004A0742">
        <w:rPr>
          <w:rFonts w:ascii="Times New Roman" w:hAnsi="Times New Roman"/>
          <w:i/>
          <w:iCs/>
          <w:sz w:val="24"/>
          <w:szCs w:val="24"/>
          <w:lang w:val="en-US"/>
        </w:rPr>
        <w:t>ation</w:t>
      </w:r>
    </w:p>
    <w:p w:rsidR="004400CA" w:rsidRDefault="00270937" w:rsidP="002E5BD3">
      <w:pPr>
        <w:pStyle w:val="ListParagraph"/>
        <w:ind w:left="0" w:firstLine="426"/>
        <w:rPr>
          <w:rFonts w:ascii="Times New Roman" w:hAnsi="Times New Roman"/>
          <w:sz w:val="24"/>
          <w:szCs w:val="24"/>
          <w:lang w:val="en-US"/>
        </w:rPr>
      </w:pPr>
      <w:r w:rsidRPr="00270937">
        <w:rPr>
          <w:rFonts w:ascii="Times New Roman" w:hAnsi="Times New Roman"/>
          <w:sz w:val="24"/>
          <w:szCs w:val="24"/>
          <w:lang w:val="en-US"/>
        </w:rPr>
        <w:t>The</w:t>
      </w:r>
      <w:r>
        <w:rPr>
          <w:rFonts w:ascii="Times New Roman" w:hAnsi="Times New Roman"/>
          <w:sz w:val="24"/>
          <w:szCs w:val="24"/>
          <w:lang w:val="en-US"/>
        </w:rPr>
        <w:t xml:space="preserve"> results shown in Tables 1 and 2 refer to a tax measure that represent</w:t>
      </w:r>
      <w:r w:rsidR="008B267E">
        <w:rPr>
          <w:rFonts w:ascii="Times New Roman" w:hAnsi="Times New Roman"/>
          <w:sz w:val="24"/>
          <w:szCs w:val="24"/>
          <w:lang w:val="en-US"/>
        </w:rPr>
        <w:t>s</w:t>
      </w:r>
      <w:r>
        <w:rPr>
          <w:rFonts w:ascii="Times New Roman" w:hAnsi="Times New Roman"/>
          <w:sz w:val="24"/>
          <w:szCs w:val="24"/>
          <w:lang w:val="en-US"/>
        </w:rPr>
        <w:t xml:space="preserve"> what </w:t>
      </w:r>
      <w:r w:rsidR="0026790F">
        <w:rPr>
          <w:rFonts w:ascii="Times New Roman" w:hAnsi="Times New Roman"/>
          <w:sz w:val="24"/>
          <w:szCs w:val="24"/>
          <w:lang w:val="en-US"/>
        </w:rPr>
        <w:t>the firm is supposed</w:t>
      </w:r>
      <w:r>
        <w:rPr>
          <w:rFonts w:ascii="Times New Roman" w:hAnsi="Times New Roman"/>
          <w:sz w:val="24"/>
          <w:szCs w:val="24"/>
          <w:lang w:val="en-US"/>
        </w:rPr>
        <w:t xml:space="preserve"> to pay on </w:t>
      </w:r>
      <w:r w:rsidR="001B4F52">
        <w:rPr>
          <w:rFonts w:ascii="Times New Roman" w:hAnsi="Times New Roman"/>
          <w:sz w:val="24"/>
          <w:szCs w:val="24"/>
          <w:lang w:val="en-US"/>
        </w:rPr>
        <w:t>different ranges of</w:t>
      </w:r>
      <w:r>
        <w:rPr>
          <w:rFonts w:ascii="Times New Roman" w:hAnsi="Times New Roman"/>
          <w:sz w:val="24"/>
          <w:szCs w:val="24"/>
          <w:lang w:val="en-US"/>
        </w:rPr>
        <w:t xml:space="preserve"> income assuming that </w:t>
      </w:r>
      <w:r w:rsidR="00F62222">
        <w:rPr>
          <w:rFonts w:ascii="Times New Roman" w:hAnsi="Times New Roman"/>
          <w:sz w:val="24"/>
          <w:szCs w:val="24"/>
          <w:lang w:val="en-US"/>
        </w:rPr>
        <w:t xml:space="preserve">it </w:t>
      </w:r>
      <w:r>
        <w:rPr>
          <w:rFonts w:ascii="Times New Roman" w:hAnsi="Times New Roman"/>
          <w:sz w:val="24"/>
          <w:szCs w:val="24"/>
          <w:lang w:val="en-US"/>
        </w:rPr>
        <w:t>complies with all</w:t>
      </w:r>
      <w:r w:rsidR="00927113">
        <w:rPr>
          <w:rFonts w:ascii="Times New Roman" w:hAnsi="Times New Roman"/>
          <w:sz w:val="24"/>
          <w:szCs w:val="24"/>
          <w:lang w:val="en-US"/>
        </w:rPr>
        <w:t xml:space="preserve"> rules and</w:t>
      </w:r>
      <w:r>
        <w:rPr>
          <w:rFonts w:ascii="Times New Roman" w:hAnsi="Times New Roman"/>
          <w:sz w:val="24"/>
          <w:szCs w:val="24"/>
          <w:lang w:val="en-US"/>
        </w:rPr>
        <w:t xml:space="preserve"> laws. In other words, </w:t>
      </w:r>
      <w:r w:rsidRPr="00270937">
        <w:rPr>
          <w:rFonts w:ascii="Times New Roman" w:hAnsi="Times New Roman"/>
          <w:i/>
          <w:iCs/>
          <w:sz w:val="24"/>
          <w:szCs w:val="24"/>
          <w:lang w:val="en-US"/>
        </w:rPr>
        <w:t>Tax</w:t>
      </w:r>
      <w:r>
        <w:rPr>
          <w:rFonts w:ascii="Times New Roman" w:hAnsi="Times New Roman"/>
          <w:sz w:val="24"/>
          <w:szCs w:val="24"/>
          <w:lang w:val="en-US"/>
        </w:rPr>
        <w:t xml:space="preserve"> </w:t>
      </w:r>
      <w:r w:rsidR="000C0CD1">
        <w:rPr>
          <w:rFonts w:ascii="Times New Roman" w:hAnsi="Times New Roman"/>
          <w:sz w:val="24"/>
          <w:szCs w:val="24"/>
          <w:lang w:val="en-US"/>
        </w:rPr>
        <w:t>measures what is due to the tax office without capturing</w:t>
      </w:r>
      <w:r>
        <w:rPr>
          <w:rFonts w:ascii="Times New Roman" w:hAnsi="Times New Roman"/>
          <w:sz w:val="24"/>
          <w:szCs w:val="24"/>
          <w:lang w:val="en-US"/>
        </w:rPr>
        <w:t xml:space="preserve"> firm’s </w:t>
      </w:r>
      <w:r w:rsidR="000C0CD1">
        <w:rPr>
          <w:rFonts w:ascii="Times New Roman" w:hAnsi="Times New Roman"/>
          <w:sz w:val="24"/>
          <w:szCs w:val="24"/>
          <w:lang w:val="en-US"/>
        </w:rPr>
        <w:t xml:space="preserve">efforts and </w:t>
      </w:r>
      <w:r>
        <w:rPr>
          <w:rFonts w:ascii="Times New Roman" w:hAnsi="Times New Roman"/>
          <w:sz w:val="24"/>
          <w:szCs w:val="24"/>
          <w:lang w:val="en-US"/>
        </w:rPr>
        <w:t xml:space="preserve">facilities to shift or reduce the amount </w:t>
      </w:r>
      <w:r w:rsidR="000C0CD1">
        <w:rPr>
          <w:rFonts w:ascii="Times New Roman" w:hAnsi="Times New Roman"/>
          <w:sz w:val="24"/>
          <w:szCs w:val="24"/>
          <w:lang w:val="en-US"/>
        </w:rPr>
        <w:t>of tax bill</w:t>
      </w:r>
      <w:r>
        <w:rPr>
          <w:rFonts w:ascii="Times New Roman" w:hAnsi="Times New Roman"/>
          <w:sz w:val="24"/>
          <w:szCs w:val="24"/>
          <w:lang w:val="en-US"/>
        </w:rPr>
        <w:t xml:space="preserve"> based on the pre-tax profits.</w:t>
      </w:r>
      <w:r w:rsidR="00927113">
        <w:rPr>
          <w:rFonts w:ascii="Times New Roman" w:hAnsi="Times New Roman"/>
          <w:sz w:val="24"/>
          <w:szCs w:val="24"/>
          <w:lang w:val="en-US"/>
        </w:rPr>
        <w:t xml:space="preserve"> One can argue that the </w:t>
      </w:r>
      <w:r w:rsidR="00F504E0">
        <w:rPr>
          <w:rFonts w:ascii="Times New Roman" w:hAnsi="Times New Roman"/>
          <w:sz w:val="24"/>
          <w:szCs w:val="24"/>
          <w:lang w:val="en-US"/>
        </w:rPr>
        <w:t>“</w:t>
      </w:r>
      <w:r w:rsidR="00927113">
        <w:rPr>
          <w:rFonts w:ascii="Times New Roman" w:hAnsi="Times New Roman"/>
          <w:sz w:val="24"/>
          <w:szCs w:val="24"/>
          <w:lang w:val="en-US"/>
        </w:rPr>
        <w:t>true</w:t>
      </w:r>
      <w:r w:rsidR="00F504E0">
        <w:rPr>
          <w:rFonts w:ascii="Times New Roman" w:hAnsi="Times New Roman"/>
          <w:sz w:val="24"/>
          <w:szCs w:val="24"/>
          <w:lang w:val="en-US"/>
        </w:rPr>
        <w:t>”</w:t>
      </w:r>
      <w:r w:rsidR="00927113">
        <w:rPr>
          <w:rFonts w:ascii="Times New Roman" w:hAnsi="Times New Roman"/>
          <w:sz w:val="24"/>
          <w:szCs w:val="24"/>
          <w:lang w:val="en-US"/>
        </w:rPr>
        <w:t xml:space="preserve"> </w:t>
      </w:r>
      <w:r w:rsidR="00F62222">
        <w:rPr>
          <w:rFonts w:ascii="Times New Roman" w:hAnsi="Times New Roman"/>
          <w:sz w:val="24"/>
          <w:szCs w:val="24"/>
          <w:lang w:val="en-US"/>
        </w:rPr>
        <w:t xml:space="preserve">effect of </w:t>
      </w:r>
      <w:r w:rsidR="00927113">
        <w:rPr>
          <w:rFonts w:ascii="Times New Roman" w:hAnsi="Times New Roman"/>
          <w:sz w:val="24"/>
          <w:szCs w:val="24"/>
          <w:lang w:val="en-US"/>
        </w:rPr>
        <w:t xml:space="preserve">taxation on </w:t>
      </w:r>
      <w:r w:rsidR="00F504E0">
        <w:rPr>
          <w:rFonts w:ascii="Times New Roman" w:hAnsi="Times New Roman"/>
          <w:sz w:val="24"/>
          <w:szCs w:val="24"/>
          <w:lang w:val="en-US"/>
        </w:rPr>
        <w:t xml:space="preserve">TFP </w:t>
      </w:r>
      <w:r w:rsidR="00927113">
        <w:rPr>
          <w:rFonts w:ascii="Times New Roman" w:hAnsi="Times New Roman"/>
          <w:sz w:val="24"/>
          <w:szCs w:val="24"/>
          <w:lang w:val="en-US"/>
        </w:rPr>
        <w:t xml:space="preserve">is </w:t>
      </w:r>
      <w:r w:rsidR="002E5BD3">
        <w:rPr>
          <w:rFonts w:ascii="Times New Roman" w:hAnsi="Times New Roman"/>
          <w:sz w:val="24"/>
          <w:szCs w:val="24"/>
          <w:lang w:val="en-US"/>
        </w:rPr>
        <w:t>captured</w:t>
      </w:r>
      <w:r w:rsidR="00927113">
        <w:rPr>
          <w:rFonts w:ascii="Times New Roman" w:hAnsi="Times New Roman"/>
          <w:sz w:val="24"/>
          <w:szCs w:val="24"/>
          <w:lang w:val="en-US"/>
        </w:rPr>
        <w:t xml:space="preserve"> only </w:t>
      </w:r>
      <w:r w:rsidR="002E5BD3">
        <w:rPr>
          <w:rFonts w:ascii="Times New Roman" w:hAnsi="Times New Roman"/>
          <w:sz w:val="24"/>
          <w:szCs w:val="24"/>
          <w:lang w:val="en-US"/>
        </w:rPr>
        <w:t>via</w:t>
      </w:r>
      <w:r w:rsidR="00927113">
        <w:rPr>
          <w:rFonts w:ascii="Times New Roman" w:hAnsi="Times New Roman"/>
          <w:sz w:val="24"/>
          <w:szCs w:val="24"/>
          <w:lang w:val="en-US"/>
        </w:rPr>
        <w:t xml:space="preserve"> </w:t>
      </w:r>
      <w:r w:rsidR="00241B97">
        <w:rPr>
          <w:rFonts w:ascii="Times New Roman" w:hAnsi="Times New Roman"/>
          <w:sz w:val="24"/>
          <w:szCs w:val="24"/>
          <w:lang w:val="en-US"/>
        </w:rPr>
        <w:t>the</w:t>
      </w:r>
      <w:r w:rsidR="00927113">
        <w:rPr>
          <w:rFonts w:ascii="Times New Roman" w:hAnsi="Times New Roman"/>
          <w:sz w:val="24"/>
          <w:szCs w:val="24"/>
          <w:lang w:val="en-US"/>
        </w:rPr>
        <w:t xml:space="preserve"> actual</w:t>
      </w:r>
      <w:r w:rsidR="00241B97">
        <w:rPr>
          <w:rFonts w:ascii="Times New Roman" w:hAnsi="Times New Roman"/>
          <w:sz w:val="24"/>
          <w:szCs w:val="24"/>
          <w:lang w:val="en-US"/>
        </w:rPr>
        <w:t xml:space="preserve"> tax</w:t>
      </w:r>
      <w:r w:rsidR="00927113">
        <w:rPr>
          <w:rFonts w:ascii="Times New Roman" w:hAnsi="Times New Roman"/>
          <w:sz w:val="24"/>
          <w:szCs w:val="24"/>
          <w:lang w:val="en-US"/>
        </w:rPr>
        <w:t xml:space="preserve"> </w:t>
      </w:r>
      <w:r w:rsidR="00F504E0">
        <w:rPr>
          <w:rFonts w:ascii="Times New Roman" w:hAnsi="Times New Roman"/>
          <w:sz w:val="24"/>
          <w:szCs w:val="24"/>
          <w:lang w:val="en-US"/>
        </w:rPr>
        <w:t>amount paid, which is measured</w:t>
      </w:r>
      <w:r w:rsidR="00241B97">
        <w:rPr>
          <w:rFonts w:ascii="Times New Roman" w:hAnsi="Times New Roman"/>
          <w:sz w:val="24"/>
          <w:szCs w:val="24"/>
          <w:lang w:val="en-US"/>
        </w:rPr>
        <w:t xml:space="preserve"> </w:t>
      </w:r>
      <w:r w:rsidR="00F504E0">
        <w:rPr>
          <w:rFonts w:ascii="Times New Roman" w:hAnsi="Times New Roman"/>
          <w:sz w:val="24"/>
          <w:szCs w:val="24"/>
          <w:lang w:val="en-US"/>
        </w:rPr>
        <w:t xml:space="preserve">with </w:t>
      </w:r>
      <w:r w:rsidR="00F12AF1">
        <w:rPr>
          <w:rFonts w:ascii="Times New Roman" w:hAnsi="Times New Roman"/>
          <w:sz w:val="24"/>
          <w:szCs w:val="24"/>
          <w:lang w:val="en-US"/>
        </w:rPr>
        <w:t>a variable of effective tax rate</w:t>
      </w:r>
      <w:r w:rsidR="00241B97">
        <w:rPr>
          <w:rFonts w:ascii="Times New Roman" w:hAnsi="Times New Roman"/>
          <w:sz w:val="24"/>
          <w:szCs w:val="24"/>
          <w:lang w:val="en-US"/>
        </w:rPr>
        <w:t xml:space="preserve"> </w:t>
      </w:r>
      <w:r w:rsidR="00F12AF1">
        <w:rPr>
          <w:rFonts w:ascii="Times New Roman" w:hAnsi="Times New Roman"/>
          <w:sz w:val="24"/>
          <w:szCs w:val="24"/>
          <w:lang w:val="en-US"/>
        </w:rPr>
        <w:t>(</w:t>
      </w:r>
      <w:r w:rsidR="00241B97">
        <w:rPr>
          <w:rFonts w:ascii="Times New Roman" w:hAnsi="Times New Roman"/>
          <w:sz w:val="24"/>
          <w:szCs w:val="24"/>
          <w:lang w:val="en-US"/>
        </w:rPr>
        <w:t>ETR</w:t>
      </w:r>
      <w:r w:rsidR="00F12AF1">
        <w:rPr>
          <w:rFonts w:ascii="Times New Roman" w:hAnsi="Times New Roman"/>
          <w:sz w:val="24"/>
          <w:szCs w:val="24"/>
          <w:lang w:val="en-US"/>
        </w:rPr>
        <w:t>)</w:t>
      </w:r>
      <w:r w:rsidR="00241B97">
        <w:rPr>
          <w:rFonts w:ascii="Times New Roman" w:hAnsi="Times New Roman"/>
          <w:sz w:val="24"/>
          <w:szCs w:val="24"/>
          <w:lang w:val="en-US"/>
        </w:rPr>
        <w:t xml:space="preserve">. </w:t>
      </w:r>
      <w:r>
        <w:rPr>
          <w:rFonts w:ascii="Times New Roman" w:hAnsi="Times New Roman"/>
          <w:sz w:val="24"/>
          <w:szCs w:val="24"/>
          <w:lang w:val="en-US"/>
        </w:rPr>
        <w:t xml:space="preserve"> </w:t>
      </w:r>
      <w:r w:rsidR="00957687">
        <w:rPr>
          <w:rFonts w:ascii="Times New Roman" w:hAnsi="Times New Roman"/>
          <w:sz w:val="24"/>
          <w:szCs w:val="24"/>
          <w:lang w:val="en-US"/>
        </w:rPr>
        <w:t xml:space="preserve">ETR </w:t>
      </w:r>
      <w:r w:rsidR="00F504E0">
        <w:rPr>
          <w:rFonts w:ascii="Times New Roman" w:hAnsi="Times New Roman"/>
          <w:sz w:val="24"/>
          <w:szCs w:val="24"/>
          <w:lang w:val="en-US"/>
        </w:rPr>
        <w:t>is essentially</w:t>
      </w:r>
      <w:r w:rsidR="00927113">
        <w:rPr>
          <w:rFonts w:ascii="Times New Roman" w:hAnsi="Times New Roman"/>
          <w:sz w:val="24"/>
          <w:szCs w:val="24"/>
          <w:lang w:val="en-US"/>
        </w:rPr>
        <w:t xml:space="preserve"> a firm </w:t>
      </w:r>
      <w:r w:rsidR="00927113">
        <w:rPr>
          <w:rFonts w:ascii="Times New Roman" w:hAnsi="Times New Roman"/>
          <w:sz w:val="24"/>
          <w:szCs w:val="24"/>
          <w:lang w:val="en-US"/>
        </w:rPr>
        <w:lastRenderedPageBreak/>
        <w:t xml:space="preserve">specific </w:t>
      </w:r>
      <w:r w:rsidR="00F12AF1">
        <w:rPr>
          <w:rFonts w:ascii="Times New Roman" w:hAnsi="Times New Roman"/>
          <w:sz w:val="24"/>
          <w:szCs w:val="24"/>
          <w:lang w:val="en-US"/>
        </w:rPr>
        <w:t>variable</w:t>
      </w:r>
      <w:r w:rsidR="00C60E5C">
        <w:rPr>
          <w:rFonts w:ascii="Times New Roman" w:hAnsi="Times New Roman"/>
          <w:sz w:val="24"/>
          <w:szCs w:val="24"/>
          <w:lang w:val="en-US"/>
        </w:rPr>
        <w:t>;</w:t>
      </w:r>
      <w:r w:rsidR="00927113">
        <w:rPr>
          <w:rFonts w:ascii="Times New Roman" w:hAnsi="Times New Roman"/>
          <w:sz w:val="24"/>
          <w:szCs w:val="24"/>
          <w:lang w:val="en-US"/>
        </w:rPr>
        <w:t xml:space="preserve"> so there are</w:t>
      </w:r>
      <w:r w:rsidR="00986E7B">
        <w:rPr>
          <w:rFonts w:ascii="Times New Roman" w:hAnsi="Times New Roman"/>
          <w:sz w:val="24"/>
          <w:szCs w:val="24"/>
          <w:lang w:val="en-US"/>
        </w:rPr>
        <w:t xml:space="preserve"> </w:t>
      </w:r>
      <w:r w:rsidR="002E5BD3">
        <w:rPr>
          <w:rFonts w:ascii="Times New Roman" w:hAnsi="Times New Roman"/>
          <w:sz w:val="24"/>
          <w:szCs w:val="24"/>
          <w:lang w:val="en-US"/>
        </w:rPr>
        <w:t>severe</w:t>
      </w:r>
      <w:r w:rsidR="00927113">
        <w:rPr>
          <w:rFonts w:ascii="Times New Roman" w:hAnsi="Times New Roman"/>
          <w:sz w:val="24"/>
          <w:szCs w:val="24"/>
          <w:lang w:val="en-US"/>
        </w:rPr>
        <w:t xml:space="preserve"> causal effects with </w:t>
      </w:r>
      <w:r w:rsidR="00F504E0">
        <w:rPr>
          <w:rFonts w:ascii="Times New Roman" w:hAnsi="Times New Roman"/>
          <w:sz w:val="24"/>
          <w:szCs w:val="24"/>
          <w:lang w:val="en-US"/>
        </w:rPr>
        <w:t>TFP</w:t>
      </w:r>
      <w:r w:rsidR="00927113">
        <w:rPr>
          <w:rFonts w:ascii="Times New Roman" w:hAnsi="Times New Roman"/>
          <w:sz w:val="24"/>
          <w:szCs w:val="24"/>
          <w:lang w:val="en-US"/>
        </w:rPr>
        <w:t>.</w:t>
      </w:r>
      <w:r w:rsidR="00241B97">
        <w:rPr>
          <w:rFonts w:ascii="Times New Roman" w:hAnsi="Times New Roman"/>
          <w:sz w:val="24"/>
          <w:szCs w:val="24"/>
          <w:lang w:val="en-US"/>
        </w:rPr>
        <w:t xml:space="preserve"> </w:t>
      </w:r>
      <w:r w:rsidR="00F504E0">
        <w:rPr>
          <w:rFonts w:ascii="Times New Roman" w:hAnsi="Times New Roman"/>
          <w:sz w:val="24"/>
          <w:szCs w:val="24"/>
          <w:lang w:val="en-US"/>
        </w:rPr>
        <w:t xml:space="preserve">To </w:t>
      </w:r>
      <w:r w:rsidR="00F504E0" w:rsidRPr="002779E7">
        <w:rPr>
          <w:rFonts w:ascii="Times New Roman" w:hAnsi="Times New Roman"/>
          <w:sz w:val="24"/>
          <w:szCs w:val="24"/>
          <w:lang w:val="en-US"/>
        </w:rPr>
        <w:t>interpret</w:t>
      </w:r>
      <w:r w:rsidR="00F504E0">
        <w:rPr>
          <w:rFonts w:ascii="Times New Roman" w:hAnsi="Times New Roman"/>
          <w:sz w:val="24"/>
          <w:szCs w:val="24"/>
          <w:lang w:val="en-US"/>
        </w:rPr>
        <w:t xml:space="preserve"> correctly</w:t>
      </w:r>
      <w:r w:rsidR="00B807C8" w:rsidRPr="002779E7">
        <w:rPr>
          <w:rFonts w:ascii="Times New Roman" w:hAnsi="Times New Roman"/>
          <w:sz w:val="24"/>
          <w:szCs w:val="24"/>
          <w:lang w:val="en-US"/>
        </w:rPr>
        <w:t xml:space="preserve"> </w:t>
      </w:r>
      <w:r w:rsidR="00927113" w:rsidRPr="002779E7">
        <w:rPr>
          <w:rFonts w:ascii="Times New Roman" w:hAnsi="Times New Roman"/>
          <w:sz w:val="24"/>
          <w:szCs w:val="24"/>
          <w:lang w:val="en-US"/>
        </w:rPr>
        <w:t>the ETR-TFP growth</w:t>
      </w:r>
      <w:r w:rsidR="00241B97" w:rsidRPr="002779E7">
        <w:rPr>
          <w:rFonts w:ascii="Times New Roman" w:hAnsi="Times New Roman"/>
          <w:sz w:val="24"/>
          <w:szCs w:val="24"/>
          <w:lang w:val="en-US"/>
        </w:rPr>
        <w:t xml:space="preserve"> relationship</w:t>
      </w:r>
      <w:r w:rsidR="00F504E0">
        <w:rPr>
          <w:rFonts w:ascii="Times New Roman" w:hAnsi="Times New Roman"/>
          <w:sz w:val="24"/>
          <w:szCs w:val="24"/>
          <w:lang w:val="en-US"/>
        </w:rPr>
        <w:t>,</w:t>
      </w:r>
      <w:r w:rsidR="00241B97" w:rsidRPr="002779E7">
        <w:rPr>
          <w:rFonts w:ascii="Times New Roman" w:hAnsi="Times New Roman"/>
          <w:sz w:val="24"/>
          <w:szCs w:val="24"/>
          <w:lang w:val="en-US"/>
        </w:rPr>
        <w:t xml:space="preserve"> </w:t>
      </w:r>
      <w:r w:rsidR="00B807C8" w:rsidRPr="00830B1D">
        <w:rPr>
          <w:rFonts w:ascii="Times New Roman" w:hAnsi="Times New Roman"/>
          <w:sz w:val="24"/>
          <w:szCs w:val="24"/>
          <w:lang w:val="en-US"/>
        </w:rPr>
        <w:t xml:space="preserve">we </w:t>
      </w:r>
      <w:r w:rsidR="00F12AF1">
        <w:rPr>
          <w:rFonts w:ascii="Times New Roman" w:hAnsi="Times New Roman"/>
          <w:sz w:val="24"/>
          <w:szCs w:val="24"/>
          <w:lang w:val="en-US"/>
        </w:rPr>
        <w:t>only focus on</w:t>
      </w:r>
      <w:r w:rsidR="0075716A" w:rsidRPr="00830B1D">
        <w:rPr>
          <w:rFonts w:ascii="Times New Roman" w:hAnsi="Times New Roman"/>
          <w:sz w:val="24"/>
          <w:szCs w:val="24"/>
          <w:lang w:val="en-US"/>
        </w:rPr>
        <w:t xml:space="preserve"> </w:t>
      </w:r>
      <w:r w:rsidR="00F504E0" w:rsidRPr="00830B1D">
        <w:rPr>
          <w:rFonts w:ascii="Times New Roman" w:hAnsi="Times New Roman"/>
          <w:sz w:val="24"/>
          <w:szCs w:val="24"/>
          <w:lang w:val="en-US"/>
        </w:rPr>
        <w:t xml:space="preserve">GMM </w:t>
      </w:r>
      <w:r w:rsidR="00F12AF1">
        <w:rPr>
          <w:rFonts w:ascii="Times New Roman" w:hAnsi="Times New Roman"/>
          <w:sz w:val="24"/>
          <w:szCs w:val="24"/>
          <w:lang w:val="en-US"/>
        </w:rPr>
        <w:t>estimates</w:t>
      </w:r>
      <w:r w:rsidR="0075716A" w:rsidRPr="00830B1D">
        <w:rPr>
          <w:rFonts w:ascii="Times New Roman" w:hAnsi="Times New Roman"/>
          <w:sz w:val="24"/>
          <w:szCs w:val="24"/>
          <w:lang w:val="en-US"/>
        </w:rPr>
        <w:t xml:space="preserve"> </w:t>
      </w:r>
      <w:r w:rsidR="00F12AF1">
        <w:rPr>
          <w:rFonts w:ascii="Times New Roman" w:hAnsi="Times New Roman"/>
          <w:sz w:val="24"/>
          <w:szCs w:val="24"/>
          <w:lang w:val="en-US"/>
        </w:rPr>
        <w:t>for [3.2</w:t>
      </w:r>
      <w:r w:rsidR="00F504E0" w:rsidRPr="002779E7">
        <w:rPr>
          <w:rFonts w:ascii="Times New Roman" w:hAnsi="Times New Roman"/>
          <w:sz w:val="24"/>
          <w:szCs w:val="24"/>
          <w:lang w:val="en-US"/>
        </w:rPr>
        <w:t>] a</w:t>
      </w:r>
      <w:r w:rsidR="00F12AF1">
        <w:rPr>
          <w:rFonts w:ascii="Times New Roman" w:hAnsi="Times New Roman"/>
          <w:sz w:val="24"/>
          <w:szCs w:val="24"/>
          <w:lang w:val="en-US"/>
        </w:rPr>
        <w:t>nd [3.3</w:t>
      </w:r>
      <w:r w:rsidR="00F504E0" w:rsidRPr="002779E7">
        <w:rPr>
          <w:rFonts w:ascii="Times New Roman" w:hAnsi="Times New Roman"/>
          <w:sz w:val="24"/>
          <w:szCs w:val="24"/>
          <w:lang w:val="en-US"/>
        </w:rPr>
        <w:t>]</w:t>
      </w:r>
      <w:r w:rsidR="00224ACD" w:rsidRPr="00830B1D">
        <w:rPr>
          <w:rFonts w:ascii="Times New Roman" w:hAnsi="Times New Roman"/>
          <w:sz w:val="24"/>
          <w:szCs w:val="24"/>
          <w:lang w:val="en-US"/>
        </w:rPr>
        <w:t>.</w:t>
      </w:r>
      <w:r w:rsidR="00224ACD">
        <w:rPr>
          <w:rFonts w:ascii="Times New Roman" w:hAnsi="Times New Roman"/>
          <w:sz w:val="24"/>
          <w:szCs w:val="24"/>
          <w:lang w:val="en-US"/>
        </w:rPr>
        <w:t xml:space="preserve"> </w:t>
      </w:r>
      <w:r w:rsidR="004400CA">
        <w:rPr>
          <w:rFonts w:ascii="Times New Roman" w:hAnsi="Times New Roman"/>
          <w:sz w:val="24"/>
          <w:szCs w:val="24"/>
          <w:lang w:val="en-US"/>
        </w:rPr>
        <w:t xml:space="preserve">Instrument identification tests at the bottom of Table 3 show evidence concerning the relevance of industry level </w:t>
      </w:r>
      <w:r w:rsidR="0026790F">
        <w:rPr>
          <w:rFonts w:ascii="Times New Roman" w:hAnsi="Times New Roman"/>
          <w:sz w:val="24"/>
          <w:szCs w:val="24"/>
          <w:lang w:val="en-US"/>
        </w:rPr>
        <w:t>averages</w:t>
      </w:r>
      <w:r w:rsidR="00C60E5C">
        <w:rPr>
          <w:rFonts w:ascii="Times New Roman" w:hAnsi="Times New Roman"/>
          <w:sz w:val="24"/>
          <w:szCs w:val="24"/>
          <w:lang w:val="en-US"/>
        </w:rPr>
        <w:t xml:space="preserve"> namely</w:t>
      </w:r>
      <w:r w:rsidR="0026790F">
        <w:rPr>
          <w:rFonts w:ascii="Times New Roman" w:hAnsi="Times New Roman"/>
          <w:sz w:val="24"/>
          <w:szCs w:val="24"/>
          <w:lang w:val="en-US"/>
        </w:rPr>
        <w:t xml:space="preserve"> industry profit, equity and TFP</w:t>
      </w:r>
      <w:r w:rsidR="004400CA">
        <w:rPr>
          <w:rFonts w:ascii="Times New Roman" w:hAnsi="Times New Roman"/>
          <w:sz w:val="24"/>
          <w:szCs w:val="24"/>
          <w:lang w:val="en-US"/>
        </w:rPr>
        <w:t xml:space="preserve"> as instruments.</w:t>
      </w:r>
    </w:p>
    <w:p w:rsidR="00470F74" w:rsidRDefault="004400CA" w:rsidP="002E5BD3">
      <w:pPr>
        <w:pStyle w:val="ListParagraph"/>
        <w:ind w:left="0" w:firstLine="426"/>
        <w:rPr>
          <w:rFonts w:ascii="Times New Roman" w:hAnsi="Times New Roman"/>
          <w:sz w:val="24"/>
          <w:szCs w:val="24"/>
          <w:lang w:val="en-US"/>
        </w:rPr>
      </w:pPr>
      <w:r>
        <w:rPr>
          <w:rFonts w:ascii="Times New Roman" w:hAnsi="Times New Roman"/>
          <w:sz w:val="24"/>
          <w:szCs w:val="24"/>
          <w:lang w:val="en-US"/>
        </w:rPr>
        <w:t xml:space="preserve"> </w:t>
      </w:r>
      <w:r w:rsidR="008C3169">
        <w:rPr>
          <w:rFonts w:ascii="Times New Roman" w:hAnsi="Times New Roman"/>
          <w:sz w:val="24"/>
          <w:szCs w:val="24"/>
          <w:lang w:val="en-US"/>
        </w:rPr>
        <w:t>Using</w:t>
      </w:r>
      <w:r w:rsidR="003764BD">
        <w:rPr>
          <w:rFonts w:ascii="Times New Roman" w:hAnsi="Times New Roman"/>
          <w:sz w:val="24"/>
          <w:szCs w:val="24"/>
          <w:lang w:val="en-US"/>
        </w:rPr>
        <w:t xml:space="preserve"> ETR</w:t>
      </w:r>
      <w:r w:rsidR="008C3169">
        <w:rPr>
          <w:rFonts w:ascii="Times New Roman" w:hAnsi="Times New Roman"/>
          <w:sz w:val="24"/>
          <w:szCs w:val="24"/>
          <w:lang w:val="en-US"/>
        </w:rPr>
        <w:t xml:space="preserve"> as a tax variable</w:t>
      </w:r>
      <w:r w:rsidR="003764BD">
        <w:rPr>
          <w:rFonts w:ascii="Times New Roman" w:hAnsi="Times New Roman"/>
          <w:sz w:val="24"/>
          <w:szCs w:val="24"/>
          <w:lang w:val="en-US"/>
        </w:rPr>
        <w:t xml:space="preserve"> produces very similar </w:t>
      </w:r>
      <w:r w:rsidR="00224ACD">
        <w:rPr>
          <w:rFonts w:ascii="Times New Roman" w:hAnsi="Times New Roman"/>
          <w:sz w:val="24"/>
          <w:szCs w:val="24"/>
          <w:lang w:val="en-US"/>
        </w:rPr>
        <w:t>results</w:t>
      </w:r>
      <w:r w:rsidR="003764BD">
        <w:rPr>
          <w:rFonts w:ascii="Times New Roman" w:hAnsi="Times New Roman"/>
          <w:sz w:val="24"/>
          <w:szCs w:val="24"/>
          <w:lang w:val="en-US"/>
        </w:rPr>
        <w:t xml:space="preserve"> </w:t>
      </w:r>
      <w:r w:rsidR="008302B9">
        <w:rPr>
          <w:rFonts w:ascii="Times New Roman" w:hAnsi="Times New Roman"/>
          <w:sz w:val="24"/>
          <w:szCs w:val="24"/>
          <w:lang w:val="en-US"/>
        </w:rPr>
        <w:t xml:space="preserve">with </w:t>
      </w:r>
      <w:r w:rsidR="008302B9" w:rsidRPr="008302B9">
        <w:rPr>
          <w:rFonts w:ascii="Times New Roman" w:hAnsi="Times New Roman"/>
          <w:i/>
          <w:sz w:val="24"/>
          <w:szCs w:val="24"/>
          <w:lang w:val="en-US"/>
        </w:rPr>
        <w:t>Tax</w:t>
      </w:r>
      <w:r w:rsidR="0026790F">
        <w:rPr>
          <w:rFonts w:ascii="Times New Roman" w:hAnsi="Times New Roman"/>
          <w:i/>
          <w:sz w:val="24"/>
          <w:szCs w:val="24"/>
          <w:vertAlign w:val="subscript"/>
          <w:lang w:val="en-US"/>
        </w:rPr>
        <w:t>it-1</w:t>
      </w:r>
      <w:r w:rsidR="008302B9">
        <w:rPr>
          <w:rFonts w:ascii="Times New Roman" w:hAnsi="Times New Roman"/>
          <w:sz w:val="24"/>
          <w:szCs w:val="24"/>
          <w:lang w:val="en-US"/>
        </w:rPr>
        <w:t xml:space="preserve"> </w:t>
      </w:r>
      <w:r w:rsidR="005D306D">
        <w:rPr>
          <w:rFonts w:ascii="Times New Roman" w:hAnsi="Times New Roman"/>
          <w:sz w:val="24"/>
          <w:szCs w:val="24"/>
          <w:lang w:val="en-US"/>
        </w:rPr>
        <w:t>in Table</w:t>
      </w:r>
      <w:r w:rsidR="008302B9">
        <w:rPr>
          <w:rFonts w:ascii="Times New Roman" w:hAnsi="Times New Roman"/>
          <w:sz w:val="24"/>
          <w:szCs w:val="24"/>
          <w:lang w:val="en-US"/>
        </w:rPr>
        <w:t xml:space="preserve"> 2</w:t>
      </w:r>
      <w:r w:rsidR="005D306D">
        <w:rPr>
          <w:rFonts w:ascii="Times New Roman" w:hAnsi="Times New Roman"/>
          <w:sz w:val="24"/>
          <w:szCs w:val="24"/>
          <w:lang w:val="en-US"/>
        </w:rPr>
        <w:t>.</w:t>
      </w:r>
      <w:r w:rsidR="002779E7">
        <w:rPr>
          <w:rFonts w:ascii="Times New Roman" w:hAnsi="Times New Roman"/>
          <w:sz w:val="24"/>
          <w:szCs w:val="24"/>
          <w:vertAlign w:val="subscript"/>
          <w:lang w:val="en-US"/>
        </w:rPr>
        <w:t xml:space="preserve"> </w:t>
      </w:r>
      <w:r w:rsidR="00830B1D">
        <w:rPr>
          <w:rFonts w:ascii="Times New Roman" w:hAnsi="Times New Roman"/>
          <w:sz w:val="24"/>
          <w:szCs w:val="24"/>
          <w:lang w:val="en-US"/>
        </w:rPr>
        <w:t xml:space="preserve">The </w:t>
      </w:r>
      <w:r w:rsidR="005D306D">
        <w:rPr>
          <w:rFonts w:ascii="Times New Roman" w:hAnsi="Times New Roman"/>
          <w:sz w:val="24"/>
          <w:szCs w:val="24"/>
          <w:lang w:val="en-US"/>
        </w:rPr>
        <w:t>associated</w:t>
      </w:r>
      <w:r w:rsidR="00830B1D">
        <w:rPr>
          <w:rFonts w:ascii="Times New Roman" w:hAnsi="Times New Roman"/>
          <w:sz w:val="24"/>
          <w:szCs w:val="24"/>
          <w:lang w:val="en-US"/>
        </w:rPr>
        <w:t xml:space="preserve"> interaction </w:t>
      </w:r>
      <w:r w:rsidR="005828F0">
        <w:rPr>
          <w:rFonts w:ascii="Times New Roman" w:hAnsi="Times New Roman"/>
          <w:sz w:val="24"/>
          <w:szCs w:val="24"/>
          <w:lang w:val="en-US"/>
        </w:rPr>
        <w:t>terms of</w:t>
      </w:r>
      <w:r w:rsidR="00830B1D">
        <w:rPr>
          <w:rFonts w:ascii="Times New Roman" w:hAnsi="Times New Roman"/>
          <w:sz w:val="24"/>
          <w:szCs w:val="24"/>
          <w:lang w:val="en-US"/>
        </w:rPr>
        <w:t xml:space="preserve"> </w:t>
      </w:r>
      <w:r w:rsidR="00830B1D" w:rsidRPr="0026790F">
        <w:rPr>
          <w:rFonts w:ascii="Times New Roman" w:hAnsi="Times New Roman"/>
          <w:i/>
          <w:sz w:val="24"/>
          <w:szCs w:val="24"/>
          <w:lang w:val="en-US"/>
        </w:rPr>
        <w:t>ETR</w:t>
      </w:r>
      <w:r w:rsidR="0026790F" w:rsidRPr="0026790F">
        <w:rPr>
          <w:rFonts w:ascii="Times New Roman" w:hAnsi="Times New Roman"/>
          <w:i/>
          <w:sz w:val="24"/>
          <w:szCs w:val="24"/>
          <w:vertAlign w:val="subscript"/>
          <w:lang w:val="en-US"/>
        </w:rPr>
        <w:t>it</w:t>
      </w:r>
      <w:r w:rsidR="00830B1D" w:rsidRPr="0026790F">
        <w:rPr>
          <w:rFonts w:ascii="Times New Roman" w:hAnsi="Times New Roman"/>
          <w:i/>
          <w:sz w:val="24"/>
          <w:szCs w:val="24"/>
          <w:vertAlign w:val="subscript"/>
          <w:lang w:val="en-US"/>
        </w:rPr>
        <w:t>-</w:t>
      </w:r>
      <w:r w:rsidR="00830B1D">
        <w:rPr>
          <w:rFonts w:ascii="Times New Roman" w:hAnsi="Times New Roman"/>
          <w:sz w:val="24"/>
          <w:szCs w:val="24"/>
          <w:vertAlign w:val="subscript"/>
          <w:lang w:val="en-US"/>
        </w:rPr>
        <w:t>1</w:t>
      </w:r>
      <w:r w:rsidR="00830B1D">
        <w:rPr>
          <w:rFonts w:ascii="Times New Roman" w:hAnsi="Times New Roman"/>
          <w:sz w:val="24"/>
          <w:szCs w:val="24"/>
          <w:lang w:val="en-US"/>
        </w:rPr>
        <w:t xml:space="preserve"> with </w:t>
      </w:r>
      <w:r w:rsidR="0026790F" w:rsidRPr="000133C7">
        <w:rPr>
          <w:rFonts w:asciiTheme="majorBidi" w:hAnsiTheme="majorBidi" w:cstheme="majorBidi"/>
          <w:i/>
          <w:sz w:val="24"/>
          <w:szCs w:val="24"/>
          <w:lang w:val="en-US"/>
        </w:rPr>
        <w:t>GAP</w:t>
      </w:r>
      <w:r w:rsidR="0026790F">
        <w:rPr>
          <w:rFonts w:asciiTheme="majorBidi" w:hAnsiTheme="majorBidi" w:cstheme="majorBidi"/>
          <w:i/>
          <w:sz w:val="24"/>
          <w:szCs w:val="24"/>
          <w:vertAlign w:val="subscript"/>
          <w:lang w:val="en-US"/>
        </w:rPr>
        <w:t>it-1</w:t>
      </w:r>
      <w:r w:rsidR="00830B1D">
        <w:rPr>
          <w:rFonts w:ascii="Times New Roman" w:hAnsi="Times New Roman"/>
          <w:sz w:val="24"/>
          <w:szCs w:val="24"/>
          <w:lang w:val="en-US"/>
        </w:rPr>
        <w:t xml:space="preserve">, </w:t>
      </w:r>
      <w:r w:rsidR="00830B1D" w:rsidRPr="008302B9">
        <w:rPr>
          <w:rFonts w:ascii="Times New Roman" w:hAnsi="Times New Roman"/>
          <w:i/>
          <w:sz w:val="24"/>
          <w:szCs w:val="24"/>
          <w:lang w:val="en-US"/>
        </w:rPr>
        <w:t>R</w:t>
      </w:r>
      <w:r w:rsidR="0026790F">
        <w:rPr>
          <w:rFonts w:ascii="Times New Roman" w:hAnsi="Times New Roman"/>
          <w:i/>
          <w:sz w:val="24"/>
          <w:szCs w:val="24"/>
          <w:vertAlign w:val="subscript"/>
          <w:lang w:val="en-US"/>
        </w:rPr>
        <w:t>i</w:t>
      </w:r>
      <w:r w:rsidR="00830B1D">
        <w:rPr>
          <w:rFonts w:ascii="Times New Roman" w:hAnsi="Times New Roman"/>
          <w:sz w:val="24"/>
          <w:szCs w:val="24"/>
          <w:lang w:val="en-US"/>
        </w:rPr>
        <w:t xml:space="preserve"> and </w:t>
      </w:r>
      <w:r w:rsidR="00830B1D" w:rsidRPr="008302B9">
        <w:rPr>
          <w:rFonts w:ascii="Times New Roman" w:hAnsi="Times New Roman"/>
          <w:i/>
          <w:sz w:val="24"/>
          <w:szCs w:val="24"/>
          <w:lang w:val="en-US"/>
        </w:rPr>
        <w:t>E</w:t>
      </w:r>
      <w:r w:rsidR="0026790F">
        <w:rPr>
          <w:rFonts w:ascii="Times New Roman" w:hAnsi="Times New Roman"/>
          <w:i/>
          <w:sz w:val="24"/>
          <w:szCs w:val="24"/>
          <w:vertAlign w:val="subscript"/>
          <w:lang w:val="en-US"/>
        </w:rPr>
        <w:t>i</w:t>
      </w:r>
      <w:r w:rsidR="005828F0">
        <w:rPr>
          <w:rFonts w:ascii="Times New Roman" w:hAnsi="Times New Roman"/>
          <w:sz w:val="24"/>
          <w:szCs w:val="24"/>
          <w:lang w:val="en-US"/>
        </w:rPr>
        <w:t xml:space="preserve"> are </w:t>
      </w:r>
      <w:r w:rsidR="008C3169">
        <w:rPr>
          <w:rFonts w:ascii="Times New Roman" w:hAnsi="Times New Roman"/>
          <w:sz w:val="24"/>
          <w:szCs w:val="24"/>
          <w:lang w:val="en-US"/>
        </w:rPr>
        <w:t xml:space="preserve">statistically </w:t>
      </w:r>
      <w:r w:rsidR="005828F0">
        <w:rPr>
          <w:rFonts w:ascii="Times New Roman" w:hAnsi="Times New Roman"/>
          <w:sz w:val="24"/>
          <w:szCs w:val="24"/>
          <w:lang w:val="en-US"/>
        </w:rPr>
        <w:t>insignificant</w:t>
      </w:r>
      <w:r w:rsidR="005D306D">
        <w:rPr>
          <w:rFonts w:ascii="Times New Roman" w:hAnsi="Times New Roman"/>
          <w:sz w:val="24"/>
          <w:szCs w:val="24"/>
          <w:lang w:val="en-US"/>
        </w:rPr>
        <w:t xml:space="preserve">. Finally, </w:t>
      </w:r>
      <w:r w:rsidR="00830B1D">
        <w:rPr>
          <w:rFonts w:ascii="Times New Roman" w:hAnsi="Times New Roman"/>
          <w:sz w:val="24"/>
          <w:szCs w:val="24"/>
          <w:lang w:val="en-US"/>
        </w:rPr>
        <w:t>we find again that R&amp;D and export active firms tend to have higher rates of TFP growth.</w:t>
      </w:r>
      <w:r w:rsidR="005828F0">
        <w:rPr>
          <w:rFonts w:ascii="Times New Roman" w:hAnsi="Times New Roman"/>
          <w:sz w:val="24"/>
          <w:szCs w:val="24"/>
          <w:lang w:val="en-US"/>
        </w:rPr>
        <w:t xml:space="preserve"> </w:t>
      </w:r>
      <w:r w:rsidR="005D306D">
        <w:rPr>
          <w:rFonts w:ascii="Times New Roman" w:hAnsi="Times New Roman"/>
          <w:sz w:val="24"/>
          <w:szCs w:val="24"/>
          <w:lang w:val="en-US"/>
        </w:rPr>
        <w:t xml:space="preserve">Nonetheless, </w:t>
      </w:r>
      <w:r w:rsidR="00830B1D">
        <w:rPr>
          <w:rFonts w:ascii="Times New Roman" w:hAnsi="Times New Roman"/>
          <w:sz w:val="24"/>
          <w:szCs w:val="24"/>
          <w:lang w:val="en-US"/>
        </w:rPr>
        <w:t xml:space="preserve">Table 3 </w:t>
      </w:r>
      <w:r w:rsidR="00B74CB3">
        <w:rPr>
          <w:rFonts w:ascii="Times New Roman" w:hAnsi="Times New Roman"/>
          <w:sz w:val="24"/>
          <w:szCs w:val="24"/>
          <w:lang w:val="en-US"/>
        </w:rPr>
        <w:t>show</w:t>
      </w:r>
      <w:r w:rsidR="00830B1D">
        <w:rPr>
          <w:rFonts w:ascii="Times New Roman" w:hAnsi="Times New Roman"/>
          <w:sz w:val="24"/>
          <w:szCs w:val="24"/>
          <w:lang w:val="en-US"/>
        </w:rPr>
        <w:t>s</w:t>
      </w:r>
      <w:r w:rsidR="00620A4A">
        <w:rPr>
          <w:rFonts w:ascii="Times New Roman" w:hAnsi="Times New Roman"/>
          <w:sz w:val="24"/>
          <w:szCs w:val="24"/>
          <w:lang w:val="en-US"/>
        </w:rPr>
        <w:t xml:space="preserve"> neither</w:t>
      </w:r>
      <w:r w:rsidR="00B74CB3">
        <w:rPr>
          <w:rFonts w:ascii="Times New Roman" w:hAnsi="Times New Roman"/>
          <w:sz w:val="24"/>
          <w:szCs w:val="24"/>
          <w:lang w:val="en-US"/>
        </w:rPr>
        <w:t xml:space="preserve"> </w:t>
      </w:r>
      <w:r w:rsidR="005828F0">
        <w:rPr>
          <w:rFonts w:ascii="Times New Roman" w:hAnsi="Times New Roman"/>
          <w:sz w:val="24"/>
          <w:szCs w:val="24"/>
          <w:lang w:val="en-US"/>
        </w:rPr>
        <w:t>evidence</w:t>
      </w:r>
      <w:r w:rsidR="00B74CB3">
        <w:rPr>
          <w:rFonts w:ascii="Times New Roman" w:hAnsi="Times New Roman"/>
          <w:sz w:val="24"/>
          <w:szCs w:val="24"/>
          <w:lang w:val="en-US"/>
        </w:rPr>
        <w:t xml:space="preserve"> that ETR affects </w:t>
      </w:r>
      <w:r w:rsidR="005828F0">
        <w:rPr>
          <w:rFonts w:ascii="Times New Roman" w:hAnsi="Times New Roman"/>
          <w:sz w:val="24"/>
          <w:szCs w:val="24"/>
          <w:lang w:val="en-US"/>
        </w:rPr>
        <w:t>differently</w:t>
      </w:r>
      <w:r w:rsidR="00B74CB3">
        <w:rPr>
          <w:rFonts w:ascii="Times New Roman" w:hAnsi="Times New Roman"/>
          <w:sz w:val="24"/>
          <w:szCs w:val="24"/>
          <w:lang w:val="en-US"/>
        </w:rPr>
        <w:t xml:space="preserve"> the groups of R&amp;</w:t>
      </w:r>
      <w:r w:rsidR="00224ACD">
        <w:rPr>
          <w:rFonts w:ascii="Times New Roman" w:hAnsi="Times New Roman"/>
          <w:sz w:val="24"/>
          <w:szCs w:val="24"/>
          <w:lang w:val="en-US"/>
        </w:rPr>
        <w:t xml:space="preserve">D </w:t>
      </w:r>
      <w:r w:rsidR="005828F0">
        <w:rPr>
          <w:rFonts w:ascii="Times New Roman" w:hAnsi="Times New Roman"/>
          <w:sz w:val="24"/>
          <w:szCs w:val="24"/>
          <w:lang w:val="en-US"/>
        </w:rPr>
        <w:t xml:space="preserve">and exporting firms </w:t>
      </w:r>
      <w:r w:rsidR="00620A4A">
        <w:rPr>
          <w:rFonts w:ascii="Times New Roman" w:hAnsi="Times New Roman"/>
          <w:sz w:val="24"/>
          <w:szCs w:val="24"/>
          <w:lang w:val="en-US"/>
        </w:rPr>
        <w:t xml:space="preserve">nor </w:t>
      </w:r>
      <w:r w:rsidR="005828F0">
        <w:rPr>
          <w:rFonts w:ascii="Times New Roman" w:hAnsi="Times New Roman"/>
          <w:sz w:val="24"/>
          <w:szCs w:val="24"/>
          <w:lang w:val="en-US"/>
        </w:rPr>
        <w:t>their</w:t>
      </w:r>
      <w:r w:rsidR="00620A4A">
        <w:rPr>
          <w:rFonts w:ascii="Times New Roman" w:hAnsi="Times New Roman"/>
          <w:sz w:val="24"/>
          <w:szCs w:val="24"/>
          <w:lang w:val="en-US"/>
        </w:rPr>
        <w:t xml:space="preserve"> </w:t>
      </w:r>
      <w:r w:rsidR="005828F0">
        <w:rPr>
          <w:rFonts w:ascii="Times New Roman" w:hAnsi="Times New Roman"/>
          <w:sz w:val="24"/>
          <w:szCs w:val="24"/>
          <w:lang w:val="en-US"/>
        </w:rPr>
        <w:t>convergence</w:t>
      </w:r>
      <w:r w:rsidR="00620A4A">
        <w:rPr>
          <w:rFonts w:ascii="Times New Roman" w:hAnsi="Times New Roman"/>
          <w:sz w:val="24"/>
          <w:szCs w:val="24"/>
          <w:lang w:val="en-US"/>
        </w:rPr>
        <w:t xml:space="preserve"> towards</w:t>
      </w:r>
      <w:r w:rsidR="005828F0">
        <w:rPr>
          <w:rFonts w:ascii="Times New Roman" w:hAnsi="Times New Roman"/>
          <w:sz w:val="24"/>
          <w:szCs w:val="24"/>
          <w:lang w:val="en-US"/>
        </w:rPr>
        <w:t xml:space="preserve"> </w:t>
      </w:r>
      <w:r w:rsidR="00620A4A">
        <w:rPr>
          <w:rFonts w:ascii="Times New Roman" w:hAnsi="Times New Roman"/>
          <w:sz w:val="24"/>
          <w:szCs w:val="24"/>
          <w:lang w:val="en-US"/>
        </w:rPr>
        <w:t>the frontier.</w:t>
      </w:r>
      <w:r w:rsidR="00F14774">
        <w:rPr>
          <w:rFonts w:ascii="Times New Roman" w:hAnsi="Times New Roman"/>
          <w:sz w:val="24"/>
          <w:szCs w:val="24"/>
          <w:lang w:val="en-US"/>
        </w:rPr>
        <w:t xml:space="preserve"> </w:t>
      </w:r>
      <w:r w:rsidR="00224ACD">
        <w:rPr>
          <w:rFonts w:ascii="Times New Roman" w:hAnsi="Times New Roman"/>
          <w:sz w:val="24"/>
          <w:szCs w:val="24"/>
          <w:lang w:val="en-US"/>
        </w:rPr>
        <w:t>Results</w:t>
      </w:r>
      <w:r w:rsidR="00F14774">
        <w:rPr>
          <w:rFonts w:ascii="Times New Roman" w:hAnsi="Times New Roman"/>
          <w:sz w:val="24"/>
          <w:szCs w:val="24"/>
          <w:lang w:val="en-US"/>
        </w:rPr>
        <w:t xml:space="preserve"> </w:t>
      </w:r>
      <w:r w:rsidR="00425CA5">
        <w:rPr>
          <w:rFonts w:ascii="Times New Roman" w:hAnsi="Times New Roman"/>
          <w:sz w:val="24"/>
          <w:szCs w:val="24"/>
          <w:lang w:val="en-US"/>
        </w:rPr>
        <w:t>in</w:t>
      </w:r>
      <w:r w:rsidR="00F14774">
        <w:rPr>
          <w:rFonts w:ascii="Times New Roman" w:hAnsi="Times New Roman"/>
          <w:sz w:val="24"/>
          <w:szCs w:val="24"/>
          <w:lang w:val="en-US"/>
        </w:rPr>
        <w:t xml:space="preserve"> Table 3 </w:t>
      </w:r>
      <w:r w:rsidR="00425CA5">
        <w:rPr>
          <w:rFonts w:ascii="Times New Roman" w:hAnsi="Times New Roman"/>
          <w:sz w:val="24"/>
          <w:szCs w:val="24"/>
          <w:lang w:val="en-US"/>
        </w:rPr>
        <w:t>indicate that the distortionary character of corporate tax on productivity</w:t>
      </w:r>
      <w:r w:rsidR="005828F0">
        <w:rPr>
          <w:rFonts w:ascii="Times New Roman" w:hAnsi="Times New Roman"/>
          <w:sz w:val="24"/>
          <w:szCs w:val="24"/>
          <w:lang w:val="en-US"/>
        </w:rPr>
        <w:t xml:space="preserve"> is existent for all firms (not only for the more dynamic ones) and this </w:t>
      </w:r>
      <w:r w:rsidR="00470F74">
        <w:rPr>
          <w:rFonts w:ascii="Times New Roman" w:hAnsi="Times New Roman"/>
          <w:sz w:val="24"/>
          <w:szCs w:val="24"/>
          <w:lang w:val="en-US"/>
        </w:rPr>
        <w:t>mechanism</w:t>
      </w:r>
      <w:r w:rsidR="005828F0">
        <w:rPr>
          <w:rFonts w:ascii="Times New Roman" w:hAnsi="Times New Roman"/>
          <w:sz w:val="24"/>
          <w:szCs w:val="24"/>
          <w:lang w:val="en-US"/>
        </w:rPr>
        <w:t xml:space="preserve"> takes place via l</w:t>
      </w:r>
      <w:r w:rsidR="00F14774">
        <w:rPr>
          <w:rFonts w:ascii="Times New Roman" w:hAnsi="Times New Roman"/>
          <w:sz w:val="24"/>
          <w:szCs w:val="24"/>
          <w:lang w:val="en-US"/>
        </w:rPr>
        <w:t>ower</w:t>
      </w:r>
      <w:r w:rsidR="005828F0">
        <w:rPr>
          <w:rFonts w:ascii="Times New Roman" w:hAnsi="Times New Roman"/>
          <w:sz w:val="24"/>
          <w:szCs w:val="24"/>
          <w:lang w:val="en-US"/>
        </w:rPr>
        <w:t>ing the</w:t>
      </w:r>
      <w:r w:rsidR="00F14774">
        <w:rPr>
          <w:rFonts w:ascii="Times New Roman" w:hAnsi="Times New Roman"/>
          <w:sz w:val="24"/>
          <w:szCs w:val="24"/>
          <w:lang w:val="en-US"/>
        </w:rPr>
        <w:t xml:space="preserve"> levels of investment in projects that can boost productivity.</w:t>
      </w:r>
      <w:r w:rsidR="00425CA5">
        <w:rPr>
          <w:rFonts w:ascii="Times New Roman" w:hAnsi="Times New Roman"/>
          <w:sz w:val="24"/>
          <w:szCs w:val="24"/>
          <w:lang w:val="en-US"/>
        </w:rPr>
        <w:t xml:space="preserve"> </w:t>
      </w:r>
    </w:p>
    <w:p w:rsidR="00470F74" w:rsidRDefault="00470F74" w:rsidP="00470F74">
      <w:pPr>
        <w:pStyle w:val="ListParagraph"/>
        <w:ind w:left="0" w:firstLine="426"/>
        <w:rPr>
          <w:rFonts w:ascii="Times New Roman" w:hAnsi="Times New Roman"/>
          <w:sz w:val="24"/>
          <w:szCs w:val="24"/>
          <w:lang w:val="en-US"/>
        </w:rPr>
      </w:pPr>
    </w:p>
    <w:p w:rsidR="00710CF7" w:rsidRDefault="00710CF7" w:rsidP="00470F74">
      <w:pPr>
        <w:pStyle w:val="ListParagraph"/>
        <w:ind w:left="0" w:firstLine="426"/>
        <w:rPr>
          <w:rFonts w:ascii="Times New Roman" w:hAnsi="Times New Roman"/>
          <w:sz w:val="24"/>
          <w:szCs w:val="24"/>
          <w:lang w:val="en-US"/>
        </w:rPr>
      </w:pPr>
    </w:p>
    <w:p w:rsidR="00710CF7" w:rsidRDefault="00710CF7" w:rsidP="00470F74">
      <w:pPr>
        <w:pStyle w:val="ListParagraph"/>
        <w:ind w:left="0" w:firstLine="426"/>
        <w:rPr>
          <w:rFonts w:ascii="Times New Roman" w:hAnsi="Times New Roman"/>
          <w:sz w:val="24"/>
          <w:szCs w:val="24"/>
          <w:lang w:val="en-US"/>
        </w:rPr>
      </w:pPr>
    </w:p>
    <w:p w:rsidR="00710CF7" w:rsidRDefault="00710CF7" w:rsidP="00470F74">
      <w:pPr>
        <w:pStyle w:val="ListParagraph"/>
        <w:ind w:left="0" w:firstLine="426"/>
        <w:rPr>
          <w:rFonts w:ascii="Times New Roman" w:hAnsi="Times New Roman"/>
          <w:sz w:val="24"/>
          <w:szCs w:val="24"/>
          <w:lang w:val="en-US"/>
        </w:rPr>
      </w:pPr>
    </w:p>
    <w:p w:rsidR="00710CF7" w:rsidRDefault="00710CF7" w:rsidP="00470F74">
      <w:pPr>
        <w:pStyle w:val="ListParagraph"/>
        <w:ind w:left="0" w:firstLine="426"/>
        <w:rPr>
          <w:rFonts w:ascii="Times New Roman" w:hAnsi="Times New Roman"/>
          <w:sz w:val="24"/>
          <w:szCs w:val="24"/>
          <w:lang w:val="en-US"/>
        </w:rPr>
      </w:pPr>
    </w:p>
    <w:p w:rsidR="00710CF7" w:rsidRDefault="00710CF7" w:rsidP="00470F74">
      <w:pPr>
        <w:pStyle w:val="ListParagraph"/>
        <w:ind w:left="0" w:firstLine="426"/>
        <w:rPr>
          <w:rFonts w:ascii="Times New Roman" w:hAnsi="Times New Roman"/>
          <w:sz w:val="24"/>
          <w:szCs w:val="24"/>
          <w:lang w:val="en-US"/>
        </w:rPr>
      </w:pPr>
    </w:p>
    <w:p w:rsidR="00710CF7" w:rsidRDefault="00710CF7" w:rsidP="00470F74">
      <w:pPr>
        <w:pStyle w:val="ListParagraph"/>
        <w:ind w:left="0" w:firstLine="426"/>
        <w:rPr>
          <w:rFonts w:ascii="Times New Roman" w:hAnsi="Times New Roman"/>
          <w:sz w:val="24"/>
          <w:szCs w:val="24"/>
          <w:lang w:val="en-US"/>
        </w:rPr>
      </w:pPr>
    </w:p>
    <w:p w:rsidR="00710CF7" w:rsidRDefault="00710CF7" w:rsidP="00470F74">
      <w:pPr>
        <w:pStyle w:val="ListParagraph"/>
        <w:ind w:left="0" w:firstLine="426"/>
        <w:rPr>
          <w:rFonts w:ascii="Times New Roman" w:hAnsi="Times New Roman"/>
          <w:sz w:val="24"/>
          <w:szCs w:val="24"/>
          <w:lang w:val="en-US"/>
        </w:rPr>
      </w:pPr>
    </w:p>
    <w:p w:rsidR="005D306D" w:rsidRDefault="005D306D" w:rsidP="00470F74">
      <w:pPr>
        <w:pStyle w:val="ListParagraph"/>
        <w:ind w:left="0" w:firstLine="426"/>
        <w:rPr>
          <w:rFonts w:ascii="Times New Roman" w:hAnsi="Times New Roman"/>
          <w:sz w:val="24"/>
          <w:szCs w:val="24"/>
          <w:lang w:val="en-US"/>
        </w:rPr>
      </w:pPr>
    </w:p>
    <w:p w:rsidR="005D306D" w:rsidRDefault="005D306D" w:rsidP="00470F74">
      <w:pPr>
        <w:pStyle w:val="ListParagraph"/>
        <w:ind w:left="0" w:firstLine="426"/>
        <w:rPr>
          <w:rFonts w:ascii="Times New Roman" w:hAnsi="Times New Roman"/>
          <w:sz w:val="24"/>
          <w:szCs w:val="24"/>
          <w:lang w:val="en-US"/>
        </w:rPr>
      </w:pPr>
    </w:p>
    <w:p w:rsidR="005D306D" w:rsidRDefault="005D306D" w:rsidP="00470F74">
      <w:pPr>
        <w:pStyle w:val="ListParagraph"/>
        <w:ind w:left="0" w:firstLine="426"/>
        <w:rPr>
          <w:rFonts w:ascii="Times New Roman" w:hAnsi="Times New Roman"/>
          <w:sz w:val="24"/>
          <w:szCs w:val="24"/>
          <w:lang w:val="en-US"/>
        </w:rPr>
      </w:pPr>
    </w:p>
    <w:p w:rsidR="005D306D" w:rsidRDefault="005D306D" w:rsidP="00470F74">
      <w:pPr>
        <w:pStyle w:val="ListParagraph"/>
        <w:ind w:left="0" w:firstLine="426"/>
        <w:rPr>
          <w:rFonts w:ascii="Times New Roman" w:hAnsi="Times New Roman"/>
          <w:sz w:val="24"/>
          <w:szCs w:val="24"/>
          <w:lang w:val="en-US"/>
        </w:rPr>
      </w:pPr>
    </w:p>
    <w:p w:rsidR="005D306D" w:rsidRDefault="005D306D" w:rsidP="00470F74">
      <w:pPr>
        <w:pStyle w:val="ListParagraph"/>
        <w:ind w:left="0" w:firstLine="426"/>
        <w:rPr>
          <w:rFonts w:ascii="Times New Roman" w:hAnsi="Times New Roman"/>
          <w:sz w:val="24"/>
          <w:szCs w:val="24"/>
          <w:lang w:val="en-US"/>
        </w:rPr>
      </w:pPr>
    </w:p>
    <w:p w:rsidR="005D306D" w:rsidRDefault="005D306D" w:rsidP="00470F74">
      <w:pPr>
        <w:pStyle w:val="ListParagraph"/>
        <w:ind w:left="0" w:firstLine="426"/>
        <w:rPr>
          <w:rFonts w:ascii="Times New Roman" w:hAnsi="Times New Roman"/>
          <w:sz w:val="24"/>
          <w:szCs w:val="24"/>
          <w:lang w:val="en-US"/>
        </w:rPr>
      </w:pPr>
    </w:p>
    <w:p w:rsidR="005D306D" w:rsidRDefault="005D306D" w:rsidP="00470F74">
      <w:pPr>
        <w:pStyle w:val="ListParagraph"/>
        <w:ind w:left="0" w:firstLine="426"/>
        <w:rPr>
          <w:rFonts w:ascii="Times New Roman" w:hAnsi="Times New Roman"/>
          <w:sz w:val="24"/>
          <w:szCs w:val="24"/>
          <w:lang w:val="en-US"/>
        </w:rPr>
      </w:pPr>
    </w:p>
    <w:p w:rsidR="005D306D" w:rsidRDefault="005D306D" w:rsidP="00470F74">
      <w:pPr>
        <w:pStyle w:val="ListParagraph"/>
        <w:ind w:left="0" w:firstLine="426"/>
        <w:rPr>
          <w:rFonts w:ascii="Times New Roman" w:hAnsi="Times New Roman"/>
          <w:sz w:val="24"/>
          <w:szCs w:val="24"/>
          <w:lang w:val="en-US"/>
        </w:rPr>
      </w:pPr>
    </w:p>
    <w:p w:rsidR="005D306D" w:rsidRDefault="005D306D" w:rsidP="00470F74">
      <w:pPr>
        <w:pStyle w:val="ListParagraph"/>
        <w:ind w:left="0" w:firstLine="426"/>
        <w:rPr>
          <w:rFonts w:ascii="Times New Roman" w:hAnsi="Times New Roman"/>
          <w:sz w:val="24"/>
          <w:szCs w:val="24"/>
          <w:lang w:val="en-US"/>
        </w:rPr>
      </w:pPr>
    </w:p>
    <w:p w:rsidR="0026790F" w:rsidRDefault="0026790F" w:rsidP="00470F74">
      <w:pPr>
        <w:pStyle w:val="ListParagraph"/>
        <w:ind w:left="0" w:firstLine="426"/>
        <w:rPr>
          <w:rFonts w:ascii="Times New Roman" w:hAnsi="Times New Roman"/>
          <w:sz w:val="24"/>
          <w:szCs w:val="24"/>
          <w:lang w:val="en-US"/>
        </w:rPr>
      </w:pPr>
    </w:p>
    <w:p w:rsidR="0026790F" w:rsidRDefault="0026790F" w:rsidP="00470F74">
      <w:pPr>
        <w:pStyle w:val="ListParagraph"/>
        <w:ind w:left="0" w:firstLine="426"/>
        <w:rPr>
          <w:rFonts w:ascii="Times New Roman" w:hAnsi="Times New Roman"/>
          <w:sz w:val="24"/>
          <w:szCs w:val="24"/>
          <w:lang w:val="en-US"/>
        </w:rPr>
      </w:pPr>
    </w:p>
    <w:p w:rsidR="0026790F" w:rsidRDefault="0026790F" w:rsidP="00470F74">
      <w:pPr>
        <w:pStyle w:val="ListParagraph"/>
        <w:ind w:left="0" w:firstLine="426"/>
        <w:rPr>
          <w:rFonts w:ascii="Times New Roman" w:hAnsi="Times New Roman"/>
          <w:sz w:val="24"/>
          <w:szCs w:val="24"/>
          <w:lang w:val="en-US"/>
        </w:rPr>
      </w:pPr>
    </w:p>
    <w:p w:rsidR="0026790F" w:rsidRDefault="0026790F" w:rsidP="00470F74">
      <w:pPr>
        <w:pStyle w:val="ListParagraph"/>
        <w:ind w:left="0" w:firstLine="426"/>
        <w:rPr>
          <w:rFonts w:ascii="Times New Roman" w:hAnsi="Times New Roman"/>
          <w:sz w:val="24"/>
          <w:szCs w:val="24"/>
          <w:lang w:val="en-US"/>
        </w:rPr>
      </w:pPr>
    </w:p>
    <w:p w:rsidR="00C774B9" w:rsidRDefault="00C774B9" w:rsidP="00470F74">
      <w:pPr>
        <w:pStyle w:val="ListParagraph"/>
        <w:ind w:left="0" w:firstLine="426"/>
        <w:rPr>
          <w:rFonts w:ascii="Times New Roman" w:hAnsi="Times New Roman"/>
          <w:sz w:val="24"/>
          <w:szCs w:val="24"/>
          <w:lang w:val="en-US"/>
        </w:rPr>
      </w:pPr>
    </w:p>
    <w:p w:rsidR="00710CF7" w:rsidRPr="00710CF7" w:rsidRDefault="00710CF7" w:rsidP="00710CF7">
      <w:pPr>
        <w:keepNext/>
        <w:widowControl w:val="0"/>
        <w:autoSpaceDE w:val="0"/>
        <w:autoSpaceDN w:val="0"/>
        <w:adjustRightInd w:val="0"/>
        <w:rPr>
          <w:rFonts w:ascii="Times New Roman" w:eastAsia="SimSun" w:hAnsi="Times New Roman"/>
          <w:b/>
          <w:sz w:val="24"/>
          <w:szCs w:val="24"/>
          <w:lang w:val="en-US" w:eastAsia="zh-CN"/>
        </w:rPr>
      </w:pPr>
      <w:r w:rsidRPr="00710CF7">
        <w:rPr>
          <w:rFonts w:ascii="Times New Roman" w:eastAsia="SimSun" w:hAnsi="Times New Roman"/>
          <w:b/>
          <w:sz w:val="24"/>
          <w:szCs w:val="24"/>
          <w:lang w:val="en-US" w:eastAsia="zh-CN"/>
        </w:rPr>
        <w:lastRenderedPageBreak/>
        <w:t xml:space="preserve">Table 3: GMM Regressions with Industry Level Instruments for TFP Growth and ETR </w:t>
      </w:r>
      <w:r w:rsidR="00C50629">
        <w:rPr>
          <w:rFonts w:ascii="Times New Roman" w:eastAsia="SimSun" w:hAnsi="Times New Roman"/>
          <w:b/>
          <w:sz w:val="24"/>
          <w:szCs w:val="24"/>
          <w:lang w:val="en-US" w:eastAsia="zh-CN"/>
        </w:rPr>
        <w:t>(</w:t>
      </w:r>
      <w:r w:rsidRPr="00710CF7">
        <w:rPr>
          <w:rFonts w:ascii="Times New Roman" w:eastAsia="SimSun" w:hAnsi="Times New Roman"/>
          <w:b/>
          <w:sz w:val="24"/>
          <w:szCs w:val="24"/>
          <w:lang w:val="en-US" w:eastAsia="zh-CN"/>
        </w:rPr>
        <w:t>UK Firms</w:t>
      </w:r>
      <w:r w:rsidR="00C50629">
        <w:rPr>
          <w:rFonts w:ascii="Times New Roman" w:eastAsia="SimSun" w:hAnsi="Times New Roman"/>
          <w:b/>
          <w:sz w:val="24"/>
          <w:szCs w:val="24"/>
          <w:lang w:val="en-US" w:eastAsia="zh-CN"/>
        </w:rPr>
        <w:t xml:space="preserve"> during</w:t>
      </w:r>
      <w:r w:rsidRPr="00710CF7">
        <w:rPr>
          <w:rFonts w:ascii="Times New Roman" w:eastAsia="SimSun" w:hAnsi="Times New Roman"/>
          <w:b/>
          <w:sz w:val="24"/>
          <w:szCs w:val="24"/>
          <w:lang w:val="en-US" w:eastAsia="zh-CN"/>
        </w:rPr>
        <w:t xml:space="preserve"> 2004-2011</w:t>
      </w:r>
      <w:r w:rsidR="00C50629">
        <w:rPr>
          <w:rFonts w:ascii="Times New Roman" w:eastAsia="SimSun" w:hAnsi="Times New Roman"/>
          <w:b/>
          <w:sz w:val="24"/>
          <w:szCs w:val="24"/>
          <w:lang w:val="en-US" w:eastAsia="zh-CN"/>
        </w:rPr>
        <w:t>)</w:t>
      </w:r>
    </w:p>
    <w:tbl>
      <w:tblPr>
        <w:tblW w:w="5000" w:type="pct"/>
        <w:tblLook w:val="0000" w:firstRow="0" w:lastRow="0" w:firstColumn="0" w:lastColumn="0" w:noHBand="0" w:noVBand="0"/>
      </w:tblPr>
      <w:tblGrid>
        <w:gridCol w:w="2161"/>
        <w:gridCol w:w="1288"/>
        <w:gridCol w:w="1159"/>
        <w:gridCol w:w="1159"/>
        <w:gridCol w:w="1159"/>
        <w:gridCol w:w="1159"/>
        <w:gridCol w:w="1157"/>
      </w:tblGrid>
      <w:tr w:rsidR="00710CF7" w:rsidRPr="00710CF7" w:rsidTr="0026790F">
        <w:tc>
          <w:tcPr>
            <w:tcW w:w="1169" w:type="pct"/>
            <w:tcBorders>
              <w:top w:val="single" w:sz="4" w:space="0" w:color="auto"/>
              <w:left w:val="nil"/>
              <w:bottom w:val="nil"/>
              <w:right w:val="nil"/>
            </w:tcBorders>
          </w:tcPr>
          <w:p w:rsidR="00710CF7" w:rsidRPr="00710CF7" w:rsidRDefault="00710CF7" w:rsidP="00C774B9">
            <w:pPr>
              <w:widowControl w:val="0"/>
              <w:autoSpaceDE w:val="0"/>
              <w:autoSpaceDN w:val="0"/>
              <w:adjustRightInd w:val="0"/>
              <w:spacing w:line="240" w:lineRule="auto"/>
              <w:ind w:firstLine="0"/>
              <w:rPr>
                <w:rFonts w:ascii="Times New Roman" w:eastAsia="SimSun" w:hAnsi="Times New Roman"/>
                <w:sz w:val="24"/>
                <w:szCs w:val="24"/>
                <w:lang w:val="en-US" w:eastAsia="zh-CN"/>
              </w:rPr>
            </w:pPr>
          </w:p>
        </w:tc>
        <w:tc>
          <w:tcPr>
            <w:tcW w:w="697" w:type="pct"/>
            <w:tcBorders>
              <w:top w:val="single" w:sz="4" w:space="0" w:color="auto"/>
              <w:left w:val="nil"/>
              <w:bottom w:val="nil"/>
              <w:right w:val="nil"/>
            </w:tcBorders>
          </w:tcPr>
          <w:p w:rsidR="00710CF7" w:rsidRPr="00710CF7" w:rsidRDefault="00BF5811"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Pr>
                <w:rFonts w:ascii="Times New Roman" w:eastAsia="SimSun" w:hAnsi="Times New Roman"/>
                <w:sz w:val="24"/>
                <w:szCs w:val="24"/>
                <w:lang w:val="en-US" w:eastAsia="zh-CN"/>
              </w:rPr>
              <w:t>(</w:t>
            </w:r>
            <w:r w:rsidR="00710CF7" w:rsidRPr="00710CF7">
              <w:rPr>
                <w:rFonts w:ascii="Times New Roman" w:eastAsia="SimSun" w:hAnsi="Times New Roman"/>
                <w:sz w:val="24"/>
                <w:szCs w:val="24"/>
                <w:lang w:val="en-US" w:eastAsia="zh-CN"/>
              </w:rPr>
              <w:t>1</w:t>
            </w:r>
            <w:r>
              <w:rPr>
                <w:rFonts w:ascii="Times New Roman" w:eastAsia="SimSun" w:hAnsi="Times New Roman"/>
                <w:sz w:val="24"/>
                <w:szCs w:val="24"/>
                <w:lang w:val="en-US" w:eastAsia="zh-CN"/>
              </w:rPr>
              <w:t>)</w:t>
            </w:r>
          </w:p>
        </w:tc>
        <w:tc>
          <w:tcPr>
            <w:tcW w:w="627" w:type="pct"/>
            <w:tcBorders>
              <w:top w:val="single" w:sz="4" w:space="0" w:color="auto"/>
              <w:left w:val="nil"/>
              <w:bottom w:val="nil"/>
              <w:right w:val="nil"/>
            </w:tcBorders>
          </w:tcPr>
          <w:p w:rsidR="00710CF7" w:rsidRPr="00710CF7" w:rsidRDefault="00BF5811"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Pr>
                <w:rFonts w:ascii="Times New Roman" w:eastAsia="SimSun" w:hAnsi="Times New Roman"/>
                <w:sz w:val="24"/>
                <w:szCs w:val="24"/>
                <w:lang w:val="en-US" w:eastAsia="zh-CN"/>
              </w:rPr>
              <w:t>(</w:t>
            </w:r>
            <w:r w:rsidR="00710CF7" w:rsidRPr="00710CF7">
              <w:rPr>
                <w:rFonts w:ascii="Times New Roman" w:eastAsia="SimSun" w:hAnsi="Times New Roman"/>
                <w:sz w:val="24"/>
                <w:szCs w:val="24"/>
                <w:lang w:val="en-US" w:eastAsia="zh-CN"/>
              </w:rPr>
              <w:t>2</w:t>
            </w:r>
            <w:r>
              <w:rPr>
                <w:rFonts w:ascii="Times New Roman" w:eastAsia="SimSun" w:hAnsi="Times New Roman"/>
                <w:sz w:val="24"/>
                <w:szCs w:val="24"/>
                <w:lang w:val="en-US" w:eastAsia="zh-CN"/>
              </w:rPr>
              <w:t>)</w:t>
            </w:r>
          </w:p>
        </w:tc>
        <w:tc>
          <w:tcPr>
            <w:tcW w:w="627" w:type="pct"/>
            <w:tcBorders>
              <w:top w:val="single" w:sz="4" w:space="0" w:color="auto"/>
              <w:left w:val="nil"/>
              <w:bottom w:val="nil"/>
              <w:right w:val="nil"/>
            </w:tcBorders>
          </w:tcPr>
          <w:p w:rsidR="00710CF7" w:rsidRPr="00710CF7" w:rsidRDefault="00BF5811"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Pr>
                <w:rFonts w:ascii="Times New Roman" w:eastAsia="SimSun" w:hAnsi="Times New Roman"/>
                <w:sz w:val="24"/>
                <w:szCs w:val="24"/>
                <w:lang w:val="en-US" w:eastAsia="zh-CN"/>
              </w:rPr>
              <w:t>(</w:t>
            </w:r>
            <w:r w:rsidR="00710CF7" w:rsidRPr="00710CF7">
              <w:rPr>
                <w:rFonts w:ascii="Times New Roman" w:eastAsia="SimSun" w:hAnsi="Times New Roman"/>
                <w:sz w:val="24"/>
                <w:szCs w:val="24"/>
                <w:lang w:val="en-US" w:eastAsia="zh-CN"/>
              </w:rPr>
              <w:t>3</w:t>
            </w:r>
            <w:r>
              <w:rPr>
                <w:rFonts w:ascii="Times New Roman" w:eastAsia="SimSun" w:hAnsi="Times New Roman"/>
                <w:sz w:val="24"/>
                <w:szCs w:val="24"/>
                <w:lang w:val="en-US" w:eastAsia="zh-CN"/>
              </w:rPr>
              <w:t>)</w:t>
            </w:r>
          </w:p>
        </w:tc>
        <w:tc>
          <w:tcPr>
            <w:tcW w:w="627" w:type="pct"/>
            <w:tcBorders>
              <w:top w:val="single" w:sz="4" w:space="0" w:color="auto"/>
              <w:left w:val="nil"/>
              <w:bottom w:val="nil"/>
              <w:right w:val="nil"/>
            </w:tcBorders>
          </w:tcPr>
          <w:p w:rsidR="00710CF7" w:rsidRPr="00710CF7" w:rsidRDefault="00BF5811"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Pr>
                <w:rFonts w:ascii="Times New Roman" w:eastAsia="SimSun" w:hAnsi="Times New Roman"/>
                <w:sz w:val="24"/>
                <w:szCs w:val="24"/>
                <w:lang w:val="en-US" w:eastAsia="zh-CN"/>
              </w:rPr>
              <w:t>(</w:t>
            </w:r>
            <w:r w:rsidR="00710CF7" w:rsidRPr="00710CF7">
              <w:rPr>
                <w:rFonts w:ascii="Times New Roman" w:eastAsia="SimSun" w:hAnsi="Times New Roman"/>
                <w:sz w:val="24"/>
                <w:szCs w:val="24"/>
                <w:lang w:val="en-US" w:eastAsia="zh-CN"/>
              </w:rPr>
              <w:t>4</w:t>
            </w:r>
            <w:r>
              <w:rPr>
                <w:rFonts w:ascii="Times New Roman" w:eastAsia="SimSun" w:hAnsi="Times New Roman"/>
                <w:sz w:val="24"/>
                <w:szCs w:val="24"/>
                <w:lang w:val="en-US" w:eastAsia="zh-CN"/>
              </w:rPr>
              <w:t>)</w:t>
            </w:r>
          </w:p>
        </w:tc>
        <w:tc>
          <w:tcPr>
            <w:tcW w:w="627" w:type="pct"/>
            <w:tcBorders>
              <w:top w:val="single" w:sz="4" w:space="0" w:color="auto"/>
              <w:left w:val="nil"/>
              <w:bottom w:val="nil"/>
              <w:right w:val="nil"/>
            </w:tcBorders>
          </w:tcPr>
          <w:p w:rsidR="00710CF7" w:rsidRPr="00710CF7" w:rsidRDefault="00BF5811"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Pr>
                <w:rFonts w:ascii="Times New Roman" w:eastAsia="SimSun" w:hAnsi="Times New Roman"/>
                <w:sz w:val="24"/>
                <w:szCs w:val="24"/>
                <w:lang w:val="en-US" w:eastAsia="zh-CN"/>
              </w:rPr>
              <w:t>(</w:t>
            </w:r>
            <w:r w:rsidR="00710CF7" w:rsidRPr="00710CF7">
              <w:rPr>
                <w:rFonts w:ascii="Times New Roman" w:eastAsia="SimSun" w:hAnsi="Times New Roman"/>
                <w:sz w:val="24"/>
                <w:szCs w:val="24"/>
                <w:lang w:val="en-US" w:eastAsia="zh-CN"/>
              </w:rPr>
              <w:t>5</w:t>
            </w:r>
            <w:r>
              <w:rPr>
                <w:rFonts w:ascii="Times New Roman" w:eastAsia="SimSun" w:hAnsi="Times New Roman"/>
                <w:sz w:val="24"/>
                <w:szCs w:val="24"/>
                <w:lang w:val="en-US" w:eastAsia="zh-CN"/>
              </w:rPr>
              <w:t>)</w:t>
            </w:r>
          </w:p>
        </w:tc>
        <w:tc>
          <w:tcPr>
            <w:tcW w:w="626" w:type="pct"/>
            <w:tcBorders>
              <w:top w:val="single" w:sz="4" w:space="0" w:color="auto"/>
              <w:left w:val="nil"/>
              <w:bottom w:val="nil"/>
              <w:right w:val="nil"/>
            </w:tcBorders>
          </w:tcPr>
          <w:p w:rsidR="00710CF7" w:rsidRPr="00710CF7" w:rsidRDefault="00BF5811"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Pr>
                <w:rFonts w:ascii="Times New Roman" w:eastAsia="SimSun" w:hAnsi="Times New Roman"/>
                <w:sz w:val="24"/>
                <w:szCs w:val="24"/>
                <w:lang w:val="en-US" w:eastAsia="zh-CN"/>
              </w:rPr>
              <w:t>(</w:t>
            </w:r>
            <w:r w:rsidR="00710CF7" w:rsidRPr="00710CF7">
              <w:rPr>
                <w:rFonts w:ascii="Times New Roman" w:eastAsia="SimSun" w:hAnsi="Times New Roman"/>
                <w:sz w:val="24"/>
                <w:szCs w:val="24"/>
                <w:lang w:val="en-US" w:eastAsia="zh-CN"/>
              </w:rPr>
              <w:t>6</w:t>
            </w:r>
            <w:r>
              <w:rPr>
                <w:rFonts w:ascii="Times New Roman" w:eastAsia="SimSun" w:hAnsi="Times New Roman"/>
                <w:sz w:val="24"/>
                <w:szCs w:val="24"/>
                <w:lang w:val="en-US" w:eastAsia="zh-CN"/>
              </w:rPr>
              <w:t>)</w:t>
            </w:r>
          </w:p>
        </w:tc>
      </w:tr>
      <w:tr w:rsidR="0026790F" w:rsidRPr="00710CF7" w:rsidTr="0026790F">
        <w:tc>
          <w:tcPr>
            <w:tcW w:w="1169" w:type="pct"/>
            <w:tcBorders>
              <w:top w:val="single" w:sz="4" w:space="0" w:color="auto"/>
              <w:left w:val="nil"/>
              <w:bottom w:val="nil"/>
              <w:right w:val="nil"/>
            </w:tcBorders>
          </w:tcPr>
          <w:p w:rsidR="0026790F" w:rsidRPr="000133C7" w:rsidRDefault="0026790F" w:rsidP="00C774B9">
            <w:pPr>
              <w:spacing w:line="240" w:lineRule="auto"/>
              <w:ind w:firstLine="0"/>
              <w:rPr>
                <w:rFonts w:asciiTheme="majorBidi" w:hAnsiTheme="majorBidi" w:cstheme="majorBidi"/>
                <w:i/>
                <w:sz w:val="24"/>
                <w:szCs w:val="24"/>
                <w:lang w:val="en-US"/>
              </w:rPr>
            </w:pPr>
            <w:r w:rsidRPr="007A4735">
              <w:rPr>
                <w:rFonts w:asciiTheme="majorBidi" w:hAnsiTheme="majorBidi" w:cstheme="majorBidi"/>
                <w:sz w:val="24"/>
                <w:szCs w:val="24"/>
                <w:lang w:val="en-US"/>
              </w:rPr>
              <w:t>Δln</w:t>
            </w:r>
            <w:r w:rsidRPr="000133C7">
              <w:rPr>
                <w:rFonts w:asciiTheme="majorBidi" w:hAnsiTheme="majorBidi" w:cstheme="majorBidi"/>
                <w:i/>
                <w:sz w:val="24"/>
                <w:szCs w:val="24"/>
                <w:lang w:val="en-US"/>
              </w:rPr>
              <w:t>TFP</w:t>
            </w:r>
            <w:r w:rsidRPr="000133C7">
              <w:rPr>
                <w:rFonts w:asciiTheme="majorBidi" w:hAnsiTheme="majorBidi" w:cstheme="majorBidi"/>
                <w:i/>
                <w:sz w:val="24"/>
                <w:szCs w:val="24"/>
                <w:vertAlign w:val="subscript"/>
                <w:lang w:val="en-US"/>
              </w:rPr>
              <w:t>Ft</w:t>
            </w:r>
          </w:p>
        </w:tc>
        <w:tc>
          <w:tcPr>
            <w:tcW w:w="697" w:type="pct"/>
            <w:tcBorders>
              <w:top w:val="single" w:sz="4" w:space="0" w:color="auto"/>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2.162***</w:t>
            </w:r>
          </w:p>
        </w:tc>
        <w:tc>
          <w:tcPr>
            <w:tcW w:w="627" w:type="pct"/>
            <w:tcBorders>
              <w:top w:val="single" w:sz="4" w:space="0" w:color="auto"/>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1.400**</w:t>
            </w:r>
          </w:p>
        </w:tc>
        <w:tc>
          <w:tcPr>
            <w:tcW w:w="627" w:type="pct"/>
            <w:tcBorders>
              <w:top w:val="single" w:sz="4" w:space="0" w:color="auto"/>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1.389**</w:t>
            </w:r>
          </w:p>
        </w:tc>
        <w:tc>
          <w:tcPr>
            <w:tcW w:w="627" w:type="pct"/>
            <w:tcBorders>
              <w:top w:val="single" w:sz="4" w:space="0" w:color="auto"/>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1.397**</w:t>
            </w:r>
          </w:p>
        </w:tc>
        <w:tc>
          <w:tcPr>
            <w:tcW w:w="627" w:type="pct"/>
            <w:tcBorders>
              <w:top w:val="single" w:sz="4" w:space="0" w:color="auto"/>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1.373**</w:t>
            </w:r>
          </w:p>
        </w:tc>
        <w:tc>
          <w:tcPr>
            <w:tcW w:w="626" w:type="pct"/>
            <w:tcBorders>
              <w:top w:val="single" w:sz="4" w:space="0" w:color="auto"/>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1.394**</w:t>
            </w:r>
          </w:p>
        </w:tc>
      </w:tr>
      <w:tr w:rsidR="0026790F" w:rsidRPr="00710CF7" w:rsidTr="0026790F">
        <w:tc>
          <w:tcPr>
            <w:tcW w:w="1169" w:type="pct"/>
            <w:tcBorders>
              <w:top w:val="nil"/>
              <w:left w:val="nil"/>
              <w:bottom w:val="nil"/>
              <w:right w:val="nil"/>
            </w:tcBorders>
          </w:tcPr>
          <w:p w:rsidR="0026790F" w:rsidRPr="007A4735" w:rsidRDefault="0026790F" w:rsidP="00C774B9">
            <w:pPr>
              <w:spacing w:line="240" w:lineRule="auto"/>
              <w:ind w:firstLine="0"/>
              <w:rPr>
                <w:rFonts w:asciiTheme="majorBidi" w:hAnsiTheme="majorBidi" w:cstheme="majorBidi"/>
                <w:sz w:val="24"/>
                <w:szCs w:val="24"/>
                <w:lang w:val="en-US"/>
              </w:rPr>
            </w:pPr>
          </w:p>
        </w:tc>
        <w:tc>
          <w:tcPr>
            <w:tcW w:w="69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(2.79)</w:t>
            </w: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(2.22)</w:t>
            </w: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(2.16)</w:t>
            </w: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(2.18)</w:t>
            </w: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(2.14)</w:t>
            </w:r>
          </w:p>
        </w:tc>
        <w:tc>
          <w:tcPr>
            <w:tcW w:w="626"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(2.17)</w:t>
            </w:r>
          </w:p>
        </w:tc>
      </w:tr>
      <w:tr w:rsidR="0026790F" w:rsidRPr="00710CF7" w:rsidTr="0026790F">
        <w:tc>
          <w:tcPr>
            <w:tcW w:w="1169" w:type="pct"/>
            <w:tcBorders>
              <w:top w:val="nil"/>
              <w:left w:val="nil"/>
              <w:bottom w:val="nil"/>
              <w:right w:val="nil"/>
            </w:tcBorders>
          </w:tcPr>
          <w:p w:rsidR="0026790F" w:rsidRPr="000133C7" w:rsidRDefault="0026790F" w:rsidP="00C774B9">
            <w:pPr>
              <w:spacing w:line="240" w:lineRule="auto"/>
              <w:ind w:firstLine="0"/>
              <w:rPr>
                <w:rFonts w:asciiTheme="majorBidi" w:hAnsiTheme="majorBidi" w:cstheme="majorBidi"/>
                <w:i/>
                <w:sz w:val="24"/>
                <w:szCs w:val="24"/>
                <w:vertAlign w:val="subscript"/>
                <w:lang w:val="en-US"/>
              </w:rPr>
            </w:pPr>
            <w:r w:rsidRPr="000133C7">
              <w:rPr>
                <w:rFonts w:asciiTheme="majorBidi" w:hAnsiTheme="majorBidi" w:cstheme="majorBidi"/>
                <w:i/>
                <w:sz w:val="24"/>
                <w:szCs w:val="24"/>
                <w:lang w:val="en-US"/>
              </w:rPr>
              <w:t>GAP</w:t>
            </w:r>
            <w:r>
              <w:rPr>
                <w:rFonts w:asciiTheme="majorBidi" w:hAnsiTheme="majorBidi" w:cstheme="majorBidi"/>
                <w:i/>
                <w:sz w:val="24"/>
                <w:szCs w:val="24"/>
                <w:vertAlign w:val="subscript"/>
                <w:lang w:val="en-US"/>
              </w:rPr>
              <w:t>it-1</w:t>
            </w:r>
          </w:p>
        </w:tc>
        <w:tc>
          <w:tcPr>
            <w:tcW w:w="69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Pr>
                <w:rFonts w:ascii="Times New Roman" w:eastAsia="SimSun" w:hAnsi="Times New Roman"/>
                <w:sz w:val="24"/>
                <w:szCs w:val="24"/>
                <w:lang w:val="en-US" w:eastAsia="zh-CN"/>
              </w:rPr>
              <w:t>-0.063</w:t>
            </w:r>
            <w:r w:rsidRPr="00710CF7">
              <w:rPr>
                <w:rFonts w:ascii="Times New Roman" w:eastAsia="SimSun" w:hAnsi="Times New Roman"/>
                <w:sz w:val="24"/>
                <w:szCs w:val="24"/>
                <w:lang w:val="en-US" w:eastAsia="zh-CN"/>
              </w:rPr>
              <w:t>***</w:t>
            </w: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Pr>
                <w:rFonts w:ascii="Times New Roman" w:eastAsia="SimSun" w:hAnsi="Times New Roman"/>
                <w:sz w:val="24"/>
                <w:szCs w:val="24"/>
                <w:lang w:val="en-US" w:eastAsia="zh-CN"/>
              </w:rPr>
              <w:t>-0.182</w:t>
            </w:r>
            <w:r w:rsidRPr="00710CF7">
              <w:rPr>
                <w:rFonts w:ascii="Times New Roman" w:eastAsia="SimSun" w:hAnsi="Times New Roman"/>
                <w:sz w:val="24"/>
                <w:szCs w:val="24"/>
                <w:lang w:val="en-US" w:eastAsia="zh-CN"/>
              </w:rPr>
              <w:t>**</w:t>
            </w: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Pr>
                <w:rFonts w:ascii="Times New Roman" w:eastAsia="SimSun" w:hAnsi="Times New Roman"/>
                <w:sz w:val="24"/>
                <w:szCs w:val="24"/>
                <w:lang w:val="en-US" w:eastAsia="zh-CN"/>
              </w:rPr>
              <w:t>-0.183</w:t>
            </w:r>
            <w:r w:rsidRPr="00710CF7">
              <w:rPr>
                <w:rFonts w:ascii="Times New Roman" w:eastAsia="SimSun" w:hAnsi="Times New Roman"/>
                <w:sz w:val="24"/>
                <w:szCs w:val="24"/>
                <w:lang w:val="en-US" w:eastAsia="zh-CN"/>
              </w:rPr>
              <w:t>**</w:t>
            </w: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w:t>
            </w:r>
            <w:r>
              <w:rPr>
                <w:rFonts w:ascii="Times New Roman" w:eastAsia="SimSun" w:hAnsi="Times New Roman"/>
                <w:sz w:val="24"/>
                <w:szCs w:val="24"/>
                <w:lang w:val="en-US" w:eastAsia="zh-CN"/>
              </w:rPr>
              <w:t>0.18</w:t>
            </w:r>
            <w:r w:rsidRPr="00710CF7">
              <w:rPr>
                <w:rFonts w:ascii="Times New Roman" w:eastAsia="SimSun" w:hAnsi="Times New Roman"/>
                <w:sz w:val="24"/>
                <w:szCs w:val="24"/>
                <w:lang w:val="en-US" w:eastAsia="zh-CN"/>
              </w:rPr>
              <w:t>**</w:t>
            </w: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Pr>
                <w:rFonts w:ascii="Times New Roman" w:eastAsia="SimSun" w:hAnsi="Times New Roman"/>
                <w:sz w:val="24"/>
                <w:szCs w:val="24"/>
                <w:lang w:val="en-US" w:eastAsia="zh-CN"/>
              </w:rPr>
              <w:t>-0.187</w:t>
            </w:r>
            <w:r w:rsidRPr="00710CF7">
              <w:rPr>
                <w:rFonts w:ascii="Times New Roman" w:eastAsia="SimSun" w:hAnsi="Times New Roman"/>
                <w:sz w:val="24"/>
                <w:szCs w:val="24"/>
                <w:lang w:val="en-US" w:eastAsia="zh-CN"/>
              </w:rPr>
              <w:t>*</w:t>
            </w:r>
          </w:p>
        </w:tc>
        <w:tc>
          <w:tcPr>
            <w:tcW w:w="626"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Pr>
                <w:rFonts w:ascii="Times New Roman" w:eastAsia="SimSun" w:hAnsi="Times New Roman"/>
                <w:sz w:val="24"/>
                <w:szCs w:val="24"/>
                <w:lang w:val="en-US" w:eastAsia="zh-CN"/>
              </w:rPr>
              <w:t>-0.181</w:t>
            </w:r>
            <w:r w:rsidRPr="00710CF7">
              <w:rPr>
                <w:rFonts w:ascii="Times New Roman" w:eastAsia="SimSun" w:hAnsi="Times New Roman"/>
                <w:sz w:val="24"/>
                <w:szCs w:val="24"/>
                <w:lang w:val="en-US" w:eastAsia="zh-CN"/>
              </w:rPr>
              <w:t>**</w:t>
            </w:r>
          </w:p>
        </w:tc>
      </w:tr>
      <w:tr w:rsidR="0026790F" w:rsidRPr="00710CF7" w:rsidTr="0026790F">
        <w:tc>
          <w:tcPr>
            <w:tcW w:w="1169" w:type="pct"/>
            <w:tcBorders>
              <w:top w:val="nil"/>
              <w:left w:val="nil"/>
              <w:bottom w:val="nil"/>
              <w:right w:val="nil"/>
            </w:tcBorders>
          </w:tcPr>
          <w:p w:rsidR="0026790F" w:rsidRPr="007A4735" w:rsidRDefault="0026790F" w:rsidP="00C774B9">
            <w:pPr>
              <w:spacing w:line="240" w:lineRule="auto"/>
              <w:ind w:firstLine="0"/>
              <w:rPr>
                <w:rFonts w:asciiTheme="majorBidi" w:hAnsiTheme="majorBidi" w:cstheme="majorBidi"/>
                <w:sz w:val="24"/>
                <w:szCs w:val="24"/>
                <w:lang w:val="en-US"/>
              </w:rPr>
            </w:pPr>
          </w:p>
        </w:tc>
        <w:tc>
          <w:tcPr>
            <w:tcW w:w="69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(2.66)</w:t>
            </w: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(2.00)</w:t>
            </w: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(1.97)</w:t>
            </w: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(2.00)</w:t>
            </w: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(1.94)</w:t>
            </w:r>
          </w:p>
        </w:tc>
        <w:tc>
          <w:tcPr>
            <w:tcW w:w="626"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(1.98)</w:t>
            </w:r>
          </w:p>
        </w:tc>
      </w:tr>
      <w:tr w:rsidR="0026790F" w:rsidRPr="00710CF7" w:rsidTr="0026790F">
        <w:tc>
          <w:tcPr>
            <w:tcW w:w="1169" w:type="pct"/>
            <w:tcBorders>
              <w:top w:val="nil"/>
              <w:left w:val="nil"/>
              <w:bottom w:val="nil"/>
              <w:right w:val="nil"/>
            </w:tcBorders>
          </w:tcPr>
          <w:p w:rsidR="0026790F" w:rsidRPr="007A4735" w:rsidRDefault="0026790F" w:rsidP="00C774B9">
            <w:pPr>
              <w:spacing w:line="240" w:lineRule="auto"/>
              <w:ind w:firstLine="0"/>
              <w:rPr>
                <w:rFonts w:asciiTheme="majorBidi" w:hAnsiTheme="majorBidi" w:cstheme="majorBidi"/>
                <w:sz w:val="24"/>
                <w:szCs w:val="24"/>
                <w:lang w:val="en-US"/>
              </w:rPr>
            </w:pPr>
            <w:r>
              <w:rPr>
                <w:rFonts w:asciiTheme="majorBidi" w:hAnsiTheme="majorBidi" w:cstheme="majorBidi"/>
                <w:i/>
                <w:sz w:val="24"/>
                <w:szCs w:val="24"/>
                <w:lang w:val="en-US"/>
              </w:rPr>
              <w:t>ETR</w:t>
            </w:r>
            <w:r w:rsidRPr="000133C7">
              <w:rPr>
                <w:rFonts w:asciiTheme="majorBidi" w:hAnsiTheme="majorBidi" w:cstheme="majorBidi"/>
                <w:i/>
                <w:sz w:val="24"/>
                <w:szCs w:val="24"/>
                <w:vertAlign w:val="subscript"/>
                <w:lang w:val="en-US"/>
              </w:rPr>
              <w:t>it-1</w:t>
            </w:r>
          </w:p>
        </w:tc>
        <w:tc>
          <w:tcPr>
            <w:tcW w:w="69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-0.101</w:t>
            </w: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-0.217**</w:t>
            </w: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-0.235**</w:t>
            </w: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-0.216**</w:t>
            </w: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-0.235**</w:t>
            </w:r>
          </w:p>
        </w:tc>
        <w:tc>
          <w:tcPr>
            <w:tcW w:w="626"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-0.215**</w:t>
            </w:r>
          </w:p>
        </w:tc>
      </w:tr>
      <w:tr w:rsidR="0026790F" w:rsidRPr="00710CF7" w:rsidTr="0026790F">
        <w:tc>
          <w:tcPr>
            <w:tcW w:w="1169" w:type="pct"/>
            <w:tcBorders>
              <w:top w:val="nil"/>
              <w:left w:val="nil"/>
              <w:bottom w:val="nil"/>
              <w:right w:val="nil"/>
            </w:tcBorders>
          </w:tcPr>
          <w:p w:rsidR="0026790F" w:rsidRPr="007A4735" w:rsidRDefault="0026790F" w:rsidP="00C774B9">
            <w:pPr>
              <w:spacing w:line="240" w:lineRule="auto"/>
              <w:ind w:firstLine="0"/>
              <w:rPr>
                <w:rFonts w:asciiTheme="majorBidi" w:hAnsiTheme="majorBidi" w:cstheme="majorBidi"/>
                <w:sz w:val="24"/>
                <w:szCs w:val="24"/>
                <w:lang w:val="en-US"/>
              </w:rPr>
            </w:pPr>
          </w:p>
        </w:tc>
        <w:tc>
          <w:tcPr>
            <w:tcW w:w="69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(0.78)</w:t>
            </w: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(2.15)</w:t>
            </w: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(2.23)</w:t>
            </w: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(2.13)</w:t>
            </w: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(2.24)</w:t>
            </w:r>
          </w:p>
        </w:tc>
        <w:tc>
          <w:tcPr>
            <w:tcW w:w="626"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(2.12)</w:t>
            </w:r>
          </w:p>
        </w:tc>
      </w:tr>
      <w:tr w:rsidR="0026790F" w:rsidRPr="00710CF7" w:rsidTr="0026790F">
        <w:tc>
          <w:tcPr>
            <w:tcW w:w="1169" w:type="pct"/>
            <w:tcBorders>
              <w:top w:val="nil"/>
              <w:left w:val="nil"/>
              <w:bottom w:val="nil"/>
              <w:right w:val="nil"/>
            </w:tcBorders>
          </w:tcPr>
          <w:p w:rsidR="0026790F" w:rsidRPr="007A4735" w:rsidRDefault="0026790F" w:rsidP="00C774B9">
            <w:pPr>
              <w:spacing w:line="240" w:lineRule="auto"/>
              <w:ind w:firstLine="0"/>
              <w:rPr>
                <w:rFonts w:asciiTheme="majorBidi" w:hAnsiTheme="majorBidi" w:cstheme="majorBidi"/>
                <w:sz w:val="24"/>
                <w:szCs w:val="24"/>
                <w:lang w:val="en-US"/>
              </w:rPr>
            </w:pPr>
            <w:r w:rsidRPr="007A4735">
              <w:rPr>
                <w:rFonts w:asciiTheme="majorBidi" w:hAnsiTheme="majorBidi" w:cstheme="majorBidi"/>
                <w:sz w:val="24"/>
                <w:szCs w:val="24"/>
                <w:lang w:val="en-US"/>
              </w:rPr>
              <w:t>[</w:t>
            </w:r>
            <w:r w:rsidRPr="000133C7">
              <w:rPr>
                <w:rFonts w:asciiTheme="majorBidi" w:hAnsiTheme="majorBidi" w:cstheme="majorBidi"/>
                <w:i/>
                <w:sz w:val="24"/>
                <w:szCs w:val="24"/>
                <w:lang w:val="en-US"/>
              </w:rPr>
              <w:t>GAP</w:t>
            </w:r>
            <w:r>
              <w:rPr>
                <w:rFonts w:asciiTheme="majorBidi" w:hAnsiTheme="majorBidi" w:cstheme="majorBidi"/>
                <w:i/>
                <w:sz w:val="24"/>
                <w:szCs w:val="24"/>
                <w:vertAlign w:val="subscript"/>
                <w:lang w:val="en-US"/>
              </w:rPr>
              <w:t>it-1</w:t>
            </w:r>
            <w:r w:rsidRPr="007A4735">
              <w:rPr>
                <w:rFonts w:asciiTheme="majorBidi" w:hAnsiTheme="majorBidi" w:cstheme="majorBidi"/>
                <w:sz w:val="24"/>
                <w:szCs w:val="24"/>
                <w:lang w:val="en-US"/>
              </w:rPr>
              <w:t>×</w:t>
            </w:r>
            <w:r w:rsidRPr="00D5186E">
              <w:rPr>
                <w:rFonts w:asciiTheme="majorBidi" w:hAnsiTheme="majorBidi" w:cstheme="majorBidi"/>
                <w:i/>
                <w:sz w:val="24"/>
                <w:szCs w:val="24"/>
                <w:lang w:val="en-US"/>
              </w:rPr>
              <w:t xml:space="preserve"> </w:t>
            </w:r>
            <w:r w:rsidR="00295173">
              <w:rPr>
                <w:rFonts w:asciiTheme="majorBidi" w:hAnsiTheme="majorBidi" w:cstheme="majorBidi"/>
                <w:i/>
                <w:sz w:val="24"/>
                <w:szCs w:val="24"/>
                <w:lang w:val="en-US"/>
              </w:rPr>
              <w:t>ETR</w:t>
            </w:r>
            <w:r w:rsidRPr="000133C7">
              <w:rPr>
                <w:rFonts w:asciiTheme="majorBidi" w:hAnsiTheme="majorBidi" w:cstheme="majorBidi"/>
                <w:i/>
                <w:sz w:val="24"/>
                <w:szCs w:val="24"/>
                <w:vertAlign w:val="subscript"/>
                <w:lang w:val="en-US"/>
              </w:rPr>
              <w:t>it-1</w:t>
            </w:r>
            <w:r w:rsidRPr="007A4735">
              <w:rPr>
                <w:rFonts w:asciiTheme="majorBidi" w:hAnsiTheme="majorBidi" w:cstheme="majorBidi"/>
                <w:sz w:val="24"/>
                <w:szCs w:val="24"/>
                <w:lang w:val="en-US"/>
              </w:rPr>
              <w:t>]</w:t>
            </w:r>
          </w:p>
        </w:tc>
        <w:tc>
          <w:tcPr>
            <w:tcW w:w="69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-0.076</w:t>
            </w: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c>
          <w:tcPr>
            <w:tcW w:w="626"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r>
      <w:tr w:rsidR="0026790F" w:rsidRPr="00710CF7" w:rsidTr="0026790F">
        <w:tc>
          <w:tcPr>
            <w:tcW w:w="1169" w:type="pct"/>
            <w:tcBorders>
              <w:top w:val="nil"/>
              <w:left w:val="nil"/>
              <w:bottom w:val="nil"/>
              <w:right w:val="nil"/>
            </w:tcBorders>
          </w:tcPr>
          <w:p w:rsidR="0026790F" w:rsidRPr="007A4735" w:rsidRDefault="0026790F" w:rsidP="00C774B9">
            <w:pPr>
              <w:spacing w:line="240" w:lineRule="auto"/>
              <w:ind w:firstLine="0"/>
              <w:rPr>
                <w:rFonts w:asciiTheme="majorBidi" w:hAnsiTheme="majorBidi" w:cstheme="majorBidi"/>
                <w:sz w:val="24"/>
                <w:szCs w:val="24"/>
                <w:lang w:val="en-US"/>
              </w:rPr>
            </w:pPr>
          </w:p>
        </w:tc>
        <w:tc>
          <w:tcPr>
            <w:tcW w:w="69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(0.56)</w:t>
            </w: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c>
          <w:tcPr>
            <w:tcW w:w="626"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r>
      <w:tr w:rsidR="0026790F" w:rsidRPr="00710CF7" w:rsidTr="0026790F">
        <w:tc>
          <w:tcPr>
            <w:tcW w:w="1169" w:type="pct"/>
            <w:tcBorders>
              <w:top w:val="nil"/>
              <w:left w:val="nil"/>
              <w:bottom w:val="nil"/>
              <w:right w:val="nil"/>
            </w:tcBorders>
          </w:tcPr>
          <w:p w:rsidR="0026790F" w:rsidRPr="000133C7" w:rsidRDefault="0026790F" w:rsidP="00C774B9">
            <w:pPr>
              <w:spacing w:line="240" w:lineRule="auto"/>
              <w:ind w:firstLine="0"/>
              <w:rPr>
                <w:rFonts w:asciiTheme="majorBidi" w:hAnsiTheme="majorBidi" w:cstheme="majorBidi"/>
                <w:i/>
                <w:sz w:val="24"/>
                <w:szCs w:val="24"/>
                <w:vertAlign w:val="subscript"/>
                <w:lang w:val="en-US"/>
              </w:rPr>
            </w:pPr>
            <w:r w:rsidRPr="006A52B9">
              <w:rPr>
                <w:rFonts w:asciiTheme="majorBidi" w:hAnsiTheme="majorBidi" w:cstheme="majorBidi"/>
                <w:i/>
                <w:sz w:val="24"/>
                <w:szCs w:val="24"/>
                <w:lang w:val="en-US"/>
              </w:rPr>
              <w:t>R</w:t>
            </w:r>
            <w:r>
              <w:rPr>
                <w:rFonts w:asciiTheme="majorBidi" w:hAnsiTheme="majorBidi" w:cstheme="majorBidi"/>
                <w:i/>
                <w:sz w:val="24"/>
                <w:szCs w:val="24"/>
                <w:vertAlign w:val="subscript"/>
                <w:lang w:val="en-US"/>
              </w:rPr>
              <w:t>i</w:t>
            </w:r>
          </w:p>
        </w:tc>
        <w:tc>
          <w:tcPr>
            <w:tcW w:w="69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0.172**</w:t>
            </w: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0.100*</w:t>
            </w: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0.195</w:t>
            </w: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0.100*</w:t>
            </w: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0.192</w:t>
            </w:r>
          </w:p>
        </w:tc>
        <w:tc>
          <w:tcPr>
            <w:tcW w:w="626"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0.101*</w:t>
            </w:r>
          </w:p>
        </w:tc>
      </w:tr>
      <w:tr w:rsidR="0026790F" w:rsidRPr="00710CF7" w:rsidTr="0026790F">
        <w:tc>
          <w:tcPr>
            <w:tcW w:w="1169" w:type="pct"/>
            <w:tcBorders>
              <w:top w:val="nil"/>
              <w:left w:val="nil"/>
              <w:bottom w:val="nil"/>
              <w:right w:val="nil"/>
            </w:tcBorders>
          </w:tcPr>
          <w:p w:rsidR="0026790F" w:rsidRPr="007A4735" w:rsidRDefault="0026790F" w:rsidP="00C774B9">
            <w:pPr>
              <w:spacing w:line="240" w:lineRule="auto"/>
              <w:ind w:firstLine="0"/>
              <w:rPr>
                <w:rFonts w:asciiTheme="majorBidi" w:hAnsiTheme="majorBidi" w:cstheme="majorBidi"/>
                <w:sz w:val="24"/>
                <w:szCs w:val="24"/>
                <w:lang w:val="en-US"/>
              </w:rPr>
            </w:pPr>
          </w:p>
        </w:tc>
        <w:tc>
          <w:tcPr>
            <w:tcW w:w="69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(2.53)</w:t>
            </w: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(1.81)</w:t>
            </w: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(1.26)</w:t>
            </w: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(1.79)</w:t>
            </w: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(1.42)</w:t>
            </w:r>
          </w:p>
        </w:tc>
        <w:tc>
          <w:tcPr>
            <w:tcW w:w="626"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(1.80)</w:t>
            </w:r>
          </w:p>
        </w:tc>
      </w:tr>
      <w:tr w:rsidR="0026790F" w:rsidRPr="00710CF7" w:rsidTr="0026790F">
        <w:tc>
          <w:tcPr>
            <w:tcW w:w="1169" w:type="pct"/>
            <w:tcBorders>
              <w:top w:val="nil"/>
              <w:left w:val="nil"/>
              <w:bottom w:val="nil"/>
              <w:right w:val="nil"/>
            </w:tcBorders>
          </w:tcPr>
          <w:p w:rsidR="0026790F" w:rsidRPr="000133C7" w:rsidRDefault="0026790F" w:rsidP="00C774B9">
            <w:pPr>
              <w:spacing w:line="240" w:lineRule="auto"/>
              <w:ind w:firstLine="0"/>
              <w:rPr>
                <w:rFonts w:asciiTheme="majorBidi" w:hAnsiTheme="majorBidi" w:cstheme="majorBidi"/>
                <w:i/>
                <w:sz w:val="24"/>
                <w:szCs w:val="24"/>
                <w:vertAlign w:val="subscript"/>
                <w:lang w:val="en-US"/>
              </w:rPr>
            </w:pPr>
            <w:r w:rsidRPr="006A52B9">
              <w:rPr>
                <w:rFonts w:asciiTheme="majorBidi" w:hAnsiTheme="majorBidi" w:cstheme="majorBidi"/>
                <w:i/>
                <w:sz w:val="24"/>
                <w:szCs w:val="24"/>
                <w:lang w:val="en-US"/>
              </w:rPr>
              <w:t>E</w:t>
            </w:r>
            <w:r>
              <w:rPr>
                <w:rFonts w:asciiTheme="majorBidi" w:hAnsiTheme="majorBidi" w:cstheme="majorBidi"/>
                <w:i/>
                <w:sz w:val="24"/>
                <w:szCs w:val="24"/>
                <w:vertAlign w:val="subscript"/>
                <w:lang w:val="en-US"/>
              </w:rPr>
              <w:t>i</w:t>
            </w:r>
          </w:p>
        </w:tc>
        <w:tc>
          <w:tcPr>
            <w:tcW w:w="69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0.045**</w:t>
            </w: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0.023</w:t>
            </w: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0.024</w:t>
            </w: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0.035*</w:t>
            </w: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0.024</w:t>
            </w:r>
          </w:p>
        </w:tc>
        <w:tc>
          <w:tcPr>
            <w:tcW w:w="626"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0.033*</w:t>
            </w:r>
          </w:p>
        </w:tc>
      </w:tr>
      <w:tr w:rsidR="0026790F" w:rsidRPr="00710CF7" w:rsidTr="0026790F">
        <w:tc>
          <w:tcPr>
            <w:tcW w:w="1169" w:type="pct"/>
            <w:tcBorders>
              <w:top w:val="nil"/>
              <w:left w:val="nil"/>
              <w:bottom w:val="nil"/>
              <w:right w:val="nil"/>
            </w:tcBorders>
          </w:tcPr>
          <w:p w:rsidR="0026790F" w:rsidRPr="007A4735" w:rsidRDefault="0026790F" w:rsidP="00C774B9">
            <w:pPr>
              <w:spacing w:line="240" w:lineRule="auto"/>
              <w:ind w:firstLine="0"/>
              <w:rPr>
                <w:rFonts w:asciiTheme="majorBidi" w:hAnsiTheme="majorBidi" w:cstheme="majorBidi"/>
                <w:sz w:val="24"/>
                <w:szCs w:val="24"/>
                <w:lang w:val="en-US"/>
              </w:rPr>
            </w:pPr>
          </w:p>
        </w:tc>
        <w:tc>
          <w:tcPr>
            <w:tcW w:w="69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(2.35)</w:t>
            </w: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(1.48)</w:t>
            </w: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(1.59)</w:t>
            </w: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(1.66)</w:t>
            </w: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(1.57)</w:t>
            </w:r>
          </w:p>
        </w:tc>
        <w:tc>
          <w:tcPr>
            <w:tcW w:w="626"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(1.75)</w:t>
            </w:r>
          </w:p>
        </w:tc>
      </w:tr>
      <w:tr w:rsidR="0026790F" w:rsidRPr="00710CF7" w:rsidTr="0026790F">
        <w:tc>
          <w:tcPr>
            <w:tcW w:w="1169" w:type="pct"/>
            <w:tcBorders>
              <w:top w:val="nil"/>
              <w:left w:val="nil"/>
              <w:bottom w:val="nil"/>
              <w:right w:val="nil"/>
            </w:tcBorders>
          </w:tcPr>
          <w:p w:rsidR="0026790F" w:rsidRPr="007A1A56" w:rsidRDefault="0026790F" w:rsidP="00C774B9">
            <w:pPr>
              <w:spacing w:line="240" w:lineRule="auto"/>
              <w:ind w:firstLine="0"/>
              <w:rPr>
                <w:rFonts w:asciiTheme="majorBidi" w:hAnsiTheme="majorBidi" w:cstheme="majorBidi"/>
                <w:sz w:val="24"/>
                <w:szCs w:val="24"/>
                <w:lang w:val="en-US"/>
              </w:rPr>
            </w:pPr>
            <w:r w:rsidRPr="007A1A56">
              <w:rPr>
                <w:rFonts w:asciiTheme="majorBidi" w:hAnsiTheme="majorBidi" w:cstheme="majorBidi"/>
                <w:sz w:val="24"/>
                <w:szCs w:val="24"/>
                <w:lang w:val="en-US"/>
              </w:rPr>
              <w:t>[</w:t>
            </w:r>
            <w:r w:rsidRPr="006A52B9">
              <w:rPr>
                <w:rFonts w:asciiTheme="majorBidi" w:hAnsiTheme="majorBidi" w:cstheme="majorBidi"/>
                <w:i/>
                <w:sz w:val="24"/>
                <w:szCs w:val="24"/>
                <w:lang w:val="en-US"/>
              </w:rPr>
              <w:t>R</w:t>
            </w:r>
            <w:r>
              <w:rPr>
                <w:rFonts w:asciiTheme="majorBidi" w:hAnsiTheme="majorBidi" w:cstheme="majorBidi"/>
                <w:i/>
                <w:sz w:val="24"/>
                <w:szCs w:val="24"/>
                <w:vertAlign w:val="subscript"/>
                <w:lang w:val="en-US"/>
              </w:rPr>
              <w:t>i</w:t>
            </w:r>
            <w:r w:rsidRPr="007A1A56">
              <w:rPr>
                <w:rFonts w:asciiTheme="majorBidi" w:hAnsiTheme="majorBidi" w:cstheme="majorBidi"/>
                <w:sz w:val="24"/>
                <w:szCs w:val="24"/>
                <w:lang w:val="en-US"/>
              </w:rPr>
              <w:t xml:space="preserve"> ×</w:t>
            </w:r>
            <w:r w:rsidRPr="00D5186E">
              <w:rPr>
                <w:rFonts w:asciiTheme="majorBidi" w:hAnsiTheme="majorBidi" w:cstheme="majorBidi"/>
                <w:i/>
                <w:sz w:val="24"/>
                <w:szCs w:val="24"/>
                <w:lang w:val="en-US"/>
              </w:rPr>
              <w:t>Tax</w:t>
            </w:r>
            <w:r w:rsidRPr="000133C7">
              <w:rPr>
                <w:rFonts w:asciiTheme="majorBidi" w:hAnsiTheme="majorBidi" w:cstheme="majorBidi"/>
                <w:i/>
                <w:sz w:val="24"/>
                <w:szCs w:val="24"/>
                <w:vertAlign w:val="subscript"/>
                <w:lang w:val="en-US"/>
              </w:rPr>
              <w:t>it-1</w:t>
            </w:r>
            <w:r w:rsidRPr="007A1A56">
              <w:rPr>
                <w:rFonts w:asciiTheme="majorBidi" w:hAnsiTheme="majorBidi" w:cstheme="majorBidi"/>
                <w:sz w:val="24"/>
                <w:szCs w:val="24"/>
                <w:lang w:val="en-US"/>
              </w:rPr>
              <w:t>]</w:t>
            </w:r>
          </w:p>
        </w:tc>
        <w:tc>
          <w:tcPr>
            <w:tcW w:w="69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-0.968</w:t>
            </w: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c>
          <w:tcPr>
            <w:tcW w:w="626"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r>
      <w:tr w:rsidR="0026790F" w:rsidRPr="00710CF7" w:rsidTr="0026790F">
        <w:tc>
          <w:tcPr>
            <w:tcW w:w="1169" w:type="pct"/>
            <w:tcBorders>
              <w:top w:val="nil"/>
              <w:left w:val="nil"/>
              <w:bottom w:val="nil"/>
              <w:right w:val="nil"/>
            </w:tcBorders>
          </w:tcPr>
          <w:p w:rsidR="0026790F" w:rsidRPr="007A1A56" w:rsidRDefault="0026790F" w:rsidP="00C774B9">
            <w:pPr>
              <w:spacing w:line="240" w:lineRule="auto"/>
              <w:ind w:firstLine="0"/>
              <w:rPr>
                <w:rFonts w:asciiTheme="majorBidi" w:hAnsiTheme="majorBidi" w:cstheme="majorBidi"/>
                <w:sz w:val="24"/>
                <w:szCs w:val="24"/>
                <w:lang w:val="en-US"/>
              </w:rPr>
            </w:pPr>
          </w:p>
        </w:tc>
        <w:tc>
          <w:tcPr>
            <w:tcW w:w="69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(0.57)</w:t>
            </w: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c>
          <w:tcPr>
            <w:tcW w:w="626"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r>
      <w:tr w:rsidR="0026790F" w:rsidRPr="00710CF7" w:rsidTr="0026790F">
        <w:tc>
          <w:tcPr>
            <w:tcW w:w="1169" w:type="pct"/>
            <w:tcBorders>
              <w:top w:val="nil"/>
              <w:left w:val="nil"/>
              <w:bottom w:val="nil"/>
              <w:right w:val="nil"/>
            </w:tcBorders>
          </w:tcPr>
          <w:p w:rsidR="0026790F" w:rsidRPr="007A1A56" w:rsidRDefault="0026790F" w:rsidP="00C774B9">
            <w:pPr>
              <w:spacing w:line="240" w:lineRule="auto"/>
              <w:ind w:firstLine="0"/>
              <w:rPr>
                <w:rFonts w:asciiTheme="majorBidi" w:hAnsiTheme="majorBidi" w:cstheme="majorBidi"/>
                <w:sz w:val="24"/>
                <w:szCs w:val="24"/>
                <w:lang w:val="en-US"/>
              </w:rPr>
            </w:pPr>
            <w:r w:rsidRPr="007A1A56">
              <w:rPr>
                <w:rFonts w:asciiTheme="majorBidi" w:hAnsiTheme="majorBidi" w:cstheme="majorBidi"/>
                <w:sz w:val="24"/>
                <w:szCs w:val="24"/>
                <w:lang w:val="en-US"/>
              </w:rPr>
              <w:t>[</w:t>
            </w:r>
            <w:r>
              <w:rPr>
                <w:rFonts w:asciiTheme="majorBidi" w:hAnsiTheme="majorBidi" w:cstheme="majorBidi"/>
                <w:i/>
                <w:sz w:val="24"/>
                <w:szCs w:val="24"/>
                <w:lang w:val="en-US"/>
              </w:rPr>
              <w:t>E</w:t>
            </w:r>
            <w:r>
              <w:rPr>
                <w:rFonts w:asciiTheme="majorBidi" w:hAnsiTheme="majorBidi" w:cstheme="majorBidi"/>
                <w:i/>
                <w:sz w:val="24"/>
                <w:szCs w:val="24"/>
                <w:vertAlign w:val="subscript"/>
                <w:lang w:val="en-US"/>
              </w:rPr>
              <w:t>i</w:t>
            </w:r>
            <w:r w:rsidRPr="007A1A56">
              <w:rPr>
                <w:rFonts w:asciiTheme="majorBidi" w:hAnsiTheme="majorBidi" w:cstheme="majorBidi"/>
                <w:sz w:val="24"/>
                <w:szCs w:val="24"/>
                <w:lang w:val="en-US"/>
              </w:rPr>
              <w:t xml:space="preserve"> ×</w:t>
            </w:r>
            <w:r w:rsidRPr="00D5186E">
              <w:rPr>
                <w:rFonts w:asciiTheme="majorBidi" w:hAnsiTheme="majorBidi" w:cstheme="majorBidi"/>
                <w:i/>
                <w:sz w:val="24"/>
                <w:szCs w:val="24"/>
                <w:lang w:val="en-US"/>
              </w:rPr>
              <w:t>Tax</w:t>
            </w:r>
            <w:r w:rsidRPr="000133C7">
              <w:rPr>
                <w:rFonts w:asciiTheme="majorBidi" w:hAnsiTheme="majorBidi" w:cstheme="majorBidi"/>
                <w:i/>
                <w:sz w:val="24"/>
                <w:szCs w:val="24"/>
                <w:vertAlign w:val="subscript"/>
                <w:lang w:val="en-US"/>
              </w:rPr>
              <w:t>it-1</w:t>
            </w:r>
            <w:r w:rsidRPr="007A1A56">
              <w:rPr>
                <w:rFonts w:asciiTheme="majorBidi" w:hAnsiTheme="majorBidi" w:cstheme="majorBidi"/>
                <w:sz w:val="24"/>
                <w:szCs w:val="24"/>
                <w:lang w:val="en-US"/>
              </w:rPr>
              <w:t>]</w:t>
            </w:r>
          </w:p>
        </w:tc>
        <w:tc>
          <w:tcPr>
            <w:tcW w:w="69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-0.086</w:t>
            </w: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c>
          <w:tcPr>
            <w:tcW w:w="626"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r>
      <w:tr w:rsidR="0026790F" w:rsidRPr="00710CF7" w:rsidTr="0026790F">
        <w:tc>
          <w:tcPr>
            <w:tcW w:w="1169" w:type="pct"/>
            <w:tcBorders>
              <w:top w:val="nil"/>
              <w:left w:val="nil"/>
              <w:bottom w:val="nil"/>
              <w:right w:val="nil"/>
            </w:tcBorders>
          </w:tcPr>
          <w:p w:rsidR="0026790F" w:rsidRPr="007A4735" w:rsidRDefault="0026790F" w:rsidP="00C774B9">
            <w:pPr>
              <w:spacing w:line="240" w:lineRule="auto"/>
              <w:ind w:firstLine="0"/>
              <w:rPr>
                <w:rFonts w:asciiTheme="majorBidi" w:hAnsiTheme="majorBidi" w:cstheme="majorBidi"/>
                <w:sz w:val="24"/>
                <w:szCs w:val="24"/>
                <w:lang w:val="en-US"/>
              </w:rPr>
            </w:pPr>
          </w:p>
        </w:tc>
        <w:tc>
          <w:tcPr>
            <w:tcW w:w="69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(0.51)</w:t>
            </w: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c>
          <w:tcPr>
            <w:tcW w:w="626"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r>
      <w:tr w:rsidR="0026790F" w:rsidRPr="00710CF7" w:rsidTr="0026790F">
        <w:tc>
          <w:tcPr>
            <w:tcW w:w="1169" w:type="pct"/>
            <w:tcBorders>
              <w:top w:val="nil"/>
              <w:left w:val="nil"/>
              <w:bottom w:val="nil"/>
              <w:right w:val="nil"/>
            </w:tcBorders>
          </w:tcPr>
          <w:p w:rsidR="0026790F" w:rsidRPr="007A4735" w:rsidRDefault="0026790F" w:rsidP="00C774B9">
            <w:pPr>
              <w:spacing w:line="240" w:lineRule="auto"/>
              <w:ind w:firstLine="0"/>
              <w:rPr>
                <w:rFonts w:asciiTheme="majorBidi" w:hAnsiTheme="majorBidi" w:cstheme="majorBidi"/>
                <w:sz w:val="24"/>
                <w:szCs w:val="24"/>
                <w:lang w:val="en-US"/>
              </w:rPr>
            </w:pPr>
            <w:r w:rsidRPr="007A4735">
              <w:rPr>
                <w:rFonts w:asciiTheme="majorBidi" w:hAnsiTheme="majorBidi" w:cstheme="majorBidi"/>
                <w:sz w:val="24"/>
                <w:szCs w:val="24"/>
                <w:lang w:val="en-US"/>
              </w:rPr>
              <w:t>[</w:t>
            </w:r>
            <w:r w:rsidRPr="000133C7">
              <w:rPr>
                <w:rFonts w:asciiTheme="majorBidi" w:hAnsiTheme="majorBidi" w:cstheme="majorBidi"/>
                <w:i/>
                <w:sz w:val="24"/>
                <w:szCs w:val="24"/>
                <w:lang w:val="en-US"/>
              </w:rPr>
              <w:t>GAP</w:t>
            </w:r>
            <w:r>
              <w:rPr>
                <w:rFonts w:asciiTheme="majorBidi" w:hAnsiTheme="majorBidi" w:cstheme="majorBidi"/>
                <w:i/>
                <w:sz w:val="24"/>
                <w:szCs w:val="24"/>
                <w:vertAlign w:val="subscript"/>
                <w:lang w:val="en-US"/>
              </w:rPr>
              <w:t>it-1</w:t>
            </w:r>
            <w:r w:rsidRPr="007A4735">
              <w:rPr>
                <w:rFonts w:asciiTheme="majorBidi" w:hAnsiTheme="majorBidi" w:cstheme="majorBidi"/>
                <w:sz w:val="24"/>
                <w:szCs w:val="24"/>
                <w:lang w:val="en-US"/>
              </w:rPr>
              <w:t>×</w:t>
            </w:r>
            <w:r w:rsidRPr="00D5186E">
              <w:rPr>
                <w:rFonts w:asciiTheme="majorBidi" w:hAnsiTheme="majorBidi" w:cstheme="majorBidi"/>
                <w:i/>
                <w:sz w:val="24"/>
                <w:szCs w:val="24"/>
                <w:lang w:val="en-US"/>
              </w:rPr>
              <w:t>Tax</w:t>
            </w:r>
            <w:r w:rsidRPr="000133C7">
              <w:rPr>
                <w:rFonts w:asciiTheme="majorBidi" w:hAnsiTheme="majorBidi" w:cstheme="majorBidi"/>
                <w:i/>
                <w:sz w:val="24"/>
                <w:szCs w:val="24"/>
                <w:vertAlign w:val="subscript"/>
                <w:lang w:val="en-US"/>
              </w:rPr>
              <w:t>it-1</w:t>
            </w:r>
            <w:r w:rsidRPr="007A4735">
              <w:rPr>
                <w:rFonts w:asciiTheme="majorBidi" w:hAnsiTheme="majorBidi" w:cstheme="majorBidi"/>
                <w:sz w:val="24"/>
                <w:szCs w:val="24"/>
                <w:lang w:val="en-US"/>
              </w:rPr>
              <w:t>×</w:t>
            </w:r>
            <w:r w:rsidRPr="006A52B9">
              <w:rPr>
                <w:rFonts w:asciiTheme="majorBidi" w:hAnsiTheme="majorBidi" w:cstheme="majorBidi"/>
                <w:i/>
                <w:sz w:val="24"/>
                <w:szCs w:val="24"/>
                <w:lang w:val="en-US"/>
              </w:rPr>
              <w:t>R</w:t>
            </w:r>
            <w:r>
              <w:rPr>
                <w:rFonts w:asciiTheme="majorBidi" w:hAnsiTheme="majorBidi" w:cstheme="majorBidi"/>
                <w:i/>
                <w:sz w:val="24"/>
                <w:szCs w:val="24"/>
                <w:vertAlign w:val="subscript"/>
                <w:lang w:val="en-US"/>
              </w:rPr>
              <w:t>i</w:t>
            </w:r>
            <w:r w:rsidRPr="007A4735">
              <w:rPr>
                <w:rFonts w:asciiTheme="majorBidi" w:hAnsiTheme="majorBidi" w:cstheme="majorBidi"/>
                <w:sz w:val="24"/>
                <w:szCs w:val="24"/>
                <w:lang w:val="en-US"/>
              </w:rPr>
              <w:t>]</w:t>
            </w:r>
          </w:p>
        </w:tc>
        <w:tc>
          <w:tcPr>
            <w:tcW w:w="69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-1.322</w:t>
            </w:r>
          </w:p>
        </w:tc>
        <w:tc>
          <w:tcPr>
            <w:tcW w:w="626"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r>
      <w:tr w:rsidR="0026790F" w:rsidRPr="00710CF7" w:rsidTr="0026790F">
        <w:tc>
          <w:tcPr>
            <w:tcW w:w="1169" w:type="pct"/>
            <w:tcBorders>
              <w:top w:val="nil"/>
              <w:left w:val="nil"/>
              <w:bottom w:val="nil"/>
              <w:right w:val="nil"/>
            </w:tcBorders>
          </w:tcPr>
          <w:p w:rsidR="0026790F" w:rsidRPr="007A4735" w:rsidRDefault="0026790F" w:rsidP="00C774B9">
            <w:pPr>
              <w:spacing w:line="240" w:lineRule="auto"/>
              <w:ind w:firstLine="0"/>
              <w:rPr>
                <w:rFonts w:asciiTheme="majorBidi" w:hAnsiTheme="majorBidi" w:cstheme="majorBidi"/>
                <w:sz w:val="24"/>
                <w:szCs w:val="24"/>
                <w:lang w:val="en-US"/>
              </w:rPr>
            </w:pPr>
          </w:p>
        </w:tc>
        <w:tc>
          <w:tcPr>
            <w:tcW w:w="69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(0.64)</w:t>
            </w:r>
          </w:p>
        </w:tc>
        <w:tc>
          <w:tcPr>
            <w:tcW w:w="626"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r>
      <w:tr w:rsidR="0026790F" w:rsidRPr="00710CF7" w:rsidTr="0026790F">
        <w:tc>
          <w:tcPr>
            <w:tcW w:w="1169" w:type="pct"/>
            <w:tcBorders>
              <w:top w:val="nil"/>
              <w:left w:val="nil"/>
              <w:bottom w:val="nil"/>
              <w:right w:val="nil"/>
            </w:tcBorders>
          </w:tcPr>
          <w:p w:rsidR="0026790F" w:rsidRPr="007A4735" w:rsidRDefault="0026790F" w:rsidP="00C774B9">
            <w:pPr>
              <w:spacing w:line="240" w:lineRule="auto"/>
              <w:ind w:firstLine="0"/>
              <w:rPr>
                <w:rFonts w:asciiTheme="majorBidi" w:hAnsiTheme="majorBidi" w:cstheme="majorBidi"/>
                <w:sz w:val="24"/>
                <w:szCs w:val="24"/>
                <w:lang w:val="en-US"/>
              </w:rPr>
            </w:pPr>
            <w:r w:rsidRPr="007A4735">
              <w:rPr>
                <w:rFonts w:asciiTheme="majorBidi" w:hAnsiTheme="majorBidi" w:cstheme="majorBidi"/>
                <w:sz w:val="24"/>
                <w:szCs w:val="24"/>
                <w:lang w:val="en-US"/>
              </w:rPr>
              <w:t>[</w:t>
            </w:r>
            <w:r w:rsidRPr="000133C7">
              <w:rPr>
                <w:rFonts w:asciiTheme="majorBidi" w:hAnsiTheme="majorBidi" w:cstheme="majorBidi"/>
                <w:i/>
                <w:sz w:val="24"/>
                <w:szCs w:val="24"/>
                <w:lang w:val="en-US"/>
              </w:rPr>
              <w:t>GAP</w:t>
            </w:r>
            <w:r>
              <w:rPr>
                <w:rFonts w:asciiTheme="majorBidi" w:hAnsiTheme="majorBidi" w:cstheme="majorBidi"/>
                <w:i/>
                <w:sz w:val="24"/>
                <w:szCs w:val="24"/>
                <w:vertAlign w:val="subscript"/>
                <w:lang w:val="en-US"/>
              </w:rPr>
              <w:t>it-1</w:t>
            </w:r>
            <w:r w:rsidRPr="007A4735">
              <w:rPr>
                <w:rFonts w:asciiTheme="majorBidi" w:hAnsiTheme="majorBidi" w:cstheme="majorBidi"/>
                <w:sz w:val="24"/>
                <w:szCs w:val="24"/>
                <w:lang w:val="en-US"/>
              </w:rPr>
              <w:t>×</w:t>
            </w:r>
            <w:r w:rsidRPr="00D5186E">
              <w:rPr>
                <w:rFonts w:asciiTheme="majorBidi" w:hAnsiTheme="majorBidi" w:cstheme="majorBidi"/>
                <w:i/>
                <w:sz w:val="24"/>
                <w:szCs w:val="24"/>
                <w:lang w:val="en-US"/>
              </w:rPr>
              <w:t>Tax</w:t>
            </w:r>
            <w:r w:rsidRPr="000133C7">
              <w:rPr>
                <w:rFonts w:asciiTheme="majorBidi" w:hAnsiTheme="majorBidi" w:cstheme="majorBidi"/>
                <w:i/>
                <w:sz w:val="24"/>
                <w:szCs w:val="24"/>
                <w:vertAlign w:val="subscript"/>
                <w:lang w:val="en-US"/>
              </w:rPr>
              <w:t>it-1</w:t>
            </w:r>
            <w:r w:rsidRPr="007A4735">
              <w:rPr>
                <w:rFonts w:asciiTheme="majorBidi" w:hAnsiTheme="majorBidi" w:cstheme="majorBidi"/>
                <w:sz w:val="24"/>
                <w:szCs w:val="24"/>
                <w:lang w:val="en-US"/>
              </w:rPr>
              <w:t>×</w:t>
            </w:r>
            <w:r>
              <w:rPr>
                <w:rFonts w:asciiTheme="majorBidi" w:hAnsiTheme="majorBidi" w:cstheme="majorBidi"/>
                <w:i/>
                <w:sz w:val="24"/>
                <w:szCs w:val="24"/>
                <w:lang w:val="en-US"/>
              </w:rPr>
              <w:t>E</w:t>
            </w:r>
            <w:r>
              <w:rPr>
                <w:rFonts w:asciiTheme="majorBidi" w:hAnsiTheme="majorBidi" w:cstheme="majorBidi"/>
                <w:i/>
                <w:sz w:val="24"/>
                <w:szCs w:val="24"/>
                <w:vertAlign w:val="subscript"/>
                <w:lang w:val="en-US"/>
              </w:rPr>
              <w:t>i</w:t>
            </w:r>
            <w:r w:rsidRPr="007A4735">
              <w:rPr>
                <w:rFonts w:asciiTheme="majorBidi" w:hAnsiTheme="majorBidi" w:cstheme="majorBidi"/>
                <w:sz w:val="24"/>
                <w:szCs w:val="24"/>
                <w:lang w:val="en-US"/>
              </w:rPr>
              <w:t>]</w:t>
            </w:r>
          </w:p>
        </w:tc>
        <w:tc>
          <w:tcPr>
            <w:tcW w:w="69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c>
          <w:tcPr>
            <w:tcW w:w="627"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c>
          <w:tcPr>
            <w:tcW w:w="626" w:type="pct"/>
            <w:tcBorders>
              <w:top w:val="nil"/>
              <w:left w:val="nil"/>
              <w:bottom w:val="nil"/>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-0.110</w:t>
            </w:r>
          </w:p>
        </w:tc>
      </w:tr>
      <w:tr w:rsidR="0026790F" w:rsidRPr="00710CF7" w:rsidTr="0026790F">
        <w:tc>
          <w:tcPr>
            <w:tcW w:w="1169" w:type="pct"/>
            <w:tcBorders>
              <w:top w:val="nil"/>
              <w:left w:val="nil"/>
              <w:bottom w:val="single" w:sz="4" w:space="0" w:color="auto"/>
              <w:right w:val="nil"/>
            </w:tcBorders>
          </w:tcPr>
          <w:p w:rsidR="0026790F" w:rsidRPr="007A4735" w:rsidRDefault="0026790F" w:rsidP="00C774B9">
            <w:pPr>
              <w:spacing w:line="240" w:lineRule="auto"/>
              <w:ind w:firstLine="0"/>
              <w:rPr>
                <w:rFonts w:asciiTheme="majorBidi" w:hAnsiTheme="majorBidi" w:cstheme="majorBidi"/>
                <w:sz w:val="24"/>
                <w:szCs w:val="24"/>
                <w:lang w:val="en-US"/>
              </w:rPr>
            </w:pPr>
          </w:p>
        </w:tc>
        <w:tc>
          <w:tcPr>
            <w:tcW w:w="697" w:type="pct"/>
            <w:tcBorders>
              <w:top w:val="nil"/>
              <w:left w:val="nil"/>
              <w:bottom w:val="single" w:sz="4" w:space="0" w:color="auto"/>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c>
          <w:tcPr>
            <w:tcW w:w="627" w:type="pct"/>
            <w:tcBorders>
              <w:top w:val="nil"/>
              <w:left w:val="nil"/>
              <w:bottom w:val="single" w:sz="4" w:space="0" w:color="auto"/>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c>
          <w:tcPr>
            <w:tcW w:w="627" w:type="pct"/>
            <w:tcBorders>
              <w:top w:val="nil"/>
              <w:left w:val="nil"/>
              <w:bottom w:val="single" w:sz="4" w:space="0" w:color="auto"/>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c>
          <w:tcPr>
            <w:tcW w:w="627" w:type="pct"/>
            <w:tcBorders>
              <w:top w:val="nil"/>
              <w:left w:val="nil"/>
              <w:bottom w:val="single" w:sz="4" w:space="0" w:color="auto"/>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c>
          <w:tcPr>
            <w:tcW w:w="627" w:type="pct"/>
            <w:tcBorders>
              <w:top w:val="nil"/>
              <w:left w:val="nil"/>
              <w:bottom w:val="single" w:sz="4" w:space="0" w:color="auto"/>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p>
        </w:tc>
        <w:tc>
          <w:tcPr>
            <w:tcW w:w="626" w:type="pct"/>
            <w:tcBorders>
              <w:top w:val="nil"/>
              <w:left w:val="nil"/>
              <w:bottom w:val="single" w:sz="4" w:space="0" w:color="auto"/>
              <w:right w:val="nil"/>
            </w:tcBorders>
          </w:tcPr>
          <w:p w:rsidR="0026790F" w:rsidRPr="00710CF7" w:rsidRDefault="0026790F"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(0.51)</w:t>
            </w:r>
          </w:p>
        </w:tc>
      </w:tr>
      <w:tr w:rsidR="00710CF7" w:rsidRPr="00710CF7" w:rsidTr="0026790F">
        <w:tc>
          <w:tcPr>
            <w:tcW w:w="1169" w:type="pct"/>
            <w:tcBorders>
              <w:top w:val="nil"/>
              <w:left w:val="nil"/>
              <w:bottom w:val="single" w:sz="4" w:space="0" w:color="auto"/>
              <w:right w:val="nil"/>
            </w:tcBorders>
          </w:tcPr>
          <w:p w:rsidR="00710CF7" w:rsidRPr="00710CF7" w:rsidRDefault="00710CF7" w:rsidP="00C774B9">
            <w:pPr>
              <w:widowControl w:val="0"/>
              <w:autoSpaceDE w:val="0"/>
              <w:autoSpaceDN w:val="0"/>
              <w:adjustRightInd w:val="0"/>
              <w:spacing w:line="240" w:lineRule="auto"/>
              <w:ind w:firstLine="0"/>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Industry dummies</w:t>
            </w:r>
          </w:p>
        </w:tc>
        <w:tc>
          <w:tcPr>
            <w:tcW w:w="697" w:type="pct"/>
            <w:tcBorders>
              <w:top w:val="nil"/>
              <w:left w:val="nil"/>
              <w:bottom w:val="single" w:sz="4" w:space="0" w:color="auto"/>
              <w:right w:val="nil"/>
            </w:tcBorders>
          </w:tcPr>
          <w:p w:rsidR="00710CF7" w:rsidRPr="00710CF7" w:rsidRDefault="00710CF7" w:rsidP="00C774B9">
            <w:pPr>
              <w:spacing w:line="240" w:lineRule="auto"/>
              <w:ind w:firstLine="0"/>
              <w:jc w:val="center"/>
              <w:rPr>
                <w:rFonts w:eastAsia="SimSun"/>
                <w:sz w:val="24"/>
                <w:szCs w:val="24"/>
                <w:lang w:val="en-GB" w:eastAsia="zh-CN"/>
              </w:rPr>
            </w:pPr>
            <w:r w:rsidRPr="00710CF7">
              <w:rPr>
                <w:rFonts w:ascii="Times New Roman" w:eastAsia="SimSun" w:hAnsi="Times New Roman"/>
                <w:sz w:val="24"/>
                <w:szCs w:val="24"/>
                <w:lang w:val="en-US" w:eastAsia="zh-CN"/>
              </w:rPr>
              <w:t>Yes</w:t>
            </w:r>
          </w:p>
        </w:tc>
        <w:tc>
          <w:tcPr>
            <w:tcW w:w="627" w:type="pct"/>
            <w:tcBorders>
              <w:top w:val="nil"/>
              <w:left w:val="nil"/>
              <w:bottom w:val="single" w:sz="4" w:space="0" w:color="auto"/>
              <w:right w:val="nil"/>
            </w:tcBorders>
          </w:tcPr>
          <w:p w:rsidR="00710CF7" w:rsidRPr="00710CF7" w:rsidRDefault="00710CF7" w:rsidP="00C774B9">
            <w:pPr>
              <w:spacing w:line="240" w:lineRule="auto"/>
              <w:ind w:firstLine="0"/>
              <w:jc w:val="center"/>
              <w:rPr>
                <w:rFonts w:eastAsia="SimSun"/>
                <w:sz w:val="24"/>
                <w:szCs w:val="24"/>
                <w:lang w:val="en-GB" w:eastAsia="zh-CN"/>
              </w:rPr>
            </w:pPr>
            <w:r w:rsidRPr="00710CF7">
              <w:rPr>
                <w:rFonts w:ascii="Times New Roman" w:eastAsia="SimSun" w:hAnsi="Times New Roman"/>
                <w:sz w:val="24"/>
                <w:szCs w:val="24"/>
                <w:lang w:val="en-US" w:eastAsia="zh-CN"/>
              </w:rPr>
              <w:t>Yes</w:t>
            </w:r>
          </w:p>
        </w:tc>
        <w:tc>
          <w:tcPr>
            <w:tcW w:w="627" w:type="pct"/>
            <w:tcBorders>
              <w:top w:val="nil"/>
              <w:left w:val="nil"/>
              <w:bottom w:val="single" w:sz="4" w:space="0" w:color="auto"/>
              <w:right w:val="nil"/>
            </w:tcBorders>
          </w:tcPr>
          <w:p w:rsidR="00710CF7" w:rsidRPr="00710CF7" w:rsidRDefault="00710CF7" w:rsidP="00C774B9">
            <w:pPr>
              <w:spacing w:line="240" w:lineRule="auto"/>
              <w:ind w:firstLine="0"/>
              <w:jc w:val="center"/>
              <w:rPr>
                <w:rFonts w:eastAsia="SimSun"/>
                <w:sz w:val="24"/>
                <w:szCs w:val="24"/>
                <w:lang w:val="en-GB" w:eastAsia="zh-CN"/>
              </w:rPr>
            </w:pPr>
            <w:r w:rsidRPr="00710CF7">
              <w:rPr>
                <w:rFonts w:ascii="Times New Roman" w:eastAsia="SimSun" w:hAnsi="Times New Roman"/>
                <w:sz w:val="24"/>
                <w:szCs w:val="24"/>
                <w:lang w:val="en-US" w:eastAsia="zh-CN"/>
              </w:rPr>
              <w:t>Yes</w:t>
            </w:r>
          </w:p>
        </w:tc>
        <w:tc>
          <w:tcPr>
            <w:tcW w:w="627" w:type="pct"/>
            <w:tcBorders>
              <w:top w:val="nil"/>
              <w:left w:val="nil"/>
              <w:bottom w:val="single" w:sz="4" w:space="0" w:color="auto"/>
              <w:right w:val="nil"/>
            </w:tcBorders>
          </w:tcPr>
          <w:p w:rsidR="00710CF7" w:rsidRPr="00710CF7" w:rsidRDefault="00710CF7" w:rsidP="00C774B9">
            <w:pPr>
              <w:spacing w:line="240" w:lineRule="auto"/>
              <w:ind w:firstLine="0"/>
              <w:jc w:val="center"/>
              <w:rPr>
                <w:rFonts w:eastAsia="SimSun"/>
                <w:sz w:val="24"/>
                <w:szCs w:val="24"/>
                <w:lang w:val="en-GB" w:eastAsia="zh-CN"/>
              </w:rPr>
            </w:pPr>
            <w:r w:rsidRPr="00710CF7">
              <w:rPr>
                <w:rFonts w:ascii="Times New Roman" w:eastAsia="SimSun" w:hAnsi="Times New Roman"/>
                <w:sz w:val="24"/>
                <w:szCs w:val="24"/>
                <w:lang w:val="en-US" w:eastAsia="zh-CN"/>
              </w:rPr>
              <w:t>Yes</w:t>
            </w:r>
          </w:p>
        </w:tc>
        <w:tc>
          <w:tcPr>
            <w:tcW w:w="627" w:type="pct"/>
            <w:tcBorders>
              <w:top w:val="nil"/>
              <w:left w:val="nil"/>
              <w:bottom w:val="single" w:sz="4" w:space="0" w:color="auto"/>
              <w:right w:val="nil"/>
            </w:tcBorders>
          </w:tcPr>
          <w:p w:rsidR="00710CF7" w:rsidRPr="00710CF7" w:rsidRDefault="00710CF7" w:rsidP="00C774B9">
            <w:pPr>
              <w:spacing w:line="240" w:lineRule="auto"/>
              <w:ind w:firstLine="0"/>
              <w:jc w:val="center"/>
              <w:rPr>
                <w:rFonts w:eastAsia="SimSun"/>
                <w:sz w:val="24"/>
                <w:szCs w:val="24"/>
                <w:lang w:val="en-GB" w:eastAsia="zh-CN"/>
              </w:rPr>
            </w:pPr>
            <w:r w:rsidRPr="00710CF7">
              <w:rPr>
                <w:rFonts w:ascii="Times New Roman" w:eastAsia="SimSun" w:hAnsi="Times New Roman"/>
                <w:sz w:val="24"/>
                <w:szCs w:val="24"/>
                <w:lang w:val="en-US" w:eastAsia="zh-CN"/>
              </w:rPr>
              <w:t>Yes</w:t>
            </w:r>
          </w:p>
        </w:tc>
        <w:tc>
          <w:tcPr>
            <w:tcW w:w="626" w:type="pct"/>
            <w:tcBorders>
              <w:top w:val="nil"/>
              <w:left w:val="nil"/>
              <w:bottom w:val="single" w:sz="4" w:space="0" w:color="auto"/>
              <w:right w:val="nil"/>
            </w:tcBorders>
          </w:tcPr>
          <w:p w:rsidR="00710CF7" w:rsidRPr="00710CF7" w:rsidRDefault="00710CF7" w:rsidP="00C774B9">
            <w:pPr>
              <w:spacing w:line="240" w:lineRule="auto"/>
              <w:ind w:firstLine="0"/>
              <w:jc w:val="center"/>
              <w:rPr>
                <w:rFonts w:eastAsia="SimSun"/>
                <w:sz w:val="24"/>
                <w:szCs w:val="24"/>
                <w:lang w:val="en-GB" w:eastAsia="zh-CN"/>
              </w:rPr>
            </w:pPr>
            <w:r w:rsidRPr="00710CF7">
              <w:rPr>
                <w:rFonts w:ascii="Times New Roman" w:eastAsia="SimSun" w:hAnsi="Times New Roman"/>
                <w:sz w:val="24"/>
                <w:szCs w:val="24"/>
                <w:lang w:val="en-US" w:eastAsia="zh-CN"/>
              </w:rPr>
              <w:t>Yes</w:t>
            </w:r>
          </w:p>
        </w:tc>
      </w:tr>
      <w:tr w:rsidR="00710CF7" w:rsidRPr="00710CF7" w:rsidTr="0026790F">
        <w:tc>
          <w:tcPr>
            <w:tcW w:w="1169" w:type="pct"/>
            <w:tcBorders>
              <w:top w:val="nil"/>
              <w:left w:val="nil"/>
              <w:bottom w:val="single" w:sz="4" w:space="0" w:color="auto"/>
              <w:right w:val="nil"/>
            </w:tcBorders>
          </w:tcPr>
          <w:p w:rsidR="00710CF7" w:rsidRPr="00710CF7" w:rsidRDefault="00710CF7" w:rsidP="00C774B9">
            <w:pPr>
              <w:widowControl w:val="0"/>
              <w:autoSpaceDE w:val="0"/>
              <w:autoSpaceDN w:val="0"/>
              <w:adjustRightInd w:val="0"/>
              <w:spacing w:line="240" w:lineRule="auto"/>
              <w:ind w:firstLine="0"/>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Year dummies</w:t>
            </w:r>
          </w:p>
        </w:tc>
        <w:tc>
          <w:tcPr>
            <w:tcW w:w="697" w:type="pct"/>
            <w:tcBorders>
              <w:top w:val="nil"/>
              <w:left w:val="nil"/>
              <w:bottom w:val="single" w:sz="4" w:space="0" w:color="auto"/>
              <w:right w:val="nil"/>
            </w:tcBorders>
          </w:tcPr>
          <w:p w:rsidR="00710CF7" w:rsidRPr="00710CF7" w:rsidRDefault="00710CF7" w:rsidP="00C774B9">
            <w:pPr>
              <w:spacing w:line="240" w:lineRule="auto"/>
              <w:ind w:firstLine="0"/>
              <w:jc w:val="center"/>
              <w:rPr>
                <w:rFonts w:eastAsia="SimSun"/>
                <w:sz w:val="24"/>
                <w:szCs w:val="24"/>
                <w:lang w:val="en-GB" w:eastAsia="zh-CN"/>
              </w:rPr>
            </w:pPr>
            <w:r w:rsidRPr="00710CF7">
              <w:rPr>
                <w:rFonts w:ascii="Times New Roman" w:eastAsia="SimSun" w:hAnsi="Times New Roman"/>
                <w:sz w:val="24"/>
                <w:szCs w:val="24"/>
                <w:lang w:val="en-US" w:eastAsia="zh-CN"/>
              </w:rPr>
              <w:t>Yes</w:t>
            </w:r>
          </w:p>
        </w:tc>
        <w:tc>
          <w:tcPr>
            <w:tcW w:w="627" w:type="pct"/>
            <w:tcBorders>
              <w:top w:val="nil"/>
              <w:left w:val="nil"/>
              <w:bottom w:val="single" w:sz="4" w:space="0" w:color="auto"/>
              <w:right w:val="nil"/>
            </w:tcBorders>
          </w:tcPr>
          <w:p w:rsidR="00710CF7" w:rsidRPr="00710CF7" w:rsidRDefault="00710CF7" w:rsidP="00C774B9">
            <w:pPr>
              <w:spacing w:line="240" w:lineRule="auto"/>
              <w:ind w:firstLine="0"/>
              <w:jc w:val="center"/>
              <w:rPr>
                <w:rFonts w:eastAsia="SimSun"/>
                <w:sz w:val="24"/>
                <w:szCs w:val="24"/>
                <w:lang w:val="en-GB" w:eastAsia="zh-CN"/>
              </w:rPr>
            </w:pPr>
            <w:r w:rsidRPr="00710CF7">
              <w:rPr>
                <w:rFonts w:ascii="Times New Roman" w:eastAsia="SimSun" w:hAnsi="Times New Roman"/>
                <w:sz w:val="24"/>
                <w:szCs w:val="24"/>
                <w:lang w:val="en-US" w:eastAsia="zh-CN"/>
              </w:rPr>
              <w:t>Yes</w:t>
            </w:r>
          </w:p>
        </w:tc>
        <w:tc>
          <w:tcPr>
            <w:tcW w:w="627" w:type="pct"/>
            <w:tcBorders>
              <w:top w:val="nil"/>
              <w:left w:val="nil"/>
              <w:bottom w:val="single" w:sz="4" w:space="0" w:color="auto"/>
              <w:right w:val="nil"/>
            </w:tcBorders>
          </w:tcPr>
          <w:p w:rsidR="00710CF7" w:rsidRPr="00710CF7" w:rsidRDefault="00710CF7" w:rsidP="00C774B9">
            <w:pPr>
              <w:spacing w:line="240" w:lineRule="auto"/>
              <w:ind w:firstLine="0"/>
              <w:jc w:val="center"/>
              <w:rPr>
                <w:rFonts w:eastAsia="SimSun"/>
                <w:sz w:val="24"/>
                <w:szCs w:val="24"/>
                <w:lang w:val="en-GB" w:eastAsia="zh-CN"/>
              </w:rPr>
            </w:pPr>
            <w:r w:rsidRPr="00710CF7">
              <w:rPr>
                <w:rFonts w:ascii="Times New Roman" w:eastAsia="SimSun" w:hAnsi="Times New Roman"/>
                <w:sz w:val="24"/>
                <w:szCs w:val="24"/>
                <w:lang w:val="en-US" w:eastAsia="zh-CN"/>
              </w:rPr>
              <w:t>Yes</w:t>
            </w:r>
          </w:p>
        </w:tc>
        <w:tc>
          <w:tcPr>
            <w:tcW w:w="627" w:type="pct"/>
            <w:tcBorders>
              <w:top w:val="nil"/>
              <w:left w:val="nil"/>
              <w:bottom w:val="single" w:sz="4" w:space="0" w:color="auto"/>
              <w:right w:val="nil"/>
            </w:tcBorders>
          </w:tcPr>
          <w:p w:rsidR="00710CF7" w:rsidRPr="00710CF7" w:rsidRDefault="00710CF7" w:rsidP="00C774B9">
            <w:pPr>
              <w:spacing w:line="240" w:lineRule="auto"/>
              <w:ind w:firstLine="0"/>
              <w:jc w:val="center"/>
              <w:rPr>
                <w:rFonts w:eastAsia="SimSun"/>
                <w:sz w:val="24"/>
                <w:szCs w:val="24"/>
                <w:lang w:val="en-GB" w:eastAsia="zh-CN"/>
              </w:rPr>
            </w:pPr>
            <w:r w:rsidRPr="00710CF7">
              <w:rPr>
                <w:rFonts w:ascii="Times New Roman" w:eastAsia="SimSun" w:hAnsi="Times New Roman"/>
                <w:sz w:val="24"/>
                <w:szCs w:val="24"/>
                <w:lang w:val="en-US" w:eastAsia="zh-CN"/>
              </w:rPr>
              <w:t>Yes</w:t>
            </w:r>
          </w:p>
        </w:tc>
        <w:tc>
          <w:tcPr>
            <w:tcW w:w="627" w:type="pct"/>
            <w:tcBorders>
              <w:top w:val="nil"/>
              <w:left w:val="nil"/>
              <w:bottom w:val="single" w:sz="4" w:space="0" w:color="auto"/>
              <w:right w:val="nil"/>
            </w:tcBorders>
          </w:tcPr>
          <w:p w:rsidR="00710CF7" w:rsidRPr="00710CF7" w:rsidRDefault="00710CF7" w:rsidP="00C774B9">
            <w:pPr>
              <w:spacing w:line="240" w:lineRule="auto"/>
              <w:ind w:firstLine="0"/>
              <w:jc w:val="center"/>
              <w:rPr>
                <w:rFonts w:eastAsia="SimSun"/>
                <w:sz w:val="24"/>
                <w:szCs w:val="24"/>
                <w:lang w:val="en-GB" w:eastAsia="zh-CN"/>
              </w:rPr>
            </w:pPr>
            <w:r w:rsidRPr="00710CF7">
              <w:rPr>
                <w:rFonts w:ascii="Times New Roman" w:eastAsia="SimSun" w:hAnsi="Times New Roman"/>
                <w:sz w:val="24"/>
                <w:szCs w:val="24"/>
                <w:lang w:val="en-US" w:eastAsia="zh-CN"/>
              </w:rPr>
              <w:t>Yes</w:t>
            </w:r>
          </w:p>
        </w:tc>
        <w:tc>
          <w:tcPr>
            <w:tcW w:w="626" w:type="pct"/>
            <w:tcBorders>
              <w:top w:val="nil"/>
              <w:left w:val="nil"/>
              <w:bottom w:val="single" w:sz="4" w:space="0" w:color="auto"/>
              <w:right w:val="nil"/>
            </w:tcBorders>
          </w:tcPr>
          <w:p w:rsidR="00710CF7" w:rsidRPr="00710CF7" w:rsidRDefault="00710CF7" w:rsidP="00C774B9">
            <w:pPr>
              <w:spacing w:line="240" w:lineRule="auto"/>
              <w:ind w:firstLine="0"/>
              <w:jc w:val="center"/>
              <w:rPr>
                <w:rFonts w:eastAsia="SimSun"/>
                <w:sz w:val="24"/>
                <w:szCs w:val="24"/>
                <w:lang w:val="en-GB" w:eastAsia="zh-CN"/>
              </w:rPr>
            </w:pPr>
            <w:r w:rsidRPr="00710CF7">
              <w:rPr>
                <w:rFonts w:ascii="Times New Roman" w:eastAsia="SimSun" w:hAnsi="Times New Roman"/>
                <w:sz w:val="24"/>
                <w:szCs w:val="24"/>
                <w:lang w:val="en-US" w:eastAsia="zh-CN"/>
              </w:rPr>
              <w:t>Yes</w:t>
            </w:r>
          </w:p>
        </w:tc>
      </w:tr>
      <w:tr w:rsidR="00710CF7" w:rsidRPr="00710CF7" w:rsidTr="0026790F">
        <w:tc>
          <w:tcPr>
            <w:tcW w:w="1169" w:type="pct"/>
            <w:tcBorders>
              <w:top w:val="single" w:sz="4" w:space="0" w:color="auto"/>
              <w:left w:val="nil"/>
              <w:bottom w:val="nil"/>
              <w:right w:val="nil"/>
            </w:tcBorders>
          </w:tcPr>
          <w:p w:rsidR="00710CF7" w:rsidRPr="00710CF7" w:rsidRDefault="00710CF7" w:rsidP="00C774B9">
            <w:pPr>
              <w:widowControl w:val="0"/>
              <w:autoSpaceDE w:val="0"/>
              <w:autoSpaceDN w:val="0"/>
              <w:adjustRightInd w:val="0"/>
              <w:spacing w:line="240" w:lineRule="auto"/>
              <w:ind w:firstLine="0"/>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Observations</w:t>
            </w:r>
          </w:p>
        </w:tc>
        <w:tc>
          <w:tcPr>
            <w:tcW w:w="697" w:type="pct"/>
            <w:tcBorders>
              <w:top w:val="single" w:sz="4" w:space="0" w:color="auto"/>
              <w:left w:val="nil"/>
              <w:bottom w:val="nil"/>
              <w:right w:val="nil"/>
            </w:tcBorders>
          </w:tcPr>
          <w:p w:rsidR="00710CF7" w:rsidRPr="00710CF7" w:rsidRDefault="00710CF7"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29624</w:t>
            </w:r>
          </w:p>
        </w:tc>
        <w:tc>
          <w:tcPr>
            <w:tcW w:w="627" w:type="pct"/>
            <w:tcBorders>
              <w:top w:val="single" w:sz="4" w:space="0" w:color="auto"/>
              <w:left w:val="nil"/>
              <w:bottom w:val="nil"/>
              <w:right w:val="nil"/>
            </w:tcBorders>
          </w:tcPr>
          <w:p w:rsidR="00710CF7" w:rsidRPr="00710CF7" w:rsidRDefault="00710CF7"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28516</w:t>
            </w:r>
          </w:p>
        </w:tc>
        <w:tc>
          <w:tcPr>
            <w:tcW w:w="627" w:type="pct"/>
            <w:tcBorders>
              <w:top w:val="single" w:sz="4" w:space="0" w:color="auto"/>
              <w:left w:val="nil"/>
              <w:bottom w:val="nil"/>
              <w:right w:val="nil"/>
            </w:tcBorders>
          </w:tcPr>
          <w:p w:rsidR="00710CF7" w:rsidRPr="00710CF7" w:rsidRDefault="00710CF7"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28516</w:t>
            </w:r>
          </w:p>
        </w:tc>
        <w:tc>
          <w:tcPr>
            <w:tcW w:w="627" w:type="pct"/>
            <w:tcBorders>
              <w:top w:val="single" w:sz="4" w:space="0" w:color="auto"/>
              <w:left w:val="nil"/>
              <w:bottom w:val="nil"/>
              <w:right w:val="nil"/>
            </w:tcBorders>
          </w:tcPr>
          <w:p w:rsidR="00710CF7" w:rsidRPr="00710CF7" w:rsidRDefault="00710CF7"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28516</w:t>
            </w:r>
          </w:p>
        </w:tc>
        <w:tc>
          <w:tcPr>
            <w:tcW w:w="627" w:type="pct"/>
            <w:tcBorders>
              <w:top w:val="single" w:sz="4" w:space="0" w:color="auto"/>
              <w:left w:val="nil"/>
              <w:bottom w:val="nil"/>
              <w:right w:val="nil"/>
            </w:tcBorders>
          </w:tcPr>
          <w:p w:rsidR="00710CF7" w:rsidRPr="00710CF7" w:rsidRDefault="00710CF7"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28516</w:t>
            </w:r>
          </w:p>
        </w:tc>
        <w:tc>
          <w:tcPr>
            <w:tcW w:w="626" w:type="pct"/>
            <w:tcBorders>
              <w:top w:val="single" w:sz="4" w:space="0" w:color="auto"/>
              <w:left w:val="nil"/>
              <w:bottom w:val="nil"/>
              <w:right w:val="nil"/>
            </w:tcBorders>
          </w:tcPr>
          <w:p w:rsidR="00710CF7" w:rsidRPr="00710CF7" w:rsidRDefault="00710CF7"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28516</w:t>
            </w:r>
          </w:p>
        </w:tc>
      </w:tr>
      <w:tr w:rsidR="00710CF7" w:rsidRPr="00710CF7" w:rsidTr="0026790F">
        <w:tc>
          <w:tcPr>
            <w:tcW w:w="1169" w:type="pct"/>
            <w:tcBorders>
              <w:top w:val="nil"/>
              <w:left w:val="nil"/>
              <w:bottom w:val="nil"/>
              <w:right w:val="nil"/>
            </w:tcBorders>
          </w:tcPr>
          <w:p w:rsidR="00710CF7" w:rsidRPr="00710CF7" w:rsidRDefault="00710CF7" w:rsidP="00C774B9">
            <w:pPr>
              <w:widowControl w:val="0"/>
              <w:autoSpaceDE w:val="0"/>
              <w:autoSpaceDN w:val="0"/>
              <w:adjustRightInd w:val="0"/>
              <w:spacing w:line="240" w:lineRule="auto"/>
              <w:ind w:firstLine="0"/>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 xml:space="preserve">Adjusted </w:t>
            </w:r>
            <w:r w:rsidRPr="00710CF7">
              <w:rPr>
                <w:rFonts w:ascii="Times New Roman" w:eastAsia="SimSun" w:hAnsi="Times New Roman"/>
                <w:i/>
                <w:iCs/>
                <w:sz w:val="24"/>
                <w:szCs w:val="24"/>
                <w:lang w:val="en-US" w:eastAsia="zh-CN"/>
              </w:rPr>
              <w:t>R</w:t>
            </w:r>
            <w:r w:rsidRPr="00710CF7">
              <w:rPr>
                <w:rFonts w:ascii="Times New Roman" w:eastAsia="SimSun" w:hAnsi="Times New Roman"/>
                <w:sz w:val="24"/>
                <w:szCs w:val="24"/>
                <w:vertAlign w:val="superscript"/>
                <w:lang w:val="en-US" w:eastAsia="zh-CN"/>
              </w:rPr>
              <w:t>2</w:t>
            </w:r>
          </w:p>
        </w:tc>
        <w:tc>
          <w:tcPr>
            <w:tcW w:w="697" w:type="pct"/>
            <w:tcBorders>
              <w:top w:val="nil"/>
              <w:left w:val="nil"/>
              <w:bottom w:val="nil"/>
              <w:right w:val="nil"/>
            </w:tcBorders>
          </w:tcPr>
          <w:p w:rsidR="00710CF7" w:rsidRPr="00710CF7" w:rsidRDefault="00710CF7"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-2.225</w:t>
            </w:r>
          </w:p>
        </w:tc>
        <w:tc>
          <w:tcPr>
            <w:tcW w:w="627" w:type="pct"/>
            <w:tcBorders>
              <w:top w:val="nil"/>
              <w:left w:val="nil"/>
              <w:bottom w:val="nil"/>
              <w:right w:val="nil"/>
            </w:tcBorders>
          </w:tcPr>
          <w:p w:rsidR="00710CF7" w:rsidRPr="00710CF7" w:rsidRDefault="00710CF7"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-0.834</w:t>
            </w:r>
          </w:p>
        </w:tc>
        <w:tc>
          <w:tcPr>
            <w:tcW w:w="627" w:type="pct"/>
            <w:tcBorders>
              <w:top w:val="nil"/>
              <w:left w:val="nil"/>
              <w:bottom w:val="nil"/>
              <w:right w:val="nil"/>
            </w:tcBorders>
          </w:tcPr>
          <w:p w:rsidR="00710CF7" w:rsidRPr="00710CF7" w:rsidRDefault="00710CF7"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-0.884</w:t>
            </w:r>
          </w:p>
        </w:tc>
        <w:tc>
          <w:tcPr>
            <w:tcW w:w="627" w:type="pct"/>
            <w:tcBorders>
              <w:top w:val="nil"/>
              <w:left w:val="nil"/>
              <w:bottom w:val="nil"/>
              <w:right w:val="nil"/>
            </w:tcBorders>
          </w:tcPr>
          <w:p w:rsidR="00710CF7" w:rsidRPr="00710CF7" w:rsidRDefault="00710CF7"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-0.833</w:t>
            </w:r>
          </w:p>
        </w:tc>
        <w:tc>
          <w:tcPr>
            <w:tcW w:w="627" w:type="pct"/>
            <w:tcBorders>
              <w:top w:val="nil"/>
              <w:left w:val="nil"/>
              <w:bottom w:val="nil"/>
              <w:right w:val="nil"/>
            </w:tcBorders>
          </w:tcPr>
          <w:p w:rsidR="00710CF7" w:rsidRPr="00710CF7" w:rsidRDefault="00710CF7"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-0.877</w:t>
            </w:r>
          </w:p>
        </w:tc>
        <w:tc>
          <w:tcPr>
            <w:tcW w:w="626" w:type="pct"/>
            <w:tcBorders>
              <w:top w:val="nil"/>
              <w:left w:val="nil"/>
              <w:bottom w:val="nil"/>
              <w:right w:val="nil"/>
            </w:tcBorders>
          </w:tcPr>
          <w:p w:rsidR="00710CF7" w:rsidRPr="00710CF7" w:rsidRDefault="00710CF7"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-0.835</w:t>
            </w:r>
          </w:p>
        </w:tc>
      </w:tr>
      <w:tr w:rsidR="00710CF7" w:rsidRPr="00710CF7" w:rsidTr="0026790F">
        <w:tc>
          <w:tcPr>
            <w:tcW w:w="1169" w:type="pct"/>
            <w:tcBorders>
              <w:top w:val="nil"/>
              <w:left w:val="nil"/>
              <w:bottom w:val="nil"/>
              <w:right w:val="nil"/>
            </w:tcBorders>
          </w:tcPr>
          <w:p w:rsidR="00710CF7" w:rsidRPr="00710CF7" w:rsidRDefault="00710CF7" w:rsidP="00C774B9">
            <w:pPr>
              <w:widowControl w:val="0"/>
              <w:autoSpaceDE w:val="0"/>
              <w:autoSpaceDN w:val="0"/>
              <w:adjustRightInd w:val="0"/>
              <w:spacing w:line="240" w:lineRule="auto"/>
              <w:ind w:firstLine="0"/>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Anderson LM</w:t>
            </w:r>
          </w:p>
        </w:tc>
        <w:tc>
          <w:tcPr>
            <w:tcW w:w="697" w:type="pct"/>
            <w:tcBorders>
              <w:top w:val="nil"/>
              <w:left w:val="nil"/>
              <w:bottom w:val="nil"/>
              <w:right w:val="nil"/>
            </w:tcBorders>
          </w:tcPr>
          <w:p w:rsidR="00710CF7" w:rsidRPr="00710CF7" w:rsidRDefault="00710CF7"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12.849</w:t>
            </w:r>
          </w:p>
        </w:tc>
        <w:tc>
          <w:tcPr>
            <w:tcW w:w="627" w:type="pct"/>
            <w:tcBorders>
              <w:top w:val="nil"/>
              <w:left w:val="nil"/>
              <w:bottom w:val="nil"/>
              <w:right w:val="nil"/>
            </w:tcBorders>
          </w:tcPr>
          <w:p w:rsidR="00710CF7" w:rsidRPr="00710CF7" w:rsidRDefault="00710CF7"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12.720</w:t>
            </w:r>
          </w:p>
        </w:tc>
        <w:tc>
          <w:tcPr>
            <w:tcW w:w="627" w:type="pct"/>
            <w:tcBorders>
              <w:top w:val="nil"/>
              <w:left w:val="nil"/>
              <w:bottom w:val="nil"/>
              <w:right w:val="nil"/>
            </w:tcBorders>
          </w:tcPr>
          <w:p w:rsidR="00710CF7" w:rsidRPr="00710CF7" w:rsidRDefault="00710CF7"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13.008</w:t>
            </w:r>
          </w:p>
        </w:tc>
        <w:tc>
          <w:tcPr>
            <w:tcW w:w="627" w:type="pct"/>
            <w:tcBorders>
              <w:top w:val="nil"/>
              <w:left w:val="nil"/>
              <w:bottom w:val="nil"/>
              <w:right w:val="nil"/>
            </w:tcBorders>
          </w:tcPr>
          <w:p w:rsidR="00710CF7" w:rsidRPr="00710CF7" w:rsidRDefault="00710CF7"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12.847</w:t>
            </w:r>
          </w:p>
        </w:tc>
        <w:tc>
          <w:tcPr>
            <w:tcW w:w="627" w:type="pct"/>
            <w:tcBorders>
              <w:top w:val="nil"/>
              <w:left w:val="nil"/>
              <w:bottom w:val="nil"/>
              <w:right w:val="nil"/>
            </w:tcBorders>
          </w:tcPr>
          <w:p w:rsidR="00710CF7" w:rsidRPr="00710CF7" w:rsidRDefault="00710CF7"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12.968</w:t>
            </w:r>
          </w:p>
        </w:tc>
        <w:tc>
          <w:tcPr>
            <w:tcW w:w="626" w:type="pct"/>
            <w:tcBorders>
              <w:top w:val="nil"/>
              <w:left w:val="nil"/>
              <w:bottom w:val="nil"/>
              <w:right w:val="nil"/>
            </w:tcBorders>
          </w:tcPr>
          <w:p w:rsidR="00710CF7" w:rsidRPr="00710CF7" w:rsidRDefault="00710CF7"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12.537</w:t>
            </w:r>
          </w:p>
        </w:tc>
      </w:tr>
      <w:tr w:rsidR="00710CF7" w:rsidRPr="00710CF7" w:rsidTr="0026790F">
        <w:tc>
          <w:tcPr>
            <w:tcW w:w="1169" w:type="pct"/>
            <w:tcBorders>
              <w:top w:val="nil"/>
              <w:left w:val="nil"/>
              <w:bottom w:val="nil"/>
              <w:right w:val="nil"/>
            </w:tcBorders>
          </w:tcPr>
          <w:p w:rsidR="00710CF7" w:rsidRPr="00710CF7" w:rsidRDefault="00710CF7" w:rsidP="00C774B9">
            <w:pPr>
              <w:widowControl w:val="0"/>
              <w:autoSpaceDE w:val="0"/>
              <w:autoSpaceDN w:val="0"/>
              <w:adjustRightInd w:val="0"/>
              <w:spacing w:line="240" w:lineRule="auto"/>
              <w:ind w:firstLine="0"/>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Anderson-p</w:t>
            </w:r>
            <w:r w:rsidR="00D62F9E">
              <w:rPr>
                <w:rFonts w:ascii="Times New Roman" w:eastAsia="SimSun" w:hAnsi="Times New Roman"/>
                <w:sz w:val="24"/>
                <w:szCs w:val="24"/>
                <w:lang w:val="en-US" w:eastAsia="zh-CN"/>
              </w:rPr>
              <w:t xml:space="preserve"> </w:t>
            </w:r>
            <w:r w:rsidRPr="00710CF7">
              <w:rPr>
                <w:rFonts w:ascii="Times New Roman" w:eastAsia="SimSun" w:hAnsi="Times New Roman"/>
                <w:sz w:val="24"/>
                <w:szCs w:val="24"/>
                <w:lang w:val="en-US" w:eastAsia="zh-CN"/>
              </w:rPr>
              <w:t>value</w:t>
            </w:r>
          </w:p>
        </w:tc>
        <w:tc>
          <w:tcPr>
            <w:tcW w:w="697" w:type="pct"/>
            <w:tcBorders>
              <w:top w:val="nil"/>
              <w:left w:val="nil"/>
              <w:bottom w:val="nil"/>
              <w:right w:val="nil"/>
            </w:tcBorders>
          </w:tcPr>
          <w:p w:rsidR="00710CF7" w:rsidRPr="00710CF7" w:rsidRDefault="00710CF7"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0.000</w:t>
            </w:r>
          </w:p>
        </w:tc>
        <w:tc>
          <w:tcPr>
            <w:tcW w:w="627" w:type="pct"/>
            <w:tcBorders>
              <w:top w:val="nil"/>
              <w:left w:val="nil"/>
              <w:bottom w:val="nil"/>
              <w:right w:val="nil"/>
            </w:tcBorders>
          </w:tcPr>
          <w:p w:rsidR="00710CF7" w:rsidRPr="00710CF7" w:rsidRDefault="00710CF7"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0.000</w:t>
            </w:r>
          </w:p>
        </w:tc>
        <w:tc>
          <w:tcPr>
            <w:tcW w:w="627" w:type="pct"/>
            <w:tcBorders>
              <w:top w:val="nil"/>
              <w:left w:val="nil"/>
              <w:bottom w:val="nil"/>
              <w:right w:val="nil"/>
            </w:tcBorders>
          </w:tcPr>
          <w:p w:rsidR="00710CF7" w:rsidRPr="00710CF7" w:rsidRDefault="00710CF7"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0.000</w:t>
            </w:r>
          </w:p>
        </w:tc>
        <w:tc>
          <w:tcPr>
            <w:tcW w:w="627" w:type="pct"/>
            <w:tcBorders>
              <w:top w:val="nil"/>
              <w:left w:val="nil"/>
              <w:bottom w:val="nil"/>
              <w:right w:val="nil"/>
            </w:tcBorders>
          </w:tcPr>
          <w:p w:rsidR="00710CF7" w:rsidRPr="00710CF7" w:rsidRDefault="00710CF7"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0.000</w:t>
            </w:r>
          </w:p>
        </w:tc>
        <w:tc>
          <w:tcPr>
            <w:tcW w:w="627" w:type="pct"/>
            <w:tcBorders>
              <w:top w:val="nil"/>
              <w:left w:val="nil"/>
              <w:bottom w:val="nil"/>
              <w:right w:val="nil"/>
            </w:tcBorders>
          </w:tcPr>
          <w:p w:rsidR="00710CF7" w:rsidRPr="00710CF7" w:rsidRDefault="00710CF7"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0.000</w:t>
            </w:r>
          </w:p>
        </w:tc>
        <w:tc>
          <w:tcPr>
            <w:tcW w:w="626" w:type="pct"/>
            <w:tcBorders>
              <w:top w:val="nil"/>
              <w:left w:val="nil"/>
              <w:bottom w:val="nil"/>
              <w:right w:val="nil"/>
            </w:tcBorders>
          </w:tcPr>
          <w:p w:rsidR="00710CF7" w:rsidRPr="00710CF7" w:rsidRDefault="00710CF7"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0.000</w:t>
            </w:r>
          </w:p>
        </w:tc>
      </w:tr>
      <w:tr w:rsidR="00710CF7" w:rsidRPr="00710CF7" w:rsidTr="0026790F">
        <w:tc>
          <w:tcPr>
            <w:tcW w:w="1169" w:type="pct"/>
            <w:tcBorders>
              <w:top w:val="nil"/>
              <w:left w:val="nil"/>
              <w:bottom w:val="nil"/>
              <w:right w:val="nil"/>
            </w:tcBorders>
          </w:tcPr>
          <w:p w:rsidR="00710CF7" w:rsidRPr="00710CF7" w:rsidRDefault="00710CF7" w:rsidP="00C774B9">
            <w:pPr>
              <w:widowControl w:val="0"/>
              <w:autoSpaceDE w:val="0"/>
              <w:autoSpaceDN w:val="0"/>
              <w:adjustRightInd w:val="0"/>
              <w:spacing w:line="240" w:lineRule="auto"/>
              <w:ind w:firstLine="0"/>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Sargan</w:t>
            </w:r>
          </w:p>
        </w:tc>
        <w:tc>
          <w:tcPr>
            <w:tcW w:w="697" w:type="pct"/>
            <w:tcBorders>
              <w:top w:val="nil"/>
              <w:left w:val="nil"/>
              <w:bottom w:val="nil"/>
              <w:right w:val="nil"/>
            </w:tcBorders>
          </w:tcPr>
          <w:p w:rsidR="00710CF7" w:rsidRPr="00710CF7" w:rsidRDefault="00710CF7"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6.856</w:t>
            </w:r>
          </w:p>
        </w:tc>
        <w:tc>
          <w:tcPr>
            <w:tcW w:w="627" w:type="pct"/>
            <w:tcBorders>
              <w:top w:val="nil"/>
              <w:left w:val="nil"/>
              <w:bottom w:val="nil"/>
              <w:right w:val="nil"/>
            </w:tcBorders>
          </w:tcPr>
          <w:p w:rsidR="00710CF7" w:rsidRPr="00710CF7" w:rsidRDefault="00710CF7"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4.203</w:t>
            </w:r>
          </w:p>
        </w:tc>
        <w:tc>
          <w:tcPr>
            <w:tcW w:w="627" w:type="pct"/>
            <w:tcBorders>
              <w:top w:val="nil"/>
              <w:left w:val="nil"/>
              <w:bottom w:val="nil"/>
              <w:right w:val="nil"/>
            </w:tcBorders>
          </w:tcPr>
          <w:p w:rsidR="00710CF7" w:rsidRPr="00710CF7" w:rsidRDefault="00710CF7"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4.069</w:t>
            </w:r>
          </w:p>
        </w:tc>
        <w:tc>
          <w:tcPr>
            <w:tcW w:w="627" w:type="pct"/>
            <w:tcBorders>
              <w:top w:val="nil"/>
              <w:left w:val="nil"/>
              <w:bottom w:val="nil"/>
              <w:right w:val="nil"/>
            </w:tcBorders>
          </w:tcPr>
          <w:p w:rsidR="00710CF7" w:rsidRPr="00710CF7" w:rsidRDefault="00710CF7"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4.253</w:t>
            </w:r>
          </w:p>
        </w:tc>
        <w:tc>
          <w:tcPr>
            <w:tcW w:w="627" w:type="pct"/>
            <w:tcBorders>
              <w:top w:val="nil"/>
              <w:left w:val="nil"/>
              <w:bottom w:val="nil"/>
              <w:right w:val="nil"/>
            </w:tcBorders>
          </w:tcPr>
          <w:p w:rsidR="00710CF7" w:rsidRPr="00710CF7" w:rsidRDefault="00710CF7"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4.005</w:t>
            </w:r>
          </w:p>
        </w:tc>
        <w:tc>
          <w:tcPr>
            <w:tcW w:w="626" w:type="pct"/>
            <w:tcBorders>
              <w:top w:val="nil"/>
              <w:left w:val="nil"/>
              <w:bottom w:val="nil"/>
              <w:right w:val="nil"/>
            </w:tcBorders>
          </w:tcPr>
          <w:p w:rsidR="00710CF7" w:rsidRPr="00710CF7" w:rsidRDefault="00710CF7"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4.250</w:t>
            </w:r>
          </w:p>
        </w:tc>
      </w:tr>
      <w:tr w:rsidR="00710CF7" w:rsidRPr="00710CF7" w:rsidTr="0026790F">
        <w:tc>
          <w:tcPr>
            <w:tcW w:w="1169" w:type="pct"/>
            <w:tcBorders>
              <w:top w:val="nil"/>
              <w:left w:val="nil"/>
              <w:bottom w:val="single" w:sz="4" w:space="0" w:color="auto"/>
              <w:right w:val="nil"/>
            </w:tcBorders>
          </w:tcPr>
          <w:p w:rsidR="00710CF7" w:rsidRPr="00710CF7" w:rsidRDefault="00710CF7" w:rsidP="00C774B9">
            <w:pPr>
              <w:widowControl w:val="0"/>
              <w:autoSpaceDE w:val="0"/>
              <w:autoSpaceDN w:val="0"/>
              <w:adjustRightInd w:val="0"/>
              <w:spacing w:line="240" w:lineRule="auto"/>
              <w:ind w:firstLine="0"/>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Sargan-p</w:t>
            </w:r>
            <w:r w:rsidR="00D62F9E">
              <w:rPr>
                <w:rFonts w:ascii="Times New Roman" w:eastAsia="SimSun" w:hAnsi="Times New Roman"/>
                <w:sz w:val="24"/>
                <w:szCs w:val="24"/>
                <w:lang w:val="en-US" w:eastAsia="zh-CN"/>
              </w:rPr>
              <w:t xml:space="preserve"> </w:t>
            </w:r>
            <w:r w:rsidRPr="00710CF7">
              <w:rPr>
                <w:rFonts w:ascii="Times New Roman" w:eastAsia="SimSun" w:hAnsi="Times New Roman"/>
                <w:sz w:val="24"/>
                <w:szCs w:val="24"/>
                <w:lang w:val="en-US" w:eastAsia="zh-CN"/>
              </w:rPr>
              <w:t>value</w:t>
            </w:r>
          </w:p>
        </w:tc>
        <w:tc>
          <w:tcPr>
            <w:tcW w:w="697" w:type="pct"/>
            <w:tcBorders>
              <w:top w:val="nil"/>
              <w:left w:val="nil"/>
              <w:bottom w:val="single" w:sz="4" w:space="0" w:color="auto"/>
              <w:right w:val="nil"/>
            </w:tcBorders>
          </w:tcPr>
          <w:p w:rsidR="00710CF7" w:rsidRPr="00710CF7" w:rsidRDefault="00710CF7"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0.144</w:t>
            </w:r>
          </w:p>
        </w:tc>
        <w:tc>
          <w:tcPr>
            <w:tcW w:w="627" w:type="pct"/>
            <w:tcBorders>
              <w:top w:val="nil"/>
              <w:left w:val="nil"/>
              <w:bottom w:val="single" w:sz="4" w:space="0" w:color="auto"/>
              <w:right w:val="nil"/>
            </w:tcBorders>
          </w:tcPr>
          <w:p w:rsidR="00710CF7" w:rsidRPr="00710CF7" w:rsidRDefault="00710CF7"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0.649</w:t>
            </w:r>
          </w:p>
        </w:tc>
        <w:tc>
          <w:tcPr>
            <w:tcW w:w="627" w:type="pct"/>
            <w:tcBorders>
              <w:top w:val="nil"/>
              <w:left w:val="nil"/>
              <w:bottom w:val="single" w:sz="4" w:space="0" w:color="auto"/>
              <w:right w:val="nil"/>
            </w:tcBorders>
          </w:tcPr>
          <w:p w:rsidR="00710CF7" w:rsidRPr="00710CF7" w:rsidRDefault="00710CF7"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0.667</w:t>
            </w:r>
          </w:p>
        </w:tc>
        <w:tc>
          <w:tcPr>
            <w:tcW w:w="627" w:type="pct"/>
            <w:tcBorders>
              <w:top w:val="nil"/>
              <w:left w:val="nil"/>
              <w:bottom w:val="single" w:sz="4" w:space="0" w:color="auto"/>
              <w:right w:val="nil"/>
            </w:tcBorders>
          </w:tcPr>
          <w:p w:rsidR="00710CF7" w:rsidRPr="00710CF7" w:rsidRDefault="00710CF7"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0.643</w:t>
            </w:r>
          </w:p>
        </w:tc>
        <w:tc>
          <w:tcPr>
            <w:tcW w:w="627" w:type="pct"/>
            <w:tcBorders>
              <w:top w:val="nil"/>
              <w:left w:val="nil"/>
              <w:bottom w:val="single" w:sz="4" w:space="0" w:color="auto"/>
              <w:right w:val="nil"/>
            </w:tcBorders>
          </w:tcPr>
          <w:p w:rsidR="00710CF7" w:rsidRPr="00710CF7" w:rsidRDefault="00710CF7"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0.676</w:t>
            </w:r>
          </w:p>
        </w:tc>
        <w:tc>
          <w:tcPr>
            <w:tcW w:w="626" w:type="pct"/>
            <w:tcBorders>
              <w:top w:val="nil"/>
              <w:left w:val="nil"/>
              <w:bottom w:val="single" w:sz="4" w:space="0" w:color="auto"/>
              <w:right w:val="nil"/>
            </w:tcBorders>
          </w:tcPr>
          <w:p w:rsidR="00710CF7" w:rsidRPr="00710CF7" w:rsidRDefault="00710CF7" w:rsidP="00C774B9">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0.643</w:t>
            </w:r>
          </w:p>
        </w:tc>
      </w:tr>
    </w:tbl>
    <w:p w:rsidR="00710CF7" w:rsidRPr="00710CF7" w:rsidRDefault="00710CF7" w:rsidP="00C774B9">
      <w:pPr>
        <w:widowControl w:val="0"/>
        <w:autoSpaceDE w:val="0"/>
        <w:autoSpaceDN w:val="0"/>
        <w:adjustRightInd w:val="0"/>
        <w:spacing w:line="240" w:lineRule="auto"/>
        <w:rPr>
          <w:rFonts w:ascii="Times New Roman" w:eastAsia="SimSun" w:hAnsi="Times New Roman"/>
          <w:lang w:val="en-US" w:eastAsia="zh-CN"/>
        </w:rPr>
      </w:pPr>
      <w:r w:rsidRPr="00710CF7">
        <w:rPr>
          <w:rFonts w:ascii="Times New Roman" w:eastAsia="SimSun" w:hAnsi="Times New Roman"/>
          <w:lang w:val="en-US" w:eastAsia="zh-CN"/>
        </w:rPr>
        <w:t>Absolute t-statistics in parentheses calculated consistently for robust standard errors clustered by firm and *indicates p&lt; 0.10, **indicates p&lt; 0.05, ***indicates p&lt; 0.01. The instruments in all specifications are the average values of profit rate</w:t>
      </w:r>
      <w:r w:rsidR="0026790F">
        <w:rPr>
          <w:rFonts w:ascii="Times New Roman" w:eastAsia="SimSun" w:hAnsi="Times New Roman"/>
          <w:lang w:val="en-US" w:eastAsia="zh-CN"/>
        </w:rPr>
        <w:t>,</w:t>
      </w:r>
      <w:r w:rsidRPr="00710CF7">
        <w:rPr>
          <w:rFonts w:ascii="Times New Roman" w:eastAsia="SimSun" w:hAnsi="Times New Roman"/>
          <w:lang w:val="en-US" w:eastAsia="zh-CN"/>
        </w:rPr>
        <w:t xml:space="preserve"> equity</w:t>
      </w:r>
      <w:r w:rsidR="0026790F">
        <w:rPr>
          <w:rFonts w:ascii="Times New Roman" w:eastAsia="SimSun" w:hAnsi="Times New Roman"/>
          <w:lang w:val="en-US" w:eastAsia="zh-CN"/>
        </w:rPr>
        <w:t xml:space="preserve"> and TFP</w:t>
      </w:r>
      <w:r w:rsidRPr="00710CF7">
        <w:rPr>
          <w:rFonts w:ascii="Times New Roman" w:eastAsia="SimSun" w:hAnsi="Times New Roman"/>
          <w:lang w:val="en-US" w:eastAsia="zh-CN"/>
        </w:rPr>
        <w:t xml:space="preserve"> at the NACE Rev 2 industry level in periods t-1,</w:t>
      </w:r>
      <w:r w:rsidR="00C50629">
        <w:rPr>
          <w:rFonts w:ascii="Times New Roman" w:eastAsia="SimSun" w:hAnsi="Times New Roman"/>
          <w:lang w:val="en-US" w:eastAsia="zh-CN"/>
        </w:rPr>
        <w:t xml:space="preserve"> </w:t>
      </w:r>
      <w:r w:rsidRPr="00710CF7">
        <w:rPr>
          <w:rFonts w:ascii="Times New Roman" w:eastAsia="SimSun" w:hAnsi="Times New Roman"/>
          <w:lang w:val="en-US" w:eastAsia="zh-CN"/>
        </w:rPr>
        <w:t xml:space="preserve">t-2 and t-3. The Sargan test refers to the orthogonality condition; under the null the instruments used are valid (i.e. uncorrelated with the error term. The Anderson LM test refers to the relevance of instruments with the endogenous variable; under the null the set of instruments used is weak. </w:t>
      </w:r>
    </w:p>
    <w:p w:rsidR="00BA0F03" w:rsidRDefault="00BA0F03" w:rsidP="00470F74">
      <w:pPr>
        <w:pStyle w:val="ListParagraph"/>
        <w:ind w:left="0" w:firstLine="426"/>
        <w:rPr>
          <w:rFonts w:ascii="Times New Roman" w:hAnsi="Times New Roman"/>
          <w:sz w:val="24"/>
          <w:szCs w:val="24"/>
          <w:lang w:val="en-US"/>
        </w:rPr>
      </w:pPr>
    </w:p>
    <w:p w:rsidR="00BA0F03" w:rsidRDefault="00BA0F03" w:rsidP="00470F74">
      <w:pPr>
        <w:pStyle w:val="ListParagraph"/>
        <w:ind w:left="0" w:firstLine="426"/>
        <w:rPr>
          <w:rFonts w:ascii="Times New Roman" w:hAnsi="Times New Roman"/>
          <w:sz w:val="24"/>
          <w:szCs w:val="24"/>
          <w:lang w:val="en-US"/>
        </w:rPr>
      </w:pPr>
    </w:p>
    <w:p w:rsidR="00BA0F03" w:rsidRDefault="00BA0F03" w:rsidP="002E5BD3">
      <w:pPr>
        <w:rPr>
          <w:rFonts w:ascii="Times New Roman" w:hAnsi="Times New Roman"/>
          <w:sz w:val="24"/>
          <w:szCs w:val="24"/>
          <w:lang w:val="en-US"/>
        </w:rPr>
      </w:pPr>
    </w:p>
    <w:p w:rsidR="005D50AF" w:rsidRDefault="005D50AF" w:rsidP="002E5BD3">
      <w:pPr>
        <w:rPr>
          <w:rFonts w:ascii="Times New Roman" w:hAnsi="Times New Roman"/>
          <w:sz w:val="24"/>
          <w:szCs w:val="24"/>
          <w:lang w:val="en-US"/>
        </w:rPr>
      </w:pPr>
    </w:p>
    <w:p w:rsidR="005D50AF" w:rsidRDefault="005D50AF" w:rsidP="002E5BD3">
      <w:pPr>
        <w:rPr>
          <w:rFonts w:ascii="Times New Roman" w:hAnsi="Times New Roman"/>
          <w:sz w:val="24"/>
          <w:szCs w:val="24"/>
          <w:lang w:val="en-US"/>
        </w:rPr>
      </w:pPr>
    </w:p>
    <w:p w:rsidR="005D50AF" w:rsidRDefault="005D50AF" w:rsidP="002E5BD3">
      <w:pPr>
        <w:rPr>
          <w:rFonts w:ascii="Times New Roman" w:hAnsi="Times New Roman"/>
          <w:sz w:val="24"/>
          <w:szCs w:val="24"/>
          <w:lang w:val="en-US"/>
        </w:rPr>
      </w:pPr>
    </w:p>
    <w:p w:rsidR="00A07A79" w:rsidRDefault="00A07A79" w:rsidP="00A07A79">
      <w:pPr>
        <w:widowControl w:val="0"/>
        <w:autoSpaceDE w:val="0"/>
        <w:autoSpaceDN w:val="0"/>
        <w:adjustRightInd w:val="0"/>
        <w:rPr>
          <w:rFonts w:ascii="Times New Roman" w:hAnsi="Times New Roman"/>
          <w:sz w:val="24"/>
          <w:szCs w:val="24"/>
          <w:lang w:val="en-US"/>
        </w:rPr>
      </w:pPr>
    </w:p>
    <w:p w:rsidR="0026790F" w:rsidRDefault="0026790F" w:rsidP="00A07A79">
      <w:pPr>
        <w:widowControl w:val="0"/>
        <w:autoSpaceDE w:val="0"/>
        <w:autoSpaceDN w:val="0"/>
        <w:adjustRightInd w:val="0"/>
        <w:rPr>
          <w:rFonts w:ascii="Times New Roman" w:hAnsi="Times New Roman"/>
          <w:sz w:val="24"/>
          <w:szCs w:val="24"/>
          <w:lang w:val="en-US"/>
        </w:rPr>
      </w:pPr>
    </w:p>
    <w:p w:rsidR="00470F74" w:rsidRDefault="005D306D" w:rsidP="002E5BD3">
      <w:pPr>
        <w:pStyle w:val="ListParagraph"/>
        <w:ind w:left="0" w:firstLine="426"/>
        <w:rPr>
          <w:rFonts w:ascii="Times New Roman" w:hAnsi="Times New Roman"/>
          <w:sz w:val="24"/>
          <w:szCs w:val="24"/>
          <w:lang w:val="en-US"/>
        </w:rPr>
      </w:pPr>
      <w:r>
        <w:rPr>
          <w:rFonts w:ascii="Times New Roman" w:hAnsi="Times New Roman"/>
          <w:sz w:val="24"/>
          <w:szCs w:val="24"/>
          <w:lang w:val="en-US"/>
        </w:rPr>
        <w:lastRenderedPageBreak/>
        <w:t>A</w:t>
      </w:r>
      <w:r w:rsidR="00425CA5">
        <w:rPr>
          <w:rFonts w:ascii="Times New Roman" w:hAnsi="Times New Roman"/>
          <w:sz w:val="24"/>
          <w:szCs w:val="24"/>
          <w:lang w:val="en-US"/>
        </w:rPr>
        <w:t xml:space="preserve"> further </w:t>
      </w:r>
      <w:r>
        <w:rPr>
          <w:rFonts w:ascii="Times New Roman" w:hAnsi="Times New Roman"/>
          <w:sz w:val="24"/>
          <w:szCs w:val="24"/>
          <w:lang w:val="en-US"/>
        </w:rPr>
        <w:t>test</w:t>
      </w:r>
      <w:r w:rsidR="00425CA5">
        <w:rPr>
          <w:rFonts w:ascii="Times New Roman" w:hAnsi="Times New Roman"/>
          <w:sz w:val="24"/>
          <w:szCs w:val="24"/>
          <w:lang w:val="en-US"/>
        </w:rPr>
        <w:t xml:space="preserve"> </w:t>
      </w:r>
      <w:r w:rsidR="00603FC9">
        <w:rPr>
          <w:rFonts w:ascii="Times New Roman" w:hAnsi="Times New Roman"/>
          <w:sz w:val="24"/>
          <w:szCs w:val="24"/>
          <w:lang w:val="en-US"/>
        </w:rPr>
        <w:t>for</w:t>
      </w:r>
      <w:r w:rsidR="00470F74">
        <w:rPr>
          <w:rFonts w:ascii="Times New Roman" w:hAnsi="Times New Roman"/>
          <w:sz w:val="24"/>
          <w:szCs w:val="24"/>
          <w:lang w:val="en-US"/>
        </w:rPr>
        <w:t xml:space="preserve"> the</w:t>
      </w:r>
      <w:r w:rsidR="00425CA5">
        <w:rPr>
          <w:rFonts w:ascii="Times New Roman" w:hAnsi="Times New Roman"/>
          <w:sz w:val="24"/>
          <w:szCs w:val="24"/>
          <w:lang w:val="en-US"/>
        </w:rPr>
        <w:t xml:space="preserve"> </w:t>
      </w:r>
      <w:r w:rsidR="00470F74">
        <w:rPr>
          <w:rFonts w:ascii="Times New Roman" w:hAnsi="Times New Roman"/>
          <w:sz w:val="24"/>
          <w:szCs w:val="24"/>
          <w:lang w:val="en-US"/>
        </w:rPr>
        <w:t>robustness</w:t>
      </w:r>
      <w:r w:rsidR="00425CA5">
        <w:rPr>
          <w:rFonts w:ascii="Times New Roman" w:hAnsi="Times New Roman"/>
          <w:sz w:val="24"/>
          <w:szCs w:val="24"/>
          <w:lang w:val="en-US"/>
        </w:rPr>
        <w:t xml:space="preserve"> of </w:t>
      </w:r>
      <w:r>
        <w:rPr>
          <w:rFonts w:ascii="Times New Roman" w:hAnsi="Times New Roman"/>
          <w:sz w:val="24"/>
          <w:szCs w:val="24"/>
          <w:lang w:val="en-US"/>
        </w:rPr>
        <w:t>estimates</w:t>
      </w:r>
      <w:r w:rsidR="003B1DAC">
        <w:rPr>
          <w:rFonts w:ascii="Times New Roman" w:hAnsi="Times New Roman"/>
          <w:sz w:val="24"/>
          <w:szCs w:val="24"/>
          <w:lang w:val="en-US"/>
        </w:rPr>
        <w:t xml:space="preserve"> in Table 3</w:t>
      </w:r>
      <w:r>
        <w:rPr>
          <w:rFonts w:ascii="Times New Roman" w:hAnsi="Times New Roman"/>
          <w:sz w:val="24"/>
          <w:szCs w:val="24"/>
          <w:lang w:val="en-US"/>
        </w:rPr>
        <w:t xml:space="preserve"> is to </w:t>
      </w:r>
      <w:r w:rsidR="00470F74">
        <w:rPr>
          <w:rFonts w:ascii="Times New Roman" w:hAnsi="Times New Roman"/>
          <w:sz w:val="24"/>
          <w:szCs w:val="24"/>
          <w:lang w:val="en-US"/>
        </w:rPr>
        <w:t>use a</w:t>
      </w:r>
      <w:r w:rsidR="003B1DAC">
        <w:rPr>
          <w:rFonts w:ascii="Times New Roman" w:hAnsi="Times New Roman"/>
          <w:sz w:val="24"/>
          <w:szCs w:val="24"/>
          <w:lang w:val="en-US"/>
        </w:rPr>
        <w:t>nother</w:t>
      </w:r>
      <w:r w:rsidR="00470F74">
        <w:rPr>
          <w:rFonts w:ascii="Times New Roman" w:hAnsi="Times New Roman"/>
          <w:sz w:val="24"/>
          <w:szCs w:val="24"/>
          <w:lang w:val="en-US"/>
        </w:rPr>
        <w:t xml:space="preserve"> measure </w:t>
      </w:r>
      <w:r>
        <w:rPr>
          <w:rFonts w:ascii="Times New Roman" w:hAnsi="Times New Roman"/>
          <w:sz w:val="24"/>
          <w:szCs w:val="24"/>
          <w:lang w:val="en-US"/>
        </w:rPr>
        <w:t>for</w:t>
      </w:r>
      <w:r w:rsidR="00470F74">
        <w:rPr>
          <w:rFonts w:ascii="Times New Roman" w:hAnsi="Times New Roman"/>
          <w:sz w:val="24"/>
          <w:szCs w:val="24"/>
          <w:lang w:val="en-US"/>
        </w:rPr>
        <w:t xml:space="preserve"> captur</w:t>
      </w:r>
      <w:r>
        <w:rPr>
          <w:rFonts w:ascii="Times New Roman" w:hAnsi="Times New Roman"/>
          <w:sz w:val="24"/>
          <w:szCs w:val="24"/>
          <w:lang w:val="en-US"/>
        </w:rPr>
        <w:t>ing</w:t>
      </w:r>
      <w:r w:rsidR="00470F74">
        <w:rPr>
          <w:rFonts w:ascii="Times New Roman" w:hAnsi="Times New Roman"/>
          <w:sz w:val="24"/>
          <w:szCs w:val="24"/>
          <w:lang w:val="en-US"/>
        </w:rPr>
        <w:t xml:space="preserve"> firm </w:t>
      </w:r>
      <w:r w:rsidR="005A4A99" w:rsidRPr="005A4A99">
        <w:rPr>
          <w:rFonts w:ascii="Times New Roman" w:hAnsi="Times New Roman"/>
          <w:i/>
          <w:iCs/>
          <w:sz w:val="24"/>
          <w:szCs w:val="24"/>
          <w:lang w:val="en-US"/>
        </w:rPr>
        <w:t>i</w:t>
      </w:r>
      <w:r w:rsidR="00470F74">
        <w:rPr>
          <w:rFonts w:ascii="Times New Roman" w:hAnsi="Times New Roman"/>
          <w:sz w:val="24"/>
          <w:szCs w:val="24"/>
          <w:lang w:val="en-US"/>
        </w:rPr>
        <w:t xml:space="preserve">’s </w:t>
      </w:r>
      <w:r w:rsidR="003B1DAC">
        <w:rPr>
          <w:rFonts w:ascii="Times New Roman" w:hAnsi="Times New Roman"/>
          <w:sz w:val="24"/>
          <w:szCs w:val="24"/>
          <w:lang w:val="en-US"/>
        </w:rPr>
        <w:t>manipulations</w:t>
      </w:r>
      <w:r w:rsidR="00470F74">
        <w:rPr>
          <w:rFonts w:ascii="Times New Roman" w:hAnsi="Times New Roman"/>
          <w:sz w:val="24"/>
          <w:szCs w:val="24"/>
          <w:lang w:val="en-US"/>
        </w:rPr>
        <w:t xml:space="preserve"> to gain tax reliefs</w:t>
      </w:r>
      <w:r w:rsidR="003B1DAC">
        <w:rPr>
          <w:rFonts w:ascii="Times New Roman" w:hAnsi="Times New Roman"/>
          <w:sz w:val="24"/>
          <w:szCs w:val="24"/>
          <w:lang w:val="en-US"/>
        </w:rPr>
        <w:t>.</w:t>
      </w:r>
      <w:r w:rsidR="00470F74">
        <w:rPr>
          <w:rFonts w:ascii="Times New Roman" w:hAnsi="Times New Roman"/>
          <w:sz w:val="24"/>
          <w:szCs w:val="24"/>
          <w:lang w:val="en-US"/>
        </w:rPr>
        <w:t xml:space="preserve"> </w:t>
      </w:r>
      <w:r>
        <w:rPr>
          <w:rFonts w:ascii="Times New Roman" w:hAnsi="Times New Roman"/>
          <w:sz w:val="24"/>
          <w:szCs w:val="24"/>
          <w:lang w:val="en-US"/>
        </w:rPr>
        <w:t>To do so, w</w:t>
      </w:r>
      <w:r w:rsidR="00470F74">
        <w:rPr>
          <w:rFonts w:ascii="Times New Roman" w:hAnsi="Times New Roman"/>
          <w:sz w:val="24"/>
          <w:szCs w:val="24"/>
          <w:lang w:val="en-US"/>
        </w:rPr>
        <w:t>e</w:t>
      </w:r>
      <w:r>
        <w:rPr>
          <w:rFonts w:ascii="Times New Roman" w:hAnsi="Times New Roman"/>
          <w:sz w:val="24"/>
          <w:szCs w:val="24"/>
          <w:lang w:val="en-US"/>
        </w:rPr>
        <w:t xml:space="preserve"> </w:t>
      </w:r>
      <w:r w:rsidR="00FD20B3">
        <w:rPr>
          <w:rFonts w:ascii="Times New Roman" w:hAnsi="Times New Roman"/>
          <w:sz w:val="24"/>
          <w:szCs w:val="24"/>
          <w:lang w:val="en-US"/>
        </w:rPr>
        <w:t>define</w:t>
      </w:r>
      <w:r w:rsidRPr="005D306D">
        <w:rPr>
          <w:rFonts w:ascii="Times New Roman" w:hAnsi="Times New Roman"/>
          <w:position w:val="-12"/>
          <w:sz w:val="24"/>
          <w:szCs w:val="24"/>
          <w:lang w:val="en-US"/>
        </w:rPr>
        <w:object w:dxaOrig="2280" w:dyaOrig="360">
          <v:shape id="_x0000_i1049" type="#_x0000_t75" style="width:114pt;height:18.75pt" o:ole="">
            <v:imagedata r:id="rId56" o:title=""/>
          </v:shape>
          <o:OLEObject Type="Embed" ProgID="Equation.DSMT4" ShapeID="_x0000_i1049" DrawAspect="Content" ObjectID="_1604251464" r:id="rId57"/>
        </w:object>
      </w:r>
      <w:r w:rsidR="00FD20B3">
        <w:rPr>
          <w:rFonts w:ascii="Times New Roman" w:hAnsi="Times New Roman"/>
          <w:sz w:val="24"/>
          <w:szCs w:val="24"/>
          <w:lang w:val="en-US"/>
        </w:rPr>
        <w:t xml:space="preserve">, where </w:t>
      </w:r>
      <w:r w:rsidR="00FD20B3" w:rsidRPr="00FD20B3">
        <w:rPr>
          <w:rFonts w:ascii="Times New Roman" w:hAnsi="Times New Roman"/>
          <w:i/>
          <w:sz w:val="24"/>
          <w:szCs w:val="24"/>
          <w:lang w:val="en-US"/>
        </w:rPr>
        <w:t>ASTR</w:t>
      </w:r>
      <w:r w:rsidR="00FD20B3">
        <w:rPr>
          <w:rFonts w:ascii="Times New Roman" w:hAnsi="Times New Roman"/>
          <w:sz w:val="24"/>
          <w:szCs w:val="24"/>
          <w:lang w:val="en-US"/>
        </w:rPr>
        <w:t xml:space="preserve"> </w:t>
      </w:r>
      <w:r w:rsidR="00C003C4">
        <w:rPr>
          <w:rFonts w:ascii="Times New Roman" w:hAnsi="Times New Roman"/>
          <w:sz w:val="24"/>
          <w:szCs w:val="24"/>
          <w:lang w:val="en-US"/>
        </w:rPr>
        <w:t xml:space="preserve">(average statutory tax rate) </w:t>
      </w:r>
      <w:r w:rsidR="00FD20B3">
        <w:rPr>
          <w:rFonts w:ascii="Times New Roman" w:hAnsi="Times New Roman"/>
          <w:sz w:val="24"/>
          <w:szCs w:val="24"/>
          <w:lang w:val="en-US"/>
        </w:rPr>
        <w:t>is</w:t>
      </w:r>
      <w:r w:rsidR="008C3169">
        <w:rPr>
          <w:rFonts w:ascii="Times New Roman" w:hAnsi="Times New Roman"/>
          <w:sz w:val="24"/>
          <w:szCs w:val="24"/>
          <w:lang w:val="en-US"/>
        </w:rPr>
        <w:t xml:space="preserve"> </w:t>
      </w:r>
      <w:r w:rsidR="00FD20B3">
        <w:rPr>
          <w:rFonts w:ascii="Times New Roman" w:hAnsi="Times New Roman"/>
          <w:sz w:val="24"/>
          <w:szCs w:val="24"/>
          <w:lang w:val="en-US"/>
        </w:rPr>
        <w:t xml:space="preserve">the mean </w:t>
      </w:r>
      <w:r w:rsidR="00FD20B3" w:rsidRPr="005D306D">
        <w:rPr>
          <w:rFonts w:ascii="Times New Roman" w:hAnsi="Times New Roman"/>
          <w:i/>
          <w:sz w:val="24"/>
          <w:szCs w:val="24"/>
          <w:lang w:val="en-US"/>
        </w:rPr>
        <w:t>τ</w:t>
      </w:r>
      <w:r w:rsidR="00FD20B3">
        <w:rPr>
          <w:rFonts w:ascii="Times New Roman" w:hAnsi="Times New Roman"/>
          <w:sz w:val="24"/>
          <w:szCs w:val="24"/>
          <w:lang w:val="en-US"/>
        </w:rPr>
        <w:t xml:space="preserve"> across profit categories </w:t>
      </w:r>
      <w:r w:rsidR="008C3169">
        <w:rPr>
          <w:rFonts w:ascii="Times New Roman" w:hAnsi="Times New Roman"/>
          <w:sz w:val="24"/>
          <w:szCs w:val="24"/>
          <w:lang w:val="en-US"/>
        </w:rPr>
        <w:t xml:space="preserve">in year </w:t>
      </w:r>
      <w:r w:rsidR="008C3169" w:rsidRPr="005A4A99">
        <w:rPr>
          <w:rFonts w:ascii="Times New Roman" w:hAnsi="Times New Roman"/>
          <w:i/>
          <w:iCs/>
          <w:sz w:val="24"/>
          <w:szCs w:val="24"/>
          <w:lang w:val="en-US"/>
        </w:rPr>
        <w:t>t</w:t>
      </w:r>
      <w:r w:rsidR="003B1DAC">
        <w:rPr>
          <w:rFonts w:ascii="Times New Roman" w:hAnsi="Times New Roman"/>
          <w:sz w:val="24"/>
          <w:szCs w:val="24"/>
          <w:lang w:val="en-US"/>
        </w:rPr>
        <w:t>.</w:t>
      </w:r>
      <w:r w:rsidR="00470F74">
        <w:rPr>
          <w:rFonts w:ascii="Times New Roman" w:hAnsi="Times New Roman"/>
          <w:sz w:val="24"/>
          <w:szCs w:val="24"/>
          <w:lang w:val="en-US"/>
        </w:rPr>
        <w:t xml:space="preserve"> Given that the ASTR is constant for all firms in year </w:t>
      </w:r>
      <w:r w:rsidR="00470F74" w:rsidRPr="00E447B8">
        <w:rPr>
          <w:rFonts w:ascii="Times New Roman" w:hAnsi="Times New Roman"/>
          <w:i/>
          <w:iCs/>
          <w:sz w:val="24"/>
          <w:szCs w:val="24"/>
          <w:lang w:val="en-US"/>
        </w:rPr>
        <w:t>t</w:t>
      </w:r>
      <w:r w:rsidR="00470F74">
        <w:rPr>
          <w:rFonts w:ascii="Times New Roman" w:hAnsi="Times New Roman"/>
          <w:sz w:val="24"/>
          <w:szCs w:val="24"/>
          <w:lang w:val="en-US"/>
        </w:rPr>
        <w:t xml:space="preserve"> we</w:t>
      </w:r>
      <w:r w:rsidR="008B21AB">
        <w:rPr>
          <w:rFonts w:ascii="Times New Roman" w:hAnsi="Times New Roman"/>
          <w:sz w:val="24"/>
          <w:szCs w:val="24"/>
          <w:lang w:val="en-US"/>
        </w:rPr>
        <w:t xml:space="preserve"> anticipate that the larger the</w:t>
      </w:r>
      <w:r w:rsidR="00470F74">
        <w:rPr>
          <w:rFonts w:ascii="Times New Roman" w:hAnsi="Times New Roman"/>
          <w:sz w:val="24"/>
          <w:szCs w:val="24"/>
          <w:lang w:val="en-US"/>
        </w:rPr>
        <w:t xml:space="preserve"> difference</w:t>
      </w:r>
      <w:r w:rsidR="008B21AB">
        <w:rPr>
          <w:rFonts w:ascii="Times New Roman" w:hAnsi="Times New Roman"/>
          <w:sz w:val="24"/>
          <w:szCs w:val="24"/>
          <w:lang w:val="en-US"/>
        </w:rPr>
        <w:t xml:space="preserve"> between the two</w:t>
      </w:r>
      <w:r w:rsidR="006A6857">
        <w:rPr>
          <w:rFonts w:ascii="Times New Roman" w:hAnsi="Times New Roman"/>
          <w:sz w:val="24"/>
          <w:szCs w:val="24"/>
          <w:lang w:val="en-US"/>
        </w:rPr>
        <w:t>,</w:t>
      </w:r>
      <w:r w:rsidR="003B1DAC">
        <w:rPr>
          <w:rFonts w:ascii="Times New Roman" w:hAnsi="Times New Roman"/>
          <w:sz w:val="24"/>
          <w:szCs w:val="24"/>
          <w:lang w:val="en-US"/>
        </w:rPr>
        <w:t xml:space="preserve"> the stronger the incentive to invest</w:t>
      </w:r>
      <w:r w:rsidR="00C50629">
        <w:rPr>
          <w:rFonts w:ascii="Times New Roman" w:hAnsi="Times New Roman"/>
          <w:sz w:val="24"/>
          <w:szCs w:val="24"/>
          <w:lang w:val="en-US"/>
        </w:rPr>
        <w:t>,</w:t>
      </w:r>
      <w:r w:rsidR="00470F74">
        <w:rPr>
          <w:rFonts w:ascii="Times New Roman" w:hAnsi="Times New Roman"/>
          <w:sz w:val="24"/>
          <w:szCs w:val="24"/>
          <w:lang w:val="en-US"/>
        </w:rPr>
        <w:t xml:space="preserve"> thus the faster the rate of TFP growth.</w:t>
      </w:r>
      <w:r w:rsidR="00701401">
        <w:rPr>
          <w:rFonts w:ascii="Times New Roman" w:hAnsi="Times New Roman"/>
          <w:sz w:val="24"/>
          <w:szCs w:val="24"/>
          <w:lang w:val="en-US"/>
        </w:rPr>
        <w:t xml:space="preserve"> </w:t>
      </w:r>
      <w:r w:rsidR="008C3169">
        <w:rPr>
          <w:rFonts w:ascii="Times New Roman" w:hAnsi="Times New Roman"/>
          <w:sz w:val="24"/>
          <w:szCs w:val="24"/>
          <w:lang w:val="en-US"/>
        </w:rPr>
        <w:t xml:space="preserve">Estimates in </w:t>
      </w:r>
      <w:r w:rsidR="00E447B8">
        <w:rPr>
          <w:rFonts w:ascii="Times New Roman" w:hAnsi="Times New Roman"/>
          <w:sz w:val="24"/>
          <w:szCs w:val="24"/>
          <w:lang w:val="en-US"/>
        </w:rPr>
        <w:t>Table 4</w:t>
      </w:r>
      <w:r w:rsidR="00701401">
        <w:rPr>
          <w:rFonts w:ascii="Times New Roman" w:hAnsi="Times New Roman"/>
          <w:sz w:val="24"/>
          <w:szCs w:val="24"/>
          <w:lang w:val="en-US"/>
        </w:rPr>
        <w:t xml:space="preserve"> confirm this </w:t>
      </w:r>
      <w:r w:rsidR="00C003C4">
        <w:rPr>
          <w:rFonts w:ascii="Times New Roman" w:hAnsi="Times New Roman"/>
          <w:sz w:val="24"/>
          <w:szCs w:val="24"/>
          <w:lang w:val="en-US"/>
        </w:rPr>
        <w:t xml:space="preserve">proposition </w:t>
      </w:r>
      <w:r w:rsidR="00701401">
        <w:rPr>
          <w:rFonts w:ascii="Times New Roman" w:hAnsi="Times New Roman"/>
          <w:sz w:val="24"/>
          <w:szCs w:val="24"/>
          <w:lang w:val="en-US"/>
        </w:rPr>
        <w:t xml:space="preserve">with the coefficient of </w:t>
      </w:r>
      <w:r w:rsidR="00C003C4" w:rsidRPr="00C003C4">
        <w:rPr>
          <w:rFonts w:ascii="Times New Roman" w:hAnsi="Times New Roman"/>
          <w:position w:val="-12"/>
          <w:sz w:val="24"/>
          <w:szCs w:val="24"/>
          <w:lang w:val="en-US"/>
        </w:rPr>
        <w:object w:dxaOrig="660" w:dyaOrig="360">
          <v:shape id="_x0000_i1050" type="#_x0000_t75" style="width:33pt;height:18.75pt" o:ole="">
            <v:imagedata r:id="rId58" o:title=""/>
          </v:shape>
          <o:OLEObject Type="Embed" ProgID="Equation.DSMT4" ShapeID="_x0000_i1050" DrawAspect="Content" ObjectID="_1604251465" r:id="rId59"/>
        </w:object>
      </w:r>
      <w:r w:rsidR="00C003C4">
        <w:rPr>
          <w:rFonts w:ascii="Times New Roman" w:hAnsi="Times New Roman"/>
          <w:sz w:val="24"/>
          <w:szCs w:val="24"/>
          <w:lang w:val="en-US"/>
        </w:rPr>
        <w:t xml:space="preserve"> </w:t>
      </w:r>
      <w:r w:rsidR="008C3169">
        <w:rPr>
          <w:rFonts w:ascii="Times New Roman" w:hAnsi="Times New Roman"/>
          <w:sz w:val="24"/>
          <w:szCs w:val="24"/>
          <w:lang w:val="en-US"/>
        </w:rPr>
        <w:t>to</w:t>
      </w:r>
      <w:r w:rsidR="00701401">
        <w:rPr>
          <w:rFonts w:ascii="Times New Roman" w:hAnsi="Times New Roman"/>
          <w:sz w:val="24"/>
          <w:szCs w:val="24"/>
          <w:lang w:val="en-US"/>
        </w:rPr>
        <w:t xml:space="preserve"> be positive and </w:t>
      </w:r>
      <w:r w:rsidR="00AD4A92">
        <w:rPr>
          <w:rFonts w:ascii="Times New Roman" w:hAnsi="Times New Roman"/>
          <w:sz w:val="24"/>
          <w:szCs w:val="24"/>
          <w:lang w:val="en-US"/>
        </w:rPr>
        <w:t>statistically</w:t>
      </w:r>
      <w:r w:rsidR="00701401">
        <w:rPr>
          <w:rFonts w:ascii="Times New Roman" w:hAnsi="Times New Roman"/>
          <w:sz w:val="24"/>
          <w:szCs w:val="24"/>
          <w:lang w:val="en-US"/>
        </w:rPr>
        <w:t xml:space="preserve"> significant </w:t>
      </w:r>
      <w:r w:rsidR="00AD4A92">
        <w:rPr>
          <w:rFonts w:ascii="Times New Roman" w:hAnsi="Times New Roman"/>
          <w:sz w:val="24"/>
          <w:szCs w:val="24"/>
          <w:lang w:val="en-US"/>
        </w:rPr>
        <w:t xml:space="preserve">both in OLS and GMM specifications. We conclude from these </w:t>
      </w:r>
      <w:r w:rsidR="00770447">
        <w:rPr>
          <w:rFonts w:ascii="Times New Roman" w:hAnsi="Times New Roman"/>
          <w:sz w:val="24"/>
          <w:szCs w:val="24"/>
          <w:lang w:val="en-US"/>
        </w:rPr>
        <w:t>results</w:t>
      </w:r>
      <w:r w:rsidR="00AD4A92">
        <w:rPr>
          <w:rFonts w:ascii="Times New Roman" w:hAnsi="Times New Roman"/>
          <w:sz w:val="24"/>
          <w:szCs w:val="24"/>
          <w:lang w:val="en-US"/>
        </w:rPr>
        <w:t xml:space="preserve"> that the </w:t>
      </w:r>
      <w:r w:rsidR="00770447">
        <w:rPr>
          <w:rFonts w:ascii="Times New Roman" w:hAnsi="Times New Roman"/>
          <w:sz w:val="24"/>
          <w:szCs w:val="24"/>
          <w:lang w:val="en-US"/>
        </w:rPr>
        <w:t>higher</w:t>
      </w:r>
      <w:r w:rsidR="00AD4A92">
        <w:rPr>
          <w:rFonts w:ascii="Times New Roman" w:hAnsi="Times New Roman"/>
          <w:sz w:val="24"/>
          <w:szCs w:val="24"/>
          <w:lang w:val="en-US"/>
        </w:rPr>
        <w:t xml:space="preserve"> the divergence of effective tax rate from the </w:t>
      </w:r>
      <w:r w:rsidR="00770447">
        <w:rPr>
          <w:rFonts w:ascii="Times New Roman" w:hAnsi="Times New Roman"/>
          <w:sz w:val="24"/>
          <w:szCs w:val="24"/>
          <w:lang w:val="en-US"/>
        </w:rPr>
        <w:t>average</w:t>
      </w:r>
      <w:r w:rsidR="00AD4A92">
        <w:rPr>
          <w:rFonts w:ascii="Times New Roman" w:hAnsi="Times New Roman"/>
          <w:sz w:val="24"/>
          <w:szCs w:val="24"/>
          <w:lang w:val="en-US"/>
        </w:rPr>
        <w:t xml:space="preserve"> </w:t>
      </w:r>
      <w:r w:rsidR="00770447">
        <w:rPr>
          <w:rFonts w:ascii="Times New Roman" w:hAnsi="Times New Roman"/>
          <w:sz w:val="24"/>
          <w:szCs w:val="24"/>
          <w:lang w:val="en-US"/>
        </w:rPr>
        <w:t>statutory</w:t>
      </w:r>
      <w:r w:rsidR="00AD4A92">
        <w:rPr>
          <w:rFonts w:ascii="Times New Roman" w:hAnsi="Times New Roman"/>
          <w:sz w:val="24"/>
          <w:szCs w:val="24"/>
          <w:lang w:val="en-US"/>
        </w:rPr>
        <w:t xml:space="preserve"> tax</w:t>
      </w:r>
      <w:r w:rsidR="006A6857">
        <w:rPr>
          <w:rFonts w:ascii="Times New Roman" w:hAnsi="Times New Roman"/>
          <w:sz w:val="24"/>
          <w:szCs w:val="24"/>
          <w:lang w:val="en-US"/>
        </w:rPr>
        <w:t>,</w:t>
      </w:r>
      <w:r w:rsidR="00AD4A92">
        <w:rPr>
          <w:rFonts w:ascii="Times New Roman" w:hAnsi="Times New Roman"/>
          <w:sz w:val="24"/>
          <w:szCs w:val="24"/>
          <w:lang w:val="en-US"/>
        </w:rPr>
        <w:t xml:space="preserve"> the faster the growth rate of productivity and the speed of convergence. </w:t>
      </w:r>
      <w:r w:rsidR="00765BA8">
        <w:rPr>
          <w:rFonts w:ascii="Times New Roman" w:hAnsi="Times New Roman"/>
          <w:sz w:val="24"/>
          <w:szCs w:val="24"/>
          <w:lang w:val="en-US"/>
        </w:rPr>
        <w:t xml:space="preserve">We remain agnostic about the real sources </w:t>
      </w:r>
      <w:r w:rsidR="00C50629">
        <w:rPr>
          <w:rFonts w:ascii="Times New Roman" w:hAnsi="Times New Roman"/>
          <w:sz w:val="24"/>
          <w:szCs w:val="24"/>
          <w:lang w:val="en-US"/>
        </w:rPr>
        <w:t>driving</w:t>
      </w:r>
      <w:r w:rsidR="008C3169">
        <w:rPr>
          <w:rFonts w:ascii="Times New Roman" w:hAnsi="Times New Roman"/>
          <w:sz w:val="24"/>
          <w:szCs w:val="24"/>
          <w:lang w:val="en-US"/>
        </w:rPr>
        <w:t xml:space="preserve"> the</w:t>
      </w:r>
      <w:r w:rsidR="00765BA8">
        <w:rPr>
          <w:rFonts w:ascii="Times New Roman" w:hAnsi="Times New Roman"/>
          <w:sz w:val="24"/>
          <w:szCs w:val="24"/>
          <w:lang w:val="en-US"/>
        </w:rPr>
        <w:t xml:space="preserve"> difference</w:t>
      </w:r>
      <w:r w:rsidR="008C3169">
        <w:rPr>
          <w:rFonts w:ascii="Times New Roman" w:hAnsi="Times New Roman"/>
          <w:sz w:val="24"/>
          <w:szCs w:val="24"/>
          <w:lang w:val="en-US"/>
        </w:rPr>
        <w:t>s</w:t>
      </w:r>
      <w:r w:rsidR="00765BA8">
        <w:rPr>
          <w:rFonts w:ascii="Times New Roman" w:hAnsi="Times New Roman"/>
          <w:sz w:val="24"/>
          <w:szCs w:val="24"/>
          <w:lang w:val="en-US"/>
        </w:rPr>
        <w:t xml:space="preserve"> between </w:t>
      </w:r>
      <w:r w:rsidR="00161C4D">
        <w:rPr>
          <w:rFonts w:ascii="Times New Roman" w:hAnsi="Times New Roman"/>
          <w:sz w:val="24"/>
          <w:szCs w:val="24"/>
          <w:lang w:val="en-US"/>
        </w:rPr>
        <w:t>ETR</w:t>
      </w:r>
      <w:r w:rsidR="00765BA8">
        <w:rPr>
          <w:rFonts w:ascii="Times New Roman" w:hAnsi="Times New Roman"/>
          <w:sz w:val="24"/>
          <w:szCs w:val="24"/>
          <w:lang w:val="en-US"/>
        </w:rPr>
        <w:t xml:space="preserve"> and</w:t>
      </w:r>
      <w:r w:rsidR="00161C4D">
        <w:rPr>
          <w:rFonts w:ascii="Times New Roman" w:hAnsi="Times New Roman"/>
          <w:sz w:val="24"/>
          <w:szCs w:val="24"/>
          <w:lang w:val="en-US"/>
        </w:rPr>
        <w:t xml:space="preserve"> ASTR </w:t>
      </w:r>
      <w:r w:rsidR="00765BA8">
        <w:rPr>
          <w:rFonts w:ascii="Times New Roman" w:hAnsi="Times New Roman"/>
          <w:sz w:val="24"/>
          <w:szCs w:val="24"/>
          <w:lang w:val="en-US"/>
        </w:rPr>
        <w:t>as we have no information about the tax position of the firm (i.e. whether a firm belongs to a particular tax group</w:t>
      </w:r>
      <w:r w:rsidR="002E5BD3" w:rsidRPr="002E5BD3">
        <w:rPr>
          <w:rFonts w:ascii="Times New Roman" w:hAnsi="Times New Roman"/>
          <w:sz w:val="24"/>
          <w:szCs w:val="24"/>
          <w:lang w:val="en-US"/>
        </w:rPr>
        <w:t xml:space="preserve"> </w:t>
      </w:r>
      <w:r w:rsidR="002E5BD3">
        <w:rPr>
          <w:rFonts w:ascii="Times New Roman" w:hAnsi="Times New Roman"/>
          <w:sz w:val="24"/>
          <w:szCs w:val="24"/>
          <w:lang w:val="en-US"/>
        </w:rPr>
        <w:t>relief</w:t>
      </w:r>
      <w:r w:rsidR="00765BA8">
        <w:rPr>
          <w:rFonts w:ascii="Times New Roman" w:hAnsi="Times New Roman"/>
          <w:sz w:val="24"/>
          <w:szCs w:val="24"/>
          <w:lang w:val="en-US"/>
        </w:rPr>
        <w:t>)</w:t>
      </w:r>
      <w:r w:rsidR="00C50629">
        <w:rPr>
          <w:rFonts w:ascii="Times New Roman" w:hAnsi="Times New Roman"/>
          <w:sz w:val="24"/>
          <w:szCs w:val="24"/>
          <w:lang w:val="en-US"/>
        </w:rPr>
        <w:t>,</w:t>
      </w:r>
      <w:r w:rsidR="00765BA8">
        <w:rPr>
          <w:rFonts w:ascii="Times New Roman" w:hAnsi="Times New Roman"/>
          <w:sz w:val="24"/>
          <w:szCs w:val="24"/>
          <w:lang w:val="en-US"/>
        </w:rPr>
        <w:t xml:space="preserve"> but we view this </w:t>
      </w:r>
      <w:r w:rsidR="00627E38">
        <w:rPr>
          <w:rFonts w:ascii="Times New Roman" w:hAnsi="Times New Roman"/>
          <w:sz w:val="24"/>
          <w:szCs w:val="24"/>
          <w:lang w:val="en-US"/>
        </w:rPr>
        <w:t>finding</w:t>
      </w:r>
      <w:r w:rsidR="00765BA8">
        <w:rPr>
          <w:rFonts w:ascii="Times New Roman" w:hAnsi="Times New Roman"/>
          <w:sz w:val="24"/>
          <w:szCs w:val="24"/>
          <w:lang w:val="en-US"/>
        </w:rPr>
        <w:t xml:space="preserve"> as evidence that any tax manipulation in the accounting books </w:t>
      </w:r>
      <w:r w:rsidR="00161C4D">
        <w:rPr>
          <w:rFonts w:ascii="Times New Roman" w:hAnsi="Times New Roman"/>
          <w:sz w:val="24"/>
          <w:szCs w:val="24"/>
          <w:lang w:val="en-US"/>
        </w:rPr>
        <w:t xml:space="preserve">that </w:t>
      </w:r>
      <w:r w:rsidR="00765BA8">
        <w:rPr>
          <w:rFonts w:ascii="Times New Roman" w:hAnsi="Times New Roman"/>
          <w:sz w:val="24"/>
          <w:szCs w:val="24"/>
          <w:lang w:val="en-US"/>
        </w:rPr>
        <w:t>result</w:t>
      </w:r>
      <w:r w:rsidR="006A6857">
        <w:rPr>
          <w:rFonts w:ascii="Times New Roman" w:hAnsi="Times New Roman"/>
          <w:sz w:val="24"/>
          <w:szCs w:val="24"/>
          <w:lang w:val="en-US"/>
        </w:rPr>
        <w:t>s</w:t>
      </w:r>
      <w:r w:rsidR="00765BA8">
        <w:rPr>
          <w:rFonts w:ascii="Times New Roman" w:hAnsi="Times New Roman"/>
          <w:sz w:val="24"/>
          <w:szCs w:val="24"/>
          <w:lang w:val="en-US"/>
        </w:rPr>
        <w:t xml:space="preserve"> in less tax burden</w:t>
      </w:r>
      <w:r w:rsidR="002E5BD3">
        <w:rPr>
          <w:rFonts w:ascii="Times New Roman" w:hAnsi="Times New Roman"/>
          <w:sz w:val="24"/>
          <w:szCs w:val="24"/>
          <w:lang w:val="en-US"/>
        </w:rPr>
        <w:t xml:space="preserve"> </w:t>
      </w:r>
      <w:r w:rsidR="00161C4D">
        <w:rPr>
          <w:rFonts w:ascii="Times New Roman" w:hAnsi="Times New Roman"/>
          <w:sz w:val="24"/>
          <w:szCs w:val="24"/>
          <w:lang w:val="en-US"/>
        </w:rPr>
        <w:t xml:space="preserve">incentivizes </w:t>
      </w:r>
      <w:r w:rsidR="00765BA8">
        <w:rPr>
          <w:rFonts w:ascii="Times New Roman" w:hAnsi="Times New Roman"/>
          <w:sz w:val="24"/>
          <w:szCs w:val="24"/>
          <w:lang w:val="en-US"/>
        </w:rPr>
        <w:t>productivity enhancing investment</w:t>
      </w:r>
      <w:r w:rsidR="002E5BD3">
        <w:rPr>
          <w:rFonts w:ascii="Times New Roman" w:hAnsi="Times New Roman"/>
          <w:sz w:val="24"/>
          <w:szCs w:val="24"/>
          <w:lang w:val="en-US"/>
        </w:rPr>
        <w:t>s</w:t>
      </w:r>
      <w:r w:rsidR="00765BA8">
        <w:rPr>
          <w:rFonts w:ascii="Times New Roman" w:hAnsi="Times New Roman"/>
          <w:sz w:val="24"/>
          <w:szCs w:val="24"/>
          <w:lang w:val="en-US"/>
        </w:rPr>
        <w:t xml:space="preserve">. </w:t>
      </w:r>
    </w:p>
    <w:p w:rsidR="00527433" w:rsidRDefault="00AD4A92" w:rsidP="009325A9">
      <w:pPr>
        <w:pStyle w:val="ListParagraph"/>
        <w:ind w:left="0" w:firstLine="426"/>
        <w:rPr>
          <w:rFonts w:ascii="Times New Roman" w:eastAsia="Times New Roman" w:hAnsi="Times New Roman"/>
          <w:sz w:val="24"/>
          <w:szCs w:val="24"/>
          <w:lang w:val="en-US"/>
        </w:rPr>
      </w:pPr>
      <w:r w:rsidRPr="00481078">
        <w:rPr>
          <w:rFonts w:ascii="Times New Roman" w:hAnsi="Times New Roman"/>
          <w:sz w:val="24"/>
          <w:szCs w:val="24"/>
          <w:lang w:val="en-US"/>
        </w:rPr>
        <w:t>Fin</w:t>
      </w:r>
      <w:r w:rsidR="00161C4D">
        <w:rPr>
          <w:rFonts w:ascii="Times New Roman" w:hAnsi="Times New Roman"/>
          <w:sz w:val="24"/>
          <w:szCs w:val="24"/>
          <w:lang w:val="en-US"/>
        </w:rPr>
        <w:t>ally, we also</w:t>
      </w:r>
      <w:r w:rsidR="00C003C4">
        <w:rPr>
          <w:rFonts w:ascii="Times New Roman" w:hAnsi="Times New Roman"/>
          <w:sz w:val="24"/>
          <w:szCs w:val="24"/>
          <w:lang w:val="en-US"/>
        </w:rPr>
        <w:t xml:space="preserve"> estimate [3.2] and [3.3]</w:t>
      </w:r>
      <w:r w:rsidR="00161C4D">
        <w:rPr>
          <w:rFonts w:ascii="Times New Roman" w:hAnsi="Times New Roman"/>
          <w:sz w:val="24"/>
          <w:szCs w:val="24"/>
          <w:lang w:val="en-US"/>
        </w:rPr>
        <w:t xml:space="preserve"> </w:t>
      </w:r>
      <w:r w:rsidR="00C003C4">
        <w:rPr>
          <w:rFonts w:ascii="Times New Roman" w:hAnsi="Times New Roman"/>
          <w:sz w:val="24"/>
          <w:szCs w:val="24"/>
          <w:lang w:val="en-US"/>
        </w:rPr>
        <w:t>applying</w:t>
      </w:r>
      <w:r w:rsidR="005E58E3">
        <w:rPr>
          <w:rFonts w:ascii="Times New Roman" w:hAnsi="Times New Roman"/>
          <w:sz w:val="24"/>
          <w:szCs w:val="24"/>
          <w:lang w:val="en-US"/>
        </w:rPr>
        <w:t xml:space="preserve"> </w:t>
      </w:r>
      <w:r w:rsidR="00C003C4">
        <w:rPr>
          <w:rFonts w:ascii="Times New Roman" w:hAnsi="Times New Roman"/>
          <w:sz w:val="24"/>
          <w:szCs w:val="24"/>
          <w:lang w:val="en-US"/>
        </w:rPr>
        <w:t xml:space="preserve">the </w:t>
      </w:r>
      <w:r w:rsidR="00C003C4" w:rsidRPr="00481078">
        <w:rPr>
          <w:rFonts w:ascii="Times New Roman" w:hAnsi="Times New Roman"/>
          <w:sz w:val="24"/>
          <w:szCs w:val="24"/>
          <w:lang w:val="en-US"/>
        </w:rPr>
        <w:t>Levinsohn-Petrin (2003</w:t>
      </w:r>
      <w:r w:rsidR="00C003C4">
        <w:rPr>
          <w:rFonts w:ascii="Times New Roman" w:hAnsi="Times New Roman"/>
          <w:sz w:val="24"/>
          <w:szCs w:val="24"/>
          <w:lang w:val="en-US"/>
        </w:rPr>
        <w:t xml:space="preserve">) </w:t>
      </w:r>
      <w:r w:rsidR="005E58E3" w:rsidRPr="00481078">
        <w:rPr>
          <w:rFonts w:ascii="Times New Roman" w:hAnsi="Times New Roman"/>
          <w:sz w:val="24"/>
          <w:szCs w:val="24"/>
          <w:lang w:val="en-US"/>
        </w:rPr>
        <w:t>non-parametric technique for the calculation of TFP</w:t>
      </w:r>
      <w:r w:rsidR="005E58E3">
        <w:rPr>
          <w:rFonts w:ascii="Times New Roman" w:hAnsi="Times New Roman"/>
          <w:sz w:val="24"/>
          <w:szCs w:val="24"/>
          <w:lang w:val="en-US"/>
        </w:rPr>
        <w:t>.</w:t>
      </w:r>
      <w:r w:rsidR="009B5B78">
        <w:rPr>
          <w:rFonts w:ascii="Times New Roman" w:hAnsi="Times New Roman"/>
          <w:sz w:val="24"/>
          <w:szCs w:val="24"/>
          <w:lang w:val="en-US"/>
        </w:rPr>
        <w:t xml:space="preserve"> </w:t>
      </w:r>
      <w:r w:rsidR="005E58E3">
        <w:rPr>
          <w:rFonts w:ascii="Times New Roman" w:hAnsi="Times New Roman"/>
          <w:sz w:val="24"/>
          <w:szCs w:val="24"/>
          <w:lang w:val="en-US"/>
        </w:rPr>
        <w:t xml:space="preserve">Results </w:t>
      </w:r>
      <w:r w:rsidR="00C003C4">
        <w:rPr>
          <w:rFonts w:ascii="Times New Roman" w:hAnsi="Times New Roman"/>
          <w:sz w:val="24"/>
          <w:szCs w:val="24"/>
          <w:lang w:val="en-US"/>
        </w:rPr>
        <w:t xml:space="preserve">from </w:t>
      </w:r>
      <w:r w:rsidR="00C003C4" w:rsidRPr="00481078">
        <w:rPr>
          <w:rFonts w:ascii="Times New Roman" w:hAnsi="Times New Roman"/>
          <w:sz w:val="24"/>
          <w:szCs w:val="24"/>
          <w:lang w:val="en-US"/>
        </w:rPr>
        <w:t>Levinsohn-Petrin</w:t>
      </w:r>
      <w:r w:rsidR="00C003C4">
        <w:rPr>
          <w:rFonts w:ascii="Times New Roman" w:hAnsi="Times New Roman"/>
          <w:sz w:val="24"/>
          <w:szCs w:val="24"/>
          <w:lang w:val="en-US"/>
        </w:rPr>
        <w:t xml:space="preserve"> algorithm </w:t>
      </w:r>
      <w:r w:rsidR="005E58E3">
        <w:rPr>
          <w:rFonts w:ascii="Times New Roman" w:hAnsi="Times New Roman"/>
          <w:sz w:val="24"/>
          <w:szCs w:val="24"/>
          <w:lang w:val="en-US"/>
        </w:rPr>
        <w:t xml:space="preserve">are shown in </w:t>
      </w:r>
      <w:r w:rsidR="00161C4D">
        <w:rPr>
          <w:rFonts w:ascii="Times New Roman" w:hAnsi="Times New Roman"/>
          <w:sz w:val="24"/>
          <w:szCs w:val="24"/>
          <w:lang w:val="en-US"/>
        </w:rPr>
        <w:t>Appendix</w:t>
      </w:r>
      <w:r w:rsidR="00C50629">
        <w:rPr>
          <w:rFonts w:ascii="Times New Roman" w:hAnsi="Times New Roman"/>
          <w:sz w:val="24"/>
          <w:szCs w:val="24"/>
          <w:lang w:val="en-US"/>
        </w:rPr>
        <w:t xml:space="preserve"> </w:t>
      </w:r>
      <w:r w:rsidR="004E4885">
        <w:rPr>
          <w:rFonts w:ascii="Times New Roman" w:hAnsi="Times New Roman"/>
          <w:sz w:val="24"/>
          <w:szCs w:val="24"/>
          <w:lang w:val="en-US"/>
        </w:rPr>
        <w:t>3</w:t>
      </w:r>
      <w:r w:rsidR="005E58E3">
        <w:rPr>
          <w:rFonts w:ascii="Times New Roman" w:hAnsi="Times New Roman"/>
          <w:sz w:val="24"/>
          <w:szCs w:val="24"/>
          <w:lang w:val="en-US"/>
        </w:rPr>
        <w:t xml:space="preserve">. </w:t>
      </w:r>
      <w:r w:rsidR="00481078" w:rsidRPr="00481078">
        <w:rPr>
          <w:rFonts w:ascii="Times New Roman" w:eastAsia="Times New Roman" w:hAnsi="Times New Roman"/>
          <w:sz w:val="24"/>
          <w:szCs w:val="24"/>
          <w:lang w:val="en-US"/>
        </w:rPr>
        <w:t xml:space="preserve">Our results remain robust with regard to the distortionary effect </w:t>
      </w:r>
      <w:r w:rsidR="009B5B78">
        <w:rPr>
          <w:rFonts w:ascii="Times New Roman" w:eastAsia="Times New Roman" w:hAnsi="Times New Roman"/>
          <w:sz w:val="24"/>
          <w:szCs w:val="24"/>
          <w:lang w:val="en-US"/>
        </w:rPr>
        <w:t xml:space="preserve">of </w:t>
      </w:r>
      <w:r w:rsidR="009B5B78" w:rsidRPr="00481078">
        <w:rPr>
          <w:rFonts w:ascii="Times New Roman" w:eastAsia="Times New Roman" w:hAnsi="Times New Roman"/>
          <w:sz w:val="24"/>
          <w:szCs w:val="24"/>
          <w:lang w:val="en-US"/>
        </w:rPr>
        <w:t>tax</w:t>
      </w:r>
      <w:r w:rsidR="009B5B78">
        <w:rPr>
          <w:rFonts w:ascii="Times New Roman" w:eastAsia="Times New Roman" w:hAnsi="Times New Roman"/>
          <w:sz w:val="24"/>
          <w:szCs w:val="24"/>
          <w:lang w:val="en-US"/>
        </w:rPr>
        <w:t xml:space="preserve"> liability and its </w:t>
      </w:r>
      <w:r w:rsidR="00C003C4">
        <w:rPr>
          <w:rFonts w:ascii="Times New Roman" w:eastAsia="Times New Roman" w:hAnsi="Times New Roman"/>
          <w:sz w:val="24"/>
          <w:szCs w:val="24"/>
          <w:lang w:val="en-US"/>
        </w:rPr>
        <w:t xml:space="preserve">associated </w:t>
      </w:r>
      <w:r w:rsidR="009B5B78">
        <w:rPr>
          <w:rFonts w:ascii="Times New Roman" w:eastAsia="Times New Roman" w:hAnsi="Times New Roman"/>
          <w:sz w:val="24"/>
          <w:szCs w:val="24"/>
          <w:lang w:val="en-US"/>
        </w:rPr>
        <w:t>effect on</w:t>
      </w:r>
      <w:r w:rsidR="009325A9">
        <w:rPr>
          <w:rFonts w:ascii="Times New Roman" w:eastAsia="Times New Roman" w:hAnsi="Times New Roman"/>
          <w:sz w:val="24"/>
          <w:szCs w:val="24"/>
          <w:lang w:val="en-US"/>
        </w:rPr>
        <w:t xml:space="preserve"> the </w:t>
      </w:r>
      <w:r w:rsidR="006C52EC">
        <w:rPr>
          <w:rFonts w:ascii="Times New Roman" w:eastAsia="Times New Roman" w:hAnsi="Times New Roman"/>
          <w:sz w:val="24"/>
          <w:szCs w:val="24"/>
          <w:lang w:val="en-US"/>
        </w:rPr>
        <w:t>catch-up</w:t>
      </w:r>
      <w:r w:rsidR="009325A9">
        <w:rPr>
          <w:rFonts w:ascii="Times New Roman" w:eastAsia="Times New Roman" w:hAnsi="Times New Roman"/>
          <w:sz w:val="24"/>
          <w:szCs w:val="24"/>
          <w:lang w:val="en-US"/>
        </w:rPr>
        <w:t xml:space="preserve"> process of</w:t>
      </w:r>
      <w:r w:rsidR="009B5B78">
        <w:rPr>
          <w:rFonts w:ascii="Times New Roman" w:eastAsia="Times New Roman" w:hAnsi="Times New Roman"/>
          <w:sz w:val="24"/>
          <w:szCs w:val="24"/>
          <w:lang w:val="en-US"/>
        </w:rPr>
        <w:t xml:space="preserve"> laggard firms. Overall, we can say that the negative effect of </w:t>
      </w:r>
      <w:r w:rsidR="00527433">
        <w:rPr>
          <w:rFonts w:ascii="Times New Roman" w:eastAsia="Times New Roman" w:hAnsi="Times New Roman"/>
          <w:sz w:val="24"/>
          <w:szCs w:val="24"/>
          <w:lang w:val="en-US"/>
        </w:rPr>
        <w:t>corporate</w:t>
      </w:r>
      <w:r w:rsidR="009B5B78">
        <w:rPr>
          <w:rFonts w:ascii="Times New Roman" w:eastAsia="Times New Roman" w:hAnsi="Times New Roman"/>
          <w:sz w:val="24"/>
          <w:szCs w:val="24"/>
          <w:lang w:val="en-US"/>
        </w:rPr>
        <w:t xml:space="preserve"> </w:t>
      </w:r>
      <w:r w:rsidR="00161C4D">
        <w:rPr>
          <w:rFonts w:ascii="Times New Roman" w:eastAsia="Times New Roman" w:hAnsi="Times New Roman"/>
          <w:sz w:val="24"/>
          <w:szCs w:val="24"/>
          <w:lang w:val="en-US"/>
        </w:rPr>
        <w:t xml:space="preserve">tax </w:t>
      </w:r>
      <w:r w:rsidR="009B5B78">
        <w:rPr>
          <w:rFonts w:ascii="Times New Roman" w:eastAsia="Times New Roman" w:hAnsi="Times New Roman"/>
          <w:sz w:val="24"/>
          <w:szCs w:val="24"/>
          <w:lang w:val="en-US"/>
        </w:rPr>
        <w:t xml:space="preserve">liability on TFP growth is robust to: </w:t>
      </w:r>
      <w:r w:rsidR="006C52EC">
        <w:rPr>
          <w:rFonts w:ascii="Times New Roman" w:eastAsia="Times New Roman" w:hAnsi="Times New Roman"/>
          <w:sz w:val="24"/>
          <w:szCs w:val="24"/>
          <w:lang w:val="en-US"/>
        </w:rPr>
        <w:t xml:space="preserve">endogeneity bias, alternative definitions of corporate tax burden and </w:t>
      </w:r>
      <w:r w:rsidR="009B5B78">
        <w:rPr>
          <w:rFonts w:ascii="Times New Roman" w:eastAsia="Times New Roman" w:hAnsi="Times New Roman"/>
          <w:sz w:val="24"/>
          <w:szCs w:val="24"/>
          <w:lang w:val="en-US"/>
        </w:rPr>
        <w:t xml:space="preserve">alternative TFP estimation </w:t>
      </w:r>
      <w:r w:rsidR="00527433">
        <w:rPr>
          <w:rFonts w:ascii="Times New Roman" w:eastAsia="Times New Roman" w:hAnsi="Times New Roman"/>
          <w:sz w:val="24"/>
          <w:szCs w:val="24"/>
          <w:lang w:val="en-US"/>
        </w:rPr>
        <w:t>techniques</w:t>
      </w:r>
      <w:r w:rsidR="006C52EC">
        <w:rPr>
          <w:rFonts w:ascii="Times New Roman" w:eastAsia="Times New Roman" w:hAnsi="Times New Roman"/>
          <w:sz w:val="24"/>
          <w:szCs w:val="24"/>
          <w:lang w:val="en-US"/>
        </w:rPr>
        <w:t>.</w:t>
      </w:r>
      <w:r w:rsidR="009B5B78">
        <w:rPr>
          <w:rFonts w:ascii="Times New Roman" w:eastAsia="Times New Roman" w:hAnsi="Times New Roman"/>
          <w:sz w:val="24"/>
          <w:szCs w:val="24"/>
          <w:lang w:val="en-US"/>
        </w:rPr>
        <w:t xml:space="preserve"> </w:t>
      </w:r>
      <w:r w:rsidR="009325A9">
        <w:rPr>
          <w:rFonts w:ascii="Times New Roman" w:eastAsia="Times New Roman" w:hAnsi="Times New Roman"/>
          <w:sz w:val="24"/>
          <w:szCs w:val="24"/>
          <w:lang w:val="en-US"/>
        </w:rPr>
        <w:t xml:space="preserve">Table 5 summarizes the empirical findings </w:t>
      </w:r>
      <w:r w:rsidR="00676B57">
        <w:rPr>
          <w:rFonts w:ascii="Times New Roman" w:eastAsia="Times New Roman" w:hAnsi="Times New Roman"/>
          <w:sz w:val="24"/>
          <w:szCs w:val="24"/>
          <w:lang w:val="en-US"/>
        </w:rPr>
        <w:t>of the</w:t>
      </w:r>
      <w:r w:rsidR="009325A9">
        <w:rPr>
          <w:rFonts w:ascii="Times New Roman" w:eastAsia="Times New Roman" w:hAnsi="Times New Roman"/>
          <w:sz w:val="24"/>
          <w:szCs w:val="24"/>
          <w:lang w:val="en-US"/>
        </w:rPr>
        <w:t xml:space="preserve"> study.</w:t>
      </w:r>
      <w:r w:rsidR="009B5B78">
        <w:rPr>
          <w:rFonts w:ascii="Times New Roman" w:eastAsia="Times New Roman" w:hAnsi="Times New Roman"/>
          <w:sz w:val="24"/>
          <w:szCs w:val="24"/>
          <w:lang w:val="en-US"/>
        </w:rPr>
        <w:t xml:space="preserve"> </w:t>
      </w:r>
    </w:p>
    <w:p w:rsidR="00527433" w:rsidRDefault="00527433" w:rsidP="00527433">
      <w:pPr>
        <w:pStyle w:val="ListParagraph"/>
        <w:ind w:left="0" w:firstLine="426"/>
        <w:rPr>
          <w:rFonts w:ascii="Times New Roman" w:eastAsia="Times New Roman" w:hAnsi="Times New Roman"/>
          <w:sz w:val="24"/>
          <w:szCs w:val="24"/>
          <w:lang w:val="en-US"/>
        </w:rPr>
      </w:pPr>
    </w:p>
    <w:p w:rsidR="00470F74" w:rsidRDefault="00AD4A92" w:rsidP="00AD4A92">
      <w:pPr>
        <w:pStyle w:val="ListParagraph"/>
        <w:tabs>
          <w:tab w:val="left" w:pos="6825"/>
        </w:tabs>
        <w:ind w:left="0" w:firstLine="426"/>
        <w:rPr>
          <w:rFonts w:ascii="Times New Roman" w:hAnsi="Times New Roman"/>
          <w:sz w:val="24"/>
          <w:szCs w:val="24"/>
          <w:lang w:val="en-US"/>
        </w:rPr>
      </w:pPr>
      <w:r>
        <w:rPr>
          <w:rFonts w:ascii="Times New Roman" w:hAnsi="Times New Roman"/>
          <w:sz w:val="24"/>
          <w:szCs w:val="24"/>
          <w:lang w:val="en-US"/>
        </w:rPr>
        <w:tab/>
      </w:r>
    </w:p>
    <w:p w:rsidR="00AD4A92" w:rsidRDefault="00AD4A92" w:rsidP="00470F74">
      <w:pPr>
        <w:pStyle w:val="ListParagraph"/>
        <w:ind w:left="0" w:firstLine="426"/>
        <w:rPr>
          <w:rFonts w:ascii="Times New Roman" w:hAnsi="Times New Roman"/>
          <w:sz w:val="24"/>
          <w:szCs w:val="24"/>
          <w:lang w:val="en-US"/>
        </w:rPr>
      </w:pPr>
    </w:p>
    <w:p w:rsidR="00AD4A92" w:rsidRDefault="00AD4A92" w:rsidP="00470F74">
      <w:pPr>
        <w:pStyle w:val="ListParagraph"/>
        <w:ind w:left="0" w:firstLine="426"/>
        <w:rPr>
          <w:rFonts w:ascii="Times New Roman" w:hAnsi="Times New Roman"/>
          <w:sz w:val="24"/>
          <w:szCs w:val="24"/>
          <w:lang w:val="en-US"/>
        </w:rPr>
      </w:pPr>
    </w:p>
    <w:p w:rsidR="00470F74" w:rsidRDefault="00470F74" w:rsidP="005828F0">
      <w:pPr>
        <w:pStyle w:val="ListParagraph"/>
        <w:ind w:left="0" w:firstLine="426"/>
        <w:rPr>
          <w:rFonts w:ascii="Times New Roman" w:hAnsi="Times New Roman"/>
          <w:sz w:val="24"/>
          <w:szCs w:val="24"/>
          <w:lang w:val="en-US"/>
        </w:rPr>
      </w:pPr>
    </w:p>
    <w:p w:rsidR="00527433" w:rsidRDefault="00527433" w:rsidP="005828F0">
      <w:pPr>
        <w:pStyle w:val="ListParagraph"/>
        <w:ind w:left="0" w:firstLine="426"/>
        <w:rPr>
          <w:rFonts w:ascii="Times New Roman" w:hAnsi="Times New Roman"/>
          <w:sz w:val="24"/>
          <w:szCs w:val="24"/>
          <w:lang w:val="en-US"/>
        </w:rPr>
      </w:pPr>
    </w:p>
    <w:p w:rsidR="00527433" w:rsidRDefault="00527433" w:rsidP="005828F0">
      <w:pPr>
        <w:pStyle w:val="ListParagraph"/>
        <w:ind w:left="0" w:firstLine="426"/>
        <w:rPr>
          <w:rFonts w:ascii="Times New Roman" w:hAnsi="Times New Roman"/>
          <w:sz w:val="24"/>
          <w:szCs w:val="24"/>
          <w:lang w:val="en-US"/>
        </w:rPr>
      </w:pPr>
    </w:p>
    <w:p w:rsidR="00527433" w:rsidRDefault="00527433" w:rsidP="005828F0">
      <w:pPr>
        <w:pStyle w:val="ListParagraph"/>
        <w:ind w:left="0" w:firstLine="426"/>
        <w:rPr>
          <w:rFonts w:ascii="Times New Roman" w:hAnsi="Times New Roman"/>
          <w:sz w:val="24"/>
          <w:szCs w:val="24"/>
          <w:lang w:val="en-US"/>
        </w:rPr>
      </w:pPr>
    </w:p>
    <w:p w:rsidR="00527433" w:rsidRDefault="00527433" w:rsidP="005828F0">
      <w:pPr>
        <w:pStyle w:val="ListParagraph"/>
        <w:ind w:left="0" w:firstLine="426"/>
        <w:rPr>
          <w:rFonts w:ascii="Times New Roman" w:hAnsi="Times New Roman"/>
          <w:sz w:val="24"/>
          <w:szCs w:val="24"/>
          <w:lang w:val="en-US"/>
        </w:rPr>
      </w:pPr>
    </w:p>
    <w:p w:rsidR="00527433" w:rsidRDefault="00527433" w:rsidP="005828F0">
      <w:pPr>
        <w:pStyle w:val="ListParagraph"/>
        <w:ind w:left="0" w:firstLine="426"/>
        <w:rPr>
          <w:rFonts w:ascii="Times New Roman" w:hAnsi="Times New Roman"/>
          <w:sz w:val="24"/>
          <w:szCs w:val="24"/>
          <w:lang w:val="en-US"/>
        </w:rPr>
      </w:pPr>
    </w:p>
    <w:p w:rsidR="00527433" w:rsidRDefault="00527433" w:rsidP="005828F0">
      <w:pPr>
        <w:pStyle w:val="ListParagraph"/>
        <w:ind w:left="0" w:firstLine="426"/>
        <w:rPr>
          <w:rFonts w:ascii="Times New Roman" w:hAnsi="Times New Roman"/>
          <w:sz w:val="24"/>
          <w:szCs w:val="24"/>
          <w:lang w:val="en-US"/>
        </w:rPr>
      </w:pPr>
    </w:p>
    <w:p w:rsidR="00583912" w:rsidRPr="00F86342" w:rsidRDefault="00583912" w:rsidP="00F86342">
      <w:pPr>
        <w:rPr>
          <w:rFonts w:ascii="Times New Roman" w:hAnsi="Times New Roman"/>
          <w:sz w:val="24"/>
          <w:szCs w:val="24"/>
          <w:lang w:val="en-US"/>
        </w:rPr>
      </w:pPr>
    </w:p>
    <w:p w:rsidR="00C0500D" w:rsidRPr="00F86342" w:rsidRDefault="00C0500D" w:rsidP="00E447B8">
      <w:pPr>
        <w:keepNext/>
        <w:widowControl w:val="0"/>
        <w:autoSpaceDE w:val="0"/>
        <w:autoSpaceDN w:val="0"/>
        <w:adjustRightInd w:val="0"/>
        <w:rPr>
          <w:rFonts w:ascii="Times New Roman" w:hAnsi="Times New Roman"/>
          <w:b/>
          <w:sz w:val="24"/>
          <w:szCs w:val="24"/>
          <w:lang w:val="en-US"/>
        </w:rPr>
      </w:pPr>
      <w:r w:rsidRPr="00F86342">
        <w:rPr>
          <w:rFonts w:ascii="Times New Roman" w:hAnsi="Times New Roman"/>
          <w:b/>
          <w:sz w:val="24"/>
          <w:szCs w:val="24"/>
          <w:lang w:val="en-US"/>
        </w:rPr>
        <w:lastRenderedPageBreak/>
        <w:t xml:space="preserve">Table </w:t>
      </w:r>
      <w:r w:rsidR="00E447B8" w:rsidRPr="00F86342">
        <w:rPr>
          <w:rFonts w:ascii="Times New Roman" w:hAnsi="Times New Roman"/>
          <w:b/>
          <w:sz w:val="24"/>
          <w:szCs w:val="24"/>
          <w:lang w:val="en-US"/>
        </w:rPr>
        <w:t>4</w:t>
      </w:r>
      <w:r w:rsidRPr="00F86342">
        <w:rPr>
          <w:rFonts w:ascii="Times New Roman" w:hAnsi="Times New Roman"/>
          <w:b/>
          <w:sz w:val="24"/>
          <w:szCs w:val="24"/>
          <w:lang w:val="en-US"/>
        </w:rPr>
        <w:t>: Regressions of TFP Growth and the Difference bet</w:t>
      </w:r>
      <w:r w:rsidR="004650F5">
        <w:rPr>
          <w:rFonts w:ascii="Times New Roman" w:hAnsi="Times New Roman"/>
          <w:b/>
          <w:sz w:val="24"/>
          <w:szCs w:val="24"/>
          <w:lang w:val="en-US"/>
        </w:rPr>
        <w:t xml:space="preserve">ween ASTR and </w:t>
      </w:r>
      <w:r w:rsidRPr="00F86342">
        <w:rPr>
          <w:rFonts w:ascii="Times New Roman" w:hAnsi="Times New Roman"/>
          <w:b/>
          <w:sz w:val="24"/>
          <w:szCs w:val="24"/>
          <w:lang w:val="en-US"/>
        </w:rPr>
        <w:t xml:space="preserve">ETR </w:t>
      </w:r>
      <w:r w:rsidR="00C50629">
        <w:rPr>
          <w:rFonts w:ascii="Times New Roman" w:hAnsi="Times New Roman"/>
          <w:b/>
          <w:sz w:val="24"/>
          <w:szCs w:val="24"/>
          <w:lang w:val="en-US"/>
        </w:rPr>
        <w:t>(</w:t>
      </w:r>
      <w:r w:rsidRPr="00F86342">
        <w:rPr>
          <w:rFonts w:ascii="Times New Roman" w:hAnsi="Times New Roman"/>
          <w:b/>
          <w:sz w:val="24"/>
          <w:szCs w:val="24"/>
          <w:lang w:val="en-US"/>
        </w:rPr>
        <w:t xml:space="preserve">UK Firms </w:t>
      </w:r>
      <w:r w:rsidR="00C50629">
        <w:rPr>
          <w:rFonts w:ascii="Times New Roman" w:hAnsi="Times New Roman"/>
          <w:b/>
          <w:sz w:val="24"/>
          <w:szCs w:val="24"/>
          <w:lang w:val="en-US"/>
        </w:rPr>
        <w:t xml:space="preserve">over </w:t>
      </w:r>
      <w:r w:rsidRPr="00F86342">
        <w:rPr>
          <w:rFonts w:ascii="Times New Roman" w:hAnsi="Times New Roman"/>
          <w:b/>
          <w:sz w:val="24"/>
          <w:szCs w:val="24"/>
          <w:lang w:val="en-US"/>
        </w:rPr>
        <w:t>2004-2011</w:t>
      </w:r>
      <w:r w:rsidR="00C50629">
        <w:rPr>
          <w:rFonts w:ascii="Times New Roman" w:hAnsi="Times New Roman"/>
          <w:b/>
          <w:sz w:val="24"/>
          <w:szCs w:val="24"/>
          <w:lang w:val="en-US"/>
        </w:rPr>
        <w:t>)</w:t>
      </w:r>
    </w:p>
    <w:tbl>
      <w:tblPr>
        <w:tblW w:w="5000" w:type="pct"/>
        <w:tblLook w:val="0000" w:firstRow="0" w:lastRow="0" w:firstColumn="0" w:lastColumn="0" w:noHBand="0" w:noVBand="0"/>
      </w:tblPr>
      <w:tblGrid>
        <w:gridCol w:w="2254"/>
        <w:gridCol w:w="1747"/>
        <w:gridCol w:w="1747"/>
        <w:gridCol w:w="1747"/>
        <w:gridCol w:w="1747"/>
      </w:tblGrid>
      <w:tr w:rsidR="006C52EC" w:rsidRPr="005A4A99" w:rsidTr="004650F5">
        <w:tc>
          <w:tcPr>
            <w:tcW w:w="1219" w:type="pct"/>
            <w:tcBorders>
              <w:top w:val="single" w:sz="4" w:space="0" w:color="auto"/>
              <w:left w:val="nil"/>
              <w:bottom w:val="nil"/>
              <w:right w:val="nil"/>
            </w:tcBorders>
          </w:tcPr>
          <w:p w:rsidR="006C52EC" w:rsidRPr="005A4A99" w:rsidRDefault="006C52EC" w:rsidP="00C774B9">
            <w:pPr>
              <w:widowControl w:val="0"/>
              <w:autoSpaceDE w:val="0"/>
              <w:autoSpaceDN w:val="0"/>
              <w:adjustRightInd w:val="0"/>
              <w:spacing w:line="240" w:lineRule="auto"/>
              <w:ind w:firstLine="0"/>
              <w:jc w:val="center"/>
              <w:rPr>
                <w:rFonts w:asciiTheme="majorBidi" w:hAnsiTheme="majorBidi" w:cstheme="majorBidi"/>
                <w:lang w:val="en-US"/>
              </w:rPr>
            </w:pPr>
          </w:p>
        </w:tc>
        <w:tc>
          <w:tcPr>
            <w:tcW w:w="945" w:type="pct"/>
            <w:tcBorders>
              <w:top w:val="single" w:sz="4" w:space="0" w:color="auto"/>
              <w:left w:val="nil"/>
              <w:bottom w:val="nil"/>
              <w:right w:val="nil"/>
            </w:tcBorders>
          </w:tcPr>
          <w:p w:rsidR="006C52EC" w:rsidRPr="00295173" w:rsidRDefault="006C52EC"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(1)</w:t>
            </w:r>
          </w:p>
        </w:tc>
        <w:tc>
          <w:tcPr>
            <w:tcW w:w="945" w:type="pct"/>
            <w:tcBorders>
              <w:top w:val="single" w:sz="4" w:space="0" w:color="auto"/>
              <w:left w:val="nil"/>
              <w:bottom w:val="nil"/>
              <w:right w:val="nil"/>
            </w:tcBorders>
          </w:tcPr>
          <w:p w:rsidR="006C52EC" w:rsidRPr="00295173" w:rsidRDefault="006C52EC"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(2)</w:t>
            </w:r>
          </w:p>
        </w:tc>
        <w:tc>
          <w:tcPr>
            <w:tcW w:w="945" w:type="pct"/>
            <w:tcBorders>
              <w:top w:val="single" w:sz="4" w:space="0" w:color="auto"/>
              <w:left w:val="nil"/>
              <w:bottom w:val="nil"/>
              <w:right w:val="nil"/>
            </w:tcBorders>
          </w:tcPr>
          <w:p w:rsidR="006C52EC" w:rsidRPr="00295173" w:rsidRDefault="006C52EC"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(3)</w:t>
            </w:r>
          </w:p>
        </w:tc>
        <w:tc>
          <w:tcPr>
            <w:tcW w:w="945" w:type="pct"/>
            <w:tcBorders>
              <w:top w:val="single" w:sz="4" w:space="0" w:color="auto"/>
              <w:left w:val="nil"/>
              <w:bottom w:val="nil"/>
              <w:right w:val="nil"/>
            </w:tcBorders>
          </w:tcPr>
          <w:p w:rsidR="006C52EC" w:rsidRPr="00295173" w:rsidRDefault="006C52EC"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(4)</w:t>
            </w:r>
          </w:p>
        </w:tc>
      </w:tr>
      <w:tr w:rsidR="00C0500D" w:rsidRPr="005A4A99" w:rsidTr="004650F5">
        <w:tc>
          <w:tcPr>
            <w:tcW w:w="1219" w:type="pct"/>
            <w:tcBorders>
              <w:top w:val="single" w:sz="4" w:space="0" w:color="auto"/>
              <w:left w:val="nil"/>
              <w:bottom w:val="nil"/>
              <w:right w:val="nil"/>
            </w:tcBorders>
          </w:tcPr>
          <w:p w:rsidR="00C0500D" w:rsidRPr="005A4A99"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p>
        </w:tc>
        <w:tc>
          <w:tcPr>
            <w:tcW w:w="945" w:type="pct"/>
            <w:tcBorders>
              <w:top w:val="single" w:sz="4" w:space="0" w:color="auto"/>
              <w:left w:val="nil"/>
              <w:bottom w:val="nil"/>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OLS</w:t>
            </w:r>
          </w:p>
        </w:tc>
        <w:tc>
          <w:tcPr>
            <w:tcW w:w="945" w:type="pct"/>
            <w:tcBorders>
              <w:top w:val="single" w:sz="4" w:space="0" w:color="auto"/>
              <w:left w:val="nil"/>
              <w:bottom w:val="nil"/>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OLS</w:t>
            </w:r>
          </w:p>
        </w:tc>
        <w:tc>
          <w:tcPr>
            <w:tcW w:w="945" w:type="pct"/>
            <w:tcBorders>
              <w:top w:val="single" w:sz="4" w:space="0" w:color="auto"/>
              <w:left w:val="nil"/>
              <w:bottom w:val="nil"/>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GMM</w:t>
            </w:r>
          </w:p>
        </w:tc>
        <w:tc>
          <w:tcPr>
            <w:tcW w:w="945" w:type="pct"/>
            <w:tcBorders>
              <w:top w:val="single" w:sz="4" w:space="0" w:color="auto"/>
              <w:left w:val="nil"/>
              <w:bottom w:val="nil"/>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GMM</w:t>
            </w:r>
          </w:p>
        </w:tc>
      </w:tr>
      <w:tr w:rsidR="0026790F" w:rsidRPr="005A4A99" w:rsidTr="004650F5">
        <w:tc>
          <w:tcPr>
            <w:tcW w:w="1219" w:type="pct"/>
            <w:tcBorders>
              <w:top w:val="single" w:sz="4" w:space="0" w:color="auto"/>
              <w:left w:val="nil"/>
              <w:bottom w:val="nil"/>
              <w:right w:val="nil"/>
            </w:tcBorders>
          </w:tcPr>
          <w:p w:rsidR="0026790F" w:rsidRPr="000133C7" w:rsidRDefault="0026790F" w:rsidP="00C774B9">
            <w:pPr>
              <w:spacing w:line="240" w:lineRule="auto"/>
              <w:ind w:firstLine="0"/>
              <w:rPr>
                <w:rFonts w:asciiTheme="majorBidi" w:hAnsiTheme="majorBidi" w:cstheme="majorBidi"/>
                <w:i/>
                <w:sz w:val="24"/>
                <w:szCs w:val="24"/>
                <w:lang w:val="en-US"/>
              </w:rPr>
            </w:pPr>
            <w:r w:rsidRPr="007A4735">
              <w:rPr>
                <w:rFonts w:asciiTheme="majorBidi" w:hAnsiTheme="majorBidi" w:cstheme="majorBidi"/>
                <w:sz w:val="24"/>
                <w:szCs w:val="24"/>
                <w:lang w:val="en-US"/>
              </w:rPr>
              <w:t>Δln</w:t>
            </w:r>
            <w:r w:rsidRPr="000133C7">
              <w:rPr>
                <w:rFonts w:asciiTheme="majorBidi" w:hAnsiTheme="majorBidi" w:cstheme="majorBidi"/>
                <w:i/>
                <w:sz w:val="24"/>
                <w:szCs w:val="24"/>
                <w:lang w:val="en-US"/>
              </w:rPr>
              <w:t>TFP</w:t>
            </w:r>
            <w:r w:rsidRPr="000133C7">
              <w:rPr>
                <w:rFonts w:asciiTheme="majorBidi" w:hAnsiTheme="majorBidi" w:cstheme="majorBidi"/>
                <w:i/>
                <w:sz w:val="24"/>
                <w:szCs w:val="24"/>
                <w:vertAlign w:val="subscript"/>
                <w:lang w:val="en-US"/>
              </w:rPr>
              <w:t>Ft</w:t>
            </w:r>
          </w:p>
        </w:tc>
        <w:tc>
          <w:tcPr>
            <w:tcW w:w="945" w:type="pct"/>
            <w:tcBorders>
              <w:top w:val="single" w:sz="4" w:space="0" w:color="auto"/>
              <w:left w:val="nil"/>
              <w:bottom w:val="nil"/>
              <w:right w:val="nil"/>
            </w:tcBorders>
          </w:tcPr>
          <w:p w:rsidR="0026790F" w:rsidRPr="00295173" w:rsidRDefault="0026790F"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0.176***</w:t>
            </w:r>
          </w:p>
        </w:tc>
        <w:tc>
          <w:tcPr>
            <w:tcW w:w="945" w:type="pct"/>
            <w:tcBorders>
              <w:top w:val="single" w:sz="4" w:space="0" w:color="auto"/>
              <w:left w:val="nil"/>
              <w:bottom w:val="nil"/>
              <w:right w:val="nil"/>
            </w:tcBorders>
          </w:tcPr>
          <w:p w:rsidR="0026790F" w:rsidRPr="00295173" w:rsidRDefault="0026790F"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0.170***</w:t>
            </w:r>
          </w:p>
        </w:tc>
        <w:tc>
          <w:tcPr>
            <w:tcW w:w="945" w:type="pct"/>
            <w:tcBorders>
              <w:top w:val="single" w:sz="4" w:space="0" w:color="auto"/>
              <w:left w:val="nil"/>
              <w:bottom w:val="nil"/>
              <w:right w:val="nil"/>
            </w:tcBorders>
          </w:tcPr>
          <w:p w:rsidR="0026790F" w:rsidRPr="00295173" w:rsidRDefault="0026790F"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0.157***</w:t>
            </w:r>
          </w:p>
        </w:tc>
        <w:tc>
          <w:tcPr>
            <w:tcW w:w="945" w:type="pct"/>
            <w:tcBorders>
              <w:top w:val="single" w:sz="4" w:space="0" w:color="auto"/>
              <w:left w:val="nil"/>
              <w:bottom w:val="nil"/>
              <w:right w:val="nil"/>
            </w:tcBorders>
          </w:tcPr>
          <w:p w:rsidR="0026790F" w:rsidRPr="00295173" w:rsidRDefault="0026790F"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0.152***</w:t>
            </w:r>
          </w:p>
        </w:tc>
      </w:tr>
      <w:tr w:rsidR="0026790F" w:rsidRPr="005A4A99" w:rsidTr="004650F5">
        <w:tc>
          <w:tcPr>
            <w:tcW w:w="1219" w:type="pct"/>
            <w:tcBorders>
              <w:top w:val="nil"/>
              <w:left w:val="nil"/>
              <w:bottom w:val="nil"/>
              <w:right w:val="nil"/>
            </w:tcBorders>
          </w:tcPr>
          <w:p w:rsidR="0026790F" w:rsidRPr="007A4735" w:rsidRDefault="0026790F" w:rsidP="00C774B9">
            <w:pPr>
              <w:spacing w:line="240" w:lineRule="auto"/>
              <w:ind w:firstLine="0"/>
              <w:rPr>
                <w:rFonts w:asciiTheme="majorBidi" w:hAnsiTheme="majorBidi" w:cstheme="majorBidi"/>
                <w:sz w:val="24"/>
                <w:szCs w:val="24"/>
                <w:lang w:val="en-US"/>
              </w:rPr>
            </w:pPr>
          </w:p>
        </w:tc>
        <w:tc>
          <w:tcPr>
            <w:tcW w:w="945" w:type="pct"/>
            <w:tcBorders>
              <w:top w:val="nil"/>
              <w:left w:val="nil"/>
              <w:bottom w:val="nil"/>
              <w:right w:val="nil"/>
            </w:tcBorders>
          </w:tcPr>
          <w:p w:rsidR="0026790F" w:rsidRPr="00295173" w:rsidRDefault="0026790F"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(12.15)</w:t>
            </w:r>
          </w:p>
        </w:tc>
        <w:tc>
          <w:tcPr>
            <w:tcW w:w="945" w:type="pct"/>
            <w:tcBorders>
              <w:top w:val="nil"/>
              <w:left w:val="nil"/>
              <w:bottom w:val="nil"/>
              <w:right w:val="nil"/>
            </w:tcBorders>
          </w:tcPr>
          <w:p w:rsidR="0026790F" w:rsidRPr="00295173" w:rsidRDefault="0026790F"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(11.68)</w:t>
            </w:r>
          </w:p>
        </w:tc>
        <w:tc>
          <w:tcPr>
            <w:tcW w:w="945" w:type="pct"/>
            <w:tcBorders>
              <w:top w:val="nil"/>
              <w:left w:val="nil"/>
              <w:bottom w:val="nil"/>
              <w:right w:val="nil"/>
            </w:tcBorders>
          </w:tcPr>
          <w:p w:rsidR="0026790F" w:rsidRPr="00295173" w:rsidRDefault="0026790F"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(9.27)</w:t>
            </w:r>
          </w:p>
        </w:tc>
        <w:tc>
          <w:tcPr>
            <w:tcW w:w="945" w:type="pct"/>
            <w:tcBorders>
              <w:top w:val="nil"/>
              <w:left w:val="nil"/>
              <w:bottom w:val="nil"/>
              <w:right w:val="nil"/>
            </w:tcBorders>
          </w:tcPr>
          <w:p w:rsidR="0026790F" w:rsidRPr="00295173" w:rsidRDefault="0026790F"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(6.82)</w:t>
            </w:r>
          </w:p>
        </w:tc>
      </w:tr>
      <w:tr w:rsidR="0026790F" w:rsidRPr="005A4A99" w:rsidTr="004650F5">
        <w:tc>
          <w:tcPr>
            <w:tcW w:w="1219" w:type="pct"/>
            <w:tcBorders>
              <w:top w:val="nil"/>
              <w:left w:val="nil"/>
              <w:bottom w:val="nil"/>
              <w:right w:val="nil"/>
            </w:tcBorders>
          </w:tcPr>
          <w:p w:rsidR="0026790F" w:rsidRPr="000133C7" w:rsidRDefault="0026790F" w:rsidP="00C774B9">
            <w:pPr>
              <w:spacing w:line="240" w:lineRule="auto"/>
              <w:ind w:firstLine="0"/>
              <w:rPr>
                <w:rFonts w:asciiTheme="majorBidi" w:hAnsiTheme="majorBidi" w:cstheme="majorBidi"/>
                <w:i/>
                <w:sz w:val="24"/>
                <w:szCs w:val="24"/>
                <w:vertAlign w:val="subscript"/>
                <w:lang w:val="en-US"/>
              </w:rPr>
            </w:pPr>
            <w:r w:rsidRPr="000133C7">
              <w:rPr>
                <w:rFonts w:asciiTheme="majorBidi" w:hAnsiTheme="majorBidi" w:cstheme="majorBidi"/>
                <w:i/>
                <w:sz w:val="24"/>
                <w:szCs w:val="24"/>
                <w:lang w:val="en-US"/>
              </w:rPr>
              <w:t>GAP</w:t>
            </w:r>
            <w:r>
              <w:rPr>
                <w:rFonts w:asciiTheme="majorBidi" w:hAnsiTheme="majorBidi" w:cstheme="majorBidi"/>
                <w:i/>
                <w:sz w:val="24"/>
                <w:szCs w:val="24"/>
                <w:vertAlign w:val="subscript"/>
                <w:lang w:val="en-US"/>
              </w:rPr>
              <w:t>it-1</w:t>
            </w:r>
          </w:p>
        </w:tc>
        <w:tc>
          <w:tcPr>
            <w:tcW w:w="945" w:type="pct"/>
            <w:tcBorders>
              <w:top w:val="nil"/>
              <w:left w:val="nil"/>
              <w:bottom w:val="nil"/>
              <w:right w:val="nil"/>
            </w:tcBorders>
          </w:tcPr>
          <w:p w:rsidR="0026790F" w:rsidRPr="00295173" w:rsidRDefault="0026790F"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-0.145***</w:t>
            </w:r>
          </w:p>
        </w:tc>
        <w:tc>
          <w:tcPr>
            <w:tcW w:w="945" w:type="pct"/>
            <w:tcBorders>
              <w:top w:val="nil"/>
              <w:left w:val="nil"/>
              <w:bottom w:val="nil"/>
              <w:right w:val="nil"/>
            </w:tcBorders>
          </w:tcPr>
          <w:p w:rsidR="0026790F" w:rsidRPr="00295173" w:rsidRDefault="0026790F"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-0.137***</w:t>
            </w:r>
          </w:p>
        </w:tc>
        <w:tc>
          <w:tcPr>
            <w:tcW w:w="945" w:type="pct"/>
            <w:tcBorders>
              <w:top w:val="nil"/>
              <w:left w:val="nil"/>
              <w:bottom w:val="nil"/>
              <w:right w:val="nil"/>
            </w:tcBorders>
          </w:tcPr>
          <w:p w:rsidR="0026790F" w:rsidRPr="00295173" w:rsidRDefault="0026790F"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-0.124***</w:t>
            </w:r>
          </w:p>
        </w:tc>
        <w:tc>
          <w:tcPr>
            <w:tcW w:w="945" w:type="pct"/>
            <w:tcBorders>
              <w:top w:val="nil"/>
              <w:left w:val="nil"/>
              <w:bottom w:val="nil"/>
              <w:right w:val="nil"/>
            </w:tcBorders>
          </w:tcPr>
          <w:p w:rsidR="0026790F" w:rsidRPr="00295173" w:rsidRDefault="0026790F"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-0.119***</w:t>
            </w:r>
          </w:p>
        </w:tc>
      </w:tr>
      <w:tr w:rsidR="0026790F" w:rsidRPr="005A4A99" w:rsidTr="004650F5">
        <w:tc>
          <w:tcPr>
            <w:tcW w:w="1219" w:type="pct"/>
            <w:tcBorders>
              <w:top w:val="nil"/>
              <w:left w:val="nil"/>
              <w:bottom w:val="nil"/>
              <w:right w:val="nil"/>
            </w:tcBorders>
          </w:tcPr>
          <w:p w:rsidR="0026790F" w:rsidRPr="007A4735" w:rsidRDefault="0026790F" w:rsidP="00C774B9">
            <w:pPr>
              <w:spacing w:line="240" w:lineRule="auto"/>
              <w:ind w:firstLine="0"/>
              <w:rPr>
                <w:rFonts w:asciiTheme="majorBidi" w:hAnsiTheme="majorBidi" w:cstheme="majorBidi"/>
                <w:sz w:val="24"/>
                <w:szCs w:val="24"/>
                <w:lang w:val="en-US"/>
              </w:rPr>
            </w:pPr>
          </w:p>
        </w:tc>
        <w:tc>
          <w:tcPr>
            <w:tcW w:w="945" w:type="pct"/>
            <w:tcBorders>
              <w:top w:val="nil"/>
              <w:left w:val="nil"/>
              <w:bottom w:val="nil"/>
              <w:right w:val="nil"/>
            </w:tcBorders>
          </w:tcPr>
          <w:p w:rsidR="0026790F" w:rsidRPr="00295173" w:rsidRDefault="0026790F"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(12.31)</w:t>
            </w:r>
          </w:p>
        </w:tc>
        <w:tc>
          <w:tcPr>
            <w:tcW w:w="945" w:type="pct"/>
            <w:tcBorders>
              <w:top w:val="nil"/>
              <w:left w:val="nil"/>
              <w:bottom w:val="nil"/>
              <w:right w:val="nil"/>
            </w:tcBorders>
          </w:tcPr>
          <w:p w:rsidR="0026790F" w:rsidRPr="00295173" w:rsidRDefault="0026790F"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(11.25)</w:t>
            </w:r>
          </w:p>
        </w:tc>
        <w:tc>
          <w:tcPr>
            <w:tcW w:w="945" w:type="pct"/>
            <w:tcBorders>
              <w:top w:val="nil"/>
              <w:left w:val="nil"/>
              <w:bottom w:val="nil"/>
              <w:right w:val="nil"/>
            </w:tcBorders>
          </w:tcPr>
          <w:p w:rsidR="0026790F" w:rsidRPr="00295173" w:rsidRDefault="0026790F"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(8.32)</w:t>
            </w:r>
          </w:p>
        </w:tc>
        <w:tc>
          <w:tcPr>
            <w:tcW w:w="945" w:type="pct"/>
            <w:tcBorders>
              <w:top w:val="nil"/>
              <w:left w:val="nil"/>
              <w:bottom w:val="nil"/>
              <w:right w:val="nil"/>
            </w:tcBorders>
          </w:tcPr>
          <w:p w:rsidR="0026790F" w:rsidRPr="00295173" w:rsidRDefault="0026790F"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(6.20)</w:t>
            </w:r>
          </w:p>
        </w:tc>
      </w:tr>
      <w:tr w:rsidR="00C0500D" w:rsidRPr="005A4A99" w:rsidTr="004650F5">
        <w:tc>
          <w:tcPr>
            <w:tcW w:w="1219" w:type="pct"/>
            <w:tcBorders>
              <w:top w:val="nil"/>
              <w:left w:val="nil"/>
              <w:bottom w:val="nil"/>
              <w:right w:val="nil"/>
            </w:tcBorders>
          </w:tcPr>
          <w:p w:rsidR="00C0500D" w:rsidRPr="0026790F" w:rsidRDefault="00C0500D" w:rsidP="00C774B9">
            <w:pPr>
              <w:widowControl w:val="0"/>
              <w:autoSpaceDE w:val="0"/>
              <w:autoSpaceDN w:val="0"/>
              <w:adjustRightInd w:val="0"/>
              <w:spacing w:line="240" w:lineRule="auto"/>
              <w:ind w:firstLine="0"/>
              <w:rPr>
                <w:rFonts w:asciiTheme="majorBidi" w:hAnsiTheme="majorBidi" w:cstheme="majorBidi"/>
                <w:i/>
                <w:sz w:val="24"/>
                <w:szCs w:val="24"/>
                <w:vertAlign w:val="subscript"/>
                <w:lang w:val="en-US"/>
              </w:rPr>
            </w:pPr>
            <w:r w:rsidRPr="0026790F">
              <w:rPr>
                <w:rFonts w:asciiTheme="majorBidi" w:hAnsiTheme="majorBidi" w:cstheme="majorBidi"/>
                <w:sz w:val="24"/>
                <w:szCs w:val="24"/>
                <w:lang w:val="en-US"/>
              </w:rPr>
              <w:t>Δ</w:t>
            </w:r>
            <w:r w:rsidRPr="0026790F">
              <w:rPr>
                <w:rFonts w:asciiTheme="majorBidi" w:hAnsiTheme="majorBidi" w:cstheme="majorBidi"/>
                <w:i/>
                <w:sz w:val="24"/>
                <w:szCs w:val="24"/>
                <w:lang w:val="en-US"/>
              </w:rPr>
              <w:t>Tax</w:t>
            </w:r>
            <w:r w:rsidR="0026790F" w:rsidRPr="0026790F">
              <w:rPr>
                <w:rFonts w:asciiTheme="majorBidi" w:hAnsiTheme="majorBidi" w:cstheme="majorBidi"/>
                <w:i/>
                <w:sz w:val="24"/>
                <w:szCs w:val="24"/>
                <w:vertAlign w:val="subscript"/>
                <w:lang w:val="en-US"/>
              </w:rPr>
              <w:t>it</w:t>
            </w:r>
            <w:r w:rsidR="00BF5811" w:rsidRPr="0026790F">
              <w:rPr>
                <w:rFonts w:asciiTheme="majorBidi" w:hAnsiTheme="majorBidi" w:cstheme="majorBidi"/>
                <w:i/>
                <w:sz w:val="24"/>
                <w:szCs w:val="24"/>
                <w:vertAlign w:val="subscript"/>
                <w:lang w:val="en-US"/>
              </w:rPr>
              <w:t>-1</w:t>
            </w:r>
          </w:p>
        </w:tc>
        <w:tc>
          <w:tcPr>
            <w:tcW w:w="945" w:type="pct"/>
            <w:tcBorders>
              <w:top w:val="nil"/>
              <w:left w:val="nil"/>
              <w:bottom w:val="nil"/>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0.029***</w:t>
            </w:r>
          </w:p>
        </w:tc>
        <w:tc>
          <w:tcPr>
            <w:tcW w:w="945" w:type="pct"/>
            <w:tcBorders>
              <w:top w:val="nil"/>
              <w:left w:val="nil"/>
              <w:bottom w:val="nil"/>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0.047***</w:t>
            </w:r>
          </w:p>
        </w:tc>
        <w:tc>
          <w:tcPr>
            <w:tcW w:w="945" w:type="pct"/>
            <w:tcBorders>
              <w:top w:val="nil"/>
              <w:left w:val="nil"/>
              <w:bottom w:val="nil"/>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0.075***</w:t>
            </w:r>
          </w:p>
        </w:tc>
        <w:tc>
          <w:tcPr>
            <w:tcW w:w="945" w:type="pct"/>
            <w:tcBorders>
              <w:top w:val="nil"/>
              <w:left w:val="nil"/>
              <w:bottom w:val="nil"/>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0.213*</w:t>
            </w:r>
          </w:p>
        </w:tc>
      </w:tr>
      <w:tr w:rsidR="00C0500D" w:rsidRPr="005A4A99" w:rsidTr="004650F5">
        <w:tc>
          <w:tcPr>
            <w:tcW w:w="1219" w:type="pct"/>
            <w:tcBorders>
              <w:top w:val="nil"/>
              <w:left w:val="nil"/>
              <w:bottom w:val="nil"/>
              <w:right w:val="nil"/>
            </w:tcBorders>
          </w:tcPr>
          <w:p w:rsidR="00C0500D" w:rsidRPr="004650F5" w:rsidRDefault="00C0500D" w:rsidP="00C774B9">
            <w:pPr>
              <w:widowControl w:val="0"/>
              <w:autoSpaceDE w:val="0"/>
              <w:autoSpaceDN w:val="0"/>
              <w:adjustRightInd w:val="0"/>
              <w:spacing w:line="240" w:lineRule="auto"/>
              <w:ind w:firstLine="0"/>
              <w:rPr>
                <w:rFonts w:asciiTheme="majorBidi" w:hAnsiTheme="majorBidi" w:cstheme="majorBidi"/>
                <w:sz w:val="24"/>
                <w:szCs w:val="24"/>
                <w:lang w:val="en-US"/>
              </w:rPr>
            </w:pPr>
          </w:p>
        </w:tc>
        <w:tc>
          <w:tcPr>
            <w:tcW w:w="945" w:type="pct"/>
            <w:tcBorders>
              <w:top w:val="nil"/>
              <w:left w:val="nil"/>
              <w:bottom w:val="nil"/>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(3.41)</w:t>
            </w:r>
          </w:p>
        </w:tc>
        <w:tc>
          <w:tcPr>
            <w:tcW w:w="945" w:type="pct"/>
            <w:tcBorders>
              <w:top w:val="nil"/>
              <w:left w:val="nil"/>
              <w:bottom w:val="nil"/>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(4.41)</w:t>
            </w:r>
          </w:p>
        </w:tc>
        <w:tc>
          <w:tcPr>
            <w:tcW w:w="945" w:type="pct"/>
            <w:tcBorders>
              <w:top w:val="nil"/>
              <w:left w:val="nil"/>
              <w:bottom w:val="nil"/>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(3.07)</w:t>
            </w:r>
          </w:p>
        </w:tc>
        <w:tc>
          <w:tcPr>
            <w:tcW w:w="945" w:type="pct"/>
            <w:tcBorders>
              <w:top w:val="nil"/>
              <w:left w:val="nil"/>
              <w:bottom w:val="nil"/>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(1.78)</w:t>
            </w:r>
          </w:p>
        </w:tc>
      </w:tr>
      <w:tr w:rsidR="00C0500D" w:rsidRPr="005A4A99" w:rsidTr="004650F5">
        <w:tc>
          <w:tcPr>
            <w:tcW w:w="1219" w:type="pct"/>
            <w:tcBorders>
              <w:top w:val="nil"/>
              <w:left w:val="nil"/>
              <w:bottom w:val="nil"/>
              <w:right w:val="nil"/>
            </w:tcBorders>
          </w:tcPr>
          <w:p w:rsidR="00C0500D" w:rsidRPr="004650F5" w:rsidRDefault="00295173" w:rsidP="00C774B9">
            <w:pPr>
              <w:widowControl w:val="0"/>
              <w:autoSpaceDE w:val="0"/>
              <w:autoSpaceDN w:val="0"/>
              <w:adjustRightInd w:val="0"/>
              <w:spacing w:line="240" w:lineRule="auto"/>
              <w:ind w:firstLine="0"/>
              <w:rPr>
                <w:rFonts w:asciiTheme="majorBidi" w:hAnsiTheme="majorBidi" w:cstheme="majorBidi"/>
                <w:sz w:val="24"/>
                <w:szCs w:val="24"/>
                <w:lang w:val="en-US"/>
              </w:rPr>
            </w:pPr>
            <w:r w:rsidRPr="007A4735">
              <w:rPr>
                <w:rFonts w:asciiTheme="majorBidi" w:hAnsiTheme="majorBidi" w:cstheme="majorBidi"/>
                <w:sz w:val="24"/>
                <w:szCs w:val="24"/>
                <w:lang w:val="en-US"/>
              </w:rPr>
              <w:t>[</w:t>
            </w:r>
            <w:r w:rsidRPr="000133C7">
              <w:rPr>
                <w:rFonts w:asciiTheme="majorBidi" w:hAnsiTheme="majorBidi" w:cstheme="majorBidi"/>
                <w:i/>
                <w:sz w:val="24"/>
                <w:szCs w:val="24"/>
                <w:lang w:val="en-US"/>
              </w:rPr>
              <w:t>GAP</w:t>
            </w:r>
            <w:r>
              <w:rPr>
                <w:rFonts w:asciiTheme="majorBidi" w:hAnsiTheme="majorBidi" w:cstheme="majorBidi"/>
                <w:i/>
                <w:sz w:val="24"/>
                <w:szCs w:val="24"/>
                <w:vertAlign w:val="subscript"/>
                <w:lang w:val="en-US"/>
              </w:rPr>
              <w:t>it-1</w:t>
            </w:r>
            <w:r w:rsidRPr="007A4735">
              <w:rPr>
                <w:rFonts w:asciiTheme="majorBidi" w:hAnsiTheme="majorBidi" w:cstheme="majorBidi"/>
                <w:sz w:val="24"/>
                <w:szCs w:val="24"/>
                <w:lang w:val="en-US"/>
              </w:rPr>
              <w:t>×</w:t>
            </w:r>
            <w:r w:rsidRPr="00D5186E">
              <w:rPr>
                <w:rFonts w:asciiTheme="majorBidi" w:hAnsiTheme="majorBidi" w:cstheme="majorBidi"/>
                <w:i/>
                <w:sz w:val="24"/>
                <w:szCs w:val="24"/>
                <w:lang w:val="en-US"/>
              </w:rPr>
              <w:t xml:space="preserve"> </w:t>
            </w:r>
            <w:r w:rsidRPr="00295173">
              <w:rPr>
                <w:rFonts w:asciiTheme="majorBidi" w:hAnsiTheme="majorBidi" w:cstheme="majorBidi"/>
                <w:sz w:val="24"/>
                <w:szCs w:val="24"/>
                <w:lang w:val="en-US"/>
              </w:rPr>
              <w:t>Δ</w:t>
            </w:r>
            <w:r w:rsidRPr="00D5186E">
              <w:rPr>
                <w:rFonts w:asciiTheme="majorBidi" w:hAnsiTheme="majorBidi" w:cstheme="majorBidi"/>
                <w:i/>
                <w:sz w:val="24"/>
                <w:szCs w:val="24"/>
                <w:lang w:val="en-US"/>
              </w:rPr>
              <w:t>Tax</w:t>
            </w:r>
            <w:r w:rsidRPr="000133C7">
              <w:rPr>
                <w:rFonts w:asciiTheme="majorBidi" w:hAnsiTheme="majorBidi" w:cstheme="majorBidi"/>
                <w:i/>
                <w:sz w:val="24"/>
                <w:szCs w:val="24"/>
                <w:vertAlign w:val="subscript"/>
                <w:lang w:val="en-US"/>
              </w:rPr>
              <w:t>it-1</w:t>
            </w:r>
            <w:r w:rsidRPr="007A4735">
              <w:rPr>
                <w:rFonts w:asciiTheme="majorBidi" w:hAnsiTheme="majorBidi" w:cstheme="majorBidi"/>
                <w:sz w:val="24"/>
                <w:szCs w:val="24"/>
                <w:lang w:val="en-US"/>
              </w:rPr>
              <w:t>]</w:t>
            </w:r>
          </w:p>
        </w:tc>
        <w:tc>
          <w:tcPr>
            <w:tcW w:w="945" w:type="pct"/>
            <w:tcBorders>
              <w:top w:val="nil"/>
              <w:left w:val="nil"/>
              <w:bottom w:val="nil"/>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p>
        </w:tc>
        <w:tc>
          <w:tcPr>
            <w:tcW w:w="945" w:type="pct"/>
            <w:tcBorders>
              <w:top w:val="nil"/>
              <w:left w:val="nil"/>
              <w:bottom w:val="nil"/>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-0.047***</w:t>
            </w:r>
          </w:p>
        </w:tc>
        <w:tc>
          <w:tcPr>
            <w:tcW w:w="945" w:type="pct"/>
            <w:tcBorders>
              <w:top w:val="nil"/>
              <w:left w:val="nil"/>
              <w:bottom w:val="nil"/>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p>
        </w:tc>
        <w:tc>
          <w:tcPr>
            <w:tcW w:w="945" w:type="pct"/>
            <w:tcBorders>
              <w:top w:val="nil"/>
              <w:left w:val="nil"/>
              <w:bottom w:val="nil"/>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-0.145</w:t>
            </w:r>
            <w:r w:rsidR="00AD4A92" w:rsidRPr="00295173">
              <w:rPr>
                <w:rFonts w:asciiTheme="majorBidi" w:hAnsiTheme="majorBidi" w:cstheme="majorBidi"/>
                <w:lang w:val="en-US"/>
              </w:rPr>
              <w:t>**</w:t>
            </w:r>
          </w:p>
        </w:tc>
      </w:tr>
      <w:tr w:rsidR="00C0500D" w:rsidRPr="005A4A99" w:rsidTr="004650F5">
        <w:tc>
          <w:tcPr>
            <w:tcW w:w="1219" w:type="pct"/>
            <w:tcBorders>
              <w:top w:val="nil"/>
              <w:left w:val="nil"/>
              <w:bottom w:val="nil"/>
              <w:right w:val="nil"/>
            </w:tcBorders>
          </w:tcPr>
          <w:p w:rsidR="00C0500D" w:rsidRPr="004650F5" w:rsidRDefault="00C0500D" w:rsidP="00C774B9">
            <w:pPr>
              <w:widowControl w:val="0"/>
              <w:autoSpaceDE w:val="0"/>
              <w:autoSpaceDN w:val="0"/>
              <w:adjustRightInd w:val="0"/>
              <w:spacing w:line="240" w:lineRule="auto"/>
              <w:ind w:firstLine="0"/>
              <w:rPr>
                <w:rFonts w:asciiTheme="majorBidi" w:hAnsiTheme="majorBidi" w:cstheme="majorBidi"/>
                <w:sz w:val="24"/>
                <w:szCs w:val="24"/>
                <w:lang w:val="en-US"/>
              </w:rPr>
            </w:pPr>
          </w:p>
        </w:tc>
        <w:tc>
          <w:tcPr>
            <w:tcW w:w="945" w:type="pct"/>
            <w:tcBorders>
              <w:top w:val="nil"/>
              <w:left w:val="nil"/>
              <w:bottom w:val="nil"/>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p>
        </w:tc>
        <w:tc>
          <w:tcPr>
            <w:tcW w:w="945" w:type="pct"/>
            <w:tcBorders>
              <w:top w:val="nil"/>
              <w:left w:val="nil"/>
              <w:bottom w:val="nil"/>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(3.23)</w:t>
            </w:r>
          </w:p>
        </w:tc>
        <w:tc>
          <w:tcPr>
            <w:tcW w:w="945" w:type="pct"/>
            <w:tcBorders>
              <w:top w:val="nil"/>
              <w:left w:val="nil"/>
              <w:bottom w:val="nil"/>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p>
        </w:tc>
        <w:tc>
          <w:tcPr>
            <w:tcW w:w="945" w:type="pct"/>
            <w:tcBorders>
              <w:top w:val="nil"/>
              <w:left w:val="nil"/>
              <w:bottom w:val="nil"/>
              <w:right w:val="nil"/>
            </w:tcBorders>
          </w:tcPr>
          <w:p w:rsidR="00C0500D" w:rsidRPr="00295173" w:rsidRDefault="00AD4A92"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(2</w:t>
            </w:r>
            <w:r w:rsidR="00C0500D" w:rsidRPr="00295173">
              <w:rPr>
                <w:rFonts w:asciiTheme="majorBidi" w:hAnsiTheme="majorBidi" w:cstheme="majorBidi"/>
                <w:lang w:val="en-US"/>
              </w:rPr>
              <w:t>.51)</w:t>
            </w:r>
          </w:p>
        </w:tc>
      </w:tr>
      <w:tr w:rsidR="00C0500D" w:rsidRPr="005A4A99" w:rsidTr="004650F5">
        <w:tc>
          <w:tcPr>
            <w:tcW w:w="1219" w:type="pct"/>
            <w:tcBorders>
              <w:top w:val="nil"/>
              <w:left w:val="nil"/>
              <w:bottom w:val="nil"/>
              <w:right w:val="nil"/>
            </w:tcBorders>
          </w:tcPr>
          <w:p w:rsidR="00C0500D" w:rsidRPr="00295173" w:rsidRDefault="00C0500D" w:rsidP="00C774B9">
            <w:pPr>
              <w:widowControl w:val="0"/>
              <w:autoSpaceDE w:val="0"/>
              <w:autoSpaceDN w:val="0"/>
              <w:adjustRightInd w:val="0"/>
              <w:spacing w:line="240" w:lineRule="auto"/>
              <w:ind w:firstLine="0"/>
              <w:rPr>
                <w:rFonts w:asciiTheme="majorBidi" w:hAnsiTheme="majorBidi" w:cstheme="majorBidi"/>
                <w:i/>
                <w:sz w:val="24"/>
                <w:szCs w:val="24"/>
                <w:vertAlign w:val="subscript"/>
                <w:lang w:val="en-US"/>
              </w:rPr>
            </w:pPr>
            <w:r w:rsidRPr="00D5186E">
              <w:rPr>
                <w:rFonts w:asciiTheme="majorBidi" w:hAnsiTheme="majorBidi" w:cstheme="majorBidi"/>
                <w:i/>
                <w:sz w:val="24"/>
                <w:szCs w:val="24"/>
                <w:lang w:val="en-US"/>
              </w:rPr>
              <w:t>R</w:t>
            </w:r>
            <w:r w:rsidR="00295173">
              <w:rPr>
                <w:rFonts w:asciiTheme="majorBidi" w:hAnsiTheme="majorBidi" w:cstheme="majorBidi"/>
                <w:i/>
                <w:sz w:val="24"/>
                <w:szCs w:val="24"/>
                <w:vertAlign w:val="subscript"/>
                <w:lang w:val="en-US"/>
              </w:rPr>
              <w:t>i</w:t>
            </w:r>
          </w:p>
        </w:tc>
        <w:tc>
          <w:tcPr>
            <w:tcW w:w="945" w:type="pct"/>
            <w:tcBorders>
              <w:top w:val="nil"/>
              <w:left w:val="nil"/>
              <w:bottom w:val="nil"/>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0.006**</w:t>
            </w:r>
          </w:p>
        </w:tc>
        <w:tc>
          <w:tcPr>
            <w:tcW w:w="945" w:type="pct"/>
            <w:tcBorders>
              <w:top w:val="nil"/>
              <w:left w:val="nil"/>
              <w:bottom w:val="nil"/>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0.006**</w:t>
            </w:r>
          </w:p>
        </w:tc>
        <w:tc>
          <w:tcPr>
            <w:tcW w:w="945" w:type="pct"/>
            <w:tcBorders>
              <w:top w:val="nil"/>
              <w:left w:val="nil"/>
              <w:bottom w:val="nil"/>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0.003</w:t>
            </w:r>
          </w:p>
        </w:tc>
        <w:tc>
          <w:tcPr>
            <w:tcW w:w="945" w:type="pct"/>
            <w:tcBorders>
              <w:top w:val="nil"/>
              <w:left w:val="nil"/>
              <w:bottom w:val="nil"/>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0.003</w:t>
            </w:r>
          </w:p>
        </w:tc>
      </w:tr>
      <w:tr w:rsidR="00C0500D" w:rsidRPr="005A4A99" w:rsidTr="004650F5">
        <w:tc>
          <w:tcPr>
            <w:tcW w:w="1219" w:type="pct"/>
            <w:tcBorders>
              <w:top w:val="nil"/>
              <w:left w:val="nil"/>
              <w:bottom w:val="nil"/>
              <w:right w:val="nil"/>
            </w:tcBorders>
          </w:tcPr>
          <w:p w:rsidR="00C0500D" w:rsidRPr="004650F5" w:rsidRDefault="00C0500D" w:rsidP="00C774B9">
            <w:pPr>
              <w:widowControl w:val="0"/>
              <w:autoSpaceDE w:val="0"/>
              <w:autoSpaceDN w:val="0"/>
              <w:adjustRightInd w:val="0"/>
              <w:spacing w:line="240" w:lineRule="auto"/>
              <w:ind w:firstLine="0"/>
              <w:rPr>
                <w:rFonts w:asciiTheme="majorBidi" w:hAnsiTheme="majorBidi" w:cstheme="majorBidi"/>
                <w:sz w:val="24"/>
                <w:szCs w:val="24"/>
                <w:lang w:val="en-US"/>
              </w:rPr>
            </w:pPr>
          </w:p>
        </w:tc>
        <w:tc>
          <w:tcPr>
            <w:tcW w:w="945" w:type="pct"/>
            <w:tcBorders>
              <w:top w:val="nil"/>
              <w:left w:val="nil"/>
              <w:bottom w:val="nil"/>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(2.37)</w:t>
            </w:r>
          </w:p>
        </w:tc>
        <w:tc>
          <w:tcPr>
            <w:tcW w:w="945" w:type="pct"/>
            <w:tcBorders>
              <w:top w:val="nil"/>
              <w:left w:val="nil"/>
              <w:bottom w:val="nil"/>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(2.36)</w:t>
            </w:r>
          </w:p>
        </w:tc>
        <w:tc>
          <w:tcPr>
            <w:tcW w:w="945" w:type="pct"/>
            <w:tcBorders>
              <w:top w:val="nil"/>
              <w:left w:val="nil"/>
              <w:bottom w:val="nil"/>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(0.89)</w:t>
            </w:r>
          </w:p>
        </w:tc>
        <w:tc>
          <w:tcPr>
            <w:tcW w:w="945" w:type="pct"/>
            <w:tcBorders>
              <w:top w:val="nil"/>
              <w:left w:val="nil"/>
              <w:bottom w:val="nil"/>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(0.80)</w:t>
            </w:r>
          </w:p>
        </w:tc>
      </w:tr>
      <w:tr w:rsidR="00C0500D" w:rsidRPr="005A4A99" w:rsidTr="004650F5">
        <w:tc>
          <w:tcPr>
            <w:tcW w:w="1219" w:type="pct"/>
            <w:tcBorders>
              <w:top w:val="nil"/>
              <w:left w:val="nil"/>
              <w:bottom w:val="nil"/>
              <w:right w:val="nil"/>
            </w:tcBorders>
          </w:tcPr>
          <w:p w:rsidR="00C0500D" w:rsidRPr="00295173" w:rsidRDefault="00C0500D" w:rsidP="00C774B9">
            <w:pPr>
              <w:widowControl w:val="0"/>
              <w:autoSpaceDE w:val="0"/>
              <w:autoSpaceDN w:val="0"/>
              <w:adjustRightInd w:val="0"/>
              <w:spacing w:line="240" w:lineRule="auto"/>
              <w:ind w:firstLine="0"/>
              <w:rPr>
                <w:rFonts w:asciiTheme="majorBidi" w:hAnsiTheme="majorBidi" w:cstheme="majorBidi"/>
                <w:i/>
                <w:sz w:val="24"/>
                <w:szCs w:val="24"/>
                <w:vertAlign w:val="subscript"/>
                <w:lang w:val="en-US"/>
              </w:rPr>
            </w:pPr>
            <w:r w:rsidRPr="00D5186E">
              <w:rPr>
                <w:rFonts w:asciiTheme="majorBidi" w:hAnsiTheme="majorBidi" w:cstheme="majorBidi"/>
                <w:i/>
                <w:sz w:val="24"/>
                <w:szCs w:val="24"/>
                <w:lang w:val="en-US"/>
              </w:rPr>
              <w:t>E</w:t>
            </w:r>
            <w:r w:rsidR="00295173">
              <w:rPr>
                <w:rFonts w:asciiTheme="majorBidi" w:hAnsiTheme="majorBidi" w:cstheme="majorBidi"/>
                <w:i/>
                <w:sz w:val="24"/>
                <w:szCs w:val="24"/>
                <w:vertAlign w:val="subscript"/>
                <w:lang w:val="en-US"/>
              </w:rPr>
              <w:t>i</w:t>
            </w:r>
          </w:p>
        </w:tc>
        <w:tc>
          <w:tcPr>
            <w:tcW w:w="945" w:type="pct"/>
            <w:tcBorders>
              <w:top w:val="nil"/>
              <w:left w:val="nil"/>
              <w:bottom w:val="nil"/>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0.001</w:t>
            </w:r>
          </w:p>
        </w:tc>
        <w:tc>
          <w:tcPr>
            <w:tcW w:w="945" w:type="pct"/>
            <w:tcBorders>
              <w:top w:val="nil"/>
              <w:left w:val="nil"/>
              <w:bottom w:val="nil"/>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0.001</w:t>
            </w:r>
          </w:p>
        </w:tc>
        <w:tc>
          <w:tcPr>
            <w:tcW w:w="945" w:type="pct"/>
            <w:tcBorders>
              <w:top w:val="nil"/>
              <w:left w:val="nil"/>
              <w:bottom w:val="nil"/>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0.004</w:t>
            </w:r>
          </w:p>
        </w:tc>
        <w:tc>
          <w:tcPr>
            <w:tcW w:w="945" w:type="pct"/>
            <w:tcBorders>
              <w:top w:val="nil"/>
              <w:left w:val="nil"/>
              <w:bottom w:val="nil"/>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0.004</w:t>
            </w:r>
          </w:p>
        </w:tc>
      </w:tr>
      <w:tr w:rsidR="00C0500D" w:rsidRPr="005A4A99" w:rsidTr="004650F5">
        <w:tc>
          <w:tcPr>
            <w:tcW w:w="1219" w:type="pct"/>
            <w:tcBorders>
              <w:top w:val="nil"/>
              <w:left w:val="nil"/>
              <w:bottom w:val="single" w:sz="4" w:space="0" w:color="auto"/>
              <w:right w:val="nil"/>
            </w:tcBorders>
          </w:tcPr>
          <w:p w:rsidR="00C0500D" w:rsidRPr="004650F5" w:rsidRDefault="00C0500D" w:rsidP="00C774B9">
            <w:pPr>
              <w:widowControl w:val="0"/>
              <w:autoSpaceDE w:val="0"/>
              <w:autoSpaceDN w:val="0"/>
              <w:adjustRightInd w:val="0"/>
              <w:spacing w:line="240" w:lineRule="auto"/>
              <w:ind w:firstLine="0"/>
              <w:rPr>
                <w:rFonts w:asciiTheme="majorBidi" w:hAnsiTheme="majorBidi" w:cstheme="majorBidi"/>
                <w:sz w:val="24"/>
                <w:szCs w:val="24"/>
                <w:lang w:val="en-US"/>
              </w:rPr>
            </w:pPr>
          </w:p>
        </w:tc>
        <w:tc>
          <w:tcPr>
            <w:tcW w:w="945" w:type="pct"/>
            <w:tcBorders>
              <w:top w:val="nil"/>
              <w:left w:val="nil"/>
              <w:bottom w:val="single" w:sz="4" w:space="0" w:color="auto"/>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(0.23)</w:t>
            </w:r>
          </w:p>
        </w:tc>
        <w:tc>
          <w:tcPr>
            <w:tcW w:w="945" w:type="pct"/>
            <w:tcBorders>
              <w:top w:val="nil"/>
              <w:left w:val="nil"/>
              <w:bottom w:val="single" w:sz="4" w:space="0" w:color="auto"/>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(0.35)</w:t>
            </w:r>
          </w:p>
        </w:tc>
        <w:tc>
          <w:tcPr>
            <w:tcW w:w="945" w:type="pct"/>
            <w:tcBorders>
              <w:top w:val="nil"/>
              <w:left w:val="nil"/>
              <w:bottom w:val="single" w:sz="4" w:space="0" w:color="auto"/>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(1.63)</w:t>
            </w:r>
          </w:p>
        </w:tc>
        <w:tc>
          <w:tcPr>
            <w:tcW w:w="945" w:type="pct"/>
            <w:tcBorders>
              <w:top w:val="nil"/>
              <w:left w:val="nil"/>
              <w:bottom w:val="single" w:sz="4" w:space="0" w:color="auto"/>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(1.51)</w:t>
            </w:r>
          </w:p>
        </w:tc>
      </w:tr>
      <w:tr w:rsidR="00C0500D" w:rsidRPr="005A4A99" w:rsidTr="004650F5">
        <w:tc>
          <w:tcPr>
            <w:tcW w:w="1219" w:type="pct"/>
            <w:tcBorders>
              <w:top w:val="nil"/>
              <w:left w:val="nil"/>
              <w:bottom w:val="single" w:sz="4" w:space="0" w:color="auto"/>
              <w:right w:val="nil"/>
            </w:tcBorders>
          </w:tcPr>
          <w:p w:rsidR="00C0500D" w:rsidRPr="004650F5" w:rsidRDefault="00C0500D" w:rsidP="00C774B9">
            <w:pPr>
              <w:widowControl w:val="0"/>
              <w:autoSpaceDE w:val="0"/>
              <w:autoSpaceDN w:val="0"/>
              <w:adjustRightInd w:val="0"/>
              <w:spacing w:line="240" w:lineRule="auto"/>
              <w:ind w:firstLine="0"/>
              <w:rPr>
                <w:rFonts w:asciiTheme="majorBidi" w:hAnsiTheme="majorBidi" w:cstheme="majorBidi"/>
                <w:sz w:val="24"/>
                <w:szCs w:val="24"/>
                <w:lang w:val="en-US"/>
              </w:rPr>
            </w:pPr>
            <w:r w:rsidRPr="004650F5">
              <w:rPr>
                <w:rFonts w:asciiTheme="majorBidi" w:hAnsiTheme="majorBidi" w:cstheme="majorBidi"/>
                <w:sz w:val="24"/>
                <w:szCs w:val="24"/>
                <w:lang w:val="en-US"/>
              </w:rPr>
              <w:t>Industry dummies</w:t>
            </w:r>
          </w:p>
        </w:tc>
        <w:tc>
          <w:tcPr>
            <w:tcW w:w="945" w:type="pct"/>
            <w:tcBorders>
              <w:top w:val="nil"/>
              <w:left w:val="nil"/>
              <w:bottom w:val="single" w:sz="4" w:space="0" w:color="auto"/>
              <w:right w:val="nil"/>
            </w:tcBorders>
          </w:tcPr>
          <w:p w:rsidR="00C0500D" w:rsidRPr="00295173" w:rsidRDefault="00C0500D" w:rsidP="00C774B9">
            <w:pPr>
              <w:widowControl w:val="0"/>
              <w:tabs>
                <w:tab w:val="center" w:pos="797"/>
                <w:tab w:val="left" w:pos="1485"/>
              </w:tabs>
              <w:autoSpaceDE w:val="0"/>
              <w:autoSpaceDN w:val="0"/>
              <w:adjustRightInd w:val="0"/>
              <w:spacing w:line="240" w:lineRule="auto"/>
              <w:ind w:firstLine="0"/>
              <w:rPr>
                <w:rFonts w:asciiTheme="majorBidi" w:hAnsiTheme="majorBidi" w:cstheme="majorBidi"/>
                <w:lang w:val="en-US"/>
              </w:rPr>
            </w:pPr>
            <w:r w:rsidRPr="00295173">
              <w:rPr>
                <w:rFonts w:asciiTheme="majorBidi" w:hAnsiTheme="majorBidi" w:cstheme="majorBidi"/>
                <w:lang w:val="en-US"/>
              </w:rPr>
              <w:tab/>
              <w:t>Yes</w:t>
            </w:r>
            <w:r w:rsidRPr="00295173">
              <w:rPr>
                <w:rFonts w:asciiTheme="majorBidi" w:hAnsiTheme="majorBidi" w:cstheme="majorBidi"/>
                <w:lang w:val="en-US"/>
              </w:rPr>
              <w:tab/>
            </w:r>
          </w:p>
        </w:tc>
        <w:tc>
          <w:tcPr>
            <w:tcW w:w="945" w:type="pct"/>
            <w:tcBorders>
              <w:top w:val="nil"/>
              <w:left w:val="nil"/>
              <w:bottom w:val="single" w:sz="4" w:space="0" w:color="auto"/>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Yes</w:t>
            </w:r>
          </w:p>
        </w:tc>
        <w:tc>
          <w:tcPr>
            <w:tcW w:w="945" w:type="pct"/>
            <w:tcBorders>
              <w:top w:val="nil"/>
              <w:left w:val="nil"/>
              <w:bottom w:val="single" w:sz="4" w:space="0" w:color="auto"/>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Yes</w:t>
            </w:r>
          </w:p>
        </w:tc>
        <w:tc>
          <w:tcPr>
            <w:tcW w:w="945" w:type="pct"/>
            <w:tcBorders>
              <w:top w:val="nil"/>
              <w:left w:val="nil"/>
              <w:bottom w:val="single" w:sz="4" w:space="0" w:color="auto"/>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Yes</w:t>
            </w:r>
          </w:p>
        </w:tc>
      </w:tr>
      <w:tr w:rsidR="00C0500D" w:rsidRPr="005A4A99" w:rsidTr="004650F5">
        <w:tc>
          <w:tcPr>
            <w:tcW w:w="1219" w:type="pct"/>
            <w:tcBorders>
              <w:top w:val="nil"/>
              <w:left w:val="nil"/>
              <w:bottom w:val="single" w:sz="4" w:space="0" w:color="auto"/>
              <w:right w:val="nil"/>
            </w:tcBorders>
          </w:tcPr>
          <w:p w:rsidR="00C0500D" w:rsidRPr="004650F5" w:rsidRDefault="00C0500D" w:rsidP="00C774B9">
            <w:pPr>
              <w:widowControl w:val="0"/>
              <w:autoSpaceDE w:val="0"/>
              <w:autoSpaceDN w:val="0"/>
              <w:adjustRightInd w:val="0"/>
              <w:spacing w:line="240" w:lineRule="auto"/>
              <w:ind w:firstLine="0"/>
              <w:rPr>
                <w:rFonts w:asciiTheme="majorBidi" w:hAnsiTheme="majorBidi" w:cstheme="majorBidi"/>
                <w:sz w:val="24"/>
                <w:szCs w:val="24"/>
                <w:lang w:val="en-US"/>
              </w:rPr>
            </w:pPr>
            <w:r w:rsidRPr="004650F5">
              <w:rPr>
                <w:rFonts w:asciiTheme="majorBidi" w:hAnsiTheme="majorBidi" w:cstheme="majorBidi"/>
                <w:sz w:val="24"/>
                <w:szCs w:val="24"/>
                <w:lang w:val="en-US"/>
              </w:rPr>
              <w:t>Year dummies</w:t>
            </w:r>
          </w:p>
        </w:tc>
        <w:tc>
          <w:tcPr>
            <w:tcW w:w="945" w:type="pct"/>
            <w:tcBorders>
              <w:top w:val="nil"/>
              <w:left w:val="nil"/>
              <w:bottom w:val="single" w:sz="4" w:space="0" w:color="auto"/>
              <w:right w:val="nil"/>
            </w:tcBorders>
          </w:tcPr>
          <w:p w:rsidR="00C0500D" w:rsidRPr="00295173" w:rsidRDefault="00C0500D" w:rsidP="00C774B9">
            <w:pPr>
              <w:widowControl w:val="0"/>
              <w:tabs>
                <w:tab w:val="center" w:pos="797"/>
                <w:tab w:val="left" w:pos="1485"/>
              </w:tabs>
              <w:autoSpaceDE w:val="0"/>
              <w:autoSpaceDN w:val="0"/>
              <w:adjustRightInd w:val="0"/>
              <w:spacing w:line="240" w:lineRule="auto"/>
              <w:ind w:firstLine="0"/>
              <w:rPr>
                <w:rFonts w:asciiTheme="majorBidi" w:hAnsiTheme="majorBidi" w:cstheme="majorBidi"/>
                <w:lang w:val="en-US"/>
              </w:rPr>
            </w:pPr>
            <w:r w:rsidRPr="00295173">
              <w:rPr>
                <w:rFonts w:asciiTheme="majorBidi" w:hAnsiTheme="majorBidi" w:cstheme="majorBidi"/>
                <w:lang w:val="en-US"/>
              </w:rPr>
              <w:tab/>
              <w:t>Yes</w:t>
            </w:r>
            <w:r w:rsidRPr="00295173">
              <w:rPr>
                <w:rFonts w:asciiTheme="majorBidi" w:hAnsiTheme="majorBidi" w:cstheme="majorBidi"/>
                <w:lang w:val="en-US"/>
              </w:rPr>
              <w:tab/>
            </w:r>
          </w:p>
        </w:tc>
        <w:tc>
          <w:tcPr>
            <w:tcW w:w="945" w:type="pct"/>
            <w:tcBorders>
              <w:top w:val="nil"/>
              <w:left w:val="nil"/>
              <w:bottom w:val="single" w:sz="4" w:space="0" w:color="auto"/>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Yes</w:t>
            </w:r>
          </w:p>
        </w:tc>
        <w:tc>
          <w:tcPr>
            <w:tcW w:w="945" w:type="pct"/>
            <w:tcBorders>
              <w:top w:val="nil"/>
              <w:left w:val="nil"/>
              <w:bottom w:val="single" w:sz="4" w:space="0" w:color="auto"/>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Yes</w:t>
            </w:r>
          </w:p>
        </w:tc>
        <w:tc>
          <w:tcPr>
            <w:tcW w:w="945" w:type="pct"/>
            <w:tcBorders>
              <w:top w:val="nil"/>
              <w:left w:val="nil"/>
              <w:bottom w:val="single" w:sz="4" w:space="0" w:color="auto"/>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Yes</w:t>
            </w:r>
          </w:p>
        </w:tc>
      </w:tr>
      <w:tr w:rsidR="00C0500D" w:rsidRPr="005A4A99" w:rsidTr="004650F5">
        <w:tc>
          <w:tcPr>
            <w:tcW w:w="1219" w:type="pct"/>
            <w:tcBorders>
              <w:top w:val="single" w:sz="4" w:space="0" w:color="auto"/>
              <w:left w:val="nil"/>
              <w:bottom w:val="nil"/>
              <w:right w:val="nil"/>
            </w:tcBorders>
          </w:tcPr>
          <w:p w:rsidR="00C0500D" w:rsidRPr="004650F5" w:rsidRDefault="00C0500D" w:rsidP="00C774B9">
            <w:pPr>
              <w:widowControl w:val="0"/>
              <w:autoSpaceDE w:val="0"/>
              <w:autoSpaceDN w:val="0"/>
              <w:adjustRightInd w:val="0"/>
              <w:spacing w:line="240" w:lineRule="auto"/>
              <w:ind w:firstLine="0"/>
              <w:rPr>
                <w:rFonts w:asciiTheme="majorBidi" w:hAnsiTheme="majorBidi" w:cstheme="majorBidi"/>
                <w:sz w:val="24"/>
                <w:szCs w:val="24"/>
                <w:lang w:val="en-US"/>
              </w:rPr>
            </w:pPr>
            <w:r w:rsidRPr="004650F5">
              <w:rPr>
                <w:rFonts w:asciiTheme="majorBidi" w:hAnsiTheme="majorBidi" w:cstheme="majorBidi"/>
                <w:sz w:val="24"/>
                <w:szCs w:val="24"/>
                <w:lang w:val="en-US"/>
              </w:rPr>
              <w:t>Observations</w:t>
            </w:r>
          </w:p>
        </w:tc>
        <w:tc>
          <w:tcPr>
            <w:tcW w:w="945" w:type="pct"/>
            <w:tcBorders>
              <w:top w:val="single" w:sz="4" w:space="0" w:color="auto"/>
              <w:left w:val="nil"/>
              <w:bottom w:val="nil"/>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22517</w:t>
            </w:r>
          </w:p>
        </w:tc>
        <w:tc>
          <w:tcPr>
            <w:tcW w:w="945" w:type="pct"/>
            <w:tcBorders>
              <w:top w:val="single" w:sz="4" w:space="0" w:color="auto"/>
              <w:left w:val="nil"/>
              <w:bottom w:val="nil"/>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22390</w:t>
            </w:r>
          </w:p>
        </w:tc>
        <w:tc>
          <w:tcPr>
            <w:tcW w:w="945" w:type="pct"/>
            <w:tcBorders>
              <w:top w:val="single" w:sz="4" w:space="0" w:color="auto"/>
              <w:left w:val="nil"/>
              <w:bottom w:val="nil"/>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12491</w:t>
            </w:r>
          </w:p>
        </w:tc>
        <w:tc>
          <w:tcPr>
            <w:tcW w:w="945" w:type="pct"/>
            <w:tcBorders>
              <w:top w:val="single" w:sz="4" w:space="0" w:color="auto"/>
              <w:left w:val="nil"/>
              <w:bottom w:val="nil"/>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12462</w:t>
            </w:r>
          </w:p>
        </w:tc>
      </w:tr>
      <w:tr w:rsidR="00C0500D" w:rsidRPr="005A4A99" w:rsidTr="004650F5">
        <w:tc>
          <w:tcPr>
            <w:tcW w:w="1219" w:type="pct"/>
            <w:tcBorders>
              <w:top w:val="nil"/>
              <w:left w:val="nil"/>
              <w:bottom w:val="nil"/>
              <w:right w:val="nil"/>
            </w:tcBorders>
          </w:tcPr>
          <w:p w:rsidR="00C0500D" w:rsidRPr="004650F5" w:rsidRDefault="00C0500D" w:rsidP="00C774B9">
            <w:pPr>
              <w:widowControl w:val="0"/>
              <w:tabs>
                <w:tab w:val="right" w:pos="2120"/>
              </w:tabs>
              <w:autoSpaceDE w:val="0"/>
              <w:autoSpaceDN w:val="0"/>
              <w:adjustRightInd w:val="0"/>
              <w:spacing w:line="240" w:lineRule="auto"/>
              <w:ind w:firstLine="0"/>
              <w:rPr>
                <w:rFonts w:asciiTheme="majorBidi" w:hAnsiTheme="majorBidi" w:cstheme="majorBidi"/>
                <w:sz w:val="24"/>
                <w:szCs w:val="24"/>
                <w:lang w:val="en-US"/>
              </w:rPr>
            </w:pPr>
            <w:r w:rsidRPr="004650F5">
              <w:rPr>
                <w:rFonts w:asciiTheme="majorBidi" w:hAnsiTheme="majorBidi" w:cstheme="majorBidi"/>
                <w:sz w:val="24"/>
                <w:szCs w:val="24"/>
                <w:lang w:val="en-US"/>
              </w:rPr>
              <w:t>Number of Firms</w:t>
            </w:r>
          </w:p>
        </w:tc>
        <w:tc>
          <w:tcPr>
            <w:tcW w:w="945" w:type="pct"/>
            <w:tcBorders>
              <w:top w:val="nil"/>
              <w:left w:val="nil"/>
              <w:bottom w:val="nil"/>
              <w:right w:val="nil"/>
            </w:tcBorders>
            <w:vAlign w:val="center"/>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4090</w:t>
            </w:r>
          </w:p>
        </w:tc>
        <w:tc>
          <w:tcPr>
            <w:tcW w:w="945" w:type="pct"/>
            <w:tcBorders>
              <w:top w:val="nil"/>
              <w:left w:val="nil"/>
              <w:bottom w:val="nil"/>
              <w:right w:val="nil"/>
            </w:tcBorders>
            <w:vAlign w:val="center"/>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4090</w:t>
            </w:r>
          </w:p>
        </w:tc>
        <w:tc>
          <w:tcPr>
            <w:tcW w:w="945" w:type="pct"/>
            <w:tcBorders>
              <w:top w:val="nil"/>
              <w:left w:val="nil"/>
              <w:bottom w:val="nil"/>
              <w:right w:val="nil"/>
            </w:tcBorders>
            <w:vAlign w:val="center"/>
          </w:tcPr>
          <w:p w:rsidR="00C0500D" w:rsidRPr="00295173" w:rsidRDefault="00C0500D" w:rsidP="00C774B9">
            <w:pPr>
              <w:widowControl w:val="0"/>
              <w:tabs>
                <w:tab w:val="left" w:pos="1350"/>
              </w:tabs>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4090</w:t>
            </w:r>
          </w:p>
        </w:tc>
        <w:tc>
          <w:tcPr>
            <w:tcW w:w="945" w:type="pct"/>
            <w:tcBorders>
              <w:top w:val="nil"/>
              <w:left w:val="nil"/>
              <w:bottom w:val="nil"/>
              <w:right w:val="nil"/>
            </w:tcBorders>
            <w:vAlign w:val="center"/>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4090</w:t>
            </w:r>
          </w:p>
        </w:tc>
      </w:tr>
      <w:tr w:rsidR="00C0500D" w:rsidRPr="005A4A99" w:rsidTr="004650F5">
        <w:tc>
          <w:tcPr>
            <w:tcW w:w="1219" w:type="pct"/>
            <w:tcBorders>
              <w:top w:val="nil"/>
              <w:left w:val="nil"/>
              <w:bottom w:val="nil"/>
              <w:right w:val="nil"/>
            </w:tcBorders>
          </w:tcPr>
          <w:p w:rsidR="00C0500D" w:rsidRPr="004650F5" w:rsidRDefault="00C0500D" w:rsidP="00C774B9">
            <w:pPr>
              <w:widowControl w:val="0"/>
              <w:tabs>
                <w:tab w:val="right" w:pos="2120"/>
              </w:tabs>
              <w:autoSpaceDE w:val="0"/>
              <w:autoSpaceDN w:val="0"/>
              <w:adjustRightInd w:val="0"/>
              <w:spacing w:line="240" w:lineRule="auto"/>
              <w:ind w:firstLine="0"/>
              <w:rPr>
                <w:rFonts w:asciiTheme="majorBidi" w:hAnsiTheme="majorBidi" w:cstheme="majorBidi"/>
                <w:sz w:val="24"/>
                <w:szCs w:val="24"/>
                <w:lang w:val="en-US"/>
              </w:rPr>
            </w:pPr>
            <w:r w:rsidRPr="004650F5">
              <w:rPr>
                <w:rFonts w:asciiTheme="majorBidi" w:hAnsiTheme="majorBidi" w:cstheme="majorBidi"/>
                <w:sz w:val="24"/>
                <w:szCs w:val="24"/>
                <w:lang w:val="en-US"/>
              </w:rPr>
              <w:t xml:space="preserve">Adjusted </w:t>
            </w:r>
            <w:r w:rsidRPr="004650F5">
              <w:rPr>
                <w:rFonts w:asciiTheme="majorBidi" w:hAnsiTheme="majorBidi" w:cstheme="majorBidi"/>
                <w:i/>
                <w:iCs/>
                <w:sz w:val="24"/>
                <w:szCs w:val="24"/>
                <w:lang w:val="en-US"/>
              </w:rPr>
              <w:t>R</w:t>
            </w:r>
            <w:r w:rsidRPr="004650F5">
              <w:rPr>
                <w:rFonts w:asciiTheme="majorBidi" w:hAnsiTheme="majorBidi" w:cstheme="majorBidi"/>
                <w:sz w:val="24"/>
                <w:szCs w:val="24"/>
                <w:vertAlign w:val="superscript"/>
                <w:lang w:val="en-US"/>
              </w:rPr>
              <w:t>2</w:t>
            </w:r>
          </w:p>
        </w:tc>
        <w:tc>
          <w:tcPr>
            <w:tcW w:w="945" w:type="pct"/>
            <w:tcBorders>
              <w:top w:val="nil"/>
              <w:left w:val="nil"/>
              <w:bottom w:val="nil"/>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0.016</w:t>
            </w:r>
          </w:p>
        </w:tc>
        <w:tc>
          <w:tcPr>
            <w:tcW w:w="945" w:type="pct"/>
            <w:tcBorders>
              <w:top w:val="nil"/>
              <w:left w:val="nil"/>
              <w:bottom w:val="nil"/>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0.017</w:t>
            </w:r>
          </w:p>
        </w:tc>
        <w:tc>
          <w:tcPr>
            <w:tcW w:w="945" w:type="pct"/>
            <w:tcBorders>
              <w:top w:val="nil"/>
              <w:left w:val="nil"/>
              <w:bottom w:val="nil"/>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0.007</w:t>
            </w:r>
          </w:p>
        </w:tc>
        <w:tc>
          <w:tcPr>
            <w:tcW w:w="945" w:type="pct"/>
            <w:tcBorders>
              <w:top w:val="nil"/>
              <w:left w:val="nil"/>
              <w:bottom w:val="nil"/>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-0.012</w:t>
            </w:r>
          </w:p>
        </w:tc>
      </w:tr>
      <w:tr w:rsidR="004650F5" w:rsidRPr="005A4A99" w:rsidTr="004650F5">
        <w:tc>
          <w:tcPr>
            <w:tcW w:w="1219" w:type="pct"/>
            <w:tcBorders>
              <w:top w:val="nil"/>
              <w:left w:val="nil"/>
              <w:bottom w:val="nil"/>
              <w:right w:val="nil"/>
            </w:tcBorders>
          </w:tcPr>
          <w:p w:rsidR="004650F5" w:rsidRPr="00710CF7" w:rsidRDefault="004650F5" w:rsidP="00C774B9">
            <w:pPr>
              <w:widowControl w:val="0"/>
              <w:autoSpaceDE w:val="0"/>
              <w:autoSpaceDN w:val="0"/>
              <w:adjustRightInd w:val="0"/>
              <w:spacing w:line="240" w:lineRule="auto"/>
              <w:ind w:firstLine="0"/>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Anderson LM</w:t>
            </w:r>
          </w:p>
        </w:tc>
        <w:tc>
          <w:tcPr>
            <w:tcW w:w="945" w:type="pct"/>
            <w:tcBorders>
              <w:top w:val="nil"/>
              <w:left w:val="nil"/>
              <w:bottom w:val="nil"/>
              <w:right w:val="nil"/>
            </w:tcBorders>
          </w:tcPr>
          <w:p w:rsidR="004650F5" w:rsidRPr="00295173" w:rsidRDefault="004650F5" w:rsidP="00C774B9">
            <w:pPr>
              <w:widowControl w:val="0"/>
              <w:autoSpaceDE w:val="0"/>
              <w:autoSpaceDN w:val="0"/>
              <w:adjustRightInd w:val="0"/>
              <w:spacing w:line="240" w:lineRule="auto"/>
              <w:ind w:firstLine="0"/>
              <w:jc w:val="center"/>
              <w:rPr>
                <w:rFonts w:asciiTheme="majorBidi" w:hAnsiTheme="majorBidi" w:cstheme="majorBidi"/>
                <w:lang w:val="en-US"/>
              </w:rPr>
            </w:pPr>
          </w:p>
        </w:tc>
        <w:tc>
          <w:tcPr>
            <w:tcW w:w="945" w:type="pct"/>
            <w:tcBorders>
              <w:top w:val="nil"/>
              <w:left w:val="nil"/>
              <w:bottom w:val="nil"/>
              <w:right w:val="nil"/>
            </w:tcBorders>
          </w:tcPr>
          <w:p w:rsidR="004650F5" w:rsidRPr="00295173" w:rsidRDefault="004650F5" w:rsidP="00C774B9">
            <w:pPr>
              <w:widowControl w:val="0"/>
              <w:autoSpaceDE w:val="0"/>
              <w:autoSpaceDN w:val="0"/>
              <w:adjustRightInd w:val="0"/>
              <w:spacing w:line="240" w:lineRule="auto"/>
              <w:ind w:firstLine="0"/>
              <w:jc w:val="center"/>
              <w:rPr>
                <w:rFonts w:asciiTheme="majorBidi" w:hAnsiTheme="majorBidi" w:cstheme="majorBidi"/>
                <w:lang w:val="en-US"/>
              </w:rPr>
            </w:pPr>
          </w:p>
        </w:tc>
        <w:tc>
          <w:tcPr>
            <w:tcW w:w="945" w:type="pct"/>
            <w:tcBorders>
              <w:top w:val="nil"/>
              <w:left w:val="nil"/>
              <w:bottom w:val="nil"/>
              <w:right w:val="nil"/>
            </w:tcBorders>
          </w:tcPr>
          <w:p w:rsidR="004650F5" w:rsidRPr="00295173" w:rsidRDefault="003A3890"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10.992</w:t>
            </w:r>
          </w:p>
        </w:tc>
        <w:tc>
          <w:tcPr>
            <w:tcW w:w="945" w:type="pct"/>
            <w:tcBorders>
              <w:top w:val="nil"/>
              <w:left w:val="nil"/>
              <w:bottom w:val="nil"/>
              <w:right w:val="nil"/>
            </w:tcBorders>
          </w:tcPr>
          <w:p w:rsidR="004650F5" w:rsidRPr="00295173" w:rsidRDefault="003A3890"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8.832</w:t>
            </w:r>
          </w:p>
        </w:tc>
      </w:tr>
      <w:tr w:rsidR="004650F5" w:rsidRPr="005A4A99" w:rsidTr="004650F5">
        <w:tc>
          <w:tcPr>
            <w:tcW w:w="1219" w:type="pct"/>
            <w:tcBorders>
              <w:top w:val="nil"/>
              <w:left w:val="nil"/>
              <w:bottom w:val="nil"/>
              <w:right w:val="nil"/>
            </w:tcBorders>
          </w:tcPr>
          <w:p w:rsidR="004650F5" w:rsidRPr="00710CF7" w:rsidRDefault="004650F5" w:rsidP="00C774B9">
            <w:pPr>
              <w:widowControl w:val="0"/>
              <w:autoSpaceDE w:val="0"/>
              <w:autoSpaceDN w:val="0"/>
              <w:adjustRightInd w:val="0"/>
              <w:spacing w:line="240" w:lineRule="auto"/>
              <w:ind w:firstLine="0"/>
              <w:rPr>
                <w:rFonts w:ascii="Times New Roman" w:eastAsia="SimSun" w:hAnsi="Times New Roman"/>
                <w:sz w:val="24"/>
                <w:szCs w:val="24"/>
                <w:lang w:val="en-US" w:eastAsia="zh-CN"/>
              </w:rPr>
            </w:pPr>
            <w:r w:rsidRPr="00710CF7">
              <w:rPr>
                <w:rFonts w:ascii="Times New Roman" w:eastAsia="SimSun" w:hAnsi="Times New Roman"/>
                <w:sz w:val="24"/>
                <w:szCs w:val="24"/>
                <w:lang w:val="en-US" w:eastAsia="zh-CN"/>
              </w:rPr>
              <w:t>Anderson-p</w:t>
            </w:r>
            <w:r w:rsidR="00D62F9E">
              <w:rPr>
                <w:rFonts w:ascii="Times New Roman" w:eastAsia="SimSun" w:hAnsi="Times New Roman"/>
                <w:sz w:val="24"/>
                <w:szCs w:val="24"/>
                <w:lang w:val="en-US" w:eastAsia="zh-CN"/>
              </w:rPr>
              <w:t xml:space="preserve"> </w:t>
            </w:r>
            <w:r w:rsidRPr="00710CF7">
              <w:rPr>
                <w:rFonts w:ascii="Times New Roman" w:eastAsia="SimSun" w:hAnsi="Times New Roman"/>
                <w:sz w:val="24"/>
                <w:szCs w:val="24"/>
                <w:lang w:val="en-US" w:eastAsia="zh-CN"/>
              </w:rPr>
              <w:t>value</w:t>
            </w:r>
          </w:p>
        </w:tc>
        <w:tc>
          <w:tcPr>
            <w:tcW w:w="945" w:type="pct"/>
            <w:tcBorders>
              <w:top w:val="nil"/>
              <w:left w:val="nil"/>
              <w:bottom w:val="nil"/>
              <w:right w:val="nil"/>
            </w:tcBorders>
          </w:tcPr>
          <w:p w:rsidR="004650F5" w:rsidRPr="00295173" w:rsidRDefault="004650F5" w:rsidP="00C774B9">
            <w:pPr>
              <w:widowControl w:val="0"/>
              <w:autoSpaceDE w:val="0"/>
              <w:autoSpaceDN w:val="0"/>
              <w:adjustRightInd w:val="0"/>
              <w:spacing w:line="240" w:lineRule="auto"/>
              <w:ind w:firstLine="0"/>
              <w:jc w:val="center"/>
              <w:rPr>
                <w:rFonts w:asciiTheme="majorBidi" w:hAnsiTheme="majorBidi" w:cstheme="majorBidi"/>
                <w:lang w:val="en-US"/>
              </w:rPr>
            </w:pPr>
          </w:p>
        </w:tc>
        <w:tc>
          <w:tcPr>
            <w:tcW w:w="945" w:type="pct"/>
            <w:tcBorders>
              <w:top w:val="nil"/>
              <w:left w:val="nil"/>
              <w:bottom w:val="nil"/>
              <w:right w:val="nil"/>
            </w:tcBorders>
          </w:tcPr>
          <w:p w:rsidR="004650F5" w:rsidRPr="00295173" w:rsidRDefault="004650F5" w:rsidP="00C774B9">
            <w:pPr>
              <w:widowControl w:val="0"/>
              <w:autoSpaceDE w:val="0"/>
              <w:autoSpaceDN w:val="0"/>
              <w:adjustRightInd w:val="0"/>
              <w:spacing w:line="240" w:lineRule="auto"/>
              <w:ind w:firstLine="0"/>
              <w:jc w:val="center"/>
              <w:rPr>
                <w:rFonts w:asciiTheme="majorBidi" w:hAnsiTheme="majorBidi" w:cstheme="majorBidi"/>
                <w:lang w:val="en-US"/>
              </w:rPr>
            </w:pPr>
          </w:p>
        </w:tc>
        <w:tc>
          <w:tcPr>
            <w:tcW w:w="945" w:type="pct"/>
            <w:tcBorders>
              <w:top w:val="nil"/>
              <w:left w:val="nil"/>
              <w:bottom w:val="nil"/>
              <w:right w:val="nil"/>
            </w:tcBorders>
          </w:tcPr>
          <w:p w:rsidR="004650F5" w:rsidRPr="00295173" w:rsidRDefault="003A3890"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0.01</w:t>
            </w:r>
          </w:p>
        </w:tc>
        <w:tc>
          <w:tcPr>
            <w:tcW w:w="945" w:type="pct"/>
            <w:tcBorders>
              <w:top w:val="nil"/>
              <w:left w:val="nil"/>
              <w:bottom w:val="nil"/>
              <w:right w:val="nil"/>
            </w:tcBorders>
          </w:tcPr>
          <w:p w:rsidR="004650F5" w:rsidRPr="00295173" w:rsidRDefault="003A3890"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0.03</w:t>
            </w:r>
          </w:p>
        </w:tc>
      </w:tr>
      <w:tr w:rsidR="00C0500D" w:rsidRPr="005A4A99" w:rsidTr="004650F5">
        <w:tc>
          <w:tcPr>
            <w:tcW w:w="1219" w:type="pct"/>
            <w:tcBorders>
              <w:top w:val="nil"/>
              <w:left w:val="nil"/>
              <w:bottom w:val="nil"/>
              <w:right w:val="nil"/>
            </w:tcBorders>
          </w:tcPr>
          <w:p w:rsidR="00C0500D" w:rsidRPr="004650F5" w:rsidRDefault="00C0500D" w:rsidP="00C774B9">
            <w:pPr>
              <w:widowControl w:val="0"/>
              <w:tabs>
                <w:tab w:val="left" w:pos="1140"/>
              </w:tabs>
              <w:autoSpaceDE w:val="0"/>
              <w:autoSpaceDN w:val="0"/>
              <w:adjustRightInd w:val="0"/>
              <w:spacing w:line="240" w:lineRule="auto"/>
              <w:ind w:firstLine="0"/>
              <w:rPr>
                <w:rFonts w:asciiTheme="majorBidi" w:hAnsiTheme="majorBidi" w:cstheme="majorBidi"/>
                <w:sz w:val="24"/>
                <w:szCs w:val="24"/>
                <w:lang w:val="en-US"/>
              </w:rPr>
            </w:pPr>
            <w:r w:rsidRPr="004650F5">
              <w:rPr>
                <w:rFonts w:asciiTheme="majorBidi" w:hAnsiTheme="majorBidi" w:cstheme="majorBidi"/>
                <w:sz w:val="24"/>
                <w:szCs w:val="24"/>
                <w:lang w:val="en-US"/>
              </w:rPr>
              <w:t>Sargan</w:t>
            </w:r>
          </w:p>
        </w:tc>
        <w:tc>
          <w:tcPr>
            <w:tcW w:w="945" w:type="pct"/>
            <w:tcBorders>
              <w:top w:val="nil"/>
              <w:left w:val="nil"/>
              <w:bottom w:val="nil"/>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p>
        </w:tc>
        <w:tc>
          <w:tcPr>
            <w:tcW w:w="945" w:type="pct"/>
            <w:tcBorders>
              <w:top w:val="nil"/>
              <w:left w:val="nil"/>
              <w:bottom w:val="nil"/>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p>
        </w:tc>
        <w:tc>
          <w:tcPr>
            <w:tcW w:w="945" w:type="pct"/>
            <w:tcBorders>
              <w:top w:val="nil"/>
              <w:left w:val="nil"/>
              <w:bottom w:val="nil"/>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0.293</w:t>
            </w:r>
          </w:p>
        </w:tc>
        <w:tc>
          <w:tcPr>
            <w:tcW w:w="945" w:type="pct"/>
            <w:tcBorders>
              <w:top w:val="nil"/>
              <w:left w:val="nil"/>
              <w:bottom w:val="nil"/>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0.000</w:t>
            </w:r>
          </w:p>
        </w:tc>
      </w:tr>
      <w:tr w:rsidR="00C0500D" w:rsidRPr="005A4A99" w:rsidTr="004650F5">
        <w:tc>
          <w:tcPr>
            <w:tcW w:w="1219" w:type="pct"/>
            <w:tcBorders>
              <w:top w:val="nil"/>
              <w:left w:val="nil"/>
              <w:bottom w:val="single" w:sz="4" w:space="0" w:color="auto"/>
              <w:right w:val="nil"/>
            </w:tcBorders>
          </w:tcPr>
          <w:p w:rsidR="00C0500D" w:rsidRPr="004650F5" w:rsidRDefault="0075335B" w:rsidP="00C774B9">
            <w:pPr>
              <w:widowControl w:val="0"/>
              <w:autoSpaceDE w:val="0"/>
              <w:autoSpaceDN w:val="0"/>
              <w:adjustRightInd w:val="0"/>
              <w:spacing w:line="240" w:lineRule="auto"/>
              <w:ind w:firstLine="0"/>
              <w:rPr>
                <w:rFonts w:asciiTheme="majorBidi" w:hAnsiTheme="majorBidi" w:cstheme="majorBidi"/>
                <w:sz w:val="24"/>
                <w:szCs w:val="24"/>
                <w:lang w:val="en-US"/>
              </w:rPr>
            </w:pPr>
            <w:r>
              <w:rPr>
                <w:rFonts w:asciiTheme="majorBidi" w:hAnsiTheme="majorBidi" w:cstheme="majorBidi"/>
                <w:sz w:val="24"/>
                <w:szCs w:val="24"/>
                <w:lang w:val="en-US"/>
              </w:rPr>
              <w:t>Sargan-</w:t>
            </w:r>
            <w:r w:rsidR="00C0500D" w:rsidRPr="004650F5">
              <w:rPr>
                <w:rFonts w:asciiTheme="majorBidi" w:hAnsiTheme="majorBidi" w:cstheme="majorBidi"/>
                <w:sz w:val="24"/>
                <w:szCs w:val="24"/>
                <w:lang w:val="en-US"/>
              </w:rPr>
              <w:t>p value</w:t>
            </w:r>
          </w:p>
        </w:tc>
        <w:tc>
          <w:tcPr>
            <w:tcW w:w="945" w:type="pct"/>
            <w:tcBorders>
              <w:top w:val="nil"/>
              <w:left w:val="nil"/>
              <w:bottom w:val="single" w:sz="4" w:space="0" w:color="auto"/>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p>
        </w:tc>
        <w:tc>
          <w:tcPr>
            <w:tcW w:w="945" w:type="pct"/>
            <w:tcBorders>
              <w:top w:val="nil"/>
              <w:left w:val="nil"/>
              <w:bottom w:val="single" w:sz="4" w:space="0" w:color="auto"/>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p>
        </w:tc>
        <w:tc>
          <w:tcPr>
            <w:tcW w:w="945" w:type="pct"/>
            <w:tcBorders>
              <w:top w:val="nil"/>
              <w:left w:val="nil"/>
              <w:bottom w:val="single" w:sz="4" w:space="0" w:color="auto"/>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0.864</w:t>
            </w:r>
          </w:p>
        </w:tc>
        <w:tc>
          <w:tcPr>
            <w:tcW w:w="945" w:type="pct"/>
            <w:tcBorders>
              <w:top w:val="nil"/>
              <w:left w:val="nil"/>
              <w:bottom w:val="single" w:sz="4" w:space="0" w:color="auto"/>
              <w:right w:val="nil"/>
            </w:tcBorders>
          </w:tcPr>
          <w:p w:rsidR="00C0500D" w:rsidRPr="00295173" w:rsidRDefault="00C0500D" w:rsidP="00C774B9">
            <w:pPr>
              <w:widowControl w:val="0"/>
              <w:autoSpaceDE w:val="0"/>
              <w:autoSpaceDN w:val="0"/>
              <w:adjustRightInd w:val="0"/>
              <w:spacing w:line="240" w:lineRule="auto"/>
              <w:ind w:firstLine="0"/>
              <w:jc w:val="center"/>
              <w:rPr>
                <w:rFonts w:asciiTheme="majorBidi" w:hAnsiTheme="majorBidi" w:cstheme="majorBidi"/>
                <w:lang w:val="en-US"/>
              </w:rPr>
            </w:pPr>
            <w:r w:rsidRPr="00295173">
              <w:rPr>
                <w:rFonts w:asciiTheme="majorBidi" w:hAnsiTheme="majorBidi" w:cstheme="majorBidi"/>
                <w:lang w:val="en-US"/>
              </w:rPr>
              <w:t>0.994</w:t>
            </w:r>
          </w:p>
        </w:tc>
      </w:tr>
    </w:tbl>
    <w:p w:rsidR="00E460B6" w:rsidRDefault="00C0500D" w:rsidP="00C774B9">
      <w:pPr>
        <w:widowControl w:val="0"/>
        <w:autoSpaceDE w:val="0"/>
        <w:autoSpaceDN w:val="0"/>
        <w:adjustRightInd w:val="0"/>
        <w:spacing w:line="240" w:lineRule="auto"/>
        <w:rPr>
          <w:rFonts w:ascii="Times New Roman" w:hAnsi="Times New Roman"/>
          <w:sz w:val="24"/>
          <w:szCs w:val="24"/>
          <w:lang w:val="en-US"/>
        </w:rPr>
      </w:pPr>
      <w:r w:rsidRPr="005A4A99">
        <w:rPr>
          <w:rFonts w:asciiTheme="majorBidi" w:hAnsiTheme="majorBidi" w:cstheme="majorBidi"/>
          <w:lang w:val="en-US"/>
        </w:rPr>
        <w:t xml:space="preserve">Absolute t-statistics in parentheses calculated consistently for robust standard errors clustered by firm and *indicates p&lt; 0.10, **indicates p&lt; 0.05, ***indicates p&lt; 0.01. </w:t>
      </w:r>
      <w:r w:rsidR="00701401" w:rsidRPr="005A4A99">
        <w:rPr>
          <w:rFonts w:asciiTheme="majorBidi" w:hAnsiTheme="majorBidi" w:cstheme="majorBidi"/>
          <w:lang w:val="en-US"/>
        </w:rPr>
        <w:t>Δ</w:t>
      </w:r>
      <w:r w:rsidR="00701401" w:rsidRPr="00295173">
        <w:rPr>
          <w:rFonts w:asciiTheme="majorBidi" w:hAnsiTheme="majorBidi" w:cstheme="majorBidi"/>
          <w:i/>
          <w:lang w:val="en-US"/>
        </w:rPr>
        <w:t>Tax</w:t>
      </w:r>
      <w:r w:rsidR="00295173" w:rsidRPr="00295173">
        <w:rPr>
          <w:rFonts w:asciiTheme="majorBidi" w:hAnsiTheme="majorBidi" w:cstheme="majorBidi"/>
          <w:i/>
          <w:vertAlign w:val="subscript"/>
          <w:lang w:val="en-US"/>
        </w:rPr>
        <w:t>it-1</w:t>
      </w:r>
      <w:r w:rsidR="00701401" w:rsidRPr="00295173">
        <w:rPr>
          <w:rFonts w:asciiTheme="majorBidi" w:hAnsiTheme="majorBidi" w:cstheme="majorBidi"/>
          <w:i/>
          <w:lang w:val="en-US"/>
        </w:rPr>
        <w:t xml:space="preserve"> </w:t>
      </w:r>
      <w:r w:rsidR="00701401" w:rsidRPr="005A4A99">
        <w:rPr>
          <w:rFonts w:asciiTheme="majorBidi" w:hAnsiTheme="majorBidi" w:cstheme="majorBidi"/>
          <w:lang w:val="en-US"/>
        </w:rPr>
        <w:t xml:space="preserve">is the difference between </w:t>
      </w:r>
      <w:r w:rsidR="00701401" w:rsidRPr="00295173">
        <w:rPr>
          <w:rFonts w:asciiTheme="majorBidi" w:hAnsiTheme="majorBidi" w:cstheme="majorBidi"/>
          <w:i/>
          <w:lang w:val="en-US"/>
        </w:rPr>
        <w:t>ASTR</w:t>
      </w:r>
      <w:r w:rsidR="00701401" w:rsidRPr="00701401">
        <w:rPr>
          <w:rFonts w:asciiTheme="majorBidi" w:hAnsiTheme="majorBidi" w:cstheme="majorBidi"/>
          <w:vertAlign w:val="subscript"/>
          <w:lang w:val="en-US"/>
        </w:rPr>
        <w:t>t</w:t>
      </w:r>
      <w:r w:rsidR="004650F5">
        <w:rPr>
          <w:rFonts w:asciiTheme="majorBidi" w:hAnsiTheme="majorBidi" w:cstheme="majorBidi"/>
          <w:lang w:val="en-US"/>
        </w:rPr>
        <w:t xml:space="preserve"> and </w:t>
      </w:r>
      <w:r w:rsidR="00701401" w:rsidRPr="00295173">
        <w:rPr>
          <w:rFonts w:asciiTheme="majorBidi" w:hAnsiTheme="majorBidi" w:cstheme="majorBidi"/>
          <w:i/>
          <w:lang w:val="en-US"/>
        </w:rPr>
        <w:t>ETR</w:t>
      </w:r>
      <w:r w:rsidR="00701401" w:rsidRPr="00701401">
        <w:rPr>
          <w:rFonts w:asciiTheme="majorBidi" w:hAnsiTheme="majorBidi" w:cstheme="majorBidi"/>
          <w:vertAlign w:val="subscript"/>
          <w:lang w:val="en-US"/>
        </w:rPr>
        <w:t>i,t</w:t>
      </w:r>
      <w:r w:rsidR="00701401" w:rsidRPr="005A4A99">
        <w:rPr>
          <w:rFonts w:asciiTheme="majorBidi" w:hAnsiTheme="majorBidi" w:cstheme="majorBidi"/>
          <w:lang w:val="en-US"/>
        </w:rPr>
        <w:t>.</w:t>
      </w:r>
      <w:r w:rsidR="004650F5">
        <w:rPr>
          <w:rFonts w:asciiTheme="majorBidi" w:hAnsiTheme="majorBidi" w:cstheme="majorBidi"/>
          <w:lang w:val="en-US"/>
        </w:rPr>
        <w:t xml:space="preserve"> </w:t>
      </w:r>
      <w:r w:rsidR="00C119AB">
        <w:rPr>
          <w:rFonts w:asciiTheme="majorBidi" w:hAnsiTheme="majorBidi" w:cstheme="majorBidi"/>
          <w:lang w:val="en-US"/>
        </w:rPr>
        <w:t>The</w:t>
      </w:r>
      <w:r w:rsidRPr="005A4A99">
        <w:rPr>
          <w:rFonts w:asciiTheme="majorBidi" w:hAnsiTheme="majorBidi" w:cstheme="majorBidi"/>
          <w:lang w:val="en-US"/>
        </w:rPr>
        <w:t xml:space="preserve"> instruments in the GMM specifications</w:t>
      </w:r>
      <w:r w:rsidR="004650F5">
        <w:rPr>
          <w:rFonts w:asciiTheme="majorBidi" w:hAnsiTheme="majorBidi" w:cstheme="majorBidi"/>
          <w:lang w:val="en-US"/>
        </w:rPr>
        <w:t xml:space="preserve"> </w:t>
      </w:r>
      <w:r w:rsidR="00C119AB">
        <w:rPr>
          <w:rFonts w:asciiTheme="majorBidi" w:hAnsiTheme="majorBidi" w:cstheme="majorBidi"/>
          <w:lang w:val="en-US"/>
        </w:rPr>
        <w:t xml:space="preserve">are </w:t>
      </w:r>
      <w:r w:rsidR="00C119AB" w:rsidRPr="005A4A99">
        <w:rPr>
          <w:rFonts w:asciiTheme="majorBidi" w:hAnsiTheme="majorBidi" w:cstheme="majorBidi"/>
          <w:lang w:val="en-US"/>
        </w:rPr>
        <w:t>profit</w:t>
      </w:r>
      <w:r w:rsidR="00295173">
        <w:rPr>
          <w:rFonts w:asciiTheme="majorBidi" w:hAnsiTheme="majorBidi" w:cstheme="majorBidi"/>
          <w:lang w:val="en-US"/>
        </w:rPr>
        <w:t xml:space="preserve"> rate, </w:t>
      </w:r>
      <w:r w:rsidR="004650F5" w:rsidRPr="004650F5">
        <w:rPr>
          <w:rFonts w:asciiTheme="majorBidi" w:hAnsiTheme="majorBidi" w:cstheme="majorBidi"/>
          <w:lang w:val="en-US"/>
        </w:rPr>
        <w:t>equity</w:t>
      </w:r>
      <w:r w:rsidR="00295173">
        <w:rPr>
          <w:rFonts w:asciiTheme="majorBidi" w:hAnsiTheme="majorBidi" w:cstheme="majorBidi"/>
          <w:lang w:val="en-US"/>
        </w:rPr>
        <w:t xml:space="preserve"> and TFP</w:t>
      </w:r>
      <w:r w:rsidR="004650F5" w:rsidRPr="004650F5">
        <w:rPr>
          <w:rFonts w:asciiTheme="majorBidi" w:hAnsiTheme="majorBidi" w:cstheme="majorBidi"/>
          <w:lang w:val="en-US"/>
        </w:rPr>
        <w:t xml:space="preserve"> at the NACE Rev 2 industry level in periods t-1,</w:t>
      </w:r>
      <w:r w:rsidR="004650F5">
        <w:rPr>
          <w:rFonts w:asciiTheme="majorBidi" w:hAnsiTheme="majorBidi" w:cstheme="majorBidi"/>
          <w:lang w:val="en-US"/>
        </w:rPr>
        <w:t xml:space="preserve"> </w:t>
      </w:r>
      <w:r w:rsidR="004650F5" w:rsidRPr="004650F5">
        <w:rPr>
          <w:rFonts w:asciiTheme="majorBidi" w:hAnsiTheme="majorBidi" w:cstheme="majorBidi"/>
          <w:lang w:val="en-US"/>
        </w:rPr>
        <w:t>t-2 and t-3</w:t>
      </w:r>
      <w:r w:rsidR="004650F5">
        <w:rPr>
          <w:rFonts w:asciiTheme="majorBidi" w:hAnsiTheme="majorBidi" w:cstheme="majorBidi"/>
          <w:lang w:val="en-US"/>
        </w:rPr>
        <w:t xml:space="preserve">. </w:t>
      </w:r>
    </w:p>
    <w:p w:rsidR="00CF5853" w:rsidRDefault="00CF5853">
      <w:pPr>
        <w:rPr>
          <w:rFonts w:ascii="Times New Roman" w:hAnsi="Times New Roman"/>
          <w:sz w:val="24"/>
          <w:szCs w:val="24"/>
          <w:lang w:val="en-US"/>
        </w:rPr>
      </w:pPr>
      <w:r>
        <w:rPr>
          <w:rFonts w:ascii="Times New Roman" w:hAnsi="Times New Roman"/>
          <w:sz w:val="24"/>
          <w:szCs w:val="24"/>
          <w:lang w:val="en-US"/>
        </w:rPr>
        <w:br w:type="page"/>
      </w:r>
    </w:p>
    <w:p w:rsidR="00CF5853" w:rsidRPr="00CF5853" w:rsidRDefault="00CF5853" w:rsidP="002F07FC">
      <w:pPr>
        <w:pStyle w:val="Caption"/>
        <w:keepNext/>
        <w:rPr>
          <w:rFonts w:asciiTheme="majorBidi" w:hAnsiTheme="majorBidi" w:cstheme="majorBidi"/>
          <w:color w:val="000000" w:themeColor="text1"/>
          <w:sz w:val="24"/>
          <w:szCs w:val="24"/>
          <w:lang w:val="en-GB"/>
        </w:rPr>
      </w:pPr>
      <w:r w:rsidRPr="001E27D5">
        <w:rPr>
          <w:rFonts w:asciiTheme="majorBidi" w:hAnsiTheme="majorBidi" w:cstheme="majorBidi"/>
          <w:color w:val="000000" w:themeColor="text1"/>
          <w:sz w:val="24"/>
          <w:szCs w:val="24"/>
          <w:lang w:val="en-GB"/>
        </w:rPr>
        <w:lastRenderedPageBreak/>
        <w:t xml:space="preserve">Table </w:t>
      </w:r>
      <w:r>
        <w:rPr>
          <w:rFonts w:asciiTheme="majorBidi" w:hAnsiTheme="majorBidi" w:cstheme="majorBidi"/>
          <w:color w:val="000000" w:themeColor="text1"/>
          <w:sz w:val="24"/>
          <w:szCs w:val="24"/>
          <w:lang w:val="en-GB"/>
        </w:rPr>
        <w:t>5: Robustness in Statistical Significance</w:t>
      </w:r>
    </w:p>
    <w:tbl>
      <w:tblPr>
        <w:tblW w:w="5114" w:type="pct"/>
        <w:jc w:val="center"/>
        <w:tblLook w:val="04A0" w:firstRow="1" w:lastRow="0" w:firstColumn="1" w:lastColumn="0" w:noHBand="0" w:noVBand="1"/>
      </w:tblPr>
      <w:tblGrid>
        <w:gridCol w:w="2109"/>
        <w:gridCol w:w="557"/>
        <w:gridCol w:w="667"/>
        <w:gridCol w:w="557"/>
        <w:gridCol w:w="667"/>
        <w:gridCol w:w="557"/>
        <w:gridCol w:w="667"/>
        <w:gridCol w:w="557"/>
        <w:gridCol w:w="667"/>
        <w:gridCol w:w="557"/>
        <w:gridCol w:w="667"/>
        <w:gridCol w:w="557"/>
        <w:gridCol w:w="667"/>
      </w:tblGrid>
      <w:tr w:rsidR="00BF5811" w:rsidRPr="001E27D5" w:rsidTr="00295173">
        <w:trPr>
          <w:trHeight w:val="300"/>
          <w:jc w:val="center"/>
        </w:trPr>
        <w:tc>
          <w:tcPr>
            <w:tcW w:w="1116" w:type="pct"/>
            <w:tcBorders>
              <w:top w:val="single" w:sz="4" w:space="0" w:color="auto"/>
              <w:left w:val="nil"/>
              <w:bottom w:val="single" w:sz="4" w:space="0" w:color="auto"/>
              <w:right w:val="nil"/>
            </w:tcBorders>
            <w:shd w:val="clear" w:color="auto" w:fill="auto"/>
            <w:noWrap/>
            <w:vAlign w:val="center"/>
            <w:hideMark/>
          </w:tcPr>
          <w:p w:rsidR="00BF5811" w:rsidRPr="001E27D5" w:rsidRDefault="00BF5811" w:rsidP="00C774B9">
            <w:pPr>
              <w:spacing w:line="240" w:lineRule="auto"/>
              <w:ind w:firstLine="0"/>
              <w:jc w:val="center"/>
              <w:rPr>
                <w:rFonts w:ascii="Times New Roman" w:eastAsia="Times New Roman" w:hAnsi="Times New Roman"/>
                <w:color w:val="000000"/>
                <w:lang w:val="en-GB" w:eastAsia="zh-CN"/>
              </w:rPr>
            </w:pPr>
          </w:p>
        </w:tc>
        <w:tc>
          <w:tcPr>
            <w:tcW w:w="647" w:type="pct"/>
            <w:gridSpan w:val="2"/>
            <w:tcBorders>
              <w:top w:val="single" w:sz="4" w:space="0" w:color="auto"/>
              <w:left w:val="nil"/>
              <w:bottom w:val="single" w:sz="4" w:space="0" w:color="auto"/>
              <w:right w:val="nil"/>
            </w:tcBorders>
            <w:shd w:val="clear" w:color="auto" w:fill="auto"/>
            <w:noWrap/>
            <w:vAlign w:val="center"/>
            <w:hideMark/>
          </w:tcPr>
          <w:p w:rsidR="00BF5811" w:rsidRPr="001E27D5" w:rsidRDefault="00BF5811" w:rsidP="00C774B9">
            <w:pPr>
              <w:spacing w:line="240" w:lineRule="auto"/>
              <w:ind w:firstLine="0"/>
              <w:jc w:val="center"/>
              <w:rPr>
                <w:rFonts w:ascii="Times New Roman" w:eastAsia="Times New Roman" w:hAnsi="Times New Roman"/>
                <w:color w:val="000000"/>
                <w:sz w:val="20"/>
                <w:szCs w:val="20"/>
                <w:lang w:val="en-GB" w:eastAsia="zh-CN"/>
              </w:rPr>
            </w:pPr>
            <w:r>
              <w:rPr>
                <w:rFonts w:ascii="Times New Roman" w:eastAsia="Times New Roman" w:hAnsi="Times New Roman"/>
                <w:color w:val="000000"/>
                <w:sz w:val="20"/>
                <w:szCs w:val="20"/>
                <w:lang w:val="en-GB" w:eastAsia="zh-CN"/>
              </w:rPr>
              <w:t>(</w:t>
            </w:r>
            <w:r w:rsidRPr="001E27D5">
              <w:rPr>
                <w:rFonts w:ascii="Times New Roman" w:eastAsia="Times New Roman" w:hAnsi="Times New Roman"/>
                <w:color w:val="000000"/>
                <w:sz w:val="20"/>
                <w:szCs w:val="20"/>
                <w:lang w:val="en-GB" w:eastAsia="zh-CN"/>
              </w:rPr>
              <w:t>1</w:t>
            </w:r>
            <w:r>
              <w:rPr>
                <w:rFonts w:ascii="Times New Roman" w:eastAsia="Times New Roman" w:hAnsi="Times New Roman"/>
                <w:color w:val="000000"/>
                <w:sz w:val="20"/>
                <w:szCs w:val="20"/>
                <w:lang w:val="en-GB" w:eastAsia="zh-CN"/>
              </w:rPr>
              <w:t>)</w:t>
            </w:r>
          </w:p>
        </w:tc>
        <w:tc>
          <w:tcPr>
            <w:tcW w:w="647" w:type="pct"/>
            <w:gridSpan w:val="2"/>
            <w:tcBorders>
              <w:top w:val="single" w:sz="4" w:space="0" w:color="auto"/>
              <w:left w:val="nil"/>
              <w:bottom w:val="single" w:sz="4" w:space="0" w:color="auto"/>
              <w:right w:val="nil"/>
            </w:tcBorders>
            <w:shd w:val="clear" w:color="auto" w:fill="auto"/>
            <w:noWrap/>
            <w:vAlign w:val="center"/>
            <w:hideMark/>
          </w:tcPr>
          <w:p w:rsidR="00BF5811" w:rsidRPr="001E27D5" w:rsidRDefault="00BF5811" w:rsidP="00C774B9">
            <w:pPr>
              <w:spacing w:line="240" w:lineRule="auto"/>
              <w:ind w:firstLine="0"/>
              <w:jc w:val="center"/>
              <w:rPr>
                <w:rFonts w:ascii="Times New Roman" w:eastAsia="Times New Roman" w:hAnsi="Times New Roman"/>
                <w:color w:val="000000"/>
                <w:sz w:val="20"/>
                <w:szCs w:val="20"/>
                <w:lang w:val="en-GB" w:eastAsia="zh-CN"/>
              </w:rPr>
            </w:pPr>
            <w:r>
              <w:rPr>
                <w:rFonts w:ascii="Times New Roman" w:eastAsia="Times New Roman" w:hAnsi="Times New Roman"/>
                <w:color w:val="000000"/>
                <w:sz w:val="20"/>
                <w:szCs w:val="20"/>
                <w:lang w:val="en-GB" w:eastAsia="zh-CN"/>
              </w:rPr>
              <w:t>(</w:t>
            </w:r>
            <w:r w:rsidRPr="001E27D5">
              <w:rPr>
                <w:rFonts w:ascii="Times New Roman" w:eastAsia="Times New Roman" w:hAnsi="Times New Roman"/>
                <w:color w:val="000000"/>
                <w:sz w:val="20"/>
                <w:szCs w:val="20"/>
                <w:lang w:val="en-GB" w:eastAsia="zh-CN"/>
              </w:rPr>
              <w:t>2</w:t>
            </w:r>
            <w:r>
              <w:rPr>
                <w:rFonts w:ascii="Times New Roman" w:eastAsia="Times New Roman" w:hAnsi="Times New Roman"/>
                <w:color w:val="000000"/>
                <w:sz w:val="20"/>
                <w:szCs w:val="20"/>
                <w:lang w:val="en-GB" w:eastAsia="zh-CN"/>
              </w:rPr>
              <w:t>)</w:t>
            </w:r>
          </w:p>
        </w:tc>
        <w:tc>
          <w:tcPr>
            <w:tcW w:w="647" w:type="pct"/>
            <w:gridSpan w:val="2"/>
            <w:tcBorders>
              <w:top w:val="single" w:sz="4" w:space="0" w:color="auto"/>
              <w:left w:val="nil"/>
              <w:bottom w:val="single" w:sz="4" w:space="0" w:color="auto"/>
              <w:right w:val="nil"/>
            </w:tcBorders>
            <w:shd w:val="clear" w:color="auto" w:fill="auto"/>
            <w:noWrap/>
            <w:vAlign w:val="center"/>
            <w:hideMark/>
          </w:tcPr>
          <w:p w:rsidR="00BF5811" w:rsidRPr="001E27D5" w:rsidRDefault="00BF5811" w:rsidP="00C774B9">
            <w:pPr>
              <w:spacing w:line="240" w:lineRule="auto"/>
              <w:ind w:firstLine="0"/>
              <w:jc w:val="center"/>
              <w:rPr>
                <w:rFonts w:ascii="Times New Roman" w:eastAsia="Times New Roman" w:hAnsi="Times New Roman"/>
                <w:color w:val="000000"/>
                <w:sz w:val="20"/>
                <w:szCs w:val="20"/>
                <w:lang w:val="en-GB" w:eastAsia="zh-CN"/>
              </w:rPr>
            </w:pPr>
            <w:r>
              <w:rPr>
                <w:rFonts w:ascii="Times New Roman" w:eastAsia="Times New Roman" w:hAnsi="Times New Roman"/>
                <w:color w:val="000000"/>
                <w:sz w:val="20"/>
                <w:szCs w:val="20"/>
                <w:lang w:val="en-GB" w:eastAsia="zh-CN"/>
              </w:rPr>
              <w:t>(</w:t>
            </w:r>
            <w:r w:rsidRPr="001E27D5">
              <w:rPr>
                <w:rFonts w:ascii="Times New Roman" w:eastAsia="Times New Roman" w:hAnsi="Times New Roman"/>
                <w:color w:val="000000"/>
                <w:sz w:val="20"/>
                <w:szCs w:val="20"/>
                <w:lang w:val="en-GB" w:eastAsia="zh-CN"/>
              </w:rPr>
              <w:t>3</w:t>
            </w:r>
            <w:r>
              <w:rPr>
                <w:rFonts w:ascii="Times New Roman" w:eastAsia="Times New Roman" w:hAnsi="Times New Roman"/>
                <w:color w:val="000000"/>
                <w:sz w:val="20"/>
                <w:szCs w:val="20"/>
                <w:lang w:val="en-GB" w:eastAsia="zh-CN"/>
              </w:rPr>
              <w:t>)</w:t>
            </w:r>
          </w:p>
        </w:tc>
        <w:tc>
          <w:tcPr>
            <w:tcW w:w="647" w:type="pct"/>
            <w:gridSpan w:val="2"/>
            <w:tcBorders>
              <w:top w:val="single" w:sz="4" w:space="0" w:color="auto"/>
              <w:left w:val="nil"/>
              <w:bottom w:val="single" w:sz="4" w:space="0" w:color="auto"/>
              <w:right w:val="nil"/>
            </w:tcBorders>
            <w:shd w:val="clear" w:color="auto" w:fill="auto"/>
            <w:noWrap/>
            <w:vAlign w:val="center"/>
            <w:hideMark/>
          </w:tcPr>
          <w:p w:rsidR="00BF5811" w:rsidRPr="001E27D5" w:rsidRDefault="00BF5811" w:rsidP="00C774B9">
            <w:pPr>
              <w:spacing w:line="240" w:lineRule="auto"/>
              <w:ind w:firstLine="0"/>
              <w:jc w:val="center"/>
              <w:rPr>
                <w:rFonts w:ascii="Times New Roman" w:eastAsia="Times New Roman" w:hAnsi="Times New Roman"/>
                <w:color w:val="000000"/>
                <w:sz w:val="20"/>
                <w:szCs w:val="20"/>
                <w:lang w:val="en-GB" w:eastAsia="zh-CN"/>
              </w:rPr>
            </w:pPr>
            <w:r>
              <w:rPr>
                <w:rFonts w:ascii="Times New Roman" w:eastAsia="Times New Roman" w:hAnsi="Times New Roman"/>
                <w:color w:val="000000"/>
                <w:sz w:val="20"/>
                <w:szCs w:val="20"/>
                <w:lang w:val="en-GB" w:eastAsia="zh-CN"/>
              </w:rPr>
              <w:t>(</w:t>
            </w:r>
            <w:r w:rsidRPr="001E27D5">
              <w:rPr>
                <w:rFonts w:ascii="Times New Roman" w:eastAsia="Times New Roman" w:hAnsi="Times New Roman"/>
                <w:color w:val="000000"/>
                <w:sz w:val="20"/>
                <w:szCs w:val="20"/>
                <w:lang w:val="en-GB" w:eastAsia="zh-CN"/>
              </w:rPr>
              <w:t>4</w:t>
            </w:r>
            <w:r>
              <w:rPr>
                <w:rFonts w:ascii="Times New Roman" w:eastAsia="Times New Roman" w:hAnsi="Times New Roman"/>
                <w:color w:val="000000"/>
                <w:sz w:val="20"/>
                <w:szCs w:val="20"/>
                <w:lang w:val="en-GB" w:eastAsia="zh-CN"/>
              </w:rPr>
              <w:t>)</w:t>
            </w:r>
          </w:p>
        </w:tc>
        <w:tc>
          <w:tcPr>
            <w:tcW w:w="647" w:type="pct"/>
            <w:gridSpan w:val="2"/>
            <w:tcBorders>
              <w:top w:val="single" w:sz="4" w:space="0" w:color="auto"/>
              <w:left w:val="nil"/>
              <w:bottom w:val="single" w:sz="4" w:space="0" w:color="auto"/>
              <w:right w:val="nil"/>
            </w:tcBorders>
            <w:shd w:val="clear" w:color="auto" w:fill="auto"/>
            <w:noWrap/>
            <w:vAlign w:val="center"/>
            <w:hideMark/>
          </w:tcPr>
          <w:p w:rsidR="00BF5811" w:rsidRPr="001E27D5" w:rsidRDefault="00BF5811" w:rsidP="00C774B9">
            <w:pPr>
              <w:spacing w:line="240" w:lineRule="auto"/>
              <w:ind w:firstLine="0"/>
              <w:jc w:val="center"/>
              <w:rPr>
                <w:rFonts w:ascii="Times New Roman" w:eastAsia="Times New Roman" w:hAnsi="Times New Roman"/>
                <w:color w:val="000000"/>
                <w:sz w:val="20"/>
                <w:szCs w:val="20"/>
                <w:lang w:val="en-GB" w:eastAsia="zh-CN"/>
              </w:rPr>
            </w:pPr>
            <w:r>
              <w:rPr>
                <w:rFonts w:ascii="Times New Roman" w:eastAsia="Times New Roman" w:hAnsi="Times New Roman"/>
                <w:color w:val="000000"/>
                <w:sz w:val="20"/>
                <w:szCs w:val="20"/>
                <w:lang w:val="en-GB" w:eastAsia="zh-CN"/>
              </w:rPr>
              <w:t>(</w:t>
            </w:r>
            <w:r w:rsidRPr="001E27D5">
              <w:rPr>
                <w:rFonts w:ascii="Times New Roman" w:eastAsia="Times New Roman" w:hAnsi="Times New Roman"/>
                <w:color w:val="000000"/>
                <w:sz w:val="20"/>
                <w:szCs w:val="20"/>
                <w:lang w:val="en-GB" w:eastAsia="zh-CN"/>
              </w:rPr>
              <w:t>5</w:t>
            </w:r>
            <w:r>
              <w:rPr>
                <w:rFonts w:ascii="Times New Roman" w:eastAsia="Times New Roman" w:hAnsi="Times New Roman"/>
                <w:color w:val="000000"/>
                <w:sz w:val="20"/>
                <w:szCs w:val="20"/>
                <w:lang w:val="en-GB" w:eastAsia="zh-CN"/>
              </w:rPr>
              <w:t>)</w:t>
            </w:r>
          </w:p>
        </w:tc>
        <w:tc>
          <w:tcPr>
            <w:tcW w:w="647" w:type="pct"/>
            <w:gridSpan w:val="2"/>
            <w:tcBorders>
              <w:top w:val="single" w:sz="4" w:space="0" w:color="auto"/>
              <w:left w:val="nil"/>
              <w:bottom w:val="single" w:sz="4" w:space="0" w:color="auto"/>
              <w:right w:val="nil"/>
            </w:tcBorders>
            <w:shd w:val="clear" w:color="auto" w:fill="auto"/>
            <w:noWrap/>
            <w:vAlign w:val="center"/>
            <w:hideMark/>
          </w:tcPr>
          <w:p w:rsidR="00BF5811" w:rsidRPr="001E27D5" w:rsidRDefault="00BF5811" w:rsidP="00C774B9">
            <w:pPr>
              <w:spacing w:line="240" w:lineRule="auto"/>
              <w:ind w:firstLine="0"/>
              <w:jc w:val="center"/>
              <w:rPr>
                <w:rFonts w:ascii="Times New Roman" w:eastAsia="Times New Roman" w:hAnsi="Times New Roman"/>
                <w:color w:val="000000"/>
                <w:sz w:val="20"/>
                <w:szCs w:val="20"/>
                <w:lang w:val="en-GB" w:eastAsia="zh-CN"/>
              </w:rPr>
            </w:pPr>
            <w:r>
              <w:rPr>
                <w:rFonts w:ascii="Times New Roman" w:eastAsia="Times New Roman" w:hAnsi="Times New Roman"/>
                <w:color w:val="000000"/>
                <w:sz w:val="20"/>
                <w:szCs w:val="20"/>
                <w:lang w:val="en-GB" w:eastAsia="zh-CN"/>
              </w:rPr>
              <w:t>(</w:t>
            </w:r>
            <w:r w:rsidRPr="001E27D5">
              <w:rPr>
                <w:rFonts w:ascii="Times New Roman" w:eastAsia="Times New Roman" w:hAnsi="Times New Roman"/>
                <w:color w:val="000000"/>
                <w:sz w:val="20"/>
                <w:szCs w:val="20"/>
                <w:lang w:val="en-GB" w:eastAsia="zh-CN"/>
              </w:rPr>
              <w:t>6</w:t>
            </w:r>
            <w:r>
              <w:rPr>
                <w:rFonts w:ascii="Times New Roman" w:eastAsia="Times New Roman" w:hAnsi="Times New Roman"/>
                <w:color w:val="000000"/>
                <w:sz w:val="20"/>
                <w:szCs w:val="20"/>
                <w:lang w:val="en-GB" w:eastAsia="zh-CN"/>
              </w:rPr>
              <w:t>)</w:t>
            </w:r>
          </w:p>
        </w:tc>
      </w:tr>
      <w:tr w:rsidR="00295173" w:rsidRPr="001E27D5" w:rsidTr="00295173">
        <w:trPr>
          <w:trHeight w:val="397"/>
          <w:jc w:val="center"/>
        </w:trPr>
        <w:tc>
          <w:tcPr>
            <w:tcW w:w="1116" w:type="pct"/>
            <w:tcBorders>
              <w:top w:val="single" w:sz="4" w:space="0" w:color="auto"/>
              <w:left w:val="nil"/>
              <w:bottom w:val="single" w:sz="4" w:space="0" w:color="auto"/>
              <w:right w:val="nil"/>
            </w:tcBorders>
            <w:shd w:val="clear" w:color="auto" w:fill="auto"/>
            <w:noWrap/>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single" w:sz="4" w:space="0" w:color="auto"/>
              <w:left w:val="nil"/>
              <w:bottom w:val="single" w:sz="4" w:space="0" w:color="auto"/>
              <w:right w:val="nil"/>
            </w:tcBorders>
            <w:shd w:val="clear" w:color="auto" w:fill="auto"/>
            <w:noWrap/>
            <w:vAlign w:val="center"/>
            <w:hideMark/>
          </w:tcPr>
          <w:p w:rsidR="001E27D5" w:rsidRPr="001E27D5" w:rsidRDefault="001E27D5" w:rsidP="00C774B9">
            <w:pPr>
              <w:spacing w:line="240" w:lineRule="auto"/>
              <w:ind w:firstLine="0"/>
              <w:jc w:val="center"/>
              <w:rPr>
                <w:rFonts w:ascii="Times New Roman" w:eastAsia="Times New Roman" w:hAnsi="Times New Roman"/>
                <w:color w:val="000000"/>
                <w:sz w:val="18"/>
                <w:szCs w:val="18"/>
                <w:lang w:val="en-GB" w:eastAsia="zh-CN"/>
              </w:rPr>
            </w:pPr>
            <w:r w:rsidRPr="001E27D5">
              <w:rPr>
                <w:rFonts w:ascii="Times New Roman" w:eastAsia="Times New Roman" w:hAnsi="Times New Roman"/>
                <w:color w:val="000000"/>
                <w:sz w:val="18"/>
                <w:szCs w:val="18"/>
                <w:lang w:val="en-GB" w:eastAsia="zh-CN"/>
              </w:rPr>
              <w:t>OLS</w:t>
            </w:r>
          </w:p>
        </w:tc>
        <w:tc>
          <w:tcPr>
            <w:tcW w:w="353" w:type="pct"/>
            <w:tcBorders>
              <w:top w:val="single" w:sz="4" w:space="0" w:color="auto"/>
              <w:left w:val="nil"/>
              <w:bottom w:val="single" w:sz="4" w:space="0" w:color="auto"/>
              <w:right w:val="nil"/>
            </w:tcBorders>
            <w:shd w:val="clear" w:color="auto" w:fill="auto"/>
            <w:noWrap/>
            <w:vAlign w:val="center"/>
            <w:hideMark/>
          </w:tcPr>
          <w:p w:rsidR="001E27D5" w:rsidRPr="001E27D5" w:rsidRDefault="001E27D5" w:rsidP="00C774B9">
            <w:pPr>
              <w:spacing w:line="240" w:lineRule="auto"/>
              <w:ind w:firstLine="0"/>
              <w:jc w:val="center"/>
              <w:rPr>
                <w:rFonts w:ascii="Times New Roman" w:eastAsia="Times New Roman" w:hAnsi="Times New Roman"/>
                <w:color w:val="000000"/>
                <w:sz w:val="18"/>
                <w:szCs w:val="18"/>
                <w:lang w:val="en-GB" w:eastAsia="zh-CN"/>
              </w:rPr>
            </w:pPr>
            <w:r w:rsidRPr="001E27D5">
              <w:rPr>
                <w:rFonts w:ascii="Times New Roman" w:eastAsia="Times New Roman" w:hAnsi="Times New Roman"/>
                <w:color w:val="000000"/>
                <w:sz w:val="18"/>
                <w:szCs w:val="18"/>
                <w:lang w:val="en-GB" w:eastAsia="zh-CN"/>
              </w:rPr>
              <w:t>GMM</w:t>
            </w:r>
          </w:p>
        </w:tc>
        <w:tc>
          <w:tcPr>
            <w:tcW w:w="295" w:type="pct"/>
            <w:tcBorders>
              <w:top w:val="single" w:sz="4" w:space="0" w:color="auto"/>
              <w:left w:val="nil"/>
              <w:bottom w:val="single" w:sz="4" w:space="0" w:color="auto"/>
              <w:right w:val="nil"/>
            </w:tcBorders>
            <w:shd w:val="clear" w:color="auto" w:fill="auto"/>
            <w:noWrap/>
            <w:vAlign w:val="center"/>
            <w:hideMark/>
          </w:tcPr>
          <w:p w:rsidR="001E27D5" w:rsidRPr="001E27D5" w:rsidRDefault="001E27D5" w:rsidP="00C774B9">
            <w:pPr>
              <w:spacing w:line="240" w:lineRule="auto"/>
              <w:ind w:firstLine="0"/>
              <w:jc w:val="center"/>
              <w:rPr>
                <w:rFonts w:ascii="Times New Roman" w:eastAsia="Times New Roman" w:hAnsi="Times New Roman"/>
                <w:color w:val="000000"/>
                <w:sz w:val="18"/>
                <w:szCs w:val="18"/>
                <w:lang w:val="en-GB" w:eastAsia="zh-CN"/>
              </w:rPr>
            </w:pPr>
            <w:r w:rsidRPr="001E27D5">
              <w:rPr>
                <w:rFonts w:ascii="Times New Roman" w:eastAsia="Times New Roman" w:hAnsi="Times New Roman"/>
                <w:color w:val="000000"/>
                <w:sz w:val="18"/>
                <w:szCs w:val="18"/>
                <w:lang w:val="en-GB" w:eastAsia="zh-CN"/>
              </w:rPr>
              <w:t>OLS</w:t>
            </w:r>
          </w:p>
        </w:tc>
        <w:tc>
          <w:tcPr>
            <w:tcW w:w="353" w:type="pct"/>
            <w:tcBorders>
              <w:top w:val="single" w:sz="4" w:space="0" w:color="auto"/>
              <w:left w:val="nil"/>
              <w:bottom w:val="single" w:sz="4" w:space="0" w:color="auto"/>
              <w:right w:val="nil"/>
            </w:tcBorders>
            <w:shd w:val="clear" w:color="auto" w:fill="auto"/>
            <w:noWrap/>
            <w:vAlign w:val="center"/>
            <w:hideMark/>
          </w:tcPr>
          <w:p w:rsidR="001E27D5" w:rsidRPr="001E27D5" w:rsidRDefault="001E27D5" w:rsidP="00C774B9">
            <w:pPr>
              <w:spacing w:line="240" w:lineRule="auto"/>
              <w:ind w:firstLine="0"/>
              <w:jc w:val="center"/>
              <w:rPr>
                <w:rFonts w:ascii="Times New Roman" w:eastAsia="Times New Roman" w:hAnsi="Times New Roman"/>
                <w:color w:val="000000"/>
                <w:sz w:val="18"/>
                <w:szCs w:val="18"/>
                <w:lang w:val="en-GB" w:eastAsia="zh-CN"/>
              </w:rPr>
            </w:pPr>
            <w:r w:rsidRPr="001E27D5">
              <w:rPr>
                <w:rFonts w:ascii="Times New Roman" w:eastAsia="Times New Roman" w:hAnsi="Times New Roman"/>
                <w:color w:val="000000"/>
                <w:sz w:val="18"/>
                <w:szCs w:val="18"/>
                <w:lang w:val="en-GB" w:eastAsia="zh-CN"/>
              </w:rPr>
              <w:t>GMM</w:t>
            </w:r>
          </w:p>
        </w:tc>
        <w:tc>
          <w:tcPr>
            <w:tcW w:w="295" w:type="pct"/>
            <w:tcBorders>
              <w:top w:val="single" w:sz="4" w:space="0" w:color="auto"/>
              <w:left w:val="nil"/>
              <w:bottom w:val="single" w:sz="4" w:space="0" w:color="auto"/>
              <w:right w:val="nil"/>
            </w:tcBorders>
            <w:shd w:val="clear" w:color="auto" w:fill="auto"/>
            <w:noWrap/>
            <w:vAlign w:val="center"/>
            <w:hideMark/>
          </w:tcPr>
          <w:p w:rsidR="001E27D5" w:rsidRPr="001E27D5" w:rsidRDefault="001E27D5" w:rsidP="00C774B9">
            <w:pPr>
              <w:spacing w:line="240" w:lineRule="auto"/>
              <w:ind w:firstLine="0"/>
              <w:jc w:val="center"/>
              <w:rPr>
                <w:rFonts w:ascii="Times New Roman" w:eastAsia="Times New Roman" w:hAnsi="Times New Roman"/>
                <w:color w:val="000000"/>
                <w:sz w:val="18"/>
                <w:szCs w:val="18"/>
                <w:lang w:val="en-GB" w:eastAsia="zh-CN"/>
              </w:rPr>
            </w:pPr>
            <w:r w:rsidRPr="001E27D5">
              <w:rPr>
                <w:rFonts w:ascii="Times New Roman" w:eastAsia="Times New Roman" w:hAnsi="Times New Roman"/>
                <w:color w:val="000000"/>
                <w:sz w:val="18"/>
                <w:szCs w:val="18"/>
                <w:lang w:val="en-GB" w:eastAsia="zh-CN"/>
              </w:rPr>
              <w:t>OLS</w:t>
            </w:r>
          </w:p>
        </w:tc>
        <w:tc>
          <w:tcPr>
            <w:tcW w:w="353" w:type="pct"/>
            <w:tcBorders>
              <w:top w:val="single" w:sz="4" w:space="0" w:color="auto"/>
              <w:left w:val="nil"/>
              <w:bottom w:val="single" w:sz="4" w:space="0" w:color="auto"/>
              <w:right w:val="nil"/>
            </w:tcBorders>
            <w:shd w:val="clear" w:color="auto" w:fill="auto"/>
            <w:noWrap/>
            <w:vAlign w:val="center"/>
            <w:hideMark/>
          </w:tcPr>
          <w:p w:rsidR="001E27D5" w:rsidRPr="001E27D5" w:rsidRDefault="001E27D5" w:rsidP="00C774B9">
            <w:pPr>
              <w:spacing w:line="240" w:lineRule="auto"/>
              <w:ind w:firstLine="0"/>
              <w:jc w:val="center"/>
              <w:rPr>
                <w:rFonts w:ascii="Times New Roman" w:eastAsia="Times New Roman" w:hAnsi="Times New Roman"/>
                <w:color w:val="000000"/>
                <w:sz w:val="18"/>
                <w:szCs w:val="18"/>
                <w:lang w:val="en-GB" w:eastAsia="zh-CN"/>
              </w:rPr>
            </w:pPr>
            <w:r w:rsidRPr="001E27D5">
              <w:rPr>
                <w:rFonts w:ascii="Times New Roman" w:eastAsia="Times New Roman" w:hAnsi="Times New Roman"/>
                <w:color w:val="000000"/>
                <w:sz w:val="18"/>
                <w:szCs w:val="18"/>
                <w:lang w:val="en-GB" w:eastAsia="zh-CN"/>
              </w:rPr>
              <w:t>GMM</w:t>
            </w:r>
          </w:p>
        </w:tc>
        <w:tc>
          <w:tcPr>
            <w:tcW w:w="295" w:type="pct"/>
            <w:tcBorders>
              <w:top w:val="single" w:sz="4" w:space="0" w:color="auto"/>
              <w:left w:val="nil"/>
              <w:bottom w:val="single" w:sz="4" w:space="0" w:color="auto"/>
              <w:right w:val="nil"/>
            </w:tcBorders>
            <w:shd w:val="clear" w:color="auto" w:fill="auto"/>
            <w:noWrap/>
            <w:vAlign w:val="center"/>
            <w:hideMark/>
          </w:tcPr>
          <w:p w:rsidR="001E27D5" w:rsidRPr="001E27D5" w:rsidRDefault="001E27D5" w:rsidP="00C774B9">
            <w:pPr>
              <w:spacing w:line="240" w:lineRule="auto"/>
              <w:ind w:firstLine="0"/>
              <w:jc w:val="center"/>
              <w:rPr>
                <w:rFonts w:ascii="Times New Roman" w:eastAsia="Times New Roman" w:hAnsi="Times New Roman"/>
                <w:color w:val="000000"/>
                <w:sz w:val="18"/>
                <w:szCs w:val="18"/>
                <w:lang w:val="en-GB" w:eastAsia="zh-CN"/>
              </w:rPr>
            </w:pPr>
            <w:r w:rsidRPr="001E27D5">
              <w:rPr>
                <w:rFonts w:ascii="Times New Roman" w:eastAsia="Times New Roman" w:hAnsi="Times New Roman"/>
                <w:color w:val="000000"/>
                <w:sz w:val="18"/>
                <w:szCs w:val="18"/>
                <w:lang w:val="en-GB" w:eastAsia="zh-CN"/>
              </w:rPr>
              <w:t>OLS</w:t>
            </w:r>
          </w:p>
        </w:tc>
        <w:tc>
          <w:tcPr>
            <w:tcW w:w="353" w:type="pct"/>
            <w:tcBorders>
              <w:top w:val="single" w:sz="4" w:space="0" w:color="auto"/>
              <w:left w:val="nil"/>
              <w:bottom w:val="single" w:sz="4" w:space="0" w:color="auto"/>
              <w:right w:val="nil"/>
            </w:tcBorders>
            <w:shd w:val="clear" w:color="auto" w:fill="auto"/>
            <w:noWrap/>
            <w:vAlign w:val="center"/>
            <w:hideMark/>
          </w:tcPr>
          <w:p w:rsidR="001E27D5" w:rsidRPr="001E27D5" w:rsidRDefault="001E27D5" w:rsidP="00C774B9">
            <w:pPr>
              <w:spacing w:line="240" w:lineRule="auto"/>
              <w:ind w:firstLine="0"/>
              <w:jc w:val="center"/>
              <w:rPr>
                <w:rFonts w:ascii="Times New Roman" w:eastAsia="Times New Roman" w:hAnsi="Times New Roman"/>
                <w:color w:val="000000"/>
                <w:sz w:val="18"/>
                <w:szCs w:val="18"/>
                <w:lang w:val="en-GB" w:eastAsia="zh-CN"/>
              </w:rPr>
            </w:pPr>
            <w:r w:rsidRPr="001E27D5">
              <w:rPr>
                <w:rFonts w:ascii="Times New Roman" w:eastAsia="Times New Roman" w:hAnsi="Times New Roman"/>
                <w:color w:val="000000"/>
                <w:sz w:val="18"/>
                <w:szCs w:val="18"/>
                <w:lang w:val="en-GB" w:eastAsia="zh-CN"/>
              </w:rPr>
              <w:t>GMM</w:t>
            </w:r>
          </w:p>
        </w:tc>
        <w:tc>
          <w:tcPr>
            <w:tcW w:w="295" w:type="pct"/>
            <w:tcBorders>
              <w:top w:val="single" w:sz="4" w:space="0" w:color="auto"/>
              <w:left w:val="nil"/>
              <w:bottom w:val="single" w:sz="4" w:space="0" w:color="auto"/>
              <w:right w:val="nil"/>
            </w:tcBorders>
            <w:shd w:val="clear" w:color="auto" w:fill="auto"/>
            <w:noWrap/>
            <w:vAlign w:val="center"/>
            <w:hideMark/>
          </w:tcPr>
          <w:p w:rsidR="001E27D5" w:rsidRPr="001E27D5" w:rsidRDefault="001E27D5" w:rsidP="00C774B9">
            <w:pPr>
              <w:spacing w:line="240" w:lineRule="auto"/>
              <w:ind w:firstLine="0"/>
              <w:jc w:val="center"/>
              <w:rPr>
                <w:rFonts w:ascii="Times New Roman" w:eastAsia="Times New Roman" w:hAnsi="Times New Roman"/>
                <w:color w:val="000000"/>
                <w:sz w:val="18"/>
                <w:szCs w:val="18"/>
                <w:lang w:val="en-GB" w:eastAsia="zh-CN"/>
              </w:rPr>
            </w:pPr>
            <w:r w:rsidRPr="001E27D5">
              <w:rPr>
                <w:rFonts w:ascii="Times New Roman" w:eastAsia="Times New Roman" w:hAnsi="Times New Roman"/>
                <w:color w:val="000000"/>
                <w:sz w:val="18"/>
                <w:szCs w:val="18"/>
                <w:lang w:val="en-GB" w:eastAsia="zh-CN"/>
              </w:rPr>
              <w:t>OLS</w:t>
            </w:r>
          </w:p>
        </w:tc>
        <w:tc>
          <w:tcPr>
            <w:tcW w:w="353" w:type="pct"/>
            <w:tcBorders>
              <w:top w:val="single" w:sz="4" w:space="0" w:color="auto"/>
              <w:left w:val="nil"/>
              <w:bottom w:val="single" w:sz="4" w:space="0" w:color="auto"/>
              <w:right w:val="nil"/>
            </w:tcBorders>
            <w:shd w:val="clear" w:color="auto" w:fill="auto"/>
            <w:noWrap/>
            <w:vAlign w:val="center"/>
            <w:hideMark/>
          </w:tcPr>
          <w:p w:rsidR="001E27D5" w:rsidRPr="001E27D5" w:rsidRDefault="001E27D5" w:rsidP="00C774B9">
            <w:pPr>
              <w:spacing w:line="240" w:lineRule="auto"/>
              <w:ind w:firstLine="0"/>
              <w:jc w:val="center"/>
              <w:rPr>
                <w:rFonts w:ascii="Times New Roman" w:eastAsia="Times New Roman" w:hAnsi="Times New Roman"/>
                <w:color w:val="000000"/>
                <w:sz w:val="18"/>
                <w:szCs w:val="18"/>
                <w:lang w:val="en-GB" w:eastAsia="zh-CN"/>
              </w:rPr>
            </w:pPr>
            <w:r w:rsidRPr="001E27D5">
              <w:rPr>
                <w:rFonts w:ascii="Times New Roman" w:eastAsia="Times New Roman" w:hAnsi="Times New Roman"/>
                <w:color w:val="000000"/>
                <w:sz w:val="18"/>
                <w:szCs w:val="18"/>
                <w:lang w:val="en-GB" w:eastAsia="zh-CN"/>
              </w:rPr>
              <w:t>GMM</w:t>
            </w:r>
          </w:p>
        </w:tc>
        <w:tc>
          <w:tcPr>
            <w:tcW w:w="295" w:type="pct"/>
            <w:tcBorders>
              <w:top w:val="single" w:sz="4" w:space="0" w:color="auto"/>
              <w:left w:val="nil"/>
              <w:bottom w:val="single" w:sz="4" w:space="0" w:color="auto"/>
              <w:right w:val="nil"/>
            </w:tcBorders>
            <w:shd w:val="clear" w:color="auto" w:fill="auto"/>
            <w:noWrap/>
            <w:vAlign w:val="center"/>
            <w:hideMark/>
          </w:tcPr>
          <w:p w:rsidR="001E27D5" w:rsidRPr="001E27D5" w:rsidRDefault="001E27D5" w:rsidP="00C774B9">
            <w:pPr>
              <w:spacing w:line="240" w:lineRule="auto"/>
              <w:ind w:firstLine="0"/>
              <w:jc w:val="center"/>
              <w:rPr>
                <w:rFonts w:ascii="Times New Roman" w:eastAsia="Times New Roman" w:hAnsi="Times New Roman"/>
                <w:color w:val="000000"/>
                <w:sz w:val="18"/>
                <w:szCs w:val="18"/>
                <w:lang w:val="en-GB" w:eastAsia="zh-CN"/>
              </w:rPr>
            </w:pPr>
            <w:r w:rsidRPr="001E27D5">
              <w:rPr>
                <w:rFonts w:ascii="Times New Roman" w:eastAsia="Times New Roman" w:hAnsi="Times New Roman"/>
                <w:color w:val="000000"/>
                <w:sz w:val="18"/>
                <w:szCs w:val="18"/>
                <w:lang w:val="en-GB" w:eastAsia="zh-CN"/>
              </w:rPr>
              <w:t>OLS</w:t>
            </w:r>
          </w:p>
        </w:tc>
        <w:tc>
          <w:tcPr>
            <w:tcW w:w="353" w:type="pct"/>
            <w:tcBorders>
              <w:top w:val="single" w:sz="4" w:space="0" w:color="auto"/>
              <w:left w:val="nil"/>
              <w:bottom w:val="single" w:sz="4" w:space="0" w:color="auto"/>
              <w:right w:val="nil"/>
            </w:tcBorders>
            <w:shd w:val="clear" w:color="auto" w:fill="auto"/>
            <w:noWrap/>
            <w:vAlign w:val="center"/>
            <w:hideMark/>
          </w:tcPr>
          <w:p w:rsidR="001E27D5" w:rsidRPr="001E27D5" w:rsidRDefault="001E27D5" w:rsidP="00C774B9">
            <w:pPr>
              <w:spacing w:line="240" w:lineRule="auto"/>
              <w:ind w:firstLine="0"/>
              <w:jc w:val="center"/>
              <w:rPr>
                <w:rFonts w:ascii="Times New Roman" w:eastAsia="Times New Roman" w:hAnsi="Times New Roman"/>
                <w:color w:val="000000"/>
                <w:sz w:val="18"/>
                <w:szCs w:val="18"/>
                <w:lang w:val="en-GB" w:eastAsia="zh-CN"/>
              </w:rPr>
            </w:pPr>
            <w:r w:rsidRPr="001E27D5">
              <w:rPr>
                <w:rFonts w:ascii="Times New Roman" w:eastAsia="Times New Roman" w:hAnsi="Times New Roman"/>
                <w:color w:val="000000"/>
                <w:sz w:val="18"/>
                <w:szCs w:val="18"/>
                <w:lang w:val="en-GB" w:eastAsia="zh-CN"/>
              </w:rPr>
              <w:t>GMM</w:t>
            </w:r>
          </w:p>
        </w:tc>
      </w:tr>
      <w:tr w:rsidR="001E27D5" w:rsidRPr="001E27D5" w:rsidTr="00295173">
        <w:trPr>
          <w:trHeight w:val="300"/>
          <w:jc w:val="center"/>
        </w:trPr>
        <w:tc>
          <w:tcPr>
            <w:tcW w:w="5000" w:type="pct"/>
            <w:gridSpan w:val="13"/>
            <w:tcBorders>
              <w:top w:val="single" w:sz="4" w:space="0" w:color="auto"/>
              <w:left w:val="nil"/>
              <w:bottom w:val="nil"/>
              <w:right w:val="nil"/>
            </w:tcBorders>
            <w:shd w:val="clear" w:color="auto" w:fill="auto"/>
            <w:noWrap/>
            <w:vAlign w:val="center"/>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Olley-Pakes</w:t>
            </w:r>
          </w:p>
        </w:tc>
      </w:tr>
      <w:tr w:rsidR="00295173" w:rsidRPr="001E27D5" w:rsidTr="00295173">
        <w:trPr>
          <w:trHeight w:val="300"/>
          <w:jc w:val="center"/>
        </w:trPr>
        <w:tc>
          <w:tcPr>
            <w:tcW w:w="1116" w:type="pct"/>
            <w:tcBorders>
              <w:top w:val="single" w:sz="4" w:space="0" w:color="auto"/>
              <w:left w:val="nil"/>
              <w:bottom w:val="nil"/>
              <w:right w:val="nil"/>
            </w:tcBorders>
            <w:shd w:val="clear" w:color="auto" w:fill="auto"/>
            <w:noWrap/>
            <w:vAlign w:val="center"/>
            <w:hideMark/>
          </w:tcPr>
          <w:p w:rsidR="001E27D5" w:rsidRPr="00295173" w:rsidRDefault="00295173" w:rsidP="00C774B9">
            <w:pPr>
              <w:spacing w:line="240" w:lineRule="auto"/>
              <w:ind w:firstLine="0"/>
              <w:rPr>
                <w:rFonts w:ascii="Times New Roman" w:eastAsia="Times New Roman" w:hAnsi="Times New Roman"/>
                <w:color w:val="000000"/>
                <w:lang w:val="en-GB" w:eastAsia="zh-CN"/>
              </w:rPr>
            </w:pPr>
            <w:r w:rsidRPr="00295173">
              <w:rPr>
                <w:rFonts w:asciiTheme="majorBidi" w:hAnsiTheme="majorBidi" w:cstheme="majorBidi"/>
                <w:lang w:val="en-US"/>
              </w:rPr>
              <w:t>Δln</w:t>
            </w:r>
            <w:r w:rsidRPr="00295173">
              <w:rPr>
                <w:rFonts w:asciiTheme="majorBidi" w:hAnsiTheme="majorBidi" w:cstheme="majorBidi"/>
                <w:i/>
                <w:lang w:val="en-US"/>
              </w:rPr>
              <w:t>TFP</w:t>
            </w:r>
            <w:r w:rsidRPr="00295173">
              <w:rPr>
                <w:rFonts w:asciiTheme="majorBidi" w:hAnsiTheme="majorBidi" w:cstheme="majorBidi"/>
                <w:i/>
                <w:vertAlign w:val="subscript"/>
                <w:lang w:val="en-US"/>
              </w:rPr>
              <w:t>Ft</w:t>
            </w:r>
          </w:p>
        </w:tc>
        <w:tc>
          <w:tcPr>
            <w:tcW w:w="295" w:type="pct"/>
            <w:tcBorders>
              <w:top w:val="single" w:sz="4" w:space="0" w:color="auto"/>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353" w:type="pct"/>
            <w:tcBorders>
              <w:top w:val="single" w:sz="4" w:space="0" w:color="auto"/>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single" w:sz="4" w:space="0" w:color="auto"/>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353" w:type="pct"/>
            <w:tcBorders>
              <w:top w:val="single" w:sz="4" w:space="0" w:color="auto"/>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single" w:sz="4" w:space="0" w:color="auto"/>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353" w:type="pct"/>
            <w:tcBorders>
              <w:top w:val="single" w:sz="4" w:space="0" w:color="auto"/>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single" w:sz="4" w:space="0" w:color="auto"/>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353" w:type="pct"/>
            <w:tcBorders>
              <w:top w:val="single" w:sz="4" w:space="0" w:color="auto"/>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single" w:sz="4" w:space="0" w:color="auto"/>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353" w:type="pct"/>
            <w:tcBorders>
              <w:top w:val="single" w:sz="4" w:space="0" w:color="auto"/>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single" w:sz="4" w:space="0" w:color="auto"/>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353" w:type="pct"/>
            <w:tcBorders>
              <w:top w:val="single" w:sz="4" w:space="0" w:color="auto"/>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r>
      <w:tr w:rsidR="00295173" w:rsidRPr="001E27D5" w:rsidTr="00295173">
        <w:trPr>
          <w:trHeight w:val="300"/>
          <w:jc w:val="center"/>
        </w:trPr>
        <w:tc>
          <w:tcPr>
            <w:tcW w:w="1116" w:type="pct"/>
            <w:tcBorders>
              <w:top w:val="nil"/>
              <w:left w:val="nil"/>
              <w:bottom w:val="nil"/>
              <w:right w:val="nil"/>
            </w:tcBorders>
            <w:shd w:val="clear" w:color="auto" w:fill="auto"/>
            <w:noWrap/>
            <w:vAlign w:val="center"/>
            <w:hideMark/>
          </w:tcPr>
          <w:p w:rsidR="001E27D5" w:rsidRPr="00295173" w:rsidRDefault="001E27D5" w:rsidP="00C774B9">
            <w:pPr>
              <w:spacing w:line="240" w:lineRule="auto"/>
              <w:ind w:firstLine="0"/>
              <w:rPr>
                <w:rFonts w:ascii="Times New Roman" w:eastAsia="Times New Roman" w:hAnsi="Times New Roman"/>
                <w:i/>
                <w:color w:val="000000"/>
                <w:vertAlign w:val="subscript"/>
                <w:lang w:val="en-GB" w:eastAsia="zh-CN"/>
              </w:rPr>
            </w:pPr>
            <w:r w:rsidRPr="001E27D5">
              <w:rPr>
                <w:rFonts w:ascii="Times New Roman" w:eastAsia="Times New Roman" w:hAnsi="Times New Roman"/>
                <w:color w:val="000000"/>
                <w:lang w:val="en-US" w:eastAsia="zh-CN"/>
              </w:rPr>
              <w:t>GAP</w:t>
            </w:r>
            <w:r w:rsidR="00295173">
              <w:rPr>
                <w:rFonts w:ascii="Times New Roman" w:eastAsia="Times New Roman" w:hAnsi="Times New Roman"/>
                <w:i/>
                <w:color w:val="000000"/>
                <w:vertAlign w:val="subscript"/>
                <w:lang w:val="en-US" w:eastAsia="zh-CN"/>
              </w:rPr>
              <w:t>it-1</w:t>
            </w: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r>
      <w:tr w:rsidR="00295173" w:rsidRPr="001E27D5" w:rsidTr="00295173">
        <w:trPr>
          <w:trHeight w:val="300"/>
          <w:jc w:val="center"/>
        </w:trPr>
        <w:tc>
          <w:tcPr>
            <w:tcW w:w="1116" w:type="pct"/>
            <w:tcBorders>
              <w:top w:val="nil"/>
              <w:left w:val="nil"/>
              <w:bottom w:val="nil"/>
              <w:right w:val="nil"/>
            </w:tcBorders>
            <w:shd w:val="clear" w:color="auto" w:fill="auto"/>
            <w:noWrap/>
            <w:vAlign w:val="center"/>
            <w:hideMark/>
          </w:tcPr>
          <w:p w:rsidR="001E27D5" w:rsidRPr="00295173" w:rsidRDefault="001E27D5" w:rsidP="00C774B9">
            <w:pPr>
              <w:spacing w:line="240" w:lineRule="auto"/>
              <w:ind w:firstLine="0"/>
              <w:rPr>
                <w:rFonts w:ascii="Times New Roman" w:eastAsia="Times New Roman" w:hAnsi="Times New Roman"/>
                <w:i/>
                <w:color w:val="000000"/>
                <w:vertAlign w:val="subscript"/>
                <w:lang w:val="en-GB" w:eastAsia="zh-CN"/>
              </w:rPr>
            </w:pPr>
            <w:r w:rsidRPr="001E27D5">
              <w:rPr>
                <w:rFonts w:ascii="Times New Roman" w:eastAsia="Times New Roman" w:hAnsi="Times New Roman"/>
                <w:i/>
                <w:color w:val="000000"/>
                <w:lang w:val="en-US" w:eastAsia="zh-CN"/>
              </w:rPr>
              <w:t>Tax</w:t>
            </w:r>
            <w:r w:rsidR="00295173">
              <w:rPr>
                <w:rFonts w:ascii="Times New Roman" w:eastAsia="Times New Roman" w:hAnsi="Times New Roman"/>
                <w:i/>
                <w:color w:val="000000"/>
                <w:vertAlign w:val="subscript"/>
                <w:lang w:val="en-US" w:eastAsia="zh-CN"/>
              </w:rPr>
              <w:t>it-1</w:t>
            </w: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χ</w:t>
            </w: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χ</w:t>
            </w: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r>
      <w:tr w:rsidR="00295173" w:rsidRPr="001E27D5" w:rsidTr="00295173">
        <w:trPr>
          <w:trHeight w:val="300"/>
          <w:jc w:val="center"/>
        </w:trPr>
        <w:tc>
          <w:tcPr>
            <w:tcW w:w="1116" w:type="pct"/>
            <w:tcBorders>
              <w:top w:val="nil"/>
              <w:left w:val="nil"/>
              <w:bottom w:val="nil"/>
              <w:right w:val="nil"/>
            </w:tcBorders>
            <w:shd w:val="clear" w:color="auto" w:fill="auto"/>
            <w:noWrap/>
            <w:vAlign w:val="center"/>
            <w:hideMark/>
          </w:tcPr>
          <w:p w:rsidR="001E27D5" w:rsidRPr="00295173" w:rsidRDefault="001E27D5" w:rsidP="00C774B9">
            <w:pPr>
              <w:spacing w:line="240" w:lineRule="auto"/>
              <w:ind w:firstLine="0"/>
              <w:rPr>
                <w:rFonts w:ascii="Times New Roman" w:eastAsia="Times New Roman" w:hAnsi="Times New Roman"/>
                <w:i/>
                <w:color w:val="000000"/>
                <w:vertAlign w:val="subscript"/>
                <w:lang w:val="en-GB" w:eastAsia="zh-CN"/>
              </w:rPr>
            </w:pPr>
            <w:r w:rsidRPr="001E27D5">
              <w:rPr>
                <w:rFonts w:ascii="Times New Roman" w:eastAsia="Times New Roman" w:hAnsi="Times New Roman"/>
                <w:color w:val="000000"/>
                <w:lang w:val="en-GB" w:eastAsia="zh-CN"/>
              </w:rPr>
              <w:t>ETR</w:t>
            </w:r>
            <w:r w:rsidR="00295173">
              <w:rPr>
                <w:rFonts w:ascii="Times New Roman" w:eastAsia="Times New Roman" w:hAnsi="Times New Roman"/>
                <w:i/>
                <w:color w:val="000000"/>
                <w:vertAlign w:val="subscript"/>
                <w:lang w:val="en-GB" w:eastAsia="zh-CN"/>
              </w:rPr>
              <w:t>it-1</w:t>
            </w: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r>
      <w:tr w:rsidR="00295173" w:rsidRPr="001E27D5" w:rsidTr="00295173">
        <w:trPr>
          <w:trHeight w:val="300"/>
          <w:jc w:val="center"/>
        </w:trPr>
        <w:tc>
          <w:tcPr>
            <w:tcW w:w="1116" w:type="pct"/>
            <w:tcBorders>
              <w:top w:val="nil"/>
              <w:left w:val="nil"/>
              <w:bottom w:val="nil"/>
              <w:right w:val="nil"/>
            </w:tcBorders>
            <w:shd w:val="clear" w:color="auto" w:fill="auto"/>
            <w:noWrap/>
            <w:vAlign w:val="center"/>
            <w:hideMark/>
          </w:tcPr>
          <w:p w:rsidR="001E27D5" w:rsidRPr="00295173" w:rsidRDefault="00C36E06" w:rsidP="00C774B9">
            <w:pPr>
              <w:spacing w:line="240" w:lineRule="auto"/>
              <w:ind w:firstLine="0"/>
              <w:rPr>
                <w:rFonts w:ascii="Times New Roman" w:eastAsia="Times New Roman" w:hAnsi="Times New Roman"/>
                <w:i/>
                <w:color w:val="000000"/>
                <w:vertAlign w:val="subscript"/>
                <w:lang w:val="en-GB" w:eastAsia="zh-CN"/>
              </w:rPr>
            </w:pPr>
            <w:r w:rsidRPr="001E27D5">
              <w:rPr>
                <w:rFonts w:ascii="Times New Roman" w:eastAsia="Times New Roman" w:hAnsi="Times New Roman"/>
                <w:color w:val="000000"/>
                <w:lang w:val="en-GB" w:eastAsia="zh-CN"/>
              </w:rPr>
              <w:t>ΔTax</w:t>
            </w:r>
            <w:r w:rsidR="00295173">
              <w:rPr>
                <w:rFonts w:ascii="Times New Roman" w:eastAsia="Times New Roman" w:hAnsi="Times New Roman"/>
                <w:i/>
                <w:color w:val="000000"/>
                <w:vertAlign w:val="subscript"/>
                <w:lang w:val="en-GB" w:eastAsia="zh-CN"/>
              </w:rPr>
              <w:t>it-1</w:t>
            </w: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r>
      <w:tr w:rsidR="00295173" w:rsidRPr="001E27D5" w:rsidTr="00295173">
        <w:trPr>
          <w:trHeight w:val="300"/>
          <w:jc w:val="center"/>
        </w:trPr>
        <w:tc>
          <w:tcPr>
            <w:tcW w:w="1116" w:type="pct"/>
            <w:tcBorders>
              <w:top w:val="nil"/>
              <w:left w:val="nil"/>
              <w:bottom w:val="nil"/>
              <w:right w:val="nil"/>
            </w:tcBorders>
            <w:shd w:val="clear" w:color="auto" w:fill="auto"/>
            <w:noWrap/>
            <w:vAlign w:val="center"/>
            <w:hideMark/>
          </w:tcPr>
          <w:p w:rsidR="001E27D5" w:rsidRPr="001E27D5" w:rsidRDefault="001E27D5" w:rsidP="00C774B9">
            <w:pPr>
              <w:spacing w:line="240" w:lineRule="auto"/>
              <w:ind w:firstLine="0"/>
              <w:rPr>
                <w:rFonts w:ascii="Times New Roman" w:eastAsia="Times New Roman" w:hAnsi="Times New Roman"/>
                <w:color w:val="000000"/>
                <w:lang w:val="en-GB" w:eastAsia="zh-CN"/>
              </w:rPr>
            </w:pPr>
            <w:r w:rsidRPr="001E27D5">
              <w:rPr>
                <w:rFonts w:ascii="Times New Roman" w:eastAsia="Times New Roman" w:hAnsi="Times New Roman"/>
                <w:color w:val="000000"/>
                <w:lang w:val="en-US" w:eastAsia="zh-CN"/>
              </w:rPr>
              <w:t>[</w:t>
            </w:r>
            <w:r w:rsidR="00295173" w:rsidRPr="001E27D5">
              <w:rPr>
                <w:rFonts w:ascii="Times New Roman" w:eastAsia="Times New Roman" w:hAnsi="Times New Roman"/>
                <w:color w:val="000000"/>
                <w:lang w:val="en-US" w:eastAsia="zh-CN"/>
              </w:rPr>
              <w:t>GAP</w:t>
            </w:r>
            <w:r w:rsidR="00295173">
              <w:rPr>
                <w:rFonts w:ascii="Times New Roman" w:eastAsia="Times New Roman" w:hAnsi="Times New Roman"/>
                <w:i/>
                <w:color w:val="000000"/>
                <w:vertAlign w:val="subscript"/>
                <w:lang w:val="en-US" w:eastAsia="zh-CN"/>
              </w:rPr>
              <w:t>it-1</w:t>
            </w:r>
            <w:r w:rsidRPr="001E27D5">
              <w:rPr>
                <w:rFonts w:ascii="Times New Roman" w:eastAsia="Times New Roman" w:hAnsi="Times New Roman"/>
                <w:color w:val="000000"/>
                <w:lang w:val="en-US" w:eastAsia="zh-CN"/>
              </w:rPr>
              <w:t>×</w:t>
            </w:r>
            <w:r w:rsidR="00295173" w:rsidRPr="001E27D5">
              <w:rPr>
                <w:rFonts w:ascii="Times New Roman" w:eastAsia="Times New Roman" w:hAnsi="Times New Roman"/>
                <w:i/>
                <w:color w:val="000000"/>
                <w:lang w:val="en-US" w:eastAsia="zh-CN"/>
              </w:rPr>
              <w:t xml:space="preserve"> Tax</w:t>
            </w:r>
            <w:r w:rsidR="00295173">
              <w:rPr>
                <w:rFonts w:ascii="Times New Roman" w:eastAsia="Times New Roman" w:hAnsi="Times New Roman"/>
                <w:i/>
                <w:color w:val="000000"/>
                <w:vertAlign w:val="subscript"/>
                <w:lang w:val="en-US" w:eastAsia="zh-CN"/>
              </w:rPr>
              <w:t>it-1</w:t>
            </w:r>
            <w:r w:rsidRPr="001E27D5">
              <w:rPr>
                <w:rFonts w:ascii="Times New Roman" w:eastAsia="Times New Roman" w:hAnsi="Times New Roman"/>
                <w:color w:val="000000"/>
                <w:lang w:val="en-US" w:eastAsia="zh-CN"/>
              </w:rPr>
              <w:t>]</w:t>
            </w: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χ</w:t>
            </w: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r>
      <w:tr w:rsidR="00295173" w:rsidRPr="001E27D5" w:rsidTr="00295173">
        <w:trPr>
          <w:trHeight w:val="300"/>
          <w:jc w:val="center"/>
        </w:trPr>
        <w:tc>
          <w:tcPr>
            <w:tcW w:w="1116" w:type="pct"/>
            <w:tcBorders>
              <w:top w:val="nil"/>
              <w:left w:val="nil"/>
              <w:bottom w:val="nil"/>
              <w:right w:val="nil"/>
            </w:tcBorders>
            <w:shd w:val="clear" w:color="auto" w:fill="auto"/>
            <w:noWrap/>
            <w:vAlign w:val="center"/>
            <w:hideMark/>
          </w:tcPr>
          <w:p w:rsidR="001E27D5" w:rsidRPr="001E27D5" w:rsidRDefault="00295173" w:rsidP="00C774B9">
            <w:pPr>
              <w:spacing w:line="240" w:lineRule="auto"/>
              <w:ind w:firstLine="0"/>
              <w:rPr>
                <w:rFonts w:ascii="Times New Roman" w:eastAsia="Times New Roman" w:hAnsi="Times New Roman"/>
                <w:color w:val="000000"/>
                <w:lang w:val="en-GB" w:eastAsia="zh-CN"/>
              </w:rPr>
            </w:pPr>
            <w:r w:rsidRPr="001E27D5">
              <w:rPr>
                <w:rFonts w:ascii="Times New Roman" w:eastAsia="Times New Roman" w:hAnsi="Times New Roman"/>
                <w:color w:val="000000"/>
                <w:lang w:val="en-US" w:eastAsia="zh-CN"/>
              </w:rPr>
              <w:t>[GAP</w:t>
            </w:r>
            <w:r>
              <w:rPr>
                <w:rFonts w:ascii="Times New Roman" w:eastAsia="Times New Roman" w:hAnsi="Times New Roman"/>
                <w:i/>
                <w:color w:val="000000"/>
                <w:vertAlign w:val="subscript"/>
                <w:lang w:val="en-US" w:eastAsia="zh-CN"/>
              </w:rPr>
              <w:t>it-1</w:t>
            </w:r>
            <w:r w:rsidRPr="001E27D5">
              <w:rPr>
                <w:rFonts w:ascii="Times New Roman" w:eastAsia="Times New Roman" w:hAnsi="Times New Roman"/>
                <w:color w:val="000000"/>
                <w:lang w:val="en-US" w:eastAsia="zh-CN"/>
              </w:rPr>
              <w:t>×</w:t>
            </w:r>
            <w:r w:rsidRPr="001E27D5">
              <w:rPr>
                <w:rFonts w:ascii="Times New Roman" w:eastAsia="Times New Roman" w:hAnsi="Times New Roman"/>
                <w:i/>
                <w:color w:val="000000"/>
                <w:lang w:val="en-US" w:eastAsia="zh-CN"/>
              </w:rPr>
              <w:t xml:space="preserve"> </w:t>
            </w:r>
            <w:r>
              <w:rPr>
                <w:rFonts w:ascii="Times New Roman" w:eastAsia="Times New Roman" w:hAnsi="Times New Roman"/>
                <w:i/>
                <w:color w:val="000000"/>
                <w:lang w:val="en-US" w:eastAsia="zh-CN"/>
              </w:rPr>
              <w:t>ETR</w:t>
            </w:r>
            <w:r>
              <w:rPr>
                <w:rFonts w:ascii="Times New Roman" w:eastAsia="Times New Roman" w:hAnsi="Times New Roman"/>
                <w:i/>
                <w:color w:val="000000"/>
                <w:vertAlign w:val="subscript"/>
                <w:lang w:val="en-US" w:eastAsia="zh-CN"/>
              </w:rPr>
              <w:t>it-1</w:t>
            </w:r>
            <w:r w:rsidRPr="001E27D5">
              <w:rPr>
                <w:rFonts w:ascii="Times New Roman" w:eastAsia="Times New Roman" w:hAnsi="Times New Roman"/>
                <w:color w:val="000000"/>
                <w:lang w:val="en-US" w:eastAsia="zh-CN"/>
              </w:rPr>
              <w:t>]</w:t>
            </w: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χ</w:t>
            </w: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r>
      <w:tr w:rsidR="00295173" w:rsidRPr="001E27D5" w:rsidTr="00295173">
        <w:trPr>
          <w:trHeight w:val="300"/>
          <w:jc w:val="center"/>
        </w:trPr>
        <w:tc>
          <w:tcPr>
            <w:tcW w:w="1116" w:type="pct"/>
            <w:tcBorders>
              <w:top w:val="nil"/>
              <w:left w:val="nil"/>
              <w:bottom w:val="nil"/>
              <w:right w:val="nil"/>
            </w:tcBorders>
            <w:shd w:val="clear" w:color="auto" w:fill="auto"/>
            <w:noWrap/>
            <w:vAlign w:val="center"/>
            <w:hideMark/>
          </w:tcPr>
          <w:p w:rsidR="001E27D5" w:rsidRPr="00295173" w:rsidRDefault="00295173" w:rsidP="00C774B9">
            <w:pPr>
              <w:spacing w:line="240" w:lineRule="auto"/>
              <w:ind w:firstLine="0"/>
              <w:rPr>
                <w:rFonts w:ascii="Times New Roman" w:eastAsia="Times New Roman" w:hAnsi="Times New Roman"/>
                <w:i/>
                <w:color w:val="000000"/>
                <w:vertAlign w:val="subscript"/>
                <w:lang w:val="en-GB" w:eastAsia="zh-CN"/>
              </w:rPr>
            </w:pPr>
            <w:r w:rsidRPr="00295173">
              <w:rPr>
                <w:rFonts w:ascii="Times New Roman" w:eastAsia="Times New Roman" w:hAnsi="Times New Roman"/>
                <w:i/>
                <w:color w:val="000000"/>
                <w:lang w:val="en-US" w:eastAsia="zh-CN"/>
              </w:rPr>
              <w:t>R</w:t>
            </w:r>
            <w:r w:rsidRPr="00295173">
              <w:rPr>
                <w:rFonts w:ascii="Times New Roman" w:eastAsia="Times New Roman" w:hAnsi="Times New Roman"/>
                <w:i/>
                <w:color w:val="000000"/>
                <w:vertAlign w:val="subscript"/>
                <w:lang w:val="en-US" w:eastAsia="zh-CN"/>
              </w:rPr>
              <w:t>i</w:t>
            </w: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χ</w:t>
            </w: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χ</w:t>
            </w: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r>
      <w:tr w:rsidR="00295173" w:rsidRPr="001E27D5" w:rsidTr="00295173">
        <w:trPr>
          <w:trHeight w:val="300"/>
          <w:jc w:val="center"/>
        </w:trPr>
        <w:tc>
          <w:tcPr>
            <w:tcW w:w="1116" w:type="pct"/>
            <w:tcBorders>
              <w:top w:val="nil"/>
              <w:left w:val="nil"/>
              <w:bottom w:val="nil"/>
              <w:right w:val="nil"/>
            </w:tcBorders>
            <w:shd w:val="clear" w:color="auto" w:fill="auto"/>
            <w:noWrap/>
            <w:vAlign w:val="center"/>
            <w:hideMark/>
          </w:tcPr>
          <w:p w:rsidR="001E27D5" w:rsidRPr="00295173" w:rsidRDefault="001E27D5" w:rsidP="00C774B9">
            <w:pPr>
              <w:spacing w:line="240" w:lineRule="auto"/>
              <w:ind w:firstLine="0"/>
              <w:rPr>
                <w:rFonts w:ascii="Times New Roman" w:eastAsia="Times New Roman" w:hAnsi="Times New Roman"/>
                <w:i/>
                <w:color w:val="000000"/>
                <w:lang w:val="en-GB" w:eastAsia="zh-CN"/>
              </w:rPr>
            </w:pPr>
            <w:r w:rsidRPr="00295173">
              <w:rPr>
                <w:rFonts w:ascii="Times New Roman" w:eastAsia="Times New Roman" w:hAnsi="Times New Roman"/>
                <w:i/>
                <w:color w:val="000000"/>
                <w:lang w:val="en-US" w:eastAsia="zh-CN"/>
              </w:rPr>
              <w:t>E</w:t>
            </w:r>
            <w:r w:rsidR="00295173" w:rsidRPr="00295173">
              <w:rPr>
                <w:rFonts w:ascii="Times New Roman" w:eastAsia="Times New Roman" w:hAnsi="Times New Roman"/>
                <w:i/>
                <w:color w:val="000000"/>
                <w:lang w:val="en-US" w:eastAsia="zh-CN"/>
              </w:rPr>
              <w:t>i</w:t>
            </w: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χ</w:t>
            </w: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χ</w:t>
            </w: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χ</w:t>
            </w: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χ</w:t>
            </w: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χ</w:t>
            </w: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r>
      <w:tr w:rsidR="00295173" w:rsidRPr="001E27D5" w:rsidTr="00295173">
        <w:trPr>
          <w:trHeight w:val="300"/>
          <w:jc w:val="center"/>
        </w:trPr>
        <w:tc>
          <w:tcPr>
            <w:tcW w:w="1116" w:type="pct"/>
            <w:tcBorders>
              <w:top w:val="nil"/>
              <w:left w:val="nil"/>
              <w:bottom w:val="nil"/>
              <w:right w:val="nil"/>
            </w:tcBorders>
            <w:shd w:val="clear" w:color="auto" w:fill="auto"/>
            <w:noWrap/>
            <w:vAlign w:val="center"/>
            <w:hideMark/>
          </w:tcPr>
          <w:p w:rsidR="001E27D5" w:rsidRPr="001E27D5" w:rsidRDefault="00295173" w:rsidP="00C774B9">
            <w:pPr>
              <w:spacing w:line="240" w:lineRule="auto"/>
              <w:ind w:firstLine="0"/>
              <w:rPr>
                <w:rFonts w:ascii="Times New Roman" w:eastAsia="Times New Roman" w:hAnsi="Times New Roman"/>
                <w:color w:val="000000"/>
                <w:lang w:val="en-GB" w:eastAsia="zh-CN"/>
              </w:rPr>
            </w:pPr>
            <w:r w:rsidRPr="007A1A56">
              <w:rPr>
                <w:rFonts w:asciiTheme="majorBidi" w:hAnsiTheme="majorBidi" w:cstheme="majorBidi"/>
                <w:sz w:val="24"/>
                <w:szCs w:val="24"/>
                <w:lang w:val="en-US"/>
              </w:rPr>
              <w:t>[</w:t>
            </w:r>
            <w:r w:rsidRPr="006A52B9">
              <w:rPr>
                <w:rFonts w:asciiTheme="majorBidi" w:hAnsiTheme="majorBidi" w:cstheme="majorBidi"/>
                <w:i/>
                <w:sz w:val="24"/>
                <w:szCs w:val="24"/>
                <w:lang w:val="en-US"/>
              </w:rPr>
              <w:t>R</w:t>
            </w:r>
            <w:r>
              <w:rPr>
                <w:rFonts w:asciiTheme="majorBidi" w:hAnsiTheme="majorBidi" w:cstheme="majorBidi"/>
                <w:i/>
                <w:sz w:val="24"/>
                <w:szCs w:val="24"/>
                <w:vertAlign w:val="subscript"/>
                <w:lang w:val="en-US"/>
              </w:rPr>
              <w:t>i</w:t>
            </w:r>
            <w:r w:rsidRPr="007A1A56">
              <w:rPr>
                <w:rFonts w:asciiTheme="majorBidi" w:hAnsiTheme="majorBidi" w:cstheme="majorBidi"/>
                <w:sz w:val="24"/>
                <w:szCs w:val="24"/>
                <w:lang w:val="en-US"/>
              </w:rPr>
              <w:t xml:space="preserve"> ×</w:t>
            </w:r>
            <w:r w:rsidRPr="00D5186E">
              <w:rPr>
                <w:rFonts w:asciiTheme="majorBidi" w:hAnsiTheme="majorBidi" w:cstheme="majorBidi"/>
                <w:i/>
                <w:sz w:val="24"/>
                <w:szCs w:val="24"/>
                <w:lang w:val="en-US"/>
              </w:rPr>
              <w:t>Tax</w:t>
            </w:r>
            <w:r w:rsidRPr="000133C7">
              <w:rPr>
                <w:rFonts w:asciiTheme="majorBidi" w:hAnsiTheme="majorBidi" w:cstheme="majorBidi"/>
                <w:i/>
                <w:sz w:val="24"/>
                <w:szCs w:val="24"/>
                <w:vertAlign w:val="subscript"/>
                <w:lang w:val="en-US"/>
              </w:rPr>
              <w:t>it-1</w:t>
            </w:r>
            <w:r w:rsidRPr="007A1A56">
              <w:rPr>
                <w:rFonts w:asciiTheme="majorBidi" w:hAnsiTheme="majorBidi" w:cstheme="majorBidi"/>
                <w:sz w:val="24"/>
                <w:szCs w:val="24"/>
                <w:lang w:val="en-US"/>
              </w:rPr>
              <w:t>]</w:t>
            </w: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χ</w:t>
            </w: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r>
      <w:tr w:rsidR="00295173" w:rsidRPr="001E27D5" w:rsidTr="00295173">
        <w:trPr>
          <w:trHeight w:val="300"/>
          <w:jc w:val="center"/>
        </w:trPr>
        <w:tc>
          <w:tcPr>
            <w:tcW w:w="1116" w:type="pct"/>
            <w:tcBorders>
              <w:top w:val="nil"/>
              <w:left w:val="nil"/>
              <w:bottom w:val="nil"/>
              <w:right w:val="nil"/>
            </w:tcBorders>
            <w:shd w:val="clear" w:color="auto" w:fill="auto"/>
            <w:noWrap/>
            <w:vAlign w:val="center"/>
            <w:hideMark/>
          </w:tcPr>
          <w:p w:rsidR="001E27D5" w:rsidRPr="001E27D5" w:rsidRDefault="00295173" w:rsidP="00C774B9">
            <w:pPr>
              <w:spacing w:line="240" w:lineRule="auto"/>
              <w:ind w:firstLine="0"/>
              <w:rPr>
                <w:rFonts w:ascii="Times New Roman" w:eastAsia="Times New Roman" w:hAnsi="Times New Roman"/>
                <w:color w:val="000000"/>
                <w:lang w:val="en-GB" w:eastAsia="zh-CN"/>
              </w:rPr>
            </w:pPr>
            <w:r w:rsidRPr="007A1A56">
              <w:rPr>
                <w:rFonts w:asciiTheme="majorBidi" w:hAnsiTheme="majorBidi" w:cstheme="majorBidi"/>
                <w:sz w:val="24"/>
                <w:szCs w:val="24"/>
                <w:lang w:val="en-US"/>
              </w:rPr>
              <w:t>[</w:t>
            </w:r>
            <w:r>
              <w:rPr>
                <w:rFonts w:asciiTheme="majorBidi" w:hAnsiTheme="majorBidi" w:cstheme="majorBidi"/>
                <w:i/>
                <w:sz w:val="24"/>
                <w:szCs w:val="24"/>
                <w:lang w:val="en-US"/>
              </w:rPr>
              <w:t>E</w:t>
            </w:r>
            <w:r>
              <w:rPr>
                <w:rFonts w:asciiTheme="majorBidi" w:hAnsiTheme="majorBidi" w:cstheme="majorBidi"/>
                <w:i/>
                <w:sz w:val="24"/>
                <w:szCs w:val="24"/>
                <w:vertAlign w:val="subscript"/>
                <w:lang w:val="en-US"/>
              </w:rPr>
              <w:t>i</w:t>
            </w:r>
            <w:r w:rsidRPr="007A1A56">
              <w:rPr>
                <w:rFonts w:asciiTheme="majorBidi" w:hAnsiTheme="majorBidi" w:cstheme="majorBidi"/>
                <w:sz w:val="24"/>
                <w:szCs w:val="24"/>
                <w:lang w:val="en-US"/>
              </w:rPr>
              <w:t xml:space="preserve"> ×</w:t>
            </w:r>
            <w:r w:rsidRPr="00D5186E">
              <w:rPr>
                <w:rFonts w:asciiTheme="majorBidi" w:hAnsiTheme="majorBidi" w:cstheme="majorBidi"/>
                <w:i/>
                <w:sz w:val="24"/>
                <w:szCs w:val="24"/>
                <w:lang w:val="en-US"/>
              </w:rPr>
              <w:t>Tax</w:t>
            </w:r>
            <w:r w:rsidRPr="000133C7">
              <w:rPr>
                <w:rFonts w:asciiTheme="majorBidi" w:hAnsiTheme="majorBidi" w:cstheme="majorBidi"/>
                <w:i/>
                <w:sz w:val="24"/>
                <w:szCs w:val="24"/>
                <w:vertAlign w:val="subscript"/>
                <w:lang w:val="en-US"/>
              </w:rPr>
              <w:t>it-1</w:t>
            </w:r>
            <w:r w:rsidRPr="007A1A56">
              <w:rPr>
                <w:rFonts w:asciiTheme="majorBidi" w:hAnsiTheme="majorBidi" w:cstheme="majorBidi"/>
                <w:sz w:val="24"/>
                <w:szCs w:val="24"/>
                <w:lang w:val="en-US"/>
              </w:rPr>
              <w:t>]</w:t>
            </w: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χ</w:t>
            </w: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r>
      <w:tr w:rsidR="001E27D5" w:rsidRPr="001E27D5" w:rsidTr="00295173">
        <w:trPr>
          <w:trHeight w:val="300"/>
          <w:jc w:val="center"/>
        </w:trPr>
        <w:tc>
          <w:tcPr>
            <w:tcW w:w="1410" w:type="pct"/>
            <w:gridSpan w:val="2"/>
            <w:tcBorders>
              <w:top w:val="nil"/>
              <w:left w:val="nil"/>
              <w:bottom w:val="nil"/>
              <w:right w:val="nil"/>
            </w:tcBorders>
            <w:shd w:val="clear" w:color="auto" w:fill="auto"/>
            <w:noWrap/>
            <w:vAlign w:val="center"/>
            <w:hideMark/>
          </w:tcPr>
          <w:p w:rsidR="001E27D5" w:rsidRPr="001E27D5" w:rsidRDefault="00295173" w:rsidP="00C774B9">
            <w:pPr>
              <w:spacing w:line="240" w:lineRule="auto"/>
              <w:ind w:firstLine="0"/>
              <w:rPr>
                <w:rFonts w:ascii="Times New Roman" w:eastAsia="Times New Roman" w:hAnsi="Times New Roman"/>
                <w:color w:val="000000"/>
                <w:lang w:val="en-GB" w:eastAsia="zh-CN"/>
              </w:rPr>
            </w:pPr>
            <w:r w:rsidRPr="007A4735">
              <w:rPr>
                <w:rFonts w:asciiTheme="majorBidi" w:hAnsiTheme="majorBidi" w:cstheme="majorBidi"/>
                <w:sz w:val="24"/>
                <w:szCs w:val="24"/>
                <w:lang w:val="en-US"/>
              </w:rPr>
              <w:t>[</w:t>
            </w:r>
            <w:r w:rsidRPr="000133C7">
              <w:rPr>
                <w:rFonts w:asciiTheme="majorBidi" w:hAnsiTheme="majorBidi" w:cstheme="majorBidi"/>
                <w:i/>
                <w:sz w:val="24"/>
                <w:szCs w:val="24"/>
                <w:lang w:val="en-US"/>
              </w:rPr>
              <w:t>GAP</w:t>
            </w:r>
            <w:r>
              <w:rPr>
                <w:rFonts w:asciiTheme="majorBidi" w:hAnsiTheme="majorBidi" w:cstheme="majorBidi"/>
                <w:i/>
                <w:sz w:val="24"/>
                <w:szCs w:val="24"/>
                <w:vertAlign w:val="subscript"/>
                <w:lang w:val="en-US"/>
              </w:rPr>
              <w:t>it-1</w:t>
            </w:r>
            <w:r w:rsidRPr="007A4735">
              <w:rPr>
                <w:rFonts w:asciiTheme="majorBidi" w:hAnsiTheme="majorBidi" w:cstheme="majorBidi"/>
                <w:sz w:val="24"/>
                <w:szCs w:val="24"/>
                <w:lang w:val="en-US"/>
              </w:rPr>
              <w:t>×</w:t>
            </w:r>
            <w:r w:rsidRPr="00D5186E">
              <w:rPr>
                <w:rFonts w:asciiTheme="majorBidi" w:hAnsiTheme="majorBidi" w:cstheme="majorBidi"/>
                <w:i/>
                <w:sz w:val="24"/>
                <w:szCs w:val="24"/>
                <w:lang w:val="en-US"/>
              </w:rPr>
              <w:t>Tax</w:t>
            </w:r>
            <w:r w:rsidRPr="000133C7">
              <w:rPr>
                <w:rFonts w:asciiTheme="majorBidi" w:hAnsiTheme="majorBidi" w:cstheme="majorBidi"/>
                <w:i/>
                <w:sz w:val="24"/>
                <w:szCs w:val="24"/>
                <w:vertAlign w:val="subscript"/>
                <w:lang w:val="en-US"/>
              </w:rPr>
              <w:t>it-1</w:t>
            </w:r>
            <w:r w:rsidRPr="007A4735">
              <w:rPr>
                <w:rFonts w:asciiTheme="majorBidi" w:hAnsiTheme="majorBidi" w:cstheme="majorBidi"/>
                <w:sz w:val="24"/>
                <w:szCs w:val="24"/>
                <w:lang w:val="en-US"/>
              </w:rPr>
              <w:t>×</w:t>
            </w:r>
            <w:r w:rsidRPr="006A52B9">
              <w:rPr>
                <w:rFonts w:asciiTheme="majorBidi" w:hAnsiTheme="majorBidi" w:cstheme="majorBidi"/>
                <w:i/>
                <w:sz w:val="24"/>
                <w:szCs w:val="24"/>
                <w:lang w:val="en-US"/>
              </w:rPr>
              <w:t>R</w:t>
            </w:r>
            <w:r>
              <w:rPr>
                <w:rFonts w:asciiTheme="majorBidi" w:hAnsiTheme="majorBidi" w:cstheme="majorBidi"/>
                <w:i/>
                <w:sz w:val="24"/>
                <w:szCs w:val="24"/>
                <w:vertAlign w:val="subscript"/>
                <w:lang w:val="en-US"/>
              </w:rPr>
              <w:t>i</w:t>
            </w:r>
            <w:r w:rsidRPr="007A4735">
              <w:rPr>
                <w:rFonts w:asciiTheme="majorBidi" w:hAnsiTheme="majorBidi" w:cstheme="majorBidi"/>
                <w:sz w:val="24"/>
                <w:szCs w:val="24"/>
                <w:lang w:val="en-US"/>
              </w:rPr>
              <w:t>]</w:t>
            </w: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χ</w:t>
            </w: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r>
      <w:tr w:rsidR="00295173" w:rsidRPr="001E27D5" w:rsidTr="00295173">
        <w:trPr>
          <w:trHeight w:val="300"/>
          <w:jc w:val="center"/>
        </w:trPr>
        <w:tc>
          <w:tcPr>
            <w:tcW w:w="1116" w:type="pct"/>
            <w:tcBorders>
              <w:top w:val="nil"/>
              <w:left w:val="nil"/>
              <w:bottom w:val="single" w:sz="4" w:space="0" w:color="auto"/>
              <w:right w:val="nil"/>
            </w:tcBorders>
            <w:shd w:val="clear" w:color="auto" w:fill="auto"/>
            <w:noWrap/>
            <w:vAlign w:val="center"/>
            <w:hideMark/>
          </w:tcPr>
          <w:p w:rsidR="001E27D5" w:rsidRPr="001E27D5" w:rsidRDefault="00295173" w:rsidP="00C774B9">
            <w:pPr>
              <w:spacing w:line="240" w:lineRule="auto"/>
              <w:ind w:firstLine="0"/>
              <w:rPr>
                <w:rFonts w:ascii="Times New Roman" w:eastAsia="Times New Roman" w:hAnsi="Times New Roman"/>
                <w:color w:val="000000"/>
                <w:lang w:val="en-GB" w:eastAsia="zh-CN"/>
              </w:rPr>
            </w:pPr>
            <w:r w:rsidRPr="007A4735">
              <w:rPr>
                <w:rFonts w:asciiTheme="majorBidi" w:hAnsiTheme="majorBidi" w:cstheme="majorBidi"/>
                <w:sz w:val="24"/>
                <w:szCs w:val="24"/>
                <w:lang w:val="en-US"/>
              </w:rPr>
              <w:t>[</w:t>
            </w:r>
            <w:r w:rsidRPr="000133C7">
              <w:rPr>
                <w:rFonts w:asciiTheme="majorBidi" w:hAnsiTheme="majorBidi" w:cstheme="majorBidi"/>
                <w:i/>
                <w:sz w:val="24"/>
                <w:szCs w:val="24"/>
                <w:lang w:val="en-US"/>
              </w:rPr>
              <w:t>GAP</w:t>
            </w:r>
            <w:r>
              <w:rPr>
                <w:rFonts w:asciiTheme="majorBidi" w:hAnsiTheme="majorBidi" w:cstheme="majorBidi"/>
                <w:i/>
                <w:sz w:val="24"/>
                <w:szCs w:val="24"/>
                <w:vertAlign w:val="subscript"/>
                <w:lang w:val="en-US"/>
              </w:rPr>
              <w:t>it-1</w:t>
            </w:r>
            <w:r w:rsidRPr="007A4735">
              <w:rPr>
                <w:rFonts w:asciiTheme="majorBidi" w:hAnsiTheme="majorBidi" w:cstheme="majorBidi"/>
                <w:sz w:val="24"/>
                <w:szCs w:val="24"/>
                <w:lang w:val="en-US"/>
              </w:rPr>
              <w:t>×</w:t>
            </w:r>
            <w:r w:rsidRPr="00D5186E">
              <w:rPr>
                <w:rFonts w:asciiTheme="majorBidi" w:hAnsiTheme="majorBidi" w:cstheme="majorBidi"/>
                <w:i/>
                <w:sz w:val="24"/>
                <w:szCs w:val="24"/>
                <w:lang w:val="en-US"/>
              </w:rPr>
              <w:t>Tax</w:t>
            </w:r>
            <w:r w:rsidRPr="000133C7">
              <w:rPr>
                <w:rFonts w:asciiTheme="majorBidi" w:hAnsiTheme="majorBidi" w:cstheme="majorBidi"/>
                <w:i/>
                <w:sz w:val="24"/>
                <w:szCs w:val="24"/>
                <w:vertAlign w:val="subscript"/>
                <w:lang w:val="en-US"/>
              </w:rPr>
              <w:t>it-1</w:t>
            </w:r>
            <w:r w:rsidRPr="007A4735">
              <w:rPr>
                <w:rFonts w:asciiTheme="majorBidi" w:hAnsiTheme="majorBidi" w:cstheme="majorBidi"/>
                <w:sz w:val="24"/>
                <w:szCs w:val="24"/>
                <w:lang w:val="en-US"/>
              </w:rPr>
              <w:t>×</w:t>
            </w:r>
            <w:r w:rsidRPr="006A52B9">
              <w:rPr>
                <w:rFonts w:asciiTheme="majorBidi" w:hAnsiTheme="majorBidi" w:cstheme="majorBidi"/>
                <w:i/>
                <w:sz w:val="24"/>
                <w:szCs w:val="24"/>
                <w:lang w:val="en-US"/>
              </w:rPr>
              <w:t>R</w:t>
            </w:r>
            <w:r>
              <w:rPr>
                <w:rFonts w:asciiTheme="majorBidi" w:hAnsiTheme="majorBidi" w:cstheme="majorBidi"/>
                <w:i/>
                <w:sz w:val="24"/>
                <w:szCs w:val="24"/>
                <w:vertAlign w:val="subscript"/>
                <w:lang w:val="en-US"/>
              </w:rPr>
              <w:t>i</w:t>
            </w:r>
            <w:r w:rsidRPr="007A4735">
              <w:rPr>
                <w:rFonts w:asciiTheme="majorBidi" w:hAnsiTheme="majorBidi" w:cstheme="majorBidi"/>
                <w:sz w:val="24"/>
                <w:szCs w:val="24"/>
                <w:lang w:val="en-US"/>
              </w:rPr>
              <w:t>]</w:t>
            </w:r>
          </w:p>
        </w:tc>
        <w:tc>
          <w:tcPr>
            <w:tcW w:w="295" w:type="pct"/>
            <w:tcBorders>
              <w:top w:val="nil"/>
              <w:left w:val="nil"/>
              <w:bottom w:val="single" w:sz="4" w:space="0" w:color="auto"/>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single" w:sz="4" w:space="0" w:color="auto"/>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single" w:sz="4" w:space="0" w:color="auto"/>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single" w:sz="4" w:space="0" w:color="auto"/>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single" w:sz="4" w:space="0" w:color="auto"/>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single" w:sz="4" w:space="0" w:color="auto"/>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single" w:sz="4" w:space="0" w:color="auto"/>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single" w:sz="4" w:space="0" w:color="auto"/>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single" w:sz="4" w:space="0" w:color="auto"/>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single" w:sz="4" w:space="0" w:color="auto"/>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single" w:sz="4" w:space="0" w:color="auto"/>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353" w:type="pct"/>
            <w:tcBorders>
              <w:top w:val="nil"/>
              <w:left w:val="nil"/>
              <w:bottom w:val="single" w:sz="4" w:space="0" w:color="auto"/>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χ</w:t>
            </w:r>
          </w:p>
        </w:tc>
      </w:tr>
      <w:tr w:rsidR="001E27D5" w:rsidRPr="001E27D5" w:rsidTr="00295173">
        <w:trPr>
          <w:trHeight w:val="300"/>
          <w:jc w:val="center"/>
        </w:trPr>
        <w:tc>
          <w:tcPr>
            <w:tcW w:w="5000" w:type="pct"/>
            <w:gridSpan w:val="13"/>
            <w:tcBorders>
              <w:top w:val="single" w:sz="4" w:space="0" w:color="auto"/>
              <w:left w:val="nil"/>
              <w:bottom w:val="single" w:sz="4" w:space="0" w:color="auto"/>
              <w:right w:val="nil"/>
            </w:tcBorders>
            <w:shd w:val="clear" w:color="auto" w:fill="auto"/>
            <w:noWrap/>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Levisohn-Petrin</w:t>
            </w:r>
          </w:p>
        </w:tc>
      </w:tr>
      <w:tr w:rsidR="00295173" w:rsidRPr="001E27D5" w:rsidTr="00295173">
        <w:trPr>
          <w:trHeight w:val="300"/>
          <w:jc w:val="center"/>
        </w:trPr>
        <w:tc>
          <w:tcPr>
            <w:tcW w:w="1116" w:type="pct"/>
            <w:tcBorders>
              <w:top w:val="single" w:sz="4" w:space="0" w:color="auto"/>
              <w:left w:val="nil"/>
              <w:bottom w:val="nil"/>
              <w:right w:val="nil"/>
            </w:tcBorders>
            <w:shd w:val="clear" w:color="auto" w:fill="auto"/>
            <w:noWrap/>
            <w:vAlign w:val="center"/>
            <w:hideMark/>
          </w:tcPr>
          <w:p w:rsidR="001E27D5" w:rsidRPr="001E27D5" w:rsidRDefault="00295173" w:rsidP="00C774B9">
            <w:pPr>
              <w:spacing w:line="240" w:lineRule="auto"/>
              <w:ind w:firstLine="0"/>
              <w:rPr>
                <w:rFonts w:ascii="Times New Roman" w:eastAsia="Times New Roman" w:hAnsi="Times New Roman"/>
                <w:color w:val="000000"/>
                <w:lang w:val="en-GB" w:eastAsia="zh-CN"/>
              </w:rPr>
            </w:pPr>
            <w:r w:rsidRPr="00295173">
              <w:rPr>
                <w:rFonts w:asciiTheme="majorBidi" w:hAnsiTheme="majorBidi" w:cstheme="majorBidi"/>
                <w:lang w:val="en-US"/>
              </w:rPr>
              <w:t>Δln</w:t>
            </w:r>
            <w:r w:rsidRPr="00295173">
              <w:rPr>
                <w:rFonts w:asciiTheme="majorBidi" w:hAnsiTheme="majorBidi" w:cstheme="majorBidi"/>
                <w:i/>
                <w:lang w:val="en-US"/>
              </w:rPr>
              <w:t>TFP</w:t>
            </w:r>
            <w:r w:rsidRPr="00295173">
              <w:rPr>
                <w:rFonts w:asciiTheme="majorBidi" w:hAnsiTheme="majorBidi" w:cstheme="majorBidi"/>
                <w:i/>
                <w:vertAlign w:val="subscript"/>
                <w:lang w:val="en-US"/>
              </w:rPr>
              <w:t>Ft</w:t>
            </w:r>
          </w:p>
        </w:tc>
        <w:tc>
          <w:tcPr>
            <w:tcW w:w="295" w:type="pct"/>
            <w:tcBorders>
              <w:top w:val="single" w:sz="4" w:space="0" w:color="auto"/>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single" w:sz="4" w:space="0" w:color="auto"/>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single" w:sz="4" w:space="0" w:color="auto"/>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single" w:sz="4" w:space="0" w:color="auto"/>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single" w:sz="4" w:space="0" w:color="auto"/>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single" w:sz="4" w:space="0" w:color="auto"/>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single" w:sz="4" w:space="0" w:color="auto"/>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single" w:sz="4" w:space="0" w:color="auto"/>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single" w:sz="4" w:space="0" w:color="auto"/>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single" w:sz="4" w:space="0" w:color="auto"/>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single" w:sz="4" w:space="0" w:color="auto"/>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single" w:sz="4" w:space="0" w:color="auto"/>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r>
      <w:tr w:rsidR="00295173" w:rsidRPr="001E27D5" w:rsidTr="00295173">
        <w:trPr>
          <w:trHeight w:val="300"/>
          <w:jc w:val="center"/>
        </w:trPr>
        <w:tc>
          <w:tcPr>
            <w:tcW w:w="1116" w:type="pct"/>
            <w:tcBorders>
              <w:top w:val="nil"/>
              <w:left w:val="nil"/>
              <w:bottom w:val="nil"/>
              <w:right w:val="nil"/>
            </w:tcBorders>
            <w:shd w:val="clear" w:color="auto" w:fill="auto"/>
            <w:noWrap/>
            <w:vAlign w:val="center"/>
            <w:hideMark/>
          </w:tcPr>
          <w:p w:rsidR="00295173" w:rsidRPr="00295173" w:rsidRDefault="00295173" w:rsidP="00C774B9">
            <w:pPr>
              <w:spacing w:line="240" w:lineRule="auto"/>
              <w:ind w:firstLine="0"/>
              <w:rPr>
                <w:rFonts w:ascii="Times New Roman" w:eastAsia="Times New Roman" w:hAnsi="Times New Roman"/>
                <w:i/>
                <w:color w:val="000000"/>
                <w:vertAlign w:val="subscript"/>
                <w:lang w:val="en-GB" w:eastAsia="zh-CN"/>
              </w:rPr>
            </w:pPr>
            <w:r w:rsidRPr="001E27D5">
              <w:rPr>
                <w:rFonts w:ascii="Times New Roman" w:eastAsia="Times New Roman" w:hAnsi="Times New Roman"/>
                <w:color w:val="000000"/>
                <w:lang w:val="en-US" w:eastAsia="zh-CN"/>
              </w:rPr>
              <w:t>GAP</w:t>
            </w:r>
            <w:r>
              <w:rPr>
                <w:rFonts w:ascii="Times New Roman" w:eastAsia="Times New Roman" w:hAnsi="Times New Roman"/>
                <w:i/>
                <w:color w:val="000000"/>
                <w:vertAlign w:val="subscript"/>
                <w:lang w:val="en-US" w:eastAsia="zh-CN"/>
              </w:rPr>
              <w:t>it-1</w:t>
            </w:r>
          </w:p>
        </w:tc>
        <w:tc>
          <w:tcPr>
            <w:tcW w:w="295"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r>
      <w:tr w:rsidR="00295173" w:rsidRPr="001E27D5" w:rsidTr="00295173">
        <w:trPr>
          <w:trHeight w:val="300"/>
          <w:jc w:val="center"/>
        </w:trPr>
        <w:tc>
          <w:tcPr>
            <w:tcW w:w="1116" w:type="pct"/>
            <w:tcBorders>
              <w:top w:val="nil"/>
              <w:left w:val="nil"/>
              <w:bottom w:val="nil"/>
              <w:right w:val="nil"/>
            </w:tcBorders>
            <w:shd w:val="clear" w:color="auto" w:fill="auto"/>
            <w:noWrap/>
            <w:vAlign w:val="center"/>
            <w:hideMark/>
          </w:tcPr>
          <w:p w:rsidR="00295173" w:rsidRPr="00295173" w:rsidRDefault="00295173" w:rsidP="00C774B9">
            <w:pPr>
              <w:spacing w:line="240" w:lineRule="auto"/>
              <w:ind w:firstLine="0"/>
              <w:rPr>
                <w:rFonts w:ascii="Times New Roman" w:eastAsia="Times New Roman" w:hAnsi="Times New Roman"/>
                <w:i/>
                <w:color w:val="000000"/>
                <w:vertAlign w:val="subscript"/>
                <w:lang w:val="en-GB" w:eastAsia="zh-CN"/>
              </w:rPr>
            </w:pPr>
            <w:r w:rsidRPr="001E27D5">
              <w:rPr>
                <w:rFonts w:ascii="Times New Roman" w:eastAsia="Times New Roman" w:hAnsi="Times New Roman"/>
                <w:i/>
                <w:color w:val="000000"/>
                <w:lang w:val="en-US" w:eastAsia="zh-CN"/>
              </w:rPr>
              <w:t>Tax</w:t>
            </w:r>
            <w:r>
              <w:rPr>
                <w:rFonts w:ascii="Times New Roman" w:eastAsia="Times New Roman" w:hAnsi="Times New Roman"/>
                <w:i/>
                <w:color w:val="000000"/>
                <w:vertAlign w:val="subscript"/>
                <w:lang w:val="en-US" w:eastAsia="zh-CN"/>
              </w:rPr>
              <w:t>it-1</w:t>
            </w:r>
          </w:p>
        </w:tc>
        <w:tc>
          <w:tcPr>
            <w:tcW w:w="295"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r>
      <w:tr w:rsidR="00295173" w:rsidRPr="001E27D5" w:rsidTr="00295173">
        <w:trPr>
          <w:trHeight w:val="300"/>
          <w:jc w:val="center"/>
        </w:trPr>
        <w:tc>
          <w:tcPr>
            <w:tcW w:w="1116" w:type="pct"/>
            <w:tcBorders>
              <w:top w:val="nil"/>
              <w:left w:val="nil"/>
              <w:bottom w:val="nil"/>
              <w:right w:val="nil"/>
            </w:tcBorders>
            <w:shd w:val="clear" w:color="auto" w:fill="auto"/>
            <w:noWrap/>
            <w:vAlign w:val="center"/>
            <w:hideMark/>
          </w:tcPr>
          <w:p w:rsidR="001E27D5" w:rsidRPr="001E27D5" w:rsidRDefault="00295173" w:rsidP="00C774B9">
            <w:pPr>
              <w:spacing w:line="240" w:lineRule="auto"/>
              <w:ind w:firstLine="0"/>
              <w:rPr>
                <w:rFonts w:ascii="Times New Roman" w:eastAsia="Times New Roman" w:hAnsi="Times New Roman"/>
                <w:color w:val="000000"/>
                <w:lang w:val="en-GB" w:eastAsia="zh-CN"/>
              </w:rPr>
            </w:pPr>
            <w:r w:rsidRPr="001E27D5">
              <w:rPr>
                <w:rFonts w:ascii="Times New Roman" w:eastAsia="Times New Roman" w:hAnsi="Times New Roman"/>
                <w:color w:val="000000"/>
                <w:lang w:val="en-US" w:eastAsia="zh-CN"/>
              </w:rPr>
              <w:t>[GAP</w:t>
            </w:r>
            <w:r>
              <w:rPr>
                <w:rFonts w:ascii="Times New Roman" w:eastAsia="Times New Roman" w:hAnsi="Times New Roman"/>
                <w:i/>
                <w:color w:val="000000"/>
                <w:vertAlign w:val="subscript"/>
                <w:lang w:val="en-US" w:eastAsia="zh-CN"/>
              </w:rPr>
              <w:t>it-1</w:t>
            </w:r>
            <w:r w:rsidRPr="001E27D5">
              <w:rPr>
                <w:rFonts w:ascii="Times New Roman" w:eastAsia="Times New Roman" w:hAnsi="Times New Roman"/>
                <w:color w:val="000000"/>
                <w:lang w:val="en-US" w:eastAsia="zh-CN"/>
              </w:rPr>
              <w:t>×</w:t>
            </w:r>
            <w:r w:rsidRPr="001E27D5">
              <w:rPr>
                <w:rFonts w:ascii="Times New Roman" w:eastAsia="Times New Roman" w:hAnsi="Times New Roman"/>
                <w:i/>
                <w:color w:val="000000"/>
                <w:lang w:val="en-US" w:eastAsia="zh-CN"/>
              </w:rPr>
              <w:t xml:space="preserve"> Tax</w:t>
            </w:r>
            <w:r>
              <w:rPr>
                <w:rFonts w:ascii="Times New Roman" w:eastAsia="Times New Roman" w:hAnsi="Times New Roman"/>
                <w:i/>
                <w:color w:val="000000"/>
                <w:vertAlign w:val="subscript"/>
                <w:lang w:val="en-US" w:eastAsia="zh-CN"/>
              </w:rPr>
              <w:t>it-1</w:t>
            </w:r>
            <w:r w:rsidRPr="001E27D5">
              <w:rPr>
                <w:rFonts w:ascii="Times New Roman" w:eastAsia="Times New Roman" w:hAnsi="Times New Roman"/>
                <w:color w:val="000000"/>
                <w:lang w:val="en-US" w:eastAsia="zh-CN"/>
              </w:rPr>
              <w:t>]</w:t>
            </w: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1E27D5" w:rsidRPr="001E27D5" w:rsidRDefault="001E27D5" w:rsidP="00C774B9">
            <w:pPr>
              <w:spacing w:line="240" w:lineRule="auto"/>
              <w:ind w:firstLine="0"/>
              <w:jc w:val="center"/>
              <w:rPr>
                <w:rFonts w:ascii="Times New Roman" w:eastAsia="Times New Roman" w:hAnsi="Times New Roman"/>
                <w:color w:val="000000"/>
                <w:lang w:val="en-GB" w:eastAsia="zh-CN"/>
              </w:rPr>
            </w:pPr>
          </w:p>
        </w:tc>
      </w:tr>
      <w:tr w:rsidR="00295173" w:rsidRPr="001E27D5" w:rsidTr="00295173">
        <w:trPr>
          <w:trHeight w:val="300"/>
          <w:jc w:val="center"/>
        </w:trPr>
        <w:tc>
          <w:tcPr>
            <w:tcW w:w="1116" w:type="pct"/>
            <w:tcBorders>
              <w:top w:val="nil"/>
              <w:left w:val="nil"/>
              <w:bottom w:val="nil"/>
              <w:right w:val="nil"/>
            </w:tcBorders>
            <w:shd w:val="clear" w:color="auto" w:fill="auto"/>
            <w:noWrap/>
            <w:vAlign w:val="center"/>
            <w:hideMark/>
          </w:tcPr>
          <w:p w:rsidR="00295173" w:rsidRPr="00295173" w:rsidRDefault="00295173" w:rsidP="00C774B9">
            <w:pPr>
              <w:spacing w:line="240" w:lineRule="auto"/>
              <w:ind w:firstLine="0"/>
              <w:rPr>
                <w:rFonts w:ascii="Times New Roman" w:eastAsia="Times New Roman" w:hAnsi="Times New Roman"/>
                <w:i/>
                <w:color w:val="000000"/>
                <w:vertAlign w:val="subscript"/>
                <w:lang w:val="en-GB" w:eastAsia="zh-CN"/>
              </w:rPr>
            </w:pPr>
            <w:r w:rsidRPr="00295173">
              <w:rPr>
                <w:rFonts w:ascii="Times New Roman" w:eastAsia="Times New Roman" w:hAnsi="Times New Roman"/>
                <w:i/>
                <w:color w:val="000000"/>
                <w:lang w:val="en-US" w:eastAsia="zh-CN"/>
              </w:rPr>
              <w:t>R</w:t>
            </w:r>
            <w:r w:rsidRPr="00295173">
              <w:rPr>
                <w:rFonts w:ascii="Times New Roman" w:eastAsia="Times New Roman" w:hAnsi="Times New Roman"/>
                <w:i/>
                <w:color w:val="000000"/>
                <w:vertAlign w:val="subscript"/>
                <w:lang w:val="en-US" w:eastAsia="zh-CN"/>
              </w:rPr>
              <w:t>i</w:t>
            </w:r>
          </w:p>
        </w:tc>
        <w:tc>
          <w:tcPr>
            <w:tcW w:w="295"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r>
      <w:tr w:rsidR="00295173" w:rsidRPr="001E27D5" w:rsidTr="00295173">
        <w:trPr>
          <w:trHeight w:val="300"/>
          <w:jc w:val="center"/>
        </w:trPr>
        <w:tc>
          <w:tcPr>
            <w:tcW w:w="1116" w:type="pct"/>
            <w:tcBorders>
              <w:top w:val="nil"/>
              <w:left w:val="nil"/>
              <w:bottom w:val="nil"/>
              <w:right w:val="nil"/>
            </w:tcBorders>
            <w:shd w:val="clear" w:color="auto" w:fill="auto"/>
            <w:noWrap/>
            <w:vAlign w:val="center"/>
            <w:hideMark/>
          </w:tcPr>
          <w:p w:rsidR="00295173" w:rsidRPr="00295173" w:rsidRDefault="00295173" w:rsidP="00C774B9">
            <w:pPr>
              <w:spacing w:line="240" w:lineRule="auto"/>
              <w:ind w:firstLine="0"/>
              <w:rPr>
                <w:rFonts w:ascii="Times New Roman" w:eastAsia="Times New Roman" w:hAnsi="Times New Roman"/>
                <w:i/>
                <w:color w:val="000000"/>
                <w:lang w:val="en-GB" w:eastAsia="zh-CN"/>
              </w:rPr>
            </w:pPr>
            <w:r w:rsidRPr="00295173">
              <w:rPr>
                <w:rFonts w:ascii="Times New Roman" w:eastAsia="Times New Roman" w:hAnsi="Times New Roman"/>
                <w:i/>
                <w:color w:val="000000"/>
                <w:lang w:val="en-US" w:eastAsia="zh-CN"/>
              </w:rPr>
              <w:t>Ei</w:t>
            </w:r>
          </w:p>
        </w:tc>
        <w:tc>
          <w:tcPr>
            <w:tcW w:w="295"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χ</w:t>
            </w:r>
          </w:p>
        </w:tc>
      </w:tr>
      <w:tr w:rsidR="00295173" w:rsidRPr="001E27D5" w:rsidTr="00295173">
        <w:trPr>
          <w:trHeight w:val="300"/>
          <w:jc w:val="center"/>
        </w:trPr>
        <w:tc>
          <w:tcPr>
            <w:tcW w:w="1116" w:type="pct"/>
            <w:tcBorders>
              <w:top w:val="nil"/>
              <w:left w:val="nil"/>
              <w:bottom w:val="nil"/>
              <w:right w:val="nil"/>
            </w:tcBorders>
            <w:shd w:val="clear" w:color="auto" w:fill="auto"/>
            <w:noWrap/>
            <w:vAlign w:val="center"/>
            <w:hideMark/>
          </w:tcPr>
          <w:p w:rsidR="00295173" w:rsidRPr="001E27D5" w:rsidRDefault="00295173" w:rsidP="00C774B9">
            <w:pPr>
              <w:spacing w:line="240" w:lineRule="auto"/>
              <w:ind w:firstLine="0"/>
              <w:rPr>
                <w:rFonts w:ascii="Times New Roman" w:eastAsia="Times New Roman" w:hAnsi="Times New Roman"/>
                <w:color w:val="000000"/>
                <w:lang w:val="en-GB" w:eastAsia="zh-CN"/>
              </w:rPr>
            </w:pPr>
            <w:r w:rsidRPr="007A1A56">
              <w:rPr>
                <w:rFonts w:asciiTheme="majorBidi" w:hAnsiTheme="majorBidi" w:cstheme="majorBidi"/>
                <w:sz w:val="24"/>
                <w:szCs w:val="24"/>
                <w:lang w:val="en-US"/>
              </w:rPr>
              <w:t>[</w:t>
            </w:r>
            <w:r w:rsidRPr="006A52B9">
              <w:rPr>
                <w:rFonts w:asciiTheme="majorBidi" w:hAnsiTheme="majorBidi" w:cstheme="majorBidi"/>
                <w:i/>
                <w:sz w:val="24"/>
                <w:szCs w:val="24"/>
                <w:lang w:val="en-US"/>
              </w:rPr>
              <w:t>R</w:t>
            </w:r>
            <w:r>
              <w:rPr>
                <w:rFonts w:asciiTheme="majorBidi" w:hAnsiTheme="majorBidi" w:cstheme="majorBidi"/>
                <w:i/>
                <w:sz w:val="24"/>
                <w:szCs w:val="24"/>
                <w:vertAlign w:val="subscript"/>
                <w:lang w:val="en-US"/>
              </w:rPr>
              <w:t>i</w:t>
            </w:r>
            <w:r w:rsidRPr="007A1A56">
              <w:rPr>
                <w:rFonts w:asciiTheme="majorBidi" w:hAnsiTheme="majorBidi" w:cstheme="majorBidi"/>
                <w:sz w:val="24"/>
                <w:szCs w:val="24"/>
                <w:lang w:val="en-US"/>
              </w:rPr>
              <w:t xml:space="preserve"> ×</w:t>
            </w:r>
            <w:r w:rsidRPr="00D5186E">
              <w:rPr>
                <w:rFonts w:asciiTheme="majorBidi" w:hAnsiTheme="majorBidi" w:cstheme="majorBidi"/>
                <w:i/>
                <w:sz w:val="24"/>
                <w:szCs w:val="24"/>
                <w:lang w:val="en-US"/>
              </w:rPr>
              <w:t>Tax</w:t>
            </w:r>
            <w:r w:rsidRPr="000133C7">
              <w:rPr>
                <w:rFonts w:asciiTheme="majorBidi" w:hAnsiTheme="majorBidi" w:cstheme="majorBidi"/>
                <w:i/>
                <w:sz w:val="24"/>
                <w:szCs w:val="24"/>
                <w:vertAlign w:val="subscript"/>
                <w:lang w:val="en-US"/>
              </w:rPr>
              <w:t>it-1</w:t>
            </w:r>
            <w:r w:rsidRPr="007A1A56">
              <w:rPr>
                <w:rFonts w:asciiTheme="majorBidi" w:hAnsiTheme="majorBidi" w:cstheme="majorBidi"/>
                <w:sz w:val="24"/>
                <w:szCs w:val="24"/>
                <w:lang w:val="en-US"/>
              </w:rPr>
              <w:t>]</w:t>
            </w:r>
          </w:p>
        </w:tc>
        <w:tc>
          <w:tcPr>
            <w:tcW w:w="295"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r>
      <w:tr w:rsidR="00295173" w:rsidRPr="001E27D5" w:rsidTr="00295173">
        <w:trPr>
          <w:trHeight w:val="300"/>
          <w:jc w:val="center"/>
        </w:trPr>
        <w:tc>
          <w:tcPr>
            <w:tcW w:w="1116" w:type="pct"/>
            <w:tcBorders>
              <w:top w:val="nil"/>
              <w:left w:val="nil"/>
              <w:bottom w:val="nil"/>
              <w:right w:val="nil"/>
            </w:tcBorders>
            <w:shd w:val="clear" w:color="auto" w:fill="auto"/>
            <w:noWrap/>
            <w:vAlign w:val="center"/>
            <w:hideMark/>
          </w:tcPr>
          <w:p w:rsidR="00295173" w:rsidRPr="001E27D5" w:rsidRDefault="00295173" w:rsidP="00C774B9">
            <w:pPr>
              <w:spacing w:line="240" w:lineRule="auto"/>
              <w:ind w:firstLine="0"/>
              <w:rPr>
                <w:rFonts w:ascii="Times New Roman" w:eastAsia="Times New Roman" w:hAnsi="Times New Roman"/>
                <w:color w:val="000000"/>
                <w:lang w:val="en-GB" w:eastAsia="zh-CN"/>
              </w:rPr>
            </w:pPr>
            <w:r w:rsidRPr="007A1A56">
              <w:rPr>
                <w:rFonts w:asciiTheme="majorBidi" w:hAnsiTheme="majorBidi" w:cstheme="majorBidi"/>
                <w:sz w:val="24"/>
                <w:szCs w:val="24"/>
                <w:lang w:val="en-US"/>
              </w:rPr>
              <w:t>[</w:t>
            </w:r>
            <w:r>
              <w:rPr>
                <w:rFonts w:asciiTheme="majorBidi" w:hAnsiTheme="majorBidi" w:cstheme="majorBidi"/>
                <w:i/>
                <w:sz w:val="24"/>
                <w:szCs w:val="24"/>
                <w:lang w:val="en-US"/>
              </w:rPr>
              <w:t>E</w:t>
            </w:r>
            <w:r>
              <w:rPr>
                <w:rFonts w:asciiTheme="majorBidi" w:hAnsiTheme="majorBidi" w:cstheme="majorBidi"/>
                <w:i/>
                <w:sz w:val="24"/>
                <w:szCs w:val="24"/>
                <w:vertAlign w:val="subscript"/>
                <w:lang w:val="en-US"/>
              </w:rPr>
              <w:t>i</w:t>
            </w:r>
            <w:r w:rsidRPr="007A1A56">
              <w:rPr>
                <w:rFonts w:asciiTheme="majorBidi" w:hAnsiTheme="majorBidi" w:cstheme="majorBidi"/>
                <w:sz w:val="24"/>
                <w:szCs w:val="24"/>
                <w:lang w:val="en-US"/>
              </w:rPr>
              <w:t xml:space="preserve"> ×</w:t>
            </w:r>
            <w:r w:rsidRPr="00D5186E">
              <w:rPr>
                <w:rFonts w:asciiTheme="majorBidi" w:hAnsiTheme="majorBidi" w:cstheme="majorBidi"/>
                <w:i/>
                <w:sz w:val="24"/>
                <w:szCs w:val="24"/>
                <w:lang w:val="en-US"/>
              </w:rPr>
              <w:t>Tax</w:t>
            </w:r>
            <w:r w:rsidRPr="000133C7">
              <w:rPr>
                <w:rFonts w:asciiTheme="majorBidi" w:hAnsiTheme="majorBidi" w:cstheme="majorBidi"/>
                <w:i/>
                <w:sz w:val="24"/>
                <w:szCs w:val="24"/>
                <w:vertAlign w:val="subscript"/>
                <w:lang w:val="en-US"/>
              </w:rPr>
              <w:t>it-1</w:t>
            </w:r>
            <w:r w:rsidRPr="007A1A56">
              <w:rPr>
                <w:rFonts w:asciiTheme="majorBidi" w:hAnsiTheme="majorBidi" w:cstheme="majorBidi"/>
                <w:sz w:val="24"/>
                <w:szCs w:val="24"/>
                <w:lang w:val="en-US"/>
              </w:rPr>
              <w:t>]</w:t>
            </w:r>
          </w:p>
        </w:tc>
        <w:tc>
          <w:tcPr>
            <w:tcW w:w="295"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w:t>
            </w:r>
          </w:p>
        </w:tc>
        <w:tc>
          <w:tcPr>
            <w:tcW w:w="295"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r>
      <w:tr w:rsidR="00295173" w:rsidRPr="001E27D5" w:rsidTr="00295173">
        <w:trPr>
          <w:trHeight w:val="300"/>
          <w:jc w:val="center"/>
        </w:trPr>
        <w:tc>
          <w:tcPr>
            <w:tcW w:w="1410" w:type="pct"/>
            <w:gridSpan w:val="2"/>
            <w:tcBorders>
              <w:top w:val="nil"/>
              <w:left w:val="nil"/>
              <w:bottom w:val="nil"/>
              <w:right w:val="nil"/>
            </w:tcBorders>
            <w:shd w:val="clear" w:color="auto" w:fill="auto"/>
            <w:noWrap/>
            <w:vAlign w:val="center"/>
            <w:hideMark/>
          </w:tcPr>
          <w:p w:rsidR="00295173" w:rsidRPr="001E27D5" w:rsidRDefault="00295173" w:rsidP="00C774B9">
            <w:pPr>
              <w:spacing w:line="240" w:lineRule="auto"/>
              <w:ind w:firstLine="0"/>
              <w:rPr>
                <w:rFonts w:ascii="Times New Roman" w:eastAsia="Times New Roman" w:hAnsi="Times New Roman"/>
                <w:color w:val="000000"/>
                <w:lang w:val="en-GB" w:eastAsia="zh-CN"/>
              </w:rPr>
            </w:pPr>
            <w:r w:rsidRPr="007A4735">
              <w:rPr>
                <w:rFonts w:asciiTheme="majorBidi" w:hAnsiTheme="majorBidi" w:cstheme="majorBidi"/>
                <w:sz w:val="24"/>
                <w:szCs w:val="24"/>
                <w:lang w:val="en-US"/>
              </w:rPr>
              <w:t>[</w:t>
            </w:r>
            <w:r w:rsidRPr="000133C7">
              <w:rPr>
                <w:rFonts w:asciiTheme="majorBidi" w:hAnsiTheme="majorBidi" w:cstheme="majorBidi"/>
                <w:i/>
                <w:sz w:val="24"/>
                <w:szCs w:val="24"/>
                <w:lang w:val="en-US"/>
              </w:rPr>
              <w:t>GAP</w:t>
            </w:r>
            <w:r>
              <w:rPr>
                <w:rFonts w:asciiTheme="majorBidi" w:hAnsiTheme="majorBidi" w:cstheme="majorBidi"/>
                <w:i/>
                <w:sz w:val="24"/>
                <w:szCs w:val="24"/>
                <w:vertAlign w:val="subscript"/>
                <w:lang w:val="en-US"/>
              </w:rPr>
              <w:t>it-1</w:t>
            </w:r>
            <w:r w:rsidRPr="007A4735">
              <w:rPr>
                <w:rFonts w:asciiTheme="majorBidi" w:hAnsiTheme="majorBidi" w:cstheme="majorBidi"/>
                <w:sz w:val="24"/>
                <w:szCs w:val="24"/>
                <w:lang w:val="en-US"/>
              </w:rPr>
              <w:t>×</w:t>
            </w:r>
            <w:r w:rsidRPr="00D5186E">
              <w:rPr>
                <w:rFonts w:asciiTheme="majorBidi" w:hAnsiTheme="majorBidi" w:cstheme="majorBidi"/>
                <w:i/>
                <w:sz w:val="24"/>
                <w:szCs w:val="24"/>
                <w:lang w:val="en-US"/>
              </w:rPr>
              <w:t>Tax</w:t>
            </w:r>
            <w:r w:rsidRPr="000133C7">
              <w:rPr>
                <w:rFonts w:asciiTheme="majorBidi" w:hAnsiTheme="majorBidi" w:cstheme="majorBidi"/>
                <w:i/>
                <w:sz w:val="24"/>
                <w:szCs w:val="24"/>
                <w:vertAlign w:val="subscript"/>
                <w:lang w:val="en-US"/>
              </w:rPr>
              <w:t>it-1</w:t>
            </w:r>
            <w:r w:rsidRPr="007A4735">
              <w:rPr>
                <w:rFonts w:asciiTheme="majorBidi" w:hAnsiTheme="majorBidi" w:cstheme="majorBidi"/>
                <w:sz w:val="24"/>
                <w:szCs w:val="24"/>
                <w:lang w:val="en-US"/>
              </w:rPr>
              <w:t>×</w:t>
            </w:r>
            <w:r w:rsidRPr="006A52B9">
              <w:rPr>
                <w:rFonts w:asciiTheme="majorBidi" w:hAnsiTheme="majorBidi" w:cstheme="majorBidi"/>
                <w:i/>
                <w:sz w:val="24"/>
                <w:szCs w:val="24"/>
                <w:lang w:val="en-US"/>
              </w:rPr>
              <w:t>R</w:t>
            </w:r>
            <w:r>
              <w:rPr>
                <w:rFonts w:asciiTheme="majorBidi" w:hAnsiTheme="majorBidi" w:cstheme="majorBidi"/>
                <w:i/>
                <w:sz w:val="24"/>
                <w:szCs w:val="24"/>
                <w:vertAlign w:val="subscript"/>
                <w:lang w:val="en-US"/>
              </w:rPr>
              <w:t>i</w:t>
            </w:r>
            <w:r w:rsidRPr="007A4735">
              <w:rPr>
                <w:rFonts w:asciiTheme="majorBidi" w:hAnsiTheme="majorBidi" w:cstheme="majorBidi"/>
                <w:sz w:val="24"/>
                <w:szCs w:val="24"/>
                <w:lang w:val="en-US"/>
              </w:rPr>
              <w:t>]</w:t>
            </w:r>
          </w:p>
        </w:tc>
        <w:tc>
          <w:tcPr>
            <w:tcW w:w="353"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χ</w:t>
            </w:r>
          </w:p>
        </w:tc>
        <w:tc>
          <w:tcPr>
            <w:tcW w:w="295"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nil"/>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r>
      <w:tr w:rsidR="00295173" w:rsidRPr="001E27D5" w:rsidTr="00295173">
        <w:trPr>
          <w:trHeight w:val="300"/>
          <w:jc w:val="center"/>
        </w:trPr>
        <w:tc>
          <w:tcPr>
            <w:tcW w:w="1116" w:type="pct"/>
            <w:tcBorders>
              <w:top w:val="nil"/>
              <w:left w:val="nil"/>
              <w:bottom w:val="single" w:sz="4" w:space="0" w:color="auto"/>
              <w:right w:val="nil"/>
            </w:tcBorders>
            <w:shd w:val="clear" w:color="auto" w:fill="auto"/>
            <w:noWrap/>
            <w:vAlign w:val="center"/>
            <w:hideMark/>
          </w:tcPr>
          <w:p w:rsidR="00295173" w:rsidRPr="001E27D5" w:rsidRDefault="00295173" w:rsidP="00C774B9">
            <w:pPr>
              <w:spacing w:line="240" w:lineRule="auto"/>
              <w:ind w:firstLine="0"/>
              <w:rPr>
                <w:rFonts w:ascii="Times New Roman" w:eastAsia="Times New Roman" w:hAnsi="Times New Roman"/>
                <w:color w:val="000000"/>
                <w:lang w:val="en-GB" w:eastAsia="zh-CN"/>
              </w:rPr>
            </w:pPr>
            <w:r w:rsidRPr="007A4735">
              <w:rPr>
                <w:rFonts w:asciiTheme="majorBidi" w:hAnsiTheme="majorBidi" w:cstheme="majorBidi"/>
                <w:sz w:val="24"/>
                <w:szCs w:val="24"/>
                <w:lang w:val="en-US"/>
              </w:rPr>
              <w:t>[</w:t>
            </w:r>
            <w:r w:rsidRPr="000133C7">
              <w:rPr>
                <w:rFonts w:asciiTheme="majorBidi" w:hAnsiTheme="majorBidi" w:cstheme="majorBidi"/>
                <w:i/>
                <w:sz w:val="24"/>
                <w:szCs w:val="24"/>
                <w:lang w:val="en-US"/>
              </w:rPr>
              <w:t>GAP</w:t>
            </w:r>
            <w:r>
              <w:rPr>
                <w:rFonts w:asciiTheme="majorBidi" w:hAnsiTheme="majorBidi" w:cstheme="majorBidi"/>
                <w:i/>
                <w:sz w:val="24"/>
                <w:szCs w:val="24"/>
                <w:vertAlign w:val="subscript"/>
                <w:lang w:val="en-US"/>
              </w:rPr>
              <w:t>it-1</w:t>
            </w:r>
            <w:r w:rsidRPr="007A4735">
              <w:rPr>
                <w:rFonts w:asciiTheme="majorBidi" w:hAnsiTheme="majorBidi" w:cstheme="majorBidi"/>
                <w:sz w:val="24"/>
                <w:szCs w:val="24"/>
                <w:lang w:val="en-US"/>
              </w:rPr>
              <w:t>×</w:t>
            </w:r>
            <w:r w:rsidRPr="00D5186E">
              <w:rPr>
                <w:rFonts w:asciiTheme="majorBidi" w:hAnsiTheme="majorBidi" w:cstheme="majorBidi"/>
                <w:i/>
                <w:sz w:val="24"/>
                <w:szCs w:val="24"/>
                <w:lang w:val="en-US"/>
              </w:rPr>
              <w:t>Tax</w:t>
            </w:r>
            <w:r w:rsidRPr="000133C7">
              <w:rPr>
                <w:rFonts w:asciiTheme="majorBidi" w:hAnsiTheme="majorBidi" w:cstheme="majorBidi"/>
                <w:i/>
                <w:sz w:val="24"/>
                <w:szCs w:val="24"/>
                <w:vertAlign w:val="subscript"/>
                <w:lang w:val="en-US"/>
              </w:rPr>
              <w:t>it-1</w:t>
            </w:r>
            <w:r w:rsidRPr="007A4735">
              <w:rPr>
                <w:rFonts w:asciiTheme="majorBidi" w:hAnsiTheme="majorBidi" w:cstheme="majorBidi"/>
                <w:sz w:val="24"/>
                <w:szCs w:val="24"/>
                <w:lang w:val="en-US"/>
              </w:rPr>
              <w:t>×</w:t>
            </w:r>
            <w:r w:rsidRPr="006A52B9">
              <w:rPr>
                <w:rFonts w:asciiTheme="majorBidi" w:hAnsiTheme="majorBidi" w:cstheme="majorBidi"/>
                <w:i/>
                <w:sz w:val="24"/>
                <w:szCs w:val="24"/>
                <w:lang w:val="en-US"/>
              </w:rPr>
              <w:t>R</w:t>
            </w:r>
            <w:r>
              <w:rPr>
                <w:rFonts w:asciiTheme="majorBidi" w:hAnsiTheme="majorBidi" w:cstheme="majorBidi"/>
                <w:i/>
                <w:sz w:val="24"/>
                <w:szCs w:val="24"/>
                <w:vertAlign w:val="subscript"/>
                <w:lang w:val="en-US"/>
              </w:rPr>
              <w:t>i</w:t>
            </w:r>
            <w:r w:rsidRPr="007A4735">
              <w:rPr>
                <w:rFonts w:asciiTheme="majorBidi" w:hAnsiTheme="majorBidi" w:cstheme="majorBidi"/>
                <w:sz w:val="24"/>
                <w:szCs w:val="24"/>
                <w:lang w:val="en-US"/>
              </w:rPr>
              <w:t>]</w:t>
            </w:r>
          </w:p>
        </w:tc>
        <w:tc>
          <w:tcPr>
            <w:tcW w:w="295" w:type="pct"/>
            <w:tcBorders>
              <w:top w:val="nil"/>
              <w:left w:val="nil"/>
              <w:bottom w:val="single" w:sz="4" w:space="0" w:color="auto"/>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single" w:sz="4" w:space="0" w:color="auto"/>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single" w:sz="4" w:space="0" w:color="auto"/>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single" w:sz="4" w:space="0" w:color="auto"/>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single" w:sz="4" w:space="0" w:color="auto"/>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single" w:sz="4" w:space="0" w:color="auto"/>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single" w:sz="4" w:space="0" w:color="auto"/>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single" w:sz="4" w:space="0" w:color="auto"/>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single" w:sz="4" w:space="0" w:color="auto"/>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single" w:sz="4" w:space="0" w:color="auto"/>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295" w:type="pct"/>
            <w:tcBorders>
              <w:top w:val="nil"/>
              <w:left w:val="nil"/>
              <w:bottom w:val="single" w:sz="4" w:space="0" w:color="auto"/>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p>
        </w:tc>
        <w:tc>
          <w:tcPr>
            <w:tcW w:w="353" w:type="pct"/>
            <w:tcBorders>
              <w:top w:val="nil"/>
              <w:left w:val="nil"/>
              <w:bottom w:val="single" w:sz="4" w:space="0" w:color="auto"/>
              <w:right w:val="nil"/>
            </w:tcBorders>
            <w:shd w:val="clear" w:color="auto" w:fill="auto"/>
            <w:vAlign w:val="center"/>
            <w:hideMark/>
          </w:tcPr>
          <w:p w:rsidR="00295173" w:rsidRPr="001E27D5" w:rsidRDefault="00295173" w:rsidP="00C774B9">
            <w:pPr>
              <w:spacing w:line="240" w:lineRule="auto"/>
              <w:ind w:firstLine="0"/>
              <w:jc w:val="center"/>
              <w:rPr>
                <w:rFonts w:ascii="Times New Roman" w:eastAsia="Times New Roman" w:hAnsi="Times New Roman"/>
                <w:color w:val="000000"/>
                <w:lang w:val="en-GB" w:eastAsia="zh-CN"/>
              </w:rPr>
            </w:pPr>
            <w:r w:rsidRPr="001E27D5">
              <w:rPr>
                <w:rFonts w:ascii="Times New Roman" w:eastAsia="Times New Roman" w:hAnsi="Times New Roman"/>
                <w:color w:val="000000"/>
                <w:lang w:val="en-GB" w:eastAsia="zh-CN"/>
              </w:rPr>
              <w:t>χ</w:t>
            </w:r>
          </w:p>
        </w:tc>
      </w:tr>
    </w:tbl>
    <w:p w:rsidR="001F5A9F" w:rsidRPr="00FB3649" w:rsidRDefault="002F07FC" w:rsidP="002F07FC">
      <w:pPr>
        <w:rPr>
          <w:rFonts w:ascii="Times New Roman" w:hAnsi="Times New Roman"/>
          <w:lang w:val="en-US"/>
        </w:rPr>
      </w:pPr>
      <w:r w:rsidRPr="00FB3649">
        <w:rPr>
          <w:rFonts w:ascii="Times New Roman" w:hAnsi="Times New Roman"/>
          <w:lang w:val="en-US"/>
        </w:rPr>
        <w:t>Notes: Symbols in the Table summarize results across specifications for different estimators and different techniques in the calculation of TFP. Symbols denote the statistical significance of the estimated coefficients as follows:  √ at 5% and above; ◊ at 10%; χ lower than 10%.</w:t>
      </w:r>
    </w:p>
    <w:p w:rsidR="00E460B6" w:rsidRDefault="00E460B6" w:rsidP="004E6C6B">
      <w:pPr>
        <w:rPr>
          <w:rFonts w:ascii="Times New Roman" w:hAnsi="Times New Roman"/>
          <w:sz w:val="24"/>
          <w:szCs w:val="24"/>
          <w:lang w:val="en-US"/>
        </w:rPr>
      </w:pPr>
    </w:p>
    <w:p w:rsidR="00627CCF" w:rsidRPr="000F1DE1" w:rsidRDefault="00627CCF" w:rsidP="000F1DE1">
      <w:pPr>
        <w:rPr>
          <w:lang w:val="en-US"/>
        </w:rPr>
      </w:pPr>
    </w:p>
    <w:p w:rsidR="00F86342" w:rsidRPr="003977E2" w:rsidRDefault="00A76DE5" w:rsidP="003977E2">
      <w:pPr>
        <w:pStyle w:val="ListParagraph"/>
        <w:numPr>
          <w:ilvl w:val="0"/>
          <w:numId w:val="3"/>
        </w:numPr>
        <w:ind w:left="0" w:firstLine="0"/>
        <w:rPr>
          <w:rFonts w:ascii="Times New Roman" w:hAnsi="Times New Roman"/>
          <w:sz w:val="24"/>
          <w:szCs w:val="24"/>
          <w:lang w:val="en-US"/>
        </w:rPr>
      </w:pPr>
      <w:r w:rsidRPr="003977E2">
        <w:rPr>
          <w:rFonts w:ascii="Times New Roman" w:hAnsi="Times New Roman"/>
          <w:b/>
          <w:sz w:val="24"/>
          <w:szCs w:val="24"/>
          <w:lang w:val="en-US"/>
        </w:rPr>
        <w:t>Conclusions</w:t>
      </w:r>
    </w:p>
    <w:p w:rsidR="00A069B0" w:rsidRPr="00A069B0" w:rsidRDefault="00E26259" w:rsidP="00A5740E">
      <w:pPr>
        <w:pStyle w:val="ListParagraph"/>
        <w:ind w:left="0" w:firstLine="426"/>
        <w:rPr>
          <w:rFonts w:ascii="Times New Roman" w:hAnsi="Times New Roman"/>
          <w:sz w:val="24"/>
          <w:szCs w:val="24"/>
          <w:lang w:val="en-US"/>
        </w:rPr>
      </w:pPr>
      <w:r w:rsidRPr="00F86342">
        <w:rPr>
          <w:rFonts w:ascii="Times New Roman" w:hAnsi="Times New Roman"/>
          <w:sz w:val="24"/>
          <w:szCs w:val="24"/>
          <w:lang w:val="en-US"/>
        </w:rPr>
        <w:t>This paper</w:t>
      </w:r>
      <w:r w:rsidR="00F86342">
        <w:rPr>
          <w:rFonts w:ascii="Times New Roman" w:hAnsi="Times New Roman"/>
          <w:sz w:val="24"/>
          <w:szCs w:val="24"/>
          <w:lang w:val="en-US"/>
        </w:rPr>
        <w:t xml:space="preserve"> utilizes firm-level data to investigate</w:t>
      </w:r>
      <w:r w:rsidRPr="00F86342">
        <w:rPr>
          <w:rFonts w:ascii="Times New Roman" w:hAnsi="Times New Roman"/>
          <w:sz w:val="24"/>
          <w:szCs w:val="24"/>
          <w:lang w:val="en-US"/>
        </w:rPr>
        <w:t xml:space="preserve"> </w:t>
      </w:r>
      <w:r w:rsidR="00F86342">
        <w:rPr>
          <w:rFonts w:ascii="Times New Roman" w:hAnsi="Times New Roman"/>
          <w:sz w:val="24"/>
          <w:szCs w:val="24"/>
          <w:lang w:val="en-US"/>
        </w:rPr>
        <w:t>the impact of c</w:t>
      </w:r>
      <w:r w:rsidRPr="00F86342">
        <w:rPr>
          <w:rFonts w:ascii="Times New Roman" w:hAnsi="Times New Roman"/>
          <w:sz w:val="24"/>
          <w:szCs w:val="24"/>
          <w:lang w:val="en-US"/>
        </w:rPr>
        <w:t xml:space="preserve">orporate taxation </w:t>
      </w:r>
      <w:r w:rsidR="00F86342">
        <w:rPr>
          <w:rFonts w:ascii="Times New Roman" w:hAnsi="Times New Roman"/>
          <w:sz w:val="24"/>
          <w:szCs w:val="24"/>
          <w:lang w:val="en-US"/>
        </w:rPr>
        <w:t>on</w:t>
      </w:r>
      <w:r w:rsidRPr="00F86342">
        <w:rPr>
          <w:rFonts w:ascii="Times New Roman" w:hAnsi="Times New Roman"/>
          <w:sz w:val="24"/>
          <w:szCs w:val="24"/>
          <w:lang w:val="en-US"/>
        </w:rPr>
        <w:t xml:space="preserve"> productivity performance </w:t>
      </w:r>
      <w:r w:rsidR="00F86342">
        <w:rPr>
          <w:rFonts w:ascii="Times New Roman" w:hAnsi="Times New Roman"/>
          <w:sz w:val="24"/>
          <w:szCs w:val="24"/>
          <w:lang w:val="en-US"/>
        </w:rPr>
        <w:t xml:space="preserve">in </w:t>
      </w:r>
      <w:r w:rsidR="006A6857">
        <w:rPr>
          <w:rFonts w:ascii="Times New Roman" w:hAnsi="Times New Roman"/>
          <w:sz w:val="24"/>
          <w:szCs w:val="24"/>
          <w:lang w:val="en-US"/>
        </w:rPr>
        <w:t xml:space="preserve">the </w:t>
      </w:r>
      <w:r w:rsidR="00F86342">
        <w:rPr>
          <w:rFonts w:ascii="Times New Roman" w:hAnsi="Times New Roman"/>
          <w:sz w:val="24"/>
          <w:szCs w:val="24"/>
          <w:lang w:val="en-US"/>
        </w:rPr>
        <w:t>UK</w:t>
      </w:r>
      <w:r w:rsidRPr="00F86342">
        <w:rPr>
          <w:rFonts w:ascii="Times New Roman" w:hAnsi="Times New Roman"/>
          <w:sz w:val="24"/>
          <w:szCs w:val="24"/>
          <w:lang w:val="en-US"/>
        </w:rPr>
        <w:t xml:space="preserve">. </w:t>
      </w:r>
      <w:r w:rsidR="003D09F7">
        <w:rPr>
          <w:rFonts w:ascii="Times New Roman" w:hAnsi="Times New Roman"/>
          <w:sz w:val="24"/>
          <w:szCs w:val="24"/>
          <w:lang w:val="en-US"/>
        </w:rPr>
        <w:t>We analyze</w:t>
      </w:r>
      <w:r w:rsidRPr="00F86342">
        <w:rPr>
          <w:rFonts w:ascii="Times New Roman" w:hAnsi="Times New Roman"/>
          <w:sz w:val="24"/>
          <w:szCs w:val="24"/>
          <w:lang w:val="en-US"/>
        </w:rPr>
        <w:t xml:space="preserve"> the effects of corporate tax </w:t>
      </w:r>
      <w:r w:rsidR="003D09F7">
        <w:rPr>
          <w:rFonts w:ascii="Times New Roman" w:hAnsi="Times New Roman"/>
          <w:sz w:val="24"/>
          <w:szCs w:val="24"/>
          <w:lang w:val="en-US"/>
        </w:rPr>
        <w:t xml:space="preserve">liability and effective tax rate within a </w:t>
      </w:r>
      <w:r w:rsidRPr="00F86342">
        <w:rPr>
          <w:rFonts w:ascii="Times New Roman" w:hAnsi="Times New Roman"/>
          <w:sz w:val="24"/>
          <w:szCs w:val="24"/>
          <w:lang w:val="en-US"/>
        </w:rPr>
        <w:t>framework of firm productivity catch-up</w:t>
      </w:r>
      <w:r w:rsidR="00F86342">
        <w:rPr>
          <w:rFonts w:ascii="Times New Roman" w:hAnsi="Times New Roman"/>
          <w:sz w:val="24"/>
          <w:szCs w:val="24"/>
          <w:lang w:val="en-US"/>
        </w:rPr>
        <w:t xml:space="preserve"> </w:t>
      </w:r>
      <w:r w:rsidR="003D09F7">
        <w:rPr>
          <w:rFonts w:ascii="Times New Roman" w:hAnsi="Times New Roman"/>
          <w:sz w:val="24"/>
          <w:szCs w:val="24"/>
          <w:lang w:val="en-US"/>
        </w:rPr>
        <w:t xml:space="preserve">contributing </w:t>
      </w:r>
      <w:r w:rsidR="00F86342">
        <w:rPr>
          <w:rFonts w:ascii="Times New Roman" w:hAnsi="Times New Roman"/>
          <w:sz w:val="24"/>
          <w:szCs w:val="24"/>
          <w:lang w:val="en-US"/>
        </w:rPr>
        <w:t xml:space="preserve">to the </w:t>
      </w:r>
      <w:r w:rsidR="00F86342" w:rsidRPr="00F86342">
        <w:rPr>
          <w:rFonts w:ascii="Times New Roman" w:hAnsi="Times New Roman"/>
          <w:sz w:val="24"/>
          <w:szCs w:val="24"/>
          <w:lang w:val="en-US"/>
        </w:rPr>
        <w:t>limited body of</w:t>
      </w:r>
      <w:r w:rsidR="003D09F7">
        <w:rPr>
          <w:rFonts w:ascii="Times New Roman" w:hAnsi="Times New Roman"/>
          <w:sz w:val="24"/>
          <w:szCs w:val="24"/>
          <w:lang w:val="en-US"/>
        </w:rPr>
        <w:t xml:space="preserve"> micro-</w:t>
      </w:r>
      <w:r w:rsidR="00F86342" w:rsidRPr="00F86342">
        <w:rPr>
          <w:rFonts w:ascii="Times New Roman" w:hAnsi="Times New Roman"/>
          <w:sz w:val="24"/>
          <w:szCs w:val="24"/>
          <w:lang w:val="en-US"/>
        </w:rPr>
        <w:t>evidence in the tax-productivity domain</w:t>
      </w:r>
      <w:r w:rsidRPr="00F86342">
        <w:rPr>
          <w:rFonts w:ascii="Times New Roman" w:hAnsi="Times New Roman"/>
          <w:sz w:val="24"/>
          <w:szCs w:val="24"/>
          <w:lang w:val="en-US"/>
        </w:rPr>
        <w:t xml:space="preserve">. </w:t>
      </w:r>
      <w:r w:rsidR="00F86342">
        <w:rPr>
          <w:rFonts w:ascii="Times New Roman" w:hAnsi="Times New Roman"/>
          <w:sz w:val="24"/>
          <w:szCs w:val="24"/>
          <w:lang w:val="en-US"/>
        </w:rPr>
        <w:t xml:space="preserve">Evidence shown </w:t>
      </w:r>
      <w:r w:rsidR="00C42A61">
        <w:rPr>
          <w:rFonts w:ascii="Times New Roman" w:hAnsi="Times New Roman"/>
          <w:sz w:val="24"/>
          <w:szCs w:val="24"/>
          <w:lang w:val="en-US"/>
        </w:rPr>
        <w:t xml:space="preserve">in the paper </w:t>
      </w:r>
      <w:r w:rsidRPr="00A069B0">
        <w:rPr>
          <w:rFonts w:ascii="Times New Roman" w:hAnsi="Times New Roman"/>
          <w:sz w:val="24"/>
          <w:szCs w:val="24"/>
          <w:lang w:val="en-US"/>
        </w:rPr>
        <w:t>suggest</w:t>
      </w:r>
      <w:r w:rsidR="00F86342">
        <w:rPr>
          <w:rFonts w:ascii="Times New Roman" w:hAnsi="Times New Roman"/>
          <w:sz w:val="24"/>
          <w:szCs w:val="24"/>
          <w:lang w:val="en-US"/>
        </w:rPr>
        <w:t>s</w:t>
      </w:r>
      <w:r w:rsidRPr="00A069B0">
        <w:rPr>
          <w:rFonts w:ascii="Times New Roman" w:hAnsi="Times New Roman"/>
          <w:sz w:val="24"/>
          <w:szCs w:val="24"/>
          <w:lang w:val="en-US"/>
        </w:rPr>
        <w:t xml:space="preserve"> that higher rates of corporate taxation slow </w:t>
      </w:r>
      <w:r w:rsidR="00161C4D">
        <w:rPr>
          <w:rFonts w:ascii="Times New Roman" w:hAnsi="Times New Roman"/>
          <w:sz w:val="24"/>
          <w:szCs w:val="24"/>
          <w:lang w:val="en-US"/>
        </w:rPr>
        <w:t xml:space="preserve">down </w:t>
      </w:r>
      <w:r w:rsidRPr="00A069B0">
        <w:rPr>
          <w:rFonts w:ascii="Times New Roman" w:hAnsi="Times New Roman"/>
          <w:sz w:val="24"/>
          <w:szCs w:val="24"/>
          <w:lang w:val="en-US"/>
        </w:rPr>
        <w:t xml:space="preserve">the rate of TFP growth. </w:t>
      </w:r>
      <w:r w:rsidR="00184C67">
        <w:rPr>
          <w:rFonts w:ascii="Times New Roman" w:hAnsi="Times New Roman"/>
          <w:sz w:val="24"/>
          <w:szCs w:val="24"/>
          <w:lang w:val="en-US"/>
        </w:rPr>
        <w:t xml:space="preserve">There are two </w:t>
      </w:r>
      <w:r w:rsidRPr="00A069B0">
        <w:rPr>
          <w:rFonts w:ascii="Times New Roman" w:hAnsi="Times New Roman"/>
          <w:sz w:val="24"/>
          <w:szCs w:val="24"/>
          <w:lang w:val="en-US"/>
        </w:rPr>
        <w:t>explanation</w:t>
      </w:r>
      <w:r w:rsidR="00184C67">
        <w:rPr>
          <w:rFonts w:ascii="Times New Roman" w:hAnsi="Times New Roman"/>
          <w:sz w:val="24"/>
          <w:szCs w:val="24"/>
          <w:lang w:val="en-US"/>
        </w:rPr>
        <w:t>s</w:t>
      </w:r>
      <w:r w:rsidR="00A5740E">
        <w:rPr>
          <w:rFonts w:ascii="Times New Roman" w:hAnsi="Times New Roman"/>
          <w:sz w:val="24"/>
          <w:szCs w:val="24"/>
          <w:lang w:val="en-US"/>
        </w:rPr>
        <w:t xml:space="preserve"> for this result</w:t>
      </w:r>
      <w:r w:rsidR="00FB697D">
        <w:rPr>
          <w:rFonts w:ascii="Times New Roman" w:hAnsi="Times New Roman"/>
          <w:sz w:val="24"/>
          <w:szCs w:val="24"/>
          <w:lang w:val="en-US"/>
        </w:rPr>
        <w:t>;</w:t>
      </w:r>
      <w:r w:rsidR="00184C67">
        <w:rPr>
          <w:rFonts w:ascii="Times New Roman" w:hAnsi="Times New Roman"/>
          <w:sz w:val="24"/>
          <w:szCs w:val="24"/>
          <w:lang w:val="en-US"/>
        </w:rPr>
        <w:t xml:space="preserve"> the first</w:t>
      </w:r>
      <w:r w:rsidR="003977E2">
        <w:rPr>
          <w:rFonts w:ascii="Times New Roman" w:hAnsi="Times New Roman"/>
          <w:sz w:val="24"/>
          <w:szCs w:val="24"/>
          <w:lang w:val="en-US"/>
        </w:rPr>
        <w:t xml:space="preserve"> one</w:t>
      </w:r>
      <w:r w:rsidR="00184C67">
        <w:rPr>
          <w:rFonts w:ascii="Times New Roman" w:hAnsi="Times New Roman"/>
          <w:sz w:val="24"/>
          <w:szCs w:val="24"/>
          <w:lang w:val="en-US"/>
        </w:rPr>
        <w:t xml:space="preserve"> </w:t>
      </w:r>
      <w:r w:rsidR="00A5740E">
        <w:rPr>
          <w:rFonts w:ascii="Times New Roman" w:hAnsi="Times New Roman"/>
          <w:sz w:val="24"/>
          <w:szCs w:val="24"/>
          <w:lang w:val="en-US"/>
        </w:rPr>
        <w:t>can be found within</w:t>
      </w:r>
      <w:r w:rsidR="00184C67">
        <w:rPr>
          <w:rFonts w:ascii="Times New Roman" w:hAnsi="Times New Roman"/>
          <w:sz w:val="24"/>
          <w:szCs w:val="24"/>
          <w:lang w:val="en-US"/>
        </w:rPr>
        <w:t xml:space="preserve"> the neoclassical argument concerning the alternative </w:t>
      </w:r>
      <w:r w:rsidR="00C42A61">
        <w:rPr>
          <w:rFonts w:ascii="Times New Roman" w:hAnsi="Times New Roman"/>
          <w:sz w:val="24"/>
          <w:szCs w:val="24"/>
          <w:lang w:val="en-US"/>
        </w:rPr>
        <w:t>use</w:t>
      </w:r>
      <w:r w:rsidR="00184C67">
        <w:rPr>
          <w:rFonts w:ascii="Times New Roman" w:hAnsi="Times New Roman"/>
          <w:sz w:val="24"/>
          <w:szCs w:val="24"/>
          <w:lang w:val="en-US"/>
        </w:rPr>
        <w:t xml:space="preserve"> </w:t>
      </w:r>
      <w:r w:rsidR="006A6857">
        <w:rPr>
          <w:rFonts w:ascii="Times New Roman" w:hAnsi="Times New Roman"/>
          <w:sz w:val="24"/>
          <w:szCs w:val="24"/>
          <w:lang w:val="en-US"/>
        </w:rPr>
        <w:t xml:space="preserve">of </w:t>
      </w:r>
      <w:r w:rsidR="00C42A61">
        <w:rPr>
          <w:rFonts w:ascii="Times New Roman" w:hAnsi="Times New Roman"/>
          <w:sz w:val="24"/>
          <w:szCs w:val="24"/>
          <w:lang w:val="en-US"/>
        </w:rPr>
        <w:t>resources</w:t>
      </w:r>
      <w:r w:rsidR="00184C67">
        <w:rPr>
          <w:rFonts w:ascii="Times New Roman" w:hAnsi="Times New Roman"/>
          <w:sz w:val="24"/>
          <w:szCs w:val="24"/>
          <w:lang w:val="en-US"/>
        </w:rPr>
        <w:t xml:space="preserve">, that is </w:t>
      </w:r>
      <w:r w:rsidR="00A5740E">
        <w:rPr>
          <w:rFonts w:ascii="Times New Roman" w:hAnsi="Times New Roman"/>
          <w:sz w:val="24"/>
          <w:szCs w:val="24"/>
          <w:lang w:val="en-US"/>
        </w:rPr>
        <w:t xml:space="preserve">higher </w:t>
      </w:r>
      <w:r w:rsidR="00184C67">
        <w:rPr>
          <w:rFonts w:ascii="Times New Roman" w:hAnsi="Times New Roman"/>
          <w:sz w:val="24"/>
          <w:szCs w:val="24"/>
          <w:lang w:val="en-US"/>
        </w:rPr>
        <w:t xml:space="preserve">taxation </w:t>
      </w:r>
      <w:r w:rsidR="00A5740E">
        <w:rPr>
          <w:rFonts w:ascii="Times New Roman" w:hAnsi="Times New Roman"/>
          <w:sz w:val="24"/>
          <w:szCs w:val="24"/>
          <w:lang w:val="en-US"/>
        </w:rPr>
        <w:t>reduces</w:t>
      </w:r>
      <w:r w:rsidR="00184C67">
        <w:rPr>
          <w:rFonts w:ascii="Times New Roman" w:hAnsi="Times New Roman"/>
          <w:sz w:val="24"/>
          <w:szCs w:val="24"/>
          <w:lang w:val="en-US"/>
        </w:rPr>
        <w:t xml:space="preserve"> the </w:t>
      </w:r>
      <w:r w:rsidR="00C42A61">
        <w:rPr>
          <w:rFonts w:ascii="Times New Roman" w:hAnsi="Times New Roman"/>
          <w:sz w:val="24"/>
          <w:szCs w:val="24"/>
          <w:lang w:val="en-US"/>
        </w:rPr>
        <w:t>resources</w:t>
      </w:r>
      <w:r w:rsidR="00184C67">
        <w:rPr>
          <w:rFonts w:ascii="Times New Roman" w:hAnsi="Times New Roman"/>
          <w:sz w:val="24"/>
          <w:szCs w:val="24"/>
          <w:lang w:val="en-US"/>
        </w:rPr>
        <w:t xml:space="preserve"> that </w:t>
      </w:r>
      <w:r w:rsidR="00184C67">
        <w:rPr>
          <w:rFonts w:ascii="Times New Roman" w:hAnsi="Times New Roman"/>
          <w:sz w:val="24"/>
          <w:szCs w:val="24"/>
          <w:lang w:val="en-US"/>
        </w:rPr>
        <w:lastRenderedPageBreak/>
        <w:t xml:space="preserve">can be </w:t>
      </w:r>
      <w:r w:rsidR="00A5740E">
        <w:rPr>
          <w:rFonts w:ascii="Times New Roman" w:hAnsi="Times New Roman"/>
          <w:sz w:val="24"/>
          <w:szCs w:val="24"/>
          <w:lang w:val="en-US"/>
        </w:rPr>
        <w:t>alternatively used for</w:t>
      </w:r>
      <w:r w:rsidRPr="00A069B0">
        <w:rPr>
          <w:rFonts w:ascii="Times New Roman" w:hAnsi="Times New Roman"/>
          <w:sz w:val="24"/>
          <w:szCs w:val="24"/>
          <w:lang w:val="en-US"/>
        </w:rPr>
        <w:t xml:space="preserve"> </w:t>
      </w:r>
      <w:r w:rsidR="00184C67" w:rsidRPr="00A069B0">
        <w:rPr>
          <w:rFonts w:ascii="Times New Roman" w:hAnsi="Times New Roman"/>
          <w:sz w:val="24"/>
          <w:szCs w:val="24"/>
          <w:lang w:val="en-US"/>
        </w:rPr>
        <w:t>capital investment</w:t>
      </w:r>
      <w:r w:rsidR="00184C67">
        <w:rPr>
          <w:rFonts w:ascii="Times New Roman" w:hAnsi="Times New Roman"/>
          <w:sz w:val="24"/>
          <w:szCs w:val="24"/>
          <w:lang w:val="en-US"/>
        </w:rPr>
        <w:t xml:space="preserve">. </w:t>
      </w:r>
      <w:r w:rsidR="00A5740E">
        <w:rPr>
          <w:rFonts w:ascii="Times New Roman" w:hAnsi="Times New Roman"/>
          <w:sz w:val="24"/>
          <w:szCs w:val="24"/>
          <w:lang w:val="en-US"/>
        </w:rPr>
        <w:t>The</w:t>
      </w:r>
      <w:r w:rsidR="00184C67">
        <w:rPr>
          <w:rFonts w:ascii="Times New Roman" w:hAnsi="Times New Roman"/>
          <w:sz w:val="24"/>
          <w:szCs w:val="24"/>
          <w:lang w:val="en-US"/>
        </w:rPr>
        <w:t xml:space="preserve"> second</w:t>
      </w:r>
      <w:r w:rsidR="00A5740E">
        <w:rPr>
          <w:rFonts w:ascii="Times New Roman" w:hAnsi="Times New Roman"/>
          <w:sz w:val="24"/>
          <w:szCs w:val="24"/>
          <w:lang w:val="en-US"/>
        </w:rPr>
        <w:t xml:space="preserve"> one</w:t>
      </w:r>
      <w:r w:rsidR="00184C67">
        <w:rPr>
          <w:rFonts w:ascii="Times New Roman" w:hAnsi="Times New Roman"/>
          <w:sz w:val="24"/>
          <w:szCs w:val="24"/>
          <w:lang w:val="en-US"/>
        </w:rPr>
        <w:t xml:space="preserve"> relies on recent theoretical </w:t>
      </w:r>
      <w:r w:rsidR="00A5740E">
        <w:rPr>
          <w:rFonts w:ascii="Times New Roman" w:hAnsi="Times New Roman"/>
          <w:sz w:val="24"/>
          <w:szCs w:val="24"/>
          <w:lang w:val="en-US"/>
        </w:rPr>
        <w:t>models</w:t>
      </w:r>
      <w:r w:rsidR="00184C67">
        <w:rPr>
          <w:rFonts w:ascii="Times New Roman" w:hAnsi="Times New Roman"/>
          <w:sz w:val="24"/>
          <w:szCs w:val="24"/>
          <w:lang w:val="en-US"/>
        </w:rPr>
        <w:t xml:space="preserve"> of </w:t>
      </w:r>
      <w:r w:rsidR="00A5740E">
        <w:rPr>
          <w:rFonts w:ascii="Times New Roman" w:hAnsi="Times New Roman"/>
          <w:sz w:val="24"/>
          <w:szCs w:val="24"/>
          <w:lang w:val="en-US"/>
        </w:rPr>
        <w:t>asymmetric</w:t>
      </w:r>
      <w:r w:rsidR="00184C67">
        <w:rPr>
          <w:rFonts w:ascii="Times New Roman" w:hAnsi="Times New Roman"/>
          <w:sz w:val="24"/>
          <w:szCs w:val="24"/>
          <w:lang w:val="en-US"/>
        </w:rPr>
        <w:t xml:space="preserve"> </w:t>
      </w:r>
      <w:r w:rsidR="00A5740E">
        <w:rPr>
          <w:rFonts w:ascii="Times New Roman" w:hAnsi="Times New Roman"/>
          <w:sz w:val="24"/>
          <w:szCs w:val="24"/>
          <w:lang w:val="en-US"/>
        </w:rPr>
        <w:t>information between the lender and the firm</w:t>
      </w:r>
      <w:r w:rsidR="00184C67">
        <w:rPr>
          <w:rFonts w:ascii="Times New Roman" w:hAnsi="Times New Roman"/>
          <w:sz w:val="24"/>
          <w:szCs w:val="24"/>
          <w:lang w:val="en-US"/>
        </w:rPr>
        <w:t xml:space="preserve"> and the</w:t>
      </w:r>
      <w:r w:rsidR="00A5740E">
        <w:rPr>
          <w:rFonts w:ascii="Times New Roman" w:hAnsi="Times New Roman"/>
          <w:sz w:val="24"/>
          <w:szCs w:val="24"/>
          <w:lang w:val="en-US"/>
        </w:rPr>
        <w:t xml:space="preserve"> role of after</w:t>
      </w:r>
      <w:r w:rsidR="00C50629">
        <w:rPr>
          <w:rFonts w:ascii="Times New Roman" w:hAnsi="Times New Roman"/>
          <w:sz w:val="24"/>
          <w:szCs w:val="24"/>
          <w:lang w:val="en-US"/>
        </w:rPr>
        <w:t>-</w:t>
      </w:r>
      <w:r w:rsidR="00A5740E">
        <w:rPr>
          <w:rFonts w:ascii="Times New Roman" w:hAnsi="Times New Roman"/>
          <w:sz w:val="24"/>
          <w:szCs w:val="24"/>
          <w:lang w:val="en-US"/>
        </w:rPr>
        <w:t>tax income in t</w:t>
      </w:r>
      <w:r w:rsidR="00184C67">
        <w:rPr>
          <w:rFonts w:ascii="Times New Roman" w:hAnsi="Times New Roman"/>
          <w:sz w:val="24"/>
          <w:szCs w:val="24"/>
          <w:lang w:val="en-US"/>
        </w:rPr>
        <w:t xml:space="preserve">he distributions of </w:t>
      </w:r>
      <w:r w:rsidR="00A5740E">
        <w:rPr>
          <w:rFonts w:ascii="Times New Roman" w:hAnsi="Times New Roman"/>
          <w:sz w:val="24"/>
          <w:szCs w:val="24"/>
          <w:lang w:val="en-US"/>
        </w:rPr>
        <w:t>external</w:t>
      </w:r>
      <w:r w:rsidR="00184C67">
        <w:rPr>
          <w:rFonts w:ascii="Times New Roman" w:hAnsi="Times New Roman"/>
          <w:sz w:val="24"/>
          <w:szCs w:val="24"/>
          <w:lang w:val="en-US"/>
        </w:rPr>
        <w:t xml:space="preserve"> funds. </w:t>
      </w:r>
      <w:r w:rsidR="00A5740E">
        <w:rPr>
          <w:rFonts w:ascii="Times New Roman" w:hAnsi="Times New Roman"/>
          <w:sz w:val="24"/>
          <w:szCs w:val="24"/>
          <w:lang w:val="en-US"/>
        </w:rPr>
        <w:t>Based on this</w:t>
      </w:r>
      <w:r w:rsidR="00184C67">
        <w:rPr>
          <w:rFonts w:ascii="Times New Roman" w:hAnsi="Times New Roman"/>
          <w:sz w:val="24"/>
          <w:szCs w:val="24"/>
          <w:lang w:val="en-US"/>
        </w:rPr>
        <w:t xml:space="preserve">, </w:t>
      </w:r>
      <w:r w:rsidRPr="00A069B0">
        <w:rPr>
          <w:rFonts w:ascii="Times New Roman" w:hAnsi="Times New Roman"/>
          <w:sz w:val="24"/>
          <w:szCs w:val="24"/>
          <w:lang w:val="en-US"/>
        </w:rPr>
        <w:t>increased tax liabilities</w:t>
      </w:r>
      <w:r w:rsidR="00A5740E">
        <w:rPr>
          <w:rFonts w:ascii="Times New Roman" w:hAnsi="Times New Roman"/>
          <w:sz w:val="24"/>
          <w:szCs w:val="24"/>
          <w:lang w:val="en-US"/>
        </w:rPr>
        <w:t xml:space="preserve"> decrease</w:t>
      </w:r>
      <w:r w:rsidR="00184C67">
        <w:rPr>
          <w:rFonts w:ascii="Times New Roman" w:hAnsi="Times New Roman"/>
          <w:sz w:val="24"/>
          <w:szCs w:val="24"/>
          <w:lang w:val="en-US"/>
        </w:rPr>
        <w:t xml:space="preserve"> liquid assets</w:t>
      </w:r>
      <w:r w:rsidR="00A5740E">
        <w:rPr>
          <w:rFonts w:ascii="Times New Roman" w:hAnsi="Times New Roman"/>
          <w:sz w:val="24"/>
          <w:szCs w:val="24"/>
          <w:lang w:val="en-US"/>
        </w:rPr>
        <w:t>, which decrease</w:t>
      </w:r>
      <w:r w:rsidR="00184C67">
        <w:rPr>
          <w:rFonts w:ascii="Times New Roman" w:hAnsi="Times New Roman"/>
          <w:sz w:val="24"/>
          <w:szCs w:val="24"/>
          <w:lang w:val="en-US"/>
        </w:rPr>
        <w:t xml:space="preserve"> the amou</w:t>
      </w:r>
      <w:r w:rsidR="00A5740E">
        <w:rPr>
          <w:rFonts w:ascii="Times New Roman" w:hAnsi="Times New Roman"/>
          <w:sz w:val="24"/>
          <w:szCs w:val="24"/>
          <w:lang w:val="en-US"/>
        </w:rPr>
        <w:t>nt o</w:t>
      </w:r>
      <w:r w:rsidR="00184C67">
        <w:rPr>
          <w:rFonts w:ascii="Times New Roman" w:hAnsi="Times New Roman"/>
          <w:sz w:val="24"/>
          <w:szCs w:val="24"/>
          <w:lang w:val="en-US"/>
        </w:rPr>
        <w:t>f</w:t>
      </w:r>
      <w:r w:rsidR="00A5740E">
        <w:rPr>
          <w:rFonts w:ascii="Times New Roman" w:hAnsi="Times New Roman"/>
          <w:sz w:val="24"/>
          <w:szCs w:val="24"/>
          <w:lang w:val="en-US"/>
        </w:rPr>
        <w:t xml:space="preserve"> income</w:t>
      </w:r>
      <w:r w:rsidR="00184C67">
        <w:rPr>
          <w:rFonts w:ascii="Times New Roman" w:hAnsi="Times New Roman"/>
          <w:sz w:val="24"/>
          <w:szCs w:val="24"/>
          <w:lang w:val="en-US"/>
        </w:rPr>
        <w:t xml:space="preserve"> that firms can promise as collateral for </w:t>
      </w:r>
      <w:r w:rsidR="00A5740E">
        <w:rPr>
          <w:rFonts w:ascii="Times New Roman" w:hAnsi="Times New Roman"/>
          <w:sz w:val="24"/>
          <w:szCs w:val="24"/>
          <w:lang w:val="en-US"/>
        </w:rPr>
        <w:t>gaining</w:t>
      </w:r>
      <w:r w:rsidR="00184C67">
        <w:rPr>
          <w:rFonts w:ascii="Times New Roman" w:hAnsi="Times New Roman"/>
          <w:sz w:val="24"/>
          <w:szCs w:val="24"/>
          <w:lang w:val="en-US"/>
        </w:rPr>
        <w:t xml:space="preserve"> external finance. Our results </w:t>
      </w:r>
      <w:r w:rsidR="006411DA">
        <w:rPr>
          <w:rFonts w:ascii="Times New Roman" w:hAnsi="Times New Roman"/>
          <w:sz w:val="24"/>
          <w:szCs w:val="24"/>
          <w:lang w:val="en-US"/>
        </w:rPr>
        <w:t xml:space="preserve">partly </w:t>
      </w:r>
      <w:r w:rsidR="00184C67">
        <w:rPr>
          <w:rFonts w:ascii="Times New Roman" w:hAnsi="Times New Roman"/>
          <w:sz w:val="24"/>
          <w:szCs w:val="24"/>
          <w:lang w:val="en-US"/>
        </w:rPr>
        <w:t xml:space="preserve">confirm that there </w:t>
      </w:r>
      <w:r w:rsidR="00A5740E">
        <w:rPr>
          <w:rFonts w:ascii="Times New Roman" w:hAnsi="Times New Roman"/>
          <w:sz w:val="24"/>
          <w:szCs w:val="24"/>
          <w:lang w:val="en-US"/>
        </w:rPr>
        <w:t>are</w:t>
      </w:r>
      <w:r w:rsidR="00184C67">
        <w:rPr>
          <w:rFonts w:ascii="Times New Roman" w:hAnsi="Times New Roman"/>
          <w:sz w:val="24"/>
          <w:szCs w:val="24"/>
          <w:lang w:val="en-US"/>
        </w:rPr>
        <w:t xml:space="preserve"> asymmetr</w:t>
      </w:r>
      <w:r w:rsidR="00A5740E">
        <w:rPr>
          <w:rFonts w:ascii="Times New Roman" w:hAnsi="Times New Roman"/>
          <w:sz w:val="24"/>
          <w:szCs w:val="24"/>
          <w:lang w:val="en-US"/>
        </w:rPr>
        <w:t>ies</w:t>
      </w:r>
      <w:r w:rsidR="00184C67">
        <w:rPr>
          <w:rFonts w:ascii="Times New Roman" w:hAnsi="Times New Roman"/>
          <w:sz w:val="24"/>
          <w:szCs w:val="24"/>
          <w:lang w:val="en-US"/>
        </w:rPr>
        <w:t xml:space="preserve"> in</w:t>
      </w:r>
      <w:r w:rsidR="00A5740E">
        <w:rPr>
          <w:rFonts w:ascii="Times New Roman" w:hAnsi="Times New Roman"/>
          <w:sz w:val="24"/>
          <w:szCs w:val="24"/>
          <w:lang w:val="en-US"/>
        </w:rPr>
        <w:t xml:space="preserve"> </w:t>
      </w:r>
      <w:r w:rsidR="00184C67">
        <w:rPr>
          <w:rFonts w:ascii="Times New Roman" w:hAnsi="Times New Roman"/>
          <w:sz w:val="24"/>
          <w:szCs w:val="24"/>
          <w:lang w:val="en-US"/>
        </w:rPr>
        <w:t xml:space="preserve">this </w:t>
      </w:r>
      <w:r w:rsidR="00A5740E">
        <w:rPr>
          <w:rFonts w:ascii="Times New Roman" w:hAnsi="Times New Roman"/>
          <w:sz w:val="24"/>
          <w:szCs w:val="24"/>
          <w:lang w:val="en-US"/>
        </w:rPr>
        <w:t>result</w:t>
      </w:r>
      <w:r w:rsidR="00184C67">
        <w:rPr>
          <w:rFonts w:ascii="Times New Roman" w:hAnsi="Times New Roman"/>
          <w:sz w:val="24"/>
          <w:szCs w:val="24"/>
          <w:lang w:val="en-US"/>
        </w:rPr>
        <w:t xml:space="preserve"> with </w:t>
      </w:r>
      <w:r w:rsidR="00A5740E">
        <w:rPr>
          <w:rFonts w:ascii="Times New Roman" w:hAnsi="Times New Roman"/>
          <w:sz w:val="24"/>
          <w:szCs w:val="24"/>
          <w:lang w:val="en-US"/>
        </w:rPr>
        <w:t>reference</w:t>
      </w:r>
      <w:r w:rsidR="00184C67">
        <w:rPr>
          <w:rFonts w:ascii="Times New Roman" w:hAnsi="Times New Roman"/>
          <w:sz w:val="24"/>
          <w:szCs w:val="24"/>
          <w:lang w:val="en-US"/>
        </w:rPr>
        <w:t xml:space="preserve"> to R&amp;D and exporting firms. </w:t>
      </w:r>
      <w:r w:rsidR="006411DA">
        <w:rPr>
          <w:rFonts w:ascii="Times New Roman" w:hAnsi="Times New Roman"/>
          <w:sz w:val="24"/>
          <w:szCs w:val="24"/>
          <w:lang w:val="en-US"/>
        </w:rPr>
        <w:t xml:space="preserve">Using </w:t>
      </w:r>
      <w:r w:rsidR="00D17BFA">
        <w:rPr>
          <w:rFonts w:ascii="Times New Roman" w:hAnsi="Times New Roman"/>
          <w:sz w:val="24"/>
          <w:szCs w:val="24"/>
          <w:lang w:val="en-US"/>
        </w:rPr>
        <w:t>the</w:t>
      </w:r>
      <w:r w:rsidR="006411DA">
        <w:rPr>
          <w:rFonts w:ascii="Times New Roman" w:hAnsi="Times New Roman"/>
          <w:sz w:val="24"/>
          <w:szCs w:val="24"/>
          <w:lang w:val="en-US"/>
        </w:rPr>
        <w:t xml:space="preserve"> tax variable as a measure of tax liability</w:t>
      </w:r>
      <w:r w:rsidR="00D17BFA">
        <w:rPr>
          <w:rFonts w:ascii="Times New Roman" w:hAnsi="Times New Roman"/>
          <w:sz w:val="24"/>
          <w:szCs w:val="24"/>
          <w:lang w:val="en-US"/>
        </w:rPr>
        <w:t>,</w:t>
      </w:r>
      <w:r w:rsidR="006411DA">
        <w:rPr>
          <w:rFonts w:ascii="Times New Roman" w:hAnsi="Times New Roman"/>
          <w:sz w:val="24"/>
          <w:szCs w:val="24"/>
          <w:lang w:val="en-US"/>
        </w:rPr>
        <w:t xml:space="preserve"> we found that a higher level of tax burden affects disproportionately R&amp;D based firms and exporters. </w:t>
      </w:r>
      <w:r w:rsidR="00F86342">
        <w:rPr>
          <w:rFonts w:ascii="Times New Roman" w:hAnsi="Times New Roman"/>
          <w:sz w:val="24"/>
          <w:szCs w:val="24"/>
          <w:lang w:val="en-US"/>
        </w:rPr>
        <w:t xml:space="preserve">This result points to the direction </w:t>
      </w:r>
      <w:r w:rsidR="00184C67">
        <w:rPr>
          <w:rFonts w:ascii="Times New Roman" w:hAnsi="Times New Roman"/>
          <w:sz w:val="24"/>
          <w:szCs w:val="24"/>
          <w:lang w:val="en-US"/>
        </w:rPr>
        <w:t xml:space="preserve">that higher </w:t>
      </w:r>
      <w:r w:rsidR="00A5740E">
        <w:rPr>
          <w:rFonts w:ascii="Times New Roman" w:hAnsi="Times New Roman"/>
          <w:sz w:val="24"/>
          <w:szCs w:val="24"/>
          <w:lang w:val="en-US"/>
        </w:rPr>
        <w:t>corporate</w:t>
      </w:r>
      <w:r w:rsidR="00184C67">
        <w:rPr>
          <w:rFonts w:ascii="Times New Roman" w:hAnsi="Times New Roman"/>
          <w:sz w:val="24"/>
          <w:szCs w:val="24"/>
          <w:lang w:val="en-US"/>
        </w:rPr>
        <w:t xml:space="preserve"> tax</w:t>
      </w:r>
      <w:r w:rsidR="00A5740E">
        <w:rPr>
          <w:rFonts w:ascii="Times New Roman" w:hAnsi="Times New Roman"/>
          <w:sz w:val="24"/>
          <w:szCs w:val="24"/>
          <w:lang w:val="en-US"/>
        </w:rPr>
        <w:t xml:space="preserve"> can also</w:t>
      </w:r>
      <w:r w:rsidR="00184C67">
        <w:rPr>
          <w:rFonts w:ascii="Times New Roman" w:hAnsi="Times New Roman"/>
          <w:sz w:val="24"/>
          <w:szCs w:val="24"/>
          <w:lang w:val="en-US"/>
        </w:rPr>
        <w:t xml:space="preserve"> </w:t>
      </w:r>
      <w:r w:rsidR="00A5740E">
        <w:rPr>
          <w:rFonts w:ascii="Times New Roman" w:hAnsi="Times New Roman"/>
          <w:sz w:val="24"/>
          <w:szCs w:val="24"/>
          <w:lang w:val="en-US"/>
        </w:rPr>
        <w:t>affect</w:t>
      </w:r>
      <w:r w:rsidR="00184C67">
        <w:rPr>
          <w:rFonts w:ascii="Times New Roman" w:hAnsi="Times New Roman"/>
          <w:sz w:val="24"/>
          <w:szCs w:val="24"/>
          <w:lang w:val="en-US"/>
        </w:rPr>
        <w:t xml:space="preserve"> the</w:t>
      </w:r>
      <w:r w:rsidR="00A5740E">
        <w:rPr>
          <w:rFonts w:ascii="Times New Roman" w:hAnsi="Times New Roman"/>
          <w:sz w:val="24"/>
          <w:szCs w:val="24"/>
          <w:lang w:val="en-US"/>
        </w:rPr>
        <w:t xml:space="preserve"> positive</w:t>
      </w:r>
      <w:r w:rsidR="00184C67">
        <w:rPr>
          <w:rFonts w:ascii="Times New Roman" w:hAnsi="Times New Roman"/>
          <w:sz w:val="24"/>
          <w:szCs w:val="24"/>
          <w:lang w:val="en-US"/>
        </w:rPr>
        <w:t xml:space="preserve"> </w:t>
      </w:r>
      <w:r w:rsidR="00A5740E">
        <w:rPr>
          <w:rFonts w:ascii="Times New Roman" w:hAnsi="Times New Roman"/>
          <w:sz w:val="24"/>
          <w:szCs w:val="24"/>
          <w:lang w:val="en-US"/>
        </w:rPr>
        <w:t>spillovers</w:t>
      </w:r>
      <w:r w:rsidR="00184C67">
        <w:rPr>
          <w:rFonts w:ascii="Times New Roman" w:hAnsi="Times New Roman"/>
          <w:sz w:val="24"/>
          <w:szCs w:val="24"/>
          <w:lang w:val="en-US"/>
        </w:rPr>
        <w:t xml:space="preserve"> </w:t>
      </w:r>
      <w:r w:rsidR="00A5740E">
        <w:rPr>
          <w:rFonts w:ascii="Times New Roman" w:hAnsi="Times New Roman"/>
          <w:sz w:val="24"/>
          <w:szCs w:val="24"/>
          <w:lang w:val="en-US"/>
        </w:rPr>
        <w:t>derived from</w:t>
      </w:r>
      <w:r w:rsidR="00184C67">
        <w:rPr>
          <w:rFonts w:ascii="Times New Roman" w:hAnsi="Times New Roman"/>
          <w:sz w:val="24"/>
          <w:szCs w:val="24"/>
          <w:lang w:val="en-US"/>
        </w:rPr>
        <w:t xml:space="preserve"> the activities of R&amp;D and exporting firms</w:t>
      </w:r>
      <w:r w:rsidRPr="00A069B0">
        <w:rPr>
          <w:rFonts w:ascii="Times New Roman" w:hAnsi="Times New Roman"/>
          <w:sz w:val="24"/>
          <w:szCs w:val="24"/>
          <w:lang w:val="en-US"/>
        </w:rPr>
        <w:t>.</w:t>
      </w:r>
      <w:r w:rsidR="006411DA">
        <w:rPr>
          <w:rFonts w:ascii="Times New Roman" w:hAnsi="Times New Roman"/>
          <w:sz w:val="24"/>
          <w:szCs w:val="24"/>
          <w:lang w:val="en-US"/>
        </w:rPr>
        <w:t xml:space="preserve"> This scenario becomes less convincing when we apply the effective tax rate as a tax variable as most interaction terms found to be statistically insignificant.</w:t>
      </w:r>
    </w:p>
    <w:p w:rsidR="00E26259" w:rsidRPr="00E26259" w:rsidRDefault="00A5740E" w:rsidP="00A5740E">
      <w:pPr>
        <w:ind w:firstLine="426"/>
        <w:rPr>
          <w:rFonts w:ascii="Times New Roman" w:hAnsi="Times New Roman"/>
          <w:sz w:val="24"/>
          <w:szCs w:val="24"/>
          <w:lang w:val="en-US"/>
        </w:rPr>
      </w:pPr>
      <w:r>
        <w:rPr>
          <w:rFonts w:ascii="Times New Roman" w:hAnsi="Times New Roman"/>
          <w:sz w:val="24"/>
          <w:szCs w:val="24"/>
          <w:lang w:val="en-US"/>
        </w:rPr>
        <w:t xml:space="preserve">Based on the main message of the present study </w:t>
      </w:r>
      <w:r w:rsidRPr="00A069B0">
        <w:rPr>
          <w:rFonts w:ascii="Times New Roman" w:hAnsi="Times New Roman"/>
          <w:sz w:val="24"/>
          <w:szCs w:val="24"/>
          <w:lang w:val="en-US"/>
        </w:rPr>
        <w:t>that national fiscal policy</w:t>
      </w:r>
      <w:r>
        <w:rPr>
          <w:rFonts w:ascii="Times New Roman" w:hAnsi="Times New Roman"/>
          <w:sz w:val="24"/>
          <w:szCs w:val="24"/>
          <w:lang w:val="en-US"/>
        </w:rPr>
        <w:t xml:space="preserve"> drives firm- specific investment decisions and their productivity catch-up process, the </w:t>
      </w:r>
      <w:r w:rsidR="00184C67">
        <w:rPr>
          <w:rFonts w:ascii="Times New Roman" w:hAnsi="Times New Roman"/>
          <w:sz w:val="24"/>
          <w:szCs w:val="24"/>
          <w:lang w:val="en-US"/>
        </w:rPr>
        <w:t>main</w:t>
      </w:r>
      <w:r w:rsidR="00E26259" w:rsidRPr="00A069B0">
        <w:rPr>
          <w:rFonts w:ascii="Times New Roman" w:hAnsi="Times New Roman"/>
          <w:sz w:val="24"/>
          <w:szCs w:val="24"/>
          <w:lang w:val="en-US"/>
        </w:rPr>
        <w:t xml:space="preserve"> policy </w:t>
      </w:r>
      <w:r>
        <w:rPr>
          <w:rFonts w:ascii="Times New Roman" w:hAnsi="Times New Roman"/>
          <w:sz w:val="24"/>
          <w:szCs w:val="24"/>
          <w:lang w:val="en-US"/>
        </w:rPr>
        <w:t xml:space="preserve">implication is </w:t>
      </w:r>
      <w:r w:rsidR="00184C67">
        <w:rPr>
          <w:rFonts w:ascii="Times New Roman" w:hAnsi="Times New Roman"/>
          <w:sz w:val="24"/>
          <w:szCs w:val="24"/>
          <w:lang w:val="en-US"/>
        </w:rPr>
        <w:t xml:space="preserve">that we need a tax </w:t>
      </w:r>
      <w:r w:rsidR="003977E2">
        <w:rPr>
          <w:rFonts w:ascii="Times New Roman" w:hAnsi="Times New Roman"/>
          <w:sz w:val="24"/>
          <w:szCs w:val="24"/>
          <w:lang w:val="en-US"/>
        </w:rPr>
        <w:t>system</w:t>
      </w:r>
      <w:r w:rsidR="00184C67">
        <w:rPr>
          <w:rFonts w:ascii="Times New Roman" w:hAnsi="Times New Roman"/>
          <w:sz w:val="24"/>
          <w:szCs w:val="24"/>
          <w:lang w:val="en-US"/>
        </w:rPr>
        <w:t xml:space="preserve"> that promotes dynamic activities. </w:t>
      </w:r>
      <w:r>
        <w:rPr>
          <w:rFonts w:ascii="Times New Roman" w:hAnsi="Times New Roman"/>
          <w:sz w:val="24"/>
          <w:szCs w:val="24"/>
          <w:lang w:val="en-US"/>
        </w:rPr>
        <w:t>A</w:t>
      </w:r>
      <w:r w:rsidR="003977E2">
        <w:rPr>
          <w:rFonts w:ascii="Times New Roman" w:hAnsi="Times New Roman"/>
          <w:sz w:val="24"/>
          <w:szCs w:val="24"/>
          <w:lang w:val="en-US"/>
        </w:rPr>
        <w:t xml:space="preserve"> progressive </w:t>
      </w:r>
      <w:r>
        <w:rPr>
          <w:rFonts w:ascii="Times New Roman" w:hAnsi="Times New Roman"/>
          <w:sz w:val="24"/>
          <w:szCs w:val="24"/>
          <w:lang w:val="en-US"/>
        </w:rPr>
        <w:t>corporate</w:t>
      </w:r>
      <w:r w:rsidR="003977E2">
        <w:rPr>
          <w:rFonts w:ascii="Times New Roman" w:hAnsi="Times New Roman"/>
          <w:sz w:val="24"/>
          <w:szCs w:val="24"/>
          <w:lang w:val="en-US"/>
        </w:rPr>
        <w:t xml:space="preserve"> tax </w:t>
      </w:r>
      <w:r>
        <w:rPr>
          <w:rFonts w:ascii="Times New Roman" w:hAnsi="Times New Roman"/>
          <w:sz w:val="24"/>
          <w:szCs w:val="24"/>
          <w:lang w:val="en-US"/>
        </w:rPr>
        <w:t>system</w:t>
      </w:r>
      <w:r w:rsidR="003977E2">
        <w:rPr>
          <w:rFonts w:ascii="Times New Roman" w:hAnsi="Times New Roman"/>
          <w:sz w:val="24"/>
          <w:szCs w:val="24"/>
          <w:lang w:val="en-US"/>
        </w:rPr>
        <w:t xml:space="preserve"> seems to</w:t>
      </w:r>
      <w:r w:rsidR="00184C67">
        <w:rPr>
          <w:rFonts w:ascii="Times New Roman" w:hAnsi="Times New Roman"/>
          <w:sz w:val="24"/>
          <w:szCs w:val="24"/>
          <w:lang w:val="en-US"/>
        </w:rPr>
        <w:t xml:space="preserve"> </w:t>
      </w:r>
      <w:r w:rsidR="00161C4D">
        <w:rPr>
          <w:rFonts w:ascii="Times New Roman" w:hAnsi="Times New Roman"/>
          <w:sz w:val="24"/>
          <w:szCs w:val="24"/>
          <w:lang w:val="en-US"/>
        </w:rPr>
        <w:t>work towards</w:t>
      </w:r>
      <w:r w:rsidR="003977E2">
        <w:rPr>
          <w:rFonts w:ascii="Times New Roman" w:hAnsi="Times New Roman"/>
          <w:sz w:val="24"/>
          <w:szCs w:val="24"/>
          <w:lang w:val="en-US"/>
        </w:rPr>
        <w:t xml:space="preserve"> this</w:t>
      </w:r>
      <w:r w:rsidR="00161C4D">
        <w:rPr>
          <w:rFonts w:ascii="Times New Roman" w:hAnsi="Times New Roman"/>
          <w:sz w:val="24"/>
          <w:szCs w:val="24"/>
          <w:lang w:val="en-US"/>
        </w:rPr>
        <w:t xml:space="preserve"> direction </w:t>
      </w:r>
      <w:r w:rsidR="00184C67">
        <w:rPr>
          <w:rFonts w:ascii="Times New Roman" w:hAnsi="Times New Roman"/>
          <w:sz w:val="24"/>
          <w:szCs w:val="24"/>
          <w:lang w:val="en-US"/>
        </w:rPr>
        <w:t xml:space="preserve">as it </w:t>
      </w:r>
      <w:r w:rsidR="003977E2">
        <w:rPr>
          <w:rFonts w:ascii="Times New Roman" w:hAnsi="Times New Roman"/>
          <w:sz w:val="24"/>
          <w:szCs w:val="24"/>
          <w:lang w:val="en-US"/>
        </w:rPr>
        <w:t>accommodates</w:t>
      </w:r>
      <w:r w:rsidR="00184C67">
        <w:rPr>
          <w:rFonts w:ascii="Times New Roman" w:hAnsi="Times New Roman"/>
          <w:sz w:val="24"/>
          <w:szCs w:val="24"/>
          <w:lang w:val="en-US"/>
        </w:rPr>
        <w:t xml:space="preserve"> </w:t>
      </w:r>
      <w:r w:rsidR="003977E2">
        <w:rPr>
          <w:rFonts w:ascii="Times New Roman" w:hAnsi="Times New Roman"/>
          <w:sz w:val="24"/>
          <w:szCs w:val="24"/>
          <w:lang w:val="en-US"/>
        </w:rPr>
        <w:t>“</w:t>
      </w:r>
      <w:r w:rsidR="00184C67">
        <w:rPr>
          <w:rFonts w:ascii="Times New Roman" w:hAnsi="Times New Roman"/>
          <w:sz w:val="24"/>
          <w:szCs w:val="24"/>
          <w:lang w:val="en-US"/>
        </w:rPr>
        <w:t>a carry forward loss</w:t>
      </w:r>
      <w:r w:rsidR="003977E2">
        <w:rPr>
          <w:rFonts w:ascii="Times New Roman" w:hAnsi="Times New Roman"/>
          <w:sz w:val="24"/>
          <w:szCs w:val="24"/>
          <w:lang w:val="en-US"/>
        </w:rPr>
        <w:t>”</w:t>
      </w:r>
      <w:r w:rsidR="00184C67">
        <w:rPr>
          <w:rFonts w:ascii="Times New Roman" w:hAnsi="Times New Roman"/>
          <w:sz w:val="24"/>
          <w:szCs w:val="24"/>
          <w:lang w:val="en-US"/>
        </w:rPr>
        <w:t xml:space="preserve"> facility, which</w:t>
      </w:r>
      <w:r>
        <w:rPr>
          <w:rFonts w:ascii="Times New Roman" w:hAnsi="Times New Roman"/>
          <w:sz w:val="24"/>
          <w:szCs w:val="24"/>
          <w:lang w:val="en-US"/>
        </w:rPr>
        <w:t xml:space="preserve"> is</w:t>
      </w:r>
      <w:r w:rsidR="00184C67">
        <w:rPr>
          <w:rFonts w:ascii="Times New Roman" w:hAnsi="Times New Roman"/>
          <w:sz w:val="24"/>
          <w:szCs w:val="24"/>
          <w:lang w:val="en-US"/>
        </w:rPr>
        <w:t xml:space="preserve"> </w:t>
      </w:r>
      <w:r w:rsidR="006411DA">
        <w:rPr>
          <w:rFonts w:ascii="Times New Roman" w:hAnsi="Times New Roman"/>
          <w:sz w:val="24"/>
          <w:szCs w:val="24"/>
          <w:lang w:val="en-US"/>
        </w:rPr>
        <w:t>vital</w:t>
      </w:r>
      <w:r w:rsidR="00184C67">
        <w:rPr>
          <w:rFonts w:ascii="Times New Roman" w:hAnsi="Times New Roman"/>
          <w:sz w:val="24"/>
          <w:szCs w:val="24"/>
          <w:lang w:val="en-US"/>
        </w:rPr>
        <w:t xml:space="preserve"> </w:t>
      </w:r>
      <w:r w:rsidR="003977E2">
        <w:rPr>
          <w:rFonts w:ascii="Times New Roman" w:hAnsi="Times New Roman"/>
          <w:sz w:val="24"/>
          <w:szCs w:val="24"/>
          <w:lang w:val="en-US"/>
        </w:rPr>
        <w:t xml:space="preserve">to firms that engage in activities with high </w:t>
      </w:r>
      <w:r>
        <w:rPr>
          <w:rFonts w:ascii="Times New Roman" w:hAnsi="Times New Roman"/>
          <w:sz w:val="24"/>
          <w:szCs w:val="24"/>
          <w:lang w:val="en-US"/>
        </w:rPr>
        <w:t>degree</w:t>
      </w:r>
      <w:r w:rsidR="003977E2">
        <w:rPr>
          <w:rFonts w:ascii="Times New Roman" w:hAnsi="Times New Roman"/>
          <w:sz w:val="24"/>
          <w:szCs w:val="24"/>
          <w:lang w:val="en-US"/>
        </w:rPr>
        <w:t xml:space="preserve"> of uncertainty. Finally, a system of tax exemptions would also have been useful for exporting </w:t>
      </w:r>
      <w:r>
        <w:rPr>
          <w:rFonts w:ascii="Times New Roman" w:hAnsi="Times New Roman"/>
          <w:sz w:val="24"/>
          <w:szCs w:val="24"/>
          <w:lang w:val="en-US"/>
        </w:rPr>
        <w:t>firms</w:t>
      </w:r>
      <w:r w:rsidR="003977E2">
        <w:rPr>
          <w:rFonts w:ascii="Times New Roman" w:hAnsi="Times New Roman"/>
          <w:sz w:val="24"/>
          <w:szCs w:val="24"/>
          <w:lang w:val="en-US"/>
        </w:rPr>
        <w:t xml:space="preserve"> that need financial strength before exploiting gains from </w:t>
      </w:r>
      <w:r>
        <w:rPr>
          <w:rFonts w:ascii="Times New Roman" w:hAnsi="Times New Roman"/>
          <w:sz w:val="24"/>
          <w:szCs w:val="24"/>
          <w:lang w:val="en-US"/>
        </w:rPr>
        <w:t>foreign</w:t>
      </w:r>
      <w:r w:rsidR="003977E2">
        <w:rPr>
          <w:rFonts w:ascii="Times New Roman" w:hAnsi="Times New Roman"/>
          <w:sz w:val="24"/>
          <w:szCs w:val="24"/>
          <w:lang w:val="en-US"/>
        </w:rPr>
        <w:t xml:space="preserve"> market </w:t>
      </w:r>
      <w:r>
        <w:rPr>
          <w:rFonts w:ascii="Times New Roman" w:hAnsi="Times New Roman"/>
          <w:sz w:val="24"/>
          <w:szCs w:val="24"/>
          <w:lang w:val="en-US"/>
        </w:rPr>
        <w:t>expansion</w:t>
      </w:r>
      <w:r w:rsidR="003977E2">
        <w:rPr>
          <w:rFonts w:ascii="Times New Roman" w:hAnsi="Times New Roman"/>
          <w:sz w:val="24"/>
          <w:szCs w:val="24"/>
          <w:lang w:val="en-US"/>
        </w:rPr>
        <w:t xml:space="preserve">. </w:t>
      </w:r>
    </w:p>
    <w:p w:rsidR="000A4878" w:rsidRDefault="000A4878">
      <w:pPr>
        <w:rPr>
          <w:rFonts w:ascii="Times New Roman" w:hAnsi="Times New Roman"/>
          <w:b/>
          <w:sz w:val="24"/>
          <w:szCs w:val="24"/>
          <w:lang w:val="en-US"/>
        </w:rPr>
      </w:pPr>
      <w:r>
        <w:rPr>
          <w:rFonts w:ascii="Times New Roman" w:hAnsi="Times New Roman"/>
          <w:b/>
          <w:sz w:val="24"/>
          <w:szCs w:val="24"/>
          <w:lang w:val="en-US"/>
        </w:rPr>
        <w:br w:type="page"/>
      </w:r>
    </w:p>
    <w:p w:rsidR="00627B07" w:rsidRPr="00627B07" w:rsidRDefault="00685059" w:rsidP="00627B07">
      <w:pPr>
        <w:rPr>
          <w:rFonts w:ascii="Times New Roman" w:hAnsi="Times New Roman"/>
          <w:b/>
          <w:sz w:val="24"/>
          <w:szCs w:val="24"/>
          <w:lang w:val="en-US"/>
        </w:rPr>
      </w:pPr>
      <w:r w:rsidRPr="005C51BA">
        <w:rPr>
          <w:rFonts w:ascii="Times New Roman" w:hAnsi="Times New Roman"/>
          <w:b/>
          <w:sz w:val="24"/>
          <w:szCs w:val="24"/>
          <w:lang w:val="en-US"/>
        </w:rPr>
        <w:lastRenderedPageBreak/>
        <w:t>References</w:t>
      </w:r>
    </w:p>
    <w:p w:rsidR="005055AD" w:rsidRDefault="005055AD" w:rsidP="00D36412">
      <w:pPr>
        <w:pStyle w:val="NormalWeb"/>
      </w:pPr>
      <w:r>
        <w:t>Aghion, P., Fally, T. &amp; Scarpetta, S. 2007, "Credit constraints as a barrier to the entry and post</w:t>
      </w:r>
      <w:r>
        <w:rPr>
          <w:rFonts w:ascii="Cambria Math" w:hAnsi="Cambria Math" w:cs="Cambria Math"/>
        </w:rPr>
        <w:t>‐</w:t>
      </w:r>
      <w:r>
        <w:t xml:space="preserve">entry growth of firms", </w:t>
      </w:r>
      <w:r w:rsidRPr="001468EB">
        <w:rPr>
          <w:i/>
          <w:iCs/>
        </w:rPr>
        <w:t>Economic Policy</w:t>
      </w:r>
      <w:r>
        <w:t xml:space="preserve">, vol. 22, no. 52, pp. 731-779. </w:t>
      </w:r>
    </w:p>
    <w:p w:rsidR="005055AD" w:rsidRPr="00535860" w:rsidRDefault="005055AD" w:rsidP="00D36412">
      <w:pPr>
        <w:rPr>
          <w:rFonts w:ascii="Times New Roman" w:eastAsia="Times New Roman" w:hAnsi="Times New Roman"/>
          <w:sz w:val="24"/>
          <w:szCs w:val="24"/>
          <w:lang w:val="en-GB" w:eastAsia="zh-CN"/>
        </w:rPr>
      </w:pPr>
      <w:r w:rsidRPr="00535860">
        <w:rPr>
          <w:rFonts w:ascii="Times New Roman" w:eastAsia="Times New Roman" w:hAnsi="Times New Roman"/>
          <w:sz w:val="24"/>
          <w:szCs w:val="24"/>
          <w:lang w:val="en-GB" w:eastAsia="zh-CN"/>
        </w:rPr>
        <w:t xml:space="preserve">Aghion, P., Howitt, P., (1998). </w:t>
      </w:r>
      <w:r w:rsidRPr="00535860">
        <w:rPr>
          <w:rFonts w:ascii="Times New Roman" w:eastAsia="Times New Roman" w:hAnsi="Times New Roman"/>
          <w:i/>
          <w:iCs/>
          <w:sz w:val="24"/>
          <w:szCs w:val="24"/>
          <w:lang w:val="en-GB" w:eastAsia="zh-CN"/>
        </w:rPr>
        <w:t>Endogenous Growth Theory</w:t>
      </w:r>
      <w:r w:rsidRPr="00535860">
        <w:rPr>
          <w:rFonts w:ascii="Times New Roman" w:eastAsia="Times New Roman" w:hAnsi="Times New Roman"/>
          <w:sz w:val="24"/>
          <w:szCs w:val="24"/>
          <w:lang w:val="en-GB" w:eastAsia="zh-CN"/>
        </w:rPr>
        <w:t xml:space="preserve">. </w:t>
      </w:r>
      <w:r>
        <w:rPr>
          <w:rFonts w:ascii="Times New Roman" w:eastAsia="Times New Roman" w:hAnsi="Times New Roman"/>
          <w:sz w:val="24"/>
          <w:szCs w:val="24"/>
          <w:lang w:val="en-GB" w:eastAsia="zh-CN"/>
        </w:rPr>
        <w:t xml:space="preserve">Cambridge, MA: </w:t>
      </w:r>
      <w:r w:rsidRPr="00535860">
        <w:rPr>
          <w:rFonts w:ascii="Times New Roman" w:eastAsia="Times New Roman" w:hAnsi="Times New Roman"/>
          <w:sz w:val="24"/>
          <w:szCs w:val="24"/>
          <w:lang w:val="en-GB" w:eastAsia="zh-CN"/>
        </w:rPr>
        <w:t>MIT press.</w:t>
      </w:r>
    </w:p>
    <w:p w:rsidR="005055AD" w:rsidRDefault="005055AD" w:rsidP="00D36412">
      <w:pPr>
        <w:pStyle w:val="NormalWeb"/>
      </w:pPr>
      <w:r>
        <w:t xml:space="preserve">Alesina, A. &amp; Rodrik, D. 1994, "Distributive politics and economic growth", </w:t>
      </w:r>
      <w:r w:rsidRPr="001468EB">
        <w:rPr>
          <w:i/>
          <w:iCs/>
        </w:rPr>
        <w:t>The Quarterly Journal of Economics</w:t>
      </w:r>
      <w:r>
        <w:t xml:space="preserve">, vol. 109, no. 2, pp. 465-490. </w:t>
      </w:r>
    </w:p>
    <w:p w:rsidR="005055AD" w:rsidRDefault="005055AD" w:rsidP="00D36412">
      <w:pPr>
        <w:pStyle w:val="NormalWeb"/>
      </w:pPr>
      <w:r>
        <w:t xml:space="preserve">Arnold, J.M., Brys, B., Heady, C., Johansson, Å., Schwellnus, C. &amp; Vartia, L. 2011, "Tax Policy for Economic Recovery and Growth", </w:t>
      </w:r>
      <w:r w:rsidRPr="001468EB">
        <w:rPr>
          <w:i/>
          <w:iCs/>
        </w:rPr>
        <w:t>The Economic Journal</w:t>
      </w:r>
      <w:r>
        <w:t xml:space="preserve">, vol. 121, no. 550, pp. F59-F80. </w:t>
      </w:r>
    </w:p>
    <w:p w:rsidR="00316495" w:rsidRPr="00EF2433" w:rsidRDefault="007916BB" w:rsidP="00D36412">
      <w:pPr>
        <w:pStyle w:val="NormalWeb"/>
      </w:pPr>
      <w:r>
        <w:t xml:space="preserve">Aw, Bee Yan, Mark J. Roberts, and Daniel Yi Xu. "R&amp;D investments, exporting, and the evolution of firm productivity." </w:t>
      </w:r>
      <w:r>
        <w:rPr>
          <w:i/>
          <w:iCs/>
        </w:rPr>
        <w:t>The American Economic Review</w:t>
      </w:r>
      <w:r w:rsidR="00EF2433">
        <w:t xml:space="preserve"> 98.2 (2008): 451-456.</w:t>
      </w:r>
    </w:p>
    <w:p w:rsidR="00316495" w:rsidRDefault="00352772" w:rsidP="00D36412">
      <w:pPr>
        <w:rPr>
          <w:rFonts w:ascii="Times New Roman" w:eastAsia="Times New Roman" w:hAnsi="Times New Roman"/>
          <w:sz w:val="24"/>
          <w:szCs w:val="24"/>
          <w:lang w:val="en-GB" w:eastAsia="zh-CN"/>
        </w:rPr>
      </w:pPr>
      <w:r w:rsidRPr="00352772">
        <w:rPr>
          <w:rFonts w:ascii="Times New Roman" w:eastAsia="Times New Roman" w:hAnsi="Times New Roman"/>
          <w:sz w:val="24"/>
          <w:szCs w:val="24"/>
          <w:lang w:val="en-GB" w:eastAsia="zh-CN"/>
        </w:rPr>
        <w:t>Barnett, A., Batten, S., Chiu, A., Frankl</w:t>
      </w:r>
      <w:r>
        <w:rPr>
          <w:rFonts w:ascii="Times New Roman" w:eastAsia="Times New Roman" w:hAnsi="Times New Roman"/>
          <w:sz w:val="24"/>
          <w:szCs w:val="24"/>
          <w:lang w:val="en-GB" w:eastAsia="zh-CN"/>
        </w:rPr>
        <w:t>in, J., &amp; Sebastia-Barriel, M. 2014,</w:t>
      </w:r>
      <w:r w:rsidRPr="00352772">
        <w:rPr>
          <w:rFonts w:ascii="Times New Roman" w:eastAsia="Times New Roman" w:hAnsi="Times New Roman"/>
          <w:sz w:val="24"/>
          <w:szCs w:val="24"/>
          <w:lang w:val="en-GB" w:eastAsia="zh-CN"/>
        </w:rPr>
        <w:t xml:space="preserve"> </w:t>
      </w:r>
      <w:r>
        <w:rPr>
          <w:rFonts w:ascii="Times New Roman" w:eastAsia="Times New Roman" w:hAnsi="Times New Roman"/>
          <w:sz w:val="24"/>
          <w:szCs w:val="24"/>
          <w:lang w:val="en-GB" w:eastAsia="zh-CN"/>
        </w:rPr>
        <w:t>“The UK productivity puzzle’’,</w:t>
      </w:r>
      <w:r w:rsidRPr="00352772">
        <w:rPr>
          <w:rFonts w:ascii="Times New Roman" w:eastAsia="Times New Roman" w:hAnsi="Times New Roman"/>
          <w:sz w:val="24"/>
          <w:szCs w:val="24"/>
          <w:lang w:val="en-GB" w:eastAsia="zh-CN"/>
        </w:rPr>
        <w:t xml:space="preserve"> Bank o</w:t>
      </w:r>
      <w:r>
        <w:rPr>
          <w:rFonts w:ascii="Times New Roman" w:eastAsia="Times New Roman" w:hAnsi="Times New Roman"/>
          <w:sz w:val="24"/>
          <w:szCs w:val="24"/>
          <w:lang w:val="en-GB" w:eastAsia="zh-CN"/>
        </w:rPr>
        <w:t>f England Quarterly Bulletin</w:t>
      </w:r>
      <w:r w:rsidR="00C36E06">
        <w:rPr>
          <w:rFonts w:ascii="Times New Roman" w:eastAsia="Times New Roman" w:hAnsi="Times New Roman"/>
          <w:sz w:val="24"/>
          <w:szCs w:val="24"/>
          <w:lang w:val="en-GB" w:eastAsia="zh-CN"/>
        </w:rPr>
        <w:t>,</w:t>
      </w:r>
      <w:r w:rsidR="00C36E06" w:rsidRPr="00352772">
        <w:rPr>
          <w:rFonts w:ascii="Times New Roman" w:eastAsia="Times New Roman" w:hAnsi="Times New Roman"/>
          <w:sz w:val="24"/>
          <w:szCs w:val="24"/>
          <w:lang w:val="en-GB" w:eastAsia="zh-CN"/>
        </w:rPr>
        <w:t xml:space="preserve"> Q2</w:t>
      </w:r>
      <w:r w:rsidRPr="00352772">
        <w:rPr>
          <w:rFonts w:ascii="Times New Roman" w:eastAsia="Times New Roman" w:hAnsi="Times New Roman"/>
          <w:sz w:val="24"/>
          <w:szCs w:val="24"/>
          <w:lang w:val="en-GB" w:eastAsia="zh-CN"/>
        </w:rPr>
        <w:t>.</w:t>
      </w:r>
    </w:p>
    <w:p w:rsidR="005055AD" w:rsidRDefault="005055AD" w:rsidP="00D36412">
      <w:pPr>
        <w:pStyle w:val="NormalWeb"/>
      </w:pPr>
      <w:r>
        <w:t xml:space="preserve">Bartelsman, E.J. &amp; Doms, M. 2000, "Understanding productivity: lessons from longitudinal microdata", </w:t>
      </w:r>
      <w:r w:rsidRPr="001468EB">
        <w:rPr>
          <w:i/>
          <w:iCs/>
        </w:rPr>
        <w:t>Journal of Economic Literature</w:t>
      </w:r>
      <w:r>
        <w:t xml:space="preserve">, vol. 38, no. 3, pp. 569-594. </w:t>
      </w:r>
    </w:p>
    <w:p w:rsidR="005055AD" w:rsidRDefault="005055AD" w:rsidP="00D36412">
      <w:pPr>
        <w:pStyle w:val="NormalWeb"/>
      </w:pPr>
      <w:r>
        <w:t xml:space="preserve">Bernard, A.B. &amp; Jones, C.I. 1996a, "Comparing apples to oranges: productivity convergence and measurement across industries and countries", The </w:t>
      </w:r>
      <w:r w:rsidRPr="001468EB">
        <w:rPr>
          <w:i/>
          <w:iCs/>
        </w:rPr>
        <w:t>American Economic Review</w:t>
      </w:r>
      <w:r>
        <w:t xml:space="preserve">, pp. 1216-1238. </w:t>
      </w:r>
    </w:p>
    <w:p w:rsidR="005055AD" w:rsidRDefault="005055AD" w:rsidP="00D36412">
      <w:pPr>
        <w:pStyle w:val="NormalWeb"/>
      </w:pPr>
      <w:r>
        <w:t xml:space="preserve">Bernard, A.B. &amp; Jones, C.I. 1996b, "Productivity across industries and countries: time series theory and evidence", </w:t>
      </w:r>
      <w:r w:rsidRPr="001468EB">
        <w:rPr>
          <w:i/>
          <w:iCs/>
        </w:rPr>
        <w:t>The Review of Economics and Statistics</w:t>
      </w:r>
      <w:r>
        <w:t xml:space="preserve">, pp. 135-146. </w:t>
      </w:r>
    </w:p>
    <w:p w:rsidR="005055AD" w:rsidRDefault="0085496C" w:rsidP="00D36412">
      <w:pPr>
        <w:pStyle w:val="NormalWeb"/>
      </w:pPr>
      <w:r w:rsidRPr="0085496C">
        <w:t xml:space="preserve">Bloom, N., Schankerman, M. and Van Reenen, J. (2013), Identifying Technology Spillovers and Product Market Rivalry. </w:t>
      </w:r>
      <w:r w:rsidRPr="00161C4D">
        <w:rPr>
          <w:i/>
        </w:rPr>
        <w:t>Econometrica</w:t>
      </w:r>
      <w:r w:rsidRPr="0085496C">
        <w:t>, 81: 1347–1393.</w:t>
      </w:r>
      <w:r w:rsidR="005055AD">
        <w:t xml:space="preserve"> </w:t>
      </w:r>
    </w:p>
    <w:p w:rsidR="005055AD" w:rsidRDefault="005055AD" w:rsidP="00D36412">
      <w:pPr>
        <w:pStyle w:val="NormalWeb"/>
      </w:pPr>
      <w:r>
        <w:t xml:space="preserve">Blundell, R. &amp; Bond, S. 2000, "GMM estimation with persistent panel data: an application to production functions", </w:t>
      </w:r>
      <w:r w:rsidRPr="001468EB">
        <w:rPr>
          <w:i/>
          <w:iCs/>
        </w:rPr>
        <w:t>Econometric Reviews</w:t>
      </w:r>
      <w:r>
        <w:t xml:space="preserve">, vol. 19, no. 3, pp. 321-340. </w:t>
      </w:r>
    </w:p>
    <w:p w:rsidR="005055AD" w:rsidRDefault="005055AD" w:rsidP="00D36412">
      <w:pPr>
        <w:pStyle w:val="NormalWeb"/>
      </w:pPr>
      <w:r>
        <w:t>Bourlès, R., Cette, G., Lopez, J., Mairesse, J. &amp; Nicoletti, G. 201</w:t>
      </w:r>
      <w:r w:rsidR="00B21534">
        <w:t>3</w:t>
      </w:r>
      <w:r>
        <w:t xml:space="preserve">, "Do product market regulations in upstream sectors curb productivity growth? Panel data evidence for OECD countries", </w:t>
      </w:r>
      <w:r w:rsidRPr="001468EB">
        <w:rPr>
          <w:i/>
          <w:iCs/>
        </w:rPr>
        <w:t>Review of Economics and Statistics</w:t>
      </w:r>
      <w:r>
        <w:t xml:space="preserve">, </w:t>
      </w:r>
      <w:r w:rsidR="00B21534">
        <w:t>95 (5): 1750-1768</w:t>
      </w:r>
      <w:r>
        <w:t xml:space="preserve">. </w:t>
      </w:r>
    </w:p>
    <w:p w:rsidR="005055AD" w:rsidRPr="00785E71" w:rsidRDefault="005055AD" w:rsidP="00D36412">
      <w:pPr>
        <w:spacing w:before="100" w:beforeAutospacing="1" w:after="100" w:afterAutospacing="1"/>
        <w:rPr>
          <w:rFonts w:ascii="Times New Roman" w:eastAsia="Times New Roman" w:hAnsi="Times New Roman"/>
          <w:sz w:val="24"/>
          <w:szCs w:val="24"/>
          <w:lang w:val="en-GB" w:eastAsia="zh-CN"/>
        </w:rPr>
      </w:pPr>
      <w:r w:rsidRPr="00785E71">
        <w:rPr>
          <w:rFonts w:ascii="Times New Roman" w:eastAsia="Times New Roman" w:hAnsi="Times New Roman"/>
          <w:sz w:val="24"/>
          <w:szCs w:val="24"/>
          <w:lang w:val="en-GB" w:eastAsia="zh-CN"/>
        </w:rPr>
        <w:t>Brekke, K.R., Garcia Pires, A.J., Schindler, D. &amp; Schjelderup, G. 2014, "Capi</w:t>
      </w:r>
      <w:r>
        <w:rPr>
          <w:rFonts w:ascii="Times New Roman" w:eastAsia="Times New Roman" w:hAnsi="Times New Roman"/>
          <w:sz w:val="24"/>
          <w:szCs w:val="24"/>
          <w:lang w:val="en-GB" w:eastAsia="zh-CN"/>
        </w:rPr>
        <w:t xml:space="preserve">tal Taxation </w:t>
      </w:r>
      <w:r w:rsidRPr="00785E71">
        <w:rPr>
          <w:rFonts w:ascii="Times New Roman" w:eastAsia="Times New Roman" w:hAnsi="Times New Roman"/>
          <w:sz w:val="24"/>
          <w:szCs w:val="24"/>
          <w:lang w:val="en-GB" w:eastAsia="zh-CN"/>
        </w:rPr>
        <w:t xml:space="preserve">and Imperfect Competition: ACE vs. CBIT.", </w:t>
      </w:r>
      <w:r w:rsidRPr="00785E71">
        <w:rPr>
          <w:rFonts w:ascii="Times New Roman" w:eastAsia="Times New Roman" w:hAnsi="Times New Roman"/>
          <w:i/>
          <w:iCs/>
          <w:sz w:val="24"/>
          <w:szCs w:val="24"/>
          <w:lang w:val="en-GB" w:eastAsia="zh-CN"/>
        </w:rPr>
        <w:t>NHH Dept.</w:t>
      </w:r>
      <w:r w:rsidR="00D17BFA">
        <w:rPr>
          <w:rFonts w:ascii="Times New Roman" w:eastAsia="Times New Roman" w:hAnsi="Times New Roman"/>
          <w:i/>
          <w:iCs/>
          <w:sz w:val="24"/>
          <w:szCs w:val="24"/>
          <w:lang w:val="en-GB" w:eastAsia="zh-CN"/>
        </w:rPr>
        <w:t xml:space="preserve"> </w:t>
      </w:r>
      <w:r w:rsidRPr="00785E71">
        <w:rPr>
          <w:rFonts w:ascii="Times New Roman" w:eastAsia="Times New Roman" w:hAnsi="Times New Roman"/>
          <w:i/>
          <w:iCs/>
          <w:sz w:val="24"/>
          <w:szCs w:val="24"/>
          <w:lang w:val="en-GB" w:eastAsia="zh-CN"/>
        </w:rPr>
        <w:t xml:space="preserve">of Economics Discussion Paper, </w:t>
      </w:r>
      <w:r w:rsidRPr="00785E71">
        <w:rPr>
          <w:rFonts w:ascii="Times New Roman" w:eastAsia="Times New Roman" w:hAnsi="Times New Roman"/>
          <w:sz w:val="24"/>
          <w:szCs w:val="24"/>
          <w:lang w:val="en-GB" w:eastAsia="zh-CN"/>
        </w:rPr>
        <w:t xml:space="preserve">, no. 32. </w:t>
      </w:r>
    </w:p>
    <w:p w:rsidR="005055AD" w:rsidRDefault="005055AD" w:rsidP="00D36412">
      <w:pPr>
        <w:pStyle w:val="NormalWeb"/>
      </w:pPr>
      <w:r>
        <w:t xml:space="preserve">Cameron, G. 2006, "Openness, R&amp;D, and growth at the industry level", Perspectives in Economic Growth, pp. 137-158. </w:t>
      </w:r>
    </w:p>
    <w:p w:rsidR="005055AD" w:rsidRDefault="005055AD" w:rsidP="00D36412">
      <w:pPr>
        <w:pStyle w:val="NormalWeb"/>
      </w:pPr>
      <w:r>
        <w:lastRenderedPageBreak/>
        <w:t xml:space="preserve">Cameron, G., Proudman, J., Redding, S., 2005. Technological convergence, R&amp;D, trade and productivity growth, </w:t>
      </w:r>
      <w:r w:rsidRPr="001468EB">
        <w:rPr>
          <w:i/>
          <w:iCs/>
        </w:rPr>
        <w:t>European Economic Review</w:t>
      </w:r>
      <w:r>
        <w:t xml:space="preserve">, vol. 49, pp. 775–807. </w:t>
      </w:r>
    </w:p>
    <w:p w:rsidR="005055AD" w:rsidRDefault="005055AD" w:rsidP="00D36412">
      <w:pPr>
        <w:pStyle w:val="NormalWeb"/>
      </w:pPr>
      <w:r>
        <w:t>Crespi, G., Criscuolo, C. &amp; Haskel, J. 2008, "Productivity, exporting, and the learning</w:t>
      </w:r>
      <w:r>
        <w:rPr>
          <w:rFonts w:ascii="Cambria Math" w:hAnsi="Cambria Math" w:cs="Cambria Math"/>
        </w:rPr>
        <w:t>‐</w:t>
      </w:r>
      <w:r>
        <w:t>by</w:t>
      </w:r>
      <w:r>
        <w:rPr>
          <w:rFonts w:ascii="Cambria Math" w:hAnsi="Cambria Math" w:cs="Cambria Math"/>
        </w:rPr>
        <w:t>‐</w:t>
      </w:r>
      <w:r>
        <w:t xml:space="preserve">exporting hypothesis: direct evidence from UK firms", Canadian Journal of Economics/Revue canadienne d'économique, vol. 41, no. 2, pp. 619-638. </w:t>
      </w:r>
    </w:p>
    <w:p w:rsidR="005055AD" w:rsidRDefault="005055AD" w:rsidP="00D36412">
      <w:pPr>
        <w:pStyle w:val="NormalWeb"/>
      </w:pPr>
      <w:r>
        <w:t xml:space="preserve">Cullen, J.B., Gordon, R.H., 2007. Taxes and entrepreneurial risk-taking: Theory and evidence for the U.S., </w:t>
      </w:r>
      <w:r w:rsidRPr="001468EB">
        <w:rPr>
          <w:i/>
          <w:iCs/>
        </w:rPr>
        <w:t>Journal of Public Economics</w:t>
      </w:r>
      <w:r>
        <w:t xml:space="preserve">, vol.  91, pp. 1479–1505. </w:t>
      </w:r>
    </w:p>
    <w:p w:rsidR="005055AD" w:rsidRDefault="005055AD" w:rsidP="00D36412">
      <w:pPr>
        <w:pStyle w:val="NormalWeb"/>
      </w:pPr>
      <w:r>
        <w:t xml:space="preserve">Davis, S.J., Haltiwanger, J. &amp; Schuh, S. 1996, "Small business and job creation: Dissecting the myth and reassessing the facts", </w:t>
      </w:r>
      <w:r w:rsidRPr="001468EB">
        <w:rPr>
          <w:i/>
          <w:iCs/>
        </w:rPr>
        <w:t>Small Business Economics</w:t>
      </w:r>
      <w:r>
        <w:t xml:space="preserve">, vol. 8, no. 4, pp. 297-315. </w:t>
      </w:r>
    </w:p>
    <w:p w:rsidR="00EF2433" w:rsidRDefault="00EF2433" w:rsidP="00D36412">
      <w:pPr>
        <w:pStyle w:val="NormalWeb"/>
      </w:pPr>
      <w:r>
        <w:t xml:space="preserve">Devereux, M.P. and Griffith, R., 1999. The Taxation </w:t>
      </w:r>
      <w:r w:rsidR="00D17BFA">
        <w:t>o</w:t>
      </w:r>
      <w:r>
        <w:t xml:space="preserve">f Discrete Investment Choices. </w:t>
      </w:r>
      <w:r>
        <w:rPr>
          <w:i/>
          <w:iCs/>
        </w:rPr>
        <w:t>Institute for Fiscal Studies</w:t>
      </w:r>
      <w:r>
        <w:t>.</w:t>
      </w:r>
    </w:p>
    <w:p w:rsidR="00EF2433" w:rsidRPr="00EF2433" w:rsidRDefault="00EF2433" w:rsidP="00D36412">
      <w:pPr>
        <w:rPr>
          <w:rFonts w:ascii="Times New Roman" w:eastAsia="Times New Roman" w:hAnsi="Times New Roman"/>
          <w:sz w:val="24"/>
          <w:szCs w:val="24"/>
          <w:lang w:val="en-GB" w:eastAsia="zh-CN"/>
        </w:rPr>
      </w:pPr>
      <w:r w:rsidRPr="00EF2433">
        <w:rPr>
          <w:rFonts w:ascii="Times New Roman" w:eastAsia="Times New Roman" w:hAnsi="Times New Roman"/>
          <w:sz w:val="24"/>
          <w:szCs w:val="24"/>
          <w:lang w:val="en-GB" w:eastAsia="zh-CN"/>
        </w:rPr>
        <w:t xml:space="preserve">Devereux, M.P. and Griffith, R., 2003. Evaluating tax policy for location decisions. </w:t>
      </w:r>
      <w:r w:rsidRPr="00EF2433">
        <w:rPr>
          <w:rFonts w:ascii="Times New Roman" w:eastAsia="Times New Roman" w:hAnsi="Times New Roman"/>
          <w:i/>
          <w:iCs/>
          <w:sz w:val="24"/>
          <w:szCs w:val="24"/>
          <w:lang w:val="en-GB" w:eastAsia="zh-CN"/>
        </w:rPr>
        <w:t>International Tax and Public Finance</w:t>
      </w:r>
      <w:r w:rsidRPr="00EF2433">
        <w:rPr>
          <w:rFonts w:ascii="Times New Roman" w:eastAsia="Times New Roman" w:hAnsi="Times New Roman"/>
          <w:sz w:val="24"/>
          <w:szCs w:val="24"/>
          <w:lang w:val="en-GB" w:eastAsia="zh-CN"/>
        </w:rPr>
        <w:t xml:space="preserve">, </w:t>
      </w:r>
      <w:r w:rsidRPr="00EF2433">
        <w:rPr>
          <w:rFonts w:ascii="Times New Roman" w:eastAsia="Times New Roman" w:hAnsi="Times New Roman"/>
          <w:i/>
          <w:iCs/>
          <w:sz w:val="24"/>
          <w:szCs w:val="24"/>
          <w:lang w:val="en-GB" w:eastAsia="zh-CN"/>
        </w:rPr>
        <w:t>10</w:t>
      </w:r>
      <w:r w:rsidRPr="00EF2433">
        <w:rPr>
          <w:rFonts w:ascii="Times New Roman" w:eastAsia="Times New Roman" w:hAnsi="Times New Roman"/>
          <w:sz w:val="24"/>
          <w:szCs w:val="24"/>
          <w:lang w:val="en-GB" w:eastAsia="zh-CN"/>
        </w:rPr>
        <w:t>(2), pp.107-126.</w:t>
      </w:r>
    </w:p>
    <w:p w:rsidR="005055AD" w:rsidRDefault="005055AD" w:rsidP="00D36412">
      <w:pPr>
        <w:pStyle w:val="NormalWeb"/>
      </w:pPr>
      <w:r>
        <w:t>Devereux, M.P., &amp; Loretz S. 2011, “Corporation tax in the United Kingdom”, Centre for Business Taxation, Said Business School, University of Oxford.</w:t>
      </w:r>
    </w:p>
    <w:p w:rsidR="005055AD" w:rsidRDefault="005055AD" w:rsidP="00D36412">
      <w:pPr>
        <w:pStyle w:val="NormalWeb"/>
      </w:pPr>
      <w:r>
        <w:t xml:space="preserve">Disney, R., Haskel, J. &amp; Heden, Y. 2003, "Entry, exit and establishment survival in UK manufacturing", </w:t>
      </w:r>
      <w:r w:rsidRPr="001468EB">
        <w:rPr>
          <w:i/>
          <w:iCs/>
        </w:rPr>
        <w:t>The Journal of Industrial Economics</w:t>
      </w:r>
      <w:r>
        <w:t xml:space="preserve">, vol. 51, no. 1, pp. 91-112. </w:t>
      </w:r>
    </w:p>
    <w:p w:rsidR="00D307C9" w:rsidRDefault="00D307C9" w:rsidP="00D36412">
      <w:pPr>
        <w:rPr>
          <w:rFonts w:ascii="Times New Roman" w:eastAsia="Times New Roman" w:hAnsi="Times New Roman"/>
          <w:sz w:val="24"/>
          <w:szCs w:val="24"/>
          <w:lang w:val="en-GB" w:eastAsia="zh-CN"/>
        </w:rPr>
      </w:pPr>
      <w:r w:rsidRPr="00D307C9">
        <w:rPr>
          <w:rFonts w:ascii="Times New Roman" w:eastAsia="Times New Roman" w:hAnsi="Times New Roman"/>
          <w:sz w:val="24"/>
          <w:szCs w:val="24"/>
          <w:lang w:val="en-GB" w:eastAsia="zh-CN"/>
        </w:rPr>
        <w:t xml:space="preserve">Djankov, S., Ganser, T., McLiesh, C., Ramalho, R. and Shleifer, A., 2010. The effect of corporate taxes on investment and entrepreneurship. </w:t>
      </w:r>
      <w:r w:rsidRPr="00D307C9">
        <w:rPr>
          <w:rFonts w:ascii="Times New Roman" w:eastAsia="Times New Roman" w:hAnsi="Times New Roman"/>
          <w:i/>
          <w:iCs/>
          <w:sz w:val="24"/>
          <w:szCs w:val="24"/>
          <w:lang w:val="en-GB" w:eastAsia="zh-CN"/>
        </w:rPr>
        <w:t>American Economic Journal: Macroeconomics</w:t>
      </w:r>
      <w:r w:rsidRPr="00D307C9">
        <w:rPr>
          <w:rFonts w:ascii="Times New Roman" w:eastAsia="Times New Roman" w:hAnsi="Times New Roman"/>
          <w:sz w:val="24"/>
          <w:szCs w:val="24"/>
          <w:lang w:val="en-GB" w:eastAsia="zh-CN"/>
        </w:rPr>
        <w:t xml:space="preserve">, </w:t>
      </w:r>
      <w:r w:rsidRPr="00D307C9">
        <w:rPr>
          <w:rFonts w:ascii="Times New Roman" w:eastAsia="Times New Roman" w:hAnsi="Times New Roman"/>
          <w:i/>
          <w:iCs/>
          <w:sz w:val="24"/>
          <w:szCs w:val="24"/>
          <w:lang w:val="en-GB" w:eastAsia="zh-CN"/>
        </w:rPr>
        <w:t>2</w:t>
      </w:r>
      <w:r w:rsidRPr="00D307C9">
        <w:rPr>
          <w:rFonts w:ascii="Times New Roman" w:eastAsia="Times New Roman" w:hAnsi="Times New Roman"/>
          <w:sz w:val="24"/>
          <w:szCs w:val="24"/>
          <w:lang w:val="en-GB" w:eastAsia="zh-CN"/>
        </w:rPr>
        <w:t>(3), pp.31-64.</w:t>
      </w:r>
    </w:p>
    <w:p w:rsidR="00E31A68" w:rsidRPr="00D307C9" w:rsidRDefault="00E31A68" w:rsidP="00D36412">
      <w:pPr>
        <w:rPr>
          <w:rFonts w:ascii="Times New Roman" w:eastAsia="Times New Roman" w:hAnsi="Times New Roman"/>
          <w:sz w:val="24"/>
          <w:szCs w:val="24"/>
          <w:lang w:val="en-GB" w:eastAsia="zh-CN"/>
        </w:rPr>
      </w:pPr>
    </w:p>
    <w:p w:rsidR="005055AD" w:rsidRPr="00F32E01" w:rsidRDefault="005055AD" w:rsidP="00D36412">
      <w:pPr>
        <w:rPr>
          <w:rFonts w:ascii="Times New Roman" w:eastAsia="Times New Roman" w:hAnsi="Times New Roman"/>
          <w:sz w:val="24"/>
          <w:szCs w:val="24"/>
          <w:lang w:val="en-GB" w:eastAsia="zh-CN"/>
        </w:rPr>
      </w:pPr>
      <w:r w:rsidRPr="00B75F15">
        <w:rPr>
          <w:rFonts w:ascii="Times New Roman" w:hAnsi="Times New Roman"/>
          <w:sz w:val="24"/>
          <w:szCs w:val="24"/>
          <w:lang w:val="en-GB"/>
        </w:rPr>
        <w:t xml:space="preserve">Fisman, R. and Svensson, J., 2007. </w:t>
      </w:r>
      <w:r w:rsidR="00C36E06" w:rsidRPr="00DC4134">
        <w:rPr>
          <w:lang w:val="en-GB"/>
        </w:rPr>
        <w:t>“Are</w:t>
      </w:r>
      <w:r w:rsidRPr="00B75F15">
        <w:rPr>
          <w:rFonts w:ascii="Times New Roman" w:hAnsi="Times New Roman"/>
          <w:sz w:val="24"/>
          <w:szCs w:val="24"/>
          <w:lang w:val="en-GB"/>
        </w:rPr>
        <w:t xml:space="preserve"> corruption and taxation really harmful to growth? </w:t>
      </w:r>
      <w:r w:rsidRPr="005055AD">
        <w:rPr>
          <w:rFonts w:ascii="Times New Roman" w:hAnsi="Times New Roman"/>
          <w:sz w:val="24"/>
          <w:szCs w:val="24"/>
          <w:lang w:val="en-GB"/>
        </w:rPr>
        <w:t>Firm level evidence</w:t>
      </w:r>
      <w:r w:rsidR="00DC4134">
        <w:rPr>
          <w:rFonts w:ascii="Times New Roman" w:hAnsi="Times New Roman"/>
          <w:sz w:val="24"/>
          <w:szCs w:val="24"/>
          <w:lang w:val="en-GB"/>
        </w:rPr>
        <w:t>”,</w:t>
      </w:r>
      <w:r w:rsidRPr="005055AD">
        <w:rPr>
          <w:rFonts w:ascii="Times New Roman" w:hAnsi="Times New Roman"/>
          <w:sz w:val="24"/>
          <w:szCs w:val="24"/>
          <w:lang w:val="en-GB"/>
        </w:rPr>
        <w:t xml:space="preserve"> </w:t>
      </w:r>
      <w:r w:rsidRPr="005055AD">
        <w:rPr>
          <w:rFonts w:ascii="Times New Roman" w:hAnsi="Times New Roman"/>
          <w:i/>
          <w:iCs/>
          <w:sz w:val="24"/>
          <w:szCs w:val="24"/>
          <w:lang w:val="en-GB"/>
        </w:rPr>
        <w:t>Journal of Development Economics</w:t>
      </w:r>
      <w:r w:rsidRPr="005055AD">
        <w:rPr>
          <w:rFonts w:ascii="Times New Roman" w:hAnsi="Times New Roman"/>
          <w:sz w:val="24"/>
          <w:szCs w:val="24"/>
          <w:lang w:val="en-GB"/>
        </w:rPr>
        <w:t xml:space="preserve">, </w:t>
      </w:r>
      <w:r w:rsidRPr="005055AD">
        <w:rPr>
          <w:rFonts w:ascii="Times New Roman" w:hAnsi="Times New Roman"/>
          <w:i/>
          <w:iCs/>
          <w:sz w:val="24"/>
          <w:szCs w:val="24"/>
          <w:lang w:val="en-GB"/>
        </w:rPr>
        <w:t>83</w:t>
      </w:r>
      <w:r w:rsidRPr="005055AD">
        <w:rPr>
          <w:rFonts w:ascii="Times New Roman" w:hAnsi="Times New Roman"/>
          <w:sz w:val="24"/>
          <w:szCs w:val="24"/>
          <w:lang w:val="en-GB"/>
        </w:rPr>
        <w:t>(1), pp.63-75.</w:t>
      </w:r>
    </w:p>
    <w:p w:rsidR="005055AD" w:rsidRDefault="00036CFC" w:rsidP="00D36412">
      <w:pPr>
        <w:pStyle w:val="NormalWeb"/>
      </w:pPr>
      <w:r w:rsidRPr="00036CFC">
        <w:t>Gemmell, N., Kneller, R., McGowan, D., Sanz, I., &amp; Sanz-Sanz</w:t>
      </w:r>
      <w:r w:rsidR="00DC4134">
        <w:t>, J. F. 2016</w:t>
      </w:r>
      <w:r w:rsidRPr="00036CFC">
        <w:t xml:space="preserve">. </w:t>
      </w:r>
      <w:r w:rsidR="00C36E06">
        <w:t>“Corporate</w:t>
      </w:r>
      <w:r w:rsidRPr="00036CFC">
        <w:t xml:space="preserve"> taxation and productivity catch-up: evidence from European firms</w:t>
      </w:r>
      <w:r w:rsidR="00DC4134">
        <w:t>"</w:t>
      </w:r>
      <w:r w:rsidR="00C36E06">
        <w:t xml:space="preserve">, </w:t>
      </w:r>
      <w:r w:rsidR="00C36E06" w:rsidRPr="00CB0683">
        <w:rPr>
          <w:i/>
        </w:rPr>
        <w:t>Scandinavian</w:t>
      </w:r>
      <w:r w:rsidRPr="00036CFC">
        <w:rPr>
          <w:i/>
        </w:rPr>
        <w:t xml:space="preserve"> Journal of Economics</w:t>
      </w:r>
      <w:r w:rsidRPr="00036CFC">
        <w:t>.</w:t>
      </w:r>
      <w:r w:rsidR="005055AD">
        <w:t xml:space="preserve"> </w:t>
      </w:r>
    </w:p>
    <w:p w:rsidR="005055AD" w:rsidRDefault="005055AD" w:rsidP="00D36412">
      <w:pPr>
        <w:pStyle w:val="NormalWeb"/>
      </w:pPr>
      <w:r>
        <w:t xml:space="preserve">Girma, S., Greenaway, A. &amp; Kneller, R. 2004, "Does exporting increase productivity? A </w:t>
      </w:r>
      <w:r w:rsidR="00E44821">
        <w:t>Microeconometric</w:t>
      </w:r>
      <w:r>
        <w:t xml:space="preserve"> </w:t>
      </w:r>
      <w:r w:rsidR="00E44821">
        <w:t xml:space="preserve">analysis </w:t>
      </w:r>
      <w:r>
        <w:t xml:space="preserve">of matched firms", </w:t>
      </w:r>
      <w:r w:rsidRPr="001468EB">
        <w:rPr>
          <w:i/>
          <w:iCs/>
        </w:rPr>
        <w:t>Review of International Economics</w:t>
      </w:r>
      <w:r>
        <w:t xml:space="preserve">, vol. 12, no. 5, pp. 855-866. </w:t>
      </w:r>
    </w:p>
    <w:p w:rsidR="00CE03A0" w:rsidRPr="00CE03A0" w:rsidRDefault="00CE03A0" w:rsidP="00D36412">
      <w:pPr>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Goodridge, P.</w:t>
      </w:r>
      <w:r w:rsidR="00E44821">
        <w:rPr>
          <w:rFonts w:ascii="Times New Roman" w:eastAsia="Times New Roman" w:hAnsi="Times New Roman"/>
          <w:sz w:val="24"/>
          <w:szCs w:val="24"/>
          <w:lang w:val="en-GB" w:eastAsia="en-GB"/>
        </w:rPr>
        <w:t xml:space="preserve">, </w:t>
      </w:r>
      <w:r w:rsidR="00E44821" w:rsidRPr="00CE03A0">
        <w:rPr>
          <w:rFonts w:ascii="Times New Roman" w:eastAsia="Times New Roman" w:hAnsi="Times New Roman"/>
          <w:sz w:val="24"/>
          <w:szCs w:val="24"/>
          <w:lang w:val="en-GB" w:eastAsia="en-GB"/>
        </w:rPr>
        <w:t>Haskel</w:t>
      </w:r>
      <w:r w:rsidRPr="00CE03A0">
        <w:rPr>
          <w:rFonts w:ascii="Times New Roman" w:eastAsia="Times New Roman" w:hAnsi="Times New Roman"/>
          <w:sz w:val="24"/>
          <w:szCs w:val="24"/>
          <w:lang w:val="en-GB" w:eastAsia="en-GB"/>
        </w:rPr>
        <w:t>,</w:t>
      </w:r>
      <w:r>
        <w:rPr>
          <w:rFonts w:ascii="Times New Roman" w:eastAsia="Times New Roman" w:hAnsi="Times New Roman"/>
          <w:sz w:val="24"/>
          <w:szCs w:val="24"/>
          <w:lang w:val="en-GB" w:eastAsia="en-GB"/>
        </w:rPr>
        <w:t xml:space="preserve"> J.</w:t>
      </w:r>
      <w:r w:rsidRPr="00CE03A0">
        <w:rPr>
          <w:rFonts w:ascii="Times New Roman" w:eastAsia="Times New Roman" w:hAnsi="Times New Roman"/>
          <w:sz w:val="24"/>
          <w:szCs w:val="24"/>
          <w:lang w:val="en-GB" w:eastAsia="en-GB"/>
        </w:rPr>
        <w:t xml:space="preserve"> </w:t>
      </w:r>
      <w:r>
        <w:rPr>
          <w:rFonts w:ascii="Times New Roman" w:eastAsia="Times New Roman" w:hAnsi="Times New Roman"/>
          <w:sz w:val="24"/>
          <w:szCs w:val="24"/>
          <w:lang w:val="en-GB" w:eastAsia="en-GB"/>
        </w:rPr>
        <w:t>&amp;</w:t>
      </w:r>
      <w:r w:rsidRPr="00CE03A0">
        <w:rPr>
          <w:rFonts w:ascii="Times New Roman" w:eastAsia="Times New Roman" w:hAnsi="Times New Roman"/>
          <w:sz w:val="24"/>
          <w:szCs w:val="24"/>
          <w:lang w:val="en-GB" w:eastAsia="en-GB"/>
        </w:rPr>
        <w:t xml:space="preserve"> Wallis</w:t>
      </w:r>
      <w:r>
        <w:rPr>
          <w:rFonts w:ascii="Times New Roman" w:eastAsia="Times New Roman" w:hAnsi="Times New Roman"/>
          <w:sz w:val="24"/>
          <w:szCs w:val="24"/>
          <w:lang w:val="en-GB" w:eastAsia="en-GB"/>
        </w:rPr>
        <w:t>, G</w:t>
      </w:r>
      <w:r w:rsidRPr="00CE03A0">
        <w:rPr>
          <w:rFonts w:ascii="Times New Roman" w:eastAsia="Times New Roman" w:hAnsi="Times New Roman"/>
          <w:sz w:val="24"/>
          <w:szCs w:val="24"/>
          <w:lang w:val="en-GB" w:eastAsia="en-GB"/>
        </w:rPr>
        <w:t>.</w:t>
      </w:r>
      <w:r w:rsidR="00E44821">
        <w:rPr>
          <w:rFonts w:ascii="Times New Roman" w:eastAsia="Times New Roman" w:hAnsi="Times New Roman"/>
          <w:sz w:val="24"/>
          <w:szCs w:val="24"/>
          <w:lang w:val="en-GB" w:eastAsia="en-GB"/>
        </w:rPr>
        <w:t xml:space="preserve"> 2013, </w:t>
      </w:r>
      <w:r w:rsidRPr="00CE03A0">
        <w:rPr>
          <w:rFonts w:ascii="Times New Roman" w:eastAsia="Times New Roman" w:hAnsi="Times New Roman"/>
          <w:sz w:val="24"/>
          <w:szCs w:val="24"/>
          <w:lang w:val="en-GB" w:eastAsia="en-GB"/>
        </w:rPr>
        <w:t xml:space="preserve">"Can intangible investment explain the UK productivity puzzle?." </w:t>
      </w:r>
      <w:r w:rsidRPr="00CE03A0">
        <w:rPr>
          <w:rFonts w:ascii="Times New Roman" w:eastAsia="Times New Roman" w:hAnsi="Times New Roman"/>
          <w:i/>
          <w:iCs/>
          <w:sz w:val="24"/>
          <w:szCs w:val="24"/>
          <w:lang w:val="en-GB" w:eastAsia="en-GB"/>
        </w:rPr>
        <w:t>National Institute Economic Review</w:t>
      </w:r>
      <w:r w:rsidR="00E44821">
        <w:rPr>
          <w:rFonts w:ascii="Times New Roman" w:eastAsia="Times New Roman" w:hAnsi="Times New Roman"/>
          <w:sz w:val="24"/>
          <w:szCs w:val="24"/>
          <w:lang w:val="en-GB" w:eastAsia="en-GB"/>
        </w:rPr>
        <w:t xml:space="preserve"> 224, no. 1,</w:t>
      </w:r>
      <w:r w:rsidRPr="00CE03A0">
        <w:rPr>
          <w:rFonts w:ascii="Times New Roman" w:eastAsia="Times New Roman" w:hAnsi="Times New Roman"/>
          <w:sz w:val="24"/>
          <w:szCs w:val="24"/>
          <w:lang w:val="en-GB" w:eastAsia="en-GB"/>
        </w:rPr>
        <w:t xml:space="preserve"> </w:t>
      </w:r>
      <w:r w:rsidR="00E44821">
        <w:rPr>
          <w:rFonts w:ascii="Times New Roman" w:eastAsia="Times New Roman" w:hAnsi="Times New Roman"/>
          <w:sz w:val="24"/>
          <w:szCs w:val="24"/>
          <w:lang w:val="en-GB" w:eastAsia="en-GB"/>
        </w:rPr>
        <w:t>pp.</w:t>
      </w:r>
      <w:r w:rsidRPr="00CE03A0">
        <w:rPr>
          <w:rFonts w:ascii="Times New Roman" w:eastAsia="Times New Roman" w:hAnsi="Times New Roman"/>
          <w:sz w:val="24"/>
          <w:szCs w:val="24"/>
          <w:lang w:val="en-GB" w:eastAsia="en-GB"/>
        </w:rPr>
        <w:t>R48-R58.</w:t>
      </w:r>
    </w:p>
    <w:p w:rsidR="005055AD" w:rsidRDefault="005055AD" w:rsidP="00D36412">
      <w:pPr>
        <w:pStyle w:val="NormalWeb"/>
      </w:pPr>
      <w:r>
        <w:lastRenderedPageBreak/>
        <w:t xml:space="preserve">Greenaway, D. &amp; Kneller, R. 2004, "Exporting and productivity in the United Kingdom", </w:t>
      </w:r>
      <w:r w:rsidRPr="001468EB">
        <w:rPr>
          <w:i/>
          <w:iCs/>
        </w:rPr>
        <w:t>Oxford Review of Economic Policy</w:t>
      </w:r>
      <w:r>
        <w:t xml:space="preserve">, vol. 20, no. 3, pp. 358-371. </w:t>
      </w:r>
    </w:p>
    <w:p w:rsidR="005055AD" w:rsidRDefault="005055AD" w:rsidP="00D36412">
      <w:pPr>
        <w:pStyle w:val="NormalWeb"/>
      </w:pPr>
      <w:r>
        <w:t xml:space="preserve">Greenaway, D. &amp; Yu, Z. 2004, "Firm-level interactions between exporting and productivity: Industry-specific evidence", </w:t>
      </w:r>
      <w:r w:rsidRPr="001468EB">
        <w:rPr>
          <w:i/>
          <w:iCs/>
        </w:rPr>
        <w:t>Review of World Economics</w:t>
      </w:r>
      <w:r>
        <w:t xml:space="preserve">, vol. 140, no. 3, pp. 376-392. </w:t>
      </w:r>
    </w:p>
    <w:p w:rsidR="005055AD" w:rsidRPr="00785E71" w:rsidRDefault="005055AD" w:rsidP="00D36412">
      <w:pPr>
        <w:spacing w:before="100" w:beforeAutospacing="1" w:after="100" w:afterAutospacing="1"/>
        <w:rPr>
          <w:rFonts w:ascii="Times New Roman" w:eastAsia="Times New Roman" w:hAnsi="Times New Roman"/>
          <w:sz w:val="24"/>
          <w:szCs w:val="24"/>
          <w:lang w:val="en-GB" w:eastAsia="zh-CN"/>
        </w:rPr>
      </w:pPr>
      <w:r w:rsidRPr="00785E71">
        <w:rPr>
          <w:rFonts w:ascii="Times New Roman" w:eastAsia="Times New Roman" w:hAnsi="Times New Roman"/>
          <w:sz w:val="24"/>
          <w:szCs w:val="24"/>
          <w:lang w:val="en-GB" w:eastAsia="zh-CN"/>
        </w:rPr>
        <w:t xml:space="preserve">Griffith, R., Haskel, J. &amp; Neely, A. 2006, "Why is productivity so dispersed?", </w:t>
      </w:r>
      <w:r w:rsidRPr="00785E71">
        <w:rPr>
          <w:rFonts w:ascii="Times New Roman" w:eastAsia="Times New Roman" w:hAnsi="Times New Roman"/>
          <w:i/>
          <w:iCs/>
          <w:sz w:val="24"/>
          <w:szCs w:val="24"/>
          <w:lang w:val="en-GB" w:eastAsia="zh-CN"/>
        </w:rPr>
        <w:t xml:space="preserve">Oxford Review of Economic Policy, </w:t>
      </w:r>
      <w:r w:rsidRPr="00785E71">
        <w:rPr>
          <w:rFonts w:ascii="Times New Roman" w:eastAsia="Times New Roman" w:hAnsi="Times New Roman"/>
          <w:sz w:val="24"/>
          <w:szCs w:val="24"/>
          <w:lang w:val="en-GB" w:eastAsia="zh-CN"/>
        </w:rPr>
        <w:t xml:space="preserve">vol. 22, no. 4, pp. 513-525. </w:t>
      </w:r>
    </w:p>
    <w:p w:rsidR="005055AD" w:rsidRDefault="005055AD" w:rsidP="00D36412">
      <w:pPr>
        <w:pStyle w:val="NormalWeb"/>
      </w:pPr>
      <w:r>
        <w:t>Griffith, R., Redding, S. &amp; Simpson, H. 2009, "Technological Catch</w:t>
      </w:r>
      <w:r>
        <w:rPr>
          <w:rFonts w:ascii="Cambria Math" w:hAnsi="Cambria Math" w:cs="Cambria Math"/>
        </w:rPr>
        <w:t>‐</w:t>
      </w:r>
      <w:r>
        <w:t xml:space="preserve">Up and Geographic Proximity*", </w:t>
      </w:r>
      <w:r w:rsidRPr="001468EB">
        <w:rPr>
          <w:i/>
          <w:iCs/>
        </w:rPr>
        <w:t>Journal of Regional Science</w:t>
      </w:r>
      <w:r>
        <w:t xml:space="preserve">, vol. 49, no. 4, pp. 689-720. </w:t>
      </w:r>
    </w:p>
    <w:p w:rsidR="005055AD" w:rsidRDefault="005055AD" w:rsidP="00D36412">
      <w:pPr>
        <w:pStyle w:val="NormalWeb"/>
      </w:pPr>
      <w:r>
        <w:t xml:space="preserve">Griffith, R., Redding, S. &amp; Van Reenen, J. 2003, "R&amp;D and absorptive capacity: Theory and empirical evidence*", </w:t>
      </w:r>
      <w:r w:rsidRPr="001468EB">
        <w:rPr>
          <w:i/>
          <w:iCs/>
        </w:rPr>
        <w:t>The Scandinavian Journal of Economics</w:t>
      </w:r>
      <w:r>
        <w:t xml:space="preserve">, vol. 105, no. 1, pp. 99-118. </w:t>
      </w:r>
    </w:p>
    <w:p w:rsidR="005055AD" w:rsidRDefault="005055AD" w:rsidP="00D36412">
      <w:pPr>
        <w:pStyle w:val="NormalWeb"/>
      </w:pPr>
      <w:r>
        <w:t xml:space="preserve">Griffith, R., Redding, S. &amp; Van Reenen, J. 2004, "Mapping the two faces of R&amp;D: Productivity growth in a panel of OECD industries", </w:t>
      </w:r>
      <w:r w:rsidRPr="001468EB">
        <w:rPr>
          <w:i/>
          <w:iCs/>
        </w:rPr>
        <w:t>Review of Economics and Statistics</w:t>
      </w:r>
      <w:r>
        <w:t xml:space="preserve">, vol. 86, no. 4, pp. 883-895. </w:t>
      </w:r>
    </w:p>
    <w:p w:rsidR="005055AD" w:rsidRDefault="005055AD" w:rsidP="00D36412">
      <w:pPr>
        <w:pStyle w:val="NormalWeb"/>
      </w:pPr>
      <w:r>
        <w:t xml:space="preserve">Hall, B. &amp; Van Reenen, J. 2000, "How effective are fiscal incentives for R&amp;D? A review of the evidence", </w:t>
      </w:r>
      <w:r w:rsidRPr="001468EB">
        <w:rPr>
          <w:i/>
          <w:iCs/>
        </w:rPr>
        <w:t>Research Policy</w:t>
      </w:r>
      <w:r>
        <w:t xml:space="preserve">, vol. 29, no. 4, pp. 449-469. </w:t>
      </w:r>
    </w:p>
    <w:p w:rsidR="005055AD" w:rsidRDefault="005055AD" w:rsidP="00D36412">
      <w:pPr>
        <w:pStyle w:val="NormalWeb"/>
      </w:pPr>
      <w:r>
        <w:t xml:space="preserve">Harris, R. &amp; Li, Q.C. 2009, "Exporting, R&amp;D, and absorptive capacity in UK establishments", </w:t>
      </w:r>
      <w:r w:rsidRPr="001468EB">
        <w:rPr>
          <w:i/>
          <w:iCs/>
        </w:rPr>
        <w:t>Oxford Economic Papers</w:t>
      </w:r>
      <w:r>
        <w:t xml:space="preserve">, vol. 61, no. 1, pp. 74-103. </w:t>
      </w:r>
    </w:p>
    <w:p w:rsidR="00E44821" w:rsidRPr="00073834" w:rsidRDefault="00073834" w:rsidP="00D36412">
      <w:pPr>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Harris, R.</w:t>
      </w:r>
      <w:r w:rsidR="00E44821" w:rsidRPr="00E44821">
        <w:rPr>
          <w:rFonts w:ascii="Times New Roman" w:eastAsia="Times New Roman" w:hAnsi="Times New Roman"/>
          <w:sz w:val="24"/>
          <w:szCs w:val="24"/>
          <w:lang w:val="en-GB" w:eastAsia="en-GB"/>
        </w:rPr>
        <w:t xml:space="preserve">, </w:t>
      </w:r>
      <w:r>
        <w:rPr>
          <w:rFonts w:ascii="Times New Roman" w:eastAsia="Times New Roman" w:hAnsi="Times New Roman"/>
          <w:sz w:val="24"/>
          <w:szCs w:val="24"/>
          <w:lang w:val="en-GB" w:eastAsia="en-GB"/>
        </w:rPr>
        <w:t>&amp;</w:t>
      </w:r>
      <w:r w:rsidR="00E44821" w:rsidRPr="00E44821">
        <w:rPr>
          <w:rFonts w:ascii="Times New Roman" w:eastAsia="Times New Roman" w:hAnsi="Times New Roman"/>
          <w:sz w:val="24"/>
          <w:szCs w:val="24"/>
          <w:lang w:val="en-GB" w:eastAsia="en-GB"/>
        </w:rPr>
        <w:t xml:space="preserve"> </w:t>
      </w:r>
      <w:r>
        <w:rPr>
          <w:rFonts w:ascii="Times New Roman" w:eastAsia="Times New Roman" w:hAnsi="Times New Roman"/>
          <w:sz w:val="24"/>
          <w:szCs w:val="24"/>
          <w:lang w:val="en-GB" w:eastAsia="en-GB"/>
        </w:rPr>
        <w:t>Moffat, J. 2016,</w:t>
      </w:r>
      <w:r w:rsidR="00E44821" w:rsidRPr="00E44821">
        <w:rPr>
          <w:rFonts w:ascii="Times New Roman" w:eastAsia="Times New Roman" w:hAnsi="Times New Roman"/>
          <w:sz w:val="24"/>
          <w:szCs w:val="24"/>
          <w:lang w:val="en-GB" w:eastAsia="en-GB"/>
        </w:rPr>
        <w:t xml:space="preserve"> "The UK productivity puzzle, 2008–2012: evidence using plant-level estimates of total factor productivity." </w:t>
      </w:r>
      <w:r w:rsidR="00E44821" w:rsidRPr="00E44821">
        <w:rPr>
          <w:rFonts w:ascii="Times New Roman" w:eastAsia="Times New Roman" w:hAnsi="Times New Roman"/>
          <w:i/>
          <w:iCs/>
          <w:sz w:val="24"/>
          <w:szCs w:val="24"/>
          <w:lang w:val="en-GB" w:eastAsia="en-GB"/>
        </w:rPr>
        <w:t>Oxford Economic Papers</w:t>
      </w:r>
      <w:r>
        <w:rPr>
          <w:rFonts w:ascii="Times New Roman" w:eastAsia="Times New Roman" w:hAnsi="Times New Roman"/>
          <w:sz w:val="24"/>
          <w:szCs w:val="24"/>
          <w:lang w:val="en-GB" w:eastAsia="en-GB"/>
        </w:rPr>
        <w:t>,</w:t>
      </w:r>
      <w:r w:rsidR="00E44821" w:rsidRPr="00E44821">
        <w:rPr>
          <w:rFonts w:ascii="Times New Roman" w:eastAsia="Times New Roman" w:hAnsi="Times New Roman"/>
          <w:sz w:val="24"/>
          <w:szCs w:val="24"/>
          <w:lang w:val="en-GB" w:eastAsia="en-GB"/>
        </w:rPr>
        <w:t xml:space="preserve"> gpw057.</w:t>
      </w:r>
    </w:p>
    <w:p w:rsidR="005055AD" w:rsidRDefault="005055AD" w:rsidP="00D36412">
      <w:pPr>
        <w:pStyle w:val="NormalWeb"/>
      </w:pPr>
      <w:r>
        <w:t xml:space="preserve">Hubbard, R.G. 1998, "Capital-Market Imperfections and Investment", </w:t>
      </w:r>
      <w:r w:rsidRPr="001468EB">
        <w:rPr>
          <w:i/>
          <w:iCs/>
        </w:rPr>
        <w:t>Journal of Economic Literature</w:t>
      </w:r>
      <w:r>
        <w:t xml:space="preserve">, pp. 193-225. </w:t>
      </w:r>
    </w:p>
    <w:p w:rsidR="005055AD" w:rsidRDefault="005055AD" w:rsidP="00D36412">
      <w:pPr>
        <w:pStyle w:val="NormalWeb"/>
      </w:pPr>
      <w:r>
        <w:t xml:space="preserve">Keuschnigg, C., &amp; Ribi, E.  2013, "Profit taxes and financing constraints", </w:t>
      </w:r>
      <w:r w:rsidRPr="001468EB">
        <w:rPr>
          <w:i/>
          <w:iCs/>
        </w:rPr>
        <w:t>International Tax and Public Finance</w:t>
      </w:r>
      <w:r>
        <w:t xml:space="preserve">, 20(5), 808-826.  </w:t>
      </w:r>
    </w:p>
    <w:p w:rsidR="005055AD" w:rsidRDefault="00C36E06" w:rsidP="00D36412">
      <w:pPr>
        <w:pStyle w:val="NormalWeb"/>
      </w:pPr>
      <w:r>
        <w:t>Levisohn</w:t>
      </w:r>
      <w:r w:rsidR="005055AD">
        <w:t xml:space="preserve">, J. &amp; Petrin, A. 2003, "Estimating production functions using inputs to control for unobservables", </w:t>
      </w:r>
      <w:r w:rsidR="005055AD" w:rsidRPr="001468EB">
        <w:rPr>
          <w:i/>
          <w:iCs/>
        </w:rPr>
        <w:t>The Review of Economic Studies</w:t>
      </w:r>
      <w:r w:rsidR="005055AD">
        <w:t xml:space="preserve">, vol. 70, no. 2, pp. 317-341. </w:t>
      </w:r>
    </w:p>
    <w:p w:rsidR="005055AD" w:rsidRDefault="005055AD" w:rsidP="00D36412">
      <w:pPr>
        <w:pStyle w:val="NormalWeb"/>
      </w:pPr>
      <w:r>
        <w:t xml:space="preserve">Mallick, S. &amp; Yang, Y. 2013, "Productivity Performance of Export Market Entry and Exit: Evidence from Indian Firms", </w:t>
      </w:r>
      <w:r w:rsidRPr="001468EB">
        <w:rPr>
          <w:i/>
          <w:iCs/>
        </w:rPr>
        <w:t>Review of International Economics</w:t>
      </w:r>
      <w:r>
        <w:t xml:space="preserve">, vol. 21, no. 4, pp. 809-824. </w:t>
      </w:r>
    </w:p>
    <w:p w:rsidR="005055AD" w:rsidRDefault="005055AD" w:rsidP="00D36412">
      <w:pPr>
        <w:pStyle w:val="NormalWeb"/>
      </w:pPr>
      <w:r>
        <w:t xml:space="preserve">Máñez, J.A., Rochina-Barrachina, M.E., Sanchis-Llopis, J.A. &amp; Vicente, Ó. 2014, "Financial constraints and R&amp;D and exporting strategies for Spanish manufacturing firms", </w:t>
      </w:r>
      <w:r w:rsidRPr="001468EB">
        <w:rPr>
          <w:i/>
          <w:iCs/>
        </w:rPr>
        <w:t>Industrial and Corporate Change</w:t>
      </w:r>
      <w:r>
        <w:t xml:space="preserve">, vol. 23, no. 6, pp. 1563-1594. </w:t>
      </w:r>
    </w:p>
    <w:p w:rsidR="005055AD" w:rsidRDefault="005055AD" w:rsidP="00D36412">
      <w:pPr>
        <w:pStyle w:val="NormalWeb"/>
      </w:pPr>
      <w:r>
        <w:lastRenderedPageBreak/>
        <w:t xml:space="preserve">Mayhew, K. &amp; Neely, A. 2006, "Improving productivity—opening the black box", </w:t>
      </w:r>
      <w:r w:rsidRPr="001468EB">
        <w:rPr>
          <w:i/>
          <w:iCs/>
        </w:rPr>
        <w:t>Oxford Review of Economic Policy</w:t>
      </w:r>
      <w:r>
        <w:t xml:space="preserve">, vol. 22, no. 4, pp. 445-456. </w:t>
      </w:r>
    </w:p>
    <w:p w:rsidR="005055AD" w:rsidRDefault="005055AD" w:rsidP="00D36412">
      <w:pPr>
        <w:pStyle w:val="NormalWeb"/>
      </w:pPr>
      <w:r>
        <w:t>Melitz, M.J. 2003, "The impact of trade on intra</w:t>
      </w:r>
      <w:r>
        <w:rPr>
          <w:rFonts w:ascii="Cambria Math" w:hAnsi="Cambria Math" w:cs="Cambria Math"/>
        </w:rPr>
        <w:t>‐</w:t>
      </w:r>
      <w:r>
        <w:t xml:space="preserve">industry reallocations and aggregate industry productivity", </w:t>
      </w:r>
      <w:r w:rsidRPr="008979C1">
        <w:rPr>
          <w:i/>
        </w:rPr>
        <w:t>Econometrica</w:t>
      </w:r>
      <w:r>
        <w:t xml:space="preserve">, vol. 71, no. 6, pp. 1695-1725. </w:t>
      </w:r>
    </w:p>
    <w:p w:rsidR="005055AD" w:rsidRDefault="005055AD" w:rsidP="00D36412">
      <w:pPr>
        <w:pStyle w:val="NormalWeb"/>
      </w:pPr>
      <w:r>
        <w:t xml:space="preserve">Nicoletti, G. &amp; Scarpetta, S. 2005, Product market reforms and employment in OECD countries, OECD. </w:t>
      </w:r>
    </w:p>
    <w:p w:rsidR="005055AD" w:rsidRDefault="005055AD" w:rsidP="00D36412">
      <w:pPr>
        <w:pStyle w:val="NormalWeb"/>
      </w:pPr>
      <w:r>
        <w:t xml:space="preserve">Olley, S. &amp; Pakes, A. 1996, "The dynamics of productivity in the telecommunications equipment industry", </w:t>
      </w:r>
      <w:r w:rsidRPr="001468EB">
        <w:rPr>
          <w:i/>
          <w:iCs/>
        </w:rPr>
        <w:t>Econometrica</w:t>
      </w:r>
      <w:r>
        <w:t xml:space="preserve">, vol. 64, pp. 1263-1297. </w:t>
      </w:r>
    </w:p>
    <w:p w:rsidR="008979C1" w:rsidRDefault="008979C1" w:rsidP="00D36412">
      <w:pPr>
        <w:pStyle w:val="NormalWeb"/>
      </w:pPr>
      <w:r>
        <w:t xml:space="preserve">Oulton, N., 2001. "Must the growth rate decline? Baumol's unbalanced growth revisited", </w:t>
      </w:r>
      <w:r>
        <w:rPr>
          <w:i/>
          <w:iCs/>
        </w:rPr>
        <w:t>Oxford Economic Papers</w:t>
      </w:r>
      <w:r>
        <w:t xml:space="preserve">, </w:t>
      </w:r>
      <w:r w:rsidRPr="008979C1">
        <w:rPr>
          <w:iCs/>
        </w:rPr>
        <w:t>vol. 53 no.4</w:t>
      </w:r>
      <w:r>
        <w:t>, pp.605-627.</w:t>
      </w:r>
    </w:p>
    <w:p w:rsidR="005055AD" w:rsidRDefault="005055AD" w:rsidP="00D36412">
      <w:pPr>
        <w:pStyle w:val="NormalWeb"/>
      </w:pPr>
      <w:r>
        <w:t xml:space="preserve">Schaller, H. 1993, "Asymmetric information, liquidity constraints, and Canadian investment", </w:t>
      </w:r>
      <w:r w:rsidRPr="001468EB">
        <w:rPr>
          <w:i/>
          <w:iCs/>
        </w:rPr>
        <w:t>Canadian Journal of Economics</w:t>
      </w:r>
      <w:r>
        <w:t>, pp. 552-574.</w:t>
      </w:r>
    </w:p>
    <w:p w:rsidR="00C774B9" w:rsidRDefault="00C774B9" w:rsidP="00F32E01">
      <w:pPr>
        <w:pStyle w:val="NormalWeb"/>
        <w:tabs>
          <w:tab w:val="left" w:pos="6525"/>
        </w:tabs>
        <w:rPr>
          <w:lang w:val="en-GB"/>
        </w:rPr>
      </w:pPr>
    </w:p>
    <w:p w:rsidR="00C774B9" w:rsidRDefault="00C774B9" w:rsidP="00F32E01">
      <w:pPr>
        <w:pStyle w:val="NormalWeb"/>
        <w:tabs>
          <w:tab w:val="left" w:pos="6525"/>
        </w:tabs>
        <w:rPr>
          <w:lang w:val="en-GB"/>
        </w:rPr>
      </w:pPr>
    </w:p>
    <w:p w:rsidR="00C774B9" w:rsidRDefault="00C774B9" w:rsidP="00F32E01">
      <w:pPr>
        <w:pStyle w:val="NormalWeb"/>
        <w:tabs>
          <w:tab w:val="left" w:pos="6525"/>
        </w:tabs>
        <w:rPr>
          <w:lang w:val="en-GB"/>
        </w:rPr>
      </w:pPr>
    </w:p>
    <w:p w:rsidR="00C774B9" w:rsidRDefault="00C774B9" w:rsidP="00F32E01">
      <w:pPr>
        <w:pStyle w:val="NormalWeb"/>
        <w:tabs>
          <w:tab w:val="left" w:pos="6525"/>
        </w:tabs>
        <w:rPr>
          <w:lang w:val="en-GB"/>
        </w:rPr>
      </w:pPr>
    </w:p>
    <w:p w:rsidR="00C774B9" w:rsidRDefault="00C774B9" w:rsidP="00F32E01">
      <w:pPr>
        <w:pStyle w:val="NormalWeb"/>
        <w:tabs>
          <w:tab w:val="left" w:pos="6525"/>
        </w:tabs>
        <w:rPr>
          <w:lang w:val="en-GB"/>
        </w:rPr>
      </w:pPr>
    </w:p>
    <w:p w:rsidR="00C774B9" w:rsidRDefault="00C774B9" w:rsidP="00F32E01">
      <w:pPr>
        <w:pStyle w:val="NormalWeb"/>
        <w:tabs>
          <w:tab w:val="left" w:pos="6525"/>
        </w:tabs>
        <w:rPr>
          <w:lang w:val="en-GB"/>
        </w:rPr>
      </w:pPr>
    </w:p>
    <w:p w:rsidR="00C774B9" w:rsidRDefault="00C774B9" w:rsidP="00F32E01">
      <w:pPr>
        <w:pStyle w:val="NormalWeb"/>
        <w:tabs>
          <w:tab w:val="left" w:pos="6525"/>
        </w:tabs>
        <w:rPr>
          <w:lang w:val="en-GB"/>
        </w:rPr>
      </w:pPr>
    </w:p>
    <w:p w:rsidR="00C774B9" w:rsidRDefault="00C774B9" w:rsidP="00F32E01">
      <w:pPr>
        <w:pStyle w:val="NormalWeb"/>
        <w:tabs>
          <w:tab w:val="left" w:pos="6525"/>
        </w:tabs>
        <w:rPr>
          <w:lang w:val="en-GB"/>
        </w:rPr>
      </w:pPr>
    </w:p>
    <w:p w:rsidR="00C774B9" w:rsidRDefault="00C774B9" w:rsidP="00F32E01">
      <w:pPr>
        <w:pStyle w:val="NormalWeb"/>
        <w:tabs>
          <w:tab w:val="left" w:pos="6525"/>
        </w:tabs>
        <w:rPr>
          <w:lang w:val="en-GB"/>
        </w:rPr>
      </w:pPr>
    </w:p>
    <w:p w:rsidR="00C774B9" w:rsidRDefault="00C774B9" w:rsidP="00F32E01">
      <w:pPr>
        <w:pStyle w:val="NormalWeb"/>
        <w:tabs>
          <w:tab w:val="left" w:pos="6525"/>
        </w:tabs>
        <w:rPr>
          <w:lang w:val="en-GB"/>
        </w:rPr>
      </w:pPr>
    </w:p>
    <w:p w:rsidR="00C774B9" w:rsidRDefault="00C774B9" w:rsidP="00F32E01">
      <w:pPr>
        <w:pStyle w:val="NormalWeb"/>
        <w:tabs>
          <w:tab w:val="left" w:pos="6525"/>
        </w:tabs>
        <w:rPr>
          <w:lang w:val="en-GB"/>
        </w:rPr>
      </w:pPr>
    </w:p>
    <w:p w:rsidR="00C774B9" w:rsidRDefault="00C774B9" w:rsidP="00F32E01">
      <w:pPr>
        <w:pStyle w:val="NormalWeb"/>
        <w:tabs>
          <w:tab w:val="left" w:pos="6525"/>
        </w:tabs>
        <w:rPr>
          <w:lang w:val="en-GB"/>
        </w:rPr>
      </w:pPr>
    </w:p>
    <w:p w:rsidR="003B6DF2" w:rsidRDefault="003B6DF2" w:rsidP="00F32E01">
      <w:pPr>
        <w:pStyle w:val="NormalWeb"/>
        <w:tabs>
          <w:tab w:val="left" w:pos="6525"/>
        </w:tabs>
        <w:rPr>
          <w:lang w:val="en-GB"/>
        </w:rPr>
      </w:pPr>
    </w:p>
    <w:p w:rsidR="003B6DF2" w:rsidRDefault="003B6DF2" w:rsidP="00F32E01">
      <w:pPr>
        <w:pStyle w:val="NormalWeb"/>
        <w:tabs>
          <w:tab w:val="left" w:pos="6525"/>
        </w:tabs>
        <w:rPr>
          <w:lang w:val="en-GB"/>
        </w:rPr>
      </w:pPr>
    </w:p>
    <w:p w:rsidR="00785E71" w:rsidRPr="00785E71" w:rsidRDefault="00F32E01" w:rsidP="00F32E01">
      <w:pPr>
        <w:pStyle w:val="NormalWeb"/>
        <w:tabs>
          <w:tab w:val="left" w:pos="6525"/>
        </w:tabs>
        <w:rPr>
          <w:lang w:val="en-GB"/>
        </w:rPr>
      </w:pPr>
      <w:r>
        <w:rPr>
          <w:lang w:val="en-GB"/>
        </w:rPr>
        <w:tab/>
      </w:r>
    </w:p>
    <w:p w:rsidR="00851781" w:rsidRPr="00FB1071" w:rsidRDefault="00851781" w:rsidP="00FB1071">
      <w:pPr>
        <w:rPr>
          <w:rFonts w:ascii="Times New Roman" w:hAnsi="Times New Roman"/>
          <w:sz w:val="24"/>
          <w:szCs w:val="24"/>
          <w:lang w:val="en-GB"/>
        </w:rPr>
      </w:pPr>
    </w:p>
    <w:p w:rsidR="00C51490" w:rsidRDefault="00B30E03" w:rsidP="00A216AC">
      <w:pPr>
        <w:pStyle w:val="Caption"/>
        <w:keepNext/>
        <w:ind w:left="2880" w:firstLine="720"/>
        <w:rPr>
          <w:rFonts w:ascii="Times New Roman" w:hAnsi="Times New Roman"/>
          <w:bCs w:val="0"/>
          <w:color w:val="auto"/>
          <w:sz w:val="24"/>
          <w:szCs w:val="24"/>
          <w:u w:val="single"/>
          <w:lang w:val="en-US"/>
        </w:rPr>
      </w:pPr>
      <w:r w:rsidRPr="00C51490">
        <w:rPr>
          <w:rFonts w:ascii="Times New Roman" w:hAnsi="Times New Roman"/>
          <w:bCs w:val="0"/>
          <w:color w:val="auto"/>
          <w:sz w:val="24"/>
          <w:szCs w:val="24"/>
          <w:u w:val="single"/>
          <w:lang w:val="en-US"/>
        </w:rPr>
        <w:lastRenderedPageBreak/>
        <w:t>APPENDICES</w:t>
      </w:r>
    </w:p>
    <w:p w:rsidR="00F84B7C" w:rsidRPr="00FF3AFA" w:rsidRDefault="00FF3AFA" w:rsidP="00F84B7C">
      <w:pPr>
        <w:rPr>
          <w:rFonts w:ascii="Times New Roman" w:hAnsi="Times New Roman"/>
          <w:b/>
          <w:sz w:val="24"/>
          <w:szCs w:val="24"/>
          <w:lang w:val="en-US"/>
        </w:rPr>
      </w:pPr>
      <w:r w:rsidRPr="00FF3AFA">
        <w:rPr>
          <w:rFonts w:ascii="Times New Roman" w:hAnsi="Times New Roman"/>
          <w:b/>
          <w:sz w:val="24"/>
          <w:szCs w:val="24"/>
          <w:lang w:val="en-US"/>
        </w:rPr>
        <w:t xml:space="preserve">Appendix 1:  Measurement of Corporate Tax </w:t>
      </w:r>
    </w:p>
    <w:p w:rsidR="001E07DA" w:rsidRPr="004E4885" w:rsidRDefault="001E07DA" w:rsidP="001E07DA">
      <w:pPr>
        <w:ind w:firstLine="426"/>
        <w:rPr>
          <w:rFonts w:ascii="Times New Roman" w:hAnsi="Times New Roman"/>
          <w:b/>
          <w:sz w:val="24"/>
          <w:szCs w:val="24"/>
          <w:lang w:val="en-US"/>
        </w:rPr>
      </w:pPr>
      <w:r w:rsidRPr="004E4885">
        <w:rPr>
          <w:rFonts w:ascii="Times New Roman" w:hAnsi="Times New Roman"/>
          <w:b/>
          <w:sz w:val="24"/>
          <w:szCs w:val="24"/>
          <w:lang w:val="en-US"/>
        </w:rPr>
        <w:t>Appendix 1</w:t>
      </w:r>
      <w:r w:rsidR="00FF3AFA">
        <w:rPr>
          <w:rFonts w:ascii="Times New Roman" w:hAnsi="Times New Roman"/>
          <w:b/>
          <w:sz w:val="24"/>
          <w:szCs w:val="24"/>
          <w:lang w:val="en-US"/>
        </w:rPr>
        <w:t>A</w:t>
      </w:r>
      <w:r w:rsidRPr="004E4885">
        <w:rPr>
          <w:rFonts w:ascii="Times New Roman" w:hAnsi="Times New Roman"/>
          <w:b/>
          <w:sz w:val="24"/>
          <w:szCs w:val="24"/>
          <w:lang w:val="en-US"/>
        </w:rPr>
        <w:t xml:space="preserve">: </w:t>
      </w:r>
      <w:r w:rsidRPr="004E4885">
        <w:rPr>
          <w:rFonts w:ascii="Times New Roman" w:eastAsia="Times New Roman" w:hAnsi="Times New Roman"/>
          <w:b/>
          <w:iCs/>
          <w:sz w:val="24"/>
          <w:szCs w:val="24"/>
          <w:lang w:val="en-US"/>
        </w:rPr>
        <w:t>Corporation</w:t>
      </w:r>
      <w:r w:rsidRPr="004E4885">
        <w:rPr>
          <w:rFonts w:ascii="Times New Roman" w:hAnsi="Times New Roman"/>
          <w:b/>
          <w:bCs/>
          <w:iCs/>
          <w:sz w:val="24"/>
          <w:szCs w:val="24"/>
          <w:lang w:val="en-US"/>
        </w:rPr>
        <w:t xml:space="preserve"> Tax System in the UK</w:t>
      </w:r>
      <w:r w:rsidRPr="004E4885">
        <w:rPr>
          <w:rFonts w:ascii="Times New Roman" w:hAnsi="Times New Roman"/>
          <w:b/>
          <w:bCs/>
          <w:i/>
          <w:iCs/>
          <w:sz w:val="24"/>
          <w:szCs w:val="24"/>
          <w:lang w:val="en-US"/>
        </w:rPr>
        <w:t xml:space="preserve"> </w:t>
      </w:r>
    </w:p>
    <w:p w:rsidR="0030516E" w:rsidRDefault="001E07DA" w:rsidP="001E07DA">
      <w:pPr>
        <w:ind w:firstLine="426"/>
        <w:rPr>
          <w:rFonts w:ascii="Times New Roman" w:hAnsi="Times New Roman"/>
          <w:sz w:val="24"/>
          <w:szCs w:val="24"/>
          <w:lang w:val="en-US"/>
        </w:rPr>
      </w:pPr>
      <w:r>
        <w:rPr>
          <w:rFonts w:ascii="Times New Roman" w:hAnsi="Times New Roman"/>
          <w:sz w:val="24"/>
          <w:szCs w:val="24"/>
          <w:lang w:val="en-US"/>
        </w:rPr>
        <w:t>The</w:t>
      </w:r>
      <w:r w:rsidRPr="00676B57">
        <w:rPr>
          <w:rFonts w:ascii="Times New Roman" w:hAnsi="Times New Roman"/>
          <w:sz w:val="24"/>
          <w:szCs w:val="24"/>
          <w:lang w:val="en-US"/>
        </w:rPr>
        <w:t xml:space="preserve"> UK corporation tax system underwent some important changes </w:t>
      </w:r>
      <w:r>
        <w:rPr>
          <w:rFonts w:ascii="Times New Roman" w:hAnsi="Times New Roman"/>
          <w:sz w:val="24"/>
          <w:szCs w:val="24"/>
          <w:lang w:val="en-US"/>
        </w:rPr>
        <w:t xml:space="preserve">in the </w:t>
      </w:r>
      <w:r w:rsidRPr="00676B57">
        <w:rPr>
          <w:rFonts w:ascii="Times New Roman" w:hAnsi="Times New Roman"/>
          <w:sz w:val="24"/>
          <w:szCs w:val="24"/>
          <w:lang w:val="en-US"/>
        </w:rPr>
        <w:t>starting tax rate over the period 2001-2011</w:t>
      </w:r>
      <w:r>
        <w:rPr>
          <w:rFonts w:ascii="Times New Roman" w:hAnsi="Times New Roman"/>
          <w:sz w:val="24"/>
          <w:szCs w:val="24"/>
          <w:lang w:val="en-US"/>
        </w:rPr>
        <w:t>.</w:t>
      </w:r>
      <w:r w:rsidRPr="00676B57">
        <w:rPr>
          <w:rFonts w:ascii="Times New Roman" w:hAnsi="Times New Roman"/>
          <w:sz w:val="24"/>
          <w:szCs w:val="24"/>
          <w:lang w:val="en-US"/>
        </w:rPr>
        <w:t xml:space="preserve"> Table </w:t>
      </w:r>
      <w:r w:rsidR="007E04A6">
        <w:rPr>
          <w:rFonts w:ascii="Times New Roman" w:hAnsi="Times New Roman"/>
          <w:sz w:val="24"/>
          <w:szCs w:val="24"/>
          <w:lang w:val="en-US"/>
        </w:rPr>
        <w:t>1</w:t>
      </w:r>
      <w:r w:rsidRPr="00676B57">
        <w:rPr>
          <w:rFonts w:ascii="Times New Roman" w:hAnsi="Times New Roman"/>
          <w:sz w:val="24"/>
          <w:szCs w:val="24"/>
          <w:lang w:val="en-US"/>
        </w:rPr>
        <w:t xml:space="preserve">A </w:t>
      </w:r>
      <w:r w:rsidR="007E04A6">
        <w:rPr>
          <w:rFonts w:ascii="Times New Roman" w:hAnsi="Times New Roman"/>
          <w:sz w:val="24"/>
          <w:szCs w:val="24"/>
          <w:lang w:val="en-US"/>
        </w:rPr>
        <w:t xml:space="preserve">below </w:t>
      </w:r>
      <w:r w:rsidRPr="00676B57">
        <w:rPr>
          <w:rFonts w:ascii="Times New Roman" w:hAnsi="Times New Roman"/>
          <w:sz w:val="24"/>
          <w:szCs w:val="24"/>
          <w:lang w:val="en-US"/>
        </w:rPr>
        <w:t>reports the</w:t>
      </w:r>
      <w:r>
        <w:rPr>
          <w:rFonts w:ascii="Times New Roman" w:hAnsi="Times New Roman"/>
          <w:sz w:val="24"/>
          <w:szCs w:val="24"/>
          <w:lang w:val="en-US"/>
        </w:rPr>
        <w:t xml:space="preserve"> schedule of</w:t>
      </w:r>
      <w:r w:rsidRPr="00676B57">
        <w:rPr>
          <w:rFonts w:ascii="Times New Roman" w:hAnsi="Times New Roman"/>
          <w:sz w:val="24"/>
          <w:szCs w:val="24"/>
          <w:lang w:val="en-US"/>
        </w:rPr>
        <w:t xml:space="preserve"> corporation tax rate in </w:t>
      </w:r>
      <w:r>
        <w:rPr>
          <w:rFonts w:ascii="Times New Roman" w:hAnsi="Times New Roman"/>
          <w:sz w:val="24"/>
          <w:szCs w:val="24"/>
          <w:lang w:val="en-US"/>
        </w:rPr>
        <w:t xml:space="preserve">the </w:t>
      </w:r>
      <w:r w:rsidRPr="00676B57">
        <w:rPr>
          <w:rFonts w:ascii="Times New Roman" w:hAnsi="Times New Roman"/>
          <w:sz w:val="24"/>
          <w:szCs w:val="24"/>
          <w:lang w:val="en-US"/>
        </w:rPr>
        <w:t xml:space="preserve">UK over the 2000-2011 period (Devereux and Loretz, 2011). </w:t>
      </w:r>
    </w:p>
    <w:p w:rsidR="0030516E" w:rsidRDefault="0030516E" w:rsidP="001E07DA">
      <w:pPr>
        <w:ind w:firstLine="426"/>
        <w:rPr>
          <w:rFonts w:ascii="Times New Roman" w:hAnsi="Times New Roman"/>
          <w:sz w:val="24"/>
          <w:szCs w:val="24"/>
          <w:lang w:val="en-US"/>
        </w:rPr>
      </w:pPr>
    </w:p>
    <w:p w:rsidR="0030516E" w:rsidRPr="00E941C1" w:rsidRDefault="0030516E" w:rsidP="0030516E">
      <w:pPr>
        <w:rPr>
          <w:rFonts w:ascii="Times New Roman" w:hAnsi="Times New Roman"/>
          <w:sz w:val="24"/>
          <w:szCs w:val="24"/>
          <w:lang w:val="en-GB"/>
        </w:rPr>
      </w:pPr>
      <w:r>
        <w:rPr>
          <w:rFonts w:ascii="Times New Roman" w:hAnsi="Times New Roman"/>
          <w:b/>
          <w:sz w:val="24"/>
          <w:szCs w:val="24"/>
          <w:lang w:val="en-US"/>
        </w:rPr>
        <w:t>UK Statutory Corporate</w:t>
      </w:r>
      <w:r w:rsidRPr="00E941C1">
        <w:rPr>
          <w:rFonts w:ascii="Times New Roman" w:hAnsi="Times New Roman"/>
          <w:b/>
          <w:sz w:val="24"/>
          <w:szCs w:val="24"/>
          <w:lang w:val="en-US"/>
        </w:rPr>
        <w:t xml:space="preserve"> Tax Rate</w:t>
      </w:r>
      <w:r w:rsidR="0044008B">
        <w:rPr>
          <w:rFonts w:ascii="Times New Roman" w:hAnsi="Times New Roman"/>
          <w:b/>
          <w:sz w:val="24"/>
          <w:szCs w:val="24"/>
          <w:lang w:val="en-US"/>
        </w:rPr>
        <w:t xml:space="preserve"> (</w:t>
      </w:r>
      <w:r w:rsidR="0044008B" w:rsidRPr="0044008B">
        <w:rPr>
          <w:rFonts w:ascii="Times New Roman" w:hAnsi="Times New Roman"/>
          <w:b/>
          <w:i/>
          <w:sz w:val="24"/>
          <w:szCs w:val="24"/>
          <w:lang w:val="en-US"/>
        </w:rPr>
        <w:t>τ</w:t>
      </w:r>
      <w:r w:rsidR="0044008B">
        <w:rPr>
          <w:rFonts w:ascii="Times New Roman" w:hAnsi="Times New Roman"/>
          <w:b/>
          <w:sz w:val="24"/>
          <w:szCs w:val="24"/>
          <w:lang w:val="en-US"/>
        </w:rPr>
        <w:t>)</w:t>
      </w:r>
      <w:r>
        <w:rPr>
          <w:rFonts w:ascii="Times New Roman" w:hAnsi="Times New Roman"/>
          <w:b/>
          <w:sz w:val="24"/>
          <w:szCs w:val="24"/>
          <w:lang w:val="en-US"/>
        </w:rPr>
        <w:t xml:space="preserve"> for Different Profit Categories </w:t>
      </w:r>
    </w:p>
    <w:tbl>
      <w:tblPr>
        <w:tblStyle w:val="TableGrid"/>
        <w:tblW w:w="9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7"/>
        <w:gridCol w:w="1558"/>
        <w:gridCol w:w="1598"/>
        <w:gridCol w:w="1003"/>
        <w:gridCol w:w="1003"/>
        <w:gridCol w:w="1562"/>
      </w:tblGrid>
      <w:tr w:rsidR="0030516E" w:rsidRPr="00E941C1" w:rsidTr="008B59DC">
        <w:tc>
          <w:tcPr>
            <w:tcW w:w="2397" w:type="dxa"/>
            <w:tcBorders>
              <w:top w:val="single" w:sz="4" w:space="0" w:color="auto"/>
              <w:bottom w:val="single" w:sz="4" w:space="0" w:color="auto"/>
              <w:right w:val="single" w:sz="4" w:space="0" w:color="auto"/>
            </w:tcBorders>
          </w:tcPr>
          <w:p w:rsidR="0030516E" w:rsidRPr="00E941C1" w:rsidRDefault="0030516E" w:rsidP="001B1100">
            <w:pPr>
              <w:spacing w:line="240" w:lineRule="auto"/>
              <w:ind w:firstLine="0"/>
              <w:rPr>
                <w:rFonts w:ascii="Times New Roman" w:hAnsi="Times New Roman"/>
                <w:b/>
                <w:sz w:val="24"/>
                <w:szCs w:val="24"/>
                <w:lang w:val="en-US"/>
              </w:rPr>
            </w:pPr>
            <w:r w:rsidRPr="00E941C1">
              <w:rPr>
                <w:rFonts w:ascii="Times New Roman" w:hAnsi="Times New Roman"/>
                <w:b/>
                <w:sz w:val="24"/>
                <w:szCs w:val="24"/>
                <w:lang w:val="en-US"/>
              </w:rPr>
              <w:t xml:space="preserve">Taxable profit </w:t>
            </w:r>
          </w:p>
        </w:tc>
        <w:tc>
          <w:tcPr>
            <w:tcW w:w="0" w:type="auto"/>
            <w:tcBorders>
              <w:top w:val="single" w:sz="4" w:space="0" w:color="auto"/>
              <w:left w:val="single" w:sz="4" w:space="0" w:color="auto"/>
              <w:bottom w:val="single" w:sz="4" w:space="0" w:color="auto"/>
            </w:tcBorders>
          </w:tcPr>
          <w:p w:rsidR="0030516E" w:rsidRPr="00E941C1" w:rsidRDefault="0030516E" w:rsidP="001B1100">
            <w:pPr>
              <w:spacing w:line="240" w:lineRule="auto"/>
              <w:ind w:firstLine="0"/>
              <w:jc w:val="center"/>
              <w:rPr>
                <w:rFonts w:ascii="Times New Roman" w:hAnsi="Times New Roman"/>
                <w:b/>
                <w:sz w:val="24"/>
                <w:szCs w:val="24"/>
                <w:lang w:val="en-US"/>
              </w:rPr>
            </w:pPr>
            <w:r w:rsidRPr="00E941C1">
              <w:rPr>
                <w:rFonts w:ascii="Times New Roman" w:hAnsi="Times New Roman"/>
                <w:b/>
                <w:sz w:val="24"/>
                <w:szCs w:val="24"/>
                <w:lang w:val="en-US"/>
              </w:rPr>
              <w:t>2000/01</w:t>
            </w:r>
            <w:r>
              <w:rPr>
                <w:rFonts w:ascii="Times New Roman" w:hAnsi="Times New Roman"/>
                <w:b/>
                <w:sz w:val="24"/>
                <w:szCs w:val="24"/>
                <w:lang w:val="en-US"/>
              </w:rPr>
              <w:t>-</w:t>
            </w:r>
            <w:r w:rsidRPr="00E941C1">
              <w:rPr>
                <w:rFonts w:ascii="Times New Roman" w:hAnsi="Times New Roman"/>
                <w:b/>
                <w:sz w:val="24"/>
                <w:szCs w:val="24"/>
                <w:lang w:val="en-US"/>
              </w:rPr>
              <w:t>2001/02</w:t>
            </w:r>
          </w:p>
        </w:tc>
        <w:tc>
          <w:tcPr>
            <w:tcW w:w="0" w:type="auto"/>
            <w:tcBorders>
              <w:top w:val="single" w:sz="4" w:space="0" w:color="auto"/>
              <w:bottom w:val="single" w:sz="4" w:space="0" w:color="auto"/>
            </w:tcBorders>
          </w:tcPr>
          <w:p w:rsidR="0030516E" w:rsidRPr="00E941C1" w:rsidRDefault="0030516E" w:rsidP="001B1100">
            <w:pPr>
              <w:spacing w:line="240" w:lineRule="auto"/>
              <w:ind w:firstLine="0"/>
              <w:jc w:val="center"/>
              <w:rPr>
                <w:rFonts w:ascii="Times New Roman" w:hAnsi="Times New Roman"/>
                <w:b/>
                <w:sz w:val="24"/>
                <w:szCs w:val="24"/>
                <w:lang w:val="en-US"/>
              </w:rPr>
            </w:pPr>
            <w:r w:rsidRPr="00E941C1">
              <w:rPr>
                <w:rFonts w:ascii="Times New Roman" w:hAnsi="Times New Roman"/>
                <w:b/>
                <w:sz w:val="24"/>
                <w:szCs w:val="24"/>
                <w:lang w:val="en-US"/>
              </w:rPr>
              <w:t xml:space="preserve">2002/03 </w:t>
            </w:r>
            <w:r>
              <w:rPr>
                <w:rFonts w:ascii="Times New Roman" w:hAnsi="Times New Roman"/>
                <w:b/>
                <w:sz w:val="24"/>
                <w:szCs w:val="24"/>
                <w:lang w:val="en-US"/>
              </w:rPr>
              <w:t>-</w:t>
            </w:r>
            <w:r w:rsidRPr="00E941C1">
              <w:rPr>
                <w:rFonts w:ascii="Times New Roman" w:hAnsi="Times New Roman"/>
                <w:b/>
                <w:sz w:val="24"/>
                <w:szCs w:val="24"/>
                <w:lang w:val="en-US"/>
              </w:rPr>
              <w:t xml:space="preserve"> 2005/06</w:t>
            </w:r>
          </w:p>
        </w:tc>
        <w:tc>
          <w:tcPr>
            <w:tcW w:w="0" w:type="auto"/>
            <w:tcBorders>
              <w:top w:val="single" w:sz="4" w:space="0" w:color="auto"/>
              <w:bottom w:val="single" w:sz="4" w:space="0" w:color="auto"/>
            </w:tcBorders>
          </w:tcPr>
          <w:p w:rsidR="0030516E" w:rsidRPr="00E941C1" w:rsidRDefault="0030516E" w:rsidP="001B1100">
            <w:pPr>
              <w:spacing w:line="240" w:lineRule="auto"/>
              <w:ind w:firstLine="0"/>
              <w:jc w:val="center"/>
              <w:rPr>
                <w:rFonts w:ascii="Times New Roman" w:hAnsi="Times New Roman"/>
                <w:b/>
                <w:sz w:val="24"/>
                <w:szCs w:val="24"/>
                <w:lang w:val="en-US"/>
              </w:rPr>
            </w:pPr>
            <w:r w:rsidRPr="00E941C1">
              <w:rPr>
                <w:rFonts w:ascii="Times New Roman" w:hAnsi="Times New Roman"/>
                <w:b/>
                <w:sz w:val="24"/>
                <w:szCs w:val="24"/>
                <w:lang w:val="en-US"/>
              </w:rPr>
              <w:t>2006/07</w:t>
            </w:r>
          </w:p>
        </w:tc>
        <w:tc>
          <w:tcPr>
            <w:tcW w:w="0" w:type="auto"/>
            <w:tcBorders>
              <w:top w:val="single" w:sz="4" w:space="0" w:color="auto"/>
              <w:bottom w:val="single" w:sz="4" w:space="0" w:color="auto"/>
            </w:tcBorders>
          </w:tcPr>
          <w:p w:rsidR="0030516E" w:rsidRPr="00E941C1" w:rsidRDefault="0030516E" w:rsidP="001B1100">
            <w:pPr>
              <w:spacing w:line="240" w:lineRule="auto"/>
              <w:ind w:firstLine="0"/>
              <w:jc w:val="center"/>
              <w:rPr>
                <w:rFonts w:ascii="Times New Roman" w:hAnsi="Times New Roman"/>
                <w:b/>
                <w:sz w:val="24"/>
                <w:szCs w:val="24"/>
                <w:lang w:val="en-US"/>
              </w:rPr>
            </w:pPr>
            <w:r w:rsidRPr="00E941C1">
              <w:rPr>
                <w:rFonts w:ascii="Times New Roman" w:hAnsi="Times New Roman"/>
                <w:b/>
                <w:sz w:val="24"/>
                <w:szCs w:val="24"/>
                <w:lang w:val="en-US"/>
              </w:rPr>
              <w:t>2007/08</w:t>
            </w:r>
          </w:p>
        </w:tc>
        <w:tc>
          <w:tcPr>
            <w:tcW w:w="0" w:type="auto"/>
            <w:tcBorders>
              <w:top w:val="single" w:sz="4" w:space="0" w:color="auto"/>
              <w:bottom w:val="single" w:sz="4" w:space="0" w:color="auto"/>
            </w:tcBorders>
          </w:tcPr>
          <w:p w:rsidR="0030516E" w:rsidRPr="00E941C1" w:rsidRDefault="0030516E" w:rsidP="001B1100">
            <w:pPr>
              <w:spacing w:line="240" w:lineRule="auto"/>
              <w:ind w:firstLine="0"/>
              <w:jc w:val="center"/>
              <w:rPr>
                <w:rFonts w:ascii="Times New Roman" w:hAnsi="Times New Roman"/>
                <w:b/>
                <w:sz w:val="24"/>
                <w:szCs w:val="24"/>
                <w:lang w:val="en-US"/>
              </w:rPr>
            </w:pPr>
            <w:r>
              <w:rPr>
                <w:rFonts w:ascii="Times New Roman" w:hAnsi="Times New Roman"/>
                <w:b/>
                <w:sz w:val="24"/>
                <w:szCs w:val="24"/>
                <w:lang w:val="en-US"/>
              </w:rPr>
              <w:t>2008/09 -</w:t>
            </w:r>
            <w:r w:rsidRPr="00E941C1">
              <w:rPr>
                <w:rFonts w:ascii="Times New Roman" w:hAnsi="Times New Roman"/>
                <w:b/>
                <w:sz w:val="24"/>
                <w:szCs w:val="24"/>
                <w:lang w:val="en-US"/>
              </w:rPr>
              <w:t>2010/11</w:t>
            </w:r>
          </w:p>
        </w:tc>
      </w:tr>
      <w:tr w:rsidR="0030516E" w:rsidRPr="00E941C1" w:rsidTr="008B59DC">
        <w:tc>
          <w:tcPr>
            <w:tcW w:w="2397" w:type="dxa"/>
            <w:tcBorders>
              <w:top w:val="single" w:sz="4" w:space="0" w:color="auto"/>
              <w:right w:val="single" w:sz="4" w:space="0" w:color="auto"/>
            </w:tcBorders>
          </w:tcPr>
          <w:p w:rsidR="0030516E" w:rsidRPr="00E941C1" w:rsidRDefault="0030516E" w:rsidP="001B1100">
            <w:pPr>
              <w:spacing w:line="240" w:lineRule="auto"/>
              <w:ind w:firstLine="0"/>
              <w:rPr>
                <w:rFonts w:ascii="Times New Roman" w:hAnsi="Times New Roman"/>
                <w:b/>
                <w:sz w:val="24"/>
                <w:szCs w:val="24"/>
                <w:lang w:val="en-US"/>
              </w:rPr>
            </w:pPr>
            <w:r w:rsidRPr="00E941C1">
              <w:rPr>
                <w:rFonts w:ascii="Times New Roman" w:hAnsi="Times New Roman"/>
                <w:b/>
                <w:sz w:val="24"/>
                <w:szCs w:val="24"/>
                <w:lang w:val="en-US"/>
              </w:rPr>
              <w:t>0 to 10,000</w:t>
            </w:r>
          </w:p>
        </w:tc>
        <w:tc>
          <w:tcPr>
            <w:tcW w:w="0" w:type="auto"/>
            <w:tcBorders>
              <w:top w:val="single" w:sz="4" w:space="0" w:color="auto"/>
              <w:left w:val="single" w:sz="4" w:space="0" w:color="auto"/>
            </w:tcBorders>
          </w:tcPr>
          <w:p w:rsidR="0030516E" w:rsidRPr="00E941C1" w:rsidRDefault="0030516E" w:rsidP="001B1100">
            <w:pPr>
              <w:spacing w:line="240" w:lineRule="auto"/>
              <w:ind w:firstLine="0"/>
              <w:jc w:val="center"/>
              <w:rPr>
                <w:rFonts w:ascii="Times New Roman" w:hAnsi="Times New Roman"/>
                <w:sz w:val="24"/>
                <w:szCs w:val="24"/>
                <w:lang w:val="en-US"/>
              </w:rPr>
            </w:pPr>
            <w:r w:rsidRPr="00E941C1">
              <w:rPr>
                <w:rFonts w:ascii="Times New Roman" w:hAnsi="Times New Roman"/>
                <w:sz w:val="24"/>
                <w:szCs w:val="24"/>
                <w:lang w:val="en-US"/>
              </w:rPr>
              <w:t>10%</w:t>
            </w:r>
          </w:p>
        </w:tc>
        <w:tc>
          <w:tcPr>
            <w:tcW w:w="0" w:type="auto"/>
            <w:tcBorders>
              <w:top w:val="single" w:sz="4" w:space="0" w:color="auto"/>
            </w:tcBorders>
          </w:tcPr>
          <w:p w:rsidR="0030516E" w:rsidRPr="00E941C1" w:rsidRDefault="0030516E" w:rsidP="001B1100">
            <w:pPr>
              <w:spacing w:line="240" w:lineRule="auto"/>
              <w:ind w:firstLine="0"/>
              <w:jc w:val="center"/>
              <w:rPr>
                <w:rFonts w:ascii="Times New Roman" w:hAnsi="Times New Roman"/>
                <w:sz w:val="24"/>
                <w:szCs w:val="24"/>
                <w:lang w:val="en-US"/>
              </w:rPr>
            </w:pPr>
            <w:r w:rsidRPr="00E941C1">
              <w:rPr>
                <w:rFonts w:ascii="Times New Roman" w:hAnsi="Times New Roman"/>
                <w:sz w:val="24"/>
                <w:szCs w:val="24"/>
                <w:lang w:val="en-US"/>
              </w:rPr>
              <w:t>0%</w:t>
            </w:r>
          </w:p>
        </w:tc>
        <w:tc>
          <w:tcPr>
            <w:tcW w:w="0" w:type="auto"/>
            <w:tcBorders>
              <w:top w:val="single" w:sz="4" w:space="0" w:color="auto"/>
            </w:tcBorders>
          </w:tcPr>
          <w:p w:rsidR="0030516E" w:rsidRPr="00E941C1" w:rsidRDefault="0030516E" w:rsidP="001B1100">
            <w:pPr>
              <w:spacing w:line="240" w:lineRule="auto"/>
              <w:ind w:firstLine="0"/>
              <w:jc w:val="center"/>
              <w:rPr>
                <w:rFonts w:ascii="Times New Roman" w:hAnsi="Times New Roman"/>
                <w:sz w:val="24"/>
                <w:szCs w:val="24"/>
                <w:lang w:val="en-US"/>
              </w:rPr>
            </w:pPr>
            <w:r w:rsidRPr="00E941C1">
              <w:rPr>
                <w:rFonts w:ascii="Times New Roman" w:hAnsi="Times New Roman"/>
                <w:sz w:val="24"/>
                <w:szCs w:val="24"/>
                <w:lang w:val="en-US"/>
              </w:rPr>
              <w:t>19%</w:t>
            </w:r>
          </w:p>
        </w:tc>
        <w:tc>
          <w:tcPr>
            <w:tcW w:w="0" w:type="auto"/>
            <w:tcBorders>
              <w:top w:val="single" w:sz="4" w:space="0" w:color="auto"/>
            </w:tcBorders>
          </w:tcPr>
          <w:p w:rsidR="0030516E" w:rsidRPr="00E941C1" w:rsidRDefault="0030516E" w:rsidP="001B1100">
            <w:pPr>
              <w:spacing w:line="240" w:lineRule="auto"/>
              <w:ind w:firstLine="0"/>
              <w:jc w:val="center"/>
              <w:rPr>
                <w:rFonts w:ascii="Times New Roman" w:hAnsi="Times New Roman"/>
                <w:sz w:val="24"/>
                <w:szCs w:val="24"/>
                <w:lang w:val="en-US"/>
              </w:rPr>
            </w:pPr>
            <w:r w:rsidRPr="00E941C1">
              <w:rPr>
                <w:rFonts w:ascii="Times New Roman" w:hAnsi="Times New Roman"/>
                <w:sz w:val="24"/>
                <w:szCs w:val="24"/>
                <w:lang w:val="en-US"/>
              </w:rPr>
              <w:t>20%</w:t>
            </w:r>
          </w:p>
        </w:tc>
        <w:tc>
          <w:tcPr>
            <w:tcW w:w="0" w:type="auto"/>
            <w:tcBorders>
              <w:top w:val="single" w:sz="4" w:space="0" w:color="auto"/>
            </w:tcBorders>
          </w:tcPr>
          <w:p w:rsidR="0030516E" w:rsidRPr="00E941C1" w:rsidRDefault="0030516E" w:rsidP="001B1100">
            <w:pPr>
              <w:spacing w:line="240" w:lineRule="auto"/>
              <w:ind w:firstLine="0"/>
              <w:jc w:val="center"/>
              <w:rPr>
                <w:rFonts w:ascii="Times New Roman" w:hAnsi="Times New Roman"/>
                <w:sz w:val="24"/>
                <w:szCs w:val="24"/>
                <w:lang w:val="en-US"/>
              </w:rPr>
            </w:pPr>
            <w:r w:rsidRPr="00E941C1">
              <w:rPr>
                <w:rFonts w:ascii="Times New Roman" w:hAnsi="Times New Roman"/>
                <w:sz w:val="24"/>
                <w:szCs w:val="24"/>
                <w:lang w:val="en-US"/>
              </w:rPr>
              <w:t>21%</w:t>
            </w:r>
          </w:p>
        </w:tc>
      </w:tr>
      <w:tr w:rsidR="0030516E" w:rsidRPr="00E941C1" w:rsidTr="008B59DC">
        <w:tc>
          <w:tcPr>
            <w:tcW w:w="2397" w:type="dxa"/>
            <w:tcBorders>
              <w:right w:val="single" w:sz="4" w:space="0" w:color="auto"/>
            </w:tcBorders>
          </w:tcPr>
          <w:p w:rsidR="0030516E" w:rsidRPr="00E941C1" w:rsidRDefault="0030516E" w:rsidP="001B1100">
            <w:pPr>
              <w:spacing w:line="240" w:lineRule="auto"/>
              <w:ind w:firstLine="0"/>
              <w:rPr>
                <w:rFonts w:ascii="Times New Roman" w:hAnsi="Times New Roman"/>
                <w:b/>
                <w:sz w:val="24"/>
                <w:szCs w:val="24"/>
                <w:lang w:val="en-US"/>
              </w:rPr>
            </w:pPr>
            <w:r w:rsidRPr="00E941C1">
              <w:rPr>
                <w:rFonts w:ascii="Times New Roman" w:hAnsi="Times New Roman"/>
                <w:b/>
                <w:sz w:val="24"/>
                <w:szCs w:val="24"/>
                <w:lang w:val="en-US"/>
              </w:rPr>
              <w:t>10,001 to 50,000</w:t>
            </w:r>
          </w:p>
        </w:tc>
        <w:tc>
          <w:tcPr>
            <w:tcW w:w="0" w:type="auto"/>
            <w:tcBorders>
              <w:left w:val="single" w:sz="4" w:space="0" w:color="auto"/>
            </w:tcBorders>
          </w:tcPr>
          <w:p w:rsidR="0030516E" w:rsidRPr="00E941C1" w:rsidRDefault="0030516E" w:rsidP="001B1100">
            <w:pPr>
              <w:spacing w:line="240" w:lineRule="auto"/>
              <w:ind w:firstLine="0"/>
              <w:jc w:val="center"/>
              <w:rPr>
                <w:rFonts w:ascii="Times New Roman" w:hAnsi="Times New Roman"/>
                <w:sz w:val="24"/>
                <w:szCs w:val="24"/>
                <w:lang w:val="en-US"/>
              </w:rPr>
            </w:pPr>
            <w:r w:rsidRPr="00E941C1">
              <w:rPr>
                <w:rFonts w:ascii="Times New Roman" w:hAnsi="Times New Roman"/>
                <w:sz w:val="24"/>
                <w:szCs w:val="24"/>
                <w:lang w:val="en-US"/>
              </w:rPr>
              <w:t>22.5%</w:t>
            </w:r>
          </w:p>
        </w:tc>
        <w:tc>
          <w:tcPr>
            <w:tcW w:w="0" w:type="auto"/>
          </w:tcPr>
          <w:p w:rsidR="0030516E" w:rsidRPr="00E941C1" w:rsidRDefault="0030516E" w:rsidP="001B1100">
            <w:pPr>
              <w:spacing w:line="240" w:lineRule="auto"/>
              <w:ind w:firstLine="0"/>
              <w:jc w:val="center"/>
              <w:rPr>
                <w:rFonts w:ascii="Times New Roman" w:hAnsi="Times New Roman"/>
                <w:sz w:val="24"/>
                <w:szCs w:val="24"/>
                <w:lang w:val="en-US"/>
              </w:rPr>
            </w:pPr>
            <w:r w:rsidRPr="00E941C1">
              <w:rPr>
                <w:rFonts w:ascii="Times New Roman" w:hAnsi="Times New Roman"/>
                <w:sz w:val="24"/>
                <w:szCs w:val="24"/>
                <w:lang w:val="en-US"/>
              </w:rPr>
              <w:t>23.75%</w:t>
            </w:r>
          </w:p>
        </w:tc>
        <w:tc>
          <w:tcPr>
            <w:tcW w:w="0" w:type="auto"/>
          </w:tcPr>
          <w:p w:rsidR="0030516E" w:rsidRPr="00E941C1" w:rsidRDefault="0030516E" w:rsidP="001B1100">
            <w:pPr>
              <w:spacing w:line="240" w:lineRule="auto"/>
              <w:ind w:firstLine="0"/>
              <w:jc w:val="center"/>
              <w:rPr>
                <w:rFonts w:ascii="Times New Roman" w:hAnsi="Times New Roman"/>
                <w:sz w:val="24"/>
                <w:szCs w:val="24"/>
                <w:lang w:val="en-US"/>
              </w:rPr>
            </w:pPr>
            <w:r w:rsidRPr="00E941C1">
              <w:rPr>
                <w:rFonts w:ascii="Times New Roman" w:hAnsi="Times New Roman"/>
                <w:sz w:val="24"/>
                <w:szCs w:val="24"/>
                <w:lang w:val="en-US"/>
              </w:rPr>
              <w:t>19%</w:t>
            </w:r>
          </w:p>
        </w:tc>
        <w:tc>
          <w:tcPr>
            <w:tcW w:w="0" w:type="auto"/>
          </w:tcPr>
          <w:p w:rsidR="0030516E" w:rsidRPr="00E941C1" w:rsidRDefault="0030516E" w:rsidP="001B1100">
            <w:pPr>
              <w:spacing w:line="240" w:lineRule="auto"/>
              <w:ind w:firstLine="0"/>
              <w:jc w:val="center"/>
              <w:rPr>
                <w:rFonts w:ascii="Times New Roman" w:hAnsi="Times New Roman"/>
                <w:sz w:val="24"/>
                <w:szCs w:val="24"/>
                <w:lang w:val="en-US"/>
              </w:rPr>
            </w:pPr>
            <w:r w:rsidRPr="00E941C1">
              <w:rPr>
                <w:rFonts w:ascii="Times New Roman" w:hAnsi="Times New Roman"/>
                <w:sz w:val="24"/>
                <w:szCs w:val="24"/>
                <w:lang w:val="en-US"/>
              </w:rPr>
              <w:t>20%</w:t>
            </w:r>
          </w:p>
        </w:tc>
        <w:tc>
          <w:tcPr>
            <w:tcW w:w="0" w:type="auto"/>
          </w:tcPr>
          <w:p w:rsidR="0030516E" w:rsidRPr="00E941C1" w:rsidRDefault="0030516E" w:rsidP="001B1100">
            <w:pPr>
              <w:spacing w:line="240" w:lineRule="auto"/>
              <w:ind w:firstLine="0"/>
              <w:jc w:val="center"/>
              <w:rPr>
                <w:rFonts w:ascii="Times New Roman" w:hAnsi="Times New Roman"/>
                <w:sz w:val="24"/>
                <w:szCs w:val="24"/>
                <w:lang w:val="en-US"/>
              </w:rPr>
            </w:pPr>
            <w:r w:rsidRPr="00E941C1">
              <w:rPr>
                <w:rFonts w:ascii="Times New Roman" w:hAnsi="Times New Roman"/>
                <w:sz w:val="24"/>
                <w:szCs w:val="24"/>
                <w:lang w:val="en-US"/>
              </w:rPr>
              <w:t>21%</w:t>
            </w:r>
          </w:p>
        </w:tc>
      </w:tr>
      <w:tr w:rsidR="0030516E" w:rsidRPr="00E941C1" w:rsidTr="008B59DC">
        <w:tc>
          <w:tcPr>
            <w:tcW w:w="2397" w:type="dxa"/>
            <w:tcBorders>
              <w:right w:val="single" w:sz="4" w:space="0" w:color="auto"/>
            </w:tcBorders>
          </w:tcPr>
          <w:p w:rsidR="0030516E" w:rsidRPr="00E941C1" w:rsidRDefault="0030516E" w:rsidP="001B1100">
            <w:pPr>
              <w:spacing w:line="240" w:lineRule="auto"/>
              <w:ind w:firstLine="0"/>
              <w:rPr>
                <w:rFonts w:ascii="Times New Roman" w:hAnsi="Times New Roman"/>
                <w:b/>
                <w:sz w:val="24"/>
                <w:szCs w:val="24"/>
                <w:lang w:val="en-US"/>
              </w:rPr>
            </w:pPr>
            <w:r w:rsidRPr="00E941C1">
              <w:rPr>
                <w:rFonts w:ascii="Times New Roman" w:hAnsi="Times New Roman"/>
                <w:b/>
                <w:sz w:val="24"/>
                <w:szCs w:val="24"/>
                <w:lang w:val="en-US"/>
              </w:rPr>
              <w:t>50,001 to 300,000</w:t>
            </w:r>
          </w:p>
        </w:tc>
        <w:tc>
          <w:tcPr>
            <w:tcW w:w="0" w:type="auto"/>
            <w:tcBorders>
              <w:left w:val="single" w:sz="4" w:space="0" w:color="auto"/>
            </w:tcBorders>
          </w:tcPr>
          <w:p w:rsidR="0030516E" w:rsidRPr="00E941C1" w:rsidRDefault="0030516E" w:rsidP="001B1100">
            <w:pPr>
              <w:spacing w:line="240" w:lineRule="auto"/>
              <w:ind w:firstLine="0"/>
              <w:jc w:val="center"/>
              <w:rPr>
                <w:rFonts w:ascii="Times New Roman" w:hAnsi="Times New Roman"/>
                <w:sz w:val="24"/>
                <w:szCs w:val="24"/>
                <w:lang w:val="en-US"/>
              </w:rPr>
            </w:pPr>
            <w:r w:rsidRPr="00E941C1">
              <w:rPr>
                <w:rFonts w:ascii="Times New Roman" w:hAnsi="Times New Roman"/>
                <w:sz w:val="24"/>
                <w:szCs w:val="24"/>
                <w:lang w:val="en-US"/>
              </w:rPr>
              <w:t>20%</w:t>
            </w:r>
          </w:p>
        </w:tc>
        <w:tc>
          <w:tcPr>
            <w:tcW w:w="0" w:type="auto"/>
          </w:tcPr>
          <w:p w:rsidR="0030516E" w:rsidRPr="00E941C1" w:rsidRDefault="0030516E" w:rsidP="001B1100">
            <w:pPr>
              <w:spacing w:line="240" w:lineRule="auto"/>
              <w:ind w:firstLine="0"/>
              <w:jc w:val="center"/>
              <w:rPr>
                <w:rFonts w:ascii="Times New Roman" w:hAnsi="Times New Roman"/>
                <w:sz w:val="24"/>
                <w:szCs w:val="24"/>
                <w:lang w:val="en-US"/>
              </w:rPr>
            </w:pPr>
            <w:r w:rsidRPr="00E941C1">
              <w:rPr>
                <w:rFonts w:ascii="Times New Roman" w:hAnsi="Times New Roman"/>
                <w:sz w:val="24"/>
                <w:szCs w:val="24"/>
                <w:lang w:val="en-US"/>
              </w:rPr>
              <w:t>19%</w:t>
            </w:r>
          </w:p>
        </w:tc>
        <w:tc>
          <w:tcPr>
            <w:tcW w:w="0" w:type="auto"/>
          </w:tcPr>
          <w:p w:rsidR="0030516E" w:rsidRPr="00E941C1" w:rsidRDefault="0030516E" w:rsidP="001B1100">
            <w:pPr>
              <w:spacing w:line="240" w:lineRule="auto"/>
              <w:ind w:firstLine="0"/>
              <w:jc w:val="center"/>
              <w:rPr>
                <w:rFonts w:ascii="Times New Roman" w:hAnsi="Times New Roman"/>
                <w:sz w:val="24"/>
                <w:szCs w:val="24"/>
                <w:lang w:val="en-US"/>
              </w:rPr>
            </w:pPr>
            <w:r w:rsidRPr="00E941C1">
              <w:rPr>
                <w:rFonts w:ascii="Times New Roman" w:hAnsi="Times New Roman"/>
                <w:sz w:val="24"/>
                <w:szCs w:val="24"/>
                <w:lang w:val="en-US"/>
              </w:rPr>
              <w:t>19%</w:t>
            </w:r>
          </w:p>
        </w:tc>
        <w:tc>
          <w:tcPr>
            <w:tcW w:w="0" w:type="auto"/>
          </w:tcPr>
          <w:p w:rsidR="0030516E" w:rsidRPr="00E941C1" w:rsidRDefault="0030516E" w:rsidP="001B1100">
            <w:pPr>
              <w:spacing w:line="240" w:lineRule="auto"/>
              <w:ind w:firstLine="0"/>
              <w:jc w:val="center"/>
              <w:rPr>
                <w:rFonts w:ascii="Times New Roman" w:hAnsi="Times New Roman"/>
                <w:sz w:val="24"/>
                <w:szCs w:val="24"/>
                <w:lang w:val="en-US"/>
              </w:rPr>
            </w:pPr>
            <w:r w:rsidRPr="00E941C1">
              <w:rPr>
                <w:rFonts w:ascii="Times New Roman" w:hAnsi="Times New Roman"/>
                <w:sz w:val="24"/>
                <w:szCs w:val="24"/>
                <w:lang w:val="en-US"/>
              </w:rPr>
              <w:t>20%</w:t>
            </w:r>
          </w:p>
        </w:tc>
        <w:tc>
          <w:tcPr>
            <w:tcW w:w="0" w:type="auto"/>
          </w:tcPr>
          <w:p w:rsidR="0030516E" w:rsidRPr="00E941C1" w:rsidRDefault="0030516E" w:rsidP="001B1100">
            <w:pPr>
              <w:spacing w:line="240" w:lineRule="auto"/>
              <w:ind w:firstLine="0"/>
              <w:jc w:val="center"/>
              <w:rPr>
                <w:rFonts w:ascii="Times New Roman" w:hAnsi="Times New Roman"/>
                <w:sz w:val="24"/>
                <w:szCs w:val="24"/>
                <w:lang w:val="en-US"/>
              </w:rPr>
            </w:pPr>
            <w:r w:rsidRPr="00E941C1">
              <w:rPr>
                <w:rFonts w:ascii="Times New Roman" w:hAnsi="Times New Roman"/>
                <w:sz w:val="24"/>
                <w:szCs w:val="24"/>
                <w:lang w:val="en-US"/>
              </w:rPr>
              <w:t>21%</w:t>
            </w:r>
          </w:p>
        </w:tc>
      </w:tr>
      <w:tr w:rsidR="0030516E" w:rsidRPr="00E941C1" w:rsidTr="008B59DC">
        <w:tc>
          <w:tcPr>
            <w:tcW w:w="2397" w:type="dxa"/>
            <w:tcBorders>
              <w:right w:val="single" w:sz="4" w:space="0" w:color="auto"/>
            </w:tcBorders>
          </w:tcPr>
          <w:p w:rsidR="0030516E" w:rsidRPr="00E941C1" w:rsidRDefault="0030516E" w:rsidP="001B1100">
            <w:pPr>
              <w:spacing w:line="240" w:lineRule="auto"/>
              <w:ind w:firstLine="0"/>
              <w:rPr>
                <w:rFonts w:ascii="Times New Roman" w:hAnsi="Times New Roman"/>
                <w:b/>
                <w:sz w:val="24"/>
                <w:szCs w:val="24"/>
                <w:lang w:val="en-US"/>
              </w:rPr>
            </w:pPr>
            <w:r w:rsidRPr="00E941C1">
              <w:rPr>
                <w:rFonts w:ascii="Times New Roman" w:hAnsi="Times New Roman"/>
                <w:b/>
                <w:sz w:val="24"/>
                <w:szCs w:val="24"/>
                <w:lang w:val="en-US"/>
              </w:rPr>
              <w:t>300,000 to 1,500,000</w:t>
            </w:r>
          </w:p>
        </w:tc>
        <w:tc>
          <w:tcPr>
            <w:tcW w:w="0" w:type="auto"/>
            <w:tcBorders>
              <w:left w:val="single" w:sz="4" w:space="0" w:color="auto"/>
            </w:tcBorders>
          </w:tcPr>
          <w:p w:rsidR="0030516E" w:rsidRPr="00E941C1" w:rsidRDefault="0030516E" w:rsidP="001B1100">
            <w:pPr>
              <w:spacing w:line="240" w:lineRule="auto"/>
              <w:ind w:firstLine="0"/>
              <w:jc w:val="center"/>
              <w:rPr>
                <w:rFonts w:ascii="Times New Roman" w:hAnsi="Times New Roman"/>
                <w:sz w:val="24"/>
                <w:szCs w:val="24"/>
                <w:lang w:val="en-US"/>
              </w:rPr>
            </w:pPr>
            <w:r w:rsidRPr="00E941C1">
              <w:rPr>
                <w:rFonts w:ascii="Times New Roman" w:hAnsi="Times New Roman"/>
                <w:sz w:val="24"/>
                <w:szCs w:val="24"/>
                <w:lang w:val="en-US"/>
              </w:rPr>
              <w:t>32.5%</w:t>
            </w:r>
          </w:p>
        </w:tc>
        <w:tc>
          <w:tcPr>
            <w:tcW w:w="0" w:type="auto"/>
          </w:tcPr>
          <w:p w:rsidR="0030516E" w:rsidRPr="00E941C1" w:rsidRDefault="0030516E" w:rsidP="001B1100">
            <w:pPr>
              <w:spacing w:line="240" w:lineRule="auto"/>
              <w:ind w:firstLine="0"/>
              <w:jc w:val="center"/>
              <w:rPr>
                <w:rFonts w:ascii="Times New Roman" w:hAnsi="Times New Roman"/>
                <w:sz w:val="24"/>
                <w:szCs w:val="24"/>
                <w:lang w:val="en-US"/>
              </w:rPr>
            </w:pPr>
            <w:r w:rsidRPr="00E941C1">
              <w:rPr>
                <w:rFonts w:ascii="Times New Roman" w:hAnsi="Times New Roman"/>
                <w:sz w:val="24"/>
                <w:szCs w:val="24"/>
                <w:lang w:val="en-US"/>
              </w:rPr>
              <w:t>32.75%</w:t>
            </w:r>
          </w:p>
        </w:tc>
        <w:tc>
          <w:tcPr>
            <w:tcW w:w="0" w:type="auto"/>
          </w:tcPr>
          <w:p w:rsidR="0030516E" w:rsidRPr="00E941C1" w:rsidRDefault="0030516E" w:rsidP="001B1100">
            <w:pPr>
              <w:spacing w:line="240" w:lineRule="auto"/>
              <w:ind w:firstLine="0"/>
              <w:jc w:val="center"/>
              <w:rPr>
                <w:rFonts w:ascii="Times New Roman" w:hAnsi="Times New Roman"/>
                <w:sz w:val="24"/>
                <w:szCs w:val="24"/>
                <w:lang w:val="en-US"/>
              </w:rPr>
            </w:pPr>
            <w:r w:rsidRPr="00E941C1">
              <w:rPr>
                <w:rFonts w:ascii="Times New Roman" w:hAnsi="Times New Roman"/>
                <w:sz w:val="24"/>
                <w:szCs w:val="24"/>
                <w:lang w:val="en-US"/>
              </w:rPr>
              <w:t>32.75%</w:t>
            </w:r>
          </w:p>
        </w:tc>
        <w:tc>
          <w:tcPr>
            <w:tcW w:w="0" w:type="auto"/>
          </w:tcPr>
          <w:p w:rsidR="0030516E" w:rsidRPr="00E941C1" w:rsidRDefault="0030516E" w:rsidP="001B1100">
            <w:pPr>
              <w:spacing w:line="240" w:lineRule="auto"/>
              <w:ind w:firstLine="0"/>
              <w:jc w:val="center"/>
              <w:rPr>
                <w:rFonts w:ascii="Times New Roman" w:hAnsi="Times New Roman"/>
                <w:sz w:val="24"/>
                <w:szCs w:val="24"/>
                <w:lang w:val="en-US"/>
              </w:rPr>
            </w:pPr>
            <w:r w:rsidRPr="00E941C1">
              <w:rPr>
                <w:rFonts w:ascii="Times New Roman" w:hAnsi="Times New Roman"/>
                <w:sz w:val="24"/>
                <w:szCs w:val="24"/>
                <w:lang w:val="en-US"/>
              </w:rPr>
              <w:t>32.5%</w:t>
            </w:r>
          </w:p>
        </w:tc>
        <w:tc>
          <w:tcPr>
            <w:tcW w:w="0" w:type="auto"/>
          </w:tcPr>
          <w:p w:rsidR="0030516E" w:rsidRPr="00E941C1" w:rsidRDefault="0030516E" w:rsidP="001B1100">
            <w:pPr>
              <w:spacing w:line="240" w:lineRule="auto"/>
              <w:ind w:firstLine="0"/>
              <w:jc w:val="center"/>
              <w:rPr>
                <w:rFonts w:ascii="Times New Roman" w:hAnsi="Times New Roman"/>
                <w:sz w:val="24"/>
                <w:szCs w:val="24"/>
                <w:lang w:val="en-US"/>
              </w:rPr>
            </w:pPr>
            <w:r w:rsidRPr="00E941C1">
              <w:rPr>
                <w:rFonts w:ascii="Times New Roman" w:hAnsi="Times New Roman"/>
                <w:sz w:val="24"/>
                <w:szCs w:val="24"/>
                <w:lang w:val="en-US"/>
              </w:rPr>
              <w:t>29.75%</w:t>
            </w:r>
          </w:p>
        </w:tc>
      </w:tr>
      <w:tr w:rsidR="0030516E" w:rsidRPr="00E941C1" w:rsidTr="008B59DC">
        <w:tc>
          <w:tcPr>
            <w:tcW w:w="2397" w:type="dxa"/>
            <w:tcBorders>
              <w:bottom w:val="single" w:sz="4" w:space="0" w:color="auto"/>
              <w:right w:val="single" w:sz="4" w:space="0" w:color="auto"/>
            </w:tcBorders>
          </w:tcPr>
          <w:p w:rsidR="0030516E" w:rsidRPr="00E941C1" w:rsidRDefault="0030516E" w:rsidP="001B1100">
            <w:pPr>
              <w:spacing w:line="240" w:lineRule="auto"/>
              <w:ind w:firstLine="0"/>
              <w:rPr>
                <w:rFonts w:ascii="Times New Roman" w:hAnsi="Times New Roman"/>
                <w:b/>
                <w:sz w:val="24"/>
                <w:szCs w:val="24"/>
                <w:lang w:val="en-US"/>
              </w:rPr>
            </w:pPr>
            <w:r w:rsidRPr="00E941C1">
              <w:rPr>
                <w:rFonts w:ascii="Times New Roman" w:hAnsi="Times New Roman"/>
                <w:b/>
                <w:sz w:val="24"/>
                <w:szCs w:val="24"/>
                <w:lang w:val="en-US"/>
              </w:rPr>
              <w:t>More than 1,500,001</w:t>
            </w:r>
          </w:p>
        </w:tc>
        <w:tc>
          <w:tcPr>
            <w:tcW w:w="0" w:type="auto"/>
            <w:tcBorders>
              <w:left w:val="single" w:sz="4" w:space="0" w:color="auto"/>
              <w:bottom w:val="single" w:sz="4" w:space="0" w:color="auto"/>
            </w:tcBorders>
          </w:tcPr>
          <w:p w:rsidR="0030516E" w:rsidRPr="00E941C1" w:rsidRDefault="0030516E" w:rsidP="001B1100">
            <w:pPr>
              <w:spacing w:line="240" w:lineRule="auto"/>
              <w:ind w:firstLine="0"/>
              <w:jc w:val="center"/>
              <w:rPr>
                <w:rFonts w:ascii="Times New Roman" w:hAnsi="Times New Roman"/>
                <w:sz w:val="24"/>
                <w:szCs w:val="24"/>
                <w:lang w:val="en-US"/>
              </w:rPr>
            </w:pPr>
            <w:r w:rsidRPr="00E941C1">
              <w:rPr>
                <w:rFonts w:ascii="Times New Roman" w:hAnsi="Times New Roman"/>
                <w:sz w:val="24"/>
                <w:szCs w:val="24"/>
                <w:lang w:val="en-US"/>
              </w:rPr>
              <w:t>30%</w:t>
            </w:r>
          </w:p>
        </w:tc>
        <w:tc>
          <w:tcPr>
            <w:tcW w:w="0" w:type="auto"/>
            <w:tcBorders>
              <w:bottom w:val="single" w:sz="4" w:space="0" w:color="auto"/>
            </w:tcBorders>
          </w:tcPr>
          <w:p w:rsidR="0030516E" w:rsidRPr="00E941C1" w:rsidRDefault="0030516E" w:rsidP="001B1100">
            <w:pPr>
              <w:spacing w:line="240" w:lineRule="auto"/>
              <w:ind w:firstLine="0"/>
              <w:jc w:val="center"/>
              <w:rPr>
                <w:rFonts w:ascii="Times New Roman" w:hAnsi="Times New Roman"/>
                <w:sz w:val="24"/>
                <w:szCs w:val="24"/>
                <w:lang w:val="en-US"/>
              </w:rPr>
            </w:pPr>
            <w:r w:rsidRPr="00E941C1">
              <w:rPr>
                <w:rFonts w:ascii="Times New Roman" w:hAnsi="Times New Roman"/>
                <w:sz w:val="24"/>
                <w:szCs w:val="24"/>
                <w:lang w:val="en-US"/>
              </w:rPr>
              <w:t>30%</w:t>
            </w:r>
          </w:p>
        </w:tc>
        <w:tc>
          <w:tcPr>
            <w:tcW w:w="0" w:type="auto"/>
            <w:tcBorders>
              <w:bottom w:val="single" w:sz="4" w:space="0" w:color="auto"/>
            </w:tcBorders>
          </w:tcPr>
          <w:p w:rsidR="0030516E" w:rsidRPr="00E941C1" w:rsidRDefault="0030516E" w:rsidP="001B1100">
            <w:pPr>
              <w:spacing w:line="240" w:lineRule="auto"/>
              <w:ind w:firstLine="0"/>
              <w:jc w:val="center"/>
              <w:rPr>
                <w:rFonts w:ascii="Times New Roman" w:hAnsi="Times New Roman"/>
                <w:sz w:val="24"/>
                <w:szCs w:val="24"/>
                <w:lang w:val="en-US"/>
              </w:rPr>
            </w:pPr>
            <w:r w:rsidRPr="00E941C1">
              <w:rPr>
                <w:rFonts w:ascii="Times New Roman" w:hAnsi="Times New Roman"/>
                <w:sz w:val="24"/>
                <w:szCs w:val="24"/>
                <w:lang w:val="en-US"/>
              </w:rPr>
              <w:t>30%</w:t>
            </w:r>
          </w:p>
        </w:tc>
        <w:tc>
          <w:tcPr>
            <w:tcW w:w="0" w:type="auto"/>
            <w:tcBorders>
              <w:bottom w:val="single" w:sz="4" w:space="0" w:color="auto"/>
            </w:tcBorders>
          </w:tcPr>
          <w:p w:rsidR="0030516E" w:rsidRPr="00E941C1" w:rsidRDefault="0030516E" w:rsidP="001B1100">
            <w:pPr>
              <w:spacing w:line="240" w:lineRule="auto"/>
              <w:ind w:firstLine="0"/>
              <w:jc w:val="center"/>
              <w:rPr>
                <w:rFonts w:ascii="Times New Roman" w:hAnsi="Times New Roman"/>
                <w:sz w:val="24"/>
                <w:szCs w:val="24"/>
                <w:lang w:val="en-US"/>
              </w:rPr>
            </w:pPr>
            <w:r w:rsidRPr="00E941C1">
              <w:rPr>
                <w:rFonts w:ascii="Times New Roman" w:hAnsi="Times New Roman"/>
                <w:sz w:val="24"/>
                <w:szCs w:val="24"/>
                <w:lang w:val="en-US"/>
              </w:rPr>
              <w:t>30%</w:t>
            </w:r>
          </w:p>
        </w:tc>
        <w:tc>
          <w:tcPr>
            <w:tcW w:w="0" w:type="auto"/>
            <w:tcBorders>
              <w:bottom w:val="single" w:sz="4" w:space="0" w:color="auto"/>
            </w:tcBorders>
          </w:tcPr>
          <w:p w:rsidR="0030516E" w:rsidRPr="00E941C1" w:rsidRDefault="0030516E" w:rsidP="001B1100">
            <w:pPr>
              <w:spacing w:line="240" w:lineRule="auto"/>
              <w:ind w:firstLine="0"/>
              <w:jc w:val="center"/>
              <w:rPr>
                <w:rFonts w:ascii="Times New Roman" w:hAnsi="Times New Roman"/>
                <w:sz w:val="24"/>
                <w:szCs w:val="24"/>
                <w:lang w:val="en-US"/>
              </w:rPr>
            </w:pPr>
            <w:r w:rsidRPr="00E941C1">
              <w:rPr>
                <w:rFonts w:ascii="Times New Roman" w:hAnsi="Times New Roman"/>
                <w:sz w:val="24"/>
                <w:szCs w:val="24"/>
                <w:lang w:val="en-US"/>
              </w:rPr>
              <w:t>28%</w:t>
            </w:r>
          </w:p>
        </w:tc>
      </w:tr>
    </w:tbl>
    <w:p w:rsidR="00EB45E3" w:rsidRDefault="00EB45E3" w:rsidP="001E07DA">
      <w:pPr>
        <w:ind w:firstLine="426"/>
        <w:rPr>
          <w:rFonts w:ascii="Times New Roman" w:hAnsi="Times New Roman"/>
          <w:sz w:val="24"/>
          <w:szCs w:val="24"/>
          <w:lang w:val="en-US"/>
        </w:rPr>
      </w:pPr>
    </w:p>
    <w:p w:rsidR="001E07DA" w:rsidRDefault="001E07DA" w:rsidP="001E07DA">
      <w:pPr>
        <w:ind w:firstLine="426"/>
        <w:rPr>
          <w:rFonts w:ascii="Times New Roman" w:hAnsi="Times New Roman"/>
          <w:sz w:val="24"/>
          <w:szCs w:val="24"/>
          <w:lang w:val="en-US"/>
        </w:rPr>
      </w:pPr>
      <w:r w:rsidRPr="00676B57">
        <w:rPr>
          <w:rFonts w:ascii="Times New Roman" w:hAnsi="Times New Roman"/>
          <w:sz w:val="24"/>
          <w:szCs w:val="24"/>
          <w:lang w:val="en-US"/>
        </w:rPr>
        <w:t xml:space="preserve">Another critical change </w:t>
      </w:r>
      <w:r w:rsidR="00D17BFA">
        <w:rPr>
          <w:rFonts w:ascii="Times New Roman" w:hAnsi="Times New Roman"/>
          <w:sz w:val="24"/>
          <w:szCs w:val="24"/>
          <w:lang w:val="en-US"/>
        </w:rPr>
        <w:t xml:space="preserve">was </w:t>
      </w:r>
      <w:r w:rsidRPr="00676B57">
        <w:rPr>
          <w:rFonts w:ascii="Times New Roman" w:hAnsi="Times New Roman"/>
          <w:sz w:val="24"/>
          <w:szCs w:val="24"/>
          <w:lang w:val="en-US"/>
        </w:rPr>
        <w:t>implemented in July 2009 when overseas</w:t>
      </w:r>
      <w:r w:rsidRPr="00676B57">
        <w:rPr>
          <w:rFonts w:asciiTheme="majorBidi" w:hAnsiTheme="majorBidi" w:cstheme="majorBidi"/>
          <w:sz w:val="24"/>
          <w:szCs w:val="24"/>
          <w:lang w:val="en-GB"/>
        </w:rPr>
        <w:t xml:space="preserve"> dividend income has been largely exempt from UK corporation tax. The tax regime until then was that foreign source dividend income was taxable in the UK with a tax credit for foreign corporation tax paid abroad. </w:t>
      </w:r>
      <w:r w:rsidR="0030516E" w:rsidRPr="00676B57">
        <w:rPr>
          <w:rFonts w:ascii="Times New Roman" w:hAnsi="Times New Roman"/>
          <w:sz w:val="24"/>
          <w:szCs w:val="24"/>
          <w:lang w:val="en-US"/>
        </w:rPr>
        <w:t>Typically</w:t>
      </w:r>
      <w:r w:rsidR="0030516E">
        <w:rPr>
          <w:rFonts w:ascii="Times New Roman" w:hAnsi="Times New Roman"/>
          <w:sz w:val="24"/>
          <w:szCs w:val="24"/>
          <w:lang w:val="en-US"/>
        </w:rPr>
        <w:t>,</w:t>
      </w:r>
      <w:r w:rsidR="0030516E" w:rsidRPr="00676B57">
        <w:rPr>
          <w:rFonts w:ascii="Times New Roman" w:hAnsi="Times New Roman"/>
          <w:sz w:val="24"/>
          <w:szCs w:val="24"/>
          <w:lang w:val="en-US"/>
        </w:rPr>
        <w:t xml:space="preserve"> </w:t>
      </w:r>
      <w:r w:rsidRPr="00676B57">
        <w:rPr>
          <w:rFonts w:ascii="Times New Roman" w:hAnsi="Times New Roman"/>
          <w:sz w:val="24"/>
          <w:szCs w:val="24"/>
          <w:lang w:val="en-US"/>
        </w:rPr>
        <w:t>UK raises substantia</w:t>
      </w:r>
      <w:r w:rsidR="0030516E">
        <w:rPr>
          <w:rFonts w:ascii="Times New Roman" w:hAnsi="Times New Roman"/>
          <w:sz w:val="24"/>
          <w:szCs w:val="24"/>
          <w:lang w:val="en-US"/>
        </w:rPr>
        <w:t xml:space="preserve">l revenue from corporation tax </w:t>
      </w:r>
      <w:r w:rsidRPr="00676B57">
        <w:rPr>
          <w:rFonts w:ascii="Times New Roman" w:hAnsi="Times New Roman"/>
          <w:sz w:val="24"/>
          <w:szCs w:val="24"/>
          <w:lang w:val="en-US"/>
        </w:rPr>
        <w:t>as</w:t>
      </w:r>
      <w:r w:rsidR="0030516E">
        <w:rPr>
          <w:rFonts w:ascii="Times New Roman" w:hAnsi="Times New Roman"/>
          <w:sz w:val="24"/>
          <w:szCs w:val="24"/>
          <w:lang w:val="en-US"/>
        </w:rPr>
        <w:t xml:space="preserve"> a share </w:t>
      </w:r>
      <w:r w:rsidR="00D17BFA">
        <w:rPr>
          <w:rFonts w:ascii="Times New Roman" w:hAnsi="Times New Roman"/>
          <w:sz w:val="24"/>
          <w:szCs w:val="24"/>
          <w:lang w:val="en-US"/>
        </w:rPr>
        <w:t>of</w:t>
      </w:r>
      <w:r w:rsidR="0030516E">
        <w:rPr>
          <w:rFonts w:ascii="Times New Roman" w:hAnsi="Times New Roman"/>
          <w:sz w:val="24"/>
          <w:szCs w:val="24"/>
          <w:lang w:val="en-US"/>
        </w:rPr>
        <w:t xml:space="preserve"> </w:t>
      </w:r>
      <w:r w:rsidRPr="00676B57">
        <w:rPr>
          <w:rFonts w:ascii="Times New Roman" w:hAnsi="Times New Roman"/>
          <w:sz w:val="24"/>
          <w:szCs w:val="24"/>
          <w:lang w:val="en-US"/>
        </w:rPr>
        <w:t>GDP</w:t>
      </w:r>
      <w:r w:rsidR="0030516E">
        <w:rPr>
          <w:rFonts w:ascii="Times New Roman" w:hAnsi="Times New Roman"/>
          <w:sz w:val="24"/>
          <w:szCs w:val="24"/>
          <w:lang w:val="en-US"/>
        </w:rPr>
        <w:t xml:space="preserve">, which is higher relative to </w:t>
      </w:r>
      <w:r w:rsidRPr="00676B57">
        <w:rPr>
          <w:rFonts w:ascii="Times New Roman" w:hAnsi="Times New Roman"/>
          <w:sz w:val="24"/>
          <w:szCs w:val="24"/>
          <w:lang w:val="en-US"/>
        </w:rPr>
        <w:t>other G7. However</w:t>
      </w:r>
      <w:r w:rsidR="00D17BFA">
        <w:rPr>
          <w:rFonts w:ascii="Times New Roman" w:hAnsi="Times New Roman"/>
          <w:sz w:val="24"/>
          <w:szCs w:val="24"/>
          <w:lang w:val="en-US"/>
        </w:rPr>
        <w:t>,</w:t>
      </w:r>
      <w:r w:rsidRPr="00676B57">
        <w:rPr>
          <w:rFonts w:ascii="Times New Roman" w:hAnsi="Times New Roman"/>
          <w:sz w:val="24"/>
          <w:szCs w:val="24"/>
          <w:lang w:val="en-US"/>
        </w:rPr>
        <w:t xml:space="preserve"> the </w:t>
      </w:r>
      <w:r w:rsidR="0030516E">
        <w:rPr>
          <w:rFonts w:ascii="Times New Roman" w:hAnsi="Times New Roman"/>
          <w:sz w:val="24"/>
          <w:szCs w:val="24"/>
          <w:lang w:val="en-US"/>
        </w:rPr>
        <w:t xml:space="preserve">burden of tax </w:t>
      </w:r>
      <w:r w:rsidRPr="00676B57">
        <w:rPr>
          <w:rFonts w:ascii="Times New Roman" w:hAnsi="Times New Roman"/>
          <w:sz w:val="24"/>
          <w:szCs w:val="24"/>
          <w:lang w:val="en-US"/>
        </w:rPr>
        <w:t xml:space="preserve">payments across </w:t>
      </w:r>
      <w:r w:rsidR="0030516E">
        <w:rPr>
          <w:rFonts w:ascii="Times New Roman" w:hAnsi="Times New Roman"/>
          <w:sz w:val="24"/>
          <w:szCs w:val="24"/>
          <w:lang w:val="en-US"/>
        </w:rPr>
        <w:t>firms</w:t>
      </w:r>
      <w:r w:rsidRPr="00676B57">
        <w:rPr>
          <w:rFonts w:ascii="Times New Roman" w:hAnsi="Times New Roman"/>
          <w:sz w:val="24"/>
          <w:szCs w:val="24"/>
          <w:lang w:val="en-US"/>
        </w:rPr>
        <w:t xml:space="preserve"> is highly </w:t>
      </w:r>
      <w:r w:rsidR="0030516E">
        <w:rPr>
          <w:rFonts w:ascii="Times New Roman" w:hAnsi="Times New Roman"/>
          <w:sz w:val="24"/>
          <w:szCs w:val="24"/>
          <w:lang w:val="en-US"/>
        </w:rPr>
        <w:t>uneven</w:t>
      </w:r>
      <w:r w:rsidRPr="00676B57">
        <w:rPr>
          <w:rFonts w:ascii="Times New Roman" w:hAnsi="Times New Roman"/>
          <w:sz w:val="24"/>
          <w:szCs w:val="24"/>
          <w:lang w:val="en-US"/>
        </w:rPr>
        <w:t xml:space="preserve">, with </w:t>
      </w:r>
      <w:r w:rsidR="0030516E" w:rsidRPr="00676B57">
        <w:rPr>
          <w:rFonts w:ascii="Times New Roman" w:hAnsi="Times New Roman"/>
          <w:sz w:val="24"/>
          <w:szCs w:val="24"/>
          <w:lang w:val="en-US"/>
        </w:rPr>
        <w:t>80</w:t>
      </w:r>
      <w:r w:rsidR="0030516E">
        <w:rPr>
          <w:rFonts w:ascii="Times New Roman" w:hAnsi="Times New Roman"/>
          <w:sz w:val="24"/>
          <w:szCs w:val="24"/>
          <w:lang w:val="en-US"/>
        </w:rPr>
        <w:t>% of total revenue to come from only</w:t>
      </w:r>
      <w:r w:rsidR="0030516E" w:rsidRPr="00676B57">
        <w:rPr>
          <w:rFonts w:ascii="Times New Roman" w:hAnsi="Times New Roman"/>
          <w:sz w:val="24"/>
          <w:szCs w:val="24"/>
          <w:lang w:val="en-US"/>
        </w:rPr>
        <w:t xml:space="preserve"> </w:t>
      </w:r>
      <w:r w:rsidRPr="00676B57">
        <w:rPr>
          <w:rFonts w:ascii="Times New Roman" w:hAnsi="Times New Roman"/>
          <w:sz w:val="24"/>
          <w:szCs w:val="24"/>
          <w:lang w:val="en-US"/>
        </w:rPr>
        <w:t>1</w:t>
      </w:r>
      <w:r w:rsidR="0030516E">
        <w:rPr>
          <w:rFonts w:ascii="Times New Roman" w:hAnsi="Times New Roman"/>
          <w:sz w:val="24"/>
          <w:szCs w:val="24"/>
          <w:lang w:val="en-US"/>
        </w:rPr>
        <w:t>%</w:t>
      </w:r>
      <w:r w:rsidRPr="00676B57">
        <w:rPr>
          <w:rFonts w:ascii="Times New Roman" w:hAnsi="Times New Roman"/>
          <w:sz w:val="24"/>
          <w:szCs w:val="24"/>
          <w:lang w:val="en-US"/>
        </w:rPr>
        <w:t xml:space="preserve"> of</w:t>
      </w:r>
      <w:r w:rsidR="0030516E">
        <w:rPr>
          <w:rFonts w:ascii="Times New Roman" w:hAnsi="Times New Roman"/>
          <w:sz w:val="24"/>
          <w:szCs w:val="24"/>
          <w:lang w:val="en-US"/>
        </w:rPr>
        <w:t xml:space="preserve"> the firms.</w:t>
      </w:r>
      <w:r w:rsidRPr="00676B57">
        <w:rPr>
          <w:rFonts w:ascii="Times New Roman" w:hAnsi="Times New Roman"/>
          <w:sz w:val="24"/>
          <w:szCs w:val="24"/>
          <w:lang w:val="en-US"/>
        </w:rPr>
        <w:t xml:space="preserve"> </w:t>
      </w:r>
    </w:p>
    <w:p w:rsidR="003F44F7" w:rsidRDefault="003F44F7" w:rsidP="00F84B7C">
      <w:pPr>
        <w:ind w:firstLine="357"/>
        <w:rPr>
          <w:rFonts w:ascii="Times New Roman" w:hAnsi="Times New Roman"/>
          <w:sz w:val="24"/>
          <w:szCs w:val="24"/>
          <w:lang w:val="en-GB"/>
        </w:rPr>
      </w:pPr>
      <w:r>
        <w:rPr>
          <w:rFonts w:ascii="Times New Roman" w:eastAsia="Times New Roman" w:hAnsi="Times New Roman"/>
          <w:sz w:val="24"/>
          <w:szCs w:val="24"/>
          <w:lang w:val="en-US"/>
        </w:rPr>
        <w:t xml:space="preserve">  </w:t>
      </w:r>
      <w:r w:rsidR="00EB45E3" w:rsidRPr="00EB45E3">
        <w:rPr>
          <w:rFonts w:ascii="Times New Roman" w:eastAsia="Times New Roman" w:hAnsi="Times New Roman"/>
          <w:sz w:val="24"/>
          <w:szCs w:val="24"/>
          <w:lang w:val="en-US"/>
        </w:rPr>
        <w:t xml:space="preserve">Another issue with the calculation of </w:t>
      </w:r>
      <w:r w:rsidR="00EB45E3" w:rsidRPr="003F44F7">
        <w:rPr>
          <w:rFonts w:ascii="Times New Roman" w:eastAsia="Times New Roman" w:hAnsi="Times New Roman"/>
          <w:i/>
          <w:sz w:val="24"/>
          <w:szCs w:val="24"/>
          <w:lang w:val="en-US"/>
        </w:rPr>
        <w:t>Tax</w:t>
      </w:r>
      <w:r w:rsidR="00EB45E3" w:rsidRPr="00EB45E3">
        <w:rPr>
          <w:rFonts w:ascii="Times New Roman" w:eastAsia="Times New Roman" w:hAnsi="Times New Roman"/>
          <w:sz w:val="24"/>
          <w:szCs w:val="24"/>
          <w:lang w:val="en-US"/>
        </w:rPr>
        <w:t xml:space="preserve"> and </w:t>
      </w:r>
      <w:r w:rsidR="00EB45E3" w:rsidRPr="003F44F7">
        <w:rPr>
          <w:rFonts w:ascii="Times New Roman" w:eastAsia="Times New Roman" w:hAnsi="Times New Roman"/>
          <w:i/>
          <w:sz w:val="24"/>
          <w:szCs w:val="24"/>
          <w:lang w:val="en-US"/>
        </w:rPr>
        <w:t>ETR</w:t>
      </w:r>
      <w:r w:rsidR="00EB45E3" w:rsidRPr="00EB45E3">
        <w:rPr>
          <w:rFonts w:ascii="Times New Roman" w:eastAsia="Times New Roman" w:hAnsi="Times New Roman"/>
          <w:sz w:val="24"/>
          <w:szCs w:val="24"/>
          <w:lang w:val="en-US"/>
        </w:rPr>
        <w:t xml:space="preserve"> is that they become undefined if firms report zero profits (</w:t>
      </w:r>
      <w:r w:rsidR="00EB45E3" w:rsidRPr="00EB45E3">
        <w:rPr>
          <w:rFonts w:ascii="Times New Roman" w:eastAsia="Times New Roman" w:hAnsi="Times New Roman"/>
          <w:i/>
          <w:iCs/>
          <w:sz w:val="24"/>
          <w:szCs w:val="24"/>
          <w:lang w:val="en-US"/>
        </w:rPr>
        <w:t>EBIT</w:t>
      </w:r>
      <w:r w:rsidR="00EB45E3" w:rsidRPr="00EB45E3">
        <w:rPr>
          <w:rFonts w:ascii="Times New Roman" w:eastAsia="Times New Roman" w:hAnsi="Times New Roman"/>
          <w:sz w:val="24"/>
          <w:szCs w:val="24"/>
          <w:lang w:val="en-US"/>
        </w:rPr>
        <w:t xml:space="preserve">). In the current data set, there are about 16952 observations with zero or negative </w:t>
      </w:r>
      <w:r w:rsidR="00EB45E3" w:rsidRPr="00EB45E3">
        <w:rPr>
          <w:rFonts w:ascii="Times New Roman" w:eastAsia="Times New Roman" w:hAnsi="Times New Roman"/>
          <w:i/>
          <w:iCs/>
          <w:sz w:val="24"/>
          <w:szCs w:val="24"/>
          <w:lang w:val="en-US"/>
        </w:rPr>
        <w:t>EBIT</w:t>
      </w:r>
      <w:r w:rsidR="00EB45E3" w:rsidRPr="00EB45E3">
        <w:rPr>
          <w:rFonts w:ascii="Times New Roman" w:eastAsia="Times New Roman" w:hAnsi="Times New Roman"/>
          <w:sz w:val="24"/>
          <w:szCs w:val="24"/>
          <w:lang w:val="en-US"/>
        </w:rPr>
        <w:t xml:space="preserve"> values. Similarly, there are firms in FAME that report negative corporate tax payment for specific years. </w:t>
      </w:r>
      <w:r w:rsidR="00EB45E3" w:rsidRPr="00EB45E3">
        <w:rPr>
          <w:rFonts w:asciiTheme="majorBidi" w:hAnsiTheme="majorBidi" w:cstheme="majorBidi"/>
          <w:sz w:val="24"/>
          <w:szCs w:val="24"/>
          <w:lang w:val="en-GB"/>
        </w:rPr>
        <w:t xml:space="preserve">Firms usually report negative tax for loss carrying purposes or to benefit from group reliefs. For the purposes of our analysis, a negative ETR is meaningless if any of the two (corporate tax or EBIT) </w:t>
      </w:r>
      <w:r w:rsidR="00D17BFA">
        <w:rPr>
          <w:rFonts w:asciiTheme="majorBidi" w:hAnsiTheme="majorBidi" w:cstheme="majorBidi"/>
          <w:sz w:val="24"/>
          <w:szCs w:val="24"/>
          <w:lang w:val="en-GB"/>
        </w:rPr>
        <w:t>is</w:t>
      </w:r>
      <w:r w:rsidR="00EB45E3" w:rsidRPr="00EB45E3">
        <w:rPr>
          <w:rFonts w:asciiTheme="majorBidi" w:hAnsiTheme="majorBidi" w:cstheme="majorBidi"/>
          <w:sz w:val="24"/>
          <w:szCs w:val="24"/>
          <w:lang w:val="en-GB"/>
        </w:rPr>
        <w:t xml:space="preserve"> negative. Therefore, </w:t>
      </w:r>
      <w:r w:rsidR="00EB45E3" w:rsidRPr="00EB45E3">
        <w:rPr>
          <w:rFonts w:ascii="Times New Roman" w:eastAsia="Times New Roman" w:hAnsi="Times New Roman"/>
          <w:sz w:val="24"/>
          <w:szCs w:val="24"/>
          <w:lang w:val="en-US"/>
        </w:rPr>
        <w:t xml:space="preserve">we are forced to drop observations with either negative corporate tax or negative </w:t>
      </w:r>
      <w:r w:rsidR="00EB45E3" w:rsidRPr="00EB45E3">
        <w:rPr>
          <w:rFonts w:ascii="Times New Roman" w:eastAsia="Times New Roman" w:hAnsi="Times New Roman"/>
          <w:i/>
          <w:sz w:val="24"/>
          <w:szCs w:val="24"/>
          <w:lang w:val="en-US"/>
        </w:rPr>
        <w:t>EBIT</w:t>
      </w:r>
      <w:r w:rsidR="00EB45E3" w:rsidRPr="00EB45E3">
        <w:rPr>
          <w:rFonts w:ascii="Times New Roman" w:eastAsia="Times New Roman" w:hAnsi="Times New Roman"/>
          <w:sz w:val="24"/>
          <w:szCs w:val="24"/>
          <w:lang w:val="en-US"/>
        </w:rPr>
        <w:t>.</w:t>
      </w:r>
      <w:r w:rsidR="00EB45E3" w:rsidRPr="00EB45E3">
        <w:rPr>
          <w:rFonts w:ascii="Times New Roman" w:eastAsia="Times New Roman" w:hAnsi="Times New Roman"/>
          <w:bCs/>
          <w:sz w:val="24"/>
          <w:szCs w:val="24"/>
          <w:lang w:val="en-US" w:eastAsia="el-GR"/>
        </w:rPr>
        <w:t xml:space="preserve"> </w:t>
      </w:r>
      <w:r>
        <w:rPr>
          <w:rFonts w:ascii="Times New Roman" w:eastAsia="Times New Roman" w:hAnsi="Times New Roman"/>
          <w:sz w:val="24"/>
          <w:szCs w:val="24"/>
          <w:lang w:val="en-US"/>
        </w:rPr>
        <w:t xml:space="preserve">Finally, our </w:t>
      </w:r>
      <w:r w:rsidR="001E07DA" w:rsidRPr="003F44F7">
        <w:rPr>
          <w:rFonts w:ascii="Times New Roman" w:eastAsia="Times New Roman" w:hAnsi="Times New Roman"/>
          <w:i/>
          <w:sz w:val="24"/>
          <w:szCs w:val="24"/>
          <w:lang w:val="en-US"/>
        </w:rPr>
        <w:t>ETR</w:t>
      </w:r>
      <w:r w:rsidR="001E07DA">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 xml:space="preserve">measure </w:t>
      </w:r>
      <w:r w:rsidR="001E07DA">
        <w:rPr>
          <w:rFonts w:ascii="Times New Roman" w:eastAsia="Times New Roman" w:hAnsi="Times New Roman"/>
          <w:sz w:val="24"/>
          <w:szCs w:val="24"/>
          <w:lang w:val="en-US"/>
        </w:rPr>
        <w:t xml:space="preserve">is more backward looking as it uses the amount of corporate tax paid in year </w:t>
      </w:r>
      <w:r w:rsidR="001E07DA" w:rsidRPr="007F51BB">
        <w:rPr>
          <w:rFonts w:ascii="Times New Roman" w:eastAsia="Times New Roman" w:hAnsi="Times New Roman"/>
          <w:i/>
          <w:iCs/>
          <w:sz w:val="24"/>
          <w:szCs w:val="24"/>
          <w:lang w:val="en-US"/>
        </w:rPr>
        <w:t xml:space="preserve">t </w:t>
      </w:r>
      <w:r w:rsidR="001E07DA">
        <w:rPr>
          <w:rFonts w:ascii="Times New Roman" w:eastAsia="Times New Roman" w:hAnsi="Times New Roman"/>
          <w:sz w:val="24"/>
          <w:szCs w:val="24"/>
          <w:lang w:val="en-US"/>
        </w:rPr>
        <w:t xml:space="preserve">on projects undertaken in any past history whose returns and profits are reported in year </w:t>
      </w:r>
      <w:r w:rsidR="001E07DA" w:rsidRPr="007F51BB">
        <w:rPr>
          <w:rFonts w:ascii="Times New Roman" w:eastAsia="Times New Roman" w:hAnsi="Times New Roman"/>
          <w:i/>
          <w:iCs/>
          <w:sz w:val="24"/>
          <w:szCs w:val="24"/>
          <w:lang w:val="en-US"/>
        </w:rPr>
        <w:t>t</w:t>
      </w:r>
      <w:r w:rsidR="001E07DA">
        <w:rPr>
          <w:rFonts w:ascii="Times New Roman" w:eastAsia="Times New Roman" w:hAnsi="Times New Roman"/>
          <w:sz w:val="24"/>
          <w:szCs w:val="24"/>
          <w:lang w:val="en-US"/>
        </w:rPr>
        <w:t>. nevertheless</w:t>
      </w:r>
      <w:r>
        <w:rPr>
          <w:rFonts w:ascii="Times New Roman" w:eastAsia="Times New Roman" w:hAnsi="Times New Roman"/>
          <w:sz w:val="24"/>
          <w:szCs w:val="24"/>
          <w:lang w:val="en-US"/>
        </w:rPr>
        <w:t xml:space="preserve"> our </w:t>
      </w:r>
      <w:r w:rsidRPr="003F44F7">
        <w:rPr>
          <w:rFonts w:ascii="Times New Roman" w:eastAsia="Times New Roman" w:hAnsi="Times New Roman"/>
          <w:i/>
          <w:sz w:val="24"/>
          <w:szCs w:val="24"/>
          <w:lang w:val="en-US"/>
        </w:rPr>
        <w:t>ETR</w:t>
      </w:r>
      <w:r>
        <w:rPr>
          <w:rFonts w:ascii="Times New Roman" w:eastAsia="Times New Roman" w:hAnsi="Times New Roman"/>
          <w:sz w:val="24"/>
          <w:szCs w:val="24"/>
          <w:lang w:val="en-US"/>
        </w:rPr>
        <w:t xml:space="preserve"> measure is preferred to a more forward looking </w:t>
      </w:r>
      <w:r w:rsidR="00EF2433">
        <w:rPr>
          <w:rFonts w:asciiTheme="majorBidi" w:hAnsiTheme="majorBidi" w:cstheme="majorBidi"/>
          <w:sz w:val="24"/>
          <w:szCs w:val="24"/>
          <w:lang w:val="en-GB"/>
        </w:rPr>
        <w:t xml:space="preserve">Devereux and Griffith (1999, </w:t>
      </w:r>
      <w:r w:rsidRPr="003F44F7">
        <w:rPr>
          <w:rFonts w:asciiTheme="majorBidi" w:hAnsiTheme="majorBidi" w:cstheme="majorBidi"/>
          <w:sz w:val="24"/>
          <w:szCs w:val="24"/>
          <w:lang w:val="en-GB"/>
        </w:rPr>
        <w:t>2003)</w:t>
      </w:r>
      <w:r w:rsidRPr="0089055C">
        <w:rPr>
          <w:rFonts w:asciiTheme="majorBidi" w:hAnsiTheme="majorBidi" w:cstheme="majorBidi"/>
          <w:lang w:val="en-GB"/>
        </w:rPr>
        <w:t xml:space="preserve"> </w:t>
      </w:r>
      <w:r w:rsidR="001E07DA">
        <w:rPr>
          <w:rFonts w:ascii="Times New Roman" w:eastAsia="Times New Roman" w:hAnsi="Times New Roman"/>
          <w:sz w:val="24"/>
          <w:szCs w:val="24"/>
          <w:lang w:val="en-US"/>
        </w:rPr>
        <w:t xml:space="preserve">for its simplicity and transparency. This is to say that </w:t>
      </w:r>
      <w:r w:rsidRPr="003F44F7">
        <w:rPr>
          <w:rFonts w:ascii="Times New Roman" w:eastAsia="Times New Roman" w:hAnsi="Times New Roman"/>
          <w:i/>
          <w:sz w:val="24"/>
          <w:szCs w:val="24"/>
          <w:lang w:val="en-US"/>
        </w:rPr>
        <w:t>ETR</w:t>
      </w:r>
      <w:r w:rsidR="001E07DA">
        <w:rPr>
          <w:rFonts w:ascii="Times New Roman" w:eastAsia="Times New Roman" w:hAnsi="Times New Roman"/>
          <w:sz w:val="24"/>
          <w:szCs w:val="24"/>
          <w:lang w:val="en-US"/>
        </w:rPr>
        <w:t xml:space="preserve"> captures more adequately what a profit maximizing entrepreneur considers when making investment decisions.</w:t>
      </w:r>
      <w:r>
        <w:rPr>
          <w:rFonts w:ascii="Times New Roman" w:eastAsia="Times New Roman" w:hAnsi="Times New Roman"/>
          <w:sz w:val="24"/>
          <w:szCs w:val="24"/>
          <w:lang w:val="en-US"/>
        </w:rPr>
        <w:t xml:space="preserve"> Appendix 1B </w:t>
      </w:r>
      <w:r>
        <w:rPr>
          <w:rFonts w:ascii="Times New Roman" w:hAnsi="Times New Roman"/>
          <w:sz w:val="24"/>
          <w:szCs w:val="24"/>
          <w:lang w:val="en-GB"/>
        </w:rPr>
        <w:t xml:space="preserve">shows sample means for </w:t>
      </w:r>
      <w:r w:rsidRPr="003F44F7">
        <w:rPr>
          <w:rFonts w:ascii="Times New Roman" w:hAnsi="Times New Roman"/>
          <w:i/>
          <w:sz w:val="24"/>
          <w:szCs w:val="24"/>
          <w:lang w:val="en-GB"/>
        </w:rPr>
        <w:t>ETR</w:t>
      </w:r>
      <w:r>
        <w:rPr>
          <w:rFonts w:ascii="Times New Roman" w:hAnsi="Times New Roman"/>
          <w:sz w:val="24"/>
          <w:szCs w:val="24"/>
          <w:lang w:val="en-GB"/>
        </w:rPr>
        <w:t xml:space="preserve"> and </w:t>
      </w:r>
      <w:r w:rsidRPr="00A94593">
        <w:rPr>
          <w:rFonts w:ascii="Times New Roman" w:hAnsi="Times New Roman"/>
          <w:i/>
          <w:iCs/>
          <w:sz w:val="24"/>
          <w:szCs w:val="24"/>
          <w:lang w:val="en-GB"/>
        </w:rPr>
        <w:t>Tax</w:t>
      </w:r>
      <w:r>
        <w:rPr>
          <w:rFonts w:ascii="Times New Roman" w:hAnsi="Times New Roman"/>
          <w:sz w:val="24"/>
          <w:szCs w:val="24"/>
          <w:lang w:val="en-GB"/>
        </w:rPr>
        <w:t xml:space="preserve">. Both </w:t>
      </w:r>
      <w:r w:rsidR="00A80E3C">
        <w:rPr>
          <w:rFonts w:ascii="Times New Roman" w:hAnsi="Times New Roman"/>
          <w:sz w:val="24"/>
          <w:szCs w:val="24"/>
          <w:lang w:val="en-GB"/>
        </w:rPr>
        <w:t>measures</w:t>
      </w:r>
      <w:r>
        <w:rPr>
          <w:rFonts w:ascii="Times New Roman" w:hAnsi="Times New Roman"/>
          <w:sz w:val="24"/>
          <w:szCs w:val="24"/>
          <w:lang w:val="en-GB"/>
        </w:rPr>
        <w:t xml:space="preserve"> follow a </w:t>
      </w:r>
      <w:r>
        <w:rPr>
          <w:rFonts w:ascii="Times New Roman" w:hAnsi="Times New Roman"/>
          <w:sz w:val="24"/>
          <w:szCs w:val="24"/>
          <w:lang w:val="en-GB"/>
        </w:rPr>
        <w:lastRenderedPageBreak/>
        <w:t>similar trend</w:t>
      </w:r>
      <w:r w:rsidR="00A80E3C">
        <w:rPr>
          <w:rFonts w:ascii="Times New Roman" w:hAnsi="Times New Roman"/>
          <w:sz w:val="24"/>
          <w:szCs w:val="24"/>
          <w:lang w:val="en-GB"/>
        </w:rPr>
        <w:t xml:space="preserve"> over</w:t>
      </w:r>
      <w:r>
        <w:rPr>
          <w:rFonts w:ascii="Times New Roman" w:hAnsi="Times New Roman"/>
          <w:sz w:val="24"/>
          <w:szCs w:val="24"/>
          <w:lang w:val="en-GB"/>
        </w:rPr>
        <w:t xml:space="preserve"> </w:t>
      </w:r>
      <w:r w:rsidR="00A80E3C">
        <w:rPr>
          <w:rFonts w:ascii="Times New Roman" w:hAnsi="Times New Roman"/>
          <w:sz w:val="24"/>
          <w:szCs w:val="24"/>
          <w:lang w:val="en-GB"/>
        </w:rPr>
        <w:t xml:space="preserve">time </w:t>
      </w:r>
      <w:r>
        <w:rPr>
          <w:rFonts w:ascii="Times New Roman" w:hAnsi="Times New Roman"/>
          <w:sz w:val="24"/>
          <w:szCs w:val="24"/>
          <w:lang w:val="en-GB"/>
        </w:rPr>
        <w:t xml:space="preserve">but-as expected- </w:t>
      </w:r>
      <w:r w:rsidRPr="003F44F7">
        <w:rPr>
          <w:rFonts w:ascii="Times New Roman" w:hAnsi="Times New Roman"/>
          <w:i/>
          <w:sz w:val="24"/>
          <w:szCs w:val="24"/>
          <w:lang w:val="en-GB"/>
        </w:rPr>
        <w:t>ETR</w:t>
      </w:r>
      <w:r>
        <w:rPr>
          <w:rFonts w:ascii="Times New Roman" w:hAnsi="Times New Roman"/>
          <w:sz w:val="24"/>
          <w:szCs w:val="24"/>
          <w:lang w:val="en-GB"/>
        </w:rPr>
        <w:t xml:space="preserve"> is on average </w:t>
      </w:r>
      <w:r w:rsidR="00A80E3C">
        <w:rPr>
          <w:rFonts w:ascii="Times New Roman" w:hAnsi="Times New Roman"/>
          <w:sz w:val="24"/>
          <w:szCs w:val="24"/>
          <w:lang w:val="en-GB"/>
        </w:rPr>
        <w:t xml:space="preserve">4 percentage points </w:t>
      </w:r>
      <w:r>
        <w:rPr>
          <w:rFonts w:ascii="Times New Roman" w:hAnsi="Times New Roman"/>
          <w:sz w:val="24"/>
          <w:szCs w:val="24"/>
          <w:lang w:val="en-GB"/>
        </w:rPr>
        <w:t xml:space="preserve">smaller than </w:t>
      </w:r>
      <w:r w:rsidRPr="00A94593">
        <w:rPr>
          <w:rFonts w:ascii="Times New Roman" w:hAnsi="Times New Roman"/>
          <w:i/>
          <w:iCs/>
          <w:sz w:val="24"/>
          <w:szCs w:val="24"/>
          <w:lang w:val="en-GB"/>
        </w:rPr>
        <w:t>Tax</w:t>
      </w:r>
      <w:r w:rsidR="00D17BFA">
        <w:rPr>
          <w:rFonts w:ascii="Times New Roman" w:hAnsi="Times New Roman"/>
          <w:i/>
          <w:iCs/>
          <w:sz w:val="24"/>
          <w:szCs w:val="24"/>
          <w:lang w:val="en-GB"/>
        </w:rPr>
        <w:t>,</w:t>
      </w:r>
      <w:r>
        <w:rPr>
          <w:rFonts w:ascii="Times New Roman" w:hAnsi="Times New Roman"/>
          <w:sz w:val="24"/>
          <w:szCs w:val="24"/>
          <w:lang w:val="en-GB"/>
        </w:rPr>
        <w:t xml:space="preserve"> </w:t>
      </w:r>
      <w:r w:rsidR="00A80E3C">
        <w:rPr>
          <w:rFonts w:ascii="Times New Roman" w:hAnsi="Times New Roman"/>
          <w:sz w:val="24"/>
          <w:szCs w:val="24"/>
          <w:lang w:val="en-GB"/>
        </w:rPr>
        <w:t>highlighting</w:t>
      </w:r>
      <w:r>
        <w:rPr>
          <w:rFonts w:ascii="Times New Roman" w:hAnsi="Times New Roman"/>
          <w:sz w:val="24"/>
          <w:szCs w:val="24"/>
          <w:lang w:val="en-GB"/>
        </w:rPr>
        <w:t xml:space="preserve"> within business manipulations </w:t>
      </w:r>
      <w:r w:rsidR="00A80E3C">
        <w:rPr>
          <w:rFonts w:ascii="Times New Roman" w:hAnsi="Times New Roman"/>
          <w:sz w:val="24"/>
          <w:szCs w:val="24"/>
          <w:lang w:val="en-GB"/>
        </w:rPr>
        <w:t>for paying lower corporate</w:t>
      </w:r>
      <w:r>
        <w:rPr>
          <w:rFonts w:ascii="Times New Roman" w:hAnsi="Times New Roman"/>
          <w:sz w:val="24"/>
          <w:szCs w:val="24"/>
          <w:lang w:val="en-GB"/>
        </w:rPr>
        <w:t xml:space="preserve"> tax</w:t>
      </w:r>
      <w:r w:rsidR="00A80E3C">
        <w:rPr>
          <w:rFonts w:ascii="Times New Roman" w:hAnsi="Times New Roman"/>
          <w:sz w:val="24"/>
          <w:szCs w:val="24"/>
          <w:lang w:val="en-GB"/>
        </w:rPr>
        <w:t>.</w:t>
      </w:r>
      <w:r>
        <w:rPr>
          <w:rFonts w:ascii="Times New Roman" w:hAnsi="Times New Roman"/>
          <w:sz w:val="24"/>
          <w:szCs w:val="24"/>
          <w:lang w:val="en-GB"/>
        </w:rPr>
        <w:t xml:space="preserve">    </w:t>
      </w:r>
    </w:p>
    <w:p w:rsidR="001E07DA" w:rsidRDefault="001E07DA" w:rsidP="003F44F7">
      <w:pPr>
        <w:ind w:firstLine="284"/>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p>
    <w:p w:rsidR="00EC76B5" w:rsidRDefault="00EC76B5" w:rsidP="00EC76B5">
      <w:pPr>
        <w:rPr>
          <w:rFonts w:ascii="Times New Roman" w:hAnsi="Times New Roman"/>
          <w:sz w:val="24"/>
          <w:szCs w:val="24"/>
          <w:lang w:val="en-GB"/>
        </w:rPr>
      </w:pPr>
    </w:p>
    <w:p w:rsidR="00EC76B5" w:rsidRPr="00A94593" w:rsidRDefault="00EC76B5" w:rsidP="00EC76B5">
      <w:pPr>
        <w:pStyle w:val="Caption"/>
        <w:keepNext/>
        <w:ind w:firstLine="720"/>
        <w:rPr>
          <w:rFonts w:asciiTheme="majorBidi" w:hAnsiTheme="majorBidi" w:cstheme="majorBidi"/>
          <w:color w:val="000000" w:themeColor="text1"/>
          <w:sz w:val="24"/>
          <w:szCs w:val="24"/>
          <w:lang w:val="en-GB"/>
        </w:rPr>
      </w:pPr>
      <w:r>
        <w:rPr>
          <w:rFonts w:asciiTheme="majorBidi" w:hAnsiTheme="majorBidi" w:cstheme="majorBidi"/>
          <w:color w:val="000000" w:themeColor="text1"/>
          <w:sz w:val="24"/>
          <w:szCs w:val="24"/>
          <w:lang w:val="en-GB"/>
        </w:rPr>
        <w:t>Appendix</w:t>
      </w:r>
      <w:r w:rsidRPr="00A94593">
        <w:rPr>
          <w:rFonts w:asciiTheme="majorBidi" w:hAnsiTheme="majorBidi" w:cstheme="majorBidi"/>
          <w:color w:val="000000" w:themeColor="text1"/>
          <w:sz w:val="24"/>
          <w:szCs w:val="24"/>
          <w:lang w:val="en-GB"/>
        </w:rPr>
        <w:t xml:space="preserve"> </w:t>
      </w:r>
      <w:r w:rsidR="004D4656">
        <w:rPr>
          <w:rFonts w:asciiTheme="majorBidi" w:hAnsiTheme="majorBidi" w:cstheme="majorBidi"/>
          <w:color w:val="000000" w:themeColor="text1"/>
          <w:sz w:val="24"/>
          <w:szCs w:val="24"/>
          <w:lang w:val="en-GB"/>
        </w:rPr>
        <w:t>1</w:t>
      </w:r>
      <w:r>
        <w:rPr>
          <w:rFonts w:asciiTheme="majorBidi" w:hAnsiTheme="majorBidi" w:cstheme="majorBidi"/>
          <w:color w:val="000000" w:themeColor="text1"/>
          <w:sz w:val="24"/>
          <w:szCs w:val="24"/>
          <w:lang w:val="en-GB"/>
        </w:rPr>
        <w:t>B</w:t>
      </w:r>
      <w:r w:rsidRPr="00A94593">
        <w:rPr>
          <w:rFonts w:asciiTheme="majorBidi" w:hAnsiTheme="majorBidi" w:cstheme="majorBidi"/>
          <w:color w:val="000000" w:themeColor="text1"/>
          <w:sz w:val="24"/>
          <w:szCs w:val="24"/>
          <w:lang w:val="en-GB"/>
        </w:rPr>
        <w:t>:</w:t>
      </w:r>
      <w:r>
        <w:rPr>
          <w:rFonts w:asciiTheme="majorBidi" w:hAnsiTheme="majorBidi" w:cstheme="majorBidi"/>
          <w:color w:val="000000" w:themeColor="text1"/>
          <w:sz w:val="24"/>
          <w:szCs w:val="24"/>
          <w:lang w:val="en-GB"/>
        </w:rPr>
        <w:t xml:space="preserve"> Corporate </w:t>
      </w:r>
      <w:r w:rsidRPr="00A94593">
        <w:rPr>
          <w:rFonts w:asciiTheme="majorBidi" w:hAnsiTheme="majorBidi" w:cstheme="majorBidi"/>
          <w:color w:val="000000" w:themeColor="text1"/>
          <w:sz w:val="24"/>
          <w:szCs w:val="24"/>
          <w:lang w:val="en-GB"/>
        </w:rPr>
        <w:t>Tax Liability versus Effective Tax Rate (ETR)</w:t>
      </w:r>
    </w:p>
    <w:p w:rsidR="00EC76B5" w:rsidRDefault="00EC76B5" w:rsidP="00EC76B5">
      <w:pPr>
        <w:ind w:firstLine="720"/>
        <w:rPr>
          <w:rFonts w:ascii="Times New Roman" w:hAnsi="Times New Roman"/>
          <w:sz w:val="24"/>
          <w:szCs w:val="24"/>
          <w:lang w:val="en-GB"/>
        </w:rPr>
      </w:pPr>
      <w:r>
        <w:rPr>
          <w:rFonts w:ascii="Times New Roman" w:hAnsi="Times New Roman"/>
          <w:noProof/>
          <w:sz w:val="24"/>
          <w:szCs w:val="24"/>
          <w:lang w:val="en-GB" w:eastAsia="en-GB"/>
        </w:rPr>
        <w:drawing>
          <wp:inline distT="0" distB="0" distL="0" distR="0" wp14:anchorId="5CF6C8E0" wp14:editId="02851278">
            <wp:extent cx="4524233" cy="2485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527737" cy="2487295"/>
                    </a:xfrm>
                    <a:prstGeom prst="rect">
                      <a:avLst/>
                    </a:prstGeom>
                    <a:noFill/>
                  </pic:spPr>
                </pic:pic>
              </a:graphicData>
            </a:graphic>
          </wp:inline>
        </w:drawing>
      </w:r>
    </w:p>
    <w:p w:rsidR="00EC76B5" w:rsidRDefault="00EC76B5" w:rsidP="00EC76B5">
      <w:pPr>
        <w:rPr>
          <w:rFonts w:ascii="Times New Roman" w:hAnsi="Times New Roman"/>
          <w:sz w:val="24"/>
          <w:szCs w:val="24"/>
          <w:lang w:val="en-GB"/>
        </w:rPr>
      </w:pPr>
    </w:p>
    <w:p w:rsidR="00772941" w:rsidRDefault="00772941">
      <w:pPr>
        <w:rPr>
          <w:lang w:val="en-GB"/>
        </w:rPr>
      </w:pPr>
      <w:r>
        <w:rPr>
          <w:lang w:val="en-GB"/>
        </w:rPr>
        <w:br w:type="page"/>
      </w:r>
    </w:p>
    <w:p w:rsidR="00236E6E" w:rsidRDefault="00236E6E" w:rsidP="00236E6E">
      <w:pPr>
        <w:rPr>
          <w:lang w:val="en-GB"/>
        </w:rPr>
      </w:pPr>
    </w:p>
    <w:p w:rsidR="00D275C9" w:rsidRPr="00D275C9" w:rsidRDefault="00D275C9" w:rsidP="003D6D95">
      <w:pPr>
        <w:rPr>
          <w:rFonts w:ascii="Times New Roman" w:hAnsi="Times New Roman"/>
          <w:sz w:val="24"/>
          <w:szCs w:val="24"/>
          <w:lang w:val="en-GB"/>
        </w:rPr>
      </w:pPr>
    </w:p>
    <w:p w:rsidR="00C774B9" w:rsidRDefault="00286C66" w:rsidP="00B30E03">
      <w:pPr>
        <w:rPr>
          <w:rFonts w:ascii="Times New Roman" w:hAnsi="Times New Roman"/>
          <w:b/>
          <w:sz w:val="24"/>
          <w:szCs w:val="24"/>
          <w:lang w:val="en-US"/>
        </w:rPr>
      </w:pPr>
      <w:r w:rsidRPr="0007752A">
        <w:rPr>
          <w:rFonts w:ascii="Times New Roman" w:hAnsi="Times New Roman"/>
          <w:b/>
          <w:sz w:val="24"/>
          <w:szCs w:val="24"/>
          <w:lang w:val="en-US"/>
        </w:rPr>
        <w:t>A</w:t>
      </w:r>
      <w:r w:rsidR="00FB3649">
        <w:rPr>
          <w:rFonts w:ascii="Times New Roman" w:hAnsi="Times New Roman"/>
          <w:b/>
          <w:sz w:val="24"/>
          <w:szCs w:val="24"/>
          <w:lang w:val="en-US"/>
        </w:rPr>
        <w:t xml:space="preserve">ppendix </w:t>
      </w:r>
      <w:r w:rsidR="003314BD">
        <w:rPr>
          <w:rFonts w:ascii="Times New Roman" w:hAnsi="Times New Roman"/>
          <w:b/>
          <w:sz w:val="24"/>
          <w:szCs w:val="24"/>
          <w:lang w:val="en-US"/>
        </w:rPr>
        <w:t>2</w:t>
      </w:r>
      <w:r w:rsidR="00FB3649">
        <w:rPr>
          <w:rFonts w:ascii="Times New Roman" w:hAnsi="Times New Roman"/>
          <w:b/>
          <w:sz w:val="24"/>
          <w:szCs w:val="24"/>
          <w:lang w:val="en-US"/>
        </w:rPr>
        <w:t>:</w:t>
      </w:r>
      <w:r w:rsidRPr="0007752A">
        <w:rPr>
          <w:rFonts w:ascii="Times New Roman" w:hAnsi="Times New Roman"/>
          <w:sz w:val="24"/>
          <w:szCs w:val="24"/>
          <w:lang w:val="en-US"/>
        </w:rPr>
        <w:t xml:space="preserve">  </w:t>
      </w:r>
      <w:r w:rsidR="00C774B9" w:rsidRPr="00C774B9">
        <w:rPr>
          <w:rFonts w:ascii="Times New Roman" w:hAnsi="Times New Roman"/>
          <w:b/>
          <w:sz w:val="24"/>
          <w:szCs w:val="24"/>
          <w:lang w:val="en-US"/>
        </w:rPr>
        <w:t>Data Features and</w:t>
      </w:r>
      <w:r w:rsidR="00C774B9">
        <w:rPr>
          <w:rFonts w:ascii="Times New Roman" w:hAnsi="Times New Roman"/>
          <w:b/>
          <w:sz w:val="24"/>
          <w:szCs w:val="24"/>
          <w:lang w:val="en-US"/>
        </w:rPr>
        <w:t xml:space="preserve"> Productivity Computation</w:t>
      </w:r>
    </w:p>
    <w:p w:rsidR="00286C66" w:rsidRDefault="00C774B9" w:rsidP="00B30E03">
      <w:pPr>
        <w:rPr>
          <w:rFonts w:ascii="Times New Roman" w:hAnsi="Times New Roman"/>
          <w:b/>
          <w:bCs/>
          <w:sz w:val="24"/>
          <w:szCs w:val="24"/>
          <w:lang w:val="en-US"/>
        </w:rPr>
      </w:pPr>
      <w:r>
        <w:rPr>
          <w:rFonts w:ascii="Times New Roman" w:hAnsi="Times New Roman"/>
          <w:sz w:val="24"/>
          <w:szCs w:val="24"/>
          <w:lang w:val="en-US"/>
        </w:rPr>
        <w:t xml:space="preserve"> </w:t>
      </w:r>
      <w:r w:rsidRPr="00C774B9">
        <w:rPr>
          <w:rFonts w:ascii="Times New Roman" w:hAnsi="Times New Roman"/>
          <w:b/>
          <w:sz w:val="24"/>
          <w:szCs w:val="24"/>
          <w:lang w:val="en-US"/>
        </w:rPr>
        <w:t>Appendix 2A</w:t>
      </w:r>
      <w:r>
        <w:rPr>
          <w:rFonts w:ascii="Times New Roman" w:hAnsi="Times New Roman"/>
          <w:sz w:val="24"/>
          <w:szCs w:val="24"/>
          <w:lang w:val="en-US"/>
        </w:rPr>
        <w:t xml:space="preserve">: </w:t>
      </w:r>
      <w:r>
        <w:rPr>
          <w:rFonts w:ascii="Times New Roman" w:hAnsi="Times New Roman"/>
          <w:b/>
          <w:bCs/>
          <w:sz w:val="24"/>
          <w:szCs w:val="24"/>
          <w:lang w:val="en-US"/>
        </w:rPr>
        <w:t xml:space="preserve">The Olley and Pakes TFP </w:t>
      </w:r>
      <w:r w:rsidR="00DB1196">
        <w:rPr>
          <w:rFonts w:ascii="Times New Roman" w:hAnsi="Times New Roman"/>
          <w:b/>
          <w:bCs/>
          <w:sz w:val="24"/>
          <w:szCs w:val="24"/>
          <w:lang w:val="en-US"/>
        </w:rPr>
        <w:t>Algorithm</w:t>
      </w:r>
    </w:p>
    <w:p w:rsidR="00DB1196" w:rsidRPr="0007752A" w:rsidRDefault="00DB1196" w:rsidP="00B30E03">
      <w:pPr>
        <w:rPr>
          <w:rFonts w:ascii="Times New Roman" w:hAnsi="Times New Roman"/>
          <w:sz w:val="24"/>
          <w:szCs w:val="24"/>
          <w:lang w:val="en-US"/>
        </w:rPr>
      </w:pPr>
    </w:p>
    <w:p w:rsidR="00286C66" w:rsidRPr="00942C5D" w:rsidRDefault="0069083A" w:rsidP="00942C5D">
      <w:pPr>
        <w:rPr>
          <w:rFonts w:ascii="Times New Roman" w:hAnsi="Times New Roman"/>
          <w:sz w:val="24"/>
          <w:szCs w:val="24"/>
          <w:lang w:val="en-US"/>
        </w:rPr>
      </w:pPr>
      <w:r w:rsidRPr="00942C5D">
        <w:rPr>
          <w:rFonts w:ascii="Times New Roman" w:hAnsi="Times New Roman"/>
          <w:sz w:val="24"/>
          <w:szCs w:val="24"/>
          <w:lang w:val="en-US"/>
        </w:rPr>
        <w:t>The</w:t>
      </w:r>
      <w:r w:rsidR="00286C66" w:rsidRPr="00942C5D">
        <w:rPr>
          <w:rFonts w:ascii="Times New Roman" w:hAnsi="Times New Roman"/>
          <w:sz w:val="24"/>
          <w:szCs w:val="24"/>
          <w:lang w:val="en-US"/>
        </w:rPr>
        <w:t xml:space="preserve"> logarithmic form of a standard Cobb-Douglas production function for firm </w:t>
      </w:r>
      <w:r w:rsidR="003C005A" w:rsidRPr="00942C5D">
        <w:rPr>
          <w:rFonts w:ascii="Times New Roman" w:hAnsi="Times New Roman"/>
          <w:i/>
          <w:sz w:val="24"/>
          <w:szCs w:val="24"/>
          <w:lang w:val="en-US"/>
        </w:rPr>
        <w:t xml:space="preserve">i </w:t>
      </w:r>
      <w:r w:rsidR="003C005A" w:rsidRPr="00942C5D">
        <w:rPr>
          <w:rFonts w:ascii="Times New Roman" w:hAnsi="Times New Roman"/>
          <w:sz w:val="24"/>
          <w:szCs w:val="24"/>
          <w:lang w:val="en-US"/>
        </w:rPr>
        <w:t>is written as</w:t>
      </w:r>
      <w:r w:rsidR="00286C66" w:rsidRPr="00942C5D">
        <w:rPr>
          <w:rFonts w:ascii="Times New Roman" w:hAnsi="Times New Roman"/>
          <w:sz w:val="24"/>
          <w:szCs w:val="24"/>
          <w:lang w:val="en-US"/>
        </w:rPr>
        <w:t xml:space="preserve">:  </w:t>
      </w:r>
    </w:p>
    <w:p w:rsidR="0069083A" w:rsidRPr="00942C5D" w:rsidRDefault="0069083A" w:rsidP="00942C5D">
      <w:pPr>
        <w:rPr>
          <w:rFonts w:ascii="Times New Roman" w:hAnsi="Times New Roman"/>
          <w:sz w:val="24"/>
          <w:szCs w:val="24"/>
          <w:lang w:val="en-US"/>
        </w:rPr>
      </w:pPr>
      <w:r w:rsidRPr="00942C5D">
        <w:rPr>
          <w:rFonts w:ascii="Times New Roman" w:hAnsi="Times New Roman"/>
          <w:sz w:val="24"/>
          <w:szCs w:val="24"/>
          <w:lang w:val="en-US"/>
        </w:rPr>
        <w:tab/>
      </w:r>
      <w:r w:rsidRPr="00942C5D">
        <w:rPr>
          <w:rFonts w:ascii="Times New Roman" w:hAnsi="Times New Roman"/>
          <w:sz w:val="24"/>
          <w:szCs w:val="24"/>
          <w:lang w:val="en-US"/>
        </w:rPr>
        <w:tab/>
      </w:r>
      <w:r w:rsidRPr="00942C5D">
        <w:rPr>
          <w:rFonts w:ascii="Times New Roman" w:hAnsi="Times New Roman"/>
          <w:sz w:val="24"/>
          <w:szCs w:val="24"/>
          <w:lang w:val="en-US"/>
        </w:rPr>
        <w:tab/>
      </w:r>
      <w:r w:rsidR="0040537A" w:rsidRPr="0040537A">
        <w:rPr>
          <w:rFonts w:ascii="Times New Roman" w:hAnsi="Times New Roman"/>
          <w:position w:val="-12"/>
          <w:sz w:val="24"/>
          <w:szCs w:val="24"/>
          <w:lang w:val="en-US"/>
        </w:rPr>
        <w:object w:dxaOrig="2799" w:dyaOrig="360">
          <v:shape id="_x0000_i1083" type="#_x0000_t75" style="width:139.5pt;height:18pt" o:ole="">
            <v:imagedata r:id="rId61" o:title=""/>
          </v:shape>
          <o:OLEObject Type="Embed" ProgID="Equation.DSMT4" ShapeID="_x0000_i1083" DrawAspect="Content" ObjectID="_1604251466" r:id="rId62"/>
        </w:object>
      </w:r>
      <w:r w:rsidRPr="00942C5D">
        <w:rPr>
          <w:rFonts w:ascii="Times New Roman" w:hAnsi="Times New Roman"/>
          <w:sz w:val="24"/>
          <w:szCs w:val="24"/>
          <w:lang w:val="en-US"/>
        </w:rPr>
        <w:t xml:space="preserve"> </w:t>
      </w:r>
      <w:r w:rsidRPr="00942C5D">
        <w:rPr>
          <w:rFonts w:ascii="Times New Roman" w:hAnsi="Times New Roman"/>
          <w:sz w:val="24"/>
          <w:szCs w:val="24"/>
          <w:lang w:val="en-US"/>
        </w:rPr>
        <w:tab/>
      </w:r>
      <w:r w:rsidRPr="00942C5D">
        <w:rPr>
          <w:rFonts w:ascii="Times New Roman" w:hAnsi="Times New Roman"/>
          <w:sz w:val="24"/>
          <w:szCs w:val="24"/>
          <w:lang w:val="en-US"/>
        </w:rPr>
        <w:tab/>
      </w:r>
      <w:r w:rsidRPr="00942C5D">
        <w:rPr>
          <w:rFonts w:ascii="Times New Roman" w:hAnsi="Times New Roman"/>
          <w:sz w:val="24"/>
          <w:szCs w:val="24"/>
          <w:lang w:val="en-US"/>
        </w:rPr>
        <w:tab/>
      </w:r>
      <w:r w:rsidR="008B59DC" w:rsidRPr="00942C5D">
        <w:rPr>
          <w:rFonts w:ascii="Times New Roman" w:hAnsi="Times New Roman"/>
          <w:sz w:val="24"/>
          <w:szCs w:val="24"/>
          <w:lang w:val="en-US"/>
        </w:rPr>
        <w:tab/>
      </w:r>
      <w:r w:rsidRPr="00942C5D">
        <w:rPr>
          <w:rFonts w:ascii="Times New Roman" w:hAnsi="Times New Roman"/>
          <w:sz w:val="24"/>
          <w:szCs w:val="24"/>
        </w:rPr>
        <w:t>[A2.1]</w:t>
      </w:r>
    </w:p>
    <w:p w:rsidR="00286C66" w:rsidRPr="00942C5D" w:rsidRDefault="00286C66" w:rsidP="00942C5D">
      <w:pPr>
        <w:pStyle w:val="MTDisplayEquation"/>
      </w:pPr>
      <w:r w:rsidRPr="00942C5D">
        <w:tab/>
      </w:r>
      <w:r w:rsidRPr="00942C5D">
        <w:tab/>
      </w:r>
    </w:p>
    <w:p w:rsidR="008B59DC" w:rsidRPr="00942C5D" w:rsidRDefault="003D6D95" w:rsidP="00942C5D">
      <w:pPr>
        <w:rPr>
          <w:rFonts w:ascii="Times New Roman" w:hAnsi="Times New Roman"/>
          <w:sz w:val="24"/>
          <w:szCs w:val="24"/>
          <w:lang w:val="en-US"/>
        </w:rPr>
      </w:pPr>
      <w:r w:rsidRPr="00942C5D">
        <w:rPr>
          <w:rFonts w:ascii="Times New Roman" w:hAnsi="Times New Roman"/>
          <w:sz w:val="24"/>
          <w:szCs w:val="24"/>
          <w:lang w:val="en-US"/>
        </w:rPr>
        <w:t>W</w:t>
      </w:r>
      <w:r w:rsidR="00286C66" w:rsidRPr="00942C5D">
        <w:rPr>
          <w:rFonts w:ascii="Times New Roman" w:hAnsi="Times New Roman"/>
          <w:sz w:val="24"/>
          <w:szCs w:val="24"/>
          <w:lang w:val="en-US"/>
        </w:rPr>
        <w:t>here</w:t>
      </w:r>
      <w:r w:rsidR="008B59DC" w:rsidRPr="00942C5D">
        <w:rPr>
          <w:rFonts w:ascii="Times New Roman" w:hAnsi="Times New Roman"/>
          <w:sz w:val="24"/>
          <w:szCs w:val="24"/>
          <w:lang w:val="en-US"/>
        </w:rPr>
        <w:t xml:space="preserve"> </w:t>
      </w:r>
      <w:r w:rsidR="008B59DC" w:rsidRPr="00942C5D">
        <w:rPr>
          <w:rFonts w:ascii="Times New Roman" w:hAnsi="Times New Roman"/>
          <w:position w:val="-6"/>
          <w:sz w:val="24"/>
          <w:szCs w:val="24"/>
          <w:lang w:val="en-US"/>
        </w:rPr>
        <w:object w:dxaOrig="200" w:dyaOrig="279">
          <v:shape id="_x0000_i1052" type="#_x0000_t75" style="width:9.75pt;height:14.25pt" o:ole="">
            <v:imagedata r:id="rId63" o:title=""/>
          </v:shape>
          <o:OLEObject Type="Embed" ProgID="Equation.DSMT4" ShapeID="_x0000_i1052" DrawAspect="Content" ObjectID="_1604251467" r:id="rId64"/>
        </w:object>
      </w:r>
      <w:r w:rsidR="008B59DC" w:rsidRPr="00942C5D">
        <w:rPr>
          <w:rFonts w:ascii="Times New Roman" w:hAnsi="Times New Roman"/>
          <w:sz w:val="24"/>
          <w:szCs w:val="24"/>
          <w:lang w:val="en-US"/>
        </w:rPr>
        <w:t xml:space="preserve"> and </w:t>
      </w:r>
      <w:r w:rsidR="008B59DC" w:rsidRPr="00942C5D">
        <w:rPr>
          <w:rFonts w:ascii="Times New Roman" w:hAnsi="Times New Roman"/>
          <w:position w:val="-6"/>
          <w:sz w:val="24"/>
          <w:szCs w:val="24"/>
          <w:lang w:val="en-US"/>
        </w:rPr>
        <w:object w:dxaOrig="139" w:dyaOrig="279">
          <v:shape id="_x0000_i1053" type="#_x0000_t75" style="width:6.75pt;height:14.25pt" o:ole="">
            <v:imagedata r:id="rId65" o:title=""/>
          </v:shape>
          <o:OLEObject Type="Embed" ProgID="Equation.DSMT4" ShapeID="_x0000_i1053" DrawAspect="Content" ObjectID="_1604251468" r:id="rId66"/>
        </w:object>
      </w:r>
      <w:r w:rsidR="008B59DC" w:rsidRPr="00942C5D">
        <w:rPr>
          <w:rFonts w:ascii="Times New Roman" w:hAnsi="Times New Roman"/>
          <w:sz w:val="24"/>
          <w:szCs w:val="24"/>
          <w:lang w:val="en-US"/>
        </w:rPr>
        <w:t xml:space="preserve"> are capital stock and labour while</w:t>
      </w:r>
      <w:r w:rsidRPr="00942C5D">
        <w:rPr>
          <w:rFonts w:ascii="Times New Roman" w:hAnsi="Times New Roman"/>
          <w:sz w:val="24"/>
          <w:szCs w:val="24"/>
          <w:lang w:val="en-US"/>
        </w:rPr>
        <w:t xml:space="preserve"> </w:t>
      </w:r>
      <w:r w:rsidR="0069083A" w:rsidRPr="00942C5D">
        <w:rPr>
          <w:rFonts w:ascii="Times New Roman" w:hAnsi="Times New Roman"/>
          <w:position w:val="-6"/>
          <w:sz w:val="24"/>
          <w:szCs w:val="24"/>
          <w:lang w:val="en-US"/>
        </w:rPr>
        <w:object w:dxaOrig="240" w:dyaOrig="220">
          <v:shape id="_x0000_i1054" type="#_x0000_t75" style="width:11.25pt;height:11.25pt" o:ole="">
            <v:imagedata r:id="rId67" o:title=""/>
          </v:shape>
          <o:OLEObject Type="Embed" ProgID="Equation.DSMT4" ShapeID="_x0000_i1054" DrawAspect="Content" ObjectID="_1604251469" r:id="rId68"/>
        </w:object>
      </w:r>
      <w:r w:rsidRPr="00942C5D">
        <w:rPr>
          <w:rFonts w:ascii="Times New Roman" w:hAnsi="Times New Roman"/>
          <w:sz w:val="24"/>
          <w:szCs w:val="24"/>
          <w:lang w:val="en-US"/>
        </w:rPr>
        <w:t xml:space="preserve"> </w:t>
      </w:r>
      <w:r w:rsidR="008B59DC" w:rsidRPr="00942C5D">
        <w:rPr>
          <w:rFonts w:ascii="Times New Roman" w:hAnsi="Times New Roman"/>
          <w:sz w:val="24"/>
          <w:szCs w:val="24"/>
          <w:lang w:val="en-US"/>
        </w:rPr>
        <w:t xml:space="preserve">is an unobserved idiosyncratic term that drives firm </w:t>
      </w:r>
      <w:r w:rsidR="008B59DC" w:rsidRPr="00942C5D">
        <w:rPr>
          <w:rFonts w:ascii="Times New Roman" w:hAnsi="Times New Roman"/>
          <w:i/>
          <w:sz w:val="24"/>
          <w:szCs w:val="24"/>
          <w:lang w:val="en-US"/>
        </w:rPr>
        <w:t>i</w:t>
      </w:r>
      <w:r w:rsidR="008B59DC" w:rsidRPr="00942C5D">
        <w:rPr>
          <w:rFonts w:ascii="Times New Roman" w:hAnsi="Times New Roman"/>
          <w:sz w:val="24"/>
          <w:szCs w:val="24"/>
          <w:lang w:val="en-US"/>
        </w:rPr>
        <w:t xml:space="preserve">’s individual decisions </w:t>
      </w:r>
      <w:r w:rsidR="00286C66" w:rsidRPr="00942C5D">
        <w:rPr>
          <w:rFonts w:ascii="Times New Roman" w:hAnsi="Times New Roman"/>
          <w:sz w:val="24"/>
          <w:szCs w:val="24"/>
          <w:lang w:val="en-US"/>
        </w:rPr>
        <w:t xml:space="preserve">and </w:t>
      </w:r>
      <w:r w:rsidR="0069083A" w:rsidRPr="00942C5D">
        <w:rPr>
          <w:rFonts w:ascii="Times New Roman" w:hAnsi="Times New Roman"/>
          <w:position w:val="-6"/>
          <w:sz w:val="24"/>
          <w:szCs w:val="24"/>
          <w:lang w:val="en-US"/>
        </w:rPr>
        <w:object w:dxaOrig="200" w:dyaOrig="220">
          <v:shape id="_x0000_i1055" type="#_x0000_t75" style="width:8.25pt;height:11.25pt" o:ole="">
            <v:imagedata r:id="rId69" o:title=""/>
          </v:shape>
          <o:OLEObject Type="Embed" ProgID="Equation.DSMT4" ShapeID="_x0000_i1055" DrawAspect="Content" ObjectID="_1604251470" r:id="rId70"/>
        </w:object>
      </w:r>
      <w:r w:rsidR="0069083A" w:rsidRPr="00942C5D">
        <w:rPr>
          <w:rFonts w:ascii="Times New Roman" w:hAnsi="Times New Roman"/>
          <w:sz w:val="24"/>
          <w:szCs w:val="24"/>
          <w:lang w:val="en-US"/>
        </w:rPr>
        <w:t xml:space="preserve"> </w:t>
      </w:r>
      <w:r w:rsidR="008B59DC" w:rsidRPr="00942C5D">
        <w:rPr>
          <w:rFonts w:ascii="Times New Roman" w:hAnsi="Times New Roman"/>
          <w:sz w:val="24"/>
          <w:szCs w:val="24"/>
          <w:lang w:val="en-US"/>
        </w:rPr>
        <w:t>is an</w:t>
      </w:r>
      <w:r w:rsidR="00286C66" w:rsidRPr="00942C5D">
        <w:rPr>
          <w:rFonts w:ascii="Times New Roman" w:hAnsi="Times New Roman"/>
          <w:sz w:val="24"/>
          <w:szCs w:val="24"/>
          <w:lang w:val="en-US"/>
        </w:rPr>
        <w:t xml:space="preserve"> i.i.d </w:t>
      </w:r>
      <w:r w:rsidR="008B59DC" w:rsidRPr="00942C5D">
        <w:rPr>
          <w:rFonts w:ascii="Times New Roman" w:hAnsi="Times New Roman"/>
          <w:sz w:val="24"/>
          <w:szCs w:val="24"/>
          <w:lang w:val="en-US"/>
        </w:rPr>
        <w:t xml:space="preserve">error terms </w:t>
      </w:r>
      <w:r w:rsidR="00286C66" w:rsidRPr="00942C5D">
        <w:rPr>
          <w:rFonts w:ascii="Times New Roman" w:hAnsi="Times New Roman"/>
          <w:sz w:val="24"/>
          <w:szCs w:val="24"/>
          <w:lang w:val="en-US"/>
        </w:rPr>
        <w:t xml:space="preserve">common to all firms (i.e. common changes in input prices, other macroeconomic shocks etc.). Estimating parameters </w:t>
      </w:r>
      <w:r w:rsidRPr="00942C5D">
        <w:rPr>
          <w:rFonts w:ascii="Times New Roman" w:hAnsi="Times New Roman"/>
          <w:sz w:val="24"/>
          <w:szCs w:val="24"/>
          <w:lang w:val="en-US"/>
        </w:rPr>
        <w:t xml:space="preserve"> </w:t>
      </w:r>
      <w:r w:rsidR="008B59DC" w:rsidRPr="00942C5D">
        <w:rPr>
          <w:rFonts w:ascii="Times New Roman" w:hAnsi="Times New Roman"/>
          <w:position w:val="-6"/>
          <w:sz w:val="24"/>
          <w:szCs w:val="24"/>
          <w:lang w:val="en-US"/>
        </w:rPr>
        <w:object w:dxaOrig="200" w:dyaOrig="220">
          <v:shape id="_x0000_i1056" type="#_x0000_t75" style="width:9.75pt;height:10.5pt" o:ole="">
            <v:imagedata r:id="rId71" o:title=""/>
          </v:shape>
          <o:OLEObject Type="Embed" ProgID="Equation.DSMT4" ShapeID="_x0000_i1056" DrawAspect="Content" ObjectID="_1604251471" r:id="rId72"/>
        </w:object>
      </w:r>
      <w:r w:rsidR="008B59DC" w:rsidRPr="00942C5D">
        <w:rPr>
          <w:rFonts w:ascii="Times New Roman" w:hAnsi="Times New Roman"/>
          <w:sz w:val="24"/>
          <w:szCs w:val="24"/>
          <w:lang w:val="en-US"/>
        </w:rPr>
        <w:t xml:space="preserve"> </w:t>
      </w:r>
      <w:r w:rsidR="00286C66" w:rsidRPr="00942C5D">
        <w:rPr>
          <w:rFonts w:ascii="Times New Roman" w:hAnsi="Times New Roman"/>
          <w:sz w:val="24"/>
          <w:szCs w:val="24"/>
          <w:lang w:val="en-US"/>
        </w:rPr>
        <w:t>and</w:t>
      </w:r>
      <w:r w:rsidR="008B59DC" w:rsidRPr="00942C5D">
        <w:rPr>
          <w:rFonts w:ascii="Times New Roman" w:hAnsi="Times New Roman"/>
          <w:sz w:val="24"/>
          <w:szCs w:val="24"/>
          <w:lang w:val="en-US"/>
        </w:rPr>
        <w:t xml:space="preserve"> </w:t>
      </w:r>
      <w:r w:rsidR="008B59DC" w:rsidRPr="00942C5D">
        <w:rPr>
          <w:rFonts w:ascii="Times New Roman" w:hAnsi="Times New Roman"/>
          <w:position w:val="-10"/>
          <w:sz w:val="24"/>
          <w:szCs w:val="24"/>
          <w:lang w:val="en-US"/>
        </w:rPr>
        <w:object w:dxaOrig="220" w:dyaOrig="320">
          <v:shape id="_x0000_i1057" type="#_x0000_t75" style="width:10.5pt;height:15.75pt" o:ole="">
            <v:imagedata r:id="rId73" o:title=""/>
          </v:shape>
          <o:OLEObject Type="Embed" ProgID="Equation.DSMT4" ShapeID="_x0000_i1057" DrawAspect="Content" ObjectID="_1604251472" r:id="rId74"/>
        </w:object>
      </w:r>
      <w:r w:rsidR="008B59DC" w:rsidRPr="00942C5D">
        <w:rPr>
          <w:rFonts w:ascii="Times New Roman" w:hAnsi="Times New Roman"/>
          <w:sz w:val="24"/>
          <w:szCs w:val="24"/>
          <w:lang w:val="en-US"/>
        </w:rPr>
        <w:t xml:space="preserve"> using </w:t>
      </w:r>
      <w:r w:rsidR="00286C66" w:rsidRPr="00942C5D">
        <w:rPr>
          <w:rFonts w:ascii="Times New Roman" w:hAnsi="Times New Roman"/>
          <w:sz w:val="24"/>
          <w:szCs w:val="24"/>
          <w:lang w:val="en-US"/>
        </w:rPr>
        <w:t>OLS is problematic due to selection bias between unobserved productivity shocks</w:t>
      </w:r>
      <w:r w:rsidR="008B59DC" w:rsidRPr="00942C5D">
        <w:rPr>
          <w:rFonts w:ascii="Times New Roman" w:hAnsi="Times New Roman"/>
          <w:sz w:val="24"/>
          <w:szCs w:val="24"/>
          <w:lang w:val="en-US"/>
        </w:rPr>
        <w:t xml:space="preserve"> </w:t>
      </w:r>
      <w:r w:rsidR="008B59DC" w:rsidRPr="00942C5D">
        <w:rPr>
          <w:rFonts w:ascii="Times New Roman" w:hAnsi="Times New Roman"/>
          <w:position w:val="-12"/>
          <w:sz w:val="24"/>
          <w:szCs w:val="24"/>
          <w:lang w:val="en-US"/>
        </w:rPr>
        <w:object w:dxaOrig="320" w:dyaOrig="360">
          <v:shape id="_x0000_i1058" type="#_x0000_t75" style="width:15.75pt;height:18.75pt" o:ole="">
            <v:imagedata r:id="rId75" o:title=""/>
          </v:shape>
          <o:OLEObject Type="Embed" ProgID="Equation.DSMT4" ShapeID="_x0000_i1058" DrawAspect="Content" ObjectID="_1604251473" r:id="rId76"/>
        </w:object>
      </w:r>
      <w:r w:rsidR="008B59DC" w:rsidRPr="00942C5D">
        <w:rPr>
          <w:rFonts w:ascii="Times New Roman" w:hAnsi="Times New Roman"/>
          <w:sz w:val="24"/>
          <w:szCs w:val="24"/>
          <w:lang w:val="en-US"/>
        </w:rPr>
        <w:t xml:space="preserve"> </w:t>
      </w:r>
      <w:r w:rsidR="00286C66" w:rsidRPr="00942C5D">
        <w:rPr>
          <w:rFonts w:ascii="Times New Roman" w:hAnsi="Times New Roman"/>
          <w:sz w:val="24"/>
          <w:szCs w:val="24"/>
          <w:lang w:val="en-US"/>
        </w:rPr>
        <w:t>and inputs</w:t>
      </w:r>
      <w:r w:rsidR="008B59DC" w:rsidRPr="00942C5D">
        <w:rPr>
          <w:rFonts w:ascii="Times New Roman" w:hAnsi="Times New Roman"/>
          <w:sz w:val="24"/>
          <w:szCs w:val="24"/>
          <w:lang w:val="en-US"/>
        </w:rPr>
        <w:t xml:space="preserve"> </w:t>
      </w:r>
      <w:r w:rsidR="008B59DC" w:rsidRPr="00942C5D">
        <w:rPr>
          <w:rFonts w:ascii="Times New Roman" w:hAnsi="Times New Roman"/>
          <w:position w:val="-6"/>
          <w:sz w:val="24"/>
          <w:szCs w:val="24"/>
          <w:lang w:val="en-US"/>
        </w:rPr>
        <w:object w:dxaOrig="200" w:dyaOrig="279">
          <v:shape id="_x0000_i1059" type="#_x0000_t75" style="width:9.75pt;height:14.25pt" o:ole="">
            <v:imagedata r:id="rId77" o:title=""/>
          </v:shape>
          <o:OLEObject Type="Embed" ProgID="Equation.DSMT4" ShapeID="_x0000_i1059" DrawAspect="Content" ObjectID="_1604251474" r:id="rId78"/>
        </w:object>
      </w:r>
      <w:r w:rsidR="008B59DC" w:rsidRPr="00942C5D">
        <w:rPr>
          <w:rFonts w:ascii="Times New Roman" w:hAnsi="Times New Roman"/>
          <w:sz w:val="24"/>
          <w:szCs w:val="24"/>
          <w:lang w:val="en-US"/>
        </w:rPr>
        <w:t xml:space="preserve"> and </w:t>
      </w:r>
      <w:r w:rsidR="008B59DC" w:rsidRPr="00942C5D">
        <w:rPr>
          <w:rFonts w:ascii="Times New Roman" w:hAnsi="Times New Roman"/>
          <w:position w:val="-6"/>
          <w:sz w:val="24"/>
          <w:szCs w:val="24"/>
          <w:lang w:val="en-US"/>
        </w:rPr>
        <w:object w:dxaOrig="139" w:dyaOrig="279">
          <v:shape id="_x0000_i1060" type="#_x0000_t75" style="width:6.75pt;height:14.25pt" o:ole="">
            <v:imagedata r:id="rId79" o:title=""/>
          </v:shape>
          <o:OLEObject Type="Embed" ProgID="Equation.DSMT4" ShapeID="_x0000_i1060" DrawAspect="Content" ObjectID="_1604251475" r:id="rId80"/>
        </w:object>
      </w:r>
      <w:r w:rsidR="008B59DC" w:rsidRPr="00942C5D">
        <w:rPr>
          <w:rFonts w:ascii="Times New Roman" w:hAnsi="Times New Roman"/>
          <w:sz w:val="24"/>
          <w:szCs w:val="24"/>
          <w:lang w:val="en-US"/>
        </w:rPr>
        <w:t xml:space="preserve"> </w:t>
      </w:r>
      <w:r w:rsidR="00286C66" w:rsidRPr="00942C5D">
        <w:rPr>
          <w:rFonts w:ascii="Times New Roman" w:hAnsi="Times New Roman"/>
          <w:sz w:val="24"/>
          <w:szCs w:val="24"/>
          <w:lang w:val="en-US"/>
        </w:rPr>
        <w:t xml:space="preserve">in period </w:t>
      </w:r>
      <w:r w:rsidR="00286C66" w:rsidRPr="00942C5D">
        <w:rPr>
          <w:rFonts w:ascii="Times New Roman" w:hAnsi="Times New Roman"/>
          <w:i/>
          <w:sz w:val="24"/>
          <w:szCs w:val="24"/>
          <w:lang w:val="en-US"/>
        </w:rPr>
        <w:t>t</w:t>
      </w:r>
      <w:r w:rsidR="00286C66" w:rsidRPr="00942C5D">
        <w:rPr>
          <w:rFonts w:ascii="Times New Roman" w:hAnsi="Times New Roman"/>
          <w:sz w:val="24"/>
          <w:szCs w:val="24"/>
          <w:lang w:val="en-US"/>
        </w:rPr>
        <w:t>.</w:t>
      </w:r>
      <w:r w:rsidR="008B59DC" w:rsidRPr="00942C5D">
        <w:rPr>
          <w:rFonts w:ascii="Times New Roman" w:hAnsi="Times New Roman"/>
          <w:sz w:val="24"/>
          <w:szCs w:val="24"/>
          <w:lang w:val="en-US"/>
        </w:rPr>
        <w:t xml:space="preserve"> Olley and Pakes (1996) suggest an estimation of [A2.1] in three stages. In the first stage, firm decides the amount of investment (</w:t>
      </w:r>
      <w:r w:rsidR="008B59DC" w:rsidRPr="00942C5D">
        <w:rPr>
          <w:rFonts w:ascii="Times New Roman" w:hAnsi="Times New Roman"/>
          <w:i/>
          <w:sz w:val="24"/>
          <w:szCs w:val="24"/>
          <w:lang w:val="en-US"/>
        </w:rPr>
        <w:t>I</w:t>
      </w:r>
      <w:r w:rsidR="008B59DC" w:rsidRPr="00942C5D">
        <w:rPr>
          <w:rFonts w:ascii="Times New Roman" w:hAnsi="Times New Roman"/>
          <w:sz w:val="24"/>
          <w:szCs w:val="24"/>
          <w:lang w:val="en-US"/>
        </w:rPr>
        <w:t>) and labour to be used in the production.</w:t>
      </w:r>
      <w:r w:rsidR="008B59DC" w:rsidRPr="00942C5D">
        <w:rPr>
          <w:rFonts w:ascii="Times New Roman" w:hAnsi="Times New Roman"/>
          <w:sz w:val="24"/>
          <w:szCs w:val="24"/>
          <w:lang w:val="en-GB"/>
        </w:rPr>
        <w:t xml:space="preserve"> Investment is a function of </w:t>
      </w:r>
      <w:r w:rsidR="008B59DC" w:rsidRPr="00942C5D">
        <w:rPr>
          <w:rFonts w:ascii="Times New Roman" w:hAnsi="Times New Roman"/>
          <w:position w:val="-6"/>
          <w:sz w:val="24"/>
          <w:szCs w:val="24"/>
        </w:rPr>
        <w:object w:dxaOrig="200" w:dyaOrig="279">
          <v:shape id="_x0000_i1061" type="#_x0000_t75" style="width:9.75pt;height:13.5pt" o:ole="">
            <v:imagedata r:id="rId81" o:title=""/>
          </v:shape>
          <o:OLEObject Type="Embed" ProgID="Equation.DSMT4" ShapeID="_x0000_i1061" DrawAspect="Content" ObjectID="_1604251476" r:id="rId82"/>
        </w:object>
      </w:r>
      <w:r w:rsidR="008B59DC" w:rsidRPr="00942C5D">
        <w:rPr>
          <w:rFonts w:ascii="Times New Roman" w:hAnsi="Times New Roman"/>
          <w:sz w:val="24"/>
          <w:szCs w:val="24"/>
          <w:lang w:val="en-GB"/>
        </w:rPr>
        <w:t xml:space="preserve"> and </w:t>
      </w:r>
      <w:r w:rsidR="008B59DC" w:rsidRPr="00942C5D">
        <w:rPr>
          <w:rFonts w:ascii="Times New Roman" w:hAnsi="Times New Roman"/>
          <w:position w:val="-6"/>
          <w:sz w:val="24"/>
          <w:szCs w:val="24"/>
          <w:lang w:val="en-GB"/>
        </w:rPr>
        <w:object w:dxaOrig="240" w:dyaOrig="220">
          <v:shape id="_x0000_i1062" type="#_x0000_t75" style="width:12pt;height:10.5pt" o:ole="">
            <v:imagedata r:id="rId83" o:title=""/>
          </v:shape>
          <o:OLEObject Type="Embed" ProgID="Equation.DSMT4" ShapeID="_x0000_i1062" DrawAspect="Content" ObjectID="_1604251477" r:id="rId84"/>
        </w:object>
      </w:r>
      <w:r w:rsidR="008B59DC" w:rsidRPr="00942C5D">
        <w:rPr>
          <w:rFonts w:ascii="Times New Roman" w:hAnsi="Times New Roman"/>
          <w:sz w:val="24"/>
          <w:szCs w:val="24"/>
          <w:lang w:val="en-GB"/>
        </w:rPr>
        <w:t xml:space="preserve">, </w:t>
      </w:r>
      <w:r w:rsidR="0040537A" w:rsidRPr="0040537A">
        <w:rPr>
          <w:rFonts w:ascii="Times New Roman" w:hAnsi="Times New Roman"/>
          <w:position w:val="-12"/>
          <w:sz w:val="24"/>
          <w:szCs w:val="24"/>
        </w:rPr>
        <w:object w:dxaOrig="1280" w:dyaOrig="360">
          <v:shape id="_x0000_i1085" type="#_x0000_t75" style="width:64.5pt;height:18.75pt" o:ole="">
            <v:imagedata r:id="rId85" o:title=""/>
          </v:shape>
          <o:OLEObject Type="Embed" ProgID="Equation.DSMT4" ShapeID="_x0000_i1085" DrawAspect="Content" ObjectID="_1604251478" r:id="rId86"/>
        </w:object>
      </w:r>
      <w:r w:rsidR="008B59DC" w:rsidRPr="00942C5D">
        <w:rPr>
          <w:rFonts w:ascii="Times New Roman" w:hAnsi="Times New Roman"/>
          <w:sz w:val="24"/>
          <w:szCs w:val="24"/>
          <w:lang w:val="en-GB"/>
        </w:rPr>
        <w:t xml:space="preserve">. The inverse function of investment is monotonic, thus </w:t>
      </w:r>
      <w:r w:rsidR="008B59DC" w:rsidRPr="00942C5D">
        <w:rPr>
          <w:rFonts w:ascii="Times New Roman" w:hAnsi="Times New Roman"/>
          <w:position w:val="-6"/>
          <w:sz w:val="24"/>
          <w:szCs w:val="24"/>
          <w:lang w:val="en-GB"/>
        </w:rPr>
        <w:object w:dxaOrig="240" w:dyaOrig="220">
          <v:shape id="_x0000_i1064" type="#_x0000_t75" style="width:12pt;height:10.5pt" o:ole="">
            <v:imagedata r:id="rId87" o:title=""/>
          </v:shape>
          <o:OLEObject Type="Embed" ProgID="Equation.DSMT4" ShapeID="_x0000_i1064" DrawAspect="Content" ObjectID="_1604251479" r:id="rId88"/>
        </w:object>
      </w:r>
      <w:r w:rsidR="008B59DC" w:rsidRPr="00942C5D">
        <w:rPr>
          <w:rFonts w:ascii="Times New Roman" w:hAnsi="Times New Roman"/>
          <w:sz w:val="24"/>
          <w:szCs w:val="24"/>
          <w:lang w:val="en-GB"/>
        </w:rPr>
        <w:t xml:space="preserve"> can be written as:</w:t>
      </w:r>
      <w:r w:rsidR="008B59DC" w:rsidRPr="00942C5D">
        <w:rPr>
          <w:rFonts w:ascii="Times New Roman" w:hAnsi="Times New Roman"/>
          <w:position w:val="-12"/>
          <w:sz w:val="24"/>
          <w:szCs w:val="24"/>
          <w:lang w:val="en-GB"/>
        </w:rPr>
        <w:object w:dxaOrig="1380" w:dyaOrig="360">
          <v:shape id="_x0000_i1065" type="#_x0000_t75" style="width:69pt;height:18.75pt" o:ole="">
            <v:imagedata r:id="rId89" o:title=""/>
          </v:shape>
          <o:OLEObject Type="Embed" ProgID="Equation.DSMT4" ShapeID="_x0000_i1065" DrawAspect="Content" ObjectID="_1604251480" r:id="rId90"/>
        </w:object>
      </w:r>
      <w:r w:rsidR="008B59DC" w:rsidRPr="00942C5D">
        <w:rPr>
          <w:rFonts w:ascii="Times New Roman" w:hAnsi="Times New Roman"/>
          <w:sz w:val="24"/>
          <w:szCs w:val="24"/>
          <w:lang w:val="en-GB"/>
        </w:rPr>
        <w:t xml:space="preserve">. </w:t>
      </w:r>
      <w:r w:rsidR="008B59DC" w:rsidRPr="00942C5D">
        <w:rPr>
          <w:rFonts w:ascii="Times New Roman" w:hAnsi="Times New Roman"/>
          <w:sz w:val="24"/>
          <w:szCs w:val="24"/>
          <w:lang w:val="en-US"/>
        </w:rPr>
        <w:t>Substituting the producti</w:t>
      </w:r>
      <w:r w:rsidR="00B66918" w:rsidRPr="00942C5D">
        <w:rPr>
          <w:rFonts w:ascii="Times New Roman" w:hAnsi="Times New Roman"/>
          <w:sz w:val="24"/>
          <w:szCs w:val="24"/>
          <w:lang w:val="en-US"/>
        </w:rPr>
        <w:t>vi</w:t>
      </w:r>
      <w:r w:rsidR="008B59DC" w:rsidRPr="00942C5D">
        <w:rPr>
          <w:rFonts w:ascii="Times New Roman" w:hAnsi="Times New Roman"/>
          <w:sz w:val="24"/>
          <w:szCs w:val="24"/>
          <w:lang w:val="en-US"/>
        </w:rPr>
        <w:t>ty function into [A2.1], we get the following:</w:t>
      </w:r>
    </w:p>
    <w:p w:rsidR="008B59DC" w:rsidRPr="00942C5D" w:rsidRDefault="008B59DC" w:rsidP="00942C5D">
      <w:pPr>
        <w:rPr>
          <w:rFonts w:ascii="Times New Roman" w:hAnsi="Times New Roman"/>
          <w:sz w:val="24"/>
          <w:szCs w:val="24"/>
        </w:rPr>
      </w:pPr>
    </w:p>
    <w:p w:rsidR="008B59DC" w:rsidRPr="00942C5D" w:rsidRDefault="008B59DC" w:rsidP="00942C5D">
      <w:pPr>
        <w:pStyle w:val="MTDisplayEquation"/>
      </w:pPr>
      <w:r w:rsidRPr="00942C5D">
        <w:tab/>
      </w:r>
      <w:r w:rsidR="00B66918" w:rsidRPr="00942C5D">
        <w:rPr>
          <w:position w:val="-12"/>
        </w:rPr>
        <w:object w:dxaOrig="3340" w:dyaOrig="360">
          <v:shape id="_x0000_i1066" type="#_x0000_t75" style="width:167.25pt;height:18.75pt" o:ole="">
            <v:imagedata r:id="rId91" o:title=""/>
          </v:shape>
          <o:OLEObject Type="Embed" ProgID="Equation.DSMT4" ShapeID="_x0000_i1066" DrawAspect="Content" ObjectID="_1604251481" r:id="rId92"/>
        </w:object>
      </w:r>
      <w:r w:rsidRPr="00942C5D">
        <w:t xml:space="preserve"> </w:t>
      </w:r>
      <w:r w:rsidRPr="00942C5D">
        <w:tab/>
      </w:r>
      <w:r w:rsidR="00B66918" w:rsidRPr="00942C5D">
        <w:t xml:space="preserve">   [A2.2]</w:t>
      </w:r>
    </w:p>
    <w:p w:rsidR="00B66918" w:rsidRPr="00942C5D" w:rsidRDefault="00B66918" w:rsidP="00942C5D">
      <w:pPr>
        <w:rPr>
          <w:rFonts w:ascii="Times New Roman" w:hAnsi="Times New Roman"/>
          <w:sz w:val="24"/>
          <w:szCs w:val="24"/>
          <w:lang w:val="en-US"/>
        </w:rPr>
      </w:pPr>
    </w:p>
    <w:p w:rsidR="00CA3A3A" w:rsidRPr="00942C5D" w:rsidRDefault="00B66918" w:rsidP="00942C5D">
      <w:pPr>
        <w:rPr>
          <w:rFonts w:ascii="Times New Roman" w:hAnsi="Times New Roman"/>
          <w:sz w:val="24"/>
          <w:szCs w:val="24"/>
          <w:lang w:val="en-GB"/>
        </w:rPr>
      </w:pPr>
      <w:r w:rsidRPr="00942C5D">
        <w:rPr>
          <w:rFonts w:ascii="Times New Roman" w:hAnsi="Times New Roman"/>
          <w:sz w:val="24"/>
          <w:szCs w:val="24"/>
          <w:lang w:val="en-US"/>
        </w:rPr>
        <w:t>In the first stage, a partial linear estimation is used to obtain an estimate for</w:t>
      </w:r>
      <w:r w:rsidRPr="00942C5D">
        <w:rPr>
          <w:rFonts w:ascii="Times New Roman" w:hAnsi="Times New Roman"/>
          <w:position w:val="-10"/>
          <w:sz w:val="24"/>
          <w:szCs w:val="24"/>
          <w:lang w:val="en-US"/>
        </w:rPr>
        <w:object w:dxaOrig="220" w:dyaOrig="320">
          <v:shape id="_x0000_i1067" type="#_x0000_t75" style="width:10.5pt;height:15.75pt" o:ole="">
            <v:imagedata r:id="rId93" o:title=""/>
          </v:shape>
          <o:OLEObject Type="Embed" ProgID="Equation.DSMT4" ShapeID="_x0000_i1067" DrawAspect="Content" ObjectID="_1604251482" r:id="rId94"/>
        </w:object>
      </w:r>
      <w:r w:rsidRPr="00942C5D">
        <w:rPr>
          <w:rFonts w:ascii="Times New Roman" w:hAnsi="Times New Roman"/>
          <w:sz w:val="24"/>
          <w:szCs w:val="24"/>
          <w:lang w:val="en-US"/>
        </w:rPr>
        <w:t xml:space="preserve">. For the second stage </w:t>
      </w:r>
      <w:r w:rsidRPr="00942C5D">
        <w:rPr>
          <w:rFonts w:ascii="Times New Roman" w:hAnsi="Times New Roman"/>
          <w:position w:val="-6"/>
          <w:sz w:val="24"/>
          <w:szCs w:val="24"/>
          <w:lang w:val="en-US"/>
        </w:rPr>
        <w:object w:dxaOrig="240" w:dyaOrig="220">
          <v:shape id="_x0000_i1068" type="#_x0000_t75" style="width:12pt;height:10.5pt" o:ole="">
            <v:imagedata r:id="rId95" o:title=""/>
          </v:shape>
          <o:OLEObject Type="Embed" ProgID="Equation.DSMT4" ShapeID="_x0000_i1068" DrawAspect="Content" ObjectID="_1604251483" r:id="rId96"/>
        </w:object>
      </w:r>
      <w:r w:rsidRPr="00942C5D">
        <w:rPr>
          <w:rFonts w:ascii="Times New Roman" w:hAnsi="Times New Roman"/>
          <w:sz w:val="24"/>
          <w:szCs w:val="24"/>
          <w:lang w:val="en-US"/>
        </w:rPr>
        <w:t xml:space="preserve"> is assumed to follow a first order Markov process:</w:t>
      </w:r>
      <w:r w:rsidR="0040537A" w:rsidRPr="0040537A">
        <w:rPr>
          <w:rFonts w:ascii="Times New Roman" w:hAnsi="Times New Roman"/>
          <w:position w:val="-14"/>
          <w:sz w:val="24"/>
          <w:szCs w:val="24"/>
          <w:lang w:val="en-US"/>
        </w:rPr>
        <w:object w:dxaOrig="3480" w:dyaOrig="400">
          <v:shape id="_x0000_i1087" type="#_x0000_t75" style="width:174pt;height:19.5pt" o:ole="">
            <v:imagedata r:id="rId97" o:title=""/>
          </v:shape>
          <o:OLEObject Type="Embed" ProgID="Equation.DSMT4" ShapeID="_x0000_i1087" DrawAspect="Content" ObjectID="_1604251484" r:id="rId98"/>
        </w:object>
      </w:r>
      <w:r w:rsidR="003C005A" w:rsidRPr="00942C5D">
        <w:rPr>
          <w:rFonts w:ascii="Times New Roman" w:hAnsi="Times New Roman"/>
          <w:sz w:val="24"/>
          <w:szCs w:val="24"/>
          <w:lang w:val="en-US"/>
        </w:rPr>
        <w:t xml:space="preserve"> with </w:t>
      </w:r>
      <w:r w:rsidR="003C005A" w:rsidRPr="00942C5D">
        <w:rPr>
          <w:rFonts w:ascii="Times New Roman" w:hAnsi="Times New Roman"/>
          <w:position w:val="-6"/>
          <w:sz w:val="24"/>
          <w:szCs w:val="24"/>
          <w:lang w:val="en-US"/>
        </w:rPr>
        <w:object w:dxaOrig="200" w:dyaOrig="220">
          <v:shape id="_x0000_i1070" type="#_x0000_t75" style="width:9.75pt;height:10.5pt" o:ole="">
            <v:imagedata r:id="rId99" o:title=""/>
          </v:shape>
          <o:OLEObject Type="Embed" ProgID="Equation.DSMT4" ShapeID="_x0000_i1070" DrawAspect="Content" ObjectID="_1604251485" r:id="rId100"/>
        </w:object>
      </w:r>
      <w:r w:rsidR="003C005A" w:rsidRPr="00942C5D">
        <w:rPr>
          <w:rFonts w:ascii="Times New Roman" w:hAnsi="Times New Roman"/>
          <w:sz w:val="24"/>
          <w:szCs w:val="24"/>
          <w:lang w:val="en-US"/>
        </w:rPr>
        <w:t xml:space="preserve"> to be a productivity shock term</w:t>
      </w:r>
      <w:r w:rsidRPr="00942C5D">
        <w:rPr>
          <w:rFonts w:ascii="Times New Roman" w:hAnsi="Times New Roman"/>
          <w:sz w:val="24"/>
          <w:szCs w:val="24"/>
          <w:lang w:val="en-US"/>
        </w:rPr>
        <w:t xml:space="preserve">. </w:t>
      </w:r>
      <w:r w:rsidRPr="00942C5D">
        <w:rPr>
          <w:rFonts w:ascii="Times New Roman" w:hAnsi="Times New Roman"/>
          <w:sz w:val="24"/>
          <w:szCs w:val="24"/>
          <w:lang w:val="en-GB"/>
        </w:rPr>
        <w:t>The Markov-process is plugged in</w:t>
      </w:r>
      <w:r w:rsidR="001D04B1">
        <w:rPr>
          <w:rFonts w:ascii="Times New Roman" w:hAnsi="Times New Roman"/>
          <w:sz w:val="24"/>
          <w:szCs w:val="24"/>
          <w:lang w:val="en-GB"/>
        </w:rPr>
        <w:t>to</w:t>
      </w:r>
      <w:r w:rsidRPr="00942C5D">
        <w:rPr>
          <w:rFonts w:ascii="Times New Roman" w:hAnsi="Times New Roman"/>
          <w:sz w:val="24"/>
          <w:szCs w:val="24"/>
          <w:lang w:val="en-GB"/>
        </w:rPr>
        <w:t xml:space="preserve"> [A2.1] and it is further considered that production of firm </w:t>
      </w:r>
      <w:r w:rsidR="003C005A" w:rsidRPr="00942C5D">
        <w:rPr>
          <w:rFonts w:ascii="Times New Roman" w:hAnsi="Times New Roman"/>
          <w:i/>
          <w:sz w:val="24"/>
          <w:szCs w:val="24"/>
          <w:lang w:val="en-GB"/>
        </w:rPr>
        <w:t>i</w:t>
      </w:r>
      <w:r w:rsidR="00CA3A3A" w:rsidRPr="00942C5D">
        <w:rPr>
          <w:rFonts w:ascii="Times New Roman" w:hAnsi="Times New Roman"/>
          <w:sz w:val="24"/>
          <w:szCs w:val="24"/>
          <w:lang w:val="en-GB"/>
        </w:rPr>
        <w:t xml:space="preserve"> at year</w:t>
      </w:r>
      <w:r w:rsidR="00CA3A3A" w:rsidRPr="00942C5D">
        <w:rPr>
          <w:rFonts w:ascii="Times New Roman" w:hAnsi="Times New Roman"/>
          <w:i/>
          <w:sz w:val="24"/>
          <w:szCs w:val="24"/>
          <w:lang w:val="en-GB"/>
        </w:rPr>
        <w:t xml:space="preserve"> t</w:t>
      </w:r>
      <w:r w:rsidRPr="00942C5D">
        <w:rPr>
          <w:rFonts w:ascii="Times New Roman" w:hAnsi="Times New Roman"/>
          <w:i/>
          <w:sz w:val="24"/>
          <w:szCs w:val="24"/>
          <w:lang w:val="en-GB"/>
        </w:rPr>
        <w:t xml:space="preserve"> </w:t>
      </w:r>
      <w:r w:rsidRPr="00942C5D">
        <w:rPr>
          <w:rFonts w:ascii="Times New Roman" w:hAnsi="Times New Roman"/>
          <w:sz w:val="24"/>
          <w:szCs w:val="24"/>
          <w:lang w:val="en-GB"/>
        </w:rPr>
        <w:t xml:space="preserve">is </w:t>
      </w:r>
      <w:r w:rsidR="00E60F09" w:rsidRPr="00942C5D">
        <w:rPr>
          <w:rFonts w:ascii="Times New Roman" w:hAnsi="Times New Roman"/>
          <w:sz w:val="24"/>
          <w:szCs w:val="24"/>
          <w:lang w:val="en-GB"/>
        </w:rPr>
        <w:t>conditional</w:t>
      </w:r>
      <w:r w:rsidRPr="00942C5D">
        <w:rPr>
          <w:rFonts w:ascii="Times New Roman" w:hAnsi="Times New Roman"/>
          <w:sz w:val="24"/>
          <w:szCs w:val="24"/>
          <w:lang w:val="en-GB"/>
        </w:rPr>
        <w:t xml:space="preserve"> </w:t>
      </w:r>
      <w:r w:rsidR="001D04B1">
        <w:rPr>
          <w:rFonts w:ascii="Times New Roman" w:hAnsi="Times New Roman"/>
          <w:sz w:val="24"/>
          <w:szCs w:val="24"/>
          <w:lang w:val="en-GB"/>
        </w:rPr>
        <w:t>on</w:t>
      </w:r>
      <w:r w:rsidRPr="00942C5D">
        <w:rPr>
          <w:rFonts w:ascii="Times New Roman" w:hAnsi="Times New Roman"/>
          <w:sz w:val="24"/>
          <w:szCs w:val="24"/>
          <w:lang w:val="en-GB"/>
        </w:rPr>
        <w:t xml:space="preserve"> </w:t>
      </w:r>
      <w:r w:rsidR="00CA3A3A" w:rsidRPr="00942C5D">
        <w:rPr>
          <w:rFonts w:ascii="Times New Roman" w:hAnsi="Times New Roman"/>
          <w:sz w:val="24"/>
          <w:szCs w:val="24"/>
          <w:lang w:val="en-GB"/>
        </w:rPr>
        <w:t>a</w:t>
      </w:r>
      <w:r w:rsidRPr="00942C5D">
        <w:rPr>
          <w:rFonts w:ascii="Times New Roman" w:hAnsi="Times New Roman"/>
          <w:sz w:val="24"/>
          <w:szCs w:val="24"/>
          <w:lang w:val="en-GB"/>
        </w:rPr>
        <w:t xml:space="preserve"> survival probability.</w:t>
      </w:r>
      <w:r w:rsidR="00CA3A3A" w:rsidRPr="00942C5D">
        <w:rPr>
          <w:rFonts w:ascii="Times New Roman" w:hAnsi="Times New Roman"/>
          <w:sz w:val="24"/>
          <w:szCs w:val="24"/>
          <w:lang w:val="en-GB"/>
        </w:rPr>
        <w:t xml:space="preserve"> Therefore, the </w:t>
      </w:r>
      <w:r w:rsidR="00E60F09" w:rsidRPr="00942C5D">
        <w:rPr>
          <w:rFonts w:ascii="Times New Roman" w:hAnsi="Times New Roman"/>
          <w:sz w:val="24"/>
          <w:szCs w:val="24"/>
          <w:lang w:val="en-GB"/>
        </w:rPr>
        <w:t>conditional</w:t>
      </w:r>
      <w:r w:rsidR="00CA3A3A" w:rsidRPr="00942C5D">
        <w:rPr>
          <w:rFonts w:ascii="Times New Roman" w:hAnsi="Times New Roman"/>
          <w:sz w:val="24"/>
          <w:szCs w:val="24"/>
          <w:lang w:val="en-GB"/>
        </w:rPr>
        <w:t xml:space="preserve"> form of the production function is written as:</w:t>
      </w:r>
    </w:p>
    <w:p w:rsidR="00CA3A3A" w:rsidRPr="00942C5D" w:rsidRDefault="00CA3A3A" w:rsidP="00942C5D">
      <w:pPr>
        <w:rPr>
          <w:rFonts w:ascii="Times New Roman" w:hAnsi="Times New Roman"/>
          <w:sz w:val="24"/>
          <w:szCs w:val="24"/>
          <w:lang w:val="en-GB"/>
        </w:rPr>
      </w:pPr>
    </w:p>
    <w:p w:rsidR="008B59DC" w:rsidRPr="00942C5D" w:rsidRDefault="00B66918" w:rsidP="00942C5D">
      <w:pPr>
        <w:rPr>
          <w:rFonts w:ascii="Times New Roman" w:hAnsi="Times New Roman"/>
          <w:sz w:val="24"/>
          <w:szCs w:val="24"/>
          <w:lang w:val="en-GB"/>
        </w:rPr>
      </w:pPr>
      <w:r w:rsidRPr="00942C5D">
        <w:rPr>
          <w:rFonts w:ascii="Times New Roman" w:hAnsi="Times New Roman"/>
          <w:sz w:val="24"/>
          <w:szCs w:val="24"/>
          <w:lang w:val="en-GB"/>
        </w:rPr>
        <w:t xml:space="preserve"> </w:t>
      </w:r>
    </w:p>
    <w:p w:rsidR="00CA3A3A" w:rsidRPr="00942C5D" w:rsidRDefault="00CA3A3A" w:rsidP="00942C5D">
      <w:pPr>
        <w:pStyle w:val="MTDisplayEquation"/>
      </w:pPr>
      <w:r w:rsidRPr="00942C5D">
        <w:tab/>
      </w:r>
      <w:r w:rsidRPr="00942C5D">
        <w:rPr>
          <w:position w:val="-32"/>
        </w:rPr>
        <w:object w:dxaOrig="6020" w:dyaOrig="760">
          <v:shape id="_x0000_i1071" type="#_x0000_t75" style="width:300.75pt;height:38.25pt" o:ole="">
            <v:imagedata r:id="rId101" o:title=""/>
          </v:shape>
          <o:OLEObject Type="Embed" ProgID="Equation.DSMT4" ShapeID="_x0000_i1071" DrawAspect="Content" ObjectID="_1604251486" r:id="rId102"/>
        </w:object>
      </w:r>
      <w:r w:rsidRPr="00942C5D">
        <w:t xml:space="preserve"> </w:t>
      </w:r>
      <w:r w:rsidRPr="00942C5D">
        <w:tab/>
      </w:r>
      <w:r w:rsidR="00672292" w:rsidRPr="00942C5D">
        <w:t>[A2.3]</w:t>
      </w:r>
    </w:p>
    <w:p w:rsidR="00B66918" w:rsidRPr="00942C5D" w:rsidRDefault="00B66918" w:rsidP="00942C5D">
      <w:pPr>
        <w:rPr>
          <w:rFonts w:ascii="Times New Roman" w:hAnsi="Times New Roman"/>
          <w:sz w:val="24"/>
          <w:szCs w:val="24"/>
        </w:rPr>
      </w:pPr>
    </w:p>
    <w:p w:rsidR="00672292" w:rsidRPr="00942C5D" w:rsidRDefault="00286C66" w:rsidP="00942C5D">
      <w:pPr>
        <w:rPr>
          <w:rFonts w:ascii="Times New Roman" w:hAnsi="Times New Roman"/>
          <w:sz w:val="24"/>
          <w:szCs w:val="24"/>
          <w:lang w:val="en-US"/>
        </w:rPr>
      </w:pPr>
      <w:r w:rsidRPr="00942C5D">
        <w:rPr>
          <w:rFonts w:ascii="Times New Roman" w:hAnsi="Times New Roman"/>
          <w:sz w:val="24"/>
          <w:szCs w:val="24"/>
          <w:lang w:val="en-US"/>
        </w:rPr>
        <w:lastRenderedPageBreak/>
        <w:t xml:space="preserve"> </w:t>
      </w:r>
    </w:p>
    <w:p w:rsidR="00E60F09" w:rsidRPr="00942C5D" w:rsidRDefault="00672292" w:rsidP="00942C5D">
      <w:pPr>
        <w:pStyle w:val="MTDisplayEquation"/>
      </w:pPr>
      <w:r w:rsidRPr="00942C5D">
        <w:t>where</w:t>
      </w:r>
      <w:r w:rsidRPr="00942C5D">
        <w:rPr>
          <w:position w:val="-4"/>
        </w:rPr>
        <w:object w:dxaOrig="200" w:dyaOrig="200">
          <v:shape id="_x0000_i1072" type="#_x0000_t75" style="width:9.75pt;height:9.75pt" o:ole="">
            <v:imagedata r:id="rId103" o:title=""/>
          </v:shape>
          <o:OLEObject Type="Embed" ProgID="Equation.DSMT4" ShapeID="_x0000_i1072" DrawAspect="Content" ObjectID="_1604251487" r:id="rId104"/>
        </w:object>
      </w:r>
      <w:r w:rsidRPr="00942C5D">
        <w:t xml:space="preserve">=1 if the firm survives at the end of period </w:t>
      </w:r>
      <w:r w:rsidRPr="00942C5D">
        <w:rPr>
          <w:i/>
        </w:rPr>
        <w:t>t</w:t>
      </w:r>
      <w:r w:rsidRPr="00942C5D">
        <w:t>. The estimation of the survival probability is implemented at the second stage and unobserved parameter</w:t>
      </w:r>
      <w:r w:rsidRPr="00942C5D">
        <w:rPr>
          <w:position w:val="-12"/>
        </w:rPr>
        <w:object w:dxaOrig="320" w:dyaOrig="360">
          <v:shape id="_x0000_i1073" type="#_x0000_t75" style="width:15.75pt;height:18.75pt" o:ole="">
            <v:imagedata r:id="rId105" o:title=""/>
          </v:shape>
          <o:OLEObject Type="Embed" ProgID="Equation.DSMT4" ShapeID="_x0000_i1073" DrawAspect="Content" ObjectID="_1604251488" r:id="rId106"/>
        </w:object>
      </w:r>
      <w:r w:rsidRPr="00942C5D">
        <w:t xml:space="preserve">is approximated by </w:t>
      </w:r>
      <w:r w:rsidR="00942C5D" w:rsidRPr="00942C5D">
        <w:t>first stage’s</w:t>
      </w:r>
      <w:r w:rsidRPr="00942C5D">
        <w:t xml:space="preserve"> estimate of the inverse investment function.</w:t>
      </w:r>
      <w:r w:rsidR="00E60F09" w:rsidRPr="00942C5D">
        <w:t xml:space="preserve"> Equation [A2.3] is estimated with a linear probit and the probability of surviving in period </w:t>
      </w:r>
      <w:r w:rsidR="00E60F09" w:rsidRPr="00942C5D">
        <w:rPr>
          <w:i/>
        </w:rPr>
        <w:t>t</w:t>
      </w:r>
      <w:r w:rsidR="00E60F09" w:rsidRPr="00942C5D">
        <w:t xml:space="preserve"> is called </w:t>
      </w:r>
      <w:r w:rsidR="00E60F09" w:rsidRPr="00942C5D">
        <w:rPr>
          <w:i/>
        </w:rPr>
        <w:t>P</w:t>
      </w:r>
      <w:r w:rsidR="00E60F09" w:rsidRPr="00942C5D">
        <w:rPr>
          <w:i/>
          <w:vertAlign w:val="subscript"/>
        </w:rPr>
        <w:t>t</w:t>
      </w:r>
      <w:r w:rsidR="00E60F09" w:rsidRPr="00942C5D">
        <w:t xml:space="preserve">. In the third stage, the coefficient of </w:t>
      </w:r>
      <w:r w:rsidR="00E60F09" w:rsidRPr="00942C5D">
        <w:rPr>
          <w:position w:val="-6"/>
        </w:rPr>
        <w:object w:dxaOrig="200" w:dyaOrig="279">
          <v:shape id="_x0000_i1074" type="#_x0000_t75" style="width:9.75pt;height:14.25pt" o:ole="">
            <v:imagedata r:id="rId107" o:title=""/>
          </v:shape>
          <o:OLEObject Type="Embed" ProgID="Equation.DSMT4" ShapeID="_x0000_i1074" DrawAspect="Content" ObjectID="_1604251489" r:id="rId108"/>
        </w:object>
      </w:r>
      <w:r w:rsidR="00E60F09" w:rsidRPr="00942C5D">
        <w:t xml:space="preserve"> is recovered using a non-linear least squares (NLLS) estimator</w:t>
      </w:r>
      <w:r w:rsidR="008D2707" w:rsidRPr="00942C5D">
        <w:t xml:space="preserve"> for the following specification</w:t>
      </w:r>
      <w:r w:rsidR="00E60F09" w:rsidRPr="00942C5D">
        <w:t>:</w:t>
      </w:r>
    </w:p>
    <w:p w:rsidR="00E60F09" w:rsidRPr="00942C5D" w:rsidRDefault="00E60F09" w:rsidP="00942C5D">
      <w:pPr>
        <w:pStyle w:val="MTDisplayEquation"/>
      </w:pPr>
      <w:r w:rsidRPr="00942C5D">
        <w:tab/>
      </w:r>
      <w:r w:rsidR="0040537A" w:rsidRPr="0040537A">
        <w:rPr>
          <w:position w:val="-12"/>
        </w:rPr>
        <w:object w:dxaOrig="4819" w:dyaOrig="420">
          <v:shape id="_x0000_i1089" type="#_x0000_t75" style="width:240.75pt;height:21pt" o:ole="">
            <v:imagedata r:id="rId109" o:title=""/>
          </v:shape>
          <o:OLEObject Type="Embed" ProgID="Equation.DSMT4" ShapeID="_x0000_i1089" DrawAspect="Content" ObjectID="_1604251490" r:id="rId110"/>
        </w:object>
      </w:r>
      <w:r w:rsidRPr="00942C5D">
        <w:t xml:space="preserve"> </w:t>
      </w:r>
      <w:r w:rsidRPr="00942C5D">
        <w:tab/>
        <w:t>[A2.4]</w:t>
      </w:r>
    </w:p>
    <w:p w:rsidR="00672292" w:rsidRPr="00942C5D" w:rsidRDefault="00672292" w:rsidP="00942C5D">
      <w:pPr>
        <w:rPr>
          <w:rFonts w:ascii="Times New Roman" w:hAnsi="Times New Roman"/>
          <w:sz w:val="24"/>
          <w:szCs w:val="24"/>
          <w:lang w:val="en-GB"/>
        </w:rPr>
      </w:pPr>
    </w:p>
    <w:p w:rsidR="008D2707" w:rsidRPr="00942C5D" w:rsidRDefault="00942C5D" w:rsidP="00942C5D">
      <w:pPr>
        <w:rPr>
          <w:rFonts w:ascii="Times New Roman" w:hAnsi="Times New Roman"/>
          <w:sz w:val="24"/>
          <w:szCs w:val="24"/>
          <w:lang w:val="en-GB"/>
        </w:rPr>
      </w:pPr>
      <w:r w:rsidRPr="00942C5D">
        <w:rPr>
          <w:rFonts w:ascii="Times New Roman" w:hAnsi="Times New Roman"/>
          <w:sz w:val="24"/>
          <w:szCs w:val="24"/>
          <w:lang w:val="en-GB"/>
        </w:rPr>
        <w:t xml:space="preserve">with </w:t>
      </w:r>
      <w:r w:rsidR="008D2707" w:rsidRPr="00942C5D">
        <w:rPr>
          <w:rFonts w:ascii="Times New Roman" w:hAnsi="Times New Roman"/>
          <w:position w:val="-12"/>
          <w:sz w:val="24"/>
          <w:szCs w:val="24"/>
          <w:lang w:val="en-GB"/>
        </w:rPr>
        <w:object w:dxaOrig="2860" w:dyaOrig="400">
          <v:shape id="_x0000_i1076" type="#_x0000_t75" style="width:143.25pt;height:20.25pt" o:ole="">
            <v:imagedata r:id="rId111" o:title=""/>
          </v:shape>
          <o:OLEObject Type="Embed" ProgID="Equation.DSMT4" ShapeID="_x0000_i1076" DrawAspect="Content" ObjectID="_1604251491" r:id="rId112"/>
        </w:object>
      </w:r>
      <w:r w:rsidR="003C005A" w:rsidRPr="00942C5D">
        <w:rPr>
          <w:rFonts w:ascii="Times New Roman" w:hAnsi="Times New Roman"/>
          <w:sz w:val="24"/>
          <w:szCs w:val="24"/>
          <w:lang w:val="en-GB"/>
        </w:rPr>
        <w:t>.</w:t>
      </w:r>
      <w:r w:rsidR="008D2707" w:rsidRPr="00942C5D">
        <w:rPr>
          <w:rFonts w:ascii="Times New Roman" w:hAnsi="Times New Roman"/>
          <w:sz w:val="24"/>
          <w:szCs w:val="24"/>
          <w:lang w:val="en-GB"/>
        </w:rPr>
        <w:t xml:space="preserve"> </w:t>
      </w:r>
    </w:p>
    <w:p w:rsidR="00597EE0" w:rsidRPr="00942C5D" w:rsidRDefault="00942C5D" w:rsidP="00942C5D">
      <w:pPr>
        <w:rPr>
          <w:rFonts w:ascii="Times New Roman" w:eastAsia="Times New Roman" w:hAnsi="Times New Roman"/>
          <w:sz w:val="24"/>
          <w:szCs w:val="24"/>
          <w:lang w:val="en-US"/>
        </w:rPr>
      </w:pPr>
      <w:r w:rsidRPr="00942C5D">
        <w:rPr>
          <w:rFonts w:ascii="Times New Roman" w:hAnsi="Times New Roman"/>
          <w:sz w:val="24"/>
          <w:szCs w:val="24"/>
          <w:lang w:val="en-GB"/>
        </w:rPr>
        <w:tab/>
      </w:r>
      <w:r w:rsidR="00E60F09" w:rsidRPr="00942C5D">
        <w:rPr>
          <w:rFonts w:ascii="Times New Roman" w:hAnsi="Times New Roman"/>
          <w:sz w:val="24"/>
          <w:szCs w:val="24"/>
          <w:lang w:val="en-GB"/>
        </w:rPr>
        <w:t xml:space="preserve">To implement </w:t>
      </w:r>
      <w:r w:rsidR="00597EE0" w:rsidRPr="00942C5D">
        <w:rPr>
          <w:rFonts w:ascii="Times New Roman" w:hAnsi="Times New Roman"/>
          <w:sz w:val="24"/>
          <w:szCs w:val="24"/>
          <w:lang w:val="en-GB"/>
        </w:rPr>
        <w:t xml:space="preserve">the </w:t>
      </w:r>
      <w:r w:rsidR="00E60F09" w:rsidRPr="00942C5D">
        <w:rPr>
          <w:rFonts w:ascii="Times New Roman" w:hAnsi="Times New Roman"/>
          <w:sz w:val="24"/>
          <w:szCs w:val="24"/>
          <w:lang w:val="en-GB"/>
        </w:rPr>
        <w:t>Olley and Pakes algorithm (1996)</w:t>
      </w:r>
      <w:r w:rsidR="00597EE0" w:rsidRPr="00942C5D">
        <w:rPr>
          <w:rFonts w:ascii="Times New Roman" w:hAnsi="Times New Roman"/>
          <w:sz w:val="24"/>
          <w:szCs w:val="24"/>
          <w:lang w:val="en-GB"/>
        </w:rPr>
        <w:t>, w</w:t>
      </w:r>
      <w:r w:rsidR="00597EE0" w:rsidRPr="00942C5D">
        <w:rPr>
          <w:rFonts w:ascii="Times New Roman" w:eastAsia="Times New Roman" w:hAnsi="Times New Roman"/>
          <w:sz w:val="24"/>
          <w:szCs w:val="24"/>
          <w:lang w:val="en-US"/>
        </w:rPr>
        <w:t>e</w:t>
      </w:r>
      <w:r w:rsidR="008D2707" w:rsidRPr="00942C5D">
        <w:rPr>
          <w:rFonts w:ascii="Times New Roman" w:eastAsia="Times New Roman" w:hAnsi="Times New Roman"/>
          <w:sz w:val="24"/>
          <w:szCs w:val="24"/>
          <w:lang w:val="en-US"/>
        </w:rPr>
        <w:t xml:space="preserve"> </w:t>
      </w:r>
      <w:r w:rsidRPr="00942C5D">
        <w:rPr>
          <w:rFonts w:ascii="Times New Roman" w:eastAsia="Times New Roman" w:hAnsi="Times New Roman"/>
          <w:sz w:val="24"/>
          <w:szCs w:val="24"/>
          <w:lang w:val="en-US"/>
        </w:rPr>
        <w:t>use a balanced set from FAME of 13062 firms for each year</w:t>
      </w:r>
      <w:r w:rsidR="00597EE0" w:rsidRPr="00942C5D">
        <w:rPr>
          <w:rFonts w:ascii="Times New Roman" w:eastAsia="Times New Roman" w:hAnsi="Times New Roman"/>
          <w:sz w:val="24"/>
          <w:szCs w:val="24"/>
          <w:lang w:val="en-US"/>
        </w:rPr>
        <w:t xml:space="preserve">. We had to drop observations </w:t>
      </w:r>
      <w:r w:rsidR="008D2707" w:rsidRPr="00942C5D">
        <w:rPr>
          <w:rFonts w:ascii="Times New Roman" w:eastAsia="Times New Roman" w:hAnsi="Times New Roman"/>
          <w:sz w:val="24"/>
          <w:szCs w:val="24"/>
          <w:lang w:val="en-US"/>
        </w:rPr>
        <w:t>with</w:t>
      </w:r>
      <w:r w:rsidR="00597EE0" w:rsidRPr="00942C5D">
        <w:rPr>
          <w:rFonts w:ascii="Times New Roman" w:eastAsia="Times New Roman" w:hAnsi="Times New Roman"/>
          <w:sz w:val="24"/>
          <w:szCs w:val="24"/>
          <w:lang w:val="en-US"/>
        </w:rPr>
        <w:t xml:space="preserve"> either missing or negative values for </w:t>
      </w:r>
      <w:r w:rsidR="00597EE0" w:rsidRPr="00942C5D">
        <w:rPr>
          <w:rFonts w:ascii="Times New Roman" w:eastAsia="Times New Roman" w:hAnsi="Times New Roman"/>
          <w:i/>
          <w:sz w:val="24"/>
          <w:szCs w:val="24"/>
          <w:lang w:val="en-US"/>
        </w:rPr>
        <w:t xml:space="preserve">y </w:t>
      </w:r>
      <w:r w:rsidR="00597EE0" w:rsidRPr="00942C5D">
        <w:rPr>
          <w:rFonts w:ascii="Times New Roman" w:eastAsia="Times New Roman" w:hAnsi="Times New Roman"/>
          <w:sz w:val="24"/>
          <w:szCs w:val="24"/>
          <w:lang w:val="en-US"/>
        </w:rPr>
        <w:t xml:space="preserve">and </w:t>
      </w:r>
      <w:r w:rsidR="00597EE0" w:rsidRPr="00942C5D">
        <w:rPr>
          <w:rFonts w:ascii="Times New Roman" w:eastAsia="Times New Roman" w:hAnsi="Times New Roman"/>
          <w:i/>
          <w:sz w:val="24"/>
          <w:szCs w:val="24"/>
          <w:lang w:val="en-US"/>
        </w:rPr>
        <w:t>I</w:t>
      </w:r>
      <w:r w:rsidR="00597EE0" w:rsidRPr="00942C5D">
        <w:rPr>
          <w:rFonts w:ascii="Times New Roman" w:eastAsia="Times New Roman" w:hAnsi="Times New Roman"/>
          <w:sz w:val="24"/>
          <w:szCs w:val="24"/>
          <w:lang w:val="en-US"/>
        </w:rPr>
        <w:t>. The latter variable is derived from the perpetual inventory method:</w:t>
      </w:r>
      <w:r w:rsidR="00597EE0" w:rsidRPr="00942C5D">
        <w:rPr>
          <w:rFonts w:ascii="Times New Roman" w:eastAsia="Times New Roman" w:hAnsi="Times New Roman"/>
          <w:position w:val="-12"/>
          <w:sz w:val="24"/>
          <w:szCs w:val="24"/>
          <w:lang w:val="en-US"/>
        </w:rPr>
        <w:object w:dxaOrig="1880" w:dyaOrig="360">
          <v:shape id="_x0000_i1077" type="#_x0000_t75" style="width:93.75pt;height:17.25pt" o:ole="">
            <v:imagedata r:id="rId113" o:title=""/>
          </v:shape>
          <o:OLEObject Type="Embed" ProgID="Equation.DSMT4" ShapeID="_x0000_i1077" DrawAspect="Content" ObjectID="_1604251492" r:id="rId114"/>
        </w:object>
      </w:r>
      <w:r w:rsidR="00597EE0" w:rsidRPr="00942C5D">
        <w:rPr>
          <w:rFonts w:ascii="Times New Roman" w:eastAsia="Times New Roman" w:hAnsi="Times New Roman"/>
          <w:sz w:val="24"/>
          <w:szCs w:val="24"/>
          <w:lang w:val="en-US"/>
        </w:rPr>
        <w:t xml:space="preserve">, where </w:t>
      </w:r>
      <w:r w:rsidR="00597EE0" w:rsidRPr="00942C5D">
        <w:rPr>
          <w:rFonts w:ascii="Times New Roman" w:eastAsia="Times New Roman" w:hAnsi="Times New Roman"/>
          <w:position w:val="-6"/>
          <w:sz w:val="24"/>
          <w:szCs w:val="24"/>
          <w:lang w:val="en-US"/>
        </w:rPr>
        <w:object w:dxaOrig="200" w:dyaOrig="279">
          <v:shape id="_x0000_i1078" type="#_x0000_t75" style="width:9.75pt;height:14.25pt" o:ole="">
            <v:imagedata r:id="rId115" o:title=""/>
          </v:shape>
          <o:OLEObject Type="Embed" ProgID="Equation.DSMT4" ShapeID="_x0000_i1078" DrawAspect="Content" ObjectID="_1604251493" r:id="rId116"/>
        </w:object>
      </w:r>
      <w:r w:rsidR="00597EE0" w:rsidRPr="00942C5D">
        <w:rPr>
          <w:rFonts w:ascii="Times New Roman" w:eastAsia="Times New Roman" w:hAnsi="Times New Roman"/>
          <w:sz w:val="24"/>
          <w:szCs w:val="24"/>
          <w:lang w:val="en-US"/>
        </w:rPr>
        <w:t xml:space="preserve">is the real value of fixed assets reported in FAME and </w:t>
      </w:r>
      <w:r w:rsidR="00597EE0" w:rsidRPr="00942C5D">
        <w:rPr>
          <w:rFonts w:ascii="Times New Roman" w:eastAsia="Times New Roman" w:hAnsi="Times New Roman"/>
          <w:position w:val="-6"/>
          <w:sz w:val="24"/>
          <w:szCs w:val="24"/>
          <w:lang w:val="en-US"/>
        </w:rPr>
        <w:object w:dxaOrig="220" w:dyaOrig="279">
          <v:shape id="_x0000_i1079" type="#_x0000_t75" style="width:10.5pt;height:14.25pt" o:ole="">
            <v:imagedata r:id="rId117" o:title=""/>
          </v:shape>
          <o:OLEObject Type="Embed" ProgID="Equation.DSMT4" ShapeID="_x0000_i1079" DrawAspect="Content" ObjectID="_1604251494" r:id="rId118"/>
        </w:object>
      </w:r>
      <w:r w:rsidR="00597EE0" w:rsidRPr="00942C5D">
        <w:rPr>
          <w:rFonts w:ascii="Times New Roman" w:eastAsia="Times New Roman" w:hAnsi="Times New Roman"/>
          <w:sz w:val="24"/>
          <w:szCs w:val="24"/>
          <w:lang w:val="en-US"/>
        </w:rPr>
        <w:t xml:space="preserve">is the rate of physical depreciation taken at the level of 20%. To obtain </w:t>
      </w:r>
      <w:r w:rsidR="008D2707" w:rsidRPr="00942C5D">
        <w:rPr>
          <w:rFonts w:ascii="Times New Roman" w:eastAsia="Times New Roman" w:hAnsi="Times New Roman"/>
          <w:i/>
          <w:sz w:val="24"/>
          <w:szCs w:val="24"/>
          <w:lang w:val="en-US"/>
        </w:rPr>
        <w:t>I</w:t>
      </w:r>
      <w:r w:rsidR="008D2707" w:rsidRPr="00942C5D">
        <w:rPr>
          <w:rFonts w:ascii="Times New Roman" w:eastAsia="Times New Roman" w:hAnsi="Times New Roman"/>
          <w:sz w:val="24"/>
          <w:szCs w:val="24"/>
          <w:lang w:val="en-US"/>
        </w:rPr>
        <w:t xml:space="preserve"> </w:t>
      </w:r>
      <w:r w:rsidR="00597EE0" w:rsidRPr="00942C5D">
        <w:rPr>
          <w:rFonts w:ascii="Times New Roman" w:eastAsia="Times New Roman" w:hAnsi="Times New Roman"/>
          <w:sz w:val="24"/>
          <w:szCs w:val="24"/>
          <w:lang w:val="en-US"/>
        </w:rPr>
        <w:t xml:space="preserve">values for 2011, we use linear extrapolation to generate the value of fixed assets for 2012. We also use linear interpolation when FAME reports missing values for the number of employees. The final data set </w:t>
      </w:r>
      <w:r w:rsidR="00E35858" w:rsidRPr="00942C5D">
        <w:rPr>
          <w:rFonts w:ascii="Times New Roman" w:eastAsia="Times New Roman" w:hAnsi="Times New Roman"/>
          <w:sz w:val="24"/>
          <w:szCs w:val="24"/>
          <w:lang w:val="en-US"/>
        </w:rPr>
        <w:t>was</w:t>
      </w:r>
      <w:r w:rsidR="00597EE0" w:rsidRPr="00942C5D">
        <w:rPr>
          <w:rFonts w:ascii="Times New Roman" w:eastAsia="Times New Roman" w:hAnsi="Times New Roman"/>
          <w:sz w:val="24"/>
          <w:szCs w:val="24"/>
          <w:lang w:val="en-US"/>
        </w:rPr>
        <w:t xml:space="preserve"> an unbalanced panel of 6559 firms on average for the period 2004-2011.</w:t>
      </w:r>
    </w:p>
    <w:p w:rsidR="00597EE0" w:rsidRDefault="00597EE0" w:rsidP="00597EE0">
      <w:pPr>
        <w:rPr>
          <w:rFonts w:ascii="Times New Roman" w:eastAsia="Times New Roman" w:hAnsi="Times New Roman"/>
          <w:sz w:val="24"/>
          <w:szCs w:val="24"/>
          <w:lang w:val="en-US"/>
        </w:rPr>
      </w:pPr>
    </w:p>
    <w:p w:rsidR="00E7289F" w:rsidRPr="00E7289F" w:rsidRDefault="00E7289F" w:rsidP="00E7289F">
      <w:pPr>
        <w:pStyle w:val="Caption"/>
        <w:keepNext/>
        <w:rPr>
          <w:rFonts w:ascii="Times New Roman" w:hAnsi="Times New Roman"/>
          <w:color w:val="auto"/>
          <w:sz w:val="24"/>
          <w:szCs w:val="24"/>
          <w:lang w:val="en-GB"/>
        </w:rPr>
      </w:pPr>
      <w:r w:rsidRPr="00E7289F">
        <w:rPr>
          <w:rFonts w:ascii="Times New Roman" w:hAnsi="Times New Roman"/>
          <w:color w:val="auto"/>
          <w:sz w:val="24"/>
          <w:szCs w:val="24"/>
        </w:rPr>
        <w:t xml:space="preserve">Table </w:t>
      </w:r>
      <w:r w:rsidRPr="00E7289F">
        <w:rPr>
          <w:rFonts w:ascii="Times New Roman" w:hAnsi="Times New Roman"/>
          <w:color w:val="auto"/>
          <w:sz w:val="24"/>
          <w:szCs w:val="24"/>
          <w:lang w:val="en-GB"/>
        </w:rPr>
        <w:t>2B: Summary Statistics</w:t>
      </w:r>
    </w:p>
    <w:tbl>
      <w:tblPr>
        <w:tblW w:w="5000" w:type="pct"/>
        <w:tblLook w:val="04A0" w:firstRow="1" w:lastRow="0" w:firstColumn="1" w:lastColumn="0" w:noHBand="0" w:noVBand="1"/>
      </w:tblPr>
      <w:tblGrid>
        <w:gridCol w:w="3125"/>
        <w:gridCol w:w="1135"/>
        <w:gridCol w:w="1061"/>
        <w:gridCol w:w="1542"/>
        <w:gridCol w:w="1163"/>
        <w:gridCol w:w="1216"/>
      </w:tblGrid>
      <w:tr w:rsidR="00772941" w:rsidRPr="00E7289F" w:rsidTr="00772941">
        <w:trPr>
          <w:trHeight w:val="300"/>
        </w:trPr>
        <w:tc>
          <w:tcPr>
            <w:tcW w:w="1691" w:type="pct"/>
            <w:tcBorders>
              <w:top w:val="single" w:sz="4" w:space="0" w:color="auto"/>
              <w:left w:val="nil"/>
              <w:bottom w:val="single" w:sz="4" w:space="0" w:color="auto"/>
              <w:right w:val="nil"/>
            </w:tcBorders>
            <w:shd w:val="clear" w:color="auto" w:fill="auto"/>
            <w:noWrap/>
            <w:vAlign w:val="center"/>
            <w:hideMark/>
          </w:tcPr>
          <w:p w:rsidR="00E7289F" w:rsidRPr="00E7289F" w:rsidRDefault="00E7289F" w:rsidP="00E7289F">
            <w:pPr>
              <w:spacing w:line="240" w:lineRule="auto"/>
              <w:ind w:firstLine="0"/>
              <w:jc w:val="center"/>
              <w:rPr>
                <w:rFonts w:ascii="Times New Roman" w:eastAsia="Times New Roman" w:hAnsi="Times New Roman"/>
                <w:color w:val="000000"/>
                <w:lang w:val="en-GB" w:eastAsia="zh-CN"/>
              </w:rPr>
            </w:pPr>
            <w:r w:rsidRPr="00E7289F">
              <w:rPr>
                <w:rFonts w:ascii="Times New Roman" w:eastAsia="Times New Roman" w:hAnsi="Times New Roman"/>
                <w:color w:val="000000"/>
                <w:lang w:val="en-GB" w:eastAsia="zh-CN"/>
              </w:rPr>
              <w:t>Variable</w:t>
            </w:r>
          </w:p>
        </w:tc>
        <w:tc>
          <w:tcPr>
            <w:tcW w:w="614" w:type="pct"/>
            <w:tcBorders>
              <w:top w:val="single" w:sz="4" w:space="0" w:color="auto"/>
              <w:left w:val="nil"/>
              <w:bottom w:val="single" w:sz="4" w:space="0" w:color="auto"/>
              <w:right w:val="nil"/>
            </w:tcBorders>
            <w:shd w:val="clear" w:color="auto" w:fill="auto"/>
            <w:noWrap/>
            <w:vAlign w:val="center"/>
            <w:hideMark/>
          </w:tcPr>
          <w:p w:rsidR="00E7289F" w:rsidRPr="00E7289F" w:rsidRDefault="00772941" w:rsidP="00E7289F">
            <w:pPr>
              <w:spacing w:line="240" w:lineRule="auto"/>
              <w:ind w:firstLine="0"/>
              <w:jc w:val="center"/>
              <w:rPr>
                <w:rFonts w:ascii="Times New Roman" w:eastAsia="Times New Roman" w:hAnsi="Times New Roman"/>
                <w:color w:val="000000"/>
                <w:lang w:val="en-GB" w:eastAsia="zh-CN"/>
              </w:rPr>
            </w:pPr>
            <w:r>
              <w:rPr>
                <w:rFonts w:ascii="Times New Roman" w:eastAsia="Times New Roman" w:hAnsi="Times New Roman"/>
                <w:color w:val="000000"/>
                <w:lang w:val="en-GB" w:eastAsia="zh-CN"/>
              </w:rPr>
              <w:t>N</w:t>
            </w:r>
          </w:p>
        </w:tc>
        <w:tc>
          <w:tcPr>
            <w:tcW w:w="574" w:type="pct"/>
            <w:tcBorders>
              <w:top w:val="single" w:sz="4" w:space="0" w:color="auto"/>
              <w:left w:val="nil"/>
              <w:bottom w:val="single" w:sz="4" w:space="0" w:color="auto"/>
              <w:right w:val="nil"/>
            </w:tcBorders>
            <w:shd w:val="clear" w:color="auto" w:fill="auto"/>
            <w:noWrap/>
            <w:vAlign w:val="center"/>
            <w:hideMark/>
          </w:tcPr>
          <w:p w:rsidR="00E7289F" w:rsidRPr="00E7289F" w:rsidRDefault="00E7289F" w:rsidP="00E7289F">
            <w:pPr>
              <w:spacing w:line="240" w:lineRule="auto"/>
              <w:ind w:firstLine="0"/>
              <w:jc w:val="center"/>
              <w:rPr>
                <w:rFonts w:ascii="Times New Roman" w:eastAsia="Times New Roman" w:hAnsi="Times New Roman"/>
                <w:color w:val="000000"/>
                <w:lang w:val="en-GB" w:eastAsia="zh-CN"/>
              </w:rPr>
            </w:pPr>
            <w:r w:rsidRPr="00E7289F">
              <w:rPr>
                <w:rFonts w:ascii="Times New Roman" w:eastAsia="Times New Roman" w:hAnsi="Times New Roman"/>
                <w:color w:val="000000"/>
                <w:lang w:val="en-GB" w:eastAsia="zh-CN"/>
              </w:rPr>
              <w:t>Mean</w:t>
            </w:r>
          </w:p>
        </w:tc>
        <w:tc>
          <w:tcPr>
            <w:tcW w:w="834" w:type="pct"/>
            <w:tcBorders>
              <w:top w:val="single" w:sz="4" w:space="0" w:color="auto"/>
              <w:left w:val="nil"/>
              <w:bottom w:val="single" w:sz="4" w:space="0" w:color="auto"/>
              <w:right w:val="nil"/>
            </w:tcBorders>
            <w:shd w:val="clear" w:color="auto" w:fill="auto"/>
            <w:noWrap/>
            <w:vAlign w:val="center"/>
            <w:hideMark/>
          </w:tcPr>
          <w:p w:rsidR="00E7289F" w:rsidRPr="00E7289F" w:rsidRDefault="00E7289F" w:rsidP="00E7289F">
            <w:pPr>
              <w:spacing w:line="240" w:lineRule="auto"/>
              <w:ind w:firstLine="0"/>
              <w:jc w:val="center"/>
              <w:rPr>
                <w:rFonts w:ascii="Times New Roman" w:eastAsia="Times New Roman" w:hAnsi="Times New Roman"/>
                <w:color w:val="000000"/>
                <w:lang w:val="en-GB" w:eastAsia="zh-CN"/>
              </w:rPr>
            </w:pPr>
            <w:r w:rsidRPr="00E7289F">
              <w:rPr>
                <w:rFonts w:ascii="Times New Roman" w:eastAsia="Times New Roman" w:hAnsi="Times New Roman"/>
                <w:color w:val="000000"/>
                <w:lang w:val="en-GB" w:eastAsia="zh-CN"/>
              </w:rPr>
              <w:t>Std. Dev.</w:t>
            </w:r>
          </w:p>
        </w:tc>
        <w:tc>
          <w:tcPr>
            <w:tcW w:w="629" w:type="pct"/>
            <w:tcBorders>
              <w:top w:val="single" w:sz="4" w:space="0" w:color="auto"/>
              <w:left w:val="nil"/>
              <w:bottom w:val="single" w:sz="4" w:space="0" w:color="auto"/>
              <w:right w:val="nil"/>
            </w:tcBorders>
            <w:shd w:val="clear" w:color="auto" w:fill="auto"/>
            <w:noWrap/>
            <w:vAlign w:val="center"/>
            <w:hideMark/>
          </w:tcPr>
          <w:p w:rsidR="00E7289F" w:rsidRPr="00E7289F" w:rsidRDefault="00E7289F" w:rsidP="00E7289F">
            <w:pPr>
              <w:spacing w:line="240" w:lineRule="auto"/>
              <w:ind w:firstLine="0"/>
              <w:jc w:val="center"/>
              <w:rPr>
                <w:rFonts w:ascii="Times New Roman" w:eastAsia="Times New Roman" w:hAnsi="Times New Roman"/>
                <w:color w:val="000000"/>
                <w:lang w:val="en-GB" w:eastAsia="zh-CN"/>
              </w:rPr>
            </w:pPr>
            <w:r w:rsidRPr="00E7289F">
              <w:rPr>
                <w:rFonts w:ascii="Times New Roman" w:eastAsia="Times New Roman" w:hAnsi="Times New Roman"/>
                <w:color w:val="000000"/>
                <w:lang w:val="en-GB" w:eastAsia="zh-CN"/>
              </w:rPr>
              <w:t>Min</w:t>
            </w:r>
          </w:p>
        </w:tc>
        <w:tc>
          <w:tcPr>
            <w:tcW w:w="658" w:type="pct"/>
            <w:tcBorders>
              <w:top w:val="single" w:sz="4" w:space="0" w:color="auto"/>
              <w:left w:val="nil"/>
              <w:bottom w:val="single" w:sz="4" w:space="0" w:color="auto"/>
              <w:right w:val="nil"/>
            </w:tcBorders>
            <w:shd w:val="clear" w:color="auto" w:fill="auto"/>
            <w:noWrap/>
            <w:vAlign w:val="center"/>
            <w:hideMark/>
          </w:tcPr>
          <w:p w:rsidR="00E7289F" w:rsidRPr="00E7289F" w:rsidRDefault="00E7289F" w:rsidP="00E7289F">
            <w:pPr>
              <w:spacing w:line="240" w:lineRule="auto"/>
              <w:ind w:firstLine="0"/>
              <w:jc w:val="center"/>
              <w:rPr>
                <w:rFonts w:ascii="Times New Roman" w:eastAsia="Times New Roman" w:hAnsi="Times New Roman"/>
                <w:color w:val="000000"/>
                <w:lang w:val="en-GB" w:eastAsia="zh-CN"/>
              </w:rPr>
            </w:pPr>
            <w:r w:rsidRPr="00E7289F">
              <w:rPr>
                <w:rFonts w:ascii="Times New Roman" w:eastAsia="Times New Roman" w:hAnsi="Times New Roman"/>
                <w:color w:val="000000"/>
                <w:lang w:val="en-GB" w:eastAsia="zh-CN"/>
              </w:rPr>
              <w:t>Max</w:t>
            </w:r>
          </w:p>
        </w:tc>
      </w:tr>
      <w:tr w:rsidR="00E7289F" w:rsidRPr="00E7289F" w:rsidTr="00772941">
        <w:trPr>
          <w:trHeight w:val="300"/>
        </w:trPr>
        <w:tc>
          <w:tcPr>
            <w:tcW w:w="1691" w:type="pct"/>
            <w:tcBorders>
              <w:top w:val="single" w:sz="4" w:space="0" w:color="auto"/>
              <w:left w:val="nil"/>
              <w:bottom w:val="nil"/>
              <w:right w:val="nil"/>
            </w:tcBorders>
            <w:shd w:val="clear" w:color="auto" w:fill="auto"/>
            <w:noWrap/>
            <w:vAlign w:val="center"/>
            <w:hideMark/>
          </w:tcPr>
          <w:p w:rsidR="00E7289F" w:rsidRPr="00E7289F" w:rsidRDefault="00772941" w:rsidP="00E7289F">
            <w:pPr>
              <w:spacing w:line="240" w:lineRule="auto"/>
              <w:ind w:firstLine="0"/>
              <w:jc w:val="center"/>
              <w:rPr>
                <w:rFonts w:ascii="Times New Roman" w:eastAsia="Times New Roman" w:hAnsi="Times New Roman"/>
                <w:color w:val="000000"/>
                <w:lang w:val="en-GB" w:eastAsia="zh-CN"/>
              </w:rPr>
            </w:pPr>
            <w:r w:rsidRPr="00772941">
              <w:rPr>
                <w:rFonts w:ascii="Times New Roman" w:eastAsia="Times New Roman" w:hAnsi="Times New Roman"/>
                <w:i/>
                <w:color w:val="000000"/>
                <w:lang w:val="en-GB" w:eastAsia="zh-CN"/>
              </w:rPr>
              <w:t>TFP</w:t>
            </w:r>
            <w:r>
              <w:rPr>
                <w:rFonts w:ascii="Times New Roman" w:eastAsia="Times New Roman" w:hAnsi="Times New Roman"/>
                <w:i/>
                <w:color w:val="000000"/>
                <w:lang w:val="en-GB" w:eastAsia="zh-CN"/>
              </w:rPr>
              <w:t>-</w:t>
            </w:r>
            <w:r>
              <w:rPr>
                <w:rFonts w:ascii="Times New Roman" w:eastAsia="Times New Roman" w:hAnsi="Times New Roman"/>
                <w:color w:val="000000"/>
                <w:lang w:val="en-GB" w:eastAsia="zh-CN"/>
              </w:rPr>
              <w:t>Olley and Pakes</w:t>
            </w:r>
          </w:p>
        </w:tc>
        <w:tc>
          <w:tcPr>
            <w:tcW w:w="614" w:type="pct"/>
            <w:tcBorders>
              <w:top w:val="single" w:sz="4" w:space="0" w:color="auto"/>
              <w:left w:val="nil"/>
              <w:bottom w:val="nil"/>
              <w:right w:val="nil"/>
            </w:tcBorders>
            <w:shd w:val="clear" w:color="auto" w:fill="auto"/>
            <w:noWrap/>
            <w:vAlign w:val="center"/>
            <w:hideMark/>
          </w:tcPr>
          <w:p w:rsidR="00E7289F" w:rsidRPr="00E7289F" w:rsidRDefault="00E7289F" w:rsidP="00E7289F">
            <w:pPr>
              <w:spacing w:line="240" w:lineRule="auto"/>
              <w:ind w:firstLine="0"/>
              <w:jc w:val="center"/>
              <w:rPr>
                <w:rFonts w:ascii="Times New Roman" w:eastAsia="Times New Roman" w:hAnsi="Times New Roman"/>
                <w:color w:val="000000"/>
                <w:lang w:val="en-GB" w:eastAsia="zh-CN"/>
              </w:rPr>
            </w:pPr>
            <w:r w:rsidRPr="00E7289F">
              <w:rPr>
                <w:rFonts w:ascii="Times New Roman" w:eastAsia="Times New Roman" w:hAnsi="Times New Roman"/>
                <w:color w:val="000000"/>
                <w:lang w:val="en-GB" w:eastAsia="zh-CN"/>
              </w:rPr>
              <w:t>52471</w:t>
            </w:r>
          </w:p>
        </w:tc>
        <w:tc>
          <w:tcPr>
            <w:tcW w:w="574" w:type="pct"/>
            <w:tcBorders>
              <w:top w:val="single" w:sz="4" w:space="0" w:color="auto"/>
              <w:left w:val="nil"/>
              <w:bottom w:val="nil"/>
              <w:right w:val="nil"/>
            </w:tcBorders>
            <w:shd w:val="clear" w:color="auto" w:fill="auto"/>
            <w:noWrap/>
            <w:vAlign w:val="center"/>
            <w:hideMark/>
          </w:tcPr>
          <w:p w:rsidR="00E7289F" w:rsidRPr="00E7289F" w:rsidRDefault="00E7289F" w:rsidP="00E7289F">
            <w:pPr>
              <w:spacing w:line="240" w:lineRule="auto"/>
              <w:ind w:firstLine="0"/>
              <w:jc w:val="center"/>
              <w:rPr>
                <w:rFonts w:ascii="Times New Roman" w:eastAsia="Times New Roman" w:hAnsi="Times New Roman"/>
                <w:color w:val="000000"/>
                <w:lang w:val="en-GB" w:eastAsia="zh-CN"/>
              </w:rPr>
            </w:pPr>
            <w:r w:rsidRPr="00E7289F">
              <w:rPr>
                <w:rFonts w:ascii="Times New Roman" w:eastAsia="Times New Roman" w:hAnsi="Times New Roman"/>
                <w:color w:val="000000"/>
                <w:lang w:val="en-GB" w:eastAsia="zh-CN"/>
              </w:rPr>
              <w:t>5.448</w:t>
            </w:r>
          </w:p>
        </w:tc>
        <w:tc>
          <w:tcPr>
            <w:tcW w:w="834" w:type="pct"/>
            <w:tcBorders>
              <w:top w:val="single" w:sz="4" w:space="0" w:color="auto"/>
              <w:left w:val="nil"/>
              <w:bottom w:val="nil"/>
              <w:right w:val="nil"/>
            </w:tcBorders>
            <w:shd w:val="clear" w:color="auto" w:fill="auto"/>
            <w:noWrap/>
            <w:vAlign w:val="center"/>
            <w:hideMark/>
          </w:tcPr>
          <w:p w:rsidR="00E7289F" w:rsidRPr="00E7289F" w:rsidRDefault="00E7289F" w:rsidP="00E7289F">
            <w:pPr>
              <w:spacing w:line="240" w:lineRule="auto"/>
              <w:ind w:firstLine="0"/>
              <w:jc w:val="center"/>
              <w:rPr>
                <w:rFonts w:ascii="Times New Roman" w:eastAsia="Times New Roman" w:hAnsi="Times New Roman"/>
                <w:color w:val="000000"/>
                <w:lang w:val="en-GB" w:eastAsia="zh-CN"/>
              </w:rPr>
            </w:pPr>
            <w:r w:rsidRPr="00E7289F">
              <w:rPr>
                <w:rFonts w:ascii="Times New Roman" w:eastAsia="Times New Roman" w:hAnsi="Times New Roman"/>
                <w:color w:val="000000"/>
                <w:lang w:val="en-GB" w:eastAsia="zh-CN"/>
              </w:rPr>
              <w:t>0.924</w:t>
            </w:r>
          </w:p>
        </w:tc>
        <w:tc>
          <w:tcPr>
            <w:tcW w:w="629" w:type="pct"/>
            <w:tcBorders>
              <w:top w:val="single" w:sz="4" w:space="0" w:color="auto"/>
              <w:left w:val="nil"/>
              <w:bottom w:val="nil"/>
              <w:right w:val="nil"/>
            </w:tcBorders>
            <w:shd w:val="clear" w:color="auto" w:fill="auto"/>
            <w:noWrap/>
            <w:vAlign w:val="center"/>
            <w:hideMark/>
          </w:tcPr>
          <w:p w:rsidR="00E7289F" w:rsidRPr="00E7289F" w:rsidRDefault="00E7289F" w:rsidP="00E7289F">
            <w:pPr>
              <w:spacing w:line="240" w:lineRule="auto"/>
              <w:ind w:firstLine="0"/>
              <w:jc w:val="center"/>
              <w:rPr>
                <w:rFonts w:ascii="Times New Roman" w:eastAsia="Times New Roman" w:hAnsi="Times New Roman"/>
                <w:color w:val="000000"/>
                <w:lang w:val="en-GB" w:eastAsia="zh-CN"/>
              </w:rPr>
            </w:pPr>
            <w:r w:rsidRPr="00E7289F">
              <w:rPr>
                <w:rFonts w:ascii="Times New Roman" w:eastAsia="Times New Roman" w:hAnsi="Times New Roman"/>
                <w:color w:val="000000"/>
                <w:lang w:val="en-GB" w:eastAsia="zh-CN"/>
              </w:rPr>
              <w:t>0.104</w:t>
            </w:r>
          </w:p>
        </w:tc>
        <w:tc>
          <w:tcPr>
            <w:tcW w:w="658" w:type="pct"/>
            <w:tcBorders>
              <w:top w:val="single" w:sz="4" w:space="0" w:color="auto"/>
              <w:left w:val="nil"/>
              <w:bottom w:val="nil"/>
              <w:right w:val="nil"/>
            </w:tcBorders>
            <w:shd w:val="clear" w:color="auto" w:fill="auto"/>
            <w:noWrap/>
            <w:vAlign w:val="center"/>
            <w:hideMark/>
          </w:tcPr>
          <w:p w:rsidR="00E7289F" w:rsidRPr="00E7289F" w:rsidRDefault="00E7289F" w:rsidP="00E7289F">
            <w:pPr>
              <w:spacing w:line="240" w:lineRule="auto"/>
              <w:ind w:firstLine="0"/>
              <w:jc w:val="center"/>
              <w:rPr>
                <w:rFonts w:ascii="Times New Roman" w:eastAsia="Times New Roman" w:hAnsi="Times New Roman"/>
                <w:color w:val="000000"/>
                <w:lang w:val="en-GB" w:eastAsia="zh-CN"/>
              </w:rPr>
            </w:pPr>
            <w:r w:rsidRPr="00E7289F">
              <w:rPr>
                <w:rFonts w:ascii="Times New Roman" w:eastAsia="Times New Roman" w:hAnsi="Times New Roman"/>
                <w:color w:val="000000"/>
                <w:lang w:val="en-GB" w:eastAsia="zh-CN"/>
              </w:rPr>
              <w:t>10.936</w:t>
            </w:r>
          </w:p>
        </w:tc>
      </w:tr>
      <w:tr w:rsidR="00772941" w:rsidRPr="00E7289F" w:rsidTr="00772941">
        <w:trPr>
          <w:trHeight w:val="300"/>
        </w:trPr>
        <w:tc>
          <w:tcPr>
            <w:tcW w:w="1691" w:type="pct"/>
            <w:tcBorders>
              <w:left w:val="nil"/>
              <w:bottom w:val="nil"/>
              <w:right w:val="nil"/>
            </w:tcBorders>
            <w:shd w:val="clear" w:color="auto" w:fill="auto"/>
            <w:noWrap/>
            <w:vAlign w:val="center"/>
          </w:tcPr>
          <w:p w:rsidR="00772941" w:rsidRPr="00772941" w:rsidRDefault="00772941" w:rsidP="00E7289F">
            <w:pPr>
              <w:spacing w:line="240" w:lineRule="auto"/>
              <w:ind w:firstLine="0"/>
              <w:jc w:val="center"/>
              <w:rPr>
                <w:rFonts w:ascii="Times New Roman" w:eastAsia="Times New Roman" w:hAnsi="Times New Roman"/>
                <w:i/>
                <w:color w:val="000000"/>
                <w:lang w:val="en-GB" w:eastAsia="zh-CN"/>
              </w:rPr>
            </w:pPr>
            <w:r>
              <w:rPr>
                <w:rFonts w:ascii="Times New Roman" w:eastAsia="Times New Roman" w:hAnsi="Times New Roman"/>
                <w:i/>
                <w:color w:val="000000"/>
                <w:lang w:val="en-GB" w:eastAsia="zh-CN"/>
              </w:rPr>
              <w:t>TFP-</w:t>
            </w:r>
            <w:r w:rsidRPr="00772941">
              <w:rPr>
                <w:rFonts w:ascii="Times New Roman" w:eastAsia="Times New Roman" w:hAnsi="Times New Roman"/>
                <w:color w:val="000000"/>
                <w:lang w:val="en-GB" w:eastAsia="zh-CN"/>
              </w:rPr>
              <w:t>Levinsohn and Petrin</w:t>
            </w:r>
          </w:p>
        </w:tc>
        <w:tc>
          <w:tcPr>
            <w:tcW w:w="614" w:type="pct"/>
            <w:tcBorders>
              <w:left w:val="nil"/>
              <w:bottom w:val="nil"/>
              <w:right w:val="nil"/>
            </w:tcBorders>
            <w:shd w:val="clear" w:color="auto" w:fill="auto"/>
            <w:noWrap/>
            <w:vAlign w:val="center"/>
          </w:tcPr>
          <w:p w:rsidR="00772941" w:rsidRPr="00E7289F" w:rsidRDefault="00772941" w:rsidP="00E7289F">
            <w:pPr>
              <w:spacing w:line="240" w:lineRule="auto"/>
              <w:ind w:firstLine="0"/>
              <w:jc w:val="center"/>
              <w:rPr>
                <w:rFonts w:ascii="Times New Roman" w:eastAsia="Times New Roman" w:hAnsi="Times New Roman"/>
                <w:color w:val="000000"/>
                <w:lang w:val="en-GB" w:eastAsia="zh-CN"/>
              </w:rPr>
            </w:pPr>
            <w:r>
              <w:rPr>
                <w:rFonts w:ascii="Times New Roman" w:eastAsia="Times New Roman" w:hAnsi="Times New Roman"/>
                <w:color w:val="000000"/>
                <w:lang w:val="en-GB" w:eastAsia="zh-CN"/>
              </w:rPr>
              <w:t>47416</w:t>
            </w:r>
          </w:p>
        </w:tc>
        <w:tc>
          <w:tcPr>
            <w:tcW w:w="574" w:type="pct"/>
            <w:tcBorders>
              <w:left w:val="nil"/>
              <w:bottom w:val="nil"/>
              <w:right w:val="nil"/>
            </w:tcBorders>
            <w:shd w:val="clear" w:color="auto" w:fill="auto"/>
            <w:noWrap/>
            <w:vAlign w:val="center"/>
          </w:tcPr>
          <w:p w:rsidR="00772941" w:rsidRPr="00E7289F" w:rsidRDefault="00772941" w:rsidP="00E7289F">
            <w:pPr>
              <w:spacing w:line="240" w:lineRule="auto"/>
              <w:ind w:firstLine="0"/>
              <w:jc w:val="center"/>
              <w:rPr>
                <w:rFonts w:ascii="Times New Roman" w:eastAsia="Times New Roman" w:hAnsi="Times New Roman"/>
                <w:color w:val="000000"/>
                <w:lang w:val="en-GB" w:eastAsia="zh-CN"/>
              </w:rPr>
            </w:pPr>
            <w:r>
              <w:rPr>
                <w:rFonts w:ascii="Times New Roman" w:eastAsia="Times New Roman" w:hAnsi="Times New Roman"/>
                <w:color w:val="000000"/>
                <w:lang w:val="en-GB" w:eastAsia="zh-CN"/>
              </w:rPr>
              <w:t>1.63</w:t>
            </w:r>
          </w:p>
        </w:tc>
        <w:tc>
          <w:tcPr>
            <w:tcW w:w="834" w:type="pct"/>
            <w:tcBorders>
              <w:left w:val="nil"/>
              <w:bottom w:val="nil"/>
              <w:right w:val="nil"/>
            </w:tcBorders>
            <w:shd w:val="clear" w:color="auto" w:fill="auto"/>
            <w:noWrap/>
            <w:vAlign w:val="center"/>
          </w:tcPr>
          <w:p w:rsidR="00772941" w:rsidRPr="00E7289F" w:rsidRDefault="00772941" w:rsidP="00E7289F">
            <w:pPr>
              <w:spacing w:line="240" w:lineRule="auto"/>
              <w:ind w:firstLine="0"/>
              <w:jc w:val="center"/>
              <w:rPr>
                <w:rFonts w:ascii="Times New Roman" w:eastAsia="Times New Roman" w:hAnsi="Times New Roman"/>
                <w:color w:val="000000"/>
                <w:lang w:val="en-GB" w:eastAsia="zh-CN"/>
              </w:rPr>
            </w:pPr>
            <w:r>
              <w:rPr>
                <w:rFonts w:ascii="Times New Roman" w:eastAsia="Times New Roman" w:hAnsi="Times New Roman"/>
                <w:color w:val="000000"/>
                <w:lang w:val="en-GB" w:eastAsia="zh-CN"/>
              </w:rPr>
              <w:t>0.189</w:t>
            </w:r>
          </w:p>
        </w:tc>
        <w:tc>
          <w:tcPr>
            <w:tcW w:w="629" w:type="pct"/>
            <w:tcBorders>
              <w:left w:val="nil"/>
              <w:bottom w:val="nil"/>
              <w:right w:val="nil"/>
            </w:tcBorders>
            <w:shd w:val="clear" w:color="auto" w:fill="auto"/>
            <w:noWrap/>
            <w:vAlign w:val="center"/>
          </w:tcPr>
          <w:p w:rsidR="00772941" w:rsidRPr="00E7289F" w:rsidRDefault="00772941" w:rsidP="00E7289F">
            <w:pPr>
              <w:spacing w:line="240" w:lineRule="auto"/>
              <w:ind w:firstLine="0"/>
              <w:jc w:val="center"/>
              <w:rPr>
                <w:rFonts w:ascii="Times New Roman" w:eastAsia="Times New Roman" w:hAnsi="Times New Roman"/>
                <w:color w:val="000000"/>
                <w:lang w:val="en-GB" w:eastAsia="zh-CN"/>
              </w:rPr>
            </w:pPr>
            <w:r w:rsidRPr="00772941">
              <w:rPr>
                <w:rFonts w:ascii="Times New Roman" w:eastAsia="Times New Roman" w:hAnsi="Times New Roman"/>
                <w:color w:val="000000"/>
                <w:lang w:val="en-GB" w:eastAsia="zh-CN"/>
              </w:rPr>
              <w:t>-7.013</w:t>
            </w:r>
          </w:p>
        </w:tc>
        <w:tc>
          <w:tcPr>
            <w:tcW w:w="658" w:type="pct"/>
            <w:tcBorders>
              <w:left w:val="nil"/>
              <w:bottom w:val="nil"/>
              <w:right w:val="nil"/>
            </w:tcBorders>
            <w:shd w:val="clear" w:color="auto" w:fill="auto"/>
            <w:noWrap/>
            <w:vAlign w:val="center"/>
          </w:tcPr>
          <w:p w:rsidR="00772941" w:rsidRPr="00E7289F" w:rsidRDefault="00772941" w:rsidP="00E7289F">
            <w:pPr>
              <w:spacing w:line="240" w:lineRule="auto"/>
              <w:ind w:firstLine="0"/>
              <w:jc w:val="center"/>
              <w:rPr>
                <w:rFonts w:ascii="Times New Roman" w:eastAsia="Times New Roman" w:hAnsi="Times New Roman"/>
                <w:color w:val="000000"/>
                <w:lang w:val="en-GB" w:eastAsia="zh-CN"/>
              </w:rPr>
            </w:pPr>
            <w:r>
              <w:rPr>
                <w:rFonts w:ascii="Times New Roman" w:eastAsia="Times New Roman" w:hAnsi="Times New Roman"/>
                <w:color w:val="000000"/>
                <w:lang w:val="en-GB" w:eastAsia="zh-CN"/>
              </w:rPr>
              <w:t>6.427</w:t>
            </w:r>
          </w:p>
        </w:tc>
      </w:tr>
      <w:tr w:rsidR="00E7289F" w:rsidRPr="00E7289F" w:rsidTr="00772941">
        <w:trPr>
          <w:trHeight w:val="300"/>
        </w:trPr>
        <w:tc>
          <w:tcPr>
            <w:tcW w:w="1691" w:type="pct"/>
            <w:tcBorders>
              <w:top w:val="nil"/>
              <w:left w:val="nil"/>
              <w:bottom w:val="nil"/>
              <w:right w:val="nil"/>
            </w:tcBorders>
            <w:shd w:val="clear" w:color="auto" w:fill="auto"/>
            <w:noWrap/>
            <w:vAlign w:val="center"/>
            <w:hideMark/>
          </w:tcPr>
          <w:p w:rsidR="00E7289F" w:rsidRPr="00E7289F" w:rsidRDefault="00772941" w:rsidP="00E7289F">
            <w:pPr>
              <w:spacing w:line="240" w:lineRule="auto"/>
              <w:ind w:firstLine="0"/>
              <w:jc w:val="center"/>
              <w:rPr>
                <w:rFonts w:ascii="Times New Roman" w:eastAsia="Times New Roman" w:hAnsi="Times New Roman"/>
                <w:i/>
                <w:color w:val="000000"/>
                <w:lang w:val="en-GB" w:eastAsia="zh-CN"/>
              </w:rPr>
            </w:pPr>
            <w:r w:rsidRPr="00772941">
              <w:rPr>
                <w:rFonts w:ascii="Times New Roman" w:eastAsia="Times New Roman" w:hAnsi="Times New Roman"/>
                <w:i/>
                <w:color w:val="000000"/>
                <w:lang w:val="en-GB" w:eastAsia="zh-CN"/>
              </w:rPr>
              <w:t>GAP</w:t>
            </w:r>
          </w:p>
        </w:tc>
        <w:tc>
          <w:tcPr>
            <w:tcW w:w="614" w:type="pct"/>
            <w:tcBorders>
              <w:top w:val="nil"/>
              <w:left w:val="nil"/>
              <w:bottom w:val="nil"/>
              <w:right w:val="nil"/>
            </w:tcBorders>
            <w:shd w:val="clear" w:color="auto" w:fill="auto"/>
            <w:noWrap/>
            <w:vAlign w:val="center"/>
            <w:hideMark/>
          </w:tcPr>
          <w:p w:rsidR="00E7289F" w:rsidRPr="00E7289F" w:rsidRDefault="00E7289F" w:rsidP="00E7289F">
            <w:pPr>
              <w:spacing w:line="240" w:lineRule="auto"/>
              <w:ind w:firstLine="0"/>
              <w:jc w:val="center"/>
              <w:rPr>
                <w:rFonts w:ascii="Times New Roman" w:eastAsia="Times New Roman" w:hAnsi="Times New Roman"/>
                <w:color w:val="000000"/>
                <w:lang w:val="en-GB" w:eastAsia="zh-CN"/>
              </w:rPr>
            </w:pPr>
            <w:r w:rsidRPr="00E7289F">
              <w:rPr>
                <w:rFonts w:ascii="Times New Roman" w:eastAsia="Times New Roman" w:hAnsi="Times New Roman"/>
                <w:color w:val="000000"/>
                <w:lang w:val="en-GB" w:eastAsia="zh-CN"/>
              </w:rPr>
              <w:t>52471</w:t>
            </w:r>
          </w:p>
        </w:tc>
        <w:tc>
          <w:tcPr>
            <w:tcW w:w="574" w:type="pct"/>
            <w:tcBorders>
              <w:top w:val="nil"/>
              <w:left w:val="nil"/>
              <w:bottom w:val="nil"/>
              <w:right w:val="nil"/>
            </w:tcBorders>
            <w:shd w:val="clear" w:color="auto" w:fill="auto"/>
            <w:noWrap/>
            <w:vAlign w:val="center"/>
            <w:hideMark/>
          </w:tcPr>
          <w:p w:rsidR="00E7289F" w:rsidRPr="00E7289F" w:rsidRDefault="00E7289F" w:rsidP="00E7289F">
            <w:pPr>
              <w:spacing w:line="240" w:lineRule="auto"/>
              <w:ind w:firstLine="0"/>
              <w:jc w:val="center"/>
              <w:rPr>
                <w:rFonts w:ascii="Times New Roman" w:eastAsia="Times New Roman" w:hAnsi="Times New Roman"/>
                <w:color w:val="000000"/>
                <w:lang w:val="en-GB" w:eastAsia="zh-CN"/>
              </w:rPr>
            </w:pPr>
            <w:r w:rsidRPr="00E7289F">
              <w:rPr>
                <w:rFonts w:ascii="Times New Roman" w:eastAsia="Times New Roman" w:hAnsi="Times New Roman"/>
                <w:color w:val="000000"/>
                <w:lang w:val="en-GB" w:eastAsia="zh-CN"/>
              </w:rPr>
              <w:t>0.686</w:t>
            </w:r>
          </w:p>
        </w:tc>
        <w:tc>
          <w:tcPr>
            <w:tcW w:w="834" w:type="pct"/>
            <w:tcBorders>
              <w:top w:val="nil"/>
              <w:left w:val="nil"/>
              <w:bottom w:val="nil"/>
              <w:right w:val="nil"/>
            </w:tcBorders>
            <w:shd w:val="clear" w:color="auto" w:fill="auto"/>
            <w:noWrap/>
            <w:vAlign w:val="center"/>
            <w:hideMark/>
          </w:tcPr>
          <w:p w:rsidR="00E7289F" w:rsidRPr="00E7289F" w:rsidRDefault="00E7289F" w:rsidP="00E7289F">
            <w:pPr>
              <w:spacing w:line="240" w:lineRule="auto"/>
              <w:ind w:firstLine="0"/>
              <w:jc w:val="center"/>
              <w:rPr>
                <w:rFonts w:ascii="Times New Roman" w:eastAsia="Times New Roman" w:hAnsi="Times New Roman"/>
                <w:color w:val="000000"/>
                <w:lang w:val="en-GB" w:eastAsia="zh-CN"/>
              </w:rPr>
            </w:pPr>
            <w:r w:rsidRPr="00E7289F">
              <w:rPr>
                <w:rFonts w:ascii="Times New Roman" w:eastAsia="Times New Roman" w:hAnsi="Times New Roman"/>
                <w:color w:val="000000"/>
                <w:lang w:val="en-GB" w:eastAsia="zh-CN"/>
              </w:rPr>
              <w:t>0.137</w:t>
            </w:r>
          </w:p>
        </w:tc>
        <w:tc>
          <w:tcPr>
            <w:tcW w:w="629" w:type="pct"/>
            <w:tcBorders>
              <w:top w:val="nil"/>
              <w:left w:val="nil"/>
              <w:bottom w:val="nil"/>
              <w:right w:val="nil"/>
            </w:tcBorders>
            <w:shd w:val="clear" w:color="auto" w:fill="auto"/>
            <w:noWrap/>
            <w:vAlign w:val="center"/>
            <w:hideMark/>
          </w:tcPr>
          <w:p w:rsidR="00E7289F" w:rsidRPr="00E7289F" w:rsidRDefault="00E7289F" w:rsidP="00E7289F">
            <w:pPr>
              <w:spacing w:line="240" w:lineRule="auto"/>
              <w:ind w:firstLine="0"/>
              <w:jc w:val="center"/>
              <w:rPr>
                <w:rFonts w:ascii="Times New Roman" w:eastAsia="Times New Roman" w:hAnsi="Times New Roman"/>
                <w:color w:val="000000"/>
                <w:lang w:val="en-GB" w:eastAsia="zh-CN"/>
              </w:rPr>
            </w:pPr>
            <w:r w:rsidRPr="00E7289F">
              <w:rPr>
                <w:rFonts w:ascii="Times New Roman" w:eastAsia="Times New Roman" w:hAnsi="Times New Roman"/>
                <w:color w:val="000000"/>
                <w:lang w:val="en-GB" w:eastAsia="zh-CN"/>
              </w:rPr>
              <w:t>0.010</w:t>
            </w:r>
          </w:p>
        </w:tc>
        <w:tc>
          <w:tcPr>
            <w:tcW w:w="658" w:type="pct"/>
            <w:tcBorders>
              <w:top w:val="nil"/>
              <w:left w:val="nil"/>
              <w:bottom w:val="nil"/>
              <w:right w:val="nil"/>
            </w:tcBorders>
            <w:shd w:val="clear" w:color="auto" w:fill="auto"/>
            <w:noWrap/>
            <w:vAlign w:val="center"/>
            <w:hideMark/>
          </w:tcPr>
          <w:p w:rsidR="00E7289F" w:rsidRPr="00E7289F" w:rsidRDefault="00E7289F" w:rsidP="00E7289F">
            <w:pPr>
              <w:spacing w:line="240" w:lineRule="auto"/>
              <w:ind w:firstLine="0"/>
              <w:jc w:val="center"/>
              <w:rPr>
                <w:rFonts w:ascii="Times New Roman" w:eastAsia="Times New Roman" w:hAnsi="Times New Roman"/>
                <w:color w:val="000000"/>
                <w:lang w:val="en-GB" w:eastAsia="zh-CN"/>
              </w:rPr>
            </w:pPr>
            <w:r w:rsidRPr="00E7289F">
              <w:rPr>
                <w:rFonts w:ascii="Times New Roman" w:eastAsia="Times New Roman" w:hAnsi="Times New Roman"/>
                <w:color w:val="000000"/>
                <w:lang w:val="en-GB" w:eastAsia="zh-CN"/>
              </w:rPr>
              <w:t>1.000</w:t>
            </w:r>
          </w:p>
        </w:tc>
      </w:tr>
      <w:tr w:rsidR="00E7289F" w:rsidRPr="00E7289F" w:rsidTr="00772941">
        <w:trPr>
          <w:trHeight w:val="300"/>
        </w:trPr>
        <w:tc>
          <w:tcPr>
            <w:tcW w:w="1691" w:type="pct"/>
            <w:tcBorders>
              <w:top w:val="nil"/>
              <w:left w:val="nil"/>
              <w:bottom w:val="nil"/>
              <w:right w:val="nil"/>
            </w:tcBorders>
            <w:shd w:val="clear" w:color="auto" w:fill="auto"/>
            <w:noWrap/>
            <w:vAlign w:val="center"/>
            <w:hideMark/>
          </w:tcPr>
          <w:p w:rsidR="00E7289F" w:rsidRPr="00E7289F" w:rsidRDefault="00772941" w:rsidP="00E7289F">
            <w:pPr>
              <w:spacing w:line="240" w:lineRule="auto"/>
              <w:ind w:firstLine="0"/>
              <w:jc w:val="center"/>
              <w:rPr>
                <w:rFonts w:ascii="Times New Roman" w:eastAsia="Times New Roman" w:hAnsi="Times New Roman"/>
                <w:i/>
                <w:color w:val="000000"/>
                <w:lang w:val="en-GB" w:eastAsia="zh-CN"/>
              </w:rPr>
            </w:pPr>
            <w:r w:rsidRPr="00772941">
              <w:rPr>
                <w:rFonts w:ascii="Times New Roman" w:eastAsia="Times New Roman" w:hAnsi="Times New Roman"/>
                <w:i/>
                <w:color w:val="000000"/>
                <w:lang w:val="en-GB" w:eastAsia="zh-CN"/>
              </w:rPr>
              <w:t>Tax</w:t>
            </w:r>
          </w:p>
        </w:tc>
        <w:tc>
          <w:tcPr>
            <w:tcW w:w="614" w:type="pct"/>
            <w:tcBorders>
              <w:top w:val="nil"/>
              <w:left w:val="nil"/>
              <w:bottom w:val="nil"/>
              <w:right w:val="nil"/>
            </w:tcBorders>
            <w:shd w:val="clear" w:color="auto" w:fill="auto"/>
            <w:noWrap/>
            <w:vAlign w:val="center"/>
            <w:hideMark/>
          </w:tcPr>
          <w:p w:rsidR="00E7289F" w:rsidRPr="00E7289F" w:rsidRDefault="00E7289F" w:rsidP="00E7289F">
            <w:pPr>
              <w:spacing w:line="240" w:lineRule="auto"/>
              <w:ind w:firstLine="0"/>
              <w:jc w:val="center"/>
              <w:rPr>
                <w:rFonts w:ascii="Times New Roman" w:eastAsia="Times New Roman" w:hAnsi="Times New Roman"/>
                <w:color w:val="000000"/>
                <w:lang w:val="en-GB" w:eastAsia="zh-CN"/>
              </w:rPr>
            </w:pPr>
            <w:r w:rsidRPr="00E7289F">
              <w:rPr>
                <w:rFonts w:ascii="Times New Roman" w:eastAsia="Times New Roman" w:hAnsi="Times New Roman"/>
                <w:color w:val="000000"/>
                <w:lang w:val="en-GB" w:eastAsia="zh-CN"/>
              </w:rPr>
              <w:t>65106</w:t>
            </w:r>
          </w:p>
        </w:tc>
        <w:tc>
          <w:tcPr>
            <w:tcW w:w="574" w:type="pct"/>
            <w:tcBorders>
              <w:top w:val="nil"/>
              <w:left w:val="nil"/>
              <w:bottom w:val="nil"/>
              <w:right w:val="nil"/>
            </w:tcBorders>
            <w:shd w:val="clear" w:color="auto" w:fill="auto"/>
            <w:noWrap/>
            <w:vAlign w:val="center"/>
            <w:hideMark/>
          </w:tcPr>
          <w:p w:rsidR="00E7289F" w:rsidRPr="00E7289F" w:rsidRDefault="00E7289F" w:rsidP="00E7289F">
            <w:pPr>
              <w:spacing w:line="240" w:lineRule="auto"/>
              <w:ind w:firstLine="0"/>
              <w:jc w:val="center"/>
              <w:rPr>
                <w:rFonts w:ascii="Times New Roman" w:eastAsia="Times New Roman" w:hAnsi="Times New Roman"/>
                <w:color w:val="000000"/>
                <w:lang w:val="en-GB" w:eastAsia="zh-CN"/>
              </w:rPr>
            </w:pPr>
            <w:r w:rsidRPr="00E7289F">
              <w:rPr>
                <w:rFonts w:ascii="Times New Roman" w:eastAsia="Times New Roman" w:hAnsi="Times New Roman"/>
                <w:color w:val="000000"/>
                <w:lang w:val="en-GB" w:eastAsia="zh-CN"/>
              </w:rPr>
              <w:t>0.162</w:t>
            </w:r>
          </w:p>
        </w:tc>
        <w:tc>
          <w:tcPr>
            <w:tcW w:w="834" w:type="pct"/>
            <w:tcBorders>
              <w:top w:val="nil"/>
              <w:left w:val="nil"/>
              <w:bottom w:val="nil"/>
              <w:right w:val="nil"/>
            </w:tcBorders>
            <w:shd w:val="clear" w:color="auto" w:fill="auto"/>
            <w:noWrap/>
            <w:vAlign w:val="center"/>
            <w:hideMark/>
          </w:tcPr>
          <w:p w:rsidR="00E7289F" w:rsidRPr="00E7289F" w:rsidRDefault="00E7289F" w:rsidP="00E7289F">
            <w:pPr>
              <w:spacing w:line="240" w:lineRule="auto"/>
              <w:ind w:firstLine="0"/>
              <w:jc w:val="center"/>
              <w:rPr>
                <w:rFonts w:ascii="Times New Roman" w:eastAsia="Times New Roman" w:hAnsi="Times New Roman"/>
                <w:color w:val="000000"/>
                <w:lang w:val="en-GB" w:eastAsia="zh-CN"/>
              </w:rPr>
            </w:pPr>
            <w:r w:rsidRPr="00E7289F">
              <w:rPr>
                <w:rFonts w:ascii="Times New Roman" w:eastAsia="Times New Roman" w:hAnsi="Times New Roman"/>
                <w:color w:val="000000"/>
                <w:lang w:val="en-GB" w:eastAsia="zh-CN"/>
              </w:rPr>
              <w:t>0.081</w:t>
            </w:r>
          </w:p>
        </w:tc>
        <w:tc>
          <w:tcPr>
            <w:tcW w:w="629" w:type="pct"/>
            <w:tcBorders>
              <w:top w:val="nil"/>
              <w:left w:val="nil"/>
              <w:bottom w:val="nil"/>
              <w:right w:val="nil"/>
            </w:tcBorders>
            <w:shd w:val="clear" w:color="auto" w:fill="auto"/>
            <w:noWrap/>
            <w:vAlign w:val="center"/>
            <w:hideMark/>
          </w:tcPr>
          <w:p w:rsidR="00E7289F" w:rsidRPr="00E7289F" w:rsidRDefault="00E7289F" w:rsidP="00E7289F">
            <w:pPr>
              <w:spacing w:line="240" w:lineRule="auto"/>
              <w:ind w:firstLine="0"/>
              <w:jc w:val="center"/>
              <w:rPr>
                <w:rFonts w:ascii="Times New Roman" w:eastAsia="Times New Roman" w:hAnsi="Times New Roman"/>
                <w:color w:val="000000"/>
                <w:lang w:val="en-GB" w:eastAsia="zh-CN"/>
              </w:rPr>
            </w:pPr>
            <w:r w:rsidRPr="00E7289F">
              <w:rPr>
                <w:rFonts w:ascii="Times New Roman" w:eastAsia="Times New Roman" w:hAnsi="Times New Roman"/>
                <w:color w:val="000000"/>
                <w:lang w:val="en-GB" w:eastAsia="zh-CN"/>
              </w:rPr>
              <w:t>0.000</w:t>
            </w:r>
          </w:p>
        </w:tc>
        <w:tc>
          <w:tcPr>
            <w:tcW w:w="658" w:type="pct"/>
            <w:tcBorders>
              <w:top w:val="nil"/>
              <w:left w:val="nil"/>
              <w:bottom w:val="nil"/>
              <w:right w:val="nil"/>
            </w:tcBorders>
            <w:shd w:val="clear" w:color="auto" w:fill="auto"/>
            <w:noWrap/>
            <w:vAlign w:val="center"/>
            <w:hideMark/>
          </w:tcPr>
          <w:p w:rsidR="00E7289F" w:rsidRPr="00E7289F" w:rsidRDefault="00E7289F" w:rsidP="00E7289F">
            <w:pPr>
              <w:spacing w:line="240" w:lineRule="auto"/>
              <w:ind w:firstLine="0"/>
              <w:jc w:val="center"/>
              <w:rPr>
                <w:rFonts w:ascii="Times New Roman" w:eastAsia="Times New Roman" w:hAnsi="Times New Roman"/>
                <w:color w:val="000000"/>
                <w:lang w:val="en-GB" w:eastAsia="zh-CN"/>
              </w:rPr>
            </w:pPr>
            <w:r w:rsidRPr="00E7289F">
              <w:rPr>
                <w:rFonts w:ascii="Times New Roman" w:eastAsia="Times New Roman" w:hAnsi="Times New Roman"/>
                <w:color w:val="000000"/>
                <w:lang w:val="en-GB" w:eastAsia="zh-CN"/>
              </w:rPr>
              <w:t>0.210</w:t>
            </w:r>
          </w:p>
        </w:tc>
      </w:tr>
      <w:tr w:rsidR="00E7289F" w:rsidRPr="00E7289F" w:rsidTr="00772941">
        <w:trPr>
          <w:trHeight w:val="300"/>
        </w:trPr>
        <w:tc>
          <w:tcPr>
            <w:tcW w:w="1691" w:type="pct"/>
            <w:tcBorders>
              <w:top w:val="nil"/>
              <w:left w:val="nil"/>
              <w:bottom w:val="nil"/>
              <w:right w:val="nil"/>
            </w:tcBorders>
            <w:shd w:val="clear" w:color="auto" w:fill="auto"/>
            <w:noWrap/>
            <w:vAlign w:val="center"/>
            <w:hideMark/>
          </w:tcPr>
          <w:p w:rsidR="00E7289F" w:rsidRPr="00E7289F" w:rsidRDefault="00772941" w:rsidP="00E7289F">
            <w:pPr>
              <w:spacing w:line="240" w:lineRule="auto"/>
              <w:ind w:firstLine="0"/>
              <w:jc w:val="center"/>
              <w:rPr>
                <w:rFonts w:ascii="Times New Roman" w:eastAsia="Times New Roman" w:hAnsi="Times New Roman"/>
                <w:i/>
                <w:color w:val="000000"/>
                <w:lang w:val="en-GB" w:eastAsia="zh-CN"/>
              </w:rPr>
            </w:pPr>
            <w:r w:rsidRPr="00772941">
              <w:rPr>
                <w:rFonts w:ascii="Times New Roman" w:eastAsia="Times New Roman" w:hAnsi="Times New Roman"/>
                <w:i/>
                <w:color w:val="000000"/>
                <w:lang w:val="en-GB" w:eastAsia="zh-CN"/>
              </w:rPr>
              <w:t>ETR</w:t>
            </w:r>
          </w:p>
        </w:tc>
        <w:tc>
          <w:tcPr>
            <w:tcW w:w="614" w:type="pct"/>
            <w:tcBorders>
              <w:top w:val="nil"/>
              <w:left w:val="nil"/>
              <w:bottom w:val="nil"/>
              <w:right w:val="nil"/>
            </w:tcBorders>
            <w:shd w:val="clear" w:color="auto" w:fill="auto"/>
            <w:noWrap/>
            <w:vAlign w:val="center"/>
            <w:hideMark/>
          </w:tcPr>
          <w:p w:rsidR="00E7289F" w:rsidRPr="00E7289F" w:rsidRDefault="00E7289F" w:rsidP="00E7289F">
            <w:pPr>
              <w:spacing w:line="240" w:lineRule="auto"/>
              <w:ind w:firstLine="0"/>
              <w:jc w:val="center"/>
              <w:rPr>
                <w:rFonts w:ascii="Times New Roman" w:eastAsia="Times New Roman" w:hAnsi="Times New Roman"/>
                <w:color w:val="000000"/>
                <w:lang w:val="en-GB" w:eastAsia="zh-CN"/>
              </w:rPr>
            </w:pPr>
            <w:r w:rsidRPr="00E7289F">
              <w:rPr>
                <w:rFonts w:ascii="Times New Roman" w:eastAsia="Times New Roman" w:hAnsi="Times New Roman"/>
                <w:color w:val="000000"/>
                <w:lang w:val="en-GB" w:eastAsia="zh-CN"/>
              </w:rPr>
              <w:t>70279</w:t>
            </w:r>
          </w:p>
        </w:tc>
        <w:tc>
          <w:tcPr>
            <w:tcW w:w="574" w:type="pct"/>
            <w:tcBorders>
              <w:top w:val="nil"/>
              <w:left w:val="nil"/>
              <w:bottom w:val="nil"/>
              <w:right w:val="nil"/>
            </w:tcBorders>
            <w:shd w:val="clear" w:color="auto" w:fill="auto"/>
            <w:noWrap/>
            <w:vAlign w:val="center"/>
            <w:hideMark/>
          </w:tcPr>
          <w:p w:rsidR="00E7289F" w:rsidRPr="00E7289F" w:rsidRDefault="00E7289F" w:rsidP="00E7289F">
            <w:pPr>
              <w:spacing w:line="240" w:lineRule="auto"/>
              <w:ind w:firstLine="0"/>
              <w:jc w:val="center"/>
              <w:rPr>
                <w:rFonts w:ascii="Times New Roman" w:eastAsia="Times New Roman" w:hAnsi="Times New Roman"/>
                <w:color w:val="000000"/>
                <w:lang w:val="en-GB" w:eastAsia="zh-CN"/>
              </w:rPr>
            </w:pPr>
            <w:r w:rsidRPr="00E7289F">
              <w:rPr>
                <w:rFonts w:ascii="Times New Roman" w:eastAsia="Times New Roman" w:hAnsi="Times New Roman"/>
                <w:color w:val="000000"/>
                <w:lang w:val="en-GB" w:eastAsia="zh-CN"/>
              </w:rPr>
              <w:t>0.126</w:t>
            </w:r>
          </w:p>
        </w:tc>
        <w:tc>
          <w:tcPr>
            <w:tcW w:w="834" w:type="pct"/>
            <w:tcBorders>
              <w:top w:val="nil"/>
              <w:left w:val="nil"/>
              <w:bottom w:val="nil"/>
              <w:right w:val="nil"/>
            </w:tcBorders>
            <w:shd w:val="clear" w:color="auto" w:fill="auto"/>
            <w:noWrap/>
            <w:vAlign w:val="center"/>
            <w:hideMark/>
          </w:tcPr>
          <w:p w:rsidR="00E7289F" w:rsidRPr="00E7289F" w:rsidRDefault="00E7289F" w:rsidP="00E7289F">
            <w:pPr>
              <w:spacing w:line="240" w:lineRule="auto"/>
              <w:ind w:firstLine="0"/>
              <w:jc w:val="center"/>
              <w:rPr>
                <w:rFonts w:ascii="Times New Roman" w:eastAsia="Times New Roman" w:hAnsi="Times New Roman"/>
                <w:color w:val="000000"/>
                <w:lang w:val="en-GB" w:eastAsia="zh-CN"/>
              </w:rPr>
            </w:pPr>
            <w:r w:rsidRPr="00E7289F">
              <w:rPr>
                <w:rFonts w:ascii="Times New Roman" w:eastAsia="Times New Roman" w:hAnsi="Times New Roman"/>
                <w:color w:val="000000"/>
                <w:lang w:val="en-GB" w:eastAsia="zh-CN"/>
              </w:rPr>
              <w:t>0.144</w:t>
            </w:r>
          </w:p>
        </w:tc>
        <w:tc>
          <w:tcPr>
            <w:tcW w:w="629" w:type="pct"/>
            <w:tcBorders>
              <w:top w:val="nil"/>
              <w:left w:val="nil"/>
              <w:bottom w:val="nil"/>
              <w:right w:val="nil"/>
            </w:tcBorders>
            <w:shd w:val="clear" w:color="auto" w:fill="auto"/>
            <w:noWrap/>
            <w:vAlign w:val="center"/>
            <w:hideMark/>
          </w:tcPr>
          <w:p w:rsidR="00E7289F" w:rsidRPr="00E7289F" w:rsidRDefault="00E7289F" w:rsidP="00E7289F">
            <w:pPr>
              <w:spacing w:line="240" w:lineRule="auto"/>
              <w:ind w:firstLine="0"/>
              <w:jc w:val="center"/>
              <w:rPr>
                <w:rFonts w:ascii="Times New Roman" w:eastAsia="Times New Roman" w:hAnsi="Times New Roman"/>
                <w:color w:val="000000"/>
                <w:lang w:val="en-GB" w:eastAsia="zh-CN"/>
              </w:rPr>
            </w:pPr>
            <w:r w:rsidRPr="00E7289F">
              <w:rPr>
                <w:rFonts w:ascii="Times New Roman" w:eastAsia="Times New Roman" w:hAnsi="Times New Roman"/>
                <w:color w:val="000000"/>
                <w:lang w:val="en-GB" w:eastAsia="zh-CN"/>
              </w:rPr>
              <w:t>0.000</w:t>
            </w:r>
          </w:p>
        </w:tc>
        <w:tc>
          <w:tcPr>
            <w:tcW w:w="658" w:type="pct"/>
            <w:tcBorders>
              <w:top w:val="nil"/>
              <w:left w:val="nil"/>
              <w:bottom w:val="nil"/>
              <w:right w:val="nil"/>
            </w:tcBorders>
            <w:shd w:val="clear" w:color="auto" w:fill="auto"/>
            <w:noWrap/>
            <w:vAlign w:val="center"/>
            <w:hideMark/>
          </w:tcPr>
          <w:p w:rsidR="00E7289F" w:rsidRPr="00E7289F" w:rsidRDefault="00E7289F" w:rsidP="00E7289F">
            <w:pPr>
              <w:spacing w:line="240" w:lineRule="auto"/>
              <w:ind w:firstLine="0"/>
              <w:jc w:val="center"/>
              <w:rPr>
                <w:rFonts w:ascii="Times New Roman" w:eastAsia="Times New Roman" w:hAnsi="Times New Roman"/>
                <w:color w:val="000000"/>
                <w:lang w:val="en-GB" w:eastAsia="zh-CN"/>
              </w:rPr>
            </w:pPr>
            <w:r w:rsidRPr="00E7289F">
              <w:rPr>
                <w:rFonts w:ascii="Times New Roman" w:eastAsia="Times New Roman" w:hAnsi="Times New Roman"/>
                <w:color w:val="000000"/>
                <w:lang w:val="en-GB" w:eastAsia="zh-CN"/>
              </w:rPr>
              <w:t>0.467</w:t>
            </w:r>
          </w:p>
        </w:tc>
      </w:tr>
      <w:tr w:rsidR="00E7289F" w:rsidRPr="00E7289F" w:rsidTr="00772941">
        <w:trPr>
          <w:trHeight w:val="300"/>
        </w:trPr>
        <w:tc>
          <w:tcPr>
            <w:tcW w:w="1691" w:type="pct"/>
            <w:tcBorders>
              <w:top w:val="nil"/>
              <w:left w:val="nil"/>
              <w:bottom w:val="single" w:sz="4" w:space="0" w:color="auto"/>
              <w:right w:val="nil"/>
            </w:tcBorders>
            <w:shd w:val="clear" w:color="auto" w:fill="auto"/>
            <w:noWrap/>
            <w:vAlign w:val="center"/>
            <w:hideMark/>
          </w:tcPr>
          <w:p w:rsidR="00E7289F" w:rsidRPr="00E7289F" w:rsidRDefault="00772941" w:rsidP="00E7289F">
            <w:pPr>
              <w:spacing w:line="240" w:lineRule="auto"/>
              <w:ind w:firstLine="0"/>
              <w:jc w:val="center"/>
              <w:rPr>
                <w:rFonts w:ascii="Times New Roman" w:eastAsia="Times New Roman" w:hAnsi="Times New Roman"/>
                <w:i/>
                <w:color w:val="000000"/>
                <w:lang w:val="en-GB" w:eastAsia="zh-CN"/>
              </w:rPr>
            </w:pPr>
            <w:r w:rsidRPr="00772941">
              <w:rPr>
                <w:rFonts w:ascii="Times New Roman" w:eastAsia="Times New Roman" w:hAnsi="Times New Roman"/>
                <w:i/>
                <w:color w:val="000000"/>
                <w:lang w:val="en-GB" w:eastAsia="zh-CN"/>
              </w:rPr>
              <w:t>ΔTax</w:t>
            </w:r>
          </w:p>
        </w:tc>
        <w:tc>
          <w:tcPr>
            <w:tcW w:w="614" w:type="pct"/>
            <w:tcBorders>
              <w:top w:val="nil"/>
              <w:left w:val="nil"/>
              <w:bottom w:val="single" w:sz="4" w:space="0" w:color="auto"/>
              <w:right w:val="nil"/>
            </w:tcBorders>
            <w:shd w:val="clear" w:color="auto" w:fill="auto"/>
            <w:noWrap/>
            <w:vAlign w:val="center"/>
            <w:hideMark/>
          </w:tcPr>
          <w:p w:rsidR="00E7289F" w:rsidRPr="00E7289F" w:rsidRDefault="00E7289F" w:rsidP="00E7289F">
            <w:pPr>
              <w:spacing w:line="240" w:lineRule="auto"/>
              <w:ind w:firstLine="0"/>
              <w:jc w:val="center"/>
              <w:rPr>
                <w:rFonts w:ascii="Times New Roman" w:eastAsia="Times New Roman" w:hAnsi="Times New Roman"/>
                <w:color w:val="000000"/>
                <w:lang w:val="en-GB" w:eastAsia="zh-CN"/>
              </w:rPr>
            </w:pPr>
            <w:r w:rsidRPr="00E7289F">
              <w:rPr>
                <w:rFonts w:ascii="Times New Roman" w:eastAsia="Times New Roman" w:hAnsi="Times New Roman"/>
                <w:color w:val="000000"/>
                <w:lang w:val="en-GB" w:eastAsia="zh-CN"/>
              </w:rPr>
              <w:t>56176</w:t>
            </w:r>
          </w:p>
        </w:tc>
        <w:tc>
          <w:tcPr>
            <w:tcW w:w="574" w:type="pct"/>
            <w:tcBorders>
              <w:top w:val="nil"/>
              <w:left w:val="nil"/>
              <w:bottom w:val="single" w:sz="4" w:space="0" w:color="auto"/>
              <w:right w:val="nil"/>
            </w:tcBorders>
            <w:shd w:val="clear" w:color="auto" w:fill="auto"/>
            <w:noWrap/>
            <w:vAlign w:val="center"/>
            <w:hideMark/>
          </w:tcPr>
          <w:p w:rsidR="00E7289F" w:rsidRPr="00E7289F" w:rsidRDefault="00E7289F" w:rsidP="00E7289F">
            <w:pPr>
              <w:spacing w:line="240" w:lineRule="auto"/>
              <w:ind w:firstLine="0"/>
              <w:jc w:val="center"/>
              <w:rPr>
                <w:rFonts w:ascii="Times New Roman" w:eastAsia="Times New Roman" w:hAnsi="Times New Roman"/>
                <w:color w:val="000000"/>
                <w:lang w:val="en-GB" w:eastAsia="zh-CN"/>
              </w:rPr>
            </w:pPr>
            <w:r w:rsidRPr="00E7289F">
              <w:rPr>
                <w:rFonts w:ascii="Times New Roman" w:eastAsia="Times New Roman" w:hAnsi="Times New Roman"/>
                <w:color w:val="000000"/>
                <w:lang w:val="en-GB" w:eastAsia="zh-CN"/>
              </w:rPr>
              <w:t>0.080</w:t>
            </w:r>
          </w:p>
        </w:tc>
        <w:tc>
          <w:tcPr>
            <w:tcW w:w="834" w:type="pct"/>
            <w:tcBorders>
              <w:top w:val="nil"/>
              <w:left w:val="nil"/>
              <w:bottom w:val="single" w:sz="4" w:space="0" w:color="auto"/>
              <w:right w:val="nil"/>
            </w:tcBorders>
            <w:shd w:val="clear" w:color="auto" w:fill="auto"/>
            <w:noWrap/>
            <w:vAlign w:val="center"/>
            <w:hideMark/>
          </w:tcPr>
          <w:p w:rsidR="00E7289F" w:rsidRPr="00E7289F" w:rsidRDefault="00E7289F" w:rsidP="00E7289F">
            <w:pPr>
              <w:spacing w:line="240" w:lineRule="auto"/>
              <w:ind w:firstLine="0"/>
              <w:jc w:val="center"/>
              <w:rPr>
                <w:rFonts w:ascii="Times New Roman" w:eastAsia="Times New Roman" w:hAnsi="Times New Roman"/>
                <w:color w:val="000000"/>
                <w:lang w:val="en-GB" w:eastAsia="zh-CN"/>
              </w:rPr>
            </w:pPr>
            <w:r w:rsidRPr="00E7289F">
              <w:rPr>
                <w:rFonts w:ascii="Times New Roman" w:eastAsia="Times New Roman" w:hAnsi="Times New Roman"/>
                <w:color w:val="000000"/>
                <w:lang w:val="en-GB" w:eastAsia="zh-CN"/>
              </w:rPr>
              <w:t>0.145</w:t>
            </w:r>
          </w:p>
        </w:tc>
        <w:tc>
          <w:tcPr>
            <w:tcW w:w="629" w:type="pct"/>
            <w:tcBorders>
              <w:top w:val="nil"/>
              <w:left w:val="nil"/>
              <w:bottom w:val="single" w:sz="4" w:space="0" w:color="auto"/>
              <w:right w:val="nil"/>
            </w:tcBorders>
            <w:shd w:val="clear" w:color="auto" w:fill="auto"/>
            <w:noWrap/>
            <w:vAlign w:val="center"/>
            <w:hideMark/>
          </w:tcPr>
          <w:p w:rsidR="00E7289F" w:rsidRPr="00E7289F" w:rsidRDefault="00E7289F" w:rsidP="00E7289F">
            <w:pPr>
              <w:spacing w:line="240" w:lineRule="auto"/>
              <w:ind w:firstLine="0"/>
              <w:jc w:val="center"/>
              <w:rPr>
                <w:rFonts w:ascii="Times New Roman" w:eastAsia="Times New Roman" w:hAnsi="Times New Roman"/>
                <w:color w:val="000000"/>
                <w:lang w:val="en-GB" w:eastAsia="zh-CN"/>
              </w:rPr>
            </w:pPr>
            <w:r w:rsidRPr="00E7289F">
              <w:rPr>
                <w:rFonts w:ascii="Times New Roman" w:eastAsia="Times New Roman" w:hAnsi="Times New Roman"/>
                <w:color w:val="000000"/>
                <w:lang w:val="en-GB" w:eastAsia="zh-CN"/>
              </w:rPr>
              <w:t>-0.254</w:t>
            </w:r>
          </w:p>
        </w:tc>
        <w:tc>
          <w:tcPr>
            <w:tcW w:w="658" w:type="pct"/>
            <w:tcBorders>
              <w:top w:val="nil"/>
              <w:left w:val="nil"/>
              <w:bottom w:val="single" w:sz="4" w:space="0" w:color="auto"/>
              <w:right w:val="nil"/>
            </w:tcBorders>
            <w:shd w:val="clear" w:color="auto" w:fill="auto"/>
            <w:noWrap/>
            <w:vAlign w:val="center"/>
            <w:hideMark/>
          </w:tcPr>
          <w:p w:rsidR="00E7289F" w:rsidRPr="00E7289F" w:rsidRDefault="00E7289F" w:rsidP="00E7289F">
            <w:pPr>
              <w:spacing w:line="240" w:lineRule="auto"/>
              <w:ind w:firstLine="0"/>
              <w:jc w:val="center"/>
              <w:rPr>
                <w:rFonts w:ascii="Times New Roman" w:eastAsia="Times New Roman" w:hAnsi="Times New Roman"/>
                <w:color w:val="000000"/>
                <w:lang w:val="en-GB" w:eastAsia="zh-CN"/>
              </w:rPr>
            </w:pPr>
            <w:r w:rsidRPr="00E7289F">
              <w:rPr>
                <w:rFonts w:ascii="Times New Roman" w:eastAsia="Times New Roman" w:hAnsi="Times New Roman"/>
                <w:color w:val="000000"/>
                <w:lang w:val="en-GB" w:eastAsia="zh-CN"/>
              </w:rPr>
              <w:t>0.245</w:t>
            </w:r>
          </w:p>
        </w:tc>
      </w:tr>
    </w:tbl>
    <w:p w:rsidR="00840D8D" w:rsidRDefault="00840D8D" w:rsidP="0007752A">
      <w:pPr>
        <w:rPr>
          <w:rFonts w:ascii="Times New Roman" w:hAnsi="Times New Roman"/>
          <w:sz w:val="24"/>
          <w:szCs w:val="24"/>
          <w:lang w:val="en-GB"/>
        </w:rPr>
      </w:pPr>
    </w:p>
    <w:p w:rsidR="001B1100" w:rsidRDefault="001B1100" w:rsidP="0007752A">
      <w:pPr>
        <w:rPr>
          <w:rFonts w:ascii="Times New Roman" w:hAnsi="Times New Roman"/>
          <w:sz w:val="24"/>
          <w:szCs w:val="24"/>
          <w:lang w:val="en-GB"/>
        </w:rPr>
      </w:pPr>
    </w:p>
    <w:p w:rsidR="00772941" w:rsidRDefault="00772941" w:rsidP="0007752A">
      <w:pPr>
        <w:rPr>
          <w:rFonts w:ascii="Times New Roman" w:hAnsi="Times New Roman"/>
          <w:sz w:val="24"/>
          <w:szCs w:val="24"/>
          <w:lang w:val="en-GB"/>
        </w:rPr>
      </w:pPr>
    </w:p>
    <w:p w:rsidR="00772941" w:rsidRDefault="00772941" w:rsidP="0007752A">
      <w:pPr>
        <w:rPr>
          <w:rFonts w:ascii="Times New Roman" w:hAnsi="Times New Roman"/>
          <w:sz w:val="24"/>
          <w:szCs w:val="24"/>
          <w:lang w:val="en-GB"/>
        </w:rPr>
      </w:pPr>
    </w:p>
    <w:p w:rsidR="00772941" w:rsidRDefault="00772941" w:rsidP="0007752A">
      <w:pPr>
        <w:rPr>
          <w:rFonts w:ascii="Times New Roman" w:hAnsi="Times New Roman"/>
          <w:sz w:val="24"/>
          <w:szCs w:val="24"/>
          <w:lang w:val="en-GB"/>
        </w:rPr>
      </w:pPr>
    </w:p>
    <w:p w:rsidR="00772941" w:rsidRDefault="00772941" w:rsidP="0007752A">
      <w:pPr>
        <w:rPr>
          <w:rFonts w:ascii="Times New Roman" w:hAnsi="Times New Roman"/>
          <w:sz w:val="24"/>
          <w:szCs w:val="24"/>
          <w:lang w:val="en-GB"/>
        </w:rPr>
      </w:pPr>
    </w:p>
    <w:p w:rsidR="00772941" w:rsidRDefault="00772941" w:rsidP="0007752A">
      <w:pPr>
        <w:rPr>
          <w:rFonts w:ascii="Times New Roman" w:hAnsi="Times New Roman"/>
          <w:sz w:val="24"/>
          <w:szCs w:val="24"/>
          <w:lang w:val="en-GB"/>
        </w:rPr>
      </w:pPr>
    </w:p>
    <w:p w:rsidR="00772941" w:rsidRDefault="00772941" w:rsidP="0007752A">
      <w:pPr>
        <w:rPr>
          <w:rFonts w:ascii="Times New Roman" w:hAnsi="Times New Roman"/>
          <w:sz w:val="24"/>
          <w:szCs w:val="24"/>
          <w:lang w:val="en-GB"/>
        </w:rPr>
      </w:pPr>
    </w:p>
    <w:p w:rsidR="00772941" w:rsidRDefault="00772941" w:rsidP="0007752A">
      <w:pPr>
        <w:rPr>
          <w:rFonts w:ascii="Times New Roman" w:hAnsi="Times New Roman"/>
          <w:sz w:val="24"/>
          <w:szCs w:val="24"/>
          <w:lang w:val="en-GB"/>
        </w:rPr>
      </w:pPr>
    </w:p>
    <w:p w:rsidR="00772941" w:rsidRDefault="00772941" w:rsidP="0007752A">
      <w:pPr>
        <w:rPr>
          <w:rFonts w:ascii="Times New Roman" w:hAnsi="Times New Roman"/>
          <w:sz w:val="24"/>
          <w:szCs w:val="24"/>
          <w:lang w:val="en-GB"/>
        </w:rPr>
      </w:pPr>
    </w:p>
    <w:p w:rsidR="00840D8D" w:rsidRPr="00E8381B" w:rsidRDefault="00840D8D" w:rsidP="00840D8D">
      <w:pPr>
        <w:keepNext/>
        <w:widowControl w:val="0"/>
        <w:autoSpaceDE w:val="0"/>
        <w:autoSpaceDN w:val="0"/>
        <w:adjustRightInd w:val="0"/>
        <w:rPr>
          <w:rFonts w:ascii="Times New Roman" w:hAnsi="Times New Roman"/>
          <w:b/>
          <w:bCs/>
          <w:sz w:val="24"/>
          <w:szCs w:val="24"/>
          <w:lang w:val="en-US"/>
        </w:rPr>
      </w:pPr>
      <w:r w:rsidRPr="00E8381B">
        <w:rPr>
          <w:rFonts w:ascii="Times New Roman" w:hAnsi="Times New Roman"/>
          <w:b/>
          <w:bCs/>
          <w:sz w:val="24"/>
          <w:szCs w:val="24"/>
          <w:lang w:val="en-US"/>
        </w:rPr>
        <w:t>A</w:t>
      </w:r>
      <w:r w:rsidR="001B4F52">
        <w:rPr>
          <w:rFonts w:ascii="Times New Roman" w:hAnsi="Times New Roman"/>
          <w:b/>
          <w:bCs/>
          <w:sz w:val="24"/>
          <w:szCs w:val="24"/>
          <w:lang w:val="en-US"/>
        </w:rPr>
        <w:t>ppendix</w:t>
      </w:r>
      <w:r w:rsidR="005A3EC6">
        <w:rPr>
          <w:rFonts w:ascii="Times New Roman" w:hAnsi="Times New Roman"/>
          <w:b/>
          <w:bCs/>
          <w:sz w:val="24"/>
          <w:szCs w:val="24"/>
          <w:lang w:val="en-US"/>
        </w:rPr>
        <w:t xml:space="preserve"> </w:t>
      </w:r>
      <w:r w:rsidR="004E4885">
        <w:rPr>
          <w:rFonts w:ascii="Times New Roman" w:hAnsi="Times New Roman"/>
          <w:b/>
          <w:bCs/>
          <w:sz w:val="24"/>
          <w:szCs w:val="24"/>
          <w:lang w:val="en-US"/>
        </w:rPr>
        <w:t>3</w:t>
      </w:r>
      <w:r w:rsidRPr="00E8381B">
        <w:rPr>
          <w:rFonts w:ascii="Times New Roman" w:hAnsi="Times New Roman"/>
          <w:b/>
          <w:bCs/>
          <w:sz w:val="24"/>
          <w:szCs w:val="24"/>
          <w:lang w:val="en-US"/>
        </w:rPr>
        <w:t>: GMM Regressions of TFP Growth and Tax Liability with Levinsohn-</w:t>
      </w:r>
      <w:r w:rsidR="003C440F" w:rsidRPr="00E8381B">
        <w:rPr>
          <w:rFonts w:ascii="Times New Roman" w:hAnsi="Times New Roman"/>
          <w:b/>
          <w:bCs/>
          <w:sz w:val="24"/>
          <w:szCs w:val="24"/>
          <w:lang w:val="en-US"/>
        </w:rPr>
        <w:t>Petrin (</w:t>
      </w:r>
      <w:r w:rsidR="00500E16" w:rsidRPr="00E8381B">
        <w:rPr>
          <w:rFonts w:ascii="Times New Roman" w:hAnsi="Times New Roman"/>
          <w:b/>
          <w:bCs/>
          <w:sz w:val="24"/>
          <w:szCs w:val="24"/>
          <w:lang w:val="en-US"/>
        </w:rPr>
        <w:t>LP)</w:t>
      </w:r>
      <w:r w:rsidRPr="00E8381B">
        <w:rPr>
          <w:rFonts w:ascii="Times New Roman" w:hAnsi="Times New Roman"/>
          <w:b/>
          <w:bCs/>
          <w:sz w:val="24"/>
          <w:szCs w:val="24"/>
          <w:lang w:val="en-US"/>
        </w:rPr>
        <w:t xml:space="preserve"> </w:t>
      </w:r>
      <w:r w:rsidR="001D04B1">
        <w:rPr>
          <w:rFonts w:ascii="Times New Roman" w:hAnsi="Times New Roman"/>
          <w:b/>
          <w:bCs/>
          <w:sz w:val="24"/>
          <w:szCs w:val="24"/>
          <w:lang w:val="en-US"/>
        </w:rPr>
        <w:t>(</w:t>
      </w:r>
      <w:r w:rsidRPr="00E8381B">
        <w:rPr>
          <w:rFonts w:ascii="Times New Roman" w:hAnsi="Times New Roman"/>
          <w:b/>
          <w:bCs/>
          <w:sz w:val="24"/>
          <w:szCs w:val="24"/>
          <w:lang w:val="en-US"/>
        </w:rPr>
        <w:t xml:space="preserve">UK Firms </w:t>
      </w:r>
      <w:r w:rsidR="001D04B1">
        <w:rPr>
          <w:rFonts w:ascii="Times New Roman" w:hAnsi="Times New Roman"/>
          <w:b/>
          <w:bCs/>
          <w:sz w:val="24"/>
          <w:szCs w:val="24"/>
          <w:lang w:val="en-US"/>
        </w:rPr>
        <w:t xml:space="preserve">over </w:t>
      </w:r>
      <w:r w:rsidRPr="00E8381B">
        <w:rPr>
          <w:rFonts w:ascii="Times New Roman" w:hAnsi="Times New Roman"/>
          <w:b/>
          <w:bCs/>
          <w:sz w:val="24"/>
          <w:szCs w:val="24"/>
          <w:lang w:val="en-US"/>
        </w:rPr>
        <w:t>2004-2011</w:t>
      </w:r>
      <w:r w:rsidR="001D04B1">
        <w:rPr>
          <w:rFonts w:ascii="Times New Roman" w:hAnsi="Times New Roman"/>
          <w:b/>
          <w:bCs/>
          <w:sz w:val="24"/>
          <w:szCs w:val="24"/>
          <w:lang w:val="en-US"/>
        </w:rPr>
        <w:t>)</w:t>
      </w:r>
    </w:p>
    <w:tbl>
      <w:tblPr>
        <w:tblW w:w="0" w:type="auto"/>
        <w:tblLook w:val="0000" w:firstRow="0" w:lastRow="0" w:firstColumn="0" w:lastColumn="0" w:noHBand="0" w:noVBand="0"/>
      </w:tblPr>
      <w:tblGrid>
        <w:gridCol w:w="2109"/>
        <w:gridCol w:w="1115"/>
        <w:gridCol w:w="1041"/>
        <w:gridCol w:w="1115"/>
        <w:gridCol w:w="1115"/>
        <w:gridCol w:w="1115"/>
        <w:gridCol w:w="1115"/>
      </w:tblGrid>
      <w:tr w:rsidR="004E4885" w:rsidRPr="00036566" w:rsidTr="004E4885">
        <w:tc>
          <w:tcPr>
            <w:tcW w:w="0" w:type="auto"/>
            <w:tcBorders>
              <w:top w:val="single" w:sz="4" w:space="0" w:color="auto"/>
              <w:left w:val="nil"/>
              <w:bottom w:val="nil"/>
              <w:right w:val="nil"/>
            </w:tcBorders>
          </w:tcPr>
          <w:p w:rsidR="004E4885" w:rsidRPr="00036566" w:rsidRDefault="004E4885" w:rsidP="001B1100">
            <w:pPr>
              <w:widowControl w:val="0"/>
              <w:autoSpaceDE w:val="0"/>
              <w:autoSpaceDN w:val="0"/>
              <w:adjustRightInd w:val="0"/>
              <w:spacing w:line="240" w:lineRule="auto"/>
              <w:ind w:firstLine="0"/>
              <w:rPr>
                <w:rFonts w:ascii="Times New Roman" w:hAnsi="Times New Roman"/>
                <w:sz w:val="24"/>
                <w:szCs w:val="24"/>
                <w:lang w:val="en-US"/>
              </w:rPr>
            </w:pPr>
          </w:p>
        </w:tc>
        <w:tc>
          <w:tcPr>
            <w:tcW w:w="0" w:type="auto"/>
            <w:tcBorders>
              <w:top w:val="single" w:sz="4" w:space="0" w:color="auto"/>
              <w:left w:val="nil"/>
              <w:bottom w:val="nil"/>
              <w:right w:val="nil"/>
            </w:tcBorders>
          </w:tcPr>
          <w:p w:rsidR="004E4885" w:rsidRPr="00710CF7" w:rsidRDefault="004E4885" w:rsidP="001B1100">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Pr>
                <w:rFonts w:ascii="Times New Roman" w:eastAsia="SimSun" w:hAnsi="Times New Roman"/>
                <w:sz w:val="24"/>
                <w:szCs w:val="24"/>
                <w:lang w:val="en-US" w:eastAsia="zh-CN"/>
              </w:rPr>
              <w:t>(</w:t>
            </w:r>
            <w:r w:rsidRPr="00710CF7">
              <w:rPr>
                <w:rFonts w:ascii="Times New Roman" w:eastAsia="SimSun" w:hAnsi="Times New Roman"/>
                <w:sz w:val="24"/>
                <w:szCs w:val="24"/>
                <w:lang w:val="en-US" w:eastAsia="zh-CN"/>
              </w:rPr>
              <w:t>1</w:t>
            </w:r>
            <w:r>
              <w:rPr>
                <w:rFonts w:ascii="Times New Roman" w:eastAsia="SimSun" w:hAnsi="Times New Roman"/>
                <w:sz w:val="24"/>
                <w:szCs w:val="24"/>
                <w:lang w:val="en-US" w:eastAsia="zh-CN"/>
              </w:rPr>
              <w:t>)</w:t>
            </w:r>
          </w:p>
        </w:tc>
        <w:tc>
          <w:tcPr>
            <w:tcW w:w="0" w:type="auto"/>
            <w:tcBorders>
              <w:top w:val="single" w:sz="4" w:space="0" w:color="auto"/>
              <w:left w:val="nil"/>
              <w:bottom w:val="nil"/>
              <w:right w:val="nil"/>
            </w:tcBorders>
          </w:tcPr>
          <w:p w:rsidR="004E4885" w:rsidRPr="00710CF7" w:rsidRDefault="004E4885" w:rsidP="001B1100">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Pr>
                <w:rFonts w:ascii="Times New Roman" w:eastAsia="SimSun" w:hAnsi="Times New Roman"/>
                <w:sz w:val="24"/>
                <w:szCs w:val="24"/>
                <w:lang w:val="en-US" w:eastAsia="zh-CN"/>
              </w:rPr>
              <w:t>(</w:t>
            </w:r>
            <w:r w:rsidRPr="00710CF7">
              <w:rPr>
                <w:rFonts w:ascii="Times New Roman" w:eastAsia="SimSun" w:hAnsi="Times New Roman"/>
                <w:sz w:val="24"/>
                <w:szCs w:val="24"/>
                <w:lang w:val="en-US" w:eastAsia="zh-CN"/>
              </w:rPr>
              <w:t>2</w:t>
            </w:r>
            <w:r>
              <w:rPr>
                <w:rFonts w:ascii="Times New Roman" w:eastAsia="SimSun" w:hAnsi="Times New Roman"/>
                <w:sz w:val="24"/>
                <w:szCs w:val="24"/>
                <w:lang w:val="en-US" w:eastAsia="zh-CN"/>
              </w:rPr>
              <w:t>)</w:t>
            </w:r>
          </w:p>
        </w:tc>
        <w:tc>
          <w:tcPr>
            <w:tcW w:w="0" w:type="auto"/>
            <w:tcBorders>
              <w:top w:val="single" w:sz="4" w:space="0" w:color="auto"/>
              <w:left w:val="nil"/>
              <w:bottom w:val="nil"/>
              <w:right w:val="nil"/>
            </w:tcBorders>
          </w:tcPr>
          <w:p w:rsidR="004E4885" w:rsidRPr="00710CF7" w:rsidRDefault="004E4885" w:rsidP="001B1100">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Pr>
                <w:rFonts w:ascii="Times New Roman" w:eastAsia="SimSun" w:hAnsi="Times New Roman"/>
                <w:sz w:val="24"/>
                <w:szCs w:val="24"/>
                <w:lang w:val="en-US" w:eastAsia="zh-CN"/>
              </w:rPr>
              <w:t>(</w:t>
            </w:r>
            <w:r w:rsidRPr="00710CF7">
              <w:rPr>
                <w:rFonts w:ascii="Times New Roman" w:eastAsia="SimSun" w:hAnsi="Times New Roman"/>
                <w:sz w:val="24"/>
                <w:szCs w:val="24"/>
                <w:lang w:val="en-US" w:eastAsia="zh-CN"/>
              </w:rPr>
              <w:t>3</w:t>
            </w:r>
            <w:r>
              <w:rPr>
                <w:rFonts w:ascii="Times New Roman" w:eastAsia="SimSun" w:hAnsi="Times New Roman"/>
                <w:sz w:val="24"/>
                <w:szCs w:val="24"/>
                <w:lang w:val="en-US" w:eastAsia="zh-CN"/>
              </w:rPr>
              <w:t>)</w:t>
            </w:r>
          </w:p>
        </w:tc>
        <w:tc>
          <w:tcPr>
            <w:tcW w:w="0" w:type="auto"/>
            <w:tcBorders>
              <w:top w:val="single" w:sz="4" w:space="0" w:color="auto"/>
              <w:left w:val="nil"/>
              <w:bottom w:val="nil"/>
              <w:right w:val="nil"/>
            </w:tcBorders>
          </w:tcPr>
          <w:p w:rsidR="004E4885" w:rsidRPr="00710CF7" w:rsidRDefault="004E4885" w:rsidP="001B1100">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Pr>
                <w:rFonts w:ascii="Times New Roman" w:eastAsia="SimSun" w:hAnsi="Times New Roman"/>
                <w:sz w:val="24"/>
                <w:szCs w:val="24"/>
                <w:lang w:val="en-US" w:eastAsia="zh-CN"/>
              </w:rPr>
              <w:t>(</w:t>
            </w:r>
            <w:r w:rsidRPr="00710CF7">
              <w:rPr>
                <w:rFonts w:ascii="Times New Roman" w:eastAsia="SimSun" w:hAnsi="Times New Roman"/>
                <w:sz w:val="24"/>
                <w:szCs w:val="24"/>
                <w:lang w:val="en-US" w:eastAsia="zh-CN"/>
              </w:rPr>
              <w:t>4</w:t>
            </w:r>
            <w:r>
              <w:rPr>
                <w:rFonts w:ascii="Times New Roman" w:eastAsia="SimSun" w:hAnsi="Times New Roman"/>
                <w:sz w:val="24"/>
                <w:szCs w:val="24"/>
                <w:lang w:val="en-US" w:eastAsia="zh-CN"/>
              </w:rPr>
              <w:t>)</w:t>
            </w:r>
          </w:p>
        </w:tc>
        <w:tc>
          <w:tcPr>
            <w:tcW w:w="0" w:type="auto"/>
            <w:tcBorders>
              <w:top w:val="single" w:sz="4" w:space="0" w:color="auto"/>
              <w:left w:val="nil"/>
              <w:bottom w:val="nil"/>
              <w:right w:val="nil"/>
            </w:tcBorders>
          </w:tcPr>
          <w:p w:rsidR="004E4885" w:rsidRPr="00710CF7" w:rsidRDefault="004E4885" w:rsidP="001B1100">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Pr>
                <w:rFonts w:ascii="Times New Roman" w:eastAsia="SimSun" w:hAnsi="Times New Roman"/>
                <w:sz w:val="24"/>
                <w:szCs w:val="24"/>
                <w:lang w:val="en-US" w:eastAsia="zh-CN"/>
              </w:rPr>
              <w:t>(</w:t>
            </w:r>
            <w:r w:rsidRPr="00710CF7">
              <w:rPr>
                <w:rFonts w:ascii="Times New Roman" w:eastAsia="SimSun" w:hAnsi="Times New Roman"/>
                <w:sz w:val="24"/>
                <w:szCs w:val="24"/>
                <w:lang w:val="en-US" w:eastAsia="zh-CN"/>
              </w:rPr>
              <w:t>5</w:t>
            </w:r>
            <w:r>
              <w:rPr>
                <w:rFonts w:ascii="Times New Roman" w:eastAsia="SimSun" w:hAnsi="Times New Roman"/>
                <w:sz w:val="24"/>
                <w:szCs w:val="24"/>
                <w:lang w:val="en-US" w:eastAsia="zh-CN"/>
              </w:rPr>
              <w:t>)</w:t>
            </w:r>
          </w:p>
        </w:tc>
        <w:tc>
          <w:tcPr>
            <w:tcW w:w="0" w:type="auto"/>
            <w:tcBorders>
              <w:top w:val="single" w:sz="4" w:space="0" w:color="auto"/>
              <w:left w:val="nil"/>
              <w:bottom w:val="nil"/>
              <w:right w:val="nil"/>
            </w:tcBorders>
          </w:tcPr>
          <w:p w:rsidR="004E4885" w:rsidRPr="00710CF7" w:rsidRDefault="004E4885" w:rsidP="001B1100">
            <w:pPr>
              <w:widowControl w:val="0"/>
              <w:autoSpaceDE w:val="0"/>
              <w:autoSpaceDN w:val="0"/>
              <w:adjustRightInd w:val="0"/>
              <w:spacing w:line="240" w:lineRule="auto"/>
              <w:ind w:firstLine="0"/>
              <w:jc w:val="center"/>
              <w:rPr>
                <w:rFonts w:ascii="Times New Roman" w:eastAsia="SimSun" w:hAnsi="Times New Roman"/>
                <w:sz w:val="24"/>
                <w:szCs w:val="24"/>
                <w:lang w:val="en-US" w:eastAsia="zh-CN"/>
              </w:rPr>
            </w:pPr>
            <w:r>
              <w:rPr>
                <w:rFonts w:ascii="Times New Roman" w:eastAsia="SimSun" w:hAnsi="Times New Roman"/>
                <w:sz w:val="24"/>
                <w:szCs w:val="24"/>
                <w:lang w:val="en-US" w:eastAsia="zh-CN"/>
              </w:rPr>
              <w:t>(</w:t>
            </w:r>
            <w:r w:rsidRPr="00710CF7">
              <w:rPr>
                <w:rFonts w:ascii="Times New Roman" w:eastAsia="SimSun" w:hAnsi="Times New Roman"/>
                <w:sz w:val="24"/>
                <w:szCs w:val="24"/>
                <w:lang w:val="en-US" w:eastAsia="zh-CN"/>
              </w:rPr>
              <w:t>6</w:t>
            </w:r>
            <w:r>
              <w:rPr>
                <w:rFonts w:ascii="Times New Roman" w:eastAsia="SimSun" w:hAnsi="Times New Roman"/>
                <w:sz w:val="24"/>
                <w:szCs w:val="24"/>
                <w:lang w:val="en-US" w:eastAsia="zh-CN"/>
              </w:rPr>
              <w:t>)</w:t>
            </w:r>
          </w:p>
        </w:tc>
      </w:tr>
      <w:tr w:rsidR="004E4885" w:rsidRPr="00036566" w:rsidTr="004E4885">
        <w:tc>
          <w:tcPr>
            <w:tcW w:w="0" w:type="auto"/>
            <w:tcBorders>
              <w:top w:val="single" w:sz="4" w:space="0" w:color="auto"/>
              <w:left w:val="nil"/>
              <w:bottom w:val="nil"/>
              <w:right w:val="nil"/>
            </w:tcBorders>
          </w:tcPr>
          <w:p w:rsidR="004E4885" w:rsidRPr="000133C7" w:rsidRDefault="004E4885" w:rsidP="001B1100">
            <w:pPr>
              <w:spacing w:line="240" w:lineRule="auto"/>
              <w:ind w:firstLine="0"/>
              <w:rPr>
                <w:rFonts w:asciiTheme="majorBidi" w:hAnsiTheme="majorBidi" w:cstheme="majorBidi"/>
                <w:i/>
                <w:sz w:val="24"/>
                <w:szCs w:val="24"/>
                <w:lang w:val="en-US"/>
              </w:rPr>
            </w:pPr>
            <w:r w:rsidRPr="007A4735">
              <w:rPr>
                <w:rFonts w:asciiTheme="majorBidi" w:hAnsiTheme="majorBidi" w:cstheme="majorBidi"/>
                <w:sz w:val="24"/>
                <w:szCs w:val="24"/>
                <w:lang w:val="en-US"/>
              </w:rPr>
              <w:t>Δln</w:t>
            </w:r>
            <w:r w:rsidRPr="000133C7">
              <w:rPr>
                <w:rFonts w:asciiTheme="majorBidi" w:hAnsiTheme="majorBidi" w:cstheme="majorBidi"/>
                <w:i/>
                <w:sz w:val="24"/>
                <w:szCs w:val="24"/>
                <w:lang w:val="en-US"/>
              </w:rPr>
              <w:t>TFP</w:t>
            </w:r>
            <w:r w:rsidRPr="000133C7">
              <w:rPr>
                <w:rFonts w:asciiTheme="majorBidi" w:hAnsiTheme="majorBidi" w:cstheme="majorBidi"/>
                <w:i/>
                <w:sz w:val="24"/>
                <w:szCs w:val="24"/>
                <w:vertAlign w:val="subscript"/>
                <w:lang w:val="en-US"/>
              </w:rPr>
              <w:t>Ft</w:t>
            </w:r>
          </w:p>
        </w:tc>
        <w:tc>
          <w:tcPr>
            <w:tcW w:w="0" w:type="auto"/>
            <w:tcBorders>
              <w:top w:val="single" w:sz="4" w:space="0" w:color="auto"/>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0.252***</w:t>
            </w:r>
          </w:p>
        </w:tc>
        <w:tc>
          <w:tcPr>
            <w:tcW w:w="0" w:type="auto"/>
            <w:tcBorders>
              <w:top w:val="single" w:sz="4" w:space="0" w:color="auto"/>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0.155*</w:t>
            </w:r>
          </w:p>
        </w:tc>
        <w:tc>
          <w:tcPr>
            <w:tcW w:w="0" w:type="auto"/>
            <w:tcBorders>
              <w:top w:val="single" w:sz="4" w:space="0" w:color="auto"/>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0.211***</w:t>
            </w:r>
          </w:p>
        </w:tc>
        <w:tc>
          <w:tcPr>
            <w:tcW w:w="0" w:type="auto"/>
            <w:tcBorders>
              <w:top w:val="single" w:sz="4" w:space="0" w:color="auto"/>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0.190***</w:t>
            </w:r>
          </w:p>
        </w:tc>
        <w:tc>
          <w:tcPr>
            <w:tcW w:w="0" w:type="auto"/>
            <w:tcBorders>
              <w:top w:val="single" w:sz="4" w:space="0" w:color="auto"/>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0.242***</w:t>
            </w:r>
          </w:p>
        </w:tc>
        <w:tc>
          <w:tcPr>
            <w:tcW w:w="0" w:type="auto"/>
            <w:tcBorders>
              <w:top w:val="single" w:sz="4" w:space="0" w:color="auto"/>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0.242***</w:t>
            </w:r>
          </w:p>
        </w:tc>
      </w:tr>
      <w:tr w:rsidR="004E4885" w:rsidRPr="00036566" w:rsidTr="004E4885">
        <w:tc>
          <w:tcPr>
            <w:tcW w:w="0" w:type="auto"/>
            <w:tcBorders>
              <w:top w:val="nil"/>
              <w:left w:val="nil"/>
              <w:bottom w:val="nil"/>
              <w:right w:val="nil"/>
            </w:tcBorders>
          </w:tcPr>
          <w:p w:rsidR="004E4885" w:rsidRPr="007A4735" w:rsidRDefault="004E4885" w:rsidP="001B1100">
            <w:pPr>
              <w:spacing w:line="240" w:lineRule="auto"/>
              <w:ind w:firstLine="0"/>
              <w:rPr>
                <w:rFonts w:asciiTheme="majorBidi" w:hAnsiTheme="majorBidi" w:cstheme="majorBidi"/>
                <w:sz w:val="24"/>
                <w:szCs w:val="24"/>
                <w:lang w:val="en-US"/>
              </w:rPr>
            </w:pP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(10.27)</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(1.67)</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(7.44)</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(3.94)</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(9.45)</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(8.64)</w:t>
            </w:r>
          </w:p>
        </w:tc>
      </w:tr>
      <w:tr w:rsidR="004E4885" w:rsidRPr="00036566" w:rsidTr="004E4885">
        <w:tc>
          <w:tcPr>
            <w:tcW w:w="0" w:type="auto"/>
            <w:tcBorders>
              <w:top w:val="nil"/>
              <w:left w:val="nil"/>
              <w:bottom w:val="nil"/>
              <w:right w:val="nil"/>
            </w:tcBorders>
          </w:tcPr>
          <w:p w:rsidR="004E4885" w:rsidRPr="000133C7" w:rsidRDefault="004E4885" w:rsidP="001B1100">
            <w:pPr>
              <w:spacing w:line="240" w:lineRule="auto"/>
              <w:ind w:firstLine="0"/>
              <w:rPr>
                <w:rFonts w:asciiTheme="majorBidi" w:hAnsiTheme="majorBidi" w:cstheme="majorBidi"/>
                <w:i/>
                <w:sz w:val="24"/>
                <w:szCs w:val="24"/>
                <w:vertAlign w:val="subscript"/>
                <w:lang w:val="en-US"/>
              </w:rPr>
            </w:pPr>
            <w:r w:rsidRPr="000133C7">
              <w:rPr>
                <w:rFonts w:asciiTheme="majorBidi" w:hAnsiTheme="majorBidi" w:cstheme="majorBidi"/>
                <w:i/>
                <w:sz w:val="24"/>
                <w:szCs w:val="24"/>
                <w:lang w:val="en-US"/>
              </w:rPr>
              <w:t>GAP</w:t>
            </w:r>
            <w:r>
              <w:rPr>
                <w:rFonts w:asciiTheme="majorBidi" w:hAnsiTheme="majorBidi" w:cstheme="majorBidi"/>
                <w:i/>
                <w:sz w:val="24"/>
                <w:szCs w:val="24"/>
                <w:vertAlign w:val="subscript"/>
                <w:lang w:val="en-US"/>
              </w:rPr>
              <w:t>it-1</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-0.171***</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-0.487</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-0.171***</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-0.171***</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-0.187***</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-0.185***</w:t>
            </w:r>
          </w:p>
        </w:tc>
      </w:tr>
      <w:tr w:rsidR="004E4885" w:rsidRPr="00036566" w:rsidTr="004E4885">
        <w:tc>
          <w:tcPr>
            <w:tcW w:w="0" w:type="auto"/>
            <w:tcBorders>
              <w:top w:val="nil"/>
              <w:left w:val="nil"/>
              <w:bottom w:val="nil"/>
              <w:right w:val="nil"/>
            </w:tcBorders>
          </w:tcPr>
          <w:p w:rsidR="004E4885" w:rsidRPr="007A4735" w:rsidRDefault="004E4885" w:rsidP="001B1100">
            <w:pPr>
              <w:spacing w:line="240" w:lineRule="auto"/>
              <w:ind w:firstLine="0"/>
              <w:rPr>
                <w:rFonts w:asciiTheme="majorBidi" w:hAnsiTheme="majorBidi" w:cstheme="majorBidi"/>
                <w:sz w:val="24"/>
                <w:szCs w:val="24"/>
                <w:lang w:val="en-US"/>
              </w:rPr>
            </w:pP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(5.99)</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(1.60)</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(6.02)</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(6.00)</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(7.46)</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(7.49)</w:t>
            </w:r>
          </w:p>
        </w:tc>
      </w:tr>
      <w:tr w:rsidR="004E4885" w:rsidRPr="00036566" w:rsidTr="004E4885">
        <w:tc>
          <w:tcPr>
            <w:tcW w:w="0" w:type="auto"/>
            <w:tcBorders>
              <w:top w:val="nil"/>
              <w:left w:val="nil"/>
              <w:bottom w:val="nil"/>
              <w:right w:val="nil"/>
            </w:tcBorders>
          </w:tcPr>
          <w:p w:rsidR="004E4885" w:rsidRPr="007A4735" w:rsidRDefault="004E4885" w:rsidP="001B1100">
            <w:pPr>
              <w:spacing w:line="240" w:lineRule="auto"/>
              <w:ind w:firstLine="0"/>
              <w:rPr>
                <w:rFonts w:asciiTheme="majorBidi" w:hAnsiTheme="majorBidi" w:cstheme="majorBidi"/>
                <w:sz w:val="24"/>
                <w:szCs w:val="24"/>
                <w:lang w:val="en-US"/>
              </w:rPr>
            </w:pPr>
            <w:r>
              <w:rPr>
                <w:rFonts w:asciiTheme="majorBidi" w:hAnsiTheme="majorBidi" w:cstheme="majorBidi"/>
                <w:i/>
                <w:sz w:val="24"/>
                <w:szCs w:val="24"/>
                <w:lang w:val="en-US"/>
              </w:rPr>
              <w:t>ETR</w:t>
            </w:r>
            <w:r w:rsidRPr="000133C7">
              <w:rPr>
                <w:rFonts w:asciiTheme="majorBidi" w:hAnsiTheme="majorBidi" w:cstheme="majorBidi"/>
                <w:i/>
                <w:sz w:val="24"/>
                <w:szCs w:val="24"/>
                <w:vertAlign w:val="subscript"/>
                <w:lang w:val="en-US"/>
              </w:rPr>
              <w:t>it-1</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-1.444***</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-0.972**</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-1.244***</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-1.144***</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-1.416***</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-1.420***</w:t>
            </w:r>
          </w:p>
        </w:tc>
      </w:tr>
      <w:tr w:rsidR="004E4885" w:rsidRPr="00036566" w:rsidTr="004E4885">
        <w:tc>
          <w:tcPr>
            <w:tcW w:w="0" w:type="auto"/>
            <w:tcBorders>
              <w:top w:val="nil"/>
              <w:left w:val="nil"/>
              <w:bottom w:val="nil"/>
              <w:right w:val="nil"/>
            </w:tcBorders>
          </w:tcPr>
          <w:p w:rsidR="004E4885" w:rsidRPr="007A4735" w:rsidRDefault="004E4885" w:rsidP="001B1100">
            <w:pPr>
              <w:spacing w:line="240" w:lineRule="auto"/>
              <w:ind w:firstLine="0"/>
              <w:rPr>
                <w:rFonts w:asciiTheme="majorBidi" w:hAnsiTheme="majorBidi" w:cstheme="majorBidi"/>
                <w:sz w:val="24"/>
                <w:szCs w:val="24"/>
                <w:lang w:val="en-US"/>
              </w:rPr>
            </w:pP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(11.82)</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(2.11)</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(8.81)</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(4.85)</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(11.20)</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(10.84)</w:t>
            </w:r>
          </w:p>
        </w:tc>
      </w:tr>
      <w:tr w:rsidR="004E4885" w:rsidRPr="00036566" w:rsidTr="004E4885">
        <w:tc>
          <w:tcPr>
            <w:tcW w:w="0" w:type="auto"/>
            <w:tcBorders>
              <w:top w:val="nil"/>
              <w:left w:val="nil"/>
              <w:bottom w:val="nil"/>
              <w:right w:val="nil"/>
            </w:tcBorders>
          </w:tcPr>
          <w:p w:rsidR="004E4885" w:rsidRPr="007A4735" w:rsidRDefault="004E4885" w:rsidP="001B1100">
            <w:pPr>
              <w:spacing w:line="240" w:lineRule="auto"/>
              <w:ind w:firstLine="0"/>
              <w:rPr>
                <w:rFonts w:asciiTheme="majorBidi" w:hAnsiTheme="majorBidi" w:cstheme="majorBidi"/>
                <w:sz w:val="24"/>
                <w:szCs w:val="24"/>
                <w:lang w:val="en-US"/>
              </w:rPr>
            </w:pPr>
            <w:r w:rsidRPr="007A4735">
              <w:rPr>
                <w:rFonts w:asciiTheme="majorBidi" w:hAnsiTheme="majorBidi" w:cstheme="majorBidi"/>
                <w:sz w:val="24"/>
                <w:szCs w:val="24"/>
                <w:lang w:val="en-US"/>
              </w:rPr>
              <w:t>[</w:t>
            </w:r>
            <w:r w:rsidRPr="000133C7">
              <w:rPr>
                <w:rFonts w:asciiTheme="majorBidi" w:hAnsiTheme="majorBidi" w:cstheme="majorBidi"/>
                <w:i/>
                <w:sz w:val="24"/>
                <w:szCs w:val="24"/>
                <w:lang w:val="en-US"/>
              </w:rPr>
              <w:t>GAP</w:t>
            </w:r>
            <w:r>
              <w:rPr>
                <w:rFonts w:asciiTheme="majorBidi" w:hAnsiTheme="majorBidi" w:cstheme="majorBidi"/>
                <w:i/>
                <w:sz w:val="24"/>
                <w:szCs w:val="24"/>
                <w:vertAlign w:val="subscript"/>
                <w:lang w:val="en-US"/>
              </w:rPr>
              <w:t>it-1</w:t>
            </w:r>
            <w:r w:rsidRPr="007A4735">
              <w:rPr>
                <w:rFonts w:asciiTheme="majorBidi" w:hAnsiTheme="majorBidi" w:cstheme="majorBidi"/>
                <w:sz w:val="24"/>
                <w:szCs w:val="24"/>
                <w:lang w:val="en-US"/>
              </w:rPr>
              <w:t>×</w:t>
            </w:r>
            <w:r w:rsidRPr="00D5186E">
              <w:rPr>
                <w:rFonts w:asciiTheme="majorBidi" w:hAnsiTheme="majorBidi" w:cstheme="majorBidi"/>
                <w:i/>
                <w:sz w:val="24"/>
                <w:szCs w:val="24"/>
                <w:lang w:val="en-US"/>
              </w:rPr>
              <w:t xml:space="preserve"> </w:t>
            </w:r>
            <w:r>
              <w:rPr>
                <w:rFonts w:asciiTheme="majorBidi" w:hAnsiTheme="majorBidi" w:cstheme="majorBidi"/>
                <w:i/>
                <w:sz w:val="24"/>
                <w:szCs w:val="24"/>
                <w:lang w:val="en-US"/>
              </w:rPr>
              <w:t>ETR</w:t>
            </w:r>
            <w:r w:rsidRPr="000133C7">
              <w:rPr>
                <w:rFonts w:asciiTheme="majorBidi" w:hAnsiTheme="majorBidi" w:cstheme="majorBidi"/>
                <w:i/>
                <w:sz w:val="24"/>
                <w:szCs w:val="24"/>
                <w:vertAlign w:val="subscript"/>
                <w:lang w:val="en-US"/>
              </w:rPr>
              <w:t>it-1</w:t>
            </w:r>
            <w:r w:rsidRPr="007A4735">
              <w:rPr>
                <w:rFonts w:asciiTheme="majorBidi" w:hAnsiTheme="majorBidi" w:cstheme="majorBidi"/>
                <w:sz w:val="24"/>
                <w:szCs w:val="24"/>
                <w:lang w:val="en-US"/>
              </w:rPr>
              <w:t>]</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1.545**</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r>
      <w:tr w:rsidR="004E4885" w:rsidRPr="00036566" w:rsidTr="004E4885">
        <w:tc>
          <w:tcPr>
            <w:tcW w:w="0" w:type="auto"/>
            <w:tcBorders>
              <w:top w:val="nil"/>
              <w:left w:val="nil"/>
              <w:bottom w:val="nil"/>
              <w:right w:val="nil"/>
            </w:tcBorders>
          </w:tcPr>
          <w:p w:rsidR="004E4885" w:rsidRPr="007A4735" w:rsidRDefault="004E4885" w:rsidP="001B1100">
            <w:pPr>
              <w:spacing w:line="240" w:lineRule="auto"/>
              <w:ind w:firstLine="0"/>
              <w:rPr>
                <w:rFonts w:asciiTheme="majorBidi" w:hAnsiTheme="majorBidi" w:cstheme="majorBidi"/>
                <w:sz w:val="24"/>
                <w:szCs w:val="24"/>
                <w:lang w:val="en-US"/>
              </w:rPr>
            </w:pP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(2.01)</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r>
      <w:tr w:rsidR="004E4885" w:rsidRPr="00036566" w:rsidTr="004E4885">
        <w:tc>
          <w:tcPr>
            <w:tcW w:w="0" w:type="auto"/>
            <w:tcBorders>
              <w:top w:val="nil"/>
              <w:left w:val="nil"/>
              <w:bottom w:val="nil"/>
              <w:right w:val="nil"/>
            </w:tcBorders>
          </w:tcPr>
          <w:p w:rsidR="004E4885" w:rsidRPr="000133C7" w:rsidRDefault="004E4885" w:rsidP="001B1100">
            <w:pPr>
              <w:spacing w:line="240" w:lineRule="auto"/>
              <w:ind w:firstLine="0"/>
              <w:rPr>
                <w:rFonts w:asciiTheme="majorBidi" w:hAnsiTheme="majorBidi" w:cstheme="majorBidi"/>
                <w:i/>
                <w:sz w:val="24"/>
                <w:szCs w:val="24"/>
                <w:vertAlign w:val="subscript"/>
                <w:lang w:val="en-US"/>
              </w:rPr>
            </w:pPr>
            <w:r w:rsidRPr="006A52B9">
              <w:rPr>
                <w:rFonts w:asciiTheme="majorBidi" w:hAnsiTheme="majorBidi" w:cstheme="majorBidi"/>
                <w:i/>
                <w:sz w:val="24"/>
                <w:szCs w:val="24"/>
                <w:lang w:val="en-US"/>
              </w:rPr>
              <w:t>R</w:t>
            </w:r>
            <w:r>
              <w:rPr>
                <w:rFonts w:asciiTheme="majorBidi" w:hAnsiTheme="majorBidi" w:cstheme="majorBidi"/>
                <w:i/>
                <w:sz w:val="24"/>
                <w:szCs w:val="24"/>
                <w:vertAlign w:val="subscript"/>
                <w:lang w:val="en-US"/>
              </w:rPr>
              <w:t>i</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0.011***</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0.011***</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0.191***</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0.011***</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0.034**</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0.011***</w:t>
            </w:r>
          </w:p>
        </w:tc>
      </w:tr>
      <w:tr w:rsidR="004E4885" w:rsidRPr="00036566" w:rsidTr="004E4885">
        <w:tc>
          <w:tcPr>
            <w:tcW w:w="0" w:type="auto"/>
            <w:tcBorders>
              <w:top w:val="nil"/>
              <w:left w:val="nil"/>
              <w:bottom w:val="nil"/>
              <w:right w:val="nil"/>
            </w:tcBorders>
          </w:tcPr>
          <w:p w:rsidR="004E4885" w:rsidRPr="007A4735" w:rsidRDefault="004E4885" w:rsidP="001B1100">
            <w:pPr>
              <w:spacing w:line="240" w:lineRule="auto"/>
              <w:ind w:firstLine="0"/>
              <w:rPr>
                <w:rFonts w:asciiTheme="majorBidi" w:hAnsiTheme="majorBidi" w:cstheme="majorBidi"/>
                <w:sz w:val="24"/>
                <w:szCs w:val="24"/>
                <w:lang w:val="en-US"/>
              </w:rPr>
            </w:pP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(4.86)</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(4.90)</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(3.62)</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(4.87)</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(2.14)</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(4.88)</w:t>
            </w:r>
          </w:p>
        </w:tc>
      </w:tr>
      <w:tr w:rsidR="004E4885" w:rsidRPr="00036566" w:rsidTr="004E4885">
        <w:tc>
          <w:tcPr>
            <w:tcW w:w="0" w:type="auto"/>
            <w:tcBorders>
              <w:top w:val="nil"/>
              <w:left w:val="nil"/>
              <w:bottom w:val="nil"/>
              <w:right w:val="nil"/>
            </w:tcBorders>
          </w:tcPr>
          <w:p w:rsidR="004E4885" w:rsidRPr="000133C7" w:rsidRDefault="004E4885" w:rsidP="001B1100">
            <w:pPr>
              <w:spacing w:line="240" w:lineRule="auto"/>
              <w:ind w:firstLine="0"/>
              <w:rPr>
                <w:rFonts w:asciiTheme="majorBidi" w:hAnsiTheme="majorBidi" w:cstheme="majorBidi"/>
                <w:i/>
                <w:sz w:val="24"/>
                <w:szCs w:val="24"/>
                <w:vertAlign w:val="subscript"/>
                <w:lang w:val="en-US"/>
              </w:rPr>
            </w:pPr>
            <w:r w:rsidRPr="006A52B9">
              <w:rPr>
                <w:rFonts w:asciiTheme="majorBidi" w:hAnsiTheme="majorBidi" w:cstheme="majorBidi"/>
                <w:i/>
                <w:sz w:val="24"/>
                <w:szCs w:val="24"/>
                <w:lang w:val="en-US"/>
              </w:rPr>
              <w:t>E</w:t>
            </w:r>
            <w:r>
              <w:rPr>
                <w:rFonts w:asciiTheme="majorBidi" w:hAnsiTheme="majorBidi" w:cstheme="majorBidi"/>
                <w:i/>
                <w:sz w:val="24"/>
                <w:szCs w:val="24"/>
                <w:vertAlign w:val="subscript"/>
                <w:lang w:val="en-US"/>
              </w:rPr>
              <w:t>i</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0.004**</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0.004**</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0.004**</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0.091*</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0.004**</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0.011</w:t>
            </w:r>
          </w:p>
        </w:tc>
      </w:tr>
      <w:tr w:rsidR="004E4885" w:rsidRPr="00036566" w:rsidTr="004E4885">
        <w:tc>
          <w:tcPr>
            <w:tcW w:w="0" w:type="auto"/>
            <w:tcBorders>
              <w:top w:val="nil"/>
              <w:left w:val="nil"/>
              <w:bottom w:val="nil"/>
              <w:right w:val="nil"/>
            </w:tcBorders>
          </w:tcPr>
          <w:p w:rsidR="004E4885" w:rsidRPr="007A4735" w:rsidRDefault="004E4885" w:rsidP="001B1100">
            <w:pPr>
              <w:spacing w:line="240" w:lineRule="auto"/>
              <w:ind w:firstLine="0"/>
              <w:rPr>
                <w:rFonts w:asciiTheme="majorBidi" w:hAnsiTheme="majorBidi" w:cstheme="majorBidi"/>
                <w:sz w:val="24"/>
                <w:szCs w:val="24"/>
                <w:lang w:val="en-US"/>
              </w:rPr>
            </w:pP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(2.37)</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(2.37)</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(2.38)</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(1.65)</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(2.50)</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(1.04)</w:t>
            </w:r>
          </w:p>
        </w:tc>
      </w:tr>
      <w:tr w:rsidR="004E4885" w:rsidRPr="00036566" w:rsidTr="004E4885">
        <w:tc>
          <w:tcPr>
            <w:tcW w:w="0" w:type="auto"/>
            <w:tcBorders>
              <w:top w:val="nil"/>
              <w:left w:val="nil"/>
              <w:bottom w:val="nil"/>
              <w:right w:val="nil"/>
            </w:tcBorders>
          </w:tcPr>
          <w:p w:rsidR="004E4885" w:rsidRPr="007A1A56" w:rsidRDefault="004E4885" w:rsidP="001B1100">
            <w:pPr>
              <w:spacing w:line="240" w:lineRule="auto"/>
              <w:ind w:firstLine="0"/>
              <w:rPr>
                <w:rFonts w:asciiTheme="majorBidi" w:hAnsiTheme="majorBidi" w:cstheme="majorBidi"/>
                <w:sz w:val="24"/>
                <w:szCs w:val="24"/>
                <w:lang w:val="en-US"/>
              </w:rPr>
            </w:pPr>
            <w:r w:rsidRPr="007A1A56">
              <w:rPr>
                <w:rFonts w:asciiTheme="majorBidi" w:hAnsiTheme="majorBidi" w:cstheme="majorBidi"/>
                <w:sz w:val="24"/>
                <w:szCs w:val="24"/>
                <w:lang w:val="en-US"/>
              </w:rPr>
              <w:t>[</w:t>
            </w:r>
            <w:r w:rsidRPr="006A52B9">
              <w:rPr>
                <w:rFonts w:asciiTheme="majorBidi" w:hAnsiTheme="majorBidi" w:cstheme="majorBidi"/>
                <w:i/>
                <w:sz w:val="24"/>
                <w:szCs w:val="24"/>
                <w:lang w:val="en-US"/>
              </w:rPr>
              <w:t>R</w:t>
            </w:r>
            <w:r>
              <w:rPr>
                <w:rFonts w:asciiTheme="majorBidi" w:hAnsiTheme="majorBidi" w:cstheme="majorBidi"/>
                <w:i/>
                <w:sz w:val="24"/>
                <w:szCs w:val="24"/>
                <w:vertAlign w:val="subscript"/>
                <w:lang w:val="en-US"/>
              </w:rPr>
              <w:t>i</w:t>
            </w:r>
            <w:r w:rsidRPr="007A1A56">
              <w:rPr>
                <w:rFonts w:asciiTheme="majorBidi" w:hAnsiTheme="majorBidi" w:cstheme="majorBidi"/>
                <w:sz w:val="24"/>
                <w:szCs w:val="24"/>
                <w:lang w:val="en-US"/>
              </w:rPr>
              <w:t xml:space="preserve"> ×</w:t>
            </w:r>
            <w:r w:rsidRPr="00D5186E">
              <w:rPr>
                <w:rFonts w:asciiTheme="majorBidi" w:hAnsiTheme="majorBidi" w:cstheme="majorBidi"/>
                <w:i/>
                <w:sz w:val="24"/>
                <w:szCs w:val="24"/>
                <w:lang w:val="en-US"/>
              </w:rPr>
              <w:t>Tax</w:t>
            </w:r>
            <w:r w:rsidRPr="000133C7">
              <w:rPr>
                <w:rFonts w:asciiTheme="majorBidi" w:hAnsiTheme="majorBidi" w:cstheme="majorBidi"/>
                <w:i/>
                <w:sz w:val="24"/>
                <w:szCs w:val="24"/>
                <w:vertAlign w:val="subscript"/>
                <w:lang w:val="en-US"/>
              </w:rPr>
              <w:t>it-1</w:t>
            </w:r>
            <w:r w:rsidRPr="007A1A56">
              <w:rPr>
                <w:rFonts w:asciiTheme="majorBidi" w:hAnsiTheme="majorBidi" w:cstheme="majorBidi"/>
                <w:sz w:val="24"/>
                <w:szCs w:val="24"/>
                <w:lang w:val="en-US"/>
              </w:rPr>
              <w:t>]</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-0.881***</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r>
      <w:tr w:rsidR="004E4885" w:rsidRPr="00036566" w:rsidTr="004E4885">
        <w:tc>
          <w:tcPr>
            <w:tcW w:w="0" w:type="auto"/>
            <w:tcBorders>
              <w:top w:val="nil"/>
              <w:left w:val="nil"/>
              <w:bottom w:val="nil"/>
              <w:right w:val="nil"/>
            </w:tcBorders>
          </w:tcPr>
          <w:p w:rsidR="004E4885" w:rsidRPr="007A1A56" w:rsidRDefault="004E4885" w:rsidP="001B1100">
            <w:pPr>
              <w:spacing w:line="240" w:lineRule="auto"/>
              <w:ind w:firstLine="0"/>
              <w:rPr>
                <w:rFonts w:asciiTheme="majorBidi" w:hAnsiTheme="majorBidi" w:cstheme="majorBidi"/>
                <w:sz w:val="24"/>
                <w:szCs w:val="24"/>
                <w:lang w:val="en-US"/>
              </w:rPr>
            </w:pP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(3.40)</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r>
      <w:tr w:rsidR="004E4885" w:rsidRPr="00036566" w:rsidTr="004E4885">
        <w:tc>
          <w:tcPr>
            <w:tcW w:w="0" w:type="auto"/>
            <w:tcBorders>
              <w:top w:val="nil"/>
              <w:left w:val="nil"/>
              <w:bottom w:val="nil"/>
              <w:right w:val="nil"/>
            </w:tcBorders>
          </w:tcPr>
          <w:p w:rsidR="004E4885" w:rsidRPr="007A1A56" w:rsidRDefault="004E4885" w:rsidP="001B1100">
            <w:pPr>
              <w:spacing w:line="240" w:lineRule="auto"/>
              <w:ind w:firstLine="0"/>
              <w:rPr>
                <w:rFonts w:asciiTheme="majorBidi" w:hAnsiTheme="majorBidi" w:cstheme="majorBidi"/>
                <w:sz w:val="24"/>
                <w:szCs w:val="24"/>
                <w:lang w:val="en-US"/>
              </w:rPr>
            </w:pPr>
            <w:r w:rsidRPr="007A1A56">
              <w:rPr>
                <w:rFonts w:asciiTheme="majorBidi" w:hAnsiTheme="majorBidi" w:cstheme="majorBidi"/>
                <w:sz w:val="24"/>
                <w:szCs w:val="24"/>
                <w:lang w:val="en-US"/>
              </w:rPr>
              <w:t>[</w:t>
            </w:r>
            <w:r>
              <w:rPr>
                <w:rFonts w:asciiTheme="majorBidi" w:hAnsiTheme="majorBidi" w:cstheme="majorBidi"/>
                <w:i/>
                <w:sz w:val="24"/>
                <w:szCs w:val="24"/>
                <w:lang w:val="en-US"/>
              </w:rPr>
              <w:t>E</w:t>
            </w:r>
            <w:r>
              <w:rPr>
                <w:rFonts w:asciiTheme="majorBidi" w:hAnsiTheme="majorBidi" w:cstheme="majorBidi"/>
                <w:i/>
                <w:sz w:val="24"/>
                <w:szCs w:val="24"/>
                <w:vertAlign w:val="subscript"/>
                <w:lang w:val="en-US"/>
              </w:rPr>
              <w:t>i</w:t>
            </w:r>
            <w:r w:rsidRPr="007A1A56">
              <w:rPr>
                <w:rFonts w:asciiTheme="majorBidi" w:hAnsiTheme="majorBidi" w:cstheme="majorBidi"/>
                <w:sz w:val="24"/>
                <w:szCs w:val="24"/>
                <w:lang w:val="en-US"/>
              </w:rPr>
              <w:t xml:space="preserve"> ×</w:t>
            </w:r>
            <w:r w:rsidRPr="00D5186E">
              <w:rPr>
                <w:rFonts w:asciiTheme="majorBidi" w:hAnsiTheme="majorBidi" w:cstheme="majorBidi"/>
                <w:i/>
                <w:sz w:val="24"/>
                <w:szCs w:val="24"/>
                <w:lang w:val="en-US"/>
              </w:rPr>
              <w:t>Tax</w:t>
            </w:r>
            <w:r w:rsidRPr="000133C7">
              <w:rPr>
                <w:rFonts w:asciiTheme="majorBidi" w:hAnsiTheme="majorBidi" w:cstheme="majorBidi"/>
                <w:i/>
                <w:sz w:val="24"/>
                <w:szCs w:val="24"/>
                <w:vertAlign w:val="subscript"/>
                <w:lang w:val="en-US"/>
              </w:rPr>
              <w:t>it-1</w:t>
            </w:r>
            <w:r w:rsidRPr="007A1A56">
              <w:rPr>
                <w:rFonts w:asciiTheme="majorBidi" w:hAnsiTheme="majorBidi" w:cstheme="majorBidi"/>
                <w:sz w:val="24"/>
                <w:szCs w:val="24"/>
                <w:lang w:val="en-US"/>
              </w:rPr>
              <w:t>]</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-0.423*</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r>
      <w:tr w:rsidR="004E4885" w:rsidRPr="00036566" w:rsidTr="004E4885">
        <w:tc>
          <w:tcPr>
            <w:tcW w:w="0" w:type="auto"/>
            <w:tcBorders>
              <w:top w:val="nil"/>
              <w:left w:val="nil"/>
              <w:bottom w:val="nil"/>
              <w:right w:val="nil"/>
            </w:tcBorders>
          </w:tcPr>
          <w:p w:rsidR="004E4885" w:rsidRPr="007A4735" w:rsidRDefault="004E4885" w:rsidP="001B1100">
            <w:pPr>
              <w:spacing w:line="240" w:lineRule="auto"/>
              <w:ind w:firstLine="0"/>
              <w:rPr>
                <w:rFonts w:asciiTheme="majorBidi" w:hAnsiTheme="majorBidi" w:cstheme="majorBidi"/>
                <w:sz w:val="24"/>
                <w:szCs w:val="24"/>
                <w:lang w:val="en-US"/>
              </w:rPr>
            </w:pP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(1.68)</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r>
      <w:tr w:rsidR="004E4885" w:rsidRPr="00036566" w:rsidTr="004E4885">
        <w:tc>
          <w:tcPr>
            <w:tcW w:w="0" w:type="auto"/>
            <w:tcBorders>
              <w:top w:val="nil"/>
              <w:left w:val="nil"/>
              <w:bottom w:val="nil"/>
              <w:right w:val="nil"/>
            </w:tcBorders>
          </w:tcPr>
          <w:p w:rsidR="004E4885" w:rsidRPr="007A4735" w:rsidRDefault="004E4885" w:rsidP="001B1100">
            <w:pPr>
              <w:spacing w:line="240" w:lineRule="auto"/>
              <w:ind w:firstLine="0"/>
              <w:rPr>
                <w:rFonts w:asciiTheme="majorBidi" w:hAnsiTheme="majorBidi" w:cstheme="majorBidi"/>
                <w:sz w:val="24"/>
                <w:szCs w:val="24"/>
                <w:lang w:val="en-US"/>
              </w:rPr>
            </w:pPr>
            <w:r w:rsidRPr="007A4735">
              <w:rPr>
                <w:rFonts w:asciiTheme="majorBidi" w:hAnsiTheme="majorBidi" w:cstheme="majorBidi"/>
                <w:sz w:val="24"/>
                <w:szCs w:val="24"/>
                <w:lang w:val="en-US"/>
              </w:rPr>
              <w:t>[</w:t>
            </w:r>
            <w:r w:rsidRPr="000133C7">
              <w:rPr>
                <w:rFonts w:asciiTheme="majorBidi" w:hAnsiTheme="majorBidi" w:cstheme="majorBidi"/>
                <w:i/>
                <w:sz w:val="24"/>
                <w:szCs w:val="24"/>
                <w:lang w:val="en-US"/>
              </w:rPr>
              <w:t>GAP</w:t>
            </w:r>
            <w:r>
              <w:rPr>
                <w:rFonts w:asciiTheme="majorBidi" w:hAnsiTheme="majorBidi" w:cstheme="majorBidi"/>
                <w:i/>
                <w:sz w:val="24"/>
                <w:szCs w:val="24"/>
                <w:vertAlign w:val="subscript"/>
                <w:lang w:val="en-US"/>
              </w:rPr>
              <w:t>it-1</w:t>
            </w:r>
            <w:r w:rsidRPr="007A4735">
              <w:rPr>
                <w:rFonts w:asciiTheme="majorBidi" w:hAnsiTheme="majorBidi" w:cstheme="majorBidi"/>
                <w:sz w:val="24"/>
                <w:szCs w:val="24"/>
                <w:lang w:val="en-US"/>
              </w:rPr>
              <w:t>×</w:t>
            </w:r>
            <w:r w:rsidRPr="00D5186E">
              <w:rPr>
                <w:rFonts w:asciiTheme="majorBidi" w:hAnsiTheme="majorBidi" w:cstheme="majorBidi"/>
                <w:i/>
                <w:sz w:val="24"/>
                <w:szCs w:val="24"/>
                <w:lang w:val="en-US"/>
              </w:rPr>
              <w:t>Tax</w:t>
            </w:r>
            <w:r w:rsidRPr="000133C7">
              <w:rPr>
                <w:rFonts w:asciiTheme="majorBidi" w:hAnsiTheme="majorBidi" w:cstheme="majorBidi"/>
                <w:i/>
                <w:sz w:val="24"/>
                <w:szCs w:val="24"/>
                <w:vertAlign w:val="subscript"/>
                <w:lang w:val="en-US"/>
              </w:rPr>
              <w:t>it-1</w:t>
            </w:r>
            <w:r w:rsidRPr="007A4735">
              <w:rPr>
                <w:rFonts w:asciiTheme="majorBidi" w:hAnsiTheme="majorBidi" w:cstheme="majorBidi"/>
                <w:sz w:val="24"/>
                <w:szCs w:val="24"/>
                <w:lang w:val="en-US"/>
              </w:rPr>
              <w:t>×</w:t>
            </w:r>
            <w:r w:rsidRPr="006A52B9">
              <w:rPr>
                <w:rFonts w:asciiTheme="majorBidi" w:hAnsiTheme="majorBidi" w:cstheme="majorBidi"/>
                <w:i/>
                <w:sz w:val="24"/>
                <w:szCs w:val="24"/>
                <w:lang w:val="en-US"/>
              </w:rPr>
              <w:t>R</w:t>
            </w:r>
            <w:r>
              <w:rPr>
                <w:rFonts w:asciiTheme="majorBidi" w:hAnsiTheme="majorBidi" w:cstheme="majorBidi"/>
                <w:i/>
                <w:sz w:val="24"/>
                <w:szCs w:val="24"/>
                <w:vertAlign w:val="subscript"/>
                <w:lang w:val="en-US"/>
              </w:rPr>
              <w:t>i</w:t>
            </w:r>
            <w:r w:rsidRPr="007A4735">
              <w:rPr>
                <w:rFonts w:asciiTheme="majorBidi" w:hAnsiTheme="majorBidi" w:cstheme="majorBidi"/>
                <w:sz w:val="24"/>
                <w:szCs w:val="24"/>
                <w:lang w:val="en-US"/>
              </w:rPr>
              <w:t>]</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0.345</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r>
      <w:tr w:rsidR="004E4885" w:rsidRPr="00036566" w:rsidTr="004E4885">
        <w:tc>
          <w:tcPr>
            <w:tcW w:w="0" w:type="auto"/>
            <w:tcBorders>
              <w:top w:val="nil"/>
              <w:left w:val="nil"/>
              <w:bottom w:val="nil"/>
              <w:right w:val="nil"/>
            </w:tcBorders>
          </w:tcPr>
          <w:p w:rsidR="004E4885" w:rsidRPr="007A4735" w:rsidRDefault="004E4885" w:rsidP="001B1100">
            <w:pPr>
              <w:spacing w:line="240" w:lineRule="auto"/>
              <w:ind w:firstLine="0"/>
              <w:rPr>
                <w:rFonts w:asciiTheme="majorBidi" w:hAnsiTheme="majorBidi" w:cstheme="majorBidi"/>
                <w:sz w:val="24"/>
                <w:szCs w:val="24"/>
                <w:lang w:val="en-US"/>
              </w:rPr>
            </w:pP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(1.34)</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r>
      <w:tr w:rsidR="004E4885" w:rsidRPr="00036566" w:rsidTr="004E4885">
        <w:tc>
          <w:tcPr>
            <w:tcW w:w="0" w:type="auto"/>
            <w:tcBorders>
              <w:top w:val="nil"/>
              <w:left w:val="nil"/>
              <w:bottom w:val="nil"/>
              <w:right w:val="nil"/>
            </w:tcBorders>
          </w:tcPr>
          <w:p w:rsidR="004E4885" w:rsidRPr="007A4735" w:rsidRDefault="004E4885" w:rsidP="001B1100">
            <w:pPr>
              <w:spacing w:line="240" w:lineRule="auto"/>
              <w:ind w:firstLine="0"/>
              <w:rPr>
                <w:rFonts w:asciiTheme="majorBidi" w:hAnsiTheme="majorBidi" w:cstheme="majorBidi"/>
                <w:sz w:val="24"/>
                <w:szCs w:val="24"/>
                <w:lang w:val="en-US"/>
              </w:rPr>
            </w:pPr>
            <w:r w:rsidRPr="007A4735">
              <w:rPr>
                <w:rFonts w:asciiTheme="majorBidi" w:hAnsiTheme="majorBidi" w:cstheme="majorBidi"/>
                <w:sz w:val="24"/>
                <w:szCs w:val="24"/>
                <w:lang w:val="en-US"/>
              </w:rPr>
              <w:t>[</w:t>
            </w:r>
            <w:r w:rsidRPr="000133C7">
              <w:rPr>
                <w:rFonts w:asciiTheme="majorBidi" w:hAnsiTheme="majorBidi" w:cstheme="majorBidi"/>
                <w:i/>
                <w:sz w:val="24"/>
                <w:szCs w:val="24"/>
                <w:lang w:val="en-US"/>
              </w:rPr>
              <w:t>GAP</w:t>
            </w:r>
            <w:r>
              <w:rPr>
                <w:rFonts w:asciiTheme="majorBidi" w:hAnsiTheme="majorBidi" w:cstheme="majorBidi"/>
                <w:i/>
                <w:sz w:val="24"/>
                <w:szCs w:val="24"/>
                <w:vertAlign w:val="subscript"/>
                <w:lang w:val="en-US"/>
              </w:rPr>
              <w:t>it-1</w:t>
            </w:r>
            <w:r w:rsidRPr="007A4735">
              <w:rPr>
                <w:rFonts w:asciiTheme="majorBidi" w:hAnsiTheme="majorBidi" w:cstheme="majorBidi"/>
                <w:sz w:val="24"/>
                <w:szCs w:val="24"/>
                <w:lang w:val="en-US"/>
              </w:rPr>
              <w:t>×</w:t>
            </w:r>
            <w:r w:rsidRPr="00D5186E">
              <w:rPr>
                <w:rFonts w:asciiTheme="majorBidi" w:hAnsiTheme="majorBidi" w:cstheme="majorBidi"/>
                <w:i/>
                <w:sz w:val="24"/>
                <w:szCs w:val="24"/>
                <w:lang w:val="en-US"/>
              </w:rPr>
              <w:t>Tax</w:t>
            </w:r>
            <w:r w:rsidRPr="000133C7">
              <w:rPr>
                <w:rFonts w:asciiTheme="majorBidi" w:hAnsiTheme="majorBidi" w:cstheme="majorBidi"/>
                <w:i/>
                <w:sz w:val="24"/>
                <w:szCs w:val="24"/>
                <w:vertAlign w:val="subscript"/>
                <w:lang w:val="en-US"/>
              </w:rPr>
              <w:t>it-1</w:t>
            </w:r>
            <w:r w:rsidRPr="007A4735">
              <w:rPr>
                <w:rFonts w:asciiTheme="majorBidi" w:hAnsiTheme="majorBidi" w:cstheme="majorBidi"/>
                <w:sz w:val="24"/>
                <w:szCs w:val="24"/>
                <w:lang w:val="en-US"/>
              </w:rPr>
              <w:t>×</w:t>
            </w:r>
            <w:r>
              <w:rPr>
                <w:rFonts w:asciiTheme="majorBidi" w:hAnsiTheme="majorBidi" w:cstheme="majorBidi"/>
                <w:i/>
                <w:sz w:val="24"/>
                <w:szCs w:val="24"/>
                <w:lang w:val="en-US"/>
              </w:rPr>
              <w:t>E</w:t>
            </w:r>
            <w:r>
              <w:rPr>
                <w:rFonts w:asciiTheme="majorBidi" w:hAnsiTheme="majorBidi" w:cstheme="majorBidi"/>
                <w:i/>
                <w:sz w:val="24"/>
                <w:szCs w:val="24"/>
                <w:vertAlign w:val="subscript"/>
                <w:lang w:val="en-US"/>
              </w:rPr>
              <w:t>i</w:t>
            </w:r>
            <w:r w:rsidRPr="007A4735">
              <w:rPr>
                <w:rFonts w:asciiTheme="majorBidi" w:hAnsiTheme="majorBidi" w:cstheme="majorBidi"/>
                <w:sz w:val="24"/>
                <w:szCs w:val="24"/>
                <w:lang w:val="en-US"/>
              </w:rPr>
              <w:t>]</w:t>
            </w: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c>
          <w:tcPr>
            <w:tcW w:w="0" w:type="auto"/>
            <w:tcBorders>
              <w:top w:val="nil"/>
              <w:left w:val="nil"/>
              <w:bottom w:val="nil"/>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0.102</w:t>
            </w:r>
          </w:p>
        </w:tc>
      </w:tr>
      <w:tr w:rsidR="004E4885" w:rsidRPr="00036566" w:rsidTr="004E4885">
        <w:tc>
          <w:tcPr>
            <w:tcW w:w="0" w:type="auto"/>
            <w:tcBorders>
              <w:top w:val="nil"/>
              <w:left w:val="nil"/>
              <w:bottom w:val="single" w:sz="4" w:space="0" w:color="auto"/>
              <w:right w:val="nil"/>
            </w:tcBorders>
          </w:tcPr>
          <w:p w:rsidR="004E4885" w:rsidRPr="007A4735" w:rsidRDefault="004E4885" w:rsidP="001B1100">
            <w:pPr>
              <w:spacing w:line="240" w:lineRule="auto"/>
              <w:ind w:firstLine="0"/>
              <w:rPr>
                <w:rFonts w:asciiTheme="majorBidi" w:hAnsiTheme="majorBidi" w:cstheme="majorBidi"/>
                <w:sz w:val="24"/>
                <w:szCs w:val="24"/>
                <w:lang w:val="en-US"/>
              </w:rPr>
            </w:pPr>
          </w:p>
        </w:tc>
        <w:tc>
          <w:tcPr>
            <w:tcW w:w="0" w:type="auto"/>
            <w:tcBorders>
              <w:top w:val="nil"/>
              <w:left w:val="nil"/>
              <w:bottom w:val="single" w:sz="4" w:space="0" w:color="auto"/>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c>
          <w:tcPr>
            <w:tcW w:w="0" w:type="auto"/>
            <w:tcBorders>
              <w:top w:val="nil"/>
              <w:left w:val="nil"/>
              <w:bottom w:val="single" w:sz="4" w:space="0" w:color="auto"/>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c>
          <w:tcPr>
            <w:tcW w:w="0" w:type="auto"/>
            <w:tcBorders>
              <w:top w:val="nil"/>
              <w:left w:val="nil"/>
              <w:bottom w:val="single" w:sz="4" w:space="0" w:color="auto"/>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c>
          <w:tcPr>
            <w:tcW w:w="0" w:type="auto"/>
            <w:tcBorders>
              <w:top w:val="nil"/>
              <w:left w:val="nil"/>
              <w:bottom w:val="single" w:sz="4" w:space="0" w:color="auto"/>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c>
          <w:tcPr>
            <w:tcW w:w="0" w:type="auto"/>
            <w:tcBorders>
              <w:top w:val="nil"/>
              <w:left w:val="nil"/>
              <w:bottom w:val="single" w:sz="4" w:space="0" w:color="auto"/>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p>
        </w:tc>
        <w:tc>
          <w:tcPr>
            <w:tcW w:w="0" w:type="auto"/>
            <w:tcBorders>
              <w:top w:val="nil"/>
              <w:left w:val="nil"/>
              <w:bottom w:val="single" w:sz="4" w:space="0" w:color="auto"/>
              <w:right w:val="nil"/>
            </w:tcBorders>
          </w:tcPr>
          <w:p w:rsidR="004E4885" w:rsidRPr="004E4885" w:rsidRDefault="004E4885"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(0.64)</w:t>
            </w:r>
          </w:p>
        </w:tc>
      </w:tr>
      <w:tr w:rsidR="00840D8D" w:rsidRPr="00036566" w:rsidTr="004E4885">
        <w:tc>
          <w:tcPr>
            <w:tcW w:w="0" w:type="auto"/>
            <w:tcBorders>
              <w:top w:val="nil"/>
              <w:left w:val="nil"/>
              <w:bottom w:val="single" w:sz="4" w:space="0" w:color="auto"/>
              <w:right w:val="nil"/>
            </w:tcBorders>
          </w:tcPr>
          <w:p w:rsidR="00840D8D" w:rsidRPr="00036566" w:rsidRDefault="00840D8D" w:rsidP="001B1100">
            <w:pPr>
              <w:widowControl w:val="0"/>
              <w:autoSpaceDE w:val="0"/>
              <w:autoSpaceDN w:val="0"/>
              <w:adjustRightInd w:val="0"/>
              <w:spacing w:line="240" w:lineRule="auto"/>
              <w:ind w:firstLine="0"/>
              <w:rPr>
                <w:rFonts w:ascii="Times New Roman" w:hAnsi="Times New Roman"/>
                <w:bCs/>
                <w:sz w:val="24"/>
                <w:szCs w:val="24"/>
                <w:lang w:val="en-US"/>
              </w:rPr>
            </w:pPr>
            <w:r w:rsidRPr="00036566">
              <w:rPr>
                <w:rFonts w:ascii="Times New Roman" w:hAnsi="Times New Roman"/>
                <w:bCs/>
                <w:sz w:val="24"/>
                <w:szCs w:val="24"/>
                <w:lang w:val="en-US"/>
              </w:rPr>
              <w:t>Industry dummies</w:t>
            </w:r>
          </w:p>
        </w:tc>
        <w:tc>
          <w:tcPr>
            <w:tcW w:w="0" w:type="auto"/>
            <w:tcBorders>
              <w:top w:val="nil"/>
              <w:left w:val="nil"/>
              <w:bottom w:val="single" w:sz="4" w:space="0" w:color="auto"/>
              <w:right w:val="nil"/>
            </w:tcBorders>
          </w:tcPr>
          <w:p w:rsidR="00840D8D" w:rsidRPr="004E4885" w:rsidRDefault="00840D8D"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Yes</w:t>
            </w:r>
          </w:p>
        </w:tc>
        <w:tc>
          <w:tcPr>
            <w:tcW w:w="0" w:type="auto"/>
            <w:tcBorders>
              <w:top w:val="nil"/>
              <w:left w:val="nil"/>
              <w:bottom w:val="single" w:sz="4" w:space="0" w:color="auto"/>
              <w:right w:val="nil"/>
            </w:tcBorders>
          </w:tcPr>
          <w:p w:rsidR="00840D8D" w:rsidRPr="004E4885" w:rsidRDefault="00840D8D"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Yes</w:t>
            </w:r>
          </w:p>
        </w:tc>
        <w:tc>
          <w:tcPr>
            <w:tcW w:w="0" w:type="auto"/>
            <w:tcBorders>
              <w:top w:val="nil"/>
              <w:left w:val="nil"/>
              <w:bottom w:val="single" w:sz="4" w:space="0" w:color="auto"/>
              <w:right w:val="nil"/>
            </w:tcBorders>
          </w:tcPr>
          <w:p w:rsidR="00840D8D" w:rsidRPr="004E4885" w:rsidRDefault="00840D8D"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Yes</w:t>
            </w:r>
          </w:p>
        </w:tc>
        <w:tc>
          <w:tcPr>
            <w:tcW w:w="0" w:type="auto"/>
            <w:tcBorders>
              <w:top w:val="nil"/>
              <w:left w:val="nil"/>
              <w:bottom w:val="single" w:sz="4" w:space="0" w:color="auto"/>
              <w:right w:val="nil"/>
            </w:tcBorders>
          </w:tcPr>
          <w:p w:rsidR="00840D8D" w:rsidRPr="004E4885" w:rsidRDefault="00840D8D"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Yes</w:t>
            </w:r>
          </w:p>
        </w:tc>
        <w:tc>
          <w:tcPr>
            <w:tcW w:w="0" w:type="auto"/>
            <w:tcBorders>
              <w:top w:val="nil"/>
              <w:left w:val="nil"/>
              <w:bottom w:val="single" w:sz="4" w:space="0" w:color="auto"/>
              <w:right w:val="nil"/>
            </w:tcBorders>
          </w:tcPr>
          <w:p w:rsidR="00840D8D" w:rsidRPr="004E4885" w:rsidRDefault="00840D8D"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Yes</w:t>
            </w:r>
          </w:p>
        </w:tc>
        <w:tc>
          <w:tcPr>
            <w:tcW w:w="0" w:type="auto"/>
            <w:tcBorders>
              <w:top w:val="nil"/>
              <w:left w:val="nil"/>
              <w:bottom w:val="single" w:sz="4" w:space="0" w:color="auto"/>
              <w:right w:val="nil"/>
            </w:tcBorders>
          </w:tcPr>
          <w:p w:rsidR="00840D8D" w:rsidRPr="004E4885" w:rsidRDefault="00840D8D"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Yes</w:t>
            </w:r>
          </w:p>
        </w:tc>
      </w:tr>
      <w:tr w:rsidR="00840D8D" w:rsidRPr="00036566" w:rsidTr="004E4885">
        <w:tc>
          <w:tcPr>
            <w:tcW w:w="0" w:type="auto"/>
            <w:tcBorders>
              <w:top w:val="nil"/>
              <w:left w:val="nil"/>
              <w:bottom w:val="single" w:sz="4" w:space="0" w:color="auto"/>
              <w:right w:val="nil"/>
            </w:tcBorders>
          </w:tcPr>
          <w:p w:rsidR="00840D8D" w:rsidRPr="00036566" w:rsidRDefault="00840D8D" w:rsidP="001B1100">
            <w:pPr>
              <w:widowControl w:val="0"/>
              <w:autoSpaceDE w:val="0"/>
              <w:autoSpaceDN w:val="0"/>
              <w:adjustRightInd w:val="0"/>
              <w:spacing w:line="240" w:lineRule="auto"/>
              <w:ind w:firstLine="0"/>
              <w:rPr>
                <w:rFonts w:ascii="Times New Roman" w:hAnsi="Times New Roman"/>
                <w:bCs/>
                <w:sz w:val="24"/>
                <w:szCs w:val="24"/>
                <w:lang w:val="en-US"/>
              </w:rPr>
            </w:pPr>
            <w:r w:rsidRPr="00036566">
              <w:rPr>
                <w:rFonts w:ascii="Times New Roman" w:hAnsi="Times New Roman"/>
                <w:bCs/>
                <w:sz w:val="24"/>
                <w:szCs w:val="24"/>
                <w:lang w:val="en-US"/>
              </w:rPr>
              <w:t>Year dummies</w:t>
            </w:r>
          </w:p>
        </w:tc>
        <w:tc>
          <w:tcPr>
            <w:tcW w:w="0" w:type="auto"/>
            <w:tcBorders>
              <w:top w:val="nil"/>
              <w:left w:val="nil"/>
              <w:bottom w:val="single" w:sz="4" w:space="0" w:color="auto"/>
              <w:right w:val="nil"/>
            </w:tcBorders>
          </w:tcPr>
          <w:p w:rsidR="00840D8D" w:rsidRPr="004E4885" w:rsidRDefault="00840D8D"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Yes</w:t>
            </w:r>
          </w:p>
        </w:tc>
        <w:tc>
          <w:tcPr>
            <w:tcW w:w="0" w:type="auto"/>
            <w:tcBorders>
              <w:top w:val="nil"/>
              <w:left w:val="nil"/>
              <w:bottom w:val="single" w:sz="4" w:space="0" w:color="auto"/>
              <w:right w:val="nil"/>
            </w:tcBorders>
          </w:tcPr>
          <w:p w:rsidR="00840D8D" w:rsidRPr="004E4885" w:rsidRDefault="00840D8D"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Yes</w:t>
            </w:r>
          </w:p>
        </w:tc>
        <w:tc>
          <w:tcPr>
            <w:tcW w:w="0" w:type="auto"/>
            <w:tcBorders>
              <w:top w:val="nil"/>
              <w:left w:val="nil"/>
              <w:bottom w:val="single" w:sz="4" w:space="0" w:color="auto"/>
              <w:right w:val="nil"/>
            </w:tcBorders>
          </w:tcPr>
          <w:p w:rsidR="00840D8D" w:rsidRPr="004E4885" w:rsidRDefault="00840D8D"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Yes</w:t>
            </w:r>
          </w:p>
        </w:tc>
        <w:tc>
          <w:tcPr>
            <w:tcW w:w="0" w:type="auto"/>
            <w:tcBorders>
              <w:top w:val="nil"/>
              <w:left w:val="nil"/>
              <w:bottom w:val="single" w:sz="4" w:space="0" w:color="auto"/>
              <w:right w:val="nil"/>
            </w:tcBorders>
          </w:tcPr>
          <w:p w:rsidR="00840D8D" w:rsidRPr="004E4885" w:rsidRDefault="00840D8D"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Yes</w:t>
            </w:r>
          </w:p>
        </w:tc>
        <w:tc>
          <w:tcPr>
            <w:tcW w:w="0" w:type="auto"/>
            <w:tcBorders>
              <w:top w:val="nil"/>
              <w:left w:val="nil"/>
              <w:bottom w:val="single" w:sz="4" w:space="0" w:color="auto"/>
              <w:right w:val="nil"/>
            </w:tcBorders>
          </w:tcPr>
          <w:p w:rsidR="00840D8D" w:rsidRPr="004E4885" w:rsidRDefault="00840D8D"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Yes</w:t>
            </w:r>
          </w:p>
        </w:tc>
        <w:tc>
          <w:tcPr>
            <w:tcW w:w="0" w:type="auto"/>
            <w:tcBorders>
              <w:top w:val="nil"/>
              <w:left w:val="nil"/>
              <w:bottom w:val="single" w:sz="4" w:space="0" w:color="auto"/>
              <w:right w:val="nil"/>
            </w:tcBorders>
          </w:tcPr>
          <w:p w:rsidR="00840D8D" w:rsidRPr="004E4885" w:rsidRDefault="00840D8D"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Yes</w:t>
            </w:r>
          </w:p>
        </w:tc>
      </w:tr>
      <w:tr w:rsidR="00840D8D" w:rsidRPr="00036566" w:rsidTr="004E4885">
        <w:tc>
          <w:tcPr>
            <w:tcW w:w="0" w:type="auto"/>
            <w:tcBorders>
              <w:top w:val="single" w:sz="4" w:space="0" w:color="auto"/>
              <w:left w:val="nil"/>
              <w:bottom w:val="nil"/>
              <w:right w:val="nil"/>
            </w:tcBorders>
          </w:tcPr>
          <w:p w:rsidR="00840D8D" w:rsidRPr="00036566" w:rsidRDefault="00840D8D" w:rsidP="001B1100">
            <w:pPr>
              <w:widowControl w:val="0"/>
              <w:autoSpaceDE w:val="0"/>
              <w:autoSpaceDN w:val="0"/>
              <w:adjustRightInd w:val="0"/>
              <w:spacing w:line="240" w:lineRule="auto"/>
              <w:ind w:firstLine="0"/>
              <w:rPr>
                <w:rFonts w:ascii="Times New Roman" w:hAnsi="Times New Roman"/>
                <w:bCs/>
                <w:sz w:val="24"/>
                <w:szCs w:val="24"/>
                <w:lang w:val="en-US"/>
              </w:rPr>
            </w:pPr>
            <w:r w:rsidRPr="00036566">
              <w:rPr>
                <w:rFonts w:ascii="Times New Roman" w:hAnsi="Times New Roman"/>
                <w:bCs/>
                <w:sz w:val="24"/>
                <w:szCs w:val="24"/>
                <w:lang w:val="en-US"/>
              </w:rPr>
              <w:t>Observations</w:t>
            </w:r>
          </w:p>
        </w:tc>
        <w:tc>
          <w:tcPr>
            <w:tcW w:w="0" w:type="auto"/>
            <w:tcBorders>
              <w:top w:val="single" w:sz="4" w:space="0" w:color="auto"/>
              <w:left w:val="nil"/>
              <w:bottom w:val="nil"/>
              <w:right w:val="nil"/>
            </w:tcBorders>
          </w:tcPr>
          <w:p w:rsidR="00840D8D" w:rsidRPr="004E4885" w:rsidRDefault="00840D8D"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24568</w:t>
            </w:r>
          </w:p>
        </w:tc>
        <w:tc>
          <w:tcPr>
            <w:tcW w:w="0" w:type="auto"/>
            <w:tcBorders>
              <w:top w:val="single" w:sz="4" w:space="0" w:color="auto"/>
              <w:left w:val="nil"/>
              <w:bottom w:val="nil"/>
              <w:right w:val="nil"/>
            </w:tcBorders>
          </w:tcPr>
          <w:p w:rsidR="00840D8D" w:rsidRPr="004E4885" w:rsidRDefault="00840D8D"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24568</w:t>
            </w:r>
          </w:p>
        </w:tc>
        <w:tc>
          <w:tcPr>
            <w:tcW w:w="0" w:type="auto"/>
            <w:tcBorders>
              <w:top w:val="single" w:sz="4" w:space="0" w:color="auto"/>
              <w:left w:val="nil"/>
              <w:bottom w:val="nil"/>
              <w:right w:val="nil"/>
            </w:tcBorders>
          </w:tcPr>
          <w:p w:rsidR="00840D8D" w:rsidRPr="004E4885" w:rsidRDefault="00840D8D"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24568</w:t>
            </w:r>
          </w:p>
        </w:tc>
        <w:tc>
          <w:tcPr>
            <w:tcW w:w="0" w:type="auto"/>
            <w:tcBorders>
              <w:top w:val="single" w:sz="4" w:space="0" w:color="auto"/>
              <w:left w:val="nil"/>
              <w:bottom w:val="nil"/>
              <w:right w:val="nil"/>
            </w:tcBorders>
          </w:tcPr>
          <w:p w:rsidR="00840D8D" w:rsidRPr="004E4885" w:rsidRDefault="00840D8D"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24568</w:t>
            </w:r>
          </w:p>
        </w:tc>
        <w:tc>
          <w:tcPr>
            <w:tcW w:w="0" w:type="auto"/>
            <w:tcBorders>
              <w:top w:val="single" w:sz="4" w:space="0" w:color="auto"/>
              <w:left w:val="nil"/>
              <w:bottom w:val="nil"/>
              <w:right w:val="nil"/>
            </w:tcBorders>
          </w:tcPr>
          <w:p w:rsidR="00840D8D" w:rsidRPr="004E4885" w:rsidRDefault="00840D8D"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24568</w:t>
            </w:r>
          </w:p>
        </w:tc>
        <w:tc>
          <w:tcPr>
            <w:tcW w:w="0" w:type="auto"/>
            <w:tcBorders>
              <w:top w:val="single" w:sz="4" w:space="0" w:color="auto"/>
              <w:left w:val="nil"/>
              <w:bottom w:val="nil"/>
              <w:right w:val="nil"/>
            </w:tcBorders>
          </w:tcPr>
          <w:p w:rsidR="00840D8D" w:rsidRPr="004E4885" w:rsidRDefault="00840D8D"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24568</w:t>
            </w:r>
          </w:p>
        </w:tc>
      </w:tr>
      <w:tr w:rsidR="00840D8D" w:rsidRPr="00036566" w:rsidTr="004E4885">
        <w:tc>
          <w:tcPr>
            <w:tcW w:w="0" w:type="auto"/>
            <w:tcBorders>
              <w:top w:val="nil"/>
              <w:left w:val="nil"/>
              <w:bottom w:val="nil"/>
              <w:right w:val="nil"/>
            </w:tcBorders>
          </w:tcPr>
          <w:p w:rsidR="00840D8D" w:rsidRPr="00036566" w:rsidRDefault="00840D8D" w:rsidP="001B1100">
            <w:pPr>
              <w:widowControl w:val="0"/>
              <w:autoSpaceDE w:val="0"/>
              <w:autoSpaceDN w:val="0"/>
              <w:adjustRightInd w:val="0"/>
              <w:spacing w:line="240" w:lineRule="auto"/>
              <w:ind w:firstLine="0"/>
              <w:rPr>
                <w:rFonts w:ascii="Times New Roman" w:hAnsi="Times New Roman"/>
                <w:bCs/>
                <w:sz w:val="24"/>
                <w:szCs w:val="24"/>
                <w:lang w:val="en-US"/>
              </w:rPr>
            </w:pPr>
            <w:r w:rsidRPr="00036566">
              <w:rPr>
                <w:rFonts w:ascii="Times New Roman" w:hAnsi="Times New Roman"/>
                <w:bCs/>
                <w:sz w:val="24"/>
                <w:szCs w:val="24"/>
                <w:lang w:val="en-US"/>
              </w:rPr>
              <w:t xml:space="preserve">Adjusted </w:t>
            </w:r>
            <w:r w:rsidRPr="00036566">
              <w:rPr>
                <w:rFonts w:ascii="Times New Roman" w:hAnsi="Times New Roman"/>
                <w:bCs/>
                <w:i/>
                <w:iCs/>
                <w:sz w:val="24"/>
                <w:szCs w:val="24"/>
                <w:lang w:val="en-US"/>
              </w:rPr>
              <w:t>R</w:t>
            </w:r>
            <w:r w:rsidRPr="00036566">
              <w:rPr>
                <w:rFonts w:ascii="Times New Roman" w:hAnsi="Times New Roman"/>
                <w:bCs/>
                <w:sz w:val="24"/>
                <w:szCs w:val="24"/>
                <w:vertAlign w:val="superscript"/>
                <w:lang w:val="en-US"/>
              </w:rPr>
              <w:t>2</w:t>
            </w:r>
          </w:p>
        </w:tc>
        <w:tc>
          <w:tcPr>
            <w:tcW w:w="0" w:type="auto"/>
            <w:tcBorders>
              <w:top w:val="nil"/>
              <w:left w:val="nil"/>
              <w:bottom w:val="nil"/>
              <w:right w:val="nil"/>
            </w:tcBorders>
          </w:tcPr>
          <w:p w:rsidR="00840D8D" w:rsidRPr="004E4885" w:rsidRDefault="00840D8D"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0.041</w:t>
            </w:r>
          </w:p>
        </w:tc>
        <w:tc>
          <w:tcPr>
            <w:tcW w:w="0" w:type="auto"/>
            <w:tcBorders>
              <w:top w:val="nil"/>
              <w:left w:val="nil"/>
              <w:bottom w:val="nil"/>
              <w:right w:val="nil"/>
            </w:tcBorders>
          </w:tcPr>
          <w:p w:rsidR="00840D8D" w:rsidRPr="004E4885" w:rsidRDefault="00840D8D"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0.041</w:t>
            </w:r>
          </w:p>
        </w:tc>
        <w:tc>
          <w:tcPr>
            <w:tcW w:w="0" w:type="auto"/>
            <w:tcBorders>
              <w:top w:val="nil"/>
              <w:left w:val="nil"/>
              <w:bottom w:val="nil"/>
              <w:right w:val="nil"/>
            </w:tcBorders>
          </w:tcPr>
          <w:p w:rsidR="00840D8D" w:rsidRPr="004E4885" w:rsidRDefault="00840D8D"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0.041</w:t>
            </w:r>
          </w:p>
        </w:tc>
        <w:tc>
          <w:tcPr>
            <w:tcW w:w="0" w:type="auto"/>
            <w:tcBorders>
              <w:top w:val="nil"/>
              <w:left w:val="nil"/>
              <w:bottom w:val="nil"/>
              <w:right w:val="nil"/>
            </w:tcBorders>
          </w:tcPr>
          <w:p w:rsidR="00840D8D" w:rsidRPr="004E4885" w:rsidRDefault="00840D8D"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0.041</w:t>
            </w:r>
          </w:p>
        </w:tc>
        <w:tc>
          <w:tcPr>
            <w:tcW w:w="0" w:type="auto"/>
            <w:tcBorders>
              <w:top w:val="nil"/>
              <w:left w:val="nil"/>
              <w:bottom w:val="nil"/>
              <w:right w:val="nil"/>
            </w:tcBorders>
          </w:tcPr>
          <w:p w:rsidR="00840D8D" w:rsidRPr="004E4885" w:rsidRDefault="00840D8D"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0.040</w:t>
            </w:r>
          </w:p>
        </w:tc>
        <w:tc>
          <w:tcPr>
            <w:tcW w:w="0" w:type="auto"/>
            <w:tcBorders>
              <w:top w:val="nil"/>
              <w:left w:val="nil"/>
              <w:bottom w:val="nil"/>
              <w:right w:val="nil"/>
            </w:tcBorders>
          </w:tcPr>
          <w:p w:rsidR="00840D8D" w:rsidRPr="004E4885" w:rsidRDefault="00840D8D"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0.041</w:t>
            </w:r>
          </w:p>
        </w:tc>
      </w:tr>
      <w:tr w:rsidR="00840D8D" w:rsidRPr="00036566" w:rsidTr="004E4885">
        <w:tc>
          <w:tcPr>
            <w:tcW w:w="0" w:type="auto"/>
            <w:tcBorders>
              <w:top w:val="nil"/>
              <w:left w:val="nil"/>
              <w:bottom w:val="nil"/>
              <w:right w:val="nil"/>
            </w:tcBorders>
          </w:tcPr>
          <w:p w:rsidR="00840D8D" w:rsidRPr="00036566" w:rsidRDefault="00840D8D" w:rsidP="001B1100">
            <w:pPr>
              <w:widowControl w:val="0"/>
              <w:autoSpaceDE w:val="0"/>
              <w:autoSpaceDN w:val="0"/>
              <w:adjustRightInd w:val="0"/>
              <w:spacing w:line="240" w:lineRule="auto"/>
              <w:ind w:firstLine="0"/>
              <w:rPr>
                <w:rFonts w:ascii="Times New Roman" w:hAnsi="Times New Roman"/>
                <w:bCs/>
                <w:sz w:val="24"/>
                <w:szCs w:val="24"/>
                <w:lang w:val="en-US"/>
              </w:rPr>
            </w:pPr>
            <w:r w:rsidRPr="00036566">
              <w:rPr>
                <w:rFonts w:ascii="Times New Roman" w:hAnsi="Times New Roman"/>
                <w:bCs/>
                <w:sz w:val="24"/>
                <w:szCs w:val="24"/>
                <w:lang w:val="en-US"/>
              </w:rPr>
              <w:t>Number of Firms</w:t>
            </w:r>
          </w:p>
        </w:tc>
        <w:tc>
          <w:tcPr>
            <w:tcW w:w="0" w:type="auto"/>
            <w:tcBorders>
              <w:top w:val="nil"/>
              <w:left w:val="nil"/>
              <w:bottom w:val="nil"/>
              <w:right w:val="nil"/>
            </w:tcBorders>
          </w:tcPr>
          <w:p w:rsidR="00840D8D" w:rsidRPr="004E4885" w:rsidRDefault="00840D8D"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6026</w:t>
            </w:r>
          </w:p>
        </w:tc>
        <w:tc>
          <w:tcPr>
            <w:tcW w:w="0" w:type="auto"/>
            <w:tcBorders>
              <w:top w:val="nil"/>
              <w:left w:val="nil"/>
              <w:bottom w:val="nil"/>
              <w:right w:val="nil"/>
            </w:tcBorders>
          </w:tcPr>
          <w:p w:rsidR="00840D8D" w:rsidRPr="004E4885" w:rsidRDefault="00840D8D"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6026</w:t>
            </w:r>
          </w:p>
        </w:tc>
        <w:tc>
          <w:tcPr>
            <w:tcW w:w="0" w:type="auto"/>
            <w:tcBorders>
              <w:top w:val="nil"/>
              <w:left w:val="nil"/>
              <w:bottom w:val="nil"/>
              <w:right w:val="nil"/>
            </w:tcBorders>
          </w:tcPr>
          <w:p w:rsidR="00840D8D" w:rsidRPr="004E4885" w:rsidRDefault="00840D8D"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6026</w:t>
            </w:r>
          </w:p>
        </w:tc>
        <w:tc>
          <w:tcPr>
            <w:tcW w:w="0" w:type="auto"/>
            <w:tcBorders>
              <w:top w:val="nil"/>
              <w:left w:val="nil"/>
              <w:bottom w:val="nil"/>
              <w:right w:val="nil"/>
            </w:tcBorders>
          </w:tcPr>
          <w:p w:rsidR="00840D8D" w:rsidRPr="004E4885" w:rsidRDefault="00840D8D"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6026</w:t>
            </w:r>
          </w:p>
        </w:tc>
        <w:tc>
          <w:tcPr>
            <w:tcW w:w="0" w:type="auto"/>
            <w:tcBorders>
              <w:top w:val="nil"/>
              <w:left w:val="nil"/>
              <w:bottom w:val="nil"/>
              <w:right w:val="nil"/>
            </w:tcBorders>
          </w:tcPr>
          <w:p w:rsidR="00840D8D" w:rsidRPr="004E4885" w:rsidRDefault="00840D8D"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6026</w:t>
            </w:r>
          </w:p>
        </w:tc>
        <w:tc>
          <w:tcPr>
            <w:tcW w:w="0" w:type="auto"/>
            <w:tcBorders>
              <w:top w:val="nil"/>
              <w:left w:val="nil"/>
              <w:bottom w:val="nil"/>
              <w:right w:val="nil"/>
            </w:tcBorders>
          </w:tcPr>
          <w:p w:rsidR="00840D8D" w:rsidRPr="004E4885" w:rsidRDefault="00840D8D"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6026</w:t>
            </w:r>
          </w:p>
        </w:tc>
      </w:tr>
      <w:tr w:rsidR="00D62F9E" w:rsidRPr="00036566" w:rsidTr="004E4885">
        <w:tc>
          <w:tcPr>
            <w:tcW w:w="0" w:type="auto"/>
            <w:tcBorders>
              <w:top w:val="nil"/>
              <w:left w:val="nil"/>
              <w:bottom w:val="nil"/>
              <w:right w:val="nil"/>
            </w:tcBorders>
          </w:tcPr>
          <w:p w:rsidR="00D62F9E" w:rsidRPr="00036566" w:rsidRDefault="00D62F9E" w:rsidP="001B1100">
            <w:pPr>
              <w:widowControl w:val="0"/>
              <w:autoSpaceDE w:val="0"/>
              <w:autoSpaceDN w:val="0"/>
              <w:adjustRightInd w:val="0"/>
              <w:spacing w:line="240" w:lineRule="auto"/>
              <w:ind w:firstLine="0"/>
              <w:rPr>
                <w:rFonts w:ascii="Times New Roman" w:eastAsia="SimSun" w:hAnsi="Times New Roman"/>
                <w:sz w:val="24"/>
                <w:szCs w:val="24"/>
                <w:lang w:val="en-US" w:eastAsia="zh-CN"/>
              </w:rPr>
            </w:pPr>
            <w:r w:rsidRPr="00036566">
              <w:rPr>
                <w:rFonts w:ascii="Times New Roman" w:eastAsia="SimSun" w:hAnsi="Times New Roman"/>
                <w:sz w:val="24"/>
                <w:szCs w:val="24"/>
                <w:lang w:val="en-US" w:eastAsia="zh-CN"/>
              </w:rPr>
              <w:t>Anderson LM</w:t>
            </w:r>
          </w:p>
        </w:tc>
        <w:tc>
          <w:tcPr>
            <w:tcW w:w="0" w:type="auto"/>
            <w:tcBorders>
              <w:top w:val="nil"/>
              <w:left w:val="nil"/>
              <w:bottom w:val="nil"/>
              <w:right w:val="nil"/>
            </w:tcBorders>
          </w:tcPr>
          <w:p w:rsidR="00D62F9E" w:rsidRPr="004E4885" w:rsidRDefault="00D62F9E"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25.932</w:t>
            </w:r>
          </w:p>
        </w:tc>
        <w:tc>
          <w:tcPr>
            <w:tcW w:w="0" w:type="auto"/>
            <w:tcBorders>
              <w:top w:val="nil"/>
              <w:left w:val="nil"/>
              <w:bottom w:val="nil"/>
              <w:right w:val="nil"/>
            </w:tcBorders>
          </w:tcPr>
          <w:p w:rsidR="00D62F9E" w:rsidRPr="004E4885" w:rsidRDefault="00D62F9E"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25.531</w:t>
            </w:r>
          </w:p>
        </w:tc>
        <w:tc>
          <w:tcPr>
            <w:tcW w:w="0" w:type="auto"/>
            <w:tcBorders>
              <w:top w:val="nil"/>
              <w:left w:val="nil"/>
              <w:bottom w:val="nil"/>
              <w:right w:val="nil"/>
            </w:tcBorders>
          </w:tcPr>
          <w:p w:rsidR="00D62F9E" w:rsidRPr="004E4885" w:rsidRDefault="00D62F9E"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25.152</w:t>
            </w:r>
          </w:p>
        </w:tc>
        <w:tc>
          <w:tcPr>
            <w:tcW w:w="0" w:type="auto"/>
            <w:tcBorders>
              <w:top w:val="nil"/>
              <w:left w:val="nil"/>
              <w:bottom w:val="nil"/>
              <w:right w:val="nil"/>
            </w:tcBorders>
          </w:tcPr>
          <w:p w:rsidR="00D62F9E" w:rsidRPr="004E4885" w:rsidRDefault="00D62F9E"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26.017</w:t>
            </w:r>
          </w:p>
        </w:tc>
        <w:tc>
          <w:tcPr>
            <w:tcW w:w="0" w:type="auto"/>
            <w:tcBorders>
              <w:top w:val="nil"/>
              <w:left w:val="nil"/>
              <w:bottom w:val="nil"/>
              <w:right w:val="nil"/>
            </w:tcBorders>
          </w:tcPr>
          <w:p w:rsidR="00D62F9E" w:rsidRPr="004E4885" w:rsidRDefault="00D62F9E"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24.924</w:t>
            </w:r>
          </w:p>
        </w:tc>
        <w:tc>
          <w:tcPr>
            <w:tcW w:w="0" w:type="auto"/>
            <w:tcBorders>
              <w:top w:val="nil"/>
              <w:left w:val="nil"/>
              <w:bottom w:val="nil"/>
              <w:right w:val="nil"/>
            </w:tcBorders>
          </w:tcPr>
          <w:p w:rsidR="00D62F9E" w:rsidRPr="004E4885" w:rsidRDefault="00D62F9E"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26.009</w:t>
            </w:r>
          </w:p>
        </w:tc>
      </w:tr>
      <w:tr w:rsidR="00D62F9E" w:rsidRPr="00036566" w:rsidTr="004E4885">
        <w:tc>
          <w:tcPr>
            <w:tcW w:w="0" w:type="auto"/>
            <w:tcBorders>
              <w:top w:val="nil"/>
              <w:left w:val="nil"/>
              <w:bottom w:val="nil"/>
              <w:right w:val="nil"/>
            </w:tcBorders>
          </w:tcPr>
          <w:p w:rsidR="00D62F9E" w:rsidRPr="00036566" w:rsidRDefault="00D62F9E" w:rsidP="001B1100">
            <w:pPr>
              <w:widowControl w:val="0"/>
              <w:autoSpaceDE w:val="0"/>
              <w:autoSpaceDN w:val="0"/>
              <w:adjustRightInd w:val="0"/>
              <w:spacing w:line="240" w:lineRule="auto"/>
              <w:ind w:firstLine="0"/>
              <w:rPr>
                <w:rFonts w:ascii="Times New Roman" w:eastAsia="SimSun" w:hAnsi="Times New Roman"/>
                <w:sz w:val="24"/>
                <w:szCs w:val="24"/>
                <w:lang w:val="en-US" w:eastAsia="zh-CN"/>
              </w:rPr>
            </w:pPr>
            <w:r w:rsidRPr="00036566">
              <w:rPr>
                <w:rFonts w:ascii="Times New Roman" w:eastAsia="SimSun" w:hAnsi="Times New Roman"/>
                <w:sz w:val="24"/>
                <w:szCs w:val="24"/>
                <w:lang w:val="en-US" w:eastAsia="zh-CN"/>
              </w:rPr>
              <w:t>Anderson-pvalue</w:t>
            </w:r>
          </w:p>
        </w:tc>
        <w:tc>
          <w:tcPr>
            <w:tcW w:w="0" w:type="auto"/>
            <w:tcBorders>
              <w:top w:val="nil"/>
              <w:left w:val="nil"/>
              <w:bottom w:val="nil"/>
              <w:right w:val="nil"/>
            </w:tcBorders>
          </w:tcPr>
          <w:p w:rsidR="00D62F9E" w:rsidRPr="004E4885" w:rsidRDefault="00D62F9E"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0.000</w:t>
            </w:r>
          </w:p>
        </w:tc>
        <w:tc>
          <w:tcPr>
            <w:tcW w:w="0" w:type="auto"/>
            <w:tcBorders>
              <w:top w:val="nil"/>
              <w:left w:val="nil"/>
              <w:bottom w:val="nil"/>
              <w:right w:val="nil"/>
            </w:tcBorders>
          </w:tcPr>
          <w:p w:rsidR="00D62F9E" w:rsidRPr="004E4885" w:rsidRDefault="00D62F9E"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0.000</w:t>
            </w:r>
          </w:p>
        </w:tc>
        <w:tc>
          <w:tcPr>
            <w:tcW w:w="0" w:type="auto"/>
            <w:tcBorders>
              <w:top w:val="nil"/>
              <w:left w:val="nil"/>
              <w:bottom w:val="nil"/>
              <w:right w:val="nil"/>
            </w:tcBorders>
          </w:tcPr>
          <w:p w:rsidR="00D62F9E" w:rsidRPr="004E4885" w:rsidRDefault="00D62F9E"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0.000</w:t>
            </w:r>
          </w:p>
        </w:tc>
        <w:tc>
          <w:tcPr>
            <w:tcW w:w="0" w:type="auto"/>
            <w:tcBorders>
              <w:top w:val="nil"/>
              <w:left w:val="nil"/>
              <w:bottom w:val="nil"/>
              <w:right w:val="nil"/>
            </w:tcBorders>
          </w:tcPr>
          <w:p w:rsidR="00D62F9E" w:rsidRPr="004E4885" w:rsidRDefault="00D62F9E"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0.000</w:t>
            </w:r>
          </w:p>
        </w:tc>
        <w:tc>
          <w:tcPr>
            <w:tcW w:w="0" w:type="auto"/>
            <w:tcBorders>
              <w:top w:val="nil"/>
              <w:left w:val="nil"/>
              <w:bottom w:val="nil"/>
              <w:right w:val="nil"/>
            </w:tcBorders>
          </w:tcPr>
          <w:p w:rsidR="00D62F9E" w:rsidRPr="004E4885" w:rsidRDefault="00D62F9E"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0.000</w:t>
            </w:r>
          </w:p>
        </w:tc>
        <w:tc>
          <w:tcPr>
            <w:tcW w:w="0" w:type="auto"/>
            <w:tcBorders>
              <w:top w:val="nil"/>
              <w:left w:val="nil"/>
              <w:bottom w:val="nil"/>
              <w:right w:val="nil"/>
            </w:tcBorders>
          </w:tcPr>
          <w:p w:rsidR="00D62F9E" w:rsidRPr="004E4885" w:rsidRDefault="00D62F9E"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0.000</w:t>
            </w:r>
          </w:p>
        </w:tc>
      </w:tr>
      <w:tr w:rsidR="00840D8D" w:rsidRPr="00036566" w:rsidTr="004E4885">
        <w:trPr>
          <w:trHeight w:val="80"/>
        </w:trPr>
        <w:tc>
          <w:tcPr>
            <w:tcW w:w="0" w:type="auto"/>
            <w:tcBorders>
              <w:top w:val="nil"/>
              <w:left w:val="nil"/>
              <w:bottom w:val="nil"/>
              <w:right w:val="nil"/>
            </w:tcBorders>
          </w:tcPr>
          <w:p w:rsidR="00840D8D" w:rsidRPr="00036566" w:rsidRDefault="00840D8D" w:rsidP="001B1100">
            <w:pPr>
              <w:widowControl w:val="0"/>
              <w:autoSpaceDE w:val="0"/>
              <w:autoSpaceDN w:val="0"/>
              <w:adjustRightInd w:val="0"/>
              <w:spacing w:line="240" w:lineRule="auto"/>
              <w:ind w:firstLine="0"/>
              <w:rPr>
                <w:rFonts w:ascii="Times New Roman" w:hAnsi="Times New Roman"/>
                <w:bCs/>
                <w:sz w:val="24"/>
                <w:szCs w:val="24"/>
                <w:lang w:val="en-US"/>
              </w:rPr>
            </w:pPr>
            <w:r w:rsidRPr="00036566">
              <w:rPr>
                <w:rFonts w:ascii="Times New Roman" w:hAnsi="Times New Roman"/>
                <w:bCs/>
                <w:sz w:val="24"/>
                <w:szCs w:val="24"/>
                <w:lang w:val="en-US"/>
              </w:rPr>
              <w:t>Sargan</w:t>
            </w:r>
          </w:p>
        </w:tc>
        <w:tc>
          <w:tcPr>
            <w:tcW w:w="0" w:type="auto"/>
            <w:tcBorders>
              <w:top w:val="nil"/>
              <w:left w:val="nil"/>
              <w:bottom w:val="nil"/>
              <w:right w:val="nil"/>
            </w:tcBorders>
          </w:tcPr>
          <w:p w:rsidR="00840D8D" w:rsidRPr="004E4885" w:rsidRDefault="00792706"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0.98</w:t>
            </w:r>
          </w:p>
        </w:tc>
        <w:tc>
          <w:tcPr>
            <w:tcW w:w="0" w:type="auto"/>
            <w:tcBorders>
              <w:top w:val="nil"/>
              <w:left w:val="nil"/>
              <w:bottom w:val="nil"/>
              <w:right w:val="nil"/>
            </w:tcBorders>
          </w:tcPr>
          <w:p w:rsidR="00840D8D" w:rsidRPr="004E4885" w:rsidRDefault="00792706"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0.700</w:t>
            </w:r>
          </w:p>
        </w:tc>
        <w:tc>
          <w:tcPr>
            <w:tcW w:w="0" w:type="auto"/>
            <w:tcBorders>
              <w:top w:val="nil"/>
              <w:left w:val="nil"/>
              <w:bottom w:val="nil"/>
              <w:right w:val="nil"/>
            </w:tcBorders>
          </w:tcPr>
          <w:p w:rsidR="00840D8D" w:rsidRPr="004E4885" w:rsidRDefault="00840D8D"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w:t>
            </w:r>
            <w:r w:rsidR="00792706" w:rsidRPr="004E4885">
              <w:rPr>
                <w:rFonts w:ascii="Times New Roman" w:hAnsi="Times New Roman"/>
                <w:lang w:val="en-US"/>
              </w:rPr>
              <w:t>.9</w:t>
            </w:r>
            <w:r w:rsidRPr="004E4885">
              <w:rPr>
                <w:rFonts w:ascii="Times New Roman" w:hAnsi="Times New Roman"/>
                <w:lang w:val="en-US"/>
              </w:rPr>
              <w:t>18</w:t>
            </w:r>
          </w:p>
        </w:tc>
        <w:tc>
          <w:tcPr>
            <w:tcW w:w="0" w:type="auto"/>
            <w:tcBorders>
              <w:top w:val="nil"/>
              <w:left w:val="nil"/>
              <w:bottom w:val="nil"/>
              <w:right w:val="nil"/>
            </w:tcBorders>
          </w:tcPr>
          <w:p w:rsidR="00840D8D" w:rsidRPr="004E4885" w:rsidRDefault="00840D8D"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w:t>
            </w:r>
            <w:r w:rsidR="00792706" w:rsidRPr="004E4885">
              <w:rPr>
                <w:rFonts w:ascii="Times New Roman" w:hAnsi="Times New Roman"/>
                <w:lang w:val="en-US"/>
              </w:rPr>
              <w:t>.695</w:t>
            </w:r>
          </w:p>
        </w:tc>
        <w:tc>
          <w:tcPr>
            <w:tcW w:w="0" w:type="auto"/>
            <w:tcBorders>
              <w:top w:val="nil"/>
              <w:left w:val="nil"/>
              <w:bottom w:val="nil"/>
              <w:right w:val="nil"/>
            </w:tcBorders>
          </w:tcPr>
          <w:p w:rsidR="00840D8D" w:rsidRPr="004E4885" w:rsidRDefault="00792706"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0.106</w:t>
            </w:r>
          </w:p>
        </w:tc>
        <w:tc>
          <w:tcPr>
            <w:tcW w:w="0" w:type="auto"/>
            <w:tcBorders>
              <w:top w:val="nil"/>
              <w:left w:val="nil"/>
              <w:bottom w:val="nil"/>
              <w:right w:val="nil"/>
            </w:tcBorders>
          </w:tcPr>
          <w:p w:rsidR="00840D8D" w:rsidRPr="004E4885" w:rsidRDefault="00792706"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0.899</w:t>
            </w:r>
          </w:p>
        </w:tc>
      </w:tr>
      <w:tr w:rsidR="00840D8D" w:rsidRPr="00036566" w:rsidTr="004E4885">
        <w:tc>
          <w:tcPr>
            <w:tcW w:w="0" w:type="auto"/>
            <w:tcBorders>
              <w:top w:val="nil"/>
              <w:left w:val="nil"/>
              <w:bottom w:val="single" w:sz="4" w:space="0" w:color="auto"/>
              <w:right w:val="nil"/>
            </w:tcBorders>
          </w:tcPr>
          <w:p w:rsidR="00840D8D" w:rsidRPr="00036566" w:rsidRDefault="00840D8D" w:rsidP="001B1100">
            <w:pPr>
              <w:widowControl w:val="0"/>
              <w:autoSpaceDE w:val="0"/>
              <w:autoSpaceDN w:val="0"/>
              <w:adjustRightInd w:val="0"/>
              <w:spacing w:line="240" w:lineRule="auto"/>
              <w:ind w:firstLine="0"/>
              <w:rPr>
                <w:rFonts w:ascii="Times New Roman" w:hAnsi="Times New Roman"/>
                <w:bCs/>
                <w:sz w:val="24"/>
                <w:szCs w:val="24"/>
                <w:lang w:val="en-US"/>
              </w:rPr>
            </w:pPr>
            <w:r w:rsidRPr="00036566">
              <w:rPr>
                <w:rFonts w:ascii="Times New Roman" w:hAnsi="Times New Roman"/>
                <w:bCs/>
                <w:sz w:val="24"/>
                <w:szCs w:val="24"/>
                <w:lang w:val="en-US"/>
              </w:rPr>
              <w:t>p value</w:t>
            </w:r>
          </w:p>
        </w:tc>
        <w:tc>
          <w:tcPr>
            <w:tcW w:w="0" w:type="auto"/>
            <w:tcBorders>
              <w:top w:val="nil"/>
              <w:left w:val="nil"/>
              <w:bottom w:val="single" w:sz="4" w:space="0" w:color="auto"/>
              <w:right w:val="nil"/>
            </w:tcBorders>
          </w:tcPr>
          <w:p w:rsidR="00840D8D" w:rsidRPr="004E4885" w:rsidRDefault="00840D8D"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w:t>
            </w:r>
            <w:r w:rsidR="00792706" w:rsidRPr="004E4885">
              <w:rPr>
                <w:rFonts w:ascii="Times New Roman" w:hAnsi="Times New Roman"/>
                <w:lang w:val="en-US"/>
              </w:rPr>
              <w:t>559</w:t>
            </w:r>
          </w:p>
        </w:tc>
        <w:tc>
          <w:tcPr>
            <w:tcW w:w="0" w:type="auto"/>
            <w:tcBorders>
              <w:top w:val="nil"/>
              <w:left w:val="nil"/>
              <w:bottom w:val="single" w:sz="4" w:space="0" w:color="auto"/>
              <w:right w:val="nil"/>
            </w:tcBorders>
          </w:tcPr>
          <w:p w:rsidR="00840D8D" w:rsidRPr="004E4885" w:rsidRDefault="00840D8D"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w:t>
            </w:r>
            <w:r w:rsidR="00792706" w:rsidRPr="004E4885">
              <w:rPr>
                <w:rFonts w:ascii="Times New Roman" w:hAnsi="Times New Roman"/>
                <w:lang w:val="en-US"/>
              </w:rPr>
              <w:t xml:space="preserve"> 893</w:t>
            </w:r>
          </w:p>
        </w:tc>
        <w:tc>
          <w:tcPr>
            <w:tcW w:w="0" w:type="auto"/>
            <w:tcBorders>
              <w:top w:val="nil"/>
              <w:left w:val="nil"/>
              <w:bottom w:val="single" w:sz="4" w:space="0" w:color="auto"/>
              <w:right w:val="nil"/>
            </w:tcBorders>
          </w:tcPr>
          <w:p w:rsidR="00840D8D" w:rsidRPr="004E4885" w:rsidRDefault="00792706"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0.18</w:t>
            </w:r>
          </w:p>
        </w:tc>
        <w:tc>
          <w:tcPr>
            <w:tcW w:w="0" w:type="auto"/>
            <w:tcBorders>
              <w:top w:val="nil"/>
              <w:left w:val="nil"/>
              <w:bottom w:val="single" w:sz="4" w:space="0" w:color="auto"/>
              <w:right w:val="nil"/>
            </w:tcBorders>
          </w:tcPr>
          <w:p w:rsidR="00840D8D" w:rsidRPr="004E4885" w:rsidRDefault="00792706"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0.560</w:t>
            </w:r>
          </w:p>
        </w:tc>
        <w:tc>
          <w:tcPr>
            <w:tcW w:w="0" w:type="auto"/>
            <w:tcBorders>
              <w:top w:val="nil"/>
              <w:left w:val="nil"/>
              <w:bottom w:val="single" w:sz="4" w:space="0" w:color="auto"/>
              <w:right w:val="nil"/>
            </w:tcBorders>
          </w:tcPr>
          <w:p w:rsidR="00840D8D" w:rsidRPr="004E4885" w:rsidRDefault="00792706"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0.264</w:t>
            </w:r>
          </w:p>
        </w:tc>
        <w:tc>
          <w:tcPr>
            <w:tcW w:w="0" w:type="auto"/>
            <w:tcBorders>
              <w:top w:val="nil"/>
              <w:left w:val="nil"/>
              <w:bottom w:val="single" w:sz="4" w:space="0" w:color="auto"/>
              <w:right w:val="nil"/>
            </w:tcBorders>
          </w:tcPr>
          <w:p w:rsidR="00840D8D" w:rsidRPr="004E4885" w:rsidRDefault="00792706" w:rsidP="001B1100">
            <w:pPr>
              <w:widowControl w:val="0"/>
              <w:autoSpaceDE w:val="0"/>
              <w:autoSpaceDN w:val="0"/>
              <w:adjustRightInd w:val="0"/>
              <w:spacing w:line="240" w:lineRule="auto"/>
              <w:ind w:firstLine="0"/>
              <w:jc w:val="center"/>
              <w:rPr>
                <w:rFonts w:ascii="Times New Roman" w:hAnsi="Times New Roman"/>
                <w:lang w:val="en-US"/>
              </w:rPr>
            </w:pPr>
            <w:r w:rsidRPr="004E4885">
              <w:rPr>
                <w:rFonts w:ascii="Times New Roman" w:hAnsi="Times New Roman"/>
                <w:lang w:val="en-US"/>
              </w:rPr>
              <w:t>0.692</w:t>
            </w:r>
          </w:p>
        </w:tc>
      </w:tr>
    </w:tbl>
    <w:p w:rsidR="00840D8D" w:rsidRPr="00036566" w:rsidRDefault="00840D8D" w:rsidP="001B1100">
      <w:pPr>
        <w:spacing w:line="240" w:lineRule="auto"/>
        <w:rPr>
          <w:rFonts w:ascii="Times New Roman" w:hAnsi="Times New Roman"/>
          <w:lang w:val="en-GB"/>
        </w:rPr>
      </w:pPr>
      <w:r w:rsidRPr="00036566">
        <w:rPr>
          <w:rFonts w:ascii="Times New Roman" w:hAnsi="Times New Roman"/>
          <w:lang w:val="en-US"/>
        </w:rPr>
        <w:t>Absolute t-statistics in parentheses calculated consistently for robust standard errors clustered by firm and *indicates p&lt; 0.10, **indicates p&lt; 0.05, ***indicates p&lt; 0.01.</w:t>
      </w:r>
      <w:r w:rsidR="001D04B1">
        <w:rPr>
          <w:rFonts w:ascii="Times New Roman" w:hAnsi="Times New Roman"/>
          <w:lang w:val="en-US"/>
        </w:rPr>
        <w:t xml:space="preserve"> </w:t>
      </w:r>
      <w:r w:rsidRPr="00036566">
        <w:rPr>
          <w:rFonts w:ascii="Times New Roman" w:hAnsi="Times New Roman"/>
          <w:lang w:val="en-US"/>
        </w:rPr>
        <w:t xml:space="preserve">The table replicates results from Table 2 using Levinsohn-Petrin (2003) approach. </w:t>
      </w:r>
      <w:r w:rsidR="00500E16" w:rsidRPr="00036566">
        <w:rPr>
          <w:rFonts w:ascii="Times New Roman" w:hAnsi="Times New Roman"/>
          <w:lang w:val="en-GB"/>
        </w:rPr>
        <w:t xml:space="preserve">The key difference between OP and LP is that the latter uses intermediate inputs as a proxy for unobservable productivity shocks. The reasoning behind this is that intermediate inputs perform better than investment in external shocks hence using them can provide more consistent TFP estimates. </w:t>
      </w:r>
      <w:r w:rsidR="00036566" w:rsidRPr="00036566">
        <w:rPr>
          <w:rFonts w:ascii="Times New Roman" w:hAnsi="Times New Roman"/>
          <w:lang w:val="en-GB"/>
        </w:rPr>
        <w:t>The instruments in all specifications are the average values of profit rate, equity and TFP at the NACE Rev 2 industry level in periods t-1, t-2 and t-3.</w:t>
      </w:r>
      <w:r w:rsidR="001D04B1">
        <w:rPr>
          <w:rFonts w:ascii="Times New Roman" w:hAnsi="Times New Roman"/>
          <w:lang w:val="en-GB"/>
        </w:rPr>
        <w:t xml:space="preserve"> </w:t>
      </w:r>
      <w:r w:rsidR="00036566" w:rsidRPr="00036566">
        <w:rPr>
          <w:rFonts w:ascii="Times New Roman" w:hAnsi="Times New Roman"/>
          <w:lang w:val="en-GB"/>
        </w:rPr>
        <w:t xml:space="preserve">The Sargan test refers to the orthogonality condition; under the null the instruments used are valid (i.e. uncorrelated with the error term. The Anderson LM test refers to the relevance of instruments with the endogenous variable; under the null the set of instruments used is weak. </w:t>
      </w:r>
    </w:p>
    <w:p w:rsidR="00840D8D" w:rsidRDefault="00386127" w:rsidP="00E941C1">
      <w:pPr>
        <w:rPr>
          <w:rFonts w:ascii="Times New Roman" w:hAnsi="Times New Roman"/>
          <w:sz w:val="24"/>
          <w:szCs w:val="24"/>
          <w:lang w:val="en-GB"/>
        </w:rPr>
      </w:pPr>
      <w:r>
        <w:rPr>
          <w:rFonts w:ascii="Times New Roman" w:hAnsi="Times New Roman"/>
          <w:sz w:val="24"/>
          <w:szCs w:val="24"/>
          <w:lang w:val="en-GB"/>
        </w:rPr>
        <w:br w:type="page"/>
      </w:r>
    </w:p>
    <w:p w:rsidR="008B21AB" w:rsidRDefault="008B21AB" w:rsidP="003D23F6">
      <w:pPr>
        <w:rPr>
          <w:rFonts w:ascii="Times New Roman" w:hAnsi="Times New Roman"/>
          <w:sz w:val="24"/>
          <w:szCs w:val="24"/>
          <w:lang w:val="en-US"/>
        </w:rPr>
      </w:pPr>
    </w:p>
    <w:p w:rsidR="003D23F6" w:rsidRPr="00A90990" w:rsidRDefault="0025153C" w:rsidP="003D23F6">
      <w:pPr>
        <w:pStyle w:val="Caption"/>
        <w:keepNext/>
        <w:rPr>
          <w:rFonts w:ascii="Times New Roman" w:hAnsi="Times New Roman"/>
          <w:color w:val="auto"/>
          <w:sz w:val="24"/>
          <w:szCs w:val="24"/>
          <w:lang w:val="en-US"/>
        </w:rPr>
      </w:pPr>
      <w:r>
        <w:rPr>
          <w:rFonts w:ascii="Times New Roman" w:hAnsi="Times New Roman"/>
          <w:color w:val="auto"/>
          <w:sz w:val="24"/>
          <w:szCs w:val="24"/>
          <w:lang w:val="en-US"/>
        </w:rPr>
        <w:t>A</w:t>
      </w:r>
      <w:r w:rsidR="005A3EC6">
        <w:rPr>
          <w:rFonts w:ascii="Times New Roman" w:hAnsi="Times New Roman"/>
          <w:color w:val="auto"/>
          <w:sz w:val="24"/>
          <w:szCs w:val="24"/>
          <w:lang w:val="en-US"/>
        </w:rPr>
        <w:t xml:space="preserve">ppendix </w:t>
      </w:r>
      <w:r w:rsidR="00C774B9">
        <w:rPr>
          <w:rFonts w:ascii="Times New Roman" w:hAnsi="Times New Roman"/>
          <w:color w:val="auto"/>
          <w:sz w:val="24"/>
          <w:szCs w:val="24"/>
          <w:lang w:val="en-US"/>
        </w:rPr>
        <w:t>4</w:t>
      </w:r>
      <w:r w:rsidR="003D23F6" w:rsidRPr="00A90990">
        <w:rPr>
          <w:rFonts w:ascii="Times New Roman" w:hAnsi="Times New Roman"/>
          <w:color w:val="auto"/>
          <w:sz w:val="24"/>
          <w:szCs w:val="24"/>
          <w:lang w:val="en-US"/>
        </w:rPr>
        <w:t xml:space="preserve">: </w:t>
      </w:r>
      <w:r w:rsidR="001006C9" w:rsidRPr="00A90990">
        <w:rPr>
          <w:rFonts w:ascii="Times New Roman" w:hAnsi="Times New Roman"/>
          <w:color w:val="auto"/>
          <w:sz w:val="24"/>
          <w:szCs w:val="24"/>
          <w:lang w:val="en-US"/>
        </w:rPr>
        <w:t xml:space="preserve">GAP </w:t>
      </w:r>
      <w:r w:rsidR="003D23F6" w:rsidRPr="00A90990">
        <w:rPr>
          <w:rFonts w:ascii="Times New Roman" w:hAnsi="Times New Roman"/>
          <w:color w:val="auto"/>
          <w:sz w:val="24"/>
          <w:szCs w:val="24"/>
          <w:lang w:val="en-US"/>
        </w:rPr>
        <w:t xml:space="preserve">Industry and </w:t>
      </w:r>
      <w:r w:rsidR="001006C9" w:rsidRPr="00A90990">
        <w:rPr>
          <w:rFonts w:ascii="Times New Roman" w:hAnsi="Times New Roman"/>
          <w:color w:val="auto"/>
          <w:sz w:val="24"/>
          <w:szCs w:val="24"/>
          <w:lang w:val="en-US"/>
        </w:rPr>
        <w:t xml:space="preserve">GAP </w:t>
      </w:r>
      <w:r w:rsidR="003D23F6" w:rsidRPr="00A90990">
        <w:rPr>
          <w:rFonts w:ascii="Times New Roman" w:hAnsi="Times New Roman"/>
          <w:color w:val="auto"/>
          <w:sz w:val="24"/>
          <w:szCs w:val="24"/>
          <w:lang w:val="en-US"/>
        </w:rPr>
        <w:t>National Frontier Values</w:t>
      </w:r>
    </w:p>
    <w:tbl>
      <w:tblPr>
        <w:tblW w:w="0" w:type="auto"/>
        <w:tblInd w:w="93" w:type="dxa"/>
        <w:tblLook w:val="04A0" w:firstRow="1" w:lastRow="0" w:firstColumn="1" w:lastColumn="0" w:noHBand="0" w:noVBand="1"/>
      </w:tblPr>
      <w:tblGrid>
        <w:gridCol w:w="1651"/>
        <w:gridCol w:w="2422"/>
        <w:gridCol w:w="2402"/>
        <w:gridCol w:w="2674"/>
      </w:tblGrid>
      <w:tr w:rsidR="00BC5F8C" w:rsidRPr="006F03E2" w:rsidTr="00CA2456">
        <w:trPr>
          <w:trHeight w:val="300"/>
        </w:trPr>
        <w:tc>
          <w:tcPr>
            <w:tcW w:w="0" w:type="auto"/>
            <w:tcBorders>
              <w:top w:val="single" w:sz="4" w:space="0" w:color="auto"/>
              <w:bottom w:val="single" w:sz="4" w:space="0" w:color="auto"/>
            </w:tcBorders>
            <w:shd w:val="clear" w:color="auto" w:fill="auto"/>
            <w:noWrap/>
            <w:vAlign w:val="bottom"/>
            <w:hideMark/>
          </w:tcPr>
          <w:p w:rsidR="003D23F6" w:rsidRPr="006F03E2" w:rsidRDefault="003D23F6" w:rsidP="00C774B9">
            <w:pPr>
              <w:spacing w:line="240" w:lineRule="auto"/>
              <w:ind w:firstLine="0"/>
              <w:jc w:val="center"/>
              <w:rPr>
                <w:rFonts w:ascii="Times New Roman" w:eastAsia="Times New Roman" w:hAnsi="Times New Roman"/>
                <w:b/>
                <w:color w:val="000000"/>
                <w:sz w:val="24"/>
                <w:szCs w:val="24"/>
                <w:lang w:eastAsia="el-GR"/>
              </w:rPr>
            </w:pPr>
            <w:r w:rsidRPr="006F03E2">
              <w:rPr>
                <w:rFonts w:ascii="Times New Roman" w:eastAsia="Times New Roman" w:hAnsi="Times New Roman"/>
                <w:b/>
                <w:color w:val="000000"/>
                <w:sz w:val="24"/>
                <w:szCs w:val="24"/>
                <w:lang w:val="en-US" w:eastAsia="el-GR"/>
              </w:rPr>
              <w:t>Y</w:t>
            </w:r>
            <w:r w:rsidRPr="006F03E2">
              <w:rPr>
                <w:rFonts w:ascii="Times New Roman" w:eastAsia="Times New Roman" w:hAnsi="Times New Roman"/>
                <w:b/>
                <w:color w:val="000000"/>
                <w:sz w:val="24"/>
                <w:szCs w:val="24"/>
                <w:lang w:eastAsia="el-GR"/>
              </w:rPr>
              <w:t>ear</w:t>
            </w:r>
          </w:p>
        </w:tc>
        <w:tc>
          <w:tcPr>
            <w:tcW w:w="0" w:type="auto"/>
            <w:tcBorders>
              <w:top w:val="single" w:sz="4" w:space="0" w:color="auto"/>
              <w:bottom w:val="single" w:sz="4" w:space="0" w:color="auto"/>
            </w:tcBorders>
            <w:shd w:val="clear" w:color="auto" w:fill="auto"/>
            <w:noWrap/>
            <w:vAlign w:val="bottom"/>
            <w:hideMark/>
          </w:tcPr>
          <w:p w:rsidR="003D23F6" w:rsidRPr="006F03E2" w:rsidRDefault="001006C9" w:rsidP="00C774B9">
            <w:pPr>
              <w:spacing w:line="240" w:lineRule="auto"/>
              <w:ind w:firstLine="0"/>
              <w:jc w:val="center"/>
              <w:rPr>
                <w:rFonts w:ascii="Times New Roman" w:eastAsia="Times New Roman" w:hAnsi="Times New Roman"/>
                <w:b/>
                <w:color w:val="000000"/>
                <w:sz w:val="24"/>
                <w:szCs w:val="24"/>
                <w:lang w:val="en-US" w:eastAsia="el-GR"/>
              </w:rPr>
            </w:pPr>
            <w:r w:rsidRPr="006F03E2">
              <w:rPr>
                <w:rFonts w:ascii="Times New Roman" w:eastAsia="Times New Roman" w:hAnsi="Times New Roman"/>
                <w:b/>
                <w:color w:val="000000"/>
                <w:sz w:val="24"/>
                <w:szCs w:val="24"/>
                <w:lang w:eastAsia="el-GR"/>
              </w:rPr>
              <w:t>GAP</w:t>
            </w:r>
            <w:r w:rsidR="003D23F6" w:rsidRPr="006F03E2">
              <w:rPr>
                <w:rFonts w:ascii="Times New Roman" w:eastAsia="Times New Roman" w:hAnsi="Times New Roman"/>
                <w:b/>
                <w:color w:val="000000"/>
                <w:sz w:val="24"/>
                <w:szCs w:val="24"/>
                <w:lang w:val="en-US" w:eastAsia="el-GR"/>
              </w:rPr>
              <w:t>Industry</w:t>
            </w:r>
          </w:p>
        </w:tc>
        <w:tc>
          <w:tcPr>
            <w:tcW w:w="0" w:type="auto"/>
            <w:tcBorders>
              <w:top w:val="single" w:sz="4" w:space="0" w:color="auto"/>
              <w:bottom w:val="single" w:sz="4" w:space="0" w:color="auto"/>
            </w:tcBorders>
            <w:shd w:val="clear" w:color="auto" w:fill="auto"/>
            <w:noWrap/>
            <w:vAlign w:val="bottom"/>
            <w:hideMark/>
          </w:tcPr>
          <w:p w:rsidR="003D23F6" w:rsidRPr="006F03E2" w:rsidRDefault="001006C9" w:rsidP="00C774B9">
            <w:pPr>
              <w:spacing w:line="240" w:lineRule="auto"/>
              <w:ind w:firstLine="0"/>
              <w:jc w:val="center"/>
              <w:rPr>
                <w:rFonts w:ascii="Times New Roman" w:eastAsia="Times New Roman" w:hAnsi="Times New Roman"/>
                <w:b/>
                <w:color w:val="000000"/>
                <w:sz w:val="24"/>
                <w:szCs w:val="24"/>
                <w:lang w:val="en-US" w:eastAsia="el-GR"/>
              </w:rPr>
            </w:pPr>
            <w:r w:rsidRPr="006F03E2">
              <w:rPr>
                <w:rFonts w:ascii="Times New Roman" w:eastAsia="Times New Roman" w:hAnsi="Times New Roman"/>
                <w:b/>
                <w:color w:val="000000"/>
                <w:sz w:val="24"/>
                <w:szCs w:val="24"/>
                <w:lang w:eastAsia="el-GR"/>
              </w:rPr>
              <w:t>GAP</w:t>
            </w:r>
            <w:r w:rsidR="003D23F6" w:rsidRPr="006F03E2">
              <w:rPr>
                <w:rFonts w:ascii="Times New Roman" w:eastAsia="Times New Roman" w:hAnsi="Times New Roman"/>
                <w:b/>
                <w:color w:val="000000"/>
                <w:sz w:val="24"/>
                <w:szCs w:val="24"/>
                <w:lang w:val="en-US" w:eastAsia="el-GR"/>
              </w:rPr>
              <w:t>National</w:t>
            </w:r>
          </w:p>
        </w:tc>
        <w:tc>
          <w:tcPr>
            <w:tcW w:w="0" w:type="auto"/>
            <w:tcBorders>
              <w:top w:val="single" w:sz="4" w:space="0" w:color="auto"/>
              <w:bottom w:val="single" w:sz="4" w:space="0" w:color="auto"/>
            </w:tcBorders>
          </w:tcPr>
          <w:p w:rsidR="003D23F6" w:rsidRPr="006F03E2" w:rsidRDefault="001006C9" w:rsidP="00C774B9">
            <w:pPr>
              <w:spacing w:line="240" w:lineRule="auto"/>
              <w:ind w:firstLine="0"/>
              <w:jc w:val="center"/>
              <w:rPr>
                <w:rFonts w:ascii="Times New Roman" w:eastAsia="Times New Roman" w:hAnsi="Times New Roman"/>
                <w:b/>
                <w:color w:val="000000"/>
                <w:sz w:val="24"/>
                <w:szCs w:val="24"/>
                <w:lang w:val="en-US" w:eastAsia="el-GR"/>
              </w:rPr>
            </w:pPr>
            <w:r w:rsidRPr="006F03E2">
              <w:rPr>
                <w:rFonts w:ascii="Times New Roman" w:eastAsia="Times New Roman" w:hAnsi="Times New Roman"/>
                <w:b/>
                <w:color w:val="000000"/>
                <w:sz w:val="24"/>
                <w:szCs w:val="24"/>
                <w:lang w:val="en-US" w:eastAsia="el-GR"/>
              </w:rPr>
              <w:t xml:space="preserve">GAP </w:t>
            </w:r>
            <w:r w:rsidR="003D23F6" w:rsidRPr="006F03E2">
              <w:rPr>
                <w:rFonts w:ascii="Times New Roman" w:eastAsia="Times New Roman" w:hAnsi="Times New Roman"/>
                <w:b/>
                <w:color w:val="000000"/>
                <w:sz w:val="24"/>
                <w:szCs w:val="24"/>
                <w:lang w:val="en-US" w:eastAsia="el-GR"/>
              </w:rPr>
              <w:t>95% Percentile</w:t>
            </w:r>
          </w:p>
        </w:tc>
      </w:tr>
      <w:tr w:rsidR="00BC5F8C" w:rsidRPr="006F03E2" w:rsidTr="00CA2456">
        <w:trPr>
          <w:trHeight w:val="300"/>
        </w:trPr>
        <w:tc>
          <w:tcPr>
            <w:tcW w:w="0" w:type="auto"/>
            <w:tcBorders>
              <w:top w:val="single" w:sz="4" w:space="0" w:color="auto"/>
            </w:tcBorders>
            <w:shd w:val="clear" w:color="auto" w:fill="auto"/>
            <w:noWrap/>
            <w:vAlign w:val="bottom"/>
            <w:hideMark/>
          </w:tcPr>
          <w:p w:rsidR="003D23F6" w:rsidRPr="006F03E2" w:rsidRDefault="003D23F6" w:rsidP="00C774B9">
            <w:pPr>
              <w:spacing w:line="240" w:lineRule="auto"/>
              <w:ind w:firstLine="0"/>
              <w:jc w:val="center"/>
              <w:rPr>
                <w:rFonts w:ascii="Times New Roman" w:eastAsia="Times New Roman" w:hAnsi="Times New Roman"/>
                <w:color w:val="000000"/>
                <w:sz w:val="24"/>
                <w:szCs w:val="24"/>
                <w:lang w:eastAsia="el-GR"/>
              </w:rPr>
            </w:pPr>
            <w:r w:rsidRPr="006F03E2">
              <w:rPr>
                <w:rFonts w:ascii="Times New Roman" w:eastAsia="Times New Roman" w:hAnsi="Times New Roman"/>
                <w:color w:val="000000"/>
                <w:sz w:val="24"/>
                <w:szCs w:val="24"/>
                <w:lang w:eastAsia="el-GR"/>
              </w:rPr>
              <w:t>2004</w:t>
            </w:r>
          </w:p>
        </w:tc>
        <w:tc>
          <w:tcPr>
            <w:tcW w:w="0" w:type="auto"/>
            <w:tcBorders>
              <w:top w:val="single" w:sz="4" w:space="0" w:color="auto"/>
            </w:tcBorders>
            <w:shd w:val="clear" w:color="auto" w:fill="auto"/>
            <w:noWrap/>
            <w:vAlign w:val="bottom"/>
            <w:hideMark/>
          </w:tcPr>
          <w:p w:rsidR="003D23F6" w:rsidRPr="006F03E2" w:rsidRDefault="003D23F6" w:rsidP="00C774B9">
            <w:pPr>
              <w:spacing w:line="240" w:lineRule="auto"/>
              <w:ind w:firstLine="0"/>
              <w:jc w:val="center"/>
              <w:rPr>
                <w:rFonts w:ascii="Times New Roman" w:eastAsia="Times New Roman" w:hAnsi="Times New Roman"/>
                <w:color w:val="000000"/>
                <w:sz w:val="24"/>
                <w:szCs w:val="24"/>
                <w:lang w:eastAsia="el-GR"/>
              </w:rPr>
            </w:pPr>
            <w:r w:rsidRPr="006F03E2">
              <w:rPr>
                <w:rFonts w:ascii="Times New Roman" w:eastAsia="Times New Roman" w:hAnsi="Times New Roman"/>
                <w:color w:val="000000"/>
                <w:sz w:val="24"/>
                <w:szCs w:val="24"/>
                <w:lang w:eastAsia="el-GR"/>
              </w:rPr>
              <w:t>69.04%</w:t>
            </w:r>
          </w:p>
        </w:tc>
        <w:tc>
          <w:tcPr>
            <w:tcW w:w="0" w:type="auto"/>
            <w:tcBorders>
              <w:top w:val="single" w:sz="4" w:space="0" w:color="auto"/>
            </w:tcBorders>
            <w:shd w:val="clear" w:color="auto" w:fill="auto"/>
            <w:noWrap/>
            <w:vAlign w:val="bottom"/>
            <w:hideMark/>
          </w:tcPr>
          <w:p w:rsidR="003D23F6" w:rsidRPr="006F03E2" w:rsidRDefault="003D23F6" w:rsidP="00C774B9">
            <w:pPr>
              <w:spacing w:line="240" w:lineRule="auto"/>
              <w:ind w:firstLine="0"/>
              <w:jc w:val="center"/>
              <w:rPr>
                <w:rFonts w:ascii="Times New Roman" w:eastAsia="Times New Roman" w:hAnsi="Times New Roman"/>
                <w:color w:val="000000"/>
                <w:sz w:val="24"/>
                <w:szCs w:val="24"/>
                <w:lang w:eastAsia="el-GR"/>
              </w:rPr>
            </w:pPr>
            <w:r w:rsidRPr="006F03E2">
              <w:rPr>
                <w:rFonts w:ascii="Times New Roman" w:eastAsia="Times New Roman" w:hAnsi="Times New Roman"/>
                <w:color w:val="000000"/>
                <w:sz w:val="24"/>
                <w:szCs w:val="24"/>
                <w:lang w:eastAsia="el-GR"/>
              </w:rPr>
              <w:t>51.17%</w:t>
            </w:r>
          </w:p>
        </w:tc>
        <w:tc>
          <w:tcPr>
            <w:tcW w:w="0" w:type="auto"/>
            <w:tcBorders>
              <w:top w:val="single" w:sz="4" w:space="0" w:color="auto"/>
            </w:tcBorders>
          </w:tcPr>
          <w:p w:rsidR="003D23F6" w:rsidRPr="006F03E2" w:rsidRDefault="003D23F6" w:rsidP="00C774B9">
            <w:pPr>
              <w:spacing w:line="240" w:lineRule="auto"/>
              <w:ind w:firstLine="0"/>
              <w:jc w:val="center"/>
              <w:rPr>
                <w:rFonts w:ascii="Times New Roman" w:eastAsia="Times New Roman" w:hAnsi="Times New Roman"/>
                <w:color w:val="000000"/>
                <w:sz w:val="24"/>
                <w:szCs w:val="24"/>
                <w:lang w:val="en-US" w:eastAsia="el-GR"/>
              </w:rPr>
            </w:pPr>
            <w:r w:rsidRPr="006F03E2">
              <w:rPr>
                <w:rFonts w:ascii="Times New Roman" w:eastAsia="Times New Roman" w:hAnsi="Times New Roman"/>
                <w:color w:val="000000"/>
                <w:sz w:val="24"/>
                <w:szCs w:val="24"/>
                <w:lang w:eastAsia="el-GR"/>
              </w:rPr>
              <w:t>77</w:t>
            </w:r>
            <w:r w:rsidRPr="006F03E2">
              <w:rPr>
                <w:rFonts w:ascii="Times New Roman" w:eastAsia="Times New Roman" w:hAnsi="Times New Roman"/>
                <w:color w:val="000000"/>
                <w:sz w:val="24"/>
                <w:szCs w:val="24"/>
                <w:lang w:val="en-US" w:eastAsia="el-GR"/>
              </w:rPr>
              <w:t>.</w:t>
            </w:r>
            <w:r w:rsidRPr="006F03E2">
              <w:rPr>
                <w:rFonts w:ascii="Times New Roman" w:eastAsia="Times New Roman" w:hAnsi="Times New Roman"/>
                <w:color w:val="000000"/>
                <w:sz w:val="24"/>
                <w:szCs w:val="24"/>
                <w:lang w:eastAsia="el-GR"/>
              </w:rPr>
              <w:t>85</w:t>
            </w:r>
            <w:r w:rsidRPr="006F03E2">
              <w:rPr>
                <w:rFonts w:ascii="Times New Roman" w:eastAsia="Times New Roman" w:hAnsi="Times New Roman"/>
                <w:color w:val="000000"/>
                <w:sz w:val="24"/>
                <w:szCs w:val="24"/>
                <w:lang w:val="en-US" w:eastAsia="el-GR"/>
              </w:rPr>
              <w:t>%</w:t>
            </w:r>
          </w:p>
        </w:tc>
      </w:tr>
      <w:tr w:rsidR="00BC5F8C" w:rsidRPr="006F03E2" w:rsidTr="001006C9">
        <w:trPr>
          <w:trHeight w:val="300"/>
        </w:trPr>
        <w:tc>
          <w:tcPr>
            <w:tcW w:w="0" w:type="auto"/>
            <w:shd w:val="clear" w:color="auto" w:fill="auto"/>
            <w:noWrap/>
            <w:vAlign w:val="bottom"/>
            <w:hideMark/>
          </w:tcPr>
          <w:p w:rsidR="003D23F6" w:rsidRPr="006F03E2" w:rsidRDefault="003D23F6" w:rsidP="00C774B9">
            <w:pPr>
              <w:spacing w:line="240" w:lineRule="auto"/>
              <w:ind w:firstLine="0"/>
              <w:jc w:val="center"/>
              <w:rPr>
                <w:rFonts w:ascii="Times New Roman" w:eastAsia="Times New Roman" w:hAnsi="Times New Roman"/>
                <w:color w:val="000000"/>
                <w:sz w:val="24"/>
                <w:szCs w:val="24"/>
                <w:lang w:eastAsia="el-GR"/>
              </w:rPr>
            </w:pPr>
            <w:r w:rsidRPr="006F03E2">
              <w:rPr>
                <w:rFonts w:ascii="Times New Roman" w:eastAsia="Times New Roman" w:hAnsi="Times New Roman"/>
                <w:color w:val="000000"/>
                <w:sz w:val="24"/>
                <w:szCs w:val="24"/>
                <w:lang w:eastAsia="el-GR"/>
              </w:rPr>
              <w:t>2005</w:t>
            </w:r>
          </w:p>
        </w:tc>
        <w:tc>
          <w:tcPr>
            <w:tcW w:w="0" w:type="auto"/>
            <w:shd w:val="clear" w:color="auto" w:fill="auto"/>
            <w:noWrap/>
            <w:vAlign w:val="bottom"/>
            <w:hideMark/>
          </w:tcPr>
          <w:p w:rsidR="003D23F6" w:rsidRPr="006F03E2" w:rsidRDefault="003D23F6" w:rsidP="00C774B9">
            <w:pPr>
              <w:spacing w:line="240" w:lineRule="auto"/>
              <w:ind w:firstLine="0"/>
              <w:jc w:val="center"/>
              <w:rPr>
                <w:rFonts w:ascii="Times New Roman" w:eastAsia="Times New Roman" w:hAnsi="Times New Roman"/>
                <w:color w:val="000000"/>
                <w:sz w:val="24"/>
                <w:szCs w:val="24"/>
                <w:lang w:eastAsia="el-GR"/>
              </w:rPr>
            </w:pPr>
            <w:r w:rsidRPr="006F03E2">
              <w:rPr>
                <w:rFonts w:ascii="Times New Roman" w:eastAsia="Times New Roman" w:hAnsi="Times New Roman"/>
                <w:color w:val="000000"/>
                <w:sz w:val="24"/>
                <w:szCs w:val="24"/>
                <w:lang w:eastAsia="el-GR"/>
              </w:rPr>
              <w:t>68.92%</w:t>
            </w:r>
          </w:p>
        </w:tc>
        <w:tc>
          <w:tcPr>
            <w:tcW w:w="0" w:type="auto"/>
            <w:shd w:val="clear" w:color="auto" w:fill="auto"/>
            <w:noWrap/>
            <w:vAlign w:val="bottom"/>
            <w:hideMark/>
          </w:tcPr>
          <w:p w:rsidR="003D23F6" w:rsidRPr="006F03E2" w:rsidRDefault="003D23F6" w:rsidP="00C774B9">
            <w:pPr>
              <w:spacing w:line="240" w:lineRule="auto"/>
              <w:ind w:firstLine="0"/>
              <w:jc w:val="center"/>
              <w:rPr>
                <w:rFonts w:ascii="Times New Roman" w:eastAsia="Times New Roman" w:hAnsi="Times New Roman"/>
                <w:color w:val="000000"/>
                <w:sz w:val="24"/>
                <w:szCs w:val="24"/>
                <w:lang w:eastAsia="el-GR"/>
              </w:rPr>
            </w:pPr>
            <w:r w:rsidRPr="006F03E2">
              <w:rPr>
                <w:rFonts w:ascii="Times New Roman" w:eastAsia="Times New Roman" w:hAnsi="Times New Roman"/>
                <w:color w:val="000000"/>
                <w:sz w:val="24"/>
                <w:szCs w:val="24"/>
                <w:lang w:eastAsia="el-GR"/>
              </w:rPr>
              <w:t>51.50%</w:t>
            </w:r>
          </w:p>
        </w:tc>
        <w:tc>
          <w:tcPr>
            <w:tcW w:w="0" w:type="auto"/>
          </w:tcPr>
          <w:p w:rsidR="003D23F6" w:rsidRPr="006F03E2" w:rsidRDefault="003D23F6" w:rsidP="00C774B9">
            <w:pPr>
              <w:spacing w:line="240" w:lineRule="auto"/>
              <w:ind w:firstLine="0"/>
              <w:jc w:val="center"/>
              <w:rPr>
                <w:rFonts w:ascii="Times New Roman" w:eastAsia="Times New Roman" w:hAnsi="Times New Roman"/>
                <w:color w:val="000000"/>
                <w:sz w:val="24"/>
                <w:szCs w:val="24"/>
                <w:lang w:val="en-US" w:eastAsia="el-GR"/>
              </w:rPr>
            </w:pPr>
            <w:r w:rsidRPr="006F03E2">
              <w:rPr>
                <w:rFonts w:ascii="Times New Roman" w:eastAsia="Times New Roman" w:hAnsi="Times New Roman"/>
                <w:color w:val="000000"/>
                <w:sz w:val="24"/>
                <w:szCs w:val="24"/>
                <w:lang w:eastAsia="el-GR"/>
              </w:rPr>
              <w:t>77</w:t>
            </w:r>
            <w:r w:rsidRPr="006F03E2">
              <w:rPr>
                <w:rFonts w:ascii="Times New Roman" w:eastAsia="Times New Roman" w:hAnsi="Times New Roman"/>
                <w:color w:val="000000"/>
                <w:sz w:val="24"/>
                <w:szCs w:val="24"/>
                <w:lang w:val="en-US" w:eastAsia="el-GR"/>
              </w:rPr>
              <w:t>.</w:t>
            </w:r>
            <w:r w:rsidRPr="006F03E2">
              <w:rPr>
                <w:rFonts w:ascii="Times New Roman" w:eastAsia="Times New Roman" w:hAnsi="Times New Roman"/>
                <w:color w:val="000000"/>
                <w:sz w:val="24"/>
                <w:szCs w:val="24"/>
                <w:lang w:eastAsia="el-GR"/>
              </w:rPr>
              <w:t>95</w:t>
            </w:r>
            <w:r w:rsidRPr="006F03E2">
              <w:rPr>
                <w:rFonts w:ascii="Times New Roman" w:eastAsia="Times New Roman" w:hAnsi="Times New Roman"/>
                <w:color w:val="000000"/>
                <w:sz w:val="24"/>
                <w:szCs w:val="24"/>
                <w:lang w:val="en-US" w:eastAsia="el-GR"/>
              </w:rPr>
              <w:t>%</w:t>
            </w:r>
          </w:p>
        </w:tc>
      </w:tr>
      <w:tr w:rsidR="00BC5F8C" w:rsidRPr="006F03E2" w:rsidTr="001006C9">
        <w:trPr>
          <w:trHeight w:val="300"/>
        </w:trPr>
        <w:tc>
          <w:tcPr>
            <w:tcW w:w="0" w:type="auto"/>
            <w:shd w:val="clear" w:color="auto" w:fill="auto"/>
            <w:noWrap/>
            <w:vAlign w:val="bottom"/>
            <w:hideMark/>
          </w:tcPr>
          <w:p w:rsidR="003D23F6" w:rsidRPr="006F03E2" w:rsidRDefault="003D23F6" w:rsidP="00C774B9">
            <w:pPr>
              <w:spacing w:line="240" w:lineRule="auto"/>
              <w:ind w:firstLine="0"/>
              <w:jc w:val="center"/>
              <w:rPr>
                <w:rFonts w:ascii="Times New Roman" w:eastAsia="Times New Roman" w:hAnsi="Times New Roman"/>
                <w:color w:val="000000"/>
                <w:sz w:val="24"/>
                <w:szCs w:val="24"/>
                <w:lang w:eastAsia="el-GR"/>
              </w:rPr>
            </w:pPr>
            <w:r w:rsidRPr="006F03E2">
              <w:rPr>
                <w:rFonts w:ascii="Times New Roman" w:eastAsia="Times New Roman" w:hAnsi="Times New Roman"/>
                <w:color w:val="000000"/>
                <w:sz w:val="24"/>
                <w:szCs w:val="24"/>
                <w:lang w:eastAsia="el-GR"/>
              </w:rPr>
              <w:t>2006</w:t>
            </w:r>
          </w:p>
        </w:tc>
        <w:tc>
          <w:tcPr>
            <w:tcW w:w="0" w:type="auto"/>
            <w:shd w:val="clear" w:color="auto" w:fill="auto"/>
            <w:noWrap/>
            <w:vAlign w:val="bottom"/>
            <w:hideMark/>
          </w:tcPr>
          <w:p w:rsidR="003D23F6" w:rsidRPr="006F03E2" w:rsidRDefault="003D23F6" w:rsidP="00C774B9">
            <w:pPr>
              <w:spacing w:line="240" w:lineRule="auto"/>
              <w:ind w:firstLine="0"/>
              <w:jc w:val="center"/>
              <w:rPr>
                <w:rFonts w:ascii="Times New Roman" w:eastAsia="Times New Roman" w:hAnsi="Times New Roman"/>
                <w:color w:val="000000"/>
                <w:sz w:val="24"/>
                <w:szCs w:val="24"/>
                <w:lang w:eastAsia="el-GR"/>
              </w:rPr>
            </w:pPr>
            <w:r w:rsidRPr="006F03E2">
              <w:rPr>
                <w:rFonts w:ascii="Times New Roman" w:eastAsia="Times New Roman" w:hAnsi="Times New Roman"/>
                <w:color w:val="000000"/>
                <w:sz w:val="24"/>
                <w:szCs w:val="24"/>
                <w:lang w:eastAsia="el-GR"/>
              </w:rPr>
              <w:t>69.00%</w:t>
            </w:r>
          </w:p>
        </w:tc>
        <w:tc>
          <w:tcPr>
            <w:tcW w:w="0" w:type="auto"/>
            <w:shd w:val="clear" w:color="auto" w:fill="auto"/>
            <w:noWrap/>
            <w:vAlign w:val="bottom"/>
            <w:hideMark/>
          </w:tcPr>
          <w:p w:rsidR="003D23F6" w:rsidRPr="006F03E2" w:rsidRDefault="003D23F6" w:rsidP="00C774B9">
            <w:pPr>
              <w:spacing w:line="240" w:lineRule="auto"/>
              <w:ind w:firstLine="0"/>
              <w:jc w:val="center"/>
              <w:rPr>
                <w:rFonts w:ascii="Times New Roman" w:eastAsia="Times New Roman" w:hAnsi="Times New Roman"/>
                <w:color w:val="000000"/>
                <w:sz w:val="24"/>
                <w:szCs w:val="24"/>
                <w:lang w:eastAsia="el-GR"/>
              </w:rPr>
            </w:pPr>
            <w:r w:rsidRPr="006F03E2">
              <w:rPr>
                <w:rFonts w:ascii="Times New Roman" w:eastAsia="Times New Roman" w:hAnsi="Times New Roman"/>
                <w:color w:val="000000"/>
                <w:sz w:val="24"/>
                <w:szCs w:val="24"/>
                <w:lang w:eastAsia="el-GR"/>
              </w:rPr>
              <w:t>51.49%</w:t>
            </w:r>
          </w:p>
        </w:tc>
        <w:tc>
          <w:tcPr>
            <w:tcW w:w="0" w:type="auto"/>
          </w:tcPr>
          <w:p w:rsidR="003D23F6" w:rsidRPr="006F03E2" w:rsidRDefault="003D23F6" w:rsidP="00C774B9">
            <w:pPr>
              <w:spacing w:line="240" w:lineRule="auto"/>
              <w:ind w:firstLine="0"/>
              <w:jc w:val="center"/>
              <w:rPr>
                <w:rFonts w:ascii="Times New Roman" w:eastAsia="Times New Roman" w:hAnsi="Times New Roman"/>
                <w:color w:val="000000"/>
                <w:sz w:val="24"/>
                <w:szCs w:val="24"/>
                <w:lang w:val="en-US" w:eastAsia="el-GR"/>
              </w:rPr>
            </w:pPr>
            <w:r w:rsidRPr="006F03E2">
              <w:rPr>
                <w:rFonts w:ascii="Times New Roman" w:eastAsia="Times New Roman" w:hAnsi="Times New Roman"/>
                <w:color w:val="000000"/>
                <w:sz w:val="24"/>
                <w:szCs w:val="24"/>
                <w:lang w:eastAsia="el-GR"/>
              </w:rPr>
              <w:t>78</w:t>
            </w:r>
            <w:r w:rsidRPr="006F03E2">
              <w:rPr>
                <w:rFonts w:ascii="Times New Roman" w:eastAsia="Times New Roman" w:hAnsi="Times New Roman"/>
                <w:color w:val="000000"/>
                <w:sz w:val="24"/>
                <w:szCs w:val="24"/>
                <w:lang w:val="en-US" w:eastAsia="el-GR"/>
              </w:rPr>
              <w:t>.</w:t>
            </w:r>
            <w:r w:rsidRPr="006F03E2">
              <w:rPr>
                <w:rFonts w:ascii="Times New Roman" w:eastAsia="Times New Roman" w:hAnsi="Times New Roman"/>
                <w:color w:val="000000"/>
                <w:sz w:val="24"/>
                <w:szCs w:val="24"/>
                <w:lang w:eastAsia="el-GR"/>
              </w:rPr>
              <w:t>10</w:t>
            </w:r>
            <w:r w:rsidRPr="006F03E2">
              <w:rPr>
                <w:rFonts w:ascii="Times New Roman" w:eastAsia="Times New Roman" w:hAnsi="Times New Roman"/>
                <w:color w:val="000000"/>
                <w:sz w:val="24"/>
                <w:szCs w:val="24"/>
                <w:lang w:val="en-US" w:eastAsia="el-GR"/>
              </w:rPr>
              <w:t>%</w:t>
            </w:r>
          </w:p>
        </w:tc>
      </w:tr>
      <w:tr w:rsidR="00BC5F8C" w:rsidRPr="006F03E2" w:rsidTr="001006C9">
        <w:trPr>
          <w:trHeight w:val="300"/>
        </w:trPr>
        <w:tc>
          <w:tcPr>
            <w:tcW w:w="0" w:type="auto"/>
            <w:shd w:val="clear" w:color="auto" w:fill="auto"/>
            <w:noWrap/>
            <w:vAlign w:val="bottom"/>
            <w:hideMark/>
          </w:tcPr>
          <w:p w:rsidR="003D23F6" w:rsidRPr="006F03E2" w:rsidRDefault="003D23F6" w:rsidP="00C774B9">
            <w:pPr>
              <w:spacing w:line="240" w:lineRule="auto"/>
              <w:ind w:firstLine="0"/>
              <w:jc w:val="center"/>
              <w:rPr>
                <w:rFonts w:ascii="Times New Roman" w:eastAsia="Times New Roman" w:hAnsi="Times New Roman"/>
                <w:color w:val="000000"/>
                <w:sz w:val="24"/>
                <w:szCs w:val="24"/>
                <w:lang w:eastAsia="el-GR"/>
              </w:rPr>
            </w:pPr>
            <w:r w:rsidRPr="006F03E2">
              <w:rPr>
                <w:rFonts w:ascii="Times New Roman" w:eastAsia="Times New Roman" w:hAnsi="Times New Roman"/>
                <w:color w:val="000000"/>
                <w:sz w:val="24"/>
                <w:szCs w:val="24"/>
                <w:lang w:eastAsia="el-GR"/>
              </w:rPr>
              <w:t>2007</w:t>
            </w:r>
          </w:p>
        </w:tc>
        <w:tc>
          <w:tcPr>
            <w:tcW w:w="0" w:type="auto"/>
            <w:shd w:val="clear" w:color="auto" w:fill="auto"/>
            <w:noWrap/>
            <w:vAlign w:val="bottom"/>
            <w:hideMark/>
          </w:tcPr>
          <w:p w:rsidR="003D23F6" w:rsidRPr="006F03E2" w:rsidRDefault="003D23F6" w:rsidP="00C774B9">
            <w:pPr>
              <w:spacing w:line="240" w:lineRule="auto"/>
              <w:ind w:firstLine="0"/>
              <w:jc w:val="center"/>
              <w:rPr>
                <w:rFonts w:ascii="Times New Roman" w:eastAsia="Times New Roman" w:hAnsi="Times New Roman"/>
                <w:color w:val="000000"/>
                <w:sz w:val="24"/>
                <w:szCs w:val="24"/>
                <w:lang w:eastAsia="el-GR"/>
              </w:rPr>
            </w:pPr>
            <w:r w:rsidRPr="006F03E2">
              <w:rPr>
                <w:rFonts w:ascii="Times New Roman" w:eastAsia="Times New Roman" w:hAnsi="Times New Roman"/>
                <w:color w:val="000000"/>
                <w:sz w:val="24"/>
                <w:szCs w:val="24"/>
                <w:lang w:eastAsia="el-GR"/>
              </w:rPr>
              <w:t>68.93%</w:t>
            </w:r>
          </w:p>
        </w:tc>
        <w:tc>
          <w:tcPr>
            <w:tcW w:w="0" w:type="auto"/>
            <w:shd w:val="clear" w:color="auto" w:fill="auto"/>
            <w:noWrap/>
            <w:vAlign w:val="bottom"/>
            <w:hideMark/>
          </w:tcPr>
          <w:p w:rsidR="003D23F6" w:rsidRPr="006F03E2" w:rsidRDefault="003D23F6" w:rsidP="00C774B9">
            <w:pPr>
              <w:spacing w:line="240" w:lineRule="auto"/>
              <w:ind w:firstLine="0"/>
              <w:jc w:val="center"/>
              <w:rPr>
                <w:rFonts w:ascii="Times New Roman" w:eastAsia="Times New Roman" w:hAnsi="Times New Roman"/>
                <w:color w:val="000000"/>
                <w:sz w:val="24"/>
                <w:szCs w:val="24"/>
                <w:lang w:eastAsia="el-GR"/>
              </w:rPr>
            </w:pPr>
            <w:r w:rsidRPr="006F03E2">
              <w:rPr>
                <w:rFonts w:ascii="Times New Roman" w:eastAsia="Times New Roman" w:hAnsi="Times New Roman"/>
                <w:color w:val="000000"/>
                <w:sz w:val="24"/>
                <w:szCs w:val="24"/>
                <w:lang w:eastAsia="el-GR"/>
              </w:rPr>
              <w:t>51.25%</w:t>
            </w:r>
          </w:p>
        </w:tc>
        <w:tc>
          <w:tcPr>
            <w:tcW w:w="0" w:type="auto"/>
          </w:tcPr>
          <w:p w:rsidR="003D23F6" w:rsidRPr="006F03E2" w:rsidRDefault="003D23F6" w:rsidP="00C774B9">
            <w:pPr>
              <w:spacing w:line="240" w:lineRule="auto"/>
              <w:ind w:firstLine="0"/>
              <w:jc w:val="center"/>
              <w:rPr>
                <w:rFonts w:ascii="Times New Roman" w:eastAsia="Times New Roman" w:hAnsi="Times New Roman"/>
                <w:color w:val="000000"/>
                <w:sz w:val="24"/>
                <w:szCs w:val="24"/>
                <w:lang w:val="en-US" w:eastAsia="el-GR"/>
              </w:rPr>
            </w:pPr>
            <w:r w:rsidRPr="006F03E2">
              <w:rPr>
                <w:rFonts w:ascii="Times New Roman" w:eastAsia="Times New Roman" w:hAnsi="Times New Roman"/>
                <w:color w:val="000000"/>
                <w:sz w:val="24"/>
                <w:szCs w:val="24"/>
                <w:lang w:eastAsia="el-GR"/>
              </w:rPr>
              <w:t>78</w:t>
            </w:r>
            <w:r w:rsidRPr="006F03E2">
              <w:rPr>
                <w:rFonts w:ascii="Times New Roman" w:eastAsia="Times New Roman" w:hAnsi="Times New Roman"/>
                <w:color w:val="000000"/>
                <w:sz w:val="24"/>
                <w:szCs w:val="24"/>
                <w:lang w:val="en-US" w:eastAsia="el-GR"/>
              </w:rPr>
              <w:t>.</w:t>
            </w:r>
            <w:r w:rsidRPr="006F03E2">
              <w:rPr>
                <w:rFonts w:ascii="Times New Roman" w:eastAsia="Times New Roman" w:hAnsi="Times New Roman"/>
                <w:color w:val="000000"/>
                <w:sz w:val="24"/>
                <w:szCs w:val="24"/>
                <w:lang w:eastAsia="el-GR"/>
              </w:rPr>
              <w:t>31</w:t>
            </w:r>
            <w:r w:rsidRPr="006F03E2">
              <w:rPr>
                <w:rFonts w:ascii="Times New Roman" w:eastAsia="Times New Roman" w:hAnsi="Times New Roman"/>
                <w:color w:val="000000"/>
                <w:sz w:val="24"/>
                <w:szCs w:val="24"/>
                <w:lang w:val="en-US" w:eastAsia="el-GR"/>
              </w:rPr>
              <w:t>%</w:t>
            </w:r>
          </w:p>
        </w:tc>
      </w:tr>
      <w:tr w:rsidR="00BC5F8C" w:rsidRPr="006F03E2" w:rsidTr="001006C9">
        <w:trPr>
          <w:trHeight w:val="300"/>
        </w:trPr>
        <w:tc>
          <w:tcPr>
            <w:tcW w:w="0" w:type="auto"/>
            <w:shd w:val="clear" w:color="auto" w:fill="auto"/>
            <w:noWrap/>
            <w:vAlign w:val="bottom"/>
            <w:hideMark/>
          </w:tcPr>
          <w:p w:rsidR="003D23F6" w:rsidRPr="006F03E2" w:rsidRDefault="003D23F6" w:rsidP="00C774B9">
            <w:pPr>
              <w:spacing w:line="240" w:lineRule="auto"/>
              <w:ind w:firstLine="0"/>
              <w:jc w:val="center"/>
              <w:rPr>
                <w:rFonts w:ascii="Times New Roman" w:eastAsia="Times New Roman" w:hAnsi="Times New Roman"/>
                <w:color w:val="000000"/>
                <w:sz w:val="24"/>
                <w:szCs w:val="24"/>
                <w:lang w:eastAsia="el-GR"/>
              </w:rPr>
            </w:pPr>
            <w:r w:rsidRPr="006F03E2">
              <w:rPr>
                <w:rFonts w:ascii="Times New Roman" w:eastAsia="Times New Roman" w:hAnsi="Times New Roman"/>
                <w:color w:val="000000"/>
                <w:sz w:val="24"/>
                <w:szCs w:val="24"/>
                <w:lang w:eastAsia="el-GR"/>
              </w:rPr>
              <w:t>2008</w:t>
            </w:r>
          </w:p>
        </w:tc>
        <w:tc>
          <w:tcPr>
            <w:tcW w:w="0" w:type="auto"/>
            <w:shd w:val="clear" w:color="auto" w:fill="auto"/>
            <w:noWrap/>
            <w:vAlign w:val="bottom"/>
            <w:hideMark/>
          </w:tcPr>
          <w:p w:rsidR="003D23F6" w:rsidRPr="006F03E2" w:rsidRDefault="003D23F6" w:rsidP="00C774B9">
            <w:pPr>
              <w:spacing w:line="240" w:lineRule="auto"/>
              <w:ind w:firstLine="0"/>
              <w:jc w:val="center"/>
              <w:rPr>
                <w:rFonts w:ascii="Times New Roman" w:eastAsia="Times New Roman" w:hAnsi="Times New Roman"/>
                <w:color w:val="000000"/>
                <w:sz w:val="24"/>
                <w:szCs w:val="24"/>
                <w:lang w:eastAsia="el-GR"/>
              </w:rPr>
            </w:pPr>
            <w:r w:rsidRPr="006F03E2">
              <w:rPr>
                <w:rFonts w:ascii="Times New Roman" w:eastAsia="Times New Roman" w:hAnsi="Times New Roman"/>
                <w:color w:val="000000"/>
                <w:sz w:val="24"/>
                <w:szCs w:val="24"/>
                <w:lang w:eastAsia="el-GR"/>
              </w:rPr>
              <w:t>68.92%</w:t>
            </w:r>
          </w:p>
        </w:tc>
        <w:tc>
          <w:tcPr>
            <w:tcW w:w="0" w:type="auto"/>
            <w:shd w:val="clear" w:color="auto" w:fill="auto"/>
            <w:noWrap/>
            <w:vAlign w:val="bottom"/>
            <w:hideMark/>
          </w:tcPr>
          <w:p w:rsidR="003D23F6" w:rsidRPr="006F03E2" w:rsidRDefault="003D23F6" w:rsidP="00C774B9">
            <w:pPr>
              <w:spacing w:line="240" w:lineRule="auto"/>
              <w:ind w:firstLine="0"/>
              <w:jc w:val="center"/>
              <w:rPr>
                <w:rFonts w:ascii="Times New Roman" w:eastAsia="Times New Roman" w:hAnsi="Times New Roman"/>
                <w:color w:val="000000"/>
                <w:sz w:val="24"/>
                <w:szCs w:val="24"/>
                <w:lang w:eastAsia="el-GR"/>
              </w:rPr>
            </w:pPr>
            <w:r w:rsidRPr="006F03E2">
              <w:rPr>
                <w:rFonts w:ascii="Times New Roman" w:eastAsia="Times New Roman" w:hAnsi="Times New Roman"/>
                <w:color w:val="000000"/>
                <w:sz w:val="24"/>
                <w:szCs w:val="24"/>
                <w:lang w:eastAsia="el-GR"/>
              </w:rPr>
              <w:t>50.89%</w:t>
            </w:r>
          </w:p>
        </w:tc>
        <w:tc>
          <w:tcPr>
            <w:tcW w:w="0" w:type="auto"/>
          </w:tcPr>
          <w:p w:rsidR="003D23F6" w:rsidRPr="006F03E2" w:rsidRDefault="003D23F6" w:rsidP="00C774B9">
            <w:pPr>
              <w:spacing w:line="240" w:lineRule="auto"/>
              <w:ind w:firstLine="0"/>
              <w:jc w:val="center"/>
              <w:rPr>
                <w:rFonts w:ascii="Times New Roman" w:eastAsia="Times New Roman" w:hAnsi="Times New Roman"/>
                <w:color w:val="000000"/>
                <w:sz w:val="24"/>
                <w:szCs w:val="24"/>
                <w:lang w:val="en-US" w:eastAsia="el-GR"/>
              </w:rPr>
            </w:pPr>
            <w:r w:rsidRPr="006F03E2">
              <w:rPr>
                <w:rFonts w:ascii="Times New Roman" w:eastAsia="Times New Roman" w:hAnsi="Times New Roman"/>
                <w:color w:val="000000"/>
                <w:sz w:val="24"/>
                <w:szCs w:val="24"/>
                <w:lang w:eastAsia="el-GR"/>
              </w:rPr>
              <w:t>78</w:t>
            </w:r>
            <w:r w:rsidRPr="006F03E2">
              <w:rPr>
                <w:rFonts w:ascii="Times New Roman" w:eastAsia="Times New Roman" w:hAnsi="Times New Roman"/>
                <w:color w:val="000000"/>
                <w:sz w:val="24"/>
                <w:szCs w:val="24"/>
                <w:lang w:val="en-US" w:eastAsia="el-GR"/>
              </w:rPr>
              <w:t>.</w:t>
            </w:r>
            <w:r w:rsidRPr="006F03E2">
              <w:rPr>
                <w:rFonts w:ascii="Times New Roman" w:eastAsia="Times New Roman" w:hAnsi="Times New Roman"/>
                <w:color w:val="000000"/>
                <w:sz w:val="24"/>
                <w:szCs w:val="24"/>
                <w:lang w:eastAsia="el-GR"/>
              </w:rPr>
              <w:t>45</w:t>
            </w:r>
            <w:r w:rsidRPr="006F03E2">
              <w:rPr>
                <w:rFonts w:ascii="Times New Roman" w:eastAsia="Times New Roman" w:hAnsi="Times New Roman"/>
                <w:color w:val="000000"/>
                <w:sz w:val="24"/>
                <w:szCs w:val="24"/>
                <w:lang w:val="en-US" w:eastAsia="el-GR"/>
              </w:rPr>
              <w:t>%</w:t>
            </w:r>
          </w:p>
        </w:tc>
      </w:tr>
      <w:tr w:rsidR="00BC5F8C" w:rsidRPr="006F03E2" w:rsidTr="001006C9">
        <w:trPr>
          <w:trHeight w:val="300"/>
        </w:trPr>
        <w:tc>
          <w:tcPr>
            <w:tcW w:w="0" w:type="auto"/>
            <w:shd w:val="clear" w:color="auto" w:fill="auto"/>
            <w:noWrap/>
            <w:vAlign w:val="bottom"/>
            <w:hideMark/>
          </w:tcPr>
          <w:p w:rsidR="003D23F6" w:rsidRPr="006F03E2" w:rsidRDefault="003D23F6" w:rsidP="00C774B9">
            <w:pPr>
              <w:spacing w:line="240" w:lineRule="auto"/>
              <w:ind w:firstLine="0"/>
              <w:jc w:val="center"/>
              <w:rPr>
                <w:rFonts w:ascii="Times New Roman" w:eastAsia="Times New Roman" w:hAnsi="Times New Roman"/>
                <w:color w:val="000000"/>
                <w:sz w:val="24"/>
                <w:szCs w:val="24"/>
                <w:lang w:eastAsia="el-GR"/>
              </w:rPr>
            </w:pPr>
            <w:r w:rsidRPr="006F03E2">
              <w:rPr>
                <w:rFonts w:ascii="Times New Roman" w:eastAsia="Times New Roman" w:hAnsi="Times New Roman"/>
                <w:color w:val="000000"/>
                <w:sz w:val="24"/>
                <w:szCs w:val="24"/>
                <w:lang w:eastAsia="el-GR"/>
              </w:rPr>
              <w:t>2009</w:t>
            </w:r>
          </w:p>
        </w:tc>
        <w:tc>
          <w:tcPr>
            <w:tcW w:w="0" w:type="auto"/>
            <w:shd w:val="clear" w:color="auto" w:fill="auto"/>
            <w:noWrap/>
            <w:vAlign w:val="bottom"/>
            <w:hideMark/>
          </w:tcPr>
          <w:p w:rsidR="003D23F6" w:rsidRPr="006F03E2" w:rsidRDefault="003D23F6" w:rsidP="00C774B9">
            <w:pPr>
              <w:spacing w:line="240" w:lineRule="auto"/>
              <w:ind w:firstLine="0"/>
              <w:jc w:val="center"/>
              <w:rPr>
                <w:rFonts w:ascii="Times New Roman" w:eastAsia="Times New Roman" w:hAnsi="Times New Roman"/>
                <w:color w:val="000000"/>
                <w:sz w:val="24"/>
                <w:szCs w:val="24"/>
                <w:lang w:eastAsia="el-GR"/>
              </w:rPr>
            </w:pPr>
            <w:r w:rsidRPr="006F03E2">
              <w:rPr>
                <w:rFonts w:ascii="Times New Roman" w:eastAsia="Times New Roman" w:hAnsi="Times New Roman"/>
                <w:color w:val="000000"/>
                <w:sz w:val="24"/>
                <w:szCs w:val="24"/>
                <w:lang w:eastAsia="el-GR"/>
              </w:rPr>
              <w:t>68.38%</w:t>
            </w:r>
          </w:p>
        </w:tc>
        <w:tc>
          <w:tcPr>
            <w:tcW w:w="0" w:type="auto"/>
            <w:shd w:val="clear" w:color="auto" w:fill="auto"/>
            <w:noWrap/>
            <w:vAlign w:val="bottom"/>
            <w:hideMark/>
          </w:tcPr>
          <w:p w:rsidR="003D23F6" w:rsidRPr="006F03E2" w:rsidRDefault="003D23F6" w:rsidP="00C774B9">
            <w:pPr>
              <w:spacing w:line="240" w:lineRule="auto"/>
              <w:ind w:firstLine="0"/>
              <w:jc w:val="center"/>
              <w:rPr>
                <w:rFonts w:ascii="Times New Roman" w:eastAsia="Times New Roman" w:hAnsi="Times New Roman"/>
                <w:color w:val="000000"/>
                <w:sz w:val="24"/>
                <w:szCs w:val="24"/>
                <w:lang w:eastAsia="el-GR"/>
              </w:rPr>
            </w:pPr>
            <w:r w:rsidRPr="006F03E2">
              <w:rPr>
                <w:rFonts w:ascii="Times New Roman" w:eastAsia="Times New Roman" w:hAnsi="Times New Roman"/>
                <w:color w:val="000000"/>
                <w:sz w:val="24"/>
                <w:szCs w:val="24"/>
                <w:lang w:eastAsia="el-GR"/>
              </w:rPr>
              <w:t>49.78%</w:t>
            </w:r>
          </w:p>
        </w:tc>
        <w:tc>
          <w:tcPr>
            <w:tcW w:w="0" w:type="auto"/>
          </w:tcPr>
          <w:p w:rsidR="003D23F6" w:rsidRPr="006F03E2" w:rsidRDefault="003D23F6" w:rsidP="00C774B9">
            <w:pPr>
              <w:spacing w:line="240" w:lineRule="auto"/>
              <w:ind w:firstLine="0"/>
              <w:jc w:val="center"/>
              <w:rPr>
                <w:rFonts w:ascii="Times New Roman" w:eastAsia="Times New Roman" w:hAnsi="Times New Roman"/>
                <w:color w:val="000000"/>
                <w:sz w:val="24"/>
                <w:szCs w:val="24"/>
                <w:lang w:val="en-US" w:eastAsia="el-GR"/>
              </w:rPr>
            </w:pPr>
            <w:r w:rsidRPr="006F03E2">
              <w:rPr>
                <w:rFonts w:ascii="Times New Roman" w:eastAsia="Times New Roman" w:hAnsi="Times New Roman"/>
                <w:color w:val="000000"/>
                <w:sz w:val="24"/>
                <w:szCs w:val="24"/>
                <w:lang w:eastAsia="el-GR"/>
              </w:rPr>
              <w:t>79</w:t>
            </w:r>
            <w:r w:rsidRPr="006F03E2">
              <w:rPr>
                <w:rFonts w:ascii="Times New Roman" w:eastAsia="Times New Roman" w:hAnsi="Times New Roman"/>
                <w:color w:val="000000"/>
                <w:sz w:val="24"/>
                <w:szCs w:val="24"/>
                <w:lang w:val="en-US" w:eastAsia="el-GR"/>
              </w:rPr>
              <w:t>.</w:t>
            </w:r>
            <w:r w:rsidRPr="006F03E2">
              <w:rPr>
                <w:rFonts w:ascii="Times New Roman" w:eastAsia="Times New Roman" w:hAnsi="Times New Roman"/>
                <w:color w:val="000000"/>
                <w:sz w:val="24"/>
                <w:szCs w:val="24"/>
                <w:lang w:eastAsia="el-GR"/>
              </w:rPr>
              <w:t>22</w:t>
            </w:r>
            <w:r w:rsidRPr="006F03E2">
              <w:rPr>
                <w:rFonts w:ascii="Times New Roman" w:eastAsia="Times New Roman" w:hAnsi="Times New Roman"/>
                <w:color w:val="000000"/>
                <w:sz w:val="24"/>
                <w:szCs w:val="24"/>
                <w:lang w:val="en-US" w:eastAsia="el-GR"/>
              </w:rPr>
              <w:t>%</w:t>
            </w:r>
          </w:p>
        </w:tc>
      </w:tr>
      <w:tr w:rsidR="00BC5F8C" w:rsidRPr="006F03E2" w:rsidTr="001006C9">
        <w:trPr>
          <w:trHeight w:val="300"/>
        </w:trPr>
        <w:tc>
          <w:tcPr>
            <w:tcW w:w="0" w:type="auto"/>
            <w:shd w:val="clear" w:color="auto" w:fill="auto"/>
            <w:noWrap/>
            <w:vAlign w:val="bottom"/>
            <w:hideMark/>
          </w:tcPr>
          <w:p w:rsidR="003D23F6" w:rsidRPr="006F03E2" w:rsidRDefault="003D23F6" w:rsidP="00C774B9">
            <w:pPr>
              <w:spacing w:line="240" w:lineRule="auto"/>
              <w:ind w:firstLine="0"/>
              <w:jc w:val="center"/>
              <w:rPr>
                <w:rFonts w:ascii="Times New Roman" w:eastAsia="Times New Roman" w:hAnsi="Times New Roman"/>
                <w:color w:val="000000"/>
                <w:sz w:val="24"/>
                <w:szCs w:val="24"/>
                <w:lang w:eastAsia="el-GR"/>
              </w:rPr>
            </w:pPr>
            <w:r w:rsidRPr="006F03E2">
              <w:rPr>
                <w:rFonts w:ascii="Times New Roman" w:eastAsia="Times New Roman" w:hAnsi="Times New Roman"/>
                <w:color w:val="000000"/>
                <w:sz w:val="24"/>
                <w:szCs w:val="24"/>
                <w:lang w:eastAsia="el-GR"/>
              </w:rPr>
              <w:t>2010</w:t>
            </w:r>
          </w:p>
        </w:tc>
        <w:tc>
          <w:tcPr>
            <w:tcW w:w="0" w:type="auto"/>
            <w:shd w:val="clear" w:color="auto" w:fill="auto"/>
            <w:noWrap/>
            <w:vAlign w:val="bottom"/>
            <w:hideMark/>
          </w:tcPr>
          <w:p w:rsidR="003D23F6" w:rsidRPr="006F03E2" w:rsidRDefault="003D23F6" w:rsidP="00C774B9">
            <w:pPr>
              <w:spacing w:line="240" w:lineRule="auto"/>
              <w:ind w:firstLine="0"/>
              <w:jc w:val="center"/>
              <w:rPr>
                <w:rFonts w:ascii="Times New Roman" w:eastAsia="Times New Roman" w:hAnsi="Times New Roman"/>
                <w:color w:val="000000"/>
                <w:sz w:val="24"/>
                <w:szCs w:val="24"/>
                <w:lang w:eastAsia="el-GR"/>
              </w:rPr>
            </w:pPr>
            <w:r w:rsidRPr="006F03E2">
              <w:rPr>
                <w:rFonts w:ascii="Times New Roman" w:eastAsia="Times New Roman" w:hAnsi="Times New Roman"/>
                <w:color w:val="000000"/>
                <w:sz w:val="24"/>
                <w:szCs w:val="24"/>
                <w:lang w:eastAsia="el-GR"/>
              </w:rPr>
              <w:t>68.18%</w:t>
            </w:r>
          </w:p>
        </w:tc>
        <w:tc>
          <w:tcPr>
            <w:tcW w:w="0" w:type="auto"/>
            <w:shd w:val="clear" w:color="auto" w:fill="auto"/>
            <w:noWrap/>
            <w:vAlign w:val="bottom"/>
            <w:hideMark/>
          </w:tcPr>
          <w:p w:rsidR="003D23F6" w:rsidRPr="006F03E2" w:rsidRDefault="003D23F6" w:rsidP="00C774B9">
            <w:pPr>
              <w:spacing w:line="240" w:lineRule="auto"/>
              <w:ind w:firstLine="0"/>
              <w:jc w:val="center"/>
              <w:rPr>
                <w:rFonts w:ascii="Times New Roman" w:eastAsia="Times New Roman" w:hAnsi="Times New Roman"/>
                <w:color w:val="000000"/>
                <w:sz w:val="24"/>
                <w:szCs w:val="24"/>
                <w:lang w:eastAsia="el-GR"/>
              </w:rPr>
            </w:pPr>
            <w:r w:rsidRPr="006F03E2">
              <w:rPr>
                <w:rFonts w:ascii="Times New Roman" w:eastAsia="Times New Roman" w:hAnsi="Times New Roman"/>
                <w:color w:val="000000"/>
                <w:sz w:val="24"/>
                <w:szCs w:val="24"/>
                <w:lang w:eastAsia="el-GR"/>
              </w:rPr>
              <w:t>49.99%</w:t>
            </w:r>
          </w:p>
        </w:tc>
        <w:tc>
          <w:tcPr>
            <w:tcW w:w="0" w:type="auto"/>
          </w:tcPr>
          <w:p w:rsidR="003D23F6" w:rsidRPr="006F03E2" w:rsidRDefault="003D23F6" w:rsidP="00C774B9">
            <w:pPr>
              <w:spacing w:line="240" w:lineRule="auto"/>
              <w:ind w:firstLine="0"/>
              <w:jc w:val="center"/>
              <w:rPr>
                <w:rFonts w:ascii="Times New Roman" w:eastAsia="Times New Roman" w:hAnsi="Times New Roman"/>
                <w:color w:val="000000"/>
                <w:sz w:val="24"/>
                <w:szCs w:val="24"/>
                <w:lang w:val="en-US" w:eastAsia="el-GR"/>
              </w:rPr>
            </w:pPr>
            <w:r w:rsidRPr="006F03E2">
              <w:rPr>
                <w:rFonts w:ascii="Times New Roman" w:eastAsia="Times New Roman" w:hAnsi="Times New Roman"/>
                <w:color w:val="000000"/>
                <w:sz w:val="24"/>
                <w:szCs w:val="24"/>
                <w:lang w:eastAsia="el-GR"/>
              </w:rPr>
              <w:t>79</w:t>
            </w:r>
            <w:r w:rsidRPr="006F03E2">
              <w:rPr>
                <w:rFonts w:ascii="Times New Roman" w:eastAsia="Times New Roman" w:hAnsi="Times New Roman"/>
                <w:color w:val="000000"/>
                <w:sz w:val="24"/>
                <w:szCs w:val="24"/>
                <w:lang w:val="en-US" w:eastAsia="el-GR"/>
              </w:rPr>
              <w:t>.</w:t>
            </w:r>
            <w:r w:rsidRPr="006F03E2">
              <w:rPr>
                <w:rFonts w:ascii="Times New Roman" w:eastAsia="Times New Roman" w:hAnsi="Times New Roman"/>
                <w:color w:val="000000"/>
                <w:sz w:val="24"/>
                <w:szCs w:val="24"/>
                <w:lang w:eastAsia="el-GR"/>
              </w:rPr>
              <w:t>36</w:t>
            </w:r>
            <w:r w:rsidRPr="006F03E2">
              <w:rPr>
                <w:rFonts w:ascii="Times New Roman" w:eastAsia="Times New Roman" w:hAnsi="Times New Roman"/>
                <w:color w:val="000000"/>
                <w:sz w:val="24"/>
                <w:szCs w:val="24"/>
                <w:lang w:val="en-US" w:eastAsia="el-GR"/>
              </w:rPr>
              <w:t>%</w:t>
            </w:r>
          </w:p>
        </w:tc>
      </w:tr>
      <w:tr w:rsidR="00BC5F8C" w:rsidRPr="006F03E2" w:rsidTr="00C71E21">
        <w:trPr>
          <w:trHeight w:val="300"/>
        </w:trPr>
        <w:tc>
          <w:tcPr>
            <w:tcW w:w="0" w:type="auto"/>
            <w:tcBorders>
              <w:bottom w:val="single" w:sz="4" w:space="0" w:color="auto"/>
            </w:tcBorders>
            <w:shd w:val="clear" w:color="auto" w:fill="auto"/>
            <w:noWrap/>
            <w:vAlign w:val="bottom"/>
            <w:hideMark/>
          </w:tcPr>
          <w:p w:rsidR="003D23F6" w:rsidRPr="006F03E2" w:rsidRDefault="003D23F6" w:rsidP="00C774B9">
            <w:pPr>
              <w:spacing w:line="240" w:lineRule="auto"/>
              <w:ind w:firstLine="0"/>
              <w:jc w:val="center"/>
              <w:rPr>
                <w:rFonts w:ascii="Times New Roman" w:eastAsia="Times New Roman" w:hAnsi="Times New Roman"/>
                <w:color w:val="000000"/>
                <w:sz w:val="24"/>
                <w:szCs w:val="24"/>
                <w:lang w:eastAsia="el-GR"/>
              </w:rPr>
            </w:pPr>
            <w:r w:rsidRPr="006F03E2">
              <w:rPr>
                <w:rFonts w:ascii="Times New Roman" w:eastAsia="Times New Roman" w:hAnsi="Times New Roman"/>
                <w:color w:val="000000"/>
                <w:sz w:val="24"/>
                <w:szCs w:val="24"/>
                <w:lang w:eastAsia="el-GR"/>
              </w:rPr>
              <w:t>2011</w:t>
            </w:r>
          </w:p>
        </w:tc>
        <w:tc>
          <w:tcPr>
            <w:tcW w:w="0" w:type="auto"/>
            <w:tcBorders>
              <w:bottom w:val="single" w:sz="4" w:space="0" w:color="auto"/>
            </w:tcBorders>
            <w:shd w:val="clear" w:color="auto" w:fill="auto"/>
            <w:noWrap/>
            <w:vAlign w:val="bottom"/>
            <w:hideMark/>
          </w:tcPr>
          <w:p w:rsidR="003D23F6" w:rsidRPr="006F03E2" w:rsidRDefault="003D23F6" w:rsidP="00C774B9">
            <w:pPr>
              <w:spacing w:line="240" w:lineRule="auto"/>
              <w:ind w:firstLine="0"/>
              <w:jc w:val="center"/>
              <w:rPr>
                <w:rFonts w:ascii="Times New Roman" w:eastAsia="Times New Roman" w:hAnsi="Times New Roman"/>
                <w:color w:val="000000"/>
                <w:sz w:val="24"/>
                <w:szCs w:val="24"/>
                <w:lang w:eastAsia="el-GR"/>
              </w:rPr>
            </w:pPr>
            <w:r w:rsidRPr="006F03E2">
              <w:rPr>
                <w:rFonts w:ascii="Times New Roman" w:eastAsia="Times New Roman" w:hAnsi="Times New Roman"/>
                <w:color w:val="000000"/>
                <w:sz w:val="24"/>
                <w:szCs w:val="24"/>
                <w:lang w:eastAsia="el-GR"/>
              </w:rPr>
              <w:t>68.28%</w:t>
            </w:r>
          </w:p>
        </w:tc>
        <w:tc>
          <w:tcPr>
            <w:tcW w:w="0" w:type="auto"/>
            <w:tcBorders>
              <w:bottom w:val="single" w:sz="4" w:space="0" w:color="auto"/>
            </w:tcBorders>
            <w:shd w:val="clear" w:color="auto" w:fill="auto"/>
            <w:noWrap/>
            <w:vAlign w:val="bottom"/>
            <w:hideMark/>
          </w:tcPr>
          <w:p w:rsidR="003D23F6" w:rsidRPr="006F03E2" w:rsidRDefault="003D23F6" w:rsidP="00C774B9">
            <w:pPr>
              <w:spacing w:line="240" w:lineRule="auto"/>
              <w:ind w:firstLine="0"/>
              <w:jc w:val="center"/>
              <w:rPr>
                <w:rFonts w:ascii="Times New Roman" w:eastAsia="Times New Roman" w:hAnsi="Times New Roman"/>
                <w:color w:val="000000"/>
                <w:sz w:val="24"/>
                <w:szCs w:val="24"/>
                <w:lang w:eastAsia="el-GR"/>
              </w:rPr>
            </w:pPr>
            <w:r w:rsidRPr="006F03E2">
              <w:rPr>
                <w:rFonts w:ascii="Times New Roman" w:eastAsia="Times New Roman" w:hAnsi="Times New Roman"/>
                <w:color w:val="000000"/>
                <w:sz w:val="24"/>
                <w:szCs w:val="24"/>
                <w:lang w:eastAsia="el-GR"/>
              </w:rPr>
              <w:t>50.26%</w:t>
            </w:r>
          </w:p>
        </w:tc>
        <w:tc>
          <w:tcPr>
            <w:tcW w:w="0" w:type="auto"/>
            <w:tcBorders>
              <w:bottom w:val="single" w:sz="4" w:space="0" w:color="auto"/>
            </w:tcBorders>
          </w:tcPr>
          <w:p w:rsidR="003D23F6" w:rsidRPr="006F03E2" w:rsidRDefault="003D23F6" w:rsidP="00C774B9">
            <w:pPr>
              <w:spacing w:line="240" w:lineRule="auto"/>
              <w:ind w:firstLine="0"/>
              <w:jc w:val="center"/>
              <w:rPr>
                <w:rFonts w:ascii="Times New Roman" w:eastAsia="Times New Roman" w:hAnsi="Times New Roman"/>
                <w:color w:val="000000"/>
                <w:sz w:val="24"/>
                <w:szCs w:val="24"/>
                <w:lang w:val="en-US" w:eastAsia="el-GR"/>
              </w:rPr>
            </w:pPr>
            <w:r w:rsidRPr="006F03E2">
              <w:rPr>
                <w:rFonts w:ascii="Times New Roman" w:eastAsia="Times New Roman" w:hAnsi="Times New Roman"/>
                <w:color w:val="000000"/>
                <w:sz w:val="24"/>
                <w:szCs w:val="24"/>
                <w:lang w:eastAsia="el-GR"/>
              </w:rPr>
              <w:t>79</w:t>
            </w:r>
            <w:r w:rsidRPr="006F03E2">
              <w:rPr>
                <w:rFonts w:ascii="Times New Roman" w:eastAsia="Times New Roman" w:hAnsi="Times New Roman"/>
                <w:color w:val="000000"/>
                <w:sz w:val="24"/>
                <w:szCs w:val="24"/>
                <w:lang w:val="en-US" w:eastAsia="el-GR"/>
              </w:rPr>
              <w:t>.</w:t>
            </w:r>
            <w:r w:rsidRPr="006F03E2">
              <w:rPr>
                <w:rFonts w:ascii="Times New Roman" w:eastAsia="Times New Roman" w:hAnsi="Times New Roman"/>
                <w:color w:val="000000"/>
                <w:sz w:val="24"/>
                <w:szCs w:val="24"/>
                <w:lang w:eastAsia="el-GR"/>
              </w:rPr>
              <w:t>52</w:t>
            </w:r>
            <w:r w:rsidRPr="006F03E2">
              <w:rPr>
                <w:rFonts w:ascii="Times New Roman" w:eastAsia="Times New Roman" w:hAnsi="Times New Roman"/>
                <w:color w:val="000000"/>
                <w:sz w:val="24"/>
                <w:szCs w:val="24"/>
                <w:lang w:val="en-US" w:eastAsia="el-GR"/>
              </w:rPr>
              <w:t>%</w:t>
            </w:r>
          </w:p>
        </w:tc>
      </w:tr>
      <w:tr w:rsidR="00BC5F8C" w:rsidRPr="006F03E2" w:rsidTr="00C71E21">
        <w:trPr>
          <w:trHeight w:val="300"/>
        </w:trPr>
        <w:tc>
          <w:tcPr>
            <w:tcW w:w="0" w:type="auto"/>
            <w:tcBorders>
              <w:top w:val="single" w:sz="4" w:space="0" w:color="auto"/>
              <w:bottom w:val="single" w:sz="4" w:space="0" w:color="auto"/>
            </w:tcBorders>
            <w:shd w:val="clear" w:color="auto" w:fill="auto"/>
            <w:noWrap/>
            <w:vAlign w:val="bottom"/>
            <w:hideMark/>
          </w:tcPr>
          <w:p w:rsidR="003D23F6" w:rsidRPr="00C71E21" w:rsidRDefault="003D23F6" w:rsidP="00C774B9">
            <w:pPr>
              <w:spacing w:line="240" w:lineRule="auto"/>
              <w:ind w:firstLine="0"/>
              <w:jc w:val="center"/>
              <w:rPr>
                <w:rFonts w:ascii="Times New Roman" w:eastAsia="Times New Roman" w:hAnsi="Times New Roman"/>
                <w:b/>
                <w:color w:val="000000"/>
                <w:sz w:val="24"/>
                <w:szCs w:val="24"/>
                <w:lang w:eastAsia="el-GR"/>
              </w:rPr>
            </w:pPr>
            <w:r w:rsidRPr="00C71E21">
              <w:rPr>
                <w:rFonts w:ascii="Times New Roman" w:eastAsia="Times New Roman" w:hAnsi="Times New Roman"/>
                <w:b/>
                <w:color w:val="000000"/>
                <w:sz w:val="24"/>
                <w:szCs w:val="24"/>
                <w:lang w:eastAsia="el-GR"/>
              </w:rPr>
              <w:t>Average</w:t>
            </w:r>
          </w:p>
        </w:tc>
        <w:tc>
          <w:tcPr>
            <w:tcW w:w="0" w:type="auto"/>
            <w:tcBorders>
              <w:top w:val="single" w:sz="4" w:space="0" w:color="auto"/>
              <w:bottom w:val="single" w:sz="4" w:space="0" w:color="auto"/>
            </w:tcBorders>
            <w:shd w:val="clear" w:color="auto" w:fill="auto"/>
            <w:noWrap/>
            <w:vAlign w:val="bottom"/>
            <w:hideMark/>
          </w:tcPr>
          <w:p w:rsidR="003D23F6" w:rsidRPr="00C71E21" w:rsidRDefault="003D23F6" w:rsidP="00C774B9">
            <w:pPr>
              <w:spacing w:line="240" w:lineRule="auto"/>
              <w:ind w:firstLine="0"/>
              <w:jc w:val="center"/>
              <w:rPr>
                <w:rFonts w:ascii="Times New Roman" w:eastAsia="Times New Roman" w:hAnsi="Times New Roman"/>
                <w:b/>
                <w:color w:val="000000"/>
                <w:sz w:val="24"/>
                <w:szCs w:val="24"/>
                <w:lang w:eastAsia="el-GR"/>
              </w:rPr>
            </w:pPr>
            <w:r w:rsidRPr="00C71E21">
              <w:rPr>
                <w:rFonts w:ascii="Times New Roman" w:eastAsia="Times New Roman" w:hAnsi="Times New Roman"/>
                <w:b/>
                <w:color w:val="000000"/>
                <w:sz w:val="24"/>
                <w:szCs w:val="24"/>
                <w:lang w:eastAsia="el-GR"/>
              </w:rPr>
              <w:t>68.65%</w:t>
            </w:r>
          </w:p>
        </w:tc>
        <w:tc>
          <w:tcPr>
            <w:tcW w:w="0" w:type="auto"/>
            <w:tcBorders>
              <w:top w:val="single" w:sz="4" w:space="0" w:color="auto"/>
              <w:bottom w:val="single" w:sz="4" w:space="0" w:color="auto"/>
            </w:tcBorders>
            <w:shd w:val="clear" w:color="auto" w:fill="auto"/>
            <w:noWrap/>
            <w:vAlign w:val="bottom"/>
            <w:hideMark/>
          </w:tcPr>
          <w:p w:rsidR="003D23F6" w:rsidRPr="00C71E21" w:rsidRDefault="003D23F6" w:rsidP="00C774B9">
            <w:pPr>
              <w:spacing w:line="240" w:lineRule="auto"/>
              <w:ind w:firstLine="0"/>
              <w:jc w:val="center"/>
              <w:rPr>
                <w:rFonts w:ascii="Times New Roman" w:eastAsia="Times New Roman" w:hAnsi="Times New Roman"/>
                <w:b/>
                <w:color w:val="000000"/>
                <w:sz w:val="24"/>
                <w:szCs w:val="24"/>
                <w:lang w:eastAsia="el-GR"/>
              </w:rPr>
            </w:pPr>
            <w:r w:rsidRPr="00C71E21">
              <w:rPr>
                <w:rFonts w:ascii="Times New Roman" w:eastAsia="Times New Roman" w:hAnsi="Times New Roman"/>
                <w:b/>
                <w:color w:val="000000"/>
                <w:sz w:val="24"/>
                <w:szCs w:val="24"/>
                <w:lang w:eastAsia="el-GR"/>
              </w:rPr>
              <w:t>50.68%</w:t>
            </w:r>
          </w:p>
        </w:tc>
        <w:tc>
          <w:tcPr>
            <w:tcW w:w="0" w:type="auto"/>
            <w:tcBorders>
              <w:top w:val="single" w:sz="4" w:space="0" w:color="auto"/>
              <w:bottom w:val="single" w:sz="4" w:space="0" w:color="auto"/>
            </w:tcBorders>
          </w:tcPr>
          <w:p w:rsidR="003D23F6" w:rsidRPr="00C71E21" w:rsidRDefault="003D23F6" w:rsidP="00C774B9">
            <w:pPr>
              <w:spacing w:line="240" w:lineRule="auto"/>
              <w:ind w:firstLine="0"/>
              <w:jc w:val="center"/>
              <w:rPr>
                <w:rFonts w:ascii="Times New Roman" w:eastAsia="Times New Roman" w:hAnsi="Times New Roman"/>
                <w:b/>
                <w:color w:val="000000"/>
                <w:sz w:val="24"/>
                <w:szCs w:val="24"/>
                <w:lang w:val="en-US" w:eastAsia="el-GR"/>
              </w:rPr>
            </w:pPr>
            <w:r w:rsidRPr="00C71E21">
              <w:rPr>
                <w:rFonts w:ascii="Times New Roman" w:eastAsia="Times New Roman" w:hAnsi="Times New Roman"/>
                <w:b/>
                <w:color w:val="000000"/>
                <w:sz w:val="24"/>
                <w:szCs w:val="24"/>
                <w:lang w:val="en-US" w:eastAsia="el-GR"/>
              </w:rPr>
              <w:t>78.70%</w:t>
            </w:r>
          </w:p>
        </w:tc>
      </w:tr>
      <w:tr w:rsidR="00BC5F8C" w:rsidRPr="002C4ADE" w:rsidTr="001765AA">
        <w:trPr>
          <w:trHeight w:val="70"/>
        </w:trPr>
        <w:tc>
          <w:tcPr>
            <w:tcW w:w="0" w:type="auto"/>
            <w:gridSpan w:val="4"/>
            <w:tcBorders>
              <w:top w:val="single" w:sz="4" w:space="0" w:color="auto"/>
            </w:tcBorders>
            <w:shd w:val="clear" w:color="auto" w:fill="auto"/>
            <w:noWrap/>
            <w:vAlign w:val="bottom"/>
            <w:hideMark/>
          </w:tcPr>
          <w:p w:rsidR="00BC5F8C" w:rsidRPr="00BC5F8C" w:rsidRDefault="00BC5F8C" w:rsidP="00C774B9">
            <w:pPr>
              <w:spacing w:line="240" w:lineRule="auto"/>
              <w:ind w:firstLine="0"/>
              <w:rPr>
                <w:rFonts w:ascii="Times New Roman" w:eastAsia="Times New Roman" w:hAnsi="Times New Roman"/>
                <w:color w:val="000000"/>
                <w:sz w:val="24"/>
                <w:szCs w:val="24"/>
                <w:lang w:val="en-US" w:eastAsia="el-GR"/>
              </w:rPr>
            </w:pPr>
            <w:r w:rsidRPr="00BC5F8C">
              <w:rPr>
                <w:rFonts w:ascii="Times New Roman" w:eastAsia="Times New Roman" w:hAnsi="Times New Roman"/>
                <w:b/>
                <w:color w:val="000000"/>
                <w:sz w:val="20"/>
                <w:szCs w:val="20"/>
                <w:lang w:val="en-GB" w:eastAsia="el-GR"/>
              </w:rPr>
              <w:t>Notes</w:t>
            </w:r>
            <w:r w:rsidRPr="00BC5F8C">
              <w:rPr>
                <w:rFonts w:ascii="Times New Roman" w:eastAsia="Times New Roman" w:hAnsi="Times New Roman"/>
                <w:color w:val="000000"/>
                <w:sz w:val="20"/>
                <w:szCs w:val="20"/>
                <w:lang w:val="en-GB" w:eastAsia="el-GR"/>
              </w:rPr>
              <w:t xml:space="preserve">: </w:t>
            </w:r>
            <w:r w:rsidRPr="00A069B0">
              <w:rPr>
                <w:rFonts w:ascii="Times New Roman" w:eastAsia="Times New Roman" w:hAnsi="Times New Roman"/>
                <w:i/>
                <w:color w:val="000000"/>
                <w:sz w:val="20"/>
                <w:szCs w:val="20"/>
                <w:lang w:val="en-GB" w:eastAsia="el-GR"/>
              </w:rPr>
              <w:t>GAP</w:t>
            </w:r>
            <w:r w:rsidRPr="00BC5F8C">
              <w:rPr>
                <w:rFonts w:ascii="Times New Roman" w:eastAsia="Times New Roman" w:hAnsi="Times New Roman"/>
                <w:color w:val="000000"/>
                <w:sz w:val="20"/>
                <w:szCs w:val="20"/>
                <w:lang w:val="en-GB" w:eastAsia="el-GR"/>
              </w:rPr>
              <w:t xml:space="preserve"> Industry takes as frontier the firm with the highest TFP in the industry in year </w:t>
            </w:r>
            <w:r w:rsidRPr="00E82FB9">
              <w:rPr>
                <w:rFonts w:ascii="Times New Roman" w:eastAsia="Times New Roman" w:hAnsi="Times New Roman"/>
                <w:i/>
                <w:color w:val="000000"/>
                <w:sz w:val="20"/>
                <w:szCs w:val="20"/>
                <w:lang w:val="en-GB" w:eastAsia="el-GR"/>
              </w:rPr>
              <w:t>t</w:t>
            </w:r>
            <w:r w:rsidRPr="00BC5F8C">
              <w:rPr>
                <w:rFonts w:ascii="Times New Roman" w:eastAsia="Times New Roman" w:hAnsi="Times New Roman"/>
                <w:color w:val="000000"/>
                <w:sz w:val="20"/>
                <w:szCs w:val="20"/>
                <w:lang w:val="en-GB" w:eastAsia="el-GR"/>
              </w:rPr>
              <w:t xml:space="preserve">, </w:t>
            </w:r>
            <w:r w:rsidRPr="00A069B0">
              <w:rPr>
                <w:rFonts w:ascii="Times New Roman" w:eastAsia="Times New Roman" w:hAnsi="Times New Roman"/>
                <w:i/>
                <w:color w:val="000000"/>
                <w:sz w:val="20"/>
                <w:szCs w:val="20"/>
                <w:lang w:val="en-GB" w:eastAsia="el-GR"/>
              </w:rPr>
              <w:t>GAP</w:t>
            </w:r>
            <w:r w:rsidRPr="00BC5F8C">
              <w:rPr>
                <w:rFonts w:ascii="Times New Roman" w:eastAsia="Times New Roman" w:hAnsi="Times New Roman"/>
                <w:color w:val="000000"/>
                <w:sz w:val="20"/>
                <w:szCs w:val="20"/>
                <w:lang w:val="en-GB" w:eastAsia="el-GR"/>
              </w:rPr>
              <w:t xml:space="preserve"> National takes as frontier the firm with the highest TFP in the whole sample in year </w:t>
            </w:r>
            <w:r w:rsidRPr="00E82FB9">
              <w:rPr>
                <w:rFonts w:ascii="Times New Roman" w:eastAsia="Times New Roman" w:hAnsi="Times New Roman"/>
                <w:i/>
                <w:color w:val="000000"/>
                <w:sz w:val="20"/>
                <w:szCs w:val="20"/>
                <w:lang w:val="en-GB" w:eastAsia="el-GR"/>
              </w:rPr>
              <w:t>t</w:t>
            </w:r>
            <w:r w:rsidRPr="00BC5F8C">
              <w:rPr>
                <w:rFonts w:ascii="Times New Roman" w:eastAsia="Times New Roman" w:hAnsi="Times New Roman"/>
                <w:color w:val="000000"/>
                <w:sz w:val="20"/>
                <w:szCs w:val="20"/>
                <w:lang w:val="en-GB" w:eastAsia="el-GR"/>
              </w:rPr>
              <w:t xml:space="preserve"> and </w:t>
            </w:r>
            <w:r w:rsidRPr="00A069B0">
              <w:rPr>
                <w:rFonts w:ascii="Times New Roman" w:eastAsia="Times New Roman" w:hAnsi="Times New Roman"/>
                <w:i/>
                <w:color w:val="000000"/>
                <w:sz w:val="20"/>
                <w:szCs w:val="20"/>
                <w:lang w:val="en-GB" w:eastAsia="el-GR"/>
              </w:rPr>
              <w:t>GAP</w:t>
            </w:r>
            <w:r w:rsidRPr="00BC5F8C">
              <w:rPr>
                <w:rFonts w:ascii="Times New Roman" w:eastAsia="Times New Roman" w:hAnsi="Times New Roman"/>
                <w:color w:val="000000"/>
                <w:sz w:val="20"/>
                <w:szCs w:val="20"/>
                <w:lang w:val="en-GB" w:eastAsia="el-GR"/>
              </w:rPr>
              <w:t xml:space="preserve"> 95% percentile takes as frontier a hypothetical firm </w:t>
            </w:r>
            <w:r>
              <w:rPr>
                <w:rFonts w:ascii="Times New Roman" w:eastAsia="Times New Roman" w:hAnsi="Times New Roman"/>
                <w:color w:val="000000"/>
                <w:sz w:val="20"/>
                <w:szCs w:val="20"/>
                <w:lang w:val="en-GB" w:eastAsia="el-GR"/>
              </w:rPr>
              <w:t>with</w:t>
            </w:r>
            <w:r w:rsidRPr="00BC5F8C">
              <w:rPr>
                <w:rFonts w:ascii="Times New Roman" w:eastAsia="Times New Roman" w:hAnsi="Times New Roman"/>
                <w:color w:val="000000"/>
                <w:sz w:val="20"/>
                <w:szCs w:val="20"/>
                <w:lang w:val="en-GB" w:eastAsia="el-GR"/>
              </w:rPr>
              <w:t xml:space="preserve"> the average TFP of the five more productive firms in the industry in year </w:t>
            </w:r>
            <w:r w:rsidRPr="00E82FB9">
              <w:rPr>
                <w:rFonts w:ascii="Times New Roman" w:eastAsia="Times New Roman" w:hAnsi="Times New Roman"/>
                <w:i/>
                <w:color w:val="000000"/>
                <w:sz w:val="20"/>
                <w:szCs w:val="20"/>
                <w:lang w:val="en-GB" w:eastAsia="el-GR"/>
              </w:rPr>
              <w:t>t</w:t>
            </w:r>
            <w:r>
              <w:rPr>
                <w:rFonts w:ascii="Times New Roman" w:eastAsia="Times New Roman" w:hAnsi="Times New Roman"/>
                <w:color w:val="000000"/>
                <w:sz w:val="24"/>
                <w:szCs w:val="24"/>
                <w:lang w:val="en-GB" w:eastAsia="el-GR"/>
              </w:rPr>
              <w:t xml:space="preserve">. </w:t>
            </w:r>
          </w:p>
        </w:tc>
      </w:tr>
    </w:tbl>
    <w:p w:rsidR="00277E13" w:rsidRDefault="00277E13" w:rsidP="00277E13">
      <w:pPr>
        <w:ind w:right="440"/>
        <w:rPr>
          <w:color w:val="000000"/>
          <w:lang w:val="en-GB"/>
        </w:rPr>
      </w:pPr>
    </w:p>
    <w:p w:rsidR="00A9650C" w:rsidRDefault="00A9650C" w:rsidP="00277E13">
      <w:pPr>
        <w:ind w:right="440"/>
        <w:rPr>
          <w:color w:val="000000"/>
          <w:lang w:val="en-GB"/>
        </w:rPr>
      </w:pPr>
    </w:p>
    <w:p w:rsidR="00A9650C" w:rsidRDefault="00A9650C" w:rsidP="00277E13">
      <w:pPr>
        <w:ind w:right="440"/>
        <w:rPr>
          <w:color w:val="000000"/>
          <w:lang w:val="en-GB"/>
        </w:rPr>
      </w:pPr>
    </w:p>
    <w:p w:rsidR="00BF5811" w:rsidRDefault="00BF5811" w:rsidP="00277E13">
      <w:pPr>
        <w:ind w:right="440"/>
        <w:rPr>
          <w:color w:val="000000"/>
          <w:lang w:val="en-GB"/>
        </w:rPr>
      </w:pPr>
    </w:p>
    <w:p w:rsidR="00BF5811" w:rsidRDefault="00BF5811" w:rsidP="00277E13">
      <w:pPr>
        <w:ind w:right="440"/>
        <w:rPr>
          <w:color w:val="000000"/>
          <w:lang w:val="en-GB"/>
        </w:rPr>
      </w:pPr>
    </w:p>
    <w:p w:rsidR="00BF5811" w:rsidRDefault="00BF5811" w:rsidP="00277E13">
      <w:pPr>
        <w:ind w:right="440"/>
        <w:rPr>
          <w:color w:val="000000"/>
          <w:lang w:val="en-GB"/>
        </w:rPr>
      </w:pPr>
    </w:p>
    <w:p w:rsidR="00BF5811" w:rsidRDefault="00BF5811" w:rsidP="00277E13">
      <w:pPr>
        <w:ind w:right="440"/>
        <w:rPr>
          <w:color w:val="000000"/>
          <w:lang w:val="en-GB"/>
        </w:rPr>
      </w:pPr>
    </w:p>
    <w:p w:rsidR="00BF5811" w:rsidRDefault="00BF5811" w:rsidP="00277E13">
      <w:pPr>
        <w:ind w:right="440"/>
        <w:rPr>
          <w:color w:val="000000"/>
          <w:lang w:val="en-GB"/>
        </w:rPr>
      </w:pPr>
    </w:p>
    <w:p w:rsidR="00BF5811" w:rsidRDefault="00BF5811" w:rsidP="00277E13">
      <w:pPr>
        <w:ind w:right="440"/>
        <w:rPr>
          <w:color w:val="000000"/>
          <w:lang w:val="en-GB"/>
        </w:rPr>
      </w:pPr>
    </w:p>
    <w:p w:rsidR="00E941C1" w:rsidRDefault="00E941C1" w:rsidP="00277E13">
      <w:pPr>
        <w:ind w:right="440"/>
        <w:rPr>
          <w:color w:val="000000"/>
          <w:lang w:val="en-GB"/>
        </w:rPr>
      </w:pPr>
    </w:p>
    <w:p w:rsidR="00AE067A" w:rsidRDefault="00AE067A" w:rsidP="00D64361">
      <w:pPr>
        <w:rPr>
          <w:lang w:val="en-GB"/>
        </w:rPr>
      </w:pPr>
    </w:p>
    <w:sectPr w:rsidR="00AE067A" w:rsidSect="00387249">
      <w:footerReference w:type="default" r:id="rId119"/>
      <w:type w:val="continuous"/>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2E6" w:rsidRDefault="007D72E6" w:rsidP="00D531D2">
      <w:r>
        <w:separator/>
      </w:r>
    </w:p>
  </w:endnote>
  <w:endnote w:type="continuationSeparator" w:id="0">
    <w:p w:rsidR="007D72E6" w:rsidRDefault="007D72E6" w:rsidP="00D53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DF2" w:rsidRDefault="003B6DF2">
    <w:pPr>
      <w:pStyle w:val="Footer"/>
      <w:jc w:val="center"/>
    </w:pPr>
    <w:r>
      <w:fldChar w:fldCharType="begin"/>
    </w:r>
    <w:r>
      <w:instrText xml:space="preserve"> PAGE   \* MERGEFORMAT </w:instrText>
    </w:r>
    <w:r>
      <w:fldChar w:fldCharType="separate"/>
    </w:r>
    <w:r w:rsidR="0040537A">
      <w:rPr>
        <w:noProof/>
      </w:rPr>
      <w:t>2</w:t>
    </w:r>
    <w:r>
      <w:rPr>
        <w:noProof/>
      </w:rPr>
      <w:fldChar w:fldCharType="end"/>
    </w:r>
  </w:p>
  <w:p w:rsidR="003B6DF2" w:rsidRDefault="003B6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2E6" w:rsidRDefault="007D72E6" w:rsidP="00D531D2">
      <w:r>
        <w:separator/>
      </w:r>
    </w:p>
  </w:footnote>
  <w:footnote w:type="continuationSeparator" w:id="0">
    <w:p w:rsidR="007D72E6" w:rsidRDefault="007D72E6" w:rsidP="00D531D2">
      <w:r>
        <w:continuationSeparator/>
      </w:r>
    </w:p>
  </w:footnote>
  <w:footnote w:id="1">
    <w:p w:rsidR="003B6DF2" w:rsidRPr="006412FC" w:rsidRDefault="003B6DF2" w:rsidP="00945994">
      <w:pPr>
        <w:pStyle w:val="FootnoteText"/>
        <w:rPr>
          <w:rFonts w:ascii="Times New Roman" w:hAnsi="Times New Roman"/>
          <w:lang w:val="en-GB"/>
        </w:rPr>
      </w:pPr>
      <w:r w:rsidRPr="006412FC">
        <w:rPr>
          <w:rStyle w:val="FootnoteReference"/>
          <w:rFonts w:ascii="Times New Roman" w:hAnsi="Times New Roman"/>
          <w:lang w:val="en-US"/>
        </w:rPr>
        <w:t>*</w:t>
      </w:r>
      <w:r w:rsidRPr="006412FC">
        <w:rPr>
          <w:rFonts w:ascii="Times New Roman" w:hAnsi="Times New Roman"/>
          <w:lang w:val="en-US"/>
        </w:rPr>
        <w:t xml:space="preserve"> </w:t>
      </w:r>
      <w:r w:rsidRPr="006412FC">
        <w:rPr>
          <w:rFonts w:ascii="Times New Roman" w:hAnsi="Times New Roman"/>
          <w:lang w:val="en-GB"/>
        </w:rPr>
        <w:t>Th</w:t>
      </w:r>
      <w:r w:rsidRPr="009351E2">
        <w:rPr>
          <w:rFonts w:ascii="Times New Roman" w:hAnsi="Times New Roman"/>
          <w:lang w:val="en-GB"/>
        </w:rPr>
        <w:t>e authors would like to thank the editor and the anonymous reviewer</w:t>
      </w:r>
      <w:r>
        <w:rPr>
          <w:rFonts w:ascii="Times New Roman" w:hAnsi="Times New Roman"/>
          <w:lang w:val="en-GB"/>
        </w:rPr>
        <w:t>s</w:t>
      </w:r>
      <w:r w:rsidRPr="009351E2">
        <w:rPr>
          <w:rFonts w:ascii="Times New Roman" w:hAnsi="Times New Roman"/>
          <w:lang w:val="en-GB"/>
        </w:rPr>
        <w:t xml:space="preserve"> of this journal for their very constructive comments and suggestions on an earlier version of this paper.</w:t>
      </w:r>
      <w:r>
        <w:rPr>
          <w:rFonts w:ascii="Times New Roman" w:hAnsi="Times New Roman"/>
          <w:lang w:val="en-GB"/>
        </w:rPr>
        <w:t xml:space="preserve"> </w:t>
      </w:r>
      <w:r w:rsidRPr="009351E2">
        <w:rPr>
          <w:rFonts w:ascii="Times New Roman" w:hAnsi="Times New Roman"/>
          <w:lang w:val="en-GB"/>
        </w:rPr>
        <w:t>We are also thankful to David Kernohan and Dimitris Tsouknidis for their comments</w:t>
      </w:r>
      <w:r>
        <w:rPr>
          <w:rFonts w:ascii="Times New Roman" w:hAnsi="Times New Roman"/>
          <w:lang w:val="en-GB"/>
        </w:rPr>
        <w:t xml:space="preserve"> and discussions</w:t>
      </w:r>
      <w:r w:rsidRPr="009351E2">
        <w:rPr>
          <w:rFonts w:ascii="Times New Roman" w:hAnsi="Times New Roman"/>
          <w:lang w:val="en-GB"/>
        </w:rPr>
        <w:t>. We are solely responsible for any error that might yet remain.</w:t>
      </w:r>
    </w:p>
  </w:footnote>
  <w:footnote w:id="2">
    <w:p w:rsidR="003B6DF2" w:rsidRPr="008F0370" w:rsidRDefault="003B6DF2" w:rsidP="00304D15">
      <w:pPr>
        <w:pStyle w:val="FootnoteText"/>
        <w:rPr>
          <w:rFonts w:ascii="Times New Roman" w:hAnsi="Times New Roman"/>
          <w:lang w:val="en-US"/>
        </w:rPr>
      </w:pPr>
      <w:r w:rsidRPr="008F0370">
        <w:rPr>
          <w:rStyle w:val="FootnoteReference"/>
          <w:rFonts w:ascii="Times New Roman" w:hAnsi="Times New Roman"/>
        </w:rPr>
        <w:footnoteRef/>
      </w:r>
      <w:r w:rsidRPr="008F0370">
        <w:rPr>
          <w:rFonts w:ascii="Times New Roman" w:hAnsi="Times New Roman"/>
          <w:lang w:val="en-US"/>
        </w:rPr>
        <w:t xml:space="preserve"> Department of Economics, Middlesex University</w:t>
      </w:r>
      <w:r>
        <w:rPr>
          <w:rFonts w:ascii="Times New Roman" w:hAnsi="Times New Roman"/>
          <w:lang w:val="en-US"/>
        </w:rPr>
        <w:t>, London, Hendon,</w:t>
      </w:r>
      <w:r>
        <w:rPr>
          <w:rFonts w:ascii="Times New Roman" w:hAnsi="Times New Roman"/>
          <w:lang w:val="en-GB"/>
        </w:rPr>
        <w:t xml:space="preserve"> NW4 4BT, UK</w:t>
      </w:r>
    </w:p>
  </w:footnote>
  <w:footnote w:id="3">
    <w:p w:rsidR="003B6DF2" w:rsidRPr="008F0370" w:rsidRDefault="003B6DF2" w:rsidP="00304D15">
      <w:pPr>
        <w:pStyle w:val="FootnoteText"/>
        <w:rPr>
          <w:rFonts w:ascii="Times New Roman" w:hAnsi="Times New Roman"/>
          <w:lang w:val="en-US"/>
        </w:rPr>
      </w:pPr>
      <w:r w:rsidRPr="008F0370">
        <w:rPr>
          <w:rStyle w:val="FootnoteReference"/>
          <w:rFonts w:ascii="Times New Roman" w:hAnsi="Times New Roman"/>
        </w:rPr>
        <w:footnoteRef/>
      </w:r>
      <w:r w:rsidRPr="00E65DA1">
        <w:rPr>
          <w:rFonts w:ascii="Times New Roman" w:hAnsi="Times New Roman"/>
          <w:lang w:val="en-GB"/>
        </w:rPr>
        <w:t>School of Business and Management</w:t>
      </w:r>
      <w:r>
        <w:rPr>
          <w:rFonts w:ascii="Times New Roman" w:hAnsi="Times New Roman"/>
          <w:lang w:val="en-GB"/>
        </w:rPr>
        <w:t xml:space="preserve">, </w:t>
      </w:r>
      <w:r w:rsidRPr="00E65DA1">
        <w:rPr>
          <w:rFonts w:ascii="Times New Roman" w:hAnsi="Times New Roman"/>
          <w:lang w:val="en-GB"/>
        </w:rPr>
        <w:t>Queen Mary University of London</w:t>
      </w:r>
      <w:r>
        <w:rPr>
          <w:rFonts w:ascii="Times New Roman" w:hAnsi="Times New Roman"/>
          <w:lang w:val="en-GB"/>
        </w:rPr>
        <w:t xml:space="preserve">, </w:t>
      </w:r>
      <w:r w:rsidRPr="00E65DA1">
        <w:rPr>
          <w:rFonts w:ascii="Times New Roman" w:hAnsi="Times New Roman"/>
          <w:lang w:val="en-GB"/>
        </w:rPr>
        <w:t>Mile End Road</w:t>
      </w:r>
      <w:r>
        <w:rPr>
          <w:rFonts w:ascii="Times New Roman" w:hAnsi="Times New Roman"/>
          <w:lang w:val="en-GB"/>
        </w:rPr>
        <w:t xml:space="preserve">, London, E1 </w:t>
      </w:r>
      <w:r w:rsidRPr="00E65DA1">
        <w:rPr>
          <w:rFonts w:ascii="Times New Roman" w:hAnsi="Times New Roman"/>
          <w:lang w:val="en-GB"/>
        </w:rPr>
        <w:t>4NS, UK</w:t>
      </w:r>
      <w:r>
        <w:rPr>
          <w:rFonts w:ascii="Times New Roman" w:hAnsi="Times New Roman"/>
          <w:lang w:val="en-GB"/>
        </w:rPr>
        <w:t>.</w:t>
      </w:r>
    </w:p>
  </w:footnote>
  <w:footnote w:id="4">
    <w:p w:rsidR="003B6DF2" w:rsidRPr="00777A10" w:rsidRDefault="003B6DF2" w:rsidP="0040619D">
      <w:pPr>
        <w:pStyle w:val="FootnoteText"/>
        <w:rPr>
          <w:rFonts w:asciiTheme="majorBidi" w:hAnsiTheme="majorBidi" w:cstheme="majorBidi"/>
          <w:lang w:val="en-GB"/>
        </w:rPr>
      </w:pPr>
      <w:r w:rsidRPr="00777A10">
        <w:rPr>
          <w:rStyle w:val="FootnoteReference"/>
          <w:rFonts w:asciiTheme="majorBidi" w:hAnsiTheme="majorBidi" w:cstheme="majorBidi"/>
        </w:rPr>
        <w:footnoteRef/>
      </w:r>
      <w:r w:rsidRPr="00777A10">
        <w:rPr>
          <w:rFonts w:asciiTheme="majorBidi" w:hAnsiTheme="majorBidi" w:cstheme="majorBidi"/>
          <w:lang w:val="en-GB"/>
        </w:rPr>
        <w:t xml:space="preserve"> The focus on R&amp;D and exporting in this study represents the weight of these activities on aggregate productivity. It is now</w:t>
      </w:r>
      <w:r>
        <w:rPr>
          <w:rFonts w:asciiTheme="majorBidi" w:hAnsiTheme="majorBidi" w:cstheme="majorBidi"/>
          <w:lang w:val="en-GB"/>
        </w:rPr>
        <w:t xml:space="preserve"> a</w:t>
      </w:r>
      <w:r w:rsidRPr="00777A10">
        <w:rPr>
          <w:rFonts w:asciiTheme="majorBidi" w:hAnsiTheme="majorBidi" w:cstheme="majorBidi"/>
          <w:lang w:val="en-GB"/>
        </w:rPr>
        <w:t xml:space="preserve"> well-established</w:t>
      </w:r>
      <w:r>
        <w:rPr>
          <w:rFonts w:asciiTheme="majorBidi" w:hAnsiTheme="majorBidi" w:cstheme="majorBidi"/>
          <w:lang w:val="en-GB"/>
        </w:rPr>
        <w:t xml:space="preserve"> stylized fact with regard to</w:t>
      </w:r>
      <w:r w:rsidRPr="00777A10">
        <w:rPr>
          <w:rFonts w:asciiTheme="majorBidi" w:hAnsiTheme="majorBidi" w:cstheme="majorBidi"/>
          <w:lang w:val="en-GB"/>
        </w:rPr>
        <w:t xml:space="preserve"> the </w:t>
      </w:r>
      <w:r>
        <w:rPr>
          <w:rFonts w:asciiTheme="majorBidi" w:hAnsiTheme="majorBidi" w:cstheme="majorBidi"/>
          <w:lang w:val="en-GB"/>
        </w:rPr>
        <w:t>existence</w:t>
      </w:r>
      <w:r w:rsidRPr="00777A10">
        <w:rPr>
          <w:rFonts w:asciiTheme="majorBidi" w:hAnsiTheme="majorBidi" w:cstheme="majorBidi"/>
          <w:lang w:val="en-GB"/>
        </w:rPr>
        <w:t xml:space="preserve"> of </w:t>
      </w:r>
      <w:r w:rsidRPr="00777A10">
        <w:rPr>
          <w:rFonts w:asciiTheme="majorBidi" w:hAnsiTheme="majorBidi" w:cstheme="majorBidi"/>
          <w:lang w:val="en-US"/>
        </w:rPr>
        <w:t xml:space="preserve">social returns to innovation (see </w:t>
      </w:r>
      <w:r w:rsidRPr="00777A10">
        <w:rPr>
          <w:rFonts w:asciiTheme="majorBidi" w:hAnsiTheme="majorBidi" w:cstheme="majorBidi"/>
          <w:lang w:val="en-GB"/>
        </w:rPr>
        <w:t>Griffith et al. (2003, 2004)</w:t>
      </w:r>
      <w:r>
        <w:rPr>
          <w:rFonts w:asciiTheme="majorBidi" w:hAnsiTheme="majorBidi" w:cstheme="majorBidi"/>
          <w:lang w:val="en-GB"/>
        </w:rPr>
        <w:t>,</w:t>
      </w:r>
      <w:r w:rsidRPr="00777A10">
        <w:rPr>
          <w:rFonts w:asciiTheme="majorBidi" w:hAnsiTheme="majorBidi" w:cstheme="majorBidi"/>
          <w:lang w:val="en-GB"/>
        </w:rPr>
        <w:t xml:space="preserve"> Cameron (2006)</w:t>
      </w:r>
      <w:r>
        <w:rPr>
          <w:rFonts w:asciiTheme="majorBidi" w:hAnsiTheme="majorBidi" w:cstheme="majorBidi"/>
          <w:lang w:val="en-GB"/>
        </w:rPr>
        <w:t xml:space="preserve">, </w:t>
      </w:r>
      <w:r w:rsidRPr="00B21534">
        <w:rPr>
          <w:rFonts w:asciiTheme="majorBidi" w:hAnsiTheme="majorBidi" w:cstheme="majorBidi"/>
          <w:lang w:val="en-GB"/>
        </w:rPr>
        <w:t xml:space="preserve">Bourlès </w:t>
      </w:r>
      <w:r>
        <w:rPr>
          <w:rFonts w:asciiTheme="majorBidi" w:hAnsiTheme="majorBidi" w:cstheme="majorBidi"/>
          <w:lang w:val="en-GB"/>
        </w:rPr>
        <w:t>et al. (2013) and Bloom et al. (2013) on</w:t>
      </w:r>
      <w:r w:rsidRPr="00777A10">
        <w:rPr>
          <w:rFonts w:asciiTheme="majorBidi" w:hAnsiTheme="majorBidi" w:cstheme="majorBidi"/>
          <w:lang w:val="en-GB"/>
        </w:rPr>
        <w:t xml:space="preserve"> the role of R&amp;D in </w:t>
      </w:r>
      <w:r>
        <w:rPr>
          <w:rFonts w:asciiTheme="majorBidi" w:hAnsiTheme="majorBidi" w:cstheme="majorBidi"/>
          <w:lang w:val="en-GB"/>
        </w:rPr>
        <w:t xml:space="preserve">productivity catch-up </w:t>
      </w:r>
      <w:r w:rsidRPr="0040619D">
        <w:rPr>
          <w:rFonts w:asciiTheme="majorBidi" w:hAnsiTheme="majorBidi" w:cstheme="majorBidi"/>
          <w:lang w:val="en-GB"/>
        </w:rPr>
        <w:t>models</w:t>
      </w:r>
      <w:r>
        <w:rPr>
          <w:rFonts w:asciiTheme="majorBidi" w:hAnsiTheme="majorBidi" w:cstheme="majorBidi"/>
          <w:lang w:val="en-GB"/>
        </w:rPr>
        <w:t>)</w:t>
      </w:r>
      <w:r w:rsidRPr="0040619D">
        <w:rPr>
          <w:rFonts w:asciiTheme="majorBidi" w:hAnsiTheme="majorBidi" w:cstheme="majorBidi"/>
          <w:lang w:val="en-GB"/>
        </w:rPr>
        <w:t xml:space="preserve">. Similarly, there is </w:t>
      </w:r>
      <w:r>
        <w:rPr>
          <w:rFonts w:asciiTheme="majorBidi" w:hAnsiTheme="majorBidi" w:cstheme="majorBidi"/>
          <w:lang w:val="en-GB"/>
        </w:rPr>
        <w:t>substantial</w:t>
      </w:r>
      <w:r w:rsidRPr="0040619D">
        <w:rPr>
          <w:rFonts w:asciiTheme="majorBidi" w:hAnsiTheme="majorBidi" w:cstheme="majorBidi"/>
          <w:lang w:val="en-GB"/>
        </w:rPr>
        <w:t xml:space="preserve"> literature (less conclusive though) about </w:t>
      </w:r>
      <w:r w:rsidRPr="0040619D">
        <w:rPr>
          <w:rFonts w:ascii="Times New Roman" w:hAnsi="Times New Roman"/>
          <w:lang w:val="en-US"/>
        </w:rPr>
        <w:t xml:space="preserve">the existence of learning effects from exporting. We refer to Melitz (2003) for a theoretical exposition while </w:t>
      </w:r>
      <w:r>
        <w:rPr>
          <w:rFonts w:ascii="Times New Roman" w:hAnsi="Times New Roman"/>
          <w:lang w:val="en-US"/>
        </w:rPr>
        <w:t xml:space="preserve">more </w:t>
      </w:r>
      <w:r w:rsidRPr="0040619D">
        <w:rPr>
          <w:rFonts w:ascii="Times New Roman" w:hAnsi="Times New Roman"/>
          <w:lang w:val="en-US"/>
        </w:rPr>
        <w:t xml:space="preserve">recent evidence for the learning by exporting </w:t>
      </w:r>
      <w:r>
        <w:rPr>
          <w:rFonts w:ascii="Times New Roman" w:hAnsi="Times New Roman"/>
          <w:lang w:val="en-US"/>
        </w:rPr>
        <w:t xml:space="preserve">literature </w:t>
      </w:r>
      <w:r w:rsidRPr="0040619D">
        <w:rPr>
          <w:rFonts w:ascii="Times New Roman" w:hAnsi="Times New Roman"/>
          <w:lang w:val="en-US"/>
        </w:rPr>
        <w:t>can be foun</w:t>
      </w:r>
      <w:r>
        <w:rPr>
          <w:rFonts w:ascii="Times New Roman" w:hAnsi="Times New Roman"/>
          <w:lang w:val="en-US"/>
        </w:rPr>
        <w:t>d</w:t>
      </w:r>
      <w:r w:rsidRPr="0040619D">
        <w:rPr>
          <w:rFonts w:ascii="Times New Roman" w:hAnsi="Times New Roman"/>
          <w:lang w:val="en-US"/>
        </w:rPr>
        <w:t xml:space="preserve"> in Mallick</w:t>
      </w:r>
      <w:r w:rsidRPr="0040619D">
        <w:rPr>
          <w:rFonts w:asciiTheme="majorBidi" w:hAnsiTheme="majorBidi" w:cstheme="majorBidi"/>
          <w:lang w:val="en-US"/>
        </w:rPr>
        <w:t xml:space="preserve"> and Yang (2013)</w:t>
      </w:r>
      <w:r w:rsidRPr="0040619D">
        <w:rPr>
          <w:rFonts w:ascii="Times New Roman" w:hAnsi="Times New Roman"/>
          <w:lang w:val="en-US"/>
        </w:rPr>
        <w:t>.</w:t>
      </w:r>
    </w:p>
  </w:footnote>
  <w:footnote w:id="5">
    <w:p w:rsidR="003B6DF2" w:rsidRPr="00654C51" w:rsidRDefault="003B6DF2" w:rsidP="00CC610C">
      <w:pPr>
        <w:pStyle w:val="FootnoteText"/>
        <w:rPr>
          <w:rFonts w:ascii="Times New Roman" w:hAnsi="Times New Roman"/>
          <w:color w:val="000000" w:themeColor="text1"/>
          <w:lang w:val="en-GB"/>
        </w:rPr>
      </w:pPr>
      <w:r w:rsidRPr="0037733E">
        <w:rPr>
          <w:rStyle w:val="FootnoteReference"/>
          <w:rFonts w:ascii="Times New Roman" w:hAnsi="Times New Roman"/>
        </w:rPr>
        <w:footnoteRef/>
      </w:r>
      <w:r>
        <w:rPr>
          <w:rFonts w:ascii="Times New Roman" w:hAnsi="Times New Roman"/>
          <w:lang w:val="en-GB"/>
        </w:rPr>
        <w:t xml:space="preserve"> Gemmell et </w:t>
      </w:r>
      <w:r w:rsidRPr="000C0363">
        <w:rPr>
          <w:rFonts w:ascii="Times New Roman" w:hAnsi="Times New Roman"/>
          <w:lang w:val="en-GB"/>
        </w:rPr>
        <w:t>al. (201</w:t>
      </w:r>
      <w:r>
        <w:rPr>
          <w:rFonts w:ascii="Times New Roman" w:hAnsi="Times New Roman"/>
          <w:lang w:val="en-GB"/>
        </w:rPr>
        <w:t>6</w:t>
      </w:r>
      <w:r w:rsidRPr="000C0363">
        <w:rPr>
          <w:rFonts w:ascii="Times New Roman" w:hAnsi="Times New Roman"/>
          <w:lang w:val="en-GB"/>
        </w:rPr>
        <w:t>) show that</w:t>
      </w:r>
      <w:r>
        <w:rPr>
          <w:rFonts w:ascii="Times New Roman" w:hAnsi="Times New Roman"/>
          <w:lang w:val="en-GB"/>
        </w:rPr>
        <w:t xml:space="preserve"> negative effects induced from</w:t>
      </w:r>
      <w:r w:rsidRPr="000C0363">
        <w:rPr>
          <w:rFonts w:ascii="Times New Roman" w:hAnsi="Times New Roman"/>
          <w:lang w:val="en-GB"/>
        </w:rPr>
        <w:t xml:space="preserve"> higher corporation tax is proportionally higher to small firms</w:t>
      </w:r>
      <w:r>
        <w:rPr>
          <w:rFonts w:ascii="Times New Roman" w:hAnsi="Times New Roman"/>
          <w:lang w:val="en-GB"/>
        </w:rPr>
        <w:t>. This effect is attributed to the fact</w:t>
      </w:r>
      <w:r w:rsidRPr="000C0363">
        <w:rPr>
          <w:rFonts w:ascii="Times New Roman" w:hAnsi="Times New Roman"/>
          <w:color w:val="000000" w:themeColor="text1"/>
          <w:lang w:val="en-GB"/>
        </w:rPr>
        <w:t xml:space="preserve"> that small firms are more likely to be credit constrained </w:t>
      </w:r>
      <w:r>
        <w:rPr>
          <w:rFonts w:ascii="Times New Roman" w:hAnsi="Times New Roman"/>
          <w:color w:val="000000" w:themeColor="text1"/>
          <w:lang w:val="en-GB"/>
        </w:rPr>
        <w:t>in the post-tax period, which also affects their capacity to raise external funding. See Schaller (1993) and Aghion et al. (2007) for an exposition on how asset size influences external finance.</w:t>
      </w:r>
    </w:p>
  </w:footnote>
  <w:footnote w:id="6">
    <w:p w:rsidR="003B6DF2" w:rsidRPr="004B65A2" w:rsidRDefault="003B6DF2" w:rsidP="007702E0">
      <w:pPr>
        <w:pStyle w:val="FootnoteText"/>
        <w:rPr>
          <w:rFonts w:asciiTheme="majorBidi" w:hAnsiTheme="majorBidi" w:cstheme="majorBidi"/>
          <w:b/>
          <w:bCs/>
          <w:lang w:val="en-GB"/>
        </w:rPr>
      </w:pPr>
      <w:r w:rsidRPr="004B65A2">
        <w:rPr>
          <w:rStyle w:val="FootnoteReference"/>
          <w:rFonts w:asciiTheme="majorBidi" w:hAnsiTheme="majorBidi" w:cstheme="majorBidi"/>
        </w:rPr>
        <w:footnoteRef/>
      </w:r>
      <w:r w:rsidRPr="004B65A2">
        <w:rPr>
          <w:rFonts w:asciiTheme="majorBidi" w:hAnsiTheme="majorBidi" w:cstheme="majorBidi"/>
          <w:lang w:val="en-GB"/>
        </w:rPr>
        <w:t xml:space="preserve"> These losses prevail up to the point that current </w:t>
      </w:r>
      <w:r>
        <w:rPr>
          <w:rFonts w:asciiTheme="majorBidi" w:hAnsiTheme="majorBidi" w:cstheme="majorBidi"/>
          <w:lang w:val="en-GB"/>
        </w:rPr>
        <w:t xml:space="preserve">projects </w:t>
      </w:r>
      <w:r w:rsidRPr="004B65A2">
        <w:rPr>
          <w:rFonts w:asciiTheme="majorBidi" w:hAnsiTheme="majorBidi" w:cstheme="majorBidi"/>
          <w:lang w:val="en-GB"/>
        </w:rPr>
        <w:t>become fertile</w:t>
      </w:r>
      <w:r w:rsidRPr="007702E0">
        <w:rPr>
          <w:rFonts w:asciiTheme="majorBidi" w:hAnsiTheme="majorBidi" w:cstheme="majorBidi"/>
          <w:lang w:val="en-GB"/>
        </w:rPr>
        <w:t xml:space="preserve"> </w:t>
      </w:r>
      <w:r>
        <w:rPr>
          <w:rFonts w:asciiTheme="majorBidi" w:hAnsiTheme="majorBidi" w:cstheme="majorBidi"/>
          <w:lang w:val="en-GB"/>
        </w:rPr>
        <w:t>le</w:t>
      </w:r>
      <w:r w:rsidRPr="004B65A2">
        <w:rPr>
          <w:rFonts w:asciiTheme="majorBidi" w:hAnsiTheme="majorBidi" w:cstheme="majorBidi"/>
          <w:lang w:val="en-GB"/>
        </w:rPr>
        <w:t>ading to the appropriation of economic rents (i.e. revenue from patents).</w:t>
      </w:r>
    </w:p>
  </w:footnote>
  <w:footnote w:id="7">
    <w:p w:rsidR="003B6DF2" w:rsidRPr="009A0215" w:rsidRDefault="003B6DF2" w:rsidP="008C3D1F">
      <w:pPr>
        <w:pStyle w:val="FootnoteText"/>
        <w:rPr>
          <w:rFonts w:asciiTheme="majorBidi" w:hAnsiTheme="majorBidi" w:cstheme="majorBidi"/>
          <w:lang w:val="en-GB"/>
        </w:rPr>
      </w:pPr>
      <w:r w:rsidRPr="009A0215">
        <w:rPr>
          <w:rStyle w:val="FootnoteReference"/>
          <w:rFonts w:asciiTheme="majorBidi" w:hAnsiTheme="majorBidi" w:cstheme="majorBidi"/>
        </w:rPr>
        <w:footnoteRef/>
      </w:r>
      <w:r w:rsidRPr="009A0215">
        <w:rPr>
          <w:rFonts w:asciiTheme="majorBidi" w:hAnsiTheme="majorBidi" w:cstheme="majorBidi"/>
          <w:lang w:val="en-GB"/>
        </w:rPr>
        <w:t xml:space="preserve"> Costs</w:t>
      </w:r>
      <w:r>
        <w:rPr>
          <w:rFonts w:asciiTheme="majorBidi" w:hAnsiTheme="majorBidi" w:cstheme="majorBidi"/>
          <w:lang w:val="en-GB"/>
        </w:rPr>
        <w:t xml:space="preserve"> related to ex</w:t>
      </w:r>
      <w:r w:rsidRPr="009A0215">
        <w:rPr>
          <w:rFonts w:asciiTheme="majorBidi" w:hAnsiTheme="majorBidi" w:cstheme="majorBidi"/>
          <w:lang w:val="en-GB"/>
        </w:rPr>
        <w:t xml:space="preserve">porting are the establishment of </w:t>
      </w:r>
      <w:r w:rsidRPr="009A0215">
        <w:rPr>
          <w:rFonts w:asciiTheme="majorBidi" w:hAnsiTheme="majorBidi" w:cstheme="majorBidi"/>
          <w:lang w:val="en-US"/>
        </w:rPr>
        <w:t>foreign networks, transportation of commodities, post sales services etc.</w:t>
      </w:r>
    </w:p>
  </w:footnote>
  <w:footnote w:id="8">
    <w:p w:rsidR="003B6DF2" w:rsidRPr="00EF0740" w:rsidRDefault="003B6DF2">
      <w:pPr>
        <w:pStyle w:val="FootnoteText"/>
        <w:rPr>
          <w:lang w:val="en-GB"/>
        </w:rPr>
      </w:pPr>
      <w:r w:rsidRPr="00606685">
        <w:rPr>
          <w:rStyle w:val="FootnoteReference"/>
        </w:rPr>
        <w:footnoteRef/>
      </w:r>
      <w:r>
        <w:rPr>
          <w:lang w:val="en-GB"/>
        </w:rPr>
        <w:t xml:space="preserve"> </w:t>
      </w:r>
      <w:r>
        <w:rPr>
          <w:rFonts w:ascii="Times New Roman" w:hAnsi="Times New Roman"/>
          <w:lang w:val="en-GB"/>
        </w:rPr>
        <w:t xml:space="preserve">Exporting activity can generate substantial learning gains </w:t>
      </w:r>
      <w:r w:rsidRPr="00606685">
        <w:rPr>
          <w:rFonts w:ascii="Times New Roman" w:hAnsi="Times New Roman"/>
          <w:lang w:val="en-GB"/>
        </w:rPr>
        <w:t xml:space="preserve">(Bernard and Jensen, 1999; Greenaway and Kneller, 2004; Greenaway and Yu, 2004; Crespi </w:t>
      </w:r>
      <w:r>
        <w:rPr>
          <w:rFonts w:ascii="Times New Roman" w:hAnsi="Times New Roman"/>
          <w:lang w:val="en-GB"/>
        </w:rPr>
        <w:t>et al., 2008), and thus any obstacle to international expansion can potentially restrict knowledge spillovers related to exporting.</w:t>
      </w:r>
    </w:p>
  </w:footnote>
  <w:footnote w:id="9">
    <w:p w:rsidR="003B6DF2" w:rsidRPr="00BC23AE" w:rsidRDefault="003B6DF2" w:rsidP="00175167">
      <w:pPr>
        <w:pStyle w:val="FootnoteText"/>
        <w:rPr>
          <w:rFonts w:ascii="Times New Roman" w:hAnsi="Times New Roman"/>
          <w:lang w:val="en-GB"/>
        </w:rPr>
      </w:pPr>
      <w:r w:rsidRPr="00BC23AE">
        <w:rPr>
          <w:rStyle w:val="FootnoteReference"/>
          <w:rFonts w:ascii="Times New Roman" w:hAnsi="Times New Roman"/>
        </w:rPr>
        <w:footnoteRef/>
      </w:r>
      <w:r w:rsidRPr="00BC23AE">
        <w:rPr>
          <w:rFonts w:ascii="Times New Roman" w:hAnsi="Times New Roman"/>
          <w:lang w:val="en-GB"/>
        </w:rPr>
        <w:t xml:space="preserve"> For a robustness check, we also calculate TFP using the semi-parametric technique of Levinsohn-Petrin (LP) (2003). The econometric results from TFP </w:t>
      </w:r>
      <w:r>
        <w:rPr>
          <w:rFonts w:ascii="Times New Roman" w:hAnsi="Times New Roman"/>
          <w:lang w:val="en-GB"/>
        </w:rPr>
        <w:t>via</w:t>
      </w:r>
      <w:r w:rsidRPr="00BC23AE">
        <w:rPr>
          <w:rFonts w:ascii="Times New Roman" w:hAnsi="Times New Roman"/>
          <w:lang w:val="en-GB"/>
        </w:rPr>
        <w:t xml:space="preserve"> LP</w:t>
      </w:r>
      <w:r>
        <w:rPr>
          <w:rFonts w:ascii="Times New Roman" w:hAnsi="Times New Roman"/>
          <w:lang w:val="en-GB"/>
        </w:rPr>
        <w:t xml:space="preserve"> </w:t>
      </w:r>
      <w:r w:rsidRPr="00BC23AE">
        <w:rPr>
          <w:rFonts w:ascii="Times New Roman" w:hAnsi="Times New Roman"/>
          <w:lang w:val="en-GB"/>
        </w:rPr>
        <w:t xml:space="preserve">(2003) are discussed </w:t>
      </w:r>
      <w:r>
        <w:rPr>
          <w:rFonts w:ascii="Times New Roman" w:hAnsi="Times New Roman"/>
          <w:lang w:val="en-GB"/>
        </w:rPr>
        <w:t>at the end of the econometric analysis section</w:t>
      </w:r>
      <w:r w:rsidRPr="00BC23AE">
        <w:rPr>
          <w:rFonts w:ascii="Times New Roman" w:hAnsi="Times New Roman"/>
          <w:lang w:val="en-GB"/>
        </w:rPr>
        <w:t>.</w:t>
      </w:r>
    </w:p>
  </w:footnote>
  <w:footnote w:id="10">
    <w:p w:rsidR="003B6DF2" w:rsidRPr="003163C2" w:rsidRDefault="003B6DF2" w:rsidP="000846ED">
      <w:pPr>
        <w:pStyle w:val="FootnoteText"/>
        <w:rPr>
          <w:lang w:val="en-GB"/>
        </w:rPr>
      </w:pPr>
      <w:r>
        <w:rPr>
          <w:rStyle w:val="FootnoteReference"/>
        </w:rPr>
        <w:footnoteRef/>
      </w:r>
      <w:r w:rsidRPr="003163C2">
        <w:rPr>
          <w:lang w:val="en-GB"/>
        </w:rPr>
        <w:t xml:space="preserve"> </w:t>
      </w:r>
      <w:r w:rsidRPr="007574D8">
        <w:rPr>
          <w:rFonts w:asciiTheme="majorBidi" w:hAnsiTheme="majorBidi" w:cstheme="majorBidi"/>
          <w:lang w:val="en-GB"/>
        </w:rPr>
        <w:t xml:space="preserve">See </w:t>
      </w:r>
      <w:r w:rsidRPr="007574D8">
        <w:rPr>
          <w:rFonts w:asciiTheme="majorBidi" w:hAnsiTheme="majorBidi" w:cstheme="majorBidi"/>
          <w:lang w:val="en-US"/>
        </w:rPr>
        <w:t>Blundell and Bond (2000) and Hígon (2004) for an analytical discussion regarding alternative parametric estimation techniques for TFP.</w:t>
      </w:r>
      <w:r>
        <w:rPr>
          <w:rFonts w:asciiTheme="majorBidi" w:hAnsiTheme="majorBidi" w:cstheme="majorBidi"/>
          <w:lang w:val="en-US"/>
        </w:rPr>
        <w:t xml:space="preserve"> OP’s advantage is that it controls for selection bias between </w:t>
      </w:r>
      <w:r>
        <w:rPr>
          <w:rFonts w:ascii="Times New Roman" w:hAnsi="Times New Roman"/>
          <w:lang w:val="en-GB"/>
        </w:rPr>
        <w:t>capital and</w:t>
      </w:r>
      <w:r w:rsidRPr="00F75A40">
        <w:rPr>
          <w:rFonts w:ascii="Times New Roman" w:hAnsi="Times New Roman"/>
          <w:lang w:val="en-GB"/>
        </w:rPr>
        <w:t xml:space="preserve"> probability to exit</w:t>
      </w:r>
      <w:r>
        <w:rPr>
          <w:rFonts w:ascii="Times New Roman" w:hAnsi="Times New Roman"/>
          <w:lang w:val="en-GB"/>
        </w:rPr>
        <w:t xml:space="preserve"> the market. F</w:t>
      </w:r>
      <w:r w:rsidRPr="00F75A40">
        <w:rPr>
          <w:rFonts w:ascii="Times New Roman" w:hAnsi="Times New Roman"/>
          <w:lang w:val="en-GB"/>
        </w:rPr>
        <w:t>irms with higher level of capital stock are likely to generate more future profits and thus the probability to exit after a negative productivity shock is smaller.</w:t>
      </w:r>
    </w:p>
  </w:footnote>
  <w:footnote w:id="11">
    <w:p w:rsidR="003B6DF2" w:rsidRPr="00DD00A1" w:rsidRDefault="003B6DF2" w:rsidP="001F6580">
      <w:pPr>
        <w:pStyle w:val="FootnoteText"/>
        <w:rPr>
          <w:lang w:val="en-GB"/>
        </w:rPr>
      </w:pPr>
      <w:r>
        <w:rPr>
          <w:rStyle w:val="FootnoteReference"/>
        </w:rPr>
        <w:footnoteRef/>
      </w:r>
      <w:r w:rsidRPr="00DD00A1">
        <w:rPr>
          <w:lang w:val="en-GB"/>
        </w:rPr>
        <w:t xml:space="preserve"> </w:t>
      </w:r>
      <w:r w:rsidRPr="000E6B42">
        <w:rPr>
          <w:rFonts w:ascii="Times New Roman" w:hAnsi="Times New Roman"/>
          <w:lang w:val="en-GB"/>
        </w:rPr>
        <w:t xml:space="preserve">We replicate results </w:t>
      </w:r>
      <w:r>
        <w:rPr>
          <w:rFonts w:ascii="Times New Roman" w:hAnsi="Times New Roman"/>
          <w:lang w:val="en-GB"/>
        </w:rPr>
        <w:t>measuring</w:t>
      </w:r>
      <w:r w:rsidRPr="000E6B42">
        <w:rPr>
          <w:rFonts w:ascii="Times New Roman" w:hAnsi="Times New Roman"/>
          <w:lang w:val="en-GB"/>
        </w:rPr>
        <w:t xml:space="preserve"> the frontier</w:t>
      </w:r>
      <w:r>
        <w:rPr>
          <w:rFonts w:ascii="Times New Roman" w:hAnsi="Times New Roman"/>
          <w:lang w:val="en-GB"/>
        </w:rPr>
        <w:t xml:space="preserve"> unit as </w:t>
      </w:r>
      <w:r w:rsidRPr="000E6B42">
        <w:rPr>
          <w:rFonts w:ascii="Times New Roman" w:hAnsi="Times New Roman"/>
          <w:lang w:val="en-GB"/>
        </w:rPr>
        <w:t xml:space="preserve">the firm with the highest </w:t>
      </w:r>
      <w:r>
        <w:rPr>
          <w:rFonts w:ascii="Times New Roman" w:hAnsi="Times New Roman"/>
          <w:lang w:val="en-GB"/>
        </w:rPr>
        <w:t>TFP</w:t>
      </w:r>
      <w:r w:rsidRPr="000E6B42">
        <w:rPr>
          <w:rFonts w:ascii="Times New Roman" w:hAnsi="Times New Roman"/>
          <w:lang w:val="en-GB"/>
        </w:rPr>
        <w:t xml:space="preserve"> in the whole </w:t>
      </w:r>
      <w:r>
        <w:rPr>
          <w:rFonts w:ascii="Times New Roman" w:hAnsi="Times New Roman"/>
          <w:lang w:val="en-GB"/>
        </w:rPr>
        <w:t xml:space="preserve">sample </w:t>
      </w:r>
      <w:r w:rsidRPr="000E6B42">
        <w:rPr>
          <w:rFonts w:ascii="Times New Roman" w:hAnsi="Times New Roman"/>
          <w:lang w:val="en-GB"/>
        </w:rPr>
        <w:t xml:space="preserve">at year </w:t>
      </w:r>
      <w:r w:rsidRPr="000E6B42">
        <w:rPr>
          <w:rFonts w:ascii="Times New Roman" w:hAnsi="Times New Roman"/>
          <w:i/>
          <w:lang w:val="en-GB"/>
        </w:rPr>
        <w:t xml:space="preserve">t </w:t>
      </w:r>
      <w:r w:rsidRPr="000E6B42">
        <w:rPr>
          <w:rFonts w:ascii="Times New Roman" w:hAnsi="Times New Roman"/>
          <w:lang w:val="en-GB"/>
        </w:rPr>
        <w:t xml:space="preserve">and </w:t>
      </w:r>
      <w:r>
        <w:rPr>
          <w:rFonts w:ascii="Times New Roman" w:hAnsi="Times New Roman"/>
          <w:lang w:val="en-GB"/>
        </w:rPr>
        <w:t xml:space="preserve">as a hypothetical firm with </w:t>
      </w:r>
      <w:r w:rsidRPr="0044008B">
        <w:rPr>
          <w:rFonts w:ascii="Times New Roman" w:hAnsi="Times New Roman"/>
          <w:lang w:val="en-GB"/>
        </w:rPr>
        <w:t>TFP</w:t>
      </w:r>
      <w:r>
        <w:rPr>
          <w:rFonts w:ascii="Times New Roman" w:hAnsi="Times New Roman"/>
          <w:lang w:val="en-GB"/>
        </w:rPr>
        <w:t xml:space="preserve"> at the average TFP of the</w:t>
      </w:r>
      <w:r w:rsidRPr="000E6B42">
        <w:rPr>
          <w:rFonts w:ascii="Times New Roman" w:hAnsi="Times New Roman"/>
          <w:lang w:val="en-GB"/>
        </w:rPr>
        <w:t xml:space="preserve"> 5% </w:t>
      </w:r>
      <w:r>
        <w:rPr>
          <w:rFonts w:ascii="Times New Roman" w:hAnsi="Times New Roman"/>
          <w:lang w:val="en-GB"/>
        </w:rPr>
        <w:t>more</w:t>
      </w:r>
      <w:r w:rsidRPr="000E6B42">
        <w:rPr>
          <w:rFonts w:ascii="Times New Roman" w:hAnsi="Times New Roman"/>
          <w:lang w:val="en-GB"/>
        </w:rPr>
        <w:t xml:space="preserve"> </w:t>
      </w:r>
      <w:r>
        <w:rPr>
          <w:rFonts w:ascii="Times New Roman" w:hAnsi="Times New Roman"/>
          <w:lang w:val="en-GB"/>
        </w:rPr>
        <w:t>productive</w:t>
      </w:r>
      <w:r w:rsidRPr="000E6B42">
        <w:rPr>
          <w:rFonts w:ascii="Times New Roman" w:hAnsi="Times New Roman"/>
          <w:lang w:val="en-GB"/>
        </w:rPr>
        <w:t xml:space="preserve"> firms</w:t>
      </w:r>
      <w:r>
        <w:rPr>
          <w:rFonts w:ascii="Times New Roman" w:hAnsi="Times New Roman"/>
          <w:lang w:val="en-GB"/>
        </w:rPr>
        <w:t xml:space="preserve"> in</w:t>
      </w:r>
      <w:r w:rsidRPr="000E6B42">
        <w:rPr>
          <w:rFonts w:ascii="Times New Roman" w:hAnsi="Times New Roman"/>
          <w:lang w:val="en-GB"/>
        </w:rPr>
        <w:t xml:space="preserve"> industry </w:t>
      </w:r>
      <w:r w:rsidRPr="000E6B42">
        <w:rPr>
          <w:rFonts w:ascii="Times New Roman" w:hAnsi="Times New Roman"/>
          <w:i/>
          <w:lang w:val="en-GB"/>
        </w:rPr>
        <w:t>j</w:t>
      </w:r>
      <w:r w:rsidRPr="000E6B42">
        <w:rPr>
          <w:rFonts w:ascii="Times New Roman" w:hAnsi="Times New Roman"/>
          <w:lang w:val="en-GB"/>
        </w:rPr>
        <w:t xml:space="preserve"> in year </w:t>
      </w:r>
      <w:r w:rsidRPr="000E6B42">
        <w:rPr>
          <w:rFonts w:ascii="Times New Roman" w:hAnsi="Times New Roman"/>
          <w:i/>
          <w:lang w:val="en-GB"/>
        </w:rPr>
        <w:t>t</w:t>
      </w:r>
      <w:r w:rsidRPr="000E6B42">
        <w:rPr>
          <w:rFonts w:ascii="Times New Roman" w:hAnsi="Times New Roman"/>
          <w:lang w:val="en-GB"/>
        </w:rPr>
        <w:t xml:space="preserve">. </w:t>
      </w:r>
      <w:r w:rsidRPr="00C774B9">
        <w:rPr>
          <w:rFonts w:ascii="Times New Roman" w:hAnsi="Times New Roman"/>
        </w:rPr>
        <w:t xml:space="preserve">Appendix </w:t>
      </w:r>
      <w:r w:rsidRPr="00C774B9">
        <w:rPr>
          <w:rFonts w:ascii="Times New Roman" w:hAnsi="Times New Roman"/>
          <w:lang w:val="en-GB"/>
        </w:rPr>
        <w:t>4</w:t>
      </w:r>
      <w:r>
        <w:rPr>
          <w:rFonts w:ascii="Times New Roman" w:hAnsi="Times New Roman"/>
          <w:lang w:val="en-GB"/>
        </w:rPr>
        <w:t xml:space="preserve"> </w:t>
      </w:r>
      <w:r w:rsidRPr="00825FA7">
        <w:rPr>
          <w:rFonts w:ascii="Times New Roman" w:hAnsi="Times New Roman"/>
        </w:rPr>
        <w:t xml:space="preserve">shows summary statistics for alternative definitions of </w:t>
      </w:r>
      <w:r w:rsidRPr="00825FA7">
        <w:rPr>
          <w:rFonts w:ascii="Times New Roman" w:hAnsi="Times New Roman"/>
          <w:i/>
        </w:rPr>
        <w:t>GAP</w:t>
      </w:r>
      <w:r w:rsidRPr="00825FA7">
        <w:rPr>
          <w:rFonts w:ascii="Times New Roman" w:hAnsi="Times New Roman"/>
        </w:rPr>
        <w:t xml:space="preserve">. </w:t>
      </w:r>
      <w:r w:rsidRPr="00825FA7">
        <w:rPr>
          <w:rFonts w:ascii="Times New Roman" w:hAnsi="Times New Roman"/>
          <w:lang w:val="en-GB"/>
        </w:rPr>
        <w:t xml:space="preserve">Indicatively, </w:t>
      </w:r>
      <w:r w:rsidRPr="00825FA7">
        <w:rPr>
          <w:rFonts w:ascii="Times New Roman" w:hAnsi="Times New Roman"/>
        </w:rPr>
        <w:t>average firm’s TFP is 68.6% of the frontier’s TFP; in other words, the distance from the frontier is 32</w:t>
      </w:r>
      <w:r w:rsidRPr="00825FA7">
        <w:rPr>
          <w:rFonts w:ascii="Times New Roman" w:hAnsi="Times New Roman"/>
          <w:lang w:val="en-GB"/>
        </w:rPr>
        <w:t xml:space="preserve"> percentage points</w:t>
      </w:r>
      <w:r w:rsidRPr="00825FA7">
        <w:rPr>
          <w:rFonts w:ascii="Times New Roman" w:hAnsi="Times New Roman"/>
        </w:rPr>
        <w:t xml:space="preserve"> (1-0.68=0.32).</w:t>
      </w:r>
      <w:r>
        <w:rPr>
          <w:rFonts w:ascii="Times New Roman" w:hAnsi="Times New Roman"/>
          <w:lang w:val="en-GB"/>
        </w:rPr>
        <w:t xml:space="preserve"> The alternative definitions of the frontier unit provide- as expected- different </w:t>
      </w:r>
      <w:r w:rsidRPr="000E6B42">
        <w:rPr>
          <w:rFonts w:ascii="Times New Roman" w:hAnsi="Times New Roman"/>
          <w:lang w:val="en-GB"/>
        </w:rPr>
        <w:t>coefficients</w:t>
      </w:r>
      <w:r>
        <w:rPr>
          <w:rFonts w:ascii="Times New Roman" w:hAnsi="Times New Roman"/>
          <w:lang w:val="en-GB"/>
        </w:rPr>
        <w:t xml:space="preserve"> for GAP and</w:t>
      </w:r>
      <w:r w:rsidRPr="002346A7">
        <w:rPr>
          <w:rFonts w:ascii="Times New Roman" w:hAnsi="Times New Roman"/>
          <w:position w:val="-10"/>
          <w:lang w:val="en-GB"/>
        </w:rPr>
        <w:object w:dxaOrig="840" w:dyaOrig="300">
          <v:shape id="_x0000_i1081" type="#_x0000_t75" style="width:42pt;height:15pt" o:ole="">
            <v:imagedata r:id="rId1" o:title=""/>
          </v:shape>
          <o:OLEObject Type="Embed" ProgID="Equation.DSMT4" ShapeID="_x0000_i1081" DrawAspect="Content" ObjectID="_1604251495" r:id="rId2"/>
        </w:object>
      </w:r>
      <w:r>
        <w:rPr>
          <w:rFonts w:ascii="Times New Roman" w:hAnsi="Times New Roman"/>
          <w:lang w:val="en-GB"/>
        </w:rPr>
        <w:t xml:space="preserve">in [3.2] and [3.3], but the pattern of results and </w:t>
      </w:r>
      <w:r w:rsidRPr="000E6B42">
        <w:rPr>
          <w:rFonts w:ascii="Times New Roman" w:hAnsi="Times New Roman"/>
          <w:lang w:val="en-GB"/>
        </w:rPr>
        <w:t>t</w:t>
      </w:r>
      <w:r>
        <w:rPr>
          <w:rFonts w:ascii="Times New Roman" w:hAnsi="Times New Roman"/>
          <w:lang w:val="en-GB"/>
        </w:rPr>
        <w:t>he level of significance remain</w:t>
      </w:r>
      <w:r w:rsidRPr="000E6B42">
        <w:rPr>
          <w:rFonts w:ascii="Times New Roman" w:hAnsi="Times New Roman"/>
          <w:lang w:val="en-GB"/>
        </w:rPr>
        <w:t xml:space="preserve"> </w:t>
      </w:r>
      <w:r>
        <w:rPr>
          <w:rFonts w:ascii="Times New Roman" w:hAnsi="Times New Roman"/>
          <w:lang w:val="en-GB"/>
        </w:rPr>
        <w:t>unchanged</w:t>
      </w:r>
      <w:r w:rsidRPr="000E6B42">
        <w:rPr>
          <w:rFonts w:ascii="Times New Roman" w:hAnsi="Times New Roman"/>
          <w:lang w:val="en-GB"/>
        </w:rPr>
        <w:t xml:space="preserve">. </w:t>
      </w:r>
      <w:r>
        <w:rPr>
          <w:rFonts w:ascii="Times New Roman" w:hAnsi="Times New Roman"/>
          <w:lang w:val="en-GB"/>
        </w:rPr>
        <w:t>These results</w:t>
      </w:r>
      <w:r w:rsidRPr="000E6B42">
        <w:rPr>
          <w:rFonts w:ascii="Times New Roman" w:hAnsi="Times New Roman"/>
          <w:lang w:val="en-GB"/>
        </w:rPr>
        <w:t xml:space="preserve"> are available from the authors upon request.</w:t>
      </w:r>
    </w:p>
  </w:footnote>
  <w:footnote w:id="12">
    <w:p w:rsidR="003B6DF2" w:rsidRPr="009D1BC2" w:rsidRDefault="003B6DF2" w:rsidP="001004C1">
      <w:pPr>
        <w:pStyle w:val="FootnoteText"/>
        <w:rPr>
          <w:rFonts w:asciiTheme="majorBidi" w:hAnsiTheme="majorBidi" w:cstheme="majorBidi"/>
          <w:lang w:val="en-GB"/>
        </w:rPr>
      </w:pPr>
      <w:r w:rsidRPr="00F85FA0">
        <w:rPr>
          <w:rStyle w:val="FootnoteReference"/>
          <w:rFonts w:asciiTheme="majorBidi" w:hAnsiTheme="majorBidi" w:cstheme="majorBidi"/>
        </w:rPr>
        <w:footnoteRef/>
      </w:r>
      <w:r w:rsidRPr="00F85FA0">
        <w:rPr>
          <w:rFonts w:asciiTheme="majorBidi" w:hAnsiTheme="majorBidi" w:cstheme="majorBidi"/>
          <w:lang w:val="en-GB"/>
        </w:rPr>
        <w:t xml:space="preserve"> Taxable profit is reported in FAME under the name Profits before Tax (PbT).</w:t>
      </w:r>
    </w:p>
  </w:footnote>
  <w:footnote w:id="13">
    <w:p w:rsidR="003B6DF2" w:rsidRPr="00D30B02" w:rsidRDefault="003B6DF2" w:rsidP="00D30B02">
      <w:pPr>
        <w:pStyle w:val="FootnoteText"/>
        <w:rPr>
          <w:rFonts w:ascii="Times New Roman" w:hAnsi="Times New Roman"/>
          <w:lang w:val="en-GB"/>
        </w:rPr>
      </w:pPr>
      <w:r>
        <w:rPr>
          <w:rStyle w:val="FootnoteReference"/>
        </w:rPr>
        <w:footnoteRef/>
      </w:r>
      <w:r>
        <w:t xml:space="preserve"> </w:t>
      </w:r>
      <w:r w:rsidRPr="00D30B02">
        <w:rPr>
          <w:rFonts w:ascii="Times New Roman" w:hAnsi="Times New Roman"/>
        </w:rPr>
        <w:t xml:space="preserve">A less strict definition of </w:t>
      </w:r>
      <w:r w:rsidRPr="00646128">
        <w:rPr>
          <w:rFonts w:ascii="Times New Roman" w:hAnsi="Times New Roman"/>
          <w:i/>
        </w:rPr>
        <w:t>R</w:t>
      </w:r>
      <w:r>
        <w:rPr>
          <w:rFonts w:ascii="Times New Roman" w:hAnsi="Times New Roman"/>
          <w:lang w:val="en-GB"/>
        </w:rPr>
        <w:t xml:space="preserve"> and </w:t>
      </w:r>
      <w:r w:rsidRPr="00646128">
        <w:rPr>
          <w:rFonts w:ascii="Times New Roman" w:hAnsi="Times New Roman"/>
          <w:i/>
          <w:lang w:val="en-GB"/>
        </w:rPr>
        <w:t>E</w:t>
      </w:r>
      <w:r>
        <w:rPr>
          <w:rFonts w:ascii="Times New Roman" w:hAnsi="Times New Roman"/>
          <w:lang w:val="en-GB"/>
        </w:rPr>
        <w:t xml:space="preserve"> is also applied </w:t>
      </w:r>
      <w:r w:rsidRPr="00D30B02">
        <w:rPr>
          <w:rFonts w:ascii="Times New Roman" w:hAnsi="Times New Roman"/>
        </w:rPr>
        <w:t>assigning value one to firms with R&amp;D and export data for at</w:t>
      </w:r>
      <w:r>
        <w:rPr>
          <w:rFonts w:ascii="Times New Roman" w:hAnsi="Times New Roman"/>
        </w:rPr>
        <w:t xml:space="preserve"> least four years in the sample</w:t>
      </w:r>
      <w:r>
        <w:rPr>
          <w:rFonts w:ascii="Times New Roman" w:hAnsi="Times New Roman"/>
          <w:lang w:val="en-GB"/>
        </w:rPr>
        <w:t xml:space="preserve">. </w:t>
      </w:r>
      <w:r w:rsidRPr="00D30B02">
        <w:rPr>
          <w:rFonts w:ascii="Times New Roman" w:hAnsi="Times New Roman"/>
        </w:rPr>
        <w:t xml:space="preserve"> Econometric results from </w:t>
      </w:r>
      <w:r>
        <w:rPr>
          <w:rFonts w:ascii="Times New Roman" w:hAnsi="Times New Roman"/>
          <w:lang w:val="en-GB"/>
        </w:rPr>
        <w:t>alternative</w:t>
      </w:r>
      <w:r w:rsidRPr="00D30B02">
        <w:rPr>
          <w:rFonts w:ascii="Times New Roman" w:hAnsi="Times New Roman"/>
        </w:rPr>
        <w:t xml:space="preserve"> measure</w:t>
      </w:r>
      <w:r>
        <w:rPr>
          <w:rFonts w:ascii="Times New Roman" w:hAnsi="Times New Roman"/>
          <w:lang w:val="en-GB"/>
        </w:rPr>
        <w:t>s</w:t>
      </w:r>
      <w:r w:rsidRPr="00D30B02">
        <w:rPr>
          <w:rFonts w:ascii="Times New Roman" w:hAnsi="Times New Roman"/>
        </w:rPr>
        <w:t xml:space="preserve"> of</w:t>
      </w:r>
      <w:r>
        <w:rPr>
          <w:rFonts w:ascii="Times New Roman" w:hAnsi="Times New Roman"/>
          <w:lang w:val="en-GB"/>
        </w:rPr>
        <w:t xml:space="preserve"> </w:t>
      </w:r>
      <w:r w:rsidRPr="00646128">
        <w:rPr>
          <w:rFonts w:ascii="Times New Roman" w:hAnsi="Times New Roman"/>
          <w:i/>
          <w:lang w:val="en-GB"/>
        </w:rPr>
        <w:t>R</w:t>
      </w:r>
      <w:r>
        <w:rPr>
          <w:rFonts w:ascii="Times New Roman" w:hAnsi="Times New Roman"/>
          <w:lang w:val="en-GB"/>
        </w:rPr>
        <w:t xml:space="preserve"> and </w:t>
      </w:r>
      <w:r w:rsidRPr="00646128">
        <w:rPr>
          <w:rFonts w:ascii="Times New Roman" w:hAnsi="Times New Roman"/>
          <w:i/>
          <w:lang w:val="en-GB"/>
        </w:rPr>
        <w:t>E</w:t>
      </w:r>
      <w:r w:rsidRPr="00D30B02">
        <w:rPr>
          <w:rFonts w:ascii="Times New Roman" w:hAnsi="Times New Roman"/>
        </w:rPr>
        <w:t xml:space="preserve"> are not shown in the paper but they are available from the authors upon request.</w:t>
      </w:r>
    </w:p>
  </w:footnote>
  <w:footnote w:id="14">
    <w:p w:rsidR="003B6DF2" w:rsidRPr="009F15B7" w:rsidRDefault="003B6DF2" w:rsidP="00DB36FB">
      <w:pPr>
        <w:pStyle w:val="FootnoteText"/>
        <w:rPr>
          <w:rFonts w:asciiTheme="majorBidi" w:hAnsiTheme="majorBidi" w:cstheme="majorBidi"/>
          <w:lang w:val="en-GB"/>
        </w:rPr>
      </w:pPr>
      <w:r w:rsidRPr="009F15B7">
        <w:rPr>
          <w:rStyle w:val="FootnoteReference"/>
          <w:rFonts w:asciiTheme="majorBidi" w:hAnsiTheme="majorBidi" w:cstheme="majorBidi"/>
        </w:rPr>
        <w:footnoteRef/>
      </w:r>
      <w:r w:rsidRPr="009F15B7">
        <w:rPr>
          <w:rFonts w:asciiTheme="majorBidi" w:hAnsiTheme="majorBidi" w:cstheme="majorBidi"/>
          <w:lang w:val="en-GB"/>
        </w:rPr>
        <w:t xml:space="preserve">It will also </w:t>
      </w:r>
      <w:r>
        <w:rPr>
          <w:rFonts w:asciiTheme="majorBidi" w:hAnsiTheme="majorBidi" w:cstheme="majorBidi"/>
          <w:lang w:val="en-GB"/>
        </w:rPr>
        <w:t xml:space="preserve">be </w:t>
      </w:r>
      <w:r w:rsidRPr="009F15B7">
        <w:rPr>
          <w:rFonts w:asciiTheme="majorBidi" w:hAnsiTheme="majorBidi" w:cstheme="majorBidi"/>
          <w:lang w:val="en-GB"/>
        </w:rPr>
        <w:t xml:space="preserve">valid to point out here that firm </w:t>
      </w:r>
      <w:r w:rsidRPr="009F15B7">
        <w:rPr>
          <w:rFonts w:asciiTheme="majorBidi" w:hAnsiTheme="majorBidi" w:cstheme="majorBidi"/>
          <w:i/>
          <w:iCs/>
          <w:lang w:val="en-GB"/>
        </w:rPr>
        <w:t>i</w:t>
      </w:r>
      <w:r w:rsidRPr="009F15B7">
        <w:rPr>
          <w:rFonts w:asciiTheme="majorBidi" w:hAnsiTheme="majorBidi" w:cstheme="majorBidi"/>
          <w:lang w:val="en-GB"/>
        </w:rPr>
        <w:t xml:space="preserve">’s opportunity cost of higher </w:t>
      </w:r>
      <w:r>
        <w:rPr>
          <w:rFonts w:asciiTheme="majorBidi" w:hAnsiTheme="majorBidi" w:cstheme="majorBidi"/>
          <w:lang w:val="en-GB"/>
        </w:rPr>
        <w:t>tax liability</w:t>
      </w:r>
      <w:r w:rsidRPr="009F15B7">
        <w:rPr>
          <w:rFonts w:asciiTheme="majorBidi" w:hAnsiTheme="majorBidi" w:cstheme="majorBidi"/>
          <w:lang w:val="en-GB"/>
        </w:rPr>
        <w:t xml:space="preserve"> is less market expansion highlighting </w:t>
      </w:r>
      <w:r>
        <w:rPr>
          <w:rFonts w:asciiTheme="majorBidi" w:hAnsiTheme="majorBidi" w:cstheme="majorBidi"/>
          <w:lang w:val="en-GB"/>
        </w:rPr>
        <w:t xml:space="preserve">the </w:t>
      </w:r>
      <w:r w:rsidRPr="009F15B7">
        <w:rPr>
          <w:rFonts w:asciiTheme="majorBidi" w:hAnsiTheme="majorBidi" w:cstheme="majorBidi"/>
          <w:lang w:val="en-GB"/>
        </w:rPr>
        <w:t>alternative uses of existing working capital.</w:t>
      </w:r>
    </w:p>
  </w:footnote>
  <w:footnote w:id="15">
    <w:p w:rsidR="003B6DF2" w:rsidRPr="005033DD" w:rsidRDefault="003B6DF2" w:rsidP="00793163">
      <w:pPr>
        <w:pStyle w:val="FootnoteText"/>
        <w:rPr>
          <w:rFonts w:asciiTheme="majorBidi" w:hAnsiTheme="majorBidi" w:cstheme="majorBidi"/>
          <w:lang w:val="en-GB"/>
        </w:rPr>
      </w:pPr>
      <w:r w:rsidRPr="005033DD">
        <w:rPr>
          <w:rStyle w:val="FootnoteReference"/>
          <w:rFonts w:asciiTheme="majorBidi" w:hAnsiTheme="majorBidi" w:cstheme="majorBidi"/>
        </w:rPr>
        <w:footnoteRef/>
      </w:r>
      <w:r w:rsidRPr="005033DD">
        <w:rPr>
          <w:rFonts w:asciiTheme="majorBidi" w:hAnsiTheme="majorBidi" w:cstheme="majorBidi"/>
          <w:lang w:val="en-GB"/>
        </w:rPr>
        <w:t xml:space="preserve">The OP framework used for the TFP calculation accounts for endogeneity bias between the selection of inputs and </w:t>
      </w:r>
      <w:r w:rsidRPr="0026790F">
        <w:rPr>
          <w:rFonts w:asciiTheme="majorBidi" w:hAnsiTheme="majorBidi" w:cstheme="majorBidi"/>
          <w:lang w:val="en-GB"/>
        </w:rPr>
        <w:t>output</w:t>
      </w:r>
      <w:r w:rsidRPr="005033DD">
        <w:rPr>
          <w:rFonts w:asciiTheme="majorBidi" w:hAnsiTheme="majorBidi" w:cstheme="majorBidi"/>
          <w:lang w:val="en-GB"/>
        </w:rPr>
        <w:t>, although a series of other issues still remain unresolved regarding the degree of capital utilization and firm’s mon</w:t>
      </w:r>
      <w:r>
        <w:rPr>
          <w:rFonts w:asciiTheme="majorBidi" w:hAnsiTheme="majorBidi" w:cstheme="majorBidi"/>
          <w:lang w:val="en-GB"/>
        </w:rPr>
        <w:t xml:space="preserve">opolistic power in the market. </w:t>
      </w:r>
      <w:r w:rsidRPr="005033DD">
        <w:rPr>
          <w:rFonts w:asciiTheme="majorBidi" w:hAnsiTheme="majorBidi" w:cstheme="majorBidi"/>
          <w:lang w:val="en-US"/>
        </w:rPr>
        <w:t>Capital might not always be under full utilization introducing short term rigidities that can cause efficiency losses without necessarily reflecting technical changes. Similarly, the OP methodology does not capture imperfect competition that lead</w:t>
      </w:r>
      <w:r>
        <w:rPr>
          <w:rFonts w:asciiTheme="majorBidi" w:hAnsiTheme="majorBidi" w:cstheme="majorBidi"/>
          <w:lang w:val="en-US"/>
        </w:rPr>
        <w:t>s</w:t>
      </w:r>
      <w:r w:rsidRPr="005033DD">
        <w:rPr>
          <w:rFonts w:asciiTheme="majorBidi" w:hAnsiTheme="majorBidi" w:cstheme="majorBidi"/>
          <w:lang w:val="en-US"/>
        </w:rPr>
        <w:t xml:space="preserve"> to economies of scale and can be mistakenly attributed to technological progress.</w:t>
      </w:r>
    </w:p>
  </w:footnote>
  <w:footnote w:id="16">
    <w:p w:rsidR="003B6DF2" w:rsidRPr="00C950CE" w:rsidRDefault="003B6DF2" w:rsidP="00637032">
      <w:pPr>
        <w:pStyle w:val="FootnoteText"/>
        <w:rPr>
          <w:rFonts w:ascii="Times New Roman" w:hAnsi="Times New Roman"/>
          <w:lang w:val="en-GB"/>
        </w:rPr>
      </w:pPr>
      <w:r w:rsidRPr="00C950CE">
        <w:rPr>
          <w:rStyle w:val="FootnoteReference"/>
          <w:rFonts w:ascii="Times New Roman" w:hAnsi="Times New Roman"/>
        </w:rPr>
        <w:footnoteRef/>
      </w:r>
      <w:r w:rsidRPr="00C950CE">
        <w:rPr>
          <w:rFonts w:ascii="Times New Roman" w:hAnsi="Times New Roman"/>
          <w:lang w:val="en-GB"/>
        </w:rPr>
        <w:t xml:space="preserve"> Instruments are computed as mean values across firms in 4-digit </w:t>
      </w:r>
      <w:r w:rsidRPr="00C950CE">
        <w:rPr>
          <w:rFonts w:ascii="Times New Roman" w:hAnsi="Times New Roman"/>
          <w:bCs/>
          <w:lang w:val="en-US"/>
        </w:rPr>
        <w:t xml:space="preserve">NACE Rev2 </w:t>
      </w:r>
      <w:r w:rsidRPr="00C950CE">
        <w:rPr>
          <w:rFonts w:ascii="Times New Roman" w:hAnsi="Times New Roman"/>
          <w:lang w:val="en-GB"/>
        </w:rPr>
        <w:t>industries</w:t>
      </w:r>
      <w:r>
        <w:rPr>
          <w:rFonts w:ascii="Times New Roman" w:hAnsi="Times New Roman"/>
          <w:lang w:val="en-GB"/>
        </w:rPr>
        <w:t xml:space="preserve"> in year t</w:t>
      </w:r>
      <w:r w:rsidRPr="00C950CE">
        <w:rPr>
          <w:rFonts w:ascii="Times New Roman" w:hAnsi="Times New Roman"/>
          <w:lang w:val="en-GB"/>
        </w:rPr>
        <w:t xml:space="preserve">.  Profit rate is defined as </w:t>
      </w:r>
      <w:r>
        <w:rPr>
          <w:rFonts w:ascii="Times New Roman" w:hAnsi="Times New Roman"/>
          <w:lang w:val="en-GB"/>
        </w:rPr>
        <w:t>o</w:t>
      </w:r>
      <w:r w:rsidRPr="00C950CE">
        <w:rPr>
          <w:rFonts w:ascii="Times New Roman" w:hAnsi="Times New Roman"/>
          <w:bCs/>
          <w:lang w:val="en-US"/>
        </w:rPr>
        <w:t>operational profit over total sales industry</w:t>
      </w:r>
      <w:r>
        <w:rPr>
          <w:rFonts w:ascii="Times New Roman" w:hAnsi="Times New Roman"/>
          <w:bCs/>
          <w:lang w:val="en-US"/>
        </w:rPr>
        <w:t>;</w:t>
      </w:r>
      <w:r w:rsidRPr="00C950CE">
        <w:rPr>
          <w:rFonts w:ascii="Times New Roman" w:hAnsi="Times New Roman"/>
          <w:bCs/>
          <w:lang w:val="en-US"/>
        </w:rPr>
        <w:t xml:space="preserve"> equity is defined</w:t>
      </w:r>
      <w:r>
        <w:rPr>
          <w:rFonts w:ascii="Times New Roman" w:hAnsi="Times New Roman"/>
          <w:bCs/>
          <w:lang w:val="en-US"/>
        </w:rPr>
        <w:t xml:space="preserve"> as: </w:t>
      </w:r>
      <w:r w:rsidRPr="00C950CE">
        <w:rPr>
          <w:rFonts w:ascii="Times New Roman" w:hAnsi="Times New Roman"/>
          <w:bCs/>
          <w:lang w:val="en-US"/>
        </w:rPr>
        <w:t>(Total A</w:t>
      </w:r>
      <w:r>
        <w:rPr>
          <w:rFonts w:ascii="Times New Roman" w:hAnsi="Times New Roman"/>
          <w:bCs/>
          <w:lang w:val="en-US"/>
        </w:rPr>
        <w:t>ssets–</w:t>
      </w:r>
      <w:r w:rsidRPr="00C950CE">
        <w:rPr>
          <w:rFonts w:ascii="Times New Roman" w:hAnsi="Times New Roman"/>
          <w:bCs/>
          <w:lang w:val="en-US"/>
        </w:rPr>
        <w:t>Long Term Liabilities)/Total Assets (FAME).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8D1"/>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0BD05547"/>
    <w:multiLevelType w:val="multilevel"/>
    <w:tmpl w:val="4D4CB2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7A24614"/>
    <w:multiLevelType w:val="multilevel"/>
    <w:tmpl w:val="2FA06CEC"/>
    <w:lvl w:ilvl="0">
      <w:start w:val="5"/>
      <w:numFmt w:val="decimal"/>
      <w:lvlText w:val="%1"/>
      <w:lvlJc w:val="left"/>
      <w:pPr>
        <w:ind w:left="360" w:hanging="360"/>
      </w:pPr>
      <w:rPr>
        <w:rFonts w:hint="default"/>
      </w:rPr>
    </w:lvl>
    <w:lvl w:ilvl="1">
      <w:start w:val="1"/>
      <w:numFmt w:val="decimal"/>
      <w:lvlText w:val="%1.%2"/>
      <w:lvlJc w:val="left"/>
      <w:pPr>
        <w:ind w:left="1080" w:hanging="360"/>
      </w:pPr>
      <w:rPr>
        <w:rFonts w:asciiTheme="majorBidi" w:hAnsiTheme="majorBidi" w:cstheme="majorBidi"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8580C85"/>
    <w:multiLevelType w:val="hybridMultilevel"/>
    <w:tmpl w:val="483ED8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C8C26B4"/>
    <w:multiLevelType w:val="multilevel"/>
    <w:tmpl w:val="ABFEDE1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BB14511"/>
    <w:multiLevelType w:val="hybridMultilevel"/>
    <w:tmpl w:val="E382B5B2"/>
    <w:lvl w:ilvl="0" w:tplc="AD622EA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58D4328"/>
    <w:multiLevelType w:val="multilevel"/>
    <w:tmpl w:val="55340C1A"/>
    <w:lvl w:ilvl="0">
      <w:start w:val="1"/>
      <w:numFmt w:val="decimal"/>
      <w:lvlText w:val="%1."/>
      <w:lvlJc w:val="left"/>
      <w:pPr>
        <w:ind w:left="360" w:hanging="360"/>
      </w:pPr>
      <w:rPr>
        <w:rFonts w:hint="default"/>
        <w:b/>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83665DF"/>
    <w:multiLevelType w:val="multilevel"/>
    <w:tmpl w:val="E3FCEF56"/>
    <w:lvl w:ilvl="0">
      <w:start w:val="3"/>
      <w:numFmt w:val="decimal"/>
      <w:lvlText w:val="%1"/>
      <w:lvlJc w:val="left"/>
      <w:pPr>
        <w:ind w:left="360" w:hanging="360"/>
      </w:pPr>
      <w:rPr>
        <w:rFonts w:ascii="Times New Roman" w:hAnsi="Times New Roman" w:hint="default"/>
      </w:rPr>
    </w:lvl>
    <w:lvl w:ilvl="1">
      <w:start w:val="2"/>
      <w:numFmt w:val="decimal"/>
      <w:lvlText w:val="%1.%2"/>
      <w:lvlJc w:val="left"/>
      <w:pPr>
        <w:ind w:left="1353" w:hanging="360"/>
      </w:pPr>
      <w:rPr>
        <w:rFonts w:ascii="Times New Roman" w:hAnsi="Times New Roman" w:hint="default"/>
      </w:rPr>
    </w:lvl>
    <w:lvl w:ilvl="2">
      <w:start w:val="1"/>
      <w:numFmt w:val="decimal"/>
      <w:lvlText w:val="%1.%2.%3"/>
      <w:lvlJc w:val="left"/>
      <w:pPr>
        <w:ind w:left="2706" w:hanging="720"/>
      </w:pPr>
      <w:rPr>
        <w:rFonts w:ascii="Times New Roman" w:hAnsi="Times New Roman" w:hint="default"/>
      </w:rPr>
    </w:lvl>
    <w:lvl w:ilvl="3">
      <w:start w:val="1"/>
      <w:numFmt w:val="decimal"/>
      <w:lvlText w:val="%1.%2.%3.%4"/>
      <w:lvlJc w:val="left"/>
      <w:pPr>
        <w:ind w:left="3699" w:hanging="720"/>
      </w:pPr>
      <w:rPr>
        <w:rFonts w:ascii="Times New Roman" w:hAnsi="Times New Roman" w:hint="default"/>
      </w:rPr>
    </w:lvl>
    <w:lvl w:ilvl="4">
      <w:start w:val="1"/>
      <w:numFmt w:val="decimal"/>
      <w:lvlText w:val="%1.%2.%3.%4.%5"/>
      <w:lvlJc w:val="left"/>
      <w:pPr>
        <w:ind w:left="5052" w:hanging="1080"/>
      </w:pPr>
      <w:rPr>
        <w:rFonts w:ascii="Times New Roman" w:hAnsi="Times New Roman" w:hint="default"/>
      </w:rPr>
    </w:lvl>
    <w:lvl w:ilvl="5">
      <w:start w:val="1"/>
      <w:numFmt w:val="decimal"/>
      <w:lvlText w:val="%1.%2.%3.%4.%5.%6"/>
      <w:lvlJc w:val="left"/>
      <w:pPr>
        <w:ind w:left="6045" w:hanging="1080"/>
      </w:pPr>
      <w:rPr>
        <w:rFonts w:ascii="Times New Roman" w:hAnsi="Times New Roman" w:hint="default"/>
      </w:rPr>
    </w:lvl>
    <w:lvl w:ilvl="6">
      <w:start w:val="1"/>
      <w:numFmt w:val="decimal"/>
      <w:lvlText w:val="%1.%2.%3.%4.%5.%6.%7"/>
      <w:lvlJc w:val="left"/>
      <w:pPr>
        <w:ind w:left="7398" w:hanging="1440"/>
      </w:pPr>
      <w:rPr>
        <w:rFonts w:ascii="Times New Roman" w:hAnsi="Times New Roman" w:hint="default"/>
      </w:rPr>
    </w:lvl>
    <w:lvl w:ilvl="7">
      <w:start w:val="1"/>
      <w:numFmt w:val="decimal"/>
      <w:lvlText w:val="%1.%2.%3.%4.%5.%6.%7.%8"/>
      <w:lvlJc w:val="left"/>
      <w:pPr>
        <w:ind w:left="8391" w:hanging="1440"/>
      </w:pPr>
      <w:rPr>
        <w:rFonts w:ascii="Times New Roman" w:hAnsi="Times New Roman" w:hint="default"/>
      </w:rPr>
    </w:lvl>
    <w:lvl w:ilvl="8">
      <w:start w:val="1"/>
      <w:numFmt w:val="decimal"/>
      <w:lvlText w:val="%1.%2.%3.%4.%5.%6.%7.%8.%9"/>
      <w:lvlJc w:val="left"/>
      <w:pPr>
        <w:ind w:left="9744" w:hanging="1800"/>
      </w:pPr>
      <w:rPr>
        <w:rFonts w:ascii="Times New Roman" w:hAnsi="Times New Roman" w:hint="default"/>
      </w:rPr>
    </w:lvl>
  </w:abstractNum>
  <w:abstractNum w:abstractNumId="8" w15:restartNumberingAfterBreak="0">
    <w:nsid w:val="58C4181F"/>
    <w:multiLevelType w:val="hybridMultilevel"/>
    <w:tmpl w:val="30F0AF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77031E"/>
    <w:multiLevelType w:val="multilevel"/>
    <w:tmpl w:val="3BF22E02"/>
    <w:lvl w:ilvl="0">
      <w:start w:val="4"/>
      <w:numFmt w:val="decimal"/>
      <w:lvlText w:val="%1"/>
      <w:lvlJc w:val="left"/>
      <w:pPr>
        <w:ind w:left="360" w:hanging="360"/>
      </w:pPr>
      <w:rPr>
        <w:rFonts w:ascii="Times New Roman" w:hAnsi="Times New Roman" w:hint="default"/>
        <w:i/>
      </w:rPr>
    </w:lvl>
    <w:lvl w:ilvl="1">
      <w:start w:val="2"/>
      <w:numFmt w:val="decimal"/>
      <w:lvlText w:val="%1.%2"/>
      <w:lvlJc w:val="left"/>
      <w:pPr>
        <w:ind w:left="1353" w:hanging="360"/>
      </w:pPr>
      <w:rPr>
        <w:rFonts w:ascii="Times New Roman" w:hAnsi="Times New Roman" w:hint="default"/>
        <w:i/>
      </w:rPr>
    </w:lvl>
    <w:lvl w:ilvl="2">
      <w:start w:val="1"/>
      <w:numFmt w:val="decimal"/>
      <w:lvlText w:val="%1.%2.%3"/>
      <w:lvlJc w:val="left"/>
      <w:pPr>
        <w:ind w:left="2160" w:hanging="720"/>
      </w:pPr>
      <w:rPr>
        <w:rFonts w:ascii="Times New Roman" w:hAnsi="Times New Roman" w:hint="default"/>
        <w:i/>
      </w:rPr>
    </w:lvl>
    <w:lvl w:ilvl="3">
      <w:start w:val="1"/>
      <w:numFmt w:val="decimal"/>
      <w:lvlText w:val="%1.%2.%3.%4"/>
      <w:lvlJc w:val="left"/>
      <w:pPr>
        <w:ind w:left="2880" w:hanging="720"/>
      </w:pPr>
      <w:rPr>
        <w:rFonts w:ascii="Times New Roman" w:hAnsi="Times New Roman" w:hint="default"/>
        <w:i/>
      </w:rPr>
    </w:lvl>
    <w:lvl w:ilvl="4">
      <w:start w:val="1"/>
      <w:numFmt w:val="decimal"/>
      <w:lvlText w:val="%1.%2.%3.%4.%5"/>
      <w:lvlJc w:val="left"/>
      <w:pPr>
        <w:ind w:left="3960" w:hanging="1080"/>
      </w:pPr>
      <w:rPr>
        <w:rFonts w:ascii="Times New Roman" w:hAnsi="Times New Roman" w:hint="default"/>
        <w:i/>
      </w:rPr>
    </w:lvl>
    <w:lvl w:ilvl="5">
      <w:start w:val="1"/>
      <w:numFmt w:val="decimal"/>
      <w:lvlText w:val="%1.%2.%3.%4.%5.%6"/>
      <w:lvlJc w:val="left"/>
      <w:pPr>
        <w:ind w:left="4680" w:hanging="1080"/>
      </w:pPr>
      <w:rPr>
        <w:rFonts w:ascii="Times New Roman" w:hAnsi="Times New Roman" w:hint="default"/>
        <w:i/>
      </w:rPr>
    </w:lvl>
    <w:lvl w:ilvl="6">
      <w:start w:val="1"/>
      <w:numFmt w:val="decimal"/>
      <w:lvlText w:val="%1.%2.%3.%4.%5.%6.%7"/>
      <w:lvlJc w:val="left"/>
      <w:pPr>
        <w:ind w:left="5760" w:hanging="1440"/>
      </w:pPr>
      <w:rPr>
        <w:rFonts w:ascii="Times New Roman" w:hAnsi="Times New Roman" w:hint="default"/>
        <w:i/>
      </w:rPr>
    </w:lvl>
    <w:lvl w:ilvl="7">
      <w:start w:val="1"/>
      <w:numFmt w:val="decimal"/>
      <w:lvlText w:val="%1.%2.%3.%4.%5.%6.%7.%8"/>
      <w:lvlJc w:val="left"/>
      <w:pPr>
        <w:ind w:left="6480" w:hanging="1440"/>
      </w:pPr>
      <w:rPr>
        <w:rFonts w:ascii="Times New Roman" w:hAnsi="Times New Roman" w:hint="default"/>
        <w:i/>
      </w:rPr>
    </w:lvl>
    <w:lvl w:ilvl="8">
      <w:start w:val="1"/>
      <w:numFmt w:val="decimal"/>
      <w:lvlText w:val="%1.%2.%3.%4.%5.%6.%7.%8.%9"/>
      <w:lvlJc w:val="left"/>
      <w:pPr>
        <w:ind w:left="7560" w:hanging="1800"/>
      </w:pPr>
      <w:rPr>
        <w:rFonts w:ascii="Times New Roman" w:hAnsi="Times New Roman" w:hint="default"/>
        <w:i/>
      </w:rPr>
    </w:lvl>
  </w:abstractNum>
  <w:num w:numId="1">
    <w:abstractNumId w:val="5"/>
  </w:num>
  <w:num w:numId="2">
    <w:abstractNumId w:val="3"/>
  </w:num>
  <w:num w:numId="3">
    <w:abstractNumId w:val="6"/>
  </w:num>
  <w:num w:numId="4">
    <w:abstractNumId w:val="1"/>
  </w:num>
  <w:num w:numId="5">
    <w:abstractNumId w:val="8"/>
  </w:num>
  <w:num w:numId="6">
    <w:abstractNumId w:val="4"/>
  </w:num>
  <w:num w:numId="7">
    <w:abstractNumId w:val="0"/>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52D"/>
    <w:rsid w:val="0000001E"/>
    <w:rsid w:val="0000084F"/>
    <w:rsid w:val="000020DB"/>
    <w:rsid w:val="0000210C"/>
    <w:rsid w:val="00003281"/>
    <w:rsid w:val="00004844"/>
    <w:rsid w:val="0000539B"/>
    <w:rsid w:val="000055A0"/>
    <w:rsid w:val="000075D0"/>
    <w:rsid w:val="00007756"/>
    <w:rsid w:val="00012A97"/>
    <w:rsid w:val="00012FBE"/>
    <w:rsid w:val="00013064"/>
    <w:rsid w:val="000133C7"/>
    <w:rsid w:val="00013A96"/>
    <w:rsid w:val="000171F0"/>
    <w:rsid w:val="00023FAC"/>
    <w:rsid w:val="00025516"/>
    <w:rsid w:val="0003070C"/>
    <w:rsid w:val="0003175E"/>
    <w:rsid w:val="00031E9F"/>
    <w:rsid w:val="000326B3"/>
    <w:rsid w:val="00033797"/>
    <w:rsid w:val="00034618"/>
    <w:rsid w:val="00034690"/>
    <w:rsid w:val="00034BB3"/>
    <w:rsid w:val="000361EE"/>
    <w:rsid w:val="00036566"/>
    <w:rsid w:val="00036CFC"/>
    <w:rsid w:val="00042D47"/>
    <w:rsid w:val="00042ECB"/>
    <w:rsid w:val="0004375E"/>
    <w:rsid w:val="00044769"/>
    <w:rsid w:val="00045071"/>
    <w:rsid w:val="00046C98"/>
    <w:rsid w:val="0005045F"/>
    <w:rsid w:val="000507EF"/>
    <w:rsid w:val="000515E8"/>
    <w:rsid w:val="000528D4"/>
    <w:rsid w:val="00052A3B"/>
    <w:rsid w:val="000532DB"/>
    <w:rsid w:val="00053A9A"/>
    <w:rsid w:val="00057B13"/>
    <w:rsid w:val="000607D6"/>
    <w:rsid w:val="00061C5D"/>
    <w:rsid w:val="00062050"/>
    <w:rsid w:val="000623E9"/>
    <w:rsid w:val="00063B83"/>
    <w:rsid w:val="00063BCE"/>
    <w:rsid w:val="0006503E"/>
    <w:rsid w:val="00066512"/>
    <w:rsid w:val="000716BE"/>
    <w:rsid w:val="0007317E"/>
    <w:rsid w:val="0007328B"/>
    <w:rsid w:val="00073834"/>
    <w:rsid w:val="000741AD"/>
    <w:rsid w:val="000749FE"/>
    <w:rsid w:val="0007752A"/>
    <w:rsid w:val="00082473"/>
    <w:rsid w:val="0008394F"/>
    <w:rsid w:val="00083AF6"/>
    <w:rsid w:val="00083E6C"/>
    <w:rsid w:val="000844C4"/>
    <w:rsid w:val="000846ED"/>
    <w:rsid w:val="00084F25"/>
    <w:rsid w:val="00085382"/>
    <w:rsid w:val="00086862"/>
    <w:rsid w:val="00086DA5"/>
    <w:rsid w:val="000875E0"/>
    <w:rsid w:val="00087B0F"/>
    <w:rsid w:val="000906B3"/>
    <w:rsid w:val="0009116E"/>
    <w:rsid w:val="00091CD8"/>
    <w:rsid w:val="00091D8E"/>
    <w:rsid w:val="0009256C"/>
    <w:rsid w:val="0009401B"/>
    <w:rsid w:val="00094369"/>
    <w:rsid w:val="0009531D"/>
    <w:rsid w:val="00095634"/>
    <w:rsid w:val="00095A33"/>
    <w:rsid w:val="0009618F"/>
    <w:rsid w:val="000961D9"/>
    <w:rsid w:val="00096350"/>
    <w:rsid w:val="00096FC0"/>
    <w:rsid w:val="00097FA1"/>
    <w:rsid w:val="000A0A7B"/>
    <w:rsid w:val="000A10B8"/>
    <w:rsid w:val="000A22F2"/>
    <w:rsid w:val="000A24DA"/>
    <w:rsid w:val="000A3577"/>
    <w:rsid w:val="000A3F44"/>
    <w:rsid w:val="000A45A9"/>
    <w:rsid w:val="000A4878"/>
    <w:rsid w:val="000A4C2C"/>
    <w:rsid w:val="000A4DE4"/>
    <w:rsid w:val="000A54D7"/>
    <w:rsid w:val="000A5A4C"/>
    <w:rsid w:val="000A63AD"/>
    <w:rsid w:val="000A70B4"/>
    <w:rsid w:val="000A733F"/>
    <w:rsid w:val="000A75C4"/>
    <w:rsid w:val="000A7838"/>
    <w:rsid w:val="000B484F"/>
    <w:rsid w:val="000B5229"/>
    <w:rsid w:val="000B68EE"/>
    <w:rsid w:val="000B7B28"/>
    <w:rsid w:val="000B7E5C"/>
    <w:rsid w:val="000C0363"/>
    <w:rsid w:val="000C0CD1"/>
    <w:rsid w:val="000C0D02"/>
    <w:rsid w:val="000C1C52"/>
    <w:rsid w:val="000C213D"/>
    <w:rsid w:val="000C2476"/>
    <w:rsid w:val="000C335E"/>
    <w:rsid w:val="000C4A59"/>
    <w:rsid w:val="000C603F"/>
    <w:rsid w:val="000C62F0"/>
    <w:rsid w:val="000C6358"/>
    <w:rsid w:val="000C7AB4"/>
    <w:rsid w:val="000D2495"/>
    <w:rsid w:val="000D2629"/>
    <w:rsid w:val="000D40A1"/>
    <w:rsid w:val="000D40C1"/>
    <w:rsid w:val="000D4C8B"/>
    <w:rsid w:val="000D4ECD"/>
    <w:rsid w:val="000D590F"/>
    <w:rsid w:val="000D6F09"/>
    <w:rsid w:val="000D705D"/>
    <w:rsid w:val="000E2862"/>
    <w:rsid w:val="000E28C7"/>
    <w:rsid w:val="000E5679"/>
    <w:rsid w:val="000E6B42"/>
    <w:rsid w:val="000E707F"/>
    <w:rsid w:val="000E7CBD"/>
    <w:rsid w:val="000F0BE4"/>
    <w:rsid w:val="000F1671"/>
    <w:rsid w:val="000F176E"/>
    <w:rsid w:val="000F1DE1"/>
    <w:rsid w:val="000F2373"/>
    <w:rsid w:val="000F25A1"/>
    <w:rsid w:val="000F346E"/>
    <w:rsid w:val="000F40E9"/>
    <w:rsid w:val="000F4297"/>
    <w:rsid w:val="000F625D"/>
    <w:rsid w:val="000F6B35"/>
    <w:rsid w:val="000F755C"/>
    <w:rsid w:val="000F7A72"/>
    <w:rsid w:val="001001C6"/>
    <w:rsid w:val="001004C1"/>
    <w:rsid w:val="001006C9"/>
    <w:rsid w:val="00100EE6"/>
    <w:rsid w:val="00102239"/>
    <w:rsid w:val="001026A0"/>
    <w:rsid w:val="00102E3A"/>
    <w:rsid w:val="0010719F"/>
    <w:rsid w:val="00110045"/>
    <w:rsid w:val="0011066D"/>
    <w:rsid w:val="001124C5"/>
    <w:rsid w:val="001124D0"/>
    <w:rsid w:val="0011269B"/>
    <w:rsid w:val="001142B0"/>
    <w:rsid w:val="00114517"/>
    <w:rsid w:val="00114D82"/>
    <w:rsid w:val="0011570E"/>
    <w:rsid w:val="0011624D"/>
    <w:rsid w:val="001172EC"/>
    <w:rsid w:val="00117D2C"/>
    <w:rsid w:val="00121CCA"/>
    <w:rsid w:val="00121F64"/>
    <w:rsid w:val="00122EF1"/>
    <w:rsid w:val="00124BDD"/>
    <w:rsid w:val="00126031"/>
    <w:rsid w:val="001264B9"/>
    <w:rsid w:val="0013021F"/>
    <w:rsid w:val="00131590"/>
    <w:rsid w:val="00133116"/>
    <w:rsid w:val="0013533C"/>
    <w:rsid w:val="00135939"/>
    <w:rsid w:val="00136466"/>
    <w:rsid w:val="00136B57"/>
    <w:rsid w:val="00137A40"/>
    <w:rsid w:val="0014090C"/>
    <w:rsid w:val="00142776"/>
    <w:rsid w:val="001430BD"/>
    <w:rsid w:val="00143BF4"/>
    <w:rsid w:val="00144EA9"/>
    <w:rsid w:val="001450D3"/>
    <w:rsid w:val="001468EB"/>
    <w:rsid w:val="00146BD3"/>
    <w:rsid w:val="00147045"/>
    <w:rsid w:val="00150661"/>
    <w:rsid w:val="00150C09"/>
    <w:rsid w:val="00152645"/>
    <w:rsid w:val="00152EDC"/>
    <w:rsid w:val="00153E13"/>
    <w:rsid w:val="00153F1D"/>
    <w:rsid w:val="001554C4"/>
    <w:rsid w:val="00156D50"/>
    <w:rsid w:val="00156DDE"/>
    <w:rsid w:val="00157B64"/>
    <w:rsid w:val="00157BA3"/>
    <w:rsid w:val="00161C4D"/>
    <w:rsid w:val="00163510"/>
    <w:rsid w:val="00163AC1"/>
    <w:rsid w:val="00163BCF"/>
    <w:rsid w:val="001656DC"/>
    <w:rsid w:val="001657CC"/>
    <w:rsid w:val="0016625E"/>
    <w:rsid w:val="00170631"/>
    <w:rsid w:val="00170B0B"/>
    <w:rsid w:val="001713AA"/>
    <w:rsid w:val="00171651"/>
    <w:rsid w:val="001718B0"/>
    <w:rsid w:val="00171D8E"/>
    <w:rsid w:val="00171E1C"/>
    <w:rsid w:val="00172F60"/>
    <w:rsid w:val="00175167"/>
    <w:rsid w:val="001765AA"/>
    <w:rsid w:val="00176E57"/>
    <w:rsid w:val="00176FC9"/>
    <w:rsid w:val="001818F3"/>
    <w:rsid w:val="001820DB"/>
    <w:rsid w:val="001844B4"/>
    <w:rsid w:val="00184C67"/>
    <w:rsid w:val="00186639"/>
    <w:rsid w:val="00187DAA"/>
    <w:rsid w:val="00190FDE"/>
    <w:rsid w:val="00191893"/>
    <w:rsid w:val="00191EF8"/>
    <w:rsid w:val="00192645"/>
    <w:rsid w:val="00192FEE"/>
    <w:rsid w:val="00193E05"/>
    <w:rsid w:val="00194A6D"/>
    <w:rsid w:val="001951BC"/>
    <w:rsid w:val="00195DE5"/>
    <w:rsid w:val="001962C7"/>
    <w:rsid w:val="00196838"/>
    <w:rsid w:val="00197243"/>
    <w:rsid w:val="00197AC9"/>
    <w:rsid w:val="001A2AED"/>
    <w:rsid w:val="001A369D"/>
    <w:rsid w:val="001A52C4"/>
    <w:rsid w:val="001B09DC"/>
    <w:rsid w:val="001B1100"/>
    <w:rsid w:val="001B2738"/>
    <w:rsid w:val="001B40F0"/>
    <w:rsid w:val="001B4F52"/>
    <w:rsid w:val="001B4FAB"/>
    <w:rsid w:val="001B516E"/>
    <w:rsid w:val="001B5224"/>
    <w:rsid w:val="001B5280"/>
    <w:rsid w:val="001B616D"/>
    <w:rsid w:val="001B6859"/>
    <w:rsid w:val="001B723E"/>
    <w:rsid w:val="001B7A91"/>
    <w:rsid w:val="001B7C9B"/>
    <w:rsid w:val="001B7FDE"/>
    <w:rsid w:val="001C179F"/>
    <w:rsid w:val="001C2A1B"/>
    <w:rsid w:val="001C34AA"/>
    <w:rsid w:val="001C36EC"/>
    <w:rsid w:val="001C47C3"/>
    <w:rsid w:val="001C7C49"/>
    <w:rsid w:val="001D03BD"/>
    <w:rsid w:val="001D04B1"/>
    <w:rsid w:val="001D0571"/>
    <w:rsid w:val="001D0F45"/>
    <w:rsid w:val="001D2299"/>
    <w:rsid w:val="001D3BC5"/>
    <w:rsid w:val="001D40B5"/>
    <w:rsid w:val="001D4ABC"/>
    <w:rsid w:val="001D752F"/>
    <w:rsid w:val="001E07DA"/>
    <w:rsid w:val="001E10D7"/>
    <w:rsid w:val="001E11BD"/>
    <w:rsid w:val="001E185B"/>
    <w:rsid w:val="001E27D5"/>
    <w:rsid w:val="001E2851"/>
    <w:rsid w:val="001E4046"/>
    <w:rsid w:val="001E412B"/>
    <w:rsid w:val="001E4597"/>
    <w:rsid w:val="001E5D1E"/>
    <w:rsid w:val="001E5E33"/>
    <w:rsid w:val="001E6411"/>
    <w:rsid w:val="001E6487"/>
    <w:rsid w:val="001E6CD0"/>
    <w:rsid w:val="001F098A"/>
    <w:rsid w:val="001F18D1"/>
    <w:rsid w:val="001F1C09"/>
    <w:rsid w:val="001F23FC"/>
    <w:rsid w:val="001F497D"/>
    <w:rsid w:val="001F4A07"/>
    <w:rsid w:val="001F51A7"/>
    <w:rsid w:val="001F5A9F"/>
    <w:rsid w:val="001F6580"/>
    <w:rsid w:val="001F7A8A"/>
    <w:rsid w:val="001F7B54"/>
    <w:rsid w:val="001F7F8D"/>
    <w:rsid w:val="0020053F"/>
    <w:rsid w:val="00200BD2"/>
    <w:rsid w:val="00201B98"/>
    <w:rsid w:val="00201E29"/>
    <w:rsid w:val="00202A27"/>
    <w:rsid w:val="00202CBD"/>
    <w:rsid w:val="002050BF"/>
    <w:rsid w:val="00207113"/>
    <w:rsid w:val="00207BBC"/>
    <w:rsid w:val="00210F69"/>
    <w:rsid w:val="00210FB5"/>
    <w:rsid w:val="0021238D"/>
    <w:rsid w:val="00212774"/>
    <w:rsid w:val="0021286D"/>
    <w:rsid w:val="00214EEA"/>
    <w:rsid w:val="002151FC"/>
    <w:rsid w:val="0021526D"/>
    <w:rsid w:val="002158AB"/>
    <w:rsid w:val="00216EB7"/>
    <w:rsid w:val="002170A4"/>
    <w:rsid w:val="00217774"/>
    <w:rsid w:val="002178EC"/>
    <w:rsid w:val="00217FCB"/>
    <w:rsid w:val="00220903"/>
    <w:rsid w:val="002227BF"/>
    <w:rsid w:val="002238A3"/>
    <w:rsid w:val="00223C62"/>
    <w:rsid w:val="00224ACD"/>
    <w:rsid w:val="002255A5"/>
    <w:rsid w:val="00225B7C"/>
    <w:rsid w:val="00226EC4"/>
    <w:rsid w:val="00227114"/>
    <w:rsid w:val="00230671"/>
    <w:rsid w:val="002315E6"/>
    <w:rsid w:val="0023261D"/>
    <w:rsid w:val="00232936"/>
    <w:rsid w:val="00232F8A"/>
    <w:rsid w:val="00233D41"/>
    <w:rsid w:val="00233DD5"/>
    <w:rsid w:val="00233F3D"/>
    <w:rsid w:val="002346A7"/>
    <w:rsid w:val="00236C75"/>
    <w:rsid w:val="00236E6E"/>
    <w:rsid w:val="002370C5"/>
    <w:rsid w:val="002377A5"/>
    <w:rsid w:val="0024110F"/>
    <w:rsid w:val="00241688"/>
    <w:rsid w:val="00241ABB"/>
    <w:rsid w:val="00241B97"/>
    <w:rsid w:val="00243A9E"/>
    <w:rsid w:val="00243D92"/>
    <w:rsid w:val="002449A7"/>
    <w:rsid w:val="00245F98"/>
    <w:rsid w:val="00246FCC"/>
    <w:rsid w:val="002479C5"/>
    <w:rsid w:val="002500FC"/>
    <w:rsid w:val="00250A3C"/>
    <w:rsid w:val="0025153C"/>
    <w:rsid w:val="002516CC"/>
    <w:rsid w:val="002527CC"/>
    <w:rsid w:val="00253534"/>
    <w:rsid w:val="00253A1E"/>
    <w:rsid w:val="00253CD1"/>
    <w:rsid w:val="00254099"/>
    <w:rsid w:val="00254779"/>
    <w:rsid w:val="00254CBE"/>
    <w:rsid w:val="00255130"/>
    <w:rsid w:val="002552BF"/>
    <w:rsid w:val="002564B5"/>
    <w:rsid w:val="00256CF3"/>
    <w:rsid w:val="00256DA3"/>
    <w:rsid w:val="00257517"/>
    <w:rsid w:val="0026087A"/>
    <w:rsid w:val="00260DBE"/>
    <w:rsid w:val="00260FC1"/>
    <w:rsid w:val="0026150B"/>
    <w:rsid w:val="0026152B"/>
    <w:rsid w:val="00265264"/>
    <w:rsid w:val="00267290"/>
    <w:rsid w:val="0026735A"/>
    <w:rsid w:val="002675EE"/>
    <w:rsid w:val="0026790F"/>
    <w:rsid w:val="00267F4B"/>
    <w:rsid w:val="00270937"/>
    <w:rsid w:val="0027114D"/>
    <w:rsid w:val="00271575"/>
    <w:rsid w:val="002738D7"/>
    <w:rsid w:val="002750F6"/>
    <w:rsid w:val="00275FE1"/>
    <w:rsid w:val="00276224"/>
    <w:rsid w:val="0027643C"/>
    <w:rsid w:val="002779E7"/>
    <w:rsid w:val="00277E13"/>
    <w:rsid w:val="00277F45"/>
    <w:rsid w:val="00280785"/>
    <w:rsid w:val="00280880"/>
    <w:rsid w:val="00280908"/>
    <w:rsid w:val="00280C7E"/>
    <w:rsid w:val="00280EA9"/>
    <w:rsid w:val="00281428"/>
    <w:rsid w:val="00281B77"/>
    <w:rsid w:val="002825A5"/>
    <w:rsid w:val="0028279C"/>
    <w:rsid w:val="002854F6"/>
    <w:rsid w:val="0028559D"/>
    <w:rsid w:val="00285E79"/>
    <w:rsid w:val="002867D6"/>
    <w:rsid w:val="00286C66"/>
    <w:rsid w:val="00287630"/>
    <w:rsid w:val="00291E50"/>
    <w:rsid w:val="00292B17"/>
    <w:rsid w:val="0029351C"/>
    <w:rsid w:val="00293993"/>
    <w:rsid w:val="0029455F"/>
    <w:rsid w:val="00294752"/>
    <w:rsid w:val="00295173"/>
    <w:rsid w:val="0029535F"/>
    <w:rsid w:val="002968AE"/>
    <w:rsid w:val="00297B32"/>
    <w:rsid w:val="002A0336"/>
    <w:rsid w:val="002A0361"/>
    <w:rsid w:val="002A0632"/>
    <w:rsid w:val="002A1746"/>
    <w:rsid w:val="002A1779"/>
    <w:rsid w:val="002A5D08"/>
    <w:rsid w:val="002A6A02"/>
    <w:rsid w:val="002B03C8"/>
    <w:rsid w:val="002B157C"/>
    <w:rsid w:val="002B2424"/>
    <w:rsid w:val="002B2D89"/>
    <w:rsid w:val="002B4E22"/>
    <w:rsid w:val="002B6224"/>
    <w:rsid w:val="002B6E78"/>
    <w:rsid w:val="002C0B1A"/>
    <w:rsid w:val="002C1077"/>
    <w:rsid w:val="002C1A8A"/>
    <w:rsid w:val="002C2CF6"/>
    <w:rsid w:val="002C43B8"/>
    <w:rsid w:val="002C4727"/>
    <w:rsid w:val="002C4A04"/>
    <w:rsid w:val="002C4ADE"/>
    <w:rsid w:val="002C76B2"/>
    <w:rsid w:val="002C7765"/>
    <w:rsid w:val="002C7F8B"/>
    <w:rsid w:val="002C7F97"/>
    <w:rsid w:val="002D1881"/>
    <w:rsid w:val="002D26A3"/>
    <w:rsid w:val="002D32FA"/>
    <w:rsid w:val="002D51C5"/>
    <w:rsid w:val="002D6214"/>
    <w:rsid w:val="002D650D"/>
    <w:rsid w:val="002D6629"/>
    <w:rsid w:val="002E0146"/>
    <w:rsid w:val="002E0FFC"/>
    <w:rsid w:val="002E2A0B"/>
    <w:rsid w:val="002E2EDB"/>
    <w:rsid w:val="002E39D5"/>
    <w:rsid w:val="002E53C6"/>
    <w:rsid w:val="002E57CE"/>
    <w:rsid w:val="002E5BD3"/>
    <w:rsid w:val="002E7C68"/>
    <w:rsid w:val="002F07FC"/>
    <w:rsid w:val="002F0D4F"/>
    <w:rsid w:val="002F1241"/>
    <w:rsid w:val="002F1697"/>
    <w:rsid w:val="002F268B"/>
    <w:rsid w:val="002F32F0"/>
    <w:rsid w:val="002F4D70"/>
    <w:rsid w:val="002F5F81"/>
    <w:rsid w:val="002F61C4"/>
    <w:rsid w:val="002F636D"/>
    <w:rsid w:val="002F7224"/>
    <w:rsid w:val="002F746C"/>
    <w:rsid w:val="002F77E1"/>
    <w:rsid w:val="00300240"/>
    <w:rsid w:val="00301262"/>
    <w:rsid w:val="00301338"/>
    <w:rsid w:val="00301C72"/>
    <w:rsid w:val="0030235B"/>
    <w:rsid w:val="003025C8"/>
    <w:rsid w:val="00303494"/>
    <w:rsid w:val="0030499C"/>
    <w:rsid w:val="00304D15"/>
    <w:rsid w:val="0030516E"/>
    <w:rsid w:val="00306F48"/>
    <w:rsid w:val="00307059"/>
    <w:rsid w:val="003073D7"/>
    <w:rsid w:val="00307F9D"/>
    <w:rsid w:val="00310BDA"/>
    <w:rsid w:val="00311DED"/>
    <w:rsid w:val="003163C2"/>
    <w:rsid w:val="00316495"/>
    <w:rsid w:val="003176B4"/>
    <w:rsid w:val="00321AD6"/>
    <w:rsid w:val="00322582"/>
    <w:rsid w:val="00325F30"/>
    <w:rsid w:val="0032628F"/>
    <w:rsid w:val="00326426"/>
    <w:rsid w:val="00326E3F"/>
    <w:rsid w:val="003278A3"/>
    <w:rsid w:val="003304B5"/>
    <w:rsid w:val="00330F70"/>
    <w:rsid w:val="003314BD"/>
    <w:rsid w:val="00332399"/>
    <w:rsid w:val="00333A46"/>
    <w:rsid w:val="00333BAA"/>
    <w:rsid w:val="0033665F"/>
    <w:rsid w:val="00337730"/>
    <w:rsid w:val="0033785C"/>
    <w:rsid w:val="00337B64"/>
    <w:rsid w:val="00337BEB"/>
    <w:rsid w:val="003401BD"/>
    <w:rsid w:val="00340D60"/>
    <w:rsid w:val="003454D7"/>
    <w:rsid w:val="00345ED3"/>
    <w:rsid w:val="00347F6D"/>
    <w:rsid w:val="00351F43"/>
    <w:rsid w:val="00352772"/>
    <w:rsid w:val="00353EF3"/>
    <w:rsid w:val="00354961"/>
    <w:rsid w:val="00355CC1"/>
    <w:rsid w:val="00355E85"/>
    <w:rsid w:val="00356B6E"/>
    <w:rsid w:val="00356D7B"/>
    <w:rsid w:val="00361FAA"/>
    <w:rsid w:val="0036332E"/>
    <w:rsid w:val="00363EBA"/>
    <w:rsid w:val="0036451C"/>
    <w:rsid w:val="00366A28"/>
    <w:rsid w:val="0037013A"/>
    <w:rsid w:val="00372FD5"/>
    <w:rsid w:val="00373A81"/>
    <w:rsid w:val="00373D72"/>
    <w:rsid w:val="00374FFA"/>
    <w:rsid w:val="00375F20"/>
    <w:rsid w:val="003764BD"/>
    <w:rsid w:val="00376578"/>
    <w:rsid w:val="0037733E"/>
    <w:rsid w:val="003835D9"/>
    <w:rsid w:val="00383767"/>
    <w:rsid w:val="00383894"/>
    <w:rsid w:val="003840B9"/>
    <w:rsid w:val="00384868"/>
    <w:rsid w:val="00384E1F"/>
    <w:rsid w:val="00386127"/>
    <w:rsid w:val="00386DD3"/>
    <w:rsid w:val="00386E33"/>
    <w:rsid w:val="00387249"/>
    <w:rsid w:val="003876B7"/>
    <w:rsid w:val="0039227C"/>
    <w:rsid w:val="00394912"/>
    <w:rsid w:val="00394A1B"/>
    <w:rsid w:val="00396F21"/>
    <w:rsid w:val="003977E2"/>
    <w:rsid w:val="00397821"/>
    <w:rsid w:val="003A11CD"/>
    <w:rsid w:val="003A1B38"/>
    <w:rsid w:val="003A2181"/>
    <w:rsid w:val="003A3890"/>
    <w:rsid w:val="003A3DCB"/>
    <w:rsid w:val="003A4D0D"/>
    <w:rsid w:val="003A4F97"/>
    <w:rsid w:val="003A5730"/>
    <w:rsid w:val="003A5BA5"/>
    <w:rsid w:val="003A5FD5"/>
    <w:rsid w:val="003A76F1"/>
    <w:rsid w:val="003B01A1"/>
    <w:rsid w:val="003B0283"/>
    <w:rsid w:val="003B10B7"/>
    <w:rsid w:val="003B12E4"/>
    <w:rsid w:val="003B184F"/>
    <w:rsid w:val="003B1DAC"/>
    <w:rsid w:val="003B2A83"/>
    <w:rsid w:val="003B31A9"/>
    <w:rsid w:val="003B447B"/>
    <w:rsid w:val="003B57B8"/>
    <w:rsid w:val="003B6587"/>
    <w:rsid w:val="003B6DF2"/>
    <w:rsid w:val="003B7D22"/>
    <w:rsid w:val="003C005A"/>
    <w:rsid w:val="003C09FB"/>
    <w:rsid w:val="003C0DEF"/>
    <w:rsid w:val="003C10B0"/>
    <w:rsid w:val="003C10FC"/>
    <w:rsid w:val="003C1B03"/>
    <w:rsid w:val="003C1D62"/>
    <w:rsid w:val="003C294C"/>
    <w:rsid w:val="003C31BC"/>
    <w:rsid w:val="003C362B"/>
    <w:rsid w:val="003C440F"/>
    <w:rsid w:val="003C4416"/>
    <w:rsid w:val="003C4AD2"/>
    <w:rsid w:val="003C4BCA"/>
    <w:rsid w:val="003C56F4"/>
    <w:rsid w:val="003C65FC"/>
    <w:rsid w:val="003D09D1"/>
    <w:rsid w:val="003D09F7"/>
    <w:rsid w:val="003D1383"/>
    <w:rsid w:val="003D23F6"/>
    <w:rsid w:val="003D479E"/>
    <w:rsid w:val="003D4D50"/>
    <w:rsid w:val="003D5EA3"/>
    <w:rsid w:val="003D6196"/>
    <w:rsid w:val="003D6D95"/>
    <w:rsid w:val="003D7459"/>
    <w:rsid w:val="003D7ADC"/>
    <w:rsid w:val="003E1726"/>
    <w:rsid w:val="003E3253"/>
    <w:rsid w:val="003E74EB"/>
    <w:rsid w:val="003F06AB"/>
    <w:rsid w:val="003F1745"/>
    <w:rsid w:val="003F1A16"/>
    <w:rsid w:val="003F3324"/>
    <w:rsid w:val="003F352D"/>
    <w:rsid w:val="003F44F7"/>
    <w:rsid w:val="003F4A15"/>
    <w:rsid w:val="003F4B87"/>
    <w:rsid w:val="003F50F2"/>
    <w:rsid w:val="003F57D1"/>
    <w:rsid w:val="003F6533"/>
    <w:rsid w:val="003F6CB9"/>
    <w:rsid w:val="00401DAF"/>
    <w:rsid w:val="00402B7D"/>
    <w:rsid w:val="004033EB"/>
    <w:rsid w:val="00404A04"/>
    <w:rsid w:val="0040537A"/>
    <w:rsid w:val="0040619D"/>
    <w:rsid w:val="004062EF"/>
    <w:rsid w:val="00406FEF"/>
    <w:rsid w:val="00410717"/>
    <w:rsid w:val="004111E6"/>
    <w:rsid w:val="0041140B"/>
    <w:rsid w:val="00411E78"/>
    <w:rsid w:val="00411F68"/>
    <w:rsid w:val="00412095"/>
    <w:rsid w:val="004133B2"/>
    <w:rsid w:val="00414943"/>
    <w:rsid w:val="0041500E"/>
    <w:rsid w:val="00415130"/>
    <w:rsid w:val="00415581"/>
    <w:rsid w:val="00415ADB"/>
    <w:rsid w:val="004165E8"/>
    <w:rsid w:val="00416C01"/>
    <w:rsid w:val="00420629"/>
    <w:rsid w:val="004207DA"/>
    <w:rsid w:val="00420ABD"/>
    <w:rsid w:val="00422541"/>
    <w:rsid w:val="004227B3"/>
    <w:rsid w:val="00422EDC"/>
    <w:rsid w:val="00423C62"/>
    <w:rsid w:val="00424C49"/>
    <w:rsid w:val="00425CA5"/>
    <w:rsid w:val="00426488"/>
    <w:rsid w:val="004269B9"/>
    <w:rsid w:val="004303B3"/>
    <w:rsid w:val="00430C8B"/>
    <w:rsid w:val="00431948"/>
    <w:rsid w:val="00431AC7"/>
    <w:rsid w:val="00431B98"/>
    <w:rsid w:val="00432641"/>
    <w:rsid w:val="00434E80"/>
    <w:rsid w:val="0043518A"/>
    <w:rsid w:val="00436466"/>
    <w:rsid w:val="0044008B"/>
    <w:rsid w:val="004400CA"/>
    <w:rsid w:val="00440784"/>
    <w:rsid w:val="00441391"/>
    <w:rsid w:val="00442603"/>
    <w:rsid w:val="00442DF1"/>
    <w:rsid w:val="0044320E"/>
    <w:rsid w:val="0044330C"/>
    <w:rsid w:val="00445E77"/>
    <w:rsid w:val="004468ED"/>
    <w:rsid w:val="004469EA"/>
    <w:rsid w:val="00450D94"/>
    <w:rsid w:val="00452A7E"/>
    <w:rsid w:val="00455B82"/>
    <w:rsid w:val="00457797"/>
    <w:rsid w:val="00457A04"/>
    <w:rsid w:val="00460455"/>
    <w:rsid w:val="0046321C"/>
    <w:rsid w:val="0046321E"/>
    <w:rsid w:val="0046371A"/>
    <w:rsid w:val="00463E24"/>
    <w:rsid w:val="004649E8"/>
    <w:rsid w:val="00464EAC"/>
    <w:rsid w:val="004650F5"/>
    <w:rsid w:val="00465930"/>
    <w:rsid w:val="00465AD9"/>
    <w:rsid w:val="00465F34"/>
    <w:rsid w:val="0046722B"/>
    <w:rsid w:val="00470F74"/>
    <w:rsid w:val="004718E1"/>
    <w:rsid w:val="00471BF9"/>
    <w:rsid w:val="00473CFA"/>
    <w:rsid w:val="00473EE4"/>
    <w:rsid w:val="004747FB"/>
    <w:rsid w:val="0047482D"/>
    <w:rsid w:val="004749E2"/>
    <w:rsid w:val="00475115"/>
    <w:rsid w:val="00476EC3"/>
    <w:rsid w:val="00480FEE"/>
    <w:rsid w:val="00481078"/>
    <w:rsid w:val="00482172"/>
    <w:rsid w:val="004823CD"/>
    <w:rsid w:val="00482569"/>
    <w:rsid w:val="00482643"/>
    <w:rsid w:val="00484433"/>
    <w:rsid w:val="00485EAD"/>
    <w:rsid w:val="00486030"/>
    <w:rsid w:val="0048773A"/>
    <w:rsid w:val="00490650"/>
    <w:rsid w:val="00490FAF"/>
    <w:rsid w:val="0049126A"/>
    <w:rsid w:val="00491CA9"/>
    <w:rsid w:val="0049318B"/>
    <w:rsid w:val="004935B2"/>
    <w:rsid w:val="00493723"/>
    <w:rsid w:val="004940E8"/>
    <w:rsid w:val="004953FB"/>
    <w:rsid w:val="004957CB"/>
    <w:rsid w:val="00495CA7"/>
    <w:rsid w:val="00496A2C"/>
    <w:rsid w:val="00496CDD"/>
    <w:rsid w:val="004A0742"/>
    <w:rsid w:val="004A15F1"/>
    <w:rsid w:val="004A17A2"/>
    <w:rsid w:val="004A25B4"/>
    <w:rsid w:val="004A3543"/>
    <w:rsid w:val="004A39FB"/>
    <w:rsid w:val="004A5568"/>
    <w:rsid w:val="004A6CAB"/>
    <w:rsid w:val="004B040B"/>
    <w:rsid w:val="004B0998"/>
    <w:rsid w:val="004B4552"/>
    <w:rsid w:val="004B534B"/>
    <w:rsid w:val="004B55BF"/>
    <w:rsid w:val="004B65A2"/>
    <w:rsid w:val="004B68A9"/>
    <w:rsid w:val="004B729F"/>
    <w:rsid w:val="004B73CF"/>
    <w:rsid w:val="004B7B84"/>
    <w:rsid w:val="004C0100"/>
    <w:rsid w:val="004C0191"/>
    <w:rsid w:val="004C0AB3"/>
    <w:rsid w:val="004C162A"/>
    <w:rsid w:val="004C1C72"/>
    <w:rsid w:val="004C24C3"/>
    <w:rsid w:val="004C30A9"/>
    <w:rsid w:val="004C3DFC"/>
    <w:rsid w:val="004C4138"/>
    <w:rsid w:val="004C43FE"/>
    <w:rsid w:val="004C4859"/>
    <w:rsid w:val="004C4E59"/>
    <w:rsid w:val="004C50E0"/>
    <w:rsid w:val="004C542C"/>
    <w:rsid w:val="004C62B2"/>
    <w:rsid w:val="004C6DB4"/>
    <w:rsid w:val="004C6E12"/>
    <w:rsid w:val="004C70CF"/>
    <w:rsid w:val="004C7719"/>
    <w:rsid w:val="004C7A59"/>
    <w:rsid w:val="004D3AE8"/>
    <w:rsid w:val="004D3EE4"/>
    <w:rsid w:val="004D459A"/>
    <w:rsid w:val="004D4656"/>
    <w:rsid w:val="004D5492"/>
    <w:rsid w:val="004D57CD"/>
    <w:rsid w:val="004D58AC"/>
    <w:rsid w:val="004D6017"/>
    <w:rsid w:val="004E275B"/>
    <w:rsid w:val="004E2AA4"/>
    <w:rsid w:val="004E2C11"/>
    <w:rsid w:val="004E3267"/>
    <w:rsid w:val="004E3343"/>
    <w:rsid w:val="004E34C3"/>
    <w:rsid w:val="004E369B"/>
    <w:rsid w:val="004E44DD"/>
    <w:rsid w:val="004E4885"/>
    <w:rsid w:val="004E4A41"/>
    <w:rsid w:val="004E5128"/>
    <w:rsid w:val="004E5403"/>
    <w:rsid w:val="004E64C8"/>
    <w:rsid w:val="004E66CD"/>
    <w:rsid w:val="004E6C6B"/>
    <w:rsid w:val="004E7012"/>
    <w:rsid w:val="004F04D3"/>
    <w:rsid w:val="004F0DF5"/>
    <w:rsid w:val="004F3C26"/>
    <w:rsid w:val="004F4191"/>
    <w:rsid w:val="004F575A"/>
    <w:rsid w:val="004F618C"/>
    <w:rsid w:val="004F6BE1"/>
    <w:rsid w:val="004F7DCB"/>
    <w:rsid w:val="00500BF0"/>
    <w:rsid w:val="00500E16"/>
    <w:rsid w:val="00502802"/>
    <w:rsid w:val="00502A82"/>
    <w:rsid w:val="00502B8D"/>
    <w:rsid w:val="005033DD"/>
    <w:rsid w:val="00504F6F"/>
    <w:rsid w:val="005055AD"/>
    <w:rsid w:val="00505659"/>
    <w:rsid w:val="0050583B"/>
    <w:rsid w:val="00505CB0"/>
    <w:rsid w:val="00510FC3"/>
    <w:rsid w:val="005114D8"/>
    <w:rsid w:val="00513EF3"/>
    <w:rsid w:val="005203C9"/>
    <w:rsid w:val="005207A5"/>
    <w:rsid w:val="00521130"/>
    <w:rsid w:val="0052194A"/>
    <w:rsid w:val="005219D6"/>
    <w:rsid w:val="00522208"/>
    <w:rsid w:val="0052230E"/>
    <w:rsid w:val="00523ED6"/>
    <w:rsid w:val="0052580A"/>
    <w:rsid w:val="005260B7"/>
    <w:rsid w:val="0052672A"/>
    <w:rsid w:val="00527433"/>
    <w:rsid w:val="00527472"/>
    <w:rsid w:val="0052762E"/>
    <w:rsid w:val="00527D60"/>
    <w:rsid w:val="005311A6"/>
    <w:rsid w:val="00531788"/>
    <w:rsid w:val="00531F79"/>
    <w:rsid w:val="00532777"/>
    <w:rsid w:val="0053375E"/>
    <w:rsid w:val="00535860"/>
    <w:rsid w:val="00536ADC"/>
    <w:rsid w:val="005370D2"/>
    <w:rsid w:val="005373E1"/>
    <w:rsid w:val="005377C1"/>
    <w:rsid w:val="00540DFD"/>
    <w:rsid w:val="0054208C"/>
    <w:rsid w:val="0054292B"/>
    <w:rsid w:val="00542BB2"/>
    <w:rsid w:val="00543059"/>
    <w:rsid w:val="005430DF"/>
    <w:rsid w:val="00545DC6"/>
    <w:rsid w:val="005467FE"/>
    <w:rsid w:val="0054776D"/>
    <w:rsid w:val="005512F1"/>
    <w:rsid w:val="0055250A"/>
    <w:rsid w:val="00553EEF"/>
    <w:rsid w:val="005541BB"/>
    <w:rsid w:val="00555138"/>
    <w:rsid w:val="00555C09"/>
    <w:rsid w:val="00557474"/>
    <w:rsid w:val="00557F7A"/>
    <w:rsid w:val="00562468"/>
    <w:rsid w:val="00562E03"/>
    <w:rsid w:val="00562FD1"/>
    <w:rsid w:val="00563D61"/>
    <w:rsid w:val="005640F7"/>
    <w:rsid w:val="005719FE"/>
    <w:rsid w:val="00572BEF"/>
    <w:rsid w:val="00573588"/>
    <w:rsid w:val="0057384A"/>
    <w:rsid w:val="00573DAD"/>
    <w:rsid w:val="00573EE7"/>
    <w:rsid w:val="005766D7"/>
    <w:rsid w:val="005768EC"/>
    <w:rsid w:val="00577343"/>
    <w:rsid w:val="005775B2"/>
    <w:rsid w:val="00580233"/>
    <w:rsid w:val="00581C76"/>
    <w:rsid w:val="005828F0"/>
    <w:rsid w:val="00583851"/>
    <w:rsid w:val="00583912"/>
    <w:rsid w:val="00583A6E"/>
    <w:rsid w:val="00583DA4"/>
    <w:rsid w:val="00584EEF"/>
    <w:rsid w:val="00584EF4"/>
    <w:rsid w:val="00585923"/>
    <w:rsid w:val="00586559"/>
    <w:rsid w:val="005875F6"/>
    <w:rsid w:val="00587C08"/>
    <w:rsid w:val="00587C28"/>
    <w:rsid w:val="005919BF"/>
    <w:rsid w:val="00591D5B"/>
    <w:rsid w:val="00593CBE"/>
    <w:rsid w:val="005959D1"/>
    <w:rsid w:val="00596A33"/>
    <w:rsid w:val="00596A39"/>
    <w:rsid w:val="00597EE0"/>
    <w:rsid w:val="005A3CBE"/>
    <w:rsid w:val="005A3EC6"/>
    <w:rsid w:val="005A415D"/>
    <w:rsid w:val="005A4980"/>
    <w:rsid w:val="005A4A99"/>
    <w:rsid w:val="005A511E"/>
    <w:rsid w:val="005A6F15"/>
    <w:rsid w:val="005A7FB2"/>
    <w:rsid w:val="005B1010"/>
    <w:rsid w:val="005B14A9"/>
    <w:rsid w:val="005B1562"/>
    <w:rsid w:val="005B2ABB"/>
    <w:rsid w:val="005B2EC9"/>
    <w:rsid w:val="005B3280"/>
    <w:rsid w:val="005B3A5F"/>
    <w:rsid w:val="005B3D09"/>
    <w:rsid w:val="005B42B3"/>
    <w:rsid w:val="005B48B2"/>
    <w:rsid w:val="005B4987"/>
    <w:rsid w:val="005B75F3"/>
    <w:rsid w:val="005C098A"/>
    <w:rsid w:val="005C24E7"/>
    <w:rsid w:val="005C3243"/>
    <w:rsid w:val="005C3C6F"/>
    <w:rsid w:val="005C4081"/>
    <w:rsid w:val="005C51BA"/>
    <w:rsid w:val="005C5CBD"/>
    <w:rsid w:val="005C61CB"/>
    <w:rsid w:val="005C6E9C"/>
    <w:rsid w:val="005C71A2"/>
    <w:rsid w:val="005C727E"/>
    <w:rsid w:val="005C7729"/>
    <w:rsid w:val="005C7FF9"/>
    <w:rsid w:val="005D052D"/>
    <w:rsid w:val="005D0FEA"/>
    <w:rsid w:val="005D1113"/>
    <w:rsid w:val="005D1313"/>
    <w:rsid w:val="005D1F9A"/>
    <w:rsid w:val="005D306D"/>
    <w:rsid w:val="005D4A93"/>
    <w:rsid w:val="005D5050"/>
    <w:rsid w:val="005D50AF"/>
    <w:rsid w:val="005D5A27"/>
    <w:rsid w:val="005D75CF"/>
    <w:rsid w:val="005D7E7C"/>
    <w:rsid w:val="005E0B51"/>
    <w:rsid w:val="005E176E"/>
    <w:rsid w:val="005E2421"/>
    <w:rsid w:val="005E2C10"/>
    <w:rsid w:val="005E3906"/>
    <w:rsid w:val="005E58E3"/>
    <w:rsid w:val="005F010C"/>
    <w:rsid w:val="005F11EA"/>
    <w:rsid w:val="005F1233"/>
    <w:rsid w:val="005F13F4"/>
    <w:rsid w:val="005F1AA4"/>
    <w:rsid w:val="005F2A89"/>
    <w:rsid w:val="005F35E7"/>
    <w:rsid w:val="005F3EEA"/>
    <w:rsid w:val="005F4252"/>
    <w:rsid w:val="005F46D4"/>
    <w:rsid w:val="005F4831"/>
    <w:rsid w:val="005F4DFA"/>
    <w:rsid w:val="005F56CF"/>
    <w:rsid w:val="005F5BB8"/>
    <w:rsid w:val="005F62BA"/>
    <w:rsid w:val="005F6478"/>
    <w:rsid w:val="005F65B8"/>
    <w:rsid w:val="005F69D6"/>
    <w:rsid w:val="005F70AB"/>
    <w:rsid w:val="005F7D18"/>
    <w:rsid w:val="00600ED7"/>
    <w:rsid w:val="00603994"/>
    <w:rsid w:val="00603E95"/>
    <w:rsid w:val="00603FC9"/>
    <w:rsid w:val="00606685"/>
    <w:rsid w:val="00606D3C"/>
    <w:rsid w:val="00610675"/>
    <w:rsid w:val="0061093D"/>
    <w:rsid w:val="00611EC8"/>
    <w:rsid w:val="00614549"/>
    <w:rsid w:val="006146AC"/>
    <w:rsid w:val="00615A9D"/>
    <w:rsid w:val="00615B65"/>
    <w:rsid w:val="00617974"/>
    <w:rsid w:val="00617D61"/>
    <w:rsid w:val="006206A5"/>
    <w:rsid w:val="00620A4A"/>
    <w:rsid w:val="0062186D"/>
    <w:rsid w:val="0062212D"/>
    <w:rsid w:val="00623234"/>
    <w:rsid w:val="00623FED"/>
    <w:rsid w:val="006259F6"/>
    <w:rsid w:val="00626DB2"/>
    <w:rsid w:val="00627B07"/>
    <w:rsid w:val="00627CCF"/>
    <w:rsid w:val="00627E29"/>
    <w:rsid w:val="00627E38"/>
    <w:rsid w:val="006306EC"/>
    <w:rsid w:val="00630A68"/>
    <w:rsid w:val="006313D2"/>
    <w:rsid w:val="0063268B"/>
    <w:rsid w:val="00632FA3"/>
    <w:rsid w:val="00634BEA"/>
    <w:rsid w:val="006352FE"/>
    <w:rsid w:val="00635896"/>
    <w:rsid w:val="0063674B"/>
    <w:rsid w:val="00636EFE"/>
    <w:rsid w:val="00637032"/>
    <w:rsid w:val="00637A21"/>
    <w:rsid w:val="006408D5"/>
    <w:rsid w:val="00640A04"/>
    <w:rsid w:val="006411DA"/>
    <w:rsid w:val="00641DC1"/>
    <w:rsid w:val="00641E07"/>
    <w:rsid w:val="00642C9E"/>
    <w:rsid w:val="00642DF8"/>
    <w:rsid w:val="00643681"/>
    <w:rsid w:val="00645527"/>
    <w:rsid w:val="00645564"/>
    <w:rsid w:val="00645B27"/>
    <w:rsid w:val="00646128"/>
    <w:rsid w:val="0064699B"/>
    <w:rsid w:val="00646B90"/>
    <w:rsid w:val="00647F84"/>
    <w:rsid w:val="00647F8D"/>
    <w:rsid w:val="006504A8"/>
    <w:rsid w:val="00651221"/>
    <w:rsid w:val="00653BBD"/>
    <w:rsid w:val="0065490B"/>
    <w:rsid w:val="00654C51"/>
    <w:rsid w:val="00655416"/>
    <w:rsid w:val="00656FF0"/>
    <w:rsid w:val="006571B0"/>
    <w:rsid w:val="006579EA"/>
    <w:rsid w:val="00660A36"/>
    <w:rsid w:val="00660AE3"/>
    <w:rsid w:val="006613DB"/>
    <w:rsid w:val="0066314B"/>
    <w:rsid w:val="00663A40"/>
    <w:rsid w:val="006642D4"/>
    <w:rsid w:val="00664E5F"/>
    <w:rsid w:val="00664FA7"/>
    <w:rsid w:val="00666A1B"/>
    <w:rsid w:val="00666BBB"/>
    <w:rsid w:val="00666C9D"/>
    <w:rsid w:val="006671C9"/>
    <w:rsid w:val="00667E0C"/>
    <w:rsid w:val="00671138"/>
    <w:rsid w:val="00671861"/>
    <w:rsid w:val="00672292"/>
    <w:rsid w:val="006730C4"/>
    <w:rsid w:val="00673244"/>
    <w:rsid w:val="006737C7"/>
    <w:rsid w:val="0067425F"/>
    <w:rsid w:val="00674C54"/>
    <w:rsid w:val="00675918"/>
    <w:rsid w:val="00676B57"/>
    <w:rsid w:val="00677049"/>
    <w:rsid w:val="00677CFE"/>
    <w:rsid w:val="00685059"/>
    <w:rsid w:val="00685C0C"/>
    <w:rsid w:val="00685D58"/>
    <w:rsid w:val="0068616C"/>
    <w:rsid w:val="006875B7"/>
    <w:rsid w:val="0069083A"/>
    <w:rsid w:val="00691915"/>
    <w:rsid w:val="00691F9D"/>
    <w:rsid w:val="0069412F"/>
    <w:rsid w:val="006944E0"/>
    <w:rsid w:val="00694CDC"/>
    <w:rsid w:val="006952B9"/>
    <w:rsid w:val="006963D6"/>
    <w:rsid w:val="006A04CC"/>
    <w:rsid w:val="006A08B7"/>
    <w:rsid w:val="006A0DF8"/>
    <w:rsid w:val="006A2994"/>
    <w:rsid w:val="006A2DF6"/>
    <w:rsid w:val="006A33E4"/>
    <w:rsid w:val="006A3E7A"/>
    <w:rsid w:val="006A51CE"/>
    <w:rsid w:val="006A52B9"/>
    <w:rsid w:val="006A595E"/>
    <w:rsid w:val="006A6857"/>
    <w:rsid w:val="006A6B6D"/>
    <w:rsid w:val="006B0480"/>
    <w:rsid w:val="006B120F"/>
    <w:rsid w:val="006B1694"/>
    <w:rsid w:val="006B16D2"/>
    <w:rsid w:val="006B3EA4"/>
    <w:rsid w:val="006B5A43"/>
    <w:rsid w:val="006C0129"/>
    <w:rsid w:val="006C045B"/>
    <w:rsid w:val="006C0A08"/>
    <w:rsid w:val="006C28D9"/>
    <w:rsid w:val="006C2D38"/>
    <w:rsid w:val="006C4328"/>
    <w:rsid w:val="006C52EC"/>
    <w:rsid w:val="006C76D9"/>
    <w:rsid w:val="006C7912"/>
    <w:rsid w:val="006D05E4"/>
    <w:rsid w:val="006D1879"/>
    <w:rsid w:val="006D18B3"/>
    <w:rsid w:val="006D1906"/>
    <w:rsid w:val="006D26D3"/>
    <w:rsid w:val="006D2969"/>
    <w:rsid w:val="006D3864"/>
    <w:rsid w:val="006D43BB"/>
    <w:rsid w:val="006D4ED7"/>
    <w:rsid w:val="006D6713"/>
    <w:rsid w:val="006D7334"/>
    <w:rsid w:val="006D78A6"/>
    <w:rsid w:val="006E035B"/>
    <w:rsid w:val="006E07EC"/>
    <w:rsid w:val="006E095A"/>
    <w:rsid w:val="006E0C80"/>
    <w:rsid w:val="006E0D65"/>
    <w:rsid w:val="006E0D99"/>
    <w:rsid w:val="006E2163"/>
    <w:rsid w:val="006E2E55"/>
    <w:rsid w:val="006E3C13"/>
    <w:rsid w:val="006E5C06"/>
    <w:rsid w:val="006E66C3"/>
    <w:rsid w:val="006F0160"/>
    <w:rsid w:val="006F03E2"/>
    <w:rsid w:val="006F23CE"/>
    <w:rsid w:val="006F25C6"/>
    <w:rsid w:val="006F287A"/>
    <w:rsid w:val="006F2E19"/>
    <w:rsid w:val="006F4607"/>
    <w:rsid w:val="006F6E2D"/>
    <w:rsid w:val="00700A72"/>
    <w:rsid w:val="00700D49"/>
    <w:rsid w:val="00701401"/>
    <w:rsid w:val="00701D6E"/>
    <w:rsid w:val="007021BD"/>
    <w:rsid w:val="0070353F"/>
    <w:rsid w:val="00703A78"/>
    <w:rsid w:val="00704257"/>
    <w:rsid w:val="00704BCC"/>
    <w:rsid w:val="00705112"/>
    <w:rsid w:val="00705A71"/>
    <w:rsid w:val="00706911"/>
    <w:rsid w:val="00707BD2"/>
    <w:rsid w:val="007103A6"/>
    <w:rsid w:val="007106A5"/>
    <w:rsid w:val="00710CF7"/>
    <w:rsid w:val="00711BAF"/>
    <w:rsid w:val="00711ED5"/>
    <w:rsid w:val="007126A3"/>
    <w:rsid w:val="0071361E"/>
    <w:rsid w:val="00713E3C"/>
    <w:rsid w:val="00713FB4"/>
    <w:rsid w:val="00714394"/>
    <w:rsid w:val="00714DB9"/>
    <w:rsid w:val="007164C5"/>
    <w:rsid w:val="00716CF5"/>
    <w:rsid w:val="007211FA"/>
    <w:rsid w:val="00721FF8"/>
    <w:rsid w:val="00722ED4"/>
    <w:rsid w:val="00723DCA"/>
    <w:rsid w:val="007250B8"/>
    <w:rsid w:val="007257AC"/>
    <w:rsid w:val="0072624B"/>
    <w:rsid w:val="00727517"/>
    <w:rsid w:val="0072768C"/>
    <w:rsid w:val="0073025D"/>
    <w:rsid w:val="007322A5"/>
    <w:rsid w:val="00735CCE"/>
    <w:rsid w:val="00735D60"/>
    <w:rsid w:val="00735FA7"/>
    <w:rsid w:val="00736000"/>
    <w:rsid w:val="00736BA9"/>
    <w:rsid w:val="0074048F"/>
    <w:rsid w:val="00740523"/>
    <w:rsid w:val="00742E61"/>
    <w:rsid w:val="007441BD"/>
    <w:rsid w:val="007445BB"/>
    <w:rsid w:val="007448FA"/>
    <w:rsid w:val="007462D4"/>
    <w:rsid w:val="00747F8F"/>
    <w:rsid w:val="00751D4E"/>
    <w:rsid w:val="0075211F"/>
    <w:rsid w:val="0075335B"/>
    <w:rsid w:val="00753728"/>
    <w:rsid w:val="00753CFF"/>
    <w:rsid w:val="00753EB2"/>
    <w:rsid w:val="007548D4"/>
    <w:rsid w:val="00755CD4"/>
    <w:rsid w:val="00756123"/>
    <w:rsid w:val="00756B65"/>
    <w:rsid w:val="00756DC0"/>
    <w:rsid w:val="0075716A"/>
    <w:rsid w:val="007574D8"/>
    <w:rsid w:val="00762F75"/>
    <w:rsid w:val="007638DF"/>
    <w:rsid w:val="00764D95"/>
    <w:rsid w:val="00765097"/>
    <w:rsid w:val="00765BA8"/>
    <w:rsid w:val="00766A47"/>
    <w:rsid w:val="00766E4D"/>
    <w:rsid w:val="007673F9"/>
    <w:rsid w:val="007702E0"/>
    <w:rsid w:val="00770447"/>
    <w:rsid w:val="00770B8D"/>
    <w:rsid w:val="00770DAB"/>
    <w:rsid w:val="00771057"/>
    <w:rsid w:val="00771ABA"/>
    <w:rsid w:val="00772941"/>
    <w:rsid w:val="0077398B"/>
    <w:rsid w:val="007753FE"/>
    <w:rsid w:val="007754F1"/>
    <w:rsid w:val="00776494"/>
    <w:rsid w:val="00776D81"/>
    <w:rsid w:val="00777A10"/>
    <w:rsid w:val="00777CE1"/>
    <w:rsid w:val="00780ABD"/>
    <w:rsid w:val="00780D81"/>
    <w:rsid w:val="007828A3"/>
    <w:rsid w:val="00782FB4"/>
    <w:rsid w:val="00783DF8"/>
    <w:rsid w:val="00784481"/>
    <w:rsid w:val="007851B7"/>
    <w:rsid w:val="00785E71"/>
    <w:rsid w:val="00786607"/>
    <w:rsid w:val="0078722D"/>
    <w:rsid w:val="00787FDD"/>
    <w:rsid w:val="007911F8"/>
    <w:rsid w:val="007916BB"/>
    <w:rsid w:val="00791EC4"/>
    <w:rsid w:val="007923D8"/>
    <w:rsid w:val="00792706"/>
    <w:rsid w:val="00793163"/>
    <w:rsid w:val="0079325A"/>
    <w:rsid w:val="007943BE"/>
    <w:rsid w:val="00795233"/>
    <w:rsid w:val="007953B5"/>
    <w:rsid w:val="00795864"/>
    <w:rsid w:val="00795967"/>
    <w:rsid w:val="00795AFF"/>
    <w:rsid w:val="00795D4D"/>
    <w:rsid w:val="007966DD"/>
    <w:rsid w:val="007966EB"/>
    <w:rsid w:val="00797366"/>
    <w:rsid w:val="007A1A56"/>
    <w:rsid w:val="007A200D"/>
    <w:rsid w:val="007A2DAA"/>
    <w:rsid w:val="007A4735"/>
    <w:rsid w:val="007A5F87"/>
    <w:rsid w:val="007B05A9"/>
    <w:rsid w:val="007B10F0"/>
    <w:rsid w:val="007B1625"/>
    <w:rsid w:val="007B4052"/>
    <w:rsid w:val="007B70F8"/>
    <w:rsid w:val="007B7615"/>
    <w:rsid w:val="007B7F63"/>
    <w:rsid w:val="007C059F"/>
    <w:rsid w:val="007C05F3"/>
    <w:rsid w:val="007C079D"/>
    <w:rsid w:val="007C0E99"/>
    <w:rsid w:val="007C10D0"/>
    <w:rsid w:val="007C1C49"/>
    <w:rsid w:val="007C3041"/>
    <w:rsid w:val="007C364A"/>
    <w:rsid w:val="007C3F5B"/>
    <w:rsid w:val="007C47FF"/>
    <w:rsid w:val="007C5E0A"/>
    <w:rsid w:val="007C6B23"/>
    <w:rsid w:val="007C6EC7"/>
    <w:rsid w:val="007C70E9"/>
    <w:rsid w:val="007C7305"/>
    <w:rsid w:val="007C7860"/>
    <w:rsid w:val="007D01F7"/>
    <w:rsid w:val="007D20F7"/>
    <w:rsid w:val="007D29EF"/>
    <w:rsid w:val="007D2ECD"/>
    <w:rsid w:val="007D3E6C"/>
    <w:rsid w:val="007D510F"/>
    <w:rsid w:val="007D5CDA"/>
    <w:rsid w:val="007D72E6"/>
    <w:rsid w:val="007D7770"/>
    <w:rsid w:val="007D7961"/>
    <w:rsid w:val="007E04A6"/>
    <w:rsid w:val="007E12A1"/>
    <w:rsid w:val="007E194A"/>
    <w:rsid w:val="007E24A3"/>
    <w:rsid w:val="007E289E"/>
    <w:rsid w:val="007E29CB"/>
    <w:rsid w:val="007E2BA1"/>
    <w:rsid w:val="007E2C8C"/>
    <w:rsid w:val="007E2E43"/>
    <w:rsid w:val="007E3ED4"/>
    <w:rsid w:val="007E5BCF"/>
    <w:rsid w:val="007E5DA5"/>
    <w:rsid w:val="007E61C8"/>
    <w:rsid w:val="007E74DD"/>
    <w:rsid w:val="007F0829"/>
    <w:rsid w:val="007F1352"/>
    <w:rsid w:val="007F1AD5"/>
    <w:rsid w:val="007F3A26"/>
    <w:rsid w:val="007F47BE"/>
    <w:rsid w:val="007F4F39"/>
    <w:rsid w:val="007F51BB"/>
    <w:rsid w:val="007F67A4"/>
    <w:rsid w:val="007F7ECA"/>
    <w:rsid w:val="00800931"/>
    <w:rsid w:val="00800DC3"/>
    <w:rsid w:val="00802B2E"/>
    <w:rsid w:val="00802BD4"/>
    <w:rsid w:val="00803EC8"/>
    <w:rsid w:val="00804C5E"/>
    <w:rsid w:val="008056B4"/>
    <w:rsid w:val="008058F4"/>
    <w:rsid w:val="00805DDA"/>
    <w:rsid w:val="008061AE"/>
    <w:rsid w:val="008063EF"/>
    <w:rsid w:val="00806496"/>
    <w:rsid w:val="008110B6"/>
    <w:rsid w:val="008131FC"/>
    <w:rsid w:val="00813785"/>
    <w:rsid w:val="00813E7F"/>
    <w:rsid w:val="00814611"/>
    <w:rsid w:val="0081529F"/>
    <w:rsid w:val="008166A4"/>
    <w:rsid w:val="00817855"/>
    <w:rsid w:val="008179F8"/>
    <w:rsid w:val="00821C2E"/>
    <w:rsid w:val="0082226F"/>
    <w:rsid w:val="00822736"/>
    <w:rsid w:val="00822CC3"/>
    <w:rsid w:val="00823C90"/>
    <w:rsid w:val="0082484A"/>
    <w:rsid w:val="008250B1"/>
    <w:rsid w:val="008250B9"/>
    <w:rsid w:val="0082574B"/>
    <w:rsid w:val="00825FA7"/>
    <w:rsid w:val="0082674B"/>
    <w:rsid w:val="00826987"/>
    <w:rsid w:val="00827202"/>
    <w:rsid w:val="00827997"/>
    <w:rsid w:val="0083008B"/>
    <w:rsid w:val="0083014D"/>
    <w:rsid w:val="008302B9"/>
    <w:rsid w:val="00830B1D"/>
    <w:rsid w:val="00831656"/>
    <w:rsid w:val="00831A3B"/>
    <w:rsid w:val="00832087"/>
    <w:rsid w:val="00832976"/>
    <w:rsid w:val="00832ADD"/>
    <w:rsid w:val="0083469E"/>
    <w:rsid w:val="0083547D"/>
    <w:rsid w:val="0083594C"/>
    <w:rsid w:val="00835E4A"/>
    <w:rsid w:val="0083689F"/>
    <w:rsid w:val="00837FB6"/>
    <w:rsid w:val="00840232"/>
    <w:rsid w:val="00840BDE"/>
    <w:rsid w:val="00840D8D"/>
    <w:rsid w:val="008413A2"/>
    <w:rsid w:val="008419E2"/>
    <w:rsid w:val="00842E7B"/>
    <w:rsid w:val="00843117"/>
    <w:rsid w:val="008448A6"/>
    <w:rsid w:val="00844D6D"/>
    <w:rsid w:val="00845F96"/>
    <w:rsid w:val="00847B97"/>
    <w:rsid w:val="00850839"/>
    <w:rsid w:val="00851497"/>
    <w:rsid w:val="00851781"/>
    <w:rsid w:val="00851AA1"/>
    <w:rsid w:val="00851BC3"/>
    <w:rsid w:val="00851DC5"/>
    <w:rsid w:val="008522B2"/>
    <w:rsid w:val="00853650"/>
    <w:rsid w:val="00853E7A"/>
    <w:rsid w:val="0085496C"/>
    <w:rsid w:val="00854C8F"/>
    <w:rsid w:val="00854D2D"/>
    <w:rsid w:val="00854D84"/>
    <w:rsid w:val="00854F5D"/>
    <w:rsid w:val="00855AB5"/>
    <w:rsid w:val="00855BD5"/>
    <w:rsid w:val="0085717A"/>
    <w:rsid w:val="008575FF"/>
    <w:rsid w:val="0086175E"/>
    <w:rsid w:val="00862824"/>
    <w:rsid w:val="008633F6"/>
    <w:rsid w:val="00863495"/>
    <w:rsid w:val="00863F1E"/>
    <w:rsid w:val="00864179"/>
    <w:rsid w:val="00864477"/>
    <w:rsid w:val="0086547D"/>
    <w:rsid w:val="00866AAE"/>
    <w:rsid w:val="00870974"/>
    <w:rsid w:val="00871809"/>
    <w:rsid w:val="00873E2F"/>
    <w:rsid w:val="008760F3"/>
    <w:rsid w:val="00876265"/>
    <w:rsid w:val="00876534"/>
    <w:rsid w:val="00876EC5"/>
    <w:rsid w:val="0087781C"/>
    <w:rsid w:val="00880E79"/>
    <w:rsid w:val="00881F08"/>
    <w:rsid w:val="008820F5"/>
    <w:rsid w:val="00882120"/>
    <w:rsid w:val="00884561"/>
    <w:rsid w:val="00885688"/>
    <w:rsid w:val="008866A6"/>
    <w:rsid w:val="00886ABD"/>
    <w:rsid w:val="00886F7A"/>
    <w:rsid w:val="0089055C"/>
    <w:rsid w:val="00890C21"/>
    <w:rsid w:val="00892883"/>
    <w:rsid w:val="008929B1"/>
    <w:rsid w:val="00892C55"/>
    <w:rsid w:val="008945FD"/>
    <w:rsid w:val="00894881"/>
    <w:rsid w:val="0089497A"/>
    <w:rsid w:val="008979C1"/>
    <w:rsid w:val="008A0044"/>
    <w:rsid w:val="008A0F7E"/>
    <w:rsid w:val="008A147E"/>
    <w:rsid w:val="008A20F6"/>
    <w:rsid w:val="008A307F"/>
    <w:rsid w:val="008A574A"/>
    <w:rsid w:val="008B21AB"/>
    <w:rsid w:val="008B267E"/>
    <w:rsid w:val="008B31D0"/>
    <w:rsid w:val="008B56E7"/>
    <w:rsid w:val="008B59DC"/>
    <w:rsid w:val="008B6162"/>
    <w:rsid w:val="008B6928"/>
    <w:rsid w:val="008B7B10"/>
    <w:rsid w:val="008C1845"/>
    <w:rsid w:val="008C2312"/>
    <w:rsid w:val="008C2755"/>
    <w:rsid w:val="008C3169"/>
    <w:rsid w:val="008C3D1F"/>
    <w:rsid w:val="008C413D"/>
    <w:rsid w:val="008C42BB"/>
    <w:rsid w:val="008C4A76"/>
    <w:rsid w:val="008C5124"/>
    <w:rsid w:val="008C527D"/>
    <w:rsid w:val="008C58BB"/>
    <w:rsid w:val="008C7245"/>
    <w:rsid w:val="008D0BD2"/>
    <w:rsid w:val="008D2707"/>
    <w:rsid w:val="008D2C8A"/>
    <w:rsid w:val="008D2F34"/>
    <w:rsid w:val="008D3A97"/>
    <w:rsid w:val="008D41AE"/>
    <w:rsid w:val="008D4A88"/>
    <w:rsid w:val="008D618E"/>
    <w:rsid w:val="008D61BF"/>
    <w:rsid w:val="008D64D8"/>
    <w:rsid w:val="008E0971"/>
    <w:rsid w:val="008E0F89"/>
    <w:rsid w:val="008E4F3F"/>
    <w:rsid w:val="008E55D2"/>
    <w:rsid w:val="008E5F18"/>
    <w:rsid w:val="008E760F"/>
    <w:rsid w:val="008F0370"/>
    <w:rsid w:val="008F27CA"/>
    <w:rsid w:val="008F28E3"/>
    <w:rsid w:val="008F2C9D"/>
    <w:rsid w:val="008F2E47"/>
    <w:rsid w:val="008F3C4D"/>
    <w:rsid w:val="008F4065"/>
    <w:rsid w:val="008F4647"/>
    <w:rsid w:val="008F5265"/>
    <w:rsid w:val="008F6B16"/>
    <w:rsid w:val="008F718F"/>
    <w:rsid w:val="008F75F1"/>
    <w:rsid w:val="008F7B86"/>
    <w:rsid w:val="00900A56"/>
    <w:rsid w:val="00900CA5"/>
    <w:rsid w:val="00900CFC"/>
    <w:rsid w:val="00901617"/>
    <w:rsid w:val="009043F3"/>
    <w:rsid w:val="009047E5"/>
    <w:rsid w:val="00904A92"/>
    <w:rsid w:val="00904AC0"/>
    <w:rsid w:val="009066E8"/>
    <w:rsid w:val="009071B7"/>
    <w:rsid w:val="00907BC5"/>
    <w:rsid w:val="00907CF7"/>
    <w:rsid w:val="00911992"/>
    <w:rsid w:val="00911DDA"/>
    <w:rsid w:val="009146DE"/>
    <w:rsid w:val="00914A67"/>
    <w:rsid w:val="009151C7"/>
    <w:rsid w:val="0091700A"/>
    <w:rsid w:val="009177D2"/>
    <w:rsid w:val="0092099E"/>
    <w:rsid w:val="009221F9"/>
    <w:rsid w:val="0092328E"/>
    <w:rsid w:val="009236DB"/>
    <w:rsid w:val="0092379C"/>
    <w:rsid w:val="00924DBF"/>
    <w:rsid w:val="0092592E"/>
    <w:rsid w:val="00926149"/>
    <w:rsid w:val="00926592"/>
    <w:rsid w:val="00927113"/>
    <w:rsid w:val="00927CC2"/>
    <w:rsid w:val="0093161A"/>
    <w:rsid w:val="00931695"/>
    <w:rsid w:val="009325A9"/>
    <w:rsid w:val="0093267B"/>
    <w:rsid w:val="009326E1"/>
    <w:rsid w:val="009326E8"/>
    <w:rsid w:val="0093281E"/>
    <w:rsid w:val="009346FC"/>
    <w:rsid w:val="0093508E"/>
    <w:rsid w:val="009351E2"/>
    <w:rsid w:val="009352D8"/>
    <w:rsid w:val="0093584A"/>
    <w:rsid w:val="00936CFC"/>
    <w:rsid w:val="00936D82"/>
    <w:rsid w:val="00937697"/>
    <w:rsid w:val="00940A73"/>
    <w:rsid w:val="009417D6"/>
    <w:rsid w:val="009426B7"/>
    <w:rsid w:val="00942C5D"/>
    <w:rsid w:val="00942D63"/>
    <w:rsid w:val="00943C8E"/>
    <w:rsid w:val="00943FB4"/>
    <w:rsid w:val="00944565"/>
    <w:rsid w:val="00944722"/>
    <w:rsid w:val="00944BEF"/>
    <w:rsid w:val="00945348"/>
    <w:rsid w:val="00945994"/>
    <w:rsid w:val="00946087"/>
    <w:rsid w:val="00946146"/>
    <w:rsid w:val="00947892"/>
    <w:rsid w:val="00947969"/>
    <w:rsid w:val="00947B4A"/>
    <w:rsid w:val="00954485"/>
    <w:rsid w:val="009547ED"/>
    <w:rsid w:val="0095602C"/>
    <w:rsid w:val="009564F0"/>
    <w:rsid w:val="0095747A"/>
    <w:rsid w:val="00957687"/>
    <w:rsid w:val="009578D4"/>
    <w:rsid w:val="00961FB5"/>
    <w:rsid w:val="00962AC4"/>
    <w:rsid w:val="0096414B"/>
    <w:rsid w:val="0096434C"/>
    <w:rsid w:val="00965BD9"/>
    <w:rsid w:val="009660CA"/>
    <w:rsid w:val="0096725E"/>
    <w:rsid w:val="00967C24"/>
    <w:rsid w:val="00970466"/>
    <w:rsid w:val="00970DFC"/>
    <w:rsid w:val="00972168"/>
    <w:rsid w:val="00973732"/>
    <w:rsid w:val="009738A0"/>
    <w:rsid w:val="009745D4"/>
    <w:rsid w:val="00974D6B"/>
    <w:rsid w:val="00974E22"/>
    <w:rsid w:val="009754F4"/>
    <w:rsid w:val="00975F63"/>
    <w:rsid w:val="00977D6C"/>
    <w:rsid w:val="00980168"/>
    <w:rsid w:val="009801AE"/>
    <w:rsid w:val="009803FB"/>
    <w:rsid w:val="009820EF"/>
    <w:rsid w:val="009824CD"/>
    <w:rsid w:val="00983183"/>
    <w:rsid w:val="0098357D"/>
    <w:rsid w:val="00983CB5"/>
    <w:rsid w:val="00983D11"/>
    <w:rsid w:val="0098409E"/>
    <w:rsid w:val="00985430"/>
    <w:rsid w:val="00986588"/>
    <w:rsid w:val="00986DE0"/>
    <w:rsid w:val="00986E7B"/>
    <w:rsid w:val="009908F9"/>
    <w:rsid w:val="00994CC8"/>
    <w:rsid w:val="009954B7"/>
    <w:rsid w:val="00995565"/>
    <w:rsid w:val="009963B0"/>
    <w:rsid w:val="009A0215"/>
    <w:rsid w:val="009A1055"/>
    <w:rsid w:val="009A1286"/>
    <w:rsid w:val="009A12D7"/>
    <w:rsid w:val="009A310C"/>
    <w:rsid w:val="009A6E30"/>
    <w:rsid w:val="009A6ED4"/>
    <w:rsid w:val="009A6F12"/>
    <w:rsid w:val="009A7322"/>
    <w:rsid w:val="009B1570"/>
    <w:rsid w:val="009B1C72"/>
    <w:rsid w:val="009B21D2"/>
    <w:rsid w:val="009B2275"/>
    <w:rsid w:val="009B30B8"/>
    <w:rsid w:val="009B32A8"/>
    <w:rsid w:val="009B402E"/>
    <w:rsid w:val="009B4A4E"/>
    <w:rsid w:val="009B5B78"/>
    <w:rsid w:val="009B699E"/>
    <w:rsid w:val="009B6E86"/>
    <w:rsid w:val="009B70AC"/>
    <w:rsid w:val="009B75AD"/>
    <w:rsid w:val="009C0017"/>
    <w:rsid w:val="009C133C"/>
    <w:rsid w:val="009C292E"/>
    <w:rsid w:val="009C2962"/>
    <w:rsid w:val="009C2D93"/>
    <w:rsid w:val="009C3A2E"/>
    <w:rsid w:val="009C4E20"/>
    <w:rsid w:val="009C50A0"/>
    <w:rsid w:val="009C5260"/>
    <w:rsid w:val="009C711D"/>
    <w:rsid w:val="009C770B"/>
    <w:rsid w:val="009D07B9"/>
    <w:rsid w:val="009D0B93"/>
    <w:rsid w:val="009D1BC2"/>
    <w:rsid w:val="009D1CDA"/>
    <w:rsid w:val="009D1F7F"/>
    <w:rsid w:val="009D1F9B"/>
    <w:rsid w:val="009D2187"/>
    <w:rsid w:val="009D2B0D"/>
    <w:rsid w:val="009D41B9"/>
    <w:rsid w:val="009D41FB"/>
    <w:rsid w:val="009D45FE"/>
    <w:rsid w:val="009D46BC"/>
    <w:rsid w:val="009D633C"/>
    <w:rsid w:val="009D709A"/>
    <w:rsid w:val="009D760F"/>
    <w:rsid w:val="009E0729"/>
    <w:rsid w:val="009E0BCB"/>
    <w:rsid w:val="009E51AC"/>
    <w:rsid w:val="009E550B"/>
    <w:rsid w:val="009E5C33"/>
    <w:rsid w:val="009E5FAB"/>
    <w:rsid w:val="009E670B"/>
    <w:rsid w:val="009E6751"/>
    <w:rsid w:val="009E6AD9"/>
    <w:rsid w:val="009E7113"/>
    <w:rsid w:val="009F0A18"/>
    <w:rsid w:val="009F0F36"/>
    <w:rsid w:val="009F15B7"/>
    <w:rsid w:val="009F2535"/>
    <w:rsid w:val="009F2BD3"/>
    <w:rsid w:val="009F31A7"/>
    <w:rsid w:val="009F3527"/>
    <w:rsid w:val="009F3D0C"/>
    <w:rsid w:val="009F446A"/>
    <w:rsid w:val="009F454F"/>
    <w:rsid w:val="009F4580"/>
    <w:rsid w:val="009F50B6"/>
    <w:rsid w:val="009F50EC"/>
    <w:rsid w:val="009F6058"/>
    <w:rsid w:val="00A02C27"/>
    <w:rsid w:val="00A02EEE"/>
    <w:rsid w:val="00A04E03"/>
    <w:rsid w:val="00A05657"/>
    <w:rsid w:val="00A05869"/>
    <w:rsid w:val="00A06146"/>
    <w:rsid w:val="00A06380"/>
    <w:rsid w:val="00A069B0"/>
    <w:rsid w:val="00A07A79"/>
    <w:rsid w:val="00A13280"/>
    <w:rsid w:val="00A14D67"/>
    <w:rsid w:val="00A14ECA"/>
    <w:rsid w:val="00A14F8C"/>
    <w:rsid w:val="00A1705B"/>
    <w:rsid w:val="00A17582"/>
    <w:rsid w:val="00A20329"/>
    <w:rsid w:val="00A2072E"/>
    <w:rsid w:val="00A210F4"/>
    <w:rsid w:val="00A2145A"/>
    <w:rsid w:val="00A216AC"/>
    <w:rsid w:val="00A21B0E"/>
    <w:rsid w:val="00A21FCD"/>
    <w:rsid w:val="00A21FFC"/>
    <w:rsid w:val="00A2208B"/>
    <w:rsid w:val="00A221A2"/>
    <w:rsid w:val="00A2339A"/>
    <w:rsid w:val="00A247D2"/>
    <w:rsid w:val="00A250C5"/>
    <w:rsid w:val="00A25968"/>
    <w:rsid w:val="00A25A75"/>
    <w:rsid w:val="00A268E5"/>
    <w:rsid w:val="00A272F8"/>
    <w:rsid w:val="00A278EA"/>
    <w:rsid w:val="00A30A3C"/>
    <w:rsid w:val="00A3164B"/>
    <w:rsid w:val="00A3250D"/>
    <w:rsid w:val="00A325BB"/>
    <w:rsid w:val="00A32B54"/>
    <w:rsid w:val="00A330DD"/>
    <w:rsid w:val="00A34DAD"/>
    <w:rsid w:val="00A36B6D"/>
    <w:rsid w:val="00A371C8"/>
    <w:rsid w:val="00A37ADD"/>
    <w:rsid w:val="00A41E89"/>
    <w:rsid w:val="00A439F2"/>
    <w:rsid w:val="00A4453A"/>
    <w:rsid w:val="00A44FCB"/>
    <w:rsid w:val="00A474D0"/>
    <w:rsid w:val="00A5033D"/>
    <w:rsid w:val="00A50D9D"/>
    <w:rsid w:val="00A522B2"/>
    <w:rsid w:val="00A52443"/>
    <w:rsid w:val="00A5275E"/>
    <w:rsid w:val="00A5740E"/>
    <w:rsid w:val="00A61231"/>
    <w:rsid w:val="00A6233D"/>
    <w:rsid w:val="00A62A22"/>
    <w:rsid w:val="00A65701"/>
    <w:rsid w:val="00A66CC7"/>
    <w:rsid w:val="00A6720B"/>
    <w:rsid w:val="00A67609"/>
    <w:rsid w:val="00A703FC"/>
    <w:rsid w:val="00A70B26"/>
    <w:rsid w:val="00A71D50"/>
    <w:rsid w:val="00A73915"/>
    <w:rsid w:val="00A74A38"/>
    <w:rsid w:val="00A75D6C"/>
    <w:rsid w:val="00A76DE5"/>
    <w:rsid w:val="00A778C9"/>
    <w:rsid w:val="00A77B47"/>
    <w:rsid w:val="00A77C07"/>
    <w:rsid w:val="00A77C8E"/>
    <w:rsid w:val="00A77FC5"/>
    <w:rsid w:val="00A80E3C"/>
    <w:rsid w:val="00A813B1"/>
    <w:rsid w:val="00A83203"/>
    <w:rsid w:val="00A83E2F"/>
    <w:rsid w:val="00A84D77"/>
    <w:rsid w:val="00A8593D"/>
    <w:rsid w:val="00A8685B"/>
    <w:rsid w:val="00A87C2B"/>
    <w:rsid w:val="00A90990"/>
    <w:rsid w:val="00A9172F"/>
    <w:rsid w:val="00A94593"/>
    <w:rsid w:val="00A94D33"/>
    <w:rsid w:val="00A952F9"/>
    <w:rsid w:val="00A96406"/>
    <w:rsid w:val="00A9650C"/>
    <w:rsid w:val="00A976C4"/>
    <w:rsid w:val="00A97884"/>
    <w:rsid w:val="00AA1278"/>
    <w:rsid w:val="00AA253F"/>
    <w:rsid w:val="00AA3418"/>
    <w:rsid w:val="00AA3B97"/>
    <w:rsid w:val="00AA4C83"/>
    <w:rsid w:val="00AA611C"/>
    <w:rsid w:val="00AA6B71"/>
    <w:rsid w:val="00AB00A6"/>
    <w:rsid w:val="00AB09C0"/>
    <w:rsid w:val="00AB228F"/>
    <w:rsid w:val="00AB3162"/>
    <w:rsid w:val="00AB3267"/>
    <w:rsid w:val="00AB349C"/>
    <w:rsid w:val="00AB3AB4"/>
    <w:rsid w:val="00AB3EA1"/>
    <w:rsid w:val="00AB5705"/>
    <w:rsid w:val="00AB7E50"/>
    <w:rsid w:val="00AC09F4"/>
    <w:rsid w:val="00AC1390"/>
    <w:rsid w:val="00AC2010"/>
    <w:rsid w:val="00AC2A02"/>
    <w:rsid w:val="00AC2ABA"/>
    <w:rsid w:val="00AC2F14"/>
    <w:rsid w:val="00AC3032"/>
    <w:rsid w:val="00AC5B34"/>
    <w:rsid w:val="00AC7C86"/>
    <w:rsid w:val="00AD022E"/>
    <w:rsid w:val="00AD0D66"/>
    <w:rsid w:val="00AD1753"/>
    <w:rsid w:val="00AD2283"/>
    <w:rsid w:val="00AD3B87"/>
    <w:rsid w:val="00AD428F"/>
    <w:rsid w:val="00AD4438"/>
    <w:rsid w:val="00AD4A92"/>
    <w:rsid w:val="00AD5C1A"/>
    <w:rsid w:val="00AD5E87"/>
    <w:rsid w:val="00AD63DB"/>
    <w:rsid w:val="00AE0012"/>
    <w:rsid w:val="00AE067A"/>
    <w:rsid w:val="00AE088F"/>
    <w:rsid w:val="00AE2211"/>
    <w:rsid w:val="00AE2388"/>
    <w:rsid w:val="00AE41F9"/>
    <w:rsid w:val="00AE5588"/>
    <w:rsid w:val="00AE63A7"/>
    <w:rsid w:val="00AE7931"/>
    <w:rsid w:val="00AE7B31"/>
    <w:rsid w:val="00AF029A"/>
    <w:rsid w:val="00AF3DA3"/>
    <w:rsid w:val="00AF636A"/>
    <w:rsid w:val="00AF6966"/>
    <w:rsid w:val="00B011A5"/>
    <w:rsid w:val="00B01AE2"/>
    <w:rsid w:val="00B01C7D"/>
    <w:rsid w:val="00B024A7"/>
    <w:rsid w:val="00B033D4"/>
    <w:rsid w:val="00B042B9"/>
    <w:rsid w:val="00B0600F"/>
    <w:rsid w:val="00B0620C"/>
    <w:rsid w:val="00B06BFF"/>
    <w:rsid w:val="00B06D95"/>
    <w:rsid w:val="00B10ADE"/>
    <w:rsid w:val="00B11A63"/>
    <w:rsid w:val="00B120F0"/>
    <w:rsid w:val="00B1351B"/>
    <w:rsid w:val="00B1390B"/>
    <w:rsid w:val="00B145FC"/>
    <w:rsid w:val="00B15DC1"/>
    <w:rsid w:val="00B161B2"/>
    <w:rsid w:val="00B16A76"/>
    <w:rsid w:val="00B16BD0"/>
    <w:rsid w:val="00B17516"/>
    <w:rsid w:val="00B202FA"/>
    <w:rsid w:val="00B20A28"/>
    <w:rsid w:val="00B21534"/>
    <w:rsid w:val="00B21C1A"/>
    <w:rsid w:val="00B228F1"/>
    <w:rsid w:val="00B23575"/>
    <w:rsid w:val="00B24958"/>
    <w:rsid w:val="00B250E3"/>
    <w:rsid w:val="00B260B3"/>
    <w:rsid w:val="00B30E03"/>
    <w:rsid w:val="00B32FB4"/>
    <w:rsid w:val="00B331C6"/>
    <w:rsid w:val="00B33D98"/>
    <w:rsid w:val="00B349A3"/>
    <w:rsid w:val="00B34D98"/>
    <w:rsid w:val="00B37CD9"/>
    <w:rsid w:val="00B41170"/>
    <w:rsid w:val="00B41F5E"/>
    <w:rsid w:val="00B422E1"/>
    <w:rsid w:val="00B4409F"/>
    <w:rsid w:val="00B50A43"/>
    <w:rsid w:val="00B50F67"/>
    <w:rsid w:val="00B515AC"/>
    <w:rsid w:val="00B52249"/>
    <w:rsid w:val="00B52437"/>
    <w:rsid w:val="00B52969"/>
    <w:rsid w:val="00B53246"/>
    <w:rsid w:val="00B535F1"/>
    <w:rsid w:val="00B537D8"/>
    <w:rsid w:val="00B5475A"/>
    <w:rsid w:val="00B54981"/>
    <w:rsid w:val="00B54BA6"/>
    <w:rsid w:val="00B55394"/>
    <w:rsid w:val="00B55489"/>
    <w:rsid w:val="00B55519"/>
    <w:rsid w:val="00B55C65"/>
    <w:rsid w:val="00B55E91"/>
    <w:rsid w:val="00B56F28"/>
    <w:rsid w:val="00B57751"/>
    <w:rsid w:val="00B57F1F"/>
    <w:rsid w:val="00B60410"/>
    <w:rsid w:val="00B61C63"/>
    <w:rsid w:val="00B6295E"/>
    <w:rsid w:val="00B62D42"/>
    <w:rsid w:val="00B63646"/>
    <w:rsid w:val="00B63E9B"/>
    <w:rsid w:val="00B657F6"/>
    <w:rsid w:val="00B661DE"/>
    <w:rsid w:val="00B663E9"/>
    <w:rsid w:val="00B66918"/>
    <w:rsid w:val="00B70090"/>
    <w:rsid w:val="00B745CB"/>
    <w:rsid w:val="00B74CB3"/>
    <w:rsid w:val="00B74D90"/>
    <w:rsid w:val="00B75F15"/>
    <w:rsid w:val="00B768BE"/>
    <w:rsid w:val="00B76E41"/>
    <w:rsid w:val="00B807C8"/>
    <w:rsid w:val="00B81C0D"/>
    <w:rsid w:val="00B82227"/>
    <w:rsid w:val="00B82357"/>
    <w:rsid w:val="00B824DA"/>
    <w:rsid w:val="00B83A33"/>
    <w:rsid w:val="00B84949"/>
    <w:rsid w:val="00B84E73"/>
    <w:rsid w:val="00B86253"/>
    <w:rsid w:val="00B86C41"/>
    <w:rsid w:val="00B9126A"/>
    <w:rsid w:val="00B91CCB"/>
    <w:rsid w:val="00B92989"/>
    <w:rsid w:val="00B93591"/>
    <w:rsid w:val="00B93DC3"/>
    <w:rsid w:val="00B940B0"/>
    <w:rsid w:val="00B942D7"/>
    <w:rsid w:val="00B95602"/>
    <w:rsid w:val="00B9592B"/>
    <w:rsid w:val="00B9720D"/>
    <w:rsid w:val="00BA0D02"/>
    <w:rsid w:val="00BA0F03"/>
    <w:rsid w:val="00BA1503"/>
    <w:rsid w:val="00BA1BFC"/>
    <w:rsid w:val="00BA21AB"/>
    <w:rsid w:val="00BA2B79"/>
    <w:rsid w:val="00BA2EAF"/>
    <w:rsid w:val="00BA38E6"/>
    <w:rsid w:val="00BA3DBE"/>
    <w:rsid w:val="00BA4AEA"/>
    <w:rsid w:val="00BA606E"/>
    <w:rsid w:val="00BA67BA"/>
    <w:rsid w:val="00BA6C70"/>
    <w:rsid w:val="00BA708C"/>
    <w:rsid w:val="00BB1092"/>
    <w:rsid w:val="00BB122D"/>
    <w:rsid w:val="00BB1C38"/>
    <w:rsid w:val="00BB1EC4"/>
    <w:rsid w:val="00BB1F51"/>
    <w:rsid w:val="00BB220A"/>
    <w:rsid w:val="00BB2581"/>
    <w:rsid w:val="00BB4036"/>
    <w:rsid w:val="00BB4BD4"/>
    <w:rsid w:val="00BB538F"/>
    <w:rsid w:val="00BB5CFF"/>
    <w:rsid w:val="00BB67BF"/>
    <w:rsid w:val="00BB6A1F"/>
    <w:rsid w:val="00BB6D30"/>
    <w:rsid w:val="00BB6DED"/>
    <w:rsid w:val="00BB733A"/>
    <w:rsid w:val="00BB7725"/>
    <w:rsid w:val="00BC04AE"/>
    <w:rsid w:val="00BC0735"/>
    <w:rsid w:val="00BC118C"/>
    <w:rsid w:val="00BC193D"/>
    <w:rsid w:val="00BC23AE"/>
    <w:rsid w:val="00BC3084"/>
    <w:rsid w:val="00BC56CB"/>
    <w:rsid w:val="00BC5F8C"/>
    <w:rsid w:val="00BC613E"/>
    <w:rsid w:val="00BC6EB2"/>
    <w:rsid w:val="00BD0960"/>
    <w:rsid w:val="00BD1C90"/>
    <w:rsid w:val="00BD42C0"/>
    <w:rsid w:val="00BD58B7"/>
    <w:rsid w:val="00BD71C7"/>
    <w:rsid w:val="00BD7C20"/>
    <w:rsid w:val="00BE10A1"/>
    <w:rsid w:val="00BE1AC0"/>
    <w:rsid w:val="00BE29F8"/>
    <w:rsid w:val="00BE2A0D"/>
    <w:rsid w:val="00BE2C8D"/>
    <w:rsid w:val="00BE3A89"/>
    <w:rsid w:val="00BE3DD6"/>
    <w:rsid w:val="00BE49CA"/>
    <w:rsid w:val="00BE4CCB"/>
    <w:rsid w:val="00BE51E8"/>
    <w:rsid w:val="00BE6F0D"/>
    <w:rsid w:val="00BE7E8C"/>
    <w:rsid w:val="00BF04EE"/>
    <w:rsid w:val="00BF1AA0"/>
    <w:rsid w:val="00BF3FB3"/>
    <w:rsid w:val="00BF5811"/>
    <w:rsid w:val="00BF62DD"/>
    <w:rsid w:val="00BF6B0D"/>
    <w:rsid w:val="00BF6F29"/>
    <w:rsid w:val="00C003C4"/>
    <w:rsid w:val="00C00DBC"/>
    <w:rsid w:val="00C0130C"/>
    <w:rsid w:val="00C028EC"/>
    <w:rsid w:val="00C03B11"/>
    <w:rsid w:val="00C040E5"/>
    <w:rsid w:val="00C046F5"/>
    <w:rsid w:val="00C0500D"/>
    <w:rsid w:val="00C0502D"/>
    <w:rsid w:val="00C0546A"/>
    <w:rsid w:val="00C05B26"/>
    <w:rsid w:val="00C061A4"/>
    <w:rsid w:val="00C079B4"/>
    <w:rsid w:val="00C07AE3"/>
    <w:rsid w:val="00C07C93"/>
    <w:rsid w:val="00C1149B"/>
    <w:rsid w:val="00C119AB"/>
    <w:rsid w:val="00C12897"/>
    <w:rsid w:val="00C12C8B"/>
    <w:rsid w:val="00C15AA5"/>
    <w:rsid w:val="00C15C05"/>
    <w:rsid w:val="00C17431"/>
    <w:rsid w:val="00C178EF"/>
    <w:rsid w:val="00C17949"/>
    <w:rsid w:val="00C17CAF"/>
    <w:rsid w:val="00C17D07"/>
    <w:rsid w:val="00C20588"/>
    <w:rsid w:val="00C2101E"/>
    <w:rsid w:val="00C257D2"/>
    <w:rsid w:val="00C307DF"/>
    <w:rsid w:val="00C30BDF"/>
    <w:rsid w:val="00C31199"/>
    <w:rsid w:val="00C32660"/>
    <w:rsid w:val="00C33021"/>
    <w:rsid w:val="00C359CE"/>
    <w:rsid w:val="00C35F44"/>
    <w:rsid w:val="00C363E2"/>
    <w:rsid w:val="00C36E06"/>
    <w:rsid w:val="00C37BEF"/>
    <w:rsid w:val="00C37D11"/>
    <w:rsid w:val="00C42A61"/>
    <w:rsid w:val="00C434C4"/>
    <w:rsid w:val="00C4479B"/>
    <w:rsid w:val="00C44B61"/>
    <w:rsid w:val="00C45256"/>
    <w:rsid w:val="00C501A9"/>
    <w:rsid w:val="00C50629"/>
    <w:rsid w:val="00C51490"/>
    <w:rsid w:val="00C514D4"/>
    <w:rsid w:val="00C51E4C"/>
    <w:rsid w:val="00C529D0"/>
    <w:rsid w:val="00C53121"/>
    <w:rsid w:val="00C54082"/>
    <w:rsid w:val="00C556A6"/>
    <w:rsid w:val="00C56920"/>
    <w:rsid w:val="00C576EB"/>
    <w:rsid w:val="00C60E1A"/>
    <w:rsid w:val="00C60E5C"/>
    <w:rsid w:val="00C6131B"/>
    <w:rsid w:val="00C61603"/>
    <w:rsid w:val="00C64347"/>
    <w:rsid w:val="00C657F9"/>
    <w:rsid w:val="00C65C66"/>
    <w:rsid w:val="00C660EB"/>
    <w:rsid w:val="00C663DB"/>
    <w:rsid w:val="00C70CA3"/>
    <w:rsid w:val="00C70EC7"/>
    <w:rsid w:val="00C713A7"/>
    <w:rsid w:val="00C7166E"/>
    <w:rsid w:val="00C71E21"/>
    <w:rsid w:val="00C72092"/>
    <w:rsid w:val="00C72940"/>
    <w:rsid w:val="00C73F9F"/>
    <w:rsid w:val="00C74708"/>
    <w:rsid w:val="00C74851"/>
    <w:rsid w:val="00C74A96"/>
    <w:rsid w:val="00C76124"/>
    <w:rsid w:val="00C7647B"/>
    <w:rsid w:val="00C774B9"/>
    <w:rsid w:val="00C77581"/>
    <w:rsid w:val="00C77D07"/>
    <w:rsid w:val="00C80F4C"/>
    <w:rsid w:val="00C8167E"/>
    <w:rsid w:val="00C81D2D"/>
    <w:rsid w:val="00C828BD"/>
    <w:rsid w:val="00C84E45"/>
    <w:rsid w:val="00C87CB7"/>
    <w:rsid w:val="00C87D1B"/>
    <w:rsid w:val="00C87E80"/>
    <w:rsid w:val="00C90805"/>
    <w:rsid w:val="00C90D89"/>
    <w:rsid w:val="00C91748"/>
    <w:rsid w:val="00C92343"/>
    <w:rsid w:val="00C92E9B"/>
    <w:rsid w:val="00C930E6"/>
    <w:rsid w:val="00C9376B"/>
    <w:rsid w:val="00C9395E"/>
    <w:rsid w:val="00C93F16"/>
    <w:rsid w:val="00C950CE"/>
    <w:rsid w:val="00C95B24"/>
    <w:rsid w:val="00C95F8F"/>
    <w:rsid w:val="00C97869"/>
    <w:rsid w:val="00CA152D"/>
    <w:rsid w:val="00CA2456"/>
    <w:rsid w:val="00CA39B8"/>
    <w:rsid w:val="00CA3A3A"/>
    <w:rsid w:val="00CA601B"/>
    <w:rsid w:val="00CA7632"/>
    <w:rsid w:val="00CB000E"/>
    <w:rsid w:val="00CB032F"/>
    <w:rsid w:val="00CB0683"/>
    <w:rsid w:val="00CB09E0"/>
    <w:rsid w:val="00CB2D62"/>
    <w:rsid w:val="00CB345F"/>
    <w:rsid w:val="00CB5379"/>
    <w:rsid w:val="00CB56B4"/>
    <w:rsid w:val="00CB5D53"/>
    <w:rsid w:val="00CB707C"/>
    <w:rsid w:val="00CB798E"/>
    <w:rsid w:val="00CC0662"/>
    <w:rsid w:val="00CC32B6"/>
    <w:rsid w:val="00CC33BD"/>
    <w:rsid w:val="00CC44D8"/>
    <w:rsid w:val="00CC584F"/>
    <w:rsid w:val="00CC610C"/>
    <w:rsid w:val="00CC649D"/>
    <w:rsid w:val="00CD1436"/>
    <w:rsid w:val="00CD14F4"/>
    <w:rsid w:val="00CD1D88"/>
    <w:rsid w:val="00CD2A6F"/>
    <w:rsid w:val="00CD2B8D"/>
    <w:rsid w:val="00CD2E78"/>
    <w:rsid w:val="00CD3069"/>
    <w:rsid w:val="00CD3486"/>
    <w:rsid w:val="00CD4CC6"/>
    <w:rsid w:val="00CD717B"/>
    <w:rsid w:val="00CD73CD"/>
    <w:rsid w:val="00CD74C9"/>
    <w:rsid w:val="00CE03A0"/>
    <w:rsid w:val="00CE1734"/>
    <w:rsid w:val="00CE1B55"/>
    <w:rsid w:val="00CE35A0"/>
    <w:rsid w:val="00CE523F"/>
    <w:rsid w:val="00CE56B7"/>
    <w:rsid w:val="00CE63DE"/>
    <w:rsid w:val="00CE7DA8"/>
    <w:rsid w:val="00CF46E2"/>
    <w:rsid w:val="00CF5853"/>
    <w:rsid w:val="00D0191B"/>
    <w:rsid w:val="00D02509"/>
    <w:rsid w:val="00D02B97"/>
    <w:rsid w:val="00D06333"/>
    <w:rsid w:val="00D06733"/>
    <w:rsid w:val="00D06B74"/>
    <w:rsid w:val="00D11907"/>
    <w:rsid w:val="00D11994"/>
    <w:rsid w:val="00D14692"/>
    <w:rsid w:val="00D1587D"/>
    <w:rsid w:val="00D16170"/>
    <w:rsid w:val="00D16646"/>
    <w:rsid w:val="00D16E64"/>
    <w:rsid w:val="00D16F0F"/>
    <w:rsid w:val="00D17B11"/>
    <w:rsid w:val="00D17BFA"/>
    <w:rsid w:val="00D213F8"/>
    <w:rsid w:val="00D220FA"/>
    <w:rsid w:val="00D22489"/>
    <w:rsid w:val="00D2260B"/>
    <w:rsid w:val="00D23904"/>
    <w:rsid w:val="00D23CAC"/>
    <w:rsid w:val="00D241CF"/>
    <w:rsid w:val="00D24B25"/>
    <w:rsid w:val="00D2557D"/>
    <w:rsid w:val="00D266D4"/>
    <w:rsid w:val="00D273A8"/>
    <w:rsid w:val="00D275C9"/>
    <w:rsid w:val="00D27B5C"/>
    <w:rsid w:val="00D307C9"/>
    <w:rsid w:val="00D30B02"/>
    <w:rsid w:val="00D31094"/>
    <w:rsid w:val="00D32267"/>
    <w:rsid w:val="00D32F63"/>
    <w:rsid w:val="00D33956"/>
    <w:rsid w:val="00D33FA4"/>
    <w:rsid w:val="00D343D1"/>
    <w:rsid w:val="00D35CAE"/>
    <w:rsid w:val="00D36412"/>
    <w:rsid w:val="00D36B13"/>
    <w:rsid w:val="00D36B14"/>
    <w:rsid w:val="00D400AD"/>
    <w:rsid w:val="00D40277"/>
    <w:rsid w:val="00D40C86"/>
    <w:rsid w:val="00D40FB2"/>
    <w:rsid w:val="00D41CF7"/>
    <w:rsid w:val="00D426CF"/>
    <w:rsid w:val="00D42E2C"/>
    <w:rsid w:val="00D433DD"/>
    <w:rsid w:val="00D43621"/>
    <w:rsid w:val="00D43951"/>
    <w:rsid w:val="00D439C2"/>
    <w:rsid w:val="00D44137"/>
    <w:rsid w:val="00D446BF"/>
    <w:rsid w:val="00D4693F"/>
    <w:rsid w:val="00D46A97"/>
    <w:rsid w:val="00D46C3E"/>
    <w:rsid w:val="00D473DF"/>
    <w:rsid w:val="00D51605"/>
    <w:rsid w:val="00D5186E"/>
    <w:rsid w:val="00D51DF6"/>
    <w:rsid w:val="00D52606"/>
    <w:rsid w:val="00D52FAA"/>
    <w:rsid w:val="00D531D2"/>
    <w:rsid w:val="00D53533"/>
    <w:rsid w:val="00D542F3"/>
    <w:rsid w:val="00D55A35"/>
    <w:rsid w:val="00D569CF"/>
    <w:rsid w:val="00D570CE"/>
    <w:rsid w:val="00D5783B"/>
    <w:rsid w:val="00D607D6"/>
    <w:rsid w:val="00D627FB"/>
    <w:rsid w:val="00D62F9E"/>
    <w:rsid w:val="00D63C33"/>
    <w:rsid w:val="00D64361"/>
    <w:rsid w:val="00D64386"/>
    <w:rsid w:val="00D65480"/>
    <w:rsid w:val="00D66BB1"/>
    <w:rsid w:val="00D67D78"/>
    <w:rsid w:val="00D749B9"/>
    <w:rsid w:val="00D74DA1"/>
    <w:rsid w:val="00D74E15"/>
    <w:rsid w:val="00D751E7"/>
    <w:rsid w:val="00D75D39"/>
    <w:rsid w:val="00D76A52"/>
    <w:rsid w:val="00D7799D"/>
    <w:rsid w:val="00D8090A"/>
    <w:rsid w:val="00D811B5"/>
    <w:rsid w:val="00D81441"/>
    <w:rsid w:val="00D83630"/>
    <w:rsid w:val="00D86438"/>
    <w:rsid w:val="00D907EF"/>
    <w:rsid w:val="00D918A9"/>
    <w:rsid w:val="00D91BB3"/>
    <w:rsid w:val="00D921A7"/>
    <w:rsid w:val="00D92C18"/>
    <w:rsid w:val="00D93C58"/>
    <w:rsid w:val="00D93F5B"/>
    <w:rsid w:val="00D95E6E"/>
    <w:rsid w:val="00D96AA7"/>
    <w:rsid w:val="00DA00DE"/>
    <w:rsid w:val="00DA11EA"/>
    <w:rsid w:val="00DA1F28"/>
    <w:rsid w:val="00DA3B05"/>
    <w:rsid w:val="00DA3ED6"/>
    <w:rsid w:val="00DA4454"/>
    <w:rsid w:val="00DA4597"/>
    <w:rsid w:val="00DA6708"/>
    <w:rsid w:val="00DB0389"/>
    <w:rsid w:val="00DB0CAC"/>
    <w:rsid w:val="00DB1196"/>
    <w:rsid w:val="00DB1832"/>
    <w:rsid w:val="00DB3599"/>
    <w:rsid w:val="00DB36FB"/>
    <w:rsid w:val="00DB3C44"/>
    <w:rsid w:val="00DB3E4C"/>
    <w:rsid w:val="00DB5A61"/>
    <w:rsid w:val="00DC06CC"/>
    <w:rsid w:val="00DC3E84"/>
    <w:rsid w:val="00DC3FE7"/>
    <w:rsid w:val="00DC4134"/>
    <w:rsid w:val="00DC4A9C"/>
    <w:rsid w:val="00DC4B5A"/>
    <w:rsid w:val="00DC69C8"/>
    <w:rsid w:val="00DC6E58"/>
    <w:rsid w:val="00DC7134"/>
    <w:rsid w:val="00DC7629"/>
    <w:rsid w:val="00DC7FC6"/>
    <w:rsid w:val="00DD00A1"/>
    <w:rsid w:val="00DD0E41"/>
    <w:rsid w:val="00DD13B3"/>
    <w:rsid w:val="00DD27B1"/>
    <w:rsid w:val="00DD3680"/>
    <w:rsid w:val="00DD48A5"/>
    <w:rsid w:val="00DD5556"/>
    <w:rsid w:val="00DD619F"/>
    <w:rsid w:val="00DD7760"/>
    <w:rsid w:val="00DD78BA"/>
    <w:rsid w:val="00DE15CF"/>
    <w:rsid w:val="00DE1BA9"/>
    <w:rsid w:val="00DE2C15"/>
    <w:rsid w:val="00DE36D5"/>
    <w:rsid w:val="00DE46F0"/>
    <w:rsid w:val="00DE5513"/>
    <w:rsid w:val="00DE636B"/>
    <w:rsid w:val="00DE6F44"/>
    <w:rsid w:val="00DE7DD6"/>
    <w:rsid w:val="00DF04BF"/>
    <w:rsid w:val="00DF1DA5"/>
    <w:rsid w:val="00DF2899"/>
    <w:rsid w:val="00DF4CAE"/>
    <w:rsid w:val="00DF61EF"/>
    <w:rsid w:val="00DF6355"/>
    <w:rsid w:val="00DF64D4"/>
    <w:rsid w:val="00DF65B6"/>
    <w:rsid w:val="00DF6DA2"/>
    <w:rsid w:val="00E0182A"/>
    <w:rsid w:val="00E0232C"/>
    <w:rsid w:val="00E02B50"/>
    <w:rsid w:val="00E032C0"/>
    <w:rsid w:val="00E05AC0"/>
    <w:rsid w:val="00E06E5D"/>
    <w:rsid w:val="00E111AB"/>
    <w:rsid w:val="00E12351"/>
    <w:rsid w:val="00E13315"/>
    <w:rsid w:val="00E1419F"/>
    <w:rsid w:val="00E14AF9"/>
    <w:rsid w:val="00E16A83"/>
    <w:rsid w:val="00E1727D"/>
    <w:rsid w:val="00E21583"/>
    <w:rsid w:val="00E22B14"/>
    <w:rsid w:val="00E23EBD"/>
    <w:rsid w:val="00E249A4"/>
    <w:rsid w:val="00E26259"/>
    <w:rsid w:val="00E26A48"/>
    <w:rsid w:val="00E3036A"/>
    <w:rsid w:val="00E30446"/>
    <w:rsid w:val="00E30B78"/>
    <w:rsid w:val="00E3152B"/>
    <w:rsid w:val="00E31A68"/>
    <w:rsid w:val="00E31CDE"/>
    <w:rsid w:val="00E31D51"/>
    <w:rsid w:val="00E31E5C"/>
    <w:rsid w:val="00E33AFB"/>
    <w:rsid w:val="00E35858"/>
    <w:rsid w:val="00E36303"/>
    <w:rsid w:val="00E40DCF"/>
    <w:rsid w:val="00E41724"/>
    <w:rsid w:val="00E41B1E"/>
    <w:rsid w:val="00E422E7"/>
    <w:rsid w:val="00E42656"/>
    <w:rsid w:val="00E429B1"/>
    <w:rsid w:val="00E447B8"/>
    <w:rsid w:val="00E44821"/>
    <w:rsid w:val="00E453EC"/>
    <w:rsid w:val="00E460B6"/>
    <w:rsid w:val="00E51524"/>
    <w:rsid w:val="00E515F3"/>
    <w:rsid w:val="00E523CD"/>
    <w:rsid w:val="00E52523"/>
    <w:rsid w:val="00E528E1"/>
    <w:rsid w:val="00E549D2"/>
    <w:rsid w:val="00E54FA9"/>
    <w:rsid w:val="00E560A2"/>
    <w:rsid w:val="00E60933"/>
    <w:rsid w:val="00E60F09"/>
    <w:rsid w:val="00E612D5"/>
    <w:rsid w:val="00E61725"/>
    <w:rsid w:val="00E61A85"/>
    <w:rsid w:val="00E627AB"/>
    <w:rsid w:val="00E636A1"/>
    <w:rsid w:val="00E65655"/>
    <w:rsid w:val="00E65DA1"/>
    <w:rsid w:val="00E66142"/>
    <w:rsid w:val="00E6618D"/>
    <w:rsid w:val="00E666D8"/>
    <w:rsid w:val="00E66BAC"/>
    <w:rsid w:val="00E6707C"/>
    <w:rsid w:val="00E67AA8"/>
    <w:rsid w:val="00E67B7E"/>
    <w:rsid w:val="00E67EEE"/>
    <w:rsid w:val="00E71220"/>
    <w:rsid w:val="00E7174F"/>
    <w:rsid w:val="00E71B9C"/>
    <w:rsid w:val="00E7289F"/>
    <w:rsid w:val="00E73A40"/>
    <w:rsid w:val="00E745FC"/>
    <w:rsid w:val="00E751D5"/>
    <w:rsid w:val="00E767FF"/>
    <w:rsid w:val="00E76AC8"/>
    <w:rsid w:val="00E8003A"/>
    <w:rsid w:val="00E80A8D"/>
    <w:rsid w:val="00E8182A"/>
    <w:rsid w:val="00E81C30"/>
    <w:rsid w:val="00E8204D"/>
    <w:rsid w:val="00E82FB9"/>
    <w:rsid w:val="00E830E0"/>
    <w:rsid w:val="00E83163"/>
    <w:rsid w:val="00E8381B"/>
    <w:rsid w:val="00E83D40"/>
    <w:rsid w:val="00E8423F"/>
    <w:rsid w:val="00E85C73"/>
    <w:rsid w:val="00E870B6"/>
    <w:rsid w:val="00E901DF"/>
    <w:rsid w:val="00E909D3"/>
    <w:rsid w:val="00E915E0"/>
    <w:rsid w:val="00E92654"/>
    <w:rsid w:val="00E926AD"/>
    <w:rsid w:val="00E92B15"/>
    <w:rsid w:val="00E92EC7"/>
    <w:rsid w:val="00E941C1"/>
    <w:rsid w:val="00E94CDC"/>
    <w:rsid w:val="00E94D36"/>
    <w:rsid w:val="00E953FC"/>
    <w:rsid w:val="00E9542A"/>
    <w:rsid w:val="00E964F6"/>
    <w:rsid w:val="00E96CA7"/>
    <w:rsid w:val="00E96DF2"/>
    <w:rsid w:val="00E971AE"/>
    <w:rsid w:val="00E973B1"/>
    <w:rsid w:val="00EA1B3B"/>
    <w:rsid w:val="00EA2400"/>
    <w:rsid w:val="00EA34FD"/>
    <w:rsid w:val="00EA3C4F"/>
    <w:rsid w:val="00EA3DBE"/>
    <w:rsid w:val="00EA4070"/>
    <w:rsid w:val="00EA4A44"/>
    <w:rsid w:val="00EA5B1B"/>
    <w:rsid w:val="00EB0359"/>
    <w:rsid w:val="00EB0FF6"/>
    <w:rsid w:val="00EB227D"/>
    <w:rsid w:val="00EB2449"/>
    <w:rsid w:val="00EB2AA1"/>
    <w:rsid w:val="00EB2F8F"/>
    <w:rsid w:val="00EB3577"/>
    <w:rsid w:val="00EB45E3"/>
    <w:rsid w:val="00EB70EC"/>
    <w:rsid w:val="00EC071B"/>
    <w:rsid w:val="00EC0794"/>
    <w:rsid w:val="00EC1EDD"/>
    <w:rsid w:val="00EC2043"/>
    <w:rsid w:val="00EC24E8"/>
    <w:rsid w:val="00EC2AA8"/>
    <w:rsid w:val="00EC3247"/>
    <w:rsid w:val="00EC5249"/>
    <w:rsid w:val="00EC6326"/>
    <w:rsid w:val="00EC76B5"/>
    <w:rsid w:val="00EC7BDE"/>
    <w:rsid w:val="00ED0493"/>
    <w:rsid w:val="00ED1D0A"/>
    <w:rsid w:val="00ED1FBE"/>
    <w:rsid w:val="00ED60C6"/>
    <w:rsid w:val="00ED6DCD"/>
    <w:rsid w:val="00ED7D04"/>
    <w:rsid w:val="00EE08F9"/>
    <w:rsid w:val="00EE0E02"/>
    <w:rsid w:val="00EE1288"/>
    <w:rsid w:val="00EE193B"/>
    <w:rsid w:val="00EE22D9"/>
    <w:rsid w:val="00EE2F02"/>
    <w:rsid w:val="00EE3AA3"/>
    <w:rsid w:val="00EE43FF"/>
    <w:rsid w:val="00EE46CA"/>
    <w:rsid w:val="00EE496D"/>
    <w:rsid w:val="00EE5C27"/>
    <w:rsid w:val="00EE5D27"/>
    <w:rsid w:val="00EE65F4"/>
    <w:rsid w:val="00EE6901"/>
    <w:rsid w:val="00EE6999"/>
    <w:rsid w:val="00EE7593"/>
    <w:rsid w:val="00EF0740"/>
    <w:rsid w:val="00EF2433"/>
    <w:rsid w:val="00EF4364"/>
    <w:rsid w:val="00EF4C52"/>
    <w:rsid w:val="00EF4EA3"/>
    <w:rsid w:val="00EF54A5"/>
    <w:rsid w:val="00EF5611"/>
    <w:rsid w:val="00EF628E"/>
    <w:rsid w:val="00F0018D"/>
    <w:rsid w:val="00F02111"/>
    <w:rsid w:val="00F03CD6"/>
    <w:rsid w:val="00F03D1F"/>
    <w:rsid w:val="00F0453C"/>
    <w:rsid w:val="00F04803"/>
    <w:rsid w:val="00F04AB3"/>
    <w:rsid w:val="00F05DFD"/>
    <w:rsid w:val="00F05F48"/>
    <w:rsid w:val="00F07152"/>
    <w:rsid w:val="00F071F4"/>
    <w:rsid w:val="00F07934"/>
    <w:rsid w:val="00F10504"/>
    <w:rsid w:val="00F1098B"/>
    <w:rsid w:val="00F10B08"/>
    <w:rsid w:val="00F10CF6"/>
    <w:rsid w:val="00F11D8B"/>
    <w:rsid w:val="00F12112"/>
    <w:rsid w:val="00F12622"/>
    <w:rsid w:val="00F12AF1"/>
    <w:rsid w:val="00F12DF7"/>
    <w:rsid w:val="00F14774"/>
    <w:rsid w:val="00F15189"/>
    <w:rsid w:val="00F151CC"/>
    <w:rsid w:val="00F16048"/>
    <w:rsid w:val="00F16EBA"/>
    <w:rsid w:val="00F227E1"/>
    <w:rsid w:val="00F2286D"/>
    <w:rsid w:val="00F231FD"/>
    <w:rsid w:val="00F232EE"/>
    <w:rsid w:val="00F24219"/>
    <w:rsid w:val="00F2527D"/>
    <w:rsid w:val="00F26E4C"/>
    <w:rsid w:val="00F26FD9"/>
    <w:rsid w:val="00F302E3"/>
    <w:rsid w:val="00F30503"/>
    <w:rsid w:val="00F30538"/>
    <w:rsid w:val="00F3243D"/>
    <w:rsid w:val="00F32E01"/>
    <w:rsid w:val="00F334F9"/>
    <w:rsid w:val="00F337E6"/>
    <w:rsid w:val="00F3504D"/>
    <w:rsid w:val="00F35402"/>
    <w:rsid w:val="00F35AA5"/>
    <w:rsid w:val="00F35DC8"/>
    <w:rsid w:val="00F36534"/>
    <w:rsid w:val="00F37383"/>
    <w:rsid w:val="00F37675"/>
    <w:rsid w:val="00F37ACE"/>
    <w:rsid w:val="00F37D82"/>
    <w:rsid w:val="00F37EC0"/>
    <w:rsid w:val="00F40340"/>
    <w:rsid w:val="00F41014"/>
    <w:rsid w:val="00F4178A"/>
    <w:rsid w:val="00F43E98"/>
    <w:rsid w:val="00F440BD"/>
    <w:rsid w:val="00F46093"/>
    <w:rsid w:val="00F504E0"/>
    <w:rsid w:val="00F50C3D"/>
    <w:rsid w:val="00F531CD"/>
    <w:rsid w:val="00F54E27"/>
    <w:rsid w:val="00F56FEB"/>
    <w:rsid w:val="00F62222"/>
    <w:rsid w:val="00F624A7"/>
    <w:rsid w:val="00F64380"/>
    <w:rsid w:val="00F64D74"/>
    <w:rsid w:val="00F64EB8"/>
    <w:rsid w:val="00F65680"/>
    <w:rsid w:val="00F6630D"/>
    <w:rsid w:val="00F663E5"/>
    <w:rsid w:val="00F66B34"/>
    <w:rsid w:val="00F677DA"/>
    <w:rsid w:val="00F67A99"/>
    <w:rsid w:val="00F67E48"/>
    <w:rsid w:val="00F70ED9"/>
    <w:rsid w:val="00F71378"/>
    <w:rsid w:val="00F72F98"/>
    <w:rsid w:val="00F74C77"/>
    <w:rsid w:val="00F74EA2"/>
    <w:rsid w:val="00F75A40"/>
    <w:rsid w:val="00F76B62"/>
    <w:rsid w:val="00F76C9D"/>
    <w:rsid w:val="00F76EDA"/>
    <w:rsid w:val="00F77572"/>
    <w:rsid w:val="00F8002D"/>
    <w:rsid w:val="00F8040D"/>
    <w:rsid w:val="00F80D90"/>
    <w:rsid w:val="00F80F95"/>
    <w:rsid w:val="00F83AB2"/>
    <w:rsid w:val="00F83BDE"/>
    <w:rsid w:val="00F84897"/>
    <w:rsid w:val="00F8494D"/>
    <w:rsid w:val="00F84B7C"/>
    <w:rsid w:val="00F852BB"/>
    <w:rsid w:val="00F8579D"/>
    <w:rsid w:val="00F85FA0"/>
    <w:rsid w:val="00F86342"/>
    <w:rsid w:val="00F86E35"/>
    <w:rsid w:val="00F872D9"/>
    <w:rsid w:val="00F90575"/>
    <w:rsid w:val="00F90E4E"/>
    <w:rsid w:val="00F92582"/>
    <w:rsid w:val="00F958ED"/>
    <w:rsid w:val="00F95D76"/>
    <w:rsid w:val="00F96110"/>
    <w:rsid w:val="00F96C92"/>
    <w:rsid w:val="00F96D28"/>
    <w:rsid w:val="00FA02C3"/>
    <w:rsid w:val="00FA1F61"/>
    <w:rsid w:val="00FA2830"/>
    <w:rsid w:val="00FA292F"/>
    <w:rsid w:val="00FA4881"/>
    <w:rsid w:val="00FA4FA5"/>
    <w:rsid w:val="00FA51DF"/>
    <w:rsid w:val="00FA5F18"/>
    <w:rsid w:val="00FA686C"/>
    <w:rsid w:val="00FB0AD4"/>
    <w:rsid w:val="00FB0B24"/>
    <w:rsid w:val="00FB1071"/>
    <w:rsid w:val="00FB3649"/>
    <w:rsid w:val="00FB376A"/>
    <w:rsid w:val="00FB37DC"/>
    <w:rsid w:val="00FB399B"/>
    <w:rsid w:val="00FB45BB"/>
    <w:rsid w:val="00FB53E3"/>
    <w:rsid w:val="00FB5D7D"/>
    <w:rsid w:val="00FB6190"/>
    <w:rsid w:val="00FB697D"/>
    <w:rsid w:val="00FB7103"/>
    <w:rsid w:val="00FB73DA"/>
    <w:rsid w:val="00FB7734"/>
    <w:rsid w:val="00FC0BEE"/>
    <w:rsid w:val="00FC2678"/>
    <w:rsid w:val="00FC3531"/>
    <w:rsid w:val="00FC62B2"/>
    <w:rsid w:val="00FC7056"/>
    <w:rsid w:val="00FD0E33"/>
    <w:rsid w:val="00FD20B3"/>
    <w:rsid w:val="00FD2774"/>
    <w:rsid w:val="00FD3032"/>
    <w:rsid w:val="00FD3F47"/>
    <w:rsid w:val="00FD483B"/>
    <w:rsid w:val="00FD6A3C"/>
    <w:rsid w:val="00FD6CF2"/>
    <w:rsid w:val="00FE2522"/>
    <w:rsid w:val="00FE33A9"/>
    <w:rsid w:val="00FE3C84"/>
    <w:rsid w:val="00FE5569"/>
    <w:rsid w:val="00FE556D"/>
    <w:rsid w:val="00FE7374"/>
    <w:rsid w:val="00FE766F"/>
    <w:rsid w:val="00FE7973"/>
    <w:rsid w:val="00FE7A82"/>
    <w:rsid w:val="00FF2371"/>
    <w:rsid w:val="00FF3032"/>
    <w:rsid w:val="00FF340B"/>
    <w:rsid w:val="00FF3AFA"/>
    <w:rsid w:val="00FF48A4"/>
    <w:rsid w:val="00FF4FFC"/>
    <w:rsid w:val="00FF582E"/>
    <w:rsid w:val="00FF7FC9"/>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603D5"/>
  <w15:docId w15:val="{3381678C-948D-425D-B0F7-F5C9D53CA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zh-CN" w:bidi="ar-SA"/>
      </w:rPr>
    </w:rPrDefault>
    <w:pPrDefault>
      <w:pPr>
        <w:spacing w:line="360" w:lineRule="auto"/>
        <w:ind w:firstLine="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C44"/>
    <w:rPr>
      <w:sz w:val="22"/>
      <w:szCs w:val="22"/>
      <w:lang w:val="el-GR" w:eastAsia="en-US"/>
    </w:rPr>
  </w:style>
  <w:style w:type="paragraph" w:styleId="Heading1">
    <w:name w:val="heading 1"/>
    <w:basedOn w:val="Normal"/>
    <w:next w:val="Normal"/>
    <w:link w:val="Heading1Char"/>
    <w:uiPriority w:val="9"/>
    <w:qFormat/>
    <w:rsid w:val="004D60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D601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D531D2"/>
    <w:pPr>
      <w:spacing w:line="240" w:lineRule="auto"/>
    </w:pPr>
    <w:rPr>
      <w:sz w:val="20"/>
      <w:szCs w:val="20"/>
    </w:rPr>
  </w:style>
  <w:style w:type="character" w:customStyle="1" w:styleId="FootnoteTextChar">
    <w:name w:val="Footnote Text Char"/>
    <w:link w:val="FootnoteText"/>
    <w:rsid w:val="00D531D2"/>
    <w:rPr>
      <w:sz w:val="20"/>
      <w:szCs w:val="20"/>
    </w:rPr>
  </w:style>
  <w:style w:type="character" w:styleId="FootnoteReference">
    <w:name w:val="footnote reference"/>
    <w:unhideWhenUsed/>
    <w:rsid w:val="00D531D2"/>
    <w:rPr>
      <w:vertAlign w:val="superscript"/>
    </w:rPr>
  </w:style>
  <w:style w:type="paragraph" w:styleId="ListParagraph">
    <w:name w:val="List Paragraph"/>
    <w:basedOn w:val="Normal"/>
    <w:uiPriority w:val="34"/>
    <w:qFormat/>
    <w:rsid w:val="00D531D2"/>
    <w:pPr>
      <w:ind w:left="720"/>
      <w:contextualSpacing/>
    </w:pPr>
  </w:style>
  <w:style w:type="character" w:styleId="Hyperlink">
    <w:name w:val="Hyperlink"/>
    <w:uiPriority w:val="99"/>
    <w:unhideWhenUsed/>
    <w:rsid w:val="00D531D2"/>
    <w:rPr>
      <w:color w:val="0000FF"/>
      <w:u w:val="single"/>
    </w:rPr>
  </w:style>
  <w:style w:type="paragraph" w:styleId="Title">
    <w:name w:val="Title"/>
    <w:basedOn w:val="Normal"/>
    <w:next w:val="Normal"/>
    <w:link w:val="TitleChar"/>
    <w:qFormat/>
    <w:rsid w:val="00D531D2"/>
    <w:pPr>
      <w:pBdr>
        <w:bottom w:val="single" w:sz="4" w:space="1" w:color="auto"/>
      </w:pBdr>
      <w:spacing w:line="240" w:lineRule="auto"/>
      <w:contextualSpacing/>
    </w:pPr>
    <w:rPr>
      <w:rFonts w:ascii="Cambria" w:eastAsia="SimSun" w:hAnsi="Cambria"/>
      <w:spacing w:val="5"/>
      <w:sz w:val="52"/>
      <w:szCs w:val="52"/>
      <w:lang w:val="en-US"/>
    </w:rPr>
  </w:style>
  <w:style w:type="character" w:customStyle="1" w:styleId="TitleChar">
    <w:name w:val="Title Char"/>
    <w:link w:val="Title"/>
    <w:rsid w:val="00D531D2"/>
    <w:rPr>
      <w:rFonts w:ascii="Cambria" w:eastAsia="SimSun" w:hAnsi="Cambria" w:cs="Times New Roman"/>
      <w:spacing w:val="5"/>
      <w:sz w:val="52"/>
      <w:szCs w:val="52"/>
      <w:lang w:val="en-US"/>
    </w:rPr>
  </w:style>
  <w:style w:type="paragraph" w:styleId="PlainText">
    <w:name w:val="Plain Text"/>
    <w:basedOn w:val="Normal"/>
    <w:link w:val="PlainTextChar"/>
    <w:uiPriority w:val="99"/>
    <w:unhideWhenUsed/>
    <w:rsid w:val="00D531D2"/>
    <w:pPr>
      <w:spacing w:line="240" w:lineRule="auto"/>
    </w:pPr>
    <w:rPr>
      <w:rFonts w:eastAsia="Times New Roman"/>
      <w:sz w:val="20"/>
      <w:szCs w:val="21"/>
      <w:lang w:val="en-GB"/>
    </w:rPr>
  </w:style>
  <w:style w:type="character" w:customStyle="1" w:styleId="PlainTextChar">
    <w:name w:val="Plain Text Char"/>
    <w:link w:val="PlainText"/>
    <w:uiPriority w:val="99"/>
    <w:rsid w:val="00D531D2"/>
    <w:rPr>
      <w:rFonts w:ascii="Calibri" w:eastAsia="Times New Roman" w:hAnsi="Calibri" w:cs="Times New Roman"/>
      <w:szCs w:val="21"/>
      <w:lang w:val="en-GB"/>
    </w:rPr>
  </w:style>
  <w:style w:type="paragraph" w:styleId="Header">
    <w:name w:val="header"/>
    <w:basedOn w:val="Normal"/>
    <w:link w:val="HeaderChar"/>
    <w:uiPriority w:val="99"/>
    <w:unhideWhenUsed/>
    <w:rsid w:val="006875B7"/>
    <w:pPr>
      <w:tabs>
        <w:tab w:val="center" w:pos="4153"/>
        <w:tab w:val="right" w:pos="8306"/>
      </w:tabs>
      <w:spacing w:line="240" w:lineRule="auto"/>
    </w:pPr>
  </w:style>
  <w:style w:type="character" w:customStyle="1" w:styleId="HeaderChar">
    <w:name w:val="Header Char"/>
    <w:basedOn w:val="DefaultParagraphFont"/>
    <w:link w:val="Header"/>
    <w:uiPriority w:val="99"/>
    <w:rsid w:val="006875B7"/>
  </w:style>
  <w:style w:type="paragraph" w:styleId="Footer">
    <w:name w:val="footer"/>
    <w:basedOn w:val="Normal"/>
    <w:link w:val="FooterChar"/>
    <w:uiPriority w:val="99"/>
    <w:unhideWhenUsed/>
    <w:rsid w:val="006875B7"/>
    <w:pPr>
      <w:tabs>
        <w:tab w:val="center" w:pos="4153"/>
        <w:tab w:val="right" w:pos="8306"/>
      </w:tabs>
      <w:spacing w:line="240" w:lineRule="auto"/>
    </w:pPr>
  </w:style>
  <w:style w:type="character" w:customStyle="1" w:styleId="FooterChar">
    <w:name w:val="Footer Char"/>
    <w:basedOn w:val="DefaultParagraphFont"/>
    <w:link w:val="Footer"/>
    <w:uiPriority w:val="99"/>
    <w:rsid w:val="006875B7"/>
  </w:style>
  <w:style w:type="table" w:styleId="TableGrid">
    <w:name w:val="Table Grid"/>
    <w:basedOn w:val="TableNormal"/>
    <w:uiPriority w:val="59"/>
    <w:rsid w:val="00A70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A703FC"/>
    <w:rPr>
      <w:color w:val="808080"/>
    </w:rPr>
  </w:style>
  <w:style w:type="paragraph" w:styleId="BalloonText">
    <w:name w:val="Balloon Text"/>
    <w:basedOn w:val="Normal"/>
    <w:link w:val="BalloonTextChar"/>
    <w:uiPriority w:val="99"/>
    <w:semiHidden/>
    <w:unhideWhenUsed/>
    <w:rsid w:val="00A703FC"/>
    <w:pPr>
      <w:spacing w:line="240" w:lineRule="auto"/>
    </w:pPr>
    <w:rPr>
      <w:rFonts w:ascii="Tahoma" w:hAnsi="Tahoma"/>
      <w:sz w:val="16"/>
      <w:szCs w:val="16"/>
    </w:rPr>
  </w:style>
  <w:style w:type="character" w:customStyle="1" w:styleId="BalloonTextChar">
    <w:name w:val="Balloon Text Char"/>
    <w:link w:val="BalloonText"/>
    <w:uiPriority w:val="99"/>
    <w:semiHidden/>
    <w:rsid w:val="00A703FC"/>
    <w:rPr>
      <w:rFonts w:ascii="Tahoma" w:hAnsi="Tahoma" w:cs="Tahoma"/>
      <w:sz w:val="16"/>
      <w:szCs w:val="16"/>
    </w:rPr>
  </w:style>
  <w:style w:type="character" w:customStyle="1" w:styleId="MTEquationSection">
    <w:name w:val="MTEquationSection"/>
    <w:rsid w:val="00A439F2"/>
    <w:rPr>
      <w:rFonts w:ascii="Times New Roman" w:hAnsi="Times New Roman" w:cs="Times New Roman"/>
      <w:b/>
      <w:vanish/>
      <w:color w:val="FF0000"/>
      <w:sz w:val="24"/>
      <w:szCs w:val="24"/>
      <w:lang w:val="en-US"/>
    </w:rPr>
  </w:style>
  <w:style w:type="paragraph" w:customStyle="1" w:styleId="MTDisplayEquation">
    <w:name w:val="MTDisplayEquation"/>
    <w:basedOn w:val="Normal"/>
    <w:next w:val="Normal"/>
    <w:link w:val="MTDisplayEquationChar"/>
    <w:rsid w:val="00A439F2"/>
    <w:pPr>
      <w:tabs>
        <w:tab w:val="center" w:pos="4160"/>
        <w:tab w:val="right" w:pos="8300"/>
      </w:tabs>
    </w:pPr>
    <w:rPr>
      <w:rFonts w:ascii="Times New Roman" w:hAnsi="Times New Roman"/>
      <w:sz w:val="24"/>
      <w:szCs w:val="24"/>
      <w:lang w:val="en-US"/>
    </w:rPr>
  </w:style>
  <w:style w:type="character" w:customStyle="1" w:styleId="MTDisplayEquationChar">
    <w:name w:val="MTDisplayEquation Char"/>
    <w:link w:val="MTDisplayEquation"/>
    <w:rsid w:val="00A439F2"/>
    <w:rPr>
      <w:rFonts w:ascii="Times New Roman" w:hAnsi="Times New Roman" w:cs="Times New Roman"/>
      <w:sz w:val="24"/>
      <w:szCs w:val="24"/>
      <w:lang w:val="en-US"/>
    </w:rPr>
  </w:style>
  <w:style w:type="paragraph" w:styleId="Caption">
    <w:name w:val="caption"/>
    <w:basedOn w:val="Normal"/>
    <w:next w:val="Normal"/>
    <w:uiPriority w:val="35"/>
    <w:unhideWhenUsed/>
    <w:qFormat/>
    <w:rsid w:val="00D433DD"/>
    <w:pPr>
      <w:spacing w:line="240" w:lineRule="auto"/>
    </w:pPr>
    <w:rPr>
      <w:b/>
      <w:bCs/>
      <w:color w:val="4F81BD"/>
      <w:sz w:val="18"/>
      <w:szCs w:val="18"/>
    </w:rPr>
  </w:style>
  <w:style w:type="character" w:styleId="CommentReference">
    <w:name w:val="annotation reference"/>
    <w:uiPriority w:val="99"/>
    <w:semiHidden/>
    <w:unhideWhenUsed/>
    <w:rsid w:val="00F75A40"/>
    <w:rPr>
      <w:sz w:val="16"/>
      <w:szCs w:val="16"/>
    </w:rPr>
  </w:style>
  <w:style w:type="paragraph" w:styleId="CommentText">
    <w:name w:val="annotation text"/>
    <w:basedOn w:val="Normal"/>
    <w:link w:val="CommentTextChar"/>
    <w:uiPriority w:val="99"/>
    <w:semiHidden/>
    <w:unhideWhenUsed/>
    <w:rsid w:val="00F75A40"/>
    <w:pPr>
      <w:spacing w:line="240" w:lineRule="auto"/>
    </w:pPr>
    <w:rPr>
      <w:sz w:val="20"/>
      <w:szCs w:val="20"/>
    </w:rPr>
  </w:style>
  <w:style w:type="character" w:customStyle="1" w:styleId="CommentTextChar">
    <w:name w:val="Comment Text Char"/>
    <w:link w:val="CommentText"/>
    <w:uiPriority w:val="99"/>
    <w:semiHidden/>
    <w:rsid w:val="00F75A40"/>
    <w:rPr>
      <w:sz w:val="20"/>
      <w:szCs w:val="20"/>
    </w:rPr>
  </w:style>
  <w:style w:type="paragraph" w:styleId="CommentSubject">
    <w:name w:val="annotation subject"/>
    <w:basedOn w:val="CommentText"/>
    <w:next w:val="CommentText"/>
    <w:link w:val="CommentSubjectChar"/>
    <w:uiPriority w:val="99"/>
    <w:semiHidden/>
    <w:unhideWhenUsed/>
    <w:rsid w:val="00F75A40"/>
    <w:rPr>
      <w:b/>
      <w:bCs/>
    </w:rPr>
  </w:style>
  <w:style w:type="character" w:customStyle="1" w:styleId="CommentSubjectChar">
    <w:name w:val="Comment Subject Char"/>
    <w:link w:val="CommentSubject"/>
    <w:uiPriority w:val="99"/>
    <w:semiHidden/>
    <w:rsid w:val="00F75A40"/>
    <w:rPr>
      <w:b/>
      <w:bCs/>
      <w:sz w:val="20"/>
      <w:szCs w:val="20"/>
    </w:rPr>
  </w:style>
  <w:style w:type="character" w:styleId="FollowedHyperlink">
    <w:name w:val="FollowedHyperlink"/>
    <w:uiPriority w:val="99"/>
    <w:semiHidden/>
    <w:unhideWhenUsed/>
    <w:rsid w:val="009E6751"/>
    <w:rPr>
      <w:color w:val="800080"/>
      <w:u w:val="single"/>
    </w:rPr>
  </w:style>
  <w:style w:type="paragraph" w:customStyle="1" w:styleId="xl65">
    <w:name w:val="xl65"/>
    <w:basedOn w:val="Normal"/>
    <w:rsid w:val="009E6751"/>
    <w:pPr>
      <w:spacing w:before="100" w:beforeAutospacing="1" w:after="100" w:afterAutospacing="1" w:line="240" w:lineRule="auto"/>
      <w:jc w:val="center"/>
    </w:pPr>
    <w:rPr>
      <w:rFonts w:eastAsia="Times New Roman"/>
      <w:b/>
      <w:bCs/>
      <w:sz w:val="24"/>
      <w:szCs w:val="24"/>
      <w:lang w:eastAsia="el-GR"/>
    </w:rPr>
  </w:style>
  <w:style w:type="paragraph" w:customStyle="1" w:styleId="xl63">
    <w:name w:val="xl63"/>
    <w:basedOn w:val="Normal"/>
    <w:rsid w:val="00C3302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el-GR"/>
    </w:rPr>
  </w:style>
  <w:style w:type="paragraph" w:customStyle="1" w:styleId="xl64">
    <w:name w:val="xl64"/>
    <w:basedOn w:val="Normal"/>
    <w:rsid w:val="00C3302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el-GR"/>
    </w:rPr>
  </w:style>
  <w:style w:type="paragraph" w:customStyle="1" w:styleId="xl66">
    <w:name w:val="xl66"/>
    <w:basedOn w:val="Normal"/>
    <w:rsid w:val="00C33021"/>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el-GR"/>
    </w:rPr>
  </w:style>
  <w:style w:type="paragraph" w:customStyle="1" w:styleId="xl67">
    <w:name w:val="xl67"/>
    <w:basedOn w:val="Normal"/>
    <w:rsid w:val="00C33021"/>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el-GR"/>
    </w:rPr>
  </w:style>
  <w:style w:type="paragraph" w:customStyle="1" w:styleId="xl68">
    <w:name w:val="xl68"/>
    <w:basedOn w:val="Normal"/>
    <w:rsid w:val="00C3302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el-GR"/>
    </w:rPr>
  </w:style>
  <w:style w:type="paragraph" w:customStyle="1" w:styleId="xl69">
    <w:name w:val="xl69"/>
    <w:basedOn w:val="Normal"/>
    <w:rsid w:val="00C3302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el-GR"/>
    </w:rPr>
  </w:style>
  <w:style w:type="paragraph" w:customStyle="1" w:styleId="xl70">
    <w:name w:val="xl70"/>
    <w:basedOn w:val="Normal"/>
    <w:rsid w:val="00C33021"/>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el-GR"/>
    </w:rPr>
  </w:style>
  <w:style w:type="paragraph" w:customStyle="1" w:styleId="xl71">
    <w:name w:val="xl71"/>
    <w:basedOn w:val="Normal"/>
    <w:rsid w:val="00C33021"/>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el-GR"/>
    </w:rPr>
  </w:style>
  <w:style w:type="paragraph" w:customStyle="1" w:styleId="xl72">
    <w:name w:val="xl72"/>
    <w:basedOn w:val="Normal"/>
    <w:rsid w:val="00C33021"/>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el-GR"/>
    </w:rPr>
  </w:style>
  <w:style w:type="paragraph" w:customStyle="1" w:styleId="xl73">
    <w:name w:val="xl73"/>
    <w:basedOn w:val="Normal"/>
    <w:rsid w:val="00C3302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el-GR"/>
    </w:rPr>
  </w:style>
  <w:style w:type="paragraph" w:customStyle="1" w:styleId="xl74">
    <w:name w:val="xl74"/>
    <w:basedOn w:val="Normal"/>
    <w:rsid w:val="00C3302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el-GR"/>
    </w:rPr>
  </w:style>
  <w:style w:type="paragraph" w:customStyle="1" w:styleId="xl75">
    <w:name w:val="xl75"/>
    <w:basedOn w:val="Normal"/>
    <w:rsid w:val="00C33021"/>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el-GR"/>
    </w:rPr>
  </w:style>
  <w:style w:type="paragraph" w:customStyle="1" w:styleId="xl76">
    <w:name w:val="xl76"/>
    <w:basedOn w:val="Normal"/>
    <w:rsid w:val="00C33021"/>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el-GR"/>
    </w:rPr>
  </w:style>
  <w:style w:type="character" w:customStyle="1" w:styleId="Heading1Char">
    <w:name w:val="Heading 1 Char"/>
    <w:basedOn w:val="DefaultParagraphFont"/>
    <w:link w:val="Heading1"/>
    <w:uiPriority w:val="9"/>
    <w:rsid w:val="004D6017"/>
    <w:rPr>
      <w:rFonts w:asciiTheme="majorHAnsi" w:eastAsiaTheme="majorEastAsia" w:hAnsiTheme="majorHAnsi" w:cstheme="majorBidi"/>
      <w:b/>
      <w:bCs/>
      <w:color w:val="365F91" w:themeColor="accent1" w:themeShade="BF"/>
      <w:sz w:val="28"/>
      <w:szCs w:val="28"/>
      <w:lang w:val="el-GR" w:eastAsia="en-US"/>
    </w:rPr>
  </w:style>
  <w:style w:type="character" w:customStyle="1" w:styleId="Heading2Char">
    <w:name w:val="Heading 2 Char"/>
    <w:basedOn w:val="DefaultParagraphFont"/>
    <w:link w:val="Heading2"/>
    <w:uiPriority w:val="9"/>
    <w:rsid w:val="004D6017"/>
    <w:rPr>
      <w:rFonts w:asciiTheme="majorHAnsi" w:eastAsiaTheme="majorEastAsia" w:hAnsiTheme="majorHAnsi" w:cstheme="majorBidi"/>
      <w:b/>
      <w:bCs/>
      <w:color w:val="4F81BD" w:themeColor="accent1"/>
      <w:sz w:val="26"/>
      <w:szCs w:val="26"/>
      <w:lang w:val="el-GR" w:eastAsia="en-US"/>
    </w:rPr>
  </w:style>
  <w:style w:type="character" w:styleId="BookTitle">
    <w:name w:val="Book Title"/>
    <w:basedOn w:val="DefaultParagraphFont"/>
    <w:uiPriority w:val="33"/>
    <w:qFormat/>
    <w:rsid w:val="009C4E20"/>
    <w:rPr>
      <w:b/>
      <w:bCs/>
      <w:smallCaps/>
      <w:spacing w:val="5"/>
    </w:rPr>
  </w:style>
  <w:style w:type="character" w:styleId="IntenseReference">
    <w:name w:val="Intense Reference"/>
    <w:basedOn w:val="DefaultParagraphFont"/>
    <w:uiPriority w:val="32"/>
    <w:qFormat/>
    <w:rsid w:val="009C4E20"/>
    <w:rPr>
      <w:b/>
      <w:bCs/>
      <w:smallCaps/>
      <w:color w:val="C0504D" w:themeColor="accent2"/>
      <w:spacing w:val="5"/>
      <w:u w:val="single"/>
    </w:rPr>
  </w:style>
  <w:style w:type="paragraph" w:styleId="Subtitle">
    <w:name w:val="Subtitle"/>
    <w:basedOn w:val="Normal"/>
    <w:next w:val="Normal"/>
    <w:link w:val="SubtitleChar"/>
    <w:uiPriority w:val="11"/>
    <w:qFormat/>
    <w:rsid w:val="009C4E20"/>
    <w:pPr>
      <w:numPr>
        <w:ilvl w:val="1"/>
      </w:numPr>
      <w:ind w:firstLine="39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C4E20"/>
    <w:rPr>
      <w:rFonts w:asciiTheme="majorHAnsi" w:eastAsiaTheme="majorEastAsia" w:hAnsiTheme="majorHAnsi" w:cstheme="majorBidi"/>
      <w:i/>
      <w:iCs/>
      <w:color w:val="4F81BD" w:themeColor="accent1"/>
      <w:spacing w:val="15"/>
      <w:sz w:val="24"/>
      <w:szCs w:val="24"/>
      <w:lang w:val="el-GR" w:eastAsia="en-US"/>
    </w:rPr>
  </w:style>
  <w:style w:type="paragraph" w:styleId="Revision">
    <w:name w:val="Revision"/>
    <w:hidden/>
    <w:uiPriority w:val="99"/>
    <w:semiHidden/>
    <w:rsid w:val="00BA4AEA"/>
    <w:rPr>
      <w:sz w:val="22"/>
      <w:szCs w:val="22"/>
      <w:lang w:val="el-GR" w:eastAsia="en-US"/>
    </w:rPr>
  </w:style>
  <w:style w:type="paragraph" w:styleId="NormalWeb">
    <w:name w:val="Normal (Web)"/>
    <w:basedOn w:val="Normal"/>
    <w:uiPriority w:val="99"/>
    <w:unhideWhenUsed/>
    <w:rsid w:val="00851781"/>
    <w:pPr>
      <w:spacing w:before="100" w:beforeAutospacing="1" w:after="100" w:afterAutospacing="1" w:line="240" w:lineRule="auto"/>
    </w:pPr>
    <w:rPr>
      <w:rFonts w:ascii="Times New Roman" w:eastAsia="Times New Roman" w:hAnsi="Times New Roman"/>
      <w:sz w:val="24"/>
      <w:szCs w:val="24"/>
      <w:lang w:val="en-US"/>
    </w:rPr>
  </w:style>
  <w:style w:type="paragraph" w:styleId="Bibliography">
    <w:name w:val="Bibliography"/>
    <w:basedOn w:val="Normal"/>
    <w:next w:val="Normal"/>
    <w:uiPriority w:val="37"/>
    <w:unhideWhenUsed/>
    <w:rsid w:val="00562E03"/>
    <w:pPr>
      <w:spacing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35966">
      <w:bodyDiv w:val="1"/>
      <w:marLeft w:val="0"/>
      <w:marRight w:val="0"/>
      <w:marTop w:val="0"/>
      <w:marBottom w:val="0"/>
      <w:divBdr>
        <w:top w:val="none" w:sz="0" w:space="0" w:color="auto"/>
        <w:left w:val="none" w:sz="0" w:space="0" w:color="auto"/>
        <w:bottom w:val="none" w:sz="0" w:space="0" w:color="auto"/>
        <w:right w:val="none" w:sz="0" w:space="0" w:color="auto"/>
      </w:divBdr>
    </w:div>
    <w:div w:id="74589841">
      <w:bodyDiv w:val="1"/>
      <w:marLeft w:val="0"/>
      <w:marRight w:val="0"/>
      <w:marTop w:val="0"/>
      <w:marBottom w:val="0"/>
      <w:divBdr>
        <w:top w:val="none" w:sz="0" w:space="0" w:color="auto"/>
        <w:left w:val="none" w:sz="0" w:space="0" w:color="auto"/>
        <w:bottom w:val="none" w:sz="0" w:space="0" w:color="auto"/>
        <w:right w:val="none" w:sz="0" w:space="0" w:color="auto"/>
      </w:divBdr>
    </w:div>
    <w:div w:id="104009399">
      <w:bodyDiv w:val="1"/>
      <w:marLeft w:val="0"/>
      <w:marRight w:val="0"/>
      <w:marTop w:val="0"/>
      <w:marBottom w:val="0"/>
      <w:divBdr>
        <w:top w:val="none" w:sz="0" w:space="0" w:color="auto"/>
        <w:left w:val="none" w:sz="0" w:space="0" w:color="auto"/>
        <w:bottom w:val="none" w:sz="0" w:space="0" w:color="auto"/>
        <w:right w:val="none" w:sz="0" w:space="0" w:color="auto"/>
      </w:divBdr>
      <w:divsChild>
        <w:div w:id="1863669776">
          <w:marLeft w:val="0"/>
          <w:marRight w:val="0"/>
          <w:marTop w:val="0"/>
          <w:marBottom w:val="0"/>
          <w:divBdr>
            <w:top w:val="none" w:sz="0" w:space="0" w:color="auto"/>
            <w:left w:val="none" w:sz="0" w:space="0" w:color="auto"/>
            <w:bottom w:val="none" w:sz="0" w:space="0" w:color="auto"/>
            <w:right w:val="none" w:sz="0" w:space="0" w:color="auto"/>
          </w:divBdr>
        </w:div>
      </w:divsChild>
    </w:div>
    <w:div w:id="115680148">
      <w:bodyDiv w:val="1"/>
      <w:marLeft w:val="0"/>
      <w:marRight w:val="0"/>
      <w:marTop w:val="0"/>
      <w:marBottom w:val="0"/>
      <w:divBdr>
        <w:top w:val="none" w:sz="0" w:space="0" w:color="auto"/>
        <w:left w:val="none" w:sz="0" w:space="0" w:color="auto"/>
        <w:bottom w:val="none" w:sz="0" w:space="0" w:color="auto"/>
        <w:right w:val="none" w:sz="0" w:space="0" w:color="auto"/>
      </w:divBdr>
      <w:divsChild>
        <w:div w:id="1817260729">
          <w:marLeft w:val="0"/>
          <w:marRight w:val="0"/>
          <w:marTop w:val="0"/>
          <w:marBottom w:val="0"/>
          <w:divBdr>
            <w:top w:val="none" w:sz="0" w:space="0" w:color="auto"/>
            <w:left w:val="none" w:sz="0" w:space="0" w:color="auto"/>
            <w:bottom w:val="none" w:sz="0" w:space="0" w:color="auto"/>
            <w:right w:val="none" w:sz="0" w:space="0" w:color="auto"/>
          </w:divBdr>
        </w:div>
      </w:divsChild>
    </w:div>
    <w:div w:id="127285683">
      <w:bodyDiv w:val="1"/>
      <w:marLeft w:val="0"/>
      <w:marRight w:val="0"/>
      <w:marTop w:val="0"/>
      <w:marBottom w:val="0"/>
      <w:divBdr>
        <w:top w:val="none" w:sz="0" w:space="0" w:color="auto"/>
        <w:left w:val="none" w:sz="0" w:space="0" w:color="auto"/>
        <w:bottom w:val="none" w:sz="0" w:space="0" w:color="auto"/>
        <w:right w:val="none" w:sz="0" w:space="0" w:color="auto"/>
      </w:divBdr>
      <w:divsChild>
        <w:div w:id="1796288018">
          <w:marLeft w:val="0"/>
          <w:marRight w:val="0"/>
          <w:marTop w:val="0"/>
          <w:marBottom w:val="0"/>
          <w:divBdr>
            <w:top w:val="none" w:sz="0" w:space="0" w:color="auto"/>
            <w:left w:val="none" w:sz="0" w:space="0" w:color="auto"/>
            <w:bottom w:val="none" w:sz="0" w:space="0" w:color="auto"/>
            <w:right w:val="none" w:sz="0" w:space="0" w:color="auto"/>
          </w:divBdr>
        </w:div>
      </w:divsChild>
    </w:div>
    <w:div w:id="154348147">
      <w:bodyDiv w:val="1"/>
      <w:marLeft w:val="0"/>
      <w:marRight w:val="0"/>
      <w:marTop w:val="0"/>
      <w:marBottom w:val="0"/>
      <w:divBdr>
        <w:top w:val="none" w:sz="0" w:space="0" w:color="auto"/>
        <w:left w:val="none" w:sz="0" w:space="0" w:color="auto"/>
        <w:bottom w:val="none" w:sz="0" w:space="0" w:color="auto"/>
        <w:right w:val="none" w:sz="0" w:space="0" w:color="auto"/>
      </w:divBdr>
      <w:divsChild>
        <w:div w:id="1047677394">
          <w:marLeft w:val="0"/>
          <w:marRight w:val="0"/>
          <w:marTop w:val="0"/>
          <w:marBottom w:val="0"/>
          <w:divBdr>
            <w:top w:val="none" w:sz="0" w:space="0" w:color="auto"/>
            <w:left w:val="none" w:sz="0" w:space="0" w:color="auto"/>
            <w:bottom w:val="none" w:sz="0" w:space="0" w:color="auto"/>
            <w:right w:val="none" w:sz="0" w:space="0" w:color="auto"/>
          </w:divBdr>
        </w:div>
      </w:divsChild>
    </w:div>
    <w:div w:id="268894627">
      <w:bodyDiv w:val="1"/>
      <w:marLeft w:val="0"/>
      <w:marRight w:val="0"/>
      <w:marTop w:val="0"/>
      <w:marBottom w:val="0"/>
      <w:divBdr>
        <w:top w:val="none" w:sz="0" w:space="0" w:color="auto"/>
        <w:left w:val="none" w:sz="0" w:space="0" w:color="auto"/>
        <w:bottom w:val="none" w:sz="0" w:space="0" w:color="auto"/>
        <w:right w:val="none" w:sz="0" w:space="0" w:color="auto"/>
      </w:divBdr>
      <w:divsChild>
        <w:div w:id="143589717">
          <w:marLeft w:val="0"/>
          <w:marRight w:val="0"/>
          <w:marTop w:val="0"/>
          <w:marBottom w:val="0"/>
          <w:divBdr>
            <w:top w:val="none" w:sz="0" w:space="0" w:color="auto"/>
            <w:left w:val="none" w:sz="0" w:space="0" w:color="auto"/>
            <w:bottom w:val="none" w:sz="0" w:space="0" w:color="auto"/>
            <w:right w:val="none" w:sz="0" w:space="0" w:color="auto"/>
          </w:divBdr>
        </w:div>
      </w:divsChild>
    </w:div>
    <w:div w:id="315453656">
      <w:bodyDiv w:val="1"/>
      <w:marLeft w:val="0"/>
      <w:marRight w:val="0"/>
      <w:marTop w:val="0"/>
      <w:marBottom w:val="0"/>
      <w:divBdr>
        <w:top w:val="none" w:sz="0" w:space="0" w:color="auto"/>
        <w:left w:val="none" w:sz="0" w:space="0" w:color="auto"/>
        <w:bottom w:val="none" w:sz="0" w:space="0" w:color="auto"/>
        <w:right w:val="none" w:sz="0" w:space="0" w:color="auto"/>
      </w:divBdr>
      <w:divsChild>
        <w:div w:id="2049446737">
          <w:marLeft w:val="0"/>
          <w:marRight w:val="0"/>
          <w:marTop w:val="0"/>
          <w:marBottom w:val="0"/>
          <w:divBdr>
            <w:top w:val="none" w:sz="0" w:space="0" w:color="auto"/>
            <w:left w:val="none" w:sz="0" w:space="0" w:color="auto"/>
            <w:bottom w:val="none" w:sz="0" w:space="0" w:color="auto"/>
            <w:right w:val="none" w:sz="0" w:space="0" w:color="auto"/>
          </w:divBdr>
        </w:div>
      </w:divsChild>
    </w:div>
    <w:div w:id="326053987">
      <w:bodyDiv w:val="1"/>
      <w:marLeft w:val="0"/>
      <w:marRight w:val="0"/>
      <w:marTop w:val="0"/>
      <w:marBottom w:val="0"/>
      <w:divBdr>
        <w:top w:val="none" w:sz="0" w:space="0" w:color="auto"/>
        <w:left w:val="none" w:sz="0" w:space="0" w:color="auto"/>
        <w:bottom w:val="none" w:sz="0" w:space="0" w:color="auto"/>
        <w:right w:val="none" w:sz="0" w:space="0" w:color="auto"/>
      </w:divBdr>
      <w:divsChild>
        <w:div w:id="1818186158">
          <w:marLeft w:val="0"/>
          <w:marRight w:val="0"/>
          <w:marTop w:val="0"/>
          <w:marBottom w:val="0"/>
          <w:divBdr>
            <w:top w:val="none" w:sz="0" w:space="0" w:color="auto"/>
            <w:left w:val="none" w:sz="0" w:space="0" w:color="auto"/>
            <w:bottom w:val="none" w:sz="0" w:space="0" w:color="auto"/>
            <w:right w:val="none" w:sz="0" w:space="0" w:color="auto"/>
          </w:divBdr>
        </w:div>
      </w:divsChild>
    </w:div>
    <w:div w:id="326520744">
      <w:bodyDiv w:val="1"/>
      <w:marLeft w:val="0"/>
      <w:marRight w:val="0"/>
      <w:marTop w:val="0"/>
      <w:marBottom w:val="0"/>
      <w:divBdr>
        <w:top w:val="none" w:sz="0" w:space="0" w:color="auto"/>
        <w:left w:val="none" w:sz="0" w:space="0" w:color="auto"/>
        <w:bottom w:val="none" w:sz="0" w:space="0" w:color="auto"/>
        <w:right w:val="none" w:sz="0" w:space="0" w:color="auto"/>
      </w:divBdr>
    </w:div>
    <w:div w:id="332806307">
      <w:bodyDiv w:val="1"/>
      <w:marLeft w:val="0"/>
      <w:marRight w:val="0"/>
      <w:marTop w:val="0"/>
      <w:marBottom w:val="0"/>
      <w:divBdr>
        <w:top w:val="none" w:sz="0" w:space="0" w:color="auto"/>
        <w:left w:val="none" w:sz="0" w:space="0" w:color="auto"/>
        <w:bottom w:val="none" w:sz="0" w:space="0" w:color="auto"/>
        <w:right w:val="none" w:sz="0" w:space="0" w:color="auto"/>
      </w:divBdr>
      <w:divsChild>
        <w:div w:id="737705900">
          <w:marLeft w:val="0"/>
          <w:marRight w:val="0"/>
          <w:marTop w:val="0"/>
          <w:marBottom w:val="0"/>
          <w:divBdr>
            <w:top w:val="none" w:sz="0" w:space="0" w:color="auto"/>
            <w:left w:val="none" w:sz="0" w:space="0" w:color="auto"/>
            <w:bottom w:val="none" w:sz="0" w:space="0" w:color="auto"/>
            <w:right w:val="none" w:sz="0" w:space="0" w:color="auto"/>
          </w:divBdr>
        </w:div>
      </w:divsChild>
    </w:div>
    <w:div w:id="361321149">
      <w:bodyDiv w:val="1"/>
      <w:marLeft w:val="0"/>
      <w:marRight w:val="0"/>
      <w:marTop w:val="0"/>
      <w:marBottom w:val="0"/>
      <w:divBdr>
        <w:top w:val="none" w:sz="0" w:space="0" w:color="auto"/>
        <w:left w:val="none" w:sz="0" w:space="0" w:color="auto"/>
        <w:bottom w:val="none" w:sz="0" w:space="0" w:color="auto"/>
        <w:right w:val="none" w:sz="0" w:space="0" w:color="auto"/>
      </w:divBdr>
      <w:divsChild>
        <w:div w:id="1081214890">
          <w:marLeft w:val="0"/>
          <w:marRight w:val="0"/>
          <w:marTop w:val="0"/>
          <w:marBottom w:val="0"/>
          <w:divBdr>
            <w:top w:val="none" w:sz="0" w:space="0" w:color="auto"/>
            <w:left w:val="none" w:sz="0" w:space="0" w:color="auto"/>
            <w:bottom w:val="none" w:sz="0" w:space="0" w:color="auto"/>
            <w:right w:val="none" w:sz="0" w:space="0" w:color="auto"/>
          </w:divBdr>
        </w:div>
      </w:divsChild>
    </w:div>
    <w:div w:id="378818605">
      <w:bodyDiv w:val="1"/>
      <w:marLeft w:val="0"/>
      <w:marRight w:val="0"/>
      <w:marTop w:val="0"/>
      <w:marBottom w:val="0"/>
      <w:divBdr>
        <w:top w:val="none" w:sz="0" w:space="0" w:color="auto"/>
        <w:left w:val="none" w:sz="0" w:space="0" w:color="auto"/>
        <w:bottom w:val="none" w:sz="0" w:space="0" w:color="auto"/>
        <w:right w:val="none" w:sz="0" w:space="0" w:color="auto"/>
      </w:divBdr>
      <w:divsChild>
        <w:div w:id="1663466071">
          <w:marLeft w:val="0"/>
          <w:marRight w:val="0"/>
          <w:marTop w:val="0"/>
          <w:marBottom w:val="0"/>
          <w:divBdr>
            <w:top w:val="none" w:sz="0" w:space="0" w:color="auto"/>
            <w:left w:val="none" w:sz="0" w:space="0" w:color="auto"/>
            <w:bottom w:val="none" w:sz="0" w:space="0" w:color="auto"/>
            <w:right w:val="none" w:sz="0" w:space="0" w:color="auto"/>
          </w:divBdr>
        </w:div>
      </w:divsChild>
    </w:div>
    <w:div w:id="501434055">
      <w:bodyDiv w:val="1"/>
      <w:marLeft w:val="0"/>
      <w:marRight w:val="0"/>
      <w:marTop w:val="0"/>
      <w:marBottom w:val="0"/>
      <w:divBdr>
        <w:top w:val="none" w:sz="0" w:space="0" w:color="auto"/>
        <w:left w:val="none" w:sz="0" w:space="0" w:color="auto"/>
        <w:bottom w:val="none" w:sz="0" w:space="0" w:color="auto"/>
        <w:right w:val="none" w:sz="0" w:space="0" w:color="auto"/>
      </w:divBdr>
      <w:divsChild>
        <w:div w:id="1893032207">
          <w:marLeft w:val="0"/>
          <w:marRight w:val="0"/>
          <w:marTop w:val="0"/>
          <w:marBottom w:val="0"/>
          <w:divBdr>
            <w:top w:val="none" w:sz="0" w:space="0" w:color="auto"/>
            <w:left w:val="none" w:sz="0" w:space="0" w:color="auto"/>
            <w:bottom w:val="none" w:sz="0" w:space="0" w:color="auto"/>
            <w:right w:val="none" w:sz="0" w:space="0" w:color="auto"/>
          </w:divBdr>
        </w:div>
      </w:divsChild>
    </w:div>
    <w:div w:id="505171955">
      <w:bodyDiv w:val="1"/>
      <w:marLeft w:val="0"/>
      <w:marRight w:val="0"/>
      <w:marTop w:val="0"/>
      <w:marBottom w:val="0"/>
      <w:divBdr>
        <w:top w:val="none" w:sz="0" w:space="0" w:color="auto"/>
        <w:left w:val="none" w:sz="0" w:space="0" w:color="auto"/>
        <w:bottom w:val="none" w:sz="0" w:space="0" w:color="auto"/>
        <w:right w:val="none" w:sz="0" w:space="0" w:color="auto"/>
      </w:divBdr>
    </w:div>
    <w:div w:id="518936606">
      <w:bodyDiv w:val="1"/>
      <w:marLeft w:val="0"/>
      <w:marRight w:val="0"/>
      <w:marTop w:val="0"/>
      <w:marBottom w:val="0"/>
      <w:divBdr>
        <w:top w:val="none" w:sz="0" w:space="0" w:color="auto"/>
        <w:left w:val="none" w:sz="0" w:space="0" w:color="auto"/>
        <w:bottom w:val="none" w:sz="0" w:space="0" w:color="auto"/>
        <w:right w:val="none" w:sz="0" w:space="0" w:color="auto"/>
      </w:divBdr>
      <w:divsChild>
        <w:div w:id="1481195285">
          <w:marLeft w:val="0"/>
          <w:marRight w:val="0"/>
          <w:marTop w:val="0"/>
          <w:marBottom w:val="0"/>
          <w:divBdr>
            <w:top w:val="none" w:sz="0" w:space="0" w:color="auto"/>
            <w:left w:val="none" w:sz="0" w:space="0" w:color="auto"/>
            <w:bottom w:val="none" w:sz="0" w:space="0" w:color="auto"/>
            <w:right w:val="none" w:sz="0" w:space="0" w:color="auto"/>
          </w:divBdr>
        </w:div>
      </w:divsChild>
    </w:div>
    <w:div w:id="560601288">
      <w:bodyDiv w:val="1"/>
      <w:marLeft w:val="0"/>
      <w:marRight w:val="0"/>
      <w:marTop w:val="0"/>
      <w:marBottom w:val="0"/>
      <w:divBdr>
        <w:top w:val="none" w:sz="0" w:space="0" w:color="auto"/>
        <w:left w:val="none" w:sz="0" w:space="0" w:color="auto"/>
        <w:bottom w:val="none" w:sz="0" w:space="0" w:color="auto"/>
        <w:right w:val="none" w:sz="0" w:space="0" w:color="auto"/>
      </w:divBdr>
      <w:divsChild>
        <w:div w:id="1181119467">
          <w:marLeft w:val="0"/>
          <w:marRight w:val="0"/>
          <w:marTop w:val="0"/>
          <w:marBottom w:val="0"/>
          <w:divBdr>
            <w:top w:val="none" w:sz="0" w:space="0" w:color="auto"/>
            <w:left w:val="none" w:sz="0" w:space="0" w:color="auto"/>
            <w:bottom w:val="none" w:sz="0" w:space="0" w:color="auto"/>
            <w:right w:val="none" w:sz="0" w:space="0" w:color="auto"/>
          </w:divBdr>
        </w:div>
      </w:divsChild>
    </w:div>
    <w:div w:id="586623286">
      <w:bodyDiv w:val="1"/>
      <w:marLeft w:val="0"/>
      <w:marRight w:val="0"/>
      <w:marTop w:val="0"/>
      <w:marBottom w:val="0"/>
      <w:divBdr>
        <w:top w:val="none" w:sz="0" w:space="0" w:color="auto"/>
        <w:left w:val="none" w:sz="0" w:space="0" w:color="auto"/>
        <w:bottom w:val="none" w:sz="0" w:space="0" w:color="auto"/>
        <w:right w:val="none" w:sz="0" w:space="0" w:color="auto"/>
      </w:divBdr>
    </w:div>
    <w:div w:id="594292054">
      <w:bodyDiv w:val="1"/>
      <w:marLeft w:val="0"/>
      <w:marRight w:val="0"/>
      <w:marTop w:val="0"/>
      <w:marBottom w:val="0"/>
      <w:divBdr>
        <w:top w:val="none" w:sz="0" w:space="0" w:color="auto"/>
        <w:left w:val="none" w:sz="0" w:space="0" w:color="auto"/>
        <w:bottom w:val="none" w:sz="0" w:space="0" w:color="auto"/>
        <w:right w:val="none" w:sz="0" w:space="0" w:color="auto"/>
      </w:divBdr>
      <w:divsChild>
        <w:div w:id="870532138">
          <w:marLeft w:val="0"/>
          <w:marRight w:val="0"/>
          <w:marTop w:val="0"/>
          <w:marBottom w:val="0"/>
          <w:divBdr>
            <w:top w:val="none" w:sz="0" w:space="0" w:color="auto"/>
            <w:left w:val="none" w:sz="0" w:space="0" w:color="auto"/>
            <w:bottom w:val="none" w:sz="0" w:space="0" w:color="auto"/>
            <w:right w:val="none" w:sz="0" w:space="0" w:color="auto"/>
          </w:divBdr>
        </w:div>
      </w:divsChild>
    </w:div>
    <w:div w:id="634600826">
      <w:bodyDiv w:val="1"/>
      <w:marLeft w:val="0"/>
      <w:marRight w:val="0"/>
      <w:marTop w:val="0"/>
      <w:marBottom w:val="0"/>
      <w:divBdr>
        <w:top w:val="none" w:sz="0" w:space="0" w:color="auto"/>
        <w:left w:val="none" w:sz="0" w:space="0" w:color="auto"/>
        <w:bottom w:val="none" w:sz="0" w:space="0" w:color="auto"/>
        <w:right w:val="none" w:sz="0" w:space="0" w:color="auto"/>
      </w:divBdr>
    </w:div>
    <w:div w:id="650056983">
      <w:bodyDiv w:val="1"/>
      <w:marLeft w:val="0"/>
      <w:marRight w:val="0"/>
      <w:marTop w:val="0"/>
      <w:marBottom w:val="0"/>
      <w:divBdr>
        <w:top w:val="none" w:sz="0" w:space="0" w:color="auto"/>
        <w:left w:val="none" w:sz="0" w:space="0" w:color="auto"/>
        <w:bottom w:val="none" w:sz="0" w:space="0" w:color="auto"/>
        <w:right w:val="none" w:sz="0" w:space="0" w:color="auto"/>
      </w:divBdr>
    </w:div>
    <w:div w:id="699552267">
      <w:bodyDiv w:val="1"/>
      <w:marLeft w:val="0"/>
      <w:marRight w:val="0"/>
      <w:marTop w:val="0"/>
      <w:marBottom w:val="0"/>
      <w:divBdr>
        <w:top w:val="none" w:sz="0" w:space="0" w:color="auto"/>
        <w:left w:val="none" w:sz="0" w:space="0" w:color="auto"/>
        <w:bottom w:val="none" w:sz="0" w:space="0" w:color="auto"/>
        <w:right w:val="none" w:sz="0" w:space="0" w:color="auto"/>
      </w:divBdr>
      <w:divsChild>
        <w:div w:id="953638923">
          <w:marLeft w:val="0"/>
          <w:marRight w:val="0"/>
          <w:marTop w:val="0"/>
          <w:marBottom w:val="0"/>
          <w:divBdr>
            <w:top w:val="none" w:sz="0" w:space="0" w:color="auto"/>
            <w:left w:val="none" w:sz="0" w:space="0" w:color="auto"/>
            <w:bottom w:val="none" w:sz="0" w:space="0" w:color="auto"/>
            <w:right w:val="none" w:sz="0" w:space="0" w:color="auto"/>
          </w:divBdr>
        </w:div>
      </w:divsChild>
    </w:div>
    <w:div w:id="734089334">
      <w:bodyDiv w:val="1"/>
      <w:marLeft w:val="0"/>
      <w:marRight w:val="0"/>
      <w:marTop w:val="0"/>
      <w:marBottom w:val="0"/>
      <w:divBdr>
        <w:top w:val="none" w:sz="0" w:space="0" w:color="auto"/>
        <w:left w:val="none" w:sz="0" w:space="0" w:color="auto"/>
        <w:bottom w:val="none" w:sz="0" w:space="0" w:color="auto"/>
        <w:right w:val="none" w:sz="0" w:space="0" w:color="auto"/>
      </w:divBdr>
      <w:divsChild>
        <w:div w:id="1991901752">
          <w:marLeft w:val="0"/>
          <w:marRight w:val="0"/>
          <w:marTop w:val="0"/>
          <w:marBottom w:val="0"/>
          <w:divBdr>
            <w:top w:val="none" w:sz="0" w:space="0" w:color="auto"/>
            <w:left w:val="none" w:sz="0" w:space="0" w:color="auto"/>
            <w:bottom w:val="none" w:sz="0" w:space="0" w:color="auto"/>
            <w:right w:val="none" w:sz="0" w:space="0" w:color="auto"/>
          </w:divBdr>
        </w:div>
      </w:divsChild>
    </w:div>
    <w:div w:id="771632073">
      <w:bodyDiv w:val="1"/>
      <w:marLeft w:val="0"/>
      <w:marRight w:val="0"/>
      <w:marTop w:val="0"/>
      <w:marBottom w:val="0"/>
      <w:divBdr>
        <w:top w:val="none" w:sz="0" w:space="0" w:color="auto"/>
        <w:left w:val="none" w:sz="0" w:space="0" w:color="auto"/>
        <w:bottom w:val="none" w:sz="0" w:space="0" w:color="auto"/>
        <w:right w:val="none" w:sz="0" w:space="0" w:color="auto"/>
      </w:divBdr>
    </w:div>
    <w:div w:id="775826762">
      <w:bodyDiv w:val="1"/>
      <w:marLeft w:val="0"/>
      <w:marRight w:val="0"/>
      <w:marTop w:val="0"/>
      <w:marBottom w:val="0"/>
      <w:divBdr>
        <w:top w:val="none" w:sz="0" w:space="0" w:color="auto"/>
        <w:left w:val="none" w:sz="0" w:space="0" w:color="auto"/>
        <w:bottom w:val="none" w:sz="0" w:space="0" w:color="auto"/>
        <w:right w:val="none" w:sz="0" w:space="0" w:color="auto"/>
      </w:divBdr>
    </w:div>
    <w:div w:id="786506550">
      <w:bodyDiv w:val="1"/>
      <w:marLeft w:val="0"/>
      <w:marRight w:val="0"/>
      <w:marTop w:val="0"/>
      <w:marBottom w:val="0"/>
      <w:divBdr>
        <w:top w:val="none" w:sz="0" w:space="0" w:color="auto"/>
        <w:left w:val="none" w:sz="0" w:space="0" w:color="auto"/>
        <w:bottom w:val="none" w:sz="0" w:space="0" w:color="auto"/>
        <w:right w:val="none" w:sz="0" w:space="0" w:color="auto"/>
      </w:divBdr>
      <w:divsChild>
        <w:div w:id="2014527770">
          <w:marLeft w:val="0"/>
          <w:marRight w:val="0"/>
          <w:marTop w:val="0"/>
          <w:marBottom w:val="0"/>
          <w:divBdr>
            <w:top w:val="none" w:sz="0" w:space="0" w:color="auto"/>
            <w:left w:val="none" w:sz="0" w:space="0" w:color="auto"/>
            <w:bottom w:val="none" w:sz="0" w:space="0" w:color="auto"/>
            <w:right w:val="none" w:sz="0" w:space="0" w:color="auto"/>
          </w:divBdr>
        </w:div>
      </w:divsChild>
    </w:div>
    <w:div w:id="799303796">
      <w:bodyDiv w:val="1"/>
      <w:marLeft w:val="0"/>
      <w:marRight w:val="0"/>
      <w:marTop w:val="0"/>
      <w:marBottom w:val="0"/>
      <w:divBdr>
        <w:top w:val="none" w:sz="0" w:space="0" w:color="auto"/>
        <w:left w:val="none" w:sz="0" w:space="0" w:color="auto"/>
        <w:bottom w:val="none" w:sz="0" w:space="0" w:color="auto"/>
        <w:right w:val="none" w:sz="0" w:space="0" w:color="auto"/>
      </w:divBdr>
    </w:div>
    <w:div w:id="811099815">
      <w:bodyDiv w:val="1"/>
      <w:marLeft w:val="0"/>
      <w:marRight w:val="0"/>
      <w:marTop w:val="0"/>
      <w:marBottom w:val="0"/>
      <w:divBdr>
        <w:top w:val="none" w:sz="0" w:space="0" w:color="auto"/>
        <w:left w:val="none" w:sz="0" w:space="0" w:color="auto"/>
        <w:bottom w:val="none" w:sz="0" w:space="0" w:color="auto"/>
        <w:right w:val="none" w:sz="0" w:space="0" w:color="auto"/>
      </w:divBdr>
    </w:div>
    <w:div w:id="848638973">
      <w:bodyDiv w:val="1"/>
      <w:marLeft w:val="0"/>
      <w:marRight w:val="0"/>
      <w:marTop w:val="0"/>
      <w:marBottom w:val="0"/>
      <w:divBdr>
        <w:top w:val="none" w:sz="0" w:space="0" w:color="auto"/>
        <w:left w:val="none" w:sz="0" w:space="0" w:color="auto"/>
        <w:bottom w:val="none" w:sz="0" w:space="0" w:color="auto"/>
        <w:right w:val="none" w:sz="0" w:space="0" w:color="auto"/>
      </w:divBdr>
    </w:div>
    <w:div w:id="916943406">
      <w:bodyDiv w:val="1"/>
      <w:marLeft w:val="0"/>
      <w:marRight w:val="0"/>
      <w:marTop w:val="0"/>
      <w:marBottom w:val="0"/>
      <w:divBdr>
        <w:top w:val="none" w:sz="0" w:space="0" w:color="auto"/>
        <w:left w:val="none" w:sz="0" w:space="0" w:color="auto"/>
        <w:bottom w:val="none" w:sz="0" w:space="0" w:color="auto"/>
        <w:right w:val="none" w:sz="0" w:space="0" w:color="auto"/>
      </w:divBdr>
    </w:div>
    <w:div w:id="941107524">
      <w:bodyDiv w:val="1"/>
      <w:marLeft w:val="0"/>
      <w:marRight w:val="0"/>
      <w:marTop w:val="0"/>
      <w:marBottom w:val="0"/>
      <w:divBdr>
        <w:top w:val="none" w:sz="0" w:space="0" w:color="auto"/>
        <w:left w:val="none" w:sz="0" w:space="0" w:color="auto"/>
        <w:bottom w:val="none" w:sz="0" w:space="0" w:color="auto"/>
        <w:right w:val="none" w:sz="0" w:space="0" w:color="auto"/>
      </w:divBdr>
      <w:divsChild>
        <w:div w:id="656304380">
          <w:marLeft w:val="0"/>
          <w:marRight w:val="0"/>
          <w:marTop w:val="0"/>
          <w:marBottom w:val="0"/>
          <w:divBdr>
            <w:top w:val="none" w:sz="0" w:space="0" w:color="auto"/>
            <w:left w:val="none" w:sz="0" w:space="0" w:color="auto"/>
            <w:bottom w:val="none" w:sz="0" w:space="0" w:color="auto"/>
            <w:right w:val="none" w:sz="0" w:space="0" w:color="auto"/>
          </w:divBdr>
        </w:div>
      </w:divsChild>
    </w:div>
    <w:div w:id="956176051">
      <w:bodyDiv w:val="1"/>
      <w:marLeft w:val="0"/>
      <w:marRight w:val="0"/>
      <w:marTop w:val="0"/>
      <w:marBottom w:val="0"/>
      <w:divBdr>
        <w:top w:val="none" w:sz="0" w:space="0" w:color="auto"/>
        <w:left w:val="none" w:sz="0" w:space="0" w:color="auto"/>
        <w:bottom w:val="none" w:sz="0" w:space="0" w:color="auto"/>
        <w:right w:val="none" w:sz="0" w:space="0" w:color="auto"/>
      </w:divBdr>
      <w:divsChild>
        <w:div w:id="70396555">
          <w:marLeft w:val="0"/>
          <w:marRight w:val="0"/>
          <w:marTop w:val="0"/>
          <w:marBottom w:val="0"/>
          <w:divBdr>
            <w:top w:val="none" w:sz="0" w:space="0" w:color="auto"/>
            <w:left w:val="none" w:sz="0" w:space="0" w:color="auto"/>
            <w:bottom w:val="none" w:sz="0" w:space="0" w:color="auto"/>
            <w:right w:val="none" w:sz="0" w:space="0" w:color="auto"/>
          </w:divBdr>
        </w:div>
      </w:divsChild>
    </w:div>
    <w:div w:id="959534047">
      <w:bodyDiv w:val="1"/>
      <w:marLeft w:val="0"/>
      <w:marRight w:val="0"/>
      <w:marTop w:val="0"/>
      <w:marBottom w:val="0"/>
      <w:divBdr>
        <w:top w:val="none" w:sz="0" w:space="0" w:color="auto"/>
        <w:left w:val="none" w:sz="0" w:space="0" w:color="auto"/>
        <w:bottom w:val="none" w:sz="0" w:space="0" w:color="auto"/>
        <w:right w:val="none" w:sz="0" w:space="0" w:color="auto"/>
      </w:divBdr>
      <w:divsChild>
        <w:div w:id="115107528">
          <w:marLeft w:val="0"/>
          <w:marRight w:val="0"/>
          <w:marTop w:val="0"/>
          <w:marBottom w:val="0"/>
          <w:divBdr>
            <w:top w:val="none" w:sz="0" w:space="0" w:color="auto"/>
            <w:left w:val="none" w:sz="0" w:space="0" w:color="auto"/>
            <w:bottom w:val="none" w:sz="0" w:space="0" w:color="auto"/>
            <w:right w:val="none" w:sz="0" w:space="0" w:color="auto"/>
          </w:divBdr>
        </w:div>
      </w:divsChild>
    </w:div>
    <w:div w:id="1041443792">
      <w:bodyDiv w:val="1"/>
      <w:marLeft w:val="0"/>
      <w:marRight w:val="0"/>
      <w:marTop w:val="0"/>
      <w:marBottom w:val="0"/>
      <w:divBdr>
        <w:top w:val="none" w:sz="0" w:space="0" w:color="auto"/>
        <w:left w:val="none" w:sz="0" w:space="0" w:color="auto"/>
        <w:bottom w:val="none" w:sz="0" w:space="0" w:color="auto"/>
        <w:right w:val="none" w:sz="0" w:space="0" w:color="auto"/>
      </w:divBdr>
    </w:div>
    <w:div w:id="1055743212">
      <w:bodyDiv w:val="1"/>
      <w:marLeft w:val="0"/>
      <w:marRight w:val="0"/>
      <w:marTop w:val="0"/>
      <w:marBottom w:val="0"/>
      <w:divBdr>
        <w:top w:val="none" w:sz="0" w:space="0" w:color="auto"/>
        <w:left w:val="none" w:sz="0" w:space="0" w:color="auto"/>
        <w:bottom w:val="none" w:sz="0" w:space="0" w:color="auto"/>
        <w:right w:val="none" w:sz="0" w:space="0" w:color="auto"/>
      </w:divBdr>
    </w:div>
    <w:div w:id="1071151140">
      <w:bodyDiv w:val="1"/>
      <w:marLeft w:val="0"/>
      <w:marRight w:val="0"/>
      <w:marTop w:val="0"/>
      <w:marBottom w:val="0"/>
      <w:divBdr>
        <w:top w:val="none" w:sz="0" w:space="0" w:color="auto"/>
        <w:left w:val="none" w:sz="0" w:space="0" w:color="auto"/>
        <w:bottom w:val="none" w:sz="0" w:space="0" w:color="auto"/>
        <w:right w:val="none" w:sz="0" w:space="0" w:color="auto"/>
      </w:divBdr>
      <w:divsChild>
        <w:div w:id="1888905251">
          <w:marLeft w:val="0"/>
          <w:marRight w:val="0"/>
          <w:marTop w:val="0"/>
          <w:marBottom w:val="0"/>
          <w:divBdr>
            <w:top w:val="none" w:sz="0" w:space="0" w:color="auto"/>
            <w:left w:val="none" w:sz="0" w:space="0" w:color="auto"/>
            <w:bottom w:val="none" w:sz="0" w:space="0" w:color="auto"/>
            <w:right w:val="none" w:sz="0" w:space="0" w:color="auto"/>
          </w:divBdr>
        </w:div>
      </w:divsChild>
    </w:div>
    <w:div w:id="1092705613">
      <w:bodyDiv w:val="1"/>
      <w:marLeft w:val="0"/>
      <w:marRight w:val="0"/>
      <w:marTop w:val="0"/>
      <w:marBottom w:val="0"/>
      <w:divBdr>
        <w:top w:val="none" w:sz="0" w:space="0" w:color="auto"/>
        <w:left w:val="none" w:sz="0" w:space="0" w:color="auto"/>
        <w:bottom w:val="none" w:sz="0" w:space="0" w:color="auto"/>
        <w:right w:val="none" w:sz="0" w:space="0" w:color="auto"/>
      </w:divBdr>
    </w:div>
    <w:div w:id="1145509758">
      <w:bodyDiv w:val="1"/>
      <w:marLeft w:val="0"/>
      <w:marRight w:val="0"/>
      <w:marTop w:val="0"/>
      <w:marBottom w:val="0"/>
      <w:divBdr>
        <w:top w:val="none" w:sz="0" w:space="0" w:color="auto"/>
        <w:left w:val="none" w:sz="0" w:space="0" w:color="auto"/>
        <w:bottom w:val="none" w:sz="0" w:space="0" w:color="auto"/>
        <w:right w:val="none" w:sz="0" w:space="0" w:color="auto"/>
      </w:divBdr>
    </w:div>
    <w:div w:id="1201162705">
      <w:bodyDiv w:val="1"/>
      <w:marLeft w:val="0"/>
      <w:marRight w:val="0"/>
      <w:marTop w:val="0"/>
      <w:marBottom w:val="0"/>
      <w:divBdr>
        <w:top w:val="none" w:sz="0" w:space="0" w:color="auto"/>
        <w:left w:val="none" w:sz="0" w:space="0" w:color="auto"/>
        <w:bottom w:val="none" w:sz="0" w:space="0" w:color="auto"/>
        <w:right w:val="none" w:sz="0" w:space="0" w:color="auto"/>
      </w:divBdr>
    </w:div>
    <w:div w:id="1216359462">
      <w:bodyDiv w:val="1"/>
      <w:marLeft w:val="0"/>
      <w:marRight w:val="0"/>
      <w:marTop w:val="0"/>
      <w:marBottom w:val="0"/>
      <w:divBdr>
        <w:top w:val="none" w:sz="0" w:space="0" w:color="auto"/>
        <w:left w:val="none" w:sz="0" w:space="0" w:color="auto"/>
        <w:bottom w:val="none" w:sz="0" w:space="0" w:color="auto"/>
        <w:right w:val="none" w:sz="0" w:space="0" w:color="auto"/>
      </w:divBdr>
    </w:div>
    <w:div w:id="1223491994">
      <w:bodyDiv w:val="1"/>
      <w:marLeft w:val="0"/>
      <w:marRight w:val="0"/>
      <w:marTop w:val="0"/>
      <w:marBottom w:val="0"/>
      <w:divBdr>
        <w:top w:val="none" w:sz="0" w:space="0" w:color="auto"/>
        <w:left w:val="none" w:sz="0" w:space="0" w:color="auto"/>
        <w:bottom w:val="none" w:sz="0" w:space="0" w:color="auto"/>
        <w:right w:val="none" w:sz="0" w:space="0" w:color="auto"/>
      </w:divBdr>
      <w:divsChild>
        <w:div w:id="263801923">
          <w:marLeft w:val="0"/>
          <w:marRight w:val="0"/>
          <w:marTop w:val="0"/>
          <w:marBottom w:val="0"/>
          <w:divBdr>
            <w:top w:val="none" w:sz="0" w:space="0" w:color="auto"/>
            <w:left w:val="none" w:sz="0" w:space="0" w:color="auto"/>
            <w:bottom w:val="none" w:sz="0" w:space="0" w:color="auto"/>
            <w:right w:val="none" w:sz="0" w:space="0" w:color="auto"/>
          </w:divBdr>
        </w:div>
      </w:divsChild>
    </w:div>
    <w:div w:id="1272324841">
      <w:bodyDiv w:val="1"/>
      <w:marLeft w:val="0"/>
      <w:marRight w:val="0"/>
      <w:marTop w:val="0"/>
      <w:marBottom w:val="0"/>
      <w:divBdr>
        <w:top w:val="none" w:sz="0" w:space="0" w:color="auto"/>
        <w:left w:val="none" w:sz="0" w:space="0" w:color="auto"/>
        <w:bottom w:val="none" w:sz="0" w:space="0" w:color="auto"/>
        <w:right w:val="none" w:sz="0" w:space="0" w:color="auto"/>
      </w:divBdr>
    </w:div>
    <w:div w:id="1281841249">
      <w:bodyDiv w:val="1"/>
      <w:marLeft w:val="0"/>
      <w:marRight w:val="0"/>
      <w:marTop w:val="0"/>
      <w:marBottom w:val="0"/>
      <w:divBdr>
        <w:top w:val="none" w:sz="0" w:space="0" w:color="auto"/>
        <w:left w:val="none" w:sz="0" w:space="0" w:color="auto"/>
        <w:bottom w:val="none" w:sz="0" w:space="0" w:color="auto"/>
        <w:right w:val="none" w:sz="0" w:space="0" w:color="auto"/>
      </w:divBdr>
      <w:divsChild>
        <w:div w:id="282270724">
          <w:marLeft w:val="0"/>
          <w:marRight w:val="0"/>
          <w:marTop w:val="0"/>
          <w:marBottom w:val="0"/>
          <w:divBdr>
            <w:top w:val="none" w:sz="0" w:space="0" w:color="auto"/>
            <w:left w:val="none" w:sz="0" w:space="0" w:color="auto"/>
            <w:bottom w:val="none" w:sz="0" w:space="0" w:color="auto"/>
            <w:right w:val="none" w:sz="0" w:space="0" w:color="auto"/>
          </w:divBdr>
        </w:div>
      </w:divsChild>
    </w:div>
    <w:div w:id="1325351462">
      <w:bodyDiv w:val="1"/>
      <w:marLeft w:val="0"/>
      <w:marRight w:val="0"/>
      <w:marTop w:val="0"/>
      <w:marBottom w:val="0"/>
      <w:divBdr>
        <w:top w:val="none" w:sz="0" w:space="0" w:color="auto"/>
        <w:left w:val="none" w:sz="0" w:space="0" w:color="auto"/>
        <w:bottom w:val="none" w:sz="0" w:space="0" w:color="auto"/>
        <w:right w:val="none" w:sz="0" w:space="0" w:color="auto"/>
      </w:divBdr>
    </w:div>
    <w:div w:id="1326779273">
      <w:bodyDiv w:val="1"/>
      <w:marLeft w:val="0"/>
      <w:marRight w:val="0"/>
      <w:marTop w:val="0"/>
      <w:marBottom w:val="0"/>
      <w:divBdr>
        <w:top w:val="none" w:sz="0" w:space="0" w:color="auto"/>
        <w:left w:val="none" w:sz="0" w:space="0" w:color="auto"/>
        <w:bottom w:val="none" w:sz="0" w:space="0" w:color="auto"/>
        <w:right w:val="none" w:sz="0" w:space="0" w:color="auto"/>
      </w:divBdr>
      <w:divsChild>
        <w:div w:id="910308661">
          <w:marLeft w:val="0"/>
          <w:marRight w:val="0"/>
          <w:marTop w:val="0"/>
          <w:marBottom w:val="0"/>
          <w:divBdr>
            <w:top w:val="none" w:sz="0" w:space="0" w:color="auto"/>
            <w:left w:val="none" w:sz="0" w:space="0" w:color="auto"/>
            <w:bottom w:val="none" w:sz="0" w:space="0" w:color="auto"/>
            <w:right w:val="none" w:sz="0" w:space="0" w:color="auto"/>
          </w:divBdr>
        </w:div>
      </w:divsChild>
    </w:div>
    <w:div w:id="1333221958">
      <w:bodyDiv w:val="1"/>
      <w:marLeft w:val="0"/>
      <w:marRight w:val="0"/>
      <w:marTop w:val="0"/>
      <w:marBottom w:val="0"/>
      <w:divBdr>
        <w:top w:val="none" w:sz="0" w:space="0" w:color="auto"/>
        <w:left w:val="none" w:sz="0" w:space="0" w:color="auto"/>
        <w:bottom w:val="none" w:sz="0" w:space="0" w:color="auto"/>
        <w:right w:val="none" w:sz="0" w:space="0" w:color="auto"/>
      </w:divBdr>
      <w:divsChild>
        <w:div w:id="1093209228">
          <w:marLeft w:val="0"/>
          <w:marRight w:val="0"/>
          <w:marTop w:val="0"/>
          <w:marBottom w:val="0"/>
          <w:divBdr>
            <w:top w:val="none" w:sz="0" w:space="0" w:color="auto"/>
            <w:left w:val="none" w:sz="0" w:space="0" w:color="auto"/>
            <w:bottom w:val="none" w:sz="0" w:space="0" w:color="auto"/>
            <w:right w:val="none" w:sz="0" w:space="0" w:color="auto"/>
          </w:divBdr>
        </w:div>
      </w:divsChild>
    </w:div>
    <w:div w:id="1343052609">
      <w:bodyDiv w:val="1"/>
      <w:marLeft w:val="0"/>
      <w:marRight w:val="0"/>
      <w:marTop w:val="0"/>
      <w:marBottom w:val="0"/>
      <w:divBdr>
        <w:top w:val="none" w:sz="0" w:space="0" w:color="auto"/>
        <w:left w:val="none" w:sz="0" w:space="0" w:color="auto"/>
        <w:bottom w:val="none" w:sz="0" w:space="0" w:color="auto"/>
        <w:right w:val="none" w:sz="0" w:space="0" w:color="auto"/>
      </w:divBdr>
      <w:divsChild>
        <w:div w:id="245921405">
          <w:marLeft w:val="0"/>
          <w:marRight w:val="0"/>
          <w:marTop w:val="0"/>
          <w:marBottom w:val="0"/>
          <w:divBdr>
            <w:top w:val="none" w:sz="0" w:space="0" w:color="auto"/>
            <w:left w:val="none" w:sz="0" w:space="0" w:color="auto"/>
            <w:bottom w:val="none" w:sz="0" w:space="0" w:color="auto"/>
            <w:right w:val="none" w:sz="0" w:space="0" w:color="auto"/>
          </w:divBdr>
        </w:div>
      </w:divsChild>
    </w:div>
    <w:div w:id="1351761101">
      <w:bodyDiv w:val="1"/>
      <w:marLeft w:val="0"/>
      <w:marRight w:val="0"/>
      <w:marTop w:val="0"/>
      <w:marBottom w:val="0"/>
      <w:divBdr>
        <w:top w:val="none" w:sz="0" w:space="0" w:color="auto"/>
        <w:left w:val="none" w:sz="0" w:space="0" w:color="auto"/>
        <w:bottom w:val="none" w:sz="0" w:space="0" w:color="auto"/>
        <w:right w:val="none" w:sz="0" w:space="0" w:color="auto"/>
      </w:divBdr>
    </w:div>
    <w:div w:id="1359745660">
      <w:bodyDiv w:val="1"/>
      <w:marLeft w:val="0"/>
      <w:marRight w:val="0"/>
      <w:marTop w:val="0"/>
      <w:marBottom w:val="0"/>
      <w:divBdr>
        <w:top w:val="none" w:sz="0" w:space="0" w:color="auto"/>
        <w:left w:val="none" w:sz="0" w:space="0" w:color="auto"/>
        <w:bottom w:val="none" w:sz="0" w:space="0" w:color="auto"/>
        <w:right w:val="none" w:sz="0" w:space="0" w:color="auto"/>
      </w:divBdr>
      <w:divsChild>
        <w:div w:id="370226402">
          <w:marLeft w:val="0"/>
          <w:marRight w:val="0"/>
          <w:marTop w:val="0"/>
          <w:marBottom w:val="0"/>
          <w:divBdr>
            <w:top w:val="none" w:sz="0" w:space="0" w:color="auto"/>
            <w:left w:val="none" w:sz="0" w:space="0" w:color="auto"/>
            <w:bottom w:val="none" w:sz="0" w:space="0" w:color="auto"/>
            <w:right w:val="none" w:sz="0" w:space="0" w:color="auto"/>
          </w:divBdr>
        </w:div>
      </w:divsChild>
    </w:div>
    <w:div w:id="1387601495">
      <w:bodyDiv w:val="1"/>
      <w:marLeft w:val="0"/>
      <w:marRight w:val="0"/>
      <w:marTop w:val="0"/>
      <w:marBottom w:val="0"/>
      <w:divBdr>
        <w:top w:val="none" w:sz="0" w:space="0" w:color="auto"/>
        <w:left w:val="none" w:sz="0" w:space="0" w:color="auto"/>
        <w:bottom w:val="none" w:sz="0" w:space="0" w:color="auto"/>
        <w:right w:val="none" w:sz="0" w:space="0" w:color="auto"/>
      </w:divBdr>
      <w:divsChild>
        <w:div w:id="922029362">
          <w:marLeft w:val="0"/>
          <w:marRight w:val="0"/>
          <w:marTop w:val="0"/>
          <w:marBottom w:val="0"/>
          <w:divBdr>
            <w:top w:val="none" w:sz="0" w:space="0" w:color="auto"/>
            <w:left w:val="none" w:sz="0" w:space="0" w:color="auto"/>
            <w:bottom w:val="none" w:sz="0" w:space="0" w:color="auto"/>
            <w:right w:val="none" w:sz="0" w:space="0" w:color="auto"/>
          </w:divBdr>
        </w:div>
      </w:divsChild>
    </w:div>
    <w:div w:id="1398820176">
      <w:bodyDiv w:val="1"/>
      <w:marLeft w:val="0"/>
      <w:marRight w:val="0"/>
      <w:marTop w:val="0"/>
      <w:marBottom w:val="0"/>
      <w:divBdr>
        <w:top w:val="none" w:sz="0" w:space="0" w:color="auto"/>
        <w:left w:val="none" w:sz="0" w:space="0" w:color="auto"/>
        <w:bottom w:val="none" w:sz="0" w:space="0" w:color="auto"/>
        <w:right w:val="none" w:sz="0" w:space="0" w:color="auto"/>
      </w:divBdr>
    </w:div>
    <w:div w:id="1437679618">
      <w:bodyDiv w:val="1"/>
      <w:marLeft w:val="0"/>
      <w:marRight w:val="0"/>
      <w:marTop w:val="0"/>
      <w:marBottom w:val="0"/>
      <w:divBdr>
        <w:top w:val="none" w:sz="0" w:space="0" w:color="auto"/>
        <w:left w:val="none" w:sz="0" w:space="0" w:color="auto"/>
        <w:bottom w:val="none" w:sz="0" w:space="0" w:color="auto"/>
        <w:right w:val="none" w:sz="0" w:space="0" w:color="auto"/>
      </w:divBdr>
      <w:divsChild>
        <w:div w:id="1158839727">
          <w:marLeft w:val="0"/>
          <w:marRight w:val="0"/>
          <w:marTop w:val="0"/>
          <w:marBottom w:val="0"/>
          <w:divBdr>
            <w:top w:val="none" w:sz="0" w:space="0" w:color="auto"/>
            <w:left w:val="none" w:sz="0" w:space="0" w:color="auto"/>
            <w:bottom w:val="none" w:sz="0" w:space="0" w:color="auto"/>
            <w:right w:val="none" w:sz="0" w:space="0" w:color="auto"/>
          </w:divBdr>
        </w:div>
      </w:divsChild>
    </w:div>
    <w:div w:id="1468162067">
      <w:bodyDiv w:val="1"/>
      <w:marLeft w:val="0"/>
      <w:marRight w:val="0"/>
      <w:marTop w:val="0"/>
      <w:marBottom w:val="0"/>
      <w:divBdr>
        <w:top w:val="none" w:sz="0" w:space="0" w:color="auto"/>
        <w:left w:val="none" w:sz="0" w:space="0" w:color="auto"/>
        <w:bottom w:val="none" w:sz="0" w:space="0" w:color="auto"/>
        <w:right w:val="none" w:sz="0" w:space="0" w:color="auto"/>
      </w:divBdr>
      <w:divsChild>
        <w:div w:id="1955670591">
          <w:marLeft w:val="0"/>
          <w:marRight w:val="0"/>
          <w:marTop w:val="0"/>
          <w:marBottom w:val="0"/>
          <w:divBdr>
            <w:top w:val="none" w:sz="0" w:space="0" w:color="auto"/>
            <w:left w:val="none" w:sz="0" w:space="0" w:color="auto"/>
            <w:bottom w:val="none" w:sz="0" w:space="0" w:color="auto"/>
            <w:right w:val="none" w:sz="0" w:space="0" w:color="auto"/>
          </w:divBdr>
        </w:div>
      </w:divsChild>
    </w:div>
    <w:div w:id="1484738416">
      <w:bodyDiv w:val="1"/>
      <w:marLeft w:val="0"/>
      <w:marRight w:val="0"/>
      <w:marTop w:val="0"/>
      <w:marBottom w:val="0"/>
      <w:divBdr>
        <w:top w:val="none" w:sz="0" w:space="0" w:color="auto"/>
        <w:left w:val="none" w:sz="0" w:space="0" w:color="auto"/>
        <w:bottom w:val="none" w:sz="0" w:space="0" w:color="auto"/>
        <w:right w:val="none" w:sz="0" w:space="0" w:color="auto"/>
      </w:divBdr>
    </w:div>
    <w:div w:id="1510556741">
      <w:bodyDiv w:val="1"/>
      <w:marLeft w:val="0"/>
      <w:marRight w:val="0"/>
      <w:marTop w:val="0"/>
      <w:marBottom w:val="0"/>
      <w:divBdr>
        <w:top w:val="none" w:sz="0" w:space="0" w:color="auto"/>
        <w:left w:val="none" w:sz="0" w:space="0" w:color="auto"/>
        <w:bottom w:val="none" w:sz="0" w:space="0" w:color="auto"/>
        <w:right w:val="none" w:sz="0" w:space="0" w:color="auto"/>
      </w:divBdr>
    </w:div>
    <w:div w:id="1523979310">
      <w:bodyDiv w:val="1"/>
      <w:marLeft w:val="0"/>
      <w:marRight w:val="0"/>
      <w:marTop w:val="0"/>
      <w:marBottom w:val="0"/>
      <w:divBdr>
        <w:top w:val="none" w:sz="0" w:space="0" w:color="auto"/>
        <w:left w:val="none" w:sz="0" w:space="0" w:color="auto"/>
        <w:bottom w:val="none" w:sz="0" w:space="0" w:color="auto"/>
        <w:right w:val="none" w:sz="0" w:space="0" w:color="auto"/>
      </w:divBdr>
      <w:divsChild>
        <w:div w:id="860096601">
          <w:marLeft w:val="0"/>
          <w:marRight w:val="0"/>
          <w:marTop w:val="0"/>
          <w:marBottom w:val="0"/>
          <w:divBdr>
            <w:top w:val="none" w:sz="0" w:space="0" w:color="auto"/>
            <w:left w:val="none" w:sz="0" w:space="0" w:color="auto"/>
            <w:bottom w:val="none" w:sz="0" w:space="0" w:color="auto"/>
            <w:right w:val="none" w:sz="0" w:space="0" w:color="auto"/>
          </w:divBdr>
        </w:div>
      </w:divsChild>
    </w:div>
    <w:div w:id="1537305735">
      <w:bodyDiv w:val="1"/>
      <w:marLeft w:val="0"/>
      <w:marRight w:val="0"/>
      <w:marTop w:val="0"/>
      <w:marBottom w:val="0"/>
      <w:divBdr>
        <w:top w:val="none" w:sz="0" w:space="0" w:color="auto"/>
        <w:left w:val="none" w:sz="0" w:space="0" w:color="auto"/>
        <w:bottom w:val="none" w:sz="0" w:space="0" w:color="auto"/>
        <w:right w:val="none" w:sz="0" w:space="0" w:color="auto"/>
      </w:divBdr>
    </w:div>
    <w:div w:id="1546480523">
      <w:bodyDiv w:val="1"/>
      <w:marLeft w:val="0"/>
      <w:marRight w:val="0"/>
      <w:marTop w:val="0"/>
      <w:marBottom w:val="0"/>
      <w:divBdr>
        <w:top w:val="none" w:sz="0" w:space="0" w:color="auto"/>
        <w:left w:val="none" w:sz="0" w:space="0" w:color="auto"/>
        <w:bottom w:val="none" w:sz="0" w:space="0" w:color="auto"/>
        <w:right w:val="none" w:sz="0" w:space="0" w:color="auto"/>
      </w:divBdr>
    </w:div>
    <w:div w:id="1595432716">
      <w:bodyDiv w:val="1"/>
      <w:marLeft w:val="0"/>
      <w:marRight w:val="0"/>
      <w:marTop w:val="0"/>
      <w:marBottom w:val="0"/>
      <w:divBdr>
        <w:top w:val="none" w:sz="0" w:space="0" w:color="auto"/>
        <w:left w:val="none" w:sz="0" w:space="0" w:color="auto"/>
        <w:bottom w:val="none" w:sz="0" w:space="0" w:color="auto"/>
        <w:right w:val="none" w:sz="0" w:space="0" w:color="auto"/>
      </w:divBdr>
    </w:div>
    <w:div w:id="1621379527">
      <w:bodyDiv w:val="1"/>
      <w:marLeft w:val="0"/>
      <w:marRight w:val="0"/>
      <w:marTop w:val="0"/>
      <w:marBottom w:val="0"/>
      <w:divBdr>
        <w:top w:val="none" w:sz="0" w:space="0" w:color="auto"/>
        <w:left w:val="none" w:sz="0" w:space="0" w:color="auto"/>
        <w:bottom w:val="none" w:sz="0" w:space="0" w:color="auto"/>
        <w:right w:val="none" w:sz="0" w:space="0" w:color="auto"/>
      </w:divBdr>
      <w:divsChild>
        <w:div w:id="2066100570">
          <w:marLeft w:val="0"/>
          <w:marRight w:val="0"/>
          <w:marTop w:val="0"/>
          <w:marBottom w:val="0"/>
          <w:divBdr>
            <w:top w:val="none" w:sz="0" w:space="0" w:color="auto"/>
            <w:left w:val="none" w:sz="0" w:space="0" w:color="auto"/>
            <w:bottom w:val="none" w:sz="0" w:space="0" w:color="auto"/>
            <w:right w:val="none" w:sz="0" w:space="0" w:color="auto"/>
          </w:divBdr>
        </w:div>
      </w:divsChild>
    </w:div>
    <w:div w:id="1644308399">
      <w:bodyDiv w:val="1"/>
      <w:marLeft w:val="0"/>
      <w:marRight w:val="0"/>
      <w:marTop w:val="0"/>
      <w:marBottom w:val="0"/>
      <w:divBdr>
        <w:top w:val="none" w:sz="0" w:space="0" w:color="auto"/>
        <w:left w:val="none" w:sz="0" w:space="0" w:color="auto"/>
        <w:bottom w:val="none" w:sz="0" w:space="0" w:color="auto"/>
        <w:right w:val="none" w:sz="0" w:space="0" w:color="auto"/>
      </w:divBdr>
    </w:div>
    <w:div w:id="1664888479">
      <w:bodyDiv w:val="1"/>
      <w:marLeft w:val="0"/>
      <w:marRight w:val="0"/>
      <w:marTop w:val="0"/>
      <w:marBottom w:val="0"/>
      <w:divBdr>
        <w:top w:val="none" w:sz="0" w:space="0" w:color="auto"/>
        <w:left w:val="none" w:sz="0" w:space="0" w:color="auto"/>
        <w:bottom w:val="none" w:sz="0" w:space="0" w:color="auto"/>
        <w:right w:val="none" w:sz="0" w:space="0" w:color="auto"/>
      </w:divBdr>
      <w:divsChild>
        <w:div w:id="1973170255">
          <w:marLeft w:val="0"/>
          <w:marRight w:val="0"/>
          <w:marTop w:val="0"/>
          <w:marBottom w:val="0"/>
          <w:divBdr>
            <w:top w:val="none" w:sz="0" w:space="0" w:color="auto"/>
            <w:left w:val="none" w:sz="0" w:space="0" w:color="auto"/>
            <w:bottom w:val="none" w:sz="0" w:space="0" w:color="auto"/>
            <w:right w:val="none" w:sz="0" w:space="0" w:color="auto"/>
          </w:divBdr>
        </w:div>
      </w:divsChild>
    </w:div>
    <w:div w:id="1674332457">
      <w:bodyDiv w:val="1"/>
      <w:marLeft w:val="0"/>
      <w:marRight w:val="0"/>
      <w:marTop w:val="0"/>
      <w:marBottom w:val="0"/>
      <w:divBdr>
        <w:top w:val="none" w:sz="0" w:space="0" w:color="auto"/>
        <w:left w:val="none" w:sz="0" w:space="0" w:color="auto"/>
        <w:bottom w:val="none" w:sz="0" w:space="0" w:color="auto"/>
        <w:right w:val="none" w:sz="0" w:space="0" w:color="auto"/>
      </w:divBdr>
    </w:div>
    <w:div w:id="1749113392">
      <w:bodyDiv w:val="1"/>
      <w:marLeft w:val="0"/>
      <w:marRight w:val="0"/>
      <w:marTop w:val="0"/>
      <w:marBottom w:val="0"/>
      <w:divBdr>
        <w:top w:val="none" w:sz="0" w:space="0" w:color="auto"/>
        <w:left w:val="none" w:sz="0" w:space="0" w:color="auto"/>
        <w:bottom w:val="none" w:sz="0" w:space="0" w:color="auto"/>
        <w:right w:val="none" w:sz="0" w:space="0" w:color="auto"/>
      </w:divBdr>
    </w:div>
    <w:div w:id="1764256490">
      <w:bodyDiv w:val="1"/>
      <w:marLeft w:val="0"/>
      <w:marRight w:val="0"/>
      <w:marTop w:val="0"/>
      <w:marBottom w:val="0"/>
      <w:divBdr>
        <w:top w:val="none" w:sz="0" w:space="0" w:color="auto"/>
        <w:left w:val="none" w:sz="0" w:space="0" w:color="auto"/>
        <w:bottom w:val="none" w:sz="0" w:space="0" w:color="auto"/>
        <w:right w:val="none" w:sz="0" w:space="0" w:color="auto"/>
      </w:divBdr>
      <w:divsChild>
        <w:div w:id="939067368">
          <w:marLeft w:val="0"/>
          <w:marRight w:val="0"/>
          <w:marTop w:val="0"/>
          <w:marBottom w:val="0"/>
          <w:divBdr>
            <w:top w:val="none" w:sz="0" w:space="0" w:color="auto"/>
            <w:left w:val="none" w:sz="0" w:space="0" w:color="auto"/>
            <w:bottom w:val="none" w:sz="0" w:space="0" w:color="auto"/>
            <w:right w:val="none" w:sz="0" w:space="0" w:color="auto"/>
          </w:divBdr>
        </w:div>
      </w:divsChild>
    </w:div>
    <w:div w:id="1795060038">
      <w:bodyDiv w:val="1"/>
      <w:marLeft w:val="0"/>
      <w:marRight w:val="0"/>
      <w:marTop w:val="0"/>
      <w:marBottom w:val="0"/>
      <w:divBdr>
        <w:top w:val="none" w:sz="0" w:space="0" w:color="auto"/>
        <w:left w:val="none" w:sz="0" w:space="0" w:color="auto"/>
        <w:bottom w:val="none" w:sz="0" w:space="0" w:color="auto"/>
        <w:right w:val="none" w:sz="0" w:space="0" w:color="auto"/>
      </w:divBdr>
    </w:div>
    <w:div w:id="1812552051">
      <w:bodyDiv w:val="1"/>
      <w:marLeft w:val="0"/>
      <w:marRight w:val="0"/>
      <w:marTop w:val="0"/>
      <w:marBottom w:val="0"/>
      <w:divBdr>
        <w:top w:val="none" w:sz="0" w:space="0" w:color="auto"/>
        <w:left w:val="none" w:sz="0" w:space="0" w:color="auto"/>
        <w:bottom w:val="none" w:sz="0" w:space="0" w:color="auto"/>
        <w:right w:val="none" w:sz="0" w:space="0" w:color="auto"/>
      </w:divBdr>
      <w:divsChild>
        <w:div w:id="430702948">
          <w:marLeft w:val="0"/>
          <w:marRight w:val="0"/>
          <w:marTop w:val="0"/>
          <w:marBottom w:val="0"/>
          <w:divBdr>
            <w:top w:val="none" w:sz="0" w:space="0" w:color="auto"/>
            <w:left w:val="none" w:sz="0" w:space="0" w:color="auto"/>
            <w:bottom w:val="none" w:sz="0" w:space="0" w:color="auto"/>
            <w:right w:val="none" w:sz="0" w:space="0" w:color="auto"/>
          </w:divBdr>
        </w:div>
      </w:divsChild>
    </w:div>
    <w:div w:id="2009206890">
      <w:bodyDiv w:val="1"/>
      <w:marLeft w:val="0"/>
      <w:marRight w:val="0"/>
      <w:marTop w:val="0"/>
      <w:marBottom w:val="0"/>
      <w:divBdr>
        <w:top w:val="none" w:sz="0" w:space="0" w:color="auto"/>
        <w:left w:val="none" w:sz="0" w:space="0" w:color="auto"/>
        <w:bottom w:val="none" w:sz="0" w:space="0" w:color="auto"/>
        <w:right w:val="none" w:sz="0" w:space="0" w:color="auto"/>
      </w:divBdr>
    </w:div>
    <w:div w:id="2011332089">
      <w:bodyDiv w:val="1"/>
      <w:marLeft w:val="0"/>
      <w:marRight w:val="0"/>
      <w:marTop w:val="0"/>
      <w:marBottom w:val="0"/>
      <w:divBdr>
        <w:top w:val="none" w:sz="0" w:space="0" w:color="auto"/>
        <w:left w:val="none" w:sz="0" w:space="0" w:color="auto"/>
        <w:bottom w:val="none" w:sz="0" w:space="0" w:color="auto"/>
        <w:right w:val="none" w:sz="0" w:space="0" w:color="auto"/>
      </w:divBdr>
    </w:div>
    <w:div w:id="2017073170">
      <w:bodyDiv w:val="1"/>
      <w:marLeft w:val="0"/>
      <w:marRight w:val="0"/>
      <w:marTop w:val="0"/>
      <w:marBottom w:val="0"/>
      <w:divBdr>
        <w:top w:val="none" w:sz="0" w:space="0" w:color="auto"/>
        <w:left w:val="none" w:sz="0" w:space="0" w:color="auto"/>
        <w:bottom w:val="none" w:sz="0" w:space="0" w:color="auto"/>
        <w:right w:val="none" w:sz="0" w:space="0" w:color="auto"/>
      </w:divBdr>
      <w:divsChild>
        <w:div w:id="11106159">
          <w:marLeft w:val="0"/>
          <w:marRight w:val="0"/>
          <w:marTop w:val="0"/>
          <w:marBottom w:val="0"/>
          <w:divBdr>
            <w:top w:val="none" w:sz="0" w:space="0" w:color="auto"/>
            <w:left w:val="none" w:sz="0" w:space="0" w:color="auto"/>
            <w:bottom w:val="none" w:sz="0" w:space="0" w:color="auto"/>
            <w:right w:val="none" w:sz="0" w:space="0" w:color="auto"/>
          </w:divBdr>
        </w:div>
      </w:divsChild>
    </w:div>
    <w:div w:id="2065908127">
      <w:bodyDiv w:val="1"/>
      <w:marLeft w:val="0"/>
      <w:marRight w:val="0"/>
      <w:marTop w:val="0"/>
      <w:marBottom w:val="0"/>
      <w:divBdr>
        <w:top w:val="none" w:sz="0" w:space="0" w:color="auto"/>
        <w:left w:val="none" w:sz="0" w:space="0" w:color="auto"/>
        <w:bottom w:val="none" w:sz="0" w:space="0" w:color="auto"/>
        <w:right w:val="none" w:sz="0" w:space="0" w:color="auto"/>
      </w:divBdr>
      <w:divsChild>
        <w:div w:id="1418097051">
          <w:marLeft w:val="0"/>
          <w:marRight w:val="0"/>
          <w:marTop w:val="0"/>
          <w:marBottom w:val="0"/>
          <w:divBdr>
            <w:top w:val="none" w:sz="0" w:space="0" w:color="auto"/>
            <w:left w:val="none" w:sz="0" w:space="0" w:color="auto"/>
            <w:bottom w:val="none" w:sz="0" w:space="0" w:color="auto"/>
            <w:right w:val="none" w:sz="0" w:space="0" w:color="auto"/>
          </w:divBdr>
        </w:div>
      </w:divsChild>
    </w:div>
    <w:div w:id="2082672360">
      <w:bodyDiv w:val="1"/>
      <w:marLeft w:val="0"/>
      <w:marRight w:val="0"/>
      <w:marTop w:val="0"/>
      <w:marBottom w:val="0"/>
      <w:divBdr>
        <w:top w:val="none" w:sz="0" w:space="0" w:color="auto"/>
        <w:left w:val="none" w:sz="0" w:space="0" w:color="auto"/>
        <w:bottom w:val="none" w:sz="0" w:space="0" w:color="auto"/>
        <w:right w:val="none" w:sz="0" w:space="0" w:color="auto"/>
      </w:divBdr>
      <w:divsChild>
        <w:div w:id="1574704283">
          <w:marLeft w:val="0"/>
          <w:marRight w:val="0"/>
          <w:marTop w:val="0"/>
          <w:marBottom w:val="0"/>
          <w:divBdr>
            <w:top w:val="none" w:sz="0" w:space="0" w:color="auto"/>
            <w:left w:val="none" w:sz="0" w:space="0" w:color="auto"/>
            <w:bottom w:val="none" w:sz="0" w:space="0" w:color="auto"/>
            <w:right w:val="none" w:sz="0" w:space="0" w:color="auto"/>
          </w:divBdr>
        </w:div>
      </w:divsChild>
    </w:div>
    <w:div w:id="2102337609">
      <w:bodyDiv w:val="1"/>
      <w:marLeft w:val="0"/>
      <w:marRight w:val="0"/>
      <w:marTop w:val="0"/>
      <w:marBottom w:val="0"/>
      <w:divBdr>
        <w:top w:val="none" w:sz="0" w:space="0" w:color="auto"/>
        <w:left w:val="none" w:sz="0" w:space="0" w:color="auto"/>
        <w:bottom w:val="none" w:sz="0" w:space="0" w:color="auto"/>
        <w:right w:val="none" w:sz="0" w:space="0" w:color="auto"/>
      </w:divBdr>
      <w:divsChild>
        <w:div w:id="928201498">
          <w:marLeft w:val="0"/>
          <w:marRight w:val="0"/>
          <w:marTop w:val="0"/>
          <w:marBottom w:val="0"/>
          <w:divBdr>
            <w:top w:val="none" w:sz="0" w:space="0" w:color="auto"/>
            <w:left w:val="none" w:sz="0" w:space="0" w:color="auto"/>
            <w:bottom w:val="none" w:sz="0" w:space="0" w:color="auto"/>
            <w:right w:val="none" w:sz="0" w:space="0" w:color="auto"/>
          </w:divBdr>
        </w:div>
      </w:divsChild>
    </w:div>
    <w:div w:id="214034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5.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chart" Target="charts/chart2.xml"/><Relationship Id="rId63" Type="http://schemas.openxmlformats.org/officeDocument/2006/relationships/image" Target="media/image28.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1.wmf"/><Relationship Id="rId112" Type="http://schemas.openxmlformats.org/officeDocument/2006/relationships/oleObject" Target="embeddings/oleObject53.bin"/><Relationship Id="rId16" Type="http://schemas.openxmlformats.org/officeDocument/2006/relationships/image" Target="media/image5.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oleObject" Target="embeddings/oleObject34.bin"/><Relationship Id="rId79" Type="http://schemas.openxmlformats.org/officeDocument/2006/relationships/image" Target="media/image36.wmf"/><Relationship Id="rId102" Type="http://schemas.openxmlformats.org/officeDocument/2006/relationships/oleObject" Target="embeddings/oleObject48.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4.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oleObject" Target="embeddings/oleObject56.bin"/><Relationship Id="rId80" Type="http://schemas.openxmlformats.org/officeDocument/2006/relationships/oleObject" Target="embeddings/oleObject37.bin"/><Relationship Id="rId85" Type="http://schemas.openxmlformats.org/officeDocument/2006/relationships/image" Target="media/image39.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8.wmf"/><Relationship Id="rId108" Type="http://schemas.openxmlformats.org/officeDocument/2006/relationships/oleObject" Target="embeddings/oleObject51.bin"/><Relationship Id="rId54" Type="http://schemas.openxmlformats.org/officeDocument/2006/relationships/image" Target="media/image23.wmf"/><Relationship Id="rId70" Type="http://schemas.openxmlformats.org/officeDocument/2006/relationships/oleObject" Target="embeddings/oleObject32.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5.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4.bin"/><Relationship Id="rId119" Type="http://schemas.openxmlformats.org/officeDocument/2006/relationships/footer" Target="footer1.xml"/><Relationship Id="rId44" Type="http://schemas.openxmlformats.org/officeDocument/2006/relationships/image" Target="media/image20.wmf"/><Relationship Id="rId60" Type="http://schemas.openxmlformats.org/officeDocument/2006/relationships/image" Target="media/image26.png"/><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40.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1.wmf"/><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49.bin"/><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2.bin"/><Relationship Id="rId115" Type="http://schemas.openxmlformats.org/officeDocument/2006/relationships/image" Target="media/image54.wmf"/><Relationship Id="rId61" Type="http://schemas.openxmlformats.org/officeDocument/2006/relationships/image" Target="media/image27.wmf"/><Relationship Id="rId82" Type="http://schemas.openxmlformats.org/officeDocument/2006/relationships/oleObject" Target="embeddings/oleObject38.bin"/><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9.wmf"/><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chart" Target="charts/chart1.xml"/><Relationship Id="rId67" Type="http://schemas.openxmlformats.org/officeDocument/2006/relationships/image" Target="media/image30.wmf"/><Relationship Id="rId116" Type="http://schemas.openxmlformats.org/officeDocument/2006/relationships/oleObject" Target="embeddings/oleObject55.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image" Target="media/image52.wmf"/><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0.bin"/><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22.wmf"/><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image" Target="media/image6.wmf"/></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07174103237096E-2"/>
          <c:y val="5.1400554097404488E-2"/>
          <c:w val="0.85312503193737954"/>
          <c:h val="0.70425265023690209"/>
        </c:manualLayout>
      </c:layout>
      <c:lineChart>
        <c:grouping val="standard"/>
        <c:varyColors val="0"/>
        <c:ser>
          <c:idx val="0"/>
          <c:order val="0"/>
          <c:tx>
            <c:strRef>
              <c:f>Sheet2!$C$16</c:f>
              <c:strCache>
                <c:ptCount val="1"/>
                <c:pt idx="0">
                  <c:v>R&amp;D</c:v>
                </c:pt>
              </c:strCache>
            </c:strRef>
          </c:tx>
          <c:cat>
            <c:numRef>
              <c:f>Sheet2!$B$17:$B$24</c:f>
              <c:numCache>
                <c:formatCode>General</c:formatCode>
                <c:ptCount val="8"/>
                <c:pt idx="0">
                  <c:v>2004</c:v>
                </c:pt>
                <c:pt idx="1">
                  <c:v>2005</c:v>
                </c:pt>
                <c:pt idx="2">
                  <c:v>2006</c:v>
                </c:pt>
                <c:pt idx="3">
                  <c:v>2007</c:v>
                </c:pt>
                <c:pt idx="4">
                  <c:v>2008</c:v>
                </c:pt>
                <c:pt idx="5">
                  <c:v>2009</c:v>
                </c:pt>
                <c:pt idx="6">
                  <c:v>2010</c:v>
                </c:pt>
                <c:pt idx="7">
                  <c:v>2011</c:v>
                </c:pt>
              </c:numCache>
            </c:numRef>
          </c:cat>
          <c:val>
            <c:numRef>
              <c:f>Sheet2!$C$17:$C$24</c:f>
              <c:numCache>
                <c:formatCode>General</c:formatCode>
                <c:ptCount val="8"/>
                <c:pt idx="0">
                  <c:v>352.00733026579377</c:v>
                </c:pt>
                <c:pt idx="1">
                  <c:v>358.92591417820131</c:v>
                </c:pt>
                <c:pt idx="2">
                  <c:v>374.58884082847527</c:v>
                </c:pt>
                <c:pt idx="3">
                  <c:v>383.48672315022515</c:v>
                </c:pt>
                <c:pt idx="4">
                  <c:v>384.84012950135116</c:v>
                </c:pt>
                <c:pt idx="5">
                  <c:v>352.75120262101143</c:v>
                </c:pt>
                <c:pt idx="6">
                  <c:v>363.68241480530958</c:v>
                </c:pt>
                <c:pt idx="7">
                  <c:v>375.71279183348599</c:v>
                </c:pt>
              </c:numCache>
            </c:numRef>
          </c:val>
          <c:smooth val="0"/>
          <c:extLst>
            <c:ext xmlns:c16="http://schemas.microsoft.com/office/drawing/2014/chart" uri="{C3380CC4-5D6E-409C-BE32-E72D297353CC}">
              <c16:uniqueId val="{00000000-9C4C-4AD4-B1B5-201EA464FCFF}"/>
            </c:ext>
          </c:extLst>
        </c:ser>
        <c:ser>
          <c:idx val="1"/>
          <c:order val="1"/>
          <c:tx>
            <c:strRef>
              <c:f>Sheet2!$D$16</c:f>
              <c:strCache>
                <c:ptCount val="1"/>
                <c:pt idx="0">
                  <c:v>Non-R&amp;D</c:v>
                </c:pt>
              </c:strCache>
            </c:strRef>
          </c:tx>
          <c:cat>
            <c:numRef>
              <c:f>Sheet2!$B$17:$B$24</c:f>
              <c:numCache>
                <c:formatCode>General</c:formatCode>
                <c:ptCount val="8"/>
                <c:pt idx="0">
                  <c:v>2004</c:v>
                </c:pt>
                <c:pt idx="1">
                  <c:v>2005</c:v>
                </c:pt>
                <c:pt idx="2">
                  <c:v>2006</c:v>
                </c:pt>
                <c:pt idx="3">
                  <c:v>2007</c:v>
                </c:pt>
                <c:pt idx="4">
                  <c:v>2008</c:v>
                </c:pt>
                <c:pt idx="5">
                  <c:v>2009</c:v>
                </c:pt>
                <c:pt idx="6">
                  <c:v>2010</c:v>
                </c:pt>
                <c:pt idx="7">
                  <c:v>2011</c:v>
                </c:pt>
              </c:numCache>
            </c:numRef>
          </c:cat>
          <c:val>
            <c:numRef>
              <c:f>Sheet2!$D$17:$D$24</c:f>
              <c:numCache>
                <c:formatCode>General</c:formatCode>
                <c:ptCount val="8"/>
                <c:pt idx="0">
                  <c:v>204.56893312918061</c:v>
                </c:pt>
                <c:pt idx="1">
                  <c:v>209.31703154862979</c:v>
                </c:pt>
                <c:pt idx="2">
                  <c:v>216.44359882659884</c:v>
                </c:pt>
                <c:pt idx="3">
                  <c:v>223.50325998279001</c:v>
                </c:pt>
                <c:pt idx="4">
                  <c:v>225.6492945575979</c:v>
                </c:pt>
                <c:pt idx="5">
                  <c:v>212.86517839060659</c:v>
                </c:pt>
                <c:pt idx="6">
                  <c:v>222.10339129291614</c:v>
                </c:pt>
                <c:pt idx="7">
                  <c:v>232.52947704956364</c:v>
                </c:pt>
              </c:numCache>
            </c:numRef>
          </c:val>
          <c:smooth val="0"/>
          <c:extLst>
            <c:ext xmlns:c16="http://schemas.microsoft.com/office/drawing/2014/chart" uri="{C3380CC4-5D6E-409C-BE32-E72D297353CC}">
              <c16:uniqueId val="{00000001-9C4C-4AD4-B1B5-201EA464FCFF}"/>
            </c:ext>
          </c:extLst>
        </c:ser>
        <c:ser>
          <c:idx val="4"/>
          <c:order val="2"/>
          <c:tx>
            <c:strRef>
              <c:f>Sheet2!$E$16</c:f>
              <c:strCache>
                <c:ptCount val="1"/>
                <c:pt idx="0">
                  <c:v>Entire Sample</c:v>
                </c:pt>
              </c:strCache>
            </c:strRef>
          </c:tx>
          <c:cat>
            <c:numRef>
              <c:f>Sheet2!$B$17:$B$24</c:f>
              <c:numCache>
                <c:formatCode>General</c:formatCode>
                <c:ptCount val="8"/>
                <c:pt idx="0">
                  <c:v>2004</c:v>
                </c:pt>
                <c:pt idx="1">
                  <c:v>2005</c:v>
                </c:pt>
                <c:pt idx="2">
                  <c:v>2006</c:v>
                </c:pt>
                <c:pt idx="3">
                  <c:v>2007</c:v>
                </c:pt>
                <c:pt idx="4">
                  <c:v>2008</c:v>
                </c:pt>
                <c:pt idx="5">
                  <c:v>2009</c:v>
                </c:pt>
                <c:pt idx="6">
                  <c:v>2010</c:v>
                </c:pt>
                <c:pt idx="7">
                  <c:v>2011</c:v>
                </c:pt>
              </c:numCache>
            </c:numRef>
          </c:cat>
          <c:val>
            <c:numRef>
              <c:f>Sheet2!$E$17:$E$24</c:f>
              <c:numCache>
                <c:formatCode>General</c:formatCode>
                <c:ptCount val="8"/>
                <c:pt idx="0">
                  <c:v>218.52228496031327</c:v>
                </c:pt>
                <c:pt idx="1">
                  <c:v>223.44672081052127</c:v>
                </c:pt>
                <c:pt idx="2">
                  <c:v>231.02108883204534</c:v>
                </c:pt>
                <c:pt idx="3">
                  <c:v>238.22509404308886</c:v>
                </c:pt>
                <c:pt idx="4">
                  <c:v>240.1222095022853</c:v>
                </c:pt>
                <c:pt idx="5">
                  <c:v>224.58763783866854</c:v>
                </c:pt>
                <c:pt idx="6">
                  <c:v>233.79788434449534</c:v>
                </c:pt>
                <c:pt idx="7">
                  <c:v>243.92870744570996</c:v>
                </c:pt>
              </c:numCache>
            </c:numRef>
          </c:val>
          <c:smooth val="0"/>
          <c:extLst>
            <c:ext xmlns:c16="http://schemas.microsoft.com/office/drawing/2014/chart" uri="{C3380CC4-5D6E-409C-BE32-E72D297353CC}">
              <c16:uniqueId val="{00000002-9C4C-4AD4-B1B5-201EA464FCFF}"/>
            </c:ext>
          </c:extLst>
        </c:ser>
        <c:dLbls>
          <c:showLegendKey val="0"/>
          <c:showVal val="0"/>
          <c:showCatName val="0"/>
          <c:showSerName val="0"/>
          <c:showPercent val="0"/>
          <c:showBubbleSize val="0"/>
        </c:dLbls>
        <c:marker val="1"/>
        <c:smooth val="0"/>
        <c:axId val="338855808"/>
        <c:axId val="339116032"/>
      </c:lineChart>
      <c:catAx>
        <c:axId val="338855808"/>
        <c:scaling>
          <c:orientation val="minMax"/>
        </c:scaling>
        <c:delete val="0"/>
        <c:axPos val="b"/>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en-US"/>
          </a:p>
        </c:txPr>
        <c:crossAx val="339116032"/>
        <c:crosses val="autoZero"/>
        <c:auto val="1"/>
        <c:lblAlgn val="ctr"/>
        <c:lblOffset val="100"/>
        <c:noMultiLvlLbl val="0"/>
      </c:catAx>
      <c:valAx>
        <c:axId val="339116032"/>
        <c:scaling>
          <c:orientation val="minMax"/>
        </c:scaling>
        <c:delete val="0"/>
        <c:axPos val="l"/>
        <c:majorGridlines>
          <c:spPr>
            <a:ln>
              <a:noFill/>
            </a:ln>
          </c:spPr>
        </c:majorGridlines>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en-US"/>
          </a:p>
        </c:txPr>
        <c:crossAx val="338855808"/>
        <c:crosses val="autoZero"/>
        <c:crossBetween val="between"/>
      </c:valAx>
    </c:plotArea>
    <c:legend>
      <c:legendPos val="b"/>
      <c:legendEntry>
        <c:idx val="0"/>
        <c:txPr>
          <a:bodyPr/>
          <a:lstStyle/>
          <a:p>
            <a:pPr>
              <a:defRPr>
                <a:latin typeface="Times New Roman" panose="02020603050405020304" pitchFamily="18" charset="0"/>
                <a:cs typeface="Times New Roman" panose="02020603050405020304" pitchFamily="18" charset="0"/>
              </a:defRPr>
            </a:pPr>
            <a:endParaRPr lang="en-US"/>
          </a:p>
        </c:txPr>
      </c:legendEntry>
      <c:legendEntry>
        <c:idx val="1"/>
        <c:txPr>
          <a:bodyPr/>
          <a:lstStyle/>
          <a:p>
            <a:pPr>
              <a:defRPr>
                <a:latin typeface="Times New Roman" panose="02020603050405020304" pitchFamily="18" charset="0"/>
                <a:cs typeface="Times New Roman" panose="02020603050405020304" pitchFamily="18" charset="0"/>
              </a:defRPr>
            </a:pPr>
            <a:endParaRPr lang="en-US"/>
          </a:p>
        </c:txPr>
      </c:legendEntry>
      <c:legendEntry>
        <c:idx val="2"/>
        <c:txPr>
          <a:bodyPr/>
          <a:lstStyle/>
          <a:p>
            <a:pPr>
              <a:defRPr>
                <a:latin typeface="Times New Roman" panose="02020603050405020304" pitchFamily="18" charset="0"/>
                <a:cs typeface="Times New Roman" panose="02020603050405020304" pitchFamily="18" charset="0"/>
              </a:defRPr>
            </a:pPr>
            <a:endParaRPr lang="en-US"/>
          </a:p>
        </c:txPr>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Exporters</c:v>
          </c:tx>
          <c:spPr>
            <a:ln cmpd="sng">
              <a:prstDash val="sysDot"/>
            </a:ln>
          </c:spPr>
          <c:marker>
            <c:symbol val="none"/>
          </c:marker>
          <c:dPt>
            <c:idx val="3"/>
            <c:bubble3D val="0"/>
            <c:extLst>
              <c:ext xmlns:c16="http://schemas.microsoft.com/office/drawing/2014/chart" uri="{C3380CC4-5D6E-409C-BE32-E72D297353CC}">
                <c16:uniqueId val="{00000000-EA25-4A3D-80AC-861C7884B4BE}"/>
              </c:ext>
            </c:extLst>
          </c:dPt>
          <c:dPt>
            <c:idx val="6"/>
            <c:bubble3D val="0"/>
            <c:spPr>
              <a:ln cmpd="sng">
                <a:solidFill>
                  <a:schemeClr val="accent1">
                    <a:shade val="95000"/>
                    <a:satMod val="105000"/>
                  </a:schemeClr>
                </a:solidFill>
                <a:prstDash val="sysDot"/>
              </a:ln>
            </c:spPr>
            <c:extLst>
              <c:ext xmlns:c16="http://schemas.microsoft.com/office/drawing/2014/chart" uri="{C3380CC4-5D6E-409C-BE32-E72D297353CC}">
                <c16:uniqueId val="{00000002-EA25-4A3D-80AC-861C7884B4BE}"/>
              </c:ext>
            </c:extLst>
          </c:dPt>
          <c:cat>
            <c:numRef>
              <c:f>Sheet1!$T$12:$T$19</c:f>
              <c:numCache>
                <c:formatCode>General</c:formatCode>
                <c:ptCount val="8"/>
                <c:pt idx="0">
                  <c:v>2004</c:v>
                </c:pt>
                <c:pt idx="1">
                  <c:v>2005</c:v>
                </c:pt>
                <c:pt idx="2">
                  <c:v>2006</c:v>
                </c:pt>
                <c:pt idx="3">
                  <c:v>2007</c:v>
                </c:pt>
                <c:pt idx="4">
                  <c:v>2008</c:v>
                </c:pt>
                <c:pt idx="5">
                  <c:v>2009</c:v>
                </c:pt>
                <c:pt idx="6">
                  <c:v>2010</c:v>
                </c:pt>
                <c:pt idx="7">
                  <c:v>2011</c:v>
                </c:pt>
              </c:numCache>
            </c:numRef>
          </c:cat>
          <c:val>
            <c:numRef>
              <c:f>Sheet1!$V$12:$V$19</c:f>
              <c:numCache>
                <c:formatCode>General</c:formatCode>
                <c:ptCount val="8"/>
                <c:pt idx="0">
                  <c:v>235.44703883706308</c:v>
                </c:pt>
                <c:pt idx="1">
                  <c:v>241.60955158854927</c:v>
                </c:pt>
                <c:pt idx="2">
                  <c:v>250.4869942461433</c:v>
                </c:pt>
                <c:pt idx="3">
                  <c:v>258.86456244400676</c:v>
                </c:pt>
                <c:pt idx="4">
                  <c:v>262.07847976620337</c:v>
                </c:pt>
                <c:pt idx="5">
                  <c:v>259.15931800016938</c:v>
                </c:pt>
                <c:pt idx="6">
                  <c:v>272.56769356356625</c:v>
                </c:pt>
                <c:pt idx="7">
                  <c:v>288.56922350747152</c:v>
                </c:pt>
              </c:numCache>
            </c:numRef>
          </c:val>
          <c:smooth val="0"/>
          <c:extLst>
            <c:ext xmlns:c16="http://schemas.microsoft.com/office/drawing/2014/chart" uri="{C3380CC4-5D6E-409C-BE32-E72D297353CC}">
              <c16:uniqueId val="{00000003-EA25-4A3D-80AC-861C7884B4BE}"/>
            </c:ext>
          </c:extLst>
        </c:ser>
        <c:ser>
          <c:idx val="1"/>
          <c:order val="1"/>
          <c:tx>
            <c:v>Non-Exporters</c:v>
          </c:tx>
          <c:spPr>
            <a:ln>
              <a:prstDash val="lgDash"/>
            </a:ln>
          </c:spPr>
          <c:marker>
            <c:symbol val="none"/>
          </c:marker>
          <c:cat>
            <c:numRef>
              <c:f>Sheet1!$T$12:$T$19</c:f>
              <c:numCache>
                <c:formatCode>General</c:formatCode>
                <c:ptCount val="8"/>
                <c:pt idx="0">
                  <c:v>2004</c:v>
                </c:pt>
                <c:pt idx="1">
                  <c:v>2005</c:v>
                </c:pt>
                <c:pt idx="2">
                  <c:v>2006</c:v>
                </c:pt>
                <c:pt idx="3">
                  <c:v>2007</c:v>
                </c:pt>
                <c:pt idx="4">
                  <c:v>2008</c:v>
                </c:pt>
                <c:pt idx="5">
                  <c:v>2009</c:v>
                </c:pt>
                <c:pt idx="6">
                  <c:v>2010</c:v>
                </c:pt>
                <c:pt idx="7">
                  <c:v>2011</c:v>
                </c:pt>
              </c:numCache>
            </c:numRef>
          </c:cat>
          <c:val>
            <c:numRef>
              <c:f>Sheet1!$Z$12:$Z$19</c:f>
              <c:numCache>
                <c:formatCode>General</c:formatCode>
                <c:ptCount val="8"/>
                <c:pt idx="0">
                  <c:v>198.99227402980631</c:v>
                </c:pt>
                <c:pt idx="1">
                  <c:v>202.35144249316011</c:v>
                </c:pt>
                <c:pt idx="2">
                  <c:v>208.35367577052992</c:v>
                </c:pt>
                <c:pt idx="3">
                  <c:v>214.72947928488199</c:v>
                </c:pt>
                <c:pt idx="4">
                  <c:v>216.33021209073306</c:v>
                </c:pt>
                <c:pt idx="5">
                  <c:v>200.8700135293067</c:v>
                </c:pt>
                <c:pt idx="6">
                  <c:v>209.41878434989042</c:v>
                </c:pt>
                <c:pt idx="7">
                  <c:v>218.43511196078407</c:v>
                </c:pt>
              </c:numCache>
            </c:numRef>
          </c:val>
          <c:smooth val="0"/>
          <c:extLst>
            <c:ext xmlns:c16="http://schemas.microsoft.com/office/drawing/2014/chart" uri="{C3380CC4-5D6E-409C-BE32-E72D297353CC}">
              <c16:uniqueId val="{00000004-EA25-4A3D-80AC-861C7884B4BE}"/>
            </c:ext>
          </c:extLst>
        </c:ser>
        <c:ser>
          <c:idx val="2"/>
          <c:order val="2"/>
          <c:tx>
            <c:v>Entire Sample</c:v>
          </c:tx>
          <c:spPr>
            <a:ln cmpd="sng"/>
          </c:spPr>
          <c:marker>
            <c:symbol val="none"/>
          </c:marker>
          <c:cat>
            <c:numRef>
              <c:f>Sheet1!$T$12:$T$19</c:f>
              <c:numCache>
                <c:formatCode>General</c:formatCode>
                <c:ptCount val="8"/>
                <c:pt idx="0">
                  <c:v>2004</c:v>
                </c:pt>
                <c:pt idx="1">
                  <c:v>2005</c:v>
                </c:pt>
                <c:pt idx="2">
                  <c:v>2006</c:v>
                </c:pt>
                <c:pt idx="3">
                  <c:v>2007</c:v>
                </c:pt>
                <c:pt idx="4">
                  <c:v>2008</c:v>
                </c:pt>
                <c:pt idx="5">
                  <c:v>2009</c:v>
                </c:pt>
                <c:pt idx="6">
                  <c:v>2010</c:v>
                </c:pt>
                <c:pt idx="7">
                  <c:v>2011</c:v>
                </c:pt>
              </c:numCache>
            </c:numRef>
          </c:cat>
          <c:val>
            <c:numRef>
              <c:f>Sheet1!$AE$12:$AE$19</c:f>
              <c:numCache>
                <c:formatCode>General</c:formatCode>
                <c:ptCount val="8"/>
                <c:pt idx="0">
                  <c:v>218.52228496031327</c:v>
                </c:pt>
                <c:pt idx="1">
                  <c:v>223.44672081052127</c:v>
                </c:pt>
                <c:pt idx="2">
                  <c:v>231.02108883204534</c:v>
                </c:pt>
                <c:pt idx="3">
                  <c:v>238.22509404308886</c:v>
                </c:pt>
                <c:pt idx="4">
                  <c:v>240.1222095022853</c:v>
                </c:pt>
                <c:pt idx="5">
                  <c:v>224.58763783866854</c:v>
                </c:pt>
                <c:pt idx="6">
                  <c:v>233.79788434449534</c:v>
                </c:pt>
                <c:pt idx="7">
                  <c:v>243.92870744570996</c:v>
                </c:pt>
              </c:numCache>
            </c:numRef>
          </c:val>
          <c:smooth val="0"/>
          <c:extLst>
            <c:ext xmlns:c16="http://schemas.microsoft.com/office/drawing/2014/chart" uri="{C3380CC4-5D6E-409C-BE32-E72D297353CC}">
              <c16:uniqueId val="{00000005-EA25-4A3D-80AC-861C7884B4BE}"/>
            </c:ext>
          </c:extLst>
        </c:ser>
        <c:dLbls>
          <c:showLegendKey val="0"/>
          <c:showVal val="0"/>
          <c:showCatName val="0"/>
          <c:showSerName val="0"/>
          <c:showPercent val="0"/>
          <c:showBubbleSize val="0"/>
        </c:dLbls>
        <c:smooth val="0"/>
        <c:axId val="349468544"/>
        <c:axId val="349470080"/>
      </c:lineChart>
      <c:catAx>
        <c:axId val="349468544"/>
        <c:scaling>
          <c:orientation val="minMax"/>
        </c:scaling>
        <c:delete val="0"/>
        <c:axPos val="b"/>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en-US"/>
          </a:p>
        </c:txPr>
        <c:crossAx val="349470080"/>
        <c:crosses val="autoZero"/>
        <c:auto val="1"/>
        <c:lblAlgn val="ctr"/>
        <c:lblOffset val="100"/>
        <c:noMultiLvlLbl val="0"/>
      </c:catAx>
      <c:valAx>
        <c:axId val="349470080"/>
        <c:scaling>
          <c:orientation val="minMax"/>
        </c:scaling>
        <c:delete val="0"/>
        <c:axPos val="l"/>
        <c:majorGridlines>
          <c:spPr>
            <a:ln>
              <a:noFill/>
            </a:ln>
          </c:spPr>
        </c:majorGridlines>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en-US"/>
          </a:p>
        </c:txPr>
        <c:crossAx val="349468544"/>
        <c:crosses val="autoZero"/>
        <c:crossBetween val="between"/>
      </c:valAx>
    </c:plotArea>
    <c:legend>
      <c:legendPos val="b"/>
      <c:legendEntry>
        <c:idx val="0"/>
        <c:txPr>
          <a:bodyPr/>
          <a:lstStyle/>
          <a:p>
            <a:pPr>
              <a:defRPr>
                <a:latin typeface="Times New Roman" panose="02020603050405020304" pitchFamily="18" charset="0"/>
                <a:cs typeface="Times New Roman" panose="02020603050405020304" pitchFamily="18" charset="0"/>
              </a:defRPr>
            </a:pPr>
            <a:endParaRPr lang="en-US"/>
          </a:p>
        </c:txPr>
      </c:legendEntry>
      <c:legendEntry>
        <c:idx val="1"/>
        <c:txPr>
          <a:bodyPr/>
          <a:lstStyle/>
          <a:p>
            <a:pPr>
              <a:defRPr>
                <a:latin typeface="Times New Roman" panose="02020603050405020304" pitchFamily="18" charset="0"/>
                <a:cs typeface="Times New Roman" panose="02020603050405020304" pitchFamily="18" charset="0"/>
              </a:defRPr>
            </a:pPr>
            <a:endParaRPr lang="en-US"/>
          </a:p>
        </c:txPr>
      </c:legendEntry>
      <c:legendEntry>
        <c:idx val="2"/>
        <c:txPr>
          <a:bodyPr/>
          <a:lstStyle/>
          <a:p>
            <a:pPr>
              <a:defRPr>
                <a:latin typeface="Times New Roman" panose="02020603050405020304" pitchFamily="18" charset="0"/>
                <a:cs typeface="Times New Roman" panose="02020603050405020304" pitchFamily="18" charset="0"/>
              </a:defRPr>
            </a:pPr>
            <a:endParaRPr lang="en-US"/>
          </a:p>
        </c:txPr>
      </c:legendEntry>
      <c:layout>
        <c:manualLayout>
          <c:xMode val="edge"/>
          <c:yMode val="edge"/>
          <c:x val="0.14712860892388452"/>
          <c:y val="0.87924577136191306"/>
          <c:w val="0.70725663716814158"/>
          <c:h val="7.8537839020122485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D3B89F0-39E8-42A6-9D54-679489DF3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7902</Words>
  <Characters>45046</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52843</CharactersWithSpaces>
  <SharedDoc>false</SharedDoc>
  <HLinks>
    <vt:vector size="24" baseType="variant">
      <vt:variant>
        <vt:i4>7536689</vt:i4>
      </vt:variant>
      <vt:variant>
        <vt:i4>526</vt:i4>
      </vt:variant>
      <vt:variant>
        <vt:i4>0</vt:i4>
      </vt:variant>
      <vt:variant>
        <vt:i4>5</vt:i4>
      </vt:variant>
      <vt:variant>
        <vt:lpwstr>http://en.wikipedia.org/wiki/Sales</vt:lpwstr>
      </vt:variant>
      <vt:variant>
        <vt:lpwstr/>
      </vt:variant>
      <vt:variant>
        <vt:i4>1048640</vt:i4>
      </vt:variant>
      <vt:variant>
        <vt:i4>523</vt:i4>
      </vt:variant>
      <vt:variant>
        <vt:i4>0</vt:i4>
      </vt:variant>
      <vt:variant>
        <vt:i4>5</vt:i4>
      </vt:variant>
      <vt:variant>
        <vt:lpwstr>http://en.wikipedia.org/wiki/Revenue</vt:lpwstr>
      </vt:variant>
      <vt:variant>
        <vt:lpwstr/>
      </vt:variant>
      <vt:variant>
        <vt:i4>4849664</vt:i4>
      </vt:variant>
      <vt:variant>
        <vt:i4>3</vt:i4>
      </vt:variant>
      <vt:variant>
        <vt:i4>0</vt:i4>
      </vt:variant>
      <vt:variant>
        <vt:i4>5</vt:i4>
      </vt:variant>
      <vt:variant>
        <vt:lpwstr>tel:++44(0)2084115349</vt:lpwstr>
      </vt:variant>
      <vt:variant>
        <vt:lpwstr/>
      </vt:variant>
      <vt:variant>
        <vt:i4>5963885</vt:i4>
      </vt:variant>
      <vt:variant>
        <vt:i4>0</vt:i4>
      </vt:variant>
      <vt:variant>
        <vt:i4>0</vt:i4>
      </vt:variant>
      <vt:variant>
        <vt:i4>5</vt:i4>
      </vt:variant>
      <vt:variant>
        <vt:lpwstr>mailto:I.Bournakis@mdx.ac.uk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Ioannis Bournakis</dc:creator>
  <cp:lastModifiedBy>Ioannis Bournakis</cp:lastModifiedBy>
  <cp:revision>7</cp:revision>
  <cp:lastPrinted>2016-11-27T22:59:00Z</cp:lastPrinted>
  <dcterms:created xsi:type="dcterms:W3CDTF">2017-10-02T17:58:00Z</dcterms:created>
  <dcterms:modified xsi:type="dcterms:W3CDTF">2018-11-20T20:36:00Z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ZOTERO_PREF_1">
    <vt:lpwstr>&lt;data data-version="3" zotero-version="4.0.26.4"&gt;&lt;session id="ImZPqmXi"/&gt;&lt;style id="http://www.zotero.org/styles/elsevier-harvard" hasBibliography="1" bibliographyStyleHasBeenSet="1"/&gt;&lt;prefs&gt;&lt;pref name="fieldType" value="Field"/&gt;&lt;pref name="storeReference</vt:lpwstr>
  </property>
  <property fmtid="{D5CDD505-2E9C-101B-9397-08002B2CF9AE}" pid="5" name="ZOTERO_PREF_2">
    <vt:lpwstr>s" value="true"/&gt;&lt;pref name="automaticJournalAbbreviations" value="true"/&gt;&lt;pref name="noteType" value="0"/&gt;&lt;/prefs&gt;&lt;/data&gt;</vt:lpwstr>
  </property>
  <property fmtid="{D5CDD505-2E9C-101B-9397-08002B2CF9AE}" pid="6" name="MTEquationSection">
    <vt:lpwstr>1</vt:lpwstr>
  </property>
</Properties>
</file>