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94" w:rsidRPr="00276AF3" w:rsidRDefault="00C81D94" w:rsidP="00C81D94">
      <w:pPr>
        <w:pStyle w:val="Heading1"/>
        <w:spacing w:line="276" w:lineRule="auto"/>
        <w:jc w:val="center"/>
        <w:rPr>
          <w:rStyle w:val="BookTitle"/>
          <w:rFonts w:asciiTheme="majorBidi" w:hAnsiTheme="majorBidi"/>
          <w:b/>
          <w:bCs/>
          <w:sz w:val="34"/>
          <w:szCs w:val="34"/>
        </w:rPr>
      </w:pPr>
      <w:r w:rsidRPr="00276AF3">
        <w:rPr>
          <w:rStyle w:val="BookTitle"/>
          <w:rFonts w:asciiTheme="majorBidi" w:hAnsiTheme="majorBidi"/>
          <w:b/>
          <w:bCs/>
          <w:sz w:val="34"/>
          <w:szCs w:val="34"/>
        </w:rPr>
        <w:t>The Effects of A Competitive Soccer Match on Jump Performance and Inter-limb Asymmetries in Elite Academy Soccer Players</w:t>
      </w:r>
    </w:p>
    <w:p w:rsidR="00C81D94" w:rsidRDefault="00C81D94" w:rsidP="00C81D94">
      <w:pPr>
        <w:pStyle w:val="Heading1"/>
        <w:spacing w:line="360" w:lineRule="auto"/>
        <w:rPr>
          <w:sz w:val="24"/>
          <w:szCs w:val="24"/>
        </w:rPr>
      </w:pPr>
      <w:bookmarkStart w:id="0" w:name="_Toc492418537"/>
    </w:p>
    <w:p w:rsidR="00C81D94" w:rsidRPr="00DD4CFD" w:rsidRDefault="00C81D94" w:rsidP="00C81D94">
      <w:pPr>
        <w:pStyle w:val="Heading1"/>
        <w:spacing w:line="360" w:lineRule="auto"/>
        <w:rPr>
          <w:sz w:val="24"/>
          <w:szCs w:val="24"/>
        </w:rPr>
      </w:pPr>
      <w:r>
        <w:rPr>
          <w:sz w:val="24"/>
          <w:szCs w:val="24"/>
        </w:rPr>
        <w:t>ABSTRACT</w:t>
      </w:r>
      <w:bookmarkEnd w:id="0"/>
      <w:r>
        <w:rPr>
          <w:sz w:val="24"/>
          <w:szCs w:val="24"/>
        </w:rPr>
        <w:t xml:space="preserve"> </w:t>
      </w:r>
    </w:p>
    <w:p w:rsidR="00C81D94" w:rsidRPr="00AF2F28" w:rsidRDefault="00C81D94" w:rsidP="00C81D94">
      <w:pPr>
        <w:spacing w:line="480" w:lineRule="auto"/>
        <w:jc w:val="both"/>
        <w:rPr>
          <w:rFonts w:ascii="Times New Roman" w:hAnsi="Times New Roman" w:cs="Times New Roman"/>
        </w:rPr>
      </w:pPr>
      <w:r>
        <w:rPr>
          <w:rFonts w:ascii="Times New Roman" w:hAnsi="Times New Roman" w:cs="Times New Roman"/>
        </w:rPr>
        <w:t>The purpose of the present</w:t>
      </w:r>
      <w:r w:rsidRPr="00FD1A20">
        <w:rPr>
          <w:rFonts w:ascii="Times New Roman" w:hAnsi="Times New Roman" w:cs="Times New Roman"/>
        </w:rPr>
        <w:t xml:space="preserve"> study was to investigate the effects of </w:t>
      </w:r>
      <w:r>
        <w:rPr>
          <w:rFonts w:ascii="Times New Roman" w:hAnsi="Times New Roman" w:cs="Times New Roman"/>
        </w:rPr>
        <w:t>a competitive soccer match</w:t>
      </w:r>
      <w:r w:rsidRPr="00FD1A20">
        <w:rPr>
          <w:rFonts w:ascii="Times New Roman" w:hAnsi="Times New Roman" w:cs="Times New Roman"/>
        </w:rPr>
        <w:t xml:space="preserve"> on</w:t>
      </w:r>
      <w:r>
        <w:rPr>
          <w:rFonts w:ascii="Times New Roman" w:hAnsi="Times New Roman" w:cs="Times New Roman"/>
        </w:rPr>
        <w:t xml:space="preserve"> jump performance and inter-limb asymmetries over incremental time points during a 72-hour</w:t>
      </w:r>
      <w:r w:rsidR="00DE3F31">
        <w:rPr>
          <w:rFonts w:ascii="Times New Roman" w:hAnsi="Times New Roman" w:cs="Times New Roman"/>
        </w:rPr>
        <w:t xml:space="preserve"> (h)</w:t>
      </w:r>
      <w:r>
        <w:rPr>
          <w:rFonts w:ascii="Times New Roman" w:hAnsi="Times New Roman" w:cs="Times New Roman"/>
        </w:rPr>
        <w:t xml:space="preserve"> period</w:t>
      </w:r>
      <w:r w:rsidRPr="00FD1A20">
        <w:rPr>
          <w:rFonts w:ascii="Times New Roman" w:hAnsi="Times New Roman" w:cs="Times New Roman"/>
        </w:rPr>
        <w:t>. Fourteen</w:t>
      </w:r>
      <w:r>
        <w:rPr>
          <w:rFonts w:ascii="Times New Roman" w:hAnsi="Times New Roman" w:cs="Times New Roman"/>
        </w:rPr>
        <w:t xml:space="preserve"> elite adolescent players </w:t>
      </w:r>
      <w:r w:rsidRPr="00FD1A20">
        <w:rPr>
          <w:rFonts w:ascii="Times New Roman" w:hAnsi="Times New Roman" w:cs="Times New Roman"/>
        </w:rPr>
        <w:t>from a professional English catego</w:t>
      </w:r>
      <w:r>
        <w:rPr>
          <w:rFonts w:ascii="Times New Roman" w:hAnsi="Times New Roman" w:cs="Times New Roman"/>
        </w:rPr>
        <w:t>ry three academy performed single leg countermovement jumps (SLCMJ) pre, post, 24, 48, an</w:t>
      </w:r>
      <w:r w:rsidR="001E670E">
        <w:rPr>
          <w:rFonts w:ascii="Times New Roman" w:hAnsi="Times New Roman" w:cs="Times New Roman"/>
        </w:rPr>
        <w:t>d 72-h</w:t>
      </w:r>
      <w:r w:rsidR="00A830C1">
        <w:rPr>
          <w:rFonts w:ascii="Times New Roman" w:hAnsi="Times New Roman" w:cs="Times New Roman"/>
        </w:rPr>
        <w:t xml:space="preserve"> post-</w:t>
      </w:r>
      <w:r>
        <w:rPr>
          <w:rFonts w:ascii="Times New Roman" w:hAnsi="Times New Roman" w:cs="Times New Roman"/>
        </w:rPr>
        <w:t xml:space="preserve">match on a single force platform. Eccentric impulse, concentric impulse, </w:t>
      </w:r>
      <w:r w:rsidR="00AB4EBD">
        <w:rPr>
          <w:rFonts w:ascii="Times New Roman" w:hAnsi="Times New Roman" w:cs="Times New Roman"/>
        </w:rPr>
        <w:t>peak propulsive force, jump height, peak landing force</w:t>
      </w:r>
      <w:r>
        <w:rPr>
          <w:rFonts w:ascii="Times New Roman" w:hAnsi="Times New Roman" w:cs="Times New Roman"/>
        </w:rPr>
        <w:t xml:space="preserve">, and landing impulse were monitored </w:t>
      </w:r>
      <w:r w:rsidRPr="00AF2F28">
        <w:rPr>
          <w:rFonts w:ascii="Times New Roman" w:hAnsi="Times New Roman" w:cs="Times New Roman"/>
        </w:rPr>
        <w:t>throughout. Inter-limb asymmetries were also calculated for each metric as the percentage difference between limbs. Significant negative changes (</w:t>
      </w:r>
      <w:r w:rsidRPr="00AF2F28">
        <w:rPr>
          <w:rFonts w:ascii="Times New Roman" w:hAnsi="Times New Roman" w:cs="Times New Roman"/>
          <w:i/>
        </w:rPr>
        <w:t xml:space="preserve">p </w:t>
      </w:r>
      <w:r w:rsidRPr="00AF2F28">
        <w:rPr>
          <w:rFonts w:ascii="Times New Roman" w:hAnsi="Times New Roman" w:cs="Times New Roman"/>
        </w:rPr>
        <w:t>&lt; 0.05) in jump performance were noted for all metrics at all time points, with the exception of jump height. Inter-limb asymmetries were metric-dependent and showed very large increases</w:t>
      </w:r>
      <w:r w:rsidR="00A830C1">
        <w:rPr>
          <w:rFonts w:ascii="Times New Roman" w:hAnsi="Times New Roman" w:cs="Times New Roman"/>
        </w:rPr>
        <w:t>, specifically post-</w:t>
      </w:r>
      <w:r w:rsidR="00A830C1" w:rsidRPr="00AF2F28">
        <w:rPr>
          <w:rFonts w:ascii="Times New Roman" w:hAnsi="Times New Roman" w:cs="Times New Roman"/>
        </w:rPr>
        <w:t>match</w:t>
      </w:r>
      <w:r w:rsidRPr="00AF2F28">
        <w:rPr>
          <w:rFonts w:ascii="Times New Roman" w:hAnsi="Times New Roman" w:cs="Times New Roman"/>
        </w:rPr>
        <w:t>, with a trend to reduce back toward</w:t>
      </w:r>
      <w:r w:rsidR="001E670E">
        <w:rPr>
          <w:rFonts w:ascii="Times New Roman" w:hAnsi="Times New Roman" w:cs="Times New Roman"/>
        </w:rPr>
        <w:t>s baseline values at the 48-h</w:t>
      </w:r>
      <w:r w:rsidRPr="00AF2F28">
        <w:rPr>
          <w:rFonts w:ascii="Times New Roman" w:hAnsi="Times New Roman" w:cs="Times New Roman"/>
        </w:rPr>
        <w:t xml:space="preserve"> time point for propulsive-based metrics. Asymmetries for landing metric</w:t>
      </w:r>
      <w:r w:rsidR="001E670E">
        <w:rPr>
          <w:rFonts w:ascii="Times New Roman" w:hAnsi="Times New Roman" w:cs="Times New Roman"/>
        </w:rPr>
        <w:t>s did not peak until the 24-h</w:t>
      </w:r>
      <w:r w:rsidRPr="00AF2F28">
        <w:rPr>
          <w:rFonts w:ascii="Times New Roman" w:hAnsi="Times New Roman" w:cs="Times New Roman"/>
        </w:rPr>
        <w:t xml:space="preserve"> time point and again redu</w:t>
      </w:r>
      <w:r w:rsidR="00DE3F31">
        <w:rPr>
          <w:rFonts w:ascii="Times New Roman" w:hAnsi="Times New Roman" w:cs="Times New Roman"/>
        </w:rPr>
        <w:t>ced towards baseline at 48-h</w:t>
      </w:r>
      <w:r w:rsidRPr="00AF2F28">
        <w:rPr>
          <w:rFonts w:ascii="Times New Roman" w:hAnsi="Times New Roman" w:cs="Times New Roman"/>
        </w:rPr>
        <w:t xml:space="preserve">. </w:t>
      </w:r>
      <w:r w:rsidRPr="00AF2F28">
        <w:rPr>
          <w:rFonts w:ascii="Times New Roman" w:eastAsia="Times New Roman" w:hAnsi="Times New Roman" w:cs="Times New Roman"/>
        </w:rPr>
        <w:t>The present study highlights the importance of monitoring distinct jump metrics, as jump height alone</w:t>
      </w:r>
      <w:r w:rsidRPr="00AF2F28">
        <w:rPr>
          <w:rFonts w:ascii="Times New Roman" w:hAnsi="Times New Roman" w:cs="Times New Roman"/>
        </w:rPr>
        <w:t xml:space="preserve"> was not sensitive enough to show significant changes in </w:t>
      </w:r>
      <w:r w:rsidR="006F433B">
        <w:rPr>
          <w:rFonts w:ascii="Times New Roman" w:hAnsi="Times New Roman" w:cs="Times New Roman"/>
        </w:rPr>
        <w:t xml:space="preserve">jump </w:t>
      </w:r>
      <w:r w:rsidRPr="00AF2F28">
        <w:rPr>
          <w:rFonts w:ascii="Times New Roman" w:hAnsi="Times New Roman" w:cs="Times New Roman"/>
        </w:rPr>
        <w:t>performance. However, inter-limb asymmetries were sensitive to fatigue with very large increases post-match. More frequent monitoring of asymmetries could enable practitioners to determine whether existing imbalances are also associated with reductions in physical performance or increased inj</w:t>
      </w:r>
      <w:r w:rsidR="00E05155">
        <w:rPr>
          <w:rFonts w:ascii="Times New Roman" w:hAnsi="Times New Roman" w:cs="Times New Roman"/>
        </w:rPr>
        <w:t>ury risk</w:t>
      </w:r>
      <w:r w:rsidRPr="00AF2F28">
        <w:rPr>
          <w:rFonts w:ascii="Times New Roman" w:hAnsi="Times New Roman" w:cs="Times New Roman"/>
        </w:rPr>
        <w:t xml:space="preserve">. </w:t>
      </w:r>
    </w:p>
    <w:p w:rsidR="00C81D94" w:rsidRDefault="00C81D94" w:rsidP="00C81D94">
      <w:pPr>
        <w:spacing w:line="480" w:lineRule="auto"/>
        <w:jc w:val="both"/>
        <w:rPr>
          <w:rFonts w:ascii="Times New Roman" w:hAnsi="Times New Roman" w:cs="Times New Roman"/>
        </w:rPr>
      </w:pPr>
    </w:p>
    <w:p w:rsidR="00C81D94" w:rsidRPr="007855CB" w:rsidRDefault="00C81D94" w:rsidP="00C81D94">
      <w:pPr>
        <w:spacing w:line="480" w:lineRule="auto"/>
        <w:jc w:val="both"/>
        <w:rPr>
          <w:rFonts w:ascii="Times New Roman" w:hAnsi="Times New Roman" w:cs="Times New Roman"/>
        </w:rPr>
      </w:pPr>
      <w:r>
        <w:rPr>
          <w:rFonts w:ascii="Times New Roman" w:hAnsi="Times New Roman" w:cs="Times New Roman"/>
          <w:b/>
        </w:rPr>
        <w:t>Key Words</w:t>
      </w:r>
      <w:r w:rsidRPr="00AF2F28">
        <w:rPr>
          <w:rFonts w:ascii="Times New Roman" w:hAnsi="Times New Roman" w:cs="Times New Roman"/>
          <w:b/>
        </w:rPr>
        <w:t xml:space="preserve">: </w:t>
      </w:r>
      <w:r w:rsidRPr="00AF2F28">
        <w:rPr>
          <w:rFonts w:ascii="Times New Roman" w:hAnsi="Times New Roman" w:cs="Times New Roman"/>
        </w:rPr>
        <w:t>Performance monitoring, imbalances</w:t>
      </w:r>
      <w:r>
        <w:rPr>
          <w:rFonts w:ascii="Times New Roman" w:hAnsi="Times New Roman" w:cs="Times New Roman"/>
        </w:rPr>
        <w:t xml:space="preserve">, recovery </w:t>
      </w:r>
    </w:p>
    <w:p w:rsidR="00C81D94" w:rsidRPr="006E3896" w:rsidRDefault="00C81D94" w:rsidP="00C81D94">
      <w:pPr>
        <w:spacing w:line="480" w:lineRule="auto"/>
        <w:jc w:val="both"/>
        <w:rPr>
          <w:rFonts w:ascii="Times New Roman" w:hAnsi="Times New Roman" w:cs="Times New Roman"/>
        </w:rPr>
      </w:pPr>
    </w:p>
    <w:p w:rsidR="00AB4EBD" w:rsidRDefault="00AB4EBD" w:rsidP="00C81D94">
      <w:pPr>
        <w:pStyle w:val="Heading1"/>
        <w:spacing w:line="480" w:lineRule="auto"/>
        <w:rPr>
          <w:sz w:val="22"/>
          <w:szCs w:val="22"/>
        </w:rPr>
      </w:pPr>
      <w:bookmarkStart w:id="1" w:name="_Toc492418538"/>
    </w:p>
    <w:p w:rsidR="00C81D94" w:rsidRPr="00DD4CFD" w:rsidRDefault="00C81D94" w:rsidP="00C81D94">
      <w:pPr>
        <w:pStyle w:val="Heading1"/>
        <w:spacing w:line="480" w:lineRule="auto"/>
        <w:rPr>
          <w:sz w:val="22"/>
          <w:szCs w:val="22"/>
        </w:rPr>
      </w:pPr>
      <w:r>
        <w:rPr>
          <w:sz w:val="22"/>
          <w:szCs w:val="22"/>
        </w:rPr>
        <w:lastRenderedPageBreak/>
        <w:t>INTRODUCTION</w:t>
      </w:r>
      <w:bookmarkEnd w:id="1"/>
    </w:p>
    <w:p w:rsidR="00C81D94" w:rsidRPr="00AF2F28" w:rsidRDefault="00C81D94" w:rsidP="00C81D94">
      <w:pPr>
        <w:spacing w:line="480" w:lineRule="auto"/>
        <w:jc w:val="both"/>
        <w:rPr>
          <w:rFonts w:ascii="Times New Roman" w:hAnsi="Times New Roman" w:cs="Times New Roman"/>
        </w:rPr>
      </w:pPr>
      <w:r w:rsidRPr="00F93F4D">
        <w:rPr>
          <w:rFonts w:ascii="Times New Roman" w:hAnsi="Times New Roman" w:cs="Times New Roman"/>
        </w:rPr>
        <w:t xml:space="preserve">During </w:t>
      </w:r>
      <w:r w:rsidRPr="00AF2F28">
        <w:rPr>
          <w:rFonts w:ascii="Times New Roman" w:hAnsi="Times New Roman" w:cs="Times New Roman"/>
        </w:rPr>
        <w:t>match play, soccer athletes are required to perform repeated high intensity, intermittent, and multi-directional actions in unpredictable environments. Specifically, jogging, sprinting, jumping, and changes of direction are common in soccer which frequently require high levels of unilateral force production (3,32,37). Mohr et al. (33) documented approximately 1300 individual or combinations of these actions throughout match-play, which have been shown to occur and subsequently change on average every five seconds. With players consistently required to perform these actions and react to external stimuli such as opponents and ball trajectory to name just a couple, asymmetrical loading is a natural consequence; thus, inter-limb asymmetries are likely a by-product of the sport which has been shown in comparable team sport athletes (23). In addition, the action of kicking is also likely to contribute to inter-limb differences in soccer players due to the inherent nature of the non-k</w:t>
      </w:r>
      <w:r w:rsidR="008815F9">
        <w:rPr>
          <w:rFonts w:ascii="Times New Roman" w:hAnsi="Times New Roman" w:cs="Times New Roman"/>
        </w:rPr>
        <w:t>icking limb required to stabiliz</w:t>
      </w:r>
      <w:r w:rsidRPr="00AF2F28">
        <w:rPr>
          <w:rFonts w:ascii="Times New Roman" w:hAnsi="Times New Roman" w:cs="Times New Roman"/>
        </w:rPr>
        <w:t>e each player (and thus absorb ground reaction force) during the action itself. Furthermore, inter-limb asymmetries have been negatively associated with sports performance markers (6,9,25,31), in addition to increased injury risk about the hip (5), knee (14) and ankle (18). Thus, quantifying and monitoring changes in asymmetry could be deemed</w:t>
      </w:r>
      <w:r w:rsidRPr="00AF2F28" w:rsidDel="004B5EE5">
        <w:rPr>
          <w:rFonts w:ascii="Times New Roman" w:hAnsi="Times New Roman" w:cs="Times New Roman"/>
        </w:rPr>
        <w:t xml:space="preserve"> </w:t>
      </w:r>
      <w:r w:rsidRPr="00AF2F28">
        <w:rPr>
          <w:rFonts w:ascii="Times New Roman" w:hAnsi="Times New Roman" w:cs="Times New Roman"/>
        </w:rPr>
        <w:t xml:space="preserve">important to both maximize physical performance and reduce potential injury risk.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 xml:space="preserve">The relationship between fatigue and physical performance has been found increasingly important as reduced physical performance inclusive of: total distance covered, high speed running, sprint distance, accelerations, and decelerations (1,45) have also been noted during the latter periods of each half. Chronic effects of neuromuscular fatigue have also been shown to remain up to 48 hours post-match (2,27,44). Within the available literature, simulated </w:t>
      </w:r>
      <w:r w:rsidR="00363DB6">
        <w:rPr>
          <w:rFonts w:ascii="Times New Roman" w:hAnsi="Times New Roman" w:cs="Times New Roman"/>
        </w:rPr>
        <w:t>match protocols have been utiliz</w:t>
      </w:r>
      <w:r w:rsidRPr="00AF2F28">
        <w:rPr>
          <w:rFonts w:ascii="Times New Roman" w:hAnsi="Times New Roman" w:cs="Times New Roman"/>
        </w:rPr>
        <w:t xml:space="preserve">ed to induce player fatigue and monitor both their acute and chronic effects on performance. Significant intra-limb decreases of 13-15% in functional hamstrings to quadriceps strength ratio (H:Q) have been shown following the Loughborough intermittent shuttle test and a soccer-specific aerobic field test, respectively (10,43). Soccer players are generally involved in &gt; 70 matches per season with ~3-6 training sessions every week, leaving little time for recovery (27,41). Thus, the time course of residual </w:t>
      </w:r>
      <w:r w:rsidRPr="00AF2F28">
        <w:rPr>
          <w:rFonts w:ascii="Times New Roman" w:hAnsi="Times New Roman" w:cs="Times New Roman"/>
        </w:rPr>
        <w:lastRenderedPageBreak/>
        <w:t>periods where elevated asymmetry may be present also requires examination to inform training prescription and identify vulnerable periods where players may be at a greater risk of injury.</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Previous studies have focused on the use of isokinetic dynamometry to measure inter-limb asymmetries (14,16,43). Although useful, isokinetic assessments involve isolated joint actions under the constraints of laboratory conditions and are likely to be time-inefficient in comparison to alternative field-based tests. More recent investigations have highlighted the use of unilateral jump tests to quantify asymmetries in soccer players such as the single leg countermovement jump (SLCMJ) and various hop tests (9). Bishop et al. (9) reported jump height asymmetries of ~12% in youth female players from the SLCMJ, which were double that of any horizontal hop tests. Furthermore, these inter-limb differences were associated with reduced sprint (</w:t>
      </w:r>
      <w:r w:rsidRPr="00AF2F28">
        <w:rPr>
          <w:rFonts w:ascii="Times New Roman" w:hAnsi="Times New Roman" w:cs="Times New Roman"/>
          <w:i/>
        </w:rPr>
        <w:t xml:space="preserve">r </w:t>
      </w:r>
      <w:r w:rsidRPr="00AF2F28">
        <w:rPr>
          <w:rFonts w:ascii="Times New Roman" w:hAnsi="Times New Roman" w:cs="Times New Roman"/>
        </w:rPr>
        <w:t>= 0.49 to 0.59) and jump performance (</w:t>
      </w:r>
      <w:r w:rsidRPr="00AF2F28">
        <w:rPr>
          <w:rFonts w:ascii="Times New Roman" w:hAnsi="Times New Roman" w:cs="Times New Roman"/>
          <w:i/>
        </w:rPr>
        <w:t xml:space="preserve">r </w:t>
      </w:r>
      <w:r w:rsidRPr="00AF2F28">
        <w:rPr>
          <w:rFonts w:ascii="Times New Roman" w:hAnsi="Times New Roman" w:cs="Times New Roman"/>
        </w:rPr>
        <w:t xml:space="preserve">= -0.47 to -0.58) suggesting that players with smaller asymmetries outperformed those with larger differences. However, test protocols in the aforementioned study were performed when players were fresh. At present, the association between side-to-side differences and fatigue in soccer is particularly scarce with studies only using simulated protocols to induce fatigue (10,16,29,43). These protocols exclude the auxiliary actions synonymous with soccer (such as physical duals); thus, not providing a true representation of the demands of competitive match-play.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 xml:space="preserve">Therefore, the first aim of the present study was to quantify inter-limb asymmetries in a cohort of elite academy soccer players. The second aim was to determine the effects that a competitive soccer match has on these side-to-side differences. The final aim was to monitor </w:t>
      </w:r>
      <w:r w:rsidR="00DE3F31">
        <w:rPr>
          <w:rFonts w:ascii="Times New Roman" w:hAnsi="Times New Roman" w:cs="Times New Roman"/>
        </w:rPr>
        <w:t>these asymmetries over a 72-h</w:t>
      </w:r>
      <w:r w:rsidRPr="00AF2F28">
        <w:rPr>
          <w:rFonts w:ascii="Times New Roman" w:hAnsi="Times New Roman" w:cs="Times New Roman"/>
        </w:rPr>
        <w:t xml:space="preserve"> period, wh</w:t>
      </w:r>
      <w:r w:rsidR="00363DB6">
        <w:rPr>
          <w:rFonts w:ascii="Times New Roman" w:hAnsi="Times New Roman" w:cs="Times New Roman"/>
        </w:rPr>
        <w:t>ich would provide an insight in</w:t>
      </w:r>
      <w:r w:rsidRPr="00AF2F28">
        <w:rPr>
          <w:rFonts w:ascii="Times New Roman" w:hAnsi="Times New Roman" w:cs="Times New Roman"/>
        </w:rPr>
        <w:t>to the relationship between asymmetries, fatigue,</w:t>
      </w:r>
      <w:r w:rsidR="007B2516">
        <w:rPr>
          <w:rFonts w:ascii="Times New Roman" w:hAnsi="Times New Roman" w:cs="Times New Roman"/>
        </w:rPr>
        <w:t xml:space="preserve"> and recovery. It was hypothesiz</w:t>
      </w:r>
      <w:r w:rsidRPr="00AF2F28">
        <w:rPr>
          <w:rFonts w:ascii="Times New Roman" w:hAnsi="Times New Roman" w:cs="Times New Roman"/>
        </w:rPr>
        <w:t>ed that asymmetries would significantly increase post-match with notable reduct</w:t>
      </w:r>
      <w:r w:rsidR="00DE3F31">
        <w:rPr>
          <w:rFonts w:ascii="Times New Roman" w:hAnsi="Times New Roman" w:cs="Times New Roman"/>
        </w:rPr>
        <w:t>ions seen throughout the 72-h</w:t>
      </w:r>
      <w:r w:rsidRPr="00AF2F28">
        <w:rPr>
          <w:rFonts w:ascii="Times New Roman" w:hAnsi="Times New Roman" w:cs="Times New Roman"/>
        </w:rPr>
        <w:t xml:space="preserve"> recovery period. </w:t>
      </w:r>
    </w:p>
    <w:p w:rsidR="00C81D94" w:rsidRDefault="00C81D94" w:rsidP="00C81D94">
      <w:pPr>
        <w:spacing w:line="480" w:lineRule="auto"/>
        <w:jc w:val="both"/>
        <w:rPr>
          <w:rFonts w:ascii="Times New Roman" w:hAnsi="Times New Roman" w:cs="Times New Roman"/>
          <w:b/>
        </w:rPr>
      </w:pPr>
      <w:bookmarkStart w:id="2" w:name="_Toc492418539"/>
    </w:p>
    <w:p w:rsidR="00C81D94" w:rsidRDefault="00C81D94" w:rsidP="00C81D94">
      <w:pPr>
        <w:spacing w:line="480" w:lineRule="auto"/>
        <w:jc w:val="both"/>
        <w:rPr>
          <w:rFonts w:ascii="Times New Roman" w:hAnsi="Times New Roman" w:cs="Times New Roman"/>
          <w:b/>
        </w:rPr>
      </w:pPr>
    </w:p>
    <w:p w:rsidR="00C81D94" w:rsidRDefault="00C81D94" w:rsidP="00C81D94">
      <w:pPr>
        <w:spacing w:line="480" w:lineRule="auto"/>
        <w:jc w:val="both"/>
        <w:rPr>
          <w:rFonts w:ascii="Times New Roman" w:hAnsi="Times New Roman" w:cs="Times New Roman"/>
          <w:b/>
        </w:rPr>
      </w:pPr>
    </w:p>
    <w:p w:rsidR="00C81D94" w:rsidRDefault="00C81D94" w:rsidP="00C81D94">
      <w:pPr>
        <w:spacing w:line="480" w:lineRule="auto"/>
        <w:jc w:val="both"/>
        <w:rPr>
          <w:rFonts w:ascii="Times New Roman" w:hAnsi="Times New Roman" w:cs="Times New Roman"/>
          <w:b/>
        </w:rPr>
      </w:pPr>
    </w:p>
    <w:p w:rsidR="00C81D94" w:rsidRDefault="00C81D94" w:rsidP="00C81D94">
      <w:pPr>
        <w:spacing w:line="480" w:lineRule="auto"/>
        <w:jc w:val="both"/>
        <w:rPr>
          <w:rFonts w:ascii="Times New Roman" w:hAnsi="Times New Roman" w:cs="Times New Roman"/>
          <w:b/>
        </w:rPr>
      </w:pPr>
      <w:r>
        <w:rPr>
          <w:rFonts w:ascii="Times New Roman" w:hAnsi="Times New Roman" w:cs="Times New Roman"/>
          <w:b/>
        </w:rPr>
        <w:lastRenderedPageBreak/>
        <w:t xml:space="preserve">METHODS </w:t>
      </w:r>
    </w:p>
    <w:p w:rsidR="00C81D94" w:rsidRDefault="00C81D94" w:rsidP="00C81D94">
      <w:pPr>
        <w:spacing w:line="480" w:lineRule="auto"/>
        <w:jc w:val="both"/>
        <w:rPr>
          <w:rFonts w:ascii="Times New Roman" w:hAnsi="Times New Roman" w:cs="Times New Roman"/>
          <w:b/>
        </w:rPr>
      </w:pPr>
      <w:r>
        <w:rPr>
          <w:rFonts w:ascii="Times New Roman" w:hAnsi="Times New Roman" w:cs="Times New Roman"/>
          <w:b/>
        </w:rPr>
        <w:t>Experimental Approach to the Problem</w:t>
      </w:r>
    </w:p>
    <w:p w:rsidR="00C81D94" w:rsidRPr="00AF2F28" w:rsidRDefault="00C81D94" w:rsidP="00C81D94">
      <w:pPr>
        <w:spacing w:line="480" w:lineRule="auto"/>
        <w:jc w:val="both"/>
        <w:rPr>
          <w:rFonts w:ascii="Times New Roman" w:hAnsi="Times New Roman" w:cs="Times New Roman"/>
        </w:rPr>
      </w:pPr>
      <w:r w:rsidRPr="002A59EB">
        <w:rPr>
          <w:rFonts w:ascii="Times New Roman" w:hAnsi="Times New Roman" w:cs="Times New Roman"/>
        </w:rPr>
        <w:t>This stud</w:t>
      </w:r>
      <w:r>
        <w:rPr>
          <w:rFonts w:ascii="Times New Roman" w:hAnsi="Times New Roman" w:cs="Times New Roman"/>
        </w:rPr>
        <w:t>y examined the acute</w:t>
      </w:r>
      <w:r w:rsidRPr="002A59EB">
        <w:rPr>
          <w:rFonts w:ascii="Times New Roman" w:hAnsi="Times New Roman" w:cs="Times New Roman"/>
        </w:rPr>
        <w:t xml:space="preserve"> effects </w:t>
      </w:r>
      <w:r w:rsidRPr="00AF2F28">
        <w:rPr>
          <w:rFonts w:ascii="Times New Roman" w:hAnsi="Times New Roman" w:cs="Times New Roman"/>
        </w:rPr>
        <w:t>of a single 90-minute soccer match during the in-season period on inter-limb asymmetries in elite male youth soc</w:t>
      </w:r>
      <w:r w:rsidR="00DE3F31">
        <w:rPr>
          <w:rFonts w:ascii="Times New Roman" w:hAnsi="Times New Roman" w:cs="Times New Roman"/>
        </w:rPr>
        <w:t>cer players throughout a 72-h</w:t>
      </w:r>
      <w:r w:rsidRPr="00AF2F28">
        <w:rPr>
          <w:rFonts w:ascii="Times New Roman" w:hAnsi="Times New Roman" w:cs="Times New Roman"/>
        </w:rPr>
        <w:t xml:space="preserve"> time period. Asymmetries were measured using the SLCMJ with all testing conducted on a uniaxial force platform. The SLCMJ had been included in previous strength and conditio</w:t>
      </w:r>
      <w:r w:rsidR="004B4CE7">
        <w:rPr>
          <w:rFonts w:ascii="Times New Roman" w:hAnsi="Times New Roman" w:cs="Times New Roman"/>
        </w:rPr>
        <w:t>ning program</w:t>
      </w:r>
      <w:r w:rsidRPr="00AF2F28">
        <w:rPr>
          <w:rFonts w:ascii="Times New Roman" w:hAnsi="Times New Roman" w:cs="Times New Roman"/>
        </w:rPr>
        <w:t>s bi-weekly for up to six weeks pre-testing, ensuring that all players were fully familiar with the testing protocols. In addition, a complete simulated familiarization session was carried out seven days prior to the experimental trial. Assessments were conducted at scheduled intervals: two hours pre-match, one hour post-match and 24</w:t>
      </w:r>
      <w:r w:rsidR="00DE3F31">
        <w:rPr>
          <w:rFonts w:ascii="Times New Roman" w:hAnsi="Times New Roman" w:cs="Times New Roman"/>
        </w:rPr>
        <w:t>-h</w:t>
      </w:r>
      <w:r w:rsidRPr="00AF2F28">
        <w:rPr>
          <w:rFonts w:ascii="Times New Roman" w:hAnsi="Times New Roman" w:cs="Times New Roman"/>
        </w:rPr>
        <w:t>, 48</w:t>
      </w:r>
      <w:r w:rsidR="00DE3F31">
        <w:rPr>
          <w:rFonts w:ascii="Times New Roman" w:hAnsi="Times New Roman" w:cs="Times New Roman"/>
        </w:rPr>
        <w:t>-h, and 72-h</w:t>
      </w:r>
      <w:r w:rsidRPr="00AF2F28">
        <w:rPr>
          <w:rFonts w:ascii="Times New Roman" w:hAnsi="Times New Roman" w:cs="Times New Roman"/>
        </w:rPr>
        <w:t xml:space="preserve"> post-match. To limit external influences, subjects were asked to maintain regular diet and sleeping habits throughout the duration of the study, (details of which were previously provided to players as part of the club’s in-ho</w:t>
      </w:r>
      <w:r w:rsidR="004B4CE7">
        <w:rPr>
          <w:rFonts w:ascii="Times New Roman" w:hAnsi="Times New Roman" w:cs="Times New Roman"/>
        </w:rPr>
        <w:t>use player development program</w:t>
      </w:r>
      <w:r w:rsidRPr="00AF2F28">
        <w:rPr>
          <w:rFonts w:ascii="Times New Roman" w:hAnsi="Times New Roman" w:cs="Times New Roman"/>
        </w:rPr>
        <w:t xml:space="preserve">). Within-session reliability was computed three ways at each time point, noting that reliability of some force platform metrics have been affected when athletes are in a fatigued state (21). </w:t>
      </w:r>
    </w:p>
    <w:p w:rsidR="00C81D94" w:rsidRPr="00AF2F28" w:rsidRDefault="00C81D94" w:rsidP="00C81D94">
      <w:pPr>
        <w:spacing w:line="480" w:lineRule="auto"/>
        <w:jc w:val="both"/>
        <w:rPr>
          <w:rFonts w:ascii="Times New Roman" w:hAnsi="Times New Roman" w:cs="Times New Roman"/>
          <w:b/>
        </w:rPr>
      </w:pPr>
    </w:p>
    <w:p w:rsidR="00C81D94" w:rsidRPr="00AF2F28" w:rsidRDefault="00C81D94" w:rsidP="00C81D94">
      <w:pPr>
        <w:pStyle w:val="Heading2"/>
        <w:spacing w:line="480" w:lineRule="auto"/>
        <w:rPr>
          <w:rFonts w:ascii="Times New Roman" w:hAnsi="Times New Roman" w:cs="Times New Roman"/>
          <w:b w:val="0"/>
          <w:color w:val="auto"/>
          <w:szCs w:val="22"/>
        </w:rPr>
      </w:pPr>
      <w:r w:rsidRPr="00AF2F28">
        <w:rPr>
          <w:rFonts w:ascii="Times New Roman" w:hAnsi="Times New Roman" w:cs="Times New Roman"/>
          <w:color w:val="auto"/>
          <w:szCs w:val="22"/>
        </w:rPr>
        <w:t xml:space="preserve">Subjects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 xml:space="preserve">Fourteen elite adolescent male soccer players (age: 17.6 ± 0.5 yr; body mass: 63.2 ± 6.7 kg; height: 1.77 ± 0.8 m) from a professional English category three academy volunteered to participate in this study. All subjects were regularly completing six hours of technical soccer training and three hours of supplementary strength and conditioning training per week. All subjects had a minimum soccer specific and resistance training age of two years. All participants were free from injury and illness at the time of testing and for the duration of the study period. Parental and participant consent was obtained prior to commencement of the study owing to the participant age and ethical approval was granted from the appropriate institutional review board. </w:t>
      </w:r>
    </w:p>
    <w:p w:rsidR="00C81D94" w:rsidRPr="00AF2F28" w:rsidRDefault="00C81D94" w:rsidP="00C81D94">
      <w:pPr>
        <w:spacing w:line="480" w:lineRule="auto"/>
        <w:rPr>
          <w:rFonts w:ascii="Times New Roman" w:hAnsi="Times New Roman" w:cs="Times New Roman"/>
          <w:b/>
        </w:rPr>
      </w:pPr>
    </w:p>
    <w:p w:rsidR="00C81D94" w:rsidRPr="00AF2F28" w:rsidRDefault="00C81D94" w:rsidP="00C81D94">
      <w:pPr>
        <w:spacing w:line="480" w:lineRule="auto"/>
        <w:rPr>
          <w:rFonts w:ascii="Times New Roman" w:hAnsi="Times New Roman" w:cs="Times New Roman"/>
          <w:b/>
        </w:rPr>
      </w:pPr>
      <w:r w:rsidRPr="00AF2F28">
        <w:rPr>
          <w:rFonts w:ascii="Times New Roman" w:hAnsi="Times New Roman" w:cs="Times New Roman"/>
          <w:b/>
        </w:rPr>
        <w:t xml:space="preserve">Procedures </w:t>
      </w:r>
    </w:p>
    <w:p w:rsidR="00C81D94" w:rsidRPr="00AF2F28" w:rsidRDefault="00C81D94" w:rsidP="00C81D94">
      <w:pPr>
        <w:pStyle w:val="Heading2"/>
        <w:spacing w:line="480" w:lineRule="auto"/>
        <w:rPr>
          <w:rFonts w:ascii="Times New Roman" w:hAnsi="Times New Roman" w:cs="Times New Roman"/>
          <w:b w:val="0"/>
          <w:bCs/>
          <w:i/>
          <w:iCs/>
          <w:color w:val="auto"/>
          <w:szCs w:val="22"/>
        </w:rPr>
      </w:pPr>
      <w:r w:rsidRPr="00AF2F28">
        <w:rPr>
          <w:rFonts w:ascii="Times New Roman" w:hAnsi="Times New Roman" w:cs="Times New Roman"/>
          <w:b w:val="0"/>
          <w:bCs/>
          <w:i/>
          <w:iCs/>
          <w:color w:val="auto"/>
          <w:szCs w:val="22"/>
        </w:rPr>
        <w:lastRenderedPageBreak/>
        <w:t xml:space="preserve">Single Leg Countermovement Jumps (SLCMJ).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 xml:space="preserve">Participants stood on the center of a force plate (400 series performance force plate; Fitness Technology, Australia) operating at 600 Hz, motionless for 2-seconds enabling their system mass to be calculated. Upon instruction, subjects performed a countermovement to a self-selected depth followed immediately by triple extending at the ankles, knees, and hips performing a maximal effort vertical jump. Instructions were to “jump as fast and as high as possible after my countdown”. Subjects were required to keep their hands on hips and legs fully extended at all times during the flight phase of the jump; any deviation from these resulted in a void trial and subsequently retaken after a 30-second rest period. The non-jumping limb was required to remain slightly flexed at the hip and knee so that the foot was hovering approximately </w:t>
      </w:r>
      <w:r w:rsidR="004B4CE7">
        <w:rPr>
          <w:rFonts w:ascii="Times New Roman" w:hAnsi="Times New Roman" w:cs="Times New Roman"/>
        </w:rPr>
        <w:t xml:space="preserve">parallel to </w:t>
      </w:r>
      <w:r w:rsidR="004B4CE7" w:rsidRPr="004B4CE7">
        <w:rPr>
          <w:rFonts w:ascii="Times New Roman" w:hAnsi="Times New Roman" w:cs="Times New Roman"/>
        </w:rPr>
        <w:t>the mid-shin of the jumping limb</w:t>
      </w:r>
      <w:r w:rsidRPr="004B4CE7">
        <w:rPr>
          <w:rFonts w:ascii="Times New Roman" w:hAnsi="Times New Roman" w:cs="Times New Roman"/>
        </w:rPr>
        <w:t xml:space="preserve">, with </w:t>
      </w:r>
      <w:r w:rsidRPr="00AF2F28">
        <w:rPr>
          <w:rFonts w:ascii="Times New Roman" w:hAnsi="Times New Roman" w:cs="Times New Roman"/>
        </w:rPr>
        <w:t xml:space="preserve">no swinging allowed. This was monitored closely by an accredited strength and conditioning coach to ensure consistency throughout all testing protocols. Prior to the assessment protocol, participants completed a standardized warm up consisting of lower body dynamic stretches (multi-planar lunges, inchworms, ‘world’s greatest stretch’ and squat variations) and practice jumps at 60, 80, and 100% of maximum perceived effort. For data collection, all subjects performed three trials on each limb at each time point, separated by a 30-second rest period between each trial. </w:t>
      </w:r>
    </w:p>
    <w:p w:rsidR="00C81D94" w:rsidRPr="00AF2F28" w:rsidRDefault="0015458C" w:rsidP="00C81D94">
      <w:pPr>
        <w:spacing w:line="480" w:lineRule="auto"/>
        <w:jc w:val="both"/>
        <w:rPr>
          <w:rFonts w:ascii="Times New Roman" w:hAnsi="Times New Roman" w:cs="Times New Roman"/>
        </w:rPr>
      </w:pPr>
      <w:r>
        <w:rPr>
          <w:rFonts w:ascii="Times New Roman" w:hAnsi="Times New Roman" w:cs="Times New Roman"/>
        </w:rPr>
        <w:t>Force-time data were analyz</w:t>
      </w:r>
      <w:r w:rsidR="00C81D94" w:rsidRPr="00AF2F28">
        <w:rPr>
          <w:rFonts w:ascii="Times New Roman" w:hAnsi="Times New Roman" w:cs="Times New Roman"/>
        </w:rPr>
        <w:t>ed to obtain the dependant variables and manually extracted before being transferred to a personal computer at 600 Hz though USB, which was initially examined through custom made software (Ballistic measurement system, XPV7; Fitness Technology, Australia). The dependant variables for the propulsive phase were: eccentric impulse (the sum of impulse from the end of unweighting period up until the end of the braking phase), concentric impulse (the sum of impulse from the end of the braking phase up until take off), peak force (maximum force obtained during the propulsive phase of the jump), and jump height (</w:t>
      </w:r>
      <w:r w:rsidR="00C81D94" w:rsidRPr="00AF2F28">
        <w:rPr>
          <w:rFonts w:ascii="Times New Roman" w:eastAsia="Times New Roman" w:hAnsi="Times New Roman" w:cs="Times New Roman"/>
          <w:lang w:eastAsia="en-GB"/>
        </w:rPr>
        <w:t xml:space="preserve">jump height was calculated using the velocity at take-off). </w:t>
      </w:r>
      <w:r w:rsidR="00C81D94" w:rsidRPr="00AF2F28">
        <w:rPr>
          <w:rFonts w:ascii="Times New Roman" w:hAnsi="Times New Roman" w:cs="Times New Roman"/>
        </w:rPr>
        <w:t xml:space="preserve">For the landing phase: landing impulse (the sum of impulse upon landing up until peak landing force) and peak landing force (maximum force obtained during the landing phase of the jump) were all later calculated in Microsoft Excel with force thresholds calculated from body weight ± 5 standard deviations (SD) </w:t>
      </w:r>
      <w:r w:rsidR="00C81D94" w:rsidRPr="00AF2F28">
        <w:rPr>
          <w:rFonts w:ascii="Times New Roman" w:eastAsia="Times New Roman" w:hAnsi="Times New Roman" w:cs="Times New Roman"/>
          <w:lang w:eastAsia="en-GB"/>
        </w:rPr>
        <w:t>(</w:t>
      </w:r>
      <w:r w:rsidR="00C81D94" w:rsidRPr="00AF2F28">
        <w:rPr>
          <w:rFonts w:ascii="Times New Roman" w:eastAsia="Times New Roman" w:hAnsi="Times New Roman" w:cs="Times New Roman"/>
          <w:szCs w:val="24"/>
          <w:lang w:eastAsia="en-GB"/>
        </w:rPr>
        <w:t>11,17,36</w:t>
      </w:r>
      <w:r w:rsidR="00C81D94" w:rsidRPr="00AF2F28">
        <w:rPr>
          <w:rFonts w:ascii="Times New Roman" w:hAnsi="Times New Roman" w:cs="Times New Roman"/>
        </w:rPr>
        <w:t xml:space="preserve">). </w:t>
      </w:r>
    </w:p>
    <w:p w:rsidR="00C81D94" w:rsidRPr="00AF2F28" w:rsidRDefault="00C81D94" w:rsidP="00C81D94">
      <w:pPr>
        <w:pStyle w:val="Heading2"/>
        <w:spacing w:line="480" w:lineRule="auto"/>
        <w:rPr>
          <w:rFonts w:ascii="Times New Roman" w:hAnsi="Times New Roman" w:cs="Times New Roman"/>
          <w:color w:val="auto"/>
          <w:szCs w:val="22"/>
        </w:rPr>
      </w:pPr>
      <w:bookmarkStart w:id="3" w:name="_Toc492312769"/>
      <w:bookmarkStart w:id="4" w:name="_Toc492418546"/>
    </w:p>
    <w:p w:rsidR="00C81D94" w:rsidRPr="00AF2F28" w:rsidRDefault="00C81D94" w:rsidP="00C81D94">
      <w:pPr>
        <w:pStyle w:val="Heading2"/>
        <w:spacing w:line="480" w:lineRule="auto"/>
        <w:rPr>
          <w:rFonts w:ascii="Times New Roman" w:hAnsi="Times New Roman" w:cs="Times New Roman"/>
          <w:b w:val="0"/>
          <w:color w:val="auto"/>
          <w:szCs w:val="22"/>
        </w:rPr>
      </w:pPr>
      <w:r w:rsidRPr="00AF2F28">
        <w:rPr>
          <w:rFonts w:ascii="Times New Roman" w:hAnsi="Times New Roman" w:cs="Times New Roman"/>
          <w:color w:val="auto"/>
          <w:szCs w:val="22"/>
        </w:rPr>
        <w:t>Statistical Analysis</w:t>
      </w:r>
      <w:bookmarkEnd w:id="3"/>
      <w:bookmarkEnd w:id="4"/>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All statistical analysis was completed using SPSS Statistics software (</w:t>
      </w:r>
      <w:r w:rsidRPr="00AF2F28">
        <w:rPr>
          <w:rFonts w:ascii="Times New Roman" w:eastAsia="Times New Roman" w:hAnsi="Times New Roman" w:cs="Times New Roman"/>
        </w:rPr>
        <w:t>version 21.0; SPSS, Inc., Armonk, NY, USA</w:t>
      </w:r>
      <w:r w:rsidRPr="00AF2F28">
        <w:rPr>
          <w:rFonts w:ascii="Times New Roman" w:hAnsi="Times New Roman" w:cs="Times New Roman"/>
        </w:rPr>
        <w:t xml:space="preserve">) with data presented as mean ± SD. The normality of data was identified using the Shapiro-Wilk test. </w:t>
      </w:r>
      <w:r w:rsidRPr="00AF2F28">
        <w:rPr>
          <w:rFonts w:ascii="Times New Roman" w:hAnsi="Times New Roman" w:cs="Times New Roman"/>
          <w:bCs/>
        </w:rPr>
        <w:t xml:space="preserve">Previous research has highlighted reduced consistency and reliability when interpreting athlete data in a fatigued state (12); thus, reliability was computed at each time point. </w:t>
      </w:r>
      <w:r w:rsidRPr="00AF2F28">
        <w:rPr>
          <w:rFonts w:ascii="Times New Roman" w:hAnsi="Times New Roman" w:cs="Times New Roman"/>
        </w:rPr>
        <w:t xml:space="preserve">Reliability was calculated for each metric using the coefficient of variation (CV), </w:t>
      </w:r>
      <w:r w:rsidR="00AB4EBD" w:rsidRPr="00AF2F28">
        <w:rPr>
          <w:rFonts w:ascii="Times New Roman" w:hAnsi="Times New Roman" w:cs="Times New Roman"/>
        </w:rPr>
        <w:t xml:space="preserve">a two-way random </w:t>
      </w:r>
      <w:r w:rsidRPr="00AF2F28">
        <w:rPr>
          <w:rFonts w:ascii="Times New Roman" w:hAnsi="Times New Roman" w:cs="Times New Roman"/>
        </w:rPr>
        <w:t xml:space="preserve">intraclass correlation coefficient (ICC) with absolute agreement and 95% confidence intervals, and the standard error of the measurement (SEM). </w:t>
      </w:r>
      <w:r w:rsidR="00FC32D3">
        <w:rPr>
          <w:rFonts w:ascii="Times New Roman" w:hAnsi="Times New Roman" w:cs="Times New Roman"/>
        </w:rPr>
        <w:t>CV</w:t>
      </w:r>
      <w:r w:rsidRPr="00AF2F28">
        <w:rPr>
          <w:rFonts w:ascii="Times New Roman" w:hAnsi="Times New Roman" w:cs="Times New Roman"/>
        </w:rPr>
        <w:t xml:space="preserve"> were calculated in Microsoft Excel using the formula (SD/average)*100 and the SEM computed via the formula SD*√</w:t>
      </w:r>
      <w:r w:rsidR="0015458C">
        <w:rPr>
          <w:rFonts w:ascii="Times New Roman" w:hAnsi="Times New Roman" w:cs="Times New Roman"/>
        </w:rPr>
        <w:t>(</w:t>
      </w:r>
      <w:r w:rsidRPr="00AF2F28">
        <w:rPr>
          <w:rFonts w:ascii="Times New Roman" w:hAnsi="Times New Roman" w:cs="Times New Roman"/>
        </w:rPr>
        <w:t>1-ICC</w:t>
      </w:r>
      <w:r w:rsidR="0015458C">
        <w:rPr>
          <w:rFonts w:ascii="Times New Roman" w:hAnsi="Times New Roman" w:cs="Times New Roman"/>
        </w:rPr>
        <w:t>)</w:t>
      </w:r>
      <w:bookmarkStart w:id="5" w:name="_GoBack"/>
      <w:bookmarkEnd w:id="5"/>
      <w:r w:rsidRPr="00AF2F28">
        <w:rPr>
          <w:rFonts w:ascii="Times New Roman" w:hAnsi="Times New Roman" w:cs="Times New Roman"/>
        </w:rPr>
        <w:t xml:space="preserve">. </w:t>
      </w:r>
      <w:r w:rsidRPr="00AF2F28">
        <w:rPr>
          <w:rFonts w:ascii="Times New Roman" w:eastAsia="Times New Roman" w:hAnsi="Times New Roman" w:cs="Times New Roman"/>
          <w:lang w:eastAsia="en-GB"/>
        </w:rPr>
        <w:t>ICC’s ≥ 0.70 and CV &lt; 10% were considered acceptable (4,12)</w:t>
      </w:r>
      <w:r w:rsidRPr="00AF2F28">
        <w:rPr>
          <w:rFonts w:ascii="Times New Roman" w:hAnsi="Times New Roman" w:cs="Times New Roman"/>
        </w:rPr>
        <w:t xml:space="preserve">. A one-way repeated measures ANOVA was used to compare the dependant variables in relation to each time point with statistical significance accepted at </w:t>
      </w:r>
      <w:r w:rsidRPr="00AF2F28">
        <w:rPr>
          <w:rFonts w:ascii="Times New Roman" w:hAnsi="Times New Roman" w:cs="Times New Roman"/>
          <w:i/>
        </w:rPr>
        <w:t xml:space="preserve">p </w:t>
      </w:r>
      <w:r w:rsidRPr="00AF2F28">
        <w:rPr>
          <w:rFonts w:ascii="Times New Roman" w:hAnsi="Times New Roman" w:cs="Times New Roman"/>
        </w:rPr>
        <w:t xml:space="preserve">˂ 0.05 and post-hoc Bonferroni testing was used when differences were identified. Cohen’s </w:t>
      </w:r>
      <w:r w:rsidRPr="00AF2F28">
        <w:rPr>
          <w:rFonts w:ascii="Times New Roman" w:hAnsi="Times New Roman" w:cs="Times New Roman"/>
          <w:i/>
          <w:iCs/>
        </w:rPr>
        <w:t>d</w:t>
      </w:r>
      <w:r w:rsidRPr="00AF2F28">
        <w:rPr>
          <w:rFonts w:ascii="Times New Roman" w:hAnsi="Times New Roman" w:cs="Times New Roman"/>
        </w:rPr>
        <w:t xml:space="preserve"> effect sizes (ES) were calculated to determine magnitude of change and interpreted in line with previous suggestions: trivial = &lt; 0.35; small = 0.35-0.80; moderate = 0.80-1.5; large = &gt; 1.5 (40). Finally, inter-limb asymmetries were quantified using a standard percentage difference method: 100/(max value)*(min value)*-1+100 in line with previous suggestions (8), and the change in asymmetries were reported at each time as a percentage change relative to the baseline value. </w:t>
      </w:r>
    </w:p>
    <w:p w:rsidR="00C81D94" w:rsidRDefault="00C81D94" w:rsidP="00C81D94">
      <w:pPr>
        <w:rPr>
          <w:rFonts w:ascii="Times New Roman" w:hAnsi="Times New Roman" w:cs="Times New Roman"/>
          <w:b/>
        </w:rPr>
      </w:pPr>
      <w:bookmarkStart w:id="6" w:name="_Toc492418547"/>
      <w:bookmarkEnd w:id="2"/>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p>
    <w:p w:rsidR="00C81D94" w:rsidRDefault="00C81D94" w:rsidP="00C81D94">
      <w:pPr>
        <w:rPr>
          <w:rFonts w:ascii="Times New Roman" w:hAnsi="Times New Roman" w:cs="Times New Roman"/>
          <w:b/>
        </w:rPr>
      </w:pPr>
      <w:r w:rsidRPr="00E6697B">
        <w:rPr>
          <w:rFonts w:ascii="Times New Roman" w:hAnsi="Times New Roman" w:cs="Times New Roman"/>
          <w:b/>
        </w:rPr>
        <w:lastRenderedPageBreak/>
        <w:t>RESULTS</w:t>
      </w:r>
      <w:bookmarkEnd w:id="6"/>
    </w:p>
    <w:p w:rsidR="00C81D94" w:rsidRPr="00AF2F28" w:rsidRDefault="00C81D94" w:rsidP="00C81D94">
      <w:pPr>
        <w:spacing w:line="480" w:lineRule="auto"/>
        <w:jc w:val="both"/>
        <w:rPr>
          <w:rFonts w:ascii="Times New Roman" w:hAnsi="Times New Roman" w:cs="Times New Roman"/>
          <w:b/>
          <w:bCs/>
        </w:rPr>
      </w:pPr>
      <w:r w:rsidRPr="00AF2F28">
        <w:rPr>
          <w:rFonts w:ascii="Times New Roman" w:hAnsi="Times New Roman" w:cs="Times New Roman"/>
          <w:b/>
          <w:bCs/>
          <w:iCs/>
        </w:rPr>
        <w:t>Within-session Reliability</w:t>
      </w:r>
      <w:r w:rsidRPr="00AF2F28">
        <w:rPr>
          <w:rFonts w:ascii="Times New Roman" w:hAnsi="Times New Roman" w:cs="Times New Roman"/>
          <w:b/>
          <w:bCs/>
        </w:rPr>
        <w:t xml:space="preserve"> </w:t>
      </w:r>
    </w:p>
    <w:p w:rsidR="00C81D94" w:rsidRPr="00AF2F28" w:rsidRDefault="00C81D94" w:rsidP="00C81D94">
      <w:pPr>
        <w:spacing w:line="480" w:lineRule="auto"/>
        <w:jc w:val="both"/>
        <w:rPr>
          <w:rFonts w:ascii="Times New Roman" w:hAnsi="Times New Roman" w:cs="Times New Roman"/>
          <w:bCs/>
        </w:rPr>
      </w:pPr>
      <w:r w:rsidRPr="00AF2F28">
        <w:rPr>
          <w:rFonts w:ascii="Times New Roman" w:hAnsi="Times New Roman" w:cs="Times New Roman"/>
          <w:bCs/>
        </w:rPr>
        <w:t>Upon further analysis illustrated in Table 1, it was found that the majority of metrics demonstrated acceptable reliability and consistency</w:t>
      </w:r>
      <w:r w:rsidR="004B4CE7">
        <w:rPr>
          <w:rFonts w:ascii="Times New Roman" w:hAnsi="Times New Roman" w:cs="Times New Roman"/>
          <w:bCs/>
        </w:rPr>
        <w:t xml:space="preserve"> in</w:t>
      </w:r>
      <w:r w:rsidRPr="00AF2F28">
        <w:rPr>
          <w:rFonts w:ascii="Times New Roman" w:hAnsi="Times New Roman" w:cs="Times New Roman"/>
          <w:bCs/>
        </w:rPr>
        <w:t xml:space="preserve"> values. However, jump height and peak landing GRF were found to show notably lower reliability (ICC ≤ 0.69), in addition to landing impulse and concentric impulse which demonstrated remarkably high variability (CV range = 18 to 30%) across a variety of different time points. </w:t>
      </w:r>
    </w:p>
    <w:p w:rsidR="00C81D94" w:rsidRPr="00AF2F28" w:rsidRDefault="00C81D94" w:rsidP="00C81D94">
      <w:pPr>
        <w:pStyle w:val="Heading2"/>
        <w:rPr>
          <w:rFonts w:ascii="Times New Roman" w:hAnsi="Times New Roman" w:cs="Times New Roman"/>
          <w:color w:val="auto"/>
          <w:szCs w:val="22"/>
        </w:rPr>
      </w:pPr>
      <w:bookmarkStart w:id="7" w:name="_Toc492312772"/>
      <w:bookmarkStart w:id="8" w:name="_Toc492418549"/>
    </w:p>
    <w:p w:rsidR="00C81D94" w:rsidRPr="00AF2F28" w:rsidRDefault="00C81D94" w:rsidP="00C81D94">
      <w:pPr>
        <w:jc w:val="center"/>
        <w:rPr>
          <w:rFonts w:asciiTheme="majorBidi" w:hAnsiTheme="majorBidi" w:cstheme="majorBidi"/>
        </w:rPr>
      </w:pPr>
      <w:r w:rsidRPr="00AF2F28">
        <w:rPr>
          <w:rFonts w:asciiTheme="majorBidi" w:hAnsiTheme="majorBidi" w:cstheme="majorBidi"/>
        </w:rPr>
        <w:t>*** INSERT TABLE 1 ABOUT HERE ***</w:t>
      </w:r>
    </w:p>
    <w:p w:rsidR="00C81D94" w:rsidRPr="00AF2F28" w:rsidRDefault="00C81D94" w:rsidP="00C81D94">
      <w:pPr>
        <w:jc w:val="center"/>
        <w:rPr>
          <w:rFonts w:asciiTheme="majorBidi" w:hAnsiTheme="majorBidi" w:cstheme="majorBidi"/>
        </w:rPr>
      </w:pP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b/>
          <w:iCs/>
        </w:rPr>
        <w:t>Change in Mean</w:t>
      </w:r>
      <w:bookmarkEnd w:id="7"/>
      <w:bookmarkEnd w:id="8"/>
      <w:r w:rsidRPr="00AF2F28">
        <w:rPr>
          <w:rFonts w:ascii="Times New Roman" w:hAnsi="Times New Roman" w:cs="Times New Roman"/>
          <w:b/>
          <w:iCs/>
        </w:rPr>
        <w:t xml:space="preserve"> Scores</w:t>
      </w:r>
      <w:r w:rsidRPr="00AF2F28">
        <w:rPr>
          <w:rFonts w:ascii="Times New Roman" w:hAnsi="Times New Roman" w:cs="Times New Roman"/>
        </w:rPr>
        <w:t xml:space="preserve"> </w:t>
      </w:r>
    </w:p>
    <w:p w:rsidR="00C81D94" w:rsidRPr="00AF2F28" w:rsidRDefault="00C81D94" w:rsidP="00C81D94">
      <w:pPr>
        <w:spacing w:line="480" w:lineRule="auto"/>
        <w:jc w:val="both"/>
        <w:rPr>
          <w:rFonts w:asciiTheme="majorBidi" w:hAnsiTheme="majorBidi" w:cstheme="majorBidi"/>
        </w:rPr>
      </w:pPr>
      <w:r w:rsidRPr="00AF2F28">
        <w:rPr>
          <w:rFonts w:ascii="Times New Roman" w:hAnsi="Times New Roman" w:cs="Times New Roman"/>
        </w:rPr>
        <w:t>A representation of all mean data and their subsequent changes in performance for each time point are shown in Table 2. Group means were found to significantly (</w:t>
      </w:r>
      <w:r w:rsidRPr="00AF2F28">
        <w:rPr>
          <w:rFonts w:ascii="Times New Roman" w:hAnsi="Times New Roman" w:cs="Times New Roman"/>
          <w:i/>
        </w:rPr>
        <w:t>p</w:t>
      </w:r>
      <w:r w:rsidR="0008228A">
        <w:rPr>
          <w:rFonts w:ascii="Times New Roman" w:hAnsi="Times New Roman" w:cs="Times New Roman"/>
        </w:rPr>
        <w:t xml:space="preserve"> &lt; 0.05) decrease</w:t>
      </w:r>
      <w:r w:rsidRPr="00AF2F28">
        <w:rPr>
          <w:rFonts w:ascii="Times New Roman" w:hAnsi="Times New Roman" w:cs="Times New Roman"/>
        </w:rPr>
        <w:t xml:space="preserve"> from b</w:t>
      </w:r>
      <w:r w:rsidR="0008228A">
        <w:rPr>
          <w:rFonts w:ascii="Times New Roman" w:hAnsi="Times New Roman" w:cs="Times New Roman"/>
        </w:rPr>
        <w:t xml:space="preserve">aseline at all time points </w:t>
      </w:r>
      <w:r w:rsidRPr="00AF2F28">
        <w:rPr>
          <w:rFonts w:ascii="Times New Roman" w:hAnsi="Times New Roman" w:cs="Times New Roman"/>
        </w:rPr>
        <w:t>for eccentric</w:t>
      </w:r>
      <w:r w:rsidR="0008228A">
        <w:rPr>
          <w:rFonts w:ascii="Times New Roman" w:hAnsi="Times New Roman" w:cs="Times New Roman"/>
        </w:rPr>
        <w:t xml:space="preserve"> impulse, peak propulsive GRF and</w:t>
      </w:r>
      <w:r w:rsidRPr="00AF2F28">
        <w:rPr>
          <w:rFonts w:ascii="Times New Roman" w:hAnsi="Times New Roman" w:cs="Times New Roman"/>
        </w:rPr>
        <w:t xml:space="preserve"> landing impulse</w:t>
      </w:r>
      <w:r w:rsidR="0008228A">
        <w:rPr>
          <w:rFonts w:ascii="Times New Roman" w:hAnsi="Times New Roman" w:cs="Times New Roman"/>
        </w:rPr>
        <w:t>,</w:t>
      </w:r>
      <w:r w:rsidRPr="00AF2F28">
        <w:rPr>
          <w:rFonts w:ascii="Times New Roman" w:hAnsi="Times New Roman" w:cs="Times New Roman"/>
        </w:rPr>
        <w:t xml:space="preserve"> and</w:t>
      </w:r>
      <w:r w:rsidR="0008228A">
        <w:rPr>
          <w:rFonts w:ascii="Times New Roman" w:hAnsi="Times New Roman" w:cs="Times New Roman"/>
        </w:rPr>
        <w:t xml:space="preserve"> significantly increase for</w:t>
      </w:r>
      <w:r w:rsidRPr="00AF2F28">
        <w:rPr>
          <w:rFonts w:ascii="Times New Roman" w:hAnsi="Times New Roman" w:cs="Times New Roman"/>
        </w:rPr>
        <w:t xml:space="preserve"> peak landing GRF</w:t>
      </w:r>
      <w:r w:rsidR="0008228A">
        <w:rPr>
          <w:rFonts w:ascii="Times New Roman" w:hAnsi="Times New Roman" w:cs="Times New Roman"/>
        </w:rPr>
        <w:t>. Significant decreases</w:t>
      </w:r>
      <w:r w:rsidRPr="00AF2F28">
        <w:rPr>
          <w:rFonts w:ascii="Times New Roman" w:hAnsi="Times New Roman" w:cs="Times New Roman"/>
        </w:rPr>
        <w:t xml:space="preserve"> were also found from post and 24-h to 48-h and 72-h for eccentric impulse and peak propulsive GRF. Further significant de</w:t>
      </w:r>
      <w:r w:rsidR="00D27C9A">
        <w:rPr>
          <w:rFonts w:ascii="Times New Roman" w:hAnsi="Times New Roman" w:cs="Times New Roman"/>
        </w:rPr>
        <w:t xml:space="preserve">creases were noted between 48-h to </w:t>
      </w:r>
      <w:r w:rsidRPr="00AF2F28">
        <w:rPr>
          <w:rFonts w:ascii="Times New Roman" w:hAnsi="Times New Roman" w:cs="Times New Roman"/>
        </w:rPr>
        <w:t>72-h on the left side only for eccentric impulse and propulsive peak GRF. Finally, jump height was only fou</w:t>
      </w:r>
      <w:r w:rsidR="00F256CF">
        <w:rPr>
          <w:rFonts w:ascii="Times New Roman" w:hAnsi="Times New Roman" w:cs="Times New Roman"/>
        </w:rPr>
        <w:t>nd to be significantly reduced</w:t>
      </w:r>
      <w:r w:rsidRPr="00AF2F28">
        <w:rPr>
          <w:rFonts w:ascii="Times New Roman" w:hAnsi="Times New Roman" w:cs="Times New Roman"/>
        </w:rPr>
        <w:t xml:space="preserve"> on the left side between post</w:t>
      </w:r>
      <w:r w:rsidR="00D27C9A">
        <w:rPr>
          <w:rFonts w:ascii="Times New Roman" w:hAnsi="Times New Roman" w:cs="Times New Roman"/>
        </w:rPr>
        <w:t xml:space="preserve"> to 24-h and increased</w:t>
      </w:r>
      <w:r w:rsidRPr="00AF2F28">
        <w:rPr>
          <w:rFonts w:ascii="Times New Roman" w:hAnsi="Times New Roman" w:cs="Times New Roman"/>
        </w:rPr>
        <w:t xml:space="preserve"> bet</w:t>
      </w:r>
      <w:r w:rsidR="00D27C9A">
        <w:rPr>
          <w:rFonts w:ascii="Times New Roman" w:hAnsi="Times New Roman" w:cs="Times New Roman"/>
        </w:rPr>
        <w:t xml:space="preserve">ween 24-h to </w:t>
      </w:r>
      <w:r w:rsidRPr="00AF2F28">
        <w:rPr>
          <w:rFonts w:ascii="Times New Roman" w:hAnsi="Times New Roman" w:cs="Times New Roman"/>
        </w:rPr>
        <w:t>72-h.</w:t>
      </w:r>
      <w:r w:rsidR="00F256CF">
        <w:rPr>
          <w:rFonts w:ascii="Times New Roman" w:hAnsi="Times New Roman" w:cs="Times New Roman"/>
        </w:rPr>
        <w:t xml:space="preserve"> </w:t>
      </w:r>
    </w:p>
    <w:p w:rsidR="00C81D94" w:rsidRPr="00AF2F28" w:rsidRDefault="00C81D94" w:rsidP="00C81D94">
      <w:pPr>
        <w:spacing w:line="360" w:lineRule="auto"/>
        <w:jc w:val="center"/>
        <w:rPr>
          <w:rFonts w:ascii="Times New Roman" w:hAnsi="Times New Roman" w:cs="Times New Roman"/>
        </w:rPr>
      </w:pPr>
    </w:p>
    <w:p w:rsidR="00C81D94" w:rsidRPr="00AF2F28" w:rsidRDefault="00C81D94" w:rsidP="00C81D94">
      <w:pPr>
        <w:spacing w:line="360" w:lineRule="auto"/>
        <w:jc w:val="center"/>
        <w:rPr>
          <w:rFonts w:ascii="Times New Roman" w:hAnsi="Times New Roman" w:cs="Times New Roman"/>
        </w:rPr>
      </w:pPr>
      <w:r w:rsidRPr="00AF2F28">
        <w:rPr>
          <w:rFonts w:ascii="Times New Roman" w:hAnsi="Times New Roman" w:cs="Times New Roman"/>
        </w:rPr>
        <w:t>*** INSERT TABLE 2 ABOUT HERE ***</w:t>
      </w:r>
    </w:p>
    <w:p w:rsidR="00C81D94" w:rsidRPr="00AF2F28" w:rsidRDefault="00C81D94" w:rsidP="00C81D94">
      <w:pPr>
        <w:spacing w:line="480" w:lineRule="auto"/>
        <w:jc w:val="both"/>
        <w:rPr>
          <w:rFonts w:asciiTheme="majorBidi" w:hAnsiTheme="majorBidi" w:cstheme="majorBidi"/>
          <w:i/>
          <w:iCs/>
        </w:rPr>
      </w:pPr>
    </w:p>
    <w:p w:rsidR="00C81D94" w:rsidRPr="00AF2F28" w:rsidRDefault="00C81D94" w:rsidP="00C81D94">
      <w:pPr>
        <w:spacing w:line="480" w:lineRule="auto"/>
        <w:jc w:val="both"/>
        <w:rPr>
          <w:rFonts w:ascii="Times New Roman" w:hAnsi="Times New Roman" w:cs="Times New Roman"/>
        </w:rPr>
      </w:pPr>
      <w:r w:rsidRPr="00AF2F28">
        <w:rPr>
          <w:rFonts w:asciiTheme="majorBidi" w:hAnsiTheme="majorBidi" w:cstheme="majorBidi"/>
          <w:b/>
          <w:iCs/>
        </w:rPr>
        <w:t>Change in Inter-limb Asymmetries</w:t>
      </w:r>
      <w:r w:rsidRPr="00AF2F28">
        <w:rPr>
          <w:rFonts w:asciiTheme="majorBidi" w:hAnsiTheme="majorBidi" w:cstheme="majorBidi"/>
          <w:i/>
          <w:iCs/>
        </w:rPr>
        <w:t xml:space="preserve">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Inter-limb asymmetry values for each time point are shown in Table 3 and Figure 1. SLCMJ mean asymmetries significantly increased (</w:t>
      </w:r>
      <w:r w:rsidRPr="00AF2F28">
        <w:rPr>
          <w:rFonts w:ascii="Times New Roman" w:hAnsi="Times New Roman" w:cs="Times New Roman"/>
          <w:i/>
        </w:rPr>
        <w:t>p</w:t>
      </w:r>
      <w:r w:rsidRPr="00AF2F28">
        <w:rPr>
          <w:rFonts w:ascii="Times New Roman" w:hAnsi="Times New Roman" w:cs="Times New Roman"/>
        </w:rPr>
        <w:t xml:space="preserve"> &lt; 0.05) from pre to pos</w:t>
      </w:r>
      <w:r w:rsidR="00FD4811">
        <w:rPr>
          <w:rFonts w:ascii="Times New Roman" w:hAnsi="Times New Roman" w:cs="Times New Roman"/>
        </w:rPr>
        <w:t xml:space="preserve">t and/or </w:t>
      </w:r>
      <w:r w:rsidR="00D27C9A">
        <w:rPr>
          <w:rFonts w:ascii="Times New Roman" w:hAnsi="Times New Roman" w:cs="Times New Roman"/>
        </w:rPr>
        <w:t>24</w:t>
      </w:r>
      <w:r w:rsidR="00FD4811">
        <w:rPr>
          <w:rFonts w:ascii="Times New Roman" w:hAnsi="Times New Roman" w:cs="Times New Roman"/>
        </w:rPr>
        <w:t>-h</w:t>
      </w:r>
      <w:r w:rsidR="00D27C9A">
        <w:rPr>
          <w:rFonts w:ascii="Times New Roman" w:hAnsi="Times New Roman" w:cs="Times New Roman"/>
        </w:rPr>
        <w:t xml:space="preserve"> for concentric and </w:t>
      </w:r>
      <w:r w:rsidRPr="00AF2F28">
        <w:rPr>
          <w:rFonts w:ascii="Times New Roman" w:hAnsi="Times New Roman" w:cs="Times New Roman"/>
        </w:rPr>
        <w:t xml:space="preserve">eccentric impulse, peak propulsive GRF, and peak landing GRF with small to large ES (0.37-3.15). Significant </w:t>
      </w:r>
      <w:r w:rsidRPr="00AF2F28">
        <w:rPr>
          <w:rFonts w:ascii="Times New Roman" w:hAnsi="Times New Roman" w:cs="Times New Roman"/>
        </w:rPr>
        <w:lastRenderedPageBreak/>
        <w:t>reductions in asymmetr</w:t>
      </w:r>
      <w:r w:rsidR="00D729F4">
        <w:rPr>
          <w:rFonts w:ascii="Times New Roman" w:hAnsi="Times New Roman" w:cs="Times New Roman"/>
        </w:rPr>
        <w:t xml:space="preserve">y were shown from post and 24-h to </w:t>
      </w:r>
      <w:r w:rsidRPr="00AF2F28">
        <w:rPr>
          <w:rFonts w:ascii="Times New Roman" w:hAnsi="Times New Roman" w:cs="Times New Roman"/>
        </w:rPr>
        <w:t>48-h</w:t>
      </w:r>
      <w:r w:rsidR="00D729F4">
        <w:rPr>
          <w:rFonts w:ascii="Times New Roman" w:hAnsi="Times New Roman" w:cs="Times New Roman"/>
        </w:rPr>
        <w:t xml:space="preserve"> and </w:t>
      </w:r>
      <w:r w:rsidRPr="00AF2F28">
        <w:rPr>
          <w:rFonts w:ascii="Times New Roman" w:hAnsi="Times New Roman" w:cs="Times New Roman"/>
        </w:rPr>
        <w:t xml:space="preserve">72-h for eccentric impulse, peak propulsive GRF and peak landing GRF. </w:t>
      </w:r>
    </w:p>
    <w:p w:rsidR="00C81D94" w:rsidRPr="00AF2F28" w:rsidRDefault="00C81D94" w:rsidP="00C81D94">
      <w:pPr>
        <w:spacing w:line="480" w:lineRule="auto"/>
        <w:jc w:val="both"/>
        <w:rPr>
          <w:rFonts w:ascii="Times New Roman" w:hAnsi="Times New Roman" w:cs="Times New Roman"/>
        </w:rPr>
      </w:pPr>
    </w:p>
    <w:p w:rsidR="00C81D94" w:rsidRPr="00AF2F28" w:rsidRDefault="00C81D94" w:rsidP="00C81D94">
      <w:pPr>
        <w:spacing w:line="480" w:lineRule="auto"/>
        <w:jc w:val="center"/>
        <w:rPr>
          <w:rFonts w:ascii="Times New Roman" w:hAnsi="Times New Roman" w:cs="Times New Roman"/>
        </w:rPr>
      </w:pPr>
      <w:r w:rsidRPr="00AF2F28">
        <w:rPr>
          <w:rFonts w:ascii="Times New Roman" w:hAnsi="Times New Roman" w:cs="Times New Roman"/>
        </w:rPr>
        <w:t>*** INSERT TABLE 3 AND FIGURE 1 ABOUT HERE ***</w:t>
      </w:r>
    </w:p>
    <w:p w:rsidR="00C81D94" w:rsidRPr="00AF2F28" w:rsidRDefault="00C81D94" w:rsidP="00C81D94">
      <w:pPr>
        <w:pStyle w:val="Heading1"/>
        <w:spacing w:line="480" w:lineRule="auto"/>
        <w:jc w:val="both"/>
        <w:rPr>
          <w:sz w:val="22"/>
          <w:szCs w:val="22"/>
        </w:rPr>
      </w:pPr>
    </w:p>
    <w:p w:rsidR="00C81D94" w:rsidRPr="00AF2F28" w:rsidRDefault="00C81D94" w:rsidP="00C81D94">
      <w:pPr>
        <w:pStyle w:val="Heading1"/>
        <w:spacing w:line="480" w:lineRule="auto"/>
        <w:jc w:val="both"/>
        <w:rPr>
          <w:sz w:val="22"/>
          <w:szCs w:val="22"/>
        </w:rPr>
      </w:pPr>
    </w:p>
    <w:p w:rsidR="00C81D94" w:rsidRPr="00AF2F28" w:rsidRDefault="00C81D94" w:rsidP="00C81D94">
      <w:pPr>
        <w:pStyle w:val="Heading1"/>
        <w:spacing w:line="480" w:lineRule="auto"/>
        <w:jc w:val="both"/>
        <w:rPr>
          <w:sz w:val="22"/>
          <w:szCs w:val="22"/>
        </w:rPr>
      </w:pPr>
    </w:p>
    <w:p w:rsidR="00C81D94" w:rsidRPr="00AF2F28"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Default="00C81D94" w:rsidP="00C81D94">
      <w:pPr>
        <w:pStyle w:val="Heading1"/>
        <w:spacing w:line="480" w:lineRule="auto"/>
        <w:jc w:val="both"/>
        <w:rPr>
          <w:sz w:val="22"/>
          <w:szCs w:val="22"/>
        </w:rPr>
      </w:pPr>
    </w:p>
    <w:p w:rsidR="00C81D94" w:rsidRPr="00E71996" w:rsidRDefault="00C81D94" w:rsidP="00C81D94">
      <w:pPr>
        <w:pStyle w:val="Heading1"/>
        <w:spacing w:line="480" w:lineRule="auto"/>
        <w:jc w:val="both"/>
        <w:rPr>
          <w:sz w:val="22"/>
          <w:szCs w:val="22"/>
        </w:rPr>
      </w:pPr>
      <w:r w:rsidRPr="00E71996">
        <w:rPr>
          <w:sz w:val="22"/>
          <w:szCs w:val="22"/>
        </w:rPr>
        <w:lastRenderedPageBreak/>
        <w:t>DISCUSSION</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The aim of the present study was to quantify inter-limb asymmetries and jump performance in elite academy soccer players before and after a match at incremental time points. Significant changes in side-to-side differences and jump performance were observed at various time points with a trend for the largest asymmetries and reduction in jump perfo</w:t>
      </w:r>
      <w:r w:rsidR="00A830C1">
        <w:rPr>
          <w:rFonts w:ascii="Times New Roman" w:hAnsi="Times New Roman" w:cs="Times New Roman"/>
        </w:rPr>
        <w:t>rmance evident immediately post-</w:t>
      </w:r>
      <w:r w:rsidRPr="00AF2F28">
        <w:rPr>
          <w:rFonts w:ascii="Times New Roman" w:hAnsi="Times New Roman" w:cs="Times New Roman"/>
        </w:rPr>
        <w:t xml:space="preserve">match. As per the hypothesis, inter-limb asymmetries returned to a similar level as the pre-match values at the 48-h time point; however, jump performance for multiple metrics was still significantly reduced. These results indicate that assessing multiple metrics during jump performance may be a more sensitive means of identifying a player’s readiness to recover in comparison to asymmetry alone.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Table 1 shows reliability data for CMJ metrics at all time points. The relevance here being that when players have competed (and are in a fatigued state), this may impact the reliability of collect</w:t>
      </w:r>
      <w:r w:rsidR="00BE2196">
        <w:rPr>
          <w:rFonts w:ascii="Times New Roman" w:hAnsi="Times New Roman" w:cs="Times New Roman"/>
        </w:rPr>
        <w:t>ed data; thus, understanding it</w:t>
      </w:r>
      <w:r w:rsidRPr="00AF2F28">
        <w:rPr>
          <w:rFonts w:ascii="Times New Roman" w:hAnsi="Times New Roman" w:cs="Times New Roman"/>
        </w:rPr>
        <w:t>s usability was required. Noting that CV values were considered acceptable if &lt; 10%, the only metrics to c</w:t>
      </w:r>
      <w:r w:rsidR="00FC32D3">
        <w:rPr>
          <w:rFonts w:ascii="Times New Roman" w:hAnsi="Times New Roman" w:cs="Times New Roman"/>
        </w:rPr>
        <w:t>onsistently show acceptable CV</w:t>
      </w:r>
      <w:r w:rsidRPr="00AF2F28">
        <w:rPr>
          <w:rFonts w:ascii="Times New Roman" w:hAnsi="Times New Roman" w:cs="Times New Roman"/>
        </w:rPr>
        <w:t xml:space="preserve"> were peak force (right), landing impulse (right) and peak landing force (both). Typically, there was a trend f</w:t>
      </w:r>
      <w:r w:rsidR="0008228A">
        <w:rPr>
          <w:rFonts w:ascii="Times New Roman" w:hAnsi="Times New Roman" w:cs="Times New Roman"/>
        </w:rPr>
        <w:t>or test variability to be lower</w:t>
      </w:r>
      <w:r w:rsidRPr="00AF2F28">
        <w:rPr>
          <w:rFonts w:ascii="Times New Roman" w:hAnsi="Times New Roman" w:cs="Times New Roman"/>
        </w:rPr>
        <w:t xml:space="preserve"> at baseline prior to the match; thus, the effects of a competitive soccer match may have had a detrimental effect on the reliability of some metrics (e.g., eccentric impulse). However, it is important to highlight that concentric impulse and jump height showed the largest variability (CV range = 18 to 30%); thus, practitioners should be mindful of such metrics if monitoring unilateral jump performance during the recovery period post-matches. Furth</w:t>
      </w:r>
      <w:r w:rsidR="00D729F4">
        <w:rPr>
          <w:rFonts w:ascii="Times New Roman" w:hAnsi="Times New Roman" w:cs="Times New Roman"/>
        </w:rPr>
        <w:t xml:space="preserve">ermore, when investigating </w:t>
      </w:r>
      <w:r w:rsidRPr="00AF2F28">
        <w:rPr>
          <w:rFonts w:ascii="Times New Roman" w:hAnsi="Times New Roman" w:cs="Times New Roman"/>
        </w:rPr>
        <w:t>72-h in particular, it was clear to see that due to the addition of a light tactical traini</w:t>
      </w:r>
      <w:r w:rsidR="00D729F4">
        <w:rPr>
          <w:rFonts w:ascii="Times New Roman" w:hAnsi="Times New Roman" w:cs="Times New Roman"/>
        </w:rPr>
        <w:t xml:space="preserve">ng session on the afternoon of </w:t>
      </w:r>
      <w:r w:rsidRPr="00AF2F28">
        <w:rPr>
          <w:rFonts w:ascii="Times New Roman" w:hAnsi="Times New Roman" w:cs="Times New Roman"/>
        </w:rPr>
        <w:t xml:space="preserve">48-h, the reliability of some metrics (such as jump height) were again detrimentally affected. Due to the constraints of congested fixtures which is associated with professional soccer, it was not possible to allow these players three days of recovery. Given the variation in metric reliability across time points, this further supports the notion that in-depth jump analysis is key when interpreting real change (12,20,21).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 xml:space="preserve">Table 2 shows the mean scores for all jump metrics. Previously, it has been reported that impairment of neuromuscular function is present up to 72-h post-match, with the 0 to 24-h showing the greatest </w:t>
      </w:r>
      <w:r w:rsidRPr="00AF2F28">
        <w:rPr>
          <w:rFonts w:ascii="Times New Roman" w:hAnsi="Times New Roman" w:cs="Times New Roman"/>
        </w:rPr>
        <w:lastRenderedPageBreak/>
        <w:t>reduction in jumping and aerobic performance (12,20,29,42</w:t>
      </w:r>
      <w:r w:rsidRPr="00AF2F28">
        <w:rPr>
          <w:rFonts w:ascii="Times New Roman" w:hAnsi="Times New Roman" w:cs="Times New Roman"/>
          <w:bCs/>
        </w:rPr>
        <w:t xml:space="preserve">). Results from the present study showed that only concentric impulse and jump height were fully recovered on both limbs at the 48-h time point, with the remaining metrics still exhibiting significant differences from baseline two days post-match. </w:t>
      </w:r>
      <w:r w:rsidRPr="00AF2F28">
        <w:rPr>
          <w:rFonts w:ascii="Times New Roman" w:hAnsi="Times New Roman" w:cs="Times New Roman"/>
        </w:rPr>
        <w:t>Notably, of all the metrics analysed, eccentric impulse and peak propulsive GRF yielded the greatest significant change in means over the course of 24-h post-match (</w:t>
      </w:r>
      <w:r w:rsidRPr="00AF2F28">
        <w:rPr>
          <w:rFonts w:ascii="Times New Roman" w:hAnsi="Times New Roman" w:cs="Times New Roman"/>
          <w:i/>
        </w:rPr>
        <w:t>d</w:t>
      </w:r>
      <w:r w:rsidR="00FD4811">
        <w:rPr>
          <w:rFonts w:ascii="Times New Roman" w:hAnsi="Times New Roman" w:cs="Times New Roman"/>
        </w:rPr>
        <w:t xml:space="preserve"> range: post = 5.78-3.40, </w:t>
      </w:r>
      <w:r w:rsidRPr="00AF2F28">
        <w:rPr>
          <w:rFonts w:ascii="Times New Roman" w:hAnsi="Times New Roman" w:cs="Times New Roman"/>
        </w:rPr>
        <w:t>24</w:t>
      </w:r>
      <w:r w:rsidR="00FD4811">
        <w:rPr>
          <w:rFonts w:ascii="Times New Roman" w:hAnsi="Times New Roman" w:cs="Times New Roman"/>
        </w:rPr>
        <w:t>-h</w:t>
      </w:r>
      <w:r w:rsidRPr="00AF2F28">
        <w:rPr>
          <w:rFonts w:ascii="Times New Roman" w:hAnsi="Times New Roman" w:cs="Times New Roman"/>
        </w:rPr>
        <w:t xml:space="preserve"> = 4.56-2.99). A reduction in eccentric impulse capacity at all time points compared to baseline, likely resulted in athletes altering their jump strategy, allowing time to produce the necessary force without significantly affecting jump height in a fatigued state; thus, warranting the investigation of further metrics other than jump height alone (13,20,21). Furthermore, jump height was shown to have no significant decreases in performance post-match; rather, a small, non-significant increase was actually seen on the left side at this time point. These results perhaps suggest that jump height maybe not be sensitive enough to detect significant immediate change as athletes may mask fatigue by compensating using different strategies (as discussed previously). When considering the landing metrics, landing impulse and peak landing GRF were both sensitive enough to show large significant increases in force-time data at each time point compared to baseline, which has also been shown in comparable research (35). Although challenging to explain with certainty, it seems plausible to suggest that a loss of neuromuscular control may explain why significant increases in landing forces were experienced. The effects of a competitive match clearly resulted in ‘heavier landings’ which represent a serious consideration for practitioners. Given that previous research has identified landing mechanics as being a potential risk factor for injury (15,19,24), practitioners could consider landing-based metrics as useful markers of readiness to train during the recovery process.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Table 3 and Figure 1 show the changing nature of inter-limb asymmetries at each time point. Initially, ECC impulse and peak propulsive GRF showed the highest pre-match leg asymmetries (14.24 and 14.71, respectively). These were shown to significantly elevate immediately post-match increasing 2.25 and 2.16 times greater than baseline with large ES (</w:t>
      </w:r>
      <w:r w:rsidRPr="00AF2F28">
        <w:rPr>
          <w:rFonts w:ascii="Times New Roman" w:hAnsi="Times New Roman" w:cs="Times New Roman"/>
          <w:i/>
        </w:rPr>
        <w:t>d</w:t>
      </w:r>
      <w:r w:rsidRPr="00AF2F28">
        <w:rPr>
          <w:rFonts w:ascii="Times New Roman" w:hAnsi="Times New Roman" w:cs="Times New Roman"/>
        </w:rPr>
        <w:t xml:space="preserve"> = 3.15 and 2.80, respectively), then plateauing over the succeeding 24-h before </w:t>
      </w:r>
      <w:r w:rsidR="00D729F4">
        <w:rPr>
          <w:rFonts w:ascii="Times New Roman" w:hAnsi="Times New Roman" w:cs="Times New Roman"/>
        </w:rPr>
        <w:t xml:space="preserve">returning to near baseline </w:t>
      </w:r>
      <w:r w:rsidRPr="00AF2F28">
        <w:rPr>
          <w:rFonts w:ascii="Times New Roman" w:hAnsi="Times New Roman" w:cs="Times New Roman"/>
        </w:rPr>
        <w:t>48</w:t>
      </w:r>
      <w:r w:rsidR="00D729F4">
        <w:rPr>
          <w:rFonts w:ascii="Times New Roman" w:hAnsi="Times New Roman" w:cs="Times New Roman"/>
        </w:rPr>
        <w:t>-h</w:t>
      </w:r>
      <w:r w:rsidRPr="00AF2F28">
        <w:rPr>
          <w:rFonts w:ascii="Times New Roman" w:hAnsi="Times New Roman" w:cs="Times New Roman"/>
        </w:rPr>
        <w:t xml:space="preserve">. Notably, jump height was found to display the greatest change in asymmetry, increasing immediately post-match by 3.7 times greater than </w:t>
      </w:r>
      <w:r w:rsidRPr="00AF2F28">
        <w:rPr>
          <w:rFonts w:ascii="Times New Roman" w:hAnsi="Times New Roman" w:cs="Times New Roman"/>
        </w:rPr>
        <w:lastRenderedPageBreak/>
        <w:t>pre-match, representing a moderate ES (</w:t>
      </w:r>
      <w:r w:rsidRPr="00AF2F28">
        <w:rPr>
          <w:rFonts w:ascii="Times New Roman" w:hAnsi="Times New Roman" w:cs="Times New Roman"/>
          <w:i/>
        </w:rPr>
        <w:t xml:space="preserve">d </w:t>
      </w:r>
      <w:r w:rsidRPr="00AF2F28">
        <w:rPr>
          <w:rFonts w:ascii="Times New Roman" w:hAnsi="Times New Roman" w:cs="Times New Roman"/>
        </w:rPr>
        <w:t>= 1.18). This is particularly striking as this metric showed just a 4.65% asymmetry value pre-match, which can be considered small (7). The relevance being that this has the potential to mislead practitioners unless monitored throughout the time course of 24 to 48-h. Furthermore, given that jump height also showed high variability (CV range = 18 to 30%), this further highlights the need to monitor multiple metrics during jump profiling, and not rely solely on outcome measures. Interestingly, landing metrics were found to take longer to exhibit their peak leg asymmetries; exp</w:t>
      </w:r>
      <w:r w:rsidR="00D729F4">
        <w:rPr>
          <w:rFonts w:ascii="Times New Roman" w:hAnsi="Times New Roman" w:cs="Times New Roman"/>
        </w:rPr>
        <w:t xml:space="preserve">onentially worsening until </w:t>
      </w:r>
      <w:r w:rsidRPr="00AF2F28">
        <w:rPr>
          <w:rFonts w:ascii="Times New Roman" w:hAnsi="Times New Roman" w:cs="Times New Roman"/>
        </w:rPr>
        <w:t>24-h where both metrics climbed to 2.24 and 2.11 times greater than baseline displaying large to moderate ES for landing impulse (</w:t>
      </w:r>
      <w:r w:rsidRPr="00AF2F28">
        <w:rPr>
          <w:rFonts w:ascii="Times New Roman" w:hAnsi="Times New Roman" w:cs="Times New Roman"/>
          <w:i/>
        </w:rPr>
        <w:t>d</w:t>
      </w:r>
      <w:r w:rsidRPr="00AF2F28">
        <w:rPr>
          <w:rFonts w:ascii="Times New Roman" w:hAnsi="Times New Roman" w:cs="Times New Roman"/>
        </w:rPr>
        <w:t xml:space="preserve"> = 1.7) and peak landing GRF (</w:t>
      </w:r>
      <w:r w:rsidRPr="00AF2F28">
        <w:rPr>
          <w:rFonts w:ascii="Times New Roman" w:hAnsi="Times New Roman" w:cs="Times New Roman"/>
          <w:i/>
        </w:rPr>
        <w:t>d</w:t>
      </w:r>
      <w:r w:rsidRPr="00AF2F28">
        <w:rPr>
          <w:rFonts w:ascii="Times New Roman" w:hAnsi="Times New Roman" w:cs="Times New Roman"/>
        </w:rPr>
        <w:t xml:space="preserve"> = 1.38), respectfully. </w:t>
      </w:r>
    </w:p>
    <w:p w:rsidR="00C81D94" w:rsidRPr="00AF2F28" w:rsidRDefault="00C81D94" w:rsidP="00C81D94">
      <w:pPr>
        <w:spacing w:line="480" w:lineRule="auto"/>
        <w:jc w:val="both"/>
        <w:rPr>
          <w:rFonts w:ascii="Times New Roman" w:hAnsi="Times New Roman" w:cs="Times New Roman"/>
        </w:rPr>
      </w:pPr>
      <w:r w:rsidRPr="00AF2F28">
        <w:rPr>
          <w:rFonts w:ascii="Times New Roman" w:hAnsi="Times New Roman" w:cs="Times New Roman"/>
        </w:rPr>
        <w:t>When interpreting asymmetries in a more general manner, previous research has highlighted the test and metric-specific nature of asymmetries (9,14,23,26,28,39), and to the authors’ knowledge, this is the first study to examine the effects of competition on inter-limb asymmetries in an elite soccer population. Previous research has suggested that 15% might be a threshold where the risk of injury increases (26); however, more recent suggestions advocate 10% as a target to aim for (28,34). When this conflicting evidence is considered and the test-specific nature of asymmetries is deliberated, it seems prudent to suggest that multiple metrics be considered to further our understanding of how inter-limb asymmetries interact with measures of physical performance and injury risk. In the present study, the largest inter-limb differences were noted for peak propulsive force and eccentric impulse (Figure 1). Noting that these metrics can only be obtained from a force platform and showed a trend to exhibit substantially greater differences than the outcome measure of jump height, it is suggested (where possible) that the monitoring of inter-limb differences is conducted using force platforms. As a final point, it is worth noting that it is unlikely that elite soccer players will be granted three days of recovery after matches. With a light tactical training session prescribed after the 48-h time point, this may explain the subsequent increase in asymmetries at 72-h. The results highlight the importance of frequent asymmetry mon</w:t>
      </w:r>
      <w:r w:rsidR="007B2516">
        <w:rPr>
          <w:rFonts w:ascii="Times New Roman" w:hAnsi="Times New Roman" w:cs="Times New Roman"/>
        </w:rPr>
        <w:t>itoring, which has been emphasiz</w:t>
      </w:r>
      <w:r w:rsidRPr="00AF2F28">
        <w:rPr>
          <w:rFonts w:ascii="Times New Roman" w:hAnsi="Times New Roman" w:cs="Times New Roman"/>
        </w:rPr>
        <w:t xml:space="preserve">ed in previous literature (7,35). </w:t>
      </w:r>
    </w:p>
    <w:p w:rsidR="00C81D94" w:rsidRPr="00AF2F28" w:rsidRDefault="00C81D94" w:rsidP="00C81D94">
      <w:pPr>
        <w:spacing w:line="480" w:lineRule="auto"/>
        <w:jc w:val="both"/>
        <w:rPr>
          <w:rFonts w:ascii="Times New Roman" w:hAnsi="Times New Roman" w:cs="Times New Roman"/>
        </w:rPr>
      </w:pPr>
    </w:p>
    <w:p w:rsidR="00C81D94" w:rsidRPr="00AF2F28" w:rsidRDefault="00C81D94" w:rsidP="00C81D94">
      <w:pPr>
        <w:spacing w:line="480" w:lineRule="auto"/>
        <w:jc w:val="both"/>
        <w:rPr>
          <w:rFonts w:ascii="Times New Roman" w:hAnsi="Times New Roman" w:cs="Times New Roman"/>
          <w:b/>
        </w:rPr>
      </w:pPr>
    </w:p>
    <w:p w:rsidR="00C81D94" w:rsidRPr="00AF2F28" w:rsidRDefault="00C81D94" w:rsidP="00C81D94">
      <w:pPr>
        <w:spacing w:line="480" w:lineRule="auto"/>
        <w:jc w:val="both"/>
        <w:rPr>
          <w:rFonts w:ascii="Times New Roman" w:hAnsi="Times New Roman" w:cs="Times New Roman"/>
          <w:b/>
        </w:rPr>
      </w:pPr>
      <w:r w:rsidRPr="00AF2F28">
        <w:rPr>
          <w:rFonts w:ascii="Times New Roman" w:hAnsi="Times New Roman" w:cs="Times New Roman"/>
          <w:b/>
        </w:rPr>
        <w:lastRenderedPageBreak/>
        <w:t xml:space="preserve">PRACTICAL APPLICATIONS </w:t>
      </w:r>
    </w:p>
    <w:p w:rsidR="00C81D94" w:rsidRPr="00671876" w:rsidRDefault="00671876" w:rsidP="00C81D94">
      <w:pPr>
        <w:spacing w:line="480" w:lineRule="auto"/>
        <w:jc w:val="both"/>
        <w:rPr>
          <w:rFonts w:ascii="Times New Roman" w:hAnsi="Times New Roman" w:cs="Times New Roman"/>
          <w:color w:val="FF0000"/>
        </w:rPr>
      </w:pPr>
      <w:r w:rsidRPr="00AF2F28">
        <w:rPr>
          <w:rFonts w:ascii="Times New Roman" w:hAnsi="Times New Roman" w:cs="Times New Roman"/>
        </w:rPr>
        <w:t>The findings of the present study highlight the changing nature of jump performance and inter-limb asymmetries after a competitive soccer match. Strength and conditioning coaches should consider using the unilateral CMJ in addition to or in place of the more commonly accepted neuromuscular fatigue moni</w:t>
      </w:r>
      <w:r w:rsidR="0008228A">
        <w:rPr>
          <w:rFonts w:ascii="Times New Roman" w:hAnsi="Times New Roman" w:cs="Times New Roman"/>
        </w:rPr>
        <w:t>toring method of bilateral CMJ</w:t>
      </w:r>
      <w:r w:rsidRPr="00AF2F28">
        <w:rPr>
          <w:rFonts w:ascii="Times New Roman" w:hAnsi="Times New Roman" w:cs="Times New Roman"/>
        </w:rPr>
        <w:t>. Noting that many of the actions in soccer occur unilaterally (such as sprinting, changing direction, and kicking), it seems logical to suggest that unilateral jump profiling serves as an ecologically valid means for soccer athletes. In addition, given the previously reported associations between inter-limb asymmetries and reduced physical performance and injury risk, frequent monitoring of side-to-side differences</w:t>
      </w:r>
      <w:r w:rsidR="001A607A" w:rsidRPr="00AF2F28">
        <w:rPr>
          <w:rFonts w:ascii="Times New Roman" w:hAnsi="Times New Roman" w:cs="Times New Roman"/>
        </w:rPr>
        <w:t xml:space="preserve"> may provide practitioners with a true picture of the interaction between asymmetry and performance or injury risk. The relevance here being that literature pertaining to the longitudinal tracking of asymmetry is scarce. Finally, with leg asy</w:t>
      </w:r>
      <w:r w:rsidR="00D729F4">
        <w:rPr>
          <w:rFonts w:ascii="Times New Roman" w:hAnsi="Times New Roman" w:cs="Times New Roman"/>
        </w:rPr>
        <w:t xml:space="preserve">mmetries highlighted up to </w:t>
      </w:r>
      <w:r w:rsidR="001A607A" w:rsidRPr="00AF2F28">
        <w:rPr>
          <w:rFonts w:ascii="Times New Roman" w:hAnsi="Times New Roman" w:cs="Times New Roman"/>
        </w:rPr>
        <w:t xml:space="preserve">72-h, this insight can further objectively enlighten the coaching staff on player welfare and subsequently inform their approach to adapting training loads on an individual level; thus, improving training quality, player readiness and ultimately, match performance. </w:t>
      </w:r>
      <w:r w:rsidR="00C81D94">
        <w:rPr>
          <w:rFonts w:ascii="Times New Roman" w:hAnsi="Times New Roman" w:cs="Times New Roman"/>
        </w:rPr>
        <w:br w:type="page"/>
      </w:r>
    </w:p>
    <w:p w:rsidR="00C81D94" w:rsidRPr="00D20CB3" w:rsidRDefault="00C81D94" w:rsidP="00C81D94">
      <w:pPr>
        <w:pStyle w:val="Heading1"/>
        <w:rPr>
          <w:sz w:val="22"/>
          <w:szCs w:val="22"/>
        </w:rPr>
      </w:pPr>
      <w:bookmarkStart w:id="9" w:name="_Toc492418553"/>
      <w:r>
        <w:rPr>
          <w:sz w:val="22"/>
          <w:szCs w:val="22"/>
        </w:rPr>
        <w:lastRenderedPageBreak/>
        <w:t>REFERENCES</w:t>
      </w:r>
      <w:bookmarkEnd w:id="9"/>
    </w:p>
    <w:p w:rsidR="00C81D94" w:rsidRDefault="00C81D94" w:rsidP="00C81D94">
      <w:pPr>
        <w:pStyle w:val="Default"/>
      </w:pPr>
      <w:r>
        <w:t xml:space="preserve"> </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Akenhead R, Hayes</w:t>
      </w:r>
      <w:r w:rsidRPr="00DF2C4A">
        <w:rPr>
          <w:rFonts w:ascii="Times New Roman" w:hAnsi="Times New Roman" w:cs="Times New Roman"/>
          <w:lang w:eastAsia="en-GB"/>
        </w:rPr>
        <w:t xml:space="preserve"> PR, Tho</w:t>
      </w:r>
      <w:r>
        <w:rPr>
          <w:rFonts w:ascii="Times New Roman" w:hAnsi="Times New Roman" w:cs="Times New Roman"/>
          <w:lang w:eastAsia="en-GB"/>
        </w:rPr>
        <w:t>mpson KG, and French</w:t>
      </w:r>
      <w:r w:rsidRPr="00DF2C4A">
        <w:rPr>
          <w:rFonts w:ascii="Times New Roman" w:hAnsi="Times New Roman" w:cs="Times New Roman"/>
          <w:lang w:eastAsia="en-GB"/>
        </w:rPr>
        <w:t xml:space="preserve"> D. Diminutions of acceleration and deceleration output during professional football match play. </w:t>
      </w:r>
      <w:r>
        <w:rPr>
          <w:rFonts w:ascii="Times New Roman" w:hAnsi="Times New Roman" w:cs="Times New Roman"/>
          <w:i/>
          <w:iCs/>
          <w:lang w:eastAsia="en-GB"/>
        </w:rPr>
        <w:t xml:space="preserve">J Sci Med </w:t>
      </w:r>
      <w:r w:rsidRPr="00DF2C4A">
        <w:rPr>
          <w:rFonts w:ascii="Times New Roman" w:hAnsi="Times New Roman" w:cs="Times New Roman"/>
          <w:i/>
          <w:iCs/>
          <w:lang w:eastAsia="en-GB"/>
        </w:rPr>
        <w:t>Sport</w:t>
      </w:r>
      <w:r>
        <w:rPr>
          <w:rFonts w:ascii="Times New Roman" w:hAnsi="Times New Roman" w:cs="Times New Roman"/>
          <w:lang w:eastAsia="en-GB"/>
        </w:rPr>
        <w:t xml:space="preserve"> 16: 556-</w:t>
      </w:r>
      <w:r w:rsidRPr="00DF2C4A">
        <w:rPr>
          <w:rFonts w:ascii="Times New Roman" w:hAnsi="Times New Roman" w:cs="Times New Roman"/>
          <w:lang w:eastAsia="en-GB"/>
        </w:rPr>
        <w:t>561, 2013.</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Ascensão A, Rebelo A, Oliveira E, Marques F, Pereira L, and Magalhães</w:t>
      </w:r>
      <w:r w:rsidRPr="00DF2C4A">
        <w:rPr>
          <w:rFonts w:ascii="Times New Roman" w:hAnsi="Times New Roman" w:cs="Times New Roman"/>
          <w:lang w:eastAsia="en-GB"/>
        </w:rPr>
        <w:t xml:space="preserve"> J. Bioche</w:t>
      </w:r>
      <w:r>
        <w:rPr>
          <w:rFonts w:ascii="Times New Roman" w:hAnsi="Times New Roman" w:cs="Times New Roman"/>
          <w:lang w:eastAsia="en-GB"/>
        </w:rPr>
        <w:t>mical impact of a soccer match -</w:t>
      </w:r>
      <w:r w:rsidRPr="00DF2C4A">
        <w:rPr>
          <w:rFonts w:ascii="Times New Roman" w:hAnsi="Times New Roman" w:cs="Times New Roman"/>
          <w:lang w:eastAsia="en-GB"/>
        </w:rPr>
        <w:t xml:space="preserve"> analysis of oxidative stress and muscle damage markers throughout recovery. </w:t>
      </w:r>
      <w:r>
        <w:rPr>
          <w:rFonts w:ascii="Times New Roman" w:hAnsi="Times New Roman" w:cs="Times New Roman"/>
          <w:i/>
          <w:iCs/>
          <w:lang w:eastAsia="en-GB"/>
        </w:rPr>
        <w:t>Clin Biochem</w:t>
      </w:r>
      <w:r>
        <w:rPr>
          <w:rFonts w:ascii="Times New Roman" w:hAnsi="Times New Roman" w:cs="Times New Roman"/>
          <w:lang w:eastAsia="en-GB"/>
        </w:rPr>
        <w:t xml:space="preserve"> 41: 841-</w:t>
      </w:r>
      <w:r w:rsidRPr="00DF2C4A">
        <w:rPr>
          <w:rFonts w:ascii="Times New Roman" w:hAnsi="Times New Roman" w:cs="Times New Roman"/>
          <w:lang w:eastAsia="en-GB"/>
        </w:rPr>
        <w:t>851, 2008.</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Bangsbo J, Mohr M, and Krustrup</w:t>
      </w:r>
      <w:r w:rsidRPr="00DF2C4A">
        <w:rPr>
          <w:rFonts w:ascii="Times New Roman" w:hAnsi="Times New Roman" w:cs="Times New Roman"/>
          <w:lang w:eastAsia="en-GB"/>
        </w:rPr>
        <w:t xml:space="preserve"> P. Physical and metabolic demands of training and match-play in the elite football player. </w:t>
      </w:r>
      <w:r>
        <w:rPr>
          <w:rFonts w:ascii="Times New Roman" w:hAnsi="Times New Roman" w:cs="Times New Roman"/>
          <w:i/>
          <w:iCs/>
          <w:lang w:eastAsia="en-GB"/>
        </w:rPr>
        <w:t>J Sports Sci</w:t>
      </w:r>
      <w:r>
        <w:rPr>
          <w:rFonts w:ascii="Times New Roman" w:hAnsi="Times New Roman" w:cs="Times New Roman"/>
          <w:lang w:eastAsia="en-GB"/>
        </w:rPr>
        <w:t xml:space="preserve"> 24: 665-</w:t>
      </w:r>
      <w:r w:rsidRPr="00DF2C4A">
        <w:rPr>
          <w:rFonts w:ascii="Times New Roman" w:hAnsi="Times New Roman" w:cs="Times New Roman"/>
          <w:lang w:eastAsia="en-GB"/>
        </w:rPr>
        <w:t>674, 2006.</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Baumgartner</w:t>
      </w:r>
      <w:r w:rsidRPr="00DF2C4A">
        <w:rPr>
          <w:rFonts w:ascii="Times New Roman" w:hAnsi="Times New Roman" w:cs="Times New Roman"/>
          <w:lang w:eastAsia="en-GB"/>
        </w:rPr>
        <w:t xml:space="preserve"> TA</w:t>
      </w:r>
      <w:r>
        <w:rPr>
          <w:rFonts w:ascii="Times New Roman" w:hAnsi="Times New Roman" w:cs="Times New Roman"/>
          <w:lang w:eastAsia="en-GB"/>
        </w:rPr>
        <w:t>, and Chung</w:t>
      </w:r>
      <w:r w:rsidRPr="00DF2C4A">
        <w:rPr>
          <w:rFonts w:ascii="Times New Roman" w:hAnsi="Times New Roman" w:cs="Times New Roman"/>
          <w:lang w:eastAsia="en-GB"/>
        </w:rPr>
        <w:t xml:space="preserve"> H. Confidence Limits for Intraclass Reliability Coefficients. </w:t>
      </w:r>
      <w:r>
        <w:rPr>
          <w:rFonts w:ascii="Times New Roman" w:hAnsi="Times New Roman" w:cs="Times New Roman"/>
          <w:i/>
          <w:iCs/>
          <w:lang w:eastAsia="en-GB"/>
        </w:rPr>
        <w:t>Meas Phys Edu Exerc Sci</w:t>
      </w:r>
      <w:r>
        <w:rPr>
          <w:rFonts w:ascii="Times New Roman" w:hAnsi="Times New Roman" w:cs="Times New Roman"/>
          <w:lang w:eastAsia="en-GB"/>
        </w:rPr>
        <w:t xml:space="preserve"> 5: 179-</w:t>
      </w:r>
      <w:r w:rsidRPr="00DF2C4A">
        <w:rPr>
          <w:rFonts w:ascii="Times New Roman" w:hAnsi="Times New Roman" w:cs="Times New Roman"/>
          <w:lang w:eastAsia="en-GB"/>
        </w:rPr>
        <w:t>188, 2001.</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Belhaj K, Meftah S, Mahir L, Lmidmani F, and Elfatimi</w:t>
      </w:r>
      <w:r w:rsidRPr="00DF2C4A">
        <w:rPr>
          <w:rFonts w:ascii="Times New Roman" w:hAnsi="Times New Roman" w:cs="Times New Roman"/>
          <w:lang w:eastAsia="en-GB"/>
        </w:rPr>
        <w:t xml:space="preserve"> A. Isokinetic imbalance of adductor–abductor hip muscles in professional soccer players with chronic adductor-related groin pain. </w:t>
      </w:r>
      <w:r>
        <w:rPr>
          <w:rFonts w:ascii="Times New Roman" w:hAnsi="Times New Roman" w:cs="Times New Roman"/>
          <w:i/>
          <w:iCs/>
          <w:lang w:eastAsia="en-GB"/>
        </w:rPr>
        <w:t>Eur J Sport Sci</w:t>
      </w:r>
      <w:r>
        <w:rPr>
          <w:rFonts w:ascii="Times New Roman" w:hAnsi="Times New Roman" w:cs="Times New Roman"/>
          <w:lang w:eastAsia="en-GB"/>
        </w:rPr>
        <w:t xml:space="preserve"> 16: 1226-</w:t>
      </w:r>
      <w:r w:rsidRPr="00DF2C4A">
        <w:rPr>
          <w:rFonts w:ascii="Times New Roman" w:hAnsi="Times New Roman" w:cs="Times New Roman"/>
          <w:lang w:eastAsia="en-GB"/>
        </w:rPr>
        <w:t>1231, 2016.</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Bell</w:t>
      </w:r>
      <w:r w:rsidRPr="00DF2C4A">
        <w:rPr>
          <w:rFonts w:ascii="Times New Roman" w:hAnsi="Times New Roman" w:cs="Times New Roman"/>
          <w:lang w:eastAsia="en-GB"/>
        </w:rPr>
        <w:t xml:space="preserve"> DR, Sanfilippo</w:t>
      </w:r>
      <w:r>
        <w:rPr>
          <w:rFonts w:ascii="Times New Roman" w:hAnsi="Times New Roman" w:cs="Times New Roman"/>
          <w:lang w:eastAsia="en-GB"/>
        </w:rPr>
        <w:t xml:space="preserve"> JL, Binkley N, and Heiderscheit</w:t>
      </w:r>
      <w:r w:rsidRPr="00DF2C4A">
        <w:rPr>
          <w:rFonts w:ascii="Times New Roman" w:hAnsi="Times New Roman" w:cs="Times New Roman"/>
          <w:lang w:eastAsia="en-GB"/>
        </w:rPr>
        <w:t xml:space="preserve"> BC. Lean mass asymmetry influences force and power asymmetry during jumping in collegiate athletes. </w:t>
      </w:r>
      <w:r>
        <w:rPr>
          <w:rFonts w:ascii="Times New Roman" w:hAnsi="Times New Roman" w:cs="Times New Roman"/>
          <w:i/>
          <w:iCs/>
          <w:lang w:eastAsia="en-GB"/>
        </w:rPr>
        <w:t xml:space="preserve">J Strength Cond Res </w:t>
      </w:r>
      <w:r w:rsidRPr="00DF2C4A">
        <w:rPr>
          <w:rFonts w:ascii="Times New Roman" w:hAnsi="Times New Roman" w:cs="Times New Roman"/>
          <w:lang w:eastAsia="en-GB"/>
        </w:rPr>
        <w:t>28: 884</w:t>
      </w:r>
      <w:r>
        <w:rPr>
          <w:rFonts w:ascii="Times New Roman" w:hAnsi="Times New Roman" w:cs="Times New Roman"/>
          <w:lang w:eastAsia="en-GB"/>
        </w:rPr>
        <w:t>-891</w:t>
      </w:r>
      <w:r w:rsidRPr="00DF2C4A">
        <w:rPr>
          <w:rFonts w:ascii="Times New Roman" w:hAnsi="Times New Roman" w:cs="Times New Roman"/>
          <w:lang w:eastAsia="en-GB"/>
        </w:rPr>
        <w:t>, 2014.</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szCs w:val="24"/>
          <w:lang w:eastAsia="en-GB"/>
        </w:rPr>
      </w:pPr>
      <w:r w:rsidRPr="00DF2C4A">
        <w:rPr>
          <w:rFonts w:ascii="Times New Roman" w:hAnsi="Times New Roman" w:cs="Times New Roman"/>
          <w:lang w:eastAsia="en-GB"/>
        </w:rPr>
        <w:t>Bishop C, Turner A,</w:t>
      </w:r>
      <w:r>
        <w:rPr>
          <w:rFonts w:ascii="Times New Roman" w:hAnsi="Times New Roman" w:cs="Times New Roman"/>
          <w:lang w:eastAsia="en-GB"/>
        </w:rPr>
        <w:t xml:space="preserve"> and Read P.</w:t>
      </w:r>
      <w:r w:rsidRPr="00DF2C4A">
        <w:rPr>
          <w:rFonts w:ascii="Times New Roman" w:hAnsi="Times New Roman" w:cs="Times New Roman"/>
          <w:lang w:eastAsia="en-GB"/>
        </w:rPr>
        <w:t xml:space="preserve"> Effects of inter-limb asymmetries on physical and sports performance: A systematic review. </w:t>
      </w:r>
      <w:r>
        <w:rPr>
          <w:rFonts w:ascii="Times New Roman" w:hAnsi="Times New Roman" w:cs="Times New Roman"/>
          <w:i/>
          <w:iCs/>
          <w:lang w:eastAsia="en-GB"/>
        </w:rPr>
        <w:t>J</w:t>
      </w:r>
      <w:r w:rsidRPr="00DF2C4A">
        <w:rPr>
          <w:rFonts w:ascii="Times New Roman" w:hAnsi="Times New Roman" w:cs="Times New Roman"/>
          <w:i/>
          <w:iCs/>
          <w:lang w:eastAsia="en-GB"/>
        </w:rPr>
        <w:t xml:space="preserve"> Sport</w:t>
      </w:r>
      <w:r>
        <w:rPr>
          <w:rFonts w:ascii="Times New Roman" w:hAnsi="Times New Roman" w:cs="Times New Roman"/>
          <w:i/>
          <w:iCs/>
          <w:lang w:eastAsia="en-GB"/>
        </w:rPr>
        <w:t>s Sci</w:t>
      </w:r>
      <w:r w:rsidRPr="00DF2C4A">
        <w:rPr>
          <w:rFonts w:ascii="Times New Roman" w:hAnsi="Times New Roman" w:cs="Times New Roman"/>
          <w:i/>
          <w:iCs/>
          <w:lang w:eastAsia="en-GB"/>
        </w:rPr>
        <w:t xml:space="preserve"> </w:t>
      </w:r>
      <w:r>
        <w:rPr>
          <w:rFonts w:ascii="Times New Roman" w:hAnsi="Times New Roman" w:cs="Times New Roman"/>
          <w:iCs/>
          <w:lang w:eastAsia="en-GB"/>
        </w:rPr>
        <w:t xml:space="preserve">36: 1135-1144, 2018. </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Bishop</w:t>
      </w:r>
      <w:r w:rsidRPr="00DF2C4A">
        <w:rPr>
          <w:rFonts w:ascii="Times New Roman" w:hAnsi="Times New Roman" w:cs="Times New Roman"/>
          <w:lang w:eastAsia="en-GB"/>
        </w:rPr>
        <w:t xml:space="preserve"> C, R</w:t>
      </w:r>
      <w:r>
        <w:rPr>
          <w:rFonts w:ascii="Times New Roman" w:hAnsi="Times New Roman" w:cs="Times New Roman"/>
          <w:lang w:eastAsia="en-GB"/>
        </w:rPr>
        <w:t>ead P, Lake J, Chavda S, Turner</w:t>
      </w:r>
      <w:r w:rsidRPr="00DF2C4A">
        <w:rPr>
          <w:rFonts w:ascii="Times New Roman" w:hAnsi="Times New Roman" w:cs="Times New Roman"/>
          <w:lang w:eastAsia="en-GB"/>
        </w:rPr>
        <w:t xml:space="preserve"> A.</w:t>
      </w:r>
      <w:r>
        <w:rPr>
          <w:rFonts w:ascii="Times New Roman" w:hAnsi="Times New Roman" w:cs="Times New Roman"/>
          <w:lang w:eastAsia="en-GB"/>
        </w:rPr>
        <w:t xml:space="preserve"> </w:t>
      </w:r>
      <w:r w:rsidRPr="00DF2C4A">
        <w:rPr>
          <w:rFonts w:ascii="Times New Roman" w:hAnsi="Times New Roman" w:cs="Times New Roman"/>
          <w:lang w:eastAsia="en-GB"/>
        </w:rPr>
        <w:t xml:space="preserve">Inter-limb asymmetries: Understanding how to calculate differences from bilateral and unilateral tests. </w:t>
      </w:r>
      <w:r>
        <w:rPr>
          <w:rFonts w:ascii="Times New Roman" w:hAnsi="Times New Roman" w:cs="Times New Roman"/>
          <w:i/>
          <w:lang w:eastAsia="en-GB"/>
        </w:rPr>
        <w:t>Strength Cond</w:t>
      </w:r>
      <w:r w:rsidRPr="00DF2C4A">
        <w:rPr>
          <w:rFonts w:ascii="Times New Roman" w:hAnsi="Times New Roman" w:cs="Times New Roman"/>
          <w:i/>
          <w:lang w:eastAsia="en-GB"/>
        </w:rPr>
        <w:t xml:space="preserve"> J</w:t>
      </w:r>
      <w:r>
        <w:rPr>
          <w:rFonts w:ascii="Times New Roman" w:hAnsi="Times New Roman" w:cs="Times New Roman"/>
          <w:lang w:eastAsia="en-GB"/>
        </w:rPr>
        <w:t xml:space="preserve"> </w:t>
      </w:r>
      <w:r w:rsidRPr="00DF2C4A">
        <w:rPr>
          <w:rFonts w:ascii="Times New Roman" w:hAnsi="Times New Roman" w:cs="Times New Roman"/>
          <w:lang w:eastAsia="en-GB"/>
        </w:rPr>
        <w:t xml:space="preserve">(Published ahead of print). </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Bishop C, Read P, McCubbine</w:t>
      </w:r>
      <w:r w:rsidRPr="00DF2C4A">
        <w:rPr>
          <w:rFonts w:ascii="Times New Roman" w:eastAsia="Times New Roman" w:hAnsi="Times New Roman" w:cs="Times New Roman"/>
          <w:szCs w:val="24"/>
          <w:lang w:eastAsia="en-GB"/>
        </w:rPr>
        <w:t xml:space="preserve"> J, a</w:t>
      </w:r>
      <w:r>
        <w:rPr>
          <w:rFonts w:ascii="Times New Roman" w:eastAsia="Times New Roman" w:hAnsi="Times New Roman" w:cs="Times New Roman"/>
          <w:szCs w:val="24"/>
          <w:lang w:eastAsia="en-GB"/>
        </w:rPr>
        <w:t>nd Turner</w:t>
      </w:r>
      <w:r w:rsidRPr="00DF2C4A">
        <w:rPr>
          <w:rFonts w:ascii="Times New Roman" w:eastAsia="Times New Roman" w:hAnsi="Times New Roman" w:cs="Times New Roman"/>
          <w:szCs w:val="24"/>
          <w:lang w:eastAsia="en-GB"/>
        </w:rPr>
        <w:t xml:space="preserve"> A.</w:t>
      </w:r>
      <w:r>
        <w:rPr>
          <w:rFonts w:ascii="Times New Roman" w:eastAsia="Times New Roman" w:hAnsi="Times New Roman" w:cs="Times New Roman"/>
          <w:szCs w:val="24"/>
          <w:lang w:eastAsia="en-GB"/>
        </w:rPr>
        <w:t xml:space="preserve"> </w:t>
      </w:r>
      <w:r w:rsidRPr="00DF2C4A">
        <w:rPr>
          <w:rFonts w:ascii="Times New Roman" w:eastAsia="Times New Roman" w:hAnsi="Times New Roman" w:cs="Times New Roman"/>
          <w:szCs w:val="24"/>
          <w:lang w:eastAsia="en-GB"/>
        </w:rPr>
        <w:t xml:space="preserve">Vertical and Horizontal Asymmetries are Related to Slower Sprinting and Jump Performance in Elite Youth Female Soccer Players: </w:t>
      </w:r>
      <w:r>
        <w:rPr>
          <w:rFonts w:ascii="Times New Roman" w:eastAsia="Times New Roman" w:hAnsi="Times New Roman" w:cs="Times New Roman"/>
          <w:i/>
          <w:iCs/>
          <w:szCs w:val="24"/>
          <w:lang w:eastAsia="en-GB"/>
        </w:rPr>
        <w:t>J Strength Cond Res</w:t>
      </w:r>
      <w:r w:rsidRPr="00DF2C4A">
        <w:rPr>
          <w:rFonts w:ascii="Times New Roman" w:eastAsia="Times New Roman" w:hAnsi="Times New Roman" w:cs="Times New Roman"/>
          <w:szCs w:val="24"/>
          <w:lang w:eastAsia="en-GB"/>
        </w:rPr>
        <w:t xml:space="preserve"> (Published ahead of print).</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Camarda</w:t>
      </w:r>
      <w:r w:rsidRPr="00DF2C4A">
        <w:rPr>
          <w:rFonts w:ascii="Times New Roman" w:eastAsia="Times New Roman" w:hAnsi="Times New Roman" w:cs="Times New Roman"/>
          <w:lang w:eastAsia="en-GB"/>
        </w:rPr>
        <w:t xml:space="preserve"> SR</w:t>
      </w:r>
      <w:r>
        <w:rPr>
          <w:rFonts w:ascii="Times New Roman" w:eastAsia="Times New Roman" w:hAnsi="Times New Roman" w:cs="Times New Roman"/>
          <w:lang w:eastAsia="en-GB"/>
        </w:rPr>
        <w:t>, and Denadai</w:t>
      </w:r>
      <w:r w:rsidRPr="00DF2C4A">
        <w:rPr>
          <w:rFonts w:ascii="Times New Roman" w:eastAsia="Times New Roman" w:hAnsi="Times New Roman" w:cs="Times New Roman"/>
          <w:lang w:eastAsia="en-GB"/>
        </w:rPr>
        <w:t xml:space="preserve"> BS. Does muscle imbalance affect fatigue after soccer specific intermittent protocol? </w:t>
      </w:r>
      <w:r>
        <w:rPr>
          <w:rFonts w:ascii="Times New Roman" w:eastAsia="Times New Roman" w:hAnsi="Times New Roman" w:cs="Times New Roman"/>
          <w:i/>
          <w:iCs/>
          <w:lang w:eastAsia="en-GB"/>
        </w:rPr>
        <w:t>J Sci Med</w:t>
      </w:r>
      <w:r w:rsidRPr="00DF2C4A">
        <w:rPr>
          <w:rFonts w:ascii="Times New Roman" w:eastAsia="Times New Roman" w:hAnsi="Times New Roman" w:cs="Times New Roman"/>
          <w:i/>
          <w:iCs/>
          <w:lang w:eastAsia="en-GB"/>
        </w:rPr>
        <w:t xml:space="preserve"> Sport</w:t>
      </w:r>
      <w:r>
        <w:rPr>
          <w:rFonts w:ascii="Times New Roman" w:eastAsia="Times New Roman" w:hAnsi="Times New Roman" w:cs="Times New Roman"/>
          <w:lang w:eastAsia="en-GB"/>
        </w:rPr>
        <w:t xml:space="preserve"> 15: 355-</w:t>
      </w:r>
      <w:r w:rsidRPr="00DF2C4A">
        <w:rPr>
          <w:rFonts w:ascii="Times New Roman" w:eastAsia="Times New Roman" w:hAnsi="Times New Roman" w:cs="Times New Roman"/>
          <w:lang w:eastAsia="en-GB"/>
        </w:rPr>
        <w:t>360, 2012.</w:t>
      </w:r>
    </w:p>
    <w:p w:rsidR="00C81D94" w:rsidRPr="00DF2C4A" w:rsidRDefault="00C81D94" w:rsidP="00C81D94">
      <w:pPr>
        <w:pStyle w:val="ListParagraph"/>
        <w:numPr>
          <w:ilvl w:val="0"/>
          <w:numId w:val="1"/>
        </w:numPr>
        <w:spacing w:after="0" w:line="36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Chavda S, Bromley T, Jarvis P, Williams S, Bishop C, Turner A, Lake J, and Mundy P. Force-time characteristics of the countermovement jump: Analyzing the curve in e</w:t>
      </w:r>
      <w:r w:rsidRPr="00DF2C4A">
        <w:rPr>
          <w:rFonts w:ascii="Times New Roman" w:eastAsia="Times New Roman" w:hAnsi="Times New Roman" w:cs="Times New Roman"/>
          <w:szCs w:val="24"/>
          <w:lang w:eastAsia="en-GB"/>
        </w:rPr>
        <w:t xml:space="preserve">xcel. </w:t>
      </w:r>
      <w:r>
        <w:rPr>
          <w:rFonts w:ascii="Times New Roman" w:eastAsia="Times New Roman" w:hAnsi="Times New Roman" w:cs="Times New Roman"/>
          <w:i/>
          <w:iCs/>
          <w:szCs w:val="24"/>
          <w:lang w:eastAsia="en-GB"/>
        </w:rPr>
        <w:t>Strength Cond J</w:t>
      </w:r>
      <w:r>
        <w:rPr>
          <w:rFonts w:ascii="Times New Roman" w:eastAsia="Times New Roman" w:hAnsi="Times New Roman" w:cs="Times New Roman"/>
          <w:szCs w:val="24"/>
          <w:lang w:eastAsia="en-GB"/>
        </w:rPr>
        <w:t xml:space="preserve"> 40: 67-77, 2018</w:t>
      </w:r>
      <w:r w:rsidRPr="00DF2C4A">
        <w:rPr>
          <w:rFonts w:ascii="Times New Roman" w:eastAsia="Times New Roman" w:hAnsi="Times New Roman" w:cs="Times New Roman"/>
          <w:szCs w:val="24"/>
          <w:lang w:eastAsia="en-GB"/>
        </w:rPr>
        <w:t>.</w:t>
      </w:r>
      <w:r>
        <w:rPr>
          <w:rFonts w:ascii="Times New Roman" w:eastAsia="Times New Roman" w:hAnsi="Times New Roman" w:cs="Times New Roman"/>
          <w:szCs w:val="24"/>
          <w:lang w:eastAsia="en-GB"/>
        </w:rPr>
        <w:t xml:space="preserve"> </w:t>
      </w:r>
    </w:p>
    <w:p w:rsidR="00C81D94" w:rsidRPr="00DF2C4A" w:rsidRDefault="00C81D94" w:rsidP="00C81D94">
      <w:pPr>
        <w:pStyle w:val="ListParagraph"/>
        <w:numPr>
          <w:ilvl w:val="0"/>
          <w:numId w:val="1"/>
        </w:numPr>
        <w:spacing w:after="0" w:line="360" w:lineRule="auto"/>
        <w:jc w:val="both"/>
        <w:rPr>
          <w:rFonts w:ascii="Times New Roman" w:hAnsi="Times New Roman" w:cs="Times New Roman"/>
          <w:lang w:eastAsia="en-GB"/>
        </w:rPr>
      </w:pPr>
      <w:r>
        <w:rPr>
          <w:rFonts w:ascii="Times New Roman" w:hAnsi="Times New Roman" w:cs="Times New Roman"/>
          <w:lang w:eastAsia="en-GB"/>
        </w:rPr>
        <w:t>Cormack SJ, Newton RU, McGuigan MR, and Cormie</w:t>
      </w:r>
      <w:r w:rsidRPr="00DF2C4A">
        <w:rPr>
          <w:rFonts w:ascii="Times New Roman" w:hAnsi="Times New Roman" w:cs="Times New Roman"/>
          <w:lang w:eastAsia="en-GB"/>
        </w:rPr>
        <w:t xml:space="preserve"> P. Neuromuscular and endocrine responses of elite players during an Australian rules football season. </w:t>
      </w:r>
      <w:r>
        <w:rPr>
          <w:rFonts w:ascii="Times New Roman" w:hAnsi="Times New Roman" w:cs="Times New Roman"/>
          <w:i/>
          <w:iCs/>
          <w:lang w:eastAsia="en-GB"/>
        </w:rPr>
        <w:t>Int J Sports Physiol Perform</w:t>
      </w:r>
      <w:r>
        <w:rPr>
          <w:rFonts w:ascii="Times New Roman" w:hAnsi="Times New Roman" w:cs="Times New Roman"/>
          <w:lang w:eastAsia="en-GB"/>
        </w:rPr>
        <w:t xml:space="preserve"> 3: 439-</w:t>
      </w:r>
      <w:r w:rsidRPr="00DF2C4A">
        <w:rPr>
          <w:rFonts w:ascii="Times New Roman" w:hAnsi="Times New Roman" w:cs="Times New Roman"/>
          <w:lang w:eastAsia="en-GB"/>
        </w:rPr>
        <w:t xml:space="preserve">453, 2008. </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Cormie P, McBride JM, and McCaulley</w:t>
      </w:r>
      <w:r w:rsidRPr="00DF2C4A">
        <w:rPr>
          <w:rFonts w:ascii="Times New Roman" w:eastAsia="Times New Roman" w:hAnsi="Times New Roman" w:cs="Times New Roman"/>
          <w:lang w:eastAsia="en-GB"/>
        </w:rPr>
        <w:t xml:space="preserve"> GO. Power-Time, Force</w:t>
      </w:r>
      <w:r>
        <w:rPr>
          <w:rFonts w:ascii="Times New Roman" w:eastAsia="Times New Roman" w:hAnsi="Times New Roman" w:cs="Times New Roman"/>
          <w:lang w:eastAsia="en-GB"/>
        </w:rPr>
        <w:t>-Time, and Velocity-Time Curve analysis of the countermovement jump: Impact of t</w:t>
      </w:r>
      <w:r w:rsidRPr="00DF2C4A">
        <w:rPr>
          <w:rFonts w:ascii="Times New Roman" w:eastAsia="Times New Roman" w:hAnsi="Times New Roman" w:cs="Times New Roman"/>
          <w:lang w:eastAsia="en-GB"/>
        </w:rPr>
        <w:t xml:space="preserve">raining: </w:t>
      </w:r>
      <w:r>
        <w:rPr>
          <w:rFonts w:ascii="Times New Roman" w:eastAsia="Times New Roman" w:hAnsi="Times New Roman" w:cs="Times New Roman"/>
          <w:i/>
          <w:iCs/>
          <w:lang w:eastAsia="en-GB"/>
        </w:rPr>
        <w:t>J Strength Cond Res</w:t>
      </w:r>
      <w:r>
        <w:rPr>
          <w:rFonts w:ascii="Times New Roman" w:eastAsia="Times New Roman" w:hAnsi="Times New Roman" w:cs="Times New Roman"/>
          <w:lang w:eastAsia="en-GB"/>
        </w:rPr>
        <w:t xml:space="preserve"> 23: 177-</w:t>
      </w:r>
      <w:r w:rsidRPr="00DF2C4A">
        <w:rPr>
          <w:rFonts w:ascii="Times New Roman" w:eastAsia="Times New Roman" w:hAnsi="Times New Roman" w:cs="Times New Roman"/>
          <w:lang w:eastAsia="en-GB"/>
        </w:rPr>
        <w:t xml:space="preserve">186, 2009. </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lastRenderedPageBreak/>
        <w:t>Croisier J-L, Ganteaume S, Binet J, Genty M, and Ferret J-M. Strength imbalances and prevention of hamstring injury in professional soccer players: A prospective s</w:t>
      </w:r>
      <w:r w:rsidRPr="00DF2C4A">
        <w:rPr>
          <w:rFonts w:ascii="Times New Roman" w:hAnsi="Times New Roman" w:cs="Times New Roman"/>
          <w:lang w:eastAsia="en-GB"/>
        </w:rPr>
        <w:t xml:space="preserve">tudy. </w:t>
      </w:r>
      <w:r>
        <w:rPr>
          <w:rFonts w:ascii="Times New Roman" w:hAnsi="Times New Roman" w:cs="Times New Roman"/>
          <w:i/>
          <w:iCs/>
          <w:lang w:eastAsia="en-GB"/>
        </w:rPr>
        <w:t>Am J Sports Med</w:t>
      </w:r>
      <w:r>
        <w:rPr>
          <w:rFonts w:ascii="Times New Roman" w:hAnsi="Times New Roman" w:cs="Times New Roman"/>
          <w:lang w:eastAsia="en-GB"/>
        </w:rPr>
        <w:t xml:space="preserve"> 36: 1469-</w:t>
      </w:r>
      <w:r w:rsidRPr="00DF2C4A">
        <w:rPr>
          <w:rFonts w:ascii="Times New Roman" w:hAnsi="Times New Roman" w:cs="Times New Roman"/>
          <w:lang w:eastAsia="en-GB"/>
        </w:rPr>
        <w:t>1475, 2008.</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Dai B, Mao</w:t>
      </w:r>
      <w:r w:rsidRPr="00DF2C4A">
        <w:rPr>
          <w:rFonts w:ascii="Times New Roman" w:hAnsi="Times New Roman" w:cs="Times New Roman"/>
          <w:lang w:eastAsia="en-GB"/>
        </w:rPr>
        <w:t xml:space="preserve"> D, Garre</w:t>
      </w:r>
      <w:r>
        <w:rPr>
          <w:rFonts w:ascii="Times New Roman" w:hAnsi="Times New Roman" w:cs="Times New Roman"/>
          <w:lang w:eastAsia="en-GB"/>
        </w:rPr>
        <w:t>tt WE, and Yu</w:t>
      </w:r>
      <w:r w:rsidRPr="00DF2C4A">
        <w:rPr>
          <w:rFonts w:ascii="Times New Roman" w:hAnsi="Times New Roman" w:cs="Times New Roman"/>
          <w:lang w:eastAsia="en-GB"/>
        </w:rPr>
        <w:t xml:space="preserve"> B. Anterior cruciate ligament injuries in soccer: Loading mechanisms, risk factors, and prevention programs. </w:t>
      </w:r>
      <w:r>
        <w:rPr>
          <w:rFonts w:ascii="Times New Roman" w:hAnsi="Times New Roman" w:cs="Times New Roman"/>
          <w:i/>
          <w:iCs/>
          <w:lang w:eastAsia="en-GB"/>
        </w:rPr>
        <w:t>J Sport Health Sci</w:t>
      </w:r>
      <w:r>
        <w:rPr>
          <w:rFonts w:ascii="Times New Roman" w:hAnsi="Times New Roman" w:cs="Times New Roman"/>
          <w:lang w:eastAsia="en-GB"/>
        </w:rPr>
        <w:t xml:space="preserve"> 3: 299-</w:t>
      </w:r>
      <w:r w:rsidRPr="00DF2C4A">
        <w:rPr>
          <w:rFonts w:ascii="Times New Roman" w:hAnsi="Times New Roman" w:cs="Times New Roman"/>
          <w:lang w:eastAsia="en-GB"/>
        </w:rPr>
        <w:t>306, 2014.</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Delextrat A, Baker J, Cohen DD, and Clarke</w:t>
      </w:r>
      <w:r w:rsidRPr="00DF2C4A">
        <w:rPr>
          <w:rFonts w:ascii="Times New Roman" w:hAnsi="Times New Roman" w:cs="Times New Roman"/>
          <w:lang w:eastAsia="en-GB"/>
        </w:rPr>
        <w:t xml:space="preserve"> ND. Effect of a simulated soccer match on the functional hamstrings-to-quadriceps rat</w:t>
      </w:r>
      <w:r>
        <w:rPr>
          <w:rFonts w:ascii="Times New Roman" w:hAnsi="Times New Roman" w:cs="Times New Roman"/>
          <w:lang w:eastAsia="en-GB"/>
        </w:rPr>
        <w:t>io in amateur female players: H:</w:t>
      </w:r>
      <w:r w:rsidRPr="00DF2C4A">
        <w:rPr>
          <w:rFonts w:ascii="Times New Roman" w:hAnsi="Times New Roman" w:cs="Times New Roman"/>
          <w:lang w:eastAsia="en-GB"/>
        </w:rPr>
        <w:t xml:space="preserve">Q ratio in female soccer players. </w:t>
      </w:r>
      <w:r>
        <w:rPr>
          <w:rFonts w:ascii="Times New Roman" w:hAnsi="Times New Roman" w:cs="Times New Roman"/>
          <w:i/>
          <w:iCs/>
          <w:lang w:eastAsia="en-GB"/>
        </w:rPr>
        <w:t xml:space="preserve">Scand J Med Sci </w:t>
      </w:r>
      <w:r w:rsidRPr="00DF2C4A">
        <w:rPr>
          <w:rFonts w:ascii="Times New Roman" w:hAnsi="Times New Roman" w:cs="Times New Roman"/>
          <w:i/>
          <w:iCs/>
          <w:lang w:eastAsia="en-GB"/>
        </w:rPr>
        <w:t>Sports</w:t>
      </w:r>
      <w:r>
        <w:rPr>
          <w:rFonts w:ascii="Times New Roman" w:hAnsi="Times New Roman" w:cs="Times New Roman"/>
          <w:lang w:eastAsia="en-GB"/>
        </w:rPr>
        <w:t xml:space="preserve"> 23: 478-</w:t>
      </w:r>
      <w:r w:rsidRPr="00DF2C4A">
        <w:rPr>
          <w:rFonts w:ascii="Times New Roman" w:hAnsi="Times New Roman" w:cs="Times New Roman"/>
          <w:lang w:eastAsia="en-GB"/>
        </w:rPr>
        <w:t>486, 2013.</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Dos’Santos T, Jones PA, Comfort P, and Thomas</w:t>
      </w:r>
      <w:r w:rsidRPr="00DF2C4A">
        <w:rPr>
          <w:rFonts w:ascii="Times New Roman" w:eastAsia="Times New Roman" w:hAnsi="Times New Roman" w:cs="Times New Roman"/>
          <w:lang w:eastAsia="en-GB"/>
        </w:rPr>
        <w:t xml:space="preserve"> C. Effect o</w:t>
      </w:r>
      <w:r>
        <w:rPr>
          <w:rFonts w:ascii="Times New Roman" w:eastAsia="Times New Roman" w:hAnsi="Times New Roman" w:cs="Times New Roman"/>
          <w:lang w:eastAsia="en-GB"/>
        </w:rPr>
        <w:t>f different onset thresholds on isometric mid-thigh pull force-time variables.</w:t>
      </w:r>
      <w:r w:rsidRPr="00DF2C4A">
        <w:rPr>
          <w:rFonts w:ascii="Times New Roman" w:eastAsia="Times New Roman" w:hAnsi="Times New Roman" w:cs="Times New Roman"/>
          <w:lang w:eastAsia="en-GB"/>
        </w:rPr>
        <w:t xml:space="preserve"> </w:t>
      </w:r>
      <w:r>
        <w:rPr>
          <w:rFonts w:ascii="Times New Roman" w:eastAsia="Times New Roman" w:hAnsi="Times New Roman" w:cs="Times New Roman"/>
          <w:i/>
          <w:iCs/>
          <w:lang w:eastAsia="en-GB"/>
        </w:rPr>
        <w:t>J Strength Cond Res</w:t>
      </w:r>
      <w:r>
        <w:rPr>
          <w:rFonts w:ascii="Times New Roman" w:eastAsia="Times New Roman" w:hAnsi="Times New Roman" w:cs="Times New Roman"/>
          <w:lang w:eastAsia="en-GB"/>
        </w:rPr>
        <w:t xml:space="preserve"> 31: 3463-3473, 2017</w:t>
      </w:r>
      <w:r w:rsidRPr="00DF2C4A">
        <w:rPr>
          <w:rFonts w:ascii="Times New Roman" w:eastAsia="Times New Roman" w:hAnsi="Times New Roman" w:cs="Times New Roman"/>
          <w:lang w:eastAsia="en-GB"/>
        </w:rPr>
        <w:t>.</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Fousekis K, Tsepis E, and Vagenas G. Intrinsic risk factors of n</w:t>
      </w:r>
      <w:r w:rsidRPr="00DF2C4A">
        <w:rPr>
          <w:rFonts w:ascii="Times New Roman" w:hAnsi="Times New Roman" w:cs="Times New Roman"/>
          <w:lang w:eastAsia="en-GB"/>
        </w:rPr>
        <w:t>on</w:t>
      </w:r>
      <w:r>
        <w:rPr>
          <w:rFonts w:ascii="Times New Roman" w:hAnsi="Times New Roman" w:cs="Times New Roman"/>
          <w:lang w:eastAsia="en-GB"/>
        </w:rPr>
        <w:t>-contact ankle sprains in soccer: A prospective s</w:t>
      </w:r>
      <w:r w:rsidRPr="00DF2C4A">
        <w:rPr>
          <w:rFonts w:ascii="Times New Roman" w:hAnsi="Times New Roman" w:cs="Times New Roman"/>
          <w:lang w:eastAsia="en-GB"/>
        </w:rPr>
        <w:t xml:space="preserve">tudy </w:t>
      </w:r>
      <w:r>
        <w:rPr>
          <w:rFonts w:ascii="Times New Roman" w:hAnsi="Times New Roman" w:cs="Times New Roman"/>
          <w:lang w:eastAsia="en-GB"/>
        </w:rPr>
        <w:t>on 100 professional p</w:t>
      </w:r>
      <w:r w:rsidRPr="00DF2C4A">
        <w:rPr>
          <w:rFonts w:ascii="Times New Roman" w:hAnsi="Times New Roman" w:cs="Times New Roman"/>
          <w:lang w:eastAsia="en-GB"/>
        </w:rPr>
        <w:t xml:space="preserve">layers. </w:t>
      </w:r>
      <w:r>
        <w:rPr>
          <w:rFonts w:ascii="Times New Roman" w:hAnsi="Times New Roman" w:cs="Times New Roman"/>
          <w:i/>
          <w:iCs/>
          <w:lang w:eastAsia="en-GB"/>
        </w:rPr>
        <w:t>Am J Sports Med</w:t>
      </w:r>
      <w:r>
        <w:rPr>
          <w:rFonts w:ascii="Times New Roman" w:hAnsi="Times New Roman" w:cs="Times New Roman"/>
          <w:lang w:eastAsia="en-GB"/>
        </w:rPr>
        <w:t xml:space="preserve"> 40: 1842-</w:t>
      </w:r>
      <w:r w:rsidRPr="00DF2C4A">
        <w:rPr>
          <w:rFonts w:ascii="Times New Roman" w:hAnsi="Times New Roman" w:cs="Times New Roman"/>
          <w:lang w:eastAsia="en-GB"/>
        </w:rPr>
        <w:t>1850, 2012.</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sidRPr="00DF2C4A">
        <w:rPr>
          <w:rFonts w:ascii="Times New Roman" w:eastAsia="Times New Roman" w:hAnsi="Times New Roman" w:cs="Times New Roman"/>
          <w:lang w:eastAsia="en-GB"/>
        </w:rPr>
        <w:t>Gardin</w:t>
      </w:r>
      <w:r>
        <w:rPr>
          <w:rFonts w:ascii="Times New Roman" w:eastAsia="Times New Roman" w:hAnsi="Times New Roman" w:cs="Times New Roman"/>
          <w:lang w:eastAsia="en-GB"/>
        </w:rPr>
        <w:t>er JC, Weiss JA, and Rosenberg</w:t>
      </w:r>
      <w:r w:rsidRPr="00DF2C4A">
        <w:rPr>
          <w:rFonts w:ascii="Times New Roman" w:eastAsia="Times New Roman" w:hAnsi="Times New Roman" w:cs="Times New Roman"/>
          <w:lang w:eastAsia="en-GB"/>
        </w:rPr>
        <w:t xml:space="preserve"> TD. Strain in the human medial collateral ligament during valgus loading of the knee. </w:t>
      </w:r>
      <w:r>
        <w:rPr>
          <w:rFonts w:ascii="Times New Roman" w:eastAsia="Times New Roman" w:hAnsi="Times New Roman" w:cs="Times New Roman"/>
          <w:i/>
          <w:iCs/>
          <w:lang w:eastAsia="en-GB"/>
        </w:rPr>
        <w:t>Clin Orthop Rel Res</w:t>
      </w:r>
      <w:r>
        <w:rPr>
          <w:rFonts w:ascii="Times New Roman" w:eastAsia="Times New Roman" w:hAnsi="Times New Roman" w:cs="Times New Roman"/>
          <w:lang w:eastAsia="en-GB"/>
        </w:rPr>
        <w:t xml:space="preserve"> 391: 266-</w:t>
      </w:r>
      <w:r w:rsidRPr="00DF2C4A">
        <w:rPr>
          <w:rFonts w:ascii="Times New Roman" w:eastAsia="Times New Roman" w:hAnsi="Times New Roman" w:cs="Times New Roman"/>
          <w:lang w:eastAsia="en-GB"/>
        </w:rPr>
        <w:t>274, 2001.</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Gathercole R, Sporer B, Stellingwerff T, and Sleivert G. Alternative countermovement jump analysis to quantify acute neuromuscular f</w:t>
      </w:r>
      <w:r w:rsidRPr="00DF2C4A">
        <w:rPr>
          <w:rFonts w:ascii="Times New Roman" w:eastAsia="Times New Roman" w:hAnsi="Times New Roman" w:cs="Times New Roman"/>
          <w:lang w:eastAsia="en-GB"/>
        </w:rPr>
        <w:t xml:space="preserve">atigue. </w:t>
      </w:r>
      <w:r>
        <w:rPr>
          <w:rFonts w:ascii="Times New Roman" w:eastAsia="Times New Roman" w:hAnsi="Times New Roman" w:cs="Times New Roman"/>
          <w:i/>
          <w:iCs/>
          <w:lang w:eastAsia="en-GB"/>
        </w:rPr>
        <w:t>Int J Sports Physiol</w:t>
      </w:r>
      <w:r w:rsidRPr="00DF2C4A">
        <w:rPr>
          <w:rFonts w:ascii="Times New Roman" w:eastAsia="Times New Roman" w:hAnsi="Times New Roman" w:cs="Times New Roman"/>
          <w:i/>
          <w:iCs/>
          <w:lang w:eastAsia="en-GB"/>
        </w:rPr>
        <w:t xml:space="preserve"> </w:t>
      </w:r>
      <w:r>
        <w:rPr>
          <w:rFonts w:ascii="Times New Roman" w:eastAsia="Times New Roman" w:hAnsi="Times New Roman" w:cs="Times New Roman"/>
          <w:i/>
          <w:iCs/>
          <w:lang w:eastAsia="en-GB"/>
        </w:rPr>
        <w:t>Perform</w:t>
      </w:r>
      <w:r>
        <w:rPr>
          <w:rFonts w:ascii="Times New Roman" w:eastAsia="Times New Roman" w:hAnsi="Times New Roman" w:cs="Times New Roman"/>
          <w:lang w:eastAsia="en-GB"/>
        </w:rPr>
        <w:t xml:space="preserve"> 10: 84-</w:t>
      </w:r>
      <w:r w:rsidRPr="00DF2C4A">
        <w:rPr>
          <w:rFonts w:ascii="Times New Roman" w:eastAsia="Times New Roman" w:hAnsi="Times New Roman" w:cs="Times New Roman"/>
          <w:lang w:eastAsia="en-GB"/>
        </w:rPr>
        <w:t>92, 2015.</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eastAsia="Times New Roman" w:hAnsi="Times New Roman" w:cs="Times New Roman"/>
          <w:lang w:eastAsia="en-GB"/>
        </w:rPr>
        <w:t>Gathercole RJ, Stellingwerff T, and Sporer BC. Effect of acute fatigue and training adaptation on countermovement jump performance in elite snowboard cross a</w:t>
      </w:r>
      <w:r w:rsidRPr="00DF2C4A">
        <w:rPr>
          <w:rFonts w:ascii="Times New Roman" w:eastAsia="Times New Roman" w:hAnsi="Times New Roman" w:cs="Times New Roman"/>
          <w:lang w:eastAsia="en-GB"/>
        </w:rPr>
        <w:t xml:space="preserve">thletes: </w:t>
      </w:r>
      <w:r>
        <w:rPr>
          <w:rFonts w:ascii="Times New Roman" w:eastAsia="Times New Roman" w:hAnsi="Times New Roman" w:cs="Times New Roman"/>
          <w:i/>
          <w:iCs/>
          <w:lang w:eastAsia="en-GB"/>
        </w:rPr>
        <w:t>J Strength Cond Res</w:t>
      </w:r>
      <w:r>
        <w:rPr>
          <w:rFonts w:ascii="Times New Roman" w:eastAsia="Times New Roman" w:hAnsi="Times New Roman" w:cs="Times New Roman"/>
          <w:lang w:eastAsia="en-GB"/>
        </w:rPr>
        <w:t xml:space="preserve"> 29: 37-</w:t>
      </w:r>
      <w:r w:rsidRPr="00DF2C4A">
        <w:rPr>
          <w:rFonts w:ascii="Times New Roman" w:eastAsia="Times New Roman" w:hAnsi="Times New Roman" w:cs="Times New Roman"/>
          <w:lang w:eastAsia="en-GB"/>
        </w:rPr>
        <w:t>46, 2015.</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Gibson NE, Boyd AJ, and Murray AM. Countermovement jump is not affected during final competition preparation periods in elite rugby sevens players.</w:t>
      </w:r>
      <w:r w:rsidRPr="00DF2C4A">
        <w:rPr>
          <w:rFonts w:ascii="Times New Roman" w:hAnsi="Times New Roman" w:cs="Times New Roman"/>
          <w:lang w:eastAsia="en-GB"/>
        </w:rPr>
        <w:t xml:space="preserve"> </w:t>
      </w:r>
      <w:r>
        <w:rPr>
          <w:rFonts w:ascii="Times New Roman" w:eastAsia="Times New Roman" w:hAnsi="Times New Roman" w:cs="Times New Roman"/>
          <w:i/>
          <w:iCs/>
          <w:lang w:eastAsia="en-GB"/>
        </w:rPr>
        <w:t>J Strength Cond Res</w:t>
      </w:r>
      <w:r>
        <w:rPr>
          <w:rFonts w:ascii="Times New Roman" w:eastAsia="Times New Roman" w:hAnsi="Times New Roman" w:cs="Times New Roman"/>
          <w:lang w:eastAsia="en-GB"/>
        </w:rPr>
        <w:t xml:space="preserve"> </w:t>
      </w:r>
      <w:r>
        <w:rPr>
          <w:rFonts w:ascii="Times New Roman" w:hAnsi="Times New Roman" w:cs="Times New Roman"/>
          <w:lang w:eastAsia="en-GB"/>
        </w:rPr>
        <w:t>30: 777-</w:t>
      </w:r>
      <w:r w:rsidRPr="00DF2C4A">
        <w:rPr>
          <w:rFonts w:ascii="Times New Roman" w:hAnsi="Times New Roman" w:cs="Times New Roman"/>
          <w:lang w:eastAsia="en-GB"/>
        </w:rPr>
        <w:t>783, 2016.</w:t>
      </w:r>
      <w:r>
        <w:rPr>
          <w:rFonts w:ascii="Times New Roman" w:hAnsi="Times New Roman" w:cs="Times New Roman"/>
          <w:lang w:eastAsia="en-GB"/>
        </w:rPr>
        <w:t xml:space="preserve"> </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hAnsi="Times New Roman" w:cs="Times New Roman"/>
          <w:lang w:eastAsia="en-GB"/>
        </w:rPr>
        <w:t>Hart NH, Nimphius S, Weber J, Spiteri T, Rantalainen T, Dobbin M, and Newton RU. Musculoskeletal asymmetry in football athletes: A product of limb function over t</w:t>
      </w:r>
      <w:r w:rsidRPr="00DF2C4A">
        <w:rPr>
          <w:rFonts w:ascii="Times New Roman" w:hAnsi="Times New Roman" w:cs="Times New Roman"/>
          <w:lang w:eastAsia="en-GB"/>
        </w:rPr>
        <w:t xml:space="preserve">ime. </w:t>
      </w:r>
      <w:r>
        <w:rPr>
          <w:rFonts w:ascii="Times New Roman" w:hAnsi="Times New Roman" w:cs="Times New Roman"/>
          <w:i/>
          <w:iCs/>
          <w:lang w:eastAsia="en-GB"/>
        </w:rPr>
        <w:t>Med Sci Sports Exerc</w:t>
      </w:r>
      <w:r>
        <w:rPr>
          <w:rFonts w:ascii="Times New Roman" w:hAnsi="Times New Roman" w:cs="Times New Roman"/>
          <w:lang w:eastAsia="en-GB"/>
        </w:rPr>
        <w:t xml:space="preserve"> 48: 1379-</w:t>
      </w:r>
      <w:r w:rsidRPr="00DF2C4A">
        <w:rPr>
          <w:rFonts w:ascii="Times New Roman" w:hAnsi="Times New Roman" w:cs="Times New Roman"/>
          <w:lang w:eastAsia="en-GB"/>
        </w:rPr>
        <w:t>1387, 2016.</w:t>
      </w:r>
      <w:r w:rsidRPr="00DF2C4A">
        <w:rPr>
          <w:rFonts w:ascii="Times New Roman" w:eastAsia="Times New Roman" w:hAnsi="Times New Roman" w:cs="Times New Roman"/>
          <w:lang w:eastAsia="en-GB"/>
        </w:rPr>
        <w:t xml:space="preserve"> </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Hewett TE, Myer GD, and Ford KR. Decrease in neuromuscular control about the knee with maturation in female athletes.</w:t>
      </w:r>
      <w:r w:rsidRPr="00DF2C4A">
        <w:rPr>
          <w:rFonts w:ascii="Times New Roman" w:eastAsia="Times New Roman" w:hAnsi="Times New Roman" w:cs="Times New Roman"/>
          <w:lang w:eastAsia="en-GB"/>
        </w:rPr>
        <w:t xml:space="preserve"> </w:t>
      </w:r>
      <w:r>
        <w:rPr>
          <w:rFonts w:ascii="Times New Roman" w:eastAsia="Times New Roman" w:hAnsi="Times New Roman" w:cs="Times New Roman"/>
          <w:i/>
          <w:iCs/>
          <w:lang w:eastAsia="en-GB"/>
        </w:rPr>
        <w:t>J Bone Joint Surg</w:t>
      </w:r>
      <w:r>
        <w:rPr>
          <w:rFonts w:ascii="Times New Roman" w:eastAsia="Times New Roman" w:hAnsi="Times New Roman" w:cs="Times New Roman"/>
          <w:lang w:eastAsia="en-GB"/>
        </w:rPr>
        <w:t xml:space="preserve"> 86: 1601-</w:t>
      </w:r>
      <w:r w:rsidRPr="00DF2C4A">
        <w:rPr>
          <w:rFonts w:ascii="Times New Roman" w:eastAsia="Times New Roman" w:hAnsi="Times New Roman" w:cs="Times New Roman"/>
          <w:lang w:eastAsia="en-GB"/>
        </w:rPr>
        <w:t>1608, 2004.</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Hoffman JR, Ratamess NA, Klatt M, Faigenbaum AD, and Kang J. Do bilateral power deficits influence direction-specific movement p</w:t>
      </w:r>
      <w:r w:rsidRPr="00DF2C4A">
        <w:rPr>
          <w:rFonts w:ascii="Times New Roman" w:eastAsia="Times New Roman" w:hAnsi="Times New Roman" w:cs="Times New Roman"/>
          <w:lang w:eastAsia="en-GB"/>
        </w:rPr>
        <w:t xml:space="preserve">atterns? </w:t>
      </w:r>
      <w:r>
        <w:rPr>
          <w:rFonts w:ascii="Times New Roman" w:eastAsia="Times New Roman" w:hAnsi="Times New Roman" w:cs="Times New Roman"/>
          <w:i/>
          <w:iCs/>
          <w:lang w:eastAsia="en-GB"/>
        </w:rPr>
        <w:t>Res Sports Med</w:t>
      </w:r>
      <w:r>
        <w:rPr>
          <w:rFonts w:ascii="Times New Roman" w:eastAsia="Times New Roman" w:hAnsi="Times New Roman" w:cs="Times New Roman"/>
          <w:lang w:eastAsia="en-GB"/>
        </w:rPr>
        <w:t xml:space="preserve"> 15: 125-</w:t>
      </w:r>
      <w:r w:rsidRPr="00DF2C4A">
        <w:rPr>
          <w:rFonts w:ascii="Times New Roman" w:eastAsia="Times New Roman" w:hAnsi="Times New Roman" w:cs="Times New Roman"/>
          <w:lang w:eastAsia="en-GB"/>
        </w:rPr>
        <w:t>132, 2007.</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Impellizzeri</w:t>
      </w:r>
      <w:r w:rsidRPr="00DF2C4A">
        <w:rPr>
          <w:rFonts w:ascii="Times New Roman" w:hAnsi="Times New Roman" w:cs="Times New Roman"/>
          <w:lang w:eastAsia="en-GB"/>
        </w:rPr>
        <w:t xml:space="preserve"> FM, Ram</w:t>
      </w:r>
      <w:r>
        <w:rPr>
          <w:rFonts w:ascii="Times New Roman" w:hAnsi="Times New Roman" w:cs="Times New Roman"/>
          <w:lang w:eastAsia="en-GB"/>
        </w:rPr>
        <w:t>pinini E, Maffiuletti N, and Marcora SM. A vertical jump force test for assessing bilateral strength asymmetry in athletes.</w:t>
      </w:r>
      <w:r w:rsidRPr="00DF2C4A">
        <w:rPr>
          <w:rFonts w:ascii="Times New Roman" w:hAnsi="Times New Roman" w:cs="Times New Roman"/>
          <w:lang w:eastAsia="en-GB"/>
        </w:rPr>
        <w:t xml:space="preserve"> </w:t>
      </w:r>
      <w:r>
        <w:rPr>
          <w:rFonts w:ascii="Times New Roman" w:hAnsi="Times New Roman" w:cs="Times New Roman"/>
          <w:i/>
          <w:lang w:eastAsia="en-GB"/>
        </w:rPr>
        <w:t>Med Sci Sports Exerc</w:t>
      </w:r>
      <w:r>
        <w:rPr>
          <w:rFonts w:ascii="Times New Roman" w:hAnsi="Times New Roman" w:cs="Times New Roman"/>
          <w:lang w:eastAsia="en-GB"/>
        </w:rPr>
        <w:t xml:space="preserve"> 39: 2044-</w:t>
      </w:r>
      <w:r w:rsidRPr="00DF2C4A">
        <w:rPr>
          <w:rFonts w:ascii="Times New Roman" w:hAnsi="Times New Roman" w:cs="Times New Roman"/>
          <w:lang w:eastAsia="en-GB"/>
        </w:rPr>
        <w:t>2050, 2007</w:t>
      </w:r>
      <w:r>
        <w:rPr>
          <w:rFonts w:ascii="Times New Roman" w:hAnsi="Times New Roman" w:cs="Times New Roman"/>
          <w:lang w:eastAsia="en-GB"/>
        </w:rPr>
        <w:t>.</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Ispirlidis I, Fatouros IG, Jamurtas AZ, Nikolaidis</w:t>
      </w:r>
      <w:r w:rsidRPr="00DF2C4A">
        <w:rPr>
          <w:rFonts w:ascii="Times New Roman" w:hAnsi="Times New Roman" w:cs="Times New Roman"/>
          <w:lang w:eastAsia="en-GB"/>
        </w:rPr>
        <w:t xml:space="preserve"> MG, Michailidi</w:t>
      </w:r>
      <w:r>
        <w:rPr>
          <w:rFonts w:ascii="Times New Roman" w:hAnsi="Times New Roman" w:cs="Times New Roman"/>
          <w:lang w:eastAsia="en-GB"/>
        </w:rPr>
        <w:t>s I, Douroudos I, Konstantinos M, Athanasios C, Elias K, Ioannis K, Vassilios K, and Kiriakos T.</w:t>
      </w:r>
      <w:r w:rsidRPr="00DF2C4A">
        <w:rPr>
          <w:rFonts w:ascii="Times New Roman" w:hAnsi="Times New Roman" w:cs="Times New Roman"/>
          <w:lang w:eastAsia="en-GB"/>
        </w:rPr>
        <w:t xml:space="preserve"> Time-course of changes in inflammatory and performance responses following a soccer game. </w:t>
      </w:r>
      <w:r>
        <w:rPr>
          <w:rFonts w:ascii="Times New Roman" w:hAnsi="Times New Roman" w:cs="Times New Roman"/>
          <w:i/>
          <w:iCs/>
          <w:lang w:eastAsia="en-GB"/>
        </w:rPr>
        <w:t>Clin J Sport Med</w:t>
      </w:r>
      <w:r>
        <w:rPr>
          <w:rFonts w:ascii="Times New Roman" w:hAnsi="Times New Roman" w:cs="Times New Roman"/>
          <w:lang w:eastAsia="en-GB"/>
        </w:rPr>
        <w:t xml:space="preserve"> 18: 423-</w:t>
      </w:r>
      <w:r w:rsidRPr="00DF2C4A">
        <w:rPr>
          <w:rFonts w:ascii="Times New Roman" w:hAnsi="Times New Roman" w:cs="Times New Roman"/>
          <w:lang w:eastAsia="en-GB"/>
        </w:rPr>
        <w:t>431, 2008.</w:t>
      </w:r>
    </w:p>
    <w:p w:rsidR="00C81D94" w:rsidRPr="00356B8F" w:rsidRDefault="00C81D94" w:rsidP="00C81D94">
      <w:pPr>
        <w:pStyle w:val="ListParagraph"/>
        <w:numPr>
          <w:ilvl w:val="0"/>
          <w:numId w:val="1"/>
        </w:numPr>
        <w:spacing w:after="200" w:line="360" w:lineRule="auto"/>
        <w:jc w:val="both"/>
        <w:rPr>
          <w:rFonts w:asciiTheme="majorBidi" w:hAnsiTheme="majorBidi" w:cstheme="majorBidi"/>
          <w:szCs w:val="24"/>
        </w:rPr>
      </w:pPr>
      <w:r w:rsidRPr="00356B8F">
        <w:rPr>
          <w:rFonts w:asciiTheme="majorBidi" w:hAnsiTheme="majorBidi" w:cstheme="majorBidi"/>
          <w:szCs w:val="24"/>
        </w:rPr>
        <w:lastRenderedPageBreak/>
        <w:t xml:space="preserve">Kyritsis P, Bahr R, Landreau P, Miladi R, and Witvrouw E. Likelihood of ACL graft rupture: Not meeting six clinical discharge criteria before return to sport is associated with a four times greater risk of rupture. </w:t>
      </w:r>
      <w:r w:rsidRPr="00356B8F">
        <w:rPr>
          <w:rFonts w:asciiTheme="majorBidi" w:hAnsiTheme="majorBidi" w:cstheme="majorBidi"/>
          <w:i/>
          <w:iCs/>
          <w:szCs w:val="24"/>
        </w:rPr>
        <w:t>Brit J Sports Med</w:t>
      </w:r>
      <w:r w:rsidRPr="00356B8F">
        <w:rPr>
          <w:rFonts w:asciiTheme="majorBidi" w:hAnsiTheme="majorBidi" w:cstheme="majorBidi"/>
          <w:szCs w:val="24"/>
        </w:rPr>
        <w:t xml:space="preserve"> 50: 946–951, 2016.</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Magalhães J, Rebelo A, Oliveira E, Silva JR, Marques F, and Ascensão</w:t>
      </w:r>
      <w:r w:rsidRPr="00DF2C4A">
        <w:rPr>
          <w:rFonts w:ascii="Times New Roman" w:hAnsi="Times New Roman" w:cs="Times New Roman"/>
          <w:lang w:eastAsia="en-GB"/>
        </w:rPr>
        <w:t xml:space="preserve"> A. Impact of Loughborough Intermittent Shuttle Test versus soccer match on physiological, biochemical and neuromuscular parameters. </w:t>
      </w:r>
      <w:r>
        <w:rPr>
          <w:rFonts w:ascii="Times New Roman" w:hAnsi="Times New Roman" w:cs="Times New Roman"/>
          <w:i/>
          <w:iCs/>
          <w:lang w:eastAsia="en-GB"/>
        </w:rPr>
        <w:t>Eur J Appl Physiol</w:t>
      </w:r>
      <w:r>
        <w:rPr>
          <w:rFonts w:ascii="Times New Roman" w:hAnsi="Times New Roman" w:cs="Times New Roman"/>
          <w:lang w:eastAsia="en-GB"/>
        </w:rPr>
        <w:t xml:space="preserve"> 108: 39-</w:t>
      </w:r>
      <w:r w:rsidRPr="00DF2C4A">
        <w:rPr>
          <w:rFonts w:ascii="Times New Roman" w:hAnsi="Times New Roman" w:cs="Times New Roman"/>
          <w:lang w:eastAsia="en-GB"/>
        </w:rPr>
        <w:t>48, 2010.</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Malone JJ, Murtagh CF, Morgans R, Burgess DJ, Morton JP, and Drust B. Countermovement jump performance is not affected during an in-season training microcycle in elite youth soccer p</w:t>
      </w:r>
      <w:r w:rsidRPr="00DF2C4A">
        <w:rPr>
          <w:rFonts w:ascii="Times New Roman" w:hAnsi="Times New Roman" w:cs="Times New Roman"/>
          <w:lang w:eastAsia="en-GB"/>
        </w:rPr>
        <w:t xml:space="preserve">layers: </w:t>
      </w:r>
      <w:r>
        <w:rPr>
          <w:rFonts w:ascii="Times New Roman" w:hAnsi="Times New Roman" w:cs="Times New Roman"/>
          <w:i/>
          <w:iCs/>
          <w:lang w:eastAsia="en-GB"/>
        </w:rPr>
        <w:t>J Strength Cond Res</w:t>
      </w:r>
      <w:r w:rsidRPr="00DF2C4A">
        <w:rPr>
          <w:rFonts w:ascii="Times New Roman" w:hAnsi="Times New Roman" w:cs="Times New Roman"/>
          <w:lang w:eastAsia="en-GB"/>
        </w:rPr>
        <w:t xml:space="preserve"> 29: 75</w:t>
      </w:r>
      <w:r>
        <w:rPr>
          <w:rFonts w:ascii="Times New Roman" w:hAnsi="Times New Roman" w:cs="Times New Roman"/>
          <w:lang w:eastAsia="en-GB"/>
        </w:rPr>
        <w:t>2-</w:t>
      </w:r>
      <w:r w:rsidRPr="00DF2C4A">
        <w:rPr>
          <w:rFonts w:ascii="Times New Roman" w:hAnsi="Times New Roman" w:cs="Times New Roman"/>
          <w:lang w:eastAsia="en-GB"/>
        </w:rPr>
        <w:t>757, 2015.</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Menzel H-J, Chagas MH, Szmuchrowski LA, Araujo S, de Andrade A, and de Jesus-Moraleida FR. Analysis of lower limb asymmetries by isokinetic and vertical jump tests in soccer players.</w:t>
      </w:r>
      <w:r w:rsidRPr="00DF2C4A">
        <w:rPr>
          <w:rFonts w:ascii="Times New Roman" w:hAnsi="Times New Roman" w:cs="Times New Roman"/>
          <w:lang w:eastAsia="en-GB"/>
        </w:rPr>
        <w:t xml:space="preserve"> </w:t>
      </w:r>
      <w:r>
        <w:rPr>
          <w:rFonts w:ascii="Times New Roman" w:hAnsi="Times New Roman" w:cs="Times New Roman"/>
          <w:i/>
          <w:iCs/>
          <w:lang w:eastAsia="en-GB"/>
        </w:rPr>
        <w:t>J Strength Cond Res</w:t>
      </w:r>
      <w:r w:rsidRPr="00DF2C4A">
        <w:rPr>
          <w:rFonts w:ascii="Times New Roman" w:hAnsi="Times New Roman" w:cs="Times New Roman"/>
          <w:lang w:eastAsia="en-GB"/>
        </w:rPr>
        <w:t xml:space="preserve"> 27: </w:t>
      </w:r>
      <w:r>
        <w:rPr>
          <w:rFonts w:ascii="Times New Roman" w:hAnsi="Times New Roman" w:cs="Times New Roman"/>
          <w:lang w:eastAsia="en-GB"/>
        </w:rPr>
        <w:t>1370-</w:t>
      </w:r>
      <w:r w:rsidRPr="00DF2C4A">
        <w:rPr>
          <w:rFonts w:ascii="Times New Roman" w:hAnsi="Times New Roman" w:cs="Times New Roman"/>
          <w:lang w:eastAsia="en-GB"/>
        </w:rPr>
        <w:t>1377, 2013.</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Mohr M, Krustrup P, and Bangsbo</w:t>
      </w:r>
      <w:r w:rsidRPr="00DF2C4A">
        <w:rPr>
          <w:rFonts w:ascii="Times New Roman" w:hAnsi="Times New Roman" w:cs="Times New Roman"/>
          <w:lang w:eastAsia="en-GB"/>
        </w:rPr>
        <w:t xml:space="preserve"> J. Fatigue in soccer: A brief review. </w:t>
      </w:r>
      <w:r>
        <w:rPr>
          <w:rFonts w:ascii="Times New Roman" w:hAnsi="Times New Roman" w:cs="Times New Roman"/>
          <w:i/>
          <w:iCs/>
          <w:lang w:eastAsia="en-GB"/>
        </w:rPr>
        <w:t>J Sports Sci</w:t>
      </w:r>
      <w:r>
        <w:rPr>
          <w:rFonts w:ascii="Times New Roman" w:hAnsi="Times New Roman" w:cs="Times New Roman"/>
          <w:lang w:eastAsia="en-GB"/>
        </w:rPr>
        <w:t xml:space="preserve"> 23: 593-</w:t>
      </w:r>
      <w:r w:rsidRPr="00DF2C4A">
        <w:rPr>
          <w:rFonts w:ascii="Times New Roman" w:hAnsi="Times New Roman" w:cs="Times New Roman"/>
          <w:lang w:eastAsia="en-GB"/>
        </w:rPr>
        <w:t>599, 2005.</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Mohr M, Krustrup P, and Bangsbo</w:t>
      </w:r>
      <w:r w:rsidRPr="00DF2C4A">
        <w:rPr>
          <w:rFonts w:ascii="Times New Roman" w:hAnsi="Times New Roman" w:cs="Times New Roman"/>
          <w:lang w:eastAsia="en-GB"/>
        </w:rPr>
        <w:t xml:space="preserve"> J. Match performance of high-standard soccer players with special reference to development of fatigue. </w:t>
      </w:r>
      <w:r>
        <w:rPr>
          <w:rFonts w:ascii="Times New Roman" w:hAnsi="Times New Roman" w:cs="Times New Roman"/>
          <w:i/>
          <w:iCs/>
          <w:lang w:eastAsia="en-GB"/>
        </w:rPr>
        <w:t>J Sports Sci</w:t>
      </w:r>
      <w:r>
        <w:rPr>
          <w:rFonts w:ascii="Times New Roman" w:hAnsi="Times New Roman" w:cs="Times New Roman"/>
          <w:lang w:eastAsia="en-GB"/>
        </w:rPr>
        <w:t xml:space="preserve"> 21: 519-</w:t>
      </w:r>
      <w:r w:rsidRPr="00DF2C4A">
        <w:rPr>
          <w:rFonts w:ascii="Times New Roman" w:hAnsi="Times New Roman" w:cs="Times New Roman"/>
          <w:lang w:eastAsia="en-GB"/>
        </w:rPr>
        <w:t>528, 2003.</w:t>
      </w:r>
    </w:p>
    <w:p w:rsidR="00C81D94" w:rsidRPr="00DF2C4A" w:rsidRDefault="00C81D94" w:rsidP="00C81D94">
      <w:pPr>
        <w:pStyle w:val="ListParagraph"/>
        <w:numPr>
          <w:ilvl w:val="0"/>
          <w:numId w:val="1"/>
        </w:num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Myer GD, Paterno MV, Ford KR, Quatman CE, and Hewett TE. Rehabilitation after anterior cruciate ligament reconstruction: Criteria-based progression through the return-to-sport p</w:t>
      </w:r>
      <w:r w:rsidRPr="00DF2C4A">
        <w:rPr>
          <w:rFonts w:ascii="Times New Roman" w:eastAsia="Times New Roman" w:hAnsi="Times New Roman" w:cs="Times New Roman"/>
          <w:lang w:eastAsia="en-GB"/>
        </w:rPr>
        <w:t xml:space="preserve">hase. </w:t>
      </w:r>
      <w:r>
        <w:rPr>
          <w:rFonts w:ascii="Times New Roman" w:eastAsia="Times New Roman" w:hAnsi="Times New Roman" w:cs="Times New Roman"/>
          <w:i/>
          <w:iCs/>
          <w:lang w:eastAsia="en-GB"/>
        </w:rPr>
        <w:t>J Orthop Sports Phys Ther</w:t>
      </w:r>
      <w:r>
        <w:rPr>
          <w:rFonts w:ascii="Times New Roman" w:eastAsia="Times New Roman" w:hAnsi="Times New Roman" w:cs="Times New Roman"/>
          <w:lang w:eastAsia="en-GB"/>
        </w:rPr>
        <w:t xml:space="preserve"> 36: 385-</w:t>
      </w:r>
      <w:r w:rsidRPr="00DF2C4A">
        <w:rPr>
          <w:rFonts w:ascii="Times New Roman" w:eastAsia="Times New Roman" w:hAnsi="Times New Roman" w:cs="Times New Roman"/>
          <w:lang w:eastAsia="en-GB"/>
        </w:rPr>
        <w:t>402, 2006.</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Oliver J, Armstrong N, and Williams</w:t>
      </w:r>
      <w:r w:rsidRPr="00DF2C4A">
        <w:rPr>
          <w:rFonts w:ascii="Times New Roman" w:hAnsi="Times New Roman" w:cs="Times New Roman"/>
          <w:lang w:eastAsia="en-GB"/>
        </w:rPr>
        <w:t xml:space="preserve"> C. Changes in jump performance and muscle activity following soccer-specific exercise. </w:t>
      </w:r>
      <w:r>
        <w:rPr>
          <w:rFonts w:ascii="Times New Roman" w:hAnsi="Times New Roman" w:cs="Times New Roman"/>
          <w:i/>
          <w:iCs/>
          <w:lang w:eastAsia="en-GB"/>
        </w:rPr>
        <w:t>J Sports Sci</w:t>
      </w:r>
      <w:r>
        <w:rPr>
          <w:rFonts w:ascii="Times New Roman" w:hAnsi="Times New Roman" w:cs="Times New Roman"/>
          <w:lang w:eastAsia="en-GB"/>
        </w:rPr>
        <w:t xml:space="preserve"> 26: 141-</w:t>
      </w:r>
      <w:r w:rsidRPr="00DF2C4A">
        <w:rPr>
          <w:rFonts w:ascii="Times New Roman" w:hAnsi="Times New Roman" w:cs="Times New Roman"/>
          <w:lang w:eastAsia="en-GB"/>
        </w:rPr>
        <w:t>148, 2008.</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Owen NJ, Watkins</w:t>
      </w:r>
      <w:r w:rsidRPr="00DF2C4A">
        <w:rPr>
          <w:rFonts w:ascii="Times New Roman" w:hAnsi="Times New Roman" w:cs="Times New Roman"/>
          <w:lang w:eastAsia="en-GB"/>
        </w:rPr>
        <w:t xml:space="preserve"> J</w:t>
      </w:r>
      <w:r>
        <w:rPr>
          <w:rFonts w:ascii="Times New Roman" w:hAnsi="Times New Roman" w:cs="Times New Roman"/>
          <w:lang w:eastAsia="en-GB"/>
        </w:rPr>
        <w:t>, Kilduff LP, Bevan HR, and Bennett</w:t>
      </w:r>
      <w:r w:rsidRPr="00DF2C4A">
        <w:rPr>
          <w:rFonts w:ascii="Times New Roman" w:hAnsi="Times New Roman" w:cs="Times New Roman"/>
          <w:lang w:eastAsia="en-GB"/>
        </w:rPr>
        <w:t xml:space="preserve"> MA. Development of a criterion method to determine peak mechanical power output in a countermovement jump. </w:t>
      </w:r>
      <w:r>
        <w:rPr>
          <w:rFonts w:ascii="Times New Roman" w:hAnsi="Times New Roman" w:cs="Times New Roman"/>
          <w:i/>
          <w:iCs/>
          <w:lang w:eastAsia="en-GB"/>
        </w:rPr>
        <w:t>J Strength Cond Res</w:t>
      </w:r>
      <w:r w:rsidRPr="00DF2C4A">
        <w:rPr>
          <w:rFonts w:ascii="Times New Roman" w:hAnsi="Times New Roman" w:cs="Times New Roman"/>
          <w:lang w:eastAsia="en-GB"/>
        </w:rPr>
        <w:t xml:space="preserve"> </w:t>
      </w:r>
      <w:r>
        <w:rPr>
          <w:rFonts w:ascii="Times New Roman" w:hAnsi="Times New Roman" w:cs="Times New Roman"/>
          <w:lang w:eastAsia="en-GB"/>
        </w:rPr>
        <w:t>28: 1552-</w:t>
      </w:r>
      <w:r w:rsidRPr="00DF2C4A">
        <w:rPr>
          <w:rFonts w:ascii="Times New Roman" w:hAnsi="Times New Roman" w:cs="Times New Roman"/>
          <w:lang w:eastAsia="en-GB"/>
        </w:rPr>
        <w:t>1558, 2014.</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Rampinini E, Coutts A, Castagna</w:t>
      </w:r>
      <w:r w:rsidRPr="00DF2C4A">
        <w:rPr>
          <w:rFonts w:ascii="Times New Roman" w:hAnsi="Times New Roman" w:cs="Times New Roman"/>
          <w:lang w:eastAsia="en-GB"/>
        </w:rPr>
        <w:t xml:space="preserve"> C, Sas</w:t>
      </w:r>
      <w:r>
        <w:rPr>
          <w:rFonts w:ascii="Times New Roman" w:hAnsi="Times New Roman" w:cs="Times New Roman"/>
          <w:lang w:eastAsia="en-GB"/>
        </w:rPr>
        <w:t>si R, and Impellizzeri F. Variation in top level soccer match p</w:t>
      </w:r>
      <w:r w:rsidRPr="00DF2C4A">
        <w:rPr>
          <w:rFonts w:ascii="Times New Roman" w:hAnsi="Times New Roman" w:cs="Times New Roman"/>
          <w:lang w:eastAsia="en-GB"/>
        </w:rPr>
        <w:t xml:space="preserve">erformance. </w:t>
      </w:r>
      <w:r>
        <w:rPr>
          <w:rFonts w:ascii="Times New Roman" w:hAnsi="Times New Roman" w:cs="Times New Roman"/>
          <w:i/>
          <w:iCs/>
          <w:lang w:eastAsia="en-GB"/>
        </w:rPr>
        <w:t>Int J Sports Med</w:t>
      </w:r>
      <w:r>
        <w:rPr>
          <w:rFonts w:ascii="Times New Roman" w:hAnsi="Times New Roman" w:cs="Times New Roman"/>
          <w:lang w:eastAsia="en-GB"/>
        </w:rPr>
        <w:t xml:space="preserve"> 28: 1018-</w:t>
      </w:r>
      <w:r w:rsidRPr="00DF2C4A">
        <w:rPr>
          <w:rFonts w:ascii="Times New Roman" w:hAnsi="Times New Roman" w:cs="Times New Roman"/>
          <w:lang w:eastAsia="en-GB"/>
        </w:rPr>
        <w:t>1024, 2007.</w:t>
      </w:r>
    </w:p>
    <w:p w:rsidR="00C81D94" w:rsidRPr="00DF2C4A" w:rsidRDefault="00C81D94" w:rsidP="00C81D9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Read P, Oliver J, De Ste Croix M, Myer G, and Lloyd R. Consistency of field-based measures of neuromuscular control using force-plate diagnostics in elite male youth soccer p</w:t>
      </w:r>
      <w:r w:rsidRPr="00DF2C4A">
        <w:rPr>
          <w:rFonts w:ascii="Times New Roman" w:hAnsi="Times New Roman" w:cs="Times New Roman"/>
        </w:rPr>
        <w:t xml:space="preserve">layers. </w:t>
      </w:r>
      <w:r>
        <w:rPr>
          <w:rFonts w:ascii="Times New Roman" w:hAnsi="Times New Roman" w:cs="Times New Roman"/>
          <w:i/>
          <w:iCs/>
          <w:lang w:eastAsia="en-GB"/>
        </w:rPr>
        <w:t>J Strength Cond Res</w:t>
      </w:r>
      <w:r w:rsidRPr="00DF2C4A">
        <w:rPr>
          <w:rFonts w:ascii="Times New Roman" w:hAnsi="Times New Roman" w:cs="Times New Roman"/>
          <w:lang w:eastAsia="en-GB"/>
        </w:rPr>
        <w:t xml:space="preserve"> </w:t>
      </w:r>
      <w:r w:rsidRPr="00DF2C4A">
        <w:rPr>
          <w:rFonts w:ascii="Times New Roman" w:hAnsi="Times New Roman" w:cs="Times New Roman"/>
        </w:rPr>
        <w:t>30: 3304-3311, 2016</w:t>
      </w:r>
      <w:r>
        <w:rPr>
          <w:rFonts w:ascii="Times New Roman" w:hAnsi="Times New Roman" w:cs="Times New Roman"/>
        </w:rPr>
        <w:t xml:space="preserve">. </w:t>
      </w:r>
    </w:p>
    <w:p w:rsidR="00C81D94" w:rsidRPr="00DF2C4A" w:rsidRDefault="00C81D94" w:rsidP="00C81D94">
      <w:pPr>
        <w:pStyle w:val="Default"/>
        <w:numPr>
          <w:ilvl w:val="0"/>
          <w:numId w:val="1"/>
        </w:numPr>
        <w:spacing w:line="360" w:lineRule="auto"/>
        <w:rPr>
          <w:color w:val="auto"/>
          <w:sz w:val="22"/>
          <w:szCs w:val="22"/>
        </w:rPr>
      </w:pPr>
      <w:r w:rsidRPr="00DF2C4A">
        <w:rPr>
          <w:color w:val="auto"/>
          <w:sz w:val="22"/>
          <w:szCs w:val="22"/>
        </w:rPr>
        <w:t>R</w:t>
      </w:r>
      <w:r>
        <w:rPr>
          <w:color w:val="auto"/>
          <w:sz w:val="22"/>
          <w:szCs w:val="22"/>
        </w:rPr>
        <w:t>ead P, Oliver J, De Ste Croix M, Myer G, and Lloyd R. The effects of maturation on measures of asymmetry d</w:t>
      </w:r>
      <w:r w:rsidRPr="00DF2C4A">
        <w:rPr>
          <w:color w:val="auto"/>
          <w:sz w:val="22"/>
          <w:szCs w:val="22"/>
        </w:rPr>
        <w:t>ur</w:t>
      </w:r>
      <w:r>
        <w:rPr>
          <w:color w:val="auto"/>
          <w:sz w:val="22"/>
          <w:szCs w:val="22"/>
        </w:rPr>
        <w:t>ing neuromuscular control tests in elite male youth soccer p</w:t>
      </w:r>
      <w:r w:rsidRPr="00DF2C4A">
        <w:rPr>
          <w:color w:val="auto"/>
          <w:sz w:val="22"/>
          <w:szCs w:val="22"/>
        </w:rPr>
        <w:t xml:space="preserve">layers. </w:t>
      </w:r>
      <w:r>
        <w:rPr>
          <w:i/>
          <w:color w:val="auto"/>
          <w:sz w:val="22"/>
          <w:szCs w:val="22"/>
        </w:rPr>
        <w:t>Ped Exerc Sci</w:t>
      </w:r>
      <w:r w:rsidRPr="00DF2C4A">
        <w:rPr>
          <w:color w:val="auto"/>
          <w:sz w:val="22"/>
          <w:szCs w:val="22"/>
        </w:rPr>
        <w:t xml:space="preserve"> 30:</w:t>
      </w:r>
      <w:r>
        <w:rPr>
          <w:color w:val="auto"/>
          <w:sz w:val="22"/>
          <w:szCs w:val="22"/>
        </w:rPr>
        <w:t xml:space="preserve"> 168-175,</w:t>
      </w:r>
      <w:r w:rsidRPr="00DF2C4A">
        <w:rPr>
          <w:color w:val="auto"/>
          <w:sz w:val="22"/>
          <w:szCs w:val="22"/>
        </w:rPr>
        <w:t xml:space="preserve"> 2017</w:t>
      </w:r>
      <w:r>
        <w:rPr>
          <w:color w:val="auto"/>
          <w:sz w:val="22"/>
          <w:szCs w:val="22"/>
        </w:rPr>
        <w:t xml:space="preserve">. </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Rhea</w:t>
      </w:r>
      <w:r w:rsidRPr="00DF2C4A">
        <w:rPr>
          <w:rFonts w:ascii="Times New Roman" w:hAnsi="Times New Roman" w:cs="Times New Roman"/>
          <w:lang w:eastAsia="en-GB"/>
        </w:rPr>
        <w:t xml:space="preserve"> MR. Determining the magnitude of treatment effects in strength training research through the use of the effect size. </w:t>
      </w:r>
      <w:r>
        <w:rPr>
          <w:rFonts w:ascii="Times New Roman" w:hAnsi="Times New Roman" w:cs="Times New Roman"/>
          <w:i/>
          <w:iCs/>
          <w:lang w:eastAsia="en-GB"/>
        </w:rPr>
        <w:t>J Strength Cond Res</w:t>
      </w:r>
      <w:r w:rsidRPr="00DF2C4A">
        <w:rPr>
          <w:rFonts w:ascii="Times New Roman" w:hAnsi="Times New Roman" w:cs="Times New Roman"/>
          <w:lang w:eastAsia="en-GB"/>
        </w:rPr>
        <w:t xml:space="preserve"> </w:t>
      </w:r>
      <w:r>
        <w:rPr>
          <w:rFonts w:ascii="Times New Roman" w:hAnsi="Times New Roman" w:cs="Times New Roman"/>
          <w:lang w:eastAsia="en-GB"/>
        </w:rPr>
        <w:t>18: 918-</w:t>
      </w:r>
      <w:r w:rsidRPr="00DF2C4A">
        <w:rPr>
          <w:rFonts w:ascii="Times New Roman" w:hAnsi="Times New Roman" w:cs="Times New Roman"/>
          <w:lang w:eastAsia="en-GB"/>
        </w:rPr>
        <w:t>920, 2004.</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lastRenderedPageBreak/>
        <w:t>Scott BR, Lockie RG, Knight TJ, Clark AC, and Janse de Jonge X. A comparison of methods to quantify the in-season training load of p</w:t>
      </w:r>
      <w:r w:rsidRPr="00DF2C4A">
        <w:rPr>
          <w:rFonts w:ascii="Times New Roman" w:hAnsi="Times New Roman" w:cs="Times New Roman"/>
          <w:lang w:eastAsia="en-GB"/>
        </w:rPr>
        <w:t>rof</w:t>
      </w:r>
      <w:r>
        <w:rPr>
          <w:rFonts w:ascii="Times New Roman" w:hAnsi="Times New Roman" w:cs="Times New Roman"/>
          <w:lang w:eastAsia="en-GB"/>
        </w:rPr>
        <w:t>essional soccer p</w:t>
      </w:r>
      <w:r w:rsidRPr="00DF2C4A">
        <w:rPr>
          <w:rFonts w:ascii="Times New Roman" w:hAnsi="Times New Roman" w:cs="Times New Roman"/>
          <w:lang w:eastAsia="en-GB"/>
        </w:rPr>
        <w:t xml:space="preserve">layers. </w:t>
      </w:r>
      <w:r>
        <w:rPr>
          <w:rFonts w:ascii="Times New Roman" w:hAnsi="Times New Roman" w:cs="Times New Roman"/>
          <w:i/>
          <w:iCs/>
          <w:lang w:eastAsia="en-GB"/>
        </w:rPr>
        <w:t>Int J Sports Physiol Perform</w:t>
      </w:r>
      <w:r>
        <w:rPr>
          <w:rFonts w:ascii="Times New Roman" w:hAnsi="Times New Roman" w:cs="Times New Roman"/>
          <w:lang w:eastAsia="en-GB"/>
        </w:rPr>
        <w:t xml:space="preserve"> 8: 195-</w:t>
      </w:r>
      <w:r w:rsidRPr="00DF2C4A">
        <w:rPr>
          <w:rFonts w:ascii="Times New Roman" w:hAnsi="Times New Roman" w:cs="Times New Roman"/>
          <w:lang w:eastAsia="en-GB"/>
        </w:rPr>
        <w:t>202, 2013.</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Silva JR, Rebelo A, Marques F, Pereira L, Seabra A, Ascensão A, and Magalhaes J. Biochemical impact of soccer: A</w:t>
      </w:r>
      <w:r w:rsidRPr="00DF2C4A">
        <w:rPr>
          <w:rFonts w:ascii="Times New Roman" w:hAnsi="Times New Roman" w:cs="Times New Roman"/>
          <w:lang w:eastAsia="en-GB"/>
        </w:rPr>
        <w:t xml:space="preserve">n analysis of hormonal, muscle damage, and redox markers during the season. </w:t>
      </w:r>
      <w:r>
        <w:rPr>
          <w:rFonts w:ascii="Times New Roman" w:hAnsi="Times New Roman" w:cs="Times New Roman"/>
          <w:i/>
          <w:iCs/>
          <w:lang w:eastAsia="en-GB"/>
        </w:rPr>
        <w:t>Appl Physiol Nut Metabol</w:t>
      </w:r>
      <w:r>
        <w:rPr>
          <w:rFonts w:ascii="Times New Roman" w:hAnsi="Times New Roman" w:cs="Times New Roman"/>
          <w:lang w:eastAsia="en-GB"/>
        </w:rPr>
        <w:t xml:space="preserve"> 39: 432-</w:t>
      </w:r>
      <w:r w:rsidRPr="00DF2C4A">
        <w:rPr>
          <w:rFonts w:ascii="Times New Roman" w:hAnsi="Times New Roman" w:cs="Times New Roman"/>
          <w:lang w:eastAsia="en-GB"/>
        </w:rPr>
        <w:t>438, 2014.</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Small K, McNaughton L, Greig M, and Lovell</w:t>
      </w:r>
      <w:r w:rsidRPr="00DF2C4A">
        <w:rPr>
          <w:rFonts w:ascii="Times New Roman" w:hAnsi="Times New Roman" w:cs="Times New Roman"/>
          <w:lang w:eastAsia="en-GB"/>
        </w:rPr>
        <w:t xml:space="preserve"> R. The effects of multidirectional soccer-specific fatigue on markers of hamstring injury risk. </w:t>
      </w:r>
      <w:r>
        <w:rPr>
          <w:rFonts w:ascii="Times New Roman" w:hAnsi="Times New Roman" w:cs="Times New Roman"/>
          <w:i/>
          <w:iCs/>
          <w:lang w:eastAsia="en-GB"/>
        </w:rPr>
        <w:t xml:space="preserve">J Sci Med </w:t>
      </w:r>
      <w:r w:rsidRPr="00DF2C4A">
        <w:rPr>
          <w:rFonts w:ascii="Times New Roman" w:hAnsi="Times New Roman" w:cs="Times New Roman"/>
          <w:i/>
          <w:iCs/>
          <w:lang w:eastAsia="en-GB"/>
        </w:rPr>
        <w:t>Sport</w:t>
      </w:r>
      <w:r>
        <w:rPr>
          <w:rFonts w:ascii="Times New Roman" w:hAnsi="Times New Roman" w:cs="Times New Roman"/>
          <w:lang w:eastAsia="en-GB"/>
        </w:rPr>
        <w:t xml:space="preserve"> 13: 120-</w:t>
      </w:r>
      <w:r w:rsidRPr="00DF2C4A">
        <w:rPr>
          <w:rFonts w:ascii="Times New Roman" w:hAnsi="Times New Roman" w:cs="Times New Roman"/>
          <w:lang w:eastAsia="en-GB"/>
        </w:rPr>
        <w:t>125, 2010.</w:t>
      </w:r>
    </w:p>
    <w:p w:rsidR="00C81D94" w:rsidRPr="00DF2C4A" w:rsidRDefault="00C81D94" w:rsidP="00C81D94">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Thomas K, Dent J, Howatson G, and Goodall S. Etiology and recovery of neuromuscular fatigue following simulated soccer match-play.</w:t>
      </w:r>
      <w:r w:rsidRPr="00DF2C4A">
        <w:rPr>
          <w:rFonts w:ascii="Times New Roman" w:hAnsi="Times New Roman" w:cs="Times New Roman"/>
          <w:lang w:eastAsia="en-GB"/>
        </w:rPr>
        <w:t xml:space="preserve"> </w:t>
      </w:r>
      <w:r>
        <w:rPr>
          <w:rFonts w:ascii="Times New Roman" w:hAnsi="Times New Roman" w:cs="Times New Roman"/>
          <w:i/>
          <w:iCs/>
          <w:lang w:eastAsia="en-GB"/>
        </w:rPr>
        <w:t>Med Sci Sports Exerc</w:t>
      </w:r>
      <w:r>
        <w:rPr>
          <w:rFonts w:ascii="Times New Roman" w:hAnsi="Times New Roman" w:cs="Times New Roman"/>
          <w:lang w:eastAsia="en-GB"/>
        </w:rPr>
        <w:t xml:space="preserve"> 45: 955-964,</w:t>
      </w:r>
      <w:r w:rsidRPr="00DF2C4A">
        <w:rPr>
          <w:rFonts w:ascii="Times New Roman" w:hAnsi="Times New Roman" w:cs="Times New Roman"/>
          <w:lang w:eastAsia="en-GB"/>
        </w:rPr>
        <w:t xml:space="preserve"> 2017.</w:t>
      </w:r>
    </w:p>
    <w:p w:rsidR="00C81D94" w:rsidRPr="001A607A" w:rsidRDefault="00C81D94" w:rsidP="001A607A">
      <w:pPr>
        <w:pStyle w:val="ListParagraph"/>
        <w:numPr>
          <w:ilvl w:val="0"/>
          <w:numId w:val="1"/>
        </w:numPr>
        <w:spacing w:line="360" w:lineRule="auto"/>
        <w:jc w:val="both"/>
        <w:rPr>
          <w:rFonts w:ascii="Times New Roman" w:hAnsi="Times New Roman" w:cs="Times New Roman"/>
          <w:lang w:eastAsia="en-GB"/>
        </w:rPr>
      </w:pPr>
      <w:r>
        <w:rPr>
          <w:rFonts w:ascii="Times New Roman" w:hAnsi="Times New Roman" w:cs="Times New Roman"/>
          <w:lang w:eastAsia="en-GB"/>
        </w:rPr>
        <w:t>Weston M, Batterham</w:t>
      </w:r>
      <w:r w:rsidRPr="00DF2C4A">
        <w:rPr>
          <w:rFonts w:ascii="Times New Roman" w:hAnsi="Times New Roman" w:cs="Times New Roman"/>
          <w:lang w:eastAsia="en-GB"/>
        </w:rPr>
        <w:t xml:space="preserve"> AM, Cast</w:t>
      </w:r>
      <w:r>
        <w:rPr>
          <w:rFonts w:ascii="Times New Roman" w:hAnsi="Times New Roman" w:cs="Times New Roman"/>
          <w:lang w:eastAsia="en-GB"/>
        </w:rPr>
        <w:t>agna C, Portas MD, Barnes C, Harley J, and Lovell R.</w:t>
      </w:r>
      <w:r w:rsidRPr="00DF2C4A">
        <w:rPr>
          <w:rFonts w:ascii="Times New Roman" w:hAnsi="Times New Roman" w:cs="Times New Roman"/>
          <w:lang w:eastAsia="en-GB"/>
        </w:rPr>
        <w:t xml:space="preserve"> Reduction in physical match performance at the start of the second half in elite soccer. </w:t>
      </w:r>
      <w:r>
        <w:rPr>
          <w:rFonts w:ascii="Times New Roman" w:hAnsi="Times New Roman" w:cs="Times New Roman"/>
          <w:i/>
          <w:iCs/>
          <w:lang w:eastAsia="en-GB"/>
        </w:rPr>
        <w:t>Int J Sports Physiol Perform</w:t>
      </w:r>
      <w:r>
        <w:rPr>
          <w:rFonts w:ascii="Times New Roman" w:hAnsi="Times New Roman" w:cs="Times New Roman"/>
          <w:lang w:eastAsia="en-GB"/>
        </w:rPr>
        <w:t xml:space="preserve"> 6: 174-</w:t>
      </w:r>
      <w:r w:rsidRPr="00DF2C4A">
        <w:rPr>
          <w:rFonts w:ascii="Times New Roman" w:hAnsi="Times New Roman" w:cs="Times New Roman"/>
          <w:lang w:eastAsia="en-GB"/>
        </w:rPr>
        <w:t xml:space="preserve">182, 2011. </w:t>
      </w:r>
    </w:p>
    <w:p w:rsidR="00C81D94" w:rsidRDefault="00C81D94">
      <w:pPr>
        <w:sectPr w:rsidR="00C81D94" w:rsidSect="00C81D94">
          <w:headerReference w:type="default" r:id="rId7"/>
          <w:footerReference w:type="default" r:id="rId8"/>
          <w:pgSz w:w="11906" w:h="16838"/>
          <w:pgMar w:top="1440" w:right="1440" w:bottom="1440" w:left="1440" w:header="708" w:footer="708" w:gutter="0"/>
          <w:lnNumType w:countBy="1" w:restart="continuous"/>
          <w:cols w:space="708"/>
          <w:docGrid w:linePitch="360"/>
        </w:sectPr>
      </w:pPr>
    </w:p>
    <w:p w:rsidR="00C81D94" w:rsidRPr="00AF2F28" w:rsidRDefault="00C81D94" w:rsidP="00C81D94">
      <w:pPr>
        <w:rPr>
          <w:rFonts w:ascii="Times New Roman" w:hAnsi="Times New Roman" w:cs="Times New Roman"/>
        </w:rPr>
      </w:pPr>
      <w:r w:rsidRPr="00AF2F28">
        <w:rPr>
          <w:rFonts w:ascii="Times New Roman" w:hAnsi="Times New Roman" w:cs="Times New Roman"/>
        </w:rPr>
        <w:lastRenderedPageBreak/>
        <w:t xml:space="preserve">Table 1: </w:t>
      </w:r>
      <w:r w:rsidRPr="00AF2F28">
        <w:rPr>
          <w:rFonts w:asciiTheme="majorBidi" w:hAnsiTheme="majorBidi" w:cstheme="majorBidi"/>
        </w:rPr>
        <w:t xml:space="preserve">Within-session reliability data for unilateral countermovement jump metrics at pre, post, 24, 48 and 72 hours post-match. </w:t>
      </w:r>
    </w:p>
    <w:tbl>
      <w:tblPr>
        <w:tblStyle w:val="PlainTable2"/>
        <w:tblW w:w="0" w:type="auto"/>
        <w:tblLook w:val="04A0" w:firstRow="1" w:lastRow="0" w:firstColumn="1" w:lastColumn="0" w:noHBand="0" w:noVBand="1"/>
      </w:tblPr>
      <w:tblGrid>
        <w:gridCol w:w="2830"/>
        <w:gridCol w:w="2223"/>
        <w:gridCol w:w="2224"/>
        <w:gridCol w:w="2223"/>
        <w:gridCol w:w="2224"/>
        <w:gridCol w:w="2224"/>
      </w:tblGrid>
      <w:tr w:rsidR="00C81D94" w:rsidRPr="00805765" w:rsidTr="0067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81D94" w:rsidRPr="00805765" w:rsidRDefault="00C81D94" w:rsidP="00671876">
            <w:pPr>
              <w:spacing w:line="276" w:lineRule="auto"/>
              <w:jc w:val="center"/>
              <w:rPr>
                <w:rFonts w:ascii="Times New Roman" w:hAnsi="Times New Roman" w:cs="Times New Roman"/>
                <w:b w:val="0"/>
              </w:rPr>
            </w:pPr>
            <w:r w:rsidRPr="00805765">
              <w:rPr>
                <w:rFonts w:ascii="Times New Roman" w:hAnsi="Times New Roman" w:cs="Times New Roman"/>
              </w:rPr>
              <w:t>CMJ Metric</w:t>
            </w:r>
          </w:p>
        </w:tc>
        <w:tc>
          <w:tcPr>
            <w:tcW w:w="2223" w:type="dxa"/>
          </w:tcPr>
          <w:p w:rsidR="00C81D94" w:rsidRPr="00805765" w:rsidRDefault="00C81D94" w:rsidP="00671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5765">
              <w:rPr>
                <w:rFonts w:ascii="Times New Roman" w:hAnsi="Times New Roman" w:cs="Times New Roman"/>
              </w:rPr>
              <w:t>Pre</w:t>
            </w:r>
          </w:p>
        </w:tc>
        <w:tc>
          <w:tcPr>
            <w:tcW w:w="2224" w:type="dxa"/>
          </w:tcPr>
          <w:p w:rsidR="00C81D94" w:rsidRPr="00805765" w:rsidRDefault="00C81D94" w:rsidP="00671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5765">
              <w:rPr>
                <w:rFonts w:ascii="Times New Roman" w:hAnsi="Times New Roman" w:cs="Times New Roman"/>
              </w:rPr>
              <w:t>Post</w:t>
            </w:r>
          </w:p>
        </w:tc>
        <w:tc>
          <w:tcPr>
            <w:tcW w:w="2223" w:type="dxa"/>
          </w:tcPr>
          <w:p w:rsidR="00C81D94" w:rsidRPr="00805765" w:rsidRDefault="00C81D94" w:rsidP="00671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5765">
              <w:rPr>
                <w:rFonts w:ascii="Times New Roman" w:hAnsi="Times New Roman" w:cs="Times New Roman"/>
              </w:rPr>
              <w:t>24</w:t>
            </w:r>
            <w:r w:rsidR="00FD4811">
              <w:rPr>
                <w:rFonts w:ascii="Times New Roman" w:hAnsi="Times New Roman" w:cs="Times New Roman"/>
              </w:rPr>
              <w:t>-h</w:t>
            </w:r>
          </w:p>
        </w:tc>
        <w:tc>
          <w:tcPr>
            <w:tcW w:w="2224" w:type="dxa"/>
          </w:tcPr>
          <w:p w:rsidR="00C81D94" w:rsidRPr="00805765" w:rsidRDefault="00C81D94" w:rsidP="00671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5765">
              <w:rPr>
                <w:rFonts w:ascii="Times New Roman" w:hAnsi="Times New Roman" w:cs="Times New Roman"/>
              </w:rPr>
              <w:t>48</w:t>
            </w:r>
            <w:r w:rsidR="00FD4811">
              <w:rPr>
                <w:rFonts w:ascii="Times New Roman" w:hAnsi="Times New Roman" w:cs="Times New Roman"/>
              </w:rPr>
              <w:t>-h</w:t>
            </w:r>
          </w:p>
        </w:tc>
        <w:tc>
          <w:tcPr>
            <w:tcW w:w="2224" w:type="dxa"/>
          </w:tcPr>
          <w:p w:rsidR="00C81D94" w:rsidRPr="00805765" w:rsidRDefault="00C81D94" w:rsidP="00671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5765">
              <w:rPr>
                <w:rFonts w:ascii="Times New Roman" w:hAnsi="Times New Roman" w:cs="Times New Roman"/>
              </w:rPr>
              <w:t>72</w:t>
            </w:r>
            <w:r w:rsidR="00FD4811">
              <w:rPr>
                <w:rFonts w:ascii="Times New Roman" w:hAnsi="Times New Roman" w:cs="Times New Roman"/>
              </w:rPr>
              <w:t>-h</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Eccentric impulse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6.61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0.95 (0.82-0.99)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2.74</w:t>
            </w:r>
          </w:p>
        </w:tc>
        <w:tc>
          <w:tcPr>
            <w:tcW w:w="2224" w:type="dxa"/>
            <w:tcBorders>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9.21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0.96 (0.87-0.99)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2.43</w:t>
            </w:r>
          </w:p>
        </w:tc>
        <w:tc>
          <w:tcPr>
            <w:tcW w:w="2223" w:type="dxa"/>
            <w:tcBorders>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11.78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0.98 (0.97-0.99)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2.25</w:t>
            </w:r>
          </w:p>
        </w:tc>
        <w:tc>
          <w:tcPr>
            <w:tcW w:w="2224" w:type="dxa"/>
            <w:tcBorders>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12.12</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0.95 (0.34-0.99)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4.06</w:t>
            </w:r>
          </w:p>
        </w:tc>
        <w:tc>
          <w:tcPr>
            <w:tcW w:w="2224" w:type="dxa"/>
            <w:tcBorders>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8.50</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0.90 (0.45-0.97)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3.87</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 xml:space="preserve">Eccentric impulse (L)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8.76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0.93 (0.77-0.98)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3.51</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10.59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0.89 (0.65-0.96)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3.22</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13.12</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0.97 (0.89-0.99)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2.24</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11.94</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0.84 (0.69-0.96)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6.18</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11.39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0.97 (0.80-0.99)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2.32</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Concentric impulse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18.25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0.77 (0.42-0.92)</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13.92</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17.99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0.76 (0.42-0.92)</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10.94</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20.95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0.89 (0.69-0.97)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9.34</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21.04</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0.74 (0.38-0.91)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15.20</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21.18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0.71 (0.32-0.89)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15.21</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Concentric impulse (L)</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20.29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0.85 (0.55-0.95)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11.43</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20.73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0.77 (0.29-0.92)</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11.29</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22.48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0.75 (0.27-0.92)</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12.47</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23.97</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0.84 (0.52-0.95)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12.41</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20.73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0.77 (0.27-0.92)</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11.22</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Peak force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5.52</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0.80 (0.58-0.95)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41.05</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8.15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0.92 (0.77-0.97)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29.48</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9.67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0.95 (0.87-0.99)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26.57</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8.35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0.56 (0.11-0.83)</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78.83</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7.91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0.85 (0.60-0.95)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40.04</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Peak force (L)</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10.38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0.89 (0.86-0.99)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33.69</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10.68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0.95 (0.84-0.98)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21.43</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14.33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0.92 (0.78-0.99)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35.70</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12.28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0.90 (0.78-0.99)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46.13</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11.55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0.99 (0.96-0.99)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805765">
              <w:rPr>
                <w:rFonts w:ascii="Times New Roman" w:hAnsi="Times New Roman" w:cs="Times New Roman"/>
                <w:lang w:eastAsia="en-GB"/>
              </w:rPr>
              <w:t>12.75</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Jump height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19.51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0.89 (0.71-0.96)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0.01</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29.29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0.69 (0.27-0.89)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0.03</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19.68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0.92 (0.78-0.97)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0.01</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22.19</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0.89 (0.71-0.96)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0.01</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23.48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0.77 (0.43-0.92)</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0.02</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lastRenderedPageBreak/>
              <w:t>Jump height (L)</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22.15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0.85 (0.25-0.96)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0.02</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30.00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0.60 (0.20-0.86)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0.04</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25.80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0.86 (0.60-0.95)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0.02</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24.23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0.72 (0.31-0.90)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0.02</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30.00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0.57 (0.17-0.85)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0.04</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Landing impulse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8.96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0.68 (0.28-0.88)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1.41</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8.13</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0.63 (0.20-0.86)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1.69</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7.64</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0.57 (0.11-0.84)</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1.72</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7.05</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0.58 (0.12-0.84)</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1.42</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8.71</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0.65 (0.23-0.87)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1.72</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Landing impulse (L)</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8.96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0.81 (0.52-0.93)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1.09</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8.13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0.84 (0.59-0.95)</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1.10</w:t>
            </w:r>
          </w:p>
        </w:tc>
        <w:tc>
          <w:tcPr>
            <w:tcW w:w="2223"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16.18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0.70 (0.32-0.89)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2.79</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14.81</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0.81 (0.53-0.93)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1.76</w:t>
            </w:r>
          </w:p>
        </w:tc>
        <w:tc>
          <w:tcPr>
            <w:tcW w:w="2224" w:type="dxa"/>
            <w:tcBorders>
              <w:top w:val="nil"/>
              <w:bottom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15.00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0.81 (0.54-0.93)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1.93</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bottom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Peak landing force (R)</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7.48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0.90 (0.73-0.97)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62.36</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7.63</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0.93 (0.78-0.98)</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64.96</w:t>
            </w:r>
          </w:p>
        </w:tc>
        <w:tc>
          <w:tcPr>
            <w:tcW w:w="2223"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7.93</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0.89 (0.70-0.96)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86.78</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8.86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0.88 (0.67-0.96)</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91.96</w:t>
            </w:r>
          </w:p>
        </w:tc>
        <w:tc>
          <w:tcPr>
            <w:tcW w:w="2224" w:type="dxa"/>
            <w:tcBorders>
              <w:top w:val="nil"/>
              <w:bottom w:val="nil"/>
            </w:tcBorders>
          </w:tcPr>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7.80</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0.91 (0.75-0.97)</w:t>
            </w:r>
          </w:p>
          <w:p w:rsidR="00C81D94" w:rsidRPr="00805765" w:rsidRDefault="00C81D94" w:rsidP="006718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74.32</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830" w:type="dxa"/>
            <w:tcBorders>
              <w:top w:val="nil"/>
            </w:tcBorders>
          </w:tcPr>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Peak landing force (L)</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CV (%)</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ICC (95% CI)</w:t>
            </w:r>
          </w:p>
          <w:p w:rsidR="00C81D94" w:rsidRPr="00805765" w:rsidRDefault="00C81D94" w:rsidP="00671876">
            <w:pPr>
              <w:spacing w:line="276" w:lineRule="auto"/>
              <w:rPr>
                <w:rFonts w:ascii="Times New Roman" w:hAnsi="Times New Roman" w:cs="Times New Roman"/>
                <w:b w:val="0"/>
              </w:rPr>
            </w:pPr>
            <w:r w:rsidRPr="00805765">
              <w:rPr>
                <w:rFonts w:ascii="Times New Roman" w:hAnsi="Times New Roman" w:cs="Times New Roman"/>
                <w:b w:val="0"/>
              </w:rPr>
              <w:t>SEM</w:t>
            </w:r>
          </w:p>
        </w:tc>
        <w:tc>
          <w:tcPr>
            <w:tcW w:w="2223" w:type="dxa"/>
            <w:tcBorders>
              <w:top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7.48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0.74 (0.25-0.94)</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101.77</w:t>
            </w:r>
          </w:p>
        </w:tc>
        <w:tc>
          <w:tcPr>
            <w:tcW w:w="2224" w:type="dxa"/>
            <w:tcBorders>
              <w:top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7.63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0.71 (0.32-0.89)</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134.15</w:t>
            </w:r>
          </w:p>
        </w:tc>
        <w:tc>
          <w:tcPr>
            <w:tcW w:w="2223" w:type="dxa"/>
            <w:tcBorders>
              <w:top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8.63</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0.83 (0.26-0.98)</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134.76</w:t>
            </w:r>
          </w:p>
        </w:tc>
        <w:tc>
          <w:tcPr>
            <w:tcW w:w="2224" w:type="dxa"/>
            <w:tcBorders>
              <w:top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5.72</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0.64 (0.21-0.87)</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109.92</w:t>
            </w:r>
          </w:p>
        </w:tc>
        <w:tc>
          <w:tcPr>
            <w:tcW w:w="2224" w:type="dxa"/>
            <w:tcBorders>
              <w:top w:val="nil"/>
            </w:tcBorders>
          </w:tcPr>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5.86</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0.69 (0.27-0.90)</w:t>
            </w:r>
          </w:p>
          <w:p w:rsidR="00C81D94" w:rsidRPr="00805765" w:rsidRDefault="00C81D94" w:rsidP="00671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05765">
              <w:rPr>
                <w:rFonts w:asciiTheme="majorBidi" w:hAnsiTheme="majorBidi" w:cstheme="majorBidi"/>
              </w:rPr>
              <w:t>119.97</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6"/>
          </w:tcPr>
          <w:p w:rsidR="00C81D94" w:rsidRPr="00805765" w:rsidRDefault="00C81D94" w:rsidP="00671876">
            <w:pPr>
              <w:spacing w:line="360" w:lineRule="auto"/>
              <w:rPr>
                <w:rFonts w:asciiTheme="majorBidi" w:hAnsiTheme="majorBidi" w:cstheme="majorBidi"/>
                <w:b w:val="0"/>
              </w:rPr>
            </w:pPr>
            <w:r w:rsidRPr="00805765">
              <w:rPr>
                <w:rFonts w:asciiTheme="majorBidi" w:hAnsiTheme="majorBidi" w:cstheme="majorBidi"/>
                <w:b w:val="0"/>
              </w:rPr>
              <w:t xml:space="preserve">CMJ = countermovement jump; R = Right; </w:t>
            </w:r>
            <w:r>
              <w:rPr>
                <w:rFonts w:asciiTheme="majorBidi" w:hAnsiTheme="majorBidi" w:cstheme="majorBidi"/>
                <w:b w:val="0"/>
              </w:rPr>
              <w:t>L = Left; CV = coefficient of variation; ICC = i</w:t>
            </w:r>
            <w:r w:rsidRPr="00805765">
              <w:rPr>
                <w:rFonts w:asciiTheme="majorBidi" w:hAnsiTheme="majorBidi" w:cstheme="majorBidi"/>
                <w:b w:val="0"/>
              </w:rPr>
              <w:t>ntraclass correlation</w:t>
            </w:r>
            <w:r>
              <w:rPr>
                <w:rFonts w:asciiTheme="majorBidi" w:hAnsiTheme="majorBidi" w:cstheme="majorBidi"/>
                <w:b w:val="0"/>
              </w:rPr>
              <w:t xml:space="preserve"> coefficient; CI = confidence interval; SEM = s</w:t>
            </w:r>
            <w:r w:rsidRPr="00805765">
              <w:rPr>
                <w:rFonts w:asciiTheme="majorBidi" w:hAnsiTheme="majorBidi" w:cstheme="majorBidi"/>
                <w:b w:val="0"/>
              </w:rPr>
              <w:t xml:space="preserve">tandard error of the measurement. </w:t>
            </w:r>
          </w:p>
        </w:tc>
      </w:tr>
    </w:tbl>
    <w:p w:rsidR="00C81D94" w:rsidRDefault="00C81D94" w:rsidP="00C81D94"/>
    <w:p w:rsidR="00C81D94" w:rsidRDefault="00C81D94" w:rsidP="00C81D94"/>
    <w:p w:rsidR="00C81D94" w:rsidRDefault="00C81D94" w:rsidP="00C81D94"/>
    <w:p w:rsidR="00C81D94" w:rsidRDefault="00C81D94" w:rsidP="00C81D94"/>
    <w:p w:rsidR="00C81D94" w:rsidRDefault="00C81D94" w:rsidP="00C81D94"/>
    <w:p w:rsidR="00C81D94" w:rsidRPr="00AF2F28" w:rsidRDefault="00C81D94" w:rsidP="00C81D94">
      <w:pPr>
        <w:spacing w:line="360" w:lineRule="auto"/>
        <w:rPr>
          <w:rFonts w:ascii="Times New Roman" w:hAnsi="Times New Roman" w:cs="Times New Roman"/>
        </w:rPr>
      </w:pPr>
      <w:r w:rsidRPr="00AF2F28">
        <w:rPr>
          <w:rFonts w:ascii="Times New Roman" w:hAnsi="Times New Roman" w:cs="Times New Roman"/>
        </w:rPr>
        <w:lastRenderedPageBreak/>
        <w:t xml:space="preserve">Table 2: Mean unilateral countermovement jump data ± standard deviations for pre, post, 24, 48 and 72 hours post-match. </w:t>
      </w:r>
    </w:p>
    <w:tbl>
      <w:tblPr>
        <w:tblStyle w:val="PlainTable2"/>
        <w:tblW w:w="0" w:type="auto"/>
        <w:tblLook w:val="04A0" w:firstRow="1" w:lastRow="0" w:firstColumn="1" w:lastColumn="0" w:noHBand="0" w:noVBand="1"/>
      </w:tblPr>
      <w:tblGrid>
        <w:gridCol w:w="2689"/>
        <w:gridCol w:w="2251"/>
        <w:gridCol w:w="2252"/>
        <w:gridCol w:w="2252"/>
        <w:gridCol w:w="2252"/>
        <w:gridCol w:w="2252"/>
      </w:tblGrid>
      <w:tr w:rsidR="00C81D94" w:rsidRPr="00805765" w:rsidTr="0067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C81D94" w:rsidRPr="00805765" w:rsidRDefault="00C81D94" w:rsidP="00671876">
            <w:pPr>
              <w:spacing w:line="360" w:lineRule="auto"/>
              <w:jc w:val="center"/>
              <w:rPr>
                <w:rFonts w:ascii="Times New Roman" w:hAnsi="Times New Roman" w:cs="Times New Roman"/>
              </w:rPr>
            </w:pPr>
            <w:r w:rsidRPr="00805765">
              <w:rPr>
                <w:rFonts w:ascii="Times New Roman" w:hAnsi="Times New Roman" w:cs="Times New Roman"/>
              </w:rPr>
              <w:t>CMJ Metric</w:t>
            </w:r>
          </w:p>
        </w:tc>
        <w:tc>
          <w:tcPr>
            <w:tcW w:w="2251" w:type="dxa"/>
          </w:tcPr>
          <w:p w:rsidR="00C81D94" w:rsidRPr="00805765"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Pre</w:t>
            </w:r>
          </w:p>
        </w:tc>
        <w:tc>
          <w:tcPr>
            <w:tcW w:w="2252" w:type="dxa"/>
          </w:tcPr>
          <w:p w:rsidR="00C81D94" w:rsidRPr="00805765"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Post</w:t>
            </w:r>
          </w:p>
        </w:tc>
        <w:tc>
          <w:tcPr>
            <w:tcW w:w="2252" w:type="dxa"/>
          </w:tcPr>
          <w:p w:rsidR="00C81D94" w:rsidRPr="00805765"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24</w:t>
            </w:r>
            <w:r w:rsidR="00FD4811">
              <w:rPr>
                <w:rFonts w:ascii="Times New Roman" w:hAnsi="Times New Roman" w:cs="Times New Roman"/>
              </w:rPr>
              <w:t>-h</w:t>
            </w:r>
          </w:p>
        </w:tc>
        <w:tc>
          <w:tcPr>
            <w:tcW w:w="2252" w:type="dxa"/>
          </w:tcPr>
          <w:p w:rsidR="00C81D94" w:rsidRPr="00805765"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48</w:t>
            </w:r>
            <w:r w:rsidR="00FD4811">
              <w:rPr>
                <w:rFonts w:ascii="Times New Roman" w:hAnsi="Times New Roman" w:cs="Times New Roman"/>
              </w:rPr>
              <w:t>-h</w:t>
            </w:r>
          </w:p>
        </w:tc>
        <w:tc>
          <w:tcPr>
            <w:tcW w:w="2252" w:type="dxa"/>
          </w:tcPr>
          <w:p w:rsidR="00C81D94" w:rsidRPr="00805765"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72</w:t>
            </w:r>
            <w:r w:rsidR="00FD4811">
              <w:rPr>
                <w:rFonts w:ascii="Times New Roman" w:hAnsi="Times New Roman" w:cs="Times New Roman"/>
              </w:rPr>
              <w:t>-h</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ECC impulse-R (Ns) </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ECC impulse-L (Ns)  </w:t>
            </w:r>
          </w:p>
        </w:tc>
        <w:tc>
          <w:tcPr>
            <w:tcW w:w="2251" w:type="dxa"/>
            <w:tcBorders>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173.68 ± 11.67 </w:t>
            </w:r>
            <w:r w:rsidRPr="00805765">
              <w:rPr>
                <w:rFonts w:ascii="Times New Roman" w:hAnsi="Times New Roman" w:cs="Times New Roman"/>
                <w:vertAlign w:val="superscript"/>
              </w:rPr>
              <w:t>bcde</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135.54 ± 13.28 </w:t>
            </w:r>
            <w:r w:rsidRPr="00805765">
              <w:rPr>
                <w:rFonts w:ascii="Times New Roman" w:hAnsi="Times New Roman" w:cs="Times New Roman"/>
                <w:vertAlign w:val="superscript"/>
              </w:rPr>
              <w:t>bce</w:t>
            </w:r>
          </w:p>
        </w:tc>
        <w:tc>
          <w:tcPr>
            <w:tcW w:w="2252" w:type="dxa"/>
            <w:tcBorders>
              <w:bottom w:val="nil"/>
            </w:tcBorders>
          </w:tcPr>
          <w:p w:rsidR="00C81D94" w:rsidRPr="00805765" w:rsidRDefault="00C81D94" w:rsidP="00671876">
            <w:pPr>
              <w:spacing w:line="36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135.54 ± 12.48 </w:t>
            </w:r>
            <w:r w:rsidRPr="00805765">
              <w:rPr>
                <w:rFonts w:ascii="Times New Roman" w:hAnsi="Times New Roman" w:cs="Times New Roman"/>
                <w:vertAlign w:val="superscript"/>
              </w:rPr>
              <w:t>ac</w:t>
            </w:r>
          </w:p>
          <w:p w:rsidR="00C81D94" w:rsidRPr="00805765" w:rsidRDefault="00C81D94" w:rsidP="00671876">
            <w:pPr>
              <w:spacing w:line="36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92.17 ± 9.76 </w:t>
            </w:r>
            <w:r w:rsidRPr="00805765">
              <w:rPr>
                <w:rFonts w:ascii="Times New Roman" w:hAnsi="Times New Roman" w:cs="Times New Roman"/>
                <w:vertAlign w:val="superscript"/>
              </w:rPr>
              <w:t>ade</w:t>
            </w:r>
          </w:p>
        </w:tc>
        <w:tc>
          <w:tcPr>
            <w:tcW w:w="2252" w:type="dxa"/>
            <w:tcBorders>
              <w:bottom w:val="nil"/>
            </w:tcBorders>
          </w:tcPr>
          <w:p w:rsidR="00C81D94" w:rsidRPr="00805765" w:rsidRDefault="00C81D94" w:rsidP="00671876">
            <w:pPr>
              <w:spacing w:line="360" w:lineRule="auto"/>
              <w:ind w:left="1440" w:hanging="14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134.96 ± 15.90 </w:t>
            </w:r>
            <w:r w:rsidRPr="00805765">
              <w:rPr>
                <w:rFonts w:ascii="Times New Roman" w:hAnsi="Times New Roman" w:cs="Times New Roman"/>
                <w:vertAlign w:val="superscript"/>
              </w:rPr>
              <w:t>abd</w:t>
            </w:r>
          </w:p>
          <w:p w:rsidR="00C81D94" w:rsidRPr="00805765" w:rsidRDefault="00C81D94" w:rsidP="00671876">
            <w:pPr>
              <w:spacing w:line="360" w:lineRule="auto"/>
              <w:ind w:left="1440" w:hanging="14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95.56 ± 12.53 </w:t>
            </w:r>
            <w:r w:rsidRPr="00805765">
              <w:rPr>
                <w:rFonts w:ascii="Times New Roman" w:hAnsi="Times New Roman" w:cs="Times New Roman"/>
                <w:vertAlign w:val="superscript"/>
              </w:rPr>
              <w:t>ade</w:t>
            </w:r>
          </w:p>
        </w:tc>
        <w:tc>
          <w:tcPr>
            <w:tcW w:w="2252" w:type="dxa"/>
            <w:tcBorders>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152.88 ± 18.52 </w:t>
            </w:r>
            <w:r w:rsidRPr="00805765">
              <w:rPr>
                <w:rFonts w:ascii="Times New Roman" w:hAnsi="Times New Roman" w:cs="Times New Roman"/>
                <w:vertAlign w:val="superscript"/>
              </w:rPr>
              <w:t>abc</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130.97 ± 15.64 </w:t>
            </w:r>
            <w:r w:rsidRPr="00805765">
              <w:rPr>
                <w:rFonts w:ascii="Times New Roman" w:hAnsi="Times New Roman" w:cs="Times New Roman"/>
                <w:vertAlign w:val="superscript"/>
              </w:rPr>
              <w:t>bce</w:t>
            </w:r>
          </w:p>
        </w:tc>
        <w:tc>
          <w:tcPr>
            <w:tcW w:w="2252" w:type="dxa"/>
            <w:tcBorders>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141.24 ± 12.00 </w:t>
            </w:r>
            <w:r w:rsidRPr="00805765">
              <w:rPr>
                <w:rFonts w:ascii="Times New Roman" w:hAnsi="Times New Roman" w:cs="Times New Roman"/>
                <w:vertAlign w:val="superscript"/>
              </w:rPr>
              <w:t>a</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110.52 ± 12.59 </w:t>
            </w:r>
            <w:r w:rsidRPr="00805765">
              <w:rPr>
                <w:rFonts w:ascii="Times New Roman" w:hAnsi="Times New Roman" w:cs="Times New Roman"/>
                <w:vertAlign w:val="superscript"/>
              </w:rPr>
              <w:t>abcd</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689" w:type="dxa"/>
            <w:tcBorders>
              <w:top w:val="nil"/>
              <w:bottom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CON impulse-R (Ns) </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CON impulse-L (Ns)  </w:t>
            </w:r>
          </w:p>
        </w:tc>
        <w:tc>
          <w:tcPr>
            <w:tcW w:w="2251"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157.64 ± 28.77 </w:t>
            </w:r>
            <w:r w:rsidRPr="00805765">
              <w:rPr>
                <w:rFonts w:ascii="Times New Roman" w:hAnsi="Times New Roman" w:cs="Times New Roman"/>
                <w:vertAlign w:val="superscript"/>
              </w:rPr>
              <w:t>b</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147.49 ± 29.92 </w:t>
            </w:r>
            <w:r w:rsidRPr="00805765">
              <w:rPr>
                <w:rFonts w:ascii="Times New Roman" w:hAnsi="Times New Roman" w:cs="Times New Roman"/>
                <w:vertAlign w:val="superscript"/>
              </w:rPr>
              <w:t>bce</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124.96 ± 22.47 </w:t>
            </w:r>
            <w:r w:rsidRPr="00805765">
              <w:rPr>
                <w:rFonts w:ascii="Times New Roman" w:hAnsi="Times New Roman" w:cs="Times New Roman"/>
                <w:vertAlign w:val="superscript"/>
              </w:rPr>
              <w:t>a</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112.35 ± 23.29 </w:t>
            </w:r>
            <w:r w:rsidRPr="00805765">
              <w:rPr>
                <w:rFonts w:ascii="Times New Roman" w:hAnsi="Times New Roman" w:cs="Times New Roman"/>
                <w:vertAlign w:val="superscript"/>
              </w:rPr>
              <w:t>a</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135.11 ± 28.30</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110.51 ± 24.84 </w:t>
            </w:r>
            <w:r w:rsidRPr="00805765">
              <w:rPr>
                <w:rFonts w:ascii="Times New Roman" w:hAnsi="Times New Roman" w:cs="Times New Roman"/>
                <w:vertAlign w:val="superscript"/>
              </w:rPr>
              <w:t>a</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141.17 ± 29.70</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129.87 ± 31.13</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132.19 ± 28.00 </w:t>
            </w:r>
            <w:r w:rsidRPr="00805765">
              <w:rPr>
                <w:rFonts w:ascii="Times New Roman" w:hAnsi="Times New Roman" w:cs="Times New Roman"/>
                <w:vertAlign w:val="superscript"/>
              </w:rPr>
              <w:t>a</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112.35 ± 23.29 </w:t>
            </w:r>
            <w:r w:rsidRPr="00805765">
              <w:rPr>
                <w:rFonts w:ascii="Times New Roman" w:hAnsi="Times New Roman" w:cs="Times New Roman"/>
                <w:vertAlign w:val="superscript"/>
              </w:rPr>
              <w:t>a</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Peak force-R (N) </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Peak force-L (N) </w:t>
            </w:r>
          </w:p>
        </w:tc>
        <w:tc>
          <w:tcPr>
            <w:tcW w:w="2251"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1679.1 ± 92.73 </w:t>
            </w:r>
            <w:r w:rsidRPr="00805765">
              <w:rPr>
                <w:rFonts w:ascii="Times New Roman" w:hAnsi="Times New Roman" w:cs="Times New Roman"/>
                <w:vertAlign w:val="superscript"/>
              </w:rPr>
              <w:t>bcde</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1432.16 ± 100.66 </w:t>
            </w:r>
            <w:r w:rsidRPr="00805765">
              <w:rPr>
                <w:rFonts w:ascii="Times New Roman" w:hAnsi="Times New Roman" w:cs="Times New Roman"/>
                <w:vertAlign w:val="superscript"/>
              </w:rPr>
              <w:t>bcde</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1278.52</w:t>
            </w:r>
            <w:r w:rsidRPr="00805765">
              <w:rPr>
                <w:rFonts w:ascii="Times New Roman" w:hAnsi="Times New Roman" w:cs="Times New Roman"/>
              </w:rPr>
              <w:tab/>
              <w:t xml:space="preserve"> ± 104.23 </w:t>
            </w:r>
            <w:r w:rsidRPr="00805765">
              <w:rPr>
                <w:rFonts w:ascii="Times New Roman" w:hAnsi="Times New Roman" w:cs="Times New Roman"/>
                <w:vertAlign w:val="superscript"/>
              </w:rPr>
              <w:t>ade</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871.36 ± 93.08 </w:t>
            </w:r>
            <w:r w:rsidRPr="00805765">
              <w:rPr>
                <w:rFonts w:ascii="Times New Roman" w:hAnsi="Times New Roman" w:cs="Times New Roman"/>
                <w:vertAlign w:val="superscript"/>
              </w:rPr>
              <w:t>ade</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1280.76 ± 123.89 </w:t>
            </w:r>
            <w:r w:rsidRPr="00805765">
              <w:rPr>
                <w:rFonts w:ascii="Times New Roman" w:hAnsi="Times New Roman" w:cs="Times New Roman"/>
                <w:vertAlign w:val="superscript"/>
              </w:rPr>
              <w:t>ade</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903.53 ± 129.51 </w:t>
            </w:r>
            <w:r w:rsidRPr="00805765">
              <w:rPr>
                <w:rFonts w:ascii="Times New Roman" w:hAnsi="Times New Roman" w:cs="Times New Roman"/>
                <w:vertAlign w:val="superscript"/>
              </w:rPr>
              <w:t>ade</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1428.09 ± 119.25 </w:t>
            </w:r>
            <w:r w:rsidRPr="00805765">
              <w:rPr>
                <w:rFonts w:ascii="Times New Roman" w:hAnsi="Times New Roman" w:cs="Times New Roman"/>
                <w:vertAlign w:val="superscript"/>
              </w:rPr>
              <w:t>abc</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1206.53 ± 148.10 </w:t>
            </w:r>
            <w:r w:rsidRPr="00805765">
              <w:rPr>
                <w:rFonts w:ascii="Times New Roman" w:hAnsi="Times New Roman" w:cs="Times New Roman"/>
                <w:vertAlign w:val="superscript"/>
              </w:rPr>
              <w:t>abce</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1325.51 ± 104.79 </w:t>
            </w:r>
            <w:r w:rsidRPr="00805765">
              <w:rPr>
                <w:rFonts w:ascii="Times New Roman" w:hAnsi="Times New Roman" w:cs="Times New Roman"/>
                <w:vertAlign w:val="superscript"/>
              </w:rPr>
              <w:t>abc</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1052.69 ± 121.58 </w:t>
            </w:r>
            <w:r w:rsidRPr="00805765">
              <w:rPr>
                <w:rFonts w:ascii="Times New Roman" w:hAnsi="Times New Roman" w:cs="Times New Roman"/>
                <w:vertAlign w:val="superscript"/>
              </w:rPr>
              <w:t>abcd</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689" w:type="dxa"/>
            <w:tcBorders>
              <w:top w:val="nil"/>
              <w:bottom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Jump height-R (m) </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 xml:space="preserve">Jump height-L (m) </w:t>
            </w:r>
          </w:p>
        </w:tc>
        <w:tc>
          <w:tcPr>
            <w:tcW w:w="2251"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0.19 ± 0.04</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0.19 ± 0.07</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0.19 ± 0.06</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0.20 ± 0.06 </w:t>
            </w:r>
            <w:r w:rsidRPr="00805765">
              <w:rPr>
                <w:rFonts w:ascii="Times New Roman" w:hAnsi="Times New Roman" w:cs="Times New Roman"/>
                <w:vertAlign w:val="superscript"/>
              </w:rPr>
              <w:t>c</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0.16 ± 0.03</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0.16</w:t>
            </w:r>
            <w:r w:rsidRPr="00805765">
              <w:rPr>
                <w:rFonts w:ascii="Times New Roman" w:hAnsi="Times New Roman" w:cs="Times New Roman"/>
              </w:rPr>
              <w:t xml:space="preserve"> ± 0.04 </w:t>
            </w:r>
            <w:r>
              <w:rPr>
                <w:rFonts w:ascii="Times New Roman" w:hAnsi="Times New Roman" w:cs="Times New Roman"/>
                <w:vertAlign w:val="superscript"/>
              </w:rPr>
              <w:t>be</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0.16 ± 0.04</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0.17 ± 0.04 </w:t>
            </w:r>
          </w:p>
        </w:tc>
        <w:tc>
          <w:tcPr>
            <w:tcW w:w="2252" w:type="dxa"/>
            <w:tcBorders>
              <w:top w:val="nil"/>
              <w:bottom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0.17 ± 0.04</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0.20 ± 0.06 </w:t>
            </w:r>
            <w:r>
              <w:rPr>
                <w:rFonts w:ascii="Times New Roman" w:hAnsi="Times New Roman" w:cs="Times New Roman"/>
                <w:vertAlign w:val="superscript"/>
              </w:rPr>
              <w:t>c</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Landing impulse-R (Ns)</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Landing impulse-L (Ns)</w:t>
            </w:r>
          </w:p>
        </w:tc>
        <w:tc>
          <w:tcPr>
            <w:tcW w:w="2251"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29.38 ± 2.22 </w:t>
            </w:r>
            <w:r w:rsidRPr="00805765">
              <w:rPr>
                <w:rFonts w:ascii="Times New Roman" w:hAnsi="Times New Roman" w:cs="Times New Roman"/>
                <w:vertAlign w:val="superscript"/>
              </w:rPr>
              <w:t xml:space="preserve">bc </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27.83 ± 2.49 </w:t>
            </w:r>
            <w:r w:rsidRPr="00805765">
              <w:rPr>
                <w:rFonts w:ascii="Times New Roman" w:hAnsi="Times New Roman" w:cs="Times New Roman"/>
                <w:vertAlign w:val="superscript"/>
              </w:rPr>
              <w:t>bce</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31.18 ± 2.15 </w:t>
            </w:r>
            <w:r w:rsidRPr="00805765">
              <w:rPr>
                <w:rFonts w:ascii="Times New Roman" w:hAnsi="Times New Roman" w:cs="Times New Roman"/>
                <w:vertAlign w:val="superscript"/>
              </w:rPr>
              <w:t xml:space="preserve">ae  </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34.08 ± 2.77 </w:t>
            </w:r>
            <w:r w:rsidRPr="00805765">
              <w:rPr>
                <w:rFonts w:ascii="Times New Roman" w:hAnsi="Times New Roman" w:cs="Times New Roman"/>
                <w:vertAlign w:val="superscript"/>
              </w:rPr>
              <w:t>a</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31.68 ± 5.13 </w:t>
            </w:r>
            <w:r w:rsidRPr="00805765">
              <w:rPr>
                <w:rFonts w:ascii="Times New Roman" w:hAnsi="Times New Roman" w:cs="Times New Roman"/>
                <w:vertAlign w:val="superscript"/>
              </w:rPr>
              <w:t xml:space="preserve">ae </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36.20 ± 2.61 </w:t>
            </w:r>
            <w:r w:rsidRPr="00805765">
              <w:rPr>
                <w:rFonts w:ascii="Times New Roman" w:hAnsi="Times New Roman" w:cs="Times New Roman"/>
                <w:vertAlign w:val="superscript"/>
              </w:rPr>
              <w:t>abd</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30.27 ± 4.04 </w:t>
            </w:r>
            <w:r w:rsidRPr="00805765">
              <w:rPr>
                <w:rFonts w:ascii="Times New Roman" w:hAnsi="Times New Roman" w:cs="Times New Roman"/>
                <w:vertAlign w:val="superscript"/>
              </w:rPr>
              <w:t xml:space="preserve">c </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31.14 </w:t>
            </w:r>
            <w:r w:rsidRPr="00805765">
              <w:rPr>
                <w:rFonts w:ascii="Times New Roman" w:hAnsi="Times New Roman" w:cs="Times New Roman"/>
                <w:vertAlign w:val="superscript"/>
              </w:rPr>
              <w:t>abc</w:t>
            </w:r>
          </w:p>
        </w:tc>
        <w:tc>
          <w:tcPr>
            <w:tcW w:w="2252" w:type="dxa"/>
            <w:tcBorders>
              <w:top w:val="nil"/>
              <w:bottom w:val="nil"/>
            </w:tcBorders>
          </w:tcPr>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29.57 ± 4.44 </w:t>
            </w:r>
            <w:r w:rsidRPr="00805765">
              <w:rPr>
                <w:rFonts w:ascii="Times New Roman" w:hAnsi="Times New Roman" w:cs="Times New Roman"/>
                <w:vertAlign w:val="superscript"/>
              </w:rPr>
              <w:t xml:space="preserve">bc  </w:t>
            </w:r>
          </w:p>
          <w:p w:rsidR="00C81D94" w:rsidRPr="00805765"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31.33 ± 2.90 </w:t>
            </w:r>
            <w:r w:rsidRPr="00805765">
              <w:rPr>
                <w:rFonts w:ascii="Times New Roman" w:hAnsi="Times New Roman" w:cs="Times New Roman"/>
                <w:vertAlign w:val="superscript"/>
              </w:rPr>
              <w:t>a</w:t>
            </w:r>
          </w:p>
        </w:tc>
      </w:tr>
      <w:tr w:rsidR="00C81D94" w:rsidRPr="00805765" w:rsidTr="00671876">
        <w:tc>
          <w:tcPr>
            <w:cnfStyle w:val="001000000000" w:firstRow="0" w:lastRow="0" w:firstColumn="1" w:lastColumn="0" w:oddVBand="0" w:evenVBand="0" w:oddHBand="0" w:evenHBand="0" w:firstRowFirstColumn="0" w:firstRowLastColumn="0" w:lastRowFirstColumn="0" w:lastRowLastColumn="0"/>
            <w:tcW w:w="2689" w:type="dxa"/>
            <w:tcBorders>
              <w:top w:val="nil"/>
            </w:tcBorders>
          </w:tcPr>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Peak landing force-R (N)</w:t>
            </w:r>
          </w:p>
          <w:p w:rsidR="00C81D94" w:rsidRPr="00805765" w:rsidRDefault="00C81D94" w:rsidP="00671876">
            <w:pPr>
              <w:spacing w:line="360" w:lineRule="auto"/>
              <w:rPr>
                <w:rFonts w:ascii="Times New Roman" w:hAnsi="Times New Roman" w:cs="Times New Roman"/>
                <w:b w:val="0"/>
              </w:rPr>
            </w:pPr>
            <w:r w:rsidRPr="00805765">
              <w:rPr>
                <w:rFonts w:ascii="Times New Roman" w:hAnsi="Times New Roman" w:cs="Times New Roman"/>
                <w:b w:val="0"/>
              </w:rPr>
              <w:t>Peak landing force-L (N)</w:t>
            </w:r>
          </w:p>
        </w:tc>
        <w:tc>
          <w:tcPr>
            <w:tcW w:w="2251" w:type="dxa"/>
            <w:tcBorders>
              <w:top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2662.81 ± 199.21 </w:t>
            </w:r>
            <w:r w:rsidRPr="00805765">
              <w:rPr>
                <w:rFonts w:ascii="Times New Roman" w:hAnsi="Times New Roman" w:cs="Times New Roman"/>
                <w:vertAlign w:val="superscript"/>
              </w:rPr>
              <w:t xml:space="preserve">bcde </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2811.71 ± 179.22 </w:t>
            </w:r>
            <w:r w:rsidRPr="00805765">
              <w:rPr>
                <w:rFonts w:ascii="Times New Roman" w:hAnsi="Times New Roman" w:cs="Times New Roman"/>
                <w:vertAlign w:val="superscript"/>
              </w:rPr>
              <w:t xml:space="preserve">bcde </w:t>
            </w:r>
          </w:p>
        </w:tc>
        <w:tc>
          <w:tcPr>
            <w:tcW w:w="2252" w:type="dxa"/>
            <w:tcBorders>
              <w:top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2963.55 ± 212.91 </w:t>
            </w:r>
            <w:r w:rsidRPr="00805765">
              <w:rPr>
                <w:rFonts w:ascii="Times New Roman" w:hAnsi="Times New Roman" w:cs="Times New Roman"/>
                <w:vertAlign w:val="superscript"/>
              </w:rPr>
              <w:t xml:space="preserve">ace </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3263.55 ± 249.10 </w:t>
            </w:r>
            <w:r w:rsidRPr="00805765">
              <w:rPr>
                <w:rFonts w:ascii="Times New Roman" w:hAnsi="Times New Roman" w:cs="Times New Roman"/>
                <w:vertAlign w:val="superscript"/>
              </w:rPr>
              <w:t>ace</w:t>
            </w:r>
          </w:p>
        </w:tc>
        <w:tc>
          <w:tcPr>
            <w:tcW w:w="2252" w:type="dxa"/>
            <w:tcBorders>
              <w:top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3271.16 ± 259.30 </w:t>
            </w:r>
            <w:r w:rsidRPr="00805765">
              <w:rPr>
                <w:rFonts w:ascii="Times New Roman" w:hAnsi="Times New Roman" w:cs="Times New Roman"/>
                <w:vertAlign w:val="superscript"/>
              </w:rPr>
              <w:t xml:space="preserve">abd </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3823.25 ± 329.77 </w:t>
            </w:r>
            <w:r w:rsidRPr="00805765">
              <w:rPr>
                <w:rFonts w:ascii="Times New Roman" w:hAnsi="Times New Roman" w:cs="Times New Roman"/>
                <w:vertAlign w:val="superscript"/>
              </w:rPr>
              <w:t>abd</w:t>
            </w:r>
          </w:p>
        </w:tc>
        <w:tc>
          <w:tcPr>
            <w:tcW w:w="2252" w:type="dxa"/>
            <w:tcBorders>
              <w:top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2983.55 ± 264.37 </w:t>
            </w:r>
            <w:r w:rsidRPr="00805765">
              <w:rPr>
                <w:rFonts w:ascii="Times New Roman" w:hAnsi="Times New Roman" w:cs="Times New Roman"/>
                <w:vertAlign w:val="superscript"/>
              </w:rPr>
              <w:t xml:space="preserve">ace </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3217.99 ± 184.23 </w:t>
            </w:r>
            <w:r w:rsidRPr="00805765">
              <w:rPr>
                <w:rFonts w:ascii="Times New Roman" w:hAnsi="Times New Roman" w:cs="Times New Roman"/>
                <w:vertAlign w:val="superscript"/>
              </w:rPr>
              <w:t>ace</w:t>
            </w:r>
          </w:p>
        </w:tc>
        <w:tc>
          <w:tcPr>
            <w:tcW w:w="2252" w:type="dxa"/>
            <w:tcBorders>
              <w:top w:val="nil"/>
            </w:tcBorders>
          </w:tcPr>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765">
              <w:rPr>
                <w:rFonts w:ascii="Times New Roman" w:hAnsi="Times New Roman" w:cs="Times New Roman"/>
              </w:rPr>
              <w:t xml:space="preserve">3195.73 ± 249.12 </w:t>
            </w:r>
            <w:r w:rsidRPr="00805765">
              <w:rPr>
                <w:rFonts w:ascii="Times New Roman" w:hAnsi="Times New Roman" w:cs="Times New Roman"/>
                <w:vertAlign w:val="superscript"/>
              </w:rPr>
              <w:t xml:space="preserve">abd </w:t>
            </w:r>
          </w:p>
          <w:p w:rsidR="00C81D94" w:rsidRPr="00805765"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05765">
              <w:rPr>
                <w:rFonts w:ascii="Times New Roman" w:hAnsi="Times New Roman" w:cs="Times New Roman"/>
              </w:rPr>
              <w:t xml:space="preserve">3703.72 ± 216.87 </w:t>
            </w:r>
            <w:r w:rsidRPr="00805765">
              <w:rPr>
                <w:rFonts w:ascii="Times New Roman" w:hAnsi="Times New Roman" w:cs="Times New Roman"/>
                <w:vertAlign w:val="superscript"/>
              </w:rPr>
              <w:t>abd</w:t>
            </w:r>
          </w:p>
        </w:tc>
      </w:tr>
      <w:tr w:rsidR="00C81D94" w:rsidRPr="00805765"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6"/>
          </w:tcPr>
          <w:p w:rsidR="00C81D94" w:rsidRPr="00805765" w:rsidRDefault="00C81D94" w:rsidP="00671876">
            <w:pPr>
              <w:spacing w:line="360" w:lineRule="auto"/>
              <w:rPr>
                <w:b w:val="0"/>
              </w:rPr>
            </w:pPr>
            <w:r w:rsidRPr="00805765">
              <w:rPr>
                <w:rFonts w:ascii="Times New Roman" w:hAnsi="Times New Roman" w:cs="Times New Roman"/>
                <w:b w:val="0"/>
              </w:rPr>
              <w:t xml:space="preserve">CMJ = countermovement jump; </w:t>
            </w:r>
            <w:r>
              <w:rPr>
                <w:rFonts w:ascii="Times New Roman" w:hAnsi="Times New Roman" w:cs="Times New Roman"/>
                <w:b w:val="0"/>
              </w:rPr>
              <w:t>ECC = eccentric; CON = c</w:t>
            </w:r>
            <w:r w:rsidRPr="00805765">
              <w:rPr>
                <w:rFonts w:ascii="Times New Roman" w:hAnsi="Times New Roman" w:cs="Times New Roman"/>
                <w:b w:val="0"/>
              </w:rPr>
              <w:t xml:space="preserve">oncentric; R = Right; L = Left; </w:t>
            </w:r>
            <w:r w:rsidRPr="00805765">
              <w:rPr>
                <w:rFonts w:ascii="Times New Roman" w:hAnsi="Times New Roman" w:cs="Times New Roman"/>
                <w:b w:val="0"/>
                <w:vertAlign w:val="superscript"/>
              </w:rPr>
              <w:t>a</w:t>
            </w:r>
            <w:r w:rsidRPr="00805765">
              <w:rPr>
                <w:rFonts w:ascii="Times New Roman" w:hAnsi="Times New Roman" w:cs="Times New Roman"/>
                <w:b w:val="0"/>
              </w:rPr>
              <w:t xml:space="preserve"> = significantly different from pre-match value; </w:t>
            </w:r>
            <w:r w:rsidRPr="00805765">
              <w:rPr>
                <w:rFonts w:ascii="Times New Roman" w:hAnsi="Times New Roman" w:cs="Times New Roman"/>
                <w:b w:val="0"/>
                <w:vertAlign w:val="superscript"/>
              </w:rPr>
              <w:t>b</w:t>
            </w:r>
            <w:r w:rsidRPr="00805765">
              <w:rPr>
                <w:rFonts w:ascii="Times New Roman" w:hAnsi="Times New Roman" w:cs="Times New Roman"/>
                <w:b w:val="0"/>
              </w:rPr>
              <w:t xml:space="preserve"> = significantly different from post-match value; </w:t>
            </w:r>
            <w:r w:rsidRPr="00805765">
              <w:rPr>
                <w:rFonts w:ascii="Times New Roman" w:hAnsi="Times New Roman" w:cs="Times New Roman"/>
                <w:b w:val="0"/>
                <w:vertAlign w:val="superscript"/>
              </w:rPr>
              <w:t>c</w:t>
            </w:r>
            <w:r w:rsidRPr="00805765">
              <w:rPr>
                <w:rFonts w:ascii="Times New Roman" w:hAnsi="Times New Roman" w:cs="Times New Roman"/>
                <w:b w:val="0"/>
              </w:rPr>
              <w:t xml:space="preserve"> = si</w:t>
            </w:r>
            <w:r w:rsidR="00FD4811">
              <w:rPr>
                <w:rFonts w:ascii="Times New Roman" w:hAnsi="Times New Roman" w:cs="Times New Roman"/>
                <w:b w:val="0"/>
              </w:rPr>
              <w:t xml:space="preserve">gnificantly different from </w:t>
            </w:r>
            <w:r w:rsidRPr="00805765">
              <w:rPr>
                <w:rFonts w:ascii="Times New Roman" w:hAnsi="Times New Roman" w:cs="Times New Roman"/>
                <w:b w:val="0"/>
              </w:rPr>
              <w:t>24</w:t>
            </w:r>
            <w:r w:rsidR="00FD4811">
              <w:rPr>
                <w:rFonts w:ascii="Times New Roman" w:hAnsi="Times New Roman" w:cs="Times New Roman"/>
                <w:b w:val="0"/>
              </w:rPr>
              <w:t>-h</w:t>
            </w:r>
            <w:r w:rsidRPr="00805765">
              <w:rPr>
                <w:rFonts w:ascii="Times New Roman" w:hAnsi="Times New Roman" w:cs="Times New Roman"/>
                <w:b w:val="0"/>
              </w:rPr>
              <w:t xml:space="preserve"> match value; </w:t>
            </w:r>
            <w:r w:rsidRPr="00805765">
              <w:rPr>
                <w:rFonts w:ascii="Times New Roman" w:hAnsi="Times New Roman" w:cs="Times New Roman"/>
                <w:b w:val="0"/>
                <w:vertAlign w:val="superscript"/>
              </w:rPr>
              <w:t>d</w:t>
            </w:r>
            <w:r w:rsidRPr="00805765">
              <w:rPr>
                <w:rFonts w:ascii="Times New Roman" w:hAnsi="Times New Roman" w:cs="Times New Roman"/>
                <w:b w:val="0"/>
              </w:rPr>
              <w:t xml:space="preserve"> = si</w:t>
            </w:r>
            <w:r w:rsidR="00FD4811">
              <w:rPr>
                <w:rFonts w:ascii="Times New Roman" w:hAnsi="Times New Roman" w:cs="Times New Roman"/>
                <w:b w:val="0"/>
              </w:rPr>
              <w:t xml:space="preserve">gnificantly different from </w:t>
            </w:r>
            <w:r w:rsidRPr="00805765">
              <w:rPr>
                <w:rFonts w:ascii="Times New Roman" w:hAnsi="Times New Roman" w:cs="Times New Roman"/>
                <w:b w:val="0"/>
              </w:rPr>
              <w:t>48</w:t>
            </w:r>
            <w:r w:rsidR="00FD4811">
              <w:rPr>
                <w:rFonts w:ascii="Times New Roman" w:hAnsi="Times New Roman" w:cs="Times New Roman"/>
                <w:b w:val="0"/>
              </w:rPr>
              <w:t>-h</w:t>
            </w:r>
            <w:r w:rsidRPr="00805765">
              <w:rPr>
                <w:rFonts w:ascii="Times New Roman" w:hAnsi="Times New Roman" w:cs="Times New Roman"/>
                <w:b w:val="0"/>
              </w:rPr>
              <w:t xml:space="preserve"> match value; </w:t>
            </w:r>
            <w:r w:rsidRPr="00805765">
              <w:rPr>
                <w:rFonts w:ascii="Times New Roman" w:hAnsi="Times New Roman" w:cs="Times New Roman"/>
                <w:b w:val="0"/>
                <w:vertAlign w:val="superscript"/>
              </w:rPr>
              <w:t>e</w:t>
            </w:r>
            <w:r w:rsidRPr="00805765">
              <w:rPr>
                <w:rFonts w:ascii="Times New Roman" w:hAnsi="Times New Roman" w:cs="Times New Roman"/>
                <w:b w:val="0"/>
              </w:rPr>
              <w:t xml:space="preserve"> = si</w:t>
            </w:r>
            <w:r w:rsidR="00FD4811">
              <w:rPr>
                <w:rFonts w:ascii="Times New Roman" w:hAnsi="Times New Roman" w:cs="Times New Roman"/>
                <w:b w:val="0"/>
              </w:rPr>
              <w:t xml:space="preserve">gnificantly different from </w:t>
            </w:r>
            <w:r w:rsidRPr="00805765">
              <w:rPr>
                <w:rFonts w:ascii="Times New Roman" w:hAnsi="Times New Roman" w:cs="Times New Roman"/>
                <w:b w:val="0"/>
              </w:rPr>
              <w:t>72</w:t>
            </w:r>
            <w:r w:rsidR="00FD4811">
              <w:rPr>
                <w:rFonts w:ascii="Times New Roman" w:hAnsi="Times New Roman" w:cs="Times New Roman"/>
                <w:b w:val="0"/>
              </w:rPr>
              <w:t>-h</w:t>
            </w:r>
            <w:r w:rsidRPr="00805765">
              <w:rPr>
                <w:rFonts w:ascii="Times New Roman" w:hAnsi="Times New Roman" w:cs="Times New Roman"/>
                <w:b w:val="0"/>
              </w:rPr>
              <w:t xml:space="preserve"> match value. </w:t>
            </w:r>
          </w:p>
        </w:tc>
      </w:tr>
    </w:tbl>
    <w:p w:rsidR="00C81D94" w:rsidRDefault="00C81D94" w:rsidP="00C81D94"/>
    <w:p w:rsidR="00C81D94" w:rsidRDefault="00C81D94" w:rsidP="00C81D94"/>
    <w:p w:rsidR="00C81D94" w:rsidRDefault="00C81D94" w:rsidP="00C81D94"/>
    <w:p w:rsidR="00C81D94" w:rsidRDefault="00C81D94" w:rsidP="00C81D94"/>
    <w:p w:rsidR="00C81D94" w:rsidRDefault="00C81D94" w:rsidP="00C81D94"/>
    <w:p w:rsidR="00C81D94" w:rsidRPr="00AF2F28" w:rsidRDefault="00C81D94" w:rsidP="00C81D94">
      <w:pPr>
        <w:spacing w:line="360" w:lineRule="auto"/>
        <w:jc w:val="both"/>
        <w:rPr>
          <w:rFonts w:ascii="Times New Roman" w:hAnsi="Times New Roman" w:cs="Times New Roman"/>
        </w:rPr>
      </w:pPr>
      <w:r w:rsidRPr="00AF2F28">
        <w:rPr>
          <w:rFonts w:ascii="Times New Roman" w:hAnsi="Times New Roman" w:cs="Times New Roman"/>
        </w:rPr>
        <w:lastRenderedPageBreak/>
        <w:t xml:space="preserve">Table 3: Inter-limb asymmetry values (reported as percentages) for unilateral countermovement jump data pre, post, 24, 48 and 72 hours post-match and Cohen’s </w:t>
      </w:r>
      <w:r w:rsidRPr="00AF2F28">
        <w:rPr>
          <w:rFonts w:ascii="Times New Roman" w:hAnsi="Times New Roman" w:cs="Times New Roman"/>
          <w:i/>
        </w:rPr>
        <w:t>d</w:t>
      </w:r>
      <w:r w:rsidRPr="00AF2F28">
        <w:rPr>
          <w:rFonts w:ascii="Times New Roman" w:hAnsi="Times New Roman" w:cs="Times New Roman"/>
        </w:rPr>
        <w:t xml:space="preserve"> effect sizes reported relative to pre-match values. </w:t>
      </w:r>
    </w:p>
    <w:tbl>
      <w:tblPr>
        <w:tblStyle w:val="PlainTable2"/>
        <w:tblW w:w="0" w:type="auto"/>
        <w:tblLook w:val="04A0" w:firstRow="1" w:lastRow="0" w:firstColumn="1" w:lastColumn="0" w:noHBand="0" w:noVBand="1"/>
      </w:tblPr>
      <w:tblGrid>
        <w:gridCol w:w="2547"/>
        <w:gridCol w:w="2280"/>
        <w:gridCol w:w="2280"/>
        <w:gridCol w:w="2280"/>
        <w:gridCol w:w="2280"/>
        <w:gridCol w:w="2281"/>
      </w:tblGrid>
      <w:tr w:rsidR="00C81D94" w:rsidRPr="00B80722" w:rsidTr="0067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C81D94" w:rsidRPr="00B80722" w:rsidRDefault="00C81D94" w:rsidP="00671876">
            <w:pPr>
              <w:spacing w:line="360" w:lineRule="auto"/>
              <w:jc w:val="center"/>
              <w:rPr>
                <w:rFonts w:ascii="Times New Roman" w:hAnsi="Times New Roman" w:cs="Times New Roman"/>
              </w:rPr>
            </w:pPr>
            <w:r w:rsidRPr="00B80722">
              <w:rPr>
                <w:rFonts w:ascii="Times New Roman" w:hAnsi="Times New Roman" w:cs="Times New Roman"/>
              </w:rPr>
              <w:t>Asymmetry %</w:t>
            </w:r>
          </w:p>
        </w:tc>
        <w:tc>
          <w:tcPr>
            <w:tcW w:w="2280" w:type="dxa"/>
          </w:tcPr>
          <w:p w:rsidR="00C81D94" w:rsidRPr="00B80722"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Pre</w:t>
            </w:r>
          </w:p>
        </w:tc>
        <w:tc>
          <w:tcPr>
            <w:tcW w:w="2280" w:type="dxa"/>
          </w:tcPr>
          <w:p w:rsidR="00C81D94" w:rsidRPr="00B80722"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Post</w:t>
            </w:r>
          </w:p>
        </w:tc>
        <w:tc>
          <w:tcPr>
            <w:tcW w:w="2280" w:type="dxa"/>
          </w:tcPr>
          <w:p w:rsidR="00C81D94" w:rsidRPr="00B80722"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24</w:t>
            </w:r>
            <w:r w:rsidR="00D729F4">
              <w:rPr>
                <w:rFonts w:ascii="Times New Roman" w:hAnsi="Times New Roman" w:cs="Times New Roman"/>
              </w:rPr>
              <w:t>-h</w:t>
            </w:r>
          </w:p>
        </w:tc>
        <w:tc>
          <w:tcPr>
            <w:tcW w:w="2280" w:type="dxa"/>
          </w:tcPr>
          <w:p w:rsidR="00C81D94" w:rsidRPr="00B80722"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48</w:t>
            </w:r>
            <w:r w:rsidR="00D729F4">
              <w:rPr>
                <w:rFonts w:ascii="Times New Roman" w:hAnsi="Times New Roman" w:cs="Times New Roman"/>
              </w:rPr>
              <w:t>-h</w:t>
            </w:r>
          </w:p>
        </w:tc>
        <w:tc>
          <w:tcPr>
            <w:tcW w:w="2281" w:type="dxa"/>
          </w:tcPr>
          <w:p w:rsidR="00C81D94" w:rsidRPr="00B80722" w:rsidRDefault="00C81D94" w:rsidP="0067187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72</w:t>
            </w:r>
            <w:r w:rsidR="00D729F4">
              <w:rPr>
                <w:rFonts w:ascii="Times New Roman" w:hAnsi="Times New Roman" w:cs="Times New Roman"/>
              </w:rPr>
              <w:t>-h</w:t>
            </w:r>
          </w:p>
        </w:tc>
      </w:tr>
      <w:tr w:rsidR="00C81D94" w:rsidRPr="00B80722"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ECC impulse </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14.24 </w:t>
            </w:r>
            <w:r w:rsidRPr="00B80722">
              <w:rPr>
                <w:rFonts w:ascii="Times New Roman" w:hAnsi="Times New Roman" w:cs="Times New Roman"/>
                <w:vertAlign w:val="superscript"/>
              </w:rPr>
              <w:t>bce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80" w:type="dxa"/>
            <w:tcBorders>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32.00 </w:t>
            </w:r>
            <w:r w:rsidRPr="00B80722">
              <w:rPr>
                <w:rFonts w:ascii="Times New Roman" w:hAnsi="Times New Roman" w:cs="Times New Roman"/>
                <w:vertAlign w:val="superscript"/>
              </w:rPr>
              <w:t>ade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3.15</w:t>
            </w:r>
          </w:p>
        </w:tc>
        <w:tc>
          <w:tcPr>
            <w:tcW w:w="2280" w:type="dxa"/>
            <w:tcBorders>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29.20 </w:t>
            </w:r>
            <w:r w:rsidRPr="00B80722">
              <w:rPr>
                <w:rFonts w:ascii="Times New Roman" w:hAnsi="Times New Roman" w:cs="Times New Roman"/>
                <w:vertAlign w:val="superscript"/>
              </w:rPr>
              <w:t>ade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2.8</w:t>
            </w:r>
            <w:r w:rsidR="00BB7C3E">
              <w:rPr>
                <w:rFonts w:ascii="Times New Roman" w:hAnsi="Times New Roman" w:cs="Times New Roman"/>
              </w:rPr>
              <w:t>0</w:t>
            </w:r>
          </w:p>
        </w:tc>
        <w:tc>
          <w:tcPr>
            <w:tcW w:w="2280" w:type="dxa"/>
            <w:tcBorders>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14.33 </w:t>
            </w:r>
            <w:r w:rsidRPr="00B80722">
              <w:rPr>
                <w:rFonts w:ascii="Times New Roman" w:hAnsi="Times New Roman" w:cs="Times New Roman"/>
                <w:vertAlign w:val="superscript"/>
              </w:rPr>
              <w:t>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0.01</w:t>
            </w:r>
          </w:p>
        </w:tc>
        <w:tc>
          <w:tcPr>
            <w:tcW w:w="2281" w:type="dxa"/>
            <w:tcBorders>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21.75 </w:t>
            </w:r>
            <w:r w:rsidRPr="00B80722">
              <w:rPr>
                <w:rFonts w:ascii="Times New Roman" w:hAnsi="Times New Roman" w:cs="Times New Roman"/>
                <w:vertAlign w:val="superscript"/>
              </w:rPr>
              <w:t>abc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1.36</w:t>
            </w:r>
          </w:p>
        </w:tc>
      </w:tr>
      <w:tr w:rsidR="00C81D94" w:rsidRPr="00B80722" w:rsidTr="00671876">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CON impulse</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B80722">
              <w:rPr>
                <w:rFonts w:ascii="Times New Roman" w:hAnsi="Times New Roman" w:cs="Times New Roman"/>
              </w:rPr>
              <w:t xml:space="preserve">7.73 </w:t>
            </w:r>
            <w:r w:rsidRPr="00B80722">
              <w:rPr>
                <w:rFonts w:ascii="Times New Roman" w:hAnsi="Times New Roman" w:cs="Times New Roman"/>
                <w:vertAlign w:val="superscript"/>
              </w:rPr>
              <w:t>c</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10.50</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0.31</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18.50 </w:t>
            </w:r>
            <w:r w:rsidRPr="00B80722">
              <w:rPr>
                <w:rFonts w:ascii="Times New Roman" w:hAnsi="Times New Roman" w:cs="Times New Roman"/>
                <w:vertAlign w:val="superscript"/>
              </w:rPr>
              <w:t>a</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1.02</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9.88</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0.3</w:t>
            </w:r>
            <w:r w:rsidR="00BB7C3E">
              <w:rPr>
                <w:rFonts w:ascii="Times New Roman" w:hAnsi="Times New Roman" w:cs="Times New Roman"/>
              </w:rPr>
              <w:t>0</w:t>
            </w:r>
          </w:p>
        </w:tc>
        <w:tc>
          <w:tcPr>
            <w:tcW w:w="2281"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15.19</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0.84</w:t>
            </w:r>
          </w:p>
        </w:tc>
      </w:tr>
      <w:tr w:rsidR="00C81D94" w:rsidRPr="00B80722"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Peak force</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B80722">
              <w:rPr>
                <w:rFonts w:ascii="Times New Roman" w:hAnsi="Times New Roman" w:cs="Times New Roman"/>
              </w:rPr>
              <w:t xml:space="preserve">14.71 </w:t>
            </w:r>
            <w:r w:rsidRPr="00B80722">
              <w:rPr>
                <w:rFonts w:ascii="Times New Roman" w:hAnsi="Times New Roman" w:cs="Times New Roman"/>
                <w:vertAlign w:val="superscript"/>
              </w:rPr>
              <w:t>bc</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31.85 </w:t>
            </w:r>
            <w:r w:rsidRPr="00B80722">
              <w:rPr>
                <w:rFonts w:ascii="Times New Roman" w:hAnsi="Times New Roman" w:cs="Times New Roman"/>
                <w:vertAlign w:val="superscript"/>
              </w:rPr>
              <w:t>ade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2.8</w:t>
            </w:r>
            <w:r w:rsidR="00BB7C3E">
              <w:rPr>
                <w:rFonts w:ascii="Times New Roman" w:hAnsi="Times New Roman" w:cs="Times New Roman"/>
              </w:rPr>
              <w:t>0</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29.45 </w:t>
            </w:r>
            <w:r w:rsidRPr="00B80722">
              <w:rPr>
                <w:rFonts w:ascii="Times New Roman" w:hAnsi="Times New Roman" w:cs="Times New Roman"/>
                <w:vertAlign w:val="superscript"/>
              </w:rPr>
              <w:t>ade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2.23</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15.51 </w:t>
            </w:r>
            <w:r w:rsidRPr="00B80722">
              <w:rPr>
                <w:rFonts w:ascii="Times New Roman" w:hAnsi="Times New Roman" w:cs="Times New Roman"/>
                <w:vertAlign w:val="superscript"/>
              </w:rPr>
              <w:t>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0.12</w:t>
            </w:r>
          </w:p>
        </w:tc>
        <w:tc>
          <w:tcPr>
            <w:tcW w:w="2281"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20.58 </w:t>
            </w:r>
            <w:r w:rsidRPr="00B80722">
              <w:rPr>
                <w:rFonts w:ascii="Times New Roman" w:hAnsi="Times New Roman" w:cs="Times New Roman"/>
                <w:vertAlign w:val="superscript"/>
              </w:rPr>
              <w:t>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0.96</w:t>
            </w:r>
          </w:p>
        </w:tc>
      </w:tr>
      <w:tr w:rsidR="00C81D94" w:rsidRPr="00B80722" w:rsidTr="00671876">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Jump height</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B80722">
              <w:rPr>
                <w:rFonts w:ascii="Times New Roman" w:hAnsi="Times New Roman" w:cs="Times New Roman"/>
              </w:rPr>
              <w:t xml:space="preserve">4.65 </w:t>
            </w:r>
            <w:r w:rsidRPr="00B80722">
              <w:rPr>
                <w:rFonts w:ascii="Times New Roman" w:hAnsi="Times New Roman" w:cs="Times New Roman"/>
                <w:vertAlign w:val="superscript"/>
              </w:rPr>
              <w:t>e</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17.22</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1.18</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6.52 </w:t>
            </w:r>
            <w:r w:rsidRPr="00B80722">
              <w:rPr>
                <w:rFonts w:ascii="Times New Roman" w:hAnsi="Times New Roman" w:cs="Times New Roman"/>
                <w:vertAlign w:val="superscript"/>
              </w:rPr>
              <w:t>e</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0.5</w:t>
            </w:r>
            <w:r w:rsidR="00BB7C3E">
              <w:rPr>
                <w:rFonts w:ascii="Times New Roman" w:hAnsi="Times New Roman" w:cs="Times New Roman"/>
              </w:rPr>
              <w:t>0</w:t>
            </w:r>
          </w:p>
        </w:tc>
        <w:tc>
          <w:tcPr>
            <w:tcW w:w="2280"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5.47</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0.23</w:t>
            </w:r>
          </w:p>
        </w:tc>
        <w:tc>
          <w:tcPr>
            <w:tcW w:w="2281" w:type="dxa"/>
            <w:tcBorders>
              <w:top w:val="nil"/>
              <w:bottom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20.49 </w:t>
            </w:r>
            <w:r w:rsidRPr="00B80722">
              <w:rPr>
                <w:rFonts w:ascii="Times New Roman" w:hAnsi="Times New Roman" w:cs="Times New Roman"/>
                <w:vertAlign w:val="superscript"/>
              </w:rPr>
              <w:t>ac</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2.05</w:t>
            </w:r>
          </w:p>
        </w:tc>
      </w:tr>
      <w:tr w:rsidR="00C81D94" w:rsidRPr="00B80722"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Peak landing impulse</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B80722">
              <w:rPr>
                <w:rFonts w:ascii="Times New Roman" w:hAnsi="Times New Roman" w:cs="Times New Roman"/>
              </w:rPr>
              <w:t xml:space="preserve">5.89 </w:t>
            </w:r>
            <w:r w:rsidRPr="00B80722">
              <w:rPr>
                <w:rFonts w:ascii="Times New Roman" w:hAnsi="Times New Roman" w:cs="Times New Roman"/>
                <w:vertAlign w:val="superscript"/>
              </w:rPr>
              <w:t>c</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8.51 </w:t>
            </w:r>
            <w:r w:rsidRPr="00B80722">
              <w:rPr>
                <w:rFonts w:ascii="Times New Roman" w:hAnsi="Times New Roman" w:cs="Times New Roman"/>
                <w:vertAlign w:val="superscript"/>
              </w:rPr>
              <w:t>cde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0.62</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13.14 </w:t>
            </w:r>
            <w:r w:rsidRPr="00B80722">
              <w:rPr>
                <w:rFonts w:ascii="Times New Roman" w:hAnsi="Times New Roman" w:cs="Times New Roman"/>
                <w:vertAlign w:val="superscript"/>
              </w:rPr>
              <w:t>abde</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1.71</w:t>
            </w:r>
          </w:p>
        </w:tc>
        <w:tc>
          <w:tcPr>
            <w:tcW w:w="2280"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4.03 </w:t>
            </w:r>
            <w:r w:rsidRPr="00B80722">
              <w:rPr>
                <w:rFonts w:ascii="Times New Roman" w:hAnsi="Times New Roman" w:cs="Times New Roman"/>
                <w:vertAlign w:val="superscript"/>
              </w:rPr>
              <w:t>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-0.47</w:t>
            </w:r>
          </w:p>
        </w:tc>
        <w:tc>
          <w:tcPr>
            <w:tcW w:w="2281" w:type="dxa"/>
            <w:tcBorders>
              <w:top w:val="nil"/>
              <w:bottom w:val="nil"/>
            </w:tcBorders>
          </w:tcPr>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5.61 </w:t>
            </w:r>
            <w:r w:rsidRPr="00B80722">
              <w:rPr>
                <w:rFonts w:ascii="Times New Roman" w:hAnsi="Times New Roman" w:cs="Times New Roman"/>
                <w:vertAlign w:val="superscript"/>
              </w:rPr>
              <w:t>bc</w:t>
            </w:r>
          </w:p>
          <w:p w:rsidR="00C81D94" w:rsidRPr="00B80722" w:rsidRDefault="00C81D94" w:rsidP="006718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-0.07</w:t>
            </w:r>
          </w:p>
        </w:tc>
      </w:tr>
      <w:tr w:rsidR="00C81D94" w:rsidRPr="00B80722" w:rsidTr="00671876">
        <w:tc>
          <w:tcPr>
            <w:cnfStyle w:val="001000000000" w:firstRow="0" w:lastRow="0" w:firstColumn="1" w:lastColumn="0" w:oddVBand="0" w:evenVBand="0" w:oddHBand="0" w:evenHBand="0" w:firstRowFirstColumn="0" w:firstRowLastColumn="0" w:lastRowFirstColumn="0" w:lastRowLastColumn="0"/>
            <w:tcW w:w="2547" w:type="dxa"/>
            <w:tcBorders>
              <w:top w:val="nil"/>
            </w:tcBorders>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Peak landing force</w:t>
            </w:r>
          </w:p>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    Effect size</w:t>
            </w:r>
          </w:p>
        </w:tc>
        <w:tc>
          <w:tcPr>
            <w:tcW w:w="2280" w:type="dxa"/>
            <w:tcBorders>
              <w:top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B80722">
              <w:rPr>
                <w:rFonts w:ascii="Times New Roman" w:hAnsi="Times New Roman" w:cs="Times New Roman"/>
              </w:rPr>
              <w:t xml:space="preserve">7.22 </w:t>
            </w:r>
            <w:r w:rsidRPr="00B80722">
              <w:rPr>
                <w:rFonts w:ascii="Times New Roman" w:hAnsi="Times New Roman" w:cs="Times New Roman"/>
                <w:vertAlign w:val="superscript"/>
              </w:rPr>
              <w:t>ce</w:t>
            </w:r>
          </w:p>
        </w:tc>
        <w:tc>
          <w:tcPr>
            <w:tcW w:w="2280" w:type="dxa"/>
            <w:tcBorders>
              <w:top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9.13 </w:t>
            </w:r>
            <w:r w:rsidRPr="00B80722">
              <w:rPr>
                <w:rFonts w:ascii="Times New Roman" w:hAnsi="Times New Roman" w:cs="Times New Roman"/>
                <w:vertAlign w:val="superscript"/>
              </w:rPr>
              <w:t>ce</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0.32</w:t>
            </w:r>
          </w:p>
        </w:tc>
        <w:tc>
          <w:tcPr>
            <w:tcW w:w="2280" w:type="dxa"/>
            <w:tcBorders>
              <w:top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15.22 </w:t>
            </w:r>
            <w:r w:rsidRPr="00B80722">
              <w:rPr>
                <w:rFonts w:ascii="Times New Roman" w:hAnsi="Times New Roman" w:cs="Times New Roman"/>
                <w:vertAlign w:val="superscript"/>
              </w:rPr>
              <w:t>abd</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1.38</w:t>
            </w:r>
          </w:p>
        </w:tc>
        <w:tc>
          <w:tcPr>
            <w:tcW w:w="2280" w:type="dxa"/>
            <w:tcBorders>
              <w:top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7.29 </w:t>
            </w:r>
            <w:r w:rsidRPr="00B80722">
              <w:rPr>
                <w:rFonts w:ascii="Times New Roman" w:hAnsi="Times New Roman" w:cs="Times New Roman"/>
                <w:vertAlign w:val="superscript"/>
              </w:rPr>
              <w:t>ce</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0.01</w:t>
            </w:r>
          </w:p>
        </w:tc>
        <w:tc>
          <w:tcPr>
            <w:tcW w:w="2281" w:type="dxa"/>
            <w:tcBorders>
              <w:top w:val="nil"/>
            </w:tcBorders>
          </w:tcPr>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 xml:space="preserve">13.72 </w:t>
            </w:r>
            <w:r w:rsidRPr="00B80722">
              <w:rPr>
                <w:rFonts w:ascii="Times New Roman" w:hAnsi="Times New Roman" w:cs="Times New Roman"/>
                <w:vertAlign w:val="superscript"/>
              </w:rPr>
              <w:t>abd</w:t>
            </w:r>
          </w:p>
          <w:p w:rsidR="00C81D94" w:rsidRPr="00B80722" w:rsidRDefault="00C81D94" w:rsidP="006718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0722">
              <w:rPr>
                <w:rFonts w:ascii="Times New Roman" w:hAnsi="Times New Roman" w:cs="Times New Roman"/>
              </w:rPr>
              <w:t>1.19</w:t>
            </w:r>
          </w:p>
        </w:tc>
      </w:tr>
      <w:tr w:rsidR="00C81D94" w:rsidRPr="00B80722" w:rsidTr="00671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6"/>
          </w:tcPr>
          <w:p w:rsidR="00C81D94" w:rsidRPr="00B80722" w:rsidRDefault="00C81D94" w:rsidP="00671876">
            <w:pPr>
              <w:spacing w:line="360" w:lineRule="auto"/>
              <w:rPr>
                <w:rFonts w:ascii="Times New Roman" w:hAnsi="Times New Roman" w:cs="Times New Roman"/>
                <w:b w:val="0"/>
              </w:rPr>
            </w:pPr>
            <w:r w:rsidRPr="00B80722">
              <w:rPr>
                <w:rFonts w:ascii="Times New Roman" w:hAnsi="Times New Roman" w:cs="Times New Roman"/>
                <w:b w:val="0"/>
              </w:rPr>
              <w:t xml:space="preserve">ECC = eccentric; CON = </w:t>
            </w:r>
            <w:r w:rsidR="00AF2F28">
              <w:rPr>
                <w:rFonts w:ascii="Times New Roman" w:hAnsi="Times New Roman" w:cs="Times New Roman"/>
                <w:b w:val="0"/>
              </w:rPr>
              <w:t>concentric;</w:t>
            </w:r>
            <w:r w:rsidRPr="00B80722">
              <w:rPr>
                <w:rFonts w:ascii="Times New Roman" w:hAnsi="Times New Roman" w:cs="Times New Roman"/>
                <w:b w:val="0"/>
              </w:rPr>
              <w:t xml:space="preserve"> </w:t>
            </w:r>
            <w:r w:rsidRPr="00B80722">
              <w:rPr>
                <w:rFonts w:ascii="Times New Roman" w:hAnsi="Times New Roman" w:cs="Times New Roman"/>
                <w:b w:val="0"/>
                <w:vertAlign w:val="superscript"/>
              </w:rPr>
              <w:t>a</w:t>
            </w:r>
            <w:r w:rsidRPr="00B80722">
              <w:rPr>
                <w:rFonts w:ascii="Times New Roman" w:hAnsi="Times New Roman" w:cs="Times New Roman"/>
                <w:b w:val="0"/>
              </w:rPr>
              <w:t xml:space="preserve"> = significantly different from pre-match value; </w:t>
            </w:r>
            <w:r w:rsidRPr="00B80722">
              <w:rPr>
                <w:rFonts w:ascii="Times New Roman" w:hAnsi="Times New Roman" w:cs="Times New Roman"/>
                <w:b w:val="0"/>
                <w:vertAlign w:val="superscript"/>
              </w:rPr>
              <w:t>b</w:t>
            </w:r>
            <w:r w:rsidRPr="00B80722">
              <w:rPr>
                <w:rFonts w:ascii="Times New Roman" w:hAnsi="Times New Roman" w:cs="Times New Roman"/>
                <w:b w:val="0"/>
              </w:rPr>
              <w:t xml:space="preserve"> = significantly different from post-match value; </w:t>
            </w:r>
            <w:r w:rsidRPr="00B80722">
              <w:rPr>
                <w:rFonts w:ascii="Times New Roman" w:hAnsi="Times New Roman" w:cs="Times New Roman"/>
                <w:b w:val="0"/>
                <w:vertAlign w:val="superscript"/>
              </w:rPr>
              <w:t>c</w:t>
            </w:r>
            <w:r w:rsidRPr="00B80722">
              <w:rPr>
                <w:rFonts w:ascii="Times New Roman" w:hAnsi="Times New Roman" w:cs="Times New Roman"/>
                <w:b w:val="0"/>
              </w:rPr>
              <w:t xml:space="preserve"> = si</w:t>
            </w:r>
            <w:r w:rsidR="00D729F4">
              <w:rPr>
                <w:rFonts w:ascii="Times New Roman" w:hAnsi="Times New Roman" w:cs="Times New Roman"/>
                <w:b w:val="0"/>
              </w:rPr>
              <w:t xml:space="preserve">gnificantly different from </w:t>
            </w:r>
            <w:r w:rsidRPr="00B80722">
              <w:rPr>
                <w:rFonts w:ascii="Times New Roman" w:hAnsi="Times New Roman" w:cs="Times New Roman"/>
                <w:b w:val="0"/>
              </w:rPr>
              <w:t>24</w:t>
            </w:r>
            <w:r w:rsidR="00D729F4">
              <w:rPr>
                <w:rFonts w:ascii="Times New Roman" w:hAnsi="Times New Roman" w:cs="Times New Roman"/>
                <w:b w:val="0"/>
              </w:rPr>
              <w:t>-h</w:t>
            </w:r>
            <w:r w:rsidRPr="00B80722">
              <w:rPr>
                <w:rFonts w:ascii="Times New Roman" w:hAnsi="Times New Roman" w:cs="Times New Roman"/>
                <w:b w:val="0"/>
              </w:rPr>
              <w:t xml:space="preserve"> match value; </w:t>
            </w:r>
            <w:r w:rsidRPr="00B80722">
              <w:rPr>
                <w:rFonts w:ascii="Times New Roman" w:hAnsi="Times New Roman" w:cs="Times New Roman"/>
                <w:b w:val="0"/>
                <w:vertAlign w:val="superscript"/>
              </w:rPr>
              <w:t>d</w:t>
            </w:r>
            <w:r w:rsidRPr="00B80722">
              <w:rPr>
                <w:rFonts w:ascii="Times New Roman" w:hAnsi="Times New Roman" w:cs="Times New Roman"/>
                <w:b w:val="0"/>
              </w:rPr>
              <w:t xml:space="preserve"> = si</w:t>
            </w:r>
            <w:r w:rsidR="00D729F4">
              <w:rPr>
                <w:rFonts w:ascii="Times New Roman" w:hAnsi="Times New Roman" w:cs="Times New Roman"/>
                <w:b w:val="0"/>
              </w:rPr>
              <w:t xml:space="preserve">gnificantly different from </w:t>
            </w:r>
            <w:r w:rsidRPr="00B80722">
              <w:rPr>
                <w:rFonts w:ascii="Times New Roman" w:hAnsi="Times New Roman" w:cs="Times New Roman"/>
                <w:b w:val="0"/>
              </w:rPr>
              <w:t>48</w:t>
            </w:r>
            <w:r w:rsidR="00D729F4">
              <w:rPr>
                <w:rFonts w:ascii="Times New Roman" w:hAnsi="Times New Roman" w:cs="Times New Roman"/>
                <w:b w:val="0"/>
              </w:rPr>
              <w:t>-h</w:t>
            </w:r>
            <w:r w:rsidRPr="00B80722">
              <w:rPr>
                <w:rFonts w:ascii="Times New Roman" w:hAnsi="Times New Roman" w:cs="Times New Roman"/>
                <w:b w:val="0"/>
              </w:rPr>
              <w:t xml:space="preserve"> match value; </w:t>
            </w:r>
            <w:r w:rsidRPr="00B80722">
              <w:rPr>
                <w:rFonts w:ascii="Times New Roman" w:hAnsi="Times New Roman" w:cs="Times New Roman"/>
                <w:b w:val="0"/>
                <w:vertAlign w:val="superscript"/>
              </w:rPr>
              <w:t>e</w:t>
            </w:r>
            <w:r w:rsidRPr="00B80722">
              <w:rPr>
                <w:rFonts w:ascii="Times New Roman" w:hAnsi="Times New Roman" w:cs="Times New Roman"/>
                <w:b w:val="0"/>
              </w:rPr>
              <w:t xml:space="preserve"> = si</w:t>
            </w:r>
            <w:r w:rsidR="00D729F4">
              <w:rPr>
                <w:rFonts w:ascii="Times New Roman" w:hAnsi="Times New Roman" w:cs="Times New Roman"/>
                <w:b w:val="0"/>
              </w:rPr>
              <w:t xml:space="preserve">gnificantly different from </w:t>
            </w:r>
            <w:r w:rsidRPr="00B80722">
              <w:rPr>
                <w:rFonts w:ascii="Times New Roman" w:hAnsi="Times New Roman" w:cs="Times New Roman"/>
                <w:b w:val="0"/>
              </w:rPr>
              <w:t>72</w:t>
            </w:r>
            <w:r w:rsidR="00D729F4">
              <w:rPr>
                <w:rFonts w:ascii="Times New Roman" w:hAnsi="Times New Roman" w:cs="Times New Roman"/>
                <w:b w:val="0"/>
              </w:rPr>
              <w:t>-h</w:t>
            </w:r>
            <w:r w:rsidRPr="00B80722">
              <w:rPr>
                <w:rFonts w:ascii="Times New Roman" w:hAnsi="Times New Roman" w:cs="Times New Roman"/>
                <w:b w:val="0"/>
              </w:rPr>
              <w:t xml:space="preserve"> match value. </w:t>
            </w:r>
          </w:p>
        </w:tc>
      </w:tr>
    </w:tbl>
    <w:p w:rsidR="00C81D94" w:rsidRDefault="00C81D94" w:rsidP="00C81D94"/>
    <w:p w:rsidR="00C81D94" w:rsidRDefault="00C81D94" w:rsidP="00C81D94"/>
    <w:p w:rsidR="00C81D94" w:rsidRDefault="00C81D94" w:rsidP="00C81D94"/>
    <w:p w:rsidR="00C81D94" w:rsidRDefault="00C81D94" w:rsidP="00C81D94">
      <w:r>
        <w:rPr>
          <w:noProof/>
          <w:lang w:eastAsia="en-GB"/>
        </w:rPr>
        <w:lastRenderedPageBreak/>
        <w:drawing>
          <wp:inline distT="0" distB="0" distL="0" distR="0" wp14:anchorId="1B77A668" wp14:editId="5837A5DE">
            <wp:extent cx="8734425" cy="4827181"/>
            <wp:effectExtent l="0" t="0" r="952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1D94" w:rsidRPr="00AF2F28" w:rsidRDefault="00C81D94" w:rsidP="00C81D94">
      <w:pPr>
        <w:spacing w:line="480" w:lineRule="auto"/>
        <w:rPr>
          <w:rFonts w:asciiTheme="majorBidi" w:hAnsiTheme="majorBidi" w:cstheme="majorBidi"/>
        </w:rPr>
      </w:pPr>
      <w:r w:rsidRPr="00AF2F28">
        <w:rPr>
          <w:rFonts w:ascii="Times New Roman" w:hAnsi="Times New Roman" w:cs="Times New Roman"/>
        </w:rPr>
        <w:t xml:space="preserve">Figure 1: </w:t>
      </w:r>
      <w:r w:rsidRPr="00AF2F28">
        <w:rPr>
          <w:rFonts w:asciiTheme="majorBidi" w:hAnsiTheme="majorBidi" w:cstheme="majorBidi"/>
        </w:rPr>
        <w:t xml:space="preserve">Inter-limb asymmetry values and standard deviations (error bars) for SLCMJ metrics at pre, </w:t>
      </w:r>
      <w:r w:rsidRPr="00AF2F28">
        <w:rPr>
          <w:rFonts w:ascii="Times New Roman" w:hAnsi="Times New Roman" w:cs="Times New Roman"/>
        </w:rPr>
        <w:t xml:space="preserve">post, 24, 48 and 72 hours post-match. </w:t>
      </w:r>
    </w:p>
    <w:sectPr w:rsidR="00C81D94" w:rsidRPr="00AF2F28" w:rsidSect="00C81D94">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4B0" w:rsidRDefault="005534B0" w:rsidP="00C81D94">
      <w:pPr>
        <w:spacing w:after="0" w:line="240" w:lineRule="auto"/>
      </w:pPr>
      <w:r>
        <w:separator/>
      </w:r>
    </w:p>
  </w:endnote>
  <w:endnote w:type="continuationSeparator" w:id="0">
    <w:p w:rsidR="005534B0" w:rsidRDefault="005534B0" w:rsidP="00C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1466"/>
      <w:docPartObj>
        <w:docPartGallery w:val="Page Numbers (Bottom of Page)"/>
        <w:docPartUnique/>
      </w:docPartObj>
    </w:sdtPr>
    <w:sdtEndPr>
      <w:rPr>
        <w:noProof/>
      </w:rPr>
    </w:sdtEndPr>
    <w:sdtContent>
      <w:p w:rsidR="0008228A" w:rsidRDefault="0008228A">
        <w:pPr>
          <w:pStyle w:val="Footer"/>
          <w:jc w:val="right"/>
        </w:pPr>
        <w:r>
          <w:fldChar w:fldCharType="begin"/>
        </w:r>
        <w:r>
          <w:instrText xml:space="preserve"> PAGE   \* MERGEFORMAT </w:instrText>
        </w:r>
        <w:r>
          <w:fldChar w:fldCharType="separate"/>
        </w:r>
        <w:r w:rsidR="0015458C">
          <w:rPr>
            <w:noProof/>
          </w:rPr>
          <w:t>13</w:t>
        </w:r>
        <w:r>
          <w:rPr>
            <w:noProof/>
          </w:rPr>
          <w:fldChar w:fldCharType="end"/>
        </w:r>
      </w:p>
    </w:sdtContent>
  </w:sdt>
  <w:p w:rsidR="0008228A" w:rsidRDefault="0008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4B0" w:rsidRDefault="005534B0" w:rsidP="00C81D94">
      <w:pPr>
        <w:spacing w:after="0" w:line="240" w:lineRule="auto"/>
      </w:pPr>
      <w:r>
        <w:separator/>
      </w:r>
    </w:p>
  </w:footnote>
  <w:footnote w:type="continuationSeparator" w:id="0">
    <w:p w:rsidR="005534B0" w:rsidRDefault="005534B0" w:rsidP="00C8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8A" w:rsidRDefault="0008228A">
    <w:pPr>
      <w:pStyle w:val="Header"/>
    </w:pPr>
    <w:r>
      <w:t>Monitoring Asymmetries and Jump Performance</w:t>
    </w:r>
  </w:p>
  <w:p w:rsidR="0008228A" w:rsidRDefault="00082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D0773"/>
    <w:multiLevelType w:val="hybridMultilevel"/>
    <w:tmpl w:val="412C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94"/>
    <w:rsid w:val="00020B73"/>
    <w:rsid w:val="0008228A"/>
    <w:rsid w:val="0015458C"/>
    <w:rsid w:val="001A607A"/>
    <w:rsid w:val="001E670E"/>
    <w:rsid w:val="00320B7D"/>
    <w:rsid w:val="00363DB6"/>
    <w:rsid w:val="003A62AF"/>
    <w:rsid w:val="004B4CE7"/>
    <w:rsid w:val="005534B0"/>
    <w:rsid w:val="005858FB"/>
    <w:rsid w:val="00671876"/>
    <w:rsid w:val="006F433B"/>
    <w:rsid w:val="007B2516"/>
    <w:rsid w:val="008815F9"/>
    <w:rsid w:val="008A6551"/>
    <w:rsid w:val="009035E4"/>
    <w:rsid w:val="00A830C1"/>
    <w:rsid w:val="00AB4EBD"/>
    <w:rsid w:val="00AF2F28"/>
    <w:rsid w:val="00BB7C3E"/>
    <w:rsid w:val="00BC07F1"/>
    <w:rsid w:val="00BE2196"/>
    <w:rsid w:val="00C57C47"/>
    <w:rsid w:val="00C72A10"/>
    <w:rsid w:val="00C81D94"/>
    <w:rsid w:val="00D27C9A"/>
    <w:rsid w:val="00D729F4"/>
    <w:rsid w:val="00DE3F31"/>
    <w:rsid w:val="00E05155"/>
    <w:rsid w:val="00E82154"/>
    <w:rsid w:val="00ED2D46"/>
    <w:rsid w:val="00F256CF"/>
    <w:rsid w:val="00FC32D3"/>
    <w:rsid w:val="00FD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C53C"/>
  <w15:chartTrackingRefBased/>
  <w15:docId w15:val="{24ADD0EB-028D-4A54-BBCB-3E50084B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94"/>
  </w:style>
  <w:style w:type="paragraph" w:styleId="Heading1">
    <w:name w:val="heading 1"/>
    <w:basedOn w:val="Normal"/>
    <w:link w:val="Heading1Char"/>
    <w:uiPriority w:val="9"/>
    <w:qFormat/>
    <w:rsid w:val="00C81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81D94"/>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1D94"/>
    <w:rPr>
      <w:rFonts w:asciiTheme="majorHAnsi" w:eastAsiaTheme="majorEastAsia" w:hAnsiTheme="majorHAnsi" w:cstheme="majorBidi"/>
      <w:b/>
      <w:color w:val="000000" w:themeColor="text1"/>
      <w:szCs w:val="26"/>
    </w:rPr>
  </w:style>
  <w:style w:type="paragraph" w:styleId="ListParagraph">
    <w:name w:val="List Paragraph"/>
    <w:basedOn w:val="Normal"/>
    <w:uiPriority w:val="34"/>
    <w:qFormat/>
    <w:rsid w:val="00C81D94"/>
    <w:pPr>
      <w:ind w:left="720"/>
      <w:contextualSpacing/>
    </w:pPr>
  </w:style>
  <w:style w:type="character" w:styleId="BookTitle">
    <w:name w:val="Book Title"/>
    <w:basedOn w:val="DefaultParagraphFont"/>
    <w:uiPriority w:val="33"/>
    <w:qFormat/>
    <w:rsid w:val="00C81D94"/>
    <w:rPr>
      <w:b/>
      <w:bCs/>
      <w:smallCaps/>
      <w:spacing w:val="5"/>
    </w:rPr>
  </w:style>
  <w:style w:type="paragraph" w:customStyle="1" w:styleId="Default">
    <w:name w:val="Default"/>
    <w:rsid w:val="00C81D94"/>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LineNumber">
    <w:name w:val="line number"/>
    <w:basedOn w:val="DefaultParagraphFont"/>
    <w:uiPriority w:val="99"/>
    <w:semiHidden/>
    <w:unhideWhenUsed/>
    <w:rsid w:val="00C81D94"/>
  </w:style>
  <w:style w:type="paragraph" w:styleId="Header">
    <w:name w:val="header"/>
    <w:basedOn w:val="Normal"/>
    <w:link w:val="HeaderChar"/>
    <w:uiPriority w:val="99"/>
    <w:unhideWhenUsed/>
    <w:rsid w:val="00C8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D94"/>
  </w:style>
  <w:style w:type="paragraph" w:styleId="Footer">
    <w:name w:val="footer"/>
    <w:basedOn w:val="Normal"/>
    <w:link w:val="FooterChar"/>
    <w:uiPriority w:val="99"/>
    <w:unhideWhenUsed/>
    <w:rsid w:val="00C8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D94"/>
  </w:style>
  <w:style w:type="table" w:styleId="PlainTable2">
    <w:name w:val="Plain Table 2"/>
    <w:basedOn w:val="TableNormal"/>
    <w:uiPriority w:val="42"/>
    <w:rsid w:val="00C81D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8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Pre-match</c:v>
                </c:pt>
              </c:strCache>
            </c:strRef>
          </c:tx>
          <c:spPr>
            <a:solidFill>
              <a:schemeClr val="tx1"/>
            </a:solidFill>
            <a:ln>
              <a:solidFill>
                <a:schemeClr val="tx1"/>
              </a:solidFill>
            </a:ln>
            <a:effectLst/>
          </c:spPr>
          <c:invertIfNegative val="0"/>
          <c:errBars>
            <c:errBarType val="plus"/>
            <c:errValType val="cust"/>
            <c:noEndCap val="0"/>
            <c:plus>
              <c:numRef>
                <c:f>Sheet1!$B$10:$B$15</c:f>
                <c:numCache>
                  <c:formatCode>General</c:formatCode>
                  <c:ptCount val="6"/>
                  <c:pt idx="0">
                    <c:v>3.89</c:v>
                  </c:pt>
                  <c:pt idx="1">
                    <c:v>6.27</c:v>
                  </c:pt>
                  <c:pt idx="2">
                    <c:v>4.68</c:v>
                  </c:pt>
                  <c:pt idx="3">
                    <c:v>7.78</c:v>
                  </c:pt>
                  <c:pt idx="4">
                    <c:v>5.52</c:v>
                  </c:pt>
                  <c:pt idx="5">
                    <c:v>4.16</c:v>
                  </c:pt>
                </c:numCache>
              </c:numRef>
            </c:plus>
            <c:minus>
              <c:numLit>
                <c:formatCode>General</c:formatCode>
                <c:ptCount val="1"/>
                <c:pt idx="0">
                  <c:v>0</c:v>
                </c:pt>
              </c:numLit>
            </c:minus>
            <c:spPr>
              <a:noFill/>
              <a:ln w="9525" cap="flat" cmpd="sng" algn="ctr">
                <a:solidFill>
                  <a:schemeClr val="tx1">
                    <a:lumMod val="65000"/>
                    <a:lumOff val="35000"/>
                  </a:schemeClr>
                </a:solidFill>
                <a:round/>
              </a:ln>
              <a:effectLst/>
            </c:spPr>
          </c:errBars>
          <c:cat>
            <c:strRef>
              <c:f>Sheet1!$A$4:$A$9</c:f>
              <c:strCache>
                <c:ptCount val="6"/>
                <c:pt idx="0">
                  <c:v>Jump Height</c:v>
                </c:pt>
                <c:pt idx="1">
                  <c:v>Peak Force</c:v>
                </c:pt>
                <c:pt idx="2">
                  <c:v>Eccentric Impulse</c:v>
                </c:pt>
                <c:pt idx="3">
                  <c:v>Concentric Impulse</c:v>
                </c:pt>
                <c:pt idx="4">
                  <c:v>Peak Landing Force</c:v>
                </c:pt>
                <c:pt idx="5">
                  <c:v>Peak Landing Impulse </c:v>
                </c:pt>
              </c:strCache>
            </c:strRef>
          </c:cat>
          <c:val>
            <c:numRef>
              <c:f>Sheet1!$B$4:$B$9</c:f>
              <c:numCache>
                <c:formatCode>General</c:formatCode>
                <c:ptCount val="6"/>
                <c:pt idx="0">
                  <c:v>4.5999999999999996</c:v>
                </c:pt>
                <c:pt idx="1">
                  <c:v>14.7</c:v>
                </c:pt>
                <c:pt idx="2">
                  <c:v>14.2</c:v>
                </c:pt>
                <c:pt idx="3">
                  <c:v>7.7</c:v>
                </c:pt>
                <c:pt idx="4">
                  <c:v>7.2</c:v>
                </c:pt>
                <c:pt idx="5">
                  <c:v>5.9</c:v>
                </c:pt>
              </c:numCache>
            </c:numRef>
          </c:val>
          <c:extLst>
            <c:ext xmlns:c16="http://schemas.microsoft.com/office/drawing/2014/chart" uri="{C3380CC4-5D6E-409C-BE32-E72D297353CC}">
              <c16:uniqueId val="{00000000-522B-4C3E-8A13-F9588333C338}"/>
            </c:ext>
          </c:extLst>
        </c:ser>
        <c:ser>
          <c:idx val="1"/>
          <c:order val="1"/>
          <c:tx>
            <c:strRef>
              <c:f>Sheet1!$C$3</c:f>
              <c:strCache>
                <c:ptCount val="1"/>
                <c:pt idx="0">
                  <c:v>Post-match</c:v>
                </c:pt>
              </c:strCache>
            </c:strRef>
          </c:tx>
          <c:spPr>
            <a:pattFill prst="pct50">
              <a:fgClr>
                <a:schemeClr val="tx1"/>
              </a:fgClr>
              <a:bgClr>
                <a:schemeClr val="bg1"/>
              </a:bgClr>
            </a:pattFill>
            <a:ln>
              <a:solidFill>
                <a:schemeClr val="tx1"/>
              </a:solidFill>
            </a:ln>
            <a:effectLst/>
          </c:spPr>
          <c:invertIfNegative val="0"/>
          <c:errBars>
            <c:errBarType val="both"/>
            <c:errValType val="cust"/>
            <c:noEndCap val="0"/>
            <c:plus>
              <c:numRef>
                <c:f>Sheet1!$C$10:$C$15</c:f>
                <c:numCache>
                  <c:formatCode>General</c:formatCode>
                  <c:ptCount val="6"/>
                  <c:pt idx="0">
                    <c:v>14.54</c:v>
                  </c:pt>
                  <c:pt idx="1">
                    <c:v>5.95</c:v>
                  </c:pt>
                  <c:pt idx="2">
                    <c:v>6.45</c:v>
                  </c:pt>
                  <c:pt idx="3">
                    <c:v>10.06</c:v>
                  </c:pt>
                  <c:pt idx="4">
                    <c:v>6.86</c:v>
                  </c:pt>
                  <c:pt idx="5">
                    <c:v>4.38</c:v>
                  </c:pt>
                </c:numCache>
              </c:numRef>
            </c:plus>
            <c:minus>
              <c:numLit>
                <c:formatCode>General</c:formatCode>
                <c:ptCount val="1"/>
                <c:pt idx="0">
                  <c:v>0</c:v>
                </c:pt>
              </c:numLit>
            </c:minus>
            <c:spPr>
              <a:noFill/>
              <a:ln w="9525" cap="flat" cmpd="sng" algn="ctr">
                <a:solidFill>
                  <a:schemeClr val="tx1">
                    <a:lumMod val="65000"/>
                    <a:lumOff val="35000"/>
                  </a:schemeClr>
                </a:solidFill>
                <a:round/>
              </a:ln>
              <a:effectLst/>
            </c:spPr>
          </c:errBars>
          <c:cat>
            <c:strRef>
              <c:f>Sheet1!$A$4:$A$9</c:f>
              <c:strCache>
                <c:ptCount val="6"/>
                <c:pt idx="0">
                  <c:v>Jump Height</c:v>
                </c:pt>
                <c:pt idx="1">
                  <c:v>Peak Force</c:v>
                </c:pt>
                <c:pt idx="2">
                  <c:v>Eccentric Impulse</c:v>
                </c:pt>
                <c:pt idx="3">
                  <c:v>Concentric Impulse</c:v>
                </c:pt>
                <c:pt idx="4">
                  <c:v>Peak Landing Force</c:v>
                </c:pt>
                <c:pt idx="5">
                  <c:v>Peak Landing Impulse </c:v>
                </c:pt>
              </c:strCache>
            </c:strRef>
          </c:cat>
          <c:val>
            <c:numRef>
              <c:f>Sheet1!$C$4:$C$9</c:f>
              <c:numCache>
                <c:formatCode>General</c:formatCode>
                <c:ptCount val="6"/>
                <c:pt idx="0">
                  <c:v>17.2</c:v>
                </c:pt>
                <c:pt idx="1">
                  <c:v>31.8</c:v>
                </c:pt>
                <c:pt idx="2">
                  <c:v>32</c:v>
                </c:pt>
                <c:pt idx="3">
                  <c:v>10.5</c:v>
                </c:pt>
                <c:pt idx="4">
                  <c:v>9.1999999999999993</c:v>
                </c:pt>
                <c:pt idx="5">
                  <c:v>8.5</c:v>
                </c:pt>
              </c:numCache>
            </c:numRef>
          </c:val>
          <c:extLst>
            <c:ext xmlns:c16="http://schemas.microsoft.com/office/drawing/2014/chart" uri="{C3380CC4-5D6E-409C-BE32-E72D297353CC}">
              <c16:uniqueId val="{00000001-522B-4C3E-8A13-F9588333C338}"/>
            </c:ext>
          </c:extLst>
        </c:ser>
        <c:ser>
          <c:idx val="2"/>
          <c:order val="2"/>
          <c:tx>
            <c:strRef>
              <c:f>Sheet1!$D$3</c:f>
              <c:strCache>
                <c:ptCount val="1"/>
                <c:pt idx="0">
                  <c:v>Post-24</c:v>
                </c:pt>
              </c:strCache>
            </c:strRef>
          </c:tx>
          <c:spPr>
            <a:pattFill prst="wdDnDiag">
              <a:fgClr>
                <a:schemeClr val="tx1"/>
              </a:fgClr>
              <a:bgClr>
                <a:schemeClr val="bg1"/>
              </a:bgClr>
            </a:pattFill>
            <a:ln>
              <a:solidFill>
                <a:schemeClr val="tx1"/>
              </a:solidFill>
            </a:ln>
            <a:effectLst/>
          </c:spPr>
          <c:invertIfNegative val="0"/>
          <c:errBars>
            <c:errBarType val="both"/>
            <c:errValType val="cust"/>
            <c:noEndCap val="0"/>
            <c:plus>
              <c:numRef>
                <c:f>Sheet1!$D$10:$D$15</c:f>
                <c:numCache>
                  <c:formatCode>General</c:formatCode>
                  <c:ptCount val="6"/>
                  <c:pt idx="0">
                    <c:v>3.5</c:v>
                  </c:pt>
                  <c:pt idx="1">
                    <c:v>6.9</c:v>
                  </c:pt>
                  <c:pt idx="2">
                    <c:v>5.9</c:v>
                  </c:pt>
                  <c:pt idx="3">
                    <c:v>12.7</c:v>
                  </c:pt>
                  <c:pt idx="4">
                    <c:v>6.1</c:v>
                  </c:pt>
                  <c:pt idx="5">
                    <c:v>4.3</c:v>
                  </c:pt>
                </c:numCache>
              </c:numRef>
            </c:plus>
            <c:minus>
              <c:numLit>
                <c:formatCode>General</c:formatCode>
                <c:ptCount val="1"/>
                <c:pt idx="0">
                  <c:v>0</c:v>
                </c:pt>
              </c:numLit>
            </c:minus>
            <c:spPr>
              <a:noFill/>
              <a:ln w="9525" cap="flat" cmpd="sng" algn="ctr">
                <a:solidFill>
                  <a:schemeClr val="tx1">
                    <a:lumMod val="65000"/>
                    <a:lumOff val="35000"/>
                  </a:schemeClr>
                </a:solidFill>
                <a:round/>
              </a:ln>
              <a:effectLst/>
            </c:spPr>
          </c:errBars>
          <c:cat>
            <c:strRef>
              <c:f>Sheet1!$A$4:$A$9</c:f>
              <c:strCache>
                <c:ptCount val="6"/>
                <c:pt idx="0">
                  <c:v>Jump Height</c:v>
                </c:pt>
                <c:pt idx="1">
                  <c:v>Peak Force</c:v>
                </c:pt>
                <c:pt idx="2">
                  <c:v>Eccentric Impulse</c:v>
                </c:pt>
                <c:pt idx="3">
                  <c:v>Concentric Impulse</c:v>
                </c:pt>
                <c:pt idx="4">
                  <c:v>Peak Landing Force</c:v>
                </c:pt>
                <c:pt idx="5">
                  <c:v>Peak Landing Impulse </c:v>
                </c:pt>
              </c:strCache>
            </c:strRef>
          </c:cat>
          <c:val>
            <c:numRef>
              <c:f>Sheet1!$D$4:$D$9</c:f>
              <c:numCache>
                <c:formatCode>General</c:formatCode>
                <c:ptCount val="6"/>
                <c:pt idx="0">
                  <c:v>6.5</c:v>
                </c:pt>
                <c:pt idx="1">
                  <c:v>29.5</c:v>
                </c:pt>
                <c:pt idx="2">
                  <c:v>29.2</c:v>
                </c:pt>
                <c:pt idx="3">
                  <c:v>18.5</c:v>
                </c:pt>
                <c:pt idx="4">
                  <c:v>15.2</c:v>
                </c:pt>
                <c:pt idx="5">
                  <c:v>13.1</c:v>
                </c:pt>
              </c:numCache>
            </c:numRef>
          </c:val>
          <c:extLst>
            <c:ext xmlns:c16="http://schemas.microsoft.com/office/drawing/2014/chart" uri="{C3380CC4-5D6E-409C-BE32-E72D297353CC}">
              <c16:uniqueId val="{00000002-522B-4C3E-8A13-F9588333C338}"/>
            </c:ext>
          </c:extLst>
        </c:ser>
        <c:ser>
          <c:idx val="3"/>
          <c:order val="3"/>
          <c:tx>
            <c:strRef>
              <c:f>Sheet1!$E$3</c:f>
              <c:strCache>
                <c:ptCount val="1"/>
                <c:pt idx="0">
                  <c:v>Post-48</c:v>
                </c:pt>
              </c:strCache>
            </c:strRef>
          </c:tx>
          <c:spPr>
            <a:pattFill prst="zigZag">
              <a:fgClr>
                <a:schemeClr val="tx1"/>
              </a:fgClr>
              <a:bgClr>
                <a:schemeClr val="bg1"/>
              </a:bgClr>
            </a:pattFill>
            <a:ln>
              <a:solidFill>
                <a:schemeClr val="tx1"/>
              </a:solidFill>
            </a:ln>
            <a:effectLst/>
          </c:spPr>
          <c:invertIfNegative val="0"/>
          <c:errBars>
            <c:errBarType val="both"/>
            <c:errValType val="cust"/>
            <c:noEndCap val="0"/>
            <c:plus>
              <c:numRef>
                <c:f>Sheet1!$E$10:$E$15</c:f>
                <c:numCache>
                  <c:formatCode>General</c:formatCode>
                  <c:ptCount val="6"/>
                  <c:pt idx="0">
                    <c:v>3.4</c:v>
                  </c:pt>
                  <c:pt idx="1">
                    <c:v>7.2</c:v>
                  </c:pt>
                  <c:pt idx="2">
                    <c:v>8.1999999999999993</c:v>
                  </c:pt>
                  <c:pt idx="3">
                    <c:v>6.3</c:v>
                  </c:pt>
                  <c:pt idx="4">
                    <c:v>4.0999999999999996</c:v>
                  </c:pt>
                  <c:pt idx="5">
                    <c:v>3.7</c:v>
                  </c:pt>
                </c:numCache>
              </c:numRef>
            </c:plus>
            <c:minus>
              <c:numLit>
                <c:formatCode>General</c:formatCode>
                <c:ptCount val="1"/>
                <c:pt idx="0">
                  <c:v>0</c:v>
                </c:pt>
              </c:numLit>
            </c:minus>
            <c:spPr>
              <a:noFill/>
              <a:ln w="9525" cap="flat" cmpd="sng" algn="ctr">
                <a:solidFill>
                  <a:schemeClr val="tx1">
                    <a:lumMod val="65000"/>
                    <a:lumOff val="35000"/>
                  </a:schemeClr>
                </a:solidFill>
                <a:round/>
              </a:ln>
              <a:effectLst/>
            </c:spPr>
          </c:errBars>
          <c:cat>
            <c:strRef>
              <c:f>Sheet1!$A$4:$A$9</c:f>
              <c:strCache>
                <c:ptCount val="6"/>
                <c:pt idx="0">
                  <c:v>Jump Height</c:v>
                </c:pt>
                <c:pt idx="1">
                  <c:v>Peak Force</c:v>
                </c:pt>
                <c:pt idx="2">
                  <c:v>Eccentric Impulse</c:v>
                </c:pt>
                <c:pt idx="3">
                  <c:v>Concentric Impulse</c:v>
                </c:pt>
                <c:pt idx="4">
                  <c:v>Peak Landing Force</c:v>
                </c:pt>
                <c:pt idx="5">
                  <c:v>Peak Landing Impulse </c:v>
                </c:pt>
              </c:strCache>
            </c:strRef>
          </c:cat>
          <c:val>
            <c:numRef>
              <c:f>Sheet1!$E$4:$E$9</c:f>
              <c:numCache>
                <c:formatCode>General</c:formatCode>
                <c:ptCount val="6"/>
                <c:pt idx="0">
                  <c:v>5.5</c:v>
                </c:pt>
                <c:pt idx="1">
                  <c:v>15.5</c:v>
                </c:pt>
                <c:pt idx="2">
                  <c:v>14.3</c:v>
                </c:pt>
                <c:pt idx="3">
                  <c:v>9.9</c:v>
                </c:pt>
                <c:pt idx="4">
                  <c:v>7.3</c:v>
                </c:pt>
                <c:pt idx="5">
                  <c:v>4</c:v>
                </c:pt>
              </c:numCache>
            </c:numRef>
          </c:val>
          <c:extLst>
            <c:ext xmlns:c16="http://schemas.microsoft.com/office/drawing/2014/chart" uri="{C3380CC4-5D6E-409C-BE32-E72D297353CC}">
              <c16:uniqueId val="{00000003-522B-4C3E-8A13-F9588333C338}"/>
            </c:ext>
          </c:extLst>
        </c:ser>
        <c:ser>
          <c:idx val="4"/>
          <c:order val="4"/>
          <c:tx>
            <c:strRef>
              <c:f>Sheet1!$F$3</c:f>
              <c:strCache>
                <c:ptCount val="1"/>
                <c:pt idx="0">
                  <c:v>Post-72</c:v>
                </c:pt>
              </c:strCache>
            </c:strRef>
          </c:tx>
          <c:spPr>
            <a:solidFill>
              <a:schemeClr val="bg1"/>
            </a:solidFill>
            <a:ln>
              <a:solidFill>
                <a:schemeClr val="tx1"/>
              </a:solidFill>
            </a:ln>
            <a:effectLst/>
          </c:spPr>
          <c:invertIfNegative val="0"/>
          <c:errBars>
            <c:errBarType val="both"/>
            <c:errValType val="cust"/>
            <c:noEndCap val="0"/>
            <c:plus>
              <c:numRef>
                <c:f>Sheet1!$F$10:$F$15</c:f>
                <c:numCache>
                  <c:formatCode>General</c:formatCode>
                  <c:ptCount val="6"/>
                  <c:pt idx="0">
                    <c:v>10.199999999999999</c:v>
                  </c:pt>
                  <c:pt idx="1">
                    <c:v>5.9</c:v>
                  </c:pt>
                  <c:pt idx="2">
                    <c:v>6.4</c:v>
                  </c:pt>
                  <c:pt idx="3">
                    <c:v>9.9</c:v>
                  </c:pt>
                  <c:pt idx="4">
                    <c:v>5.4</c:v>
                  </c:pt>
                  <c:pt idx="5">
                    <c:v>2.8</c:v>
                  </c:pt>
                </c:numCache>
              </c:numRef>
            </c:plus>
            <c:minus>
              <c:numLit>
                <c:formatCode>General</c:formatCode>
                <c:ptCount val="1"/>
                <c:pt idx="0">
                  <c:v>0</c:v>
                </c:pt>
              </c:numLit>
            </c:minus>
            <c:spPr>
              <a:noFill/>
              <a:ln w="9525" cap="flat" cmpd="sng" algn="ctr">
                <a:solidFill>
                  <a:schemeClr val="tx1">
                    <a:lumMod val="65000"/>
                    <a:lumOff val="35000"/>
                  </a:schemeClr>
                </a:solidFill>
                <a:round/>
              </a:ln>
              <a:effectLst/>
            </c:spPr>
          </c:errBars>
          <c:cat>
            <c:strRef>
              <c:f>Sheet1!$A$4:$A$9</c:f>
              <c:strCache>
                <c:ptCount val="6"/>
                <c:pt idx="0">
                  <c:v>Jump Height</c:v>
                </c:pt>
                <c:pt idx="1">
                  <c:v>Peak Force</c:v>
                </c:pt>
                <c:pt idx="2">
                  <c:v>Eccentric Impulse</c:v>
                </c:pt>
                <c:pt idx="3">
                  <c:v>Concentric Impulse</c:v>
                </c:pt>
                <c:pt idx="4">
                  <c:v>Peak Landing Force</c:v>
                </c:pt>
                <c:pt idx="5">
                  <c:v>Peak Landing Impulse </c:v>
                </c:pt>
              </c:strCache>
            </c:strRef>
          </c:cat>
          <c:val>
            <c:numRef>
              <c:f>Sheet1!$F$4:$F$9</c:f>
              <c:numCache>
                <c:formatCode>General</c:formatCode>
                <c:ptCount val="6"/>
                <c:pt idx="0">
                  <c:v>20.5</c:v>
                </c:pt>
                <c:pt idx="1">
                  <c:v>20.6</c:v>
                </c:pt>
                <c:pt idx="2">
                  <c:v>21.7</c:v>
                </c:pt>
                <c:pt idx="3">
                  <c:v>15.2</c:v>
                </c:pt>
                <c:pt idx="4">
                  <c:v>13.7</c:v>
                </c:pt>
                <c:pt idx="5">
                  <c:v>5.6</c:v>
                </c:pt>
              </c:numCache>
            </c:numRef>
          </c:val>
          <c:extLst>
            <c:ext xmlns:c16="http://schemas.microsoft.com/office/drawing/2014/chart" uri="{C3380CC4-5D6E-409C-BE32-E72D297353CC}">
              <c16:uniqueId val="{00000004-522B-4C3E-8A13-F9588333C338}"/>
            </c:ext>
          </c:extLst>
        </c:ser>
        <c:dLbls>
          <c:showLegendKey val="0"/>
          <c:showVal val="0"/>
          <c:showCatName val="0"/>
          <c:showSerName val="0"/>
          <c:showPercent val="0"/>
          <c:showBubbleSize val="0"/>
        </c:dLbls>
        <c:gapWidth val="219"/>
        <c:overlap val="-27"/>
        <c:axId val="1815345359"/>
        <c:axId val="1815341199"/>
      </c:barChart>
      <c:catAx>
        <c:axId val="181534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15341199"/>
        <c:crosses val="autoZero"/>
        <c:auto val="1"/>
        <c:lblAlgn val="ctr"/>
        <c:lblOffset val="100"/>
        <c:noMultiLvlLbl val="0"/>
      </c:catAx>
      <c:valAx>
        <c:axId val="1815341199"/>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ASYMMETRY</a:t>
                </a:r>
                <a:r>
                  <a:rPr lang="en-GB" sz="1200" baseline="0">
                    <a:latin typeface="Times New Roman" panose="02020603050405020304" pitchFamily="18" charset="0"/>
                    <a:cs typeface="Times New Roman" panose="02020603050405020304" pitchFamily="18" charset="0"/>
                  </a:rPr>
                  <a:t> %</a:t>
                </a:r>
                <a:endParaRPr lang="en-GB" sz="1200">
                  <a:latin typeface="Times New Roman" panose="02020603050405020304" pitchFamily="18" charset="0"/>
                  <a:cs typeface="Times New Roman" panose="02020603050405020304" pitchFamily="18" charset="0"/>
                </a:endParaRPr>
              </a:p>
            </c:rich>
          </c:tx>
          <c:layout>
            <c:manualLayout>
              <c:xMode val="edge"/>
              <c:yMode val="edge"/>
              <c:x val="6.7290062024689661E-3"/>
              <c:y val="0.3945504476721359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15345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21</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Chris Bishop</cp:lastModifiedBy>
  <cp:revision>35</cp:revision>
  <dcterms:created xsi:type="dcterms:W3CDTF">2018-08-09T07:47:00Z</dcterms:created>
  <dcterms:modified xsi:type="dcterms:W3CDTF">2018-09-16T15:42:00Z</dcterms:modified>
</cp:coreProperties>
</file>