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F8" w:rsidRDefault="008A3DE6" w:rsidP="001D5F12">
      <w:pPr>
        <w:pStyle w:val="Title"/>
        <w:rPr>
          <w:rFonts w:eastAsia="Calibri"/>
        </w:rPr>
      </w:pPr>
      <w:r w:rsidRPr="008A3DE6">
        <w:rPr>
          <w:rFonts w:eastAsia="Calibri"/>
        </w:rPr>
        <w:t>Institutional Path-dependencies</w:t>
      </w:r>
      <w:r w:rsidR="00AF3CF8" w:rsidRPr="008A3DE6">
        <w:rPr>
          <w:rFonts w:eastAsia="Calibri"/>
        </w:rPr>
        <w:t xml:space="preserve"> </w:t>
      </w:r>
      <w:r w:rsidRPr="008A3DE6">
        <w:rPr>
          <w:rFonts w:eastAsia="Calibri"/>
        </w:rPr>
        <w:t>in</w:t>
      </w:r>
      <w:r w:rsidR="00AF3CF8" w:rsidRPr="008A3DE6">
        <w:rPr>
          <w:rFonts w:eastAsia="Calibri"/>
        </w:rPr>
        <w:t xml:space="preserve"> </w:t>
      </w:r>
      <w:r w:rsidRPr="008A3DE6">
        <w:rPr>
          <w:rFonts w:eastAsia="Calibri"/>
        </w:rPr>
        <w:t xml:space="preserve">Europe’s </w:t>
      </w:r>
      <w:r w:rsidR="00AF3CF8" w:rsidRPr="008A3DE6">
        <w:rPr>
          <w:rFonts w:eastAsia="Calibri"/>
        </w:rPr>
        <w:t>Network</w:t>
      </w:r>
      <w:r w:rsidRPr="008A3DE6">
        <w:rPr>
          <w:rFonts w:eastAsia="Calibri"/>
        </w:rPr>
        <w:t>ed Modes of</w:t>
      </w:r>
      <w:r w:rsidR="00AF3CF8" w:rsidRPr="008A3DE6">
        <w:rPr>
          <w:rFonts w:eastAsia="Calibri"/>
        </w:rPr>
        <w:t xml:space="preserve"> Governance</w:t>
      </w:r>
      <w:r w:rsidR="00E9729C">
        <w:rPr>
          <w:rStyle w:val="FootnoteReference"/>
          <w:rFonts w:eastAsia="Calibri"/>
        </w:rPr>
        <w:footnoteReference w:id="1"/>
      </w:r>
    </w:p>
    <w:p w:rsidR="00B85A21" w:rsidRDefault="00B85A21" w:rsidP="00B85A21"/>
    <w:p w:rsidR="00B85A21" w:rsidRPr="00B85A21" w:rsidRDefault="00B85A21" w:rsidP="00B85A21">
      <w:pPr>
        <w:rPr>
          <w:b/>
          <w:sz w:val="28"/>
        </w:rPr>
      </w:pPr>
      <w:r w:rsidRPr="00B85A21">
        <w:rPr>
          <w:b/>
          <w:sz w:val="28"/>
        </w:rPr>
        <w:t>Nina Boeger and Joseph Corkin</w:t>
      </w:r>
      <w:bookmarkStart w:id="0" w:name="_GoBack"/>
      <w:bookmarkEnd w:id="0"/>
    </w:p>
    <w:p w:rsidR="001D5F12" w:rsidRPr="001D5F12" w:rsidRDefault="001D5F12" w:rsidP="001D5F12">
      <w:pPr>
        <w:pStyle w:val="Title"/>
      </w:pPr>
    </w:p>
    <w:p w:rsidR="00AF3CF8" w:rsidRDefault="00A52A1C" w:rsidP="001D5F12">
      <w:pPr>
        <w:spacing w:after="0" w:line="480" w:lineRule="auto"/>
        <w:ind w:left="720"/>
        <w:jc w:val="both"/>
        <w:rPr>
          <w:rFonts w:ascii="Calibri" w:eastAsia="Calibri" w:hAnsi="Calibri" w:cs="Times New Roman"/>
          <w:i/>
        </w:rPr>
      </w:pPr>
      <w:r>
        <w:rPr>
          <w:rFonts w:ascii="Calibri" w:eastAsia="Calibri" w:hAnsi="Calibri" w:cs="Times New Roman"/>
          <w:i/>
        </w:rPr>
        <w:t>We co</w:t>
      </w:r>
      <w:r w:rsidR="00AF3CF8" w:rsidRPr="0079710E">
        <w:rPr>
          <w:rFonts w:ascii="Calibri" w:eastAsia="Calibri" w:hAnsi="Calibri" w:cs="Times New Roman"/>
          <w:i/>
        </w:rPr>
        <w:t xml:space="preserve">nsider whether transnational networks that softly discipline member states (e.g. the OMC or regulatory networks that oversee national discretion in implementing broad EU frameworks) mark a significant turn in European integration or merely </w:t>
      </w:r>
      <w:r w:rsidR="001D5F12">
        <w:rPr>
          <w:rFonts w:ascii="Calibri" w:eastAsia="Calibri" w:hAnsi="Calibri" w:cs="Times New Roman"/>
          <w:i/>
        </w:rPr>
        <w:t xml:space="preserve">a </w:t>
      </w:r>
      <w:r w:rsidR="00AF3CF8" w:rsidRPr="0079710E">
        <w:rPr>
          <w:rFonts w:ascii="Calibri" w:eastAsia="Calibri" w:hAnsi="Calibri" w:cs="Times New Roman"/>
          <w:i/>
        </w:rPr>
        <w:t xml:space="preserve">transitional step towards centralisation (e.g. </w:t>
      </w:r>
      <w:proofErr w:type="spellStart"/>
      <w:r w:rsidR="00AF3CF8" w:rsidRPr="0079710E">
        <w:rPr>
          <w:rFonts w:ascii="Calibri" w:eastAsia="Calibri" w:hAnsi="Calibri" w:cs="Times New Roman"/>
          <w:i/>
        </w:rPr>
        <w:t>agencification</w:t>
      </w:r>
      <w:proofErr w:type="spellEnd"/>
      <w:r w:rsidR="00AF3CF8" w:rsidRPr="0079710E">
        <w:rPr>
          <w:rFonts w:ascii="Calibri" w:eastAsia="Calibri" w:hAnsi="Calibri" w:cs="Times New Roman"/>
          <w:i/>
        </w:rPr>
        <w:t>) and formalisation (subjecting to law)</w:t>
      </w:r>
      <w:r w:rsidR="00281C50">
        <w:rPr>
          <w:rFonts w:ascii="Calibri" w:eastAsia="Calibri" w:hAnsi="Calibri" w:cs="Times New Roman"/>
          <w:i/>
        </w:rPr>
        <w:t>. We</w:t>
      </w:r>
      <w:r w:rsidR="008A3DE6">
        <w:rPr>
          <w:rFonts w:ascii="Calibri" w:eastAsia="Calibri" w:hAnsi="Calibri" w:cs="Times New Roman"/>
          <w:i/>
        </w:rPr>
        <w:t xml:space="preserve"> s</w:t>
      </w:r>
      <w:r w:rsidR="00AF3CF8" w:rsidRPr="0079710E">
        <w:rPr>
          <w:rFonts w:ascii="Calibri" w:eastAsia="Calibri" w:hAnsi="Calibri" w:cs="Times New Roman"/>
          <w:i/>
        </w:rPr>
        <w:t>uggest this requires a closer reading of the institutional changes necessary to bring about centralisation/formalisation</w:t>
      </w:r>
      <w:r w:rsidR="00281C50">
        <w:rPr>
          <w:rFonts w:ascii="Calibri" w:eastAsia="Calibri" w:hAnsi="Calibri" w:cs="Times New Roman"/>
          <w:i/>
        </w:rPr>
        <w:t xml:space="preserve">, </w:t>
      </w:r>
      <w:r w:rsidR="000232A7">
        <w:rPr>
          <w:rFonts w:ascii="Calibri" w:eastAsia="Calibri" w:hAnsi="Calibri" w:cs="Times New Roman"/>
          <w:i/>
        </w:rPr>
        <w:t xml:space="preserve">and ask </w:t>
      </w:r>
      <w:r w:rsidR="00281C50">
        <w:rPr>
          <w:rFonts w:ascii="Calibri" w:eastAsia="Calibri" w:hAnsi="Calibri" w:cs="Times New Roman"/>
          <w:i/>
        </w:rPr>
        <w:t>particular</w:t>
      </w:r>
      <w:r w:rsidR="000232A7">
        <w:rPr>
          <w:rFonts w:ascii="Calibri" w:eastAsia="Calibri" w:hAnsi="Calibri" w:cs="Times New Roman"/>
          <w:i/>
        </w:rPr>
        <w:t>ly</w:t>
      </w:r>
      <w:r w:rsidR="00281C50">
        <w:rPr>
          <w:rFonts w:ascii="Calibri" w:eastAsia="Calibri" w:hAnsi="Calibri" w:cs="Times New Roman"/>
          <w:i/>
        </w:rPr>
        <w:t xml:space="preserve"> </w:t>
      </w:r>
      <w:r w:rsidR="00AF3CF8" w:rsidRPr="0079710E">
        <w:rPr>
          <w:rFonts w:ascii="Calibri" w:eastAsia="Calibri" w:hAnsi="Calibri" w:cs="Times New Roman"/>
          <w:i/>
        </w:rPr>
        <w:t xml:space="preserve">whether change might be partially attributable to the very institutional-agents </w:t>
      </w:r>
      <w:r w:rsidR="000232A7">
        <w:rPr>
          <w:rFonts w:ascii="Calibri" w:eastAsia="Calibri" w:hAnsi="Calibri" w:cs="Times New Roman"/>
          <w:i/>
        </w:rPr>
        <w:t xml:space="preserve">operating inside </w:t>
      </w:r>
      <w:r w:rsidR="0021664B">
        <w:rPr>
          <w:rFonts w:ascii="Calibri" w:eastAsia="Calibri" w:hAnsi="Calibri" w:cs="Times New Roman"/>
          <w:i/>
        </w:rPr>
        <w:t xml:space="preserve">Europe’s </w:t>
      </w:r>
      <w:r w:rsidR="000232A7">
        <w:rPr>
          <w:rFonts w:ascii="Calibri" w:eastAsia="Calibri" w:hAnsi="Calibri" w:cs="Times New Roman"/>
          <w:i/>
        </w:rPr>
        <w:t>networked modes of governance</w:t>
      </w:r>
      <w:r w:rsidR="00AF3CF8" w:rsidRPr="0079710E">
        <w:rPr>
          <w:rFonts w:ascii="Calibri" w:eastAsia="Calibri" w:hAnsi="Calibri" w:cs="Times New Roman"/>
          <w:i/>
        </w:rPr>
        <w:t xml:space="preserve">. </w:t>
      </w:r>
      <w:r w:rsidR="0021664B">
        <w:rPr>
          <w:rFonts w:ascii="Calibri" w:eastAsia="Calibri" w:hAnsi="Calibri" w:cs="Times New Roman"/>
          <w:i/>
        </w:rPr>
        <w:t>Supplementing functional-political explanations, w</w:t>
      </w:r>
      <w:r>
        <w:rPr>
          <w:rFonts w:ascii="Calibri" w:eastAsia="Calibri" w:hAnsi="Calibri" w:cs="Times New Roman"/>
          <w:i/>
        </w:rPr>
        <w:t>e propose</w:t>
      </w:r>
      <w:r w:rsidR="00AF3CF8" w:rsidRPr="0079710E">
        <w:rPr>
          <w:rFonts w:ascii="Calibri" w:eastAsia="Calibri" w:hAnsi="Calibri" w:cs="Times New Roman"/>
          <w:i/>
        </w:rPr>
        <w:t xml:space="preserve"> an endogenous model </w:t>
      </w:r>
      <w:r w:rsidR="00281C50">
        <w:rPr>
          <w:rFonts w:ascii="Calibri" w:eastAsia="Calibri" w:hAnsi="Calibri" w:cs="Times New Roman"/>
          <w:i/>
        </w:rPr>
        <w:t xml:space="preserve">of institutional change </w:t>
      </w:r>
      <w:r w:rsidR="00AF3CF8" w:rsidRPr="0079710E">
        <w:rPr>
          <w:rFonts w:ascii="Calibri" w:eastAsia="Calibri" w:hAnsi="Calibri" w:cs="Times New Roman"/>
          <w:i/>
        </w:rPr>
        <w:t>that in</w:t>
      </w:r>
      <w:r>
        <w:rPr>
          <w:rFonts w:ascii="Calibri" w:eastAsia="Calibri" w:hAnsi="Calibri" w:cs="Times New Roman"/>
          <w:i/>
        </w:rPr>
        <w:t xml:space="preserve">corporates the independent role </w:t>
      </w:r>
      <w:r w:rsidR="00AF3CF8" w:rsidRPr="0079710E">
        <w:rPr>
          <w:rFonts w:ascii="Calibri" w:eastAsia="Calibri" w:hAnsi="Calibri" w:cs="Times New Roman"/>
          <w:i/>
        </w:rPr>
        <w:t>transnational networks play in shaping their own institutionalisation, which may make this mode of governance more resilient</w:t>
      </w:r>
      <w:r w:rsidR="008A3DE6">
        <w:rPr>
          <w:rFonts w:ascii="Calibri" w:eastAsia="Calibri" w:hAnsi="Calibri" w:cs="Times New Roman"/>
          <w:i/>
        </w:rPr>
        <w:t xml:space="preserve"> and</w:t>
      </w:r>
      <w:r w:rsidR="00AF3CF8" w:rsidRPr="0079710E">
        <w:rPr>
          <w:rFonts w:ascii="Calibri" w:eastAsia="Calibri" w:hAnsi="Calibri" w:cs="Times New Roman"/>
          <w:i/>
        </w:rPr>
        <w:t xml:space="preserve"> even self-reinforcing</w:t>
      </w:r>
      <w:r w:rsidR="00281C50">
        <w:rPr>
          <w:rFonts w:ascii="Calibri" w:eastAsia="Calibri" w:hAnsi="Calibri" w:cs="Times New Roman"/>
          <w:i/>
        </w:rPr>
        <w:t xml:space="preserve">. We </w:t>
      </w:r>
      <w:r>
        <w:rPr>
          <w:rFonts w:ascii="Calibri" w:eastAsia="Calibri" w:hAnsi="Calibri" w:cs="Times New Roman"/>
          <w:i/>
        </w:rPr>
        <w:t>test</w:t>
      </w:r>
      <w:r w:rsidR="00AF3CF8" w:rsidRPr="0079710E">
        <w:rPr>
          <w:rFonts w:ascii="Calibri" w:eastAsia="Calibri" w:hAnsi="Calibri" w:cs="Times New Roman"/>
          <w:i/>
        </w:rPr>
        <w:t xml:space="preserve"> </w:t>
      </w:r>
      <w:r w:rsidR="000232A7">
        <w:rPr>
          <w:rFonts w:ascii="Calibri" w:eastAsia="Calibri" w:hAnsi="Calibri" w:cs="Times New Roman"/>
          <w:i/>
        </w:rPr>
        <w:t>the</w:t>
      </w:r>
      <w:r w:rsidR="002125F2">
        <w:rPr>
          <w:rFonts w:ascii="Calibri" w:eastAsia="Calibri" w:hAnsi="Calibri" w:cs="Times New Roman"/>
          <w:i/>
        </w:rPr>
        <w:t xml:space="preserve"> </w:t>
      </w:r>
      <w:r w:rsidR="00AF3CF8" w:rsidRPr="0079710E">
        <w:rPr>
          <w:rFonts w:ascii="Calibri" w:eastAsia="Calibri" w:hAnsi="Calibri" w:cs="Times New Roman"/>
          <w:i/>
        </w:rPr>
        <w:t>p</w:t>
      </w:r>
      <w:r>
        <w:rPr>
          <w:rFonts w:ascii="Calibri" w:eastAsia="Calibri" w:hAnsi="Calibri" w:cs="Times New Roman"/>
          <w:i/>
        </w:rPr>
        <w:t>lausibility</w:t>
      </w:r>
      <w:r w:rsidR="000232A7">
        <w:rPr>
          <w:rFonts w:ascii="Calibri" w:eastAsia="Calibri" w:hAnsi="Calibri" w:cs="Times New Roman"/>
          <w:i/>
        </w:rPr>
        <w:t xml:space="preserve"> of this model</w:t>
      </w:r>
      <w:r>
        <w:rPr>
          <w:rFonts w:ascii="Calibri" w:eastAsia="Calibri" w:hAnsi="Calibri" w:cs="Times New Roman"/>
          <w:i/>
        </w:rPr>
        <w:t xml:space="preserve"> with a case study </w:t>
      </w:r>
      <w:r w:rsidR="00AF3CF8" w:rsidRPr="0079710E">
        <w:rPr>
          <w:rFonts w:ascii="Calibri" w:eastAsia="Calibri" w:hAnsi="Calibri" w:cs="Times New Roman"/>
          <w:i/>
        </w:rPr>
        <w:t>detail</w:t>
      </w:r>
      <w:r>
        <w:rPr>
          <w:rFonts w:ascii="Calibri" w:eastAsia="Calibri" w:hAnsi="Calibri" w:cs="Times New Roman"/>
          <w:i/>
        </w:rPr>
        <w:t>ing</w:t>
      </w:r>
      <w:r w:rsidR="00AF3CF8" w:rsidRPr="0079710E">
        <w:rPr>
          <w:rFonts w:ascii="Calibri" w:eastAsia="Calibri" w:hAnsi="Calibri" w:cs="Times New Roman"/>
          <w:i/>
        </w:rPr>
        <w:t xml:space="preserve"> the institutional entrepreneurship</w:t>
      </w:r>
      <w:r w:rsidR="00281C50">
        <w:rPr>
          <w:rFonts w:ascii="Calibri" w:eastAsia="Calibri" w:hAnsi="Calibri" w:cs="Times New Roman"/>
          <w:i/>
        </w:rPr>
        <w:t xml:space="preserve"> </w:t>
      </w:r>
      <w:r w:rsidR="000232A7">
        <w:rPr>
          <w:rFonts w:ascii="Calibri" w:eastAsia="Calibri" w:hAnsi="Calibri" w:cs="Times New Roman"/>
          <w:i/>
        </w:rPr>
        <w:t xml:space="preserve">of transnational networks </w:t>
      </w:r>
      <w:r w:rsidR="00281C50">
        <w:rPr>
          <w:rFonts w:ascii="Calibri" w:eastAsia="Calibri" w:hAnsi="Calibri" w:cs="Times New Roman"/>
          <w:i/>
        </w:rPr>
        <w:t>in the telecoms sector</w:t>
      </w:r>
      <w:r w:rsidR="00AF3CF8" w:rsidRPr="0079710E">
        <w:rPr>
          <w:rFonts w:ascii="Calibri" w:eastAsia="Calibri" w:hAnsi="Calibri" w:cs="Times New Roman"/>
          <w:i/>
        </w:rPr>
        <w:t xml:space="preserve">. </w:t>
      </w:r>
    </w:p>
    <w:p w:rsidR="001D5F12" w:rsidRPr="0079710E" w:rsidRDefault="001D5F12" w:rsidP="001D5F12">
      <w:pPr>
        <w:pStyle w:val="Heading1"/>
        <w:rPr>
          <w:rFonts w:eastAsia="Calibri"/>
        </w:rPr>
      </w:pPr>
      <w:r>
        <w:rPr>
          <w:rFonts w:eastAsia="Calibri"/>
        </w:rPr>
        <w:t>Introduction</w:t>
      </w:r>
    </w:p>
    <w:p w:rsidR="00AF3CF8" w:rsidRDefault="00AF3CF8" w:rsidP="001D5F12">
      <w:pPr>
        <w:spacing w:after="0" w:line="480" w:lineRule="auto"/>
        <w:jc w:val="both"/>
        <w:rPr>
          <w:rFonts w:ascii="Calibri" w:eastAsia="Calibri" w:hAnsi="Calibri" w:cs="Times New Roman"/>
        </w:rPr>
      </w:pPr>
    </w:p>
    <w:p w:rsidR="002F1238" w:rsidRDefault="002F1238" w:rsidP="001D5F12">
      <w:pPr>
        <w:spacing w:after="0" w:line="480" w:lineRule="auto"/>
        <w:jc w:val="both"/>
        <w:rPr>
          <w:rFonts w:ascii="Calibri" w:eastAsia="Calibri" w:hAnsi="Calibri" w:cs="Times New Roman"/>
        </w:rPr>
      </w:pPr>
      <w:r w:rsidRPr="00032942">
        <w:rPr>
          <w:rFonts w:ascii="Calibri" w:eastAsia="Calibri" w:hAnsi="Calibri" w:cs="Times New Roman"/>
        </w:rPr>
        <w:t xml:space="preserve">Journals </w:t>
      </w:r>
      <w:r>
        <w:rPr>
          <w:rFonts w:ascii="Calibri" w:eastAsia="Calibri" w:hAnsi="Calibri" w:cs="Times New Roman"/>
        </w:rPr>
        <w:t xml:space="preserve">that were </w:t>
      </w:r>
      <w:r w:rsidRPr="00032942">
        <w:rPr>
          <w:rFonts w:ascii="Calibri" w:eastAsia="Calibri" w:hAnsi="Calibri" w:cs="Times New Roman"/>
        </w:rPr>
        <w:t xml:space="preserve">once full of articles analysing the process of European integration are now full of articles analysing the EU as a system of governance. We </w:t>
      </w:r>
      <w:r>
        <w:rPr>
          <w:rFonts w:ascii="Calibri" w:eastAsia="Calibri" w:hAnsi="Calibri" w:cs="Times New Roman"/>
        </w:rPr>
        <w:t xml:space="preserve">consider it necessary to </w:t>
      </w:r>
      <w:r w:rsidRPr="00032942">
        <w:rPr>
          <w:rFonts w:ascii="Calibri" w:eastAsia="Calibri" w:hAnsi="Calibri" w:cs="Times New Roman"/>
        </w:rPr>
        <w:t>combine the two, on the basis tha</w:t>
      </w:r>
      <w:r>
        <w:rPr>
          <w:rFonts w:ascii="Calibri" w:eastAsia="Calibri" w:hAnsi="Calibri" w:cs="Times New Roman"/>
        </w:rPr>
        <w:t>t understanding how Europe</w:t>
      </w:r>
      <w:r w:rsidRPr="00032942">
        <w:rPr>
          <w:rFonts w:ascii="Calibri" w:eastAsia="Calibri" w:hAnsi="Calibri" w:cs="Times New Roman"/>
        </w:rPr>
        <w:t xml:space="preserve"> now integrates requires </w:t>
      </w:r>
      <w:r>
        <w:rPr>
          <w:rFonts w:ascii="Calibri" w:eastAsia="Calibri" w:hAnsi="Calibri" w:cs="Times New Roman"/>
        </w:rPr>
        <w:t xml:space="preserve">that we </w:t>
      </w:r>
      <w:r w:rsidRPr="00032942">
        <w:rPr>
          <w:rFonts w:ascii="Calibri" w:eastAsia="Calibri" w:hAnsi="Calibri" w:cs="Times New Roman"/>
        </w:rPr>
        <w:t xml:space="preserve">understand the EU as a system of </w:t>
      </w:r>
      <w:r w:rsidRPr="00032942">
        <w:rPr>
          <w:rFonts w:ascii="Calibri" w:eastAsia="Calibri" w:hAnsi="Calibri" w:cs="Times New Roman"/>
        </w:rPr>
        <w:lastRenderedPageBreak/>
        <w:t>governance</w:t>
      </w:r>
      <w:r>
        <w:rPr>
          <w:rFonts w:ascii="Calibri" w:eastAsia="Calibri" w:hAnsi="Calibri" w:cs="Times New Roman"/>
        </w:rPr>
        <w:t xml:space="preserve"> because</w:t>
      </w:r>
      <w:r w:rsidRPr="00032942">
        <w:rPr>
          <w:rFonts w:ascii="Calibri" w:eastAsia="Calibri" w:hAnsi="Calibri" w:cs="Times New Roman"/>
        </w:rPr>
        <w:t xml:space="preserve"> the layer of institutions that make up </w:t>
      </w:r>
      <w:r>
        <w:rPr>
          <w:rFonts w:ascii="Calibri" w:eastAsia="Calibri" w:hAnsi="Calibri" w:cs="Times New Roman"/>
        </w:rPr>
        <w:t>this system</w:t>
      </w:r>
      <w:r w:rsidRPr="00032942">
        <w:rPr>
          <w:rFonts w:ascii="Calibri" w:eastAsia="Calibri" w:hAnsi="Calibri" w:cs="Times New Roman"/>
        </w:rPr>
        <w:t xml:space="preserve"> (EU agencies, transnational networks, intergovernmental committees</w:t>
      </w:r>
      <w:r>
        <w:rPr>
          <w:rFonts w:ascii="Calibri" w:eastAsia="Calibri" w:hAnsi="Calibri" w:cs="Times New Roman"/>
        </w:rPr>
        <w:t>,</w:t>
      </w:r>
      <w:r w:rsidRPr="00032942">
        <w:rPr>
          <w:rFonts w:ascii="Calibri" w:eastAsia="Calibri" w:hAnsi="Calibri" w:cs="Times New Roman"/>
        </w:rPr>
        <w:t xml:space="preserve"> working groups etc.) </w:t>
      </w:r>
      <w:r>
        <w:rPr>
          <w:rFonts w:ascii="Calibri" w:eastAsia="Calibri" w:hAnsi="Calibri" w:cs="Times New Roman"/>
        </w:rPr>
        <w:t>are perfectly capable of influencing</w:t>
      </w:r>
      <w:r w:rsidRPr="00032942">
        <w:rPr>
          <w:rFonts w:ascii="Calibri" w:eastAsia="Calibri" w:hAnsi="Calibri" w:cs="Times New Roman"/>
        </w:rPr>
        <w:t xml:space="preserve"> </w:t>
      </w:r>
      <w:r>
        <w:rPr>
          <w:rFonts w:ascii="Calibri" w:eastAsia="Calibri" w:hAnsi="Calibri" w:cs="Times New Roman"/>
        </w:rPr>
        <w:t>their</w:t>
      </w:r>
      <w:r w:rsidRPr="00032942">
        <w:rPr>
          <w:rFonts w:ascii="Calibri" w:eastAsia="Calibri" w:hAnsi="Calibri" w:cs="Times New Roman"/>
        </w:rPr>
        <w:t xml:space="preserve"> own institutionalisation and </w:t>
      </w:r>
      <w:r>
        <w:rPr>
          <w:rFonts w:ascii="Calibri" w:eastAsia="Calibri" w:hAnsi="Calibri" w:cs="Times New Roman"/>
        </w:rPr>
        <w:t xml:space="preserve">consequently the direction that integration takes. Related to this is the idea that we can no longer read </w:t>
      </w:r>
      <w:r w:rsidR="00220C4B">
        <w:rPr>
          <w:rFonts w:ascii="Calibri" w:eastAsia="Calibri" w:hAnsi="Calibri" w:cs="Times New Roman"/>
        </w:rPr>
        <w:t xml:space="preserve">integration </w:t>
      </w:r>
      <w:r w:rsidR="00F12140">
        <w:rPr>
          <w:rFonts w:ascii="Calibri" w:eastAsia="Calibri" w:hAnsi="Calibri" w:cs="Times New Roman"/>
        </w:rPr>
        <w:t xml:space="preserve">simply </w:t>
      </w:r>
      <w:r w:rsidR="008F0B0F">
        <w:rPr>
          <w:rFonts w:ascii="Calibri" w:eastAsia="Calibri" w:hAnsi="Calibri" w:cs="Times New Roman"/>
        </w:rPr>
        <w:t>as</w:t>
      </w:r>
      <w:r w:rsidR="00220C4B">
        <w:rPr>
          <w:rFonts w:ascii="Calibri" w:eastAsia="Calibri" w:hAnsi="Calibri" w:cs="Times New Roman"/>
        </w:rPr>
        <w:t xml:space="preserve"> </w:t>
      </w:r>
      <w:r w:rsidR="008F0B0F">
        <w:rPr>
          <w:rFonts w:ascii="Calibri" w:eastAsia="Calibri" w:hAnsi="Calibri" w:cs="Times New Roman"/>
        </w:rPr>
        <w:t xml:space="preserve">a process of </w:t>
      </w:r>
      <w:r w:rsidR="00075F32" w:rsidRPr="00C5306C">
        <w:rPr>
          <w:rFonts w:ascii="Calibri" w:eastAsia="Calibri" w:hAnsi="Calibri" w:cs="Times New Roman"/>
        </w:rPr>
        <w:t>centralis</w:t>
      </w:r>
      <w:r w:rsidR="00220C4B">
        <w:rPr>
          <w:rFonts w:ascii="Calibri" w:eastAsia="Calibri" w:hAnsi="Calibri" w:cs="Times New Roman"/>
        </w:rPr>
        <w:t>ation</w:t>
      </w:r>
      <w:r w:rsidR="00075F32" w:rsidRPr="00C5306C">
        <w:rPr>
          <w:rFonts w:ascii="Calibri" w:eastAsia="Calibri" w:hAnsi="Calibri" w:cs="Times New Roman"/>
        </w:rPr>
        <w:t xml:space="preserve"> </w:t>
      </w:r>
      <w:r w:rsidR="00220C4B">
        <w:rPr>
          <w:rFonts w:ascii="Calibri" w:eastAsia="Calibri" w:hAnsi="Calibri" w:cs="Times New Roman"/>
        </w:rPr>
        <w:t>(</w:t>
      </w:r>
      <w:proofErr w:type="spellStart"/>
      <w:r w:rsidR="00220C4B">
        <w:rPr>
          <w:rFonts w:ascii="Calibri" w:eastAsia="Calibri" w:hAnsi="Calibri" w:cs="Times New Roman"/>
        </w:rPr>
        <w:t>supranationalism</w:t>
      </w:r>
      <w:proofErr w:type="spellEnd"/>
      <w:r w:rsidR="00220C4B">
        <w:rPr>
          <w:rFonts w:ascii="Calibri" w:eastAsia="Calibri" w:hAnsi="Calibri" w:cs="Times New Roman"/>
        </w:rPr>
        <w:t xml:space="preserve">) </w:t>
      </w:r>
      <w:r w:rsidR="00075F32" w:rsidRPr="00C5306C">
        <w:rPr>
          <w:rFonts w:ascii="Calibri" w:eastAsia="Calibri" w:hAnsi="Calibri" w:cs="Times New Roman"/>
        </w:rPr>
        <w:t>and formalis</w:t>
      </w:r>
      <w:r w:rsidR="00220C4B">
        <w:rPr>
          <w:rFonts w:ascii="Calibri" w:eastAsia="Calibri" w:hAnsi="Calibri" w:cs="Times New Roman"/>
        </w:rPr>
        <w:t>ation (</w:t>
      </w:r>
      <w:r w:rsidR="00FF13E6">
        <w:rPr>
          <w:rFonts w:ascii="Calibri" w:eastAsia="Calibri" w:hAnsi="Calibri" w:cs="Times New Roman"/>
        </w:rPr>
        <w:t xml:space="preserve">subjecting to </w:t>
      </w:r>
      <w:r w:rsidR="00220C4B">
        <w:rPr>
          <w:rFonts w:ascii="Calibri" w:eastAsia="Calibri" w:hAnsi="Calibri" w:cs="Times New Roman"/>
        </w:rPr>
        <w:t>law)</w:t>
      </w:r>
      <w:r w:rsidR="00FF13E6">
        <w:rPr>
          <w:rFonts w:ascii="Calibri" w:eastAsia="Calibri" w:hAnsi="Calibri" w:cs="Times New Roman"/>
        </w:rPr>
        <w:t xml:space="preserve"> </w:t>
      </w:r>
      <w:r>
        <w:rPr>
          <w:rFonts w:ascii="Calibri" w:eastAsia="Calibri" w:hAnsi="Calibri" w:cs="Times New Roman"/>
        </w:rPr>
        <w:t>without</w:t>
      </w:r>
      <w:r w:rsidR="00FF13E6">
        <w:rPr>
          <w:rFonts w:ascii="Calibri" w:eastAsia="Calibri" w:hAnsi="Calibri" w:cs="Times New Roman"/>
        </w:rPr>
        <w:t xml:space="preserve"> </w:t>
      </w:r>
      <w:r w:rsidR="003841D5">
        <w:rPr>
          <w:rFonts w:ascii="Calibri" w:eastAsia="Calibri" w:hAnsi="Calibri" w:cs="Times New Roman"/>
        </w:rPr>
        <w:t>neglect</w:t>
      </w:r>
      <w:r w:rsidR="00206DDF">
        <w:rPr>
          <w:rFonts w:ascii="Calibri" w:eastAsia="Calibri" w:hAnsi="Calibri" w:cs="Times New Roman"/>
        </w:rPr>
        <w:t>ing</w:t>
      </w:r>
      <w:r w:rsidR="00FF13E6">
        <w:rPr>
          <w:rFonts w:ascii="Calibri" w:eastAsia="Calibri" w:hAnsi="Calibri" w:cs="Times New Roman"/>
        </w:rPr>
        <w:t xml:space="preserve"> that </w:t>
      </w:r>
      <w:r w:rsidR="00FA3909">
        <w:rPr>
          <w:rFonts w:ascii="Calibri" w:eastAsia="Calibri" w:hAnsi="Calibri" w:cs="Times New Roman"/>
        </w:rPr>
        <w:t>it</w:t>
      </w:r>
      <w:r w:rsidR="008F0B0F">
        <w:rPr>
          <w:rFonts w:ascii="Calibri" w:eastAsia="Calibri" w:hAnsi="Calibri" w:cs="Times New Roman"/>
        </w:rPr>
        <w:t xml:space="preserve"> </w:t>
      </w:r>
      <w:r w:rsidR="00FF13E6">
        <w:rPr>
          <w:rFonts w:ascii="Calibri" w:eastAsia="Calibri" w:hAnsi="Calibri" w:cs="Times New Roman"/>
        </w:rPr>
        <w:t>happen</w:t>
      </w:r>
      <w:r w:rsidR="00FA3909">
        <w:rPr>
          <w:rFonts w:ascii="Calibri" w:eastAsia="Calibri" w:hAnsi="Calibri" w:cs="Times New Roman"/>
        </w:rPr>
        <w:t xml:space="preserve">s </w:t>
      </w:r>
      <w:r>
        <w:rPr>
          <w:rFonts w:ascii="Calibri" w:eastAsia="Calibri" w:hAnsi="Calibri" w:cs="Times New Roman"/>
        </w:rPr>
        <w:t>increasin</w:t>
      </w:r>
      <w:r w:rsidR="00EF1241">
        <w:rPr>
          <w:rFonts w:ascii="Calibri" w:eastAsia="Calibri" w:hAnsi="Calibri" w:cs="Times New Roman"/>
        </w:rPr>
        <w:t>g</w:t>
      </w:r>
      <w:r>
        <w:rPr>
          <w:rFonts w:ascii="Calibri" w:eastAsia="Calibri" w:hAnsi="Calibri" w:cs="Times New Roman"/>
        </w:rPr>
        <w:t>ly</w:t>
      </w:r>
      <w:r w:rsidR="008F0B0F">
        <w:rPr>
          <w:rFonts w:ascii="Calibri" w:eastAsia="Calibri" w:hAnsi="Calibri" w:cs="Times New Roman"/>
        </w:rPr>
        <w:t xml:space="preserve"> through</w:t>
      </w:r>
      <w:r w:rsidR="009A5900">
        <w:rPr>
          <w:rFonts w:ascii="Calibri" w:eastAsia="Calibri" w:hAnsi="Calibri" w:cs="Times New Roman"/>
        </w:rPr>
        <w:t xml:space="preserve"> </w:t>
      </w:r>
      <w:r w:rsidR="00220C4B">
        <w:rPr>
          <w:rFonts w:ascii="Calibri" w:eastAsia="Calibri" w:hAnsi="Calibri" w:cs="Times New Roman"/>
        </w:rPr>
        <w:t xml:space="preserve">transnational </w:t>
      </w:r>
      <w:r w:rsidR="00075F32" w:rsidRPr="00C5306C">
        <w:rPr>
          <w:rFonts w:ascii="Calibri" w:eastAsia="Calibri" w:hAnsi="Calibri" w:cs="Times New Roman"/>
        </w:rPr>
        <w:t>network</w:t>
      </w:r>
      <w:r w:rsidR="00220C4B">
        <w:rPr>
          <w:rFonts w:ascii="Calibri" w:eastAsia="Calibri" w:hAnsi="Calibri" w:cs="Times New Roman"/>
        </w:rPr>
        <w:t>s</w:t>
      </w:r>
      <w:r w:rsidR="00075F32" w:rsidRPr="00C5306C">
        <w:rPr>
          <w:rFonts w:ascii="Calibri" w:eastAsia="Calibri" w:hAnsi="Calibri" w:cs="Times New Roman"/>
        </w:rPr>
        <w:t xml:space="preserve"> </w:t>
      </w:r>
      <w:r w:rsidR="00147D18" w:rsidRPr="00147D18">
        <w:rPr>
          <w:rFonts w:ascii="Calibri" w:eastAsia="Calibri" w:hAnsi="Calibri" w:cs="Times New Roman"/>
        </w:rPr>
        <w:t xml:space="preserve">that </w:t>
      </w:r>
      <w:r w:rsidR="00147D18">
        <w:rPr>
          <w:rFonts w:ascii="Calibri" w:eastAsia="Calibri" w:hAnsi="Calibri" w:cs="Times New Roman"/>
        </w:rPr>
        <w:t xml:space="preserve">only </w:t>
      </w:r>
      <w:r w:rsidR="00147D18" w:rsidRPr="00147D18">
        <w:rPr>
          <w:rFonts w:ascii="Calibri" w:eastAsia="Calibri" w:hAnsi="Calibri" w:cs="Times New Roman"/>
        </w:rPr>
        <w:t xml:space="preserve">softly discipline </w:t>
      </w:r>
      <w:r w:rsidR="008F0B0F">
        <w:rPr>
          <w:rFonts w:ascii="Calibri" w:eastAsia="Calibri" w:hAnsi="Calibri" w:cs="Times New Roman"/>
        </w:rPr>
        <w:t>member s</w:t>
      </w:r>
      <w:r w:rsidR="00147D18" w:rsidRPr="00147D18">
        <w:rPr>
          <w:rFonts w:ascii="Calibri" w:eastAsia="Calibri" w:hAnsi="Calibri" w:cs="Times New Roman"/>
        </w:rPr>
        <w:t xml:space="preserve">tates </w:t>
      </w:r>
      <w:r w:rsidR="009A5900">
        <w:rPr>
          <w:rFonts w:ascii="Calibri" w:eastAsia="Calibri" w:hAnsi="Calibri" w:cs="Times New Roman"/>
        </w:rPr>
        <w:t>using</w:t>
      </w:r>
      <w:r w:rsidR="00147D18" w:rsidRPr="00147D18">
        <w:rPr>
          <w:rFonts w:ascii="Calibri" w:eastAsia="Calibri" w:hAnsi="Calibri" w:cs="Times New Roman"/>
        </w:rPr>
        <w:t xml:space="preserve"> </w:t>
      </w:r>
      <w:r w:rsidR="00F01677">
        <w:rPr>
          <w:rFonts w:ascii="Calibri" w:eastAsia="Calibri" w:hAnsi="Calibri" w:cs="Times New Roman"/>
        </w:rPr>
        <w:t xml:space="preserve">mechanisms such as </w:t>
      </w:r>
      <w:r w:rsidR="00147D18" w:rsidRPr="00147D18">
        <w:rPr>
          <w:rFonts w:ascii="Calibri" w:eastAsia="Calibri" w:hAnsi="Calibri" w:cs="Times New Roman"/>
        </w:rPr>
        <w:t>peer-review, -monitoring and -evaluation</w:t>
      </w:r>
      <w:r w:rsidR="007310CA">
        <w:rPr>
          <w:rFonts w:ascii="Calibri" w:eastAsia="Calibri" w:hAnsi="Calibri" w:cs="Times New Roman"/>
        </w:rPr>
        <w:t>, the exchange of best practice and</w:t>
      </w:r>
      <w:r w:rsidR="00147D18" w:rsidRPr="00147D18">
        <w:rPr>
          <w:rFonts w:ascii="Calibri" w:eastAsia="Calibri" w:hAnsi="Calibri" w:cs="Times New Roman"/>
        </w:rPr>
        <w:t xml:space="preserve"> benchmarking </w:t>
      </w:r>
      <w:r w:rsidR="00075F32" w:rsidRPr="00C5306C">
        <w:rPr>
          <w:rFonts w:ascii="Calibri" w:eastAsia="Calibri" w:hAnsi="Calibri" w:cs="Times New Roman"/>
        </w:rPr>
        <w:t>(</w:t>
      </w:r>
      <w:r w:rsidR="002566A7" w:rsidRPr="00C5306C">
        <w:rPr>
          <w:rFonts w:ascii="Calibri" w:eastAsia="Calibri" w:hAnsi="Calibri" w:cs="Times New Roman"/>
        </w:rPr>
        <w:t xml:space="preserve">Coen and Thatcher, 2008; </w:t>
      </w:r>
      <w:proofErr w:type="spellStart"/>
      <w:r w:rsidR="002566A7" w:rsidRPr="00C5306C">
        <w:rPr>
          <w:rFonts w:ascii="Calibri" w:eastAsia="Calibri" w:hAnsi="Calibri" w:cs="Times New Roman"/>
        </w:rPr>
        <w:t>Eberlein</w:t>
      </w:r>
      <w:proofErr w:type="spellEnd"/>
      <w:r w:rsidR="002566A7" w:rsidRPr="00C5306C">
        <w:rPr>
          <w:rFonts w:ascii="Calibri" w:eastAsia="Calibri" w:hAnsi="Calibri" w:cs="Times New Roman"/>
        </w:rPr>
        <w:t xml:space="preserve"> and Newman, 2008; </w:t>
      </w:r>
      <w:proofErr w:type="spellStart"/>
      <w:r w:rsidR="002566A7" w:rsidRPr="00C5306C">
        <w:rPr>
          <w:rFonts w:ascii="Calibri" w:eastAsia="Calibri" w:hAnsi="Calibri" w:cs="Times New Roman"/>
        </w:rPr>
        <w:t>Sabel</w:t>
      </w:r>
      <w:proofErr w:type="spellEnd"/>
      <w:r w:rsidR="002566A7" w:rsidRPr="00C5306C">
        <w:rPr>
          <w:rFonts w:ascii="Calibri" w:eastAsia="Calibri" w:hAnsi="Calibri" w:cs="Times New Roman"/>
        </w:rPr>
        <w:t xml:space="preserve"> and Zeitlin, 2010</w:t>
      </w:r>
      <w:r w:rsidR="00A964EF">
        <w:rPr>
          <w:rFonts w:ascii="Calibri" w:eastAsia="Calibri" w:hAnsi="Calibri" w:cs="Times New Roman"/>
        </w:rPr>
        <w:t xml:space="preserve">; </w:t>
      </w:r>
      <w:proofErr w:type="spellStart"/>
      <w:r w:rsidR="00075F32" w:rsidRPr="00C5306C">
        <w:rPr>
          <w:rFonts w:ascii="Calibri" w:eastAsia="Calibri" w:hAnsi="Calibri" w:cs="Times New Roman"/>
        </w:rPr>
        <w:t>Bl</w:t>
      </w:r>
      <w:r w:rsidR="009A5900">
        <w:rPr>
          <w:rFonts w:ascii="Calibri" w:eastAsia="Calibri" w:hAnsi="Calibri" w:cs="Times New Roman"/>
        </w:rPr>
        <w:t>auberger</w:t>
      </w:r>
      <w:proofErr w:type="spellEnd"/>
      <w:r w:rsidR="009A5900">
        <w:rPr>
          <w:rFonts w:ascii="Calibri" w:eastAsia="Calibri" w:hAnsi="Calibri" w:cs="Times New Roman"/>
        </w:rPr>
        <w:t xml:space="preserve"> and </w:t>
      </w:r>
      <w:proofErr w:type="spellStart"/>
      <w:r w:rsidR="009A5900">
        <w:rPr>
          <w:rFonts w:ascii="Calibri" w:eastAsia="Calibri" w:hAnsi="Calibri" w:cs="Times New Roman"/>
        </w:rPr>
        <w:t>Rittberger</w:t>
      </w:r>
      <w:proofErr w:type="spellEnd"/>
      <w:r w:rsidR="009A5900">
        <w:rPr>
          <w:rFonts w:ascii="Calibri" w:eastAsia="Calibri" w:hAnsi="Calibri" w:cs="Times New Roman"/>
        </w:rPr>
        <w:t xml:space="preserve">, 2015). </w:t>
      </w:r>
      <w:r w:rsidR="00C00D89">
        <w:rPr>
          <w:rFonts w:ascii="Calibri" w:eastAsia="Calibri" w:hAnsi="Calibri" w:cs="Times New Roman"/>
        </w:rPr>
        <w:t>Some suggest</w:t>
      </w:r>
      <w:r w:rsidR="00C5306C" w:rsidRPr="00C5306C">
        <w:rPr>
          <w:rFonts w:ascii="Calibri" w:eastAsia="Calibri" w:hAnsi="Calibri" w:cs="Times New Roman"/>
        </w:rPr>
        <w:t xml:space="preserve"> </w:t>
      </w:r>
      <w:r w:rsidR="008F0B0F">
        <w:rPr>
          <w:rFonts w:ascii="Calibri" w:eastAsia="Calibri" w:hAnsi="Calibri" w:cs="Times New Roman"/>
        </w:rPr>
        <w:t>these</w:t>
      </w:r>
      <w:r w:rsidR="002D34B2">
        <w:rPr>
          <w:rFonts w:ascii="Calibri" w:eastAsia="Calibri" w:hAnsi="Calibri" w:cs="Times New Roman"/>
        </w:rPr>
        <w:t xml:space="preserve"> </w:t>
      </w:r>
      <w:r w:rsidR="00C5306C" w:rsidRPr="00C5306C">
        <w:rPr>
          <w:rFonts w:ascii="Calibri" w:eastAsia="Calibri" w:hAnsi="Calibri" w:cs="Times New Roman"/>
        </w:rPr>
        <w:t>decentralised</w:t>
      </w:r>
      <w:r w:rsidR="00332243">
        <w:rPr>
          <w:rFonts w:ascii="Calibri" w:eastAsia="Calibri" w:hAnsi="Calibri" w:cs="Times New Roman"/>
        </w:rPr>
        <w:t xml:space="preserve"> and</w:t>
      </w:r>
      <w:r w:rsidR="00C5306C" w:rsidRPr="00C5306C">
        <w:rPr>
          <w:rFonts w:ascii="Calibri" w:eastAsia="Calibri" w:hAnsi="Calibri" w:cs="Times New Roman"/>
        </w:rPr>
        <w:t xml:space="preserve"> deformalized </w:t>
      </w:r>
      <w:r w:rsidR="00D0726D">
        <w:rPr>
          <w:rFonts w:ascii="Calibri" w:eastAsia="Calibri" w:hAnsi="Calibri" w:cs="Times New Roman"/>
        </w:rPr>
        <w:t>modes</w:t>
      </w:r>
      <w:r w:rsidR="00C5306C" w:rsidRPr="00C5306C">
        <w:rPr>
          <w:rFonts w:ascii="Calibri" w:eastAsia="Calibri" w:hAnsi="Calibri" w:cs="Times New Roman"/>
        </w:rPr>
        <w:t xml:space="preserve"> of integration </w:t>
      </w:r>
      <w:r w:rsidR="00C5306C">
        <w:rPr>
          <w:rFonts w:ascii="Calibri" w:eastAsia="Calibri" w:hAnsi="Calibri" w:cs="Times New Roman"/>
        </w:rPr>
        <w:t xml:space="preserve">are </w:t>
      </w:r>
      <w:r w:rsidR="00281C50">
        <w:rPr>
          <w:rFonts w:ascii="Calibri" w:eastAsia="Calibri" w:hAnsi="Calibri" w:cs="Times New Roman"/>
        </w:rPr>
        <w:t xml:space="preserve">usually </w:t>
      </w:r>
      <w:r w:rsidR="00D15BAF" w:rsidRPr="00D15BAF">
        <w:rPr>
          <w:rFonts w:ascii="Calibri" w:eastAsia="Calibri" w:hAnsi="Calibri" w:cs="Times New Roman"/>
        </w:rPr>
        <w:t>transitional step</w:t>
      </w:r>
      <w:r w:rsidR="00C5306C">
        <w:rPr>
          <w:rFonts w:ascii="Calibri" w:eastAsia="Calibri" w:hAnsi="Calibri" w:cs="Times New Roman"/>
        </w:rPr>
        <w:t>s</w:t>
      </w:r>
      <w:r w:rsidR="00D15BAF" w:rsidRPr="00D15BAF">
        <w:rPr>
          <w:rFonts w:ascii="Calibri" w:eastAsia="Calibri" w:hAnsi="Calibri" w:cs="Times New Roman"/>
        </w:rPr>
        <w:t xml:space="preserve"> towards more advanced </w:t>
      </w:r>
      <w:r w:rsidR="00D0726D">
        <w:rPr>
          <w:rFonts w:ascii="Calibri" w:eastAsia="Calibri" w:hAnsi="Calibri" w:cs="Times New Roman"/>
        </w:rPr>
        <w:t>modes</w:t>
      </w:r>
      <w:r w:rsidR="00D15BAF" w:rsidRPr="00D15BAF">
        <w:rPr>
          <w:rFonts w:ascii="Calibri" w:eastAsia="Calibri" w:hAnsi="Calibri" w:cs="Times New Roman"/>
        </w:rPr>
        <w:t>; a temporary deviation, whose network</w:t>
      </w:r>
      <w:r w:rsidR="00C5306C">
        <w:rPr>
          <w:rFonts w:ascii="Calibri" w:eastAsia="Calibri" w:hAnsi="Calibri" w:cs="Times New Roman"/>
        </w:rPr>
        <w:t>ed</w:t>
      </w:r>
      <w:r w:rsidR="00D15BAF" w:rsidRPr="00D15BAF">
        <w:rPr>
          <w:rFonts w:ascii="Calibri" w:eastAsia="Calibri" w:hAnsi="Calibri" w:cs="Times New Roman"/>
        </w:rPr>
        <w:t xml:space="preserve"> architecture</w:t>
      </w:r>
      <w:r w:rsidR="00220C4B">
        <w:rPr>
          <w:rFonts w:ascii="Calibri" w:eastAsia="Calibri" w:hAnsi="Calibri" w:cs="Times New Roman"/>
        </w:rPr>
        <w:t>s</w:t>
      </w:r>
      <w:r w:rsidR="00D15BAF" w:rsidRPr="00D15BAF">
        <w:rPr>
          <w:rFonts w:ascii="Calibri" w:eastAsia="Calibri" w:hAnsi="Calibri" w:cs="Times New Roman"/>
        </w:rPr>
        <w:t xml:space="preserve"> </w:t>
      </w:r>
      <w:r w:rsidR="00220C4B">
        <w:rPr>
          <w:rFonts w:ascii="Calibri" w:eastAsia="Calibri" w:hAnsi="Calibri" w:cs="Times New Roman"/>
        </w:rPr>
        <w:t xml:space="preserve">and </w:t>
      </w:r>
      <w:r w:rsidR="00220C4B" w:rsidRPr="00220C4B">
        <w:rPr>
          <w:rFonts w:ascii="Calibri" w:eastAsia="Calibri" w:hAnsi="Calibri" w:cs="Times New Roman"/>
        </w:rPr>
        <w:t xml:space="preserve">softer disciplining </w:t>
      </w:r>
      <w:r w:rsidR="00D15BAF" w:rsidRPr="00D15BAF">
        <w:rPr>
          <w:rFonts w:ascii="Calibri" w:eastAsia="Calibri" w:hAnsi="Calibri" w:cs="Times New Roman"/>
        </w:rPr>
        <w:t xml:space="preserve">will eventually </w:t>
      </w:r>
      <w:r w:rsidR="00220C4B">
        <w:rPr>
          <w:rFonts w:ascii="Calibri" w:eastAsia="Calibri" w:hAnsi="Calibri" w:cs="Times New Roman"/>
        </w:rPr>
        <w:t xml:space="preserve">centralise and </w:t>
      </w:r>
      <w:r w:rsidR="00D15BAF" w:rsidRPr="00D15BAF">
        <w:rPr>
          <w:rFonts w:ascii="Calibri" w:eastAsia="Calibri" w:hAnsi="Calibri" w:cs="Times New Roman"/>
        </w:rPr>
        <w:t>harden</w:t>
      </w:r>
      <w:r w:rsidR="002D34B2">
        <w:rPr>
          <w:rFonts w:ascii="Calibri" w:eastAsia="Calibri" w:hAnsi="Calibri" w:cs="Times New Roman"/>
        </w:rPr>
        <w:t xml:space="preserve">, </w:t>
      </w:r>
      <w:r w:rsidR="00C5306C" w:rsidRPr="00C5306C">
        <w:rPr>
          <w:rFonts w:ascii="Calibri" w:eastAsia="Calibri" w:hAnsi="Calibri" w:cs="Times New Roman"/>
        </w:rPr>
        <w:t>disappear</w:t>
      </w:r>
      <w:r w:rsidR="002D34B2">
        <w:rPr>
          <w:rFonts w:ascii="Calibri" w:eastAsia="Calibri" w:hAnsi="Calibri" w:cs="Times New Roman"/>
        </w:rPr>
        <w:t>ing</w:t>
      </w:r>
      <w:r w:rsidR="00C5306C" w:rsidRPr="00C5306C">
        <w:rPr>
          <w:rFonts w:ascii="Calibri" w:eastAsia="Calibri" w:hAnsi="Calibri" w:cs="Times New Roman"/>
        </w:rPr>
        <w:t xml:space="preserve"> or </w:t>
      </w:r>
      <w:r w:rsidR="007179D2">
        <w:rPr>
          <w:rFonts w:ascii="Calibri" w:eastAsia="Calibri" w:hAnsi="Calibri" w:cs="Times New Roman"/>
        </w:rPr>
        <w:t xml:space="preserve">being </w:t>
      </w:r>
      <w:r w:rsidR="00C5306C" w:rsidRPr="00C5306C">
        <w:rPr>
          <w:rFonts w:ascii="Calibri" w:eastAsia="Calibri" w:hAnsi="Calibri" w:cs="Times New Roman"/>
        </w:rPr>
        <w:t>captured by</w:t>
      </w:r>
      <w:r w:rsidR="002D34B2">
        <w:rPr>
          <w:rFonts w:ascii="Calibri" w:eastAsia="Calibri" w:hAnsi="Calibri" w:cs="Times New Roman"/>
        </w:rPr>
        <w:t xml:space="preserve"> </w:t>
      </w:r>
      <w:r w:rsidR="007179D2">
        <w:rPr>
          <w:rFonts w:ascii="Calibri" w:eastAsia="Calibri" w:hAnsi="Calibri" w:cs="Times New Roman"/>
        </w:rPr>
        <w:t xml:space="preserve">EU </w:t>
      </w:r>
      <w:r w:rsidR="002D34B2">
        <w:rPr>
          <w:rFonts w:ascii="Calibri" w:eastAsia="Calibri" w:hAnsi="Calibri" w:cs="Times New Roman"/>
        </w:rPr>
        <w:t>agencies and other hierarchies</w:t>
      </w:r>
      <w:r w:rsidR="00032942">
        <w:rPr>
          <w:rFonts w:ascii="Calibri" w:eastAsia="Calibri" w:hAnsi="Calibri" w:cs="Times New Roman"/>
        </w:rPr>
        <w:t xml:space="preserve"> (Levi-</w:t>
      </w:r>
      <w:proofErr w:type="spellStart"/>
      <w:r w:rsidR="00032942">
        <w:rPr>
          <w:rFonts w:ascii="Calibri" w:eastAsia="Calibri" w:hAnsi="Calibri" w:cs="Times New Roman"/>
        </w:rPr>
        <w:t>Faur</w:t>
      </w:r>
      <w:proofErr w:type="spellEnd"/>
      <w:r w:rsidR="00191E06">
        <w:rPr>
          <w:rFonts w:ascii="Calibri" w:eastAsia="Calibri" w:hAnsi="Calibri" w:cs="Times New Roman"/>
        </w:rPr>
        <w:t>,</w:t>
      </w:r>
      <w:r w:rsidR="00032942">
        <w:rPr>
          <w:rFonts w:ascii="Calibri" w:eastAsia="Calibri" w:hAnsi="Calibri" w:cs="Times New Roman"/>
        </w:rPr>
        <w:t xml:space="preserve"> 2011).</w:t>
      </w:r>
      <w:r w:rsidR="00C5306C" w:rsidRPr="00C5306C">
        <w:rPr>
          <w:rFonts w:ascii="Calibri" w:eastAsia="Calibri" w:hAnsi="Calibri" w:cs="Times New Roman"/>
        </w:rPr>
        <w:t xml:space="preserve"> </w:t>
      </w:r>
      <w:r w:rsidR="008F0B0F" w:rsidRPr="002125F2">
        <w:rPr>
          <w:rFonts w:ascii="Calibri" w:eastAsia="Calibri" w:hAnsi="Calibri" w:cs="Times New Roman"/>
        </w:rPr>
        <w:t>But</w:t>
      </w:r>
      <w:r w:rsidR="00147D18" w:rsidRPr="002125F2">
        <w:rPr>
          <w:rFonts w:ascii="Calibri" w:eastAsia="Calibri" w:hAnsi="Calibri" w:cs="Times New Roman"/>
        </w:rPr>
        <w:t xml:space="preserve"> </w:t>
      </w:r>
      <w:r w:rsidR="007310CA" w:rsidRPr="002125F2">
        <w:rPr>
          <w:rFonts w:ascii="Calibri" w:eastAsia="Calibri" w:hAnsi="Calibri" w:cs="Times New Roman"/>
        </w:rPr>
        <w:t>this may fundamentally misread the integration process</w:t>
      </w:r>
      <w:r w:rsidR="007310CA" w:rsidRPr="007310CA">
        <w:rPr>
          <w:rFonts w:ascii="Calibri" w:eastAsia="Calibri" w:hAnsi="Calibri" w:cs="Times New Roman"/>
        </w:rPr>
        <w:t xml:space="preserve"> and the ever-increasing variety and hybridizations of </w:t>
      </w:r>
      <w:r w:rsidR="007310CA">
        <w:rPr>
          <w:rFonts w:ascii="Calibri" w:eastAsia="Calibri" w:hAnsi="Calibri" w:cs="Times New Roman"/>
        </w:rPr>
        <w:t>its</w:t>
      </w:r>
      <w:r w:rsidR="007310CA" w:rsidRPr="007310CA">
        <w:rPr>
          <w:rFonts w:ascii="Calibri" w:eastAsia="Calibri" w:hAnsi="Calibri" w:cs="Times New Roman"/>
        </w:rPr>
        <w:t xml:space="preserve"> mode</w:t>
      </w:r>
      <w:r w:rsidR="007310CA">
        <w:rPr>
          <w:rFonts w:ascii="Calibri" w:eastAsia="Calibri" w:hAnsi="Calibri" w:cs="Times New Roman"/>
        </w:rPr>
        <w:t>s</w:t>
      </w:r>
      <w:r w:rsidR="007310CA" w:rsidRPr="007310CA">
        <w:rPr>
          <w:rFonts w:ascii="Calibri" w:eastAsia="Calibri" w:hAnsi="Calibri" w:cs="Times New Roman"/>
        </w:rPr>
        <w:t xml:space="preserve"> of governance (</w:t>
      </w:r>
      <w:proofErr w:type="spellStart"/>
      <w:r w:rsidR="00D51CE7" w:rsidRPr="00D51CE7">
        <w:rPr>
          <w:rFonts w:ascii="Calibri" w:eastAsia="Calibri" w:hAnsi="Calibri" w:cs="Times New Roman"/>
        </w:rPr>
        <w:t>Boin</w:t>
      </w:r>
      <w:proofErr w:type="spellEnd"/>
      <w:r w:rsidR="00D51CE7" w:rsidRPr="00D51CE7">
        <w:rPr>
          <w:rFonts w:ascii="Calibri" w:eastAsia="Calibri" w:hAnsi="Calibri" w:cs="Times New Roman"/>
        </w:rPr>
        <w:t xml:space="preserve"> et al., 2014</w:t>
      </w:r>
      <w:r w:rsidR="007310CA" w:rsidRPr="007310CA">
        <w:rPr>
          <w:rFonts w:ascii="Calibri" w:eastAsia="Calibri" w:hAnsi="Calibri" w:cs="Times New Roman"/>
        </w:rPr>
        <w:t>)</w:t>
      </w:r>
      <w:r w:rsidR="007310CA">
        <w:rPr>
          <w:rFonts w:ascii="Calibri" w:eastAsia="Calibri" w:hAnsi="Calibri" w:cs="Times New Roman"/>
        </w:rPr>
        <w:t>. E</w:t>
      </w:r>
      <w:r w:rsidR="002D34B2">
        <w:rPr>
          <w:rFonts w:ascii="Calibri" w:eastAsia="Calibri" w:hAnsi="Calibri" w:cs="Times New Roman"/>
        </w:rPr>
        <w:t xml:space="preserve">ven when </w:t>
      </w:r>
      <w:proofErr w:type="spellStart"/>
      <w:r w:rsidR="00032942" w:rsidRPr="00032942">
        <w:rPr>
          <w:rFonts w:ascii="Calibri" w:eastAsia="Calibri" w:hAnsi="Calibri" w:cs="Times New Roman"/>
        </w:rPr>
        <w:t>agencification</w:t>
      </w:r>
      <w:proofErr w:type="spellEnd"/>
      <w:r w:rsidR="002D34B2">
        <w:rPr>
          <w:rFonts w:ascii="Calibri" w:eastAsia="Calibri" w:hAnsi="Calibri" w:cs="Times New Roman"/>
        </w:rPr>
        <w:t xml:space="preserve"> and formalisation </w:t>
      </w:r>
      <w:r w:rsidR="003841D5">
        <w:rPr>
          <w:rFonts w:ascii="Calibri" w:eastAsia="Calibri" w:hAnsi="Calibri" w:cs="Times New Roman"/>
        </w:rPr>
        <w:t>occur</w:t>
      </w:r>
      <w:r w:rsidR="00147D18">
        <w:rPr>
          <w:rFonts w:ascii="Calibri" w:eastAsia="Calibri" w:hAnsi="Calibri" w:cs="Times New Roman"/>
        </w:rPr>
        <w:t xml:space="preserve">, </w:t>
      </w:r>
      <w:r w:rsidR="00D0726D">
        <w:rPr>
          <w:rFonts w:ascii="Calibri" w:eastAsia="Calibri" w:hAnsi="Calibri" w:cs="Times New Roman"/>
        </w:rPr>
        <w:t xml:space="preserve">the </w:t>
      </w:r>
      <w:r w:rsidR="00147D18">
        <w:rPr>
          <w:rFonts w:ascii="Calibri" w:eastAsia="Calibri" w:hAnsi="Calibri" w:cs="Times New Roman"/>
        </w:rPr>
        <w:t xml:space="preserve">transnational </w:t>
      </w:r>
      <w:r w:rsidR="00032942" w:rsidRPr="00032942">
        <w:rPr>
          <w:rFonts w:ascii="Calibri" w:eastAsia="Calibri" w:hAnsi="Calibri" w:cs="Times New Roman"/>
        </w:rPr>
        <w:t>network</w:t>
      </w:r>
      <w:r w:rsidR="008F0B0F">
        <w:rPr>
          <w:rFonts w:ascii="Calibri" w:eastAsia="Calibri" w:hAnsi="Calibri" w:cs="Times New Roman"/>
        </w:rPr>
        <w:t xml:space="preserve">s and </w:t>
      </w:r>
      <w:r w:rsidR="00147D18">
        <w:rPr>
          <w:rFonts w:ascii="Calibri" w:eastAsia="Calibri" w:hAnsi="Calibri" w:cs="Times New Roman"/>
        </w:rPr>
        <w:t xml:space="preserve">soft disciplining </w:t>
      </w:r>
      <w:r w:rsidR="008F0B0F">
        <w:rPr>
          <w:rFonts w:ascii="Calibri" w:eastAsia="Calibri" w:hAnsi="Calibri" w:cs="Times New Roman"/>
        </w:rPr>
        <w:t xml:space="preserve">that </w:t>
      </w:r>
      <w:r w:rsidR="007310CA">
        <w:rPr>
          <w:rFonts w:ascii="Calibri" w:eastAsia="Calibri" w:hAnsi="Calibri" w:cs="Times New Roman"/>
        </w:rPr>
        <w:t xml:space="preserve">commonly </w:t>
      </w:r>
      <w:r w:rsidR="008F0B0F">
        <w:rPr>
          <w:rFonts w:ascii="Calibri" w:eastAsia="Calibri" w:hAnsi="Calibri" w:cs="Times New Roman"/>
        </w:rPr>
        <w:t xml:space="preserve">preceded </w:t>
      </w:r>
      <w:r w:rsidR="00C00D89">
        <w:rPr>
          <w:rFonts w:ascii="Calibri" w:eastAsia="Calibri" w:hAnsi="Calibri" w:cs="Times New Roman"/>
        </w:rPr>
        <w:t xml:space="preserve">it </w:t>
      </w:r>
      <w:r w:rsidR="007310CA">
        <w:rPr>
          <w:rFonts w:ascii="Calibri" w:eastAsia="Calibri" w:hAnsi="Calibri" w:cs="Times New Roman"/>
        </w:rPr>
        <w:t>can</w:t>
      </w:r>
      <w:r w:rsidR="00FA3909">
        <w:rPr>
          <w:rFonts w:ascii="Calibri" w:eastAsia="Calibri" w:hAnsi="Calibri" w:cs="Times New Roman"/>
        </w:rPr>
        <w:t xml:space="preserve"> </w:t>
      </w:r>
      <w:r w:rsidR="00032942" w:rsidRPr="00032942">
        <w:rPr>
          <w:rFonts w:ascii="Calibri" w:eastAsia="Calibri" w:hAnsi="Calibri" w:cs="Times New Roman"/>
        </w:rPr>
        <w:t>show remarkable resili</w:t>
      </w:r>
      <w:r w:rsidR="002D34B2">
        <w:rPr>
          <w:rFonts w:ascii="Calibri" w:eastAsia="Calibri" w:hAnsi="Calibri" w:cs="Times New Roman"/>
        </w:rPr>
        <w:t>ence</w:t>
      </w:r>
      <w:r w:rsidR="008F0B0F">
        <w:rPr>
          <w:rFonts w:ascii="Calibri" w:eastAsia="Calibri" w:hAnsi="Calibri" w:cs="Times New Roman"/>
        </w:rPr>
        <w:t>, continuing to</w:t>
      </w:r>
      <w:r w:rsidR="00147D18">
        <w:rPr>
          <w:rFonts w:ascii="Calibri" w:eastAsia="Calibri" w:hAnsi="Calibri" w:cs="Times New Roman"/>
        </w:rPr>
        <w:t xml:space="preserve"> operat</w:t>
      </w:r>
      <w:r w:rsidR="009A5900">
        <w:rPr>
          <w:rFonts w:ascii="Calibri" w:eastAsia="Calibri" w:hAnsi="Calibri" w:cs="Times New Roman"/>
        </w:rPr>
        <w:t xml:space="preserve">e alongside </w:t>
      </w:r>
      <w:r w:rsidR="00FA3909">
        <w:rPr>
          <w:rFonts w:ascii="Calibri" w:eastAsia="Calibri" w:hAnsi="Calibri" w:cs="Times New Roman"/>
        </w:rPr>
        <w:t xml:space="preserve">the </w:t>
      </w:r>
      <w:r w:rsidR="007179D2">
        <w:rPr>
          <w:rFonts w:ascii="Calibri" w:eastAsia="Calibri" w:hAnsi="Calibri" w:cs="Times New Roman"/>
        </w:rPr>
        <w:t xml:space="preserve">new </w:t>
      </w:r>
      <w:r w:rsidR="00147D18" w:rsidRPr="00147D18">
        <w:rPr>
          <w:rFonts w:ascii="Calibri" w:eastAsia="Calibri" w:hAnsi="Calibri" w:cs="Times New Roman"/>
        </w:rPr>
        <w:t xml:space="preserve">EU </w:t>
      </w:r>
      <w:r w:rsidR="009A5900">
        <w:rPr>
          <w:rFonts w:ascii="Calibri" w:eastAsia="Calibri" w:hAnsi="Calibri" w:cs="Times New Roman"/>
        </w:rPr>
        <w:t xml:space="preserve">agencies and </w:t>
      </w:r>
      <w:r w:rsidR="00147D18" w:rsidRPr="00147D18">
        <w:rPr>
          <w:rFonts w:ascii="Calibri" w:eastAsia="Calibri" w:hAnsi="Calibri" w:cs="Times New Roman"/>
        </w:rPr>
        <w:t>regulatory frameworks</w:t>
      </w:r>
      <w:r w:rsidR="007179D2">
        <w:rPr>
          <w:rFonts w:ascii="Calibri" w:eastAsia="Calibri" w:hAnsi="Calibri" w:cs="Times New Roman"/>
        </w:rPr>
        <w:t xml:space="preserve">. </w:t>
      </w:r>
    </w:p>
    <w:p w:rsidR="002F1238" w:rsidRDefault="002F1238" w:rsidP="001D5F12">
      <w:pPr>
        <w:spacing w:after="0" w:line="480" w:lineRule="auto"/>
        <w:jc w:val="both"/>
        <w:rPr>
          <w:rFonts w:ascii="Calibri" w:eastAsia="Calibri" w:hAnsi="Calibri" w:cs="Times New Roman"/>
        </w:rPr>
      </w:pPr>
    </w:p>
    <w:p w:rsidR="005A1441" w:rsidRDefault="00765B11" w:rsidP="001D5F12">
      <w:pPr>
        <w:spacing w:after="0" w:line="480" w:lineRule="auto"/>
        <w:jc w:val="both"/>
        <w:rPr>
          <w:rFonts w:ascii="Calibri" w:eastAsia="Calibri" w:hAnsi="Calibri" w:cs="Times New Roman"/>
        </w:rPr>
      </w:pPr>
      <w:r>
        <w:rPr>
          <w:rFonts w:ascii="Calibri" w:eastAsia="Calibri" w:hAnsi="Calibri" w:cs="Times New Roman"/>
        </w:rPr>
        <w:t>We suggest that t</w:t>
      </w:r>
      <w:r w:rsidR="00032942">
        <w:rPr>
          <w:rFonts w:ascii="Calibri" w:eastAsia="Calibri" w:hAnsi="Calibri" w:cs="Times New Roman"/>
        </w:rPr>
        <w:t xml:space="preserve">o </w:t>
      </w:r>
      <w:r w:rsidR="00DC0C43">
        <w:rPr>
          <w:rFonts w:ascii="Calibri" w:eastAsia="Calibri" w:hAnsi="Calibri" w:cs="Times New Roman"/>
        </w:rPr>
        <w:t>explore whether</w:t>
      </w:r>
      <w:r w:rsidR="00032942">
        <w:rPr>
          <w:rFonts w:ascii="Calibri" w:eastAsia="Calibri" w:hAnsi="Calibri" w:cs="Times New Roman"/>
        </w:rPr>
        <w:t xml:space="preserve"> </w:t>
      </w:r>
      <w:r>
        <w:rPr>
          <w:rFonts w:ascii="Calibri" w:eastAsia="Calibri" w:hAnsi="Calibri" w:cs="Times New Roman"/>
        </w:rPr>
        <w:t>this</w:t>
      </w:r>
      <w:r w:rsidR="003841D5">
        <w:rPr>
          <w:rFonts w:ascii="Calibri" w:eastAsia="Calibri" w:hAnsi="Calibri" w:cs="Times New Roman"/>
        </w:rPr>
        <w:t xml:space="preserve"> mode of governance </w:t>
      </w:r>
      <w:r w:rsidR="002D34B2">
        <w:rPr>
          <w:rFonts w:ascii="Calibri" w:eastAsia="Calibri" w:hAnsi="Calibri" w:cs="Times New Roman"/>
        </w:rPr>
        <w:t xml:space="preserve">represents a </w:t>
      </w:r>
      <w:r w:rsidR="002D34B2" w:rsidRPr="002D34B2">
        <w:rPr>
          <w:rFonts w:ascii="Calibri" w:eastAsia="Calibri" w:hAnsi="Calibri" w:cs="Times New Roman"/>
        </w:rPr>
        <w:t xml:space="preserve">profound </w:t>
      </w:r>
      <w:r w:rsidR="00FA3909">
        <w:rPr>
          <w:rFonts w:ascii="Calibri" w:eastAsia="Calibri" w:hAnsi="Calibri" w:cs="Times New Roman"/>
        </w:rPr>
        <w:t>shift in</w:t>
      </w:r>
      <w:r w:rsidR="002D34B2" w:rsidRPr="002D34B2">
        <w:rPr>
          <w:rFonts w:ascii="Calibri" w:eastAsia="Calibri" w:hAnsi="Calibri" w:cs="Times New Roman"/>
        </w:rPr>
        <w:t xml:space="preserve"> the trajectory of </w:t>
      </w:r>
      <w:r w:rsidR="00A65435">
        <w:rPr>
          <w:rFonts w:ascii="Calibri" w:eastAsia="Calibri" w:hAnsi="Calibri" w:cs="Times New Roman"/>
        </w:rPr>
        <w:t xml:space="preserve">European </w:t>
      </w:r>
      <w:r w:rsidR="002D34B2" w:rsidRPr="002D34B2">
        <w:rPr>
          <w:rFonts w:ascii="Calibri" w:eastAsia="Calibri" w:hAnsi="Calibri" w:cs="Times New Roman"/>
        </w:rPr>
        <w:t>i</w:t>
      </w:r>
      <w:r w:rsidR="002D34B2">
        <w:rPr>
          <w:rFonts w:ascii="Calibri" w:eastAsia="Calibri" w:hAnsi="Calibri" w:cs="Times New Roman"/>
        </w:rPr>
        <w:t>ntegration</w:t>
      </w:r>
      <w:r w:rsidR="007179D2">
        <w:rPr>
          <w:rFonts w:ascii="Calibri" w:eastAsia="Calibri" w:hAnsi="Calibri" w:cs="Times New Roman"/>
        </w:rPr>
        <w:t xml:space="preserve">, or is </w:t>
      </w:r>
      <w:r w:rsidR="0053110B">
        <w:rPr>
          <w:rFonts w:ascii="Calibri" w:eastAsia="Calibri" w:hAnsi="Calibri" w:cs="Times New Roman"/>
        </w:rPr>
        <w:t>no more than</w:t>
      </w:r>
      <w:r w:rsidR="007310CA">
        <w:rPr>
          <w:rFonts w:ascii="Calibri" w:eastAsia="Calibri" w:hAnsi="Calibri" w:cs="Times New Roman"/>
        </w:rPr>
        <w:t xml:space="preserve"> a passing phase</w:t>
      </w:r>
      <w:r w:rsidR="002125F2">
        <w:rPr>
          <w:rFonts w:ascii="Calibri" w:eastAsia="Calibri" w:hAnsi="Calibri" w:cs="Times New Roman"/>
        </w:rPr>
        <w:t>,</w:t>
      </w:r>
      <w:r w:rsidR="007310CA">
        <w:rPr>
          <w:rFonts w:ascii="Calibri" w:eastAsia="Calibri" w:hAnsi="Calibri" w:cs="Times New Roman"/>
        </w:rPr>
        <w:t xml:space="preserve"> </w:t>
      </w:r>
      <w:r w:rsidR="00032942">
        <w:rPr>
          <w:rFonts w:ascii="Calibri" w:eastAsia="Calibri" w:hAnsi="Calibri" w:cs="Times New Roman"/>
        </w:rPr>
        <w:t xml:space="preserve">requires </w:t>
      </w:r>
      <w:r w:rsidR="007179D2">
        <w:rPr>
          <w:rFonts w:ascii="Calibri" w:eastAsia="Calibri" w:hAnsi="Calibri" w:cs="Times New Roman"/>
        </w:rPr>
        <w:t>a deeper understanding of</w:t>
      </w:r>
      <w:r w:rsidR="00032942">
        <w:rPr>
          <w:rFonts w:ascii="Calibri" w:eastAsia="Calibri" w:hAnsi="Calibri" w:cs="Times New Roman"/>
        </w:rPr>
        <w:t xml:space="preserve"> what </w:t>
      </w:r>
      <w:r w:rsidR="00D0726D">
        <w:rPr>
          <w:rFonts w:ascii="Calibri" w:eastAsia="Calibri" w:hAnsi="Calibri" w:cs="Times New Roman"/>
        </w:rPr>
        <w:t xml:space="preserve">determines </w:t>
      </w:r>
      <w:r w:rsidR="003841D5">
        <w:rPr>
          <w:rFonts w:ascii="Calibri" w:eastAsia="Calibri" w:hAnsi="Calibri" w:cs="Times New Roman"/>
        </w:rPr>
        <w:t>its</w:t>
      </w:r>
      <w:r w:rsidR="00D0726D">
        <w:rPr>
          <w:rFonts w:ascii="Calibri" w:eastAsia="Calibri" w:hAnsi="Calibri" w:cs="Times New Roman"/>
        </w:rPr>
        <w:t xml:space="preserve"> choice</w:t>
      </w:r>
      <w:r w:rsidR="00E95613">
        <w:rPr>
          <w:rFonts w:ascii="Calibri" w:eastAsia="Calibri" w:hAnsi="Calibri" w:cs="Times New Roman"/>
        </w:rPr>
        <w:t xml:space="preserve"> than</w:t>
      </w:r>
      <w:r w:rsidR="007179D2">
        <w:rPr>
          <w:rFonts w:ascii="Calibri" w:eastAsia="Calibri" w:hAnsi="Calibri" w:cs="Times New Roman"/>
        </w:rPr>
        <w:t xml:space="preserve"> </w:t>
      </w:r>
      <w:r w:rsidR="00FF41A9">
        <w:rPr>
          <w:rFonts w:ascii="Calibri" w:eastAsia="Calibri" w:hAnsi="Calibri" w:cs="Times New Roman"/>
        </w:rPr>
        <w:t>orthodox functional</w:t>
      </w:r>
      <w:r w:rsidR="00E9354E">
        <w:rPr>
          <w:rFonts w:ascii="Calibri" w:eastAsia="Calibri" w:hAnsi="Calibri" w:cs="Times New Roman"/>
        </w:rPr>
        <w:t>ist</w:t>
      </w:r>
      <w:r w:rsidR="00FF41A9">
        <w:rPr>
          <w:rFonts w:ascii="Calibri" w:eastAsia="Calibri" w:hAnsi="Calibri" w:cs="Times New Roman"/>
        </w:rPr>
        <w:t>-</w:t>
      </w:r>
      <w:r w:rsidR="00FA3909">
        <w:rPr>
          <w:rFonts w:ascii="Calibri" w:eastAsia="Calibri" w:hAnsi="Calibri" w:cs="Times New Roman"/>
        </w:rPr>
        <w:t>political accounts of</w:t>
      </w:r>
      <w:r w:rsidR="00A65435">
        <w:rPr>
          <w:rFonts w:ascii="Calibri" w:eastAsia="Calibri" w:hAnsi="Calibri" w:cs="Times New Roman"/>
        </w:rPr>
        <w:t xml:space="preserve"> </w:t>
      </w:r>
      <w:r w:rsidR="00680D79">
        <w:rPr>
          <w:rFonts w:ascii="Calibri" w:eastAsia="Calibri" w:hAnsi="Calibri" w:cs="Times New Roman"/>
        </w:rPr>
        <w:t>institutional</w:t>
      </w:r>
      <w:r w:rsidR="00FA3909">
        <w:rPr>
          <w:rFonts w:ascii="Calibri" w:eastAsia="Calibri" w:hAnsi="Calibri" w:cs="Times New Roman"/>
        </w:rPr>
        <w:t xml:space="preserve"> change</w:t>
      </w:r>
      <w:r>
        <w:rPr>
          <w:rFonts w:ascii="Calibri" w:eastAsia="Calibri" w:hAnsi="Calibri" w:cs="Times New Roman"/>
        </w:rPr>
        <w:t xml:space="preserve"> </w:t>
      </w:r>
      <w:r w:rsidR="005D33AB">
        <w:rPr>
          <w:rFonts w:ascii="Calibri" w:eastAsia="Calibri" w:hAnsi="Calibri" w:cs="Times New Roman"/>
        </w:rPr>
        <w:t>provide</w:t>
      </w:r>
      <w:r w:rsidR="00FA3909">
        <w:rPr>
          <w:rFonts w:ascii="Calibri" w:eastAsia="Calibri" w:hAnsi="Calibri" w:cs="Times New Roman"/>
        </w:rPr>
        <w:t>.</w:t>
      </w:r>
      <w:r w:rsidR="002F1238">
        <w:rPr>
          <w:rFonts w:ascii="Calibri" w:eastAsia="Calibri" w:hAnsi="Calibri" w:cs="Times New Roman"/>
        </w:rPr>
        <w:t xml:space="preserve"> These </w:t>
      </w:r>
      <w:r>
        <w:rPr>
          <w:rFonts w:ascii="Calibri" w:eastAsia="Calibri" w:hAnsi="Calibri" w:cs="Times New Roman"/>
        </w:rPr>
        <w:t xml:space="preserve">accounts </w:t>
      </w:r>
      <w:r w:rsidR="00D15BAF" w:rsidRPr="00D15BAF">
        <w:rPr>
          <w:rFonts w:ascii="Calibri" w:eastAsia="Calibri" w:hAnsi="Calibri" w:cs="Times New Roman"/>
        </w:rPr>
        <w:t>are exogenous</w:t>
      </w:r>
      <w:r w:rsidR="00D0726D">
        <w:rPr>
          <w:rFonts w:ascii="Calibri" w:eastAsia="Calibri" w:hAnsi="Calibri" w:cs="Times New Roman"/>
        </w:rPr>
        <w:t>,</w:t>
      </w:r>
      <w:r w:rsidR="006F03C1">
        <w:rPr>
          <w:rFonts w:ascii="Calibri" w:eastAsia="Calibri" w:hAnsi="Calibri" w:cs="Times New Roman"/>
        </w:rPr>
        <w:t xml:space="preserve"> attribut</w:t>
      </w:r>
      <w:r w:rsidR="00D0726D">
        <w:rPr>
          <w:rFonts w:ascii="Calibri" w:eastAsia="Calibri" w:hAnsi="Calibri" w:cs="Times New Roman"/>
        </w:rPr>
        <w:t>ing</w:t>
      </w:r>
      <w:r w:rsidR="006F03C1">
        <w:rPr>
          <w:rFonts w:ascii="Calibri" w:eastAsia="Calibri" w:hAnsi="Calibri" w:cs="Times New Roman"/>
        </w:rPr>
        <w:t xml:space="preserve"> </w:t>
      </w:r>
      <w:r w:rsidRPr="00765B11">
        <w:rPr>
          <w:rFonts w:ascii="Calibri" w:eastAsia="Calibri" w:hAnsi="Calibri" w:cs="Times New Roman"/>
        </w:rPr>
        <w:t>institutional change</w:t>
      </w:r>
      <w:r w:rsidR="00032942">
        <w:rPr>
          <w:rFonts w:ascii="Calibri" w:eastAsia="Calibri" w:hAnsi="Calibri" w:cs="Times New Roman"/>
        </w:rPr>
        <w:t xml:space="preserve"> </w:t>
      </w:r>
      <w:r w:rsidR="006F03C1">
        <w:rPr>
          <w:rFonts w:ascii="Calibri" w:eastAsia="Calibri" w:hAnsi="Calibri" w:cs="Times New Roman"/>
        </w:rPr>
        <w:t>to</w:t>
      </w:r>
      <w:r w:rsidR="00D0726D">
        <w:rPr>
          <w:rFonts w:ascii="Calibri" w:eastAsia="Calibri" w:hAnsi="Calibri" w:cs="Times New Roman"/>
        </w:rPr>
        <w:t xml:space="preserve"> </w:t>
      </w:r>
      <w:r w:rsidR="00D15BAF" w:rsidRPr="00D15BAF">
        <w:rPr>
          <w:rFonts w:ascii="Calibri" w:eastAsia="Calibri" w:hAnsi="Calibri" w:cs="Times New Roman"/>
        </w:rPr>
        <w:t>bargains struck between government</w:t>
      </w:r>
      <w:r w:rsidR="00C5306C">
        <w:rPr>
          <w:rFonts w:ascii="Calibri" w:eastAsia="Calibri" w:hAnsi="Calibri" w:cs="Times New Roman"/>
        </w:rPr>
        <w:t>s</w:t>
      </w:r>
      <w:r w:rsidR="00E154BA">
        <w:rPr>
          <w:rFonts w:ascii="Calibri" w:eastAsia="Calibri" w:hAnsi="Calibri" w:cs="Times New Roman"/>
        </w:rPr>
        <w:t xml:space="preserve"> and</w:t>
      </w:r>
      <w:r w:rsidR="00D15BAF" w:rsidRPr="00D15BAF">
        <w:rPr>
          <w:rFonts w:ascii="Calibri" w:eastAsia="Calibri" w:hAnsi="Calibri" w:cs="Times New Roman"/>
        </w:rPr>
        <w:t xml:space="preserve"> </w:t>
      </w:r>
      <w:r w:rsidR="00C5306C">
        <w:rPr>
          <w:rFonts w:ascii="Calibri" w:eastAsia="Calibri" w:hAnsi="Calibri" w:cs="Times New Roman"/>
        </w:rPr>
        <w:t xml:space="preserve">the </w:t>
      </w:r>
      <w:r w:rsidR="00A65435">
        <w:rPr>
          <w:rFonts w:ascii="Calibri" w:eastAsia="Calibri" w:hAnsi="Calibri" w:cs="Times New Roman"/>
        </w:rPr>
        <w:t>principal EU institutions</w:t>
      </w:r>
      <w:r w:rsidR="002566A7">
        <w:rPr>
          <w:rFonts w:ascii="Calibri" w:eastAsia="Calibri" w:hAnsi="Calibri" w:cs="Times New Roman"/>
        </w:rPr>
        <w:t>,</w:t>
      </w:r>
      <w:r w:rsidR="00E154BA">
        <w:rPr>
          <w:rFonts w:ascii="Calibri" w:eastAsia="Calibri" w:hAnsi="Calibri" w:cs="Times New Roman"/>
        </w:rPr>
        <w:t xml:space="preserve"> </w:t>
      </w:r>
      <w:r w:rsidR="00D15BAF" w:rsidRPr="00D15BAF">
        <w:rPr>
          <w:rFonts w:ascii="Calibri" w:eastAsia="Calibri" w:hAnsi="Calibri" w:cs="Times New Roman"/>
        </w:rPr>
        <w:t xml:space="preserve">to </w:t>
      </w:r>
      <w:r w:rsidR="006F03C1">
        <w:rPr>
          <w:rFonts w:ascii="Calibri" w:eastAsia="Calibri" w:hAnsi="Calibri" w:cs="Times New Roman"/>
        </w:rPr>
        <w:t>establish</w:t>
      </w:r>
      <w:r w:rsidR="00D15BAF" w:rsidRPr="00D15BAF">
        <w:rPr>
          <w:rFonts w:ascii="Calibri" w:eastAsia="Calibri" w:hAnsi="Calibri" w:cs="Times New Roman"/>
        </w:rPr>
        <w:t xml:space="preserve"> particular institutional-agents</w:t>
      </w:r>
      <w:r w:rsidR="002D34B2">
        <w:rPr>
          <w:rFonts w:ascii="Calibri" w:eastAsia="Calibri" w:hAnsi="Calibri" w:cs="Times New Roman"/>
        </w:rPr>
        <w:t xml:space="preserve"> </w:t>
      </w:r>
      <w:r>
        <w:rPr>
          <w:rFonts w:ascii="Calibri" w:eastAsia="Calibri" w:hAnsi="Calibri" w:cs="Times New Roman"/>
        </w:rPr>
        <w:t>to deal with</w:t>
      </w:r>
      <w:r w:rsidR="002D34B2">
        <w:rPr>
          <w:rFonts w:ascii="Calibri" w:eastAsia="Calibri" w:hAnsi="Calibri" w:cs="Times New Roman"/>
        </w:rPr>
        <w:t xml:space="preserve"> </w:t>
      </w:r>
      <w:r w:rsidR="007179D2">
        <w:rPr>
          <w:rFonts w:ascii="Calibri" w:eastAsia="Calibri" w:hAnsi="Calibri" w:cs="Times New Roman"/>
        </w:rPr>
        <w:t xml:space="preserve">particular </w:t>
      </w:r>
      <w:r w:rsidR="005D1F57">
        <w:rPr>
          <w:rFonts w:ascii="Calibri" w:eastAsia="Calibri" w:hAnsi="Calibri" w:cs="Times New Roman"/>
        </w:rPr>
        <w:t xml:space="preserve">functional </w:t>
      </w:r>
      <w:r w:rsidR="002D34B2">
        <w:rPr>
          <w:rFonts w:ascii="Calibri" w:eastAsia="Calibri" w:hAnsi="Calibri" w:cs="Times New Roman"/>
        </w:rPr>
        <w:t>(</w:t>
      </w:r>
      <w:r w:rsidR="0053110B">
        <w:rPr>
          <w:rFonts w:ascii="Calibri" w:eastAsia="Calibri" w:hAnsi="Calibri" w:cs="Times New Roman"/>
        </w:rPr>
        <w:t xml:space="preserve">largely </w:t>
      </w:r>
      <w:r w:rsidR="005D1F57" w:rsidRPr="005D1F57">
        <w:rPr>
          <w:rFonts w:ascii="Calibri" w:eastAsia="Calibri" w:hAnsi="Calibri" w:cs="Times New Roman"/>
        </w:rPr>
        <w:t>coordination</w:t>
      </w:r>
      <w:r w:rsidR="002D34B2">
        <w:rPr>
          <w:rFonts w:ascii="Calibri" w:eastAsia="Calibri" w:hAnsi="Calibri" w:cs="Times New Roman"/>
        </w:rPr>
        <w:t>) needs</w:t>
      </w:r>
      <w:r w:rsidR="00032942">
        <w:rPr>
          <w:rFonts w:ascii="Calibri" w:eastAsia="Calibri" w:hAnsi="Calibri" w:cs="Times New Roman"/>
        </w:rPr>
        <w:t xml:space="preserve">. </w:t>
      </w:r>
      <w:r w:rsidR="007179D2">
        <w:rPr>
          <w:rFonts w:ascii="Calibri" w:eastAsia="Calibri" w:hAnsi="Calibri" w:cs="Times New Roman"/>
        </w:rPr>
        <w:t xml:space="preserve">We </w:t>
      </w:r>
      <w:r w:rsidR="002F1238">
        <w:rPr>
          <w:rFonts w:ascii="Calibri" w:eastAsia="Calibri" w:hAnsi="Calibri" w:cs="Times New Roman"/>
        </w:rPr>
        <w:t>consider</w:t>
      </w:r>
      <w:r w:rsidR="007179D2">
        <w:rPr>
          <w:rFonts w:ascii="Calibri" w:eastAsia="Calibri" w:hAnsi="Calibri" w:cs="Times New Roman"/>
        </w:rPr>
        <w:t xml:space="preserve"> i</w:t>
      </w:r>
      <w:r w:rsidR="002D34B2">
        <w:rPr>
          <w:rFonts w:ascii="Calibri" w:eastAsia="Calibri" w:hAnsi="Calibri" w:cs="Times New Roman"/>
        </w:rPr>
        <w:t xml:space="preserve">t necessary to supplement </w:t>
      </w:r>
      <w:r w:rsidR="00F12140">
        <w:rPr>
          <w:rFonts w:ascii="Calibri" w:eastAsia="Calibri" w:hAnsi="Calibri" w:cs="Times New Roman"/>
        </w:rPr>
        <w:t>them</w:t>
      </w:r>
      <w:r w:rsidR="002D34B2">
        <w:rPr>
          <w:rFonts w:ascii="Calibri" w:eastAsia="Calibri" w:hAnsi="Calibri" w:cs="Times New Roman"/>
        </w:rPr>
        <w:t xml:space="preserve"> with a</w:t>
      </w:r>
      <w:r w:rsidR="00D15BAF" w:rsidRPr="00D15BAF">
        <w:rPr>
          <w:rFonts w:ascii="Calibri" w:eastAsia="Calibri" w:hAnsi="Calibri" w:cs="Times New Roman"/>
        </w:rPr>
        <w:t xml:space="preserve">n endogenous </w:t>
      </w:r>
      <w:r w:rsidR="002D34B2">
        <w:rPr>
          <w:rFonts w:ascii="Calibri" w:eastAsia="Calibri" w:hAnsi="Calibri" w:cs="Times New Roman"/>
        </w:rPr>
        <w:t>layer that</w:t>
      </w:r>
      <w:r w:rsidR="00D15BAF" w:rsidRPr="00D15BAF">
        <w:rPr>
          <w:rFonts w:ascii="Calibri" w:eastAsia="Calibri" w:hAnsi="Calibri" w:cs="Times New Roman"/>
        </w:rPr>
        <w:t xml:space="preserve"> </w:t>
      </w:r>
      <w:r w:rsidR="00032942">
        <w:rPr>
          <w:rFonts w:ascii="Calibri" w:eastAsia="Calibri" w:hAnsi="Calibri" w:cs="Times New Roman"/>
        </w:rPr>
        <w:t xml:space="preserve">takes seriously the idea that </w:t>
      </w:r>
      <w:r w:rsidR="00D15BAF" w:rsidRPr="00D15BAF">
        <w:rPr>
          <w:rFonts w:ascii="Calibri" w:eastAsia="Calibri" w:hAnsi="Calibri" w:cs="Times New Roman"/>
        </w:rPr>
        <w:t xml:space="preserve">institutional change </w:t>
      </w:r>
      <w:r w:rsidR="00F12140">
        <w:rPr>
          <w:rFonts w:ascii="Calibri" w:eastAsia="Calibri" w:hAnsi="Calibri" w:cs="Times New Roman"/>
        </w:rPr>
        <w:t>is</w:t>
      </w:r>
      <w:r w:rsidR="00D0726D">
        <w:rPr>
          <w:rFonts w:ascii="Calibri" w:eastAsia="Calibri" w:hAnsi="Calibri" w:cs="Times New Roman"/>
        </w:rPr>
        <w:t xml:space="preserve"> </w:t>
      </w:r>
      <w:r w:rsidR="00E154BA">
        <w:rPr>
          <w:rFonts w:ascii="Calibri" w:eastAsia="Calibri" w:hAnsi="Calibri" w:cs="Times New Roman"/>
        </w:rPr>
        <w:t xml:space="preserve">at least partially </w:t>
      </w:r>
      <w:r w:rsidR="00032942">
        <w:rPr>
          <w:rFonts w:ascii="Calibri" w:eastAsia="Calibri" w:hAnsi="Calibri" w:cs="Times New Roman"/>
        </w:rPr>
        <w:t>attribut</w:t>
      </w:r>
      <w:r w:rsidR="002D34B2">
        <w:rPr>
          <w:rFonts w:ascii="Calibri" w:eastAsia="Calibri" w:hAnsi="Calibri" w:cs="Times New Roman"/>
        </w:rPr>
        <w:t>able</w:t>
      </w:r>
      <w:r w:rsidR="00032942">
        <w:rPr>
          <w:rFonts w:ascii="Calibri" w:eastAsia="Calibri" w:hAnsi="Calibri" w:cs="Times New Roman"/>
        </w:rPr>
        <w:t xml:space="preserve"> </w:t>
      </w:r>
      <w:r w:rsidR="00D15BAF" w:rsidRPr="00D15BAF">
        <w:rPr>
          <w:rFonts w:ascii="Calibri" w:eastAsia="Calibri" w:hAnsi="Calibri" w:cs="Times New Roman"/>
        </w:rPr>
        <w:t>to the</w:t>
      </w:r>
      <w:r w:rsidR="006F03C1">
        <w:rPr>
          <w:rFonts w:ascii="Calibri" w:eastAsia="Calibri" w:hAnsi="Calibri" w:cs="Times New Roman"/>
        </w:rPr>
        <w:t xml:space="preserve"> </w:t>
      </w:r>
      <w:r w:rsidR="002D34B2">
        <w:rPr>
          <w:rFonts w:ascii="Calibri" w:eastAsia="Calibri" w:hAnsi="Calibri" w:cs="Times New Roman"/>
        </w:rPr>
        <w:t>institutional-</w:t>
      </w:r>
      <w:r w:rsidR="006F03C1">
        <w:rPr>
          <w:rFonts w:ascii="Calibri" w:eastAsia="Calibri" w:hAnsi="Calibri" w:cs="Times New Roman"/>
        </w:rPr>
        <w:t xml:space="preserve">agents </w:t>
      </w:r>
      <w:r w:rsidR="00E154BA" w:rsidRPr="00E154BA">
        <w:rPr>
          <w:rFonts w:ascii="Calibri" w:eastAsia="Calibri" w:hAnsi="Calibri" w:cs="Times New Roman"/>
        </w:rPr>
        <w:t xml:space="preserve">chosen to </w:t>
      </w:r>
      <w:r>
        <w:rPr>
          <w:rFonts w:ascii="Calibri" w:eastAsia="Calibri" w:hAnsi="Calibri" w:cs="Times New Roman"/>
        </w:rPr>
        <w:t>fulfil these functional needs; that</w:t>
      </w:r>
      <w:r w:rsidR="00E154BA" w:rsidRPr="00E154BA">
        <w:rPr>
          <w:rFonts w:ascii="Calibri" w:eastAsia="Calibri" w:hAnsi="Calibri" w:cs="Times New Roman"/>
        </w:rPr>
        <w:t xml:space="preserve"> </w:t>
      </w:r>
      <w:r>
        <w:rPr>
          <w:rFonts w:ascii="Calibri" w:eastAsia="Calibri" w:hAnsi="Calibri" w:cs="Times New Roman"/>
        </w:rPr>
        <w:t>an</w:t>
      </w:r>
      <w:r w:rsidR="00A65435">
        <w:rPr>
          <w:rFonts w:ascii="Calibri" w:eastAsia="Calibri" w:hAnsi="Calibri" w:cs="Times New Roman"/>
        </w:rPr>
        <w:t xml:space="preserve"> EU administrative order</w:t>
      </w:r>
      <w:r w:rsidR="00206DDF">
        <w:rPr>
          <w:rFonts w:ascii="Calibri" w:eastAsia="Calibri" w:hAnsi="Calibri" w:cs="Times New Roman"/>
        </w:rPr>
        <w:t xml:space="preserve"> </w:t>
      </w:r>
      <w:r>
        <w:rPr>
          <w:rFonts w:ascii="Calibri" w:eastAsia="Calibri" w:hAnsi="Calibri" w:cs="Times New Roman"/>
        </w:rPr>
        <w:t xml:space="preserve">whose contours </w:t>
      </w:r>
      <w:r w:rsidRPr="00765B11">
        <w:rPr>
          <w:rFonts w:ascii="Calibri" w:eastAsia="Calibri" w:hAnsi="Calibri" w:cs="Times New Roman"/>
        </w:rPr>
        <w:t xml:space="preserve">are far from </w:t>
      </w:r>
      <w:r w:rsidRPr="00765B11">
        <w:rPr>
          <w:rFonts w:ascii="Calibri" w:eastAsia="Calibri" w:hAnsi="Calibri" w:cs="Times New Roman"/>
        </w:rPr>
        <w:lastRenderedPageBreak/>
        <w:t>sett</w:t>
      </w:r>
      <w:r w:rsidR="00F42440">
        <w:rPr>
          <w:rFonts w:ascii="Calibri" w:eastAsia="Calibri" w:hAnsi="Calibri" w:cs="Times New Roman"/>
        </w:rPr>
        <w:t>led (</w:t>
      </w:r>
      <w:proofErr w:type="spellStart"/>
      <w:r w:rsidR="00F42440">
        <w:rPr>
          <w:rFonts w:ascii="Calibri" w:eastAsia="Calibri" w:hAnsi="Calibri" w:cs="Times New Roman"/>
        </w:rPr>
        <w:t>Trondal</w:t>
      </w:r>
      <w:proofErr w:type="spellEnd"/>
      <w:r w:rsidR="00F42440">
        <w:rPr>
          <w:rFonts w:ascii="Calibri" w:eastAsia="Calibri" w:hAnsi="Calibri" w:cs="Times New Roman"/>
        </w:rPr>
        <w:t>, 2010</w:t>
      </w:r>
      <w:r w:rsidRPr="00765B11">
        <w:rPr>
          <w:rFonts w:ascii="Calibri" w:eastAsia="Calibri" w:hAnsi="Calibri" w:cs="Times New Roman"/>
        </w:rPr>
        <w:t>)</w:t>
      </w:r>
      <w:r>
        <w:rPr>
          <w:rFonts w:ascii="Calibri" w:eastAsia="Calibri" w:hAnsi="Calibri" w:cs="Times New Roman"/>
        </w:rPr>
        <w:t xml:space="preserve"> </w:t>
      </w:r>
      <w:r w:rsidR="00A65435">
        <w:rPr>
          <w:rFonts w:ascii="Calibri" w:eastAsia="Calibri" w:hAnsi="Calibri" w:cs="Times New Roman"/>
        </w:rPr>
        <w:t>is</w:t>
      </w:r>
      <w:r w:rsidR="00D0726D">
        <w:rPr>
          <w:rFonts w:ascii="Calibri" w:eastAsia="Calibri" w:hAnsi="Calibri" w:cs="Times New Roman"/>
        </w:rPr>
        <w:t xml:space="preserve"> </w:t>
      </w:r>
      <w:r>
        <w:rPr>
          <w:rFonts w:ascii="Calibri" w:eastAsia="Calibri" w:hAnsi="Calibri" w:cs="Times New Roman"/>
        </w:rPr>
        <w:t>being</w:t>
      </w:r>
      <w:r w:rsidR="00206DDF">
        <w:rPr>
          <w:rFonts w:ascii="Calibri" w:eastAsia="Calibri" w:hAnsi="Calibri" w:cs="Times New Roman"/>
        </w:rPr>
        <w:t xml:space="preserve"> </w:t>
      </w:r>
      <w:r w:rsidR="00D15BAF" w:rsidRPr="00D15BAF">
        <w:rPr>
          <w:rFonts w:ascii="Calibri" w:eastAsia="Calibri" w:hAnsi="Calibri" w:cs="Times New Roman"/>
        </w:rPr>
        <w:t>shaped</w:t>
      </w:r>
      <w:r>
        <w:rPr>
          <w:rFonts w:ascii="Calibri" w:eastAsia="Calibri" w:hAnsi="Calibri" w:cs="Times New Roman"/>
        </w:rPr>
        <w:t>, at least in part,</w:t>
      </w:r>
      <w:r w:rsidR="0053110B">
        <w:rPr>
          <w:rFonts w:ascii="Calibri" w:eastAsia="Calibri" w:hAnsi="Calibri" w:cs="Times New Roman"/>
        </w:rPr>
        <w:t xml:space="preserve"> from within</w:t>
      </w:r>
      <w:r w:rsidR="005D33AB">
        <w:rPr>
          <w:rFonts w:ascii="Calibri" w:eastAsia="Calibri" w:hAnsi="Calibri" w:cs="Times New Roman"/>
        </w:rPr>
        <w:t>, by the very networks that operate inside this order</w:t>
      </w:r>
      <w:r w:rsidR="0053110B">
        <w:rPr>
          <w:rFonts w:ascii="Calibri" w:eastAsia="Calibri" w:hAnsi="Calibri" w:cs="Times New Roman"/>
        </w:rPr>
        <w:t xml:space="preserve">. </w:t>
      </w:r>
      <w:r w:rsidR="005D1F57">
        <w:rPr>
          <w:rFonts w:ascii="Calibri" w:eastAsia="Calibri" w:hAnsi="Calibri" w:cs="Times New Roman"/>
        </w:rPr>
        <w:t>T</w:t>
      </w:r>
      <w:r w:rsidR="002D34B2">
        <w:rPr>
          <w:rFonts w:ascii="Calibri" w:eastAsia="Calibri" w:hAnsi="Calibri" w:cs="Times New Roman"/>
        </w:rPr>
        <w:t xml:space="preserve">his </w:t>
      </w:r>
      <w:r w:rsidR="0053110B">
        <w:rPr>
          <w:rFonts w:ascii="Calibri" w:eastAsia="Calibri" w:hAnsi="Calibri" w:cs="Times New Roman"/>
        </w:rPr>
        <w:t>article presents</w:t>
      </w:r>
      <w:r w:rsidR="002D34B2">
        <w:rPr>
          <w:rFonts w:ascii="Calibri" w:eastAsia="Calibri" w:hAnsi="Calibri" w:cs="Times New Roman"/>
        </w:rPr>
        <w:t xml:space="preserve"> a case study</w:t>
      </w:r>
      <w:r w:rsidR="005D1F57">
        <w:rPr>
          <w:rFonts w:ascii="Calibri" w:eastAsia="Calibri" w:hAnsi="Calibri" w:cs="Times New Roman"/>
        </w:rPr>
        <w:t xml:space="preserve"> </w:t>
      </w:r>
      <w:r w:rsidR="00AF5B31">
        <w:rPr>
          <w:rFonts w:ascii="Calibri" w:eastAsia="Calibri" w:hAnsi="Calibri" w:cs="Times New Roman"/>
        </w:rPr>
        <w:t>of institutional</w:t>
      </w:r>
      <w:r w:rsidR="003841D5">
        <w:rPr>
          <w:rFonts w:ascii="Calibri" w:eastAsia="Calibri" w:hAnsi="Calibri" w:cs="Times New Roman"/>
        </w:rPr>
        <w:t xml:space="preserve"> change</w:t>
      </w:r>
      <w:r w:rsidR="00AF5B31">
        <w:rPr>
          <w:rFonts w:ascii="Calibri" w:eastAsia="Calibri" w:hAnsi="Calibri" w:cs="Times New Roman"/>
        </w:rPr>
        <w:t xml:space="preserve"> in the telecoms sector</w:t>
      </w:r>
      <w:r w:rsidR="00C00D89">
        <w:rPr>
          <w:rFonts w:ascii="Calibri" w:eastAsia="Calibri" w:hAnsi="Calibri" w:cs="Times New Roman"/>
        </w:rPr>
        <w:t>,</w:t>
      </w:r>
      <w:r w:rsidR="00FA3909">
        <w:rPr>
          <w:rFonts w:ascii="Calibri" w:eastAsia="Calibri" w:hAnsi="Calibri" w:cs="Times New Roman"/>
        </w:rPr>
        <w:t xml:space="preserve"> </w:t>
      </w:r>
      <w:r w:rsidR="0053110B">
        <w:rPr>
          <w:rFonts w:ascii="Calibri" w:eastAsia="Calibri" w:hAnsi="Calibri" w:cs="Times New Roman"/>
        </w:rPr>
        <w:t>aimed at</w:t>
      </w:r>
      <w:r w:rsidR="005D1F57">
        <w:rPr>
          <w:rFonts w:ascii="Calibri" w:eastAsia="Calibri" w:hAnsi="Calibri" w:cs="Times New Roman"/>
        </w:rPr>
        <w:t xml:space="preserve"> test</w:t>
      </w:r>
      <w:r w:rsidR="0053110B">
        <w:rPr>
          <w:rFonts w:ascii="Calibri" w:eastAsia="Calibri" w:hAnsi="Calibri" w:cs="Times New Roman"/>
        </w:rPr>
        <w:t>ing</w:t>
      </w:r>
      <w:r w:rsidR="005D1F57">
        <w:rPr>
          <w:rFonts w:ascii="Calibri" w:eastAsia="Calibri" w:hAnsi="Calibri" w:cs="Times New Roman"/>
        </w:rPr>
        <w:t xml:space="preserve"> the plausibilit</w:t>
      </w:r>
      <w:r w:rsidR="00D0726D">
        <w:rPr>
          <w:rFonts w:ascii="Calibri" w:eastAsia="Calibri" w:hAnsi="Calibri" w:cs="Times New Roman"/>
        </w:rPr>
        <w:t>y of th</w:t>
      </w:r>
      <w:r w:rsidR="002F1238">
        <w:rPr>
          <w:rFonts w:ascii="Calibri" w:eastAsia="Calibri" w:hAnsi="Calibri" w:cs="Times New Roman"/>
        </w:rPr>
        <w:t>is</w:t>
      </w:r>
      <w:r w:rsidR="00D0726D">
        <w:rPr>
          <w:rFonts w:ascii="Calibri" w:eastAsia="Calibri" w:hAnsi="Calibri" w:cs="Times New Roman"/>
        </w:rPr>
        <w:t xml:space="preserve"> idea</w:t>
      </w:r>
      <w:r w:rsidR="0053110B">
        <w:rPr>
          <w:rFonts w:ascii="Calibri" w:eastAsia="Calibri" w:hAnsi="Calibri" w:cs="Times New Roman"/>
        </w:rPr>
        <w:t>.</w:t>
      </w:r>
    </w:p>
    <w:p w:rsidR="002608E9" w:rsidRDefault="00332243" w:rsidP="001D5F12">
      <w:pPr>
        <w:pStyle w:val="Heading1"/>
        <w:spacing w:line="480" w:lineRule="auto"/>
        <w:rPr>
          <w:rFonts w:eastAsia="Calibri"/>
        </w:rPr>
      </w:pPr>
      <w:r>
        <w:rPr>
          <w:rFonts w:eastAsia="Calibri"/>
        </w:rPr>
        <w:t xml:space="preserve">The phenomenon and </w:t>
      </w:r>
      <w:r w:rsidR="005D33AB">
        <w:rPr>
          <w:rFonts w:eastAsia="Calibri"/>
        </w:rPr>
        <w:t>existing</w:t>
      </w:r>
      <w:r>
        <w:rPr>
          <w:rFonts w:eastAsia="Calibri"/>
        </w:rPr>
        <w:t xml:space="preserve"> e</w:t>
      </w:r>
      <w:r w:rsidR="002566A7">
        <w:rPr>
          <w:rFonts w:eastAsia="Calibri"/>
        </w:rPr>
        <w:t>xplanations</w:t>
      </w:r>
    </w:p>
    <w:p w:rsidR="007358B2" w:rsidRDefault="007358B2" w:rsidP="001D5F12">
      <w:pPr>
        <w:spacing w:after="0" w:line="480" w:lineRule="auto"/>
        <w:jc w:val="both"/>
        <w:rPr>
          <w:rFonts w:ascii="Calibri" w:eastAsia="Calibri" w:hAnsi="Calibri" w:cs="Times New Roman"/>
        </w:rPr>
      </w:pPr>
    </w:p>
    <w:p w:rsidR="007179D2" w:rsidRDefault="00AF5B31" w:rsidP="001D5F12">
      <w:pPr>
        <w:spacing w:after="0" w:line="480" w:lineRule="auto"/>
        <w:jc w:val="both"/>
      </w:pPr>
      <w:r>
        <w:t xml:space="preserve">Despite </w:t>
      </w:r>
      <w:r w:rsidR="00FA3909">
        <w:t>a</w:t>
      </w:r>
      <w:r w:rsidR="00680D79">
        <w:t xml:space="preserve"> long-run</w:t>
      </w:r>
      <w:r>
        <w:t xml:space="preserve"> tendency </w:t>
      </w:r>
      <w:r w:rsidR="00FA3909">
        <w:t xml:space="preserve">in the EU </w:t>
      </w:r>
      <w:r>
        <w:t>towards centralisation and formalisation</w:t>
      </w:r>
      <w:r w:rsidR="002566A7">
        <w:t>,</w:t>
      </w:r>
      <w:r w:rsidR="00206DDF">
        <w:t xml:space="preserve"> and</w:t>
      </w:r>
      <w:r w:rsidR="00307B8A" w:rsidRPr="00307B8A">
        <w:t xml:space="preserve"> </w:t>
      </w:r>
      <w:r>
        <w:t>even when a sector</w:t>
      </w:r>
      <w:r w:rsidR="00307B8A" w:rsidRPr="00307B8A">
        <w:t xml:space="preserve"> </w:t>
      </w:r>
      <w:r w:rsidR="00A90114">
        <w:t>acquire</w:t>
      </w:r>
      <w:r>
        <w:t>s</w:t>
      </w:r>
      <w:r w:rsidR="00A90114">
        <w:t xml:space="preserve"> </w:t>
      </w:r>
      <w:r>
        <w:t xml:space="preserve">an </w:t>
      </w:r>
      <w:r w:rsidR="00A90114">
        <w:t>EU</w:t>
      </w:r>
      <w:r w:rsidR="00307B8A" w:rsidRPr="00307B8A">
        <w:t xml:space="preserve"> agenc</w:t>
      </w:r>
      <w:r>
        <w:t xml:space="preserve">y </w:t>
      </w:r>
      <w:r w:rsidR="002566A7">
        <w:t xml:space="preserve">closely tied </w:t>
      </w:r>
      <w:r w:rsidR="003841D5">
        <w:t xml:space="preserve">to </w:t>
      </w:r>
      <w:r w:rsidR="002566A7">
        <w:t>the</w:t>
      </w:r>
      <w:r w:rsidR="00FA3909">
        <w:t xml:space="preserve"> Commission</w:t>
      </w:r>
      <w:r w:rsidR="002F1238">
        <w:t xml:space="preserve"> that</w:t>
      </w:r>
      <w:r w:rsidR="00206DDF">
        <w:t xml:space="preserve"> </w:t>
      </w:r>
      <w:r w:rsidR="00A65435">
        <w:t>is simultaneously</w:t>
      </w:r>
      <w:r w:rsidRPr="00AF5B31">
        <w:t xml:space="preserve"> handed hard legal powers, </w:t>
      </w:r>
      <w:r w:rsidR="00DE5ECD">
        <w:t xml:space="preserve">existing </w:t>
      </w:r>
      <w:r w:rsidR="00A65435">
        <w:t xml:space="preserve">transnational </w:t>
      </w:r>
      <w:r w:rsidR="00DE5ECD">
        <w:t>network</w:t>
      </w:r>
      <w:r w:rsidR="00A65435">
        <w:t>s and their</w:t>
      </w:r>
      <w:r>
        <w:t xml:space="preserve"> soft disciplining </w:t>
      </w:r>
      <w:r w:rsidR="00A65435">
        <w:t>tend to survive</w:t>
      </w:r>
      <w:r>
        <w:t xml:space="preserve"> in one form or another</w:t>
      </w:r>
      <w:r w:rsidR="002F1238">
        <w:t xml:space="preserve"> as part of</w:t>
      </w:r>
      <w:r w:rsidR="00A65435">
        <w:t xml:space="preserve"> the new </w:t>
      </w:r>
      <w:r w:rsidR="00765B11">
        <w:t>architecture</w:t>
      </w:r>
      <w:r>
        <w:t xml:space="preserve"> </w:t>
      </w:r>
      <w:r w:rsidR="00307B8A" w:rsidRPr="00307B8A">
        <w:t>(</w:t>
      </w:r>
      <w:proofErr w:type="spellStart"/>
      <w:r w:rsidR="00307B8A" w:rsidRPr="00307B8A">
        <w:t>Egeberg</w:t>
      </w:r>
      <w:proofErr w:type="spellEnd"/>
      <w:r w:rsidR="00307B8A" w:rsidRPr="00307B8A">
        <w:t xml:space="preserve"> et al., 2012; </w:t>
      </w:r>
      <w:proofErr w:type="spellStart"/>
      <w:r w:rsidR="00D51CE7" w:rsidRPr="00C5306C">
        <w:rPr>
          <w:rFonts w:ascii="Calibri" w:eastAsia="Calibri" w:hAnsi="Calibri" w:cs="Times New Roman"/>
        </w:rPr>
        <w:t>Boin</w:t>
      </w:r>
      <w:proofErr w:type="spellEnd"/>
      <w:r w:rsidR="00D51CE7" w:rsidRPr="00C5306C">
        <w:rPr>
          <w:rFonts w:ascii="Calibri" w:eastAsia="Calibri" w:hAnsi="Calibri" w:cs="Times New Roman"/>
        </w:rPr>
        <w:t xml:space="preserve"> et al., </w:t>
      </w:r>
      <w:r w:rsidR="00D51CE7">
        <w:rPr>
          <w:rFonts w:ascii="Calibri" w:eastAsia="Calibri" w:hAnsi="Calibri" w:cs="Times New Roman"/>
        </w:rPr>
        <w:t xml:space="preserve">2014; </w:t>
      </w:r>
      <w:proofErr w:type="spellStart"/>
      <w:r w:rsidR="00307B8A" w:rsidRPr="00307B8A">
        <w:t>Blauberger</w:t>
      </w:r>
      <w:proofErr w:type="spellEnd"/>
      <w:r w:rsidR="00307B8A" w:rsidRPr="00307B8A">
        <w:t xml:space="preserve"> and </w:t>
      </w:r>
      <w:proofErr w:type="spellStart"/>
      <w:r w:rsidR="00307B8A" w:rsidRPr="00307B8A">
        <w:t>Rittberger</w:t>
      </w:r>
      <w:proofErr w:type="spellEnd"/>
      <w:r w:rsidR="00307B8A" w:rsidRPr="00307B8A">
        <w:t>, 2015).</w:t>
      </w:r>
      <w:r w:rsidR="00A964EF">
        <w:t xml:space="preserve"> </w:t>
      </w:r>
      <w:r w:rsidR="002566A7">
        <w:t>From regulatory networks to the Open Method of Coordination</w:t>
      </w:r>
      <w:r w:rsidR="00407267">
        <w:t xml:space="preserve"> (OMC)</w:t>
      </w:r>
      <w:r w:rsidR="002566A7">
        <w:t>, t</w:t>
      </w:r>
      <w:r>
        <w:t>ransnational</w:t>
      </w:r>
      <w:r w:rsidR="00307B8A" w:rsidRPr="00307B8A">
        <w:t xml:space="preserve"> networks</w:t>
      </w:r>
      <w:r>
        <w:t xml:space="preserve"> </w:t>
      </w:r>
      <w:r w:rsidR="0070239E" w:rsidRPr="007179D2">
        <w:t xml:space="preserve">that </w:t>
      </w:r>
      <w:r w:rsidR="00F12140">
        <w:t xml:space="preserve">(only) </w:t>
      </w:r>
      <w:r w:rsidR="0070239E" w:rsidRPr="007179D2">
        <w:t>softly discipline member</w:t>
      </w:r>
      <w:r w:rsidR="002566A7">
        <w:t xml:space="preserve"> </w:t>
      </w:r>
      <w:r w:rsidR="0070239E" w:rsidRPr="007179D2">
        <w:t>s</w:t>
      </w:r>
      <w:r w:rsidR="002566A7">
        <w:t>tates</w:t>
      </w:r>
      <w:r w:rsidR="00206DDF">
        <w:t xml:space="preserve"> </w:t>
      </w:r>
      <w:r w:rsidR="00765B11" w:rsidRPr="007179D2">
        <w:t xml:space="preserve">operate in fields as diverse </w:t>
      </w:r>
      <w:r w:rsidR="00765B11">
        <w:t xml:space="preserve">as </w:t>
      </w:r>
      <w:r w:rsidR="00765B11" w:rsidRPr="007179D2">
        <w:t>utilities regulation, environmental protection, transport safety, pensions, competition law, migration, organized crime, finan</w:t>
      </w:r>
      <w:r w:rsidR="00765B11">
        <w:t>cial markets and drug control. The</w:t>
      </w:r>
      <w:r w:rsidR="00A964EF">
        <w:t>y</w:t>
      </w:r>
      <w:r w:rsidR="00765B11">
        <w:t xml:space="preserve"> can</w:t>
      </w:r>
      <w:r w:rsidR="00206DDF">
        <w:t xml:space="preserve"> be</w:t>
      </w:r>
      <w:r w:rsidR="0070239E">
        <w:t xml:space="preserve"> </w:t>
      </w:r>
      <w:r w:rsidR="00A65435">
        <w:t>leg</w:t>
      </w:r>
      <w:r w:rsidR="00FA3909">
        <w:t xml:space="preserve">ally </w:t>
      </w:r>
      <w:r w:rsidR="00307B8A" w:rsidRPr="00307B8A">
        <w:t>independent</w:t>
      </w:r>
      <w:r>
        <w:t xml:space="preserve"> of the EU</w:t>
      </w:r>
      <w:r w:rsidR="007C2A02">
        <w:t>,</w:t>
      </w:r>
      <w:r w:rsidR="00307B8A" w:rsidRPr="00307B8A">
        <w:t xml:space="preserve"> </w:t>
      </w:r>
      <w:r w:rsidR="00F12140">
        <w:t>‘</w:t>
      </w:r>
      <w:proofErr w:type="spellStart"/>
      <w:r w:rsidR="007C2A02">
        <w:t>agencified</w:t>
      </w:r>
      <w:proofErr w:type="spellEnd"/>
      <w:r w:rsidR="00F12140">
        <w:t>’</w:t>
      </w:r>
      <w:r w:rsidR="003841D5">
        <w:t>,</w:t>
      </w:r>
      <w:r w:rsidR="00307B8A" w:rsidRPr="00307B8A">
        <w:t xml:space="preserve"> or </w:t>
      </w:r>
      <w:r w:rsidR="007C2A02">
        <w:t xml:space="preserve">even </w:t>
      </w:r>
      <w:r>
        <w:t xml:space="preserve">disguised </w:t>
      </w:r>
      <w:r w:rsidR="005D1F57">
        <w:t xml:space="preserve">as </w:t>
      </w:r>
      <w:r w:rsidR="00307B8A" w:rsidRPr="00307B8A">
        <w:t>‘netw</w:t>
      </w:r>
      <w:r>
        <w:t>orked agencies’ (Levi-</w:t>
      </w:r>
      <w:proofErr w:type="spellStart"/>
      <w:r>
        <w:t>Faur</w:t>
      </w:r>
      <w:proofErr w:type="spellEnd"/>
      <w:r>
        <w:t>, 2011</w:t>
      </w:r>
      <w:r w:rsidR="00307B8A" w:rsidRPr="00307B8A">
        <w:t>)</w:t>
      </w:r>
      <w:r w:rsidR="00765B11">
        <w:t xml:space="preserve">, but </w:t>
      </w:r>
      <w:r w:rsidR="00A964EF">
        <w:t>what they have in common is that</w:t>
      </w:r>
      <w:r w:rsidR="00206DDF">
        <w:t xml:space="preserve"> they</w:t>
      </w:r>
      <w:r>
        <w:t xml:space="preserve"> </w:t>
      </w:r>
      <w:r w:rsidR="00307B8A" w:rsidRPr="00307B8A">
        <w:t xml:space="preserve">facilitate the coordination of </w:t>
      </w:r>
      <w:r w:rsidR="007C2A02">
        <w:t>national</w:t>
      </w:r>
      <w:r w:rsidR="00307B8A" w:rsidRPr="00307B8A">
        <w:t xml:space="preserve"> </w:t>
      </w:r>
      <w:r>
        <w:t>policymaking</w:t>
      </w:r>
      <w:r w:rsidR="00307B8A" w:rsidRPr="00307B8A">
        <w:t xml:space="preserve"> and</w:t>
      </w:r>
      <w:r w:rsidR="007C2A02">
        <w:t>/or</w:t>
      </w:r>
      <w:r w:rsidR="00307B8A" w:rsidRPr="00307B8A">
        <w:t xml:space="preserve"> the </w:t>
      </w:r>
      <w:r w:rsidR="007C2A02">
        <w:t xml:space="preserve">national </w:t>
      </w:r>
      <w:r w:rsidR="00307B8A" w:rsidRPr="00307B8A">
        <w:t>imple</w:t>
      </w:r>
      <w:r w:rsidR="007C2A02">
        <w:t>mentation of EU regulatory frameworks</w:t>
      </w:r>
      <w:r w:rsidR="003841D5">
        <w:t>,</w:t>
      </w:r>
      <w:r w:rsidR="00307B8A" w:rsidRPr="00307B8A">
        <w:t xml:space="preserve"> </w:t>
      </w:r>
      <w:r w:rsidR="007C2A02">
        <w:t xml:space="preserve">without imposing </w:t>
      </w:r>
      <w:r w:rsidR="00206DDF">
        <w:t xml:space="preserve">full </w:t>
      </w:r>
      <w:r w:rsidR="00A964EF">
        <w:t xml:space="preserve">institutional or legal </w:t>
      </w:r>
      <w:r w:rsidR="007C2A02">
        <w:t>centralisation</w:t>
      </w:r>
      <w:r w:rsidR="00E9354E">
        <w:t xml:space="preserve">. </w:t>
      </w:r>
    </w:p>
    <w:p w:rsidR="00D51CE7" w:rsidRPr="00D51CE7" w:rsidRDefault="00D51CE7" w:rsidP="001D5F12">
      <w:pPr>
        <w:spacing w:after="0" w:line="480" w:lineRule="auto"/>
        <w:jc w:val="both"/>
      </w:pPr>
    </w:p>
    <w:p w:rsidR="00D51CE7" w:rsidRPr="00D51CE7" w:rsidRDefault="00D51CE7" w:rsidP="001D5F12">
      <w:pPr>
        <w:spacing w:after="0" w:line="480" w:lineRule="auto"/>
        <w:jc w:val="both"/>
      </w:pPr>
      <w:r w:rsidRPr="00D51CE7">
        <w:t>Rather than build up a typology – gradations between decentralised network</w:t>
      </w:r>
      <w:r w:rsidR="00F12140">
        <w:t xml:space="preserve">s and centralised agencies </w:t>
      </w:r>
      <w:r w:rsidRPr="00D51CE7">
        <w:t xml:space="preserve">– we </w:t>
      </w:r>
      <w:r w:rsidR="006A160F">
        <w:t xml:space="preserve">suggest it is preferable </w:t>
      </w:r>
      <w:r w:rsidRPr="00D51CE7">
        <w:t xml:space="preserve">to focus on two characteristics that we deem essential to the phenomenon overall: (1) the existence of some sort of transnational network bringing together national </w:t>
      </w:r>
      <w:r w:rsidR="006A160F">
        <w:t xml:space="preserve">policymaking </w:t>
      </w:r>
      <w:r w:rsidRPr="00D51CE7">
        <w:t>units, whether or not alongside an EU agency, and (2) that this network</w:t>
      </w:r>
      <w:r w:rsidR="008A3DE6">
        <w:t>, at least in part, only</w:t>
      </w:r>
      <w:r w:rsidRPr="00D51CE7">
        <w:t xml:space="preserve"> </w:t>
      </w:r>
      <w:r w:rsidR="00F12140">
        <w:t xml:space="preserve">softly disciplines its members (those units) </w:t>
      </w:r>
      <w:r w:rsidRPr="00D51CE7">
        <w:t xml:space="preserve">whether or not this is accompanied by hard law. This allows us to overcome the problem of networks disguised as EU agencies, which in fact rarely appropriate powers </w:t>
      </w:r>
      <w:r w:rsidRPr="00D51CE7">
        <w:lastRenderedPageBreak/>
        <w:t xml:space="preserve">from the member states – exercising only that which had already been transferred to the EU – and tend only to do so </w:t>
      </w:r>
      <w:r w:rsidR="008A3DE6">
        <w:t>using softer modes of disciplining. These include l</w:t>
      </w:r>
      <w:r w:rsidR="00332243" w:rsidRPr="00332243">
        <w:t xml:space="preserve">ead EU agencies </w:t>
      </w:r>
      <w:r w:rsidR="00332243">
        <w:t xml:space="preserve">that </w:t>
      </w:r>
      <w:r w:rsidRPr="00D51CE7">
        <w:t>organis</w:t>
      </w:r>
      <w:r w:rsidR="00332243">
        <w:t>e</w:t>
      </w:r>
      <w:r w:rsidRPr="00D51CE7">
        <w:t xml:space="preserve"> cooperation among national </w:t>
      </w:r>
      <w:r w:rsidR="00332243">
        <w:t>agencies</w:t>
      </w:r>
      <w:r w:rsidRPr="00D51CE7">
        <w:t xml:space="preserve"> </w:t>
      </w:r>
      <w:r w:rsidR="008A3DE6">
        <w:t xml:space="preserve">and that </w:t>
      </w:r>
      <w:r w:rsidRPr="00D51CE7">
        <w:t xml:space="preserve">resemble </w:t>
      </w:r>
      <w:r w:rsidR="00A617A4">
        <w:t>“</w:t>
      </w:r>
      <w:r w:rsidRPr="00D51CE7">
        <w:t>peak organizations</w:t>
      </w:r>
      <w:r w:rsidR="00A617A4">
        <w:t>”</w:t>
      </w:r>
      <w:r w:rsidRPr="00D51CE7">
        <w:t xml:space="preserve"> in transnational networks </w:t>
      </w:r>
      <w:r w:rsidR="00852338" w:rsidRPr="00852338">
        <w:t xml:space="preserve">rather </w:t>
      </w:r>
      <w:r w:rsidRPr="00D51CE7">
        <w:t xml:space="preserve">than </w:t>
      </w:r>
      <w:r w:rsidR="008A3DE6">
        <w:t xml:space="preserve">truly </w:t>
      </w:r>
      <w:r w:rsidRPr="00D51CE7">
        <w:t>free-standing bodies</w:t>
      </w:r>
      <w:r w:rsidR="008A3DE6">
        <w:t xml:space="preserve"> </w:t>
      </w:r>
      <w:r w:rsidR="008A3DE6" w:rsidRPr="008A3DE6">
        <w:t>(</w:t>
      </w:r>
      <w:proofErr w:type="spellStart"/>
      <w:r w:rsidR="00A617A4" w:rsidRPr="00C5306C">
        <w:rPr>
          <w:rFonts w:ascii="Calibri" w:eastAsia="Calibri" w:hAnsi="Calibri" w:cs="Times New Roman"/>
        </w:rPr>
        <w:t>Boin</w:t>
      </w:r>
      <w:proofErr w:type="spellEnd"/>
      <w:r w:rsidR="00A617A4" w:rsidRPr="00C5306C">
        <w:rPr>
          <w:rFonts w:ascii="Calibri" w:eastAsia="Calibri" w:hAnsi="Calibri" w:cs="Times New Roman"/>
        </w:rPr>
        <w:t xml:space="preserve"> et al., </w:t>
      </w:r>
      <w:r w:rsidR="00A617A4">
        <w:rPr>
          <w:rFonts w:ascii="Calibri" w:eastAsia="Calibri" w:hAnsi="Calibri" w:cs="Times New Roman"/>
        </w:rPr>
        <w:t>2014</w:t>
      </w:r>
      <w:r w:rsidR="008A3DE6" w:rsidRPr="008A3DE6">
        <w:t>)</w:t>
      </w:r>
      <w:r w:rsidR="00407267">
        <w:t xml:space="preserve">. </w:t>
      </w:r>
    </w:p>
    <w:p w:rsidR="002566A7" w:rsidRDefault="002566A7" w:rsidP="001D5F12">
      <w:pPr>
        <w:spacing w:after="0" w:line="480" w:lineRule="auto"/>
        <w:jc w:val="both"/>
      </w:pPr>
    </w:p>
    <w:p w:rsidR="002F1238" w:rsidRDefault="002C48FF" w:rsidP="001D5F12">
      <w:pPr>
        <w:spacing w:after="0" w:line="480" w:lineRule="auto"/>
        <w:jc w:val="both"/>
      </w:pPr>
      <w:r w:rsidRPr="0070239E">
        <w:t xml:space="preserve">The </w:t>
      </w:r>
      <w:r w:rsidR="0033261E" w:rsidRPr="0070239E">
        <w:t xml:space="preserve">evolution of </w:t>
      </w:r>
      <w:r w:rsidR="00CC1CC2" w:rsidRPr="0070239E">
        <w:t xml:space="preserve">transnational </w:t>
      </w:r>
      <w:r w:rsidR="007358B2" w:rsidRPr="0070239E">
        <w:t>networks</w:t>
      </w:r>
      <w:r w:rsidR="00CC1CC2" w:rsidRPr="0070239E">
        <w:t>,</w:t>
      </w:r>
      <w:r w:rsidR="007358B2" w:rsidRPr="0070239E">
        <w:t xml:space="preserve"> </w:t>
      </w:r>
      <w:r w:rsidR="00CC1CC2" w:rsidRPr="0070239E">
        <w:t xml:space="preserve">EU </w:t>
      </w:r>
      <w:r w:rsidR="0033261E" w:rsidRPr="0070239E">
        <w:t>agencies</w:t>
      </w:r>
      <w:r w:rsidR="00CC1CC2" w:rsidRPr="0070239E">
        <w:t xml:space="preserve"> and</w:t>
      </w:r>
      <w:r w:rsidR="008E5601" w:rsidRPr="0070239E">
        <w:t xml:space="preserve"> </w:t>
      </w:r>
      <w:r w:rsidR="008F178F" w:rsidRPr="0070239E">
        <w:t xml:space="preserve">all the hybrids that lie </w:t>
      </w:r>
      <w:r w:rsidR="00180F93">
        <w:t xml:space="preserve">in </w:t>
      </w:r>
      <w:r w:rsidR="00CC1CC2" w:rsidRPr="0070239E">
        <w:t>between</w:t>
      </w:r>
      <w:r w:rsidR="00C54C8D" w:rsidRPr="0070239E">
        <w:t xml:space="preserve"> </w:t>
      </w:r>
      <w:r w:rsidR="0033261E" w:rsidRPr="0070239E">
        <w:t xml:space="preserve">is </w:t>
      </w:r>
      <w:r w:rsidR="005F695B">
        <w:t>commonly</w:t>
      </w:r>
      <w:r w:rsidR="0033261E" w:rsidRPr="0070239E">
        <w:t xml:space="preserve"> explained using </w:t>
      </w:r>
      <w:r w:rsidR="003841D5">
        <w:t xml:space="preserve">a </w:t>
      </w:r>
      <w:r w:rsidR="0033261E" w:rsidRPr="0070239E">
        <w:t>functional</w:t>
      </w:r>
      <w:r w:rsidR="00E9354E">
        <w:t>ist</w:t>
      </w:r>
      <w:r w:rsidR="003841D5">
        <w:t>-</w:t>
      </w:r>
      <w:r w:rsidR="0033261E" w:rsidRPr="0070239E">
        <w:t xml:space="preserve">political </w:t>
      </w:r>
      <w:r w:rsidR="003841D5">
        <w:t>account</w:t>
      </w:r>
      <w:r w:rsidR="00FA3909">
        <w:t xml:space="preserve"> that</w:t>
      </w:r>
      <w:r w:rsidR="0070239E">
        <w:t xml:space="preserve"> </w:t>
      </w:r>
      <w:r w:rsidR="002F1238">
        <w:t>understands them to be</w:t>
      </w:r>
      <w:r w:rsidR="005D1F57" w:rsidRPr="005D1F57">
        <w:t xml:space="preserve"> designed exogenously</w:t>
      </w:r>
      <w:r w:rsidR="003841D5">
        <w:t>,</w:t>
      </w:r>
      <w:r w:rsidR="005D1F57" w:rsidRPr="005D1F57">
        <w:t xml:space="preserve"> in negotiations between governments an</w:t>
      </w:r>
      <w:r w:rsidR="00A964EF">
        <w:t>d the principal EU instit</w:t>
      </w:r>
      <w:r w:rsidR="00575F3A">
        <w:t>utions</w:t>
      </w:r>
      <w:r w:rsidR="00407267">
        <w:t xml:space="preserve"> (</w:t>
      </w:r>
      <w:proofErr w:type="spellStart"/>
      <w:r w:rsidR="00407267">
        <w:t>Dehousse</w:t>
      </w:r>
      <w:proofErr w:type="spellEnd"/>
      <w:r w:rsidR="00407267">
        <w:t xml:space="preserve">, 1997; </w:t>
      </w:r>
      <w:proofErr w:type="spellStart"/>
      <w:r w:rsidR="003850E4" w:rsidRPr="002C0D0A">
        <w:t>Héritier</w:t>
      </w:r>
      <w:proofErr w:type="spellEnd"/>
      <w:r w:rsidR="003850E4" w:rsidRPr="002C0D0A">
        <w:t>,</w:t>
      </w:r>
      <w:r w:rsidR="003850E4">
        <w:t xml:space="preserve"> 2007; </w:t>
      </w:r>
      <w:proofErr w:type="spellStart"/>
      <w:r w:rsidR="00E22B9B">
        <w:t>Diedrichs</w:t>
      </w:r>
      <w:proofErr w:type="spellEnd"/>
      <w:r w:rsidR="00E22B9B">
        <w:t xml:space="preserve"> et al, 2011</w:t>
      </w:r>
      <w:r w:rsidR="003850E4">
        <w:t>)</w:t>
      </w:r>
      <w:r w:rsidR="00407267">
        <w:t>. M</w:t>
      </w:r>
      <w:r w:rsidR="0070239E">
        <w:t>ember s</w:t>
      </w:r>
      <w:r w:rsidR="00AA71C8" w:rsidRPr="00AA71C8">
        <w:t xml:space="preserve">tates </w:t>
      </w:r>
      <w:r w:rsidR="00572B3E">
        <w:t xml:space="preserve">that </w:t>
      </w:r>
      <w:r w:rsidR="00AA71C8" w:rsidRPr="00AA71C8">
        <w:t xml:space="preserve">are reluctant </w:t>
      </w:r>
      <w:r w:rsidR="00765B11">
        <w:t>to compromise their sovereignty</w:t>
      </w:r>
      <w:r w:rsidR="00A964EF">
        <w:t>,</w:t>
      </w:r>
      <w:r w:rsidR="00AA71C8" w:rsidRPr="00AA71C8">
        <w:t xml:space="preserve"> but under functional pressure to coordinate</w:t>
      </w:r>
      <w:r w:rsidR="005D1F57">
        <w:t>,</w:t>
      </w:r>
      <w:r w:rsidR="00AA71C8" w:rsidRPr="00AA71C8">
        <w:t xml:space="preserve"> </w:t>
      </w:r>
      <w:r w:rsidR="005D1F57">
        <w:t>accept</w:t>
      </w:r>
      <w:r w:rsidR="00AA71C8" w:rsidRPr="00AA71C8">
        <w:t xml:space="preserve"> </w:t>
      </w:r>
      <w:r w:rsidR="0070239E">
        <w:t xml:space="preserve">to do so through transnational </w:t>
      </w:r>
      <w:r w:rsidR="00DE5ECD">
        <w:t xml:space="preserve">networks and </w:t>
      </w:r>
      <w:r w:rsidR="00680D79">
        <w:t xml:space="preserve">their </w:t>
      </w:r>
      <w:r w:rsidR="00DE5ECD">
        <w:t>softer disciplining</w:t>
      </w:r>
      <w:r w:rsidR="00FA3909">
        <w:t xml:space="preserve"> because </w:t>
      </w:r>
      <w:r w:rsidR="003841D5">
        <w:t>this</w:t>
      </w:r>
      <w:r w:rsidR="00AA71C8" w:rsidRPr="00AA71C8">
        <w:t xml:space="preserve"> </w:t>
      </w:r>
      <w:r w:rsidR="00A964EF">
        <w:t>allows for</w:t>
      </w:r>
      <w:r w:rsidR="00765B11">
        <w:t xml:space="preserve"> </w:t>
      </w:r>
      <w:r w:rsidR="00AA71C8" w:rsidRPr="00AA71C8">
        <w:t>coordinat</w:t>
      </w:r>
      <w:r w:rsidR="00A964EF">
        <w:t>ion</w:t>
      </w:r>
      <w:r w:rsidR="00AA71C8" w:rsidRPr="00AA71C8">
        <w:t xml:space="preserve"> without </w:t>
      </w:r>
      <w:r w:rsidR="00E154BA">
        <w:t xml:space="preserve">requiring </w:t>
      </w:r>
      <w:r w:rsidR="005D1F57">
        <w:t>full</w:t>
      </w:r>
      <w:r w:rsidR="00AA71C8" w:rsidRPr="00AA71C8">
        <w:t xml:space="preserve"> integration</w:t>
      </w:r>
      <w:r w:rsidR="00A741C4">
        <w:t xml:space="preserve"> (</w:t>
      </w:r>
      <w:proofErr w:type="spellStart"/>
      <w:r w:rsidR="00A741C4">
        <w:t>Sabel</w:t>
      </w:r>
      <w:proofErr w:type="spellEnd"/>
      <w:r w:rsidR="00A741C4">
        <w:t xml:space="preserve"> and Zeitlin, 2010; </w:t>
      </w:r>
      <w:proofErr w:type="spellStart"/>
      <w:r w:rsidR="00A741C4">
        <w:t>Kelemen</w:t>
      </w:r>
      <w:proofErr w:type="spellEnd"/>
      <w:r w:rsidR="00A741C4">
        <w:t xml:space="preserve"> and Tarrant, 2011; </w:t>
      </w:r>
      <w:proofErr w:type="spellStart"/>
      <w:r w:rsidR="00A741C4">
        <w:t>Blauberger</w:t>
      </w:r>
      <w:proofErr w:type="spellEnd"/>
      <w:r w:rsidR="00A741C4">
        <w:t xml:space="preserve"> and </w:t>
      </w:r>
      <w:proofErr w:type="spellStart"/>
      <w:r w:rsidR="00A741C4">
        <w:t>Rittberger</w:t>
      </w:r>
      <w:proofErr w:type="spellEnd"/>
      <w:r w:rsidR="00A741C4">
        <w:t>, 2015)</w:t>
      </w:r>
      <w:r w:rsidR="00575F3A">
        <w:t>. It is</w:t>
      </w:r>
      <w:r w:rsidR="00FA3909" w:rsidRPr="00FA3909">
        <w:t xml:space="preserve"> </w:t>
      </w:r>
      <w:r w:rsidR="00FA3909" w:rsidRPr="0051735E">
        <w:t xml:space="preserve">a means </w:t>
      </w:r>
      <w:r w:rsidR="00A65435">
        <w:t>to</w:t>
      </w:r>
      <w:r w:rsidR="00FA3909" w:rsidRPr="0051735E">
        <w:t xml:space="preserve"> resolv</w:t>
      </w:r>
      <w:r w:rsidR="00A65435">
        <w:t>e</w:t>
      </w:r>
      <w:r w:rsidR="00FA3909" w:rsidRPr="0051735E">
        <w:t xml:space="preserve"> the ‘perennial tension’ between </w:t>
      </w:r>
      <w:r w:rsidR="00FA3909">
        <w:t xml:space="preserve">their </w:t>
      </w:r>
      <w:r w:rsidR="00FA3909" w:rsidRPr="0051735E">
        <w:t xml:space="preserve">‘problem-solving impulse to use the EU level efficiently, effectively and legitimately for national objectives’ and their ‘sovereignty reflex’ to resists transferring power </w:t>
      </w:r>
      <w:r w:rsidR="00FA3909">
        <w:t>(</w:t>
      </w:r>
      <w:proofErr w:type="spellStart"/>
      <w:r w:rsidR="00FA3909" w:rsidRPr="00B73E4B">
        <w:t>Diedrichs</w:t>
      </w:r>
      <w:proofErr w:type="spellEnd"/>
      <w:r w:rsidR="00FA3909" w:rsidRPr="00B73E4B">
        <w:t xml:space="preserve"> et al., 2011, p.22</w:t>
      </w:r>
      <w:r w:rsidR="00FA3909">
        <w:t>)</w:t>
      </w:r>
      <w:r w:rsidR="00AA71C8" w:rsidRPr="00AA71C8">
        <w:t xml:space="preserve">. </w:t>
      </w:r>
      <w:r w:rsidR="0070239E">
        <w:t>Meanwhile, the principal EU institutions, d</w:t>
      </w:r>
      <w:r w:rsidR="00AA71C8" w:rsidRPr="00AA71C8">
        <w:t xml:space="preserve">espite </w:t>
      </w:r>
      <w:r w:rsidR="00FA3909">
        <w:t>a</w:t>
      </w:r>
      <w:r w:rsidR="00AA71C8" w:rsidRPr="00AA71C8">
        <w:t xml:space="preserve"> preference for instruments of control premised on the centralized exercise of hierarchical </w:t>
      </w:r>
      <w:r w:rsidR="0070239E">
        <w:t xml:space="preserve">(formalised) </w:t>
      </w:r>
      <w:r w:rsidR="00AA71C8" w:rsidRPr="00AA71C8">
        <w:t>power,</w:t>
      </w:r>
      <w:r w:rsidR="00DE5ECD">
        <w:t xml:space="preserve"> </w:t>
      </w:r>
      <w:r w:rsidR="0070239E">
        <w:t>are</w:t>
      </w:r>
      <w:r w:rsidR="00AA71C8" w:rsidRPr="00AA71C8">
        <w:t xml:space="preserve"> content to </w:t>
      </w:r>
      <w:r w:rsidR="00497DD9">
        <w:t>“</w:t>
      </w:r>
      <w:r w:rsidR="00AA71C8" w:rsidRPr="00AA71C8">
        <w:t>upload</w:t>
      </w:r>
      <w:r w:rsidR="00497DD9">
        <w:t>”</w:t>
      </w:r>
      <w:r w:rsidR="00AA71C8" w:rsidRPr="00AA71C8">
        <w:t xml:space="preserve"> </w:t>
      </w:r>
      <w:r w:rsidR="00DE5ECD">
        <w:t>sector</w:t>
      </w:r>
      <w:r w:rsidR="0070239E">
        <w:t xml:space="preserve">s to the </w:t>
      </w:r>
      <w:r w:rsidR="00FA3909">
        <w:t>EU</w:t>
      </w:r>
      <w:r w:rsidR="00180F93">
        <w:t>,</w:t>
      </w:r>
      <w:r w:rsidR="0070239E">
        <w:t xml:space="preserve"> via </w:t>
      </w:r>
      <w:r w:rsidR="00AA71C8" w:rsidRPr="00AA71C8">
        <w:t>network</w:t>
      </w:r>
      <w:r w:rsidR="0070239E">
        <w:t>s</w:t>
      </w:r>
      <w:r w:rsidR="00AA71C8" w:rsidRPr="00AA71C8">
        <w:t xml:space="preserve"> that discipline</w:t>
      </w:r>
      <w:r w:rsidR="0070239E">
        <w:t xml:space="preserve"> </w:t>
      </w:r>
      <w:r w:rsidR="00A65435">
        <w:t>only softly</w:t>
      </w:r>
      <w:r w:rsidR="00680D79">
        <w:t>,</w:t>
      </w:r>
      <w:r w:rsidR="00A65435">
        <w:t xml:space="preserve"> </w:t>
      </w:r>
      <w:r w:rsidR="0070239E">
        <w:t>on the basis that</w:t>
      </w:r>
      <w:r w:rsidR="00AA71C8" w:rsidRPr="00AA71C8">
        <w:t xml:space="preserve"> </w:t>
      </w:r>
      <w:r w:rsidR="00575F3A">
        <w:t>governments</w:t>
      </w:r>
      <w:r w:rsidR="00AA71C8" w:rsidRPr="00AA71C8">
        <w:t xml:space="preserve"> will eventually acquiesce to more </w:t>
      </w:r>
      <w:r w:rsidR="00DE5ECD">
        <w:t>centralised</w:t>
      </w:r>
      <w:r w:rsidR="00575F3A">
        <w:t>/</w:t>
      </w:r>
      <w:r w:rsidR="0070239E">
        <w:t xml:space="preserve">formalised </w:t>
      </w:r>
      <w:r w:rsidR="00AA71C8" w:rsidRPr="00AA71C8">
        <w:t>solutions</w:t>
      </w:r>
      <w:r w:rsidR="00A617A4">
        <w:t xml:space="preserve"> (</w:t>
      </w:r>
      <w:proofErr w:type="spellStart"/>
      <w:r w:rsidR="00A617A4" w:rsidRPr="002C0D0A">
        <w:t>Héritier</w:t>
      </w:r>
      <w:proofErr w:type="spellEnd"/>
      <w:r w:rsidR="00A617A4" w:rsidRPr="002C0D0A">
        <w:t>,</w:t>
      </w:r>
      <w:r w:rsidR="00A617A4">
        <w:t xml:space="preserve"> 2007)</w:t>
      </w:r>
      <w:r w:rsidR="00AA71C8" w:rsidRPr="00AA71C8">
        <w:t>.</w:t>
      </w:r>
    </w:p>
    <w:p w:rsidR="002F1238" w:rsidRDefault="002F1238" w:rsidP="001D5F12">
      <w:pPr>
        <w:spacing w:after="0" w:line="480" w:lineRule="auto"/>
        <w:jc w:val="both"/>
      </w:pPr>
    </w:p>
    <w:p w:rsidR="00BF4934" w:rsidRDefault="00D51CE7" w:rsidP="001D5F12">
      <w:pPr>
        <w:spacing w:after="0" w:line="480" w:lineRule="auto"/>
        <w:jc w:val="both"/>
      </w:pPr>
      <w:r w:rsidRPr="00D51CE7">
        <w:t xml:space="preserve">We commend a model of institutional change that takes a more institutionalist approach </w:t>
      </w:r>
      <w:r w:rsidR="00F0038D">
        <w:t xml:space="preserve">(Pierson, 2004; </w:t>
      </w:r>
      <w:proofErr w:type="spellStart"/>
      <w:r w:rsidR="00F0038D">
        <w:t>Egeberg</w:t>
      </w:r>
      <w:proofErr w:type="spellEnd"/>
      <w:r w:rsidR="00F0038D">
        <w:t xml:space="preserve"> et al., 2012) </w:t>
      </w:r>
      <w:r w:rsidR="00332243">
        <w:t>so as to</w:t>
      </w:r>
      <w:r w:rsidRPr="00D51CE7">
        <w:t xml:space="preserve"> offer something more fine-grained that supplements, without replacing,</w:t>
      </w:r>
      <w:r w:rsidR="00332243">
        <w:t xml:space="preserve"> these</w:t>
      </w:r>
      <w:r w:rsidRPr="00D51CE7">
        <w:t xml:space="preserve"> functionalist-political accounts. </w:t>
      </w:r>
      <w:r w:rsidR="00D74917">
        <w:t>I</w:t>
      </w:r>
      <w:r w:rsidR="00D74917" w:rsidRPr="00D74917">
        <w:t>n departing from the</w:t>
      </w:r>
      <w:r w:rsidR="00D74917">
        <w:t>ir</w:t>
      </w:r>
      <w:r w:rsidR="00D74917" w:rsidRPr="00D74917">
        <w:t xml:space="preserve"> parsimony, we </w:t>
      </w:r>
      <w:r w:rsidR="00C27DBE">
        <w:t xml:space="preserve">seek to </w:t>
      </w:r>
      <w:r w:rsidR="00D74917" w:rsidRPr="00D74917">
        <w:t xml:space="preserve">avoid going too far in the other direction of attributing everything to contingent events, or to the specificities of </w:t>
      </w:r>
      <w:r w:rsidR="00C27DBE">
        <w:t xml:space="preserve">a particular sector; the </w:t>
      </w:r>
      <w:r w:rsidR="00D74917" w:rsidRPr="00D74917">
        <w:t xml:space="preserve">aim </w:t>
      </w:r>
      <w:r w:rsidR="00C27DBE">
        <w:t>being</w:t>
      </w:r>
      <w:r w:rsidR="00D74917" w:rsidRPr="00D74917">
        <w:t xml:space="preserve"> to enrich the orthodox model, by adding essential nuance, without extinguishing its </w:t>
      </w:r>
      <w:r w:rsidR="00C27DBE">
        <w:lastRenderedPageBreak/>
        <w:t>conceptual clarity</w:t>
      </w:r>
      <w:r w:rsidR="00D74917" w:rsidRPr="00D74917">
        <w:t>.</w:t>
      </w:r>
      <w:r w:rsidR="00C27DBE">
        <w:t xml:space="preserve"> </w:t>
      </w:r>
      <w:r w:rsidRPr="00D51CE7">
        <w:t>In doing so we do not</w:t>
      </w:r>
      <w:r w:rsidR="00332243">
        <w:t xml:space="preserve"> </w:t>
      </w:r>
      <w:r w:rsidRPr="00D51CE7">
        <w:t xml:space="preserve">downplay the role </w:t>
      </w:r>
      <w:r w:rsidR="00332243">
        <w:t>of</w:t>
      </w:r>
      <w:r w:rsidRPr="00D51CE7">
        <w:t xml:space="preserve"> governments and the principal EU institutions in shapin</w:t>
      </w:r>
      <w:r w:rsidR="00BF4934">
        <w:t>g the EU’s administrative order</w:t>
      </w:r>
      <w:r w:rsidR="00332243">
        <w:t xml:space="preserve">, but </w:t>
      </w:r>
      <w:r w:rsidRPr="00D51CE7">
        <w:t xml:space="preserve">only suggest that models of European integration and institutional change </w:t>
      </w:r>
      <w:r w:rsidRPr="00D51CE7">
        <w:rPr>
          <w:i/>
        </w:rPr>
        <w:t>must</w:t>
      </w:r>
      <w:r w:rsidRPr="00D51CE7">
        <w:t xml:space="preserve"> now incorporate the </w:t>
      </w:r>
      <w:r w:rsidRPr="00D51CE7">
        <w:rPr>
          <w:i/>
        </w:rPr>
        <w:t>independent</w:t>
      </w:r>
      <w:r w:rsidRPr="00D51CE7">
        <w:t xml:space="preserve"> role that transnational networks and their members play in their own institutionalisation. Just as purely functionalist accounts </w:t>
      </w:r>
      <w:r w:rsidR="00F0038D">
        <w:t xml:space="preserve">would </w:t>
      </w:r>
      <w:r w:rsidRPr="00D51CE7">
        <w:t xml:space="preserve">lack a political layer to capture the interplay between governments and the principal EU institutions, as they negotiate around the implications of those functional pressures, we suggest </w:t>
      </w:r>
      <w:r w:rsidR="00F12140">
        <w:t>an additional</w:t>
      </w:r>
      <w:r w:rsidRPr="00D51CE7">
        <w:t xml:space="preserve"> institutionalist layer is necessary to capture influence that stems from within the transnational networks that are the subject matter of those negotiations and whose institutional power is at stake in them.</w:t>
      </w:r>
    </w:p>
    <w:p w:rsidR="00BF4934" w:rsidRPr="00D51CE7" w:rsidRDefault="00BF4934" w:rsidP="001D5F12">
      <w:pPr>
        <w:pStyle w:val="Heading1"/>
        <w:spacing w:line="480" w:lineRule="auto"/>
      </w:pPr>
      <w:r>
        <w:t>The model explained</w:t>
      </w:r>
    </w:p>
    <w:p w:rsidR="00D51CE7" w:rsidRPr="00D51CE7" w:rsidRDefault="00D51CE7" w:rsidP="001D5F12">
      <w:pPr>
        <w:spacing w:after="0" w:line="480" w:lineRule="auto"/>
        <w:jc w:val="both"/>
      </w:pPr>
    </w:p>
    <w:p w:rsidR="00680D79" w:rsidRPr="00680D79" w:rsidRDefault="00572B3E" w:rsidP="001D5F12">
      <w:pPr>
        <w:spacing w:after="0" w:line="480" w:lineRule="auto"/>
        <w:jc w:val="both"/>
      </w:pPr>
      <w:r w:rsidRPr="00572B3E">
        <w:t>The</w:t>
      </w:r>
      <w:r w:rsidR="00765B11">
        <w:t>re is nothing new in studying the</w:t>
      </w:r>
      <w:r w:rsidR="00A54D2A">
        <w:t xml:space="preserve"> evolution of Europe’s networks and</w:t>
      </w:r>
      <w:r w:rsidRPr="00572B3E">
        <w:t xml:space="preserve"> agencies from a variety of perspect</w:t>
      </w:r>
      <w:r w:rsidR="00680D79">
        <w:t>ives:</w:t>
      </w:r>
      <w:r w:rsidRPr="00572B3E">
        <w:t xml:space="preserve"> functionalist, political</w:t>
      </w:r>
      <w:r w:rsidR="002566A7">
        <w:t>, or</w:t>
      </w:r>
      <w:r w:rsidRPr="00572B3E">
        <w:t xml:space="preserve"> institutionalist (Thatcher and Coen, 2008; </w:t>
      </w:r>
      <w:proofErr w:type="spellStart"/>
      <w:r w:rsidRPr="00572B3E">
        <w:t>Sabel</w:t>
      </w:r>
      <w:proofErr w:type="spellEnd"/>
      <w:r w:rsidRPr="00572B3E">
        <w:t xml:space="preserve"> a</w:t>
      </w:r>
      <w:r w:rsidR="00F42440">
        <w:t xml:space="preserve">nd Zeitlin, 2010; </w:t>
      </w:r>
      <w:proofErr w:type="spellStart"/>
      <w:r w:rsidR="00F42440">
        <w:t>Trondal</w:t>
      </w:r>
      <w:proofErr w:type="spellEnd"/>
      <w:r w:rsidR="00F42440">
        <w:t>, 2010</w:t>
      </w:r>
      <w:r w:rsidRPr="00572B3E">
        <w:t xml:space="preserve">; </w:t>
      </w:r>
      <w:proofErr w:type="spellStart"/>
      <w:r w:rsidR="007310CA">
        <w:t>Kelemen</w:t>
      </w:r>
      <w:proofErr w:type="spellEnd"/>
      <w:r w:rsidR="007310CA">
        <w:t xml:space="preserve"> and Tarrant, 2011</w:t>
      </w:r>
      <w:r w:rsidRPr="00572B3E">
        <w:t xml:space="preserve">; </w:t>
      </w:r>
      <w:proofErr w:type="spellStart"/>
      <w:r w:rsidRPr="00572B3E">
        <w:t>Busuioc</w:t>
      </w:r>
      <w:proofErr w:type="spellEnd"/>
      <w:r w:rsidRPr="00572B3E">
        <w:t xml:space="preserve">, 2013; </w:t>
      </w:r>
      <w:proofErr w:type="spellStart"/>
      <w:r w:rsidRPr="00572B3E">
        <w:t>Blauberger</w:t>
      </w:r>
      <w:proofErr w:type="spellEnd"/>
      <w:r w:rsidRPr="00572B3E">
        <w:t xml:space="preserve"> and </w:t>
      </w:r>
      <w:proofErr w:type="spellStart"/>
      <w:r w:rsidRPr="00572B3E">
        <w:t>Rittberger</w:t>
      </w:r>
      <w:proofErr w:type="spellEnd"/>
      <w:r w:rsidRPr="00572B3E">
        <w:t xml:space="preserve">, 2015). </w:t>
      </w:r>
      <w:r w:rsidR="0097699F">
        <w:t>W</w:t>
      </w:r>
      <w:r w:rsidR="00765B11">
        <w:t xml:space="preserve">hat is new is to </w:t>
      </w:r>
      <w:r w:rsidR="00C00D89">
        <w:t>put forward</w:t>
      </w:r>
      <w:r w:rsidR="00765B11">
        <w:t xml:space="preserve"> these perspectives as layers of a unified model of institution</w:t>
      </w:r>
      <w:r w:rsidR="00680D79">
        <w:t>al change,</w:t>
      </w:r>
      <w:r w:rsidR="00765B11">
        <w:t xml:space="preserve"> each necessary to understand a significant</w:t>
      </w:r>
      <w:r w:rsidR="00680D79">
        <w:t xml:space="preserve"> (</w:t>
      </w:r>
      <w:r w:rsidR="00765B11">
        <w:t>transnationally networked, soft disciplin</w:t>
      </w:r>
      <w:r w:rsidR="0097699F">
        <w:t>in</w:t>
      </w:r>
      <w:r w:rsidR="00765B11">
        <w:t>g</w:t>
      </w:r>
      <w:r w:rsidR="00680D79">
        <w:t>)</w:t>
      </w:r>
      <w:r w:rsidR="00765B11">
        <w:t xml:space="preserve"> turn in European integration.</w:t>
      </w:r>
      <w:r w:rsidR="00C00D89">
        <w:t xml:space="preserve"> </w:t>
      </w:r>
      <w:r w:rsidR="00680D79" w:rsidRPr="00680D79">
        <w:t xml:space="preserve">Functional needs may drive coordination efforts, but the transnationally-networked, soft-disciplining form </w:t>
      </w:r>
      <w:r w:rsidR="002566A7">
        <w:t xml:space="preserve">that </w:t>
      </w:r>
      <w:r w:rsidR="00680D79" w:rsidRPr="00680D79">
        <w:t xml:space="preserve">these efforts take necessitates consideration of other factors; a more refined model that takes into account </w:t>
      </w:r>
      <w:r w:rsidR="008A3DE6" w:rsidRPr="008A3DE6">
        <w:t xml:space="preserve">not only </w:t>
      </w:r>
      <w:r w:rsidR="00680D79" w:rsidRPr="00680D79">
        <w:t>the influence of governments and the principal EU institutions</w:t>
      </w:r>
      <w:r w:rsidR="002566A7">
        <w:t>,</w:t>
      </w:r>
      <w:r w:rsidR="00C00D89">
        <w:t xml:space="preserve"> bargaining </w:t>
      </w:r>
      <w:r w:rsidR="002F1238">
        <w:t>in the</w:t>
      </w:r>
      <w:r w:rsidR="002566A7">
        <w:t xml:space="preserve"> shadow</w:t>
      </w:r>
      <w:r w:rsidR="002F1238">
        <w:t xml:space="preserve"> of functional needs</w:t>
      </w:r>
      <w:r w:rsidR="00680D79" w:rsidRPr="00680D79">
        <w:t>, but also endogenous factors that stem from within the networks themselves.</w:t>
      </w:r>
    </w:p>
    <w:p w:rsidR="00680D79" w:rsidRPr="00680D79" w:rsidRDefault="00680D79" w:rsidP="001D5F12">
      <w:pPr>
        <w:spacing w:after="0" w:line="480" w:lineRule="auto"/>
        <w:jc w:val="both"/>
      </w:pPr>
    </w:p>
    <w:p w:rsidR="00046823" w:rsidRPr="00046823" w:rsidRDefault="00C00D89" w:rsidP="001D5F12">
      <w:pPr>
        <w:spacing w:after="0" w:line="480" w:lineRule="auto"/>
        <w:jc w:val="both"/>
      </w:pPr>
      <w:r>
        <w:t>Fundamentally, i</w:t>
      </w:r>
      <w:r w:rsidR="00680D79" w:rsidRPr="00680D79">
        <w:t xml:space="preserve">nstitutionalist approaches recognise that institutions are ‘extracted from and mediated by the pre-established </w:t>
      </w:r>
      <w:r w:rsidR="002F1238">
        <w:t xml:space="preserve">[institutional] </w:t>
      </w:r>
      <w:r w:rsidR="00680D79" w:rsidRPr="00680D79">
        <w:t xml:space="preserve">framework’ </w:t>
      </w:r>
      <w:r w:rsidR="008A79F3">
        <w:t xml:space="preserve">in a sort of ‘bricolage’ </w:t>
      </w:r>
      <w:r w:rsidR="00680D79" w:rsidRPr="00680D79">
        <w:t>(Martens, 2012)</w:t>
      </w:r>
      <w:r w:rsidR="008A3DE6">
        <w:t>;</w:t>
      </w:r>
      <w:r w:rsidR="00680D79" w:rsidRPr="00680D79">
        <w:t xml:space="preserve"> </w:t>
      </w:r>
      <w:r w:rsidR="00332243">
        <w:t>neither</w:t>
      </w:r>
      <w:r w:rsidR="00680D79" w:rsidRPr="00680D79">
        <w:t xml:space="preserve"> developed from a ‘bl</w:t>
      </w:r>
      <w:r w:rsidR="000A05BF">
        <w:t>ank slate’ (Pierson, 2004</w:t>
      </w:r>
      <w:r w:rsidR="00680D79" w:rsidRPr="00680D79">
        <w:t xml:space="preserve">) </w:t>
      </w:r>
      <w:r w:rsidR="00332243">
        <w:t>n</w:t>
      </w:r>
      <w:r w:rsidR="00680D79" w:rsidRPr="00680D79">
        <w:t>or simply ‘pop</w:t>
      </w:r>
      <w:r w:rsidR="007310CA">
        <w:t>ping</w:t>
      </w:r>
      <w:r w:rsidR="00680D79" w:rsidRPr="00680D79">
        <w:t xml:space="preserve"> up’ to fulfil certain functional n</w:t>
      </w:r>
      <w:r w:rsidR="000A05BF">
        <w:t xml:space="preserve">eeds </w:t>
      </w:r>
      <w:r w:rsidR="000A05BF">
        <w:lastRenderedPageBreak/>
        <w:t>(</w:t>
      </w:r>
      <w:proofErr w:type="spellStart"/>
      <w:r w:rsidR="000A05BF">
        <w:t>Egeberg</w:t>
      </w:r>
      <w:proofErr w:type="spellEnd"/>
      <w:r w:rsidR="000A05BF">
        <w:t xml:space="preserve"> et al., 2012</w:t>
      </w:r>
      <w:r w:rsidR="00680D79" w:rsidRPr="00680D79">
        <w:t xml:space="preserve">). New institutions are </w:t>
      </w:r>
      <w:r w:rsidR="008A3DE6">
        <w:t xml:space="preserve">instead </w:t>
      </w:r>
      <w:r w:rsidR="00680D79" w:rsidRPr="00680D79">
        <w:t xml:space="preserve">created out of and mediated by pre-existing institutions, so that those </w:t>
      </w:r>
      <w:r w:rsidR="00F920D7">
        <w:t>established</w:t>
      </w:r>
      <w:r w:rsidR="00680D79" w:rsidRPr="00680D79">
        <w:t xml:space="preserve"> in one phase become influential in pressing for, or resisting, change in subsequent phases (T</w:t>
      </w:r>
      <w:r w:rsidR="000A05BF">
        <w:t>hatcher and Coen, 2008</w:t>
      </w:r>
      <w:r w:rsidR="00680D79" w:rsidRPr="00680D79">
        <w:t>)</w:t>
      </w:r>
      <w:r w:rsidR="007310CA">
        <w:t>. This</w:t>
      </w:r>
      <w:r w:rsidR="00680D79" w:rsidRPr="00680D79">
        <w:t xml:space="preserve"> explains </w:t>
      </w:r>
      <w:r w:rsidR="00F920D7">
        <w:t>the</w:t>
      </w:r>
      <w:r w:rsidR="008A79F3">
        <w:t>ir</w:t>
      </w:r>
      <w:r w:rsidR="00F920D7">
        <w:t xml:space="preserve"> </w:t>
      </w:r>
      <w:r w:rsidR="00F920D7" w:rsidRPr="00F920D7">
        <w:t>‘sticki</w:t>
      </w:r>
      <w:r w:rsidR="00F920D7">
        <w:t>ness</w:t>
      </w:r>
      <w:r w:rsidR="00F920D7" w:rsidRPr="00F920D7">
        <w:t>’ (Pierson, 2004)</w:t>
      </w:r>
      <w:r w:rsidR="00F920D7">
        <w:t xml:space="preserve"> and how change is</w:t>
      </w:r>
      <w:r w:rsidR="00F920D7" w:rsidRPr="00F920D7">
        <w:t xml:space="preserve"> likely to </w:t>
      </w:r>
      <w:r w:rsidR="008A79F3">
        <w:t>happen</w:t>
      </w:r>
      <w:r w:rsidR="00F920D7" w:rsidRPr="00F920D7">
        <w:t xml:space="preserve"> incremental</w:t>
      </w:r>
      <w:r w:rsidR="008A79F3">
        <w:t>ly</w:t>
      </w:r>
      <w:r w:rsidR="00F920D7" w:rsidRPr="00F920D7">
        <w:t xml:space="preserve"> and gradual</w:t>
      </w:r>
      <w:r w:rsidR="008A79F3">
        <w:t>ly</w:t>
      </w:r>
      <w:r w:rsidR="00F920D7" w:rsidRPr="00F920D7">
        <w:t xml:space="preserve"> (Adler and Haas, 1992</w:t>
      </w:r>
      <w:r w:rsidR="008A3DE6">
        <w:t xml:space="preserve">; </w:t>
      </w:r>
      <w:r w:rsidR="008A3DE6" w:rsidRPr="008A3DE6">
        <w:t xml:space="preserve">Mahoney and </w:t>
      </w:r>
      <w:proofErr w:type="spellStart"/>
      <w:r w:rsidR="008A3DE6" w:rsidRPr="008A3DE6">
        <w:t>Thelen</w:t>
      </w:r>
      <w:proofErr w:type="spellEnd"/>
      <w:r w:rsidR="008A3DE6" w:rsidRPr="008A3DE6">
        <w:t>, 2010</w:t>
      </w:r>
      <w:r w:rsidR="00F920D7" w:rsidRPr="00F920D7">
        <w:t>)</w:t>
      </w:r>
      <w:r w:rsidR="00F920D7">
        <w:t>,</w:t>
      </w:r>
      <w:r w:rsidR="00F920D7" w:rsidRPr="00F920D7">
        <w:t xml:space="preserve"> ‘layered around already existing orders’ (Cu</w:t>
      </w:r>
      <w:r w:rsidR="008A79F3">
        <w:t xml:space="preserve">rtin and </w:t>
      </w:r>
      <w:proofErr w:type="spellStart"/>
      <w:r w:rsidR="008A79F3">
        <w:t>Egeberg</w:t>
      </w:r>
      <w:proofErr w:type="spellEnd"/>
      <w:r w:rsidR="008A79F3">
        <w:t xml:space="preserve">, 2008, p.640). </w:t>
      </w:r>
      <w:r w:rsidR="006E544F">
        <w:t>While a</w:t>
      </w:r>
      <w:r w:rsidR="00046823">
        <w:t xml:space="preserve"> number of</w:t>
      </w:r>
      <w:r w:rsidR="00046823" w:rsidRPr="00046823">
        <w:t xml:space="preserve"> studies </w:t>
      </w:r>
      <w:r w:rsidR="006E544F">
        <w:t>have applied these ideas to the ways in which</w:t>
      </w:r>
      <w:r w:rsidR="00046823" w:rsidRPr="00046823">
        <w:t xml:space="preserve"> existing transnational networks provide the foundations upon which EU agencies </w:t>
      </w:r>
      <w:r w:rsidR="006E544F">
        <w:t>a</w:t>
      </w:r>
      <w:r w:rsidR="00046823">
        <w:t>re</w:t>
      </w:r>
      <w:r w:rsidR="00046823" w:rsidRPr="00046823">
        <w:t xml:space="preserve"> built (</w:t>
      </w:r>
      <w:proofErr w:type="spellStart"/>
      <w:r w:rsidR="00046823" w:rsidRPr="00046823">
        <w:t>Zito</w:t>
      </w:r>
      <w:proofErr w:type="spellEnd"/>
      <w:r w:rsidR="00046823" w:rsidRPr="00046823">
        <w:t xml:space="preserve">, 2009; </w:t>
      </w:r>
      <w:proofErr w:type="spellStart"/>
      <w:r w:rsidR="00046823" w:rsidRPr="00046823">
        <w:t>Busuioc</w:t>
      </w:r>
      <w:proofErr w:type="spellEnd"/>
      <w:r w:rsidR="00046823" w:rsidRPr="00046823">
        <w:t>, 2013)</w:t>
      </w:r>
      <w:r w:rsidR="00046823">
        <w:t xml:space="preserve">, </w:t>
      </w:r>
      <w:r w:rsidR="006E544F">
        <w:t>t</w:t>
      </w:r>
      <w:r>
        <w:t>heir</w:t>
      </w:r>
      <w:r w:rsidR="00046823">
        <w:t xml:space="preserve"> focus </w:t>
      </w:r>
      <w:r>
        <w:t>is not</w:t>
      </w:r>
      <w:r w:rsidR="00046823">
        <w:t xml:space="preserve"> </w:t>
      </w:r>
      <w:r w:rsidR="00D51CE7">
        <w:t xml:space="preserve">usually </w:t>
      </w:r>
      <w:r w:rsidR="00046823">
        <w:t xml:space="preserve">on </w:t>
      </w:r>
      <w:r w:rsidR="008A79F3">
        <w:t xml:space="preserve">how </w:t>
      </w:r>
      <w:r w:rsidR="00F12140">
        <w:t>this distinct</w:t>
      </w:r>
      <w:r w:rsidR="00046823">
        <w:t xml:space="preserve"> mode of governance endures </w:t>
      </w:r>
      <w:r w:rsidR="002566A7">
        <w:t xml:space="preserve">into the new architecture, </w:t>
      </w:r>
      <w:r w:rsidR="00046823">
        <w:t>as an institutional legacy</w:t>
      </w:r>
      <w:r w:rsidR="00046823" w:rsidRPr="00046823">
        <w:t>.</w:t>
      </w:r>
    </w:p>
    <w:p w:rsidR="00046823" w:rsidRPr="00046823" w:rsidRDefault="00046823" w:rsidP="001D5F12">
      <w:pPr>
        <w:spacing w:after="0" w:line="480" w:lineRule="auto"/>
        <w:jc w:val="both"/>
      </w:pPr>
    </w:p>
    <w:p w:rsidR="00B829B0" w:rsidRDefault="0097699F" w:rsidP="001D5F12">
      <w:pPr>
        <w:spacing w:after="0" w:line="480" w:lineRule="auto"/>
        <w:jc w:val="both"/>
      </w:pPr>
      <w:r>
        <w:t xml:space="preserve">The </w:t>
      </w:r>
      <w:r w:rsidR="006E544F">
        <w:t>dynamic</w:t>
      </w:r>
      <w:r w:rsidR="00C00D89">
        <w:t>, however,</w:t>
      </w:r>
      <w:r>
        <w:t xml:space="preserve"> begins</w:t>
      </w:r>
      <w:r w:rsidR="006E544F">
        <w:t xml:space="preserve"> </w:t>
      </w:r>
      <w:r>
        <w:t>long before the EU and its member states conside</w:t>
      </w:r>
      <w:r w:rsidR="00F12140">
        <w:t>r governing a sector in this way</w:t>
      </w:r>
      <w:r w:rsidR="00F0038D">
        <w:t xml:space="preserve"> (</w:t>
      </w:r>
      <w:proofErr w:type="spellStart"/>
      <w:r w:rsidR="00F0038D">
        <w:t>Schot</w:t>
      </w:r>
      <w:proofErr w:type="spellEnd"/>
      <w:r w:rsidR="00F0038D">
        <w:t xml:space="preserve"> and </w:t>
      </w:r>
      <w:proofErr w:type="spellStart"/>
      <w:r w:rsidR="00F0038D">
        <w:t>Schipper</w:t>
      </w:r>
      <w:proofErr w:type="spellEnd"/>
      <w:r w:rsidR="00F0038D">
        <w:t>, 2011)</w:t>
      </w:r>
      <w:r w:rsidR="00B8190B">
        <w:t>.</w:t>
      </w:r>
      <w:r>
        <w:t xml:space="preserve"> Even before the EU existed, s</w:t>
      </w:r>
      <w:r w:rsidR="003841D5" w:rsidRPr="003841D5">
        <w:t xml:space="preserve">tates </w:t>
      </w:r>
      <w:r>
        <w:t>were ‘disaggregating</w:t>
      </w:r>
      <w:r w:rsidR="003841D5" w:rsidRPr="003841D5">
        <w:t xml:space="preserve">’ into functionally differentiated sub-state units to cope with </w:t>
      </w:r>
      <w:r>
        <w:t xml:space="preserve">various </w:t>
      </w:r>
      <w:r w:rsidR="003841D5" w:rsidRPr="003841D5">
        <w:t>capacity deficits</w:t>
      </w:r>
      <w:r w:rsidR="00852338">
        <w:t>; units that</w:t>
      </w:r>
      <w:r w:rsidR="00F12140">
        <w:t xml:space="preserve"> </w:t>
      </w:r>
      <w:r>
        <w:t xml:space="preserve">were </w:t>
      </w:r>
      <w:r w:rsidR="00C00D89">
        <w:t xml:space="preserve">themselves </w:t>
      </w:r>
      <w:r>
        <w:t>cooperating</w:t>
      </w:r>
      <w:r w:rsidR="003841D5" w:rsidRPr="003841D5">
        <w:t xml:space="preserve"> directly with </w:t>
      </w:r>
      <w:r w:rsidR="00F12140">
        <w:t xml:space="preserve">their </w:t>
      </w:r>
      <w:r w:rsidR="003841D5" w:rsidRPr="003841D5">
        <w:t>counterparts in other states to bring about their own transnational order (</w:t>
      </w:r>
      <w:proofErr w:type="spellStart"/>
      <w:r w:rsidR="000A05BF">
        <w:t>Keohane</w:t>
      </w:r>
      <w:proofErr w:type="spellEnd"/>
      <w:r w:rsidR="000A05BF">
        <w:t>, 1997</w:t>
      </w:r>
      <w:r w:rsidR="003841D5" w:rsidRPr="003841D5">
        <w:t>;</w:t>
      </w:r>
      <w:r w:rsidR="00F12140" w:rsidRPr="00F12140">
        <w:t xml:space="preserve"> </w:t>
      </w:r>
      <w:r w:rsidR="00F12140" w:rsidRPr="003841D5">
        <w:t>Slaug</w:t>
      </w:r>
      <w:r w:rsidR="00F12140">
        <w:t>hter, 2004</w:t>
      </w:r>
      <w:r w:rsidR="003841D5" w:rsidRPr="003841D5">
        <w:t>)</w:t>
      </w:r>
      <w:r>
        <w:t>. It is t</w:t>
      </w:r>
      <w:r w:rsidR="00A65435">
        <w:t xml:space="preserve">his transnational order that the EU is busy formalising when </w:t>
      </w:r>
      <w:r>
        <w:t xml:space="preserve">it </w:t>
      </w:r>
      <w:r w:rsidR="00A65435">
        <w:t>endors</w:t>
      </w:r>
      <w:r>
        <w:t>es</w:t>
      </w:r>
      <w:r w:rsidR="00A65435">
        <w:t xml:space="preserve"> particular transnational </w:t>
      </w:r>
      <w:r w:rsidR="00760B57">
        <w:t>networks and incorporat</w:t>
      </w:r>
      <w:r>
        <w:t>es</w:t>
      </w:r>
      <w:r w:rsidR="00760B57">
        <w:t xml:space="preserve"> them into its </w:t>
      </w:r>
      <w:r w:rsidR="00DC3BE7">
        <w:t xml:space="preserve">own </w:t>
      </w:r>
      <w:r w:rsidR="00760B57">
        <w:t>administrative order. We should not</w:t>
      </w:r>
      <w:r w:rsidR="00DC3BE7">
        <w:t xml:space="preserve"> then</w:t>
      </w:r>
      <w:r w:rsidR="00760B57">
        <w:t xml:space="preserve"> assume </w:t>
      </w:r>
      <w:r w:rsidR="006E544F">
        <w:t>this is determined</w:t>
      </w:r>
      <w:r w:rsidR="00572B3E">
        <w:t xml:space="preserve"> </w:t>
      </w:r>
      <w:r w:rsidR="00760B57">
        <w:t>exclusively from outside these networks</w:t>
      </w:r>
      <w:r w:rsidR="00332243">
        <w:t>, which</w:t>
      </w:r>
      <w:r w:rsidR="00F12140">
        <w:t xml:space="preserve"> were</w:t>
      </w:r>
      <w:r w:rsidR="00680D79">
        <w:t xml:space="preserve"> </w:t>
      </w:r>
      <w:r w:rsidR="00572B3E" w:rsidRPr="0003031A">
        <w:t>not simply willed into being by governments</w:t>
      </w:r>
      <w:r w:rsidR="00572B3E">
        <w:t xml:space="preserve"> and the principal EU institutions</w:t>
      </w:r>
      <w:r w:rsidR="001D452E">
        <w:t xml:space="preserve"> </w:t>
      </w:r>
      <w:r w:rsidR="00572B3E" w:rsidRPr="0003031A">
        <w:t>to perform particular tasks</w:t>
      </w:r>
      <w:r w:rsidR="00572B3E">
        <w:t xml:space="preserve"> </w:t>
      </w:r>
      <w:r>
        <w:t>using a particular mode of soft disciplining</w:t>
      </w:r>
      <w:r w:rsidR="00680D79">
        <w:t xml:space="preserve">. </w:t>
      </w:r>
      <w:r w:rsidR="00B8190B">
        <w:t>Instead, t</w:t>
      </w:r>
      <w:r w:rsidR="00572B3E">
        <w:t>h</w:t>
      </w:r>
      <w:r w:rsidR="006E544F">
        <w:t>e</w:t>
      </w:r>
      <w:r w:rsidR="00572B3E">
        <w:t>se actors were a</w:t>
      </w:r>
      <w:r w:rsidR="006E544F">
        <w:t>lready</w:t>
      </w:r>
      <w:r w:rsidR="00572B3E">
        <w:t xml:space="preserve"> members of pre-existing, </w:t>
      </w:r>
      <w:r w:rsidR="001D452E">
        <w:t xml:space="preserve">often </w:t>
      </w:r>
      <w:r w:rsidR="00572B3E">
        <w:t>non-formalised networks</w:t>
      </w:r>
      <w:r w:rsidR="00F12140">
        <w:t>,</w:t>
      </w:r>
      <w:r w:rsidR="001D452E">
        <w:t xml:space="preserve"> </w:t>
      </w:r>
      <w:r w:rsidR="00572B3E">
        <w:t>capable of influencing th</w:t>
      </w:r>
      <w:r w:rsidR="006E544F">
        <w:t>eir</w:t>
      </w:r>
      <w:r w:rsidR="00572B3E">
        <w:t xml:space="preserve"> </w:t>
      </w:r>
      <w:r w:rsidR="008A3DE6">
        <w:t>own</w:t>
      </w:r>
      <w:r w:rsidR="00F05C72">
        <w:t xml:space="preserve"> (partial)</w:t>
      </w:r>
      <w:r w:rsidR="008A3DE6">
        <w:t xml:space="preserve"> </w:t>
      </w:r>
      <w:r w:rsidR="00572B3E">
        <w:t xml:space="preserve">formalisation </w:t>
      </w:r>
      <w:r w:rsidR="00F05C72" w:rsidRPr="00F05C72">
        <w:t>as officially recognised transnational networks</w:t>
      </w:r>
      <w:r w:rsidR="00F05C72">
        <w:t>,</w:t>
      </w:r>
      <w:r w:rsidR="00F05C72" w:rsidRPr="00F05C72">
        <w:t xml:space="preserve"> </w:t>
      </w:r>
      <w:r w:rsidR="00572B3E">
        <w:t xml:space="preserve">as well as subsequent rounds of institutional change </w:t>
      </w:r>
      <w:r w:rsidR="00C00D89">
        <w:t xml:space="preserve">that </w:t>
      </w:r>
      <w:r w:rsidR="00572B3E">
        <w:t>affect them.</w:t>
      </w:r>
      <w:r w:rsidR="00680D79">
        <w:t xml:space="preserve"> </w:t>
      </w:r>
      <w:r w:rsidR="00DC3BE7" w:rsidRPr="00DC3BE7">
        <w:t xml:space="preserve">Moreover, formalisation as an EU-endorsed network </w:t>
      </w:r>
      <w:r w:rsidR="003020AF">
        <w:t xml:space="preserve">usually </w:t>
      </w:r>
      <w:r w:rsidR="00DC3BE7" w:rsidRPr="00DC3BE7">
        <w:t xml:space="preserve">creates a feedback loop </w:t>
      </w:r>
      <w:r w:rsidR="00D037B9">
        <w:t>by increasing the</w:t>
      </w:r>
      <w:r w:rsidR="00DC3BE7" w:rsidRPr="00DC3BE7">
        <w:t xml:space="preserve"> density of</w:t>
      </w:r>
      <w:r w:rsidR="00680D79">
        <w:t xml:space="preserve"> </w:t>
      </w:r>
      <w:r w:rsidR="00DC3BE7" w:rsidRPr="00DC3BE7">
        <w:t xml:space="preserve">interactions </w:t>
      </w:r>
      <w:r w:rsidR="002566A7">
        <w:t xml:space="preserve">among </w:t>
      </w:r>
      <w:r w:rsidR="00D037B9">
        <w:t xml:space="preserve">its members, </w:t>
      </w:r>
      <w:r w:rsidR="002566A7">
        <w:t>strengthen</w:t>
      </w:r>
      <w:r w:rsidR="002F1238">
        <w:t>ing</w:t>
      </w:r>
      <w:r w:rsidR="002566A7">
        <w:t xml:space="preserve"> </w:t>
      </w:r>
      <w:r w:rsidR="00DC3BE7" w:rsidRPr="00DC3BE7">
        <w:t>the cohesiveness of their community</w:t>
      </w:r>
      <w:r w:rsidR="002566A7">
        <w:t xml:space="preserve"> and thus the</w:t>
      </w:r>
      <w:r w:rsidR="00DC3BE7" w:rsidRPr="00DC3BE7">
        <w:t xml:space="preserve"> platform from which </w:t>
      </w:r>
      <w:r w:rsidR="002566A7">
        <w:t>it can</w:t>
      </w:r>
      <w:r w:rsidR="00DC3BE7" w:rsidRPr="00DC3BE7">
        <w:t xml:space="preserve"> </w:t>
      </w:r>
      <w:r w:rsidR="00F12140">
        <w:t>influence</w:t>
      </w:r>
      <w:r w:rsidR="00DC3BE7" w:rsidRPr="00DC3BE7">
        <w:t xml:space="preserve"> future institutional change</w:t>
      </w:r>
      <w:r w:rsidR="00B8190B">
        <w:t xml:space="preserve"> (</w:t>
      </w:r>
      <w:proofErr w:type="spellStart"/>
      <w:r w:rsidR="00B8190B">
        <w:t>Egeberg</w:t>
      </w:r>
      <w:proofErr w:type="spellEnd"/>
      <w:r w:rsidR="00B8190B">
        <w:t xml:space="preserve"> and </w:t>
      </w:r>
      <w:proofErr w:type="spellStart"/>
      <w:r w:rsidR="00B8190B">
        <w:t>Trondal</w:t>
      </w:r>
      <w:proofErr w:type="spellEnd"/>
      <w:r w:rsidR="00B8190B">
        <w:t>, 2009)</w:t>
      </w:r>
      <w:r w:rsidR="00DC3BE7" w:rsidRPr="00DC3BE7">
        <w:t>.</w:t>
      </w:r>
      <w:r w:rsidR="006E544F">
        <w:t xml:space="preserve"> </w:t>
      </w:r>
    </w:p>
    <w:p w:rsidR="001D452E" w:rsidRDefault="001D452E" w:rsidP="001D5F12">
      <w:pPr>
        <w:spacing w:after="0" w:line="480" w:lineRule="auto"/>
        <w:jc w:val="both"/>
      </w:pPr>
    </w:p>
    <w:p w:rsidR="002D7D79" w:rsidRDefault="000D33EE" w:rsidP="000D33EE">
      <w:pPr>
        <w:spacing w:after="0" w:line="480" w:lineRule="auto"/>
        <w:jc w:val="both"/>
      </w:pPr>
      <w:r w:rsidRPr="00B829B0">
        <w:t>T</w:t>
      </w:r>
      <w:r>
        <w:t xml:space="preserve">hese </w:t>
      </w:r>
      <w:r w:rsidRPr="00B829B0">
        <w:t xml:space="preserve">networks and their members are rarely </w:t>
      </w:r>
      <w:r>
        <w:t xml:space="preserve">formally </w:t>
      </w:r>
      <w:r w:rsidRPr="00B829B0">
        <w:t xml:space="preserve">empowered to shape their own institutionalisation, so their influence is necessarily entrepreneurial, </w:t>
      </w:r>
      <w:r>
        <w:t xml:space="preserve">acting </w:t>
      </w:r>
      <w:r w:rsidRPr="00B829B0">
        <w:t>through the preference formation of governments and the principal EU institutions</w:t>
      </w:r>
      <w:r>
        <w:t>, which</w:t>
      </w:r>
      <w:r w:rsidRPr="00B829B0">
        <w:t xml:space="preserve"> are so empowered (</w:t>
      </w:r>
      <w:proofErr w:type="spellStart"/>
      <w:r w:rsidRPr="00B829B0">
        <w:t>Eberlein</w:t>
      </w:r>
      <w:proofErr w:type="spellEnd"/>
      <w:r w:rsidRPr="00B829B0">
        <w:t xml:space="preserve"> and Newman, 2008; </w:t>
      </w:r>
      <w:proofErr w:type="spellStart"/>
      <w:r w:rsidRPr="00B829B0">
        <w:t>Egeberg</w:t>
      </w:r>
      <w:proofErr w:type="spellEnd"/>
      <w:r w:rsidRPr="00B829B0">
        <w:t xml:space="preserve"> and </w:t>
      </w:r>
      <w:proofErr w:type="spellStart"/>
      <w:r w:rsidRPr="00B829B0">
        <w:t>Trondal</w:t>
      </w:r>
      <w:proofErr w:type="spellEnd"/>
      <w:r w:rsidRPr="00B829B0">
        <w:t>, 2009). Th</w:t>
      </w:r>
      <w:r>
        <w:t>eir</w:t>
      </w:r>
      <w:r w:rsidRPr="00B829B0">
        <w:t xml:space="preserve"> influence stems from governments’ reliance on the expertise of their members, the Commission’s need to use these networks to justify its own institutional proposals and </w:t>
      </w:r>
      <w:r>
        <w:t xml:space="preserve">European </w:t>
      </w:r>
      <w:r w:rsidRPr="00B829B0">
        <w:t xml:space="preserve">Parliament’s preference to work with them as more stable partners than national governments. They might then use that influence to persuade governments and/or the principal EU institutions to adopt views that align with their own preferences and/or gradually to shape institutional dynamics in the periods between </w:t>
      </w:r>
      <w:r>
        <w:t>formal</w:t>
      </w:r>
      <w:r w:rsidRPr="00B829B0">
        <w:t xml:space="preserve"> reviews</w:t>
      </w:r>
      <w:r>
        <w:t xml:space="preserve"> of their network</w:t>
      </w:r>
      <w:r w:rsidRPr="00B829B0">
        <w:t>, during which existing frameworks are applied and evaluated, or simply by effecting informal change to the</w:t>
      </w:r>
      <w:r>
        <w:t>ir</w:t>
      </w:r>
      <w:r w:rsidRPr="00B829B0">
        <w:t xml:space="preserve"> practices</w:t>
      </w:r>
      <w:r>
        <w:t>, which then</w:t>
      </w:r>
      <w:r w:rsidRPr="00B829B0">
        <w:t xml:space="preserve"> alter</w:t>
      </w:r>
      <w:r>
        <w:t>s</w:t>
      </w:r>
      <w:r w:rsidRPr="00B829B0">
        <w:t xml:space="preserve"> </w:t>
      </w:r>
      <w:r>
        <w:t>the network</w:t>
      </w:r>
      <w:r w:rsidRPr="00B829B0">
        <w:t xml:space="preserve"> by stealth.</w:t>
      </w:r>
    </w:p>
    <w:p w:rsidR="001B6DB0" w:rsidRDefault="001B6DB0" w:rsidP="001D5F12">
      <w:pPr>
        <w:spacing w:after="0" w:line="480" w:lineRule="auto"/>
        <w:jc w:val="both"/>
      </w:pPr>
    </w:p>
    <w:p w:rsidR="001D452E" w:rsidRDefault="00332243" w:rsidP="001D5F12">
      <w:pPr>
        <w:spacing w:after="0" w:line="480" w:lineRule="auto"/>
        <w:jc w:val="both"/>
        <w:rPr>
          <w:b/>
        </w:rPr>
      </w:pPr>
      <w:r>
        <w:t>By cooperating</w:t>
      </w:r>
      <w:r w:rsidR="00C97A6A" w:rsidRPr="00C97A6A">
        <w:t xml:space="preserve"> to defend the core tenets of their </w:t>
      </w:r>
      <w:r w:rsidR="00A60E64">
        <w:t xml:space="preserve">distinct </w:t>
      </w:r>
      <w:r>
        <w:t xml:space="preserve">(transnationally </w:t>
      </w:r>
      <w:r w:rsidR="00C97A6A" w:rsidRPr="00C97A6A">
        <w:t>networked, soft disciplining</w:t>
      </w:r>
      <w:r>
        <w:t>)</w:t>
      </w:r>
      <w:r w:rsidR="00C97A6A" w:rsidRPr="00C97A6A">
        <w:t xml:space="preserve"> mode of governance</w:t>
      </w:r>
      <w:r w:rsidR="00CB2C84">
        <w:t xml:space="preserve">, </w:t>
      </w:r>
      <w:r w:rsidRPr="00332243">
        <w:t xml:space="preserve">networks and their members </w:t>
      </w:r>
      <w:r>
        <w:t xml:space="preserve">may </w:t>
      </w:r>
      <w:r w:rsidR="00C97A6A" w:rsidRPr="00C97A6A">
        <w:t xml:space="preserve">slow </w:t>
      </w:r>
      <w:r>
        <w:t>or prevent</w:t>
      </w:r>
      <w:r w:rsidR="006774DB">
        <w:t xml:space="preserve"> </w:t>
      </w:r>
      <w:proofErr w:type="spellStart"/>
      <w:r w:rsidR="00C97A6A" w:rsidRPr="00C97A6A">
        <w:t>agencification</w:t>
      </w:r>
      <w:proofErr w:type="spellEnd"/>
      <w:r w:rsidR="00C97A6A" w:rsidRPr="00C97A6A">
        <w:t xml:space="preserve"> </w:t>
      </w:r>
      <w:r w:rsidR="00A60E64">
        <w:t>and</w:t>
      </w:r>
      <w:r w:rsidR="00C97A6A" w:rsidRPr="00C97A6A">
        <w:t xml:space="preserve"> encourage hybrids</w:t>
      </w:r>
      <w:r w:rsidR="00A60E64">
        <w:t xml:space="preserve"> that</w:t>
      </w:r>
      <w:r w:rsidR="00C97A6A" w:rsidRPr="00C97A6A">
        <w:t xml:space="preserve"> blur boundaries between decentralized transnational networks and centralised supranational agencies (Thatcher, 2011; Thatcher and Coen, 2008; </w:t>
      </w:r>
      <w:proofErr w:type="spellStart"/>
      <w:r w:rsidR="00C97A6A" w:rsidRPr="00C97A6A">
        <w:t>Schot</w:t>
      </w:r>
      <w:proofErr w:type="spellEnd"/>
      <w:r w:rsidR="00C97A6A" w:rsidRPr="00C97A6A">
        <w:t xml:space="preserve"> and </w:t>
      </w:r>
      <w:proofErr w:type="spellStart"/>
      <w:r w:rsidR="00C97A6A" w:rsidRPr="00C97A6A">
        <w:t>Schipper</w:t>
      </w:r>
      <w:proofErr w:type="spellEnd"/>
      <w:r w:rsidR="00C97A6A" w:rsidRPr="00C97A6A">
        <w:t xml:space="preserve">, 2011; Eberhard and Newman, 2008). </w:t>
      </w:r>
      <w:r w:rsidR="006774DB">
        <w:t xml:space="preserve">So, </w:t>
      </w:r>
      <w:r w:rsidR="00C97A6A" w:rsidRPr="00C97A6A">
        <w:t xml:space="preserve">even if a network </w:t>
      </w:r>
      <w:r w:rsidR="008A3DE6">
        <w:t>cannot</w:t>
      </w:r>
      <w:r w:rsidR="00C97A6A" w:rsidRPr="00C97A6A">
        <w:t xml:space="preserve"> avert its </w:t>
      </w:r>
      <w:proofErr w:type="spellStart"/>
      <w:r w:rsidR="00C97A6A" w:rsidRPr="00C97A6A">
        <w:t>agencification</w:t>
      </w:r>
      <w:proofErr w:type="spellEnd"/>
      <w:r w:rsidR="00C97A6A" w:rsidRPr="00C97A6A">
        <w:t>, it may still shape the resulting architecture, contributing to a more decentralised, less formalised design than might otherwise have been the case. This establishes a self-reinforcing dynamic in which network members appear as agents of, and advocates for, a distinct mode of governance that relies heavily on soft disciplining.</w:t>
      </w:r>
      <w:r w:rsidR="00C97A6A" w:rsidRPr="00C97A6A">
        <w:rPr>
          <w:b/>
        </w:rPr>
        <w:t xml:space="preserve"> </w:t>
      </w:r>
    </w:p>
    <w:p w:rsidR="001D452E" w:rsidRDefault="001D452E" w:rsidP="001D5F12">
      <w:pPr>
        <w:spacing w:after="0" w:line="480" w:lineRule="auto"/>
        <w:jc w:val="both"/>
        <w:rPr>
          <w:b/>
        </w:rPr>
      </w:pPr>
    </w:p>
    <w:p w:rsidR="00F95DDB" w:rsidRPr="00D927B3" w:rsidRDefault="00F95DDB" w:rsidP="001D5F12">
      <w:pPr>
        <w:pStyle w:val="Heading1"/>
        <w:spacing w:line="480" w:lineRule="auto"/>
      </w:pPr>
      <w:r w:rsidRPr="00D927B3">
        <w:lastRenderedPageBreak/>
        <w:t xml:space="preserve">Factors contributing to </w:t>
      </w:r>
      <w:r w:rsidR="00AC0AA5">
        <w:t>i</w:t>
      </w:r>
      <w:r w:rsidR="001B6DB0">
        <w:t xml:space="preserve">nstitutional </w:t>
      </w:r>
      <w:r w:rsidR="00AC0AA5">
        <w:t>i</w:t>
      </w:r>
      <w:r>
        <w:t>nfluence</w:t>
      </w:r>
    </w:p>
    <w:p w:rsidR="00BF4934" w:rsidRPr="00BF4934" w:rsidRDefault="00BF4934" w:rsidP="001D5F12">
      <w:pPr>
        <w:spacing w:after="0" w:line="480" w:lineRule="auto"/>
        <w:jc w:val="both"/>
      </w:pPr>
    </w:p>
    <w:p w:rsidR="00AC0AA5" w:rsidRPr="00F5778F" w:rsidRDefault="00AC0AA5" w:rsidP="001D5F12">
      <w:pPr>
        <w:spacing w:after="0" w:line="480" w:lineRule="auto"/>
        <w:jc w:val="both"/>
      </w:pPr>
      <w:r>
        <w:t>In the sectors in which they operate, t</w:t>
      </w:r>
      <w:r w:rsidR="00BF4934" w:rsidRPr="00BF4934">
        <w:t xml:space="preserve">ransnational networks accumulate considerable expertise in </w:t>
      </w:r>
      <w:r>
        <w:t xml:space="preserve">overseeing the </w:t>
      </w:r>
      <w:r w:rsidR="00BF4934" w:rsidRPr="00BF4934">
        <w:t>implement</w:t>
      </w:r>
      <w:r>
        <w:t>ation of</w:t>
      </w:r>
      <w:r w:rsidR="00BF4934" w:rsidRPr="00BF4934">
        <w:t xml:space="preserve"> </w:t>
      </w:r>
      <w:r>
        <w:t>EU</w:t>
      </w:r>
      <w:r w:rsidR="00BF4934" w:rsidRPr="00BF4934">
        <w:t xml:space="preserve"> regulatory frameworks </w:t>
      </w:r>
      <w:r>
        <w:t>or national policymaking</w:t>
      </w:r>
      <w:r w:rsidR="00BF4934" w:rsidRPr="00BF4934">
        <w:t>, alongside a political profile a</w:t>
      </w:r>
      <w:r w:rsidR="000232BA">
        <w:t>nd growing external recognition</w:t>
      </w:r>
      <w:r w:rsidR="000D33EE">
        <w:t xml:space="preserve"> (</w:t>
      </w:r>
      <w:proofErr w:type="spellStart"/>
      <w:r w:rsidR="000D33EE">
        <w:t>Trondal</w:t>
      </w:r>
      <w:proofErr w:type="spellEnd"/>
      <w:r w:rsidR="000D33EE">
        <w:t xml:space="preserve">, 2010). </w:t>
      </w:r>
      <w:r w:rsidR="00586246">
        <w:t>As a result, w</w:t>
      </w:r>
      <w:r w:rsidR="00586246" w:rsidRPr="00AC0AA5">
        <w:t xml:space="preserve">hile </w:t>
      </w:r>
      <w:r w:rsidR="00586246">
        <w:t>members of a transnational network</w:t>
      </w:r>
      <w:r w:rsidR="00586246" w:rsidRPr="00AC0AA5">
        <w:t xml:space="preserve"> necessarily pay attention to the steering signals of their political principals, the</w:t>
      </w:r>
      <w:r w:rsidR="00586246">
        <w:t>ir network</w:t>
      </w:r>
      <w:r w:rsidR="00586246" w:rsidRPr="00AC0AA5">
        <w:t xml:space="preserve"> </w:t>
      </w:r>
      <w:r w:rsidR="001D1993">
        <w:t xml:space="preserve">also </w:t>
      </w:r>
      <w:r w:rsidR="00586246" w:rsidRPr="00AC0AA5">
        <w:t>impose</w:t>
      </w:r>
      <w:r w:rsidR="00586246">
        <w:t>s</w:t>
      </w:r>
      <w:r w:rsidR="00586246" w:rsidRPr="00AC0AA5">
        <w:t xml:space="preserve"> </w:t>
      </w:r>
      <w:r w:rsidR="00586246">
        <w:t>its</w:t>
      </w:r>
      <w:r w:rsidR="00586246" w:rsidRPr="00AC0AA5">
        <w:t xml:space="preserve"> own ‘logic of portfolio’ </w:t>
      </w:r>
      <w:r w:rsidR="001D1993">
        <w:t xml:space="preserve">and </w:t>
      </w:r>
      <w:r w:rsidR="00586246" w:rsidRPr="00AC0AA5">
        <w:t>bestows</w:t>
      </w:r>
      <w:r w:rsidR="002D7D79">
        <w:t xml:space="preserve"> some </w:t>
      </w:r>
      <w:r w:rsidR="00586246" w:rsidRPr="00AC0AA5">
        <w:t xml:space="preserve">autonomy </w:t>
      </w:r>
      <w:r w:rsidR="00586246">
        <w:t>up</w:t>
      </w:r>
      <w:r w:rsidR="00586246" w:rsidRPr="00AC0AA5">
        <w:t>on the</w:t>
      </w:r>
      <w:r w:rsidR="00586246">
        <w:t>m</w:t>
      </w:r>
      <w:r w:rsidR="00586246" w:rsidRPr="00AC0AA5">
        <w:t xml:space="preserve"> vis-à-vis their political principals (</w:t>
      </w:r>
      <w:proofErr w:type="spellStart"/>
      <w:r w:rsidR="00586246" w:rsidRPr="00AC0AA5">
        <w:t>Egeberg</w:t>
      </w:r>
      <w:proofErr w:type="spellEnd"/>
      <w:r w:rsidR="00586246" w:rsidRPr="00AC0AA5">
        <w:t xml:space="preserve"> and </w:t>
      </w:r>
      <w:proofErr w:type="spellStart"/>
      <w:r w:rsidR="00586246" w:rsidRPr="00AC0AA5">
        <w:t>Trondal</w:t>
      </w:r>
      <w:proofErr w:type="spellEnd"/>
      <w:r w:rsidR="00586246" w:rsidRPr="00AC0AA5">
        <w:t>, 2009)</w:t>
      </w:r>
      <w:r w:rsidR="00586246">
        <w:t>. It</w:t>
      </w:r>
      <w:r w:rsidR="00586246" w:rsidRPr="00AC0AA5">
        <w:t xml:space="preserve"> open</w:t>
      </w:r>
      <w:r w:rsidR="00586246">
        <w:t>s</w:t>
      </w:r>
      <w:r w:rsidR="00586246" w:rsidRPr="00AC0AA5">
        <w:t xml:space="preserve"> up a transnational, technocratic space into which national political principals struggle to reach, </w:t>
      </w:r>
      <w:r w:rsidR="00852338">
        <w:t xml:space="preserve">but </w:t>
      </w:r>
      <w:r w:rsidR="00586246" w:rsidRPr="00AC0AA5">
        <w:t>without locking members into a supranational hierarchy that would only leave them beholden to a new set of supranational political principals.</w:t>
      </w:r>
      <w:r w:rsidR="00BF4934" w:rsidRPr="00BF4934">
        <w:t xml:space="preserve"> Industry</w:t>
      </w:r>
      <w:r w:rsidR="000D33EE">
        <w:t xml:space="preserve"> </w:t>
      </w:r>
      <w:r w:rsidR="00BF4934" w:rsidRPr="00BF4934">
        <w:t>addresses itself directly to them</w:t>
      </w:r>
      <w:r w:rsidR="001D1993">
        <w:t>,</w:t>
      </w:r>
      <w:r w:rsidR="00BF4934" w:rsidRPr="00BF4934">
        <w:t xml:space="preserve"> and governments and the principal EU institutions </w:t>
      </w:r>
      <w:r w:rsidR="00852338">
        <w:t>are</w:t>
      </w:r>
      <w:r w:rsidR="00BF4934" w:rsidRPr="00BF4934">
        <w:t xml:space="preserve"> increasingly reliant upon them to articulate complex policy problems and to develop solutions to them. It is </w:t>
      </w:r>
      <w:r w:rsidR="000D33EE">
        <w:t xml:space="preserve">plausible </w:t>
      </w:r>
      <w:r w:rsidR="00BF4934" w:rsidRPr="00BF4934">
        <w:t xml:space="preserve">then that those solutions might sometimes spill over into the institutional; that transnational networks and their members </w:t>
      </w:r>
      <w:r w:rsidR="000232BA">
        <w:t>have perhaps</w:t>
      </w:r>
      <w:r w:rsidR="00BF4934" w:rsidRPr="00BF4934">
        <w:t xml:space="preserve"> become bolder in offering advice on issues that pertain to their own governance structures. </w:t>
      </w:r>
      <w:r w:rsidR="00852338">
        <w:t>Stakeholders that come together in broader</w:t>
      </w:r>
      <w:r w:rsidR="00852338" w:rsidRPr="00AC0AA5">
        <w:t xml:space="preserve"> </w:t>
      </w:r>
      <w:r w:rsidRPr="00AC0AA5">
        <w:t xml:space="preserve">policy networks or advocacy coalitions may share </w:t>
      </w:r>
      <w:r w:rsidR="00FE20DE">
        <w:t>some of the</w:t>
      </w:r>
      <w:r w:rsidRPr="00AC0AA5">
        <w:t xml:space="preserve"> characteristics</w:t>
      </w:r>
      <w:r w:rsidR="00852338">
        <w:t xml:space="preserve"> of these transnational networks</w:t>
      </w:r>
      <w:r w:rsidR="007010DE">
        <w:t>,</w:t>
      </w:r>
      <w:r w:rsidRPr="00AC0AA5">
        <w:t xml:space="preserve"> </w:t>
      </w:r>
      <w:r w:rsidR="002D7D79">
        <w:t xml:space="preserve">and </w:t>
      </w:r>
      <w:r w:rsidRPr="00AC0AA5">
        <w:t xml:space="preserve">sometimes </w:t>
      </w:r>
      <w:r w:rsidR="000232BA">
        <w:t xml:space="preserve">even </w:t>
      </w:r>
      <w:r w:rsidRPr="00AC0AA5">
        <w:t>show an interest in institutional change (</w:t>
      </w:r>
      <w:proofErr w:type="spellStart"/>
      <w:r w:rsidRPr="00AC0AA5">
        <w:t>Eikeland</w:t>
      </w:r>
      <w:proofErr w:type="spellEnd"/>
      <w:r w:rsidRPr="00AC0AA5">
        <w:t>, 2011</w:t>
      </w:r>
      <w:r w:rsidR="000232BA">
        <w:t>)</w:t>
      </w:r>
      <w:r w:rsidR="007010DE">
        <w:t>, b</w:t>
      </w:r>
      <w:r w:rsidR="00B23475">
        <w:t xml:space="preserve">ut </w:t>
      </w:r>
      <w:r w:rsidR="000232BA">
        <w:t>they lack the insider status</w:t>
      </w:r>
      <w:r w:rsidRPr="00AC0AA5">
        <w:t xml:space="preserve"> and accom</w:t>
      </w:r>
      <w:r w:rsidR="000232BA">
        <w:t>panying institutional authority</w:t>
      </w:r>
      <w:r w:rsidR="007010DE">
        <w:t xml:space="preserve"> that</w:t>
      </w:r>
      <w:r w:rsidRPr="00AC0AA5">
        <w:t xml:space="preserve"> is potentially necessary to </w:t>
      </w:r>
      <w:r w:rsidR="007010DE">
        <w:t>a</w:t>
      </w:r>
      <w:r w:rsidR="007010DE" w:rsidRPr="00F5778F">
        <w:t xml:space="preserve"> </w:t>
      </w:r>
      <w:r w:rsidRPr="00E9028D">
        <w:t>specifically institutional</w:t>
      </w:r>
      <w:r w:rsidRPr="00F5778F">
        <w:t xml:space="preserve"> entrepreneurship.</w:t>
      </w:r>
    </w:p>
    <w:p w:rsidR="00AC0AA5" w:rsidRPr="00AC0AA5" w:rsidRDefault="00AC0AA5" w:rsidP="001D5F12">
      <w:pPr>
        <w:spacing w:after="0" w:line="480" w:lineRule="auto"/>
        <w:jc w:val="both"/>
      </w:pPr>
    </w:p>
    <w:p w:rsidR="003C3E6F" w:rsidRDefault="00F95DDB" w:rsidP="001D5F12">
      <w:pPr>
        <w:spacing w:after="0" w:line="480" w:lineRule="auto"/>
        <w:jc w:val="both"/>
      </w:pPr>
      <w:r w:rsidRPr="00F01012">
        <w:t xml:space="preserve">What makes (some) transnational networks and their members effective institutional entrepreneurs, capable of </w:t>
      </w:r>
      <w:r w:rsidR="004760C6">
        <w:t>opposing</w:t>
      </w:r>
      <w:r w:rsidR="004760C6" w:rsidRPr="004760C6">
        <w:t xml:space="preserve"> centralisation</w:t>
      </w:r>
      <w:r w:rsidR="004760C6">
        <w:t>/</w:t>
      </w:r>
      <w:r w:rsidR="004760C6" w:rsidRPr="004760C6">
        <w:t xml:space="preserve">formalisation </w:t>
      </w:r>
      <w:r w:rsidR="004760C6">
        <w:t xml:space="preserve">and </w:t>
      </w:r>
      <w:r w:rsidRPr="00F01012">
        <w:t xml:space="preserve">reinforcing their </w:t>
      </w:r>
      <w:r w:rsidR="000232BA">
        <w:t>distinct</w:t>
      </w:r>
      <w:r w:rsidRPr="00F01012">
        <w:t xml:space="preserve"> mode of governance, and under what conditions? </w:t>
      </w:r>
      <w:r w:rsidR="00FD7833">
        <w:t>T</w:t>
      </w:r>
      <w:r w:rsidR="00FD7833" w:rsidRPr="00AC0AA5">
        <w:t>his is not about the well-documented influence that transnational networks and their members enjoy over EU policymaking, but rather about its e</w:t>
      </w:r>
      <w:r w:rsidR="00FD7833">
        <w:t>xtension to institution-making. But t</w:t>
      </w:r>
      <w:r w:rsidR="00FD7833" w:rsidRPr="00AC0AA5">
        <w:t>he success of that entrepreneurialism is likely to turn on similar</w:t>
      </w:r>
      <w:r w:rsidR="00FD7833">
        <w:t xml:space="preserve">, </w:t>
      </w:r>
      <w:r>
        <w:t>mutually dependent</w:t>
      </w:r>
      <w:r w:rsidRPr="00602CCA">
        <w:t xml:space="preserve"> </w:t>
      </w:r>
      <w:r>
        <w:t>factors, including</w:t>
      </w:r>
      <w:r w:rsidR="00AC0AA5">
        <w:t xml:space="preserve"> their</w:t>
      </w:r>
      <w:r>
        <w:t xml:space="preserve"> </w:t>
      </w:r>
      <w:r w:rsidRPr="00DE0F58">
        <w:lastRenderedPageBreak/>
        <w:t>internal organisation</w:t>
      </w:r>
      <w:r>
        <w:t xml:space="preserve"> and </w:t>
      </w:r>
      <w:r w:rsidRPr="00602CCA">
        <w:t xml:space="preserve">accumulation of relevant </w:t>
      </w:r>
      <w:r w:rsidRPr="00E9028D">
        <w:rPr>
          <w:i/>
        </w:rPr>
        <w:t>resources</w:t>
      </w:r>
      <w:r w:rsidR="00B23475">
        <w:t>. These comprise</w:t>
      </w:r>
      <w:r w:rsidR="00801766">
        <w:t xml:space="preserve"> </w:t>
      </w:r>
      <w:r w:rsidRPr="00D675DE">
        <w:t xml:space="preserve">the tangibles of funding, staffing and infrastructure </w:t>
      </w:r>
      <w:r w:rsidR="00801766">
        <w:t>but also</w:t>
      </w:r>
      <w:r w:rsidRPr="00D675DE">
        <w:t xml:space="preserve"> the intangibles of technocratic expertise, </w:t>
      </w:r>
      <w:r w:rsidR="001D1993" w:rsidRPr="00AC0AA5">
        <w:t>ability to frame complexity</w:t>
      </w:r>
      <w:r w:rsidR="00FD7833">
        <w:t>,</w:t>
      </w:r>
      <w:r w:rsidR="001D1993">
        <w:t xml:space="preserve"> </w:t>
      </w:r>
      <w:r w:rsidRPr="00D675DE">
        <w:t>insider knowledge</w:t>
      </w:r>
      <w:r w:rsidR="00FE20DE" w:rsidRPr="00FE20DE">
        <w:t xml:space="preserve"> </w:t>
      </w:r>
      <w:r w:rsidR="00FE20DE" w:rsidRPr="00AC0AA5">
        <w:t>and informational advantages over political principals</w:t>
      </w:r>
      <w:r w:rsidR="00FE20DE">
        <w:t>,</w:t>
      </w:r>
      <w:r w:rsidRPr="00D675DE">
        <w:t xml:space="preserve"> and institutional authority</w:t>
      </w:r>
      <w:r w:rsidR="004760C6">
        <w:t xml:space="preserve"> and status </w:t>
      </w:r>
      <w:r w:rsidR="004760C6" w:rsidRPr="004760C6">
        <w:t>(Thatcher, 2011)</w:t>
      </w:r>
      <w:r w:rsidR="00B23475">
        <w:t xml:space="preserve">. </w:t>
      </w:r>
      <w:r w:rsidR="00801766">
        <w:t>A distinct resource is their transnational community itself</w:t>
      </w:r>
      <w:r w:rsidR="00FD7833">
        <w:t>, its</w:t>
      </w:r>
      <w:r w:rsidR="00FD7833" w:rsidRPr="00FD7833">
        <w:t xml:space="preserve"> </w:t>
      </w:r>
      <w:r w:rsidR="00FE20DE">
        <w:t xml:space="preserve">cross-border reach and </w:t>
      </w:r>
      <w:r w:rsidR="00FD7833">
        <w:t xml:space="preserve">degree of </w:t>
      </w:r>
      <w:r w:rsidR="00FD7833" w:rsidRPr="00AC0AA5">
        <w:t>internal consensus</w:t>
      </w:r>
      <w:r w:rsidR="00801766">
        <w:t xml:space="preserve">, </w:t>
      </w:r>
      <w:r w:rsidR="00D02B7F">
        <w:t>bestowing</w:t>
      </w:r>
      <w:r w:rsidR="00FE20DE">
        <w:t xml:space="preserve"> on them</w:t>
      </w:r>
      <w:r>
        <w:t xml:space="preserve"> </w:t>
      </w:r>
      <w:r w:rsidRPr="00D675DE">
        <w:t xml:space="preserve">the ability to coordinate strategically with counterparts </w:t>
      </w:r>
      <w:r>
        <w:t>in</w:t>
      </w:r>
      <w:r w:rsidRPr="00D675DE">
        <w:t xml:space="preserve"> other states, through the network or outside it (</w:t>
      </w:r>
      <w:proofErr w:type="spellStart"/>
      <w:r w:rsidRPr="00D675DE">
        <w:t>Raustiala</w:t>
      </w:r>
      <w:proofErr w:type="spellEnd"/>
      <w:r w:rsidRPr="00D675DE">
        <w:t>, 2002; Slaughter, 2004)</w:t>
      </w:r>
      <w:r w:rsidR="00801766">
        <w:t xml:space="preserve">. </w:t>
      </w:r>
      <w:r w:rsidR="00D02B7F">
        <w:t>Coordinating in this way</w:t>
      </w:r>
      <w:r w:rsidR="00FE20DE">
        <w:t xml:space="preserve"> will </w:t>
      </w:r>
      <w:r w:rsidR="00D02B7F">
        <w:t>enable them</w:t>
      </w:r>
      <w:r w:rsidR="00FE20DE">
        <w:t>, amongst other things,</w:t>
      </w:r>
      <w:r w:rsidR="00D02B7F">
        <w:t xml:space="preserve"> to </w:t>
      </w:r>
      <w:r w:rsidR="009F72A2">
        <w:t>determine their collective institutional preferences</w:t>
      </w:r>
      <w:r w:rsidR="007010DE">
        <w:t xml:space="preserve"> and potentially even, collectively, to out-manoeuvre their government leads</w:t>
      </w:r>
      <w:r w:rsidR="00F5778F">
        <w:t>. We consider these</w:t>
      </w:r>
      <w:r w:rsidR="009F72A2">
        <w:t xml:space="preserve"> </w:t>
      </w:r>
      <w:r w:rsidR="00801766" w:rsidRPr="00E9028D">
        <w:rPr>
          <w:i/>
        </w:rPr>
        <w:t>selection</w:t>
      </w:r>
      <w:r w:rsidR="00F5778F">
        <w:t xml:space="preserve"> processes important.</w:t>
      </w:r>
      <w:r w:rsidR="009F72A2">
        <w:t xml:space="preserve"> </w:t>
      </w:r>
      <w:r w:rsidRPr="00772667">
        <w:t xml:space="preserve">Members </w:t>
      </w:r>
      <w:r>
        <w:t xml:space="preserve">of </w:t>
      </w:r>
      <w:r w:rsidR="007C0124">
        <w:t>a transnational</w:t>
      </w:r>
      <w:r>
        <w:t xml:space="preserve"> network </w:t>
      </w:r>
      <w:r w:rsidRPr="00772667">
        <w:t xml:space="preserve">will be collectively more persuasive if they </w:t>
      </w:r>
      <w:r w:rsidR="007C0124">
        <w:t xml:space="preserve">can </w:t>
      </w:r>
      <w:r>
        <w:t>establish</w:t>
      </w:r>
      <w:r w:rsidRPr="000475D7">
        <w:t xml:space="preserve"> a reasonably stable consensus </w:t>
      </w:r>
      <w:r w:rsidR="007C0124">
        <w:t>on</w:t>
      </w:r>
      <w:r>
        <w:t xml:space="preserve"> </w:t>
      </w:r>
      <w:r w:rsidRPr="00045379">
        <w:t>a preferred institutional model</w:t>
      </w:r>
      <w:r>
        <w:t xml:space="preserve">, selected in a way that avoids internal splits that </w:t>
      </w:r>
      <w:r w:rsidR="000232BA">
        <w:t xml:space="preserve">might </w:t>
      </w:r>
      <w:r w:rsidR="007C0124">
        <w:t>emerge</w:t>
      </w:r>
      <w:r w:rsidRPr="00010AE2">
        <w:t xml:space="preserve"> </w:t>
      </w:r>
      <w:r w:rsidR="000232BA">
        <w:t>were</w:t>
      </w:r>
      <w:r w:rsidRPr="00010AE2">
        <w:t xml:space="preserve"> d</w:t>
      </w:r>
      <w:r>
        <w:t xml:space="preserve">iscussion </w:t>
      </w:r>
      <w:r w:rsidR="000232BA">
        <w:t xml:space="preserve">to </w:t>
      </w:r>
      <w:r w:rsidRPr="00010AE2">
        <w:t>deteriorate into ‘bickering interest groups’ or fail to secure the participation and commitment of all members (</w:t>
      </w:r>
      <w:r w:rsidR="007C0124" w:rsidRPr="00010AE2">
        <w:t>Adler and Haas, 1992, p.</w:t>
      </w:r>
      <w:r w:rsidR="00D02B7F">
        <w:t xml:space="preserve"> </w:t>
      </w:r>
      <w:r w:rsidR="007C0124" w:rsidRPr="00010AE2">
        <w:t>384</w:t>
      </w:r>
      <w:r w:rsidRPr="00010AE2">
        <w:t>).</w:t>
      </w:r>
      <w:r>
        <w:t xml:space="preserve"> </w:t>
      </w:r>
      <w:r w:rsidR="001F7DE2" w:rsidRPr="004760C6">
        <w:t xml:space="preserve">A </w:t>
      </w:r>
      <w:r w:rsidR="001F7DE2">
        <w:t>common</w:t>
      </w:r>
      <w:r w:rsidR="001F7DE2" w:rsidRPr="004760C6">
        <w:t xml:space="preserve"> position also serves as a useful reference point to rally around when managing potential confrontations with political principals.</w:t>
      </w:r>
      <w:r w:rsidR="001F7DE2">
        <w:t xml:space="preserve"> </w:t>
      </w:r>
      <w:r w:rsidR="00D02B7F">
        <w:t xml:space="preserve">Timing </w:t>
      </w:r>
      <w:r w:rsidR="00D02B7F" w:rsidRPr="00772667">
        <w:t xml:space="preserve">is significant. The sooner </w:t>
      </w:r>
      <w:r w:rsidR="00D02B7F">
        <w:t>they</w:t>
      </w:r>
      <w:r w:rsidR="00D02B7F" w:rsidRPr="00772667">
        <w:t xml:space="preserve"> can agree, the </w:t>
      </w:r>
      <w:r w:rsidR="00D02B7F">
        <w:t>more likely they can</w:t>
      </w:r>
      <w:r w:rsidR="00D02B7F" w:rsidRPr="00772667">
        <w:t xml:space="preserve"> frame the agenda</w:t>
      </w:r>
      <w:r w:rsidR="00D02B7F">
        <w:t xml:space="preserve"> </w:t>
      </w:r>
      <w:r w:rsidR="00D02B7F" w:rsidRPr="00772667">
        <w:t xml:space="preserve">before </w:t>
      </w:r>
      <w:r w:rsidR="007010DE" w:rsidRPr="00772667">
        <w:t>negotiati</w:t>
      </w:r>
      <w:r w:rsidR="007010DE">
        <w:t>on</w:t>
      </w:r>
      <w:r w:rsidR="007010DE" w:rsidRPr="00772667">
        <w:t xml:space="preserve"> </w:t>
      </w:r>
      <w:r w:rsidR="00D02B7F" w:rsidRPr="00772667">
        <w:t>lines settle.</w:t>
      </w:r>
      <w:r w:rsidR="00D02B7F">
        <w:t xml:space="preserve"> </w:t>
      </w:r>
      <w:r w:rsidR="001F7DE2">
        <w:t>T</w:t>
      </w:r>
      <w:r>
        <w:t xml:space="preserve">heir entrepreneurship is also likely to be more successful if they complement this common position with an effective </w:t>
      </w:r>
      <w:r w:rsidRPr="00E9028D">
        <w:rPr>
          <w:i/>
        </w:rPr>
        <w:t>mobilisation</w:t>
      </w:r>
      <w:r>
        <w:t xml:space="preserve"> strategy</w:t>
      </w:r>
      <w:r w:rsidR="00C268C3">
        <w:t xml:space="preserve">. By </w:t>
      </w:r>
      <w:r w:rsidR="00263195">
        <w:t xml:space="preserve">putting in place suitable internal </w:t>
      </w:r>
      <w:r>
        <w:t xml:space="preserve">infrastructure (e.g. </w:t>
      </w:r>
      <w:r w:rsidR="007010DE">
        <w:t xml:space="preserve">a </w:t>
      </w:r>
      <w:r>
        <w:t>designated committee)</w:t>
      </w:r>
      <w:r w:rsidR="00C268C3">
        <w:t>, they will</w:t>
      </w:r>
      <w:r w:rsidRPr="00772667">
        <w:t xml:space="preserve"> </w:t>
      </w:r>
      <w:r>
        <w:t xml:space="preserve">ensure </w:t>
      </w:r>
      <w:r w:rsidR="00263195">
        <w:t xml:space="preserve">their collective voice </w:t>
      </w:r>
      <w:r w:rsidR="00FC5821">
        <w:t>is sus</w:t>
      </w:r>
      <w:r w:rsidR="00263195">
        <w:t>tained</w:t>
      </w:r>
      <w:r w:rsidR="007010DE">
        <w:t>. It provides</w:t>
      </w:r>
      <w:r w:rsidR="00FC5821">
        <w:t xml:space="preserve"> a forum to resolve internal discord</w:t>
      </w:r>
      <w:r w:rsidR="00C268C3">
        <w:t xml:space="preserve"> if and when it arises</w:t>
      </w:r>
      <w:r w:rsidR="00FC5821">
        <w:t xml:space="preserve">, that might </w:t>
      </w:r>
      <w:r w:rsidR="007010DE">
        <w:t xml:space="preserve">otherwise </w:t>
      </w:r>
      <w:r w:rsidR="00FC5821">
        <w:t>weaken their strategic position, and</w:t>
      </w:r>
      <w:r w:rsidR="00263195">
        <w:t xml:space="preserve"> </w:t>
      </w:r>
      <w:r w:rsidR="007010DE">
        <w:t>ensures that position</w:t>
      </w:r>
      <w:r w:rsidR="00C268C3">
        <w:t xml:space="preserve"> is</w:t>
      </w:r>
      <w:r>
        <w:t xml:space="preserve"> effective</w:t>
      </w:r>
      <w:r w:rsidR="00FC5821">
        <w:t>ly</w:t>
      </w:r>
      <w:r>
        <w:t xml:space="preserve"> disseminat</w:t>
      </w:r>
      <w:r w:rsidR="00C268C3">
        <w:t>ed,</w:t>
      </w:r>
      <w:r w:rsidR="004760C6">
        <w:t xml:space="preserve"> nudg</w:t>
      </w:r>
      <w:r w:rsidR="00C268C3">
        <w:t>ing</w:t>
      </w:r>
      <w:r>
        <w:t xml:space="preserve"> </w:t>
      </w:r>
      <w:r w:rsidR="007C0124">
        <w:t xml:space="preserve">political principals </w:t>
      </w:r>
      <w:r>
        <w:t xml:space="preserve">towards their way of </w:t>
      </w:r>
      <w:r w:rsidRPr="000475D7">
        <w:t xml:space="preserve">thinking. </w:t>
      </w:r>
    </w:p>
    <w:p w:rsidR="003C3E6F" w:rsidRDefault="003C3E6F" w:rsidP="001D5F12">
      <w:pPr>
        <w:spacing w:after="0" w:line="480" w:lineRule="auto"/>
        <w:jc w:val="both"/>
      </w:pPr>
    </w:p>
    <w:p w:rsidR="00F95DDB" w:rsidRDefault="00F95DDB" w:rsidP="001D5F12">
      <w:pPr>
        <w:spacing w:after="0" w:line="480" w:lineRule="auto"/>
        <w:jc w:val="both"/>
      </w:pPr>
      <w:r>
        <w:t>Members may</w:t>
      </w:r>
      <w:r w:rsidRPr="00760B57">
        <w:t xml:space="preserve"> </w:t>
      </w:r>
      <w:r w:rsidR="004760C6">
        <w:t xml:space="preserve">then </w:t>
      </w:r>
      <w:r>
        <w:t>work individually</w:t>
      </w:r>
      <w:r w:rsidR="00C268C3">
        <w:t>,</w:t>
      </w:r>
      <w:r>
        <w:t xml:space="preserve"> </w:t>
      </w:r>
      <w:r w:rsidR="003C3E6F">
        <w:t xml:space="preserve">or collectively as a network, </w:t>
      </w:r>
      <w:r>
        <w:t>to exploit</w:t>
      </w:r>
      <w:r w:rsidRPr="00760B57">
        <w:t xml:space="preserve"> </w:t>
      </w:r>
      <w:r>
        <w:t xml:space="preserve">their </w:t>
      </w:r>
      <w:r w:rsidRPr="00760B57">
        <w:t xml:space="preserve">privileged channels of access </w:t>
      </w:r>
      <w:r>
        <w:t xml:space="preserve">through </w:t>
      </w:r>
      <w:r w:rsidRPr="00760B57">
        <w:t xml:space="preserve">to </w:t>
      </w:r>
      <w:r>
        <w:t xml:space="preserve">particular </w:t>
      </w:r>
      <w:r w:rsidRPr="00446F40">
        <w:t>g</w:t>
      </w:r>
      <w:r>
        <w:t xml:space="preserve">overnments or </w:t>
      </w:r>
      <w:r w:rsidRPr="00446F40">
        <w:t>EU institutions</w:t>
      </w:r>
      <w:r w:rsidR="003C3E6F">
        <w:t>, deploying their e</w:t>
      </w:r>
      <w:r w:rsidRPr="0054053F">
        <w:t>ntrepreneurship</w:t>
      </w:r>
      <w:r>
        <w:t xml:space="preserve"> through </w:t>
      </w:r>
      <w:r w:rsidR="00F5778F">
        <w:t xml:space="preserve">mechanisms of </w:t>
      </w:r>
      <w:r>
        <w:t xml:space="preserve">agenda-framing and </w:t>
      </w:r>
      <w:r w:rsidR="007010DE">
        <w:t xml:space="preserve">the </w:t>
      </w:r>
      <w:r w:rsidRPr="0054053F">
        <w:t>control</w:t>
      </w:r>
      <w:r>
        <w:t xml:space="preserve"> </w:t>
      </w:r>
      <w:r w:rsidR="00F5778F">
        <w:t xml:space="preserve">of </w:t>
      </w:r>
      <w:r w:rsidRPr="0054053F">
        <w:t>ideas or</w:t>
      </w:r>
      <w:r>
        <w:t>,</w:t>
      </w:r>
      <w:r w:rsidRPr="0054053F">
        <w:t xml:space="preserve"> more directly</w:t>
      </w:r>
      <w:r>
        <w:t>,</w:t>
      </w:r>
      <w:r w:rsidRPr="0054053F">
        <w:t xml:space="preserve"> through advocacy and </w:t>
      </w:r>
      <w:r w:rsidRPr="0054053F">
        <w:lastRenderedPageBreak/>
        <w:t>brokering</w:t>
      </w:r>
      <w:r w:rsidR="003C3E6F">
        <w:t>. These three processes</w:t>
      </w:r>
      <w:r w:rsidRPr="0054053F">
        <w:t xml:space="preserve"> </w:t>
      </w:r>
      <w:r>
        <w:t xml:space="preserve">are interrelated – each aimed at convincing diverse political coalitions of the value of particular institutions – </w:t>
      </w:r>
      <w:r w:rsidR="007C0124">
        <w:t>even if</w:t>
      </w:r>
      <w:r>
        <w:t xml:space="preserve"> they refer to conceptually distinct mechanisms</w:t>
      </w:r>
      <w:r w:rsidR="003C3E6F">
        <w:t>.</w:t>
      </w:r>
      <w:r>
        <w:t xml:space="preserve"> </w:t>
      </w:r>
      <w:r w:rsidRPr="00BD32D1">
        <w:rPr>
          <w:i/>
        </w:rPr>
        <w:t>Agenda-</w:t>
      </w:r>
      <w:r>
        <w:rPr>
          <w:i/>
        </w:rPr>
        <w:t>f</w:t>
      </w:r>
      <w:r w:rsidRPr="00560796">
        <w:rPr>
          <w:i/>
        </w:rPr>
        <w:t>raming</w:t>
      </w:r>
      <w:r>
        <w:t xml:space="preserve"> occurs when a network that </w:t>
      </w:r>
      <w:r w:rsidRPr="00352DC0">
        <w:t>already coordinate</w:t>
      </w:r>
      <w:r>
        <w:t>s</w:t>
      </w:r>
      <w:r w:rsidRPr="00352DC0">
        <w:t xml:space="preserve"> a particular policy domain </w:t>
      </w:r>
      <w:r>
        <w:t>gets to</w:t>
      </w:r>
      <w:r w:rsidRPr="00876C29">
        <w:t xml:space="preserve"> frame the </w:t>
      </w:r>
      <w:r w:rsidR="003C3E6F">
        <w:t>outcome</w:t>
      </w:r>
      <w:r w:rsidRPr="00876C29">
        <w:t xml:space="preserve"> of institutional change within that domain</w:t>
      </w:r>
      <w:r>
        <w:t xml:space="preserve"> by using its </w:t>
      </w:r>
      <w:r w:rsidRPr="00F01012">
        <w:t>expertise and leverag</w:t>
      </w:r>
      <w:r>
        <w:t xml:space="preserve">ing its </w:t>
      </w:r>
      <w:r w:rsidRPr="00F01012">
        <w:t>delegated domestic authority to rally support (</w:t>
      </w:r>
      <w:proofErr w:type="spellStart"/>
      <w:r w:rsidRPr="00F01012">
        <w:t>Eberlein</w:t>
      </w:r>
      <w:proofErr w:type="spellEnd"/>
      <w:r w:rsidRPr="00F01012">
        <w:t xml:space="preserve"> and Newman, 2008, p.36).</w:t>
      </w:r>
      <w:r>
        <w:t xml:space="preserve"> In supplying ‘impartial’ technical advice to</w:t>
      </w:r>
      <w:r w:rsidRPr="00446F40">
        <w:t xml:space="preserve"> the principal EU institutions</w:t>
      </w:r>
      <w:r>
        <w:t>, usually through formal channels, it can subtly re-cast their negotiations in its chosen terms by defining the nature of and interpreting the relevant problems for them, to limit ‘the choice of … appropriate institutions within which to resolve or manage’ those problems and th</w:t>
      </w:r>
      <w:r w:rsidR="000232BA">
        <w:t>us</w:t>
      </w:r>
      <w:r>
        <w:t xml:space="preserve"> to narrow the range of options they consider politically and/or technically feasible (Adler and Haas, 1992, p</w:t>
      </w:r>
      <w:r w:rsidR="00961300">
        <w:t>p</w:t>
      </w:r>
      <w:r>
        <w:t xml:space="preserve">.375-8). </w:t>
      </w:r>
      <w:r w:rsidRPr="00560796">
        <w:rPr>
          <w:i/>
        </w:rPr>
        <w:t>Advocacy</w:t>
      </w:r>
      <w:r>
        <w:t xml:space="preserve"> is more overt: </w:t>
      </w:r>
      <w:r w:rsidR="00834FA0">
        <w:t>m</w:t>
      </w:r>
      <w:r>
        <w:t xml:space="preserve">embers of the network, acting singly or jointly, address </w:t>
      </w:r>
      <w:r w:rsidRPr="00446F40">
        <w:t xml:space="preserve">governments </w:t>
      </w:r>
      <w:r>
        <w:t>or</w:t>
      </w:r>
      <w:r w:rsidRPr="00446F40">
        <w:t xml:space="preserve"> the principal EU institutions</w:t>
      </w:r>
      <w:r w:rsidRPr="00446F40">
        <w:rPr>
          <w:b/>
        </w:rPr>
        <w:t xml:space="preserve"> </w:t>
      </w:r>
      <w:r>
        <w:t>directly</w:t>
      </w:r>
      <w:r w:rsidR="00834FA0">
        <w:t xml:space="preserve"> and usually less formally</w:t>
      </w:r>
      <w:r>
        <w:t>, in an effort to persuade them of the benefits of a preferred institutional solution and to eliminate support for alternatives. Here the lobbying is more directed</w:t>
      </w:r>
      <w:r w:rsidR="00834FA0">
        <w:t>,</w:t>
      </w:r>
      <w:r>
        <w:t xml:space="preserve"> and</w:t>
      </w:r>
      <w:r w:rsidR="00834FA0">
        <w:t xml:space="preserve"> </w:t>
      </w:r>
      <w:r>
        <w:t>typically relies on</w:t>
      </w:r>
      <w:r w:rsidR="004760C6">
        <w:t xml:space="preserve"> their</w:t>
      </w:r>
      <w:r>
        <w:t xml:space="preserve"> role as</w:t>
      </w:r>
      <w:r w:rsidR="00834FA0">
        <w:t xml:space="preserve"> technocratic insiders and</w:t>
      </w:r>
      <w:r>
        <w:t xml:space="preserve"> primary advisers to national political principals.</w:t>
      </w:r>
      <w:r w:rsidR="004760C6">
        <w:t xml:space="preserve"> Finally,</w:t>
      </w:r>
      <w:r>
        <w:t xml:space="preserve"> </w:t>
      </w:r>
      <w:r w:rsidR="004760C6">
        <w:rPr>
          <w:i/>
        </w:rPr>
        <w:t>b</w:t>
      </w:r>
      <w:r w:rsidRPr="00560796">
        <w:rPr>
          <w:i/>
        </w:rPr>
        <w:t>rokering</w:t>
      </w:r>
      <w:r>
        <w:t xml:space="preserve"> is a type of advocacy targeted at specific impasses or conflicts in the negotiations, aimed at ensuring they are resolved in line with</w:t>
      </w:r>
      <w:r w:rsidRPr="0054053F">
        <w:t xml:space="preserve"> the</w:t>
      </w:r>
      <w:r>
        <w:t xml:space="preserve"> </w:t>
      </w:r>
      <w:r w:rsidRPr="00247A9A">
        <w:t xml:space="preserve">institutional preferences </w:t>
      </w:r>
      <w:r>
        <w:t xml:space="preserve">of the network and its members. Members step in, individually or in concert, to resolve bottlenecks and conflicts, with a view to attaining a compromise that reflects their preferences. </w:t>
      </w:r>
    </w:p>
    <w:p w:rsidR="00F95DDB" w:rsidRDefault="00F95DDB" w:rsidP="001D5F12">
      <w:pPr>
        <w:spacing w:after="0" w:line="480" w:lineRule="auto"/>
        <w:jc w:val="both"/>
      </w:pPr>
    </w:p>
    <w:p w:rsidR="00F95DDB" w:rsidRDefault="00F95DDB" w:rsidP="001D5F12">
      <w:pPr>
        <w:spacing w:after="0" w:line="480" w:lineRule="auto"/>
        <w:jc w:val="both"/>
      </w:pPr>
      <w:r>
        <w:t xml:space="preserve">Who transnational networks and their members manage to draw into their coalitions depends on the attitudes of others towards their technocratic expertise and how closely their institutional preferences </w:t>
      </w:r>
      <w:r w:rsidR="007C0124">
        <w:t>align with</w:t>
      </w:r>
      <w:r>
        <w:t xml:space="preserve"> those of </w:t>
      </w:r>
      <w:r w:rsidR="004760C6">
        <w:t xml:space="preserve">their </w:t>
      </w:r>
      <w:r>
        <w:t>potential partners. Parent ministries would seem most naturally inclined to rely on national members, while the principal EU institutions may have a strategic interest i</w:t>
      </w:r>
      <w:r w:rsidR="00961300">
        <w:t>n</w:t>
      </w:r>
      <w:r>
        <w:t xml:space="preserve"> using existing transnational networks to legitimize, and </w:t>
      </w:r>
      <w:r w:rsidR="000232BA">
        <w:t xml:space="preserve">to </w:t>
      </w:r>
      <w:r>
        <w:t>grow support for, th</w:t>
      </w:r>
      <w:r w:rsidR="004760C6">
        <w:t>eir own institutional proposals. They</w:t>
      </w:r>
      <w:r>
        <w:t xml:space="preserve"> </w:t>
      </w:r>
      <w:r w:rsidR="00834FA0">
        <w:lastRenderedPageBreak/>
        <w:t xml:space="preserve">might </w:t>
      </w:r>
      <w:r>
        <w:t>consider them more stable partners, with a lower personnel turnover and more consistent technocratic insight, than national ministries or permanent representations (</w:t>
      </w:r>
      <w:proofErr w:type="spellStart"/>
      <w:r>
        <w:t>Hooghe</w:t>
      </w:r>
      <w:proofErr w:type="spellEnd"/>
      <w:r>
        <w:t>, 2012).</w:t>
      </w:r>
    </w:p>
    <w:p w:rsidR="00F95DDB" w:rsidRDefault="00F95DDB" w:rsidP="001D5F12">
      <w:pPr>
        <w:spacing w:after="0" w:line="480" w:lineRule="auto"/>
        <w:jc w:val="both"/>
        <w:rPr>
          <w:b/>
        </w:rPr>
      </w:pPr>
    </w:p>
    <w:p w:rsidR="00876C29" w:rsidRDefault="00F5778F" w:rsidP="001D5F12">
      <w:pPr>
        <w:spacing w:after="0" w:line="480" w:lineRule="auto"/>
        <w:jc w:val="both"/>
      </w:pPr>
      <w:r>
        <w:t>The i</w:t>
      </w:r>
      <w:r w:rsidR="00F95DDB" w:rsidRPr="00247A9A">
        <w:t xml:space="preserve">nstitutional entrepreneurship </w:t>
      </w:r>
      <w:r>
        <w:t xml:space="preserve">of transnational networks </w:t>
      </w:r>
      <w:r w:rsidR="00F95DDB" w:rsidRPr="00247A9A">
        <w:t>is an ongoing process</w:t>
      </w:r>
      <w:r w:rsidR="00F95DDB">
        <w:t xml:space="preserve"> that is </w:t>
      </w:r>
      <w:r w:rsidR="00F95DDB" w:rsidRPr="00247A9A">
        <w:t>not confined to periods of negotiation over formal institutional change</w:t>
      </w:r>
      <w:r w:rsidR="00F95DDB">
        <w:t>, but</w:t>
      </w:r>
      <w:r w:rsidR="00F95DDB" w:rsidRPr="00247A9A">
        <w:t xml:space="preserve"> occurs also between </w:t>
      </w:r>
      <w:r w:rsidR="007010DE">
        <w:t xml:space="preserve">these periods </w:t>
      </w:r>
      <w:r w:rsidR="00F95DDB" w:rsidRPr="00247A9A">
        <w:t xml:space="preserve">when, despite a stable institutional framework, other factors </w:t>
      </w:r>
      <w:r w:rsidR="00F95DDB">
        <w:t xml:space="preserve">intervene </w:t>
      </w:r>
      <w:r w:rsidR="00F95DDB" w:rsidRPr="00247A9A">
        <w:t>(</w:t>
      </w:r>
      <w:r w:rsidR="00F95DDB">
        <w:t>chang</w:t>
      </w:r>
      <w:r w:rsidR="007C0124">
        <w:t>ing</w:t>
      </w:r>
      <w:r w:rsidR="00F95DDB" w:rsidRPr="00247A9A">
        <w:t xml:space="preserve"> political circumstances and agendas, new evidence of institutional inefficiencies etc.)</w:t>
      </w:r>
      <w:r w:rsidR="00F95DDB">
        <w:t xml:space="preserve">. </w:t>
      </w:r>
      <w:r w:rsidR="00F95DDB" w:rsidRPr="00E9028D">
        <w:rPr>
          <w:i/>
        </w:rPr>
        <w:t>Consolidation</w:t>
      </w:r>
      <w:r w:rsidR="00F95DDB" w:rsidRPr="00247A9A">
        <w:t xml:space="preserve"> is about building institutional resilience in these periods; gradually shifting discussions, attitudes, roles and interests</w:t>
      </w:r>
      <w:r w:rsidR="004760C6">
        <w:t>, as well as</w:t>
      </w:r>
      <w:r w:rsidR="00F95DDB" w:rsidRPr="00247A9A">
        <w:t xml:space="preserve"> demonstrating the network’s effectiveness in preparation for the next review</w:t>
      </w:r>
      <w:r w:rsidR="00F95DDB">
        <w:t>. G</w:t>
      </w:r>
      <w:r w:rsidR="00F95DDB" w:rsidRPr="00352DC0">
        <w:t>iven the ever present threat of centralisation and formalisation</w:t>
      </w:r>
      <w:r w:rsidR="00F95DDB">
        <w:t>,</w:t>
      </w:r>
      <w:r w:rsidR="00F95DDB" w:rsidRPr="00352DC0">
        <w:t xml:space="preserve"> </w:t>
      </w:r>
      <w:r w:rsidR="00F95DDB">
        <w:t xml:space="preserve">ongoing mobilisation of support is significant (Martens, 2012) so that, once established, a transnational network </w:t>
      </w:r>
      <w:r w:rsidR="000232BA">
        <w:t>will seek</w:t>
      </w:r>
      <w:r w:rsidR="00F95DDB">
        <w:t xml:space="preserve"> continually to convince those with the power to change it that </w:t>
      </w:r>
      <w:r w:rsidR="00F95DDB" w:rsidRPr="00E220FC">
        <w:t xml:space="preserve">its </w:t>
      </w:r>
      <w:r w:rsidR="00F95DDB">
        <w:t>distinct</w:t>
      </w:r>
      <w:r w:rsidR="00F95DDB" w:rsidRPr="00E220FC">
        <w:t xml:space="preserve"> mode of governance</w:t>
      </w:r>
      <w:r w:rsidR="00F95DDB">
        <w:t xml:space="preserve"> remains effective</w:t>
      </w:r>
      <w:r w:rsidR="007010DE">
        <w:t>. It will</w:t>
      </w:r>
      <w:r w:rsidR="007C0124">
        <w:t xml:space="preserve"> </w:t>
      </w:r>
      <w:r w:rsidR="007010DE">
        <w:t xml:space="preserve">optimize </w:t>
      </w:r>
      <w:r w:rsidR="007C0124">
        <w:t xml:space="preserve">its working practices and </w:t>
      </w:r>
      <w:r w:rsidR="007010DE">
        <w:t xml:space="preserve">publicise </w:t>
      </w:r>
      <w:r w:rsidR="00F95DDB">
        <w:t>its regulatory successes, whether through official channels or more diffusely through the media, industry and other outlets.</w:t>
      </w:r>
    </w:p>
    <w:p w:rsidR="00986F3A" w:rsidRDefault="00332243" w:rsidP="001D5F12">
      <w:pPr>
        <w:pStyle w:val="Heading1"/>
        <w:spacing w:line="480" w:lineRule="auto"/>
      </w:pPr>
      <w:r>
        <w:t>Methodological c</w:t>
      </w:r>
      <w:r w:rsidR="00CA7B83">
        <w:t>onsiderations</w:t>
      </w:r>
    </w:p>
    <w:p w:rsidR="00986F3A" w:rsidRDefault="00986F3A" w:rsidP="001D5F12">
      <w:pPr>
        <w:spacing w:after="0" w:line="480" w:lineRule="auto"/>
        <w:jc w:val="both"/>
      </w:pPr>
    </w:p>
    <w:p w:rsidR="00CB2C84" w:rsidRDefault="00B100B3" w:rsidP="001D5F12">
      <w:pPr>
        <w:spacing w:after="0" w:line="480" w:lineRule="auto"/>
        <w:jc w:val="both"/>
      </w:pPr>
      <w:r>
        <w:t>W</w:t>
      </w:r>
      <w:r w:rsidR="007358B2" w:rsidRPr="009216F4">
        <w:t xml:space="preserve">e </w:t>
      </w:r>
      <w:r w:rsidR="00F95DDB">
        <w:t xml:space="preserve">detail below </w:t>
      </w:r>
      <w:r w:rsidR="00D10118" w:rsidRPr="009216F4">
        <w:t xml:space="preserve">how </w:t>
      </w:r>
      <w:r>
        <w:t>the</w:t>
      </w:r>
      <w:r w:rsidR="001951E7" w:rsidRPr="009216F4">
        <w:t xml:space="preserve"> factors </w:t>
      </w:r>
      <w:r>
        <w:t xml:space="preserve">we </w:t>
      </w:r>
      <w:r w:rsidR="00CB2C84">
        <w:t xml:space="preserve">have </w:t>
      </w:r>
      <w:r>
        <w:t>identif</w:t>
      </w:r>
      <w:r w:rsidR="00CB2C84">
        <w:t>ied</w:t>
      </w:r>
      <w:r>
        <w:t xml:space="preserve"> as potentially </w:t>
      </w:r>
      <w:r w:rsidR="004760C6">
        <w:t>significant</w:t>
      </w:r>
      <w:r>
        <w:t xml:space="preserve"> to the success of institutional entrepreneurship </w:t>
      </w:r>
      <w:r w:rsidR="00CB2C84">
        <w:t>played out</w:t>
      </w:r>
      <w:r w:rsidR="00D10118" w:rsidRPr="009216F4">
        <w:t xml:space="preserve"> </w:t>
      </w:r>
      <w:r w:rsidR="003B620B" w:rsidRPr="009216F4">
        <w:t>in</w:t>
      </w:r>
      <w:r w:rsidR="007358B2" w:rsidRPr="009216F4">
        <w:t xml:space="preserve"> </w:t>
      </w:r>
      <w:r w:rsidR="00F95DDB">
        <w:t xml:space="preserve">negotiations over reform to the institutional architecture for regulating telecoms </w:t>
      </w:r>
      <w:r w:rsidR="00CB2C84">
        <w:t xml:space="preserve">in </w:t>
      </w:r>
      <w:r w:rsidR="00F95DDB">
        <w:t>the EU</w:t>
      </w:r>
      <w:r w:rsidR="00BF4934">
        <w:t xml:space="preserve">. </w:t>
      </w:r>
      <w:r w:rsidR="00F439A0">
        <w:t>The purpose of our study is to test the plausibility of the idea that in modelling EU integration, functional-political accounts may have to be supplemented by an endogenous perspective</w:t>
      </w:r>
      <w:r w:rsidR="00C268C3">
        <w:t>,</w:t>
      </w:r>
      <w:r w:rsidR="00F439A0">
        <w:t xml:space="preserve"> highlighting institutional path-dependencies </w:t>
      </w:r>
      <w:r w:rsidR="007010DE">
        <w:t xml:space="preserve">that stem </w:t>
      </w:r>
      <w:r w:rsidR="00C268C3">
        <w:t>from the institution-agents within</w:t>
      </w:r>
      <w:r w:rsidR="00F439A0">
        <w:t xml:space="preserve"> Europe’s networked</w:t>
      </w:r>
      <w:r w:rsidR="00C268C3">
        <w:t xml:space="preserve"> modes of</w:t>
      </w:r>
      <w:r w:rsidR="00F439A0">
        <w:t xml:space="preserve"> governance. </w:t>
      </w:r>
      <w:r w:rsidR="00BF4934">
        <w:t>The case study</w:t>
      </w:r>
      <w:r w:rsidR="00F95DDB">
        <w:t xml:space="preserve"> is </w:t>
      </w:r>
      <w:r w:rsidR="00D10118" w:rsidRPr="009216F4">
        <w:t>c</w:t>
      </w:r>
      <w:r w:rsidR="002C5864" w:rsidRPr="009216F4">
        <w:t xml:space="preserve">hosen </w:t>
      </w:r>
      <w:r w:rsidR="00662F5E">
        <w:t xml:space="preserve">on the basis that </w:t>
      </w:r>
      <w:r w:rsidR="00D10118" w:rsidRPr="009216F4">
        <w:t xml:space="preserve">the </w:t>
      </w:r>
      <w:r w:rsidR="003B620B" w:rsidRPr="009216F4">
        <w:t>principal</w:t>
      </w:r>
      <w:r w:rsidR="001951E7" w:rsidRPr="009216F4">
        <w:t xml:space="preserve"> </w:t>
      </w:r>
      <w:r w:rsidR="00CB2C84">
        <w:t xml:space="preserve">institutional </w:t>
      </w:r>
      <w:r w:rsidR="0024478E" w:rsidRPr="009216F4">
        <w:t>choices</w:t>
      </w:r>
      <w:r w:rsidR="001951E7" w:rsidRPr="009216F4">
        <w:t xml:space="preserve"> </w:t>
      </w:r>
      <w:r w:rsidR="00C267E3" w:rsidRPr="009216F4">
        <w:t xml:space="preserve">at stake </w:t>
      </w:r>
      <w:r w:rsidR="000232BA">
        <w:t xml:space="preserve">in the negotiations </w:t>
      </w:r>
      <w:r w:rsidR="0024478E" w:rsidRPr="009216F4">
        <w:t xml:space="preserve">fell either side of the </w:t>
      </w:r>
      <w:r w:rsidR="009216F4">
        <w:t xml:space="preserve">mode of </w:t>
      </w:r>
      <w:r w:rsidR="00EF1D28">
        <w:t xml:space="preserve">governance whose (trans)formation </w:t>
      </w:r>
      <w:r w:rsidR="0024478E" w:rsidRPr="009216F4">
        <w:t xml:space="preserve">we </w:t>
      </w:r>
      <w:r w:rsidR="009216F4">
        <w:lastRenderedPageBreak/>
        <w:t xml:space="preserve">seek to </w:t>
      </w:r>
      <w:r w:rsidR="0024478E" w:rsidRPr="009216F4">
        <w:t>understand</w:t>
      </w:r>
      <w:r w:rsidR="00273AF7">
        <w:t xml:space="preserve">: </w:t>
      </w:r>
      <w:r w:rsidR="0005358D">
        <w:t>w</w:t>
      </w:r>
      <w:r w:rsidR="00273AF7">
        <w:t>e</w:t>
      </w:r>
      <w:r w:rsidR="00BF4934">
        <w:t xml:space="preserve"> consider</w:t>
      </w:r>
      <w:r w:rsidRPr="00B100B3">
        <w:t xml:space="preserve"> the influence of </w:t>
      </w:r>
      <w:r w:rsidR="00273AF7">
        <w:t xml:space="preserve">the </w:t>
      </w:r>
      <w:r w:rsidRPr="00B100B3">
        <w:t>two ex</w:t>
      </w:r>
      <w:r w:rsidR="00273AF7">
        <w:t xml:space="preserve">isting transnational networks – </w:t>
      </w:r>
      <w:r w:rsidRPr="00B100B3">
        <w:t>the Independent Regulators Group (IRG) and the European Regulators Group (ERG)</w:t>
      </w:r>
      <w:r w:rsidR="00273AF7">
        <w:t xml:space="preserve"> – </w:t>
      </w:r>
      <w:r w:rsidR="000232BA">
        <w:t>in the</w:t>
      </w:r>
      <w:r w:rsidRPr="00B100B3">
        <w:t xml:space="preserve"> negotiations that led to the ERG’s partial formalisation as the Body of European Regulators for Electronic Communications (BEREC) </w:t>
      </w:r>
      <w:r w:rsidR="00273AF7">
        <w:t>and the retention of</w:t>
      </w:r>
      <w:r w:rsidR="00FE389D">
        <w:t xml:space="preserve"> the IRG. </w:t>
      </w:r>
      <w:r w:rsidR="0024478E" w:rsidRPr="009216F4">
        <w:t xml:space="preserve">Expressed in binary terms, </w:t>
      </w:r>
      <w:r w:rsidR="009216F4">
        <w:t>the negotiations</w:t>
      </w:r>
      <w:r w:rsidR="0024478E" w:rsidRPr="009216F4">
        <w:t xml:space="preserve"> pitched integration-by-coordination (the soft disciplining of national discretion by transnational network) against integration-by-law (the harder disciplining of more harmonized law by </w:t>
      </w:r>
      <w:r w:rsidR="000C2E74">
        <w:t xml:space="preserve">a </w:t>
      </w:r>
      <w:r w:rsidR="004760C6">
        <w:t xml:space="preserve">more </w:t>
      </w:r>
      <w:r w:rsidR="009460F7">
        <w:t>supranational institutional architecture</w:t>
      </w:r>
      <w:r w:rsidR="0024478E" w:rsidRPr="009216F4">
        <w:t>).</w:t>
      </w:r>
      <w:r w:rsidR="00B12770">
        <w:t xml:space="preserve"> </w:t>
      </w:r>
    </w:p>
    <w:p w:rsidR="00CB2C84" w:rsidRDefault="00CB2C84" w:rsidP="001D5F12">
      <w:pPr>
        <w:spacing w:after="0" w:line="480" w:lineRule="auto"/>
        <w:jc w:val="both"/>
      </w:pPr>
    </w:p>
    <w:p w:rsidR="009460F7" w:rsidRDefault="00B100B3" w:rsidP="001D5F12">
      <w:pPr>
        <w:spacing w:after="0" w:line="480" w:lineRule="auto"/>
        <w:jc w:val="both"/>
      </w:pPr>
      <w:r>
        <w:t>The negotiations were more wide-ranging, but w</w:t>
      </w:r>
      <w:r w:rsidR="0024478E" w:rsidRPr="009216F4">
        <w:t xml:space="preserve">e </w:t>
      </w:r>
      <w:r w:rsidR="00EF1D28">
        <w:t>focus on</w:t>
      </w:r>
      <w:r w:rsidR="0024478E" w:rsidRPr="009216F4">
        <w:t>:</w:t>
      </w:r>
      <w:r w:rsidR="00D10118" w:rsidRPr="009216F4">
        <w:t xml:space="preserve"> (1)</w:t>
      </w:r>
      <w:r w:rsidR="001951E7" w:rsidRPr="009216F4">
        <w:t xml:space="preserve"> </w:t>
      </w:r>
      <w:r w:rsidR="0024478E" w:rsidRPr="009216F4">
        <w:t xml:space="preserve">the composition of the </w:t>
      </w:r>
      <w:r>
        <w:t xml:space="preserve">new </w:t>
      </w:r>
      <w:r w:rsidR="0024478E" w:rsidRPr="009216F4">
        <w:t xml:space="preserve">EU regulator, which came down to a choice between reforming an existing transnational network or establishing a new EU agency; </w:t>
      </w:r>
      <w:r w:rsidR="001951E7" w:rsidRPr="009216F4">
        <w:t xml:space="preserve">and </w:t>
      </w:r>
      <w:r w:rsidR="00D10118" w:rsidRPr="009216F4">
        <w:t xml:space="preserve">(2) </w:t>
      </w:r>
      <w:r w:rsidR="009216F4" w:rsidRPr="009216F4">
        <w:t xml:space="preserve">the extent of the Commission’s powers over regulatory remedies designed by </w:t>
      </w:r>
      <w:r w:rsidR="009B507E">
        <w:t xml:space="preserve">national regulatory authorities (hereinafter </w:t>
      </w:r>
      <w:r w:rsidR="009216F4" w:rsidRPr="009216F4">
        <w:t>NRAs</w:t>
      </w:r>
      <w:r w:rsidR="009B507E">
        <w:t>)</w:t>
      </w:r>
      <w:r w:rsidR="009216F4" w:rsidRPr="009216F4">
        <w:t xml:space="preserve"> to counter competition problems on their telecoms markets, which came down to whether </w:t>
      </w:r>
      <w:r>
        <w:t>the Commission</w:t>
      </w:r>
      <w:r w:rsidR="009216F4" w:rsidRPr="009216F4">
        <w:t xml:space="preserve"> should be a</w:t>
      </w:r>
      <w:r w:rsidR="000C2E74">
        <w:t>ble to veto and/or harmonise those remedies</w:t>
      </w:r>
      <w:r w:rsidR="006052B4">
        <w:t xml:space="preserve"> or whether it was enough that the NRAs were subject to the soft disciplining of their network</w:t>
      </w:r>
      <w:r w:rsidR="00441578" w:rsidRPr="009216F4">
        <w:t>. These</w:t>
      </w:r>
      <w:r w:rsidR="0035671D" w:rsidRPr="009216F4">
        <w:t xml:space="preserve"> </w:t>
      </w:r>
      <w:r w:rsidR="009063D0">
        <w:t xml:space="preserve">two </w:t>
      </w:r>
      <w:r w:rsidR="00B12899" w:rsidRPr="009216F4">
        <w:t xml:space="preserve">issues </w:t>
      </w:r>
      <w:r w:rsidR="00C267E3" w:rsidRPr="009216F4">
        <w:t xml:space="preserve">align with the </w:t>
      </w:r>
      <w:r w:rsidR="009460F7">
        <w:t>phenomena</w:t>
      </w:r>
      <w:r w:rsidR="009063D0">
        <w:t xml:space="preserve"> of, respectively,</w:t>
      </w:r>
      <w:r w:rsidR="00E5397A">
        <w:t xml:space="preserve"> ce</w:t>
      </w:r>
      <w:r w:rsidR="009063D0">
        <w:t>ntralisation and formalisation (</w:t>
      </w:r>
      <w:r w:rsidR="00E5397A">
        <w:t xml:space="preserve">or more precisely </w:t>
      </w:r>
      <w:r w:rsidR="00662F5E">
        <w:t xml:space="preserve">endogenous </w:t>
      </w:r>
      <w:r w:rsidR="009063D0">
        <w:t xml:space="preserve">blockages thereto) that </w:t>
      </w:r>
      <w:r w:rsidR="009063D0" w:rsidRPr="009063D0">
        <w:t xml:space="preserve">we seek to </w:t>
      </w:r>
      <w:r w:rsidR="004760C6">
        <w:t>understand</w:t>
      </w:r>
      <w:r w:rsidR="009063D0">
        <w:t>.</w:t>
      </w:r>
    </w:p>
    <w:p w:rsidR="009460F7" w:rsidRDefault="009460F7" w:rsidP="001D5F12">
      <w:pPr>
        <w:spacing w:after="0" w:line="480" w:lineRule="auto"/>
        <w:jc w:val="both"/>
      </w:pPr>
    </w:p>
    <w:p w:rsidR="00BF4934" w:rsidRPr="00BF4934" w:rsidRDefault="008540D3" w:rsidP="001D5F12">
      <w:pPr>
        <w:spacing w:after="0" w:line="480" w:lineRule="auto"/>
        <w:jc w:val="both"/>
      </w:pPr>
      <w:r>
        <w:t xml:space="preserve">Our approach is </w:t>
      </w:r>
      <w:r w:rsidR="00BF4934" w:rsidRPr="00BF4934">
        <w:t>actor-centred</w:t>
      </w:r>
      <w:r>
        <w:t xml:space="preserve"> and</w:t>
      </w:r>
      <w:r w:rsidR="00C268C3">
        <w:t xml:space="preserve"> institutionalist</w:t>
      </w:r>
      <w:r>
        <w:t>, relying on</w:t>
      </w:r>
      <w:r w:rsidR="00E117C6">
        <w:t xml:space="preserve"> </w:t>
      </w:r>
      <w:r w:rsidR="00BF4934" w:rsidRPr="00BF4934">
        <w:t xml:space="preserve">detailed process-tracing </w:t>
      </w:r>
      <w:r w:rsidR="0005358D">
        <w:t xml:space="preserve">to </w:t>
      </w:r>
      <w:r w:rsidR="003B2CE0">
        <w:t xml:space="preserve">expose both </w:t>
      </w:r>
      <w:r w:rsidR="0005358D">
        <w:t xml:space="preserve">formal and informal dynamics </w:t>
      </w:r>
      <w:r w:rsidR="003B2CE0">
        <w:t>in</w:t>
      </w:r>
      <w:r w:rsidR="0005358D">
        <w:t xml:space="preserve"> the negotiations </w:t>
      </w:r>
      <w:r w:rsidR="00BF4934" w:rsidRPr="00BF4934">
        <w:t>(King et al., 1994</w:t>
      </w:r>
      <w:r w:rsidR="00961300">
        <w:t xml:space="preserve">; </w:t>
      </w:r>
      <w:r w:rsidR="00BF4934" w:rsidRPr="00BF4934">
        <w:t>Olsen, 2</w:t>
      </w:r>
      <w:r w:rsidR="00E117C6">
        <w:t>002; George and Bennett, 2004)</w:t>
      </w:r>
      <w:r w:rsidR="00360161">
        <w:t>.</w:t>
      </w:r>
      <w:r w:rsidR="00E117C6">
        <w:t xml:space="preserve"> </w:t>
      </w:r>
      <w:r w:rsidR="000E774C">
        <w:t>We consider that s</w:t>
      </w:r>
      <w:r w:rsidR="00BF4934" w:rsidRPr="00BF4934">
        <w:t>tudies that focus o</w:t>
      </w:r>
      <w:r w:rsidR="00360161">
        <w:t>verly</w:t>
      </w:r>
      <w:r w:rsidR="00BF4934" w:rsidRPr="00BF4934">
        <w:t xml:space="preserve"> on the moment of delegation – when </w:t>
      </w:r>
      <w:r w:rsidR="00E117C6">
        <w:t xml:space="preserve">governments and the principal EU institutions agree on what to delegate to an </w:t>
      </w:r>
      <w:r w:rsidR="00BF4934" w:rsidRPr="00BF4934">
        <w:t xml:space="preserve">institutional-agent and how to control it – </w:t>
      </w:r>
      <w:r>
        <w:t>risk overlooking</w:t>
      </w:r>
      <w:r w:rsidR="00BF4934" w:rsidRPr="00BF4934">
        <w:t xml:space="preserve"> how </w:t>
      </w:r>
      <w:r w:rsidR="00E117C6">
        <w:t xml:space="preserve">its </w:t>
      </w:r>
      <w:r w:rsidR="00BF4934" w:rsidRPr="00BF4934">
        <w:t>autonomy develops over time</w:t>
      </w:r>
      <w:r w:rsidR="00BA492C">
        <w:t xml:space="preserve"> and is carved out by the institution itself</w:t>
      </w:r>
      <w:r w:rsidR="00BF4934" w:rsidRPr="00BF4934">
        <w:t xml:space="preserve">. </w:t>
      </w:r>
      <w:r w:rsidR="006052B4">
        <w:t>F</w:t>
      </w:r>
      <w:r w:rsidR="0005358D">
        <w:t>uture</w:t>
      </w:r>
      <w:r w:rsidR="00360161">
        <w:t xml:space="preserve"> </w:t>
      </w:r>
      <w:r w:rsidR="00BF4934" w:rsidRPr="00BF4934">
        <w:t xml:space="preserve">studies </w:t>
      </w:r>
      <w:r w:rsidR="006052B4">
        <w:t>will be necessary, however, to</w:t>
      </w:r>
      <w:r w:rsidR="006052B4" w:rsidRPr="00BF4934">
        <w:t xml:space="preserve"> </w:t>
      </w:r>
      <w:r w:rsidR="00BF4934" w:rsidRPr="00BF4934">
        <w:t xml:space="preserve">compare </w:t>
      </w:r>
      <w:r w:rsidR="00360161">
        <w:t xml:space="preserve">processes of </w:t>
      </w:r>
      <w:r w:rsidR="00BF4934" w:rsidRPr="00BF4934">
        <w:t xml:space="preserve">institutional </w:t>
      </w:r>
      <w:r w:rsidR="00BA492C">
        <w:t>change across multiple</w:t>
      </w:r>
      <w:r w:rsidR="00BF4934" w:rsidRPr="00BF4934">
        <w:t xml:space="preserve"> sectors</w:t>
      </w:r>
      <w:r w:rsidR="00BA492C">
        <w:t xml:space="preserve">, to explain </w:t>
      </w:r>
      <w:r w:rsidR="00E117C6" w:rsidRPr="00E117C6">
        <w:t>why centra</w:t>
      </w:r>
      <w:r w:rsidR="00BA492C">
        <w:t xml:space="preserve">lisation and formalisation </w:t>
      </w:r>
      <w:r w:rsidR="00E117C6" w:rsidRPr="00E117C6">
        <w:t>p</w:t>
      </w:r>
      <w:r w:rsidR="00BA492C">
        <w:t>roceed</w:t>
      </w:r>
      <w:r w:rsidR="00E117C6" w:rsidRPr="00E117C6">
        <w:t xml:space="preserve"> further in </w:t>
      </w:r>
      <w:r w:rsidR="00BA492C">
        <w:t xml:space="preserve">some </w:t>
      </w:r>
      <w:r w:rsidR="00360161">
        <w:t>and not other</w:t>
      </w:r>
      <w:r w:rsidR="00BA492C">
        <w:t>s.</w:t>
      </w:r>
      <w:r w:rsidR="00360161" w:rsidRPr="00360161">
        <w:t xml:space="preserve"> </w:t>
      </w:r>
      <w:r w:rsidR="00BA492C">
        <w:t xml:space="preserve">These will </w:t>
      </w:r>
      <w:r w:rsidR="00360161" w:rsidRPr="00360161">
        <w:t xml:space="preserve">certainly </w:t>
      </w:r>
      <w:r w:rsidR="00BA492C">
        <w:t xml:space="preserve">be </w:t>
      </w:r>
      <w:r w:rsidR="00360161" w:rsidRPr="00360161">
        <w:t>necessary to demonstrate causality robustly</w:t>
      </w:r>
      <w:r w:rsidR="00BA492C">
        <w:t xml:space="preserve">, but they </w:t>
      </w:r>
      <w:r w:rsidR="00BF4934" w:rsidRPr="00BF4934">
        <w:t xml:space="preserve">are logically preceded by in-depth </w:t>
      </w:r>
      <w:r w:rsidR="00BF4934" w:rsidRPr="00BF4934">
        <w:lastRenderedPageBreak/>
        <w:t>studies like this one</w:t>
      </w:r>
      <w:r w:rsidR="00BA492C">
        <w:t xml:space="preserve">, and others like it </w:t>
      </w:r>
      <w:r w:rsidR="00BA492C" w:rsidRPr="00BA492C">
        <w:t>(</w:t>
      </w:r>
      <w:proofErr w:type="spellStart"/>
      <w:r w:rsidR="00BA492C" w:rsidRPr="00BA492C">
        <w:t>Schout</w:t>
      </w:r>
      <w:proofErr w:type="spellEnd"/>
      <w:r w:rsidR="00BA492C" w:rsidRPr="00BA492C">
        <w:t>, 2008; Pierre and Peters, 2009)</w:t>
      </w:r>
      <w:r w:rsidR="000232BA">
        <w:t xml:space="preserve"> that</w:t>
      </w:r>
      <w:r w:rsidR="00BF4934" w:rsidRPr="00BF4934">
        <w:t xml:space="preserve"> </w:t>
      </w:r>
      <w:r w:rsidR="00E117C6" w:rsidRPr="00E117C6">
        <w:t xml:space="preserve">trace processes of change within </w:t>
      </w:r>
      <w:r w:rsidR="00BA492C">
        <w:t>individual</w:t>
      </w:r>
      <w:r w:rsidR="00E117C6" w:rsidRPr="00E117C6">
        <w:t xml:space="preserve"> sector</w:t>
      </w:r>
      <w:r w:rsidR="00BA492C">
        <w:t>s</w:t>
      </w:r>
      <w:r w:rsidR="00E117C6">
        <w:t xml:space="preserve"> </w:t>
      </w:r>
      <w:r w:rsidR="006052B4">
        <w:t>to</w:t>
      </w:r>
      <w:r w:rsidR="00E117C6">
        <w:t xml:space="preserve"> </w:t>
      </w:r>
      <w:r w:rsidR="00BF4934" w:rsidRPr="00BF4934">
        <w:t xml:space="preserve">reveal </w:t>
      </w:r>
      <w:r w:rsidR="00E117C6">
        <w:t xml:space="preserve">the wealth of </w:t>
      </w:r>
      <w:r w:rsidR="00BF4934" w:rsidRPr="00BF4934">
        <w:t xml:space="preserve">possible mechanisms of path-dependence </w:t>
      </w:r>
      <w:r w:rsidR="00E117C6">
        <w:t>a</w:t>
      </w:r>
      <w:r w:rsidR="00BA492C">
        <w:t xml:space="preserve">t play. These </w:t>
      </w:r>
      <w:r w:rsidR="00E117C6">
        <w:t>will then</w:t>
      </w:r>
      <w:r w:rsidR="00BF4934" w:rsidRPr="00BF4934">
        <w:t xml:space="preserve"> inform the choice of appropriate comparators, to ensure we </w:t>
      </w:r>
      <w:r w:rsidR="004760C6">
        <w:t xml:space="preserve">design </w:t>
      </w:r>
      <w:r w:rsidR="00BA492C">
        <w:t xml:space="preserve">comparative studies </w:t>
      </w:r>
      <w:r w:rsidR="006052B4">
        <w:t>by selecting on suitable variables</w:t>
      </w:r>
      <w:r w:rsidR="00BF4934" w:rsidRPr="00BF4934">
        <w:t>.</w:t>
      </w:r>
    </w:p>
    <w:p w:rsidR="00BF4934" w:rsidRPr="00BF4934" w:rsidRDefault="00BF4934" w:rsidP="001D5F12">
      <w:pPr>
        <w:spacing w:after="0" w:line="480" w:lineRule="auto"/>
        <w:jc w:val="both"/>
      </w:pPr>
    </w:p>
    <w:p w:rsidR="002A6530" w:rsidRDefault="00DF38A1" w:rsidP="001D5F12">
      <w:pPr>
        <w:spacing w:after="0" w:line="480" w:lineRule="auto"/>
        <w:jc w:val="both"/>
      </w:pPr>
      <w:r>
        <w:t xml:space="preserve">To </w:t>
      </w:r>
      <w:r w:rsidR="002B719C">
        <w:t xml:space="preserve">enable </w:t>
      </w:r>
      <w:r>
        <w:t>detailed process-tracing</w:t>
      </w:r>
      <w:r w:rsidR="000C2E74">
        <w:t xml:space="preserve">, </w:t>
      </w:r>
      <w:r>
        <w:t xml:space="preserve">we collected evidence </w:t>
      </w:r>
      <w:r w:rsidR="0040734F">
        <w:t>from</w:t>
      </w:r>
      <w:r>
        <w:t xml:space="preserve"> </w:t>
      </w:r>
      <w:r w:rsidR="000E3AC3">
        <w:t>those involved in-and-around the</w:t>
      </w:r>
      <w:r w:rsidR="00273AF7">
        <w:t>se</w:t>
      </w:r>
      <w:r w:rsidR="000E3AC3">
        <w:t xml:space="preserve"> negotiation</w:t>
      </w:r>
      <w:r w:rsidR="000C2E74">
        <w:t>s</w:t>
      </w:r>
      <w:r w:rsidR="00BC4927">
        <w:t xml:space="preserve"> </w:t>
      </w:r>
      <w:r>
        <w:t>using 44 semi-structured interviews</w:t>
      </w:r>
      <w:r w:rsidR="00725FDD">
        <w:t xml:space="preserve"> (Table 1, Appendix)</w:t>
      </w:r>
      <w:r w:rsidR="002B719C">
        <w:t>,</w:t>
      </w:r>
      <w:r w:rsidR="002B719C" w:rsidRPr="002B719C">
        <w:t xml:space="preserve"> </w:t>
      </w:r>
      <w:r w:rsidR="002B719C">
        <w:t xml:space="preserve">alongside </w:t>
      </w:r>
      <w:r w:rsidR="00575F3A">
        <w:t xml:space="preserve">a </w:t>
      </w:r>
      <w:r w:rsidR="002B719C">
        <w:t>survey of the documentary record</w:t>
      </w:r>
      <w:r w:rsidR="00BC4927">
        <w:t>.</w:t>
      </w:r>
      <w:r w:rsidR="00725FDD">
        <w:t xml:space="preserve"> </w:t>
      </w:r>
      <w:r w:rsidR="000E774C">
        <w:t>Extensive reliance on interviews is necessary because the documentary record does not</w:t>
      </w:r>
      <w:r w:rsidR="008243A0">
        <w:t xml:space="preserve"> usually</w:t>
      </w:r>
      <w:r w:rsidR="000E774C">
        <w:t xml:space="preserve"> reveal the informal dynamics of the negotiations, and especially the internal positioning of NRAs</w:t>
      </w:r>
      <w:r w:rsidR="006052B4">
        <w:t>. D</w:t>
      </w:r>
      <w:r w:rsidR="000E774C">
        <w:t>ecision-making amongst NRAs within their network</w:t>
      </w:r>
      <w:r w:rsidR="006052B4">
        <w:t xml:space="preserve"> is</w:t>
      </w:r>
      <w:r w:rsidR="000E774C">
        <w:t xml:space="preserve"> rarely publicly recorded or </w:t>
      </w:r>
      <w:proofErr w:type="spellStart"/>
      <w:r w:rsidR="000E774C">
        <w:t>minuted</w:t>
      </w:r>
      <w:proofErr w:type="spellEnd"/>
      <w:r w:rsidR="000E774C">
        <w:t xml:space="preserve">. </w:t>
      </w:r>
      <w:r w:rsidR="000C2E74">
        <w:t xml:space="preserve">Given </w:t>
      </w:r>
      <w:r w:rsidR="00725FDD">
        <w:t>our</w:t>
      </w:r>
      <w:r w:rsidR="00FF41A9" w:rsidRPr="00FF41A9">
        <w:t xml:space="preserve"> focus on </w:t>
      </w:r>
      <w:r w:rsidR="00273AF7">
        <w:t xml:space="preserve">the </w:t>
      </w:r>
      <w:r w:rsidR="00FF41A9" w:rsidRPr="00FF41A9">
        <w:t xml:space="preserve">institutional </w:t>
      </w:r>
      <w:r w:rsidR="00725FDD">
        <w:t xml:space="preserve">role </w:t>
      </w:r>
      <w:r w:rsidR="00FF41A9" w:rsidRPr="00FF41A9">
        <w:t>of the existing transnational networks</w:t>
      </w:r>
      <w:r w:rsidR="00FF41A9">
        <w:t>, w</w:t>
      </w:r>
      <w:r>
        <w:t>e over-selected NRAs</w:t>
      </w:r>
      <w:r w:rsidR="000E3AC3">
        <w:t xml:space="preserve"> as</w:t>
      </w:r>
      <w:r w:rsidR="00D450FD">
        <w:t xml:space="preserve"> </w:t>
      </w:r>
      <w:r>
        <w:t xml:space="preserve">our primary research target, </w:t>
      </w:r>
      <w:r w:rsidR="000C2E74">
        <w:t xml:space="preserve">but </w:t>
      </w:r>
      <w:r>
        <w:t>compar</w:t>
      </w:r>
      <w:r w:rsidR="000C2E74">
        <w:t>ed</w:t>
      </w:r>
      <w:r>
        <w:t xml:space="preserve"> the</w:t>
      </w:r>
      <w:r w:rsidR="001232C0">
        <w:t xml:space="preserve">ir responses </w:t>
      </w:r>
      <w:r>
        <w:t xml:space="preserve">to other groups </w:t>
      </w:r>
      <w:r w:rsidR="00725FDD">
        <w:t xml:space="preserve">and within their group, </w:t>
      </w:r>
      <w:r>
        <w:t xml:space="preserve">to </w:t>
      </w:r>
      <w:r w:rsidR="00FF41A9">
        <w:t xml:space="preserve">avoid bias. The </w:t>
      </w:r>
      <w:r w:rsidR="000E3AC3">
        <w:t xml:space="preserve">weighting towards NRAs is justified because the </w:t>
      </w:r>
      <w:r w:rsidR="00FF41A9">
        <w:t xml:space="preserve">purpose </w:t>
      </w:r>
      <w:r w:rsidR="000E3AC3">
        <w:t xml:space="preserve">of the case study </w:t>
      </w:r>
      <w:r w:rsidR="00FF41A9">
        <w:t>is not</w:t>
      </w:r>
      <w:r w:rsidR="006B2A89">
        <w:t xml:space="preserve"> to demonstrate</w:t>
      </w:r>
      <w:r w:rsidR="002255FE">
        <w:t xml:space="preserve"> causality</w:t>
      </w:r>
      <w:r w:rsidR="00FF41A9">
        <w:t>,</w:t>
      </w:r>
      <w:r w:rsidR="006B2A89">
        <w:t xml:space="preserve"> or </w:t>
      </w:r>
      <w:r w:rsidR="000C2E74">
        <w:t xml:space="preserve">indeed </w:t>
      </w:r>
      <w:r w:rsidR="006B2A89">
        <w:t>that</w:t>
      </w:r>
      <w:r w:rsidR="002255FE">
        <w:t xml:space="preserve"> functional and political “causes” were </w:t>
      </w:r>
      <w:r w:rsidR="00FF41A9">
        <w:t>less</w:t>
      </w:r>
      <w:r w:rsidR="002255FE">
        <w:t xml:space="preserve"> significant</w:t>
      </w:r>
      <w:r w:rsidR="001232C0">
        <w:t>, but only</w:t>
      </w:r>
      <w:r w:rsidR="001232C0" w:rsidRPr="001232C0">
        <w:t xml:space="preserve"> </w:t>
      </w:r>
      <w:r w:rsidR="00FF41A9">
        <w:t xml:space="preserve">to </w:t>
      </w:r>
      <w:r w:rsidR="006052B4">
        <w:t>consider whether</w:t>
      </w:r>
      <w:r w:rsidR="000E3AC3">
        <w:t xml:space="preserve"> we may need to </w:t>
      </w:r>
      <w:r w:rsidR="00BA492C">
        <w:t>add an endogenous layer to</w:t>
      </w:r>
      <w:r w:rsidR="000E3AC3">
        <w:t xml:space="preserve"> exogenous functionalist-</w:t>
      </w:r>
      <w:r w:rsidR="000C2E74">
        <w:t>political</w:t>
      </w:r>
      <w:r w:rsidR="000E3AC3">
        <w:t xml:space="preserve"> account</w:t>
      </w:r>
      <w:r w:rsidR="000C2E74">
        <w:t>s</w:t>
      </w:r>
      <w:r w:rsidR="000E3AC3">
        <w:t xml:space="preserve"> </w:t>
      </w:r>
      <w:r w:rsidR="004760C6">
        <w:t xml:space="preserve">so as </w:t>
      </w:r>
      <w:r w:rsidR="000E3AC3">
        <w:t xml:space="preserve">to </w:t>
      </w:r>
      <w:r w:rsidR="00BA492C">
        <w:t xml:space="preserve">model </w:t>
      </w:r>
      <w:r w:rsidR="00EB01E2">
        <w:t>(</w:t>
      </w:r>
      <w:r w:rsidR="000E3AC3">
        <w:t>de</w:t>
      </w:r>
      <w:r w:rsidR="00EB01E2">
        <w:t>)</w:t>
      </w:r>
      <w:r w:rsidR="000E3AC3">
        <w:t>centralis</w:t>
      </w:r>
      <w:r w:rsidR="00EB01E2">
        <w:t>ing</w:t>
      </w:r>
      <w:r w:rsidR="004760C6">
        <w:t xml:space="preserve"> and </w:t>
      </w:r>
      <w:r w:rsidR="00EB01E2">
        <w:t>(</w:t>
      </w:r>
      <w:r w:rsidR="000E3AC3">
        <w:t>de</w:t>
      </w:r>
      <w:r w:rsidR="00EB01E2">
        <w:t>)</w:t>
      </w:r>
      <w:r w:rsidR="000E3AC3">
        <w:t>formaliz</w:t>
      </w:r>
      <w:r w:rsidR="00EB01E2">
        <w:t>ing</w:t>
      </w:r>
      <w:r w:rsidR="000E3AC3">
        <w:t xml:space="preserve"> modes of integr</w:t>
      </w:r>
      <w:r w:rsidR="000C2E74">
        <w:t>ation/governance</w:t>
      </w:r>
      <w:r w:rsidR="00EB01E2">
        <w:t xml:space="preserve"> more accurately</w:t>
      </w:r>
      <w:r w:rsidR="000C2E74">
        <w:t>. The case study serves only to test</w:t>
      </w:r>
      <w:r w:rsidR="000E3AC3">
        <w:t xml:space="preserve"> t</w:t>
      </w:r>
      <w:r w:rsidR="001232C0" w:rsidRPr="00E5397A">
        <w:t>he plaus</w:t>
      </w:r>
      <w:r w:rsidR="000E3AC3">
        <w:t xml:space="preserve">ibility of </w:t>
      </w:r>
      <w:r w:rsidR="00EB01E2">
        <w:t>such a model</w:t>
      </w:r>
      <w:r w:rsidR="002255FE">
        <w:t xml:space="preserve">. </w:t>
      </w:r>
      <w:r w:rsidR="0024594F">
        <w:t>While all the material presented has been tested through corroboration and triangulation, w</w:t>
      </w:r>
      <w:r>
        <w:t xml:space="preserve">e </w:t>
      </w:r>
      <w:r w:rsidR="00DB3367">
        <w:t>describe events and positions taken</w:t>
      </w:r>
      <w:r w:rsidR="0024594F">
        <w:t xml:space="preserve">, in </w:t>
      </w:r>
      <w:r w:rsidR="0024594F" w:rsidRPr="006B2A89">
        <w:t>as far as possible</w:t>
      </w:r>
      <w:r w:rsidR="00DB3367">
        <w:t>,</w:t>
      </w:r>
      <w:r w:rsidR="00356488" w:rsidRPr="00356488">
        <w:t xml:space="preserve"> </w:t>
      </w:r>
      <w:r w:rsidR="000232BA">
        <w:t>using</w:t>
      </w:r>
      <w:r>
        <w:t xml:space="preserve"> direct quotes from </w:t>
      </w:r>
      <w:r w:rsidR="0024594F">
        <w:t>interview</w:t>
      </w:r>
      <w:r>
        <w:t xml:space="preserve">s (without revealing </w:t>
      </w:r>
      <w:r w:rsidR="006B2A89">
        <w:t>identitie</w:t>
      </w:r>
      <w:r w:rsidR="00356488">
        <w:t>s, as</w:t>
      </w:r>
      <w:r w:rsidR="006B2A89">
        <w:t xml:space="preserve"> all</w:t>
      </w:r>
      <w:r>
        <w:t xml:space="preserve"> interviewees</w:t>
      </w:r>
      <w:r w:rsidR="006B2A89">
        <w:t xml:space="preserve"> were</w:t>
      </w:r>
      <w:r>
        <w:t xml:space="preserve"> granted anonymity) </w:t>
      </w:r>
      <w:r w:rsidR="00273AF7">
        <w:t>thereby</w:t>
      </w:r>
      <w:r w:rsidR="006B2A89" w:rsidRPr="006B2A89">
        <w:t xml:space="preserve"> </w:t>
      </w:r>
      <w:r w:rsidR="00356488">
        <w:t>re-tell</w:t>
      </w:r>
      <w:r w:rsidR="00273AF7">
        <w:t>ing</w:t>
      </w:r>
      <w:r w:rsidR="0024594F">
        <w:t xml:space="preserve"> the story</w:t>
      </w:r>
      <w:r w:rsidR="006B2A89" w:rsidRPr="006B2A89">
        <w:t xml:space="preserve"> in the p</w:t>
      </w:r>
      <w:r w:rsidR="00FF41A9">
        <w:t>rotagonist</w:t>
      </w:r>
      <w:r w:rsidR="006B2A89" w:rsidRPr="006B2A89">
        <w:t>s’ own words</w:t>
      </w:r>
      <w:r w:rsidR="0024594F">
        <w:t>.</w:t>
      </w:r>
    </w:p>
    <w:p w:rsidR="00BF4934" w:rsidRDefault="00BF4934" w:rsidP="001D5F12">
      <w:pPr>
        <w:spacing w:after="0" w:line="480" w:lineRule="auto"/>
        <w:jc w:val="both"/>
      </w:pPr>
    </w:p>
    <w:p w:rsidR="002A6530" w:rsidRDefault="002A6530" w:rsidP="001D5F12">
      <w:pPr>
        <w:pStyle w:val="Heading1"/>
        <w:spacing w:before="0" w:line="480" w:lineRule="auto"/>
        <w:rPr>
          <w:i/>
        </w:rPr>
      </w:pPr>
      <w:r w:rsidRPr="002A6530">
        <w:t xml:space="preserve">Tracing the genesis of </w:t>
      </w:r>
      <w:r w:rsidRPr="002A6530">
        <w:rPr>
          <w:i/>
        </w:rPr>
        <w:t>BEREC</w:t>
      </w:r>
    </w:p>
    <w:p w:rsidR="00BF4934" w:rsidRDefault="00BF4934" w:rsidP="001D5F12">
      <w:pPr>
        <w:spacing w:after="0" w:line="480" w:lineRule="auto"/>
        <w:jc w:val="both"/>
      </w:pPr>
    </w:p>
    <w:p w:rsidR="00EB01E2" w:rsidRDefault="00BF4934" w:rsidP="001D5F12">
      <w:pPr>
        <w:spacing w:after="0" w:line="480" w:lineRule="auto"/>
        <w:jc w:val="both"/>
      </w:pPr>
      <w:r w:rsidRPr="00BF4934">
        <w:lastRenderedPageBreak/>
        <w:t>BEREC</w:t>
      </w:r>
      <w:r w:rsidR="00AB3246">
        <w:t>, formally set up in 2009,</w:t>
      </w:r>
      <w:r w:rsidRPr="00BF4934">
        <w:t xml:space="preserve"> was an institutional compromise that saw some limited centralisation/formalisation, but largely stuck with </w:t>
      </w:r>
      <w:r w:rsidR="00EB01E2">
        <w:t>the</w:t>
      </w:r>
      <w:r w:rsidRPr="00BF4934">
        <w:t xml:space="preserve"> transnationally networked, soft disciplining toolkit</w:t>
      </w:r>
      <w:r w:rsidR="00EB01E2">
        <w:t xml:space="preserve"> of its predecessor</w:t>
      </w:r>
      <w:r w:rsidRPr="00BF4934">
        <w:t xml:space="preserve">, </w:t>
      </w:r>
      <w:r w:rsidR="00EB01E2">
        <w:t>to leave</w:t>
      </w:r>
      <w:r w:rsidRPr="00BF4934">
        <w:t xml:space="preserve"> the architecture at the more decentralised/</w:t>
      </w:r>
      <w:proofErr w:type="spellStart"/>
      <w:r w:rsidRPr="00BF4934">
        <w:t>deformalised</w:t>
      </w:r>
      <w:proofErr w:type="spellEnd"/>
      <w:r w:rsidRPr="00BF4934">
        <w:t xml:space="preserve"> end of the institutional spectrum compared to other sectors. </w:t>
      </w:r>
      <w:r w:rsidR="00AB3246">
        <w:t xml:space="preserve">The </w:t>
      </w:r>
      <w:r w:rsidRPr="00BF4934">
        <w:t xml:space="preserve">IRG </w:t>
      </w:r>
      <w:r w:rsidR="00AB3246">
        <w:t xml:space="preserve">had been </w:t>
      </w:r>
      <w:r w:rsidRPr="00BF4934">
        <w:t>established</w:t>
      </w:r>
      <w:r w:rsidR="00AB3246">
        <w:t xml:space="preserve"> in 1997</w:t>
      </w:r>
      <w:r w:rsidRPr="00BF4934">
        <w:t xml:space="preserve"> by the NRAs themselves, and the ERG </w:t>
      </w:r>
      <w:r w:rsidR="00AB3246">
        <w:t>formalised in 2002</w:t>
      </w:r>
      <w:r w:rsidRPr="00BF4934">
        <w:t xml:space="preserve"> by Commission decision</w:t>
      </w:r>
      <w:r w:rsidR="00AB3246">
        <w:t>.</w:t>
      </w:r>
      <w:r w:rsidR="00EA12F5">
        <w:rPr>
          <w:rStyle w:val="FootnoteReference"/>
        </w:rPr>
        <w:footnoteReference w:id="2"/>
      </w:r>
      <w:r w:rsidR="00AB3246">
        <w:t xml:space="preserve"> The successor</w:t>
      </w:r>
      <w:r w:rsidRPr="00BF4934">
        <w:t xml:space="preserve"> BEREC</w:t>
      </w:r>
      <w:r w:rsidR="00AB3246">
        <w:t xml:space="preserve">, on the other hand, </w:t>
      </w:r>
      <w:r w:rsidRPr="00BF4934">
        <w:t xml:space="preserve">is an </w:t>
      </w:r>
      <w:proofErr w:type="spellStart"/>
      <w:r w:rsidRPr="00BF4934">
        <w:t>agencified</w:t>
      </w:r>
      <w:proofErr w:type="spellEnd"/>
      <w:r w:rsidRPr="00BF4934">
        <w:t xml:space="preserve"> network established by EU regulation</w:t>
      </w:r>
      <w:r w:rsidR="00EA12F5">
        <w:rPr>
          <w:rStyle w:val="FootnoteReference"/>
        </w:rPr>
        <w:footnoteReference w:id="3"/>
      </w:r>
      <w:r w:rsidR="00EB01E2">
        <w:t xml:space="preserve"> </w:t>
      </w:r>
      <w:r w:rsidR="004865B9">
        <w:t xml:space="preserve">and </w:t>
      </w:r>
      <w:r w:rsidR="000232BA">
        <w:t xml:space="preserve">is </w:t>
      </w:r>
      <w:r w:rsidR="00EB01E2" w:rsidRPr="00BF4934">
        <w:t>lent the operational and administrative support of a small new EU agency, the BEREC Office</w:t>
      </w:r>
      <w:r w:rsidR="004865B9">
        <w:t xml:space="preserve">, </w:t>
      </w:r>
      <w:r w:rsidRPr="00BF4934">
        <w:t>without</w:t>
      </w:r>
      <w:r w:rsidR="00984C4E">
        <w:t xml:space="preserve"> itself b</w:t>
      </w:r>
      <w:r w:rsidRPr="00BF4934">
        <w:t xml:space="preserve">eing an EU institution. That regulation also determines its legal responsibilities </w:t>
      </w:r>
      <w:r w:rsidR="00EB01E2">
        <w:t>(</w:t>
      </w:r>
      <w:r w:rsidR="004865B9">
        <w:t xml:space="preserve">e.g. </w:t>
      </w:r>
      <w:r w:rsidR="00EB01E2" w:rsidRPr="00BF4934">
        <w:t xml:space="preserve">to </w:t>
      </w:r>
      <w:r w:rsidR="00EB01E2">
        <w:t>assist individual NRAs,</w:t>
      </w:r>
      <w:r w:rsidR="00EB01E2" w:rsidRPr="00BF4934">
        <w:t xml:space="preserve"> advise</w:t>
      </w:r>
      <w:r w:rsidR="00EB01E2">
        <w:t xml:space="preserve"> EU institutions,</w:t>
      </w:r>
      <w:r w:rsidR="00EB01E2" w:rsidRPr="00BF4934">
        <w:t xml:space="preserve"> deliver opinions on Commission draft decisions,</w:t>
      </w:r>
      <w:r w:rsidR="00EB01E2">
        <w:t xml:space="preserve"> recommendations and guidelines,</w:t>
      </w:r>
      <w:r w:rsidR="00EB01E2" w:rsidRPr="00BF4934">
        <w:t xml:space="preserve"> </w:t>
      </w:r>
      <w:r w:rsidR="0094714F">
        <w:t xml:space="preserve">and generally </w:t>
      </w:r>
      <w:r w:rsidR="00EB01E2" w:rsidRPr="00BF4934">
        <w:t>to develop and disseminate b</w:t>
      </w:r>
      <w:r w:rsidR="00EB01E2">
        <w:t>est r</w:t>
      </w:r>
      <w:r w:rsidR="004865B9">
        <w:t>egulatory practice</w:t>
      </w:r>
      <w:r w:rsidR="00EB01E2">
        <w:t>)</w:t>
      </w:r>
      <w:r w:rsidR="0094714F">
        <w:t>,</w:t>
      </w:r>
      <w:r w:rsidR="004865B9">
        <w:t xml:space="preserve"> </w:t>
      </w:r>
      <w:r w:rsidRPr="00BF4934">
        <w:t xml:space="preserve">without fixing all the procedures for doing so. </w:t>
      </w:r>
    </w:p>
    <w:p w:rsidR="00EB01E2" w:rsidRDefault="00EB01E2" w:rsidP="001D5F12">
      <w:pPr>
        <w:spacing w:after="0" w:line="480" w:lineRule="auto"/>
        <w:jc w:val="both"/>
      </w:pPr>
    </w:p>
    <w:p w:rsidR="00BF4934" w:rsidRDefault="00BF4934" w:rsidP="001D5F12">
      <w:pPr>
        <w:spacing w:after="0" w:line="480" w:lineRule="auto"/>
        <w:jc w:val="both"/>
      </w:pPr>
      <w:r w:rsidRPr="00BF4934">
        <w:t xml:space="preserve">BEREC’s </w:t>
      </w:r>
      <w:r w:rsidR="00EB01E2">
        <w:t xml:space="preserve">disciplining is </w:t>
      </w:r>
      <w:r w:rsidR="000232BA">
        <w:t xml:space="preserve">also </w:t>
      </w:r>
      <w:r w:rsidR="00EB01E2">
        <w:t xml:space="preserve">a little harder than that of its predecessor, </w:t>
      </w:r>
      <w:r w:rsidR="004B3F80">
        <w:t>even if it remains fundamentally soft</w:t>
      </w:r>
      <w:r w:rsidR="00143613">
        <w:t>.</w:t>
      </w:r>
      <w:r w:rsidR="00EB01E2">
        <w:t xml:space="preserve"> Its </w:t>
      </w:r>
      <w:r w:rsidRPr="00BF4934">
        <w:t xml:space="preserve">oversight of </w:t>
      </w:r>
      <w:r w:rsidR="00EB01E2">
        <w:t xml:space="preserve">the </w:t>
      </w:r>
      <w:r w:rsidRPr="00BF4934">
        <w:t>NRA</w:t>
      </w:r>
      <w:r w:rsidR="00EB01E2">
        <w:t>’s</w:t>
      </w:r>
      <w:r w:rsidRPr="00BF4934">
        <w:t xml:space="preserve"> implementation </w:t>
      </w:r>
      <w:r w:rsidR="00EB01E2">
        <w:t xml:space="preserve">of </w:t>
      </w:r>
      <w:r w:rsidR="00EB01E2" w:rsidRPr="00EB01E2">
        <w:t>the new Regulatory Framework for Electronic Communications (hereinafter the ‘Regulatory Framework’)</w:t>
      </w:r>
      <w:r w:rsidR="00EB01E2">
        <w:t xml:space="preserve"> </w:t>
      </w:r>
      <w:r w:rsidRPr="00BF4934">
        <w:t>is supervised by a Board of Regulators</w:t>
      </w:r>
      <w:r w:rsidR="004B3F80">
        <w:t xml:space="preserve"> that</w:t>
      </w:r>
      <w:r w:rsidRPr="00BF4934">
        <w:t xml:space="preserve"> comprises the head</w:t>
      </w:r>
      <w:r w:rsidR="007E1665">
        <w:t xml:space="preserve">s of the NRAs themselves. They </w:t>
      </w:r>
      <w:r w:rsidRPr="00BF4934">
        <w:t xml:space="preserve">take all decisions relating to the performance of </w:t>
      </w:r>
      <w:r w:rsidR="0094714F">
        <w:t xml:space="preserve">BEREC’s </w:t>
      </w:r>
      <w:r w:rsidR="007E1665">
        <w:t>functions</w:t>
      </w:r>
      <w:r w:rsidR="00EA12F5">
        <w:t>,</w:t>
      </w:r>
      <w:r w:rsidRPr="00BF4934">
        <w:t xml:space="preserve"> on a two thirds majority basis. Crucially, the Commission can attend the Board but cannot vote, while the IRG, with which BEREC shares a near-identical membership (minus the Commission)</w:t>
      </w:r>
      <w:r w:rsidR="0094714F">
        <w:t>,</w:t>
      </w:r>
      <w:r w:rsidRPr="00BF4934">
        <w:t xml:space="preserve"> enables the NRAs to discuss responses to public consultations, or requests for advice, in the Commission’s absence, before responding formally as BEREC. </w:t>
      </w:r>
      <w:r w:rsidR="0094714F">
        <w:t>Finally, t</w:t>
      </w:r>
      <w:r w:rsidRPr="00BF4934">
        <w:t xml:space="preserve">he Commission can review, but cannot veto, a national regulatory remedy and the NRAs must take ‘utmost account’ of its </w:t>
      </w:r>
      <w:r w:rsidRPr="00BF4934">
        <w:lastRenderedPageBreak/>
        <w:t>recommendation</w:t>
      </w:r>
      <w:r w:rsidR="00984C4E">
        <w:t>s</w:t>
      </w:r>
      <w:r w:rsidRPr="00BF4934">
        <w:t>, as well as of BEREC’s opinion</w:t>
      </w:r>
      <w:r w:rsidR="00984C4E">
        <w:t>s</w:t>
      </w:r>
      <w:r w:rsidRPr="00BF4934">
        <w:t xml:space="preserve"> (as must the Commission), but the NRA need follow neither provided it gives a reasoned justification for adopting a contrary remedy.</w:t>
      </w:r>
      <w:r w:rsidR="00EA12F5">
        <w:rPr>
          <w:rStyle w:val="FootnoteReference"/>
        </w:rPr>
        <w:footnoteReference w:id="4"/>
      </w:r>
      <w:r w:rsidRPr="00BF4934">
        <w:t xml:space="preserve"> </w:t>
      </w:r>
    </w:p>
    <w:p w:rsidR="00BF4934" w:rsidRPr="00BF4934" w:rsidRDefault="00BF4934" w:rsidP="001D5F12">
      <w:pPr>
        <w:spacing w:after="0" w:line="480" w:lineRule="auto"/>
        <w:jc w:val="both"/>
      </w:pPr>
    </w:p>
    <w:p w:rsidR="00BF4934" w:rsidRDefault="00BF4934" w:rsidP="001D5F12">
      <w:pPr>
        <w:spacing w:after="0" w:line="480" w:lineRule="auto"/>
        <w:jc w:val="both"/>
      </w:pPr>
      <w:r w:rsidRPr="00BF4934">
        <w:t>Superficially, the negotiations and their outcome followed a familiar pattern: a classic turf-war of the type predicted by functionalist-political accounts that emphasise the functional pressures that drive coordination and how they are exploited by the principal EU institutions</w:t>
      </w:r>
      <w:r w:rsidR="006052B4">
        <w:t>,</w:t>
      </w:r>
      <w:r w:rsidRPr="00BF4934">
        <w:t xml:space="preserve"> to push centralisation and formalisation, while checked by the sovereignty reflex of governments that are</w:t>
      </w:r>
      <w:r w:rsidR="0094714F">
        <w:t xml:space="preserve"> reluctant to cede power.</w:t>
      </w:r>
      <w:r w:rsidRPr="00BF4934">
        <w:t xml:space="preserve"> The Commission tried to persuade Parliament of the functional benefits of centralisation</w:t>
      </w:r>
      <w:r w:rsidR="0094714F">
        <w:t>/</w:t>
      </w:r>
      <w:r w:rsidRPr="00BF4934">
        <w:t xml:space="preserve">formalisation, and more specifically of the importance of granting it a veto over the design of national regulatory remedies, the exercise of which it suggested </w:t>
      </w:r>
      <w:r w:rsidR="004B3F80">
        <w:t xml:space="preserve">that </w:t>
      </w:r>
      <w:r w:rsidRPr="00BF4934">
        <w:t xml:space="preserve">it should be advised upon by a </w:t>
      </w:r>
      <w:r w:rsidR="0094714F">
        <w:t xml:space="preserve">powerful </w:t>
      </w:r>
      <w:r w:rsidRPr="00BF4934">
        <w:t xml:space="preserve">new EU agency. Meanwhile, the governments were concerned to guard their sovereignty and were reluctant to establish </w:t>
      </w:r>
      <w:r w:rsidR="0094714F">
        <w:t>such an</w:t>
      </w:r>
      <w:r w:rsidRPr="00BF4934">
        <w:t xml:space="preserve"> agency, or to harden the Commission’s powers over national implementation (</w:t>
      </w:r>
      <w:proofErr w:type="spellStart"/>
      <w:r w:rsidRPr="00BF4934">
        <w:t>Kelemen</w:t>
      </w:r>
      <w:proofErr w:type="spellEnd"/>
      <w:r w:rsidRPr="00BF4934">
        <w:t xml:space="preserve"> and Tarrant, 2011; Saz-Carranza and Longo, 2012; </w:t>
      </w:r>
      <w:proofErr w:type="spellStart"/>
      <w:r w:rsidRPr="00BF4934">
        <w:t>Blauberger</w:t>
      </w:r>
      <w:proofErr w:type="spellEnd"/>
      <w:r w:rsidRPr="00BF4934">
        <w:t xml:space="preserve"> and </w:t>
      </w:r>
      <w:proofErr w:type="spellStart"/>
      <w:r w:rsidRPr="00BF4934">
        <w:t>Rittberger</w:t>
      </w:r>
      <w:proofErr w:type="spellEnd"/>
      <w:r w:rsidRPr="00BF4934">
        <w:t xml:space="preserve">, 2015). </w:t>
      </w:r>
      <w:r w:rsidR="004B3F80">
        <w:t>A</w:t>
      </w:r>
      <w:r w:rsidRPr="00BF4934">
        <w:t xml:space="preserve">t the same time, the existing networks and their NRA members, acting individually or in </w:t>
      </w:r>
      <w:r w:rsidRPr="00BF4934">
        <w:rPr>
          <w:i/>
        </w:rPr>
        <w:t>ad hoc</w:t>
      </w:r>
      <w:r w:rsidRPr="00BF4934">
        <w:t xml:space="preserve"> </w:t>
      </w:r>
      <w:r w:rsidR="00984C4E">
        <w:t>coalitions,</w:t>
      </w:r>
      <w:r w:rsidRPr="00BF4934">
        <w:t xml:space="preserve"> coordinated by their networks or at their own initiative, also emerged as particularly active and influential advisors to (and lobbyists of) both the governments and the principal EU institutions.</w:t>
      </w:r>
    </w:p>
    <w:p w:rsidR="00BF4934" w:rsidRPr="00BF4934" w:rsidRDefault="00BF4934" w:rsidP="001D5F12">
      <w:pPr>
        <w:spacing w:after="0" w:line="480" w:lineRule="auto"/>
        <w:jc w:val="both"/>
      </w:pPr>
    </w:p>
    <w:p w:rsidR="002A6530" w:rsidRDefault="002A6530" w:rsidP="001D5F12">
      <w:pPr>
        <w:pStyle w:val="Heading2"/>
        <w:spacing w:line="480" w:lineRule="auto"/>
      </w:pPr>
      <w:r w:rsidRPr="002A6530">
        <w:t>Resources</w:t>
      </w:r>
    </w:p>
    <w:p w:rsidR="002A6530" w:rsidRPr="002A6530" w:rsidRDefault="002A6530" w:rsidP="001D5F12">
      <w:pPr>
        <w:spacing w:after="0" w:line="480" w:lineRule="auto"/>
        <w:jc w:val="both"/>
      </w:pPr>
    </w:p>
    <w:p w:rsidR="002A6530" w:rsidRDefault="002A6530" w:rsidP="001D5F12">
      <w:pPr>
        <w:spacing w:after="0" w:line="480" w:lineRule="auto"/>
        <w:jc w:val="both"/>
      </w:pPr>
      <w:r w:rsidRPr="002A6530">
        <w:t xml:space="preserve">During an earlier review of the </w:t>
      </w:r>
      <w:r w:rsidR="00CA468C">
        <w:t>Regulatory F</w:t>
      </w:r>
      <w:r w:rsidRPr="002A6530">
        <w:t xml:space="preserve">ramework, completed in 2002 when </w:t>
      </w:r>
      <w:r w:rsidR="0094714F">
        <w:t xml:space="preserve">the </w:t>
      </w:r>
      <w:r w:rsidRPr="002A6530">
        <w:t xml:space="preserve">ERG was set up, NRAs had remained largely the passive objects of proposed institutional reforms. But since then they had gained considerable expertise in implementing the </w:t>
      </w:r>
      <w:r w:rsidR="00113A1C">
        <w:t>R</w:t>
      </w:r>
      <w:r w:rsidRPr="002A6530">
        <w:t xml:space="preserve">egulatory </w:t>
      </w:r>
      <w:r w:rsidR="00113A1C">
        <w:t>F</w:t>
      </w:r>
      <w:r w:rsidRPr="002A6530">
        <w:t xml:space="preserve">ramework, much of it </w:t>
      </w:r>
      <w:proofErr w:type="spellStart"/>
      <w:r w:rsidRPr="002A6530">
        <w:t>reposited</w:t>
      </w:r>
      <w:proofErr w:type="spellEnd"/>
      <w:r w:rsidRPr="002A6530">
        <w:t xml:space="preserve"> in their network. </w:t>
      </w:r>
      <w:r w:rsidRPr="002A6530">
        <w:lastRenderedPageBreak/>
        <w:t xml:space="preserve">They had become increasingly autonomous of their political principals in national ministries, due not only to the standard range of principal-agent issues (time constraints, differing time horizons, informational asymmetries, unintended consequences and so on) but also the sheer complexity of regulating a sector undergoing rapid technological change </w:t>
      </w:r>
      <w:r w:rsidR="002C0D0A">
        <w:t>(Coen and Thatcher, 2008</w:t>
      </w:r>
      <w:r w:rsidRPr="002A6530">
        <w:t>). Some NRAs</w:t>
      </w:r>
      <w:r w:rsidR="006052B4">
        <w:t>, including</w:t>
      </w:r>
      <w:r w:rsidRPr="002A6530">
        <w:t xml:space="preserve"> the British regulator Ofcom, </w:t>
      </w:r>
      <w:r w:rsidR="00C90F8C">
        <w:t xml:space="preserve">Germany’s </w:t>
      </w:r>
      <w:proofErr w:type="spellStart"/>
      <w:r w:rsidR="00C90F8C">
        <w:t>BNetzA</w:t>
      </w:r>
      <w:proofErr w:type="spellEnd"/>
      <w:r w:rsidR="00C90F8C">
        <w:t>, the French ARCEP or OPTA in the Netherlands</w:t>
      </w:r>
      <w:r w:rsidR="006052B4">
        <w:t>,</w:t>
      </w:r>
      <w:r w:rsidR="00C90F8C">
        <w:t xml:space="preserve"> </w:t>
      </w:r>
      <w:r w:rsidRPr="002A6530">
        <w:t xml:space="preserve">had grown into high profile and well-resourced independent institutions, and were able to invest resources to support the coordination, and continuation, of their transnational network. </w:t>
      </w:r>
    </w:p>
    <w:p w:rsidR="002A6530" w:rsidRPr="002A6530" w:rsidRDefault="002A6530" w:rsidP="001D5F12">
      <w:pPr>
        <w:spacing w:after="0" w:line="480" w:lineRule="auto"/>
        <w:jc w:val="both"/>
      </w:pPr>
    </w:p>
    <w:p w:rsidR="00143613" w:rsidRDefault="002A6530" w:rsidP="001D5F12">
      <w:pPr>
        <w:spacing w:after="0" w:line="480" w:lineRule="auto"/>
        <w:jc w:val="both"/>
      </w:pPr>
      <w:r w:rsidRPr="002A6530">
        <w:t xml:space="preserve">Moreover, as the sector became increasingly international, in part accelerated by EU interventions, the NRAs found themselves interacting ever more intensely with their counterparts in other Member States, such that their power grew collectively and in parallel with (and to some extent in competition with) that of the Commission. The technical challenge of regulating Europe’s </w:t>
      </w:r>
      <w:r w:rsidR="00E1591A">
        <w:t>telecoms</w:t>
      </w:r>
      <w:r w:rsidRPr="002A6530">
        <w:t xml:space="preserve"> markets produced a tightly-knit epistemic community of lawyers, economists and engineers accustomed to interacting openly with one another across borders</w:t>
      </w:r>
      <w:r w:rsidR="00C90F8C">
        <w:t xml:space="preserve"> (Saz-Carranza and Longo, 2012)</w:t>
      </w:r>
      <w:r w:rsidR="008243A0">
        <w:t>, whose interactions reached back to the 1980s</w:t>
      </w:r>
      <w:r w:rsidR="00C90F8C">
        <w:t xml:space="preserve"> </w:t>
      </w:r>
      <w:r w:rsidR="00C90F8C" w:rsidRPr="001D452E">
        <w:t xml:space="preserve">when </w:t>
      </w:r>
      <w:r w:rsidR="008D0751">
        <w:t xml:space="preserve">a </w:t>
      </w:r>
      <w:r w:rsidR="00C90F8C" w:rsidRPr="00136293">
        <w:t xml:space="preserve">Senior Official Group for Telecommunications </w:t>
      </w:r>
      <w:r w:rsidR="008D0751">
        <w:t xml:space="preserve">was established in Europe </w:t>
      </w:r>
      <w:r w:rsidR="00C90F8C" w:rsidRPr="00136293">
        <w:t>(Boeger and Corkin, 201</w:t>
      </w:r>
      <w:r w:rsidR="006C090F" w:rsidRPr="00E9028D">
        <w:t>3</w:t>
      </w:r>
      <w:r w:rsidR="00136293">
        <w:t>, pp.307-314</w:t>
      </w:r>
      <w:r w:rsidR="00BB72E6" w:rsidRPr="006C090F">
        <w:t>)</w:t>
      </w:r>
      <w:r w:rsidR="00C90F8C" w:rsidRPr="006C090F">
        <w:t>.</w:t>
      </w:r>
      <w:r w:rsidR="00C90F8C" w:rsidRPr="001D452E">
        <w:t xml:space="preserve"> </w:t>
      </w:r>
      <w:r w:rsidRPr="001D452E">
        <w:t xml:space="preserve"> Though national concerns </w:t>
      </w:r>
      <w:r w:rsidR="006052B4">
        <w:t>may</w:t>
      </w:r>
      <w:r w:rsidR="006052B4" w:rsidRPr="001D452E">
        <w:t xml:space="preserve"> </w:t>
      </w:r>
      <w:r w:rsidRPr="001D452E">
        <w:t>dominate the agenda of individual</w:t>
      </w:r>
      <w:r w:rsidRPr="002A6530">
        <w:t xml:space="preserve"> NRAs, their officials were certainly inclined to tur</w:t>
      </w:r>
      <w:r w:rsidR="004B3F80">
        <w:t>n to the network for support or, as one NRA official put it:</w:t>
      </w:r>
      <w:r w:rsidRPr="002A6530">
        <w:t xml:space="preserve"> ‘the collective know-how at the European level helps us enormously when we justify our regulatory decision-making.’ </w:t>
      </w:r>
      <w:r w:rsidR="00D94140">
        <w:t>Various</w:t>
      </w:r>
      <w:r w:rsidR="00266909">
        <w:t xml:space="preserve"> Council</w:t>
      </w:r>
      <w:r w:rsidR="00D94140">
        <w:t xml:space="preserve"> and ministry</w:t>
      </w:r>
      <w:r w:rsidR="00266909">
        <w:t xml:space="preserve"> official</w:t>
      </w:r>
      <w:r w:rsidR="00D94140">
        <w:t>s</w:t>
      </w:r>
      <w:r w:rsidR="00143613">
        <w:t xml:space="preserve"> </w:t>
      </w:r>
      <w:r w:rsidRPr="002A6530">
        <w:t>referr</w:t>
      </w:r>
      <w:r w:rsidR="0094714F">
        <w:t xml:space="preserve">ed to the </w:t>
      </w:r>
      <w:r w:rsidR="00D94140">
        <w:t xml:space="preserve">IRG/ERG </w:t>
      </w:r>
      <w:r w:rsidR="0094714F">
        <w:t xml:space="preserve">network </w:t>
      </w:r>
      <w:r w:rsidR="00D94140">
        <w:t xml:space="preserve">respectively </w:t>
      </w:r>
      <w:r w:rsidR="0094714F">
        <w:t>as a</w:t>
      </w:r>
      <w:r w:rsidR="00EE12D1">
        <w:t xml:space="preserve"> </w:t>
      </w:r>
      <w:r w:rsidR="00D94140">
        <w:t>‘</w:t>
      </w:r>
      <w:r w:rsidR="0094714F">
        <w:t>club’</w:t>
      </w:r>
      <w:r w:rsidR="00EE12D1">
        <w:t>,</w:t>
      </w:r>
      <w:r w:rsidR="0094714F">
        <w:t xml:space="preserve"> </w:t>
      </w:r>
      <w:r w:rsidR="00266909">
        <w:t>a ‘large corporation’</w:t>
      </w:r>
      <w:r w:rsidR="00D94140">
        <w:t xml:space="preserve"> and a ‘personal network’</w:t>
      </w:r>
      <w:r w:rsidR="00266909">
        <w:t>. S</w:t>
      </w:r>
      <w:r w:rsidRPr="002A6530">
        <w:t xml:space="preserve">ome NRA officials went further, </w:t>
      </w:r>
      <w:r w:rsidR="006052B4">
        <w:t>ascribing</w:t>
      </w:r>
      <w:r w:rsidR="006052B4" w:rsidRPr="002A6530">
        <w:t xml:space="preserve"> </w:t>
      </w:r>
      <w:r w:rsidR="006052B4">
        <w:t xml:space="preserve">to their network </w:t>
      </w:r>
      <w:r w:rsidRPr="002A6530">
        <w:t>an ‘identity’, ‘deep cohesion’, ‘informal relationships’, ‘spirit’, ‘trust’ or ‘psychological part’</w:t>
      </w:r>
      <w:r w:rsidR="00266909">
        <w:t xml:space="preserve">. </w:t>
      </w:r>
      <w:r w:rsidR="00266909" w:rsidRPr="002A6530" w:rsidDel="00266909">
        <w:t xml:space="preserve"> </w:t>
      </w:r>
    </w:p>
    <w:p w:rsidR="002A6530" w:rsidRPr="002A6530" w:rsidRDefault="002A6530" w:rsidP="001D5F12">
      <w:pPr>
        <w:spacing w:after="0" w:line="480" w:lineRule="auto"/>
        <w:jc w:val="both"/>
      </w:pPr>
    </w:p>
    <w:p w:rsidR="002A6530" w:rsidRDefault="00283472" w:rsidP="001D5F12">
      <w:pPr>
        <w:spacing w:after="0" w:line="480" w:lineRule="auto"/>
        <w:jc w:val="both"/>
      </w:pPr>
      <w:r>
        <w:t>Establishing</w:t>
      </w:r>
      <w:r w:rsidR="002A6530" w:rsidRPr="002A6530">
        <w:t xml:space="preserve"> a position of strength brought </w:t>
      </w:r>
      <w:r>
        <w:t>with it</w:t>
      </w:r>
      <w:r w:rsidR="002A6530" w:rsidRPr="002A6530">
        <w:t xml:space="preserve">, according to one industry representative, a ‘sea change in their attitudes’ towards their own institutional role, especially amongst the larger and well-resourced </w:t>
      </w:r>
      <w:r w:rsidR="002A6530" w:rsidRPr="002A6530">
        <w:lastRenderedPageBreak/>
        <w:t>NRAs</w:t>
      </w:r>
      <w:r>
        <w:t>, which</w:t>
      </w:r>
      <w:r w:rsidR="002A6530" w:rsidRPr="002A6530">
        <w:t xml:space="preserve"> meant that during the 2005-9 framework review process, they heavily involved themselves as ‘key political figures’</w:t>
      </w:r>
      <w:r>
        <w:t xml:space="preserve"> in the negotiations</w:t>
      </w:r>
      <w:r w:rsidR="002A6530" w:rsidRPr="002A6530">
        <w:t xml:space="preserve"> (S</w:t>
      </w:r>
      <w:r w:rsidR="002C0D0A">
        <w:t>az-Carranza and Longo, 2012, p.</w:t>
      </w:r>
      <w:r w:rsidR="002A6530" w:rsidRPr="002A6530">
        <w:t>29)</w:t>
      </w:r>
      <w:r>
        <w:t xml:space="preserve">. </w:t>
      </w:r>
      <w:r w:rsidR="00D94140">
        <w:t xml:space="preserve">A ministry official </w:t>
      </w:r>
      <w:r w:rsidR="00143613">
        <w:t xml:space="preserve">described </w:t>
      </w:r>
      <w:r w:rsidR="00D94140">
        <w:t>it as the NRAs’ ‘emancipation movement’, directed against a control-seeking Commission</w:t>
      </w:r>
      <w:r w:rsidR="00961300">
        <w:t>, where t</w:t>
      </w:r>
      <w:r>
        <w:t>hey sought</w:t>
      </w:r>
      <w:r w:rsidR="002A6530" w:rsidRPr="002A6530">
        <w:t xml:space="preserve"> to influence </w:t>
      </w:r>
      <w:r w:rsidR="00AA058F" w:rsidRPr="00AA058F">
        <w:t>governments and the principal EU institutions</w:t>
      </w:r>
      <w:r w:rsidR="00AA058F" w:rsidRPr="00AA058F">
        <w:rPr>
          <w:b/>
        </w:rPr>
        <w:t xml:space="preserve"> </w:t>
      </w:r>
      <w:r w:rsidR="002A6530" w:rsidRPr="002A6530">
        <w:t xml:space="preserve">and </w:t>
      </w:r>
      <w:r>
        <w:t xml:space="preserve">to </w:t>
      </w:r>
      <w:r w:rsidR="002A6530" w:rsidRPr="002A6530">
        <w:t xml:space="preserve">broker an institutional compromise </w:t>
      </w:r>
      <w:r w:rsidR="004B3F80">
        <w:t>that aligned with their institutional preferences</w:t>
      </w:r>
      <w:r w:rsidR="002A6530" w:rsidRPr="002A6530">
        <w:t xml:space="preserve">. </w:t>
      </w:r>
    </w:p>
    <w:p w:rsidR="002A6530" w:rsidRDefault="002A6530" w:rsidP="001D5F12">
      <w:pPr>
        <w:pStyle w:val="Heading2"/>
        <w:spacing w:line="480" w:lineRule="auto"/>
      </w:pPr>
      <w:r w:rsidRPr="002A6530">
        <w:t>Selection</w:t>
      </w:r>
    </w:p>
    <w:p w:rsidR="002A6530" w:rsidRPr="002A6530" w:rsidRDefault="002A6530" w:rsidP="001D5F12">
      <w:pPr>
        <w:spacing w:after="0" w:line="480" w:lineRule="auto"/>
        <w:jc w:val="both"/>
      </w:pPr>
    </w:p>
    <w:p w:rsidR="002C0D0A" w:rsidRPr="002A6530" w:rsidRDefault="002A6530" w:rsidP="001D5F12">
      <w:pPr>
        <w:spacing w:after="0" w:line="480" w:lineRule="auto"/>
        <w:jc w:val="both"/>
      </w:pPr>
      <w:r w:rsidRPr="002A6530">
        <w:t xml:space="preserve">Shortly after framework review consultations were initiated in 2005, considerable debate within </w:t>
      </w:r>
      <w:r w:rsidR="004B3F80">
        <w:t>ERG/I</w:t>
      </w:r>
      <w:r w:rsidRPr="002A6530">
        <w:t xml:space="preserve">RG began over how it should position itself on the institutional issues. NRAs ‘entered the discussions… based on their own experiences’ (NRA official) and certainly did not agree on everything. </w:t>
      </w:r>
      <w:r w:rsidR="00CC11CF">
        <w:t>Some NRAs</w:t>
      </w:r>
      <w:r w:rsidR="00CC11CF" w:rsidRPr="002A6530">
        <w:t xml:space="preserve"> </w:t>
      </w:r>
      <w:r w:rsidR="00CC11CF">
        <w:t>followed the</w:t>
      </w:r>
      <w:r w:rsidR="006052B4">
        <w:t>ir government</w:t>
      </w:r>
      <w:r w:rsidR="00CC11CF">
        <w:t xml:space="preserve"> lead closely, others took a more independent view. </w:t>
      </w:r>
      <w:r w:rsidRPr="002A6530">
        <w:t>Some</w:t>
      </w:r>
      <w:r w:rsidR="009806F6">
        <w:t>, including the Italian regulator AGCOM,</w:t>
      </w:r>
      <w:r w:rsidRPr="002A6530">
        <w:t xml:space="preserve"> were not in principle opposed to an EU agency, whereas other </w:t>
      </w:r>
      <w:r w:rsidR="006052B4">
        <w:t xml:space="preserve">NRA </w:t>
      </w:r>
      <w:r w:rsidRPr="002A6530">
        <w:t>initiative</w:t>
      </w:r>
      <w:r w:rsidR="0094714F">
        <w:t>s</w:t>
      </w:r>
      <w:r w:rsidR="00283472">
        <w:t xml:space="preserve"> </w:t>
      </w:r>
      <w:r w:rsidR="004B3F80">
        <w:t>leaned heavily towards the soft disciplining networked model</w:t>
      </w:r>
      <w:r w:rsidR="0094714F">
        <w:t>, including one</w:t>
      </w:r>
      <w:r w:rsidR="00283472" w:rsidRPr="002A6530">
        <w:t xml:space="preserve"> </w:t>
      </w:r>
      <w:r w:rsidRPr="002A6530">
        <w:t>modelled in part on the EU’s private standardisation bodies</w:t>
      </w:r>
      <w:r w:rsidR="00283472">
        <w:t xml:space="preserve"> and </w:t>
      </w:r>
      <w:r w:rsidR="006052B4">
        <w:t>founded</w:t>
      </w:r>
      <w:r w:rsidR="006052B4" w:rsidRPr="002A6530">
        <w:t xml:space="preserve"> </w:t>
      </w:r>
      <w:r w:rsidRPr="002A6530">
        <w:t>on the existing IRG infrastructure</w:t>
      </w:r>
      <w:r w:rsidR="00CC11CF">
        <w:t xml:space="preserve">. </w:t>
      </w:r>
      <w:r w:rsidRPr="002A6530">
        <w:t>But NRAs also recognized that a failure to convey a unitary message in their external communications would diminish their collective influence</w:t>
      </w:r>
      <w:r w:rsidR="006052B4">
        <w:t>, so</w:t>
      </w:r>
      <w:r w:rsidRPr="002A6530">
        <w:t xml:space="preserve"> united, early on, around a short internal document - a ‘famous one-pager, consisting of two pages’ (NRA official) – </w:t>
      </w:r>
      <w:r w:rsidR="004B3F80">
        <w:t>in which</w:t>
      </w:r>
      <w:r w:rsidRPr="002A6530">
        <w:t xml:space="preserve"> they rejected the Commission’s initial proposals for more institutional centralisation. </w:t>
      </w:r>
      <w:r w:rsidR="009806F6">
        <w:t>T</w:t>
      </w:r>
      <w:r w:rsidR="009806F6" w:rsidRPr="002A6530">
        <w:t xml:space="preserve">hey argued that coordination via an enhanced network would be a more effectual mode of integration than a centralized regulatory model, </w:t>
      </w:r>
      <w:r w:rsidR="009806F6" w:rsidRPr="006C090F">
        <w:t>primarily on the ground that it made optimal use of their own regulatory expertise of domestic markets (</w:t>
      </w:r>
      <w:r w:rsidR="009806F6" w:rsidRPr="008D0751">
        <w:t>ERG, 2006</w:t>
      </w:r>
      <w:r w:rsidR="009806F6" w:rsidRPr="006C090F">
        <w:t>; ERG</w:t>
      </w:r>
      <w:r w:rsidR="009806F6">
        <w:t>, 2007; ERG, 2008)</w:t>
      </w:r>
      <w:r w:rsidR="009806F6" w:rsidRPr="002A6530">
        <w:t>.</w:t>
      </w:r>
      <w:r w:rsidR="009806F6">
        <w:t xml:space="preserve"> Instead of a centralised EU agency, t</w:t>
      </w:r>
      <w:r w:rsidRPr="002A6530">
        <w:t xml:space="preserve">hey proposed to retain ERG’s independence but to embed its competences in the EU framework, making it institutionally less ‘vulnerable’ (NRA official), </w:t>
      </w:r>
      <w:r w:rsidR="00283472">
        <w:t>while placing</w:t>
      </w:r>
      <w:r w:rsidRPr="002A6530">
        <w:t xml:space="preserve"> both NRAs and the Commission under a legal obligation to take ‘utmost account’ of its positions. NRAs also made the case for setting up a separate</w:t>
      </w:r>
      <w:r w:rsidR="006052B4">
        <w:t>, modestly-</w:t>
      </w:r>
      <w:r w:rsidR="006052B4" w:rsidRPr="006052B4">
        <w:t>sized</w:t>
      </w:r>
      <w:r w:rsidRPr="002A6530">
        <w:t xml:space="preserve"> secretariat to provide </w:t>
      </w:r>
      <w:r w:rsidR="0094714F">
        <w:t xml:space="preserve">the </w:t>
      </w:r>
      <w:r w:rsidRPr="002A6530">
        <w:t xml:space="preserve">necessary logistical and administrative </w:t>
      </w:r>
      <w:r w:rsidRPr="002A6530">
        <w:lastRenderedPageBreak/>
        <w:t xml:space="preserve">support to the network; </w:t>
      </w:r>
      <w:r w:rsidR="00E1591A">
        <w:t>though</w:t>
      </w:r>
      <w:r w:rsidR="00E1591A" w:rsidRPr="002A6530">
        <w:t xml:space="preserve"> </w:t>
      </w:r>
      <w:r w:rsidRPr="002A6530">
        <w:t>not near</w:t>
      </w:r>
      <w:r w:rsidR="00283472">
        <w:t>ly</w:t>
      </w:r>
      <w:r w:rsidRPr="002A6530">
        <w:t xml:space="preserve"> as large as the EU agency suggested by the Commission and </w:t>
      </w:r>
      <w:r w:rsidR="00E1591A">
        <w:t xml:space="preserve">certainly </w:t>
      </w:r>
      <w:r w:rsidR="006052B4">
        <w:t>without</w:t>
      </w:r>
      <w:r w:rsidRPr="002A6530">
        <w:t xml:space="preserve"> substantive regulatory powers. </w:t>
      </w:r>
      <w:r w:rsidR="0094714F">
        <w:t>In place</w:t>
      </w:r>
      <w:r w:rsidRPr="002A6530">
        <w:t xml:space="preserve"> of the proposed Commission veto over regulatory remedies, they </w:t>
      </w:r>
      <w:r w:rsidR="0094714F">
        <w:t xml:space="preserve">declared themselves willing </w:t>
      </w:r>
      <w:r w:rsidRPr="002A6530">
        <w:t xml:space="preserve">to accept </w:t>
      </w:r>
      <w:r w:rsidR="00E1591A">
        <w:t xml:space="preserve">only </w:t>
      </w:r>
      <w:r w:rsidRPr="002A6530">
        <w:t xml:space="preserve">a ‘pause for reflection’, during which the Commission might require NRAs to seek the opinion of </w:t>
      </w:r>
      <w:r w:rsidR="004B3F80">
        <w:t>the</w:t>
      </w:r>
      <w:r w:rsidRPr="002A6530">
        <w:t xml:space="preserve"> transnational network on </w:t>
      </w:r>
      <w:r w:rsidR="004B3F80">
        <w:t xml:space="preserve">their </w:t>
      </w:r>
      <w:r w:rsidRPr="002A6530">
        <w:t xml:space="preserve">draft remedies if it was concerned about their compatibility with the internal market. </w:t>
      </w:r>
      <w:r w:rsidR="009806F6">
        <w:t xml:space="preserve"> These proposals </w:t>
      </w:r>
      <w:r w:rsidR="00E31AD7">
        <w:t xml:space="preserve">resonated </w:t>
      </w:r>
      <w:r w:rsidR="009806F6">
        <w:t>with</w:t>
      </w:r>
      <w:r w:rsidR="00E31AD7">
        <w:t xml:space="preserve"> </w:t>
      </w:r>
      <w:r w:rsidR="00E251B2">
        <w:t xml:space="preserve">the official positions of some member states in early </w:t>
      </w:r>
      <w:r w:rsidR="00E31AD7">
        <w:t>Council</w:t>
      </w:r>
      <w:r w:rsidR="00E251B2">
        <w:t xml:space="preserve"> discussions</w:t>
      </w:r>
      <w:r w:rsidR="00AA701E">
        <w:t xml:space="preserve"> (Council, 2007)</w:t>
      </w:r>
      <w:r w:rsidR="005D0EC2">
        <w:t xml:space="preserve">, </w:t>
      </w:r>
      <w:r w:rsidR="006052B4">
        <w:t xml:space="preserve">while </w:t>
      </w:r>
      <w:r w:rsidR="00E251B2">
        <w:t xml:space="preserve">others </w:t>
      </w:r>
      <w:r w:rsidR="005D0EC2">
        <w:t>(</w:t>
      </w:r>
      <w:r w:rsidR="00022766">
        <w:t>including Denmark, Sweden and to some extent the UK and Holland</w:t>
      </w:r>
      <w:r w:rsidR="005D0EC2">
        <w:t>)</w:t>
      </w:r>
      <w:r w:rsidR="00022766">
        <w:t xml:space="preserve"> were open to </w:t>
      </w:r>
      <w:r w:rsidR="006052B4">
        <w:t xml:space="preserve">some </w:t>
      </w:r>
      <w:r w:rsidR="00022766">
        <w:t xml:space="preserve">centralisation. </w:t>
      </w:r>
      <w:r w:rsidR="00E251B2">
        <w:t>Even</w:t>
      </w:r>
      <w:r w:rsidR="00A76606">
        <w:t xml:space="preserve"> where </w:t>
      </w:r>
      <w:r w:rsidR="00673CB7">
        <w:t xml:space="preserve">the views of individual NRAs </w:t>
      </w:r>
      <w:r w:rsidR="00010E7F">
        <w:t xml:space="preserve">were </w:t>
      </w:r>
      <w:r w:rsidR="00673CB7">
        <w:t xml:space="preserve">broadly aligned with those of their </w:t>
      </w:r>
      <w:r w:rsidR="00010E7F">
        <w:t>government leads</w:t>
      </w:r>
      <w:r w:rsidR="00673CB7">
        <w:t xml:space="preserve">, </w:t>
      </w:r>
      <w:r w:rsidR="00A76606">
        <w:t>their motivations sometime</w:t>
      </w:r>
      <w:r w:rsidR="00903E6F">
        <w:t xml:space="preserve">s differed subtly. </w:t>
      </w:r>
      <w:r w:rsidR="00E251B2">
        <w:t xml:space="preserve">Whereas political representatives focused </w:t>
      </w:r>
      <w:r w:rsidR="00825FAE">
        <w:t xml:space="preserve">primarily </w:t>
      </w:r>
      <w:r w:rsidR="00E251B2">
        <w:t xml:space="preserve">on safeguarding national sovereign powers - several of them </w:t>
      </w:r>
      <w:r w:rsidR="00673CB7">
        <w:t xml:space="preserve">emphasised </w:t>
      </w:r>
      <w:r w:rsidR="00E251B2">
        <w:t>the fact that</w:t>
      </w:r>
      <w:r w:rsidR="00673CB7">
        <w:t>, politically,</w:t>
      </w:r>
      <w:r w:rsidR="00E251B2">
        <w:t xml:space="preserve"> they</w:t>
      </w:r>
      <w:r w:rsidR="00673CB7">
        <w:t xml:space="preserve"> simply</w:t>
      </w:r>
      <w:r w:rsidR="00903E6F">
        <w:t xml:space="preserve"> ‘did not want any more EU agencies’</w:t>
      </w:r>
      <w:r w:rsidR="00673CB7">
        <w:t xml:space="preserve"> (put in those terms by two ministry officials independently) </w:t>
      </w:r>
      <w:r w:rsidR="00E251B2">
        <w:t>- NRAs were</w:t>
      </w:r>
      <w:r w:rsidR="006701A3">
        <w:t xml:space="preserve"> more directly</w:t>
      </w:r>
      <w:r w:rsidR="00E251B2">
        <w:t xml:space="preserve"> </w:t>
      </w:r>
      <w:r w:rsidR="00022766" w:rsidRPr="002A6530">
        <w:t>concerned about losing</w:t>
      </w:r>
      <w:r w:rsidR="00B377E5">
        <w:t xml:space="preserve"> their</w:t>
      </w:r>
      <w:r w:rsidR="00022766" w:rsidRPr="002A6530">
        <w:t xml:space="preserve"> institutional </w:t>
      </w:r>
      <w:r w:rsidR="00E251B2">
        <w:t>influence</w:t>
      </w:r>
      <w:r w:rsidR="00075739">
        <w:t>. T</w:t>
      </w:r>
      <w:r w:rsidR="00825FAE">
        <w:t xml:space="preserve">hey </w:t>
      </w:r>
      <w:r w:rsidR="006701A3">
        <w:t xml:space="preserve">entered </w:t>
      </w:r>
      <w:r w:rsidR="00022766" w:rsidRPr="002A6530">
        <w:t>the negotiations as a ‘defence mechanism’ (ministry official)</w:t>
      </w:r>
      <w:r w:rsidR="006701A3">
        <w:t xml:space="preserve">, but also </w:t>
      </w:r>
      <w:r w:rsidR="00825FAE">
        <w:t xml:space="preserve">committed </w:t>
      </w:r>
      <w:r w:rsidR="00B377E5">
        <w:t>to</w:t>
      </w:r>
      <w:r w:rsidR="006701A3">
        <w:t xml:space="preserve"> ensur</w:t>
      </w:r>
      <w:r w:rsidR="00B377E5">
        <w:t>ing</w:t>
      </w:r>
      <w:r w:rsidR="00075739">
        <w:t xml:space="preserve"> that</w:t>
      </w:r>
      <w:r w:rsidR="00B377E5">
        <w:t xml:space="preserve"> </w:t>
      </w:r>
      <w:r w:rsidR="006701A3">
        <w:t xml:space="preserve">their </w:t>
      </w:r>
      <w:r w:rsidR="00B377E5">
        <w:t xml:space="preserve">regulatory </w:t>
      </w:r>
      <w:r w:rsidR="006701A3">
        <w:t>expertise</w:t>
      </w:r>
      <w:r w:rsidR="00B377E5">
        <w:t xml:space="preserve">, as </w:t>
      </w:r>
      <w:r w:rsidR="006701A3">
        <w:t>‘</w:t>
      </w:r>
      <w:r w:rsidR="00B377E5">
        <w:t xml:space="preserve">the ones </w:t>
      </w:r>
      <w:r w:rsidR="006701A3">
        <w:t>closest to national markets’ (Commission official)</w:t>
      </w:r>
      <w:r w:rsidR="00B377E5">
        <w:t>,</w:t>
      </w:r>
      <w:r w:rsidR="006701A3">
        <w:t xml:space="preserve"> would be put to use in the integration process</w:t>
      </w:r>
      <w:r w:rsidR="00075739">
        <w:t>, preserving their network’s ‘standard way of doing things’ (NRA official).</w:t>
      </w:r>
    </w:p>
    <w:p w:rsidR="002A6530" w:rsidRDefault="002A6530" w:rsidP="001D5F12">
      <w:pPr>
        <w:pStyle w:val="Heading2"/>
        <w:spacing w:line="480" w:lineRule="auto"/>
      </w:pPr>
      <w:r w:rsidRPr="002A6530">
        <w:t>Mobilisation</w:t>
      </w:r>
    </w:p>
    <w:p w:rsidR="002C0D0A" w:rsidRPr="002A6530" w:rsidRDefault="002C0D0A" w:rsidP="001D5F12">
      <w:pPr>
        <w:spacing w:after="0" w:line="480" w:lineRule="auto"/>
        <w:jc w:val="both"/>
      </w:pPr>
    </w:p>
    <w:p w:rsidR="002A6530" w:rsidRDefault="002A6530" w:rsidP="001D5F12">
      <w:pPr>
        <w:spacing w:after="0" w:line="480" w:lineRule="auto"/>
        <w:jc w:val="both"/>
      </w:pPr>
      <w:r w:rsidRPr="002A6530">
        <w:t>The ERG set up an internal ‘framework review project team’ that remained in place throughout</w:t>
      </w:r>
      <w:r w:rsidR="00283472">
        <w:t>,</w:t>
      </w:r>
      <w:r w:rsidRPr="002A6530">
        <w:t xml:space="preserve"> to monitor the negotiations, to draft suggested responses and to discuss potential amendments. NRAs would internally discuss these ‘high-level messages from the ERG’ (NRA official) before taking individual action</w:t>
      </w:r>
      <w:r w:rsidR="00E1591A">
        <w:t xml:space="preserve">. </w:t>
      </w:r>
      <w:r w:rsidR="004B3F80">
        <w:t>T</w:t>
      </w:r>
      <w:r w:rsidR="00E1591A">
        <w:t xml:space="preserve">hey </w:t>
      </w:r>
      <w:r w:rsidR="004B3F80">
        <w:t xml:space="preserve">also </w:t>
      </w:r>
      <w:r w:rsidRPr="002A6530">
        <w:t>show</w:t>
      </w:r>
      <w:r w:rsidR="00283472">
        <w:t>ed</w:t>
      </w:r>
      <w:r w:rsidRPr="002A6530">
        <w:t xml:space="preserve"> self-restraint in tempering their own individual lobbying whenever their position diverged from that of the network as a whole. One NRA official also told us that these ERG-endorsed positions served as a useful reference point for individual NRAs to ‘hide behind the other 26 </w:t>
      </w:r>
      <w:r w:rsidR="0043447F">
        <w:t>m</w:t>
      </w:r>
      <w:r w:rsidRPr="002A6530">
        <w:t xml:space="preserve">ember </w:t>
      </w:r>
      <w:r w:rsidR="0043447F">
        <w:t>s</w:t>
      </w:r>
      <w:r w:rsidRPr="002A6530">
        <w:t xml:space="preserve">tates’ and </w:t>
      </w:r>
      <w:r w:rsidR="00283472">
        <w:t xml:space="preserve">to </w:t>
      </w:r>
      <w:r w:rsidRPr="002A6530">
        <w:t xml:space="preserve">manage potential conflicts with their own government leads. All NRA officials we </w:t>
      </w:r>
      <w:r w:rsidRPr="002A6530">
        <w:lastRenderedPageBreak/>
        <w:t xml:space="preserve">interviewed stressed the importance of </w:t>
      </w:r>
      <w:r w:rsidR="000E6552">
        <w:t xml:space="preserve">personal connections, and </w:t>
      </w:r>
      <w:r w:rsidR="00F17999">
        <w:t xml:space="preserve">the </w:t>
      </w:r>
      <w:r w:rsidR="003A3175">
        <w:t xml:space="preserve">‘informal relationship’ </w:t>
      </w:r>
      <w:r w:rsidR="00A97DA2">
        <w:t>(NRA official)</w:t>
      </w:r>
      <w:r w:rsidR="000E6552">
        <w:t>,</w:t>
      </w:r>
      <w:r w:rsidR="00A97DA2">
        <w:t xml:space="preserve"> </w:t>
      </w:r>
      <w:r w:rsidR="003A3175">
        <w:t xml:space="preserve">within </w:t>
      </w:r>
      <w:r w:rsidRPr="002A6530">
        <w:t xml:space="preserve">the ERG/IRG </w:t>
      </w:r>
      <w:r w:rsidR="003A3175">
        <w:t>during the negotiations</w:t>
      </w:r>
      <w:r w:rsidR="00825FAE">
        <w:t xml:space="preserve"> </w:t>
      </w:r>
      <w:r w:rsidR="00F17999">
        <w:t>proved</w:t>
      </w:r>
      <w:r w:rsidR="00F17999" w:rsidRPr="002A6530">
        <w:t xml:space="preserve"> </w:t>
      </w:r>
      <w:r w:rsidRPr="002A6530">
        <w:t xml:space="preserve">an effective channel of communication </w:t>
      </w:r>
      <w:r w:rsidR="003A3175">
        <w:t xml:space="preserve">where </w:t>
      </w:r>
      <w:r w:rsidR="00F20B3E">
        <w:t xml:space="preserve">issues could be discussed and </w:t>
      </w:r>
      <w:r w:rsidR="003A3175">
        <w:t>internal disagreement resolved</w:t>
      </w:r>
      <w:r w:rsidR="00F17999">
        <w:t>, to ensure</w:t>
      </w:r>
      <w:r w:rsidR="003A3175">
        <w:t xml:space="preserve"> NRAs worked ‘as a group’ (ministry official).</w:t>
      </w:r>
      <w:r w:rsidR="006B0C92">
        <w:t xml:space="preserve"> While this </w:t>
      </w:r>
      <w:r w:rsidR="00F17999">
        <w:t>made</w:t>
      </w:r>
      <w:r w:rsidR="006B0C92">
        <w:t xml:space="preserve"> it ‘very obvious where NRAs stood’ (Commission official), it also </w:t>
      </w:r>
      <w:r w:rsidR="00F17999">
        <w:t xml:space="preserve">created </w:t>
      </w:r>
      <w:r w:rsidR="006B0C92">
        <w:t>a sense amongst some</w:t>
      </w:r>
      <w:r w:rsidR="000E6552">
        <w:t xml:space="preserve"> of their government leads</w:t>
      </w:r>
      <w:r w:rsidR="00F17999">
        <w:t>,</w:t>
      </w:r>
      <w:r w:rsidR="006B0C92">
        <w:t xml:space="preserve"> </w:t>
      </w:r>
      <w:r w:rsidR="003A3175">
        <w:t>whose interactions were described as ‘looser’ (</w:t>
      </w:r>
      <w:r w:rsidR="000E6552">
        <w:t>ministry</w:t>
      </w:r>
      <w:r w:rsidR="003A3175">
        <w:t xml:space="preserve"> official)</w:t>
      </w:r>
      <w:r w:rsidR="00F17999">
        <w:t>,</w:t>
      </w:r>
      <w:r w:rsidR="003A3175">
        <w:t xml:space="preserve"> </w:t>
      </w:r>
      <w:r w:rsidR="00F20B3E">
        <w:t xml:space="preserve">that </w:t>
      </w:r>
      <w:r w:rsidR="003A3175">
        <w:t xml:space="preserve">the </w:t>
      </w:r>
      <w:r w:rsidR="00F20B3E">
        <w:t xml:space="preserve">network’s </w:t>
      </w:r>
      <w:r w:rsidR="003A3175">
        <w:t>b</w:t>
      </w:r>
      <w:r w:rsidR="00F20B3E">
        <w:t>ehind-the-scene mobilisation, orchestrated through</w:t>
      </w:r>
      <w:r w:rsidR="003A3175">
        <w:t xml:space="preserve"> their project team</w:t>
      </w:r>
      <w:r w:rsidR="00F20B3E">
        <w:t>,</w:t>
      </w:r>
      <w:r w:rsidR="003A3175">
        <w:t xml:space="preserve"> </w:t>
      </w:r>
      <w:r w:rsidR="006B0C92">
        <w:t xml:space="preserve">lacked external </w:t>
      </w:r>
      <w:r w:rsidR="003A3175">
        <w:t>transparency</w:t>
      </w:r>
      <w:r w:rsidR="00F20B3E">
        <w:t xml:space="preserve">, enabling </w:t>
      </w:r>
      <w:r w:rsidR="00F17999">
        <w:t xml:space="preserve">them </w:t>
      </w:r>
      <w:r w:rsidR="00A97DA2">
        <w:t>to ‘play games’ (</w:t>
      </w:r>
      <w:r w:rsidR="000E6552">
        <w:t xml:space="preserve">government representative on </w:t>
      </w:r>
      <w:r w:rsidR="00A97DA2">
        <w:t xml:space="preserve">the Council working party). </w:t>
      </w:r>
    </w:p>
    <w:p w:rsidR="002C0D0A" w:rsidRPr="002A6530" w:rsidRDefault="002C0D0A" w:rsidP="001D5F12">
      <w:pPr>
        <w:spacing w:after="0" w:line="480" w:lineRule="auto"/>
        <w:jc w:val="both"/>
      </w:pPr>
    </w:p>
    <w:p w:rsidR="002A6530" w:rsidRDefault="002A6530" w:rsidP="001D5F12">
      <w:pPr>
        <w:pStyle w:val="Heading2"/>
        <w:spacing w:line="480" w:lineRule="auto"/>
      </w:pPr>
      <w:r w:rsidRPr="002A6530">
        <w:t>Framing</w:t>
      </w:r>
    </w:p>
    <w:p w:rsidR="002C0D0A" w:rsidRPr="002A6530" w:rsidRDefault="002C0D0A" w:rsidP="001D5F12">
      <w:pPr>
        <w:spacing w:after="0" w:line="480" w:lineRule="auto"/>
        <w:jc w:val="both"/>
      </w:pPr>
    </w:p>
    <w:p w:rsidR="000A408D" w:rsidRDefault="002A6530" w:rsidP="001D5F12">
      <w:pPr>
        <w:spacing w:after="0" w:line="480" w:lineRule="auto"/>
        <w:jc w:val="both"/>
      </w:pPr>
      <w:r w:rsidRPr="002A6530">
        <w:t xml:space="preserve">In making its </w:t>
      </w:r>
      <w:r w:rsidR="00B87830">
        <w:t xml:space="preserve">‘creative ideas’ (European Parliament official) </w:t>
      </w:r>
      <w:r w:rsidRPr="002A6530">
        <w:t xml:space="preserve">explicit at an early stage (ERG, 2007), the ERG managed not only to formulate a viable alternative institutional agenda to </w:t>
      </w:r>
      <w:r w:rsidR="00E1591A">
        <w:t xml:space="preserve">that of </w:t>
      </w:r>
      <w:r w:rsidRPr="002A6530">
        <w:t xml:space="preserve">the Commission, but also to </w:t>
      </w:r>
      <w:r w:rsidR="00283472">
        <w:t>establish</w:t>
      </w:r>
      <w:r w:rsidR="00283472" w:rsidRPr="002A6530">
        <w:t xml:space="preserve"> </w:t>
      </w:r>
      <w:r w:rsidRPr="002A6530">
        <w:t>its role as agenda-setter</w:t>
      </w:r>
      <w:r w:rsidR="00B87830">
        <w:t xml:space="preserve"> and ‘individual player in the discussions’ (ministry</w:t>
      </w:r>
      <w:r w:rsidR="000E6552">
        <w:t xml:space="preserve"> official</w:t>
      </w:r>
      <w:r w:rsidR="00B87830">
        <w:t>)</w:t>
      </w:r>
      <w:r w:rsidR="004B3F80">
        <w:t>. As one NRA official put it:</w:t>
      </w:r>
      <w:r w:rsidRPr="002A6530">
        <w:t xml:space="preserve"> ‘it probably predisposed people listening to us to expand on those principles’</w:t>
      </w:r>
      <w:r w:rsidR="005E3F29">
        <w:t>. T</w:t>
      </w:r>
      <w:r w:rsidRPr="002A6530">
        <w:t xml:space="preserve">he ERG rigorously pursued these channels of influence. It was careful to maintain its advisory relationship to the Commission, through meetings </w:t>
      </w:r>
      <w:r w:rsidR="003A7A1E">
        <w:t xml:space="preserve">and ‘a network of contacts’ (Commission official) </w:t>
      </w:r>
      <w:r w:rsidRPr="002A6530">
        <w:t xml:space="preserve">with the Director-General and its staff. </w:t>
      </w:r>
      <w:r w:rsidR="00A57A3F" w:rsidRPr="002A6530">
        <w:t xml:space="preserve">The Commission </w:t>
      </w:r>
      <w:r w:rsidR="003A7A1E">
        <w:t xml:space="preserve">in turn engaged the ERG strategically. It </w:t>
      </w:r>
      <w:r w:rsidR="00A57A3F" w:rsidRPr="002A6530">
        <w:t>had ‘an interest in the NRAs writing the BEREC statute themselves’ (Commission official)</w:t>
      </w:r>
      <w:r w:rsidR="003653D9">
        <w:t>,</w:t>
      </w:r>
      <w:r w:rsidR="00A57A3F" w:rsidRPr="002A6530">
        <w:t xml:space="preserve"> to exploit their know-how</w:t>
      </w:r>
      <w:r w:rsidR="00D164F9">
        <w:t xml:space="preserve"> as an ‘expert body’ (ministry official)</w:t>
      </w:r>
      <w:r w:rsidR="00A57A3F" w:rsidRPr="002A6530">
        <w:t xml:space="preserve">, </w:t>
      </w:r>
      <w:r w:rsidR="003653D9">
        <w:t xml:space="preserve">to </w:t>
      </w:r>
      <w:r w:rsidR="00A57A3F" w:rsidRPr="002A6530">
        <w:t xml:space="preserve">secure their commitment to the new architecture and to use its links to </w:t>
      </w:r>
      <w:r w:rsidR="00A57A3F">
        <w:t xml:space="preserve">the </w:t>
      </w:r>
      <w:r w:rsidR="00A57A3F" w:rsidRPr="002A6530">
        <w:t>NRAs to circumvent, if necessary, their parent ministries</w:t>
      </w:r>
      <w:r w:rsidR="003653D9">
        <w:t>.</w:t>
      </w:r>
      <w:r w:rsidR="00190A48">
        <w:t xml:space="preserve"> </w:t>
      </w:r>
      <w:r w:rsidR="00F17999">
        <w:t>T</w:t>
      </w:r>
      <w:r w:rsidR="00190A48">
        <w:t xml:space="preserve">hree ministry officials </w:t>
      </w:r>
      <w:r w:rsidR="00F17999">
        <w:t>described</w:t>
      </w:r>
      <w:r w:rsidR="003A7A1E">
        <w:t xml:space="preserve"> (in the words of one)</w:t>
      </w:r>
      <w:r w:rsidR="00190A48">
        <w:t xml:space="preserve"> ‘a tendency</w:t>
      </w:r>
      <w:r w:rsidR="003A7A1E">
        <w:t xml:space="preserve"> within the Commission… to sidestep the ministries and gain greater influence at the regulator level</w:t>
      </w:r>
      <w:r w:rsidR="003B2CE0">
        <w:t>.</w:t>
      </w:r>
      <w:r w:rsidR="003A7A1E">
        <w:t>’</w:t>
      </w:r>
      <w:r w:rsidR="003653D9">
        <w:t xml:space="preserve"> </w:t>
      </w:r>
    </w:p>
    <w:p w:rsidR="00A57A3F" w:rsidRDefault="00A57A3F" w:rsidP="001D5F12">
      <w:pPr>
        <w:spacing w:after="0" w:line="480" w:lineRule="auto"/>
        <w:jc w:val="both"/>
      </w:pPr>
    </w:p>
    <w:p w:rsidR="002A6530" w:rsidRPr="002A6530" w:rsidRDefault="00A57A3F" w:rsidP="001D5F12">
      <w:pPr>
        <w:spacing w:after="0" w:line="480" w:lineRule="auto"/>
        <w:jc w:val="both"/>
      </w:pPr>
      <w:r>
        <w:lastRenderedPageBreak/>
        <w:t>The ERG</w:t>
      </w:r>
      <w:r w:rsidR="002A6530" w:rsidRPr="002A6530">
        <w:t xml:space="preserve"> also made its</w:t>
      </w:r>
      <w:r>
        <w:t xml:space="preserve"> collective</w:t>
      </w:r>
      <w:r w:rsidR="002A6530" w:rsidRPr="002A6530">
        <w:t xml:space="preserve"> expertise available to Parliament. Although</w:t>
      </w:r>
      <w:r w:rsidR="00F17999">
        <w:t xml:space="preserve"> it was</w:t>
      </w:r>
      <w:r w:rsidR="002A6530" w:rsidRPr="002A6530">
        <w:t xml:space="preserve"> not formally empowered to advise Parliament, </w:t>
      </w:r>
      <w:r w:rsidR="00F17999">
        <w:t>its</w:t>
      </w:r>
      <w:r w:rsidR="002A6530" w:rsidRPr="002A6530">
        <w:t xml:space="preserve"> chair appeared before MEPs on a number of occasions to </w:t>
      </w:r>
      <w:r w:rsidR="00283472">
        <w:t>set out</w:t>
      </w:r>
      <w:r w:rsidR="00283472" w:rsidRPr="002A6530">
        <w:t xml:space="preserve"> </w:t>
      </w:r>
      <w:r w:rsidR="002A6530" w:rsidRPr="002A6530">
        <w:t xml:space="preserve">what the </w:t>
      </w:r>
      <w:r w:rsidR="00283472">
        <w:t>NRAs</w:t>
      </w:r>
      <w:r w:rsidR="00283472" w:rsidRPr="002A6530">
        <w:t xml:space="preserve"> </w:t>
      </w:r>
      <w:r w:rsidR="002A6530" w:rsidRPr="002A6530">
        <w:t>saw as a coherent institutional outcome (ERG, 2008). Beyond these public encounters, the ERG ‘brought out press communications or sought contact with the rapporteurs directly to discuss concrete proposals for amendments’ (NRA official)</w:t>
      </w:r>
      <w:r w:rsidR="00B65025">
        <w:t xml:space="preserve">, </w:t>
      </w:r>
      <w:r>
        <w:t>and</w:t>
      </w:r>
      <w:r w:rsidR="00B65025">
        <w:t xml:space="preserve"> </w:t>
      </w:r>
      <w:r w:rsidR="00B87830">
        <w:t>rapporteurs</w:t>
      </w:r>
      <w:r w:rsidR="00B65025">
        <w:t xml:space="preserve"> </w:t>
      </w:r>
      <w:r w:rsidR="005407FA">
        <w:t xml:space="preserve">repeatedly </w:t>
      </w:r>
      <w:r w:rsidR="00B65025">
        <w:t>met with a group of NRA representatives ‘who were on the board of ERG’ (MEP)</w:t>
      </w:r>
      <w:r w:rsidR="002A6530" w:rsidRPr="002A6530">
        <w:t xml:space="preserve">. In fact, many of Parliament’s counter-proposals mirrored ERG suggestions </w:t>
      </w:r>
      <w:r w:rsidR="002C0D0A">
        <w:t>(European Parliament, 2008, pp.</w:t>
      </w:r>
      <w:r w:rsidR="002A6530" w:rsidRPr="002A6530">
        <w:t>89-90)</w:t>
      </w:r>
      <w:r w:rsidR="00283472">
        <w:t>.</w:t>
      </w:r>
      <w:r w:rsidR="0097549A">
        <w:t xml:space="preserve"> </w:t>
      </w:r>
      <w:r w:rsidR="00283472">
        <w:t>T</w:t>
      </w:r>
      <w:r w:rsidR="002A6530" w:rsidRPr="002A6530">
        <w:t xml:space="preserve">hese similarities were not coincidental, according to one MEP: ‘Clearly we needed [ERG’s] experience to know what was going to be workable.’ </w:t>
      </w:r>
      <w:r>
        <w:t xml:space="preserve">According to a Parliament official, rapporteurs regarded </w:t>
      </w:r>
      <w:r w:rsidR="00522D1F">
        <w:t>the ERG’s technical expertise as ‘trustworthy’</w:t>
      </w:r>
      <w:r>
        <w:t xml:space="preserve"> </w:t>
      </w:r>
      <w:r w:rsidR="00522D1F">
        <w:t>but also</w:t>
      </w:r>
      <w:r>
        <w:t xml:space="preserve"> </w:t>
      </w:r>
      <w:r w:rsidR="00D164F9">
        <w:t xml:space="preserve">thought, strategically, </w:t>
      </w:r>
      <w:r w:rsidR="00522D1F">
        <w:t>that</w:t>
      </w:r>
      <w:r>
        <w:t xml:space="preserve"> the institutional outcome would be more effective if </w:t>
      </w:r>
      <w:r w:rsidR="00522D1F" w:rsidRPr="002A6530">
        <w:t xml:space="preserve">the NRAs </w:t>
      </w:r>
      <w:r w:rsidR="00F17999">
        <w:t>‘</w:t>
      </w:r>
      <w:r w:rsidR="00522D1F" w:rsidRPr="002A6530">
        <w:t xml:space="preserve">own the results of what they are doing and feel committed to </w:t>
      </w:r>
      <w:r>
        <w:t xml:space="preserve">[the institution]’ (MEP). </w:t>
      </w:r>
    </w:p>
    <w:p w:rsidR="002A6530" w:rsidRPr="002A6530" w:rsidRDefault="002A6530" w:rsidP="001D5F12">
      <w:pPr>
        <w:spacing w:after="0" w:line="480" w:lineRule="auto"/>
        <w:jc w:val="both"/>
      </w:pPr>
    </w:p>
    <w:p w:rsidR="002A6530" w:rsidRDefault="002A6530" w:rsidP="001D5F12">
      <w:pPr>
        <w:spacing w:after="0" w:line="480" w:lineRule="auto"/>
        <w:jc w:val="both"/>
      </w:pPr>
      <w:r w:rsidRPr="002A6530">
        <w:t xml:space="preserve"> The ERG’s contact with Council was more sporadic</w:t>
      </w:r>
      <w:r w:rsidR="00283472">
        <w:t>,</w:t>
      </w:r>
      <w:r w:rsidRPr="002A6530">
        <w:t xml:space="preserve"> but nonetheless significant. It approached the permanent representations of individual </w:t>
      </w:r>
      <w:r w:rsidR="0043447F">
        <w:t>m</w:t>
      </w:r>
      <w:r w:rsidRPr="002A6530">
        <w:t xml:space="preserve">ember </w:t>
      </w:r>
      <w:r w:rsidR="0043447F">
        <w:t>s</w:t>
      </w:r>
      <w:r w:rsidRPr="002A6530">
        <w:t>tates ‘to provide a common view by the regulators’ (NRA official)</w:t>
      </w:r>
      <w:r w:rsidR="0007056D">
        <w:t>,</w:t>
      </w:r>
      <w:r w:rsidRPr="002A6530">
        <w:t xml:space="preserve"> and the ERG chair even gave its opinion to the Council Presidency</w:t>
      </w:r>
      <w:r w:rsidR="005407FA">
        <w:t xml:space="preserve"> (according to one government representative, ‘we had meetings … we consulted them’)</w:t>
      </w:r>
      <w:r w:rsidRPr="002A6530">
        <w:t xml:space="preserve">, </w:t>
      </w:r>
      <w:r w:rsidR="005E3F29">
        <w:t xml:space="preserve">which proved </w:t>
      </w:r>
      <w:r w:rsidR="0007056D">
        <w:t xml:space="preserve">particularly </w:t>
      </w:r>
      <w:r w:rsidR="005E3F29">
        <w:t>significant</w:t>
      </w:r>
      <w:r w:rsidRPr="002A6530">
        <w:t xml:space="preserve"> </w:t>
      </w:r>
      <w:r w:rsidR="004B3F80">
        <w:t xml:space="preserve">at </w:t>
      </w:r>
      <w:r w:rsidRPr="002A6530">
        <w:t xml:space="preserve">the sharp end of the negotiations in 2009. </w:t>
      </w:r>
      <w:r w:rsidR="00283472">
        <w:t>Moreover, b</w:t>
      </w:r>
      <w:r w:rsidRPr="002A6530">
        <w:t xml:space="preserve">y seconding </w:t>
      </w:r>
      <w:r w:rsidR="00283472">
        <w:t xml:space="preserve">NRA </w:t>
      </w:r>
      <w:r w:rsidRPr="002A6530">
        <w:t xml:space="preserve">officials to their parent ministries to support their government’s Presidency (a standard practice), certain NRAs provided the ERG with a convenient channel of </w:t>
      </w:r>
      <w:r w:rsidR="0009107A">
        <w:t xml:space="preserve">technical </w:t>
      </w:r>
      <w:r w:rsidRPr="002A6530">
        <w:t xml:space="preserve">communication – a ‘foot in the door’ (NRA official) – through to the </w:t>
      </w:r>
      <w:r w:rsidR="00283472">
        <w:t xml:space="preserve">Council </w:t>
      </w:r>
      <w:r w:rsidRPr="002A6530">
        <w:t>Presidency</w:t>
      </w:r>
      <w:r w:rsidR="00283472">
        <w:t xml:space="preserve"> itself</w:t>
      </w:r>
      <w:r w:rsidRPr="002A6530">
        <w:t>.</w:t>
      </w:r>
    </w:p>
    <w:p w:rsidR="002C0D0A" w:rsidRPr="002A6530" w:rsidRDefault="002C0D0A" w:rsidP="001D5F12">
      <w:pPr>
        <w:spacing w:after="0" w:line="480" w:lineRule="auto"/>
        <w:jc w:val="both"/>
      </w:pPr>
    </w:p>
    <w:p w:rsidR="002A6530" w:rsidRDefault="002A6530" w:rsidP="001D5F12">
      <w:pPr>
        <w:pStyle w:val="Heading2"/>
        <w:spacing w:line="480" w:lineRule="auto"/>
      </w:pPr>
      <w:r w:rsidRPr="002A6530">
        <w:t>Advocacy</w:t>
      </w:r>
    </w:p>
    <w:p w:rsidR="002C0D0A" w:rsidRPr="002A6530" w:rsidRDefault="002C0D0A" w:rsidP="001D5F12">
      <w:pPr>
        <w:spacing w:after="0" w:line="480" w:lineRule="auto"/>
        <w:jc w:val="both"/>
      </w:pPr>
    </w:p>
    <w:p w:rsidR="00E3059C" w:rsidRDefault="002A6530" w:rsidP="001D5F12">
      <w:pPr>
        <w:spacing w:after="0" w:line="480" w:lineRule="auto"/>
        <w:jc w:val="both"/>
      </w:pPr>
      <w:r w:rsidRPr="002A6530">
        <w:lastRenderedPageBreak/>
        <w:t>The ERG, in its formal constellation as a network, portrayed itself throughout as a source of unbiased, technical advice</w:t>
      </w:r>
      <w:r w:rsidR="001619FE">
        <w:t>, but</w:t>
      </w:r>
      <w:r w:rsidR="005E3F29" w:rsidRPr="002A6530">
        <w:t xml:space="preserve"> </w:t>
      </w:r>
      <w:r w:rsidRPr="002A6530">
        <w:t xml:space="preserve">was careful to avoid anything overtly political </w:t>
      </w:r>
      <w:r w:rsidR="004B3F80">
        <w:t>when</w:t>
      </w:r>
      <w:r w:rsidRPr="002A6530">
        <w:t xml:space="preserve"> approaching members of the</w:t>
      </w:r>
      <w:r w:rsidR="001619FE">
        <w:t xml:space="preserve"> </w:t>
      </w:r>
      <w:r w:rsidR="00711BBA">
        <w:t xml:space="preserve">EU </w:t>
      </w:r>
      <w:r w:rsidR="001619FE">
        <w:t>institutions</w:t>
      </w:r>
      <w:r w:rsidRPr="002A6530">
        <w:t xml:space="preserve">. </w:t>
      </w:r>
      <w:r w:rsidR="001619FE">
        <w:t>According to one MEP, the ERG chair</w:t>
      </w:r>
      <w:r w:rsidR="004E3E2E">
        <w:t xml:space="preserve"> </w:t>
      </w:r>
      <w:r w:rsidR="001619FE">
        <w:t xml:space="preserve">‘was very careful not to be seen to be lobbying for </w:t>
      </w:r>
      <w:r w:rsidR="00474C85">
        <w:t>[the network]</w:t>
      </w:r>
      <w:r w:rsidR="001619FE">
        <w:t xml:space="preserve">.’ </w:t>
      </w:r>
      <w:r w:rsidR="004E3E2E">
        <w:t>They</w:t>
      </w:r>
      <w:r w:rsidRPr="002A6530">
        <w:t xml:space="preserve"> </w:t>
      </w:r>
      <w:r w:rsidR="00283472">
        <w:t>deemed it</w:t>
      </w:r>
      <w:r w:rsidR="00283472" w:rsidRPr="002A6530">
        <w:t xml:space="preserve"> </w:t>
      </w:r>
      <w:r w:rsidRPr="002A6530">
        <w:t xml:space="preserve">more effective to leave individual NRAs to </w:t>
      </w:r>
      <w:r w:rsidR="00EB738A">
        <w:t>lobby</w:t>
      </w:r>
      <w:r w:rsidRPr="002A6530">
        <w:t xml:space="preserve"> </w:t>
      </w:r>
      <w:r w:rsidR="00711BBA">
        <w:t>members of the institutions</w:t>
      </w:r>
      <w:r w:rsidR="001F079E">
        <w:t xml:space="preserve"> directly</w:t>
      </w:r>
      <w:r w:rsidR="00EA56FE">
        <w:t xml:space="preserve">. </w:t>
      </w:r>
      <w:r w:rsidR="00A26A01">
        <w:t>A small group of larger and well-resourced NRAs, including the UK, German, French, Hungarian and Italian regulators,</w:t>
      </w:r>
      <w:r w:rsidR="00EA56FE">
        <w:t xml:space="preserve"> </w:t>
      </w:r>
      <w:r w:rsidR="00A26A01">
        <w:t xml:space="preserve">engaged in </w:t>
      </w:r>
      <w:r w:rsidR="00711BBA">
        <w:t xml:space="preserve">‘a lot of discussion’ (Commission official) </w:t>
      </w:r>
      <w:r w:rsidR="00A26A01">
        <w:t>with the Commission</w:t>
      </w:r>
      <w:r w:rsidR="00EB738A">
        <w:t>,</w:t>
      </w:r>
      <w:r w:rsidR="00A26A01">
        <w:t xml:space="preserve"> and one Commission official</w:t>
      </w:r>
      <w:r w:rsidR="00EB738A">
        <w:t xml:space="preserve"> even went as far as saying that</w:t>
      </w:r>
      <w:r w:rsidR="00A26A01">
        <w:t xml:space="preserve"> </w:t>
      </w:r>
      <w:r w:rsidR="001F079E">
        <w:t xml:space="preserve">these </w:t>
      </w:r>
      <w:r w:rsidR="00A26A01">
        <w:t xml:space="preserve">NRAs ‘wrote the BEREC constitution together, in close collaboration with the Commission.’ </w:t>
      </w:r>
      <w:r w:rsidR="00EB738A">
        <w:t xml:space="preserve">NRAs, individually or in groups, </w:t>
      </w:r>
      <w:r w:rsidR="001F079E">
        <w:t xml:space="preserve">also reached </w:t>
      </w:r>
      <w:r w:rsidR="00EE4FF4">
        <w:t xml:space="preserve">into </w:t>
      </w:r>
      <w:r w:rsidR="00A92EDB">
        <w:t xml:space="preserve">the </w:t>
      </w:r>
      <w:r w:rsidR="00A92EDB" w:rsidRPr="002A6530">
        <w:t xml:space="preserve">Parliament, </w:t>
      </w:r>
      <w:r w:rsidR="00A92EDB">
        <w:t xml:space="preserve">usually </w:t>
      </w:r>
      <w:r w:rsidR="00A92EDB" w:rsidRPr="002A6530">
        <w:t xml:space="preserve">via </w:t>
      </w:r>
      <w:r w:rsidR="00A92EDB">
        <w:t xml:space="preserve">relations with </w:t>
      </w:r>
      <w:r w:rsidR="00A92EDB" w:rsidRPr="002A6530">
        <w:t>national MEPs</w:t>
      </w:r>
      <w:r w:rsidR="00A92EDB">
        <w:t xml:space="preserve"> and the rapporteurs who, according to one MEP, ‘had discussions with NRAs throughout’</w:t>
      </w:r>
      <w:r w:rsidR="00E3059C">
        <w:t xml:space="preserve">. </w:t>
      </w:r>
      <w:r w:rsidR="001F079E" w:rsidRPr="002A6530">
        <w:t>An NRA official told us that ‘a number of the more politically well-connected regulators, operating in fairly close collaboration, would reach out to their own national MEPs and other MEPs that they would get to</w:t>
      </w:r>
      <w:r w:rsidR="00E3059C">
        <w:t>.</w:t>
      </w:r>
      <w:r w:rsidR="001F079E" w:rsidRPr="002A6530">
        <w:t xml:space="preserve">’ </w:t>
      </w:r>
      <w:r w:rsidR="00EE4FF4">
        <w:t>Parliament</w:t>
      </w:r>
      <w:r w:rsidR="00F17999">
        <w:t>ary</w:t>
      </w:r>
      <w:r w:rsidR="00EE4FF4">
        <w:t xml:space="preserve"> officials pointed to</w:t>
      </w:r>
      <w:r w:rsidR="00E3059C">
        <w:t xml:space="preserve"> the French, Spanish, Italian, UK and German regulators as particularly active lobbyists. </w:t>
      </w:r>
    </w:p>
    <w:p w:rsidR="00252172" w:rsidRDefault="00252172" w:rsidP="001D5F12">
      <w:pPr>
        <w:spacing w:after="0" w:line="480" w:lineRule="auto"/>
        <w:jc w:val="both"/>
      </w:pPr>
    </w:p>
    <w:p w:rsidR="002A6530" w:rsidRDefault="00E3059C" w:rsidP="001D5F12">
      <w:pPr>
        <w:spacing w:after="0" w:line="480" w:lineRule="auto"/>
        <w:jc w:val="both"/>
      </w:pPr>
      <w:r>
        <w:t>Individual NRAs also reached into</w:t>
      </w:r>
      <w:r w:rsidR="00A92EDB">
        <w:t xml:space="preserve"> </w:t>
      </w:r>
      <w:r w:rsidR="00711BBA">
        <w:t xml:space="preserve">the </w:t>
      </w:r>
      <w:r w:rsidR="002A6530" w:rsidRPr="002A6530">
        <w:t>Council via their parent ministries and permanent representations,</w:t>
      </w:r>
      <w:r w:rsidR="00DA795B" w:rsidRPr="00DA795B">
        <w:t xml:space="preserve"> </w:t>
      </w:r>
      <w:r w:rsidR="00DA795B" w:rsidRPr="002A6530">
        <w:t xml:space="preserve">especially </w:t>
      </w:r>
      <w:r w:rsidR="00EB738A">
        <w:t>as</w:t>
      </w:r>
      <w:r w:rsidR="00DA795B" w:rsidRPr="002A6530">
        <w:t xml:space="preserve"> many </w:t>
      </w:r>
      <w:r w:rsidR="001C27B6">
        <w:t>NRAs</w:t>
      </w:r>
      <w:r w:rsidR="00DA795B" w:rsidRPr="002A6530">
        <w:t xml:space="preserve"> were responsible for advising their government leads on the Council working party</w:t>
      </w:r>
      <w:r w:rsidR="00DA795B">
        <w:t xml:space="preserve"> by providing ‘information and help’ (government representative</w:t>
      </w:r>
      <w:r w:rsidR="00A420A1">
        <w:t xml:space="preserve"> in the working party</w:t>
      </w:r>
      <w:r w:rsidR="00DA795B">
        <w:t>).</w:t>
      </w:r>
      <w:r w:rsidR="00EA56FE">
        <w:t xml:space="preserve"> Having mobilised effectively, they usually </w:t>
      </w:r>
      <w:r w:rsidR="002A6530" w:rsidRPr="002A6530">
        <w:t>first ‘talked about [their position] as a group and then, in a bilateral way, everybody tried to influence their own ministry to have the right approach’</w:t>
      </w:r>
      <w:r w:rsidR="001C27B6">
        <w:t xml:space="preserve"> (</w:t>
      </w:r>
      <w:r w:rsidR="002A6530" w:rsidRPr="002A6530">
        <w:t>NRA official</w:t>
      </w:r>
      <w:r w:rsidR="001C27B6">
        <w:t>)</w:t>
      </w:r>
      <w:r w:rsidR="002A6530" w:rsidRPr="002A6530">
        <w:t xml:space="preserve">. </w:t>
      </w:r>
      <w:r w:rsidR="00AA701E">
        <w:t>A</w:t>
      </w:r>
      <w:r w:rsidR="002A6530" w:rsidRPr="002A6530">
        <w:t xml:space="preserve"> </w:t>
      </w:r>
      <w:r w:rsidR="0094714F" w:rsidRPr="0094714F">
        <w:t xml:space="preserve">ministry official </w:t>
      </w:r>
      <w:r w:rsidR="0094714F">
        <w:t>(</w:t>
      </w:r>
      <w:r w:rsidR="0094714F" w:rsidRPr="0094714F">
        <w:t>and member of the Council working party</w:t>
      </w:r>
      <w:r w:rsidR="0094714F">
        <w:t>)</w:t>
      </w:r>
      <w:r w:rsidR="0094714F" w:rsidRPr="0094714F">
        <w:t xml:space="preserve"> </w:t>
      </w:r>
      <w:r w:rsidR="002A6530" w:rsidRPr="002A6530">
        <w:t>also noted that</w:t>
      </w:r>
      <w:r w:rsidR="0094714F">
        <w:t>,</w:t>
      </w:r>
      <w:r w:rsidR="002A6530" w:rsidRPr="002A6530">
        <w:t xml:space="preserve"> </w:t>
      </w:r>
      <w:r w:rsidR="005E3F29" w:rsidRPr="005E3F29">
        <w:t>at the periphery of the formal meeting</w:t>
      </w:r>
      <w:r w:rsidR="005E3F29">
        <w:t>s</w:t>
      </w:r>
      <w:r w:rsidR="005E3F29" w:rsidRPr="005E3F29">
        <w:t xml:space="preserve"> of the working party</w:t>
      </w:r>
      <w:r w:rsidR="005E3F29">
        <w:t>,</w:t>
      </w:r>
      <w:r w:rsidR="005E3F29" w:rsidRPr="005E3F29">
        <w:t xml:space="preserve"> </w:t>
      </w:r>
      <w:r w:rsidR="0094714F">
        <w:t>NRA officials</w:t>
      </w:r>
      <w:r w:rsidR="0094714F" w:rsidRPr="002A6530">
        <w:t xml:space="preserve"> </w:t>
      </w:r>
      <w:r w:rsidR="002A6530" w:rsidRPr="002A6530">
        <w:t xml:space="preserve">were ‘quite active in talking to their other counterparts, and in deciding where we should go on a particular issue’. According to an industry representative, especially the larger and well-resourced NRAs were seen as ‘very organized’ in doing so, having for this purpose ‘effectively employed lobbyists… who had public affairs background.’ </w:t>
      </w:r>
      <w:r w:rsidR="004B3F80">
        <w:t xml:space="preserve">For instance, </w:t>
      </w:r>
      <w:r w:rsidR="002A6530" w:rsidRPr="002A6530">
        <w:t>Ofcom</w:t>
      </w:r>
      <w:r w:rsidR="004B3F80">
        <w:t xml:space="preserve"> (</w:t>
      </w:r>
      <w:r w:rsidR="002A6530" w:rsidRPr="002A6530">
        <w:t xml:space="preserve">certainly </w:t>
      </w:r>
      <w:r w:rsidR="00A46E2E">
        <w:t>in this bracket</w:t>
      </w:r>
      <w:r w:rsidR="004B3F80">
        <w:t>)</w:t>
      </w:r>
      <w:r w:rsidR="002A6530" w:rsidRPr="002A6530">
        <w:t xml:space="preserve"> </w:t>
      </w:r>
      <w:r w:rsidR="002A6530" w:rsidRPr="002A6530">
        <w:lastRenderedPageBreak/>
        <w:t>saw ‘risks associated’ (NRA official) with the position of the UK government</w:t>
      </w:r>
      <w:r w:rsidR="004B3F80">
        <w:t>, which</w:t>
      </w:r>
      <w:r w:rsidR="00A46E2E">
        <w:t xml:space="preserve"> had </w:t>
      </w:r>
      <w:r w:rsidR="001C27B6">
        <w:t>expressed</w:t>
      </w:r>
      <w:r w:rsidR="002A6530" w:rsidRPr="002A6530">
        <w:t xml:space="preserve"> support </w:t>
      </w:r>
      <w:r w:rsidR="001C27B6">
        <w:t xml:space="preserve">for </w:t>
      </w:r>
      <w:r w:rsidR="005E3F29">
        <w:t>the proposed</w:t>
      </w:r>
      <w:r w:rsidR="005E3F29" w:rsidRPr="002A6530">
        <w:t xml:space="preserve"> </w:t>
      </w:r>
      <w:r w:rsidR="002A6530" w:rsidRPr="002A6530">
        <w:t>Commission veto over national remedies (Ofcom, 2008; UK House of Commons, 2009)</w:t>
      </w:r>
      <w:r w:rsidR="004B3F80">
        <w:t>. Ofcom disassociated itself from this</w:t>
      </w:r>
      <w:r w:rsidR="002A6530" w:rsidRPr="002A6530">
        <w:t xml:space="preserve"> position </w:t>
      </w:r>
      <w:r w:rsidR="004B3F80">
        <w:t>and, u</w:t>
      </w:r>
      <w:r w:rsidR="002A6530" w:rsidRPr="002A6530">
        <w:t>nable to influence Council on th</w:t>
      </w:r>
      <w:r w:rsidR="004B3F80">
        <w:t xml:space="preserve">e issue through its </w:t>
      </w:r>
      <w:r w:rsidR="002A6530" w:rsidRPr="002A6530">
        <w:t>gover</w:t>
      </w:r>
      <w:r w:rsidR="004B3F80">
        <w:t xml:space="preserve">nment lead, </w:t>
      </w:r>
      <w:r w:rsidR="002A6530" w:rsidRPr="002A6530">
        <w:t>sought alternative channels</w:t>
      </w:r>
      <w:r w:rsidR="009B507E">
        <w:t>,</w:t>
      </w:r>
      <w:r w:rsidR="002A6530" w:rsidRPr="002A6530">
        <w:t xml:space="preserve"> including contacts in </w:t>
      </w:r>
      <w:r w:rsidR="00A46E2E">
        <w:t xml:space="preserve">the European </w:t>
      </w:r>
      <w:r w:rsidR="002A6530" w:rsidRPr="002A6530">
        <w:t xml:space="preserve">Parliament and coalitions with other NRAs (thereby leveraging </w:t>
      </w:r>
      <w:r w:rsidR="00A46E2E">
        <w:t>their</w:t>
      </w:r>
      <w:r w:rsidR="002A6530" w:rsidRPr="002A6530">
        <w:t xml:space="preserve"> influence over their government leads to reach Council indirectly).</w:t>
      </w:r>
    </w:p>
    <w:p w:rsidR="002C0D0A" w:rsidRPr="002A6530" w:rsidRDefault="002C0D0A" w:rsidP="001D5F12">
      <w:pPr>
        <w:spacing w:after="0" w:line="480" w:lineRule="auto"/>
        <w:jc w:val="both"/>
      </w:pPr>
    </w:p>
    <w:p w:rsidR="002A6530" w:rsidRDefault="002A6530" w:rsidP="001D5F12">
      <w:pPr>
        <w:pStyle w:val="Heading2"/>
        <w:spacing w:line="480" w:lineRule="auto"/>
      </w:pPr>
      <w:r w:rsidRPr="002A6530">
        <w:t>Brokering</w:t>
      </w:r>
    </w:p>
    <w:p w:rsidR="002C0D0A" w:rsidRPr="002A6530" w:rsidRDefault="002C0D0A" w:rsidP="001D5F12">
      <w:pPr>
        <w:spacing w:after="0" w:line="480" w:lineRule="auto"/>
        <w:jc w:val="both"/>
      </w:pPr>
    </w:p>
    <w:p w:rsidR="002A6530" w:rsidRDefault="002A6530" w:rsidP="001D5F12">
      <w:pPr>
        <w:spacing w:after="0" w:line="480" w:lineRule="auto"/>
        <w:jc w:val="both"/>
      </w:pPr>
      <w:r w:rsidRPr="002A6530">
        <w:t xml:space="preserve">Coalitions amongst small groups of NRAs </w:t>
      </w:r>
      <w:r w:rsidR="004B3F80">
        <w:t xml:space="preserve">became </w:t>
      </w:r>
      <w:r w:rsidRPr="002A6530">
        <w:t>influential brokers as the negotiations ratcheted up in the first half of 2009. One NRA official told us that a small group of NRAs collaborated, at their own initiative, to draft counter proposals to fend off a Dutch initiative to</w:t>
      </w:r>
      <w:r w:rsidR="00864F75">
        <w:t xml:space="preserve"> </w:t>
      </w:r>
      <w:r w:rsidRPr="002A6530">
        <w:t xml:space="preserve">table before Council </w:t>
      </w:r>
      <w:r w:rsidR="001C27B6">
        <w:t xml:space="preserve">a </w:t>
      </w:r>
      <w:r w:rsidR="00864F75">
        <w:t>text that would have granted</w:t>
      </w:r>
      <w:r w:rsidR="00C05737">
        <w:t xml:space="preserve"> the Commission a veto,</w:t>
      </w:r>
      <w:r w:rsidR="00864F75">
        <w:t xml:space="preserve"> but which these NRAs </w:t>
      </w:r>
      <w:r w:rsidR="00C05737">
        <w:t>considered</w:t>
      </w:r>
      <w:r w:rsidR="00864F75">
        <w:t xml:space="preserve"> </w:t>
      </w:r>
      <w:r w:rsidR="00C05737">
        <w:t>impossible to implement a</w:t>
      </w:r>
      <w:r w:rsidR="00864F75">
        <w:t>nd</w:t>
      </w:r>
      <w:r w:rsidR="00C05737">
        <w:t xml:space="preserve"> </w:t>
      </w:r>
      <w:r w:rsidRPr="002A6530">
        <w:t xml:space="preserve">‘very convoluted and long.’ The French regulator led a counter-drafting exercise that relied on its ‘close relationship’ with the French MEP and rapporteur, Catherine </w:t>
      </w:r>
      <w:proofErr w:type="spellStart"/>
      <w:r w:rsidRPr="002A6530">
        <w:t>Trautmann</w:t>
      </w:r>
      <w:proofErr w:type="spellEnd"/>
      <w:r w:rsidRPr="002A6530">
        <w:t xml:space="preserve">, to ‘fix’ what it deemed an ‘unacceptable’ proposal (NRA official). </w:t>
      </w:r>
      <w:r w:rsidR="0097549A">
        <w:t>A</w:t>
      </w:r>
      <w:r w:rsidR="00A420A1">
        <w:t>ccording to a</w:t>
      </w:r>
      <w:r w:rsidR="0097549A">
        <w:t>n official in the European Parliament</w:t>
      </w:r>
      <w:r w:rsidR="00A420A1">
        <w:t xml:space="preserve">, </w:t>
      </w:r>
      <w:r w:rsidR="0043447F">
        <w:t xml:space="preserve">these </w:t>
      </w:r>
      <w:r w:rsidR="00C05737">
        <w:t>NRAs</w:t>
      </w:r>
      <w:r w:rsidR="00AF5255">
        <w:t xml:space="preserve"> </w:t>
      </w:r>
      <w:r w:rsidR="00A420A1">
        <w:t xml:space="preserve">were </w:t>
      </w:r>
      <w:r w:rsidR="00AF5255">
        <w:t>‘very directly’</w:t>
      </w:r>
      <w:r w:rsidR="00A420A1">
        <w:t xml:space="preserve"> involved in the drafting process in this way</w:t>
      </w:r>
      <w:r w:rsidR="00AF5255">
        <w:t xml:space="preserve"> because ‘</w:t>
      </w:r>
      <w:r w:rsidR="00C05737">
        <w:t>they knew that with the t</w:t>
      </w:r>
      <w:r w:rsidR="00AF5255">
        <w:t>ext</w:t>
      </w:r>
      <w:r w:rsidR="00C05737">
        <w:t xml:space="preserve"> as it was in the proposal, they were not really able to</w:t>
      </w:r>
      <w:r w:rsidR="00AF5255">
        <w:t xml:space="preserve"> properly</w:t>
      </w:r>
      <w:r w:rsidR="00C05737">
        <w:t xml:space="preserve"> use it.</w:t>
      </w:r>
      <w:r w:rsidR="00AF5255">
        <w:t>’</w:t>
      </w:r>
      <w:r w:rsidR="0097549A">
        <w:t xml:space="preserve"> </w:t>
      </w:r>
      <w:r w:rsidRPr="002A6530">
        <w:t xml:space="preserve">NRAs </w:t>
      </w:r>
      <w:r w:rsidR="001C27B6">
        <w:t xml:space="preserve">may </w:t>
      </w:r>
      <w:r w:rsidR="0043447F">
        <w:t xml:space="preserve">have also been instrumental in fending off </w:t>
      </w:r>
      <w:r w:rsidRPr="002A6530">
        <w:t>a last minute proposal by the Czech Council Presidency in favour of setting up a larger EU agency</w:t>
      </w:r>
      <w:r w:rsidR="006940FD">
        <w:t xml:space="preserve"> that it</w:t>
      </w:r>
      <w:r w:rsidRPr="002A6530">
        <w:t xml:space="preserve"> thought was a necessary compromise to win parliamentary approval for the Council’s position to reject the Commission</w:t>
      </w:r>
      <w:r w:rsidR="00A46E2E">
        <w:t>’s proposed</w:t>
      </w:r>
      <w:r w:rsidRPr="002A6530">
        <w:t xml:space="preserve"> veto over national regulatory remedies. The Czechs received the support of a majority of </w:t>
      </w:r>
      <w:r w:rsidR="0043447F">
        <w:t>m</w:t>
      </w:r>
      <w:r w:rsidRPr="002A6530">
        <w:t xml:space="preserve">ember </w:t>
      </w:r>
      <w:r w:rsidR="0043447F">
        <w:t>s</w:t>
      </w:r>
      <w:r w:rsidRPr="002A6530">
        <w:t>tates that agreed that, ‘tactically, to offer Parliament nothing would have come at the price of giving in on the veto’ (ministry official)</w:t>
      </w:r>
      <w:r w:rsidR="004B3F80">
        <w:t xml:space="preserve">; </w:t>
      </w:r>
      <w:r w:rsidRPr="002A6530">
        <w:t xml:space="preserve">a price that some, particularly Germany and Spain, were fiercely opposed to paying. However, enough </w:t>
      </w:r>
      <w:r w:rsidR="0043447F">
        <w:t>m</w:t>
      </w:r>
      <w:r w:rsidRPr="002A6530">
        <w:t xml:space="preserve">ember </w:t>
      </w:r>
      <w:r w:rsidR="001A0452">
        <w:t>s</w:t>
      </w:r>
      <w:r w:rsidRPr="002A6530">
        <w:t xml:space="preserve">tates to constitute a blocking </w:t>
      </w:r>
      <w:r w:rsidRPr="002A6530">
        <w:lastRenderedPageBreak/>
        <w:t xml:space="preserve">minority rejected this compromise for leaning </w:t>
      </w:r>
      <w:r w:rsidR="002C0D0A">
        <w:t xml:space="preserve">too far towards </w:t>
      </w:r>
      <w:proofErr w:type="spellStart"/>
      <w:r w:rsidR="002C0D0A">
        <w:t>agencification</w:t>
      </w:r>
      <w:proofErr w:type="spellEnd"/>
      <w:r w:rsidR="002C0D0A">
        <w:t>.</w:t>
      </w:r>
      <w:r w:rsidR="005E3F29" w:rsidDel="005E3F29">
        <w:t xml:space="preserve"> </w:t>
      </w:r>
      <w:r w:rsidR="002811CA">
        <w:t>NRAs told us</w:t>
      </w:r>
      <w:r w:rsidR="00F979F6">
        <w:t xml:space="preserve"> </w:t>
      </w:r>
      <w:r w:rsidR="002811CA">
        <w:t xml:space="preserve">that a </w:t>
      </w:r>
      <w:r w:rsidRPr="002A6530">
        <w:t xml:space="preserve">small group of </w:t>
      </w:r>
      <w:r w:rsidR="002811CA">
        <w:t>them</w:t>
      </w:r>
      <w:r w:rsidRPr="002A6530">
        <w:t xml:space="preserve"> stepped into this impasse and worked behind the scenes to formulate an alternative compromise that was closer to the original Council position </w:t>
      </w:r>
      <w:r w:rsidR="006940FD">
        <w:t xml:space="preserve">that had rejected </w:t>
      </w:r>
      <w:r w:rsidRPr="002A6530">
        <w:t>an EU agency. A</w:t>
      </w:r>
      <w:r w:rsidR="002811CA">
        <w:t>ccording to one</w:t>
      </w:r>
      <w:r w:rsidRPr="002A6530">
        <w:t xml:space="preserve"> NRA official: ‘we spent the weekend amending [the Presidency’s] version to turn it into our [sic] version again and then to have it tabled’</w:t>
      </w:r>
      <w:r w:rsidR="001A0452">
        <w:t xml:space="preserve">, producing </w:t>
      </w:r>
      <w:r w:rsidR="001A0452" w:rsidRPr="002A6530">
        <w:t>‘something that everybody accepted’</w:t>
      </w:r>
      <w:r w:rsidRPr="002A6530">
        <w:t xml:space="preserve">. </w:t>
      </w:r>
      <w:r w:rsidR="006940FD">
        <w:t>T</w:t>
      </w:r>
      <w:r w:rsidRPr="002A6530">
        <w:t>hey passed their text to their parent ministries and permanent representations to table before Council, and even took the precaution, at their own initiative, of forwarding it to the rapporteur to check it had parliamentary support.</w:t>
      </w:r>
      <w:r w:rsidR="008B51C0">
        <w:t xml:space="preserve"> </w:t>
      </w:r>
      <w:r w:rsidR="00BB78F3">
        <w:t xml:space="preserve">Although we could not </w:t>
      </w:r>
      <w:r w:rsidR="004E1E9A">
        <w:t>verify the NRAs’ account by means of external corroboration</w:t>
      </w:r>
      <w:r w:rsidR="006940FD">
        <w:t>,</w:t>
      </w:r>
      <w:r w:rsidR="008B51C0">
        <w:t xml:space="preserve"> it</w:t>
      </w:r>
      <w:r w:rsidR="00BB78F3">
        <w:t xml:space="preserve"> </w:t>
      </w:r>
      <w:r w:rsidR="008B51C0">
        <w:t>illustrate</w:t>
      </w:r>
      <w:r w:rsidR="006940FD">
        <w:t>s</w:t>
      </w:r>
      <w:r w:rsidR="008B51C0">
        <w:t xml:space="preserve"> </w:t>
      </w:r>
      <w:r w:rsidR="006940FD">
        <w:t>how,</w:t>
      </w:r>
      <w:r w:rsidRPr="002A6530">
        <w:t xml:space="preserve"> </w:t>
      </w:r>
      <w:r w:rsidR="008B51C0">
        <w:t>h</w:t>
      </w:r>
      <w:r w:rsidRPr="002A6530">
        <w:t xml:space="preserve">aving worked so closely with all the principal players to the negotiations, they were </w:t>
      </w:r>
      <w:r w:rsidR="008B51C0">
        <w:t xml:space="preserve">potentially </w:t>
      </w:r>
      <w:r w:rsidRPr="002A6530">
        <w:t>better placed than anyone to know where both Parliament and Council drew their red lines and were able to offer up a compromise that, to the surprise of each, secured the agreement of both, while simultaneously furthering the NRAs’ own institutional preferences.</w:t>
      </w:r>
    </w:p>
    <w:p w:rsidR="002C0D0A" w:rsidRPr="002A6530" w:rsidRDefault="002C0D0A" w:rsidP="001D5F12">
      <w:pPr>
        <w:spacing w:after="0" w:line="480" w:lineRule="auto"/>
        <w:jc w:val="both"/>
      </w:pPr>
    </w:p>
    <w:p w:rsidR="002A6530" w:rsidRDefault="002A6530" w:rsidP="001D5F12">
      <w:pPr>
        <w:pStyle w:val="Heading2"/>
        <w:spacing w:line="480" w:lineRule="auto"/>
      </w:pPr>
      <w:r w:rsidRPr="002A6530">
        <w:t>Consolidation</w:t>
      </w:r>
    </w:p>
    <w:p w:rsidR="002C0D0A" w:rsidRPr="002A6530" w:rsidRDefault="002C0D0A" w:rsidP="001D5F12">
      <w:pPr>
        <w:spacing w:after="0" w:line="480" w:lineRule="auto"/>
        <w:jc w:val="both"/>
      </w:pPr>
    </w:p>
    <w:p w:rsidR="002A6530" w:rsidRDefault="002A6530" w:rsidP="001D5F12">
      <w:pPr>
        <w:spacing w:after="0" w:line="480" w:lineRule="auto"/>
        <w:jc w:val="both"/>
      </w:pPr>
      <w:r w:rsidRPr="002A6530">
        <w:t xml:space="preserve">BEREC continues to operate under pressure to legitimize the effectiveness of its working practices. Its members are </w:t>
      </w:r>
      <w:r w:rsidR="00A46E2E" w:rsidRPr="002A6530">
        <w:t>sensiti</w:t>
      </w:r>
      <w:r w:rsidR="00A46E2E">
        <w:t>ve</w:t>
      </w:r>
      <w:r w:rsidR="00A46E2E" w:rsidRPr="002A6530">
        <w:t xml:space="preserve"> </w:t>
      </w:r>
      <w:r w:rsidRPr="002A6530">
        <w:t>to the continuing prec</w:t>
      </w:r>
      <w:r w:rsidR="00DF1707">
        <w:t>ariousness of their institution</w:t>
      </w:r>
      <w:r w:rsidRPr="002A6530">
        <w:t xml:space="preserve"> and the reality ‘that if BEREC does not deliver … the debate on a more centralistic European regulatory authority may very well come back with a vengeance’ (BEREC, 2011). The fact that its institutional architecture has so far </w:t>
      </w:r>
      <w:r w:rsidR="00A46E2E" w:rsidRPr="002A6530">
        <w:t>prove</w:t>
      </w:r>
      <w:r w:rsidR="00A46E2E">
        <w:t>n</w:t>
      </w:r>
      <w:r w:rsidR="00A46E2E" w:rsidRPr="002A6530">
        <w:t xml:space="preserve"> </w:t>
      </w:r>
      <w:r w:rsidRPr="002A6530">
        <w:t>resilient</w:t>
      </w:r>
      <w:r w:rsidR="00A46E2E">
        <w:t xml:space="preserve"> </w:t>
      </w:r>
      <w:r w:rsidR="00DF1707">
        <w:t>is apparently bolstered by</w:t>
      </w:r>
      <w:r w:rsidRPr="002A6530">
        <w:t xml:space="preserve"> NRAs’ ongoing efforts to publicize its regula</w:t>
      </w:r>
      <w:r w:rsidR="00BD659C">
        <w:t xml:space="preserve">tory successes </w:t>
      </w:r>
      <w:r w:rsidRPr="002A6530">
        <w:t xml:space="preserve">and </w:t>
      </w:r>
      <w:r w:rsidR="004B3F80">
        <w:t xml:space="preserve">to </w:t>
      </w:r>
      <w:r w:rsidRPr="002A6530">
        <w:t xml:space="preserve">fine-tune its working practices so as to deliver efficiency, especially to address any ‘undesirable bureaucratic burden’ affecting the </w:t>
      </w:r>
      <w:r w:rsidR="00A46E2E">
        <w:t xml:space="preserve">BEREC </w:t>
      </w:r>
      <w:r w:rsidRPr="002A6530">
        <w:t>Office (</w:t>
      </w:r>
      <w:r w:rsidR="00BD659C" w:rsidRPr="00BD659C">
        <w:t>BEREC, 2012</w:t>
      </w:r>
      <w:r w:rsidR="002C0D0A" w:rsidRPr="00BD659C">
        <w:t>,</w:t>
      </w:r>
      <w:r w:rsidR="002C0D0A">
        <w:t xml:space="preserve"> p.</w:t>
      </w:r>
      <w:r w:rsidRPr="002A6530">
        <w:t xml:space="preserve">7). </w:t>
      </w:r>
      <w:r w:rsidR="00A46E2E">
        <w:t>So, a</w:t>
      </w:r>
      <w:r w:rsidRPr="002A6530">
        <w:t xml:space="preserve">ccording to one NRA official, </w:t>
      </w:r>
      <w:r w:rsidR="00A46E2E">
        <w:t>one</w:t>
      </w:r>
      <w:r w:rsidRPr="002A6530">
        <w:t xml:space="preserve"> reason for continuing the more informal IRG alongside BEREC is to make use of the IRG’s Brussels office (the BEREC Office is based in Riga) and to avoid the ‘disproportionate burden of EU rules and procedures’ placed on BEREC. </w:t>
      </w:r>
      <w:r w:rsidR="00984C4E">
        <w:lastRenderedPageBreak/>
        <w:t>An</w:t>
      </w:r>
      <w:r w:rsidRPr="002A6530">
        <w:t xml:space="preserve"> evaluation report produced </w:t>
      </w:r>
      <w:r w:rsidR="00887FEB">
        <w:t xml:space="preserve">for </w:t>
      </w:r>
      <w:r w:rsidRPr="002A6530">
        <w:t>the Commission and endorsed by Parliament (</w:t>
      </w:r>
      <w:r w:rsidR="00887FEB">
        <w:t>Pierre et al.</w:t>
      </w:r>
      <w:r w:rsidRPr="002A6530">
        <w:t xml:space="preserve">, 2012; European Parliament, 2013) </w:t>
      </w:r>
      <w:r w:rsidR="009B507E">
        <w:t>attest</w:t>
      </w:r>
      <w:r w:rsidR="00C76FE6">
        <w:t>ed</w:t>
      </w:r>
      <w:r w:rsidR="009B507E">
        <w:t xml:space="preserve"> to</w:t>
      </w:r>
      <w:r w:rsidRPr="002A6530">
        <w:t xml:space="preserve"> the overall effectiveness of BEREC, but noted room for improvement</w:t>
      </w:r>
      <w:r w:rsidR="009B507E">
        <w:t>,</w:t>
      </w:r>
      <w:r w:rsidRPr="002A6530">
        <w:t xml:space="preserve"> especially </w:t>
      </w:r>
      <w:r w:rsidR="00BB78F3">
        <w:t>in</w:t>
      </w:r>
      <w:r w:rsidR="009B507E" w:rsidRPr="002A6530">
        <w:t xml:space="preserve"> </w:t>
      </w:r>
      <w:r w:rsidRPr="002A6530">
        <w:t xml:space="preserve">the BEREC Office. </w:t>
      </w:r>
      <w:r w:rsidR="00A46E2E">
        <w:t xml:space="preserve">Again, </w:t>
      </w:r>
      <w:r w:rsidRPr="002A6530">
        <w:t>BEREC proved an active institutional player</w:t>
      </w:r>
      <w:r w:rsidR="00A46E2E">
        <w:t>, setting</w:t>
      </w:r>
      <w:r w:rsidR="004B3F80">
        <w:t xml:space="preserve"> </w:t>
      </w:r>
      <w:r w:rsidRPr="002A6530">
        <w:t xml:space="preserve">up its own internal project team to manage its input into </w:t>
      </w:r>
      <w:r w:rsidR="005E3F29" w:rsidRPr="002A6530">
        <w:t>th</w:t>
      </w:r>
      <w:r w:rsidR="005E3F29">
        <w:t>is</w:t>
      </w:r>
      <w:r w:rsidR="005E3F29" w:rsidRPr="002A6530">
        <w:t xml:space="preserve"> </w:t>
      </w:r>
      <w:r w:rsidRPr="002A6530">
        <w:t>evaluation</w:t>
      </w:r>
      <w:r w:rsidR="004B3F80">
        <w:t>,</w:t>
      </w:r>
      <w:r w:rsidRPr="002A6530">
        <w:t xml:space="preserve"> </w:t>
      </w:r>
      <w:r w:rsidR="00A46E2E">
        <w:t>while collaborating closely</w:t>
      </w:r>
      <w:r w:rsidRPr="002A6530">
        <w:t xml:space="preserve"> with the evaluation team. </w:t>
      </w:r>
      <w:r w:rsidR="00C76FE6">
        <w:t>T</w:t>
      </w:r>
      <w:r w:rsidRPr="002A6530">
        <w:t xml:space="preserve">he next comprehensive review of the </w:t>
      </w:r>
      <w:r w:rsidR="009B507E">
        <w:t>Regulatory F</w:t>
      </w:r>
      <w:r w:rsidRPr="002A6530">
        <w:t xml:space="preserve">ramework </w:t>
      </w:r>
      <w:r w:rsidR="006940FD">
        <w:t>will</w:t>
      </w:r>
      <w:r w:rsidR="00174252">
        <w:t xml:space="preserve"> </w:t>
      </w:r>
      <w:r w:rsidR="00A23C63">
        <w:t xml:space="preserve">test </w:t>
      </w:r>
      <w:r w:rsidR="00C76FE6">
        <w:t>the resilience of BEREC’s networked architecture once more</w:t>
      </w:r>
      <w:r w:rsidR="006940FD">
        <w:t xml:space="preserve"> because</w:t>
      </w:r>
      <w:r w:rsidR="00C76FE6">
        <w:t xml:space="preserve"> th</w:t>
      </w:r>
      <w:r w:rsidR="00A23C63">
        <w:t>e</w:t>
      </w:r>
      <w:r w:rsidR="00174252">
        <w:t xml:space="preserve"> </w:t>
      </w:r>
      <w:r w:rsidRPr="002A6530">
        <w:t xml:space="preserve">Commission </w:t>
      </w:r>
      <w:r w:rsidR="009B507E">
        <w:t>a</w:t>
      </w:r>
      <w:r w:rsidR="00C76FE6">
        <w:t>nd</w:t>
      </w:r>
      <w:r w:rsidR="009B507E">
        <w:t xml:space="preserve"> </w:t>
      </w:r>
      <w:r w:rsidRPr="002A6530">
        <w:t xml:space="preserve">Parliament are </w:t>
      </w:r>
      <w:r w:rsidR="00C76FE6">
        <w:t xml:space="preserve">both </w:t>
      </w:r>
      <w:r w:rsidRPr="002A6530">
        <w:t>propos</w:t>
      </w:r>
      <w:r w:rsidR="004B3F80">
        <w:t>ing</w:t>
      </w:r>
      <w:r w:rsidRPr="002A6530">
        <w:t xml:space="preserve"> a strengthening of supranational resources to improve the effectiveness of </w:t>
      </w:r>
      <w:r w:rsidR="004B3F80">
        <w:t xml:space="preserve">its </w:t>
      </w:r>
      <w:r w:rsidRPr="002A6530">
        <w:t xml:space="preserve">market-coordination (European Commission, 2015). At these initial stages, BEREC has responded by making clear </w:t>
      </w:r>
      <w:r w:rsidR="009B507E">
        <w:t xml:space="preserve">that </w:t>
      </w:r>
      <w:r w:rsidRPr="002A6530">
        <w:t>it considers further centralisation unnecessary</w:t>
      </w:r>
      <w:r w:rsidR="00CC66FB">
        <w:t xml:space="preserve"> and that</w:t>
      </w:r>
      <w:r w:rsidRPr="002A6530">
        <w:t xml:space="preserve"> the current institutional framework</w:t>
      </w:r>
      <w:r w:rsidR="005E3F29">
        <w:t>:</w:t>
      </w:r>
      <w:r w:rsidRPr="002A6530">
        <w:t xml:space="preserve"> ‘balances consistency of regulatory approaches and regulators’ ability to address the particularities of their national markets. While we should continue to aspire to greater harmonisation where it makes sense, fundamentally this balance sho</w:t>
      </w:r>
      <w:r w:rsidR="00576966">
        <w:t>uld be retained.’ (BEREC, 2015</w:t>
      </w:r>
      <w:r w:rsidR="002C0D0A">
        <w:t xml:space="preserve">). </w:t>
      </w:r>
    </w:p>
    <w:p w:rsidR="007358B2" w:rsidRPr="00120E30" w:rsidRDefault="007D1A70" w:rsidP="001D5F12">
      <w:pPr>
        <w:pStyle w:val="Heading1"/>
        <w:spacing w:line="480" w:lineRule="auto"/>
      </w:pPr>
      <w:r w:rsidRPr="007D1A70">
        <w:t>Conclu</w:t>
      </w:r>
      <w:r w:rsidR="0079710E">
        <w:t>ding remarks</w:t>
      </w:r>
    </w:p>
    <w:p w:rsidR="000475D7" w:rsidRPr="000475D7" w:rsidRDefault="000475D7" w:rsidP="001D5F12">
      <w:pPr>
        <w:spacing w:after="0" w:line="480" w:lineRule="auto"/>
        <w:jc w:val="both"/>
      </w:pPr>
    </w:p>
    <w:p w:rsidR="0066003E" w:rsidRDefault="00AF3CF8" w:rsidP="001D5F12">
      <w:pPr>
        <w:spacing w:after="0" w:line="480" w:lineRule="auto"/>
        <w:jc w:val="both"/>
      </w:pPr>
      <w:r>
        <w:t>T</w:t>
      </w:r>
      <w:r w:rsidR="007C552C">
        <w:t xml:space="preserve">he </w:t>
      </w:r>
      <w:r>
        <w:t xml:space="preserve">EU’s </w:t>
      </w:r>
      <w:r w:rsidR="007C552C">
        <w:t xml:space="preserve">use of </w:t>
      </w:r>
      <w:r w:rsidR="00DF1707">
        <w:t>transnational networks that softly discipline</w:t>
      </w:r>
      <w:r>
        <w:t xml:space="preserve"> </w:t>
      </w:r>
      <w:r w:rsidR="005520F7">
        <w:t>member states</w:t>
      </w:r>
      <w:r w:rsidR="0030269D">
        <w:t xml:space="preserve"> (</w:t>
      </w:r>
      <w:r w:rsidR="006940FD">
        <w:t>whether</w:t>
      </w:r>
      <w:r w:rsidR="005520F7">
        <w:t xml:space="preserve"> </w:t>
      </w:r>
      <w:r w:rsidR="007C552C">
        <w:t xml:space="preserve">the </w:t>
      </w:r>
      <w:r w:rsidR="00113426">
        <w:t>OMC</w:t>
      </w:r>
      <w:r w:rsidR="005520F7">
        <w:t xml:space="preserve"> </w:t>
      </w:r>
      <w:r w:rsidR="00113426">
        <w:t>or</w:t>
      </w:r>
      <w:r w:rsidR="007C552C">
        <w:t xml:space="preserve"> </w:t>
      </w:r>
      <w:r w:rsidR="005520F7">
        <w:t>regulatory networks</w:t>
      </w:r>
      <w:r w:rsidR="0030269D">
        <w:t xml:space="preserve"> </w:t>
      </w:r>
      <w:r w:rsidR="00113426">
        <w:t xml:space="preserve">that </w:t>
      </w:r>
      <w:r w:rsidR="0030269D">
        <w:t xml:space="preserve">oversee </w:t>
      </w:r>
      <w:r w:rsidR="00113426">
        <w:t xml:space="preserve">national </w:t>
      </w:r>
      <w:r w:rsidR="0030269D">
        <w:t xml:space="preserve">discretion in </w:t>
      </w:r>
      <w:r w:rsidR="006940FD">
        <w:t xml:space="preserve">the implementation of </w:t>
      </w:r>
      <w:r w:rsidR="0030269D">
        <w:t xml:space="preserve">broad </w:t>
      </w:r>
      <w:r w:rsidR="00113426">
        <w:t>EU</w:t>
      </w:r>
      <w:r w:rsidR="0030269D">
        <w:t xml:space="preserve"> frameworks)</w:t>
      </w:r>
      <w:r w:rsidR="005520F7">
        <w:t xml:space="preserve"> </w:t>
      </w:r>
      <w:r>
        <w:t xml:space="preserve">potentially </w:t>
      </w:r>
      <w:r w:rsidR="005520F7">
        <w:t>m</w:t>
      </w:r>
      <w:r w:rsidR="009C4004">
        <w:t>arks</w:t>
      </w:r>
      <w:r w:rsidR="005520F7">
        <w:t xml:space="preserve"> a significant turn </w:t>
      </w:r>
      <w:r w:rsidR="007C552C">
        <w:t xml:space="preserve">in </w:t>
      </w:r>
      <w:r w:rsidR="007C552C" w:rsidRPr="007C552C">
        <w:t>European integration</w:t>
      </w:r>
      <w:r>
        <w:t>; more than</w:t>
      </w:r>
      <w:r w:rsidR="00245871">
        <w:t xml:space="preserve"> </w:t>
      </w:r>
      <w:r>
        <w:t>just</w:t>
      </w:r>
      <w:r w:rsidR="005520F7">
        <w:t xml:space="preserve"> a t</w:t>
      </w:r>
      <w:r w:rsidR="00DF1707">
        <w:t xml:space="preserve">ransitional step towards </w:t>
      </w:r>
      <w:r w:rsidR="005520F7">
        <w:t xml:space="preserve">centralisation (e.g. </w:t>
      </w:r>
      <w:proofErr w:type="spellStart"/>
      <w:r w:rsidR="005520F7">
        <w:t>agencification</w:t>
      </w:r>
      <w:proofErr w:type="spellEnd"/>
      <w:r w:rsidR="005520F7">
        <w:t xml:space="preserve">) and formalisation (subjecting to </w:t>
      </w:r>
      <w:r w:rsidR="00DF1707">
        <w:t>law</w:t>
      </w:r>
      <w:r w:rsidR="005520F7">
        <w:t>)</w:t>
      </w:r>
      <w:r w:rsidR="007C552C">
        <w:t xml:space="preserve">. </w:t>
      </w:r>
      <w:r w:rsidR="0079710E">
        <w:t xml:space="preserve">We might better understand whether this is the case </w:t>
      </w:r>
      <w:r w:rsidR="001A3667">
        <w:t>by considering</w:t>
      </w:r>
      <w:r w:rsidR="007C552C">
        <w:t xml:space="preserve"> </w:t>
      </w:r>
      <w:r w:rsidR="0079710E">
        <w:t>processes of institutional change</w:t>
      </w:r>
      <w:r w:rsidR="007C552C">
        <w:t xml:space="preserve"> </w:t>
      </w:r>
      <w:r w:rsidR="001A3667">
        <w:t xml:space="preserve">that </w:t>
      </w:r>
      <w:r w:rsidR="007C552C">
        <w:t xml:space="preserve">bring </w:t>
      </w:r>
      <w:r w:rsidR="00353A56">
        <w:t xml:space="preserve">about </w:t>
      </w:r>
      <w:r w:rsidR="007C552C">
        <w:t>ce</w:t>
      </w:r>
      <w:r w:rsidR="00353A56">
        <w:t>ntralisation/formalisation</w:t>
      </w:r>
      <w:r w:rsidR="004B3F80">
        <w:t>. W</w:t>
      </w:r>
      <w:r w:rsidR="001A3667">
        <w:t>hereas</w:t>
      </w:r>
      <w:r w:rsidR="005520F7">
        <w:t xml:space="preserve"> </w:t>
      </w:r>
      <w:r>
        <w:t>o</w:t>
      </w:r>
      <w:r w:rsidR="00DF1707">
        <w:t xml:space="preserve">rthodox functionalist-political accounts attribute </w:t>
      </w:r>
      <w:r w:rsidR="005520F7" w:rsidRPr="005520F7">
        <w:t xml:space="preserve">institutional change </w:t>
      </w:r>
      <w:r w:rsidR="00DF1707">
        <w:t xml:space="preserve">to </w:t>
      </w:r>
      <w:r w:rsidR="00353A56">
        <w:t xml:space="preserve">negotiations </w:t>
      </w:r>
      <w:r w:rsidR="00DF1707">
        <w:t xml:space="preserve">between </w:t>
      </w:r>
      <w:r w:rsidR="005520F7">
        <w:t>governments</w:t>
      </w:r>
      <w:r w:rsidR="00DF1707">
        <w:t xml:space="preserve"> and the </w:t>
      </w:r>
      <w:r w:rsidR="004B3F80">
        <w:t xml:space="preserve">principal </w:t>
      </w:r>
      <w:r w:rsidR="00DF1707">
        <w:t xml:space="preserve">EU </w:t>
      </w:r>
      <w:r w:rsidR="004B3F80">
        <w:t xml:space="preserve">institutions </w:t>
      </w:r>
      <w:r>
        <w:t>over</w:t>
      </w:r>
      <w:r w:rsidR="00245871">
        <w:t xml:space="preserve"> </w:t>
      </w:r>
      <w:r w:rsidR="001A3667">
        <w:t>the (trans)formation of</w:t>
      </w:r>
      <w:r w:rsidR="0030269D">
        <w:t xml:space="preserve"> institutional-agents</w:t>
      </w:r>
      <w:r w:rsidR="0092336B">
        <w:t>, which</w:t>
      </w:r>
      <w:r w:rsidR="0030269D">
        <w:t xml:space="preserve"> </w:t>
      </w:r>
      <w:r w:rsidR="001A3667">
        <w:t xml:space="preserve">are </w:t>
      </w:r>
      <w:r w:rsidR="00E60B05">
        <w:t xml:space="preserve">then </w:t>
      </w:r>
      <w:r w:rsidR="001A3667">
        <w:t xml:space="preserve">designed </w:t>
      </w:r>
      <w:r w:rsidR="0092336B">
        <w:t xml:space="preserve">purely </w:t>
      </w:r>
      <w:r w:rsidR="001A3667">
        <w:t>exogenously to</w:t>
      </w:r>
      <w:r w:rsidR="0030269D">
        <w:t xml:space="preserve"> fulfil particular coordination</w:t>
      </w:r>
      <w:r w:rsidR="00DF1707">
        <w:t xml:space="preserve"> needs</w:t>
      </w:r>
      <w:r w:rsidR="005520F7">
        <w:t xml:space="preserve">, we </w:t>
      </w:r>
      <w:r w:rsidR="00353A56">
        <w:t>ask</w:t>
      </w:r>
      <w:r w:rsidR="005520F7">
        <w:t xml:space="preserve"> whether</w:t>
      </w:r>
      <w:r w:rsidR="007C552C" w:rsidRPr="007C552C">
        <w:t xml:space="preserve"> </w:t>
      </w:r>
      <w:r w:rsidR="0030269D">
        <w:t xml:space="preserve">it </w:t>
      </w:r>
      <w:r w:rsidR="00E20A6E">
        <w:t xml:space="preserve">might </w:t>
      </w:r>
      <w:r w:rsidR="002D2570">
        <w:t>also</w:t>
      </w:r>
      <w:r w:rsidR="00E60B05">
        <w:t xml:space="preserve"> </w:t>
      </w:r>
      <w:r w:rsidR="00E20A6E">
        <w:t>be</w:t>
      </w:r>
      <w:r w:rsidR="00245871">
        <w:t xml:space="preserve"> </w:t>
      </w:r>
      <w:r w:rsidR="007C552C" w:rsidRPr="007C552C">
        <w:t>attribut</w:t>
      </w:r>
      <w:r w:rsidR="001A3667">
        <w:t>ed, at least in part,</w:t>
      </w:r>
      <w:r w:rsidR="007C552C" w:rsidRPr="007C552C">
        <w:t xml:space="preserve"> to th</w:t>
      </w:r>
      <w:r w:rsidR="00353A56">
        <w:t xml:space="preserve">e </w:t>
      </w:r>
      <w:r w:rsidR="00245871">
        <w:t>institutional-</w:t>
      </w:r>
      <w:r w:rsidR="007C552C" w:rsidRPr="007C552C">
        <w:t xml:space="preserve">agents </w:t>
      </w:r>
      <w:r w:rsidR="00E20A6E" w:rsidRPr="00E20A6E">
        <w:t xml:space="preserve">whose power is at </w:t>
      </w:r>
      <w:r w:rsidR="00E20A6E" w:rsidRPr="00E20A6E">
        <w:lastRenderedPageBreak/>
        <w:t xml:space="preserve">stake in </w:t>
      </w:r>
      <w:r w:rsidR="00E20A6E">
        <w:t>t</w:t>
      </w:r>
      <w:r w:rsidR="001A3667">
        <w:t>ho</w:t>
      </w:r>
      <w:r w:rsidR="00E20A6E">
        <w:t>se</w:t>
      </w:r>
      <w:r w:rsidR="007C552C" w:rsidRPr="007C552C">
        <w:t xml:space="preserve"> negotiations</w:t>
      </w:r>
      <w:r w:rsidR="00861570">
        <w:t xml:space="preserve">. </w:t>
      </w:r>
      <w:r w:rsidR="009C4004">
        <w:t xml:space="preserve">We propose </w:t>
      </w:r>
      <w:r w:rsidR="0092336B">
        <w:t xml:space="preserve">then </w:t>
      </w:r>
      <w:r w:rsidR="009C4004">
        <w:t>a</w:t>
      </w:r>
      <w:r w:rsidR="00353A56">
        <w:t xml:space="preserve"> model</w:t>
      </w:r>
      <w:r w:rsidR="0015574A">
        <w:t xml:space="preserve"> of change</w:t>
      </w:r>
      <w:r w:rsidR="00353A56">
        <w:t xml:space="preserve"> that</w:t>
      </w:r>
      <w:r w:rsidR="0015574A">
        <w:t xml:space="preserve">, in addition to functional-political </w:t>
      </w:r>
      <w:r w:rsidR="0035407D">
        <w:t>mechanisms</w:t>
      </w:r>
      <w:r w:rsidR="0015574A">
        <w:t>,</w:t>
      </w:r>
      <w:r w:rsidR="00113426">
        <w:t xml:space="preserve"> </w:t>
      </w:r>
      <w:r w:rsidR="009C4004">
        <w:t>accommodate</w:t>
      </w:r>
      <w:r w:rsidR="006940FD">
        <w:t>s</w:t>
      </w:r>
      <w:r w:rsidR="0030269D">
        <w:t xml:space="preserve"> </w:t>
      </w:r>
      <w:r w:rsidR="0015574A">
        <w:t>a further endogenous layer</w:t>
      </w:r>
      <w:r w:rsidR="0035407D">
        <w:t>,</w:t>
      </w:r>
      <w:r w:rsidR="0015574A">
        <w:t xml:space="preserve"> namely, </w:t>
      </w:r>
      <w:r w:rsidR="001A3667">
        <w:t>the</w:t>
      </w:r>
      <w:r w:rsidR="00353A56" w:rsidRPr="00353A56">
        <w:t xml:space="preserve"> independent role </w:t>
      </w:r>
      <w:r w:rsidR="001A3667">
        <w:t xml:space="preserve">that </w:t>
      </w:r>
      <w:r w:rsidR="00353A56" w:rsidRPr="00353A56">
        <w:t xml:space="preserve">transnational networks </w:t>
      </w:r>
      <w:r w:rsidR="001A3667">
        <w:t xml:space="preserve">play </w:t>
      </w:r>
      <w:r w:rsidR="00353A56" w:rsidRPr="00353A56">
        <w:t xml:space="preserve">in </w:t>
      </w:r>
      <w:r w:rsidR="00113426">
        <w:t xml:space="preserve">shaping </w:t>
      </w:r>
      <w:r w:rsidR="00353A56" w:rsidRPr="00353A56">
        <w:t>their own institution</w:t>
      </w:r>
      <w:r w:rsidR="00113426">
        <w:t>alisation</w:t>
      </w:r>
      <w:r w:rsidR="001A3667">
        <w:t>, which</w:t>
      </w:r>
      <w:r w:rsidR="00861570">
        <w:t xml:space="preserve"> </w:t>
      </w:r>
      <w:r w:rsidR="00E20A6E">
        <w:t>may</w:t>
      </w:r>
      <w:r w:rsidR="009C4004">
        <w:t xml:space="preserve"> make this</w:t>
      </w:r>
      <w:r w:rsidR="00861570">
        <w:t xml:space="preserve"> mode of governance more resilient</w:t>
      </w:r>
      <w:r w:rsidR="006940FD">
        <w:t xml:space="preserve"> and</w:t>
      </w:r>
      <w:r w:rsidR="00861570">
        <w:t xml:space="preserve"> even self-reinforcing</w:t>
      </w:r>
      <w:r w:rsidR="0092336B">
        <w:t xml:space="preserve">. </w:t>
      </w:r>
    </w:p>
    <w:p w:rsidR="0066003E" w:rsidRDefault="0066003E" w:rsidP="001D5F12">
      <w:pPr>
        <w:spacing w:after="0" w:line="480" w:lineRule="auto"/>
        <w:jc w:val="both"/>
      </w:pPr>
    </w:p>
    <w:p w:rsidR="00113426" w:rsidRDefault="0092336B" w:rsidP="001D5F12">
      <w:pPr>
        <w:spacing w:after="0" w:line="480" w:lineRule="auto"/>
        <w:jc w:val="both"/>
      </w:pPr>
      <w:r>
        <w:t>We have</w:t>
      </w:r>
      <w:r w:rsidR="00113426">
        <w:t xml:space="preserve"> test</w:t>
      </w:r>
      <w:r>
        <w:t>ed</w:t>
      </w:r>
      <w:r w:rsidR="00113426">
        <w:t xml:space="preserve"> </w:t>
      </w:r>
      <w:r w:rsidR="0015574A">
        <w:t>the</w:t>
      </w:r>
      <w:r w:rsidR="00113426">
        <w:t xml:space="preserve"> plausibility</w:t>
      </w:r>
      <w:r w:rsidR="0015574A">
        <w:t xml:space="preserve"> of this</w:t>
      </w:r>
      <w:r w:rsidR="00BE50DC">
        <w:t xml:space="preserve"> model</w:t>
      </w:r>
      <w:r w:rsidR="00113426">
        <w:t xml:space="preserve"> with a c</w:t>
      </w:r>
      <w:r w:rsidR="00DF1707">
        <w:t xml:space="preserve">ase </w:t>
      </w:r>
      <w:r w:rsidR="00113426">
        <w:t xml:space="preserve">study </w:t>
      </w:r>
      <w:r w:rsidR="001A3667">
        <w:t xml:space="preserve">in the telecoms sector that </w:t>
      </w:r>
      <w:r w:rsidR="009C4004">
        <w:t>d</w:t>
      </w:r>
      <w:r w:rsidR="00E20A6E">
        <w:t>etail</w:t>
      </w:r>
      <w:r w:rsidR="001A3667">
        <w:t>s</w:t>
      </w:r>
      <w:r w:rsidR="007C552C" w:rsidRPr="007C552C">
        <w:t xml:space="preserve"> the </w:t>
      </w:r>
      <w:r w:rsidR="00BE50DC">
        <w:t xml:space="preserve">mechanisms and </w:t>
      </w:r>
      <w:r w:rsidR="0015574A">
        <w:t xml:space="preserve">conditions under which transnational networks </w:t>
      </w:r>
      <w:r w:rsidR="00BE50DC">
        <w:t xml:space="preserve">might </w:t>
      </w:r>
      <w:r w:rsidR="0015574A">
        <w:t xml:space="preserve">succeed in bringing their influence to bear on institutional outcomes </w:t>
      </w:r>
      <w:r w:rsidR="006940FD">
        <w:t xml:space="preserve">that </w:t>
      </w:r>
      <w:r w:rsidR="0015574A">
        <w:t xml:space="preserve">affect their own governance structure. </w:t>
      </w:r>
      <w:r w:rsidR="002344AD">
        <w:t xml:space="preserve"> </w:t>
      </w:r>
      <w:r w:rsidR="0066003E">
        <w:t xml:space="preserve">In our study, </w:t>
      </w:r>
      <w:r w:rsidR="00BE50DC">
        <w:t>these conditions</w:t>
      </w:r>
      <w:r w:rsidR="0066003E">
        <w:t xml:space="preserve"> include</w:t>
      </w:r>
      <w:r w:rsidR="00E104DD">
        <w:t>d</w:t>
      </w:r>
      <w:r w:rsidR="00C22284">
        <w:t>:</w:t>
      </w:r>
      <w:r w:rsidR="0066003E">
        <w:t xml:space="preserve"> </w:t>
      </w:r>
      <w:r w:rsidR="00DC7EB5">
        <w:t>a</w:t>
      </w:r>
      <w:r w:rsidR="00DC7EB5" w:rsidRPr="005F1DED">
        <w:t xml:space="preserve"> network’s </w:t>
      </w:r>
      <w:r w:rsidR="00DC7EB5">
        <w:t xml:space="preserve">tangible </w:t>
      </w:r>
      <w:r w:rsidR="00DC7EB5" w:rsidRPr="00D46CD2">
        <w:rPr>
          <w:i/>
        </w:rPr>
        <w:t>resources</w:t>
      </w:r>
      <w:r w:rsidR="006940FD">
        <w:t xml:space="preserve">, </w:t>
      </w:r>
      <w:r w:rsidR="00DC7EB5">
        <w:t>as well as</w:t>
      </w:r>
      <w:r w:rsidR="006940FD">
        <w:t xml:space="preserve"> the</w:t>
      </w:r>
      <w:r w:rsidR="00DC7EB5">
        <w:t xml:space="preserve"> intangible ones</w:t>
      </w:r>
      <w:r w:rsidR="006940FD">
        <w:t xml:space="preserve"> of</w:t>
      </w:r>
      <w:r w:rsidR="00DC7EB5">
        <w:t xml:space="preserve"> its </w:t>
      </w:r>
      <w:r w:rsidR="00DC7EB5" w:rsidRPr="005F1DED">
        <w:t xml:space="preserve">technocratic credentials, </w:t>
      </w:r>
      <w:r w:rsidR="00DC7EB5">
        <w:t xml:space="preserve">political </w:t>
      </w:r>
      <w:r w:rsidR="00DC7EB5" w:rsidRPr="005F1DED">
        <w:t>pro</w:t>
      </w:r>
      <w:r w:rsidR="00DC7EB5">
        <w:t>file, cohesiveness and autonomy</w:t>
      </w:r>
      <w:r w:rsidR="00C11B01">
        <w:t xml:space="preserve">; </w:t>
      </w:r>
      <w:r w:rsidR="00DC7EB5" w:rsidRPr="00D46CD2">
        <w:rPr>
          <w:i/>
        </w:rPr>
        <w:t>selection</w:t>
      </w:r>
      <w:r w:rsidR="00DC7EB5" w:rsidRPr="00F01AD1">
        <w:t xml:space="preserve"> and </w:t>
      </w:r>
      <w:r w:rsidR="00DC7EB5" w:rsidRPr="00D46CD2">
        <w:rPr>
          <w:i/>
        </w:rPr>
        <w:t>mobilisation</w:t>
      </w:r>
      <w:r w:rsidR="00DC7EB5">
        <w:t xml:space="preserve"> strategies</w:t>
      </w:r>
      <w:r w:rsidR="00C22284">
        <w:t>,</w:t>
      </w:r>
      <w:r w:rsidR="00DC7EB5">
        <w:t xml:space="preserve"> </w:t>
      </w:r>
      <w:r w:rsidR="00C11B01">
        <w:t xml:space="preserve">whereby </w:t>
      </w:r>
      <w:r w:rsidR="00DC7EB5">
        <w:t>members of the network internally agree on a collective institutional preference and</w:t>
      </w:r>
      <w:r w:rsidR="00C11B01">
        <w:t xml:space="preserve"> put in place </w:t>
      </w:r>
      <w:r w:rsidR="00C22284">
        <w:t xml:space="preserve">an </w:t>
      </w:r>
      <w:r w:rsidR="00C11B01">
        <w:t xml:space="preserve">infrastructure (e.g. working group) to maintain and externally disseminate </w:t>
      </w:r>
      <w:r w:rsidR="00C22284">
        <w:t>it</w:t>
      </w:r>
      <w:r w:rsidR="00DC7EB5">
        <w:t xml:space="preserve">, </w:t>
      </w:r>
      <w:r w:rsidR="006940FD">
        <w:t xml:space="preserve">thereby </w:t>
      </w:r>
      <w:r w:rsidR="005910C0">
        <w:t>strengthening their</w:t>
      </w:r>
      <w:r w:rsidR="00DC7EB5">
        <w:t xml:space="preserve"> strategic position vis-à-vis political principals.</w:t>
      </w:r>
      <w:r w:rsidR="005910C0">
        <w:t xml:space="preserve"> We further identified various forms of </w:t>
      </w:r>
      <w:r w:rsidR="005910C0" w:rsidRPr="00E9028D">
        <w:t>interactions</w:t>
      </w:r>
      <w:r w:rsidR="005910C0" w:rsidRPr="005910C0">
        <w:t xml:space="preserve"> w</w:t>
      </w:r>
      <w:r w:rsidR="005910C0" w:rsidRPr="005F1DED">
        <w:t xml:space="preserve">ith governments and the principal EU institutions during </w:t>
      </w:r>
      <w:r w:rsidR="005910C0">
        <w:t xml:space="preserve">formal </w:t>
      </w:r>
      <w:r w:rsidR="005910C0" w:rsidRPr="005F1DED">
        <w:t>negotiations over institutional change</w:t>
      </w:r>
      <w:r w:rsidR="00C11B01">
        <w:t xml:space="preserve"> -</w:t>
      </w:r>
      <w:r w:rsidR="005910C0">
        <w:t xml:space="preserve"> especially the ability to </w:t>
      </w:r>
      <w:r w:rsidR="005910C0" w:rsidRPr="00E9028D">
        <w:rPr>
          <w:i/>
        </w:rPr>
        <w:t>frame agendas</w:t>
      </w:r>
      <w:r w:rsidR="005910C0">
        <w:t xml:space="preserve">, </w:t>
      </w:r>
      <w:r w:rsidR="005910C0" w:rsidRPr="00E9028D">
        <w:rPr>
          <w:i/>
        </w:rPr>
        <w:t xml:space="preserve">advocacy </w:t>
      </w:r>
      <w:r w:rsidR="005910C0" w:rsidRPr="00F01AD1">
        <w:t xml:space="preserve">and </w:t>
      </w:r>
      <w:r w:rsidR="005910C0" w:rsidRPr="00E9028D">
        <w:rPr>
          <w:i/>
        </w:rPr>
        <w:t>brokering</w:t>
      </w:r>
      <w:r w:rsidR="005910C0" w:rsidRPr="00F01AD1">
        <w:t xml:space="preserve"> initiatives</w:t>
      </w:r>
      <w:r w:rsidR="00C11B01">
        <w:t xml:space="preserve"> -</w:t>
      </w:r>
      <w:r w:rsidR="005910C0" w:rsidRPr="005F1DED">
        <w:t xml:space="preserve"> as well as in </w:t>
      </w:r>
      <w:r w:rsidR="005910C0">
        <w:t xml:space="preserve">the </w:t>
      </w:r>
      <w:r w:rsidR="005910C0" w:rsidRPr="00E9028D">
        <w:rPr>
          <w:i/>
        </w:rPr>
        <w:t>consolidation</w:t>
      </w:r>
      <w:r w:rsidR="005910C0" w:rsidRPr="005F1DED">
        <w:t xml:space="preserve"> periods between</w:t>
      </w:r>
      <w:r w:rsidR="006940FD">
        <w:t xml:space="preserve"> negotiations</w:t>
      </w:r>
      <w:r w:rsidR="005910C0">
        <w:t>,</w:t>
      </w:r>
      <w:r w:rsidR="005910C0" w:rsidRPr="005F1DED">
        <w:t xml:space="preserve"> when </w:t>
      </w:r>
      <w:r w:rsidR="005910C0">
        <w:t>the networks mode of governance is</w:t>
      </w:r>
      <w:r w:rsidR="005910C0" w:rsidRPr="005F1DED">
        <w:t xml:space="preserve"> evaluated and informal changes</w:t>
      </w:r>
      <w:r w:rsidR="005910C0">
        <w:t xml:space="preserve"> are</w:t>
      </w:r>
      <w:r w:rsidR="005910C0" w:rsidRPr="005F1DED">
        <w:t xml:space="preserve"> </w:t>
      </w:r>
      <w:r w:rsidR="005910C0">
        <w:t>effected</w:t>
      </w:r>
      <w:r w:rsidR="0035407D">
        <w:t>.</w:t>
      </w:r>
    </w:p>
    <w:p w:rsidR="00113426" w:rsidRDefault="00113426" w:rsidP="001D5F12">
      <w:pPr>
        <w:spacing w:after="0" w:line="480" w:lineRule="auto"/>
        <w:jc w:val="both"/>
      </w:pPr>
    </w:p>
    <w:p w:rsidR="00CC66FB" w:rsidRDefault="0046484A" w:rsidP="001D5F12">
      <w:pPr>
        <w:spacing w:after="0" w:line="480" w:lineRule="auto"/>
        <w:jc w:val="both"/>
      </w:pPr>
      <w:r>
        <w:t>Though w</w:t>
      </w:r>
      <w:r w:rsidR="00BD32D1" w:rsidRPr="00576966">
        <w:t xml:space="preserve">e </w:t>
      </w:r>
      <w:r w:rsidR="004865B9">
        <w:t xml:space="preserve">clearly </w:t>
      </w:r>
      <w:r w:rsidR="00BD32D1" w:rsidRPr="00576966">
        <w:t xml:space="preserve">cannot generalize to an overall picture of European integration and institutional change </w:t>
      </w:r>
      <w:r w:rsidR="00273AF7">
        <w:t xml:space="preserve">from </w:t>
      </w:r>
      <w:r w:rsidR="00BD32D1" w:rsidRPr="00576966">
        <w:t xml:space="preserve">a </w:t>
      </w:r>
      <w:r w:rsidR="00AA058F">
        <w:t xml:space="preserve">single </w:t>
      </w:r>
      <w:r w:rsidR="00576966" w:rsidRPr="00576966">
        <w:t>case</w:t>
      </w:r>
      <w:r w:rsidR="00BD32D1" w:rsidRPr="00576966">
        <w:t xml:space="preserve"> study in </w:t>
      </w:r>
      <w:r w:rsidR="005F1DED">
        <w:t>a single</w:t>
      </w:r>
      <w:r w:rsidR="00576966" w:rsidRPr="00576966">
        <w:t xml:space="preserve"> sector, we </w:t>
      </w:r>
      <w:r w:rsidR="004865B9">
        <w:t xml:space="preserve">might </w:t>
      </w:r>
      <w:r w:rsidR="00245871">
        <w:t xml:space="preserve">nevertheless </w:t>
      </w:r>
      <w:r w:rsidR="00576966" w:rsidRPr="00576966">
        <w:t>tentatively suggest that</w:t>
      </w:r>
      <w:r>
        <w:t>,</w:t>
      </w:r>
      <w:r w:rsidR="00576966" w:rsidRPr="00576966">
        <w:t xml:space="preserve"> given the right conditions (only comparative studies will reveal how specific these were to our case study)</w:t>
      </w:r>
      <w:r w:rsidR="002D2570">
        <w:t>,</w:t>
      </w:r>
      <w:r w:rsidR="00576966" w:rsidRPr="00576966">
        <w:t xml:space="preserve"> existing transnational networks and their members </w:t>
      </w:r>
      <w:r w:rsidR="005F1DED">
        <w:t>are potentially</w:t>
      </w:r>
      <w:r w:rsidR="00576966" w:rsidRPr="00576966">
        <w:t xml:space="preserve"> powerfully positioned to act as </w:t>
      </w:r>
      <w:r w:rsidR="00AA058F">
        <w:t xml:space="preserve">institutional </w:t>
      </w:r>
      <w:r w:rsidR="00576966" w:rsidRPr="00576966">
        <w:t>entrepreneurs</w:t>
      </w:r>
      <w:r w:rsidR="004865B9">
        <w:t xml:space="preserve"> that</w:t>
      </w:r>
      <w:r w:rsidR="00576966" w:rsidRPr="00576966">
        <w:t xml:space="preserve"> resist (slow or even prevent) processes of centralisation and formalisation</w:t>
      </w:r>
      <w:r w:rsidR="005F1DED">
        <w:t xml:space="preserve">. </w:t>
      </w:r>
      <w:r w:rsidR="00FD7FA6" w:rsidRPr="00FD7FA6">
        <w:t xml:space="preserve">We </w:t>
      </w:r>
      <w:r w:rsidR="004865B9">
        <w:t>ought then</w:t>
      </w:r>
      <w:r w:rsidR="00273AF7">
        <w:t xml:space="preserve"> </w:t>
      </w:r>
      <w:r w:rsidR="00FD7FA6" w:rsidRPr="00FD7FA6">
        <w:t xml:space="preserve">to open up the ‘black box’ of national </w:t>
      </w:r>
      <w:r w:rsidR="00FD7FA6">
        <w:t xml:space="preserve">and European </w:t>
      </w:r>
      <w:r w:rsidR="00FD7FA6" w:rsidRPr="00FD7FA6">
        <w:t>administrati</w:t>
      </w:r>
      <w:r w:rsidR="00FD7FA6">
        <w:t>ve orders</w:t>
      </w:r>
      <w:r w:rsidR="00FD7FA6" w:rsidRPr="00FD7FA6">
        <w:t xml:space="preserve"> to consider not only the </w:t>
      </w:r>
      <w:r w:rsidR="00FD7FA6" w:rsidRPr="00FD7FA6">
        <w:lastRenderedPageBreak/>
        <w:t xml:space="preserve">attitudes and interests of governments and </w:t>
      </w:r>
      <w:r w:rsidR="00FD7FA6">
        <w:t>the principal EU institutions</w:t>
      </w:r>
      <w:r w:rsidR="00FD7FA6" w:rsidRPr="00FD7FA6">
        <w:t xml:space="preserve">, but also of ‘arm’s length’ institutions and their </w:t>
      </w:r>
      <w:r w:rsidR="00FD7FA6">
        <w:t xml:space="preserve">transnational networks </w:t>
      </w:r>
      <w:r w:rsidR="00CC66FB">
        <w:t>towards</w:t>
      </w:r>
      <w:r w:rsidR="00FD7FA6" w:rsidRPr="00FD7FA6">
        <w:t xml:space="preserve"> the scope of their </w:t>
      </w:r>
      <w:r w:rsidR="00FD7FA6">
        <w:t>and the</w:t>
      </w:r>
      <w:r w:rsidR="00273AF7">
        <w:t>ir</w:t>
      </w:r>
      <w:r w:rsidR="00FD7FA6">
        <w:t xml:space="preserve"> networks’ </w:t>
      </w:r>
      <w:r w:rsidR="00FD7FA6" w:rsidRPr="00FD7FA6">
        <w:t>responsibilities</w:t>
      </w:r>
      <w:r w:rsidR="00FD7FA6">
        <w:t xml:space="preserve">. </w:t>
      </w:r>
      <w:r w:rsidR="005F1DED">
        <w:t xml:space="preserve">We </w:t>
      </w:r>
      <w:r w:rsidR="00CA468C">
        <w:t xml:space="preserve">suggest </w:t>
      </w:r>
      <w:r w:rsidR="00273AF7">
        <w:t xml:space="preserve">such an </w:t>
      </w:r>
      <w:r w:rsidR="005F1DED">
        <w:t>i</w:t>
      </w:r>
      <w:r w:rsidR="00BD32D1" w:rsidRPr="00BD32D1">
        <w:t>nstitutionalist approach</w:t>
      </w:r>
      <w:r w:rsidR="008A7963">
        <w:t>, pointing towards the possibility of institutional path-dependency and self-reinforcing integration trends,</w:t>
      </w:r>
      <w:r w:rsidR="00273AF7">
        <w:t xml:space="preserve"> i</w:t>
      </w:r>
      <w:r w:rsidR="00BD32D1" w:rsidRPr="00BD32D1">
        <w:t xml:space="preserve">s </w:t>
      </w:r>
      <w:r w:rsidR="00427C64">
        <w:t>particularly</w:t>
      </w:r>
      <w:r w:rsidR="00BD32D1" w:rsidRPr="00BD32D1">
        <w:t xml:space="preserve"> suited to analysing the EU</w:t>
      </w:r>
      <w:r w:rsidR="00CC66FB">
        <w:t xml:space="preserve">’s </w:t>
      </w:r>
      <w:r w:rsidR="00E60B05">
        <w:t xml:space="preserve">maturing </w:t>
      </w:r>
      <w:r w:rsidR="00CC66FB">
        <w:t>administrative order.</w:t>
      </w:r>
    </w:p>
    <w:p w:rsidR="00CC66FB" w:rsidRDefault="00CC66FB" w:rsidP="001D5F12">
      <w:pPr>
        <w:spacing w:after="0" w:line="480" w:lineRule="auto"/>
        <w:jc w:val="both"/>
      </w:pPr>
    </w:p>
    <w:p w:rsidR="005F1DED" w:rsidRPr="005F1DED" w:rsidRDefault="001F39AB" w:rsidP="001D5F12">
      <w:pPr>
        <w:spacing w:after="0" w:line="480" w:lineRule="auto"/>
        <w:jc w:val="both"/>
      </w:pPr>
      <w:r>
        <w:t>Designing further c</w:t>
      </w:r>
      <w:r w:rsidR="00AA058F">
        <w:t>omparative</w:t>
      </w:r>
      <w:r w:rsidR="00BD32D1" w:rsidRPr="00BD32D1">
        <w:t xml:space="preserve"> research</w:t>
      </w:r>
      <w:r w:rsidR="0035407D">
        <w:t>,</w:t>
      </w:r>
      <w:r w:rsidR="00BD32D1" w:rsidRPr="00BD32D1">
        <w:t xml:space="preserve"> </w:t>
      </w:r>
      <w:r w:rsidR="00105686">
        <w:t xml:space="preserve">to test whether </w:t>
      </w:r>
      <w:r w:rsidR="004865B9">
        <w:t>this</w:t>
      </w:r>
      <w:r w:rsidR="00CA468C">
        <w:t xml:space="preserve"> endogenous model</w:t>
      </w:r>
      <w:r w:rsidR="00105686">
        <w:t xml:space="preserve"> of institutional change </w:t>
      </w:r>
      <w:r w:rsidR="00CA468C">
        <w:t>applies</w:t>
      </w:r>
      <w:r w:rsidR="00BD32D1" w:rsidRPr="00BD32D1">
        <w:t xml:space="preserve"> beyond </w:t>
      </w:r>
      <w:r w:rsidR="00D0371A">
        <w:t>th</w:t>
      </w:r>
      <w:r w:rsidR="004865B9">
        <w:t xml:space="preserve">e </w:t>
      </w:r>
      <w:r w:rsidR="00BD32D1" w:rsidRPr="00BD32D1">
        <w:t>cas</w:t>
      </w:r>
      <w:r w:rsidR="00AA058F">
        <w:t>e study</w:t>
      </w:r>
      <w:r w:rsidR="0035407D">
        <w:t>,</w:t>
      </w:r>
      <w:r w:rsidR="00105686">
        <w:t xml:space="preserve"> will not be easy</w:t>
      </w:r>
      <w:r w:rsidR="005F1DED">
        <w:t xml:space="preserve"> </w:t>
      </w:r>
      <w:r w:rsidR="00105686">
        <w:t xml:space="preserve">because </w:t>
      </w:r>
      <w:r w:rsidR="00E60B05">
        <w:t xml:space="preserve">our study </w:t>
      </w:r>
      <w:r w:rsidR="0092336B">
        <w:t xml:space="preserve">also </w:t>
      </w:r>
      <w:r w:rsidR="00E60B05">
        <w:t>show</w:t>
      </w:r>
      <w:r w:rsidR="0092336B">
        <w:t>s</w:t>
      </w:r>
      <w:r w:rsidR="00E60B05">
        <w:t xml:space="preserve"> that </w:t>
      </w:r>
      <w:r w:rsidR="006B2A89">
        <w:t>i</w:t>
      </w:r>
      <w:r w:rsidR="00307B8A" w:rsidRPr="00307B8A">
        <w:t xml:space="preserve">nstitutional entrepreneurship </w:t>
      </w:r>
      <w:r w:rsidR="00DB3367">
        <w:t>operates as</w:t>
      </w:r>
      <w:r w:rsidR="00307B8A" w:rsidRPr="00307B8A">
        <w:t xml:space="preserve"> neither a single</w:t>
      </w:r>
      <w:r w:rsidR="0024594F">
        <w:t>,</w:t>
      </w:r>
      <w:r w:rsidR="00307B8A" w:rsidRPr="00307B8A">
        <w:t xml:space="preserve"> linear process</w:t>
      </w:r>
      <w:r w:rsidR="0092336B">
        <w:t>,</w:t>
      </w:r>
      <w:r w:rsidR="00307B8A" w:rsidRPr="00307B8A">
        <w:t xml:space="preserve"> nor </w:t>
      </w:r>
      <w:r w:rsidR="00245871">
        <w:t xml:space="preserve">as </w:t>
      </w:r>
      <w:r w:rsidR="00307B8A" w:rsidRPr="00307B8A">
        <w:t xml:space="preserve">a sequence of separate </w:t>
      </w:r>
      <w:r w:rsidR="0024594F">
        <w:t xml:space="preserve">causal </w:t>
      </w:r>
      <w:r w:rsidR="00307B8A" w:rsidRPr="00307B8A">
        <w:t>events</w:t>
      </w:r>
      <w:r w:rsidR="00E60B05">
        <w:t>. It</w:t>
      </w:r>
      <w:r w:rsidR="00DB3367">
        <w:t xml:space="preserve"> has a </w:t>
      </w:r>
      <w:r w:rsidR="00307B8A" w:rsidRPr="00307B8A">
        <w:t xml:space="preserve">web-like character </w:t>
      </w:r>
      <w:r w:rsidR="006B2A89">
        <w:t xml:space="preserve">that </w:t>
      </w:r>
      <w:r w:rsidR="00307B8A" w:rsidRPr="00307B8A">
        <w:t>combin</w:t>
      </w:r>
      <w:r w:rsidR="006B2A89">
        <w:t>es</w:t>
      </w:r>
      <w:r w:rsidR="00307B8A" w:rsidRPr="00307B8A">
        <w:t xml:space="preserve"> distinct but mutually dependent processes that complement and feed into one another.</w:t>
      </w:r>
      <w:r w:rsidR="00576966">
        <w:t xml:space="preserve"> </w:t>
      </w:r>
      <w:r w:rsidR="00E104DD">
        <w:t>Moreover, although t</w:t>
      </w:r>
      <w:r w:rsidR="00E104DD" w:rsidRPr="007C568D">
        <w:t xml:space="preserve">he case study </w:t>
      </w:r>
      <w:r w:rsidR="00E104DD">
        <w:t>provides an example</w:t>
      </w:r>
      <w:r w:rsidR="00E104DD" w:rsidRPr="007C568D">
        <w:t xml:space="preserve"> of institutional</w:t>
      </w:r>
      <w:r w:rsidR="008A7963">
        <w:t xml:space="preserve"> </w:t>
      </w:r>
      <w:r>
        <w:t xml:space="preserve">change </w:t>
      </w:r>
      <w:r w:rsidR="00E104DD">
        <w:t>in which the existing networks largely achieved their aims</w:t>
      </w:r>
      <w:r w:rsidR="00E104DD" w:rsidRPr="007C568D">
        <w:t xml:space="preserve">, </w:t>
      </w:r>
      <w:r w:rsidR="00E104DD">
        <w:t>the factors that contributed to this</w:t>
      </w:r>
      <w:r w:rsidR="0035407D">
        <w:t xml:space="preserve"> outcome</w:t>
      </w:r>
      <w:r w:rsidR="00E104DD">
        <w:t xml:space="preserve"> reveal</w:t>
      </w:r>
      <w:r w:rsidR="00E104DD" w:rsidRPr="007C568D">
        <w:t xml:space="preserve"> </w:t>
      </w:r>
      <w:r w:rsidR="00E104DD" w:rsidRPr="00E20A6E">
        <w:t xml:space="preserve">the precariousness of </w:t>
      </w:r>
      <w:r w:rsidR="00E104DD">
        <w:t xml:space="preserve">institutions </w:t>
      </w:r>
      <w:r w:rsidR="00E104DD" w:rsidRPr="00E20A6E">
        <w:t>propped up by</w:t>
      </w:r>
      <w:r w:rsidR="008A7963">
        <w:t xml:space="preserve"> </w:t>
      </w:r>
      <w:r>
        <w:t>their</w:t>
      </w:r>
      <w:r w:rsidR="00E104DD" w:rsidRPr="00E20A6E">
        <w:t xml:space="preserve"> entrepreneurialism</w:t>
      </w:r>
      <w:r w:rsidR="00E104DD">
        <w:t>. Despite</w:t>
      </w:r>
      <w:r w:rsidR="00E104DD" w:rsidRPr="007C568D">
        <w:t xml:space="preserve"> </w:t>
      </w:r>
      <w:r w:rsidR="00E104DD">
        <w:t xml:space="preserve">its </w:t>
      </w:r>
      <w:r w:rsidR="00E104DD" w:rsidRPr="007C568D">
        <w:t xml:space="preserve">skilful </w:t>
      </w:r>
      <w:r w:rsidR="00E104DD">
        <w:t>deployment,</w:t>
      </w:r>
      <w:r w:rsidR="00E104DD" w:rsidRPr="007C568D">
        <w:t xml:space="preserve"> </w:t>
      </w:r>
      <w:r w:rsidR="00E104DD">
        <w:t xml:space="preserve">ERG/IRG </w:t>
      </w:r>
      <w:r w:rsidR="00E104DD" w:rsidRPr="007C568D">
        <w:t>came perilously close to failing</w:t>
      </w:r>
      <w:r w:rsidR="00E104DD">
        <w:t xml:space="preserve"> to protect their</w:t>
      </w:r>
      <w:r w:rsidR="00E104DD" w:rsidRPr="007C568D">
        <w:t xml:space="preserve"> </w:t>
      </w:r>
      <w:r w:rsidR="00E104DD">
        <w:t xml:space="preserve">mode of governance, which </w:t>
      </w:r>
      <w:r w:rsidR="00E104DD" w:rsidRPr="007C568D">
        <w:t>rema</w:t>
      </w:r>
      <w:r w:rsidR="00E104DD">
        <w:t>ins under considerable pressure,</w:t>
      </w:r>
      <w:r w:rsidR="00E104DD" w:rsidRPr="007C568D">
        <w:t xml:space="preserve"> its survival dependent on </w:t>
      </w:r>
      <w:r w:rsidR="00E104DD">
        <w:t>BEREC</w:t>
      </w:r>
      <w:r w:rsidR="00E104DD" w:rsidRPr="007C568D">
        <w:t xml:space="preserve"> continuing to persuade governments and the principal EU institutions</w:t>
      </w:r>
      <w:r w:rsidR="00E104DD" w:rsidRPr="007C568D">
        <w:rPr>
          <w:b/>
        </w:rPr>
        <w:t xml:space="preserve"> </w:t>
      </w:r>
      <w:r w:rsidR="00E104DD" w:rsidRPr="007C568D">
        <w:t xml:space="preserve">of </w:t>
      </w:r>
      <w:r w:rsidR="00E104DD">
        <w:t>its</w:t>
      </w:r>
      <w:r w:rsidR="00E104DD" w:rsidRPr="007C568D">
        <w:t xml:space="preserve"> value</w:t>
      </w:r>
      <w:r w:rsidR="00E104DD">
        <w:t>. The vulnerability to e</w:t>
      </w:r>
      <w:r w:rsidR="00E104DD" w:rsidRPr="00CC66FB">
        <w:t xml:space="preserve">xternal events and circumstances </w:t>
      </w:r>
      <w:r w:rsidR="00E104DD">
        <w:t xml:space="preserve">beyond BEREC’s </w:t>
      </w:r>
      <w:r w:rsidR="00E104DD" w:rsidRPr="00CC66FB">
        <w:t xml:space="preserve">control (e.g. </w:t>
      </w:r>
      <w:r w:rsidR="00E104DD">
        <w:t xml:space="preserve">changes to </w:t>
      </w:r>
      <w:r w:rsidR="00E104DD" w:rsidRPr="00CC66FB">
        <w:t>the wider political picture or emerging policy concerns)</w:t>
      </w:r>
      <w:r w:rsidR="00E104DD">
        <w:t xml:space="preserve"> again speaks to the need to blend, or layer, functionalist, political and institutionalist accounts when modelling European integration and institutional change in the context of transnational networks.</w:t>
      </w:r>
    </w:p>
    <w:p w:rsidR="005F1DED" w:rsidRDefault="005F1DED" w:rsidP="001D5F12">
      <w:pPr>
        <w:spacing w:after="0" w:line="480" w:lineRule="auto"/>
        <w:jc w:val="both"/>
      </w:pPr>
    </w:p>
    <w:p w:rsidR="00B035EC" w:rsidRDefault="00B27FDE" w:rsidP="001D5F12">
      <w:pPr>
        <w:spacing w:after="0" w:line="480" w:lineRule="auto"/>
        <w:jc w:val="both"/>
      </w:pPr>
      <w:r>
        <w:t>In developing this research agenda further, w</w:t>
      </w:r>
      <w:r w:rsidRPr="0066003E">
        <w:t xml:space="preserve">e might </w:t>
      </w:r>
      <w:r>
        <w:t>finally</w:t>
      </w:r>
      <w:r w:rsidRPr="0066003E">
        <w:t xml:space="preserve"> consider whether the</w:t>
      </w:r>
      <w:r>
        <w:t xml:space="preserve"> </w:t>
      </w:r>
      <w:r w:rsidRPr="0066003E">
        <w:t>resistance</w:t>
      </w:r>
      <w:r>
        <w:t xml:space="preserve"> of transnational networks</w:t>
      </w:r>
      <w:r w:rsidRPr="0066003E">
        <w:t xml:space="preserve"> to centralisation (</w:t>
      </w:r>
      <w:proofErr w:type="spellStart"/>
      <w:r w:rsidRPr="0066003E">
        <w:t>agencification</w:t>
      </w:r>
      <w:proofErr w:type="spellEnd"/>
      <w:r w:rsidRPr="0066003E">
        <w:t>) and formalisation (the hardening of the disciplining to which the network subjects its members, usually through the Commission) is born of self-preservation –  simply to avoid being superseded by a</w:t>
      </w:r>
      <w:r>
        <w:t xml:space="preserve"> more centralised body</w:t>
      </w:r>
      <w:r w:rsidR="00F05C72">
        <w:t xml:space="preserve"> </w:t>
      </w:r>
      <w:r w:rsidRPr="0066003E">
        <w:t xml:space="preserve">– or is instead attributable </w:t>
      </w:r>
      <w:r w:rsidRPr="0066003E">
        <w:lastRenderedPageBreak/>
        <w:t>to their commitments</w:t>
      </w:r>
      <w:r w:rsidR="00E10919">
        <w:t>,</w:t>
      </w:r>
      <w:r w:rsidRPr="0066003E">
        <w:t xml:space="preserve"> as an epistemic community, to an experimental mode of governance based on collegiality, peer-review, consensus-building and mutual learning (Haas, 1992; </w:t>
      </w:r>
      <w:proofErr w:type="spellStart"/>
      <w:r w:rsidRPr="0066003E">
        <w:t>Sabel</w:t>
      </w:r>
      <w:proofErr w:type="spellEnd"/>
      <w:r w:rsidRPr="0066003E">
        <w:t xml:space="preserve"> and Zeitlin, 2010).</w:t>
      </w:r>
      <w:r w:rsidR="00F11E16">
        <w:t xml:space="preserve"> </w:t>
      </w:r>
      <w:r w:rsidR="00C27DBE">
        <w:t>If</w:t>
      </w:r>
      <w:r w:rsidR="00C27DBE" w:rsidRPr="00C27DBE">
        <w:t xml:space="preserve"> these networks and the epistemic communities populat</w:t>
      </w:r>
      <w:r w:rsidR="00F05C72">
        <w:t>ing</w:t>
      </w:r>
      <w:r w:rsidR="00C27DBE" w:rsidRPr="00C27DBE">
        <w:t xml:space="preserve"> them form a symbiotic relationship that sustain and reinforce one another, excluding (or at least making more difficult) alternative architectures</w:t>
      </w:r>
      <w:r w:rsidR="00F05C72">
        <w:t>, they will be inclined to</w:t>
      </w:r>
      <w:r w:rsidR="00C27DBE" w:rsidRPr="00C27DBE">
        <w:t xml:space="preserve"> influence institutional change </w:t>
      </w:r>
      <w:r w:rsidR="00F05C72">
        <w:t>in their own image;</w:t>
      </w:r>
      <w:r w:rsidR="00C27DBE" w:rsidRPr="00C27DBE">
        <w:t xml:space="preserve"> to replicate their own decentralised/deformalized governance practices</w:t>
      </w:r>
      <w:r w:rsidR="00F05C72">
        <w:t xml:space="preserve"> that</w:t>
      </w:r>
      <w:r w:rsidR="00C27DBE" w:rsidRPr="00C27DBE">
        <w:t xml:space="preserve"> they deem suited to EU governance more generally. </w:t>
      </w:r>
      <w:r w:rsidR="001F39AB">
        <w:t xml:space="preserve">NRAs in our study </w:t>
      </w:r>
      <w:r w:rsidR="00E10919">
        <w:t xml:space="preserve">commonly </w:t>
      </w:r>
      <w:r w:rsidR="001F39AB">
        <w:t xml:space="preserve">described their involvement </w:t>
      </w:r>
      <w:r w:rsidR="00E10919">
        <w:t xml:space="preserve">in the negotiations </w:t>
      </w:r>
      <w:r w:rsidR="001F39AB">
        <w:t>as an institutional ‘power struggle’ (NRA official) but</w:t>
      </w:r>
      <w:r w:rsidR="00CE28A7">
        <w:t xml:space="preserve"> </w:t>
      </w:r>
      <w:r w:rsidR="00B035EC">
        <w:t xml:space="preserve">clearly the fact that they </w:t>
      </w:r>
      <w:r w:rsidR="00CE28A7">
        <w:t>were</w:t>
      </w:r>
      <w:r w:rsidR="00B035EC">
        <w:t xml:space="preserve"> </w:t>
      </w:r>
      <w:r w:rsidR="00CE28A7">
        <w:t xml:space="preserve">highly </w:t>
      </w:r>
      <w:r w:rsidR="00E10919">
        <w:t>committed</w:t>
      </w:r>
      <w:r w:rsidR="00CE28A7">
        <w:t>, as an epistemic community, t</w:t>
      </w:r>
      <w:r w:rsidR="00E10919">
        <w:t>o their networked ‘way of working’ (another NRA official)</w:t>
      </w:r>
      <w:r w:rsidR="00B035EC">
        <w:t>, also played a role. W</w:t>
      </w:r>
      <w:r w:rsidR="00CE28A7">
        <w:t>hether the latter is</w:t>
      </w:r>
      <w:r w:rsidR="00CE28A7" w:rsidRPr="00C97A6A">
        <w:t xml:space="preserve"> truly a factor that contributes to the resilience of a distinct, transnationally networked, soft disciplining mode of governance will again require careful comparative research.</w:t>
      </w:r>
    </w:p>
    <w:p w:rsidR="001A3667" w:rsidRDefault="001A3667" w:rsidP="001D5F12">
      <w:pPr>
        <w:spacing w:after="0" w:line="480" w:lineRule="auto"/>
        <w:jc w:val="both"/>
      </w:pPr>
    </w:p>
    <w:p w:rsidR="002C0D0A" w:rsidRDefault="002C0D0A" w:rsidP="001D5F12">
      <w:pPr>
        <w:pStyle w:val="Heading1"/>
        <w:spacing w:line="480" w:lineRule="auto"/>
      </w:pPr>
      <w:r w:rsidRPr="002C0D0A">
        <w:t>References</w:t>
      </w:r>
    </w:p>
    <w:p w:rsidR="002C0D0A" w:rsidRDefault="002C0D0A" w:rsidP="001D5F12">
      <w:pPr>
        <w:spacing w:after="0" w:line="480" w:lineRule="auto"/>
      </w:pPr>
    </w:p>
    <w:p w:rsidR="002C0D0A" w:rsidRDefault="002C0D0A" w:rsidP="001D5F12">
      <w:pPr>
        <w:spacing w:after="0" w:line="480" w:lineRule="auto"/>
      </w:pPr>
      <w:r w:rsidRPr="002C0D0A">
        <w:t xml:space="preserve">Adler, E. and Haas, P. (1992) ‘Conclusion: Epistemic Communities, World Order, and the Creation of a Reflective Research Program’. </w:t>
      </w:r>
      <w:r w:rsidRPr="002C0D0A">
        <w:rPr>
          <w:i/>
        </w:rPr>
        <w:t>International Organisation</w:t>
      </w:r>
      <w:r w:rsidRPr="002C0D0A">
        <w:t xml:space="preserve"> </w:t>
      </w:r>
      <w:r w:rsidR="0009509A">
        <w:t>Vol.</w:t>
      </w:r>
      <w:r w:rsidRPr="002C0D0A">
        <w:t xml:space="preserve">46, </w:t>
      </w:r>
      <w:r w:rsidR="0009509A">
        <w:t>No.</w:t>
      </w:r>
      <w:r w:rsidRPr="002C0D0A">
        <w:t>1, pp</w:t>
      </w:r>
      <w:r>
        <w:t>.</w:t>
      </w:r>
      <w:r w:rsidRPr="002C0D0A">
        <w:t>367-390.</w:t>
      </w:r>
    </w:p>
    <w:p w:rsidR="00305FC9" w:rsidRPr="002C0D0A" w:rsidRDefault="00305FC9" w:rsidP="001D5F12">
      <w:pPr>
        <w:spacing w:after="0" w:line="480" w:lineRule="auto"/>
      </w:pPr>
    </w:p>
    <w:p w:rsidR="002C0D0A" w:rsidRDefault="002C0D0A" w:rsidP="001D5F12">
      <w:pPr>
        <w:spacing w:after="0" w:line="480" w:lineRule="auto"/>
      </w:pPr>
      <w:r w:rsidRPr="002C0D0A">
        <w:t xml:space="preserve">BEREC (2011) Speech by BEREC Chair Chris </w:t>
      </w:r>
      <w:proofErr w:type="spellStart"/>
      <w:r w:rsidRPr="002C0D0A">
        <w:t>Fonteijn</w:t>
      </w:r>
      <w:proofErr w:type="spellEnd"/>
      <w:r w:rsidRPr="002C0D0A">
        <w:t xml:space="preserve">, 16 May. Available at </w:t>
      </w:r>
      <w:hyperlink r:id="rId8" w:history="1">
        <w:r w:rsidRPr="00D90ECA">
          <w:rPr>
            <w:rStyle w:val="Hyperlink"/>
          </w:rPr>
          <w:t>http://berec.europa.eu/files/speeches/comp_law.pdf. Accessed 10 January 2016</w:t>
        </w:r>
      </w:hyperlink>
      <w:r w:rsidRPr="002C0D0A">
        <w:t>.</w:t>
      </w:r>
    </w:p>
    <w:p w:rsidR="002C0D0A" w:rsidRPr="002C0D0A" w:rsidRDefault="002C0D0A" w:rsidP="001D5F12">
      <w:pPr>
        <w:spacing w:after="0" w:line="480" w:lineRule="auto"/>
      </w:pPr>
    </w:p>
    <w:p w:rsidR="002C0D0A" w:rsidRDefault="002C0D0A" w:rsidP="001D5F12">
      <w:pPr>
        <w:spacing w:after="0" w:line="480" w:lineRule="auto"/>
      </w:pPr>
      <w:r w:rsidRPr="002C0D0A">
        <w:t xml:space="preserve">BEREC (2012) BEREC Input to the European Commission on the BEREC and BEREC Office Evaluation Exercise, </w:t>
      </w:r>
      <w:proofErr w:type="spellStart"/>
      <w:r w:rsidRPr="002C0D0A">
        <w:t>BoR</w:t>
      </w:r>
      <w:proofErr w:type="spellEnd"/>
      <w:r w:rsidRPr="002C0D0A">
        <w:t xml:space="preserve"> (12) 118. Available at: </w:t>
      </w:r>
      <w:hyperlink r:id="rId9" w:history="1">
        <w:r w:rsidRPr="002C0D0A">
          <w:rPr>
            <w:rStyle w:val="Hyperlink"/>
          </w:rPr>
          <w:t>http://berec.europa.eu/eng/document_register/subject_matter/berec/others/1073-berec-input-to-the-european-commission-on-the-berec-and-berec-office-evaluation-exercise</w:t>
        </w:r>
      </w:hyperlink>
      <w:r w:rsidRPr="002C0D0A">
        <w:t>. Accessed 10 January 2016.</w:t>
      </w:r>
    </w:p>
    <w:p w:rsidR="002C0D0A" w:rsidRPr="002C0D0A" w:rsidRDefault="002C0D0A" w:rsidP="001D5F12">
      <w:pPr>
        <w:spacing w:after="0" w:line="480" w:lineRule="auto"/>
      </w:pPr>
    </w:p>
    <w:p w:rsidR="002C0D0A" w:rsidRDefault="002C0D0A" w:rsidP="001D5F12">
      <w:pPr>
        <w:spacing w:after="0" w:line="480" w:lineRule="auto"/>
      </w:pPr>
      <w:r w:rsidRPr="002C0D0A">
        <w:t xml:space="preserve">BEREC (2015) Opinion on the Review of the Regulatory Framework </w:t>
      </w:r>
      <w:proofErr w:type="spellStart"/>
      <w:r w:rsidRPr="002C0D0A">
        <w:t>BoR</w:t>
      </w:r>
      <w:proofErr w:type="spellEnd"/>
      <w:r w:rsidRPr="002C0D0A">
        <w:t xml:space="preserve"> (15) 227. Available at: </w:t>
      </w:r>
      <w:hyperlink r:id="rId10" w:history="1">
        <w:r w:rsidRPr="002C0D0A">
          <w:rPr>
            <w:rStyle w:val="Hyperlink"/>
          </w:rPr>
          <w:t>http://berec.europa.eu/eng/document_register/subject_matter/berec/press_releases/5590-berec-adopts-its-opinion-on-the-review-of-the-regulatory-framework</w:t>
        </w:r>
      </w:hyperlink>
      <w:r w:rsidRPr="002C0D0A">
        <w:t>. Accessed 10 January 2016.</w:t>
      </w:r>
    </w:p>
    <w:p w:rsidR="002C0D0A" w:rsidRPr="002C0D0A" w:rsidRDefault="002C0D0A" w:rsidP="001D5F12">
      <w:pPr>
        <w:spacing w:after="0" w:line="480" w:lineRule="auto"/>
      </w:pPr>
    </w:p>
    <w:p w:rsidR="002C0D0A" w:rsidRDefault="002C0D0A" w:rsidP="001D5F12">
      <w:pPr>
        <w:spacing w:after="0" w:line="480" w:lineRule="auto"/>
      </w:pPr>
      <w:proofErr w:type="spellStart"/>
      <w:r w:rsidRPr="002C0D0A">
        <w:t>Blauberger</w:t>
      </w:r>
      <w:proofErr w:type="spellEnd"/>
      <w:r w:rsidRPr="002C0D0A">
        <w:t xml:space="preserve">, M. and </w:t>
      </w:r>
      <w:proofErr w:type="spellStart"/>
      <w:r w:rsidRPr="002C0D0A">
        <w:t>Rittberger</w:t>
      </w:r>
      <w:proofErr w:type="spellEnd"/>
      <w:r w:rsidRPr="002C0D0A">
        <w:t xml:space="preserve">, B. (2015) ‘Conceptualizing and Theorising EU Regulatory Networks’. </w:t>
      </w:r>
      <w:r w:rsidRPr="002C0D0A">
        <w:rPr>
          <w:i/>
        </w:rPr>
        <w:t>Regulation &amp; Governance</w:t>
      </w:r>
      <w:r w:rsidRPr="002C0D0A">
        <w:t>, Vol.9, No.4, pp.</w:t>
      </w:r>
      <w:r>
        <w:t>367-</w:t>
      </w:r>
      <w:r w:rsidRPr="002C0D0A">
        <w:t xml:space="preserve">376. </w:t>
      </w:r>
    </w:p>
    <w:p w:rsidR="006C090F" w:rsidRDefault="006C090F" w:rsidP="001D5F12">
      <w:pPr>
        <w:spacing w:after="0" w:line="480" w:lineRule="auto"/>
      </w:pPr>
    </w:p>
    <w:p w:rsidR="002C0D0A" w:rsidRDefault="006C090F" w:rsidP="001D5F12">
      <w:pPr>
        <w:spacing w:after="0" w:line="480" w:lineRule="auto"/>
      </w:pPr>
      <w:r w:rsidRPr="006C090F">
        <w:t>Boeger</w:t>
      </w:r>
      <w:r>
        <w:t xml:space="preserve">, N. and </w:t>
      </w:r>
      <w:r w:rsidRPr="006C090F">
        <w:t>Corkin,</w:t>
      </w:r>
      <w:r>
        <w:t xml:space="preserve"> J. (2012)</w:t>
      </w:r>
      <w:r w:rsidRPr="006C090F">
        <w:t xml:space="preserve"> 'The Resilience of Sector-Specific Regulation in the Liberalized Sectors: Structural necessities or</w:t>
      </w:r>
      <w:r>
        <w:t xml:space="preserve"> institutional inertias?’ in </w:t>
      </w:r>
      <w:r w:rsidRPr="006C090F">
        <w:t>Heide-Jorgensen</w:t>
      </w:r>
      <w:r>
        <w:t>, C.</w:t>
      </w:r>
      <w:r w:rsidRPr="006C090F">
        <w:t xml:space="preserve"> </w:t>
      </w:r>
      <w:r w:rsidRPr="00E9028D">
        <w:rPr>
          <w:i/>
        </w:rPr>
        <w:t>et al.</w:t>
      </w:r>
      <w:r>
        <w:t xml:space="preserve"> </w:t>
      </w:r>
      <w:r w:rsidRPr="006C090F">
        <w:t>(</w:t>
      </w:r>
      <w:proofErr w:type="spellStart"/>
      <w:r w:rsidRPr="006C090F">
        <w:t>ed</w:t>
      </w:r>
      <w:r>
        <w:t>s</w:t>
      </w:r>
      <w:proofErr w:type="spellEnd"/>
      <w:r w:rsidRPr="006C090F">
        <w:t xml:space="preserve">), </w:t>
      </w:r>
      <w:r w:rsidRPr="00E9028D">
        <w:rPr>
          <w:i/>
        </w:rPr>
        <w:t>The Aims and Values of Competition Law</w:t>
      </w:r>
      <w:r w:rsidRPr="006C090F">
        <w:t xml:space="preserve"> (</w:t>
      </w:r>
      <w:r>
        <w:t xml:space="preserve">Copenhagen: </w:t>
      </w:r>
      <w:proofErr w:type="spellStart"/>
      <w:r>
        <w:t>Djoef</w:t>
      </w:r>
      <w:proofErr w:type="spellEnd"/>
      <w:r>
        <w:t xml:space="preserve"> Publishing), pp.</w:t>
      </w:r>
      <w:r w:rsidRPr="006C090F">
        <w:t xml:space="preserve">297 </w:t>
      </w:r>
      <w:r>
        <w:t>–</w:t>
      </w:r>
      <w:r w:rsidRPr="006C090F">
        <w:t xml:space="preserve"> 321</w:t>
      </w:r>
      <w:r>
        <w:t>.</w:t>
      </w:r>
    </w:p>
    <w:p w:rsidR="006C090F" w:rsidRPr="002C0D0A" w:rsidRDefault="006C090F" w:rsidP="001D5F12">
      <w:pPr>
        <w:spacing w:after="0" w:line="480" w:lineRule="auto"/>
      </w:pPr>
    </w:p>
    <w:p w:rsidR="002C0D0A" w:rsidRDefault="002C0D0A" w:rsidP="001D5F12">
      <w:pPr>
        <w:spacing w:after="0" w:line="480" w:lineRule="auto"/>
        <w:rPr>
          <w:iCs/>
        </w:rPr>
      </w:pPr>
      <w:proofErr w:type="spellStart"/>
      <w:r w:rsidRPr="002C0D0A">
        <w:t>Boin</w:t>
      </w:r>
      <w:proofErr w:type="spellEnd"/>
      <w:r w:rsidRPr="002C0D0A">
        <w:t xml:space="preserve">, A., </w:t>
      </w:r>
      <w:proofErr w:type="spellStart"/>
      <w:r w:rsidRPr="002C0D0A">
        <w:t>Busuioc</w:t>
      </w:r>
      <w:proofErr w:type="spellEnd"/>
      <w:r w:rsidRPr="002C0D0A">
        <w:t xml:space="preserve">, M. and </w:t>
      </w:r>
      <w:proofErr w:type="spellStart"/>
      <w:r w:rsidRPr="002C0D0A">
        <w:t>Groenleer</w:t>
      </w:r>
      <w:proofErr w:type="spellEnd"/>
      <w:r w:rsidRPr="002C0D0A">
        <w:t xml:space="preserve">, M. (2014) ‘Building European Union Capacity to Manage Transboundary </w:t>
      </w:r>
      <w:proofErr w:type="spellStart"/>
      <w:r w:rsidRPr="002C0D0A">
        <w:t>Crizes</w:t>
      </w:r>
      <w:proofErr w:type="spellEnd"/>
      <w:r w:rsidRPr="002C0D0A">
        <w:t>: Network or Lead-Agency Model?’. </w:t>
      </w:r>
      <w:r w:rsidRPr="002C0D0A">
        <w:rPr>
          <w:i/>
          <w:iCs/>
        </w:rPr>
        <w:t>Regulation &amp; Governance,</w:t>
      </w:r>
      <w:r w:rsidRPr="002C0D0A">
        <w:rPr>
          <w:iCs/>
        </w:rPr>
        <w:t> </w:t>
      </w:r>
      <w:r w:rsidR="0009509A">
        <w:rPr>
          <w:iCs/>
        </w:rPr>
        <w:t>Vol.</w:t>
      </w:r>
      <w:r w:rsidRPr="002C0D0A">
        <w:rPr>
          <w:iCs/>
        </w:rPr>
        <w:t xml:space="preserve">8, No.4, </w:t>
      </w:r>
      <w:r>
        <w:rPr>
          <w:iCs/>
        </w:rPr>
        <w:t>pp.</w:t>
      </w:r>
      <w:r w:rsidRPr="002C0D0A">
        <w:rPr>
          <w:iCs/>
        </w:rPr>
        <w:t>418-436.</w:t>
      </w:r>
    </w:p>
    <w:p w:rsidR="002C0D0A" w:rsidRPr="002C0D0A" w:rsidRDefault="002C0D0A" w:rsidP="001D5F12">
      <w:pPr>
        <w:spacing w:after="0" w:line="480" w:lineRule="auto"/>
        <w:rPr>
          <w:i/>
        </w:rPr>
      </w:pPr>
    </w:p>
    <w:p w:rsidR="002C0D0A" w:rsidRDefault="002C0D0A" w:rsidP="001D5F12">
      <w:pPr>
        <w:spacing w:after="0" w:line="480" w:lineRule="auto"/>
      </w:pPr>
      <w:proofErr w:type="spellStart"/>
      <w:r w:rsidRPr="002C0D0A">
        <w:t>Busuioc</w:t>
      </w:r>
      <w:proofErr w:type="spellEnd"/>
      <w:r w:rsidRPr="002C0D0A">
        <w:t xml:space="preserve">, M. (2013) </w:t>
      </w:r>
      <w:r w:rsidRPr="002C0D0A">
        <w:rPr>
          <w:i/>
        </w:rPr>
        <w:t>European Agencies: Law and Practices of Accountability</w:t>
      </w:r>
      <w:r w:rsidRPr="002C0D0A">
        <w:t xml:space="preserve"> (Oxford: Oxford University Press).</w:t>
      </w:r>
    </w:p>
    <w:p w:rsidR="002C0D0A" w:rsidRPr="002C0D0A" w:rsidRDefault="002C0D0A" w:rsidP="001D5F12">
      <w:pPr>
        <w:spacing w:after="0" w:line="480" w:lineRule="auto"/>
      </w:pPr>
    </w:p>
    <w:p w:rsidR="002C0D0A" w:rsidRDefault="002C0D0A" w:rsidP="001D5F12">
      <w:pPr>
        <w:spacing w:after="0" w:line="480" w:lineRule="auto"/>
      </w:pPr>
      <w:r w:rsidRPr="002C0D0A">
        <w:t>Coen, D. and Thatcher, M. (2008) ‘Network Governance and Mul</w:t>
      </w:r>
      <w:r w:rsidR="007D4637">
        <w:t>ti</w:t>
      </w:r>
      <w:r w:rsidRPr="002C0D0A">
        <w:t xml:space="preserve">-Level Delegation: European Networks of Regulatory Agencies’. </w:t>
      </w:r>
      <w:r w:rsidRPr="002C0D0A">
        <w:rPr>
          <w:i/>
        </w:rPr>
        <w:t>Journal of Public Policy</w:t>
      </w:r>
      <w:r w:rsidRPr="002C0D0A">
        <w:t xml:space="preserve">, </w:t>
      </w:r>
      <w:r w:rsidR="0009509A">
        <w:t>Vol.</w:t>
      </w:r>
      <w:r w:rsidRPr="002C0D0A">
        <w:t xml:space="preserve">28, </w:t>
      </w:r>
      <w:r w:rsidR="0009509A">
        <w:t>No.</w:t>
      </w:r>
      <w:r w:rsidRPr="002C0D0A">
        <w:t>1, pp</w:t>
      </w:r>
      <w:r>
        <w:t>.</w:t>
      </w:r>
      <w:r w:rsidRPr="002C0D0A">
        <w:t>49</w:t>
      </w:r>
      <w:r w:rsidR="0009509A">
        <w:t>-</w:t>
      </w:r>
      <w:r w:rsidRPr="002C0D0A">
        <w:t>71.</w:t>
      </w:r>
    </w:p>
    <w:p w:rsidR="002C0D0A" w:rsidRDefault="002C0D0A" w:rsidP="001D5F12">
      <w:pPr>
        <w:spacing w:after="0" w:line="480" w:lineRule="auto"/>
      </w:pPr>
    </w:p>
    <w:p w:rsidR="004A37EE" w:rsidRDefault="004A37EE" w:rsidP="001D5F12">
      <w:pPr>
        <w:spacing w:after="0" w:line="480" w:lineRule="auto"/>
      </w:pPr>
      <w:r w:rsidRPr="004A37EE">
        <w:lastRenderedPageBreak/>
        <w:t>Council (2007), 2835th Council meeting on Transport, Telecommunications and Energy, 29‐30 November and 3 December 2007, Press Release 15891/07 (Presse 274)</w:t>
      </w:r>
      <w:r w:rsidR="00961300">
        <w:t>.</w:t>
      </w:r>
    </w:p>
    <w:p w:rsidR="004A37EE" w:rsidRPr="002C0D0A" w:rsidRDefault="004A37EE" w:rsidP="001D5F12">
      <w:pPr>
        <w:spacing w:after="0" w:line="480" w:lineRule="auto"/>
      </w:pPr>
    </w:p>
    <w:p w:rsidR="002C0D0A" w:rsidRDefault="002C0D0A" w:rsidP="001D5F12">
      <w:pPr>
        <w:spacing w:after="0" w:line="480" w:lineRule="auto"/>
      </w:pPr>
      <w:r w:rsidRPr="002C0D0A">
        <w:t xml:space="preserve">Curtin, D. and </w:t>
      </w:r>
      <w:proofErr w:type="spellStart"/>
      <w:r w:rsidRPr="002C0D0A">
        <w:t>Egeberg</w:t>
      </w:r>
      <w:proofErr w:type="spellEnd"/>
      <w:r w:rsidRPr="002C0D0A">
        <w:t xml:space="preserve">, M. (2008) ‘Tradition and Innovation: Europe’s Accumulated Executive Order’. </w:t>
      </w:r>
      <w:r w:rsidRPr="002C0D0A">
        <w:rPr>
          <w:i/>
        </w:rPr>
        <w:t>West European Politics</w:t>
      </w:r>
      <w:r w:rsidRPr="002C0D0A">
        <w:t xml:space="preserve">, </w:t>
      </w:r>
      <w:r w:rsidR="0009509A">
        <w:t>Vol.</w:t>
      </w:r>
      <w:r w:rsidRPr="002C0D0A">
        <w:t xml:space="preserve">31, </w:t>
      </w:r>
      <w:r w:rsidR="0009509A">
        <w:t>No.</w:t>
      </w:r>
      <w:r w:rsidRPr="002C0D0A">
        <w:t xml:space="preserve">4, </w:t>
      </w:r>
      <w:r>
        <w:t>pp.</w:t>
      </w:r>
      <w:r w:rsidRPr="002C0D0A">
        <w:t>639-661.</w:t>
      </w:r>
    </w:p>
    <w:p w:rsidR="002C0D0A" w:rsidRPr="002C0D0A" w:rsidRDefault="002C0D0A" w:rsidP="001D5F12">
      <w:pPr>
        <w:spacing w:after="0" w:line="480" w:lineRule="auto"/>
      </w:pPr>
    </w:p>
    <w:p w:rsidR="002C0D0A" w:rsidRDefault="002C0D0A" w:rsidP="001D5F12">
      <w:pPr>
        <w:spacing w:after="0" w:line="480" w:lineRule="auto"/>
      </w:pPr>
      <w:proofErr w:type="spellStart"/>
      <w:r w:rsidRPr="002C0D0A">
        <w:t>Dehousse</w:t>
      </w:r>
      <w:proofErr w:type="spellEnd"/>
      <w:r w:rsidRPr="002C0D0A">
        <w:t xml:space="preserve">, R. (1997) ‘Regulation by Networks in the European Community: The Role of European Agencies’. </w:t>
      </w:r>
      <w:r w:rsidRPr="002C0D0A">
        <w:rPr>
          <w:i/>
        </w:rPr>
        <w:t>Journal of European Public Policy</w:t>
      </w:r>
      <w:r w:rsidRPr="002C0D0A">
        <w:t xml:space="preserve">, </w:t>
      </w:r>
      <w:r w:rsidR="0009509A">
        <w:t>Vol.</w:t>
      </w:r>
      <w:r w:rsidRPr="002C0D0A">
        <w:t xml:space="preserve">4, </w:t>
      </w:r>
      <w:r w:rsidR="0009509A">
        <w:t>No.</w:t>
      </w:r>
      <w:r w:rsidRPr="002C0D0A">
        <w:t xml:space="preserve">2, </w:t>
      </w:r>
      <w:r>
        <w:t>pp.</w:t>
      </w:r>
      <w:r w:rsidRPr="002C0D0A">
        <w:t xml:space="preserve">246-261. </w:t>
      </w:r>
    </w:p>
    <w:p w:rsidR="002C0D0A" w:rsidRPr="002C0D0A" w:rsidRDefault="002C0D0A" w:rsidP="001D5F12">
      <w:pPr>
        <w:spacing w:after="0" w:line="480" w:lineRule="auto"/>
      </w:pPr>
    </w:p>
    <w:p w:rsidR="001E2202" w:rsidRDefault="001E2202" w:rsidP="001D5F12">
      <w:pPr>
        <w:spacing w:after="0" w:line="480" w:lineRule="auto"/>
        <w:jc w:val="both"/>
      </w:pPr>
      <w:proofErr w:type="spellStart"/>
      <w:r w:rsidRPr="00B73E4B">
        <w:t>Diedrichs</w:t>
      </w:r>
      <w:proofErr w:type="spellEnd"/>
      <w:r w:rsidRPr="00B73E4B">
        <w:t xml:space="preserve">, </w:t>
      </w:r>
      <w:r>
        <w:t xml:space="preserve">U., </w:t>
      </w:r>
      <w:proofErr w:type="spellStart"/>
      <w:r w:rsidRPr="00B73E4B">
        <w:t>Reiners</w:t>
      </w:r>
      <w:proofErr w:type="spellEnd"/>
      <w:r w:rsidRPr="00B73E4B">
        <w:t xml:space="preserve"> </w:t>
      </w:r>
      <w:r>
        <w:t xml:space="preserve">W. </w:t>
      </w:r>
      <w:r w:rsidRPr="00B73E4B">
        <w:t xml:space="preserve">and </w:t>
      </w:r>
      <w:proofErr w:type="spellStart"/>
      <w:r w:rsidRPr="00B73E4B">
        <w:t>Wessels</w:t>
      </w:r>
      <w:proofErr w:type="spellEnd"/>
      <w:r w:rsidRPr="00B73E4B">
        <w:t xml:space="preserve">, </w:t>
      </w:r>
      <w:r>
        <w:t xml:space="preserve">W. </w:t>
      </w:r>
      <w:r w:rsidR="00991868">
        <w:t xml:space="preserve">(2011) </w:t>
      </w:r>
      <w:r w:rsidRPr="00B73E4B">
        <w:t>‘New Modes of Governance: Policy developments and the hidden steps of EU integration</w:t>
      </w:r>
      <w:r w:rsidR="00991868">
        <w:t xml:space="preserve">.’ In </w:t>
      </w:r>
      <w:proofErr w:type="spellStart"/>
      <w:r w:rsidRPr="00B73E4B">
        <w:t>Héritier</w:t>
      </w:r>
      <w:proofErr w:type="spellEnd"/>
      <w:r w:rsidR="00991868">
        <w:t xml:space="preserve">, A. and </w:t>
      </w:r>
      <w:r w:rsidRPr="00B73E4B">
        <w:t>Rhodes</w:t>
      </w:r>
      <w:r w:rsidR="00991868">
        <w:t>, M.</w:t>
      </w:r>
      <w:r w:rsidRPr="00B73E4B">
        <w:t xml:space="preserve"> (</w:t>
      </w:r>
      <w:proofErr w:type="spellStart"/>
      <w:r w:rsidRPr="00B73E4B">
        <w:t>eds</w:t>
      </w:r>
      <w:proofErr w:type="spellEnd"/>
      <w:r w:rsidRPr="00B73E4B">
        <w:t xml:space="preserve">), </w:t>
      </w:r>
      <w:r w:rsidRPr="00B73E4B">
        <w:rPr>
          <w:i/>
        </w:rPr>
        <w:t>New Modes of Governance in Europe</w:t>
      </w:r>
      <w:r w:rsidRPr="00B73E4B">
        <w:t xml:space="preserve"> </w:t>
      </w:r>
      <w:r w:rsidR="00991868">
        <w:t>(</w:t>
      </w:r>
      <w:r w:rsidR="00991868" w:rsidRPr="00991868">
        <w:t>Basingstoke: Palgrave Macmillan</w:t>
      </w:r>
      <w:r>
        <w:t>)</w:t>
      </w:r>
    </w:p>
    <w:p w:rsidR="001E2202" w:rsidRDefault="001E2202" w:rsidP="001D5F12">
      <w:pPr>
        <w:spacing w:after="0" w:line="480" w:lineRule="auto"/>
        <w:jc w:val="both"/>
      </w:pPr>
    </w:p>
    <w:p w:rsidR="002C0D0A" w:rsidRDefault="002C0D0A" w:rsidP="001D5F12">
      <w:pPr>
        <w:spacing w:after="0" w:line="480" w:lineRule="auto"/>
      </w:pPr>
      <w:proofErr w:type="spellStart"/>
      <w:r w:rsidRPr="002C0D0A">
        <w:t>Eberlein</w:t>
      </w:r>
      <w:proofErr w:type="spellEnd"/>
      <w:r w:rsidRPr="002C0D0A">
        <w:t xml:space="preserve">, B. and Newman, A. (2008) ‘Escaping the International Governance Dilemma? Incorporated </w:t>
      </w:r>
      <w:proofErr w:type="spellStart"/>
      <w:r w:rsidRPr="002C0D0A">
        <w:t>Transgovernmental</w:t>
      </w:r>
      <w:proofErr w:type="spellEnd"/>
      <w:r w:rsidRPr="002C0D0A">
        <w:t xml:space="preserve"> Networks in the European Union’. </w:t>
      </w:r>
      <w:r w:rsidRPr="002C0D0A">
        <w:rPr>
          <w:i/>
        </w:rPr>
        <w:t>Governance</w:t>
      </w:r>
      <w:r w:rsidRPr="002C0D0A">
        <w:t xml:space="preserve">, </w:t>
      </w:r>
      <w:r w:rsidR="0009509A">
        <w:t>Vol.</w:t>
      </w:r>
      <w:r w:rsidRPr="002C0D0A">
        <w:t xml:space="preserve">21, </w:t>
      </w:r>
      <w:r w:rsidR="0009509A">
        <w:t>No.</w:t>
      </w:r>
      <w:r w:rsidRPr="002C0D0A">
        <w:t>1, pp.</w:t>
      </w:r>
      <w:r w:rsidR="0009509A">
        <w:t>25-</w:t>
      </w:r>
      <w:r w:rsidRPr="002C0D0A">
        <w:t>52.</w:t>
      </w:r>
    </w:p>
    <w:p w:rsidR="002C0D0A" w:rsidRPr="002C0D0A" w:rsidRDefault="002C0D0A" w:rsidP="001D5F12">
      <w:pPr>
        <w:spacing w:after="0" w:line="480" w:lineRule="auto"/>
      </w:pPr>
    </w:p>
    <w:p w:rsidR="002C0D0A" w:rsidRDefault="002C0D0A" w:rsidP="001D5F12">
      <w:pPr>
        <w:spacing w:after="0" w:line="480" w:lineRule="auto"/>
      </w:pPr>
      <w:proofErr w:type="spellStart"/>
      <w:r w:rsidRPr="002C0D0A">
        <w:t>Egeberg</w:t>
      </w:r>
      <w:proofErr w:type="spellEnd"/>
      <w:r w:rsidRPr="002C0D0A">
        <w:t xml:space="preserve">, M. and </w:t>
      </w:r>
      <w:proofErr w:type="spellStart"/>
      <w:r w:rsidRPr="002C0D0A">
        <w:t>Trondal</w:t>
      </w:r>
      <w:proofErr w:type="spellEnd"/>
      <w:r w:rsidRPr="002C0D0A">
        <w:t xml:space="preserve">, J. (2009) ‘Political Leadership and Bureaucratic Autonomy: Effects of </w:t>
      </w:r>
      <w:proofErr w:type="spellStart"/>
      <w:r w:rsidRPr="002C0D0A">
        <w:t>Agencification</w:t>
      </w:r>
      <w:proofErr w:type="spellEnd"/>
      <w:r w:rsidRPr="002C0D0A">
        <w:t xml:space="preserve">’. </w:t>
      </w:r>
      <w:r w:rsidRPr="002C0D0A">
        <w:rPr>
          <w:i/>
        </w:rPr>
        <w:t>Governance</w:t>
      </w:r>
      <w:r w:rsidRPr="002C0D0A">
        <w:t xml:space="preserve">, </w:t>
      </w:r>
      <w:r w:rsidR="0009509A">
        <w:t>Vol.</w:t>
      </w:r>
      <w:r w:rsidRPr="002C0D0A">
        <w:t xml:space="preserve">22, </w:t>
      </w:r>
      <w:r w:rsidR="0009509A">
        <w:t>No.</w:t>
      </w:r>
      <w:r w:rsidRPr="002C0D0A">
        <w:t>4,</w:t>
      </w:r>
      <w:r w:rsidR="0009509A">
        <w:t xml:space="preserve"> pp.673-</w:t>
      </w:r>
      <w:r w:rsidRPr="002C0D0A">
        <w:t>688.</w:t>
      </w:r>
    </w:p>
    <w:p w:rsidR="002C0D0A" w:rsidRPr="002C0D0A" w:rsidRDefault="002C0D0A" w:rsidP="001D5F12">
      <w:pPr>
        <w:spacing w:after="0" w:line="480" w:lineRule="auto"/>
      </w:pPr>
    </w:p>
    <w:p w:rsidR="002C0D0A" w:rsidRDefault="002C0D0A" w:rsidP="001D5F12">
      <w:pPr>
        <w:spacing w:after="0" w:line="480" w:lineRule="auto"/>
      </w:pPr>
      <w:proofErr w:type="spellStart"/>
      <w:r w:rsidRPr="002C0D0A">
        <w:t>Egeberg</w:t>
      </w:r>
      <w:proofErr w:type="spellEnd"/>
      <w:r w:rsidRPr="002C0D0A">
        <w:t xml:space="preserve">, M., Martens, M. and </w:t>
      </w:r>
      <w:proofErr w:type="spellStart"/>
      <w:r w:rsidRPr="002C0D0A">
        <w:t>Trondal</w:t>
      </w:r>
      <w:proofErr w:type="spellEnd"/>
      <w:r w:rsidRPr="002C0D0A">
        <w:t xml:space="preserve">, J. (2012) ‘Building Executive Power at the European level: on the Role of European Union Agencies.’ In </w:t>
      </w:r>
      <w:proofErr w:type="spellStart"/>
      <w:r w:rsidRPr="002C0D0A">
        <w:t>Busuioc</w:t>
      </w:r>
      <w:proofErr w:type="spellEnd"/>
      <w:r w:rsidRPr="002C0D0A">
        <w:t xml:space="preserve">, M., </w:t>
      </w:r>
      <w:proofErr w:type="spellStart"/>
      <w:r w:rsidRPr="002C0D0A">
        <w:t>Groenleer</w:t>
      </w:r>
      <w:proofErr w:type="spellEnd"/>
      <w:r w:rsidRPr="002C0D0A">
        <w:t xml:space="preserve">, M. and </w:t>
      </w:r>
      <w:proofErr w:type="spellStart"/>
      <w:r w:rsidRPr="002C0D0A">
        <w:t>Trondal</w:t>
      </w:r>
      <w:proofErr w:type="spellEnd"/>
      <w:r w:rsidRPr="002C0D0A">
        <w:t>, J. (</w:t>
      </w:r>
      <w:proofErr w:type="spellStart"/>
      <w:r w:rsidRPr="002C0D0A">
        <w:t>eds</w:t>
      </w:r>
      <w:proofErr w:type="spellEnd"/>
      <w:r w:rsidRPr="002C0D0A">
        <w:t xml:space="preserve">), </w:t>
      </w:r>
      <w:r w:rsidRPr="002C0D0A">
        <w:rPr>
          <w:i/>
        </w:rPr>
        <w:t xml:space="preserve">The Agency Phenomenon in the European Union: Emergence, Institutionalisation and Everyday Decision-making </w:t>
      </w:r>
      <w:r w:rsidRPr="002C0D0A">
        <w:t>(Manchester: Manchester University Press), pp.19-41.</w:t>
      </w:r>
    </w:p>
    <w:p w:rsidR="002C0D0A" w:rsidRDefault="002C0D0A" w:rsidP="001D5F12">
      <w:pPr>
        <w:spacing w:after="0" w:line="480" w:lineRule="auto"/>
      </w:pPr>
    </w:p>
    <w:p w:rsidR="002C0D0A" w:rsidRPr="002C0D0A" w:rsidRDefault="006B2224" w:rsidP="001D5F12">
      <w:pPr>
        <w:spacing w:after="0" w:line="480" w:lineRule="auto"/>
      </w:pPr>
      <w:proofErr w:type="spellStart"/>
      <w:r w:rsidRPr="002C0D0A">
        <w:lastRenderedPageBreak/>
        <w:t>Eikeland</w:t>
      </w:r>
      <w:proofErr w:type="spellEnd"/>
      <w:r w:rsidRPr="002C0D0A">
        <w:t>, P.</w:t>
      </w:r>
      <w:r>
        <w:t xml:space="preserve"> O.</w:t>
      </w:r>
      <w:r w:rsidRPr="002C0D0A">
        <w:t xml:space="preserve"> (2011) ‘The Third Internal Energy Market Package: New Power Relations among Member States, EU Institutions and Non-State Actors?’. </w:t>
      </w:r>
      <w:r w:rsidRPr="002C0D0A">
        <w:rPr>
          <w:i/>
        </w:rPr>
        <w:t>Journal of Common Market Studies</w:t>
      </w:r>
      <w:r w:rsidRPr="002C0D0A">
        <w:t xml:space="preserve">, </w:t>
      </w:r>
      <w:r>
        <w:t>Vol.</w:t>
      </w:r>
      <w:r w:rsidRPr="002C0D0A">
        <w:t>49, No.2, pp.243-263.</w:t>
      </w:r>
    </w:p>
    <w:p w:rsidR="002C0D0A" w:rsidRDefault="002C0D0A" w:rsidP="001D5F12">
      <w:pPr>
        <w:spacing w:after="0" w:line="480" w:lineRule="auto"/>
      </w:pPr>
      <w:r w:rsidRPr="002C0D0A">
        <w:t xml:space="preserve">European Commission (2015) Speech by Commissioner G. Oettinger before the BEREC Board of Regulators, 10 December. Available at: </w:t>
      </w:r>
      <w:hyperlink r:id="rId11" w:history="1">
        <w:r w:rsidRPr="002C0D0A">
          <w:rPr>
            <w:rStyle w:val="Hyperlink"/>
          </w:rPr>
          <w:t>https://ec.europa.eu/commission/2014-2019/oettinger/announcements/speech-berec-board-regulators-meeting-telecoms-review_en</w:t>
        </w:r>
      </w:hyperlink>
      <w:r w:rsidRPr="002C0D0A">
        <w:t>. Accessed 10 January 2016.</w:t>
      </w:r>
    </w:p>
    <w:p w:rsidR="002C0D0A" w:rsidRPr="002C0D0A" w:rsidRDefault="002C0D0A" w:rsidP="001D5F12">
      <w:pPr>
        <w:spacing w:after="0" w:line="480" w:lineRule="auto"/>
      </w:pPr>
    </w:p>
    <w:p w:rsidR="002C0D0A" w:rsidRDefault="002C0D0A" w:rsidP="001D5F12">
      <w:pPr>
        <w:spacing w:after="0" w:line="480" w:lineRule="auto"/>
      </w:pPr>
      <w:r w:rsidRPr="002C0D0A">
        <w:t xml:space="preserve">European Parliament (2008) Explanatory Statement, ITRE Committee Report (EECMA), A6-0316/2008. Available at: </w:t>
      </w:r>
      <w:hyperlink r:id="rId12" w:history="1">
        <w:r w:rsidRPr="002C0D0A">
          <w:rPr>
            <w:rStyle w:val="Hyperlink"/>
          </w:rPr>
          <w:t>http://www.europarl.europa.eu/sides/getDoc.do?pubRef=-//EP//TEXT+REPORT+A6-2008-0316+0+DOC+XML+V0//EN&amp;language=en</w:t>
        </w:r>
      </w:hyperlink>
      <w:r w:rsidRPr="002C0D0A">
        <w:t>. Accessed 10 January 2016.</w:t>
      </w:r>
    </w:p>
    <w:p w:rsidR="002C0D0A" w:rsidRPr="002C0D0A" w:rsidRDefault="002C0D0A" w:rsidP="001D5F12">
      <w:pPr>
        <w:spacing w:after="0" w:line="480" w:lineRule="auto"/>
      </w:pPr>
    </w:p>
    <w:p w:rsidR="002C0D0A" w:rsidRDefault="002C0D0A" w:rsidP="001D5F12">
      <w:pPr>
        <w:spacing w:after="0" w:line="480" w:lineRule="auto"/>
      </w:pPr>
      <w:r w:rsidRPr="002C0D0A">
        <w:t xml:space="preserve">European Parliament (2013) Report containing its Opinion on the Evaluation Report regarding BEREC and the Office, 13 November, A7-0378/2013. Available at: </w:t>
      </w:r>
      <w:hyperlink r:id="rId13" w:history="1">
        <w:r w:rsidRPr="002C0D0A">
          <w:rPr>
            <w:rStyle w:val="Hyperlink"/>
          </w:rPr>
          <w:t>http://www.europarl.europa.eu/sides/getDoc.do?pubRef=-//EP//TEXT+REPORT+A7-2013-0378+0+DOC+XML+V0//EN</w:t>
        </w:r>
      </w:hyperlink>
      <w:r w:rsidRPr="002C0D0A">
        <w:t>. Accessed 10 January 2016.</w:t>
      </w:r>
    </w:p>
    <w:p w:rsidR="0039339D" w:rsidRDefault="0039339D" w:rsidP="001D5F12">
      <w:pPr>
        <w:spacing w:after="0" w:line="480" w:lineRule="auto"/>
      </w:pPr>
    </w:p>
    <w:p w:rsidR="0039339D" w:rsidRDefault="0039339D" w:rsidP="001D5F12">
      <w:pPr>
        <w:spacing w:after="0" w:line="480" w:lineRule="auto"/>
      </w:pPr>
      <w:r>
        <w:t xml:space="preserve">ERG (2006) </w:t>
      </w:r>
      <w:r w:rsidR="006C090F">
        <w:t>‘</w:t>
      </w:r>
      <w:r>
        <w:t>Madeira commitments</w:t>
      </w:r>
      <w:r w:rsidR="006C090F">
        <w:t>’</w:t>
      </w:r>
      <w:r>
        <w:t>, 6 October 2006, ERG (06)51</w:t>
      </w:r>
    </w:p>
    <w:p w:rsidR="002C0D0A" w:rsidRPr="002C0D0A" w:rsidRDefault="002C0D0A" w:rsidP="001D5F12">
      <w:pPr>
        <w:spacing w:after="0" w:line="480" w:lineRule="auto"/>
      </w:pPr>
    </w:p>
    <w:p w:rsidR="002C0D0A" w:rsidRDefault="002C0D0A" w:rsidP="001D5F12">
      <w:pPr>
        <w:spacing w:after="0" w:line="480" w:lineRule="auto"/>
      </w:pPr>
      <w:r w:rsidRPr="002C0D0A">
        <w:t xml:space="preserve">ERG (2007) Open Letters to Commissioner Vivian </w:t>
      </w:r>
      <w:proofErr w:type="spellStart"/>
      <w:r w:rsidRPr="002C0D0A">
        <w:t>Reding</w:t>
      </w:r>
      <w:proofErr w:type="spellEnd"/>
      <w:r w:rsidRPr="002C0D0A">
        <w:t xml:space="preserve">, 27 February and 6 November. </w:t>
      </w:r>
    </w:p>
    <w:p w:rsidR="002C0D0A" w:rsidRPr="002C0D0A" w:rsidRDefault="002C0D0A" w:rsidP="001D5F12">
      <w:pPr>
        <w:spacing w:after="0" w:line="480" w:lineRule="auto"/>
      </w:pPr>
    </w:p>
    <w:p w:rsidR="002C0D0A" w:rsidRDefault="002C0D0A" w:rsidP="001D5F12">
      <w:pPr>
        <w:spacing w:after="0" w:line="480" w:lineRule="auto"/>
      </w:pPr>
      <w:r w:rsidRPr="002C0D0A">
        <w:t>ERG (2008) Speech by ERG Chairman Daniel Pataki to the European Parliament ITRE Committee, 27 February.</w:t>
      </w:r>
    </w:p>
    <w:p w:rsidR="002C0D0A" w:rsidRPr="002C0D0A" w:rsidRDefault="002C0D0A" w:rsidP="001D5F12">
      <w:pPr>
        <w:spacing w:after="0" w:line="480" w:lineRule="auto"/>
      </w:pPr>
    </w:p>
    <w:p w:rsidR="00991868" w:rsidRPr="00991868" w:rsidRDefault="00991868" w:rsidP="001D5F12">
      <w:pPr>
        <w:spacing w:after="0" w:line="480" w:lineRule="auto"/>
      </w:pPr>
      <w:r w:rsidRPr="00991868">
        <w:lastRenderedPageBreak/>
        <w:t xml:space="preserve">George, A. and Bennett, A. </w:t>
      </w:r>
      <w:r>
        <w:t xml:space="preserve">(2004) </w:t>
      </w:r>
      <w:r w:rsidRPr="00991868">
        <w:rPr>
          <w:i/>
          <w:iCs/>
        </w:rPr>
        <w:t xml:space="preserve">Case Studies and Theory Development in the Social Sciences </w:t>
      </w:r>
      <w:r w:rsidRPr="00991868">
        <w:rPr>
          <w:iCs/>
        </w:rPr>
        <w:t>(</w:t>
      </w:r>
      <w:r>
        <w:rPr>
          <w:iCs/>
        </w:rPr>
        <w:t xml:space="preserve">Cambridge: </w:t>
      </w:r>
      <w:r>
        <w:t>MIT Press</w:t>
      </w:r>
      <w:r w:rsidRPr="00991868">
        <w:t>)</w:t>
      </w:r>
    </w:p>
    <w:p w:rsidR="00991868" w:rsidRPr="00991868" w:rsidRDefault="00991868" w:rsidP="001D5F12">
      <w:pPr>
        <w:spacing w:after="0" w:line="480" w:lineRule="auto"/>
      </w:pPr>
    </w:p>
    <w:p w:rsidR="002C0D0A" w:rsidRDefault="002C0D0A" w:rsidP="001D5F12">
      <w:pPr>
        <w:spacing w:after="0" w:line="480" w:lineRule="auto"/>
      </w:pPr>
      <w:r w:rsidRPr="002C0D0A">
        <w:t xml:space="preserve">Haas, P. (1992) ‘Introduction: Epistemic Communities and International Policy Coordination’. </w:t>
      </w:r>
      <w:r w:rsidRPr="002C0D0A">
        <w:rPr>
          <w:i/>
          <w:iCs/>
        </w:rPr>
        <w:t>International Organization</w:t>
      </w:r>
      <w:r w:rsidRPr="002C0D0A">
        <w:t>, Vol. 46,</w:t>
      </w:r>
      <w:r w:rsidR="0009509A">
        <w:t xml:space="preserve"> No. 1, pp.1-</w:t>
      </w:r>
      <w:r w:rsidRPr="002C0D0A">
        <w:t>35.</w:t>
      </w:r>
    </w:p>
    <w:p w:rsidR="00A617A4" w:rsidRDefault="00A617A4" w:rsidP="001D5F12">
      <w:pPr>
        <w:spacing w:after="0" w:line="480" w:lineRule="auto"/>
      </w:pPr>
    </w:p>
    <w:p w:rsidR="000232A7" w:rsidRDefault="000232A7" w:rsidP="000232A7">
      <w:pPr>
        <w:spacing w:after="0" w:line="480" w:lineRule="auto"/>
      </w:pPr>
      <w:proofErr w:type="spellStart"/>
      <w:r w:rsidRPr="002C0D0A">
        <w:t>Héritier</w:t>
      </w:r>
      <w:proofErr w:type="spellEnd"/>
      <w:r w:rsidRPr="002C0D0A">
        <w:t>, A. (20</w:t>
      </w:r>
      <w:r>
        <w:t xml:space="preserve">07), </w:t>
      </w:r>
      <w:r>
        <w:rPr>
          <w:i/>
        </w:rPr>
        <w:t xml:space="preserve">Explaining Institutional Change in Europe </w:t>
      </w:r>
      <w:r w:rsidRPr="002C0D0A">
        <w:t>(</w:t>
      </w:r>
      <w:r>
        <w:t>Oxford: Oxford University Press</w:t>
      </w:r>
      <w:r w:rsidRPr="002C0D0A">
        <w:t>).</w:t>
      </w:r>
    </w:p>
    <w:p w:rsidR="007D4637" w:rsidRDefault="007D4637" w:rsidP="000232A7">
      <w:pPr>
        <w:spacing w:after="0" w:line="480" w:lineRule="auto"/>
      </w:pPr>
    </w:p>
    <w:p w:rsidR="002C0D0A" w:rsidRDefault="002C0D0A" w:rsidP="001D5F12">
      <w:pPr>
        <w:spacing w:after="0" w:line="480" w:lineRule="auto"/>
      </w:pPr>
      <w:proofErr w:type="spellStart"/>
      <w:r w:rsidRPr="002C0D0A">
        <w:t>Hooghe</w:t>
      </w:r>
      <w:proofErr w:type="spellEnd"/>
      <w:r w:rsidRPr="002C0D0A">
        <w:t xml:space="preserve">, L. (2012) ‘Images of Europe: How Commission Officials Conceive Their Institution’s Role’. </w:t>
      </w:r>
      <w:r w:rsidRPr="002C0D0A">
        <w:rPr>
          <w:i/>
        </w:rPr>
        <w:t>Journal of Common Market Studies</w:t>
      </w:r>
      <w:r w:rsidR="00191E06">
        <w:t>, Vol.50, No.</w:t>
      </w:r>
      <w:r w:rsidRPr="002C0D0A">
        <w:t>1, pp.87-111.</w:t>
      </w:r>
    </w:p>
    <w:p w:rsidR="002C0D0A" w:rsidRPr="002C0D0A" w:rsidRDefault="002C0D0A" w:rsidP="001D5F12">
      <w:pPr>
        <w:spacing w:after="0" w:line="480" w:lineRule="auto"/>
      </w:pPr>
    </w:p>
    <w:p w:rsidR="002C0D0A" w:rsidRDefault="002C0D0A" w:rsidP="001D5F12">
      <w:pPr>
        <w:spacing w:after="0" w:line="480" w:lineRule="auto"/>
      </w:pPr>
      <w:proofErr w:type="spellStart"/>
      <w:r w:rsidRPr="002C0D0A">
        <w:t>Kelemen</w:t>
      </w:r>
      <w:proofErr w:type="spellEnd"/>
      <w:r w:rsidRPr="002C0D0A">
        <w:t xml:space="preserve">, R. and Tarrant, A. (2011) ‘The Political Foundations of Eurocracy’. </w:t>
      </w:r>
      <w:r w:rsidRPr="002C0D0A">
        <w:rPr>
          <w:i/>
        </w:rPr>
        <w:t>West European Politics</w:t>
      </w:r>
      <w:r w:rsidR="00191E06">
        <w:t>, Vol.</w:t>
      </w:r>
      <w:r w:rsidRPr="002C0D0A">
        <w:t xml:space="preserve">34, pp.922-947. </w:t>
      </w:r>
    </w:p>
    <w:p w:rsidR="002C0D0A" w:rsidRPr="002C0D0A" w:rsidRDefault="002C0D0A" w:rsidP="001D5F12">
      <w:pPr>
        <w:spacing w:after="0" w:line="480" w:lineRule="auto"/>
      </w:pPr>
    </w:p>
    <w:p w:rsidR="009D6C49" w:rsidRPr="009D6C49" w:rsidRDefault="009D6C49" w:rsidP="001D5F12">
      <w:pPr>
        <w:spacing w:after="0" w:line="480" w:lineRule="auto"/>
      </w:pPr>
      <w:proofErr w:type="spellStart"/>
      <w:r w:rsidRPr="009D6C49">
        <w:t>Keohane</w:t>
      </w:r>
      <w:proofErr w:type="spellEnd"/>
      <w:r w:rsidRPr="009D6C49">
        <w:t>,</w:t>
      </w:r>
      <w:r>
        <w:t xml:space="preserve"> R. (1997)</w:t>
      </w:r>
      <w:r w:rsidRPr="009D6C49">
        <w:t xml:space="preserve"> ‘International Relations and International Law: Two optics’</w:t>
      </w:r>
      <w:r>
        <w:t>.</w:t>
      </w:r>
      <w:r w:rsidRPr="009D6C49">
        <w:t xml:space="preserve"> </w:t>
      </w:r>
      <w:r w:rsidRPr="009D6C49">
        <w:rPr>
          <w:i/>
        </w:rPr>
        <w:t>Harvard International Law Journal</w:t>
      </w:r>
      <w:r w:rsidRPr="009D6C49">
        <w:t xml:space="preserve"> </w:t>
      </w:r>
      <w:r>
        <w:t>Vol.38, No.2, pp.</w:t>
      </w:r>
      <w:r w:rsidRPr="009D6C49">
        <w:t>487</w:t>
      </w:r>
      <w:r>
        <w:t>-502.</w:t>
      </w:r>
    </w:p>
    <w:p w:rsidR="009D6C49" w:rsidRPr="009D6C49" w:rsidRDefault="009D6C49" w:rsidP="001D5F12">
      <w:pPr>
        <w:spacing w:after="0" w:line="480" w:lineRule="auto"/>
      </w:pPr>
    </w:p>
    <w:p w:rsidR="009D6C49" w:rsidRPr="009D6C49" w:rsidRDefault="009D6C49" w:rsidP="001D5F12">
      <w:pPr>
        <w:spacing w:after="0" w:line="480" w:lineRule="auto"/>
      </w:pPr>
      <w:r w:rsidRPr="009D6C49">
        <w:t xml:space="preserve">King, </w:t>
      </w:r>
      <w:r>
        <w:t xml:space="preserve">G., </w:t>
      </w:r>
      <w:proofErr w:type="spellStart"/>
      <w:r w:rsidRPr="009D6C49">
        <w:t>Keohane</w:t>
      </w:r>
      <w:proofErr w:type="spellEnd"/>
      <w:r w:rsidRPr="009D6C49">
        <w:t xml:space="preserve"> </w:t>
      </w:r>
      <w:r>
        <w:t xml:space="preserve">R. and </w:t>
      </w:r>
      <w:proofErr w:type="spellStart"/>
      <w:r w:rsidRPr="009D6C49">
        <w:t>Verba</w:t>
      </w:r>
      <w:proofErr w:type="spellEnd"/>
      <w:r w:rsidRPr="009D6C49">
        <w:t xml:space="preserve">, </w:t>
      </w:r>
      <w:r>
        <w:t xml:space="preserve">S. (1994) </w:t>
      </w:r>
      <w:r w:rsidRPr="009D6C49">
        <w:rPr>
          <w:i/>
          <w:iCs/>
        </w:rPr>
        <w:t>Designing Social Inquiry</w:t>
      </w:r>
      <w:r w:rsidRPr="009D6C49">
        <w:t xml:space="preserve"> (Princeton</w:t>
      </w:r>
      <w:r w:rsidR="000C0022">
        <w:t>: Princeton</w:t>
      </w:r>
      <w:r w:rsidRPr="009D6C49">
        <w:t xml:space="preserve"> University Press)</w:t>
      </w:r>
    </w:p>
    <w:p w:rsidR="009D6C49" w:rsidRPr="009D6C49" w:rsidRDefault="009D6C49" w:rsidP="001D5F12">
      <w:pPr>
        <w:spacing w:after="0" w:line="480" w:lineRule="auto"/>
      </w:pPr>
    </w:p>
    <w:p w:rsidR="002C0D0A" w:rsidRDefault="00191E06" w:rsidP="001D5F12">
      <w:pPr>
        <w:spacing w:after="0" w:line="480" w:lineRule="auto"/>
      </w:pPr>
      <w:r>
        <w:t>Levi-</w:t>
      </w:r>
      <w:proofErr w:type="spellStart"/>
      <w:r>
        <w:t>Faur</w:t>
      </w:r>
      <w:proofErr w:type="spellEnd"/>
      <w:r>
        <w:t>, D. (2011</w:t>
      </w:r>
      <w:r w:rsidR="002C0D0A" w:rsidRPr="002C0D0A">
        <w:t>) ‘</w:t>
      </w:r>
      <w:r w:rsidRPr="00191E06">
        <w:t xml:space="preserve">Regulatory networks and regulatory </w:t>
      </w:r>
      <w:proofErr w:type="spellStart"/>
      <w:r w:rsidRPr="00191E06">
        <w:t>agencification</w:t>
      </w:r>
      <w:proofErr w:type="spellEnd"/>
      <w:r w:rsidRPr="00191E06">
        <w:t>: towards a Single European Regulatory Space</w:t>
      </w:r>
      <w:r>
        <w:t>’.</w:t>
      </w:r>
      <w:r w:rsidR="002C0D0A" w:rsidRPr="002C0D0A">
        <w:t xml:space="preserve"> </w:t>
      </w:r>
      <w:r w:rsidRPr="00191E06">
        <w:rPr>
          <w:i/>
        </w:rPr>
        <w:t>Journal of European Public Policy</w:t>
      </w:r>
      <w:r w:rsidRPr="00191E06">
        <w:t>, Vol.</w:t>
      </w:r>
      <w:r>
        <w:t>18</w:t>
      </w:r>
      <w:r w:rsidRPr="00191E06">
        <w:t>, No.</w:t>
      </w:r>
      <w:r>
        <w:t>6</w:t>
      </w:r>
      <w:r w:rsidRPr="00191E06">
        <w:t>, pp.810-829</w:t>
      </w:r>
      <w:r w:rsidR="002C0D0A" w:rsidRPr="002C0D0A">
        <w:t xml:space="preserve">. </w:t>
      </w:r>
    </w:p>
    <w:p w:rsidR="002C0D0A" w:rsidRPr="002C0D0A" w:rsidRDefault="002C0D0A" w:rsidP="001D5F12">
      <w:pPr>
        <w:spacing w:after="0" w:line="480" w:lineRule="auto"/>
      </w:pPr>
    </w:p>
    <w:p w:rsidR="002C0D0A" w:rsidRDefault="002C0D0A" w:rsidP="001D5F12">
      <w:pPr>
        <w:spacing w:after="0" w:line="480" w:lineRule="auto"/>
      </w:pPr>
      <w:r w:rsidRPr="002C0D0A">
        <w:t xml:space="preserve">Mahoney J. and </w:t>
      </w:r>
      <w:proofErr w:type="spellStart"/>
      <w:r w:rsidRPr="002C0D0A">
        <w:t>Thelen</w:t>
      </w:r>
      <w:proofErr w:type="spellEnd"/>
      <w:r w:rsidRPr="002C0D0A">
        <w:t xml:space="preserve">, K. (2010) </w:t>
      </w:r>
      <w:r w:rsidRPr="002C0D0A">
        <w:rPr>
          <w:i/>
        </w:rPr>
        <w:t>Explaining Institutional Change: Ambiguity, Agency and Power</w:t>
      </w:r>
      <w:r w:rsidRPr="002C0D0A">
        <w:t xml:space="preserve"> (Cambridge: Cambridge University Press). </w:t>
      </w:r>
    </w:p>
    <w:p w:rsidR="002C0D0A" w:rsidRPr="002C0D0A" w:rsidRDefault="002C0D0A" w:rsidP="001D5F12">
      <w:pPr>
        <w:spacing w:after="0" w:line="480" w:lineRule="auto"/>
      </w:pPr>
    </w:p>
    <w:p w:rsidR="002C0D0A" w:rsidRDefault="002C0D0A" w:rsidP="001D5F12">
      <w:pPr>
        <w:spacing w:after="0" w:line="480" w:lineRule="auto"/>
      </w:pPr>
      <w:r w:rsidRPr="002C0D0A">
        <w:t>Martens, M. (2012) ‘</w:t>
      </w:r>
      <w:r w:rsidR="0009509A">
        <w:t>Executive Power in the Making: T</w:t>
      </w:r>
      <w:r w:rsidRPr="002C0D0A">
        <w:t xml:space="preserve">he Establishment of the European Chemicals Agency’. In </w:t>
      </w:r>
      <w:proofErr w:type="spellStart"/>
      <w:r w:rsidRPr="002C0D0A">
        <w:t>Busuioc</w:t>
      </w:r>
      <w:proofErr w:type="spellEnd"/>
      <w:r w:rsidRPr="002C0D0A">
        <w:t xml:space="preserve">, M., </w:t>
      </w:r>
      <w:proofErr w:type="spellStart"/>
      <w:r w:rsidRPr="002C0D0A">
        <w:t>Groenleer</w:t>
      </w:r>
      <w:proofErr w:type="spellEnd"/>
      <w:r w:rsidRPr="002C0D0A">
        <w:t xml:space="preserve">, M. and </w:t>
      </w:r>
      <w:proofErr w:type="spellStart"/>
      <w:r w:rsidRPr="002C0D0A">
        <w:t>Trondal</w:t>
      </w:r>
      <w:proofErr w:type="spellEnd"/>
      <w:r w:rsidRPr="002C0D0A">
        <w:t xml:space="preserve"> J. (</w:t>
      </w:r>
      <w:proofErr w:type="spellStart"/>
      <w:r w:rsidRPr="002C0D0A">
        <w:t>eds</w:t>
      </w:r>
      <w:proofErr w:type="spellEnd"/>
      <w:r w:rsidRPr="002C0D0A">
        <w:t xml:space="preserve">) </w:t>
      </w:r>
      <w:r w:rsidRPr="002C0D0A">
        <w:rPr>
          <w:i/>
        </w:rPr>
        <w:t>The Agency Phenomenon in the European Union: Emergence, Institutionalisation and Everyday Decision-making</w:t>
      </w:r>
      <w:r w:rsidRPr="002C0D0A">
        <w:t xml:space="preserve"> (Manchester: Manchester University Press), pp.</w:t>
      </w:r>
      <w:r w:rsidR="0009509A">
        <w:t>42-</w:t>
      </w:r>
      <w:r w:rsidRPr="002C0D0A">
        <w:t>62.</w:t>
      </w:r>
    </w:p>
    <w:p w:rsidR="002C0D0A" w:rsidRPr="002C0D0A" w:rsidRDefault="002C0D0A" w:rsidP="001D5F12">
      <w:pPr>
        <w:spacing w:after="0" w:line="480" w:lineRule="auto"/>
      </w:pPr>
    </w:p>
    <w:p w:rsidR="002C0D0A" w:rsidRDefault="002C0D0A" w:rsidP="001D5F12">
      <w:pPr>
        <w:spacing w:after="0" w:line="480" w:lineRule="auto"/>
      </w:pPr>
      <w:r w:rsidRPr="002C0D0A">
        <w:t>Ofcom (2008) CEO E. Richards Speech to the Communications and Competition Law Conference, Brussels, 20 October.</w:t>
      </w:r>
    </w:p>
    <w:p w:rsidR="002C0D0A" w:rsidRPr="002C0D0A" w:rsidRDefault="002C0D0A" w:rsidP="001D5F12">
      <w:pPr>
        <w:spacing w:after="0" w:line="480" w:lineRule="auto"/>
      </w:pPr>
    </w:p>
    <w:p w:rsidR="000C0022" w:rsidRPr="000C0022" w:rsidRDefault="000C0022" w:rsidP="001D5F12">
      <w:pPr>
        <w:spacing w:after="0" w:line="480" w:lineRule="auto"/>
      </w:pPr>
      <w:r w:rsidRPr="000C0022">
        <w:t xml:space="preserve">Olsen, </w:t>
      </w:r>
      <w:r>
        <w:t xml:space="preserve">J. (2002) </w:t>
      </w:r>
      <w:r w:rsidRPr="000C0022">
        <w:t>‘The Many Faces of Europeanization’</w:t>
      </w:r>
      <w:r>
        <w:t xml:space="preserve">. </w:t>
      </w:r>
      <w:r w:rsidRPr="000C0022">
        <w:rPr>
          <w:i/>
        </w:rPr>
        <w:t>Journal of Common Market Studies</w:t>
      </w:r>
      <w:r w:rsidRPr="000C0022">
        <w:t>, Vol.4</w:t>
      </w:r>
      <w:r>
        <w:t>0</w:t>
      </w:r>
      <w:r w:rsidRPr="000C0022">
        <w:t>, No.</w:t>
      </w:r>
      <w:r>
        <w:t>5</w:t>
      </w:r>
      <w:r w:rsidRPr="000C0022">
        <w:t>, pp.</w:t>
      </w:r>
      <w:r>
        <w:t>921</w:t>
      </w:r>
      <w:r w:rsidRPr="000C0022">
        <w:t>-</w:t>
      </w:r>
      <w:r>
        <w:t>952.</w:t>
      </w:r>
    </w:p>
    <w:p w:rsidR="002C0D0A" w:rsidRDefault="002C0D0A" w:rsidP="001D5F12">
      <w:pPr>
        <w:spacing w:after="0" w:line="480" w:lineRule="auto"/>
      </w:pPr>
    </w:p>
    <w:p w:rsidR="002C0D0A" w:rsidRDefault="002C0D0A" w:rsidP="001D5F12">
      <w:pPr>
        <w:spacing w:after="0" w:line="480" w:lineRule="auto"/>
      </w:pPr>
      <w:r w:rsidRPr="002C0D0A">
        <w:t xml:space="preserve">Pierre, J. and Peters, G. (2009) ‘From a Club to a Bureaucracy: JAA, EASA, and European Aviation Regulation’. </w:t>
      </w:r>
      <w:r w:rsidRPr="002C0D0A">
        <w:rPr>
          <w:i/>
        </w:rPr>
        <w:t>Journal of European Public Policy</w:t>
      </w:r>
      <w:r w:rsidRPr="002C0D0A">
        <w:t xml:space="preserve">, </w:t>
      </w:r>
      <w:r w:rsidR="0009509A">
        <w:t>Vol.</w:t>
      </w:r>
      <w:r w:rsidRPr="002C0D0A">
        <w:t>16, No.3, pp.</w:t>
      </w:r>
      <w:r w:rsidR="0009509A">
        <w:t>337-</w:t>
      </w:r>
      <w:r w:rsidRPr="002C0D0A">
        <w:t>355.</w:t>
      </w:r>
    </w:p>
    <w:p w:rsidR="00D105B9" w:rsidRDefault="00D105B9" w:rsidP="001D5F12">
      <w:pPr>
        <w:spacing w:after="0" w:line="480" w:lineRule="auto"/>
      </w:pPr>
    </w:p>
    <w:p w:rsidR="002C0D0A" w:rsidRDefault="00D105B9" w:rsidP="001D5F12">
      <w:pPr>
        <w:spacing w:after="0" w:line="480" w:lineRule="auto"/>
      </w:pPr>
      <w:r>
        <w:t xml:space="preserve">Pierre, P., </w:t>
      </w:r>
      <w:proofErr w:type="spellStart"/>
      <w:r>
        <w:t>Hanssens</w:t>
      </w:r>
      <w:proofErr w:type="spellEnd"/>
      <w:r>
        <w:t xml:space="preserve">, S., </w:t>
      </w:r>
      <w:proofErr w:type="spellStart"/>
      <w:r>
        <w:t>Szenci</w:t>
      </w:r>
      <w:proofErr w:type="spellEnd"/>
      <w:r>
        <w:t xml:space="preserve">, K., Kauffmann, A., Simpson, S., Boeger, N. and Corkin, J. </w:t>
      </w:r>
      <w:r w:rsidRPr="002C0D0A">
        <w:t>(2012)</w:t>
      </w:r>
      <w:r>
        <w:t xml:space="preserve"> </w:t>
      </w:r>
      <w:r w:rsidRPr="002C0D0A">
        <w:rPr>
          <w:i/>
        </w:rPr>
        <w:t>Study on the Evaluation of BEREC and the BEREC Office</w:t>
      </w:r>
      <w:r w:rsidRPr="002C0D0A">
        <w:t xml:space="preserve"> (Brussels: The Publications Office of the European Union).</w:t>
      </w:r>
    </w:p>
    <w:p w:rsidR="00D105B9" w:rsidRDefault="00D105B9" w:rsidP="001D5F12">
      <w:pPr>
        <w:spacing w:after="0" w:line="480" w:lineRule="auto"/>
      </w:pPr>
    </w:p>
    <w:p w:rsidR="002C0D0A" w:rsidRDefault="002C0D0A" w:rsidP="001D5F12">
      <w:pPr>
        <w:spacing w:after="0" w:line="480" w:lineRule="auto"/>
      </w:pPr>
      <w:r w:rsidRPr="002C0D0A">
        <w:t xml:space="preserve">Pierson, P. (2004) </w:t>
      </w:r>
      <w:r w:rsidRPr="002C0D0A">
        <w:rPr>
          <w:i/>
        </w:rPr>
        <w:t>Politics in Time: History, Institutions, and Social Analysis</w:t>
      </w:r>
      <w:r w:rsidRPr="002C0D0A">
        <w:t>. (Princeton: Princeton University Press).</w:t>
      </w:r>
    </w:p>
    <w:p w:rsidR="002C0D0A" w:rsidRPr="002C0D0A" w:rsidRDefault="002C0D0A" w:rsidP="001D5F12">
      <w:pPr>
        <w:spacing w:after="0" w:line="480" w:lineRule="auto"/>
      </w:pPr>
    </w:p>
    <w:p w:rsidR="002C0D0A" w:rsidRDefault="002C0D0A" w:rsidP="001D5F12">
      <w:pPr>
        <w:spacing w:after="0" w:line="480" w:lineRule="auto"/>
      </w:pPr>
      <w:proofErr w:type="spellStart"/>
      <w:r w:rsidRPr="002C0D0A">
        <w:t>Raustiala</w:t>
      </w:r>
      <w:proofErr w:type="spellEnd"/>
      <w:r w:rsidRPr="002C0D0A">
        <w:t xml:space="preserve">, K. (2002) ‘The Architecture of International Cooperation: </w:t>
      </w:r>
      <w:proofErr w:type="spellStart"/>
      <w:r w:rsidRPr="002C0D0A">
        <w:t>Transgovernmental</w:t>
      </w:r>
      <w:proofErr w:type="spellEnd"/>
      <w:r w:rsidRPr="002C0D0A">
        <w:t xml:space="preserve"> Networks and the Future of International Law’. </w:t>
      </w:r>
      <w:r w:rsidRPr="002C0D0A">
        <w:rPr>
          <w:i/>
        </w:rPr>
        <w:t>Virginia Journal of International Law</w:t>
      </w:r>
      <w:r w:rsidRPr="002C0D0A">
        <w:t xml:space="preserve">, </w:t>
      </w:r>
      <w:r w:rsidR="0009509A">
        <w:t>Vol.43, No.</w:t>
      </w:r>
      <w:r w:rsidRPr="002C0D0A">
        <w:t xml:space="preserve">1, </w:t>
      </w:r>
      <w:r w:rsidR="0009509A">
        <w:t>pp.</w:t>
      </w:r>
      <w:r w:rsidRPr="002C0D0A">
        <w:t>1-92.</w:t>
      </w:r>
    </w:p>
    <w:p w:rsidR="002C0D0A" w:rsidRPr="002C0D0A" w:rsidRDefault="002C0D0A" w:rsidP="001D5F12">
      <w:pPr>
        <w:spacing w:after="0" w:line="480" w:lineRule="auto"/>
      </w:pPr>
    </w:p>
    <w:p w:rsidR="002C0D0A" w:rsidRDefault="002C0D0A" w:rsidP="001D5F12">
      <w:pPr>
        <w:spacing w:after="0" w:line="480" w:lineRule="auto"/>
        <w:rPr>
          <w:bCs/>
        </w:rPr>
      </w:pPr>
      <w:r w:rsidRPr="002C0D0A">
        <w:rPr>
          <w:lang w:val="de-DE"/>
        </w:rPr>
        <w:lastRenderedPageBreak/>
        <w:t xml:space="preserve">Sabel, C. and Zeitlin, J. (eds) (2010) </w:t>
      </w:r>
      <w:r w:rsidRPr="002C0D0A">
        <w:rPr>
          <w:i/>
        </w:rPr>
        <w:t>Experimentalist Governance in the European Union: Towards a New Architecture</w:t>
      </w:r>
      <w:r w:rsidRPr="002C0D0A">
        <w:t xml:space="preserve"> (Oxford: </w:t>
      </w:r>
      <w:r w:rsidRPr="002C0D0A">
        <w:rPr>
          <w:bCs/>
        </w:rPr>
        <w:t>Oxford University Press).</w:t>
      </w:r>
    </w:p>
    <w:p w:rsidR="002C0D0A" w:rsidRPr="002C0D0A" w:rsidRDefault="002C0D0A" w:rsidP="001D5F12">
      <w:pPr>
        <w:spacing w:after="0" w:line="480" w:lineRule="auto"/>
      </w:pPr>
    </w:p>
    <w:p w:rsidR="002C0D0A" w:rsidRDefault="002C0D0A" w:rsidP="001D5F12">
      <w:pPr>
        <w:spacing w:after="0" w:line="480" w:lineRule="auto"/>
      </w:pPr>
      <w:r w:rsidRPr="002C0D0A">
        <w:t>Saz-Carranza, A. and Longo, F. (2012) ‘The Evolution of the Governance of Regulatory Networks: The Case of the European Telecommunications Regulatory Network’, Jerusalem Papers in Regulation and Governance, Working Paper No. 41.</w:t>
      </w:r>
    </w:p>
    <w:p w:rsidR="002C0D0A" w:rsidRPr="002C0D0A" w:rsidRDefault="002C0D0A" w:rsidP="001D5F12">
      <w:pPr>
        <w:spacing w:after="0" w:line="480" w:lineRule="auto"/>
      </w:pPr>
    </w:p>
    <w:p w:rsidR="002C0D0A" w:rsidRDefault="002C0D0A" w:rsidP="001D5F12">
      <w:pPr>
        <w:spacing w:after="0" w:line="480" w:lineRule="auto"/>
      </w:pPr>
      <w:proofErr w:type="spellStart"/>
      <w:r w:rsidRPr="002C0D0A">
        <w:t>Schot</w:t>
      </w:r>
      <w:proofErr w:type="spellEnd"/>
      <w:r w:rsidRPr="002C0D0A">
        <w:t xml:space="preserve">, J. and </w:t>
      </w:r>
      <w:proofErr w:type="spellStart"/>
      <w:r w:rsidRPr="002C0D0A">
        <w:t>Schipper</w:t>
      </w:r>
      <w:proofErr w:type="spellEnd"/>
      <w:r w:rsidRPr="002C0D0A">
        <w:t xml:space="preserve">, F. (2011) ‘Experts and European Transport Integration, 1945-1958’. </w:t>
      </w:r>
      <w:r w:rsidRPr="002C0D0A">
        <w:rPr>
          <w:i/>
        </w:rPr>
        <w:t>Journal of European Public Policy</w:t>
      </w:r>
      <w:r w:rsidRPr="002C0D0A">
        <w:t xml:space="preserve">, </w:t>
      </w:r>
      <w:r w:rsidR="0009509A">
        <w:t>Vol.</w:t>
      </w:r>
      <w:r w:rsidRPr="002C0D0A">
        <w:t xml:space="preserve">18, No.2, pp.274-293. </w:t>
      </w:r>
    </w:p>
    <w:p w:rsidR="002C0D0A" w:rsidRPr="002C0D0A" w:rsidRDefault="002C0D0A" w:rsidP="001D5F12">
      <w:pPr>
        <w:spacing w:after="0" w:line="480" w:lineRule="auto"/>
      </w:pPr>
    </w:p>
    <w:p w:rsidR="002C0D0A" w:rsidRDefault="002C0D0A" w:rsidP="001D5F12">
      <w:pPr>
        <w:spacing w:after="0" w:line="480" w:lineRule="auto"/>
      </w:pPr>
      <w:proofErr w:type="spellStart"/>
      <w:r w:rsidRPr="002C0D0A">
        <w:t>Schout</w:t>
      </w:r>
      <w:proofErr w:type="spellEnd"/>
      <w:r w:rsidRPr="002C0D0A">
        <w:t>, A. 2008. ‘Inspecting Aviation Safety in the EU: EASA as an Administrative Innovation?’. In Vos, E. (</w:t>
      </w:r>
      <w:proofErr w:type="spellStart"/>
      <w:r w:rsidRPr="002C0D0A">
        <w:t>ed</w:t>
      </w:r>
      <w:proofErr w:type="spellEnd"/>
      <w:r w:rsidRPr="002C0D0A">
        <w:t xml:space="preserve">) </w:t>
      </w:r>
      <w:r w:rsidRPr="002C0D0A">
        <w:rPr>
          <w:i/>
        </w:rPr>
        <w:t>European Risk Governance – Its Science, its Inclusiveness and its Effectiveness</w:t>
      </w:r>
      <w:r w:rsidRPr="002C0D0A">
        <w:t xml:space="preserve"> (Mannheim: </w:t>
      </w:r>
      <w:proofErr w:type="spellStart"/>
      <w:r w:rsidRPr="002C0D0A">
        <w:t>Connex</w:t>
      </w:r>
      <w:proofErr w:type="spellEnd"/>
      <w:r w:rsidRPr="002C0D0A">
        <w:t xml:space="preserve"> Report Series, No. 6), p</w:t>
      </w:r>
      <w:r w:rsidR="0009509A">
        <w:t>p.</w:t>
      </w:r>
      <w:r w:rsidRPr="002C0D0A">
        <w:t>257-293.</w:t>
      </w:r>
    </w:p>
    <w:p w:rsidR="002C0D0A" w:rsidRPr="002C0D0A" w:rsidRDefault="002C0D0A" w:rsidP="001D5F12">
      <w:pPr>
        <w:spacing w:after="0" w:line="480" w:lineRule="auto"/>
      </w:pPr>
    </w:p>
    <w:p w:rsidR="002C0D0A" w:rsidRDefault="002C0D0A" w:rsidP="001D5F12">
      <w:pPr>
        <w:spacing w:after="0" w:line="480" w:lineRule="auto"/>
      </w:pPr>
      <w:r w:rsidRPr="002C0D0A">
        <w:t xml:space="preserve">Slaughter, A.-M. (2004) </w:t>
      </w:r>
      <w:r w:rsidRPr="002C0D0A">
        <w:rPr>
          <w:i/>
        </w:rPr>
        <w:t>A New World Order</w:t>
      </w:r>
      <w:r w:rsidRPr="002C0D0A">
        <w:t xml:space="preserve"> (Princeton: Princeton University Press). </w:t>
      </w:r>
    </w:p>
    <w:p w:rsidR="002C0D0A" w:rsidRPr="002C0D0A" w:rsidRDefault="002C0D0A" w:rsidP="001D5F12">
      <w:pPr>
        <w:spacing w:after="0" w:line="480" w:lineRule="auto"/>
      </w:pPr>
    </w:p>
    <w:p w:rsidR="002C0D0A" w:rsidRDefault="002C0D0A" w:rsidP="001D5F12">
      <w:pPr>
        <w:spacing w:after="0" w:line="480" w:lineRule="auto"/>
      </w:pPr>
      <w:r w:rsidRPr="002C0D0A">
        <w:t xml:space="preserve">Thatcher, M. and Coen, D. (2008) ‘Reshaping European Regulatory Space: An Evolutionary Analysis’. </w:t>
      </w:r>
      <w:r w:rsidRPr="002C0D0A">
        <w:rPr>
          <w:i/>
        </w:rPr>
        <w:t>West European Politics</w:t>
      </w:r>
      <w:r w:rsidRPr="002C0D0A">
        <w:t xml:space="preserve">, </w:t>
      </w:r>
      <w:r w:rsidR="0009509A">
        <w:t>Vol.</w:t>
      </w:r>
      <w:r w:rsidRPr="002C0D0A">
        <w:t>31, No.4, pp.</w:t>
      </w:r>
      <w:r w:rsidR="0009509A">
        <w:t>806-</w:t>
      </w:r>
      <w:r w:rsidRPr="002C0D0A">
        <w:t>836.</w:t>
      </w:r>
    </w:p>
    <w:p w:rsidR="002C0D0A" w:rsidRPr="002C0D0A" w:rsidRDefault="002C0D0A" w:rsidP="001D5F12">
      <w:pPr>
        <w:spacing w:after="0" w:line="480" w:lineRule="auto"/>
      </w:pPr>
    </w:p>
    <w:p w:rsidR="002C0D0A" w:rsidRDefault="002C0D0A" w:rsidP="001D5F12">
      <w:pPr>
        <w:spacing w:after="0" w:line="480" w:lineRule="auto"/>
      </w:pPr>
      <w:r w:rsidRPr="002C0D0A">
        <w:t xml:space="preserve">Thatcher, M. (2011) ‘The Creation of European Regulatory Agencies and its Limits: A Comparative Analysis of European Delegation’. </w:t>
      </w:r>
      <w:r w:rsidRPr="002C0D0A">
        <w:rPr>
          <w:i/>
        </w:rPr>
        <w:t>Journal of European Public Policy</w:t>
      </w:r>
      <w:r w:rsidRPr="002C0D0A">
        <w:t xml:space="preserve">, </w:t>
      </w:r>
      <w:r w:rsidR="0009509A">
        <w:t>Vol.</w:t>
      </w:r>
      <w:r w:rsidRPr="002C0D0A">
        <w:t>18,</w:t>
      </w:r>
      <w:r w:rsidR="0009509A">
        <w:t xml:space="preserve"> No.</w:t>
      </w:r>
      <w:r w:rsidRPr="002C0D0A">
        <w:t>6, pp.790-809.</w:t>
      </w:r>
    </w:p>
    <w:p w:rsidR="002C0D0A" w:rsidRPr="002C0D0A" w:rsidRDefault="002C0D0A" w:rsidP="001D5F12">
      <w:pPr>
        <w:spacing w:after="0" w:line="480" w:lineRule="auto"/>
      </w:pPr>
    </w:p>
    <w:p w:rsidR="002C0D0A" w:rsidRDefault="00F42440" w:rsidP="001D5F12">
      <w:pPr>
        <w:spacing w:after="0" w:line="480" w:lineRule="auto"/>
      </w:pPr>
      <w:proofErr w:type="spellStart"/>
      <w:r>
        <w:t>Trondal</w:t>
      </w:r>
      <w:proofErr w:type="spellEnd"/>
      <w:r>
        <w:t>, J. (2010</w:t>
      </w:r>
      <w:r w:rsidR="002C0D0A" w:rsidRPr="002C0D0A">
        <w:t xml:space="preserve">) </w:t>
      </w:r>
      <w:r w:rsidR="002C0D0A" w:rsidRPr="002C0D0A">
        <w:rPr>
          <w:i/>
        </w:rPr>
        <w:t>An Emergent European Executive Order</w:t>
      </w:r>
      <w:r w:rsidR="002C0D0A" w:rsidRPr="002C0D0A">
        <w:t xml:space="preserve"> (Oxford: Oxford University Press).</w:t>
      </w:r>
    </w:p>
    <w:p w:rsidR="002C0D0A" w:rsidRPr="002C0D0A" w:rsidRDefault="002C0D0A" w:rsidP="001D5F12">
      <w:pPr>
        <w:spacing w:after="0" w:line="480" w:lineRule="auto"/>
      </w:pPr>
    </w:p>
    <w:p w:rsidR="002C0D0A" w:rsidRDefault="002C0D0A" w:rsidP="001D5F12">
      <w:pPr>
        <w:spacing w:after="0" w:line="480" w:lineRule="auto"/>
      </w:pPr>
      <w:r w:rsidRPr="002C0D0A">
        <w:lastRenderedPageBreak/>
        <w:t>UK House of Commons (2009) European Scrutiny Committee, 16</w:t>
      </w:r>
      <w:r w:rsidRPr="002C0D0A">
        <w:rPr>
          <w:vertAlign w:val="superscript"/>
        </w:rPr>
        <w:t>th</w:t>
      </w:r>
      <w:r w:rsidRPr="002C0D0A">
        <w:t xml:space="preserve"> Report (2008-9), Chapter 1, 22 April (London: HMSO).</w:t>
      </w:r>
    </w:p>
    <w:p w:rsidR="002C0D0A" w:rsidRPr="002C0D0A" w:rsidRDefault="002C0D0A" w:rsidP="001D5F12">
      <w:pPr>
        <w:spacing w:after="0" w:line="480" w:lineRule="auto"/>
      </w:pPr>
    </w:p>
    <w:p w:rsidR="002608E9" w:rsidRPr="002C0D0A" w:rsidRDefault="002C0D0A" w:rsidP="001D5F12">
      <w:pPr>
        <w:spacing w:after="0" w:line="480" w:lineRule="auto"/>
      </w:pPr>
      <w:proofErr w:type="spellStart"/>
      <w:r w:rsidRPr="002C0D0A">
        <w:t>Zito</w:t>
      </w:r>
      <w:proofErr w:type="spellEnd"/>
      <w:r w:rsidRPr="002C0D0A">
        <w:t xml:space="preserve">, A. (2009) ‘European Agencies as Agents of Governance and EU Learning’. </w:t>
      </w:r>
      <w:r w:rsidRPr="002C0D0A">
        <w:rPr>
          <w:i/>
        </w:rPr>
        <w:t>Journal of European Public Policy</w:t>
      </w:r>
      <w:r w:rsidRPr="002C0D0A">
        <w:t xml:space="preserve">, </w:t>
      </w:r>
      <w:r w:rsidR="0009509A">
        <w:t>Vol.</w:t>
      </w:r>
      <w:r w:rsidRPr="002C0D0A">
        <w:t>16,</w:t>
      </w:r>
      <w:r w:rsidR="0009509A">
        <w:t xml:space="preserve"> No.</w:t>
      </w:r>
      <w:r w:rsidRPr="002C0D0A">
        <w:t>8, pp.1224-1243.</w:t>
      </w:r>
      <w:r w:rsidR="00142179" w:rsidRPr="002C0D0A">
        <w:t xml:space="preserve"> </w:t>
      </w:r>
    </w:p>
    <w:p w:rsidR="002C0D0A" w:rsidRDefault="002C0D0A" w:rsidP="001D5F12">
      <w:pPr>
        <w:spacing w:after="0" w:line="480" w:lineRule="auto"/>
        <w:jc w:val="both"/>
      </w:pPr>
    </w:p>
    <w:p w:rsidR="00F867F8" w:rsidRDefault="008540D3" w:rsidP="00E9028D">
      <w:pPr>
        <w:pStyle w:val="Heading1"/>
      </w:pPr>
      <w:r>
        <w:t>Appendix</w:t>
      </w:r>
    </w:p>
    <w:p w:rsidR="008540D3" w:rsidRDefault="008540D3" w:rsidP="00E9028D"/>
    <w:p w:rsidR="008540D3" w:rsidRPr="004760C6" w:rsidRDefault="008540D3" w:rsidP="008540D3">
      <w:pPr>
        <w:spacing w:after="0" w:line="480" w:lineRule="auto"/>
        <w:jc w:val="both"/>
        <w:rPr>
          <w:b/>
          <w:sz w:val="20"/>
        </w:rPr>
      </w:pPr>
      <w:r>
        <w:rPr>
          <w:b/>
          <w:sz w:val="20"/>
        </w:rPr>
        <w:t xml:space="preserve">TABLE 1: </w:t>
      </w:r>
      <w:r w:rsidRPr="004760C6">
        <w:rPr>
          <w:b/>
          <w:sz w:val="20"/>
        </w:rPr>
        <w:t>Interviewees’ institutional affiliations</w:t>
      </w:r>
    </w:p>
    <w:tbl>
      <w:tblPr>
        <w:tblStyle w:val="PlainTable2"/>
        <w:tblW w:w="5000" w:type="pct"/>
        <w:tblLook w:val="04A0" w:firstRow="1" w:lastRow="0" w:firstColumn="1" w:lastColumn="0" w:noHBand="0" w:noVBand="1"/>
      </w:tblPr>
      <w:tblGrid>
        <w:gridCol w:w="2838"/>
        <w:gridCol w:w="4306"/>
        <w:gridCol w:w="2216"/>
      </w:tblGrid>
      <w:tr w:rsidR="008540D3" w:rsidRPr="0040734F" w:rsidTr="008540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pct"/>
          </w:tcPr>
          <w:p w:rsidR="008540D3" w:rsidRPr="0040734F" w:rsidRDefault="008540D3" w:rsidP="008540D3">
            <w:pPr>
              <w:spacing w:line="480" w:lineRule="auto"/>
              <w:jc w:val="both"/>
              <w:rPr>
                <w:sz w:val="18"/>
              </w:rPr>
            </w:pPr>
            <w:r w:rsidRPr="0040734F">
              <w:rPr>
                <w:sz w:val="18"/>
              </w:rPr>
              <w:t>Affiliation</w:t>
            </w:r>
          </w:p>
        </w:tc>
        <w:tc>
          <w:tcPr>
            <w:tcW w:w="2300" w:type="pct"/>
          </w:tcPr>
          <w:p w:rsidR="008540D3" w:rsidRPr="0040734F" w:rsidRDefault="008540D3" w:rsidP="008540D3">
            <w:pPr>
              <w:spacing w:line="480" w:lineRule="auto"/>
              <w:jc w:val="both"/>
              <w:cnfStyle w:val="100000000000" w:firstRow="1" w:lastRow="0" w:firstColumn="0" w:lastColumn="0" w:oddVBand="0" w:evenVBand="0" w:oddHBand="0" w:evenHBand="0" w:firstRowFirstColumn="0" w:firstRowLastColumn="0" w:lastRowFirstColumn="0" w:lastRowLastColumn="0"/>
              <w:rPr>
                <w:sz w:val="18"/>
              </w:rPr>
            </w:pPr>
            <w:r w:rsidRPr="0040734F">
              <w:rPr>
                <w:sz w:val="18"/>
              </w:rPr>
              <w:t>Role</w:t>
            </w:r>
          </w:p>
        </w:tc>
        <w:tc>
          <w:tcPr>
            <w:tcW w:w="1184" w:type="pct"/>
          </w:tcPr>
          <w:p w:rsidR="008540D3" w:rsidRPr="0040734F" w:rsidRDefault="008540D3" w:rsidP="008540D3">
            <w:pPr>
              <w:spacing w:line="480" w:lineRule="auto"/>
              <w:jc w:val="both"/>
              <w:cnfStyle w:val="100000000000" w:firstRow="1" w:lastRow="0" w:firstColumn="0" w:lastColumn="0" w:oddVBand="0" w:evenVBand="0" w:oddHBand="0" w:evenHBand="0" w:firstRowFirstColumn="0" w:firstRowLastColumn="0" w:lastRowFirstColumn="0" w:lastRowLastColumn="0"/>
              <w:rPr>
                <w:sz w:val="18"/>
              </w:rPr>
            </w:pPr>
            <w:r w:rsidRPr="0040734F">
              <w:rPr>
                <w:sz w:val="18"/>
              </w:rPr>
              <w:t xml:space="preserve">No. of interviews </w:t>
            </w:r>
          </w:p>
        </w:tc>
      </w:tr>
      <w:tr w:rsidR="008540D3" w:rsidRPr="0040734F" w:rsidTr="00854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pct"/>
          </w:tcPr>
          <w:p w:rsidR="008540D3" w:rsidRPr="0040734F" w:rsidRDefault="008540D3" w:rsidP="008540D3">
            <w:pPr>
              <w:spacing w:line="480" w:lineRule="auto"/>
              <w:jc w:val="both"/>
              <w:rPr>
                <w:sz w:val="18"/>
              </w:rPr>
            </w:pPr>
            <w:r w:rsidRPr="0040734F">
              <w:rPr>
                <w:sz w:val="18"/>
              </w:rPr>
              <w:t>European Commission</w:t>
            </w:r>
          </w:p>
        </w:tc>
        <w:tc>
          <w:tcPr>
            <w:tcW w:w="2300" w:type="pct"/>
          </w:tcPr>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D-G Information Society (senior management*)</w:t>
            </w:r>
          </w:p>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D-G Information Society (management)</w:t>
            </w:r>
          </w:p>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Commissioner cabinet</w:t>
            </w:r>
          </w:p>
        </w:tc>
        <w:tc>
          <w:tcPr>
            <w:tcW w:w="1184" w:type="pct"/>
          </w:tcPr>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 xml:space="preserve">2 </w:t>
            </w:r>
          </w:p>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1</w:t>
            </w:r>
          </w:p>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1</w:t>
            </w:r>
          </w:p>
        </w:tc>
      </w:tr>
      <w:tr w:rsidR="008540D3" w:rsidRPr="0040734F" w:rsidTr="008540D3">
        <w:tc>
          <w:tcPr>
            <w:cnfStyle w:val="001000000000" w:firstRow="0" w:lastRow="0" w:firstColumn="1" w:lastColumn="0" w:oddVBand="0" w:evenVBand="0" w:oddHBand="0" w:evenHBand="0" w:firstRowFirstColumn="0" w:firstRowLastColumn="0" w:lastRowFirstColumn="0" w:lastRowLastColumn="0"/>
            <w:tcW w:w="1516" w:type="pct"/>
          </w:tcPr>
          <w:p w:rsidR="008540D3" w:rsidRPr="0040734F" w:rsidRDefault="008540D3" w:rsidP="008540D3">
            <w:pPr>
              <w:spacing w:line="480" w:lineRule="auto"/>
              <w:jc w:val="both"/>
              <w:rPr>
                <w:sz w:val="18"/>
              </w:rPr>
            </w:pPr>
            <w:r w:rsidRPr="0040734F">
              <w:rPr>
                <w:sz w:val="18"/>
              </w:rPr>
              <w:t>European Parliament</w:t>
            </w:r>
          </w:p>
        </w:tc>
        <w:tc>
          <w:tcPr>
            <w:tcW w:w="2300" w:type="pct"/>
          </w:tcPr>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ITRE Committee</w:t>
            </w:r>
          </w:p>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 xml:space="preserve">MEP </w:t>
            </w:r>
          </w:p>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MEP office</w:t>
            </w:r>
          </w:p>
        </w:tc>
        <w:tc>
          <w:tcPr>
            <w:tcW w:w="1184" w:type="pct"/>
          </w:tcPr>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1</w:t>
            </w:r>
          </w:p>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1</w:t>
            </w:r>
          </w:p>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1</w:t>
            </w:r>
          </w:p>
        </w:tc>
      </w:tr>
      <w:tr w:rsidR="008540D3" w:rsidRPr="0040734F" w:rsidTr="00854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pct"/>
          </w:tcPr>
          <w:p w:rsidR="008540D3" w:rsidRPr="0040734F" w:rsidRDefault="008540D3" w:rsidP="008540D3">
            <w:pPr>
              <w:spacing w:line="480" w:lineRule="auto"/>
              <w:jc w:val="both"/>
              <w:rPr>
                <w:sz w:val="18"/>
              </w:rPr>
            </w:pPr>
            <w:r w:rsidRPr="0040734F">
              <w:rPr>
                <w:sz w:val="18"/>
              </w:rPr>
              <w:t>Council of Ministers</w:t>
            </w:r>
          </w:p>
        </w:tc>
        <w:tc>
          <w:tcPr>
            <w:tcW w:w="2300" w:type="pct"/>
          </w:tcPr>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 xml:space="preserve">Member of Council working party (ministry official) </w:t>
            </w:r>
          </w:p>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Member of Council working party (permanent rep)</w:t>
            </w:r>
          </w:p>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Council secretariat</w:t>
            </w:r>
          </w:p>
        </w:tc>
        <w:tc>
          <w:tcPr>
            <w:tcW w:w="1184" w:type="pct"/>
          </w:tcPr>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5</w:t>
            </w:r>
          </w:p>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2</w:t>
            </w:r>
          </w:p>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1</w:t>
            </w:r>
          </w:p>
        </w:tc>
      </w:tr>
      <w:tr w:rsidR="008540D3" w:rsidRPr="0040734F" w:rsidTr="008540D3">
        <w:trPr>
          <w:trHeight w:val="2305"/>
        </w:trPr>
        <w:tc>
          <w:tcPr>
            <w:cnfStyle w:val="001000000000" w:firstRow="0" w:lastRow="0" w:firstColumn="1" w:lastColumn="0" w:oddVBand="0" w:evenVBand="0" w:oddHBand="0" w:evenHBand="0" w:firstRowFirstColumn="0" w:firstRowLastColumn="0" w:lastRowFirstColumn="0" w:lastRowLastColumn="0"/>
            <w:tcW w:w="1516" w:type="pct"/>
            <w:vMerge w:val="restart"/>
          </w:tcPr>
          <w:p w:rsidR="008540D3" w:rsidRPr="0040734F" w:rsidRDefault="008540D3" w:rsidP="008540D3">
            <w:pPr>
              <w:spacing w:line="480" w:lineRule="auto"/>
              <w:jc w:val="both"/>
              <w:rPr>
                <w:sz w:val="18"/>
              </w:rPr>
            </w:pPr>
            <w:r w:rsidRPr="0040734F">
              <w:rPr>
                <w:sz w:val="18"/>
              </w:rPr>
              <w:t>National regulatory authorities</w:t>
            </w:r>
          </w:p>
        </w:tc>
        <w:tc>
          <w:tcPr>
            <w:tcW w:w="2300" w:type="pct"/>
          </w:tcPr>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Senior management*</w:t>
            </w:r>
          </w:p>
          <w:p w:rsidR="008540D3" w:rsidRPr="0040734F" w:rsidRDefault="008540D3" w:rsidP="008540D3">
            <w:pPr>
              <w:numPr>
                <w:ilvl w:val="0"/>
                <w:numId w:val="2"/>
              </w:num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AGCOM (Italy)</w:t>
            </w:r>
          </w:p>
          <w:p w:rsidR="008540D3" w:rsidRPr="0040734F" w:rsidRDefault="008540D3" w:rsidP="008540D3">
            <w:pPr>
              <w:numPr>
                <w:ilvl w:val="0"/>
                <w:numId w:val="2"/>
              </w:num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ANACOM (Portugal)</w:t>
            </w:r>
          </w:p>
          <w:p w:rsidR="008540D3" w:rsidRPr="0040734F" w:rsidRDefault="008540D3" w:rsidP="008540D3">
            <w:pPr>
              <w:numPr>
                <w:ilvl w:val="0"/>
                <w:numId w:val="2"/>
              </w:num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BIPT (Belgium)</w:t>
            </w:r>
          </w:p>
          <w:p w:rsidR="008540D3" w:rsidRPr="0040734F" w:rsidRDefault="008540D3" w:rsidP="008540D3">
            <w:pPr>
              <w:numPr>
                <w:ilvl w:val="0"/>
                <w:numId w:val="2"/>
              </w:num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proofErr w:type="spellStart"/>
            <w:r w:rsidRPr="0040734F">
              <w:rPr>
                <w:sz w:val="18"/>
              </w:rPr>
              <w:t>BNetzA</w:t>
            </w:r>
            <w:proofErr w:type="spellEnd"/>
            <w:r w:rsidRPr="0040734F">
              <w:rPr>
                <w:sz w:val="18"/>
              </w:rPr>
              <w:t xml:space="preserve"> (Germany)</w:t>
            </w:r>
          </w:p>
          <w:p w:rsidR="008540D3" w:rsidRPr="0040734F" w:rsidRDefault="008540D3" w:rsidP="008540D3">
            <w:pPr>
              <w:numPr>
                <w:ilvl w:val="0"/>
                <w:numId w:val="2"/>
              </w:num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proofErr w:type="spellStart"/>
            <w:r w:rsidRPr="0040734F">
              <w:rPr>
                <w:sz w:val="18"/>
              </w:rPr>
              <w:t>ComReg</w:t>
            </w:r>
            <w:proofErr w:type="spellEnd"/>
            <w:r w:rsidRPr="0040734F">
              <w:rPr>
                <w:sz w:val="18"/>
              </w:rPr>
              <w:t xml:space="preserve"> (Ireland)</w:t>
            </w:r>
          </w:p>
          <w:p w:rsidR="008540D3" w:rsidRPr="0040734F" w:rsidRDefault="008540D3" w:rsidP="008540D3">
            <w:pPr>
              <w:numPr>
                <w:ilvl w:val="0"/>
                <w:numId w:val="2"/>
              </w:num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NMHH (Hungary)</w:t>
            </w:r>
          </w:p>
          <w:p w:rsidR="008540D3" w:rsidRPr="0040734F" w:rsidRDefault="008540D3" w:rsidP="008540D3">
            <w:pPr>
              <w:numPr>
                <w:ilvl w:val="0"/>
                <w:numId w:val="2"/>
              </w:num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Ofcom (UK)</w:t>
            </w:r>
          </w:p>
          <w:p w:rsidR="008540D3" w:rsidRPr="0040734F" w:rsidRDefault="008540D3" w:rsidP="008540D3">
            <w:pPr>
              <w:numPr>
                <w:ilvl w:val="0"/>
                <w:numId w:val="2"/>
              </w:num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lastRenderedPageBreak/>
              <w:t>OPTA (Netherlands)</w:t>
            </w:r>
          </w:p>
          <w:p w:rsidR="008540D3" w:rsidRPr="0040734F" w:rsidRDefault="008540D3" w:rsidP="008540D3">
            <w:pPr>
              <w:numPr>
                <w:ilvl w:val="0"/>
                <w:numId w:val="2"/>
              </w:num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PTS (Sweden)</w:t>
            </w:r>
          </w:p>
          <w:p w:rsidR="008540D3" w:rsidRPr="0040734F" w:rsidRDefault="008540D3" w:rsidP="008540D3">
            <w:pPr>
              <w:numPr>
                <w:ilvl w:val="0"/>
                <w:numId w:val="2"/>
              </w:num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RTR (Austria)</w:t>
            </w:r>
          </w:p>
        </w:tc>
        <w:tc>
          <w:tcPr>
            <w:tcW w:w="1184" w:type="pct"/>
          </w:tcPr>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lastRenderedPageBreak/>
              <w:t>13 (total)</w:t>
            </w:r>
          </w:p>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2</w:t>
            </w:r>
          </w:p>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1</w:t>
            </w:r>
          </w:p>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1</w:t>
            </w:r>
          </w:p>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1</w:t>
            </w:r>
          </w:p>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1</w:t>
            </w:r>
          </w:p>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1</w:t>
            </w:r>
          </w:p>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3</w:t>
            </w:r>
          </w:p>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lastRenderedPageBreak/>
              <w:t>1</w:t>
            </w:r>
          </w:p>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1</w:t>
            </w:r>
          </w:p>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1</w:t>
            </w:r>
          </w:p>
        </w:tc>
      </w:tr>
      <w:tr w:rsidR="008540D3" w:rsidRPr="0040734F" w:rsidTr="008540D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516" w:type="pct"/>
            <w:vMerge/>
          </w:tcPr>
          <w:p w:rsidR="008540D3" w:rsidRPr="0040734F" w:rsidRDefault="008540D3" w:rsidP="008540D3">
            <w:pPr>
              <w:spacing w:line="480" w:lineRule="auto"/>
              <w:jc w:val="both"/>
              <w:rPr>
                <w:sz w:val="18"/>
              </w:rPr>
            </w:pPr>
          </w:p>
        </w:tc>
        <w:tc>
          <w:tcPr>
            <w:tcW w:w="2300" w:type="pct"/>
          </w:tcPr>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Management</w:t>
            </w:r>
          </w:p>
          <w:p w:rsidR="008540D3" w:rsidRPr="0040734F" w:rsidRDefault="008540D3" w:rsidP="008540D3">
            <w:pPr>
              <w:numPr>
                <w:ilvl w:val="0"/>
                <w:numId w:val="2"/>
              </w:num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proofErr w:type="spellStart"/>
            <w:r w:rsidRPr="0040734F">
              <w:rPr>
                <w:sz w:val="18"/>
              </w:rPr>
              <w:t>BNetzA</w:t>
            </w:r>
            <w:proofErr w:type="spellEnd"/>
            <w:r w:rsidRPr="0040734F">
              <w:rPr>
                <w:sz w:val="18"/>
              </w:rPr>
              <w:t xml:space="preserve"> (Germany)</w:t>
            </w:r>
          </w:p>
          <w:p w:rsidR="008540D3" w:rsidRPr="0040734F" w:rsidRDefault="008540D3" w:rsidP="008540D3">
            <w:pPr>
              <w:numPr>
                <w:ilvl w:val="0"/>
                <w:numId w:val="2"/>
              </w:num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Competition Authority (Estonia)</w:t>
            </w:r>
          </w:p>
          <w:p w:rsidR="008540D3" w:rsidRPr="0040734F" w:rsidRDefault="008540D3" w:rsidP="008540D3">
            <w:pPr>
              <w:numPr>
                <w:ilvl w:val="0"/>
                <w:numId w:val="2"/>
              </w:num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CMT (Spain)</w:t>
            </w:r>
          </w:p>
          <w:p w:rsidR="008540D3" w:rsidRPr="0040734F" w:rsidRDefault="008540D3" w:rsidP="008540D3">
            <w:pPr>
              <w:numPr>
                <w:ilvl w:val="0"/>
                <w:numId w:val="2"/>
              </w:num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CTU (Czech Republic)</w:t>
            </w:r>
          </w:p>
          <w:p w:rsidR="008540D3" w:rsidRPr="0040734F" w:rsidRDefault="008540D3" w:rsidP="008540D3">
            <w:pPr>
              <w:numPr>
                <w:ilvl w:val="0"/>
                <w:numId w:val="2"/>
              </w:num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Ofcom (UK)</w:t>
            </w:r>
          </w:p>
          <w:p w:rsidR="008540D3" w:rsidRPr="0040734F" w:rsidRDefault="008540D3" w:rsidP="008540D3">
            <w:pPr>
              <w:numPr>
                <w:ilvl w:val="0"/>
                <w:numId w:val="2"/>
              </w:num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HAKOM (Croatia)</w:t>
            </w:r>
          </w:p>
          <w:p w:rsidR="008540D3" w:rsidRPr="0040734F" w:rsidRDefault="008540D3" w:rsidP="008540D3">
            <w:pPr>
              <w:numPr>
                <w:ilvl w:val="0"/>
                <w:numId w:val="2"/>
              </w:num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ISTS (Denmark)</w:t>
            </w:r>
          </w:p>
        </w:tc>
        <w:tc>
          <w:tcPr>
            <w:tcW w:w="1184" w:type="pct"/>
          </w:tcPr>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8 (total)</w:t>
            </w:r>
          </w:p>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1</w:t>
            </w:r>
          </w:p>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1</w:t>
            </w:r>
          </w:p>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1</w:t>
            </w:r>
          </w:p>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1</w:t>
            </w:r>
          </w:p>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2</w:t>
            </w:r>
          </w:p>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1</w:t>
            </w:r>
          </w:p>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1</w:t>
            </w:r>
          </w:p>
        </w:tc>
      </w:tr>
      <w:tr w:rsidR="008540D3" w:rsidRPr="0040734F" w:rsidTr="008540D3">
        <w:tc>
          <w:tcPr>
            <w:cnfStyle w:val="001000000000" w:firstRow="0" w:lastRow="0" w:firstColumn="1" w:lastColumn="0" w:oddVBand="0" w:evenVBand="0" w:oddHBand="0" w:evenHBand="0" w:firstRowFirstColumn="0" w:firstRowLastColumn="0" w:lastRowFirstColumn="0" w:lastRowLastColumn="0"/>
            <w:tcW w:w="1516" w:type="pct"/>
          </w:tcPr>
          <w:p w:rsidR="008540D3" w:rsidRPr="0040734F" w:rsidRDefault="008540D3" w:rsidP="008540D3">
            <w:pPr>
              <w:spacing w:line="480" w:lineRule="auto"/>
              <w:jc w:val="both"/>
              <w:rPr>
                <w:sz w:val="18"/>
              </w:rPr>
            </w:pPr>
            <w:r w:rsidRPr="0040734F">
              <w:rPr>
                <w:sz w:val="18"/>
              </w:rPr>
              <w:t>BEREC Office (EU agency)</w:t>
            </w:r>
          </w:p>
        </w:tc>
        <w:tc>
          <w:tcPr>
            <w:tcW w:w="2300" w:type="pct"/>
          </w:tcPr>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Senior management*</w:t>
            </w:r>
          </w:p>
        </w:tc>
        <w:tc>
          <w:tcPr>
            <w:tcW w:w="1184" w:type="pct"/>
          </w:tcPr>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1</w:t>
            </w:r>
          </w:p>
        </w:tc>
      </w:tr>
      <w:tr w:rsidR="008540D3" w:rsidRPr="0040734F" w:rsidTr="00854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pct"/>
          </w:tcPr>
          <w:p w:rsidR="008540D3" w:rsidRPr="0040734F" w:rsidRDefault="008540D3" w:rsidP="008540D3">
            <w:pPr>
              <w:spacing w:line="480" w:lineRule="auto"/>
              <w:jc w:val="both"/>
              <w:rPr>
                <w:sz w:val="18"/>
              </w:rPr>
            </w:pPr>
            <w:r w:rsidRPr="0040734F">
              <w:rPr>
                <w:sz w:val="18"/>
              </w:rPr>
              <w:t>Industry representatives</w:t>
            </w:r>
          </w:p>
        </w:tc>
        <w:tc>
          <w:tcPr>
            <w:tcW w:w="2300" w:type="pct"/>
          </w:tcPr>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Senior management*</w:t>
            </w:r>
          </w:p>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Management</w:t>
            </w:r>
          </w:p>
        </w:tc>
        <w:tc>
          <w:tcPr>
            <w:tcW w:w="1184" w:type="pct"/>
          </w:tcPr>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2</w:t>
            </w:r>
          </w:p>
          <w:p w:rsidR="008540D3" w:rsidRPr="0040734F" w:rsidRDefault="008540D3" w:rsidP="008540D3">
            <w:pPr>
              <w:spacing w:line="480" w:lineRule="auto"/>
              <w:jc w:val="both"/>
              <w:cnfStyle w:val="000000100000" w:firstRow="0" w:lastRow="0" w:firstColumn="0" w:lastColumn="0" w:oddVBand="0" w:evenVBand="0" w:oddHBand="1" w:evenHBand="0" w:firstRowFirstColumn="0" w:firstRowLastColumn="0" w:lastRowFirstColumn="0" w:lastRowLastColumn="0"/>
              <w:rPr>
                <w:sz w:val="18"/>
              </w:rPr>
            </w:pPr>
            <w:r w:rsidRPr="0040734F">
              <w:rPr>
                <w:sz w:val="18"/>
              </w:rPr>
              <w:t>2</w:t>
            </w:r>
          </w:p>
        </w:tc>
      </w:tr>
      <w:tr w:rsidR="008540D3" w:rsidRPr="0040734F" w:rsidTr="008540D3">
        <w:tc>
          <w:tcPr>
            <w:cnfStyle w:val="001000000000" w:firstRow="0" w:lastRow="0" w:firstColumn="1" w:lastColumn="0" w:oddVBand="0" w:evenVBand="0" w:oddHBand="0" w:evenHBand="0" w:firstRowFirstColumn="0" w:firstRowLastColumn="0" w:lastRowFirstColumn="0" w:lastRowLastColumn="0"/>
            <w:tcW w:w="1516" w:type="pct"/>
          </w:tcPr>
          <w:p w:rsidR="008540D3" w:rsidRPr="0040734F" w:rsidRDefault="008540D3" w:rsidP="008540D3">
            <w:pPr>
              <w:spacing w:line="480" w:lineRule="auto"/>
              <w:jc w:val="both"/>
              <w:rPr>
                <w:sz w:val="18"/>
              </w:rPr>
            </w:pPr>
            <w:r w:rsidRPr="0040734F">
              <w:rPr>
                <w:sz w:val="18"/>
              </w:rPr>
              <w:t>Independent experts</w:t>
            </w:r>
          </w:p>
        </w:tc>
        <w:tc>
          <w:tcPr>
            <w:tcW w:w="2300" w:type="pct"/>
          </w:tcPr>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Academic (professor)</w:t>
            </w:r>
          </w:p>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Consultancy (senior management*)</w:t>
            </w:r>
          </w:p>
        </w:tc>
        <w:tc>
          <w:tcPr>
            <w:tcW w:w="1184" w:type="pct"/>
          </w:tcPr>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1</w:t>
            </w:r>
          </w:p>
          <w:p w:rsidR="008540D3" w:rsidRPr="0040734F" w:rsidRDefault="008540D3" w:rsidP="008540D3">
            <w:pPr>
              <w:spacing w:line="480" w:lineRule="auto"/>
              <w:jc w:val="both"/>
              <w:cnfStyle w:val="000000000000" w:firstRow="0" w:lastRow="0" w:firstColumn="0" w:lastColumn="0" w:oddVBand="0" w:evenVBand="0" w:oddHBand="0" w:evenHBand="0" w:firstRowFirstColumn="0" w:firstRowLastColumn="0" w:lastRowFirstColumn="0" w:lastRowLastColumn="0"/>
              <w:rPr>
                <w:sz w:val="18"/>
              </w:rPr>
            </w:pPr>
            <w:r w:rsidRPr="0040734F">
              <w:rPr>
                <w:sz w:val="18"/>
              </w:rPr>
              <w:t>2</w:t>
            </w:r>
          </w:p>
        </w:tc>
      </w:tr>
    </w:tbl>
    <w:p w:rsidR="008540D3" w:rsidRPr="0040734F" w:rsidRDefault="008540D3" w:rsidP="008540D3">
      <w:pPr>
        <w:spacing w:after="0" w:line="480" w:lineRule="auto"/>
        <w:jc w:val="both"/>
        <w:rPr>
          <w:sz w:val="18"/>
        </w:rPr>
      </w:pPr>
      <w:r w:rsidRPr="0040734F">
        <w:rPr>
          <w:sz w:val="18"/>
        </w:rPr>
        <w:t xml:space="preserve">* Holding a leading management position, such as International Director or Head </w:t>
      </w:r>
    </w:p>
    <w:p w:rsidR="008540D3" w:rsidRPr="008540D3" w:rsidRDefault="008540D3" w:rsidP="00E9028D"/>
    <w:sectPr w:rsidR="008540D3" w:rsidRPr="008540D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96E" w:rsidRDefault="00DA596E" w:rsidP="00AA71C8">
      <w:pPr>
        <w:spacing w:after="0" w:line="240" w:lineRule="auto"/>
      </w:pPr>
      <w:r>
        <w:separator/>
      </w:r>
    </w:p>
  </w:endnote>
  <w:endnote w:type="continuationSeparator" w:id="0">
    <w:p w:rsidR="00DA596E" w:rsidRDefault="00DA596E" w:rsidP="00AA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842074"/>
      <w:docPartObj>
        <w:docPartGallery w:val="Page Numbers (Bottom of Page)"/>
        <w:docPartUnique/>
      </w:docPartObj>
    </w:sdtPr>
    <w:sdtEndPr>
      <w:rPr>
        <w:noProof/>
        <w:sz w:val="20"/>
      </w:rPr>
    </w:sdtEndPr>
    <w:sdtContent>
      <w:p w:rsidR="001C27B6" w:rsidRPr="00E2772D" w:rsidRDefault="001C27B6">
        <w:pPr>
          <w:pStyle w:val="Footer"/>
          <w:jc w:val="center"/>
          <w:rPr>
            <w:sz w:val="20"/>
          </w:rPr>
        </w:pPr>
        <w:r w:rsidRPr="00E2772D">
          <w:rPr>
            <w:sz w:val="20"/>
          </w:rPr>
          <w:fldChar w:fldCharType="begin"/>
        </w:r>
        <w:r w:rsidRPr="00E2772D">
          <w:rPr>
            <w:sz w:val="20"/>
          </w:rPr>
          <w:instrText xml:space="preserve"> PAGE   \* MERGEFORMAT </w:instrText>
        </w:r>
        <w:r w:rsidRPr="00E2772D">
          <w:rPr>
            <w:sz w:val="20"/>
          </w:rPr>
          <w:fldChar w:fldCharType="separate"/>
        </w:r>
        <w:r w:rsidR="00B85A21">
          <w:rPr>
            <w:noProof/>
            <w:sz w:val="20"/>
          </w:rPr>
          <w:t>21</w:t>
        </w:r>
        <w:r w:rsidRPr="00E2772D">
          <w:rPr>
            <w:noProof/>
            <w:sz w:val="20"/>
          </w:rPr>
          <w:fldChar w:fldCharType="end"/>
        </w:r>
      </w:p>
    </w:sdtContent>
  </w:sdt>
  <w:p w:rsidR="001C27B6" w:rsidRDefault="001C2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96E" w:rsidRDefault="00DA596E" w:rsidP="00AA71C8">
      <w:pPr>
        <w:spacing w:after="0" w:line="240" w:lineRule="auto"/>
      </w:pPr>
      <w:r>
        <w:separator/>
      </w:r>
    </w:p>
  </w:footnote>
  <w:footnote w:type="continuationSeparator" w:id="0">
    <w:p w:rsidR="00DA596E" w:rsidRDefault="00DA596E" w:rsidP="00AA71C8">
      <w:pPr>
        <w:spacing w:after="0" w:line="240" w:lineRule="auto"/>
      </w:pPr>
      <w:r>
        <w:continuationSeparator/>
      </w:r>
    </w:p>
  </w:footnote>
  <w:footnote w:id="1">
    <w:p w:rsidR="00E9729C" w:rsidRDefault="00E9729C">
      <w:pPr>
        <w:pStyle w:val="FootnoteText"/>
      </w:pPr>
      <w:r>
        <w:rPr>
          <w:rStyle w:val="FootnoteReference"/>
        </w:rPr>
        <w:footnoteRef/>
      </w:r>
      <w:r>
        <w:t xml:space="preserve"> We are grateful to the Arts and Humanities Research Council for funding the research for this article.</w:t>
      </w:r>
      <w:r w:rsidR="003F0999">
        <w:t xml:space="preserve"> </w:t>
      </w:r>
    </w:p>
  </w:footnote>
  <w:footnote w:id="2">
    <w:p w:rsidR="001C27B6" w:rsidRDefault="001C27B6" w:rsidP="00F721CD">
      <w:pPr>
        <w:pStyle w:val="FootnoteText"/>
        <w:spacing w:line="480" w:lineRule="auto"/>
      </w:pPr>
      <w:r>
        <w:rPr>
          <w:rStyle w:val="FootnoteReference"/>
        </w:rPr>
        <w:footnoteRef/>
      </w:r>
      <w:r>
        <w:t xml:space="preserve"> Commission Decision 2002/627/EC amended by 2004/641/EC.</w:t>
      </w:r>
    </w:p>
  </w:footnote>
  <w:footnote w:id="3">
    <w:p w:rsidR="001C27B6" w:rsidRDefault="001C27B6" w:rsidP="00F721CD">
      <w:pPr>
        <w:pStyle w:val="FootnoteText"/>
        <w:spacing w:line="480" w:lineRule="auto"/>
      </w:pPr>
      <w:r>
        <w:rPr>
          <w:rStyle w:val="FootnoteReference"/>
        </w:rPr>
        <w:footnoteRef/>
      </w:r>
      <w:r>
        <w:t xml:space="preserve"> Regulation (EC) No 1211/2009.</w:t>
      </w:r>
    </w:p>
  </w:footnote>
  <w:footnote w:id="4">
    <w:p w:rsidR="001C27B6" w:rsidRDefault="001C27B6" w:rsidP="00F721CD">
      <w:pPr>
        <w:pStyle w:val="FootnoteText"/>
        <w:spacing w:line="480" w:lineRule="auto"/>
      </w:pPr>
      <w:r>
        <w:rPr>
          <w:rStyle w:val="FootnoteReference"/>
        </w:rPr>
        <w:footnoteRef/>
      </w:r>
      <w:r>
        <w:t xml:space="preserve"> Article 7</w:t>
      </w:r>
      <w:r>
        <w:t>a(7), Directive 2009/140/EC.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74A93"/>
    <w:multiLevelType w:val="hybridMultilevel"/>
    <w:tmpl w:val="7DB8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F63498"/>
    <w:multiLevelType w:val="hybridMultilevel"/>
    <w:tmpl w:val="C99E5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64"/>
    <w:rsid w:val="00003B85"/>
    <w:rsid w:val="000043C0"/>
    <w:rsid w:val="00005319"/>
    <w:rsid w:val="000053CA"/>
    <w:rsid w:val="00010AE2"/>
    <w:rsid w:val="00010E7F"/>
    <w:rsid w:val="0001618E"/>
    <w:rsid w:val="00022766"/>
    <w:rsid w:val="0002324E"/>
    <w:rsid w:val="000232A7"/>
    <w:rsid w:val="000232BA"/>
    <w:rsid w:val="00027EF6"/>
    <w:rsid w:val="0003031A"/>
    <w:rsid w:val="00032942"/>
    <w:rsid w:val="000360F0"/>
    <w:rsid w:val="00045379"/>
    <w:rsid w:val="000462CC"/>
    <w:rsid w:val="00046823"/>
    <w:rsid w:val="000475D7"/>
    <w:rsid w:val="0005358D"/>
    <w:rsid w:val="0006125F"/>
    <w:rsid w:val="00064453"/>
    <w:rsid w:val="000644AA"/>
    <w:rsid w:val="0007056D"/>
    <w:rsid w:val="00075739"/>
    <w:rsid w:val="00075F32"/>
    <w:rsid w:val="00080998"/>
    <w:rsid w:val="00080DC1"/>
    <w:rsid w:val="00082ADB"/>
    <w:rsid w:val="00084F8A"/>
    <w:rsid w:val="0008625A"/>
    <w:rsid w:val="00086C3B"/>
    <w:rsid w:val="0009107A"/>
    <w:rsid w:val="000911A7"/>
    <w:rsid w:val="000939FD"/>
    <w:rsid w:val="0009509A"/>
    <w:rsid w:val="000A05BF"/>
    <w:rsid w:val="000A408D"/>
    <w:rsid w:val="000B09A4"/>
    <w:rsid w:val="000B187E"/>
    <w:rsid w:val="000B28ED"/>
    <w:rsid w:val="000B2BEC"/>
    <w:rsid w:val="000B4126"/>
    <w:rsid w:val="000B45E4"/>
    <w:rsid w:val="000C0022"/>
    <w:rsid w:val="000C2E74"/>
    <w:rsid w:val="000C6FAB"/>
    <w:rsid w:val="000C767D"/>
    <w:rsid w:val="000D33EE"/>
    <w:rsid w:val="000E04FC"/>
    <w:rsid w:val="000E2E65"/>
    <w:rsid w:val="000E35E5"/>
    <w:rsid w:val="000E3AC3"/>
    <w:rsid w:val="000E3D3A"/>
    <w:rsid w:val="000E6552"/>
    <w:rsid w:val="000E774C"/>
    <w:rsid w:val="000F311A"/>
    <w:rsid w:val="000F5ACB"/>
    <w:rsid w:val="00105686"/>
    <w:rsid w:val="00105A10"/>
    <w:rsid w:val="00113426"/>
    <w:rsid w:val="00113A1C"/>
    <w:rsid w:val="00120E30"/>
    <w:rsid w:val="00121928"/>
    <w:rsid w:val="001231B7"/>
    <w:rsid w:val="001232C0"/>
    <w:rsid w:val="00125195"/>
    <w:rsid w:val="00135B09"/>
    <w:rsid w:val="00136293"/>
    <w:rsid w:val="0013637C"/>
    <w:rsid w:val="00136D6C"/>
    <w:rsid w:val="00137763"/>
    <w:rsid w:val="00140270"/>
    <w:rsid w:val="00141C3F"/>
    <w:rsid w:val="00142179"/>
    <w:rsid w:val="00142529"/>
    <w:rsid w:val="0014345E"/>
    <w:rsid w:val="00143613"/>
    <w:rsid w:val="00147D18"/>
    <w:rsid w:val="001524E6"/>
    <w:rsid w:val="0015574A"/>
    <w:rsid w:val="00161294"/>
    <w:rsid w:val="001619FE"/>
    <w:rsid w:val="001625A7"/>
    <w:rsid w:val="00164698"/>
    <w:rsid w:val="001700B7"/>
    <w:rsid w:val="00170D6D"/>
    <w:rsid w:val="00174252"/>
    <w:rsid w:val="00177008"/>
    <w:rsid w:val="0018099B"/>
    <w:rsid w:val="00180F93"/>
    <w:rsid w:val="00190A48"/>
    <w:rsid w:val="00191E06"/>
    <w:rsid w:val="001951E7"/>
    <w:rsid w:val="00195A3E"/>
    <w:rsid w:val="001A0452"/>
    <w:rsid w:val="001A351E"/>
    <w:rsid w:val="001A3667"/>
    <w:rsid w:val="001B21A2"/>
    <w:rsid w:val="001B6113"/>
    <w:rsid w:val="001B6DB0"/>
    <w:rsid w:val="001C27B6"/>
    <w:rsid w:val="001C561F"/>
    <w:rsid w:val="001C6C45"/>
    <w:rsid w:val="001D00CF"/>
    <w:rsid w:val="001D1993"/>
    <w:rsid w:val="001D243F"/>
    <w:rsid w:val="001D452E"/>
    <w:rsid w:val="001D48CD"/>
    <w:rsid w:val="001D5F12"/>
    <w:rsid w:val="001D79EE"/>
    <w:rsid w:val="001E2202"/>
    <w:rsid w:val="001E2623"/>
    <w:rsid w:val="001F079E"/>
    <w:rsid w:val="001F0E1B"/>
    <w:rsid w:val="001F19ED"/>
    <w:rsid w:val="001F39AB"/>
    <w:rsid w:val="001F559C"/>
    <w:rsid w:val="001F629E"/>
    <w:rsid w:val="001F7DE2"/>
    <w:rsid w:val="0020257B"/>
    <w:rsid w:val="0020576C"/>
    <w:rsid w:val="00206360"/>
    <w:rsid w:val="00206DDF"/>
    <w:rsid w:val="002125F2"/>
    <w:rsid w:val="00212A8C"/>
    <w:rsid w:val="00213F37"/>
    <w:rsid w:val="0021664B"/>
    <w:rsid w:val="002173FE"/>
    <w:rsid w:val="00217C0B"/>
    <w:rsid w:val="00220C4B"/>
    <w:rsid w:val="00225114"/>
    <w:rsid w:val="002255FE"/>
    <w:rsid w:val="002329A3"/>
    <w:rsid w:val="002344AD"/>
    <w:rsid w:val="002431F3"/>
    <w:rsid w:val="0024478E"/>
    <w:rsid w:val="00245871"/>
    <w:rsid w:val="0024594F"/>
    <w:rsid w:val="00247A9A"/>
    <w:rsid w:val="00250A7A"/>
    <w:rsid w:val="00252172"/>
    <w:rsid w:val="002542AD"/>
    <w:rsid w:val="002566A7"/>
    <w:rsid w:val="00256BCA"/>
    <w:rsid w:val="002608E9"/>
    <w:rsid w:val="00263195"/>
    <w:rsid w:val="002641AF"/>
    <w:rsid w:val="002641E3"/>
    <w:rsid w:val="00266909"/>
    <w:rsid w:val="00273AF7"/>
    <w:rsid w:val="00276648"/>
    <w:rsid w:val="00276C6F"/>
    <w:rsid w:val="002811CA"/>
    <w:rsid w:val="00281C50"/>
    <w:rsid w:val="00283472"/>
    <w:rsid w:val="00285D45"/>
    <w:rsid w:val="00286139"/>
    <w:rsid w:val="002A07B3"/>
    <w:rsid w:val="002A6530"/>
    <w:rsid w:val="002B07CC"/>
    <w:rsid w:val="002B1977"/>
    <w:rsid w:val="002B35CA"/>
    <w:rsid w:val="002B4B36"/>
    <w:rsid w:val="002B719C"/>
    <w:rsid w:val="002C0D0A"/>
    <w:rsid w:val="002C1DB6"/>
    <w:rsid w:val="002C48FF"/>
    <w:rsid w:val="002C5864"/>
    <w:rsid w:val="002D2570"/>
    <w:rsid w:val="002D34B2"/>
    <w:rsid w:val="002D37E0"/>
    <w:rsid w:val="002D6577"/>
    <w:rsid w:val="002D6888"/>
    <w:rsid w:val="002D733A"/>
    <w:rsid w:val="002D7D79"/>
    <w:rsid w:val="002E19E1"/>
    <w:rsid w:val="002F1238"/>
    <w:rsid w:val="002F37E4"/>
    <w:rsid w:val="00300B62"/>
    <w:rsid w:val="003014C3"/>
    <w:rsid w:val="003020AF"/>
    <w:rsid w:val="0030269D"/>
    <w:rsid w:val="00305FC9"/>
    <w:rsid w:val="003060BC"/>
    <w:rsid w:val="00307B8A"/>
    <w:rsid w:val="00312A4C"/>
    <w:rsid w:val="00321C6B"/>
    <w:rsid w:val="003238AA"/>
    <w:rsid w:val="003248E5"/>
    <w:rsid w:val="00332243"/>
    <w:rsid w:val="0033261E"/>
    <w:rsid w:val="00336EC2"/>
    <w:rsid w:val="00343D2B"/>
    <w:rsid w:val="00352DC0"/>
    <w:rsid w:val="00353A56"/>
    <w:rsid w:val="0035407D"/>
    <w:rsid w:val="00355261"/>
    <w:rsid w:val="00356291"/>
    <w:rsid w:val="00356488"/>
    <w:rsid w:val="0035671D"/>
    <w:rsid w:val="00360147"/>
    <w:rsid w:val="00360161"/>
    <w:rsid w:val="003653D9"/>
    <w:rsid w:val="003657F8"/>
    <w:rsid w:val="00370F4B"/>
    <w:rsid w:val="00370FD6"/>
    <w:rsid w:val="003724A7"/>
    <w:rsid w:val="00376122"/>
    <w:rsid w:val="003802BA"/>
    <w:rsid w:val="003841D5"/>
    <w:rsid w:val="003850E4"/>
    <w:rsid w:val="00392E2B"/>
    <w:rsid w:val="0039339D"/>
    <w:rsid w:val="003A3175"/>
    <w:rsid w:val="003A3770"/>
    <w:rsid w:val="003A7A1E"/>
    <w:rsid w:val="003B03DD"/>
    <w:rsid w:val="003B2CE0"/>
    <w:rsid w:val="003B620B"/>
    <w:rsid w:val="003B6602"/>
    <w:rsid w:val="003C2B74"/>
    <w:rsid w:val="003C2FC5"/>
    <w:rsid w:val="003C3E6F"/>
    <w:rsid w:val="003D3B07"/>
    <w:rsid w:val="003E08C0"/>
    <w:rsid w:val="003E173E"/>
    <w:rsid w:val="003F082D"/>
    <w:rsid w:val="003F0999"/>
    <w:rsid w:val="003F647A"/>
    <w:rsid w:val="0040226E"/>
    <w:rsid w:val="00407267"/>
    <w:rsid w:val="0040734F"/>
    <w:rsid w:val="0041405F"/>
    <w:rsid w:val="004164F1"/>
    <w:rsid w:val="0041712A"/>
    <w:rsid w:val="00423D37"/>
    <w:rsid w:val="00427C64"/>
    <w:rsid w:val="00431573"/>
    <w:rsid w:val="0043447F"/>
    <w:rsid w:val="00435219"/>
    <w:rsid w:val="00437676"/>
    <w:rsid w:val="00437A79"/>
    <w:rsid w:val="00441578"/>
    <w:rsid w:val="00446F40"/>
    <w:rsid w:val="00447D3F"/>
    <w:rsid w:val="00450E1C"/>
    <w:rsid w:val="00451007"/>
    <w:rsid w:val="004543C7"/>
    <w:rsid w:val="00461E44"/>
    <w:rsid w:val="0046484A"/>
    <w:rsid w:val="00471839"/>
    <w:rsid w:val="00474C85"/>
    <w:rsid w:val="00475366"/>
    <w:rsid w:val="004760C6"/>
    <w:rsid w:val="004770A5"/>
    <w:rsid w:val="004865B9"/>
    <w:rsid w:val="0049437F"/>
    <w:rsid w:val="00495B12"/>
    <w:rsid w:val="00497DD9"/>
    <w:rsid w:val="004A127F"/>
    <w:rsid w:val="004A15FB"/>
    <w:rsid w:val="004A37EE"/>
    <w:rsid w:val="004A55FC"/>
    <w:rsid w:val="004A60D1"/>
    <w:rsid w:val="004B3F80"/>
    <w:rsid w:val="004B60E3"/>
    <w:rsid w:val="004C07A3"/>
    <w:rsid w:val="004C48EB"/>
    <w:rsid w:val="004C643D"/>
    <w:rsid w:val="004D0F6A"/>
    <w:rsid w:val="004D11BA"/>
    <w:rsid w:val="004D3921"/>
    <w:rsid w:val="004D5198"/>
    <w:rsid w:val="004E1E9A"/>
    <w:rsid w:val="004E3E2E"/>
    <w:rsid w:val="004E43E5"/>
    <w:rsid w:val="004E44B4"/>
    <w:rsid w:val="004F42AA"/>
    <w:rsid w:val="004F4A3F"/>
    <w:rsid w:val="005010C5"/>
    <w:rsid w:val="00503A8C"/>
    <w:rsid w:val="00504026"/>
    <w:rsid w:val="00504C50"/>
    <w:rsid w:val="0050562F"/>
    <w:rsid w:val="005068F2"/>
    <w:rsid w:val="0051735E"/>
    <w:rsid w:val="0052080B"/>
    <w:rsid w:val="00522D1F"/>
    <w:rsid w:val="00525A21"/>
    <w:rsid w:val="00525EBB"/>
    <w:rsid w:val="00527F0A"/>
    <w:rsid w:val="005307DA"/>
    <w:rsid w:val="0053110B"/>
    <w:rsid w:val="00534AC2"/>
    <w:rsid w:val="0054053F"/>
    <w:rsid w:val="005407FA"/>
    <w:rsid w:val="00542F89"/>
    <w:rsid w:val="00546B22"/>
    <w:rsid w:val="00551DE9"/>
    <w:rsid w:val="005520F7"/>
    <w:rsid w:val="00555B07"/>
    <w:rsid w:val="005566A1"/>
    <w:rsid w:val="00560796"/>
    <w:rsid w:val="005632F8"/>
    <w:rsid w:val="00564FE1"/>
    <w:rsid w:val="00572B3E"/>
    <w:rsid w:val="00573215"/>
    <w:rsid w:val="00575F3A"/>
    <w:rsid w:val="00576966"/>
    <w:rsid w:val="0058056F"/>
    <w:rsid w:val="005834E2"/>
    <w:rsid w:val="00586246"/>
    <w:rsid w:val="00586490"/>
    <w:rsid w:val="005910C0"/>
    <w:rsid w:val="005A1441"/>
    <w:rsid w:val="005A6297"/>
    <w:rsid w:val="005B15B0"/>
    <w:rsid w:val="005B612C"/>
    <w:rsid w:val="005C0DED"/>
    <w:rsid w:val="005C1ACB"/>
    <w:rsid w:val="005C63A6"/>
    <w:rsid w:val="005D0EC2"/>
    <w:rsid w:val="005D1F57"/>
    <w:rsid w:val="005D2057"/>
    <w:rsid w:val="005D33AB"/>
    <w:rsid w:val="005D5DDB"/>
    <w:rsid w:val="005E20B5"/>
    <w:rsid w:val="005E3F29"/>
    <w:rsid w:val="005E4F85"/>
    <w:rsid w:val="005E4FF7"/>
    <w:rsid w:val="005F0377"/>
    <w:rsid w:val="005F1DED"/>
    <w:rsid w:val="005F695B"/>
    <w:rsid w:val="00601228"/>
    <w:rsid w:val="00602CCA"/>
    <w:rsid w:val="006052B4"/>
    <w:rsid w:val="00612651"/>
    <w:rsid w:val="00615833"/>
    <w:rsid w:val="00616639"/>
    <w:rsid w:val="00627C42"/>
    <w:rsid w:val="006310A8"/>
    <w:rsid w:val="0063714D"/>
    <w:rsid w:val="0064140A"/>
    <w:rsid w:val="00643898"/>
    <w:rsid w:val="006440A4"/>
    <w:rsid w:val="0066003E"/>
    <w:rsid w:val="00662F5E"/>
    <w:rsid w:val="00667143"/>
    <w:rsid w:val="006701A3"/>
    <w:rsid w:val="0067121D"/>
    <w:rsid w:val="00673CB7"/>
    <w:rsid w:val="006774DB"/>
    <w:rsid w:val="00680D79"/>
    <w:rsid w:val="00684E7B"/>
    <w:rsid w:val="00691BAE"/>
    <w:rsid w:val="006940FD"/>
    <w:rsid w:val="006A160F"/>
    <w:rsid w:val="006A43ED"/>
    <w:rsid w:val="006B0C92"/>
    <w:rsid w:val="006B0DAE"/>
    <w:rsid w:val="006B2224"/>
    <w:rsid w:val="006B2A89"/>
    <w:rsid w:val="006B4AD9"/>
    <w:rsid w:val="006B4CB4"/>
    <w:rsid w:val="006B78DA"/>
    <w:rsid w:val="006C090F"/>
    <w:rsid w:val="006C34D1"/>
    <w:rsid w:val="006C55E5"/>
    <w:rsid w:val="006D2B86"/>
    <w:rsid w:val="006D4242"/>
    <w:rsid w:val="006D6820"/>
    <w:rsid w:val="006D6A4B"/>
    <w:rsid w:val="006E13C7"/>
    <w:rsid w:val="006E4E96"/>
    <w:rsid w:val="006E544F"/>
    <w:rsid w:val="006F03C1"/>
    <w:rsid w:val="006F07A0"/>
    <w:rsid w:val="006F1182"/>
    <w:rsid w:val="006F1202"/>
    <w:rsid w:val="006F3143"/>
    <w:rsid w:val="006F5121"/>
    <w:rsid w:val="006F64FA"/>
    <w:rsid w:val="007010DE"/>
    <w:rsid w:val="00701698"/>
    <w:rsid w:val="0070239E"/>
    <w:rsid w:val="00705A5F"/>
    <w:rsid w:val="00711BBA"/>
    <w:rsid w:val="007122EA"/>
    <w:rsid w:val="00713119"/>
    <w:rsid w:val="007179D2"/>
    <w:rsid w:val="00724AD3"/>
    <w:rsid w:val="00725FDD"/>
    <w:rsid w:val="007306F8"/>
    <w:rsid w:val="007310CA"/>
    <w:rsid w:val="007342E7"/>
    <w:rsid w:val="00734897"/>
    <w:rsid w:val="007358B2"/>
    <w:rsid w:val="00740A57"/>
    <w:rsid w:val="00743A7C"/>
    <w:rsid w:val="00744349"/>
    <w:rsid w:val="00752283"/>
    <w:rsid w:val="00752509"/>
    <w:rsid w:val="00755190"/>
    <w:rsid w:val="007607A2"/>
    <w:rsid w:val="00760B57"/>
    <w:rsid w:val="00765B11"/>
    <w:rsid w:val="00772667"/>
    <w:rsid w:val="00775F29"/>
    <w:rsid w:val="007763C7"/>
    <w:rsid w:val="00781C74"/>
    <w:rsid w:val="00787357"/>
    <w:rsid w:val="0079710E"/>
    <w:rsid w:val="007A159C"/>
    <w:rsid w:val="007A5C99"/>
    <w:rsid w:val="007B632D"/>
    <w:rsid w:val="007B6684"/>
    <w:rsid w:val="007C0124"/>
    <w:rsid w:val="007C2499"/>
    <w:rsid w:val="007C2A02"/>
    <w:rsid w:val="007C30EA"/>
    <w:rsid w:val="007C3829"/>
    <w:rsid w:val="007C3FCB"/>
    <w:rsid w:val="007C5515"/>
    <w:rsid w:val="007C552C"/>
    <w:rsid w:val="007C568D"/>
    <w:rsid w:val="007C6E39"/>
    <w:rsid w:val="007D1A70"/>
    <w:rsid w:val="007D1C52"/>
    <w:rsid w:val="007D3914"/>
    <w:rsid w:val="007D4637"/>
    <w:rsid w:val="007D4656"/>
    <w:rsid w:val="007D4FA9"/>
    <w:rsid w:val="007E1665"/>
    <w:rsid w:val="00801600"/>
    <w:rsid w:val="00801766"/>
    <w:rsid w:val="008061A5"/>
    <w:rsid w:val="00815824"/>
    <w:rsid w:val="0081629A"/>
    <w:rsid w:val="008243A0"/>
    <w:rsid w:val="00825FAE"/>
    <w:rsid w:val="00834F47"/>
    <w:rsid w:val="00834FA0"/>
    <w:rsid w:val="008424C6"/>
    <w:rsid w:val="00844EA7"/>
    <w:rsid w:val="00851210"/>
    <w:rsid w:val="00851E0A"/>
    <w:rsid w:val="00852338"/>
    <w:rsid w:val="008540D3"/>
    <w:rsid w:val="008563ED"/>
    <w:rsid w:val="0085659B"/>
    <w:rsid w:val="00857327"/>
    <w:rsid w:val="0085774D"/>
    <w:rsid w:val="0086012C"/>
    <w:rsid w:val="00860999"/>
    <w:rsid w:val="00861570"/>
    <w:rsid w:val="00864F75"/>
    <w:rsid w:val="0086797F"/>
    <w:rsid w:val="00874E9A"/>
    <w:rsid w:val="00874F12"/>
    <w:rsid w:val="00876C29"/>
    <w:rsid w:val="0088368F"/>
    <w:rsid w:val="00884665"/>
    <w:rsid w:val="00884E28"/>
    <w:rsid w:val="008876C3"/>
    <w:rsid w:val="00887FEB"/>
    <w:rsid w:val="00892580"/>
    <w:rsid w:val="008936E3"/>
    <w:rsid w:val="00897801"/>
    <w:rsid w:val="00897B53"/>
    <w:rsid w:val="008A23BF"/>
    <w:rsid w:val="008A39D1"/>
    <w:rsid w:val="008A3DE6"/>
    <w:rsid w:val="008A7963"/>
    <w:rsid w:val="008A79F3"/>
    <w:rsid w:val="008B1DF5"/>
    <w:rsid w:val="008B51C0"/>
    <w:rsid w:val="008C669A"/>
    <w:rsid w:val="008D0207"/>
    <w:rsid w:val="008D0751"/>
    <w:rsid w:val="008D120E"/>
    <w:rsid w:val="008D6B05"/>
    <w:rsid w:val="008E182E"/>
    <w:rsid w:val="008E5601"/>
    <w:rsid w:val="008F0216"/>
    <w:rsid w:val="008F0B0F"/>
    <w:rsid w:val="008F1554"/>
    <w:rsid w:val="008F178F"/>
    <w:rsid w:val="008F57A7"/>
    <w:rsid w:val="008F6EC7"/>
    <w:rsid w:val="0090289F"/>
    <w:rsid w:val="00903580"/>
    <w:rsid w:val="00903E6F"/>
    <w:rsid w:val="00904FFD"/>
    <w:rsid w:val="009063D0"/>
    <w:rsid w:val="00916FF7"/>
    <w:rsid w:val="00917373"/>
    <w:rsid w:val="009173DC"/>
    <w:rsid w:val="009175A1"/>
    <w:rsid w:val="009216F4"/>
    <w:rsid w:val="0092336B"/>
    <w:rsid w:val="009244CD"/>
    <w:rsid w:val="009261D0"/>
    <w:rsid w:val="00926305"/>
    <w:rsid w:val="00934930"/>
    <w:rsid w:val="009460F7"/>
    <w:rsid w:val="0094714F"/>
    <w:rsid w:val="00954DD5"/>
    <w:rsid w:val="00954FAE"/>
    <w:rsid w:val="00961300"/>
    <w:rsid w:val="00971149"/>
    <w:rsid w:val="00972250"/>
    <w:rsid w:val="0097549A"/>
    <w:rsid w:val="0097699F"/>
    <w:rsid w:val="009806F6"/>
    <w:rsid w:val="00983664"/>
    <w:rsid w:val="00984C4E"/>
    <w:rsid w:val="00984CA8"/>
    <w:rsid w:val="00986F3A"/>
    <w:rsid w:val="00987693"/>
    <w:rsid w:val="00991868"/>
    <w:rsid w:val="009939FF"/>
    <w:rsid w:val="009A5900"/>
    <w:rsid w:val="009A5F70"/>
    <w:rsid w:val="009B2DE3"/>
    <w:rsid w:val="009B3894"/>
    <w:rsid w:val="009B507E"/>
    <w:rsid w:val="009B5B5D"/>
    <w:rsid w:val="009C1013"/>
    <w:rsid w:val="009C4004"/>
    <w:rsid w:val="009D2CC3"/>
    <w:rsid w:val="009D6C49"/>
    <w:rsid w:val="009E3ACB"/>
    <w:rsid w:val="009E44E4"/>
    <w:rsid w:val="009F11F2"/>
    <w:rsid w:val="009F5807"/>
    <w:rsid w:val="009F72A2"/>
    <w:rsid w:val="00A03FDD"/>
    <w:rsid w:val="00A162AF"/>
    <w:rsid w:val="00A23C63"/>
    <w:rsid w:val="00A24174"/>
    <w:rsid w:val="00A260FA"/>
    <w:rsid w:val="00A26A01"/>
    <w:rsid w:val="00A309B2"/>
    <w:rsid w:val="00A31ECA"/>
    <w:rsid w:val="00A420A1"/>
    <w:rsid w:val="00A448FD"/>
    <w:rsid w:val="00A44FD3"/>
    <w:rsid w:val="00A46E2E"/>
    <w:rsid w:val="00A479D6"/>
    <w:rsid w:val="00A50A2C"/>
    <w:rsid w:val="00A52A1C"/>
    <w:rsid w:val="00A5339E"/>
    <w:rsid w:val="00A54D2A"/>
    <w:rsid w:val="00A56D1E"/>
    <w:rsid w:val="00A57A3F"/>
    <w:rsid w:val="00A60693"/>
    <w:rsid w:val="00A60E64"/>
    <w:rsid w:val="00A617A4"/>
    <w:rsid w:val="00A63C1C"/>
    <w:rsid w:val="00A65435"/>
    <w:rsid w:val="00A6556E"/>
    <w:rsid w:val="00A70DC7"/>
    <w:rsid w:val="00A741C4"/>
    <w:rsid w:val="00A74896"/>
    <w:rsid w:val="00A76606"/>
    <w:rsid w:val="00A82817"/>
    <w:rsid w:val="00A86590"/>
    <w:rsid w:val="00A90114"/>
    <w:rsid w:val="00A92EDB"/>
    <w:rsid w:val="00A964EF"/>
    <w:rsid w:val="00A9660F"/>
    <w:rsid w:val="00A97DA2"/>
    <w:rsid w:val="00AA0247"/>
    <w:rsid w:val="00AA058F"/>
    <w:rsid w:val="00AA5048"/>
    <w:rsid w:val="00AA701E"/>
    <w:rsid w:val="00AA71C8"/>
    <w:rsid w:val="00AB1976"/>
    <w:rsid w:val="00AB3246"/>
    <w:rsid w:val="00AB59C8"/>
    <w:rsid w:val="00AC0AA5"/>
    <w:rsid w:val="00AC4731"/>
    <w:rsid w:val="00AC6117"/>
    <w:rsid w:val="00AC66B5"/>
    <w:rsid w:val="00AC6F09"/>
    <w:rsid w:val="00AD1DFB"/>
    <w:rsid w:val="00AE125F"/>
    <w:rsid w:val="00AE6977"/>
    <w:rsid w:val="00AF3CF8"/>
    <w:rsid w:val="00AF482E"/>
    <w:rsid w:val="00AF5255"/>
    <w:rsid w:val="00AF5B31"/>
    <w:rsid w:val="00AF697F"/>
    <w:rsid w:val="00B00284"/>
    <w:rsid w:val="00B035EC"/>
    <w:rsid w:val="00B0773A"/>
    <w:rsid w:val="00B100B3"/>
    <w:rsid w:val="00B12770"/>
    <w:rsid w:val="00B12899"/>
    <w:rsid w:val="00B165E5"/>
    <w:rsid w:val="00B20893"/>
    <w:rsid w:val="00B21AAC"/>
    <w:rsid w:val="00B23475"/>
    <w:rsid w:val="00B23B24"/>
    <w:rsid w:val="00B27FDE"/>
    <w:rsid w:val="00B377E5"/>
    <w:rsid w:val="00B46B4F"/>
    <w:rsid w:val="00B519FB"/>
    <w:rsid w:val="00B57DC0"/>
    <w:rsid w:val="00B605A5"/>
    <w:rsid w:val="00B607D7"/>
    <w:rsid w:val="00B62280"/>
    <w:rsid w:val="00B6489F"/>
    <w:rsid w:val="00B65025"/>
    <w:rsid w:val="00B72B36"/>
    <w:rsid w:val="00B73E4B"/>
    <w:rsid w:val="00B75CB1"/>
    <w:rsid w:val="00B77172"/>
    <w:rsid w:val="00B77F73"/>
    <w:rsid w:val="00B8058D"/>
    <w:rsid w:val="00B8190B"/>
    <w:rsid w:val="00B829B0"/>
    <w:rsid w:val="00B84C5F"/>
    <w:rsid w:val="00B85A21"/>
    <w:rsid w:val="00B85E46"/>
    <w:rsid w:val="00B87830"/>
    <w:rsid w:val="00B90B0C"/>
    <w:rsid w:val="00B95177"/>
    <w:rsid w:val="00BA1999"/>
    <w:rsid w:val="00BA492C"/>
    <w:rsid w:val="00BA4BEC"/>
    <w:rsid w:val="00BA7FB8"/>
    <w:rsid w:val="00BB4BDD"/>
    <w:rsid w:val="00BB72E6"/>
    <w:rsid w:val="00BB78F3"/>
    <w:rsid w:val="00BC00DF"/>
    <w:rsid w:val="00BC3C98"/>
    <w:rsid w:val="00BC4927"/>
    <w:rsid w:val="00BD32D1"/>
    <w:rsid w:val="00BD659C"/>
    <w:rsid w:val="00BE50DC"/>
    <w:rsid w:val="00BE5C49"/>
    <w:rsid w:val="00BE7417"/>
    <w:rsid w:val="00BF2A8D"/>
    <w:rsid w:val="00BF4934"/>
    <w:rsid w:val="00BF7850"/>
    <w:rsid w:val="00C00D89"/>
    <w:rsid w:val="00C02B2C"/>
    <w:rsid w:val="00C046B9"/>
    <w:rsid w:val="00C04A3C"/>
    <w:rsid w:val="00C05737"/>
    <w:rsid w:val="00C110E5"/>
    <w:rsid w:val="00C11B01"/>
    <w:rsid w:val="00C12602"/>
    <w:rsid w:val="00C1396B"/>
    <w:rsid w:val="00C14130"/>
    <w:rsid w:val="00C176C4"/>
    <w:rsid w:val="00C22284"/>
    <w:rsid w:val="00C23F57"/>
    <w:rsid w:val="00C267E3"/>
    <w:rsid w:val="00C268C3"/>
    <w:rsid w:val="00C27DBE"/>
    <w:rsid w:val="00C306FA"/>
    <w:rsid w:val="00C5306C"/>
    <w:rsid w:val="00C54C8D"/>
    <w:rsid w:val="00C563A0"/>
    <w:rsid w:val="00C568ED"/>
    <w:rsid w:val="00C6003D"/>
    <w:rsid w:val="00C60FD8"/>
    <w:rsid w:val="00C71132"/>
    <w:rsid w:val="00C73A81"/>
    <w:rsid w:val="00C76FE6"/>
    <w:rsid w:val="00C805CE"/>
    <w:rsid w:val="00C90F8C"/>
    <w:rsid w:val="00C97A6A"/>
    <w:rsid w:val="00C97D43"/>
    <w:rsid w:val="00CA14E2"/>
    <w:rsid w:val="00CA1D90"/>
    <w:rsid w:val="00CA468C"/>
    <w:rsid w:val="00CA7B83"/>
    <w:rsid w:val="00CB0CEC"/>
    <w:rsid w:val="00CB2C84"/>
    <w:rsid w:val="00CB4B7D"/>
    <w:rsid w:val="00CB69BE"/>
    <w:rsid w:val="00CC11CF"/>
    <w:rsid w:val="00CC1CC2"/>
    <w:rsid w:val="00CC66FB"/>
    <w:rsid w:val="00CC6C09"/>
    <w:rsid w:val="00CC7601"/>
    <w:rsid w:val="00CD105C"/>
    <w:rsid w:val="00CD29DF"/>
    <w:rsid w:val="00CE28A7"/>
    <w:rsid w:val="00CF1D5B"/>
    <w:rsid w:val="00D02B7F"/>
    <w:rsid w:val="00D0371A"/>
    <w:rsid w:val="00D037B9"/>
    <w:rsid w:val="00D0726D"/>
    <w:rsid w:val="00D10118"/>
    <w:rsid w:val="00D105B9"/>
    <w:rsid w:val="00D15BAF"/>
    <w:rsid w:val="00D164F9"/>
    <w:rsid w:val="00D17652"/>
    <w:rsid w:val="00D20A01"/>
    <w:rsid w:val="00D33DC3"/>
    <w:rsid w:val="00D34D26"/>
    <w:rsid w:val="00D435D3"/>
    <w:rsid w:val="00D447EE"/>
    <w:rsid w:val="00D450FD"/>
    <w:rsid w:val="00D51CE7"/>
    <w:rsid w:val="00D52A3C"/>
    <w:rsid w:val="00D562FE"/>
    <w:rsid w:val="00D577D9"/>
    <w:rsid w:val="00D657E0"/>
    <w:rsid w:val="00D66BD9"/>
    <w:rsid w:val="00D675DE"/>
    <w:rsid w:val="00D73A76"/>
    <w:rsid w:val="00D74917"/>
    <w:rsid w:val="00D7657D"/>
    <w:rsid w:val="00D76B44"/>
    <w:rsid w:val="00D80BF0"/>
    <w:rsid w:val="00D83A69"/>
    <w:rsid w:val="00D84EEC"/>
    <w:rsid w:val="00D86F2A"/>
    <w:rsid w:val="00D927B3"/>
    <w:rsid w:val="00D94140"/>
    <w:rsid w:val="00DA596E"/>
    <w:rsid w:val="00DA635A"/>
    <w:rsid w:val="00DA795B"/>
    <w:rsid w:val="00DB3367"/>
    <w:rsid w:val="00DB5889"/>
    <w:rsid w:val="00DC0C43"/>
    <w:rsid w:val="00DC3BE7"/>
    <w:rsid w:val="00DC6469"/>
    <w:rsid w:val="00DC7EB5"/>
    <w:rsid w:val="00DC7F16"/>
    <w:rsid w:val="00DE0F58"/>
    <w:rsid w:val="00DE296E"/>
    <w:rsid w:val="00DE2C97"/>
    <w:rsid w:val="00DE4A48"/>
    <w:rsid w:val="00DE5ECD"/>
    <w:rsid w:val="00DF1707"/>
    <w:rsid w:val="00DF26AE"/>
    <w:rsid w:val="00DF38A1"/>
    <w:rsid w:val="00E007E0"/>
    <w:rsid w:val="00E03F0A"/>
    <w:rsid w:val="00E07ECD"/>
    <w:rsid w:val="00E104DD"/>
    <w:rsid w:val="00E10919"/>
    <w:rsid w:val="00E117C6"/>
    <w:rsid w:val="00E154BA"/>
    <w:rsid w:val="00E1591A"/>
    <w:rsid w:val="00E20A6E"/>
    <w:rsid w:val="00E20C7E"/>
    <w:rsid w:val="00E20FDB"/>
    <w:rsid w:val="00E220FC"/>
    <w:rsid w:val="00E22B9B"/>
    <w:rsid w:val="00E24D05"/>
    <w:rsid w:val="00E251B2"/>
    <w:rsid w:val="00E2772D"/>
    <w:rsid w:val="00E27CE5"/>
    <w:rsid w:val="00E27EB6"/>
    <w:rsid w:val="00E3059C"/>
    <w:rsid w:val="00E31A7D"/>
    <w:rsid w:val="00E31AD7"/>
    <w:rsid w:val="00E3470E"/>
    <w:rsid w:val="00E42830"/>
    <w:rsid w:val="00E43B25"/>
    <w:rsid w:val="00E45715"/>
    <w:rsid w:val="00E52064"/>
    <w:rsid w:val="00E5397A"/>
    <w:rsid w:val="00E577E4"/>
    <w:rsid w:val="00E60B05"/>
    <w:rsid w:val="00E65C5C"/>
    <w:rsid w:val="00E72436"/>
    <w:rsid w:val="00E7385E"/>
    <w:rsid w:val="00E74B32"/>
    <w:rsid w:val="00E9028D"/>
    <w:rsid w:val="00E923F3"/>
    <w:rsid w:val="00E928B0"/>
    <w:rsid w:val="00E9354E"/>
    <w:rsid w:val="00E95613"/>
    <w:rsid w:val="00E9729C"/>
    <w:rsid w:val="00EA12F5"/>
    <w:rsid w:val="00EA4209"/>
    <w:rsid w:val="00EA45C8"/>
    <w:rsid w:val="00EA56FE"/>
    <w:rsid w:val="00EA5DDF"/>
    <w:rsid w:val="00EB01E2"/>
    <w:rsid w:val="00EB738A"/>
    <w:rsid w:val="00EB7E98"/>
    <w:rsid w:val="00EC2E18"/>
    <w:rsid w:val="00EC4616"/>
    <w:rsid w:val="00EC75BE"/>
    <w:rsid w:val="00ED1870"/>
    <w:rsid w:val="00ED35D0"/>
    <w:rsid w:val="00EE12D1"/>
    <w:rsid w:val="00EE2ECD"/>
    <w:rsid w:val="00EE354E"/>
    <w:rsid w:val="00EE4FF4"/>
    <w:rsid w:val="00EF1241"/>
    <w:rsid w:val="00EF1D28"/>
    <w:rsid w:val="00EF614F"/>
    <w:rsid w:val="00F0038D"/>
    <w:rsid w:val="00F00711"/>
    <w:rsid w:val="00F01012"/>
    <w:rsid w:val="00F01677"/>
    <w:rsid w:val="00F01AD1"/>
    <w:rsid w:val="00F02AC1"/>
    <w:rsid w:val="00F03542"/>
    <w:rsid w:val="00F05C72"/>
    <w:rsid w:val="00F07427"/>
    <w:rsid w:val="00F11E16"/>
    <w:rsid w:val="00F12140"/>
    <w:rsid w:val="00F147D6"/>
    <w:rsid w:val="00F17999"/>
    <w:rsid w:val="00F2022B"/>
    <w:rsid w:val="00F2026D"/>
    <w:rsid w:val="00F20B3E"/>
    <w:rsid w:val="00F23F3B"/>
    <w:rsid w:val="00F26268"/>
    <w:rsid w:val="00F269D2"/>
    <w:rsid w:val="00F27AA7"/>
    <w:rsid w:val="00F4104A"/>
    <w:rsid w:val="00F412F2"/>
    <w:rsid w:val="00F42440"/>
    <w:rsid w:val="00F439A0"/>
    <w:rsid w:val="00F448E0"/>
    <w:rsid w:val="00F46A02"/>
    <w:rsid w:val="00F545F1"/>
    <w:rsid w:val="00F5573B"/>
    <w:rsid w:val="00F55BE2"/>
    <w:rsid w:val="00F5778F"/>
    <w:rsid w:val="00F66BA3"/>
    <w:rsid w:val="00F721CD"/>
    <w:rsid w:val="00F867F8"/>
    <w:rsid w:val="00F872EF"/>
    <w:rsid w:val="00F90386"/>
    <w:rsid w:val="00F920D7"/>
    <w:rsid w:val="00F957D1"/>
    <w:rsid w:val="00F95DDB"/>
    <w:rsid w:val="00F979F6"/>
    <w:rsid w:val="00FA372D"/>
    <w:rsid w:val="00FA3909"/>
    <w:rsid w:val="00FA607F"/>
    <w:rsid w:val="00FA61C7"/>
    <w:rsid w:val="00FB169B"/>
    <w:rsid w:val="00FC400F"/>
    <w:rsid w:val="00FC5821"/>
    <w:rsid w:val="00FC7B91"/>
    <w:rsid w:val="00FD150B"/>
    <w:rsid w:val="00FD36D6"/>
    <w:rsid w:val="00FD3C61"/>
    <w:rsid w:val="00FD7833"/>
    <w:rsid w:val="00FD7FA6"/>
    <w:rsid w:val="00FE12A7"/>
    <w:rsid w:val="00FE20DE"/>
    <w:rsid w:val="00FE389D"/>
    <w:rsid w:val="00FF13E6"/>
    <w:rsid w:val="00FF41A9"/>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D391"/>
  <w15:chartTrackingRefBased/>
  <w15:docId w15:val="{AA1A16DA-D7F8-4D72-B3F9-7018D9DC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608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08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664"/>
    <w:pPr>
      <w:ind w:left="720"/>
      <w:contextualSpacing/>
    </w:pPr>
  </w:style>
  <w:style w:type="character" w:customStyle="1" w:styleId="Heading1Char">
    <w:name w:val="Heading 1 Char"/>
    <w:basedOn w:val="DefaultParagraphFont"/>
    <w:link w:val="Heading1"/>
    <w:uiPriority w:val="9"/>
    <w:rsid w:val="002608E9"/>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52080B"/>
    <w:rPr>
      <w:rFonts w:asciiTheme="majorHAnsi" w:eastAsiaTheme="majorEastAsia" w:hAnsiTheme="majorHAnsi" w:cstheme="majorBidi"/>
      <w:color w:val="2E74B5" w:themeColor="accent1" w:themeShade="BF"/>
      <w:sz w:val="26"/>
      <w:szCs w:val="26"/>
      <w:lang w:val="en-GB"/>
    </w:rPr>
  </w:style>
  <w:style w:type="paragraph" w:styleId="FootnoteText">
    <w:name w:val="footnote text"/>
    <w:basedOn w:val="Normal"/>
    <w:link w:val="FootnoteTextChar"/>
    <w:uiPriority w:val="99"/>
    <w:semiHidden/>
    <w:unhideWhenUsed/>
    <w:rsid w:val="00AA71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71C8"/>
    <w:rPr>
      <w:sz w:val="20"/>
      <w:szCs w:val="20"/>
      <w:lang w:val="en-GB"/>
    </w:rPr>
  </w:style>
  <w:style w:type="character" w:styleId="FootnoteReference">
    <w:name w:val="footnote reference"/>
    <w:basedOn w:val="DefaultParagraphFont"/>
    <w:uiPriority w:val="99"/>
    <w:semiHidden/>
    <w:unhideWhenUsed/>
    <w:rsid w:val="00AA71C8"/>
    <w:rPr>
      <w:vertAlign w:val="superscript"/>
    </w:rPr>
  </w:style>
  <w:style w:type="paragraph" w:styleId="Header">
    <w:name w:val="header"/>
    <w:basedOn w:val="Normal"/>
    <w:link w:val="HeaderChar"/>
    <w:uiPriority w:val="99"/>
    <w:unhideWhenUsed/>
    <w:rsid w:val="00E27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72D"/>
    <w:rPr>
      <w:lang w:val="en-GB"/>
    </w:rPr>
  </w:style>
  <w:style w:type="paragraph" w:styleId="Footer">
    <w:name w:val="footer"/>
    <w:basedOn w:val="Normal"/>
    <w:link w:val="FooterChar"/>
    <w:uiPriority w:val="99"/>
    <w:unhideWhenUsed/>
    <w:rsid w:val="00E27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72D"/>
    <w:rPr>
      <w:lang w:val="en-GB"/>
    </w:rPr>
  </w:style>
  <w:style w:type="table" w:styleId="PlainTable2">
    <w:name w:val="Plain Table 2"/>
    <w:basedOn w:val="TableNormal"/>
    <w:uiPriority w:val="42"/>
    <w:rsid w:val="004073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A3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909"/>
    <w:rPr>
      <w:rFonts w:ascii="Segoe UI" w:hAnsi="Segoe UI" w:cs="Segoe UI"/>
      <w:sz w:val="18"/>
      <w:szCs w:val="18"/>
      <w:lang w:val="en-GB"/>
    </w:rPr>
  </w:style>
  <w:style w:type="character" w:styleId="Hyperlink">
    <w:name w:val="Hyperlink"/>
    <w:basedOn w:val="DefaultParagraphFont"/>
    <w:uiPriority w:val="99"/>
    <w:unhideWhenUsed/>
    <w:rsid w:val="002C0D0A"/>
    <w:rPr>
      <w:color w:val="0563C1" w:themeColor="hyperlink"/>
      <w:u w:val="single"/>
    </w:rPr>
  </w:style>
  <w:style w:type="paragraph" w:styleId="Revision">
    <w:name w:val="Revision"/>
    <w:hidden/>
    <w:uiPriority w:val="99"/>
    <w:semiHidden/>
    <w:rsid w:val="001D5F12"/>
    <w:pPr>
      <w:spacing w:after="0" w:line="240" w:lineRule="auto"/>
    </w:pPr>
    <w:rPr>
      <w:lang w:val="en-GB"/>
    </w:rPr>
  </w:style>
  <w:style w:type="paragraph" w:styleId="Title">
    <w:name w:val="Title"/>
    <w:basedOn w:val="Normal"/>
    <w:next w:val="Normal"/>
    <w:link w:val="TitleChar"/>
    <w:uiPriority w:val="10"/>
    <w:qFormat/>
    <w:rsid w:val="001D5F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F12"/>
    <w:rPr>
      <w:rFonts w:asciiTheme="majorHAnsi" w:eastAsiaTheme="majorEastAsia" w:hAnsiTheme="majorHAnsi" w:cstheme="majorBidi"/>
      <w:spacing w:val="-10"/>
      <w:kern w:val="28"/>
      <w:sz w:val="56"/>
      <w:szCs w:val="56"/>
      <w:lang w:val="en-GB"/>
    </w:rPr>
  </w:style>
  <w:style w:type="character" w:styleId="CommentReference">
    <w:name w:val="annotation reference"/>
    <w:basedOn w:val="DefaultParagraphFont"/>
    <w:uiPriority w:val="99"/>
    <w:semiHidden/>
    <w:unhideWhenUsed/>
    <w:rsid w:val="00281C50"/>
    <w:rPr>
      <w:sz w:val="16"/>
      <w:szCs w:val="16"/>
    </w:rPr>
  </w:style>
  <w:style w:type="paragraph" w:styleId="CommentText">
    <w:name w:val="annotation text"/>
    <w:basedOn w:val="Normal"/>
    <w:link w:val="CommentTextChar"/>
    <w:uiPriority w:val="99"/>
    <w:semiHidden/>
    <w:unhideWhenUsed/>
    <w:rsid w:val="00281C50"/>
    <w:pPr>
      <w:spacing w:line="240" w:lineRule="auto"/>
    </w:pPr>
    <w:rPr>
      <w:sz w:val="20"/>
      <w:szCs w:val="20"/>
    </w:rPr>
  </w:style>
  <w:style w:type="character" w:customStyle="1" w:styleId="CommentTextChar">
    <w:name w:val="Comment Text Char"/>
    <w:basedOn w:val="DefaultParagraphFont"/>
    <w:link w:val="CommentText"/>
    <w:uiPriority w:val="99"/>
    <w:semiHidden/>
    <w:rsid w:val="00281C50"/>
    <w:rPr>
      <w:sz w:val="20"/>
      <w:szCs w:val="20"/>
      <w:lang w:val="en-GB"/>
    </w:rPr>
  </w:style>
  <w:style w:type="paragraph" w:styleId="CommentSubject">
    <w:name w:val="annotation subject"/>
    <w:basedOn w:val="CommentText"/>
    <w:next w:val="CommentText"/>
    <w:link w:val="CommentSubjectChar"/>
    <w:uiPriority w:val="99"/>
    <w:semiHidden/>
    <w:unhideWhenUsed/>
    <w:rsid w:val="00281C50"/>
    <w:rPr>
      <w:b/>
      <w:bCs/>
    </w:rPr>
  </w:style>
  <w:style w:type="character" w:customStyle="1" w:styleId="CommentSubjectChar">
    <w:name w:val="Comment Subject Char"/>
    <w:basedOn w:val="CommentTextChar"/>
    <w:link w:val="CommentSubject"/>
    <w:uiPriority w:val="99"/>
    <w:semiHidden/>
    <w:rsid w:val="00281C5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16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rec.europa.eu/files/speeches/comp_law.pdf.%20Accessed%2010%20January%202016" TargetMode="External"/><Relationship Id="rId13" Type="http://schemas.openxmlformats.org/officeDocument/2006/relationships/hyperlink" Target="http://www.europarl.europa.eu/sides/getDoc.do?pubRef=-//EP//TEXT+REPORT+A7-2013-0378+0+DOC+XML+V0//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rl.europa.eu/sides/getDoc.do?pubRef=-//EP//TEXT+REPORT+A6-2008-0316+0+DOC+XML+V0//EN&amp;language=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commission/2014-2019/oettinger/announcements/speech-berec-board-regulators-meeting-telecoms-review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erec.europa.eu/eng/document_register/subject_matter/berec/press_releases/5590-berec-adopts-its-opinion-on-the-review-of-the-regulatory-framework" TargetMode="External"/><Relationship Id="rId4" Type="http://schemas.openxmlformats.org/officeDocument/2006/relationships/settings" Target="settings.xml"/><Relationship Id="rId9" Type="http://schemas.openxmlformats.org/officeDocument/2006/relationships/hyperlink" Target="http://berec.europa.eu/eng/document_register/subject_matter/berec/others/1073-berec-input-to-the-european-commission-on-the-berec-and-berec-office-evaluation-exerci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C63D4-0095-485F-911D-5417515E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35</Pages>
  <Words>9857</Words>
  <Characters>56191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Corkin</dc:creator>
  <cp:keywords/>
  <dc:description/>
  <cp:lastModifiedBy>Joseph Corkin</cp:lastModifiedBy>
  <cp:revision>8</cp:revision>
  <cp:lastPrinted>2016-11-30T11:13:00Z</cp:lastPrinted>
  <dcterms:created xsi:type="dcterms:W3CDTF">2016-10-11T13:36:00Z</dcterms:created>
  <dcterms:modified xsi:type="dcterms:W3CDTF">2017-01-16T14:19:00Z</dcterms:modified>
</cp:coreProperties>
</file>