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0F88E" w14:textId="5C77CBE3" w:rsidR="006D7B2F" w:rsidRPr="000A20E2" w:rsidRDefault="006D7B2F" w:rsidP="000A20E2">
      <w:pPr>
        <w:spacing w:after="0" w:line="240" w:lineRule="auto"/>
        <w:jc w:val="center"/>
        <w:rPr>
          <w:rFonts w:cstheme="minorHAnsi"/>
          <w:b/>
        </w:rPr>
      </w:pPr>
      <w:r w:rsidRPr="000A20E2">
        <w:rPr>
          <w:rFonts w:cstheme="minorHAnsi"/>
          <w:b/>
        </w:rPr>
        <w:t xml:space="preserve">A Union Default: </w:t>
      </w:r>
      <w:r w:rsidR="00764747">
        <w:rPr>
          <w:rFonts w:cstheme="minorHAnsi"/>
          <w:b/>
        </w:rPr>
        <w:t>A</w:t>
      </w:r>
      <w:r w:rsidR="00E31441" w:rsidRPr="000A20E2">
        <w:rPr>
          <w:rFonts w:cstheme="minorHAnsi"/>
          <w:b/>
        </w:rPr>
        <w:t xml:space="preserve"> </w:t>
      </w:r>
      <w:r w:rsidR="00764747">
        <w:rPr>
          <w:rFonts w:cstheme="minorHAnsi"/>
          <w:b/>
        </w:rPr>
        <w:t>P</w:t>
      </w:r>
      <w:r w:rsidR="00E31441" w:rsidRPr="000A20E2">
        <w:rPr>
          <w:rFonts w:cstheme="minorHAnsi"/>
          <w:b/>
        </w:rPr>
        <w:t xml:space="preserve">olicy to </w:t>
      </w:r>
      <w:r w:rsidR="00764747">
        <w:rPr>
          <w:rFonts w:cstheme="minorHAnsi"/>
          <w:b/>
        </w:rPr>
        <w:t>R</w:t>
      </w:r>
      <w:r w:rsidR="00E31441" w:rsidRPr="000A20E2">
        <w:rPr>
          <w:rFonts w:cstheme="minorHAnsi"/>
          <w:b/>
        </w:rPr>
        <w:t xml:space="preserve">aise </w:t>
      </w:r>
      <w:r w:rsidR="00764747">
        <w:rPr>
          <w:rFonts w:cstheme="minorHAnsi"/>
          <w:b/>
        </w:rPr>
        <w:t>U</w:t>
      </w:r>
      <w:r w:rsidR="00E31441" w:rsidRPr="000A20E2">
        <w:rPr>
          <w:rFonts w:cstheme="minorHAnsi"/>
          <w:b/>
        </w:rPr>
        <w:t xml:space="preserve">nion </w:t>
      </w:r>
      <w:r w:rsidR="00764747">
        <w:rPr>
          <w:rFonts w:cstheme="minorHAnsi"/>
          <w:b/>
        </w:rPr>
        <w:t>M</w:t>
      </w:r>
      <w:r w:rsidR="00E31441" w:rsidRPr="000A20E2">
        <w:rPr>
          <w:rFonts w:cstheme="minorHAnsi"/>
          <w:b/>
        </w:rPr>
        <w:t xml:space="preserve">embership, </w:t>
      </w:r>
      <w:r w:rsidR="00764747">
        <w:rPr>
          <w:rFonts w:cstheme="minorHAnsi"/>
          <w:b/>
        </w:rPr>
        <w:t>Promote t</w:t>
      </w:r>
      <w:r w:rsidR="00764747" w:rsidRPr="000A20E2">
        <w:rPr>
          <w:rFonts w:cstheme="minorHAnsi"/>
          <w:b/>
        </w:rPr>
        <w:t xml:space="preserve">he Freedom </w:t>
      </w:r>
      <w:r w:rsidR="00764747">
        <w:rPr>
          <w:rFonts w:cstheme="minorHAnsi"/>
          <w:b/>
        </w:rPr>
        <w:t>t</w:t>
      </w:r>
      <w:r w:rsidR="00764747" w:rsidRPr="000A20E2">
        <w:rPr>
          <w:rFonts w:cstheme="minorHAnsi"/>
          <w:b/>
        </w:rPr>
        <w:t xml:space="preserve">o Associate, Protect </w:t>
      </w:r>
      <w:r w:rsidR="00764747">
        <w:rPr>
          <w:rFonts w:cstheme="minorHAnsi"/>
          <w:b/>
        </w:rPr>
        <w:t>t</w:t>
      </w:r>
      <w:r w:rsidR="00764747" w:rsidRPr="000A20E2">
        <w:rPr>
          <w:rFonts w:cstheme="minorHAnsi"/>
          <w:b/>
        </w:rPr>
        <w:t xml:space="preserve">he Freedom </w:t>
      </w:r>
      <w:r w:rsidR="00764747">
        <w:rPr>
          <w:rFonts w:cstheme="minorHAnsi"/>
          <w:b/>
        </w:rPr>
        <w:t>n</w:t>
      </w:r>
      <w:r w:rsidR="00764747" w:rsidRPr="000A20E2">
        <w:rPr>
          <w:rFonts w:cstheme="minorHAnsi"/>
          <w:b/>
        </w:rPr>
        <w:t xml:space="preserve">ot </w:t>
      </w:r>
      <w:r w:rsidR="00764747">
        <w:rPr>
          <w:rFonts w:cstheme="minorHAnsi"/>
          <w:b/>
        </w:rPr>
        <w:t>t</w:t>
      </w:r>
      <w:r w:rsidR="00764747" w:rsidRPr="000A20E2">
        <w:rPr>
          <w:rFonts w:cstheme="minorHAnsi"/>
          <w:b/>
        </w:rPr>
        <w:t xml:space="preserve">o Associate </w:t>
      </w:r>
      <w:r w:rsidR="00764747">
        <w:rPr>
          <w:rFonts w:cstheme="minorHAnsi"/>
          <w:b/>
        </w:rPr>
        <w:t>a</w:t>
      </w:r>
      <w:r w:rsidR="00764747" w:rsidRPr="000A20E2">
        <w:rPr>
          <w:rFonts w:cstheme="minorHAnsi"/>
          <w:b/>
        </w:rPr>
        <w:t>nd Progress Union Representation</w:t>
      </w:r>
    </w:p>
    <w:p w14:paraId="121C4305" w14:textId="77777777" w:rsidR="006D7B2F" w:rsidRPr="000A20E2" w:rsidRDefault="006D7B2F" w:rsidP="000A20E2">
      <w:pPr>
        <w:spacing w:after="0" w:line="240" w:lineRule="auto"/>
        <w:jc w:val="both"/>
        <w:rPr>
          <w:rFonts w:cstheme="minorHAnsi"/>
          <w:b/>
          <w:bCs/>
        </w:rPr>
      </w:pPr>
    </w:p>
    <w:p w14:paraId="38A16847" w14:textId="77777777" w:rsidR="00764747" w:rsidRDefault="00764747" w:rsidP="000A20E2">
      <w:pPr>
        <w:spacing w:after="0" w:line="240" w:lineRule="auto"/>
        <w:jc w:val="both"/>
        <w:rPr>
          <w:rFonts w:cstheme="minorHAnsi"/>
          <w:b/>
          <w:bCs/>
        </w:rPr>
      </w:pPr>
    </w:p>
    <w:p w14:paraId="0C6AE7CA" w14:textId="6B526B33" w:rsidR="000A20E2" w:rsidRPr="005C13E1" w:rsidRDefault="000A20E2" w:rsidP="000A20E2">
      <w:pPr>
        <w:spacing w:after="0" w:line="240" w:lineRule="auto"/>
        <w:jc w:val="both"/>
        <w:rPr>
          <w:rFonts w:cstheme="minorHAnsi"/>
          <w:bCs/>
        </w:rPr>
      </w:pPr>
      <w:r w:rsidRPr="005C13E1">
        <w:rPr>
          <w:rFonts w:cstheme="minorHAnsi"/>
          <w:bCs/>
        </w:rPr>
        <w:t>MARK HARCOURT*, GREGOR GALL **, RINU VIMAL KUMAR*** AND RICHARD CROUCHER****</w:t>
      </w:r>
    </w:p>
    <w:p w14:paraId="619AD85A" w14:textId="77777777" w:rsidR="000A20E2" w:rsidRPr="000A20E2" w:rsidRDefault="000A20E2" w:rsidP="000A20E2">
      <w:pPr>
        <w:spacing w:after="0" w:line="240" w:lineRule="auto"/>
        <w:jc w:val="both"/>
        <w:rPr>
          <w:rFonts w:cstheme="minorHAnsi"/>
          <w:b/>
          <w:bCs/>
        </w:rPr>
      </w:pPr>
      <w:bookmarkStart w:id="0" w:name="_GoBack"/>
      <w:bookmarkEnd w:id="0"/>
    </w:p>
    <w:p w14:paraId="6143CBB7" w14:textId="77777777" w:rsidR="00914030" w:rsidRPr="000A20E2" w:rsidRDefault="00914030" w:rsidP="000A20E2">
      <w:pPr>
        <w:spacing w:after="0" w:line="240" w:lineRule="auto"/>
        <w:jc w:val="both"/>
        <w:rPr>
          <w:rFonts w:cstheme="minorHAnsi"/>
          <w:b/>
          <w:bCs/>
        </w:rPr>
      </w:pPr>
      <w:r w:rsidRPr="000A20E2">
        <w:rPr>
          <w:rFonts w:cstheme="minorHAnsi"/>
          <w:b/>
          <w:bCs/>
        </w:rPr>
        <w:t>Abstract</w:t>
      </w:r>
      <w:r w:rsidR="00946041" w:rsidRPr="000A20E2">
        <w:rPr>
          <w:rFonts w:cstheme="minorHAnsi"/>
          <w:b/>
          <w:bCs/>
        </w:rPr>
        <w:t xml:space="preserve"> </w:t>
      </w:r>
    </w:p>
    <w:p w14:paraId="45F3CFDE" w14:textId="77777777" w:rsidR="000A20E2" w:rsidRDefault="000A20E2" w:rsidP="000A20E2">
      <w:pPr>
        <w:spacing w:after="0" w:line="240" w:lineRule="auto"/>
        <w:jc w:val="both"/>
        <w:rPr>
          <w:rFonts w:cstheme="minorHAnsi"/>
        </w:rPr>
      </w:pPr>
    </w:p>
    <w:p w14:paraId="00EB0E77" w14:textId="092C3DDB" w:rsidR="000A20E2" w:rsidRPr="000A20E2" w:rsidRDefault="00914030" w:rsidP="000A20E2">
      <w:pPr>
        <w:spacing w:after="0" w:line="240" w:lineRule="auto"/>
        <w:jc w:val="both"/>
        <w:rPr>
          <w:rFonts w:cstheme="minorHAnsi"/>
        </w:rPr>
      </w:pPr>
      <w:r w:rsidRPr="000A20E2">
        <w:rPr>
          <w:rFonts w:cstheme="minorHAnsi"/>
        </w:rPr>
        <w:t>Workers are defaulted to being non-union in employment relationships across the world. A non-union default likely has substantial negative effects, consistent with the empirical literature reviewed, on union membership levels, because of switching costs, inertia, social norms, and loss aversion. A union default would likely have positive effects on union membership, and has the additional virtues of partially internalising the public goods externalities of unions, improving the freedom to associate (the right to join a union), and preserving the freedom not to associate (the right not to join a union).</w:t>
      </w:r>
      <w:r w:rsidR="00A3737A" w:rsidRPr="000A20E2">
        <w:rPr>
          <w:rFonts w:cstheme="minorHAnsi"/>
        </w:rPr>
        <w:t xml:space="preserve"> </w:t>
      </w:r>
      <w:r w:rsidR="008D6A71" w:rsidRPr="000A20E2">
        <w:rPr>
          <w:rFonts w:cstheme="minorHAnsi"/>
        </w:rPr>
        <w:t>A union default would also strengthen the extent and effectiveness of union representation.</w:t>
      </w:r>
    </w:p>
    <w:p w14:paraId="1A3496CD" w14:textId="77777777" w:rsidR="000A20E2" w:rsidRPr="000A20E2" w:rsidRDefault="000A20E2" w:rsidP="000A20E2">
      <w:pPr>
        <w:spacing w:after="0" w:line="240" w:lineRule="auto"/>
        <w:rPr>
          <w:rFonts w:cstheme="minorHAnsi"/>
        </w:rPr>
      </w:pPr>
    </w:p>
    <w:p w14:paraId="357A51B7" w14:textId="77777777" w:rsidR="000A20E2" w:rsidRDefault="000A20E2" w:rsidP="000A20E2">
      <w:pPr>
        <w:spacing w:after="0" w:line="240" w:lineRule="auto"/>
        <w:jc w:val="both"/>
        <w:rPr>
          <w:rFonts w:cstheme="minorHAnsi"/>
          <w:bCs/>
          <w:lang w:val="en-NZ"/>
        </w:rPr>
      </w:pPr>
    </w:p>
    <w:p w14:paraId="3CB2C303" w14:textId="4E584143" w:rsidR="000A20E2" w:rsidRPr="000A20E2" w:rsidRDefault="000A20E2" w:rsidP="000A20E2">
      <w:pPr>
        <w:spacing w:after="0" w:line="240" w:lineRule="auto"/>
        <w:jc w:val="both"/>
        <w:rPr>
          <w:rFonts w:cstheme="minorHAnsi"/>
          <w:bCs/>
        </w:rPr>
      </w:pPr>
      <w:r w:rsidRPr="000A20E2">
        <w:rPr>
          <w:rFonts w:cstheme="minorHAnsi"/>
          <w:bCs/>
          <w:lang w:val="en-NZ"/>
        </w:rPr>
        <w:t>* W</w:t>
      </w:r>
      <w:proofErr w:type="spellStart"/>
      <w:r w:rsidRPr="000A20E2">
        <w:rPr>
          <w:rFonts w:cstheme="minorHAnsi"/>
          <w:bCs/>
        </w:rPr>
        <w:t>aikato</w:t>
      </w:r>
      <w:proofErr w:type="spellEnd"/>
      <w:r w:rsidRPr="000A20E2">
        <w:rPr>
          <w:rFonts w:cstheme="minorHAnsi"/>
          <w:bCs/>
        </w:rPr>
        <w:t xml:space="preserve"> Management School, University of Waikato </w:t>
      </w:r>
      <w:hyperlink r:id="rId9" w:history="1">
        <w:r w:rsidRPr="000A20E2">
          <w:rPr>
            <w:rStyle w:val="Hyperlink"/>
            <w:rFonts w:cstheme="minorHAnsi"/>
            <w:bCs/>
          </w:rPr>
          <w:t>mark@waikato.ac.nz</w:t>
        </w:r>
      </w:hyperlink>
    </w:p>
    <w:p w14:paraId="30F011F3" w14:textId="77777777" w:rsidR="000A20E2" w:rsidRPr="000A20E2" w:rsidRDefault="000A20E2" w:rsidP="000A20E2">
      <w:pPr>
        <w:spacing w:after="0" w:line="240" w:lineRule="auto"/>
        <w:jc w:val="both"/>
        <w:rPr>
          <w:rFonts w:cstheme="minorHAnsi"/>
          <w:bCs/>
        </w:rPr>
      </w:pPr>
    </w:p>
    <w:p w14:paraId="3E0A7A92" w14:textId="50E10EBF" w:rsidR="00EB6DDC" w:rsidRDefault="000A20E2" w:rsidP="00EB6DDC">
      <w:pPr>
        <w:spacing w:after="0" w:line="240" w:lineRule="auto"/>
        <w:jc w:val="both"/>
        <w:rPr>
          <w:rFonts w:cstheme="minorHAnsi"/>
          <w:bCs/>
        </w:rPr>
      </w:pPr>
      <w:r w:rsidRPr="00772CA9">
        <w:rPr>
          <w:rFonts w:cstheme="minorHAnsi"/>
          <w:b/>
          <w:bCs/>
        </w:rPr>
        <w:t xml:space="preserve">** </w:t>
      </w:r>
      <w:r w:rsidR="00137A86" w:rsidRPr="00137A86">
        <w:rPr>
          <w:rFonts w:cstheme="minorHAnsi"/>
          <w:bCs/>
        </w:rPr>
        <w:t>I</w:t>
      </w:r>
      <w:r w:rsidR="00EB6DDC">
        <w:rPr>
          <w:rFonts w:cstheme="minorHAnsi"/>
          <w:bCs/>
        </w:rPr>
        <w:t xml:space="preserve">ndependent researcher and scholar </w:t>
      </w:r>
      <w:hyperlink r:id="rId10" w:history="1">
        <w:r w:rsidR="00EB6DDC" w:rsidRPr="003B4CE3">
          <w:rPr>
            <w:rStyle w:val="Hyperlink"/>
            <w:rFonts w:cstheme="minorHAnsi"/>
            <w:bCs/>
          </w:rPr>
          <w:t>gregorgall@outlook.com</w:t>
        </w:r>
      </w:hyperlink>
    </w:p>
    <w:p w14:paraId="24E22000" w14:textId="77777777" w:rsidR="00772CA9" w:rsidRPr="000A20E2" w:rsidRDefault="00772CA9" w:rsidP="000A20E2">
      <w:pPr>
        <w:spacing w:after="0" w:line="240" w:lineRule="auto"/>
        <w:jc w:val="both"/>
        <w:rPr>
          <w:rFonts w:cstheme="minorHAnsi"/>
          <w:bCs/>
        </w:rPr>
      </w:pPr>
    </w:p>
    <w:p w14:paraId="40CC7D72" w14:textId="60A69A03" w:rsidR="000A20E2" w:rsidRPr="000A20E2" w:rsidRDefault="000A20E2" w:rsidP="000A20E2">
      <w:pPr>
        <w:spacing w:after="0" w:line="240" w:lineRule="auto"/>
        <w:jc w:val="both"/>
        <w:rPr>
          <w:rStyle w:val="Hyperlink"/>
          <w:rFonts w:cstheme="minorHAnsi"/>
          <w:bCs/>
          <w:lang w:val="en-NZ"/>
        </w:rPr>
      </w:pPr>
      <w:r w:rsidRPr="000A20E2">
        <w:rPr>
          <w:rFonts w:cstheme="minorHAnsi"/>
          <w:bCs/>
          <w:lang w:val="en-NZ"/>
        </w:rPr>
        <w:t xml:space="preserve">*** </w:t>
      </w:r>
      <w:r w:rsidRPr="000A20E2">
        <w:rPr>
          <w:rFonts w:cstheme="minorHAnsi"/>
          <w:bCs/>
        </w:rPr>
        <w:t xml:space="preserve">Waikato Management School, University of Waikato </w:t>
      </w:r>
      <w:hyperlink r:id="rId11" w:history="1">
        <w:r w:rsidRPr="000A20E2">
          <w:rPr>
            <w:rStyle w:val="Hyperlink"/>
            <w:rFonts w:cstheme="minorHAnsi"/>
            <w:bCs/>
            <w:lang w:val="en-NZ"/>
          </w:rPr>
          <w:t>rinuvimal@gmail.com</w:t>
        </w:r>
      </w:hyperlink>
    </w:p>
    <w:p w14:paraId="7FF546CB" w14:textId="77777777" w:rsidR="000A20E2" w:rsidRPr="000A20E2" w:rsidRDefault="000A20E2" w:rsidP="000A20E2">
      <w:pPr>
        <w:spacing w:after="0" w:line="240" w:lineRule="auto"/>
        <w:jc w:val="both"/>
        <w:rPr>
          <w:rStyle w:val="Hyperlink"/>
          <w:rFonts w:cstheme="minorHAnsi"/>
          <w:bCs/>
          <w:lang w:val="en-NZ"/>
        </w:rPr>
      </w:pPr>
    </w:p>
    <w:p w14:paraId="7FA9C56A" w14:textId="20A341B1" w:rsidR="000A20E2" w:rsidRPr="000A20E2" w:rsidRDefault="000A20E2" w:rsidP="000A20E2">
      <w:pPr>
        <w:spacing w:after="0" w:line="240" w:lineRule="auto"/>
        <w:jc w:val="both"/>
        <w:rPr>
          <w:rFonts w:cstheme="minorHAnsi"/>
          <w:bCs/>
        </w:rPr>
      </w:pPr>
      <w:r w:rsidRPr="000A20E2">
        <w:rPr>
          <w:rFonts w:cstheme="minorHAnsi"/>
          <w:bCs/>
        </w:rPr>
        <w:t xml:space="preserve">**** Middlesex Business School, Middlesex University </w:t>
      </w:r>
      <w:hyperlink r:id="rId12" w:history="1">
        <w:r w:rsidRPr="000A20E2">
          <w:rPr>
            <w:rStyle w:val="Hyperlink"/>
            <w:rFonts w:cstheme="minorHAnsi"/>
            <w:bCs/>
          </w:rPr>
          <w:t>r.croucher@mdx.ac.uk</w:t>
        </w:r>
      </w:hyperlink>
    </w:p>
    <w:p w14:paraId="014DA160" w14:textId="77777777" w:rsidR="000A20E2" w:rsidRPr="000A20E2" w:rsidRDefault="000A20E2" w:rsidP="000A20E2">
      <w:pPr>
        <w:spacing w:after="0" w:line="240" w:lineRule="auto"/>
        <w:rPr>
          <w:rFonts w:cstheme="minorHAnsi"/>
        </w:rPr>
      </w:pPr>
      <w:r w:rsidRPr="000A20E2">
        <w:rPr>
          <w:rFonts w:cstheme="minorHAnsi"/>
        </w:rPr>
        <w:br w:type="page"/>
      </w:r>
    </w:p>
    <w:p w14:paraId="3105BAEC" w14:textId="39140952" w:rsidR="0025101A" w:rsidRPr="000A20E2" w:rsidRDefault="0025101A" w:rsidP="000A20E2">
      <w:pPr>
        <w:pStyle w:val="ListParagraph"/>
        <w:numPr>
          <w:ilvl w:val="0"/>
          <w:numId w:val="28"/>
        </w:numPr>
        <w:spacing w:after="0" w:line="240" w:lineRule="auto"/>
        <w:jc w:val="both"/>
        <w:rPr>
          <w:rFonts w:cstheme="minorHAnsi"/>
          <w:b/>
          <w:bCs/>
        </w:rPr>
      </w:pPr>
      <w:r w:rsidRPr="000A20E2">
        <w:rPr>
          <w:rFonts w:cstheme="minorHAnsi"/>
          <w:b/>
          <w:bCs/>
        </w:rPr>
        <w:lastRenderedPageBreak/>
        <w:t>Introduction</w:t>
      </w:r>
    </w:p>
    <w:p w14:paraId="1F823A43" w14:textId="77777777" w:rsidR="000A20E2" w:rsidRPr="000A20E2" w:rsidRDefault="000A20E2" w:rsidP="000A20E2">
      <w:pPr>
        <w:spacing w:after="0" w:line="240" w:lineRule="auto"/>
        <w:jc w:val="both"/>
        <w:rPr>
          <w:rFonts w:cstheme="minorHAnsi"/>
        </w:rPr>
      </w:pPr>
    </w:p>
    <w:p w14:paraId="43E0AA67" w14:textId="09ED7CDF" w:rsidR="005A77B4" w:rsidRPr="000A20E2" w:rsidRDefault="00242588" w:rsidP="000A20E2">
      <w:pPr>
        <w:spacing w:after="0" w:line="240" w:lineRule="auto"/>
        <w:jc w:val="both"/>
        <w:rPr>
          <w:rFonts w:cstheme="minorHAnsi"/>
        </w:rPr>
      </w:pPr>
      <w:r w:rsidRPr="000A20E2">
        <w:rPr>
          <w:rFonts w:cstheme="minorHAnsi"/>
        </w:rPr>
        <w:t>Over the last thirty to forty years u</w:t>
      </w:r>
      <w:r w:rsidR="00A165D8" w:rsidRPr="000A20E2">
        <w:rPr>
          <w:rFonts w:cstheme="minorHAnsi"/>
        </w:rPr>
        <w:t xml:space="preserve">nion membership levels, though healthy in some parts of Europe, have fallen across much of the world, especially in the </w:t>
      </w:r>
      <w:r w:rsidR="0009786B" w:rsidRPr="000A20E2">
        <w:rPr>
          <w:rFonts w:cstheme="minorHAnsi"/>
        </w:rPr>
        <w:t>many</w:t>
      </w:r>
      <w:r w:rsidR="00A165D8" w:rsidRPr="000A20E2">
        <w:rPr>
          <w:rFonts w:cstheme="minorHAnsi"/>
        </w:rPr>
        <w:t xml:space="preserve"> Anglophone countries.</w:t>
      </w:r>
      <w:r w:rsidR="00764747">
        <w:rPr>
          <w:rStyle w:val="FootnoteReference"/>
          <w:rFonts w:cstheme="minorHAnsi"/>
        </w:rPr>
        <w:footnoteReference w:id="1"/>
      </w:r>
      <w:r w:rsidR="005A77B4" w:rsidRPr="000A20E2">
        <w:rPr>
          <w:rFonts w:cstheme="minorHAnsi"/>
        </w:rPr>
        <w:t xml:space="preserve"> </w:t>
      </w:r>
      <w:r w:rsidR="0009786B" w:rsidRPr="000A20E2">
        <w:rPr>
          <w:rFonts w:cstheme="minorHAnsi"/>
        </w:rPr>
        <w:t xml:space="preserve">For example, </w:t>
      </w:r>
      <w:r w:rsidR="0014368C" w:rsidRPr="000A20E2">
        <w:rPr>
          <w:rFonts w:cstheme="minorHAnsi"/>
        </w:rPr>
        <w:t xml:space="preserve">membership </w:t>
      </w:r>
      <w:r w:rsidR="0009786B" w:rsidRPr="000A20E2">
        <w:rPr>
          <w:rFonts w:cstheme="minorHAnsi"/>
        </w:rPr>
        <w:t xml:space="preserve">has nearly </w:t>
      </w:r>
      <w:r w:rsidR="0014368C" w:rsidRPr="000A20E2">
        <w:rPr>
          <w:rFonts w:cstheme="minorHAnsi"/>
        </w:rPr>
        <w:t xml:space="preserve">halved in </w:t>
      </w:r>
      <w:r w:rsidR="0009786B" w:rsidRPr="000A20E2">
        <w:rPr>
          <w:rFonts w:cstheme="minorHAnsi"/>
        </w:rPr>
        <w:t xml:space="preserve">Britain since </w:t>
      </w:r>
      <w:r w:rsidR="0014368C" w:rsidRPr="000A20E2">
        <w:rPr>
          <w:rFonts w:cstheme="minorHAnsi"/>
        </w:rPr>
        <w:t>1979</w:t>
      </w:r>
      <w:r w:rsidR="0009786B" w:rsidRPr="000A20E2">
        <w:rPr>
          <w:rFonts w:cstheme="minorHAnsi"/>
        </w:rPr>
        <w:t xml:space="preserve">, with </w:t>
      </w:r>
      <w:r w:rsidR="0014368C" w:rsidRPr="000A20E2">
        <w:rPr>
          <w:rFonts w:cstheme="minorHAnsi"/>
        </w:rPr>
        <w:t>density under 2</w:t>
      </w:r>
      <w:r w:rsidR="0009786B" w:rsidRPr="000A20E2">
        <w:rPr>
          <w:rFonts w:cstheme="minorHAnsi"/>
        </w:rPr>
        <w:t>3</w:t>
      </w:r>
      <w:r w:rsidR="0014368C" w:rsidRPr="000A20E2">
        <w:rPr>
          <w:rFonts w:cstheme="minorHAnsi"/>
        </w:rPr>
        <w:t>%</w:t>
      </w:r>
      <w:r w:rsidR="00C068C0" w:rsidRPr="000A20E2">
        <w:rPr>
          <w:rFonts w:cstheme="minorHAnsi"/>
        </w:rPr>
        <w:t xml:space="preserve"> </w:t>
      </w:r>
      <w:r w:rsidR="0009786B" w:rsidRPr="000A20E2">
        <w:rPr>
          <w:rFonts w:cstheme="minorHAnsi"/>
        </w:rPr>
        <w:t>by 2016</w:t>
      </w:r>
      <w:r w:rsidR="00C068C0" w:rsidRPr="000A20E2">
        <w:rPr>
          <w:rFonts w:cstheme="minorHAnsi"/>
        </w:rPr>
        <w:t xml:space="preserve"> compared to 32% in 1995</w:t>
      </w:r>
      <w:r w:rsidR="000628D7" w:rsidRPr="000A20E2">
        <w:rPr>
          <w:rFonts w:cstheme="minorHAnsi"/>
        </w:rPr>
        <w:t>.</w:t>
      </w:r>
      <w:r w:rsidR="00764747">
        <w:rPr>
          <w:rStyle w:val="FootnoteReference"/>
          <w:rFonts w:cstheme="minorHAnsi"/>
        </w:rPr>
        <w:footnoteReference w:id="2"/>
      </w:r>
      <w:r w:rsidR="004920B0" w:rsidRPr="000A20E2">
        <w:rPr>
          <w:rFonts w:cstheme="minorHAnsi"/>
        </w:rPr>
        <w:t xml:space="preserve"> </w:t>
      </w:r>
      <w:r w:rsidR="00A165D8" w:rsidRPr="000A20E2">
        <w:rPr>
          <w:rFonts w:cstheme="minorHAnsi"/>
        </w:rPr>
        <w:t>Similar</w:t>
      </w:r>
      <w:r w:rsidR="008D6A71" w:rsidRPr="000A20E2">
        <w:rPr>
          <w:rFonts w:cstheme="minorHAnsi"/>
        </w:rPr>
        <w:t>ly</w:t>
      </w:r>
      <w:r w:rsidR="00A165D8" w:rsidRPr="000A20E2">
        <w:rPr>
          <w:rFonts w:cstheme="minorHAnsi"/>
        </w:rPr>
        <w:t xml:space="preserve"> dramatic declines have occurred in Australia, New Zealand, and the US.</w:t>
      </w:r>
      <w:r w:rsidR="00764747">
        <w:rPr>
          <w:rStyle w:val="FootnoteReference"/>
          <w:rFonts w:cstheme="minorHAnsi"/>
        </w:rPr>
        <w:footnoteReference w:id="3"/>
      </w:r>
      <w:r w:rsidR="005A77B4" w:rsidRPr="000A20E2">
        <w:rPr>
          <w:rFonts w:cstheme="minorHAnsi"/>
        </w:rPr>
        <w:t xml:space="preserve"> </w:t>
      </w:r>
      <w:proofErr w:type="gramStart"/>
      <w:r w:rsidR="00C068C0" w:rsidRPr="000A20E2">
        <w:rPr>
          <w:rFonts w:cstheme="minorHAnsi"/>
        </w:rPr>
        <w:t xml:space="preserve">Although membership and density </w:t>
      </w:r>
      <w:r w:rsidR="00FC6F10" w:rsidRPr="000A20E2">
        <w:rPr>
          <w:rFonts w:cstheme="minorHAnsi"/>
        </w:rPr>
        <w:t xml:space="preserve">levels </w:t>
      </w:r>
      <w:r w:rsidR="00C068C0" w:rsidRPr="000A20E2">
        <w:rPr>
          <w:rFonts w:cstheme="minorHAnsi"/>
        </w:rPr>
        <w:t>are not the</w:t>
      </w:r>
      <w:r w:rsidR="00C068C0" w:rsidRPr="000A20E2">
        <w:rPr>
          <w:rFonts w:cstheme="minorHAnsi"/>
          <w:i/>
        </w:rPr>
        <w:t xml:space="preserve"> </w:t>
      </w:r>
      <w:r w:rsidR="00B464A3" w:rsidRPr="000A20E2">
        <w:rPr>
          <w:rFonts w:cstheme="minorHAnsi"/>
          <w:i/>
        </w:rPr>
        <w:t>sine qua non</w:t>
      </w:r>
      <w:r w:rsidR="00C068C0" w:rsidRPr="000A20E2">
        <w:rPr>
          <w:rFonts w:cstheme="minorHAnsi"/>
        </w:rPr>
        <w:t xml:space="preserve"> for union power and influence </w:t>
      </w:r>
      <w:r w:rsidR="00C068C0" w:rsidRPr="000A20E2">
        <w:rPr>
          <w:rFonts w:cstheme="minorHAnsi"/>
          <w:i/>
        </w:rPr>
        <w:t>vis-à-vis</w:t>
      </w:r>
      <w:r w:rsidR="00C068C0" w:rsidRPr="000A20E2">
        <w:rPr>
          <w:rFonts w:cstheme="minorHAnsi"/>
        </w:rPr>
        <w:t xml:space="preserve"> employers, government and political parties,</w:t>
      </w:r>
      <w:r w:rsidR="00764747">
        <w:rPr>
          <w:rStyle w:val="FootnoteReference"/>
          <w:rFonts w:cstheme="minorHAnsi"/>
        </w:rPr>
        <w:footnoteReference w:id="4"/>
      </w:r>
      <w:r w:rsidR="00C068C0" w:rsidRPr="000A20E2">
        <w:rPr>
          <w:rFonts w:cstheme="minorHAnsi"/>
        </w:rPr>
        <w:t xml:space="preserve"> they do represent </w:t>
      </w:r>
      <w:r w:rsidR="002821F0" w:rsidRPr="000A20E2">
        <w:rPr>
          <w:rFonts w:cstheme="minorHAnsi"/>
        </w:rPr>
        <w:t xml:space="preserve">the fundamentals of </w:t>
      </w:r>
      <w:r w:rsidR="00C068C0" w:rsidRPr="000A20E2">
        <w:rPr>
          <w:rFonts w:cstheme="minorHAnsi"/>
        </w:rPr>
        <w:t>key power resources</w:t>
      </w:r>
      <w:r w:rsidR="00B464A3" w:rsidRPr="000A20E2">
        <w:rPr>
          <w:rFonts w:cstheme="minorHAnsi"/>
        </w:rPr>
        <w:t xml:space="preserve"> for the</w:t>
      </w:r>
      <w:r w:rsidR="00FC6F10" w:rsidRPr="000A20E2">
        <w:rPr>
          <w:rFonts w:cstheme="minorHAnsi"/>
        </w:rPr>
        <w:t>ir</w:t>
      </w:r>
      <w:r w:rsidR="00B464A3" w:rsidRPr="000A20E2">
        <w:rPr>
          <w:rFonts w:cstheme="minorHAnsi"/>
        </w:rPr>
        <w:t xml:space="preserve"> construction and exercise.</w:t>
      </w:r>
      <w:proofErr w:type="gramEnd"/>
      <w:r w:rsidR="00B464A3" w:rsidRPr="000A20E2">
        <w:rPr>
          <w:rFonts w:cstheme="minorHAnsi"/>
        </w:rPr>
        <w:t xml:space="preserve"> </w:t>
      </w:r>
      <w:r w:rsidR="00A165D8" w:rsidRPr="000A20E2">
        <w:rPr>
          <w:rFonts w:cstheme="minorHAnsi"/>
        </w:rPr>
        <w:t>Yet, surveys from these same countries show nearly half</w:t>
      </w:r>
      <w:r w:rsidR="00B464A3" w:rsidRPr="000A20E2">
        <w:rPr>
          <w:rFonts w:cstheme="minorHAnsi"/>
        </w:rPr>
        <w:t xml:space="preserve"> </w:t>
      </w:r>
      <w:r w:rsidR="004C1EC5" w:rsidRPr="000A20E2">
        <w:rPr>
          <w:rFonts w:cstheme="minorHAnsi"/>
        </w:rPr>
        <w:t xml:space="preserve">of </w:t>
      </w:r>
      <w:r w:rsidR="00B464A3" w:rsidRPr="000A20E2">
        <w:rPr>
          <w:rFonts w:cstheme="minorHAnsi"/>
        </w:rPr>
        <w:t>work</w:t>
      </w:r>
      <w:r w:rsidR="004C1EC5" w:rsidRPr="000A20E2">
        <w:rPr>
          <w:rFonts w:cstheme="minorHAnsi"/>
        </w:rPr>
        <w:t>ers</w:t>
      </w:r>
      <w:r w:rsidR="00B464A3" w:rsidRPr="000A20E2">
        <w:rPr>
          <w:rFonts w:cstheme="minorHAnsi"/>
        </w:rPr>
        <w:t xml:space="preserve">, young and old, </w:t>
      </w:r>
      <w:r w:rsidR="0009786B" w:rsidRPr="000A20E2">
        <w:rPr>
          <w:rFonts w:cstheme="minorHAnsi"/>
        </w:rPr>
        <w:t>express a desire for membership</w:t>
      </w:r>
      <w:r w:rsidR="00A165D8" w:rsidRPr="000A20E2">
        <w:rPr>
          <w:rFonts w:cstheme="minorHAnsi"/>
        </w:rPr>
        <w:t>.</w:t>
      </w:r>
      <w:r w:rsidR="00764747">
        <w:rPr>
          <w:rStyle w:val="FootnoteReference"/>
          <w:rFonts w:cstheme="minorHAnsi"/>
        </w:rPr>
        <w:footnoteReference w:id="5"/>
      </w:r>
      <w:r w:rsidR="004920B0" w:rsidRPr="000A20E2">
        <w:rPr>
          <w:rFonts w:cstheme="minorHAnsi"/>
        </w:rPr>
        <w:t xml:space="preserve"> </w:t>
      </w:r>
      <w:r w:rsidR="00A165D8" w:rsidRPr="000A20E2">
        <w:rPr>
          <w:rFonts w:cstheme="minorHAnsi"/>
        </w:rPr>
        <w:t>However, workers</w:t>
      </w:r>
      <w:r w:rsidR="004E565F" w:rsidRPr="000A20E2">
        <w:rPr>
          <w:rFonts w:cstheme="minorHAnsi"/>
        </w:rPr>
        <w:t xml:space="preserve"> </w:t>
      </w:r>
      <w:r w:rsidR="00C068C0" w:rsidRPr="000A20E2">
        <w:rPr>
          <w:rFonts w:cstheme="minorHAnsi"/>
        </w:rPr>
        <w:t xml:space="preserve">have </w:t>
      </w:r>
      <w:r w:rsidR="00A165D8" w:rsidRPr="000A20E2">
        <w:rPr>
          <w:rFonts w:cstheme="minorHAnsi"/>
        </w:rPr>
        <w:t>encount</w:t>
      </w:r>
      <w:r w:rsidR="003E6EE8" w:rsidRPr="000A20E2">
        <w:rPr>
          <w:rFonts w:cstheme="minorHAnsi"/>
        </w:rPr>
        <w:t>er</w:t>
      </w:r>
      <w:r w:rsidR="00C068C0" w:rsidRPr="000A20E2">
        <w:rPr>
          <w:rFonts w:cstheme="minorHAnsi"/>
        </w:rPr>
        <w:t>ed</w:t>
      </w:r>
      <w:r w:rsidR="003E6EE8" w:rsidRPr="000A20E2">
        <w:rPr>
          <w:rFonts w:cstheme="minorHAnsi"/>
        </w:rPr>
        <w:t xml:space="preserve"> difficulties in exercising</w:t>
      </w:r>
      <w:r w:rsidR="00A165D8" w:rsidRPr="000A20E2">
        <w:rPr>
          <w:rFonts w:cstheme="minorHAnsi"/>
        </w:rPr>
        <w:t xml:space="preserve"> th</w:t>
      </w:r>
      <w:r w:rsidR="008B48C4" w:rsidRPr="000A20E2">
        <w:rPr>
          <w:rFonts w:cstheme="minorHAnsi"/>
        </w:rPr>
        <w:t xml:space="preserve">eir </w:t>
      </w:r>
      <w:r w:rsidR="00A165D8" w:rsidRPr="000A20E2">
        <w:rPr>
          <w:rFonts w:cstheme="minorHAnsi"/>
        </w:rPr>
        <w:t>right to join a union</w:t>
      </w:r>
      <w:r w:rsidR="0009786B" w:rsidRPr="000A20E2">
        <w:rPr>
          <w:rFonts w:cstheme="minorHAnsi"/>
        </w:rPr>
        <w:t xml:space="preserve"> for a variety of factors. Amongst these are work</w:t>
      </w:r>
      <w:r w:rsidR="00FC6F10" w:rsidRPr="000A20E2">
        <w:rPr>
          <w:rFonts w:cstheme="minorHAnsi"/>
        </w:rPr>
        <w:t>ing</w:t>
      </w:r>
      <w:r w:rsidR="0009786B" w:rsidRPr="000A20E2">
        <w:rPr>
          <w:rFonts w:cstheme="minorHAnsi"/>
        </w:rPr>
        <w:t xml:space="preserve"> in</w:t>
      </w:r>
      <w:r w:rsidR="00A165D8" w:rsidRPr="000A20E2">
        <w:rPr>
          <w:rFonts w:cstheme="minorHAnsi"/>
        </w:rPr>
        <w:t xml:space="preserve"> a non-union workplace with no union present to join.</w:t>
      </w:r>
      <w:r w:rsidR="006C1DA2">
        <w:rPr>
          <w:rStyle w:val="FootnoteReference"/>
          <w:rFonts w:cstheme="minorHAnsi"/>
        </w:rPr>
        <w:footnoteReference w:id="6"/>
      </w:r>
      <w:r w:rsidR="00A165D8" w:rsidRPr="000A20E2">
        <w:rPr>
          <w:rFonts w:cstheme="minorHAnsi"/>
        </w:rPr>
        <w:t xml:space="preserve"> </w:t>
      </w:r>
      <w:r w:rsidR="00B464A3" w:rsidRPr="000A20E2">
        <w:rPr>
          <w:rFonts w:cstheme="minorHAnsi"/>
        </w:rPr>
        <w:t xml:space="preserve">This increases the (non-financial) costs of membership, especially </w:t>
      </w:r>
      <w:r w:rsidR="00EA4653" w:rsidRPr="000A20E2">
        <w:rPr>
          <w:rFonts w:cstheme="minorHAnsi"/>
        </w:rPr>
        <w:t>with regard to</w:t>
      </w:r>
      <w:r w:rsidR="00B464A3" w:rsidRPr="000A20E2">
        <w:rPr>
          <w:rFonts w:cstheme="minorHAnsi"/>
        </w:rPr>
        <w:t xml:space="preserve"> encouraging workers to join and </w:t>
      </w:r>
      <w:r w:rsidR="00FC6F10" w:rsidRPr="000A20E2">
        <w:rPr>
          <w:rFonts w:cstheme="minorHAnsi"/>
        </w:rPr>
        <w:t xml:space="preserve">then </w:t>
      </w:r>
      <w:r w:rsidR="005A77B4" w:rsidRPr="000A20E2">
        <w:rPr>
          <w:rFonts w:cstheme="minorHAnsi"/>
        </w:rPr>
        <w:t>organis</w:t>
      </w:r>
      <w:r w:rsidR="008D6A71" w:rsidRPr="000A20E2">
        <w:rPr>
          <w:rFonts w:cstheme="minorHAnsi"/>
        </w:rPr>
        <w:t>e</w:t>
      </w:r>
      <w:r w:rsidR="005A77B4" w:rsidRPr="000A20E2">
        <w:rPr>
          <w:rFonts w:cstheme="minorHAnsi"/>
        </w:rPr>
        <w:t xml:space="preserve"> into </w:t>
      </w:r>
      <w:r w:rsidR="00EA4653" w:rsidRPr="000A20E2">
        <w:rPr>
          <w:rFonts w:cstheme="minorHAnsi"/>
        </w:rPr>
        <w:t xml:space="preserve">a </w:t>
      </w:r>
      <w:r w:rsidR="005A77B4" w:rsidRPr="000A20E2">
        <w:rPr>
          <w:rFonts w:cstheme="minorHAnsi"/>
        </w:rPr>
        <w:t>body capable</w:t>
      </w:r>
      <w:r w:rsidR="00712CAE" w:rsidRPr="000A20E2">
        <w:rPr>
          <w:rFonts w:cstheme="minorHAnsi"/>
        </w:rPr>
        <w:t xml:space="preserve"> </w:t>
      </w:r>
      <w:r w:rsidR="005A77B4" w:rsidRPr="000A20E2">
        <w:rPr>
          <w:rFonts w:cstheme="minorHAnsi"/>
        </w:rPr>
        <w:t xml:space="preserve">of </w:t>
      </w:r>
      <w:r w:rsidRPr="000A20E2">
        <w:rPr>
          <w:rFonts w:cstheme="minorHAnsi"/>
        </w:rPr>
        <w:t xml:space="preserve">undertaking </w:t>
      </w:r>
      <w:r w:rsidR="005A77B4" w:rsidRPr="000A20E2">
        <w:rPr>
          <w:rFonts w:cstheme="minorHAnsi"/>
        </w:rPr>
        <w:t>collective representation. In most countries, employers are relatively unrestricted in maintaining ‘union free’ workplaces through suppression and substitution</w:t>
      </w:r>
      <w:r w:rsidR="00FC6F10" w:rsidRPr="000A20E2">
        <w:rPr>
          <w:rFonts w:cstheme="minorHAnsi"/>
        </w:rPr>
        <w:t xml:space="preserve"> strategies</w:t>
      </w:r>
      <w:r w:rsidR="005A77B4" w:rsidRPr="000A20E2">
        <w:rPr>
          <w:rFonts w:cstheme="minorHAnsi"/>
        </w:rPr>
        <w:t>.</w:t>
      </w:r>
      <w:r w:rsidR="006C1DA2">
        <w:rPr>
          <w:rStyle w:val="FootnoteReference"/>
          <w:rFonts w:cstheme="minorHAnsi"/>
        </w:rPr>
        <w:footnoteReference w:id="7"/>
      </w:r>
      <w:r w:rsidR="005A77B4" w:rsidRPr="000A20E2">
        <w:rPr>
          <w:rFonts w:cstheme="minorHAnsi"/>
        </w:rPr>
        <w:t xml:space="preserve"> </w:t>
      </w:r>
    </w:p>
    <w:p w14:paraId="1CF613E0" w14:textId="3C3389B4" w:rsidR="00524CB4" w:rsidRPr="000A20E2" w:rsidRDefault="00424195" w:rsidP="000A20E2">
      <w:pPr>
        <w:spacing w:after="0" w:line="240" w:lineRule="auto"/>
        <w:ind w:firstLine="720"/>
        <w:jc w:val="both"/>
        <w:rPr>
          <w:rFonts w:cstheme="minorHAnsi"/>
        </w:rPr>
      </w:pPr>
      <w:r w:rsidRPr="000A20E2">
        <w:rPr>
          <w:rFonts w:cstheme="minorHAnsi"/>
        </w:rPr>
        <w:t>At the same time</w:t>
      </w:r>
      <w:r w:rsidR="00A165D8" w:rsidRPr="000A20E2">
        <w:rPr>
          <w:rFonts w:cstheme="minorHAnsi"/>
        </w:rPr>
        <w:t xml:space="preserve">, </w:t>
      </w:r>
      <w:r w:rsidR="008776DD" w:rsidRPr="000A20E2">
        <w:rPr>
          <w:rFonts w:cstheme="minorHAnsi"/>
        </w:rPr>
        <w:t xml:space="preserve">judiciaries and </w:t>
      </w:r>
      <w:r w:rsidR="000E3353" w:rsidRPr="000A20E2">
        <w:rPr>
          <w:rFonts w:cstheme="minorHAnsi"/>
        </w:rPr>
        <w:t xml:space="preserve">legislatures </w:t>
      </w:r>
      <w:r w:rsidR="00A165D8" w:rsidRPr="000A20E2">
        <w:rPr>
          <w:rFonts w:cstheme="minorHAnsi"/>
        </w:rPr>
        <w:t xml:space="preserve">have increasingly supported </w:t>
      </w:r>
      <w:r w:rsidR="005A77B4" w:rsidRPr="000A20E2">
        <w:rPr>
          <w:rFonts w:cstheme="minorHAnsi"/>
        </w:rPr>
        <w:t>the</w:t>
      </w:r>
      <w:r w:rsidR="00A165D8" w:rsidRPr="000A20E2">
        <w:rPr>
          <w:rFonts w:cstheme="minorHAnsi"/>
        </w:rPr>
        <w:t xml:space="preserve"> freedom </w:t>
      </w:r>
      <w:r w:rsidR="00A165D8" w:rsidRPr="000A20E2">
        <w:rPr>
          <w:rFonts w:cstheme="minorHAnsi"/>
          <w:iCs/>
        </w:rPr>
        <w:t>not</w:t>
      </w:r>
      <w:r w:rsidR="0025101A" w:rsidRPr="000A20E2">
        <w:rPr>
          <w:rFonts w:cstheme="minorHAnsi"/>
        </w:rPr>
        <w:t xml:space="preserve"> to associate with unions</w:t>
      </w:r>
      <w:r w:rsidR="00A165D8" w:rsidRPr="000A20E2">
        <w:rPr>
          <w:rFonts w:cstheme="minorHAnsi"/>
        </w:rPr>
        <w:t>.</w:t>
      </w:r>
      <w:r w:rsidR="005A77B4" w:rsidRPr="000A20E2">
        <w:rPr>
          <w:rFonts w:cstheme="minorHAnsi"/>
        </w:rPr>
        <w:t xml:space="preserve"> </w:t>
      </w:r>
      <w:r w:rsidR="00A165D8" w:rsidRPr="000A20E2">
        <w:rPr>
          <w:rFonts w:cstheme="minorHAnsi"/>
        </w:rPr>
        <w:t>In 2006, the European Court o</w:t>
      </w:r>
      <w:r w:rsidR="005A77B4" w:rsidRPr="000A20E2">
        <w:rPr>
          <w:rFonts w:cstheme="minorHAnsi"/>
        </w:rPr>
        <w:t>f</w:t>
      </w:r>
      <w:r w:rsidR="00A165D8" w:rsidRPr="000A20E2">
        <w:rPr>
          <w:rFonts w:cstheme="minorHAnsi"/>
        </w:rPr>
        <w:t xml:space="preserve"> Human Righ</w:t>
      </w:r>
      <w:r w:rsidR="0025101A" w:rsidRPr="000A20E2">
        <w:rPr>
          <w:rFonts w:cstheme="minorHAnsi"/>
        </w:rPr>
        <w:t xml:space="preserve">ts, in </w:t>
      </w:r>
      <w:r w:rsidR="00A165D8" w:rsidRPr="000A20E2">
        <w:rPr>
          <w:rFonts w:cstheme="minorHAnsi"/>
        </w:rPr>
        <w:t>the</w:t>
      </w:r>
      <w:r w:rsidR="005A77B4" w:rsidRPr="000A20E2">
        <w:rPr>
          <w:rFonts w:cstheme="minorHAnsi"/>
        </w:rPr>
        <w:t xml:space="preserve"> </w:t>
      </w:r>
      <w:r w:rsidR="00A165D8" w:rsidRPr="000A20E2">
        <w:rPr>
          <w:rFonts w:cstheme="minorHAnsi"/>
          <w:i/>
          <w:iCs/>
        </w:rPr>
        <w:t>Sorensen and Rasmussen v. Denmark</w:t>
      </w:r>
      <w:r w:rsidR="00A165D8" w:rsidRPr="000A20E2">
        <w:rPr>
          <w:rFonts w:cstheme="minorHAnsi"/>
        </w:rPr>
        <w:t xml:space="preserve"> case, officially recognised a freedom </w:t>
      </w:r>
      <w:r w:rsidR="00A165D8" w:rsidRPr="000A20E2">
        <w:rPr>
          <w:rFonts w:cstheme="minorHAnsi"/>
          <w:i/>
          <w:iCs/>
        </w:rPr>
        <w:t>not</w:t>
      </w:r>
      <w:r w:rsidR="00A165D8" w:rsidRPr="000A20E2">
        <w:rPr>
          <w:rFonts w:cstheme="minorHAnsi"/>
        </w:rPr>
        <w:t xml:space="preserve"> to associate as a crucial element of the freedom of association in Article 11 of the European Convention on Human Rights.</w:t>
      </w:r>
      <w:r w:rsidR="004920B0" w:rsidRPr="000A20E2">
        <w:rPr>
          <w:rFonts w:cstheme="minorHAnsi"/>
        </w:rPr>
        <w:t xml:space="preserve"> </w:t>
      </w:r>
      <w:r w:rsidR="00A165D8" w:rsidRPr="000A20E2">
        <w:rPr>
          <w:rFonts w:cstheme="minorHAnsi"/>
        </w:rPr>
        <w:t xml:space="preserve">In the US, the number of so-called </w:t>
      </w:r>
      <w:r w:rsidR="00FC6F10" w:rsidRPr="000A20E2">
        <w:rPr>
          <w:rFonts w:cstheme="minorHAnsi"/>
        </w:rPr>
        <w:t>‘</w:t>
      </w:r>
      <w:r w:rsidR="00A165D8" w:rsidRPr="000A20E2">
        <w:rPr>
          <w:rFonts w:cstheme="minorHAnsi"/>
        </w:rPr>
        <w:t>right-to-work</w:t>
      </w:r>
      <w:r w:rsidR="00FC6F10" w:rsidRPr="000A20E2">
        <w:rPr>
          <w:rFonts w:cstheme="minorHAnsi"/>
        </w:rPr>
        <w:t>’</w:t>
      </w:r>
      <w:r w:rsidR="00A165D8" w:rsidRPr="000A20E2">
        <w:rPr>
          <w:rFonts w:cstheme="minorHAnsi"/>
        </w:rPr>
        <w:t xml:space="preserve"> states</w:t>
      </w:r>
      <w:r w:rsidR="004E565F" w:rsidRPr="000A20E2">
        <w:rPr>
          <w:rFonts w:cstheme="minorHAnsi"/>
        </w:rPr>
        <w:t>, which</w:t>
      </w:r>
      <w:r w:rsidR="00B84809" w:rsidRPr="000A20E2">
        <w:rPr>
          <w:rFonts w:cstheme="minorHAnsi"/>
        </w:rPr>
        <w:t xml:space="preserve"> </w:t>
      </w:r>
      <w:r w:rsidR="00A165D8" w:rsidRPr="000A20E2">
        <w:rPr>
          <w:rFonts w:cstheme="minorHAnsi"/>
        </w:rPr>
        <w:t xml:space="preserve">prohibit union security </w:t>
      </w:r>
      <w:r w:rsidR="005C21E4" w:rsidRPr="000A20E2">
        <w:rPr>
          <w:rFonts w:cstheme="minorHAnsi"/>
        </w:rPr>
        <w:t>(</w:t>
      </w:r>
      <w:r w:rsidR="00290394" w:rsidRPr="000A20E2">
        <w:rPr>
          <w:rFonts w:cstheme="minorHAnsi"/>
        </w:rPr>
        <w:t xml:space="preserve">post-entry </w:t>
      </w:r>
      <w:r w:rsidR="005C21E4" w:rsidRPr="000A20E2">
        <w:rPr>
          <w:rFonts w:cstheme="minorHAnsi"/>
        </w:rPr>
        <w:t>closed shop</w:t>
      </w:r>
      <w:r w:rsidR="00290394" w:rsidRPr="000A20E2">
        <w:rPr>
          <w:rFonts w:cstheme="minorHAnsi"/>
        </w:rPr>
        <w:t xml:space="preserve">s, </w:t>
      </w:r>
      <w:r w:rsidR="002C1F1A" w:rsidRPr="000A20E2">
        <w:rPr>
          <w:rFonts w:cstheme="minorHAnsi"/>
        </w:rPr>
        <w:t xml:space="preserve">agency shops, </w:t>
      </w:r>
      <w:r w:rsidR="00290394" w:rsidRPr="000A20E2">
        <w:rPr>
          <w:rFonts w:cstheme="minorHAnsi"/>
        </w:rPr>
        <w:t>fair share</w:t>
      </w:r>
      <w:r w:rsidR="002C1F1A" w:rsidRPr="000A20E2">
        <w:rPr>
          <w:rFonts w:cstheme="minorHAnsi"/>
        </w:rPr>
        <w:t>)</w:t>
      </w:r>
      <w:r w:rsidR="00290394" w:rsidRPr="000A20E2">
        <w:rPr>
          <w:rFonts w:cstheme="minorHAnsi"/>
        </w:rPr>
        <w:t xml:space="preserve"> agreements</w:t>
      </w:r>
      <w:r w:rsidR="004E565F" w:rsidRPr="000A20E2">
        <w:rPr>
          <w:rFonts w:cstheme="minorHAnsi"/>
        </w:rPr>
        <w:t xml:space="preserve">, </w:t>
      </w:r>
      <w:r w:rsidR="00A165D8" w:rsidRPr="000A20E2">
        <w:rPr>
          <w:rFonts w:cstheme="minorHAnsi"/>
        </w:rPr>
        <w:t>has grown to include previously pro-union states like Wisconsin and Michigan</w:t>
      </w:r>
      <w:r w:rsidR="002C1F1A" w:rsidRPr="000A20E2">
        <w:rPr>
          <w:rFonts w:cstheme="minorHAnsi"/>
        </w:rPr>
        <w:t>, and now totals 28 states</w:t>
      </w:r>
      <w:r w:rsidR="00A165D8" w:rsidRPr="000A20E2">
        <w:rPr>
          <w:rFonts w:cstheme="minorHAnsi"/>
        </w:rPr>
        <w:t>.</w:t>
      </w:r>
      <w:r w:rsidR="005A77B4" w:rsidRPr="000A20E2">
        <w:rPr>
          <w:rFonts w:cstheme="minorHAnsi"/>
        </w:rPr>
        <w:t xml:space="preserve"> </w:t>
      </w:r>
      <w:r w:rsidR="00A165D8" w:rsidRPr="000A20E2">
        <w:rPr>
          <w:rFonts w:cstheme="minorHAnsi"/>
        </w:rPr>
        <w:t xml:space="preserve">In Australia, the Liberal </w:t>
      </w:r>
      <w:r w:rsidR="006B7185" w:rsidRPr="000A20E2">
        <w:rPr>
          <w:rFonts w:cstheme="minorHAnsi"/>
        </w:rPr>
        <w:t>Commonwealth</w:t>
      </w:r>
      <w:r w:rsidR="00A165D8" w:rsidRPr="000A20E2">
        <w:rPr>
          <w:rFonts w:cstheme="minorHAnsi"/>
        </w:rPr>
        <w:t xml:space="preserve"> government banned </w:t>
      </w:r>
      <w:r w:rsidR="00797B66" w:rsidRPr="000A20E2">
        <w:rPr>
          <w:rFonts w:cstheme="minorHAnsi"/>
        </w:rPr>
        <w:t>the closed shop with the</w:t>
      </w:r>
      <w:r w:rsidR="00A165D8" w:rsidRPr="000A20E2">
        <w:rPr>
          <w:rFonts w:cstheme="minorHAnsi"/>
        </w:rPr>
        <w:t xml:space="preserve"> </w:t>
      </w:r>
      <w:r w:rsidR="00A165D8" w:rsidRPr="000A20E2">
        <w:rPr>
          <w:rFonts w:cstheme="minorHAnsi"/>
          <w:i/>
        </w:rPr>
        <w:t>Workplace Relations Act</w:t>
      </w:r>
      <w:r w:rsidR="00F131F4" w:rsidRPr="000A20E2">
        <w:rPr>
          <w:rFonts w:cstheme="minorHAnsi"/>
          <w:i/>
        </w:rPr>
        <w:t xml:space="preserve"> </w:t>
      </w:r>
      <w:r w:rsidR="00B1221B" w:rsidRPr="000A20E2">
        <w:rPr>
          <w:rFonts w:cstheme="minorHAnsi"/>
          <w:i/>
        </w:rPr>
        <w:t>1996</w:t>
      </w:r>
      <w:r w:rsidR="00F131F4" w:rsidRPr="000A20E2">
        <w:rPr>
          <w:rFonts w:cstheme="minorHAnsi"/>
        </w:rPr>
        <w:t>.</w:t>
      </w:r>
      <w:r w:rsidR="006C1DA2">
        <w:rPr>
          <w:rStyle w:val="FootnoteReference"/>
          <w:rFonts w:cstheme="minorHAnsi"/>
        </w:rPr>
        <w:footnoteReference w:id="8"/>
      </w:r>
      <w:r w:rsidR="005A77B4" w:rsidRPr="000A20E2">
        <w:rPr>
          <w:rFonts w:cstheme="minorHAnsi"/>
        </w:rPr>
        <w:t xml:space="preserve"> </w:t>
      </w:r>
      <w:r w:rsidR="00A165D8" w:rsidRPr="000A20E2">
        <w:rPr>
          <w:rFonts w:cstheme="minorHAnsi"/>
        </w:rPr>
        <w:t xml:space="preserve">In New Zealand, the National government </w:t>
      </w:r>
      <w:r w:rsidR="00797B66" w:rsidRPr="000A20E2">
        <w:rPr>
          <w:rFonts w:cstheme="minorHAnsi"/>
        </w:rPr>
        <w:t xml:space="preserve">banned all forms </w:t>
      </w:r>
      <w:r w:rsidR="00B84809" w:rsidRPr="000A20E2">
        <w:rPr>
          <w:rFonts w:cstheme="minorHAnsi"/>
        </w:rPr>
        <w:t xml:space="preserve">of compulsory unionism </w:t>
      </w:r>
      <w:r w:rsidR="00A165D8" w:rsidRPr="000A20E2">
        <w:rPr>
          <w:rFonts w:cstheme="minorHAnsi"/>
        </w:rPr>
        <w:t xml:space="preserve">in its </w:t>
      </w:r>
      <w:r w:rsidR="00A165D8" w:rsidRPr="000A20E2">
        <w:rPr>
          <w:rFonts w:cstheme="minorHAnsi"/>
          <w:i/>
          <w:iCs/>
        </w:rPr>
        <w:t>Employment Contracts Act</w:t>
      </w:r>
      <w:r w:rsidR="00DF7E21" w:rsidRPr="000A20E2">
        <w:rPr>
          <w:rFonts w:cstheme="minorHAnsi"/>
          <w:i/>
          <w:iCs/>
        </w:rPr>
        <w:t xml:space="preserve"> 1991</w:t>
      </w:r>
      <w:r w:rsidR="00A165D8" w:rsidRPr="000A20E2">
        <w:rPr>
          <w:rFonts w:cstheme="minorHAnsi"/>
        </w:rPr>
        <w:t xml:space="preserve"> and the subsequent Labour government adopted a similar policy in its </w:t>
      </w:r>
      <w:r w:rsidR="00A165D8" w:rsidRPr="000A20E2">
        <w:rPr>
          <w:rFonts w:cstheme="minorHAnsi"/>
          <w:i/>
          <w:iCs/>
        </w:rPr>
        <w:t>Employment Relations Act</w:t>
      </w:r>
      <w:r w:rsidR="00257192" w:rsidRPr="000A20E2">
        <w:rPr>
          <w:rFonts w:cstheme="minorHAnsi"/>
          <w:i/>
          <w:iCs/>
        </w:rPr>
        <w:t xml:space="preserve"> 2000</w:t>
      </w:r>
      <w:r w:rsidR="00A165D8" w:rsidRPr="000A20E2">
        <w:rPr>
          <w:rFonts w:cstheme="minorHAnsi"/>
        </w:rPr>
        <w:t>.</w:t>
      </w:r>
      <w:r w:rsidR="00257192" w:rsidRPr="000A20E2">
        <w:rPr>
          <w:rFonts w:cstheme="minorHAnsi"/>
        </w:rPr>
        <w:t xml:space="preserve"> </w:t>
      </w:r>
      <w:r w:rsidR="00B1221B" w:rsidRPr="000A20E2">
        <w:rPr>
          <w:rFonts w:cstheme="minorHAnsi"/>
        </w:rPr>
        <w:t>And, in Britain both pre- and post-entry closed shops became unlawful under the Thatcher governments’ union reform legislation</w:t>
      </w:r>
      <w:r w:rsidR="005B607D" w:rsidRPr="000A20E2">
        <w:rPr>
          <w:rFonts w:cstheme="minorHAnsi"/>
        </w:rPr>
        <w:t>.</w:t>
      </w:r>
      <w:r w:rsidR="006C1DA2">
        <w:rPr>
          <w:rStyle w:val="FootnoteReference"/>
          <w:rFonts w:cstheme="minorHAnsi"/>
        </w:rPr>
        <w:footnoteReference w:id="9"/>
      </w:r>
      <w:r w:rsidR="005B607D" w:rsidRPr="000A20E2">
        <w:rPr>
          <w:rFonts w:cstheme="minorHAnsi"/>
        </w:rPr>
        <w:t xml:space="preserve"> </w:t>
      </w:r>
    </w:p>
    <w:p w14:paraId="276545C7" w14:textId="4654E28B" w:rsidR="000141A5" w:rsidRPr="000A20E2" w:rsidRDefault="00242588" w:rsidP="000A20E2">
      <w:pPr>
        <w:spacing w:after="0" w:line="240" w:lineRule="auto"/>
        <w:ind w:firstLine="720"/>
        <w:jc w:val="both"/>
        <w:rPr>
          <w:rFonts w:cstheme="minorHAnsi"/>
        </w:rPr>
      </w:pPr>
      <w:r w:rsidRPr="000A20E2">
        <w:rPr>
          <w:rFonts w:cstheme="minorHAnsi"/>
        </w:rPr>
        <w:t>In Britain, t</w:t>
      </w:r>
      <w:r w:rsidR="005B607D" w:rsidRPr="000A20E2">
        <w:rPr>
          <w:rFonts w:cstheme="minorHAnsi"/>
        </w:rPr>
        <w:t xml:space="preserve">he introduction of a statutory means </w:t>
      </w:r>
      <w:r w:rsidR="00FC6F10" w:rsidRPr="000A20E2">
        <w:rPr>
          <w:rFonts w:cstheme="minorHAnsi"/>
        </w:rPr>
        <w:t>for</w:t>
      </w:r>
      <w:r w:rsidR="005B607D" w:rsidRPr="000A20E2">
        <w:rPr>
          <w:rFonts w:cstheme="minorHAnsi"/>
        </w:rPr>
        <w:t xml:space="preserve"> gaining union recognition from 2000 has not changed the propensity for workers to join unions.</w:t>
      </w:r>
      <w:r w:rsidR="006C1DA2">
        <w:rPr>
          <w:rStyle w:val="FootnoteReference"/>
          <w:rFonts w:cstheme="minorHAnsi"/>
        </w:rPr>
        <w:footnoteReference w:id="10"/>
      </w:r>
      <w:r w:rsidR="005B607D" w:rsidRPr="000A20E2">
        <w:rPr>
          <w:rFonts w:cstheme="minorHAnsi"/>
        </w:rPr>
        <w:t xml:space="preserve"> </w:t>
      </w:r>
      <w:r w:rsidR="00EC5B40" w:rsidRPr="000A20E2">
        <w:rPr>
          <w:rFonts w:cstheme="minorHAnsi"/>
        </w:rPr>
        <w:t>A</w:t>
      </w:r>
      <w:r w:rsidR="00B1221B" w:rsidRPr="000A20E2">
        <w:rPr>
          <w:rFonts w:cstheme="minorHAnsi"/>
        </w:rPr>
        <w:t xml:space="preserve">ttempts to raise the cost of ‘free riding’ by </w:t>
      </w:r>
      <w:r w:rsidR="00B1221B" w:rsidRPr="000A20E2">
        <w:rPr>
          <w:rFonts w:cstheme="minorHAnsi"/>
        </w:rPr>
        <w:lastRenderedPageBreak/>
        <w:t xml:space="preserve">introducing ‘fair share’ agreements </w:t>
      </w:r>
      <w:r w:rsidR="005C21E4" w:rsidRPr="000A20E2">
        <w:rPr>
          <w:rFonts w:cstheme="minorHAnsi"/>
        </w:rPr>
        <w:t>in Britain and the U</w:t>
      </w:r>
      <w:r w:rsidR="00FC6F10" w:rsidRPr="000A20E2">
        <w:rPr>
          <w:rFonts w:cstheme="minorHAnsi"/>
        </w:rPr>
        <w:t>S</w:t>
      </w:r>
      <w:r w:rsidR="005C21E4" w:rsidRPr="000A20E2">
        <w:rPr>
          <w:rFonts w:cstheme="minorHAnsi"/>
        </w:rPr>
        <w:t xml:space="preserve"> </w:t>
      </w:r>
      <w:r w:rsidR="003430FD" w:rsidRPr="000A20E2">
        <w:rPr>
          <w:rFonts w:cstheme="minorHAnsi"/>
        </w:rPr>
        <w:t xml:space="preserve">– where non-members pay a percentage of </w:t>
      </w:r>
      <w:r w:rsidR="002C1F1A" w:rsidRPr="000A20E2">
        <w:rPr>
          <w:rFonts w:cstheme="minorHAnsi"/>
        </w:rPr>
        <w:t xml:space="preserve">the union </w:t>
      </w:r>
      <w:r w:rsidR="003430FD" w:rsidRPr="000A20E2">
        <w:rPr>
          <w:rFonts w:cstheme="minorHAnsi"/>
        </w:rPr>
        <w:t xml:space="preserve">subscription to take account of gaining the benefits of membership when collective agreements are applied to all workers – have not </w:t>
      </w:r>
      <w:r w:rsidR="00E735CA" w:rsidRPr="000A20E2">
        <w:rPr>
          <w:rFonts w:cstheme="minorHAnsi"/>
        </w:rPr>
        <w:t>been successful in reducing non-membership.</w:t>
      </w:r>
      <w:r w:rsidR="003430FD" w:rsidRPr="000A20E2">
        <w:rPr>
          <w:rFonts w:cstheme="minorHAnsi"/>
        </w:rPr>
        <w:t xml:space="preserve"> </w:t>
      </w:r>
      <w:r w:rsidR="00257192" w:rsidRPr="000A20E2">
        <w:rPr>
          <w:rFonts w:cstheme="minorHAnsi"/>
        </w:rPr>
        <w:t xml:space="preserve">Few countries now </w:t>
      </w:r>
      <w:r w:rsidR="00195F19" w:rsidRPr="000A20E2">
        <w:rPr>
          <w:rFonts w:cstheme="minorHAnsi"/>
        </w:rPr>
        <w:t xml:space="preserve">encourage and </w:t>
      </w:r>
      <w:r w:rsidR="00257192" w:rsidRPr="000A20E2">
        <w:rPr>
          <w:rFonts w:cstheme="minorHAnsi"/>
        </w:rPr>
        <w:t>support union membership through effective public policy and law. Of those remaining ones which do</w:t>
      </w:r>
      <w:r w:rsidR="00EC5B40" w:rsidRPr="000A20E2">
        <w:rPr>
          <w:rFonts w:cstheme="minorHAnsi"/>
        </w:rPr>
        <w:t>, those countries (</w:t>
      </w:r>
      <w:r w:rsidR="00EC5B40" w:rsidRPr="000A20E2">
        <w:rPr>
          <w:rFonts w:eastAsia="Times New Roman" w:cstheme="minorHAnsi"/>
          <w:lang w:eastAsia="en-GB"/>
        </w:rPr>
        <w:t>Iceland, Sweden, Finland, Denmark, Belgium) </w:t>
      </w:r>
      <w:r w:rsidR="00EC5B40" w:rsidRPr="000A20E2">
        <w:rPr>
          <w:rFonts w:cstheme="minorHAnsi"/>
        </w:rPr>
        <w:t xml:space="preserve">practicing the ‘Ghent system’ of welfare benefits (especially unemployment benefit) being accessed via union membership are the most obvious. </w:t>
      </w:r>
      <w:r w:rsidR="00D605F1" w:rsidRPr="000A20E2">
        <w:rPr>
          <w:rFonts w:cstheme="minorHAnsi"/>
        </w:rPr>
        <w:t>T</w:t>
      </w:r>
      <w:r w:rsidR="00EC5B40" w:rsidRPr="000A20E2">
        <w:rPr>
          <w:rFonts w:cstheme="minorHAnsi"/>
        </w:rPr>
        <w:t xml:space="preserve">hey are </w:t>
      </w:r>
      <w:r w:rsidR="00D605F1" w:rsidRPr="000A20E2">
        <w:rPr>
          <w:rFonts w:cstheme="minorHAnsi"/>
        </w:rPr>
        <w:t xml:space="preserve">also </w:t>
      </w:r>
      <w:r w:rsidR="00EC5B40" w:rsidRPr="000A20E2">
        <w:rPr>
          <w:rFonts w:cstheme="minorHAnsi"/>
        </w:rPr>
        <w:t>all small economies.</w:t>
      </w:r>
      <w:r w:rsidR="00257192" w:rsidRPr="000A20E2">
        <w:rPr>
          <w:rFonts w:cstheme="minorHAnsi"/>
        </w:rPr>
        <w:t xml:space="preserve"> </w:t>
      </w:r>
    </w:p>
    <w:p w14:paraId="7332AF1E" w14:textId="13C63161" w:rsidR="00EC710D" w:rsidRPr="000A20E2" w:rsidRDefault="008776DD" w:rsidP="000A20E2">
      <w:pPr>
        <w:spacing w:after="0" w:line="240" w:lineRule="auto"/>
        <w:ind w:firstLine="720"/>
        <w:jc w:val="both"/>
        <w:rPr>
          <w:rFonts w:cstheme="minorHAnsi"/>
          <w:b/>
          <w:bCs/>
        </w:rPr>
      </w:pPr>
      <w:r w:rsidRPr="000A20E2">
        <w:rPr>
          <w:rFonts w:cstheme="minorHAnsi"/>
        </w:rPr>
        <w:t>S</w:t>
      </w:r>
      <w:r w:rsidR="00A22522" w:rsidRPr="000A20E2">
        <w:rPr>
          <w:rFonts w:cstheme="minorHAnsi"/>
        </w:rPr>
        <w:t xml:space="preserve">tate (policy, legislative, judicial) </w:t>
      </w:r>
      <w:r w:rsidR="00C43EC8" w:rsidRPr="000A20E2">
        <w:rPr>
          <w:rFonts w:cstheme="minorHAnsi"/>
        </w:rPr>
        <w:t>approach</w:t>
      </w:r>
      <w:r w:rsidR="000E3353" w:rsidRPr="000A20E2">
        <w:rPr>
          <w:rFonts w:cstheme="minorHAnsi"/>
        </w:rPr>
        <w:t>es</w:t>
      </w:r>
      <w:r w:rsidR="002821F0" w:rsidRPr="000A20E2">
        <w:rPr>
          <w:rFonts w:cstheme="minorHAnsi"/>
        </w:rPr>
        <w:t xml:space="preserve"> towards </w:t>
      </w:r>
      <w:r w:rsidR="00A22522" w:rsidRPr="000A20E2">
        <w:rPr>
          <w:rFonts w:cstheme="minorHAnsi"/>
        </w:rPr>
        <w:t xml:space="preserve">support for union membership </w:t>
      </w:r>
      <w:r w:rsidRPr="000A20E2">
        <w:rPr>
          <w:rFonts w:cstheme="minorHAnsi"/>
        </w:rPr>
        <w:t>are</w:t>
      </w:r>
      <w:r w:rsidR="00A22522" w:rsidRPr="000A20E2">
        <w:rPr>
          <w:rFonts w:cstheme="minorHAnsi"/>
        </w:rPr>
        <w:t xml:space="preserve"> held to be of significance because since the mid-1990s, the turn to ‘organising’ </w:t>
      </w:r>
      <w:r w:rsidR="00C43EC8" w:rsidRPr="000A20E2">
        <w:rPr>
          <w:rFonts w:cstheme="minorHAnsi"/>
        </w:rPr>
        <w:t xml:space="preserve">amongst unions </w:t>
      </w:r>
      <w:r w:rsidR="00A22522" w:rsidRPr="000A20E2">
        <w:rPr>
          <w:rFonts w:cstheme="minorHAnsi"/>
        </w:rPr>
        <w:t xml:space="preserve">has proven to </w:t>
      </w:r>
      <w:r w:rsidR="00751F27" w:rsidRPr="000A20E2">
        <w:rPr>
          <w:rFonts w:cstheme="minorHAnsi"/>
        </w:rPr>
        <w:t xml:space="preserve">be insufficient to arrest </w:t>
      </w:r>
      <w:r w:rsidR="00A22522" w:rsidRPr="000A20E2">
        <w:rPr>
          <w:rFonts w:cstheme="minorHAnsi"/>
        </w:rPr>
        <w:t>membership decline</w:t>
      </w:r>
      <w:r w:rsidR="00EC710D" w:rsidRPr="000A20E2">
        <w:rPr>
          <w:rFonts w:cstheme="minorHAnsi"/>
        </w:rPr>
        <w:t xml:space="preserve"> and</w:t>
      </w:r>
      <w:r w:rsidRPr="000A20E2">
        <w:rPr>
          <w:rFonts w:cstheme="minorHAnsi"/>
        </w:rPr>
        <w:t>,</w:t>
      </w:r>
      <w:r w:rsidR="00EC710D" w:rsidRPr="000A20E2">
        <w:rPr>
          <w:rFonts w:cstheme="minorHAnsi"/>
        </w:rPr>
        <w:t xml:space="preserve"> with it</w:t>
      </w:r>
      <w:r w:rsidRPr="000A20E2">
        <w:rPr>
          <w:rFonts w:cstheme="minorHAnsi"/>
        </w:rPr>
        <w:t>,</w:t>
      </w:r>
      <w:r w:rsidR="00EC710D" w:rsidRPr="000A20E2">
        <w:rPr>
          <w:rFonts w:cstheme="minorHAnsi"/>
        </w:rPr>
        <w:t xml:space="preserve"> union power and influence</w:t>
      </w:r>
      <w:r w:rsidR="00A22522" w:rsidRPr="000A20E2">
        <w:rPr>
          <w:rFonts w:cstheme="minorHAnsi"/>
        </w:rPr>
        <w:t xml:space="preserve">. </w:t>
      </w:r>
      <w:proofErr w:type="gramStart"/>
      <w:r w:rsidR="00A22522" w:rsidRPr="000A20E2">
        <w:rPr>
          <w:rFonts w:cstheme="minorHAnsi"/>
        </w:rPr>
        <w:t xml:space="preserve">First begun </w:t>
      </w:r>
      <w:r w:rsidR="00D605F1" w:rsidRPr="000A20E2">
        <w:rPr>
          <w:rFonts w:cstheme="minorHAnsi"/>
        </w:rPr>
        <w:t>in Australia and the US, ‘</w:t>
      </w:r>
      <w:r w:rsidR="00A22522" w:rsidRPr="000A20E2">
        <w:rPr>
          <w:rFonts w:cstheme="minorHAnsi"/>
        </w:rPr>
        <w:t>organising’ spread to Britain and other advanced economies.</w:t>
      </w:r>
      <w:proofErr w:type="gramEnd"/>
      <w:r w:rsidR="00EC710D" w:rsidRPr="000A20E2">
        <w:rPr>
          <w:rFonts w:cstheme="minorHAnsi"/>
        </w:rPr>
        <w:t xml:space="preserve"> While recruitment and retention are at its heart, ‘union organising’ as a particular </w:t>
      </w:r>
      <w:r w:rsidR="0010532F" w:rsidRPr="000A20E2">
        <w:rPr>
          <w:rFonts w:cstheme="minorHAnsi"/>
        </w:rPr>
        <w:t xml:space="preserve">perspective and method </w:t>
      </w:r>
      <w:r w:rsidR="00EC710D" w:rsidRPr="000A20E2">
        <w:rPr>
          <w:rFonts w:cstheme="minorHAnsi"/>
        </w:rPr>
        <w:t xml:space="preserve">(contra ‘union servicing’) seeks to create more active members </w:t>
      </w:r>
      <w:r w:rsidR="002821F0" w:rsidRPr="000A20E2">
        <w:rPr>
          <w:rFonts w:cstheme="minorHAnsi"/>
        </w:rPr>
        <w:t>as well as</w:t>
      </w:r>
      <w:r w:rsidR="00EC710D" w:rsidRPr="000A20E2">
        <w:rPr>
          <w:rFonts w:cstheme="minorHAnsi"/>
        </w:rPr>
        <w:t xml:space="preserve"> self-sufficient and </w:t>
      </w:r>
      <w:r w:rsidR="0056128B" w:rsidRPr="000A20E2">
        <w:rPr>
          <w:rFonts w:cstheme="minorHAnsi"/>
        </w:rPr>
        <w:t>self-</w:t>
      </w:r>
      <w:r w:rsidR="00EC710D" w:rsidRPr="000A20E2">
        <w:rPr>
          <w:rFonts w:cstheme="minorHAnsi"/>
        </w:rPr>
        <w:t>sustaining unionised workplaces. Here the emphasis is not just on the ‘quantity’ of union membership but also</w:t>
      </w:r>
      <w:r w:rsidR="002821F0" w:rsidRPr="000A20E2">
        <w:rPr>
          <w:rFonts w:cstheme="minorHAnsi"/>
        </w:rPr>
        <w:t>, thus,</w:t>
      </w:r>
      <w:r w:rsidR="00EC710D" w:rsidRPr="000A20E2">
        <w:rPr>
          <w:rFonts w:cstheme="minorHAnsi"/>
        </w:rPr>
        <w:t xml:space="preserve"> its ‘quality’.</w:t>
      </w:r>
      <w:r w:rsidR="00A22522" w:rsidRPr="000A20E2">
        <w:rPr>
          <w:rFonts w:cstheme="minorHAnsi"/>
        </w:rPr>
        <w:t xml:space="preserve"> </w:t>
      </w:r>
      <w:r w:rsidR="00B75651" w:rsidRPr="000A20E2">
        <w:rPr>
          <w:rFonts w:cstheme="minorHAnsi"/>
        </w:rPr>
        <w:t>Notwithstanding that ‘</w:t>
      </w:r>
      <w:r w:rsidR="00EC710D" w:rsidRPr="000A20E2">
        <w:rPr>
          <w:rFonts w:cstheme="minorHAnsi"/>
        </w:rPr>
        <w:t>organising’ has not always been practiced in the way in which its creators envisaged,</w:t>
      </w:r>
      <w:r w:rsidR="006C1DA2">
        <w:rPr>
          <w:rStyle w:val="FootnoteReference"/>
          <w:rFonts w:cstheme="minorHAnsi"/>
        </w:rPr>
        <w:footnoteReference w:id="11"/>
      </w:r>
      <w:r w:rsidR="00EC710D" w:rsidRPr="000A20E2">
        <w:rPr>
          <w:rFonts w:cstheme="minorHAnsi"/>
        </w:rPr>
        <w:t xml:space="preserve"> significant financial and human resources have been ploughed into its implementation. Yet the results have not even allowed unions </w:t>
      </w:r>
      <w:r w:rsidR="0010532F" w:rsidRPr="000A20E2">
        <w:rPr>
          <w:rFonts w:cstheme="minorHAnsi"/>
        </w:rPr>
        <w:t xml:space="preserve">merely </w:t>
      </w:r>
      <w:r w:rsidR="00EC710D" w:rsidRPr="000A20E2">
        <w:rPr>
          <w:rFonts w:cstheme="minorHAnsi"/>
        </w:rPr>
        <w:t xml:space="preserve">to ‘run </w:t>
      </w:r>
      <w:r w:rsidR="0056128B" w:rsidRPr="000A20E2">
        <w:rPr>
          <w:rFonts w:cstheme="minorHAnsi"/>
        </w:rPr>
        <w:t xml:space="preserve">very </w:t>
      </w:r>
      <w:r w:rsidR="00EC710D" w:rsidRPr="000A20E2">
        <w:rPr>
          <w:rFonts w:cstheme="minorHAnsi"/>
        </w:rPr>
        <w:t>fast to stand still’. Opposition from employers and governments as well as the impact of changes in employment practices have blunt</w:t>
      </w:r>
      <w:r w:rsidR="00B75651" w:rsidRPr="000A20E2">
        <w:rPr>
          <w:rFonts w:cstheme="minorHAnsi"/>
        </w:rPr>
        <w:t>ed</w:t>
      </w:r>
      <w:r w:rsidR="00EC710D" w:rsidRPr="000A20E2">
        <w:rPr>
          <w:rFonts w:cstheme="minorHAnsi"/>
        </w:rPr>
        <w:t xml:space="preserve"> the effectiveness of ‘organising’. </w:t>
      </w:r>
      <w:r w:rsidR="00A22522" w:rsidRPr="000A20E2">
        <w:rPr>
          <w:rFonts w:cstheme="minorHAnsi"/>
        </w:rPr>
        <w:t>Moreover, and in terms of social equality and justice, t</w:t>
      </w:r>
      <w:r w:rsidR="005C21E4" w:rsidRPr="000A20E2">
        <w:rPr>
          <w:rFonts w:cstheme="minorHAnsi"/>
        </w:rPr>
        <w:t xml:space="preserve">he practical </w:t>
      </w:r>
      <w:r w:rsidR="00A22522" w:rsidRPr="000A20E2">
        <w:rPr>
          <w:rFonts w:cstheme="minorHAnsi"/>
        </w:rPr>
        <w:t xml:space="preserve">consequences </w:t>
      </w:r>
      <w:r w:rsidR="00B75651" w:rsidRPr="000A20E2">
        <w:rPr>
          <w:rFonts w:cstheme="minorHAnsi"/>
        </w:rPr>
        <w:t xml:space="preserve">of the diminution of </w:t>
      </w:r>
      <w:r w:rsidR="005C21E4" w:rsidRPr="000A20E2">
        <w:rPr>
          <w:rFonts w:cstheme="minorHAnsi"/>
        </w:rPr>
        <w:t>membership</w:t>
      </w:r>
      <w:r w:rsidR="00DF7E21" w:rsidRPr="000A20E2">
        <w:rPr>
          <w:rFonts w:cstheme="minorHAnsi"/>
        </w:rPr>
        <w:t xml:space="preserve">, when linked to deregulation of labour markets and the unfettering of restrictions </w:t>
      </w:r>
      <w:r w:rsidR="00A22522" w:rsidRPr="000A20E2">
        <w:rPr>
          <w:rFonts w:cstheme="minorHAnsi"/>
        </w:rPr>
        <w:t>up</w:t>
      </w:r>
      <w:r w:rsidR="00DF7E21" w:rsidRPr="000A20E2">
        <w:rPr>
          <w:rFonts w:cstheme="minorHAnsi"/>
        </w:rPr>
        <w:t>on employer behaviour,</w:t>
      </w:r>
      <w:r w:rsidR="005C21E4" w:rsidRPr="000A20E2">
        <w:rPr>
          <w:rFonts w:cstheme="minorHAnsi"/>
        </w:rPr>
        <w:t xml:space="preserve"> ha</w:t>
      </w:r>
      <w:r w:rsidR="00DF7E21" w:rsidRPr="000A20E2">
        <w:rPr>
          <w:rFonts w:cstheme="minorHAnsi"/>
        </w:rPr>
        <w:t>ve</w:t>
      </w:r>
      <w:r w:rsidR="005C21E4" w:rsidRPr="000A20E2">
        <w:rPr>
          <w:rFonts w:cstheme="minorHAnsi"/>
        </w:rPr>
        <w:t xml:space="preserve"> been </w:t>
      </w:r>
      <w:r w:rsidR="00DF7E21" w:rsidRPr="000A20E2">
        <w:rPr>
          <w:rFonts w:cstheme="minorHAnsi"/>
        </w:rPr>
        <w:t xml:space="preserve">the growing phenomena, </w:t>
      </w:r>
      <w:r w:rsidR="00DF7E21" w:rsidRPr="000A20E2">
        <w:rPr>
          <w:rFonts w:cstheme="minorHAnsi"/>
          <w:i/>
        </w:rPr>
        <w:t>inter alia</w:t>
      </w:r>
      <w:r w:rsidR="00DF7E21" w:rsidRPr="000A20E2">
        <w:rPr>
          <w:rFonts w:cstheme="minorHAnsi"/>
        </w:rPr>
        <w:t xml:space="preserve">, of </w:t>
      </w:r>
      <w:r w:rsidR="005C21E4" w:rsidRPr="000A20E2">
        <w:rPr>
          <w:rFonts w:cstheme="minorHAnsi"/>
        </w:rPr>
        <w:t>rising wage inequality</w:t>
      </w:r>
      <w:r w:rsidR="00DF7E21" w:rsidRPr="000A20E2">
        <w:rPr>
          <w:rFonts w:cstheme="minorHAnsi"/>
        </w:rPr>
        <w:t xml:space="preserve"> and </w:t>
      </w:r>
      <w:r w:rsidR="00A22522" w:rsidRPr="000A20E2">
        <w:rPr>
          <w:rFonts w:cstheme="minorHAnsi"/>
        </w:rPr>
        <w:t xml:space="preserve">the </w:t>
      </w:r>
      <w:r w:rsidR="00DF7E21" w:rsidRPr="000A20E2">
        <w:rPr>
          <w:rFonts w:cstheme="minorHAnsi"/>
        </w:rPr>
        <w:t>prevalence of insecure, low paid work where even collective bargaining has been reduced</w:t>
      </w:r>
      <w:r w:rsidR="0010532F" w:rsidRPr="000A20E2">
        <w:rPr>
          <w:rFonts w:cstheme="minorHAnsi"/>
        </w:rPr>
        <w:t>, some argue, to</w:t>
      </w:r>
      <w:r w:rsidR="00DF7E21" w:rsidRPr="000A20E2">
        <w:rPr>
          <w:rFonts w:cstheme="minorHAnsi"/>
        </w:rPr>
        <w:t xml:space="preserve"> ‘collective begging’.</w:t>
      </w:r>
      <w:r w:rsidR="006C1DA2">
        <w:rPr>
          <w:rStyle w:val="FootnoteReference"/>
          <w:rFonts w:cstheme="minorHAnsi"/>
        </w:rPr>
        <w:footnoteReference w:id="12"/>
      </w:r>
      <w:r w:rsidR="00DF7E21" w:rsidRPr="000A20E2">
        <w:rPr>
          <w:rFonts w:cstheme="minorHAnsi"/>
        </w:rPr>
        <w:t xml:space="preserve"> </w:t>
      </w:r>
    </w:p>
    <w:p w14:paraId="7A750B34" w14:textId="43B8E290" w:rsidR="000E3353" w:rsidRPr="000A20E2" w:rsidRDefault="00B75651" w:rsidP="000A20E2">
      <w:pPr>
        <w:spacing w:after="0" w:line="240" w:lineRule="auto"/>
        <w:ind w:firstLine="720"/>
        <w:jc w:val="both"/>
        <w:rPr>
          <w:rFonts w:cstheme="minorHAnsi"/>
        </w:rPr>
      </w:pPr>
      <w:r w:rsidRPr="000A20E2">
        <w:rPr>
          <w:rFonts w:cstheme="minorHAnsi"/>
        </w:rPr>
        <w:t>I</w:t>
      </w:r>
      <w:r w:rsidR="00B1221B" w:rsidRPr="000A20E2">
        <w:rPr>
          <w:rFonts w:cstheme="minorHAnsi"/>
        </w:rPr>
        <w:t xml:space="preserve">n this </w:t>
      </w:r>
      <w:r w:rsidR="0010532F" w:rsidRPr="000A20E2">
        <w:rPr>
          <w:rFonts w:cstheme="minorHAnsi"/>
        </w:rPr>
        <w:t xml:space="preserve">overall </w:t>
      </w:r>
      <w:r w:rsidR="00B1221B" w:rsidRPr="000A20E2">
        <w:rPr>
          <w:rFonts w:cstheme="minorHAnsi"/>
        </w:rPr>
        <w:t>context, t</w:t>
      </w:r>
      <w:r w:rsidR="008B48C4" w:rsidRPr="000A20E2">
        <w:rPr>
          <w:rFonts w:cstheme="minorHAnsi"/>
        </w:rPr>
        <w:t xml:space="preserve">his paper argues </w:t>
      </w:r>
      <w:r w:rsidR="00DF7E21" w:rsidRPr="000A20E2">
        <w:rPr>
          <w:rFonts w:cstheme="minorHAnsi"/>
        </w:rPr>
        <w:t>for a</w:t>
      </w:r>
      <w:r w:rsidR="008B48C4" w:rsidRPr="000A20E2">
        <w:rPr>
          <w:rFonts w:cstheme="minorHAnsi"/>
        </w:rPr>
        <w:t xml:space="preserve"> switch</w:t>
      </w:r>
      <w:r w:rsidR="00A165D8" w:rsidRPr="000A20E2">
        <w:rPr>
          <w:rFonts w:cstheme="minorHAnsi"/>
        </w:rPr>
        <w:t xml:space="preserve"> </w:t>
      </w:r>
      <w:r w:rsidR="00DF7E21" w:rsidRPr="000A20E2">
        <w:rPr>
          <w:rFonts w:cstheme="minorHAnsi"/>
        </w:rPr>
        <w:t xml:space="preserve">from </w:t>
      </w:r>
      <w:r w:rsidR="00A165D8" w:rsidRPr="000A20E2">
        <w:rPr>
          <w:rFonts w:cstheme="minorHAnsi"/>
        </w:rPr>
        <w:t xml:space="preserve">the </w:t>
      </w:r>
      <w:r w:rsidR="00743D10" w:rsidRPr="000A20E2">
        <w:rPr>
          <w:rFonts w:cstheme="minorHAnsi"/>
        </w:rPr>
        <w:t xml:space="preserve">present </w:t>
      </w:r>
      <w:r w:rsidR="00A165D8" w:rsidRPr="000A20E2">
        <w:rPr>
          <w:rFonts w:cstheme="minorHAnsi"/>
        </w:rPr>
        <w:t>non-union default</w:t>
      </w:r>
      <w:r w:rsidR="00743D10" w:rsidRPr="000A20E2">
        <w:rPr>
          <w:rFonts w:cstheme="minorHAnsi"/>
        </w:rPr>
        <w:t>, common across the world,</w:t>
      </w:r>
      <w:r w:rsidR="005C13E1">
        <w:rPr>
          <w:rStyle w:val="FootnoteReference"/>
          <w:rFonts w:cstheme="minorHAnsi"/>
        </w:rPr>
        <w:footnoteReference w:id="13"/>
      </w:r>
      <w:r w:rsidR="00A165D8" w:rsidRPr="000A20E2">
        <w:rPr>
          <w:rFonts w:cstheme="minorHAnsi"/>
        </w:rPr>
        <w:t xml:space="preserve"> to a union defaul</w:t>
      </w:r>
      <w:r w:rsidR="008B48C4" w:rsidRPr="000A20E2">
        <w:rPr>
          <w:rFonts w:cstheme="minorHAnsi"/>
        </w:rPr>
        <w:t>t</w:t>
      </w:r>
      <w:r w:rsidR="00A165D8" w:rsidRPr="000A20E2">
        <w:rPr>
          <w:rFonts w:cstheme="minorHAnsi"/>
        </w:rPr>
        <w:t>.</w:t>
      </w:r>
      <w:r w:rsidR="002821F0" w:rsidRPr="000A20E2">
        <w:rPr>
          <w:rFonts w:cstheme="minorHAnsi"/>
        </w:rPr>
        <w:t xml:space="preserve"> </w:t>
      </w:r>
      <w:r w:rsidR="00743D10" w:rsidRPr="000A20E2">
        <w:rPr>
          <w:rFonts w:cstheme="minorHAnsi"/>
        </w:rPr>
        <w:t>With a non-union default</w:t>
      </w:r>
      <w:r w:rsidR="007134A8" w:rsidRPr="000A20E2">
        <w:rPr>
          <w:rFonts w:cstheme="minorHAnsi"/>
        </w:rPr>
        <w:t xml:space="preserve"> s</w:t>
      </w:r>
      <w:r w:rsidR="009A6F89" w:rsidRPr="000A20E2">
        <w:rPr>
          <w:rFonts w:cstheme="minorHAnsi"/>
        </w:rPr>
        <w:t>etting</w:t>
      </w:r>
      <w:r w:rsidR="00743D10" w:rsidRPr="000A20E2">
        <w:rPr>
          <w:rFonts w:cstheme="minorHAnsi"/>
        </w:rPr>
        <w:t>, workers are defaulted to non-union status, irrespective of whether they have chosen this.</w:t>
      </w:r>
      <w:r w:rsidR="005A77B4" w:rsidRPr="000A20E2">
        <w:rPr>
          <w:rFonts w:cstheme="minorHAnsi"/>
        </w:rPr>
        <w:t xml:space="preserve"> </w:t>
      </w:r>
      <w:r w:rsidR="007134A8" w:rsidRPr="000A20E2">
        <w:rPr>
          <w:rFonts w:cstheme="minorHAnsi"/>
        </w:rPr>
        <w:t xml:space="preserve">They then have to take the positive, pro-active step to seek and gain union membership. </w:t>
      </w:r>
      <w:r w:rsidR="00257192" w:rsidRPr="000A20E2">
        <w:rPr>
          <w:rFonts w:cstheme="minorHAnsi"/>
        </w:rPr>
        <w:t>The</w:t>
      </w:r>
      <w:r w:rsidR="00743D10" w:rsidRPr="000A20E2">
        <w:rPr>
          <w:rFonts w:cstheme="minorHAnsi"/>
        </w:rPr>
        <w:t xml:space="preserve"> proposal</w:t>
      </w:r>
      <w:r w:rsidR="00257192" w:rsidRPr="000A20E2">
        <w:rPr>
          <w:rFonts w:cstheme="minorHAnsi"/>
        </w:rPr>
        <w:t xml:space="preserve"> </w:t>
      </w:r>
      <w:r w:rsidR="00743D10" w:rsidRPr="000A20E2">
        <w:rPr>
          <w:rFonts w:cstheme="minorHAnsi"/>
        </w:rPr>
        <w:t xml:space="preserve">to adopt a union default </w:t>
      </w:r>
      <w:r w:rsidR="009A6F89" w:rsidRPr="000A20E2">
        <w:rPr>
          <w:rFonts w:cstheme="minorHAnsi"/>
        </w:rPr>
        <w:t xml:space="preserve">setting </w:t>
      </w:r>
      <w:r w:rsidR="00743D10" w:rsidRPr="000A20E2">
        <w:rPr>
          <w:rFonts w:cstheme="minorHAnsi"/>
        </w:rPr>
        <w:t>would do the opposite</w:t>
      </w:r>
      <w:r w:rsidR="002632FA" w:rsidRPr="000A20E2">
        <w:rPr>
          <w:rFonts w:cstheme="minorHAnsi"/>
        </w:rPr>
        <w:t xml:space="preserve">. Our analysis suggests applying a union default setting would increase union </w:t>
      </w:r>
      <w:r w:rsidR="000E3353" w:rsidRPr="000A20E2">
        <w:rPr>
          <w:rFonts w:cstheme="minorHAnsi"/>
        </w:rPr>
        <w:t xml:space="preserve">membership while simultaneously </w:t>
      </w:r>
      <w:r w:rsidR="002632FA" w:rsidRPr="000A20E2">
        <w:rPr>
          <w:rFonts w:cstheme="minorHAnsi"/>
        </w:rPr>
        <w:t xml:space="preserve">improving workers’ freedom to associate and respecting their freedom </w:t>
      </w:r>
      <w:r w:rsidR="002632FA" w:rsidRPr="000A20E2">
        <w:rPr>
          <w:rFonts w:cstheme="minorHAnsi"/>
          <w:i/>
          <w:iCs/>
        </w:rPr>
        <w:t>not</w:t>
      </w:r>
      <w:r w:rsidR="002632FA" w:rsidRPr="000A20E2">
        <w:rPr>
          <w:rFonts w:cstheme="minorHAnsi"/>
        </w:rPr>
        <w:t xml:space="preserve"> to associate with a union. </w:t>
      </w:r>
      <w:r w:rsidR="000E3353" w:rsidRPr="000A20E2">
        <w:rPr>
          <w:rFonts w:cstheme="minorHAnsi"/>
        </w:rPr>
        <w:t>It would also provide the basis for unions to be more effective and avoid the primary problems associated with pre- and post-entry closed shops, namely, employment (commencement or continuance) being dependent upon membership and</w:t>
      </w:r>
      <w:r w:rsidR="001A4B34" w:rsidRPr="000A20E2">
        <w:rPr>
          <w:rFonts w:cstheme="minorHAnsi"/>
        </w:rPr>
        <w:t xml:space="preserve"> employers having scope to choose an amenable union as the </w:t>
      </w:r>
      <w:r w:rsidR="000E3353" w:rsidRPr="000A20E2">
        <w:rPr>
          <w:rFonts w:cstheme="minorHAnsi"/>
        </w:rPr>
        <w:t xml:space="preserve">agreements </w:t>
      </w:r>
      <w:r w:rsidR="001A4B34" w:rsidRPr="000A20E2">
        <w:rPr>
          <w:rFonts w:cstheme="minorHAnsi"/>
        </w:rPr>
        <w:t xml:space="preserve">are voluntary ones </w:t>
      </w:r>
      <w:r w:rsidR="000E3353" w:rsidRPr="000A20E2">
        <w:rPr>
          <w:rFonts w:cstheme="minorHAnsi"/>
        </w:rPr>
        <w:t>between employers and unions</w:t>
      </w:r>
      <w:r w:rsidR="001A4B34" w:rsidRPr="000A20E2">
        <w:rPr>
          <w:rFonts w:cstheme="minorHAnsi"/>
        </w:rPr>
        <w:t>.</w:t>
      </w:r>
    </w:p>
    <w:p w14:paraId="4C37C74B" w14:textId="1A4430A9" w:rsidR="003D7359" w:rsidRPr="000A20E2" w:rsidRDefault="002632FA" w:rsidP="000A20E2">
      <w:pPr>
        <w:spacing w:after="0" w:line="240" w:lineRule="auto"/>
        <w:ind w:firstLine="720"/>
        <w:jc w:val="both"/>
        <w:rPr>
          <w:rFonts w:cstheme="minorHAnsi"/>
        </w:rPr>
      </w:pPr>
      <w:r w:rsidRPr="000A20E2">
        <w:rPr>
          <w:rFonts w:cstheme="minorHAnsi"/>
        </w:rPr>
        <w:t>The union default proposal</w:t>
      </w:r>
      <w:r w:rsidR="008D330F" w:rsidRPr="000A20E2">
        <w:rPr>
          <w:rFonts w:cstheme="minorHAnsi"/>
        </w:rPr>
        <w:t xml:space="preserve"> </w:t>
      </w:r>
      <w:r w:rsidR="007134A8" w:rsidRPr="000A20E2">
        <w:rPr>
          <w:rFonts w:cstheme="minorHAnsi"/>
        </w:rPr>
        <w:t>respond</w:t>
      </w:r>
      <w:r w:rsidRPr="000A20E2">
        <w:rPr>
          <w:rFonts w:cstheme="minorHAnsi"/>
        </w:rPr>
        <w:t>s</w:t>
      </w:r>
      <w:r w:rsidR="007134A8" w:rsidRPr="000A20E2">
        <w:rPr>
          <w:rFonts w:cstheme="minorHAnsi"/>
        </w:rPr>
        <w:t xml:space="preserve"> to </w:t>
      </w:r>
      <w:r w:rsidR="00A165D8" w:rsidRPr="000A20E2">
        <w:rPr>
          <w:rFonts w:cstheme="minorHAnsi"/>
        </w:rPr>
        <w:t>the</w:t>
      </w:r>
      <w:r w:rsidR="008D330F" w:rsidRPr="000A20E2">
        <w:rPr>
          <w:rFonts w:cstheme="minorHAnsi"/>
        </w:rPr>
        <w:t xml:space="preserve"> </w:t>
      </w:r>
      <w:r w:rsidR="007134A8" w:rsidRPr="000A20E2">
        <w:rPr>
          <w:rFonts w:cstheme="minorHAnsi"/>
        </w:rPr>
        <w:t xml:space="preserve">manifest </w:t>
      </w:r>
      <w:r w:rsidR="00A165D8" w:rsidRPr="000A20E2">
        <w:rPr>
          <w:rFonts w:cstheme="minorHAnsi"/>
        </w:rPr>
        <w:t>realit</w:t>
      </w:r>
      <w:r w:rsidR="007134A8" w:rsidRPr="000A20E2">
        <w:rPr>
          <w:rFonts w:cstheme="minorHAnsi"/>
        </w:rPr>
        <w:t>y</w:t>
      </w:r>
      <w:r w:rsidR="00A165D8" w:rsidRPr="000A20E2">
        <w:rPr>
          <w:rFonts w:cstheme="minorHAnsi"/>
        </w:rPr>
        <w:t xml:space="preserve"> of </w:t>
      </w:r>
      <w:r w:rsidR="00AD16BC" w:rsidRPr="000A20E2">
        <w:rPr>
          <w:rFonts w:cstheme="minorHAnsi"/>
        </w:rPr>
        <w:t xml:space="preserve">declining union membership within an environment of </w:t>
      </w:r>
      <w:r w:rsidR="00A165D8" w:rsidRPr="000A20E2">
        <w:rPr>
          <w:rFonts w:cstheme="minorHAnsi"/>
        </w:rPr>
        <w:t>voluntary unionism and the end</w:t>
      </w:r>
      <w:r w:rsidR="008F7ABB" w:rsidRPr="000A20E2">
        <w:rPr>
          <w:rFonts w:cstheme="minorHAnsi"/>
        </w:rPr>
        <w:t>ing</w:t>
      </w:r>
      <w:r w:rsidR="00A165D8" w:rsidRPr="000A20E2">
        <w:rPr>
          <w:rFonts w:cstheme="minorHAnsi"/>
        </w:rPr>
        <w:t xml:space="preserve"> </w:t>
      </w:r>
      <w:r w:rsidR="001B2CFD" w:rsidRPr="000A20E2">
        <w:rPr>
          <w:rFonts w:cstheme="minorHAnsi"/>
        </w:rPr>
        <w:t xml:space="preserve">of </w:t>
      </w:r>
      <w:r w:rsidR="008F7ABB" w:rsidRPr="000A20E2">
        <w:rPr>
          <w:rFonts w:cstheme="minorHAnsi"/>
        </w:rPr>
        <w:t xml:space="preserve">any </w:t>
      </w:r>
      <w:r w:rsidR="001B2CFD" w:rsidRPr="000A20E2">
        <w:rPr>
          <w:rFonts w:cstheme="minorHAnsi"/>
        </w:rPr>
        <w:t>compu</w:t>
      </w:r>
      <w:r w:rsidR="00964DB3" w:rsidRPr="000A20E2">
        <w:rPr>
          <w:rFonts w:cstheme="minorHAnsi"/>
        </w:rPr>
        <w:t xml:space="preserve">lsion </w:t>
      </w:r>
      <w:r w:rsidR="008F7ABB" w:rsidRPr="000A20E2">
        <w:rPr>
          <w:rFonts w:cstheme="minorHAnsi"/>
        </w:rPr>
        <w:t xml:space="preserve">(see later) </w:t>
      </w:r>
      <w:r w:rsidR="00A165D8" w:rsidRPr="000A20E2">
        <w:rPr>
          <w:rFonts w:cstheme="minorHAnsi"/>
        </w:rPr>
        <w:t>in the c</w:t>
      </w:r>
      <w:r w:rsidR="003D7359" w:rsidRPr="000A20E2">
        <w:rPr>
          <w:rFonts w:cstheme="minorHAnsi"/>
        </w:rPr>
        <w:t xml:space="preserve">ontemporary </w:t>
      </w:r>
      <w:r w:rsidR="007134A8" w:rsidRPr="000A20E2">
        <w:rPr>
          <w:rFonts w:cstheme="minorHAnsi"/>
        </w:rPr>
        <w:t xml:space="preserve">legal and </w:t>
      </w:r>
      <w:r w:rsidR="00A165D8" w:rsidRPr="000A20E2">
        <w:rPr>
          <w:rFonts w:cstheme="minorHAnsi"/>
        </w:rPr>
        <w:t xml:space="preserve">political </w:t>
      </w:r>
      <w:r w:rsidR="00AD16BC" w:rsidRPr="000A20E2">
        <w:rPr>
          <w:rFonts w:cstheme="minorHAnsi"/>
        </w:rPr>
        <w:t xml:space="preserve">context </w:t>
      </w:r>
      <w:r w:rsidR="007134A8" w:rsidRPr="000A20E2">
        <w:rPr>
          <w:rFonts w:cstheme="minorHAnsi"/>
        </w:rPr>
        <w:t xml:space="preserve">where neo-liberalism has </w:t>
      </w:r>
      <w:r w:rsidR="000E7044" w:rsidRPr="000A20E2">
        <w:rPr>
          <w:rFonts w:cstheme="minorHAnsi"/>
        </w:rPr>
        <w:t xml:space="preserve">now </w:t>
      </w:r>
      <w:r w:rsidR="007134A8" w:rsidRPr="000A20E2">
        <w:rPr>
          <w:rFonts w:cstheme="minorHAnsi"/>
        </w:rPr>
        <w:t xml:space="preserve">ideological ascendancy and social democracy </w:t>
      </w:r>
      <w:r w:rsidR="000E7044" w:rsidRPr="000A20E2">
        <w:rPr>
          <w:rFonts w:cstheme="minorHAnsi"/>
        </w:rPr>
        <w:t xml:space="preserve">(which encouraged union membership through policy and law) </w:t>
      </w:r>
      <w:r w:rsidR="000B05C2" w:rsidRPr="000A20E2">
        <w:rPr>
          <w:rFonts w:cstheme="minorHAnsi"/>
        </w:rPr>
        <w:t xml:space="preserve">has </w:t>
      </w:r>
      <w:r w:rsidR="007134A8" w:rsidRPr="000A20E2">
        <w:rPr>
          <w:rFonts w:cstheme="minorHAnsi"/>
        </w:rPr>
        <w:t xml:space="preserve">largely </w:t>
      </w:r>
      <w:r w:rsidR="003D7359" w:rsidRPr="000A20E2">
        <w:rPr>
          <w:rFonts w:cstheme="minorHAnsi"/>
        </w:rPr>
        <w:t xml:space="preserve">been </w:t>
      </w:r>
      <w:r w:rsidR="007134A8" w:rsidRPr="000A20E2">
        <w:rPr>
          <w:rFonts w:cstheme="minorHAnsi"/>
        </w:rPr>
        <w:t xml:space="preserve">extinguished as a governing political ideology. In train with, and as part of, the ascendancy of neo-liberalism, the practices of a </w:t>
      </w:r>
      <w:proofErr w:type="spellStart"/>
      <w:r w:rsidR="007134A8" w:rsidRPr="000A20E2">
        <w:rPr>
          <w:rFonts w:cstheme="minorHAnsi"/>
        </w:rPr>
        <w:t>unitarist</w:t>
      </w:r>
      <w:proofErr w:type="spellEnd"/>
      <w:r w:rsidR="007134A8" w:rsidRPr="000A20E2">
        <w:rPr>
          <w:rFonts w:cstheme="minorHAnsi"/>
        </w:rPr>
        <w:t xml:space="preserve">-inclined </w:t>
      </w:r>
      <w:r w:rsidR="003D7359" w:rsidRPr="000A20E2">
        <w:rPr>
          <w:rFonts w:cstheme="minorHAnsi"/>
        </w:rPr>
        <w:t>HRM</w:t>
      </w:r>
      <w:r w:rsidR="007134A8" w:rsidRPr="000A20E2">
        <w:rPr>
          <w:rFonts w:cstheme="minorHAnsi"/>
        </w:rPr>
        <w:t xml:space="preserve"> in the workplace have become dominant, supplanting pluralist approaches where unions </w:t>
      </w:r>
      <w:r w:rsidR="003D7359" w:rsidRPr="000A20E2">
        <w:rPr>
          <w:rFonts w:cstheme="minorHAnsi"/>
        </w:rPr>
        <w:t>we</w:t>
      </w:r>
      <w:r w:rsidR="007134A8" w:rsidRPr="000A20E2">
        <w:rPr>
          <w:rFonts w:cstheme="minorHAnsi"/>
        </w:rPr>
        <w:t xml:space="preserve">re </w:t>
      </w:r>
      <w:r w:rsidR="000B05C2" w:rsidRPr="000A20E2">
        <w:rPr>
          <w:rFonts w:cstheme="minorHAnsi"/>
        </w:rPr>
        <w:t xml:space="preserve">formerly </w:t>
      </w:r>
      <w:r w:rsidR="007134A8" w:rsidRPr="000A20E2">
        <w:rPr>
          <w:rFonts w:cstheme="minorHAnsi"/>
        </w:rPr>
        <w:t>key player</w:t>
      </w:r>
      <w:r w:rsidR="00ED66F2" w:rsidRPr="000A20E2">
        <w:rPr>
          <w:rFonts w:cstheme="minorHAnsi"/>
        </w:rPr>
        <w:t>s</w:t>
      </w:r>
      <w:r w:rsidR="007134A8" w:rsidRPr="000A20E2">
        <w:rPr>
          <w:rFonts w:cstheme="minorHAnsi"/>
        </w:rPr>
        <w:t>.</w:t>
      </w:r>
      <w:r w:rsidR="008D330F" w:rsidRPr="000A20E2">
        <w:rPr>
          <w:rFonts w:cstheme="minorHAnsi"/>
        </w:rPr>
        <w:t xml:space="preserve"> </w:t>
      </w:r>
      <w:r w:rsidR="00AD16BC" w:rsidRPr="000A20E2">
        <w:rPr>
          <w:rFonts w:cstheme="minorHAnsi"/>
        </w:rPr>
        <w:t xml:space="preserve">Strengthening union membership provides the basis for </w:t>
      </w:r>
      <w:r w:rsidR="000E7044" w:rsidRPr="000A20E2">
        <w:rPr>
          <w:rFonts w:cstheme="minorHAnsi"/>
        </w:rPr>
        <w:t>augment</w:t>
      </w:r>
      <w:r w:rsidR="00AD16BC" w:rsidRPr="000A20E2">
        <w:rPr>
          <w:rFonts w:cstheme="minorHAnsi"/>
        </w:rPr>
        <w:t xml:space="preserve">ing </w:t>
      </w:r>
      <w:r w:rsidR="000E7044" w:rsidRPr="000A20E2">
        <w:rPr>
          <w:rFonts w:cstheme="minorHAnsi"/>
        </w:rPr>
        <w:t xml:space="preserve">currently atrophied </w:t>
      </w:r>
      <w:r w:rsidR="00AD16BC" w:rsidRPr="000A20E2">
        <w:rPr>
          <w:rFonts w:cstheme="minorHAnsi"/>
        </w:rPr>
        <w:t xml:space="preserve">worker voice in terms of </w:t>
      </w:r>
      <w:r w:rsidR="001A4B34" w:rsidRPr="000A20E2">
        <w:rPr>
          <w:rFonts w:cstheme="minorHAnsi"/>
        </w:rPr>
        <w:t xml:space="preserve">both </w:t>
      </w:r>
      <w:r w:rsidR="00AD16BC" w:rsidRPr="000A20E2">
        <w:rPr>
          <w:rFonts w:cstheme="minorHAnsi"/>
        </w:rPr>
        <w:t xml:space="preserve">‘vested interest’ </w:t>
      </w:r>
      <w:r w:rsidR="001A4B34" w:rsidRPr="000A20E2">
        <w:rPr>
          <w:rFonts w:cstheme="minorHAnsi"/>
        </w:rPr>
        <w:t xml:space="preserve">and </w:t>
      </w:r>
      <w:r w:rsidR="00AD16BC" w:rsidRPr="000A20E2">
        <w:rPr>
          <w:rFonts w:cstheme="minorHAnsi"/>
        </w:rPr>
        <w:t>the ‘sword of justice’.</w:t>
      </w:r>
      <w:r w:rsidR="00A2108D">
        <w:rPr>
          <w:rStyle w:val="FootnoteReference"/>
          <w:rFonts w:cstheme="minorHAnsi"/>
        </w:rPr>
        <w:footnoteReference w:id="14"/>
      </w:r>
      <w:r w:rsidR="008D330F" w:rsidRPr="000A20E2">
        <w:rPr>
          <w:rFonts w:cstheme="minorHAnsi"/>
        </w:rPr>
        <w:t xml:space="preserve"> </w:t>
      </w:r>
      <w:r w:rsidR="001F6003" w:rsidRPr="000A20E2">
        <w:rPr>
          <w:rFonts w:cstheme="minorHAnsi"/>
        </w:rPr>
        <w:t xml:space="preserve">At its core, the </w:t>
      </w:r>
      <w:r w:rsidR="003D7359" w:rsidRPr="000A20E2">
        <w:rPr>
          <w:rFonts w:cstheme="minorHAnsi"/>
        </w:rPr>
        <w:t xml:space="preserve">union default </w:t>
      </w:r>
      <w:r w:rsidR="001F6003" w:rsidRPr="000A20E2">
        <w:rPr>
          <w:rFonts w:cstheme="minorHAnsi"/>
        </w:rPr>
        <w:t xml:space="preserve">recognises the increasingly unequal nature of the balance of power between capital and labour </w:t>
      </w:r>
      <w:r w:rsidR="008C1C0C" w:rsidRPr="000A20E2">
        <w:rPr>
          <w:rFonts w:cstheme="minorHAnsi"/>
        </w:rPr>
        <w:t xml:space="preserve">in the neo-liberal era </w:t>
      </w:r>
      <w:r w:rsidR="001F6003" w:rsidRPr="000A20E2">
        <w:rPr>
          <w:rFonts w:cstheme="minorHAnsi"/>
        </w:rPr>
        <w:t>and the role of the state</w:t>
      </w:r>
      <w:r w:rsidR="008C1C0C" w:rsidRPr="000A20E2">
        <w:rPr>
          <w:rFonts w:cstheme="minorHAnsi"/>
        </w:rPr>
        <w:t>, whether in liberal market economies or coordinated market economies</w:t>
      </w:r>
      <w:r w:rsidR="000B05C2" w:rsidRPr="000A20E2">
        <w:rPr>
          <w:rFonts w:cstheme="minorHAnsi"/>
        </w:rPr>
        <w:t>,</w:t>
      </w:r>
      <w:r w:rsidR="001F6003" w:rsidRPr="000A20E2">
        <w:rPr>
          <w:rFonts w:cstheme="minorHAnsi"/>
        </w:rPr>
        <w:t xml:space="preserve"> in facilitating this </w:t>
      </w:r>
      <w:r w:rsidR="00AD16BC" w:rsidRPr="000A20E2">
        <w:rPr>
          <w:rFonts w:cstheme="minorHAnsi"/>
        </w:rPr>
        <w:t xml:space="preserve">inequality </w:t>
      </w:r>
      <w:r w:rsidR="001F6003" w:rsidRPr="000A20E2">
        <w:rPr>
          <w:rFonts w:cstheme="minorHAnsi"/>
        </w:rPr>
        <w:t xml:space="preserve">through strategies of labour market deregulation. </w:t>
      </w:r>
      <w:r w:rsidR="003D7359" w:rsidRPr="000A20E2">
        <w:rPr>
          <w:rFonts w:cstheme="minorHAnsi"/>
        </w:rPr>
        <w:t xml:space="preserve">The union default can </w:t>
      </w:r>
      <w:r w:rsidR="001F6003" w:rsidRPr="000A20E2">
        <w:rPr>
          <w:rFonts w:cstheme="minorHAnsi"/>
        </w:rPr>
        <w:t xml:space="preserve">help redraw this power imbalance back in favour of labour, using the state. </w:t>
      </w:r>
    </w:p>
    <w:p w14:paraId="12E55D4B" w14:textId="245161C6" w:rsidR="006D7B2F" w:rsidRPr="000A20E2" w:rsidRDefault="003D7359" w:rsidP="000A20E2">
      <w:pPr>
        <w:spacing w:after="0" w:line="240" w:lineRule="auto"/>
        <w:ind w:firstLine="720"/>
        <w:jc w:val="both"/>
        <w:rPr>
          <w:rFonts w:cstheme="minorHAnsi"/>
        </w:rPr>
      </w:pPr>
      <w:r w:rsidRPr="000A20E2">
        <w:rPr>
          <w:rFonts w:cstheme="minorHAnsi"/>
        </w:rPr>
        <w:t>T</w:t>
      </w:r>
      <w:r w:rsidR="008B48C4" w:rsidRPr="000A20E2">
        <w:rPr>
          <w:rFonts w:cstheme="minorHAnsi"/>
        </w:rPr>
        <w:t>he paper proceeds as follows: first</w:t>
      </w:r>
      <w:r w:rsidR="001B2CFD" w:rsidRPr="000A20E2">
        <w:rPr>
          <w:rFonts w:cstheme="minorHAnsi"/>
        </w:rPr>
        <w:t xml:space="preserve">, </w:t>
      </w:r>
      <w:r w:rsidR="0045717F" w:rsidRPr="000A20E2">
        <w:rPr>
          <w:rFonts w:cstheme="minorHAnsi"/>
        </w:rPr>
        <w:t>the factors explaining current non-union membership are examined</w:t>
      </w:r>
      <w:r w:rsidR="002632FA" w:rsidRPr="000A20E2">
        <w:rPr>
          <w:rFonts w:cstheme="minorHAnsi"/>
        </w:rPr>
        <w:t>;</w:t>
      </w:r>
      <w:r w:rsidR="00C90D58" w:rsidRPr="000A20E2">
        <w:rPr>
          <w:rFonts w:cstheme="minorHAnsi"/>
        </w:rPr>
        <w:t xml:space="preserve"> </w:t>
      </w:r>
      <w:r w:rsidR="0045717F" w:rsidRPr="000A20E2">
        <w:rPr>
          <w:rFonts w:cstheme="minorHAnsi"/>
        </w:rPr>
        <w:t>second</w:t>
      </w:r>
      <w:r w:rsidRPr="000A20E2">
        <w:rPr>
          <w:rFonts w:cstheme="minorHAnsi"/>
        </w:rPr>
        <w:t>,</w:t>
      </w:r>
      <w:r w:rsidR="0045717F" w:rsidRPr="000A20E2">
        <w:rPr>
          <w:rFonts w:cstheme="minorHAnsi"/>
        </w:rPr>
        <w:t xml:space="preserve"> </w:t>
      </w:r>
      <w:r w:rsidR="008B48C4" w:rsidRPr="000A20E2">
        <w:rPr>
          <w:rFonts w:cstheme="minorHAnsi"/>
        </w:rPr>
        <w:t>the nature of defaults</w:t>
      </w:r>
      <w:r w:rsidR="0025101A" w:rsidRPr="000A20E2">
        <w:rPr>
          <w:rFonts w:cstheme="minorHAnsi"/>
        </w:rPr>
        <w:t>,</w:t>
      </w:r>
      <w:r w:rsidR="008B48C4" w:rsidRPr="000A20E2">
        <w:rPr>
          <w:rFonts w:cstheme="minorHAnsi"/>
        </w:rPr>
        <w:t xml:space="preserve"> </w:t>
      </w:r>
      <w:r w:rsidR="001B2CFD" w:rsidRPr="000A20E2">
        <w:rPr>
          <w:rFonts w:cstheme="minorHAnsi"/>
        </w:rPr>
        <w:t>including the non-union default</w:t>
      </w:r>
      <w:r w:rsidR="0025101A" w:rsidRPr="000A20E2">
        <w:rPr>
          <w:rFonts w:cstheme="minorHAnsi"/>
        </w:rPr>
        <w:t>,</w:t>
      </w:r>
      <w:r w:rsidR="001B2CFD" w:rsidRPr="000A20E2">
        <w:rPr>
          <w:rFonts w:cstheme="minorHAnsi"/>
        </w:rPr>
        <w:t xml:space="preserve"> </w:t>
      </w:r>
      <w:r w:rsidR="008B48C4" w:rsidRPr="000A20E2">
        <w:rPr>
          <w:rFonts w:cstheme="minorHAnsi"/>
        </w:rPr>
        <w:t>is outlined</w:t>
      </w:r>
      <w:r w:rsidR="002632FA" w:rsidRPr="000A20E2">
        <w:rPr>
          <w:rFonts w:cstheme="minorHAnsi"/>
        </w:rPr>
        <w:t>;</w:t>
      </w:r>
      <w:r w:rsidR="00C90D58" w:rsidRPr="000A20E2">
        <w:rPr>
          <w:rFonts w:cstheme="minorHAnsi"/>
        </w:rPr>
        <w:t xml:space="preserve"> </w:t>
      </w:r>
      <w:r w:rsidR="001B2CFD" w:rsidRPr="000A20E2">
        <w:rPr>
          <w:rFonts w:cstheme="minorHAnsi"/>
        </w:rPr>
        <w:t xml:space="preserve">next, </w:t>
      </w:r>
      <w:r w:rsidR="000D4D23" w:rsidRPr="000A20E2">
        <w:rPr>
          <w:rFonts w:cstheme="minorHAnsi"/>
        </w:rPr>
        <w:t xml:space="preserve">the </w:t>
      </w:r>
      <w:r w:rsidR="001B2CFD" w:rsidRPr="000A20E2">
        <w:rPr>
          <w:rFonts w:cstheme="minorHAnsi"/>
        </w:rPr>
        <w:t xml:space="preserve">empirical effects of </w:t>
      </w:r>
      <w:r w:rsidR="006F66B1" w:rsidRPr="000A20E2">
        <w:rPr>
          <w:rFonts w:cstheme="minorHAnsi"/>
        </w:rPr>
        <w:t>defaults</w:t>
      </w:r>
      <w:r w:rsidR="001B2CFD" w:rsidRPr="000A20E2">
        <w:rPr>
          <w:rFonts w:cstheme="minorHAnsi"/>
        </w:rPr>
        <w:t xml:space="preserve"> are </w:t>
      </w:r>
      <w:r w:rsidR="000D4D23" w:rsidRPr="000A20E2">
        <w:rPr>
          <w:rFonts w:cstheme="minorHAnsi"/>
        </w:rPr>
        <w:t>discussed</w:t>
      </w:r>
      <w:r w:rsidR="001B2CFD" w:rsidRPr="000A20E2">
        <w:rPr>
          <w:rFonts w:cstheme="minorHAnsi"/>
        </w:rPr>
        <w:t>.</w:t>
      </w:r>
      <w:r w:rsidR="005A77B4" w:rsidRPr="000A20E2">
        <w:rPr>
          <w:rFonts w:cstheme="minorHAnsi"/>
        </w:rPr>
        <w:t xml:space="preserve"> </w:t>
      </w:r>
      <w:r w:rsidR="002632FA" w:rsidRPr="000A20E2">
        <w:rPr>
          <w:rFonts w:cstheme="minorHAnsi"/>
        </w:rPr>
        <w:t>Then</w:t>
      </w:r>
      <w:r w:rsidR="008D330F" w:rsidRPr="000A20E2">
        <w:rPr>
          <w:rFonts w:cstheme="minorHAnsi"/>
        </w:rPr>
        <w:t xml:space="preserve"> </w:t>
      </w:r>
      <w:r w:rsidR="001B2CFD" w:rsidRPr="000A20E2">
        <w:rPr>
          <w:rFonts w:cstheme="minorHAnsi"/>
        </w:rPr>
        <w:t>two types of explanati</w:t>
      </w:r>
      <w:r w:rsidR="0025101A" w:rsidRPr="000A20E2">
        <w:rPr>
          <w:rFonts w:cstheme="minorHAnsi"/>
        </w:rPr>
        <w:t>on of these effects are discuss</w:t>
      </w:r>
      <w:r w:rsidR="001B2CFD" w:rsidRPr="000A20E2">
        <w:rPr>
          <w:rFonts w:cstheme="minorHAnsi"/>
        </w:rPr>
        <w:t>ed: those of ‘rational choice’ models and those of behavioural eco</w:t>
      </w:r>
      <w:r w:rsidR="0025101A" w:rsidRPr="000A20E2">
        <w:rPr>
          <w:rFonts w:cstheme="minorHAnsi"/>
        </w:rPr>
        <w:t>nomics.</w:t>
      </w:r>
      <w:r w:rsidR="005A77B4" w:rsidRPr="000A20E2">
        <w:rPr>
          <w:rFonts w:cstheme="minorHAnsi"/>
        </w:rPr>
        <w:t xml:space="preserve"> </w:t>
      </w:r>
      <w:r w:rsidR="002632FA" w:rsidRPr="000A20E2">
        <w:rPr>
          <w:rFonts w:cstheme="minorHAnsi"/>
        </w:rPr>
        <w:t>Thereafter</w:t>
      </w:r>
      <w:r w:rsidR="0025101A" w:rsidRPr="000A20E2">
        <w:rPr>
          <w:rFonts w:cstheme="minorHAnsi"/>
        </w:rPr>
        <w:t xml:space="preserve">, </w:t>
      </w:r>
      <w:r w:rsidR="007134A8" w:rsidRPr="000A20E2">
        <w:rPr>
          <w:rFonts w:cstheme="minorHAnsi"/>
        </w:rPr>
        <w:t xml:space="preserve">the paper </w:t>
      </w:r>
      <w:r w:rsidR="001B2CFD" w:rsidRPr="000A20E2">
        <w:rPr>
          <w:rFonts w:cstheme="minorHAnsi"/>
        </w:rPr>
        <w:t>discuss</w:t>
      </w:r>
      <w:r w:rsidR="0045717F" w:rsidRPr="000A20E2">
        <w:rPr>
          <w:rFonts w:cstheme="minorHAnsi"/>
        </w:rPr>
        <w:t>es</w:t>
      </w:r>
      <w:r w:rsidR="001B2CFD" w:rsidRPr="000A20E2">
        <w:rPr>
          <w:rFonts w:cstheme="minorHAnsi"/>
        </w:rPr>
        <w:t xml:space="preserve"> the likely negative membership effects of the non-union default, contrasting these with the possible </w:t>
      </w:r>
      <w:r w:rsidR="000D4D23" w:rsidRPr="000A20E2">
        <w:rPr>
          <w:rFonts w:cstheme="minorHAnsi"/>
        </w:rPr>
        <w:t>positive effects on membership</w:t>
      </w:r>
      <w:r w:rsidR="001B2CFD" w:rsidRPr="000A20E2">
        <w:rPr>
          <w:rFonts w:cstheme="minorHAnsi"/>
        </w:rPr>
        <w:t xml:space="preserve"> of </w:t>
      </w:r>
      <w:r w:rsidR="0066286C" w:rsidRPr="000A20E2">
        <w:rPr>
          <w:rFonts w:cstheme="minorHAnsi"/>
        </w:rPr>
        <w:t>a proposed union</w:t>
      </w:r>
      <w:r w:rsidR="001B2CFD" w:rsidRPr="000A20E2">
        <w:rPr>
          <w:rFonts w:cstheme="minorHAnsi"/>
        </w:rPr>
        <w:t xml:space="preserve"> default.</w:t>
      </w:r>
      <w:r w:rsidR="005A77B4" w:rsidRPr="000A20E2">
        <w:rPr>
          <w:rFonts w:cstheme="minorHAnsi"/>
        </w:rPr>
        <w:t xml:space="preserve"> </w:t>
      </w:r>
      <w:r w:rsidR="002632FA" w:rsidRPr="000A20E2">
        <w:rPr>
          <w:rFonts w:cstheme="minorHAnsi"/>
        </w:rPr>
        <w:t xml:space="preserve">We then </w:t>
      </w:r>
      <w:r w:rsidR="000B05C2" w:rsidRPr="000A20E2">
        <w:rPr>
          <w:rFonts w:cstheme="minorHAnsi"/>
        </w:rPr>
        <w:t>consider why a union default would be better. Pen</w:t>
      </w:r>
      <w:r w:rsidR="00A2108D">
        <w:rPr>
          <w:rFonts w:cstheme="minorHAnsi"/>
        </w:rPr>
        <w:t>-</w:t>
      </w:r>
      <w:r w:rsidR="000B05C2" w:rsidRPr="000A20E2">
        <w:rPr>
          <w:rFonts w:cstheme="minorHAnsi"/>
        </w:rPr>
        <w:t xml:space="preserve">ultimately, the paper outlines </w:t>
      </w:r>
      <w:r w:rsidR="0066286C" w:rsidRPr="000A20E2">
        <w:rPr>
          <w:rFonts w:cstheme="minorHAnsi"/>
        </w:rPr>
        <w:t>how a union default would work in practice.</w:t>
      </w:r>
      <w:r w:rsidR="0025101A" w:rsidRPr="000A20E2">
        <w:rPr>
          <w:rFonts w:cstheme="minorHAnsi"/>
        </w:rPr>
        <w:t xml:space="preserve"> </w:t>
      </w:r>
      <w:r w:rsidR="007134A8" w:rsidRPr="000A20E2">
        <w:rPr>
          <w:rFonts w:cstheme="minorHAnsi"/>
        </w:rPr>
        <w:t xml:space="preserve">It </w:t>
      </w:r>
      <w:r w:rsidR="00964DB3" w:rsidRPr="000A20E2">
        <w:rPr>
          <w:rFonts w:cstheme="minorHAnsi"/>
        </w:rPr>
        <w:t>conclude</w:t>
      </w:r>
      <w:r w:rsidR="007134A8" w:rsidRPr="000A20E2">
        <w:rPr>
          <w:rFonts w:cstheme="minorHAnsi"/>
        </w:rPr>
        <w:t>s</w:t>
      </w:r>
      <w:r w:rsidR="00964DB3" w:rsidRPr="000A20E2">
        <w:rPr>
          <w:rFonts w:cstheme="minorHAnsi"/>
        </w:rPr>
        <w:t xml:space="preserve"> by suggesting some lessons</w:t>
      </w:r>
      <w:r w:rsidR="0066286C" w:rsidRPr="000A20E2">
        <w:rPr>
          <w:rFonts w:cstheme="minorHAnsi"/>
        </w:rPr>
        <w:t xml:space="preserve"> for theory and practice</w:t>
      </w:r>
      <w:r w:rsidRPr="000A20E2">
        <w:rPr>
          <w:rFonts w:cstheme="minorHAnsi"/>
        </w:rPr>
        <w:t xml:space="preserve"> in prosecuting a union default</w:t>
      </w:r>
      <w:r w:rsidR="00964DB3" w:rsidRPr="000A20E2">
        <w:rPr>
          <w:rFonts w:cstheme="minorHAnsi"/>
        </w:rPr>
        <w:t>.</w:t>
      </w:r>
    </w:p>
    <w:p w14:paraId="0438BFF2" w14:textId="77777777" w:rsidR="00964DB3" w:rsidRPr="000A20E2" w:rsidRDefault="000F5CFA" w:rsidP="000A20E2">
      <w:pPr>
        <w:spacing w:after="0" w:line="240" w:lineRule="auto"/>
        <w:ind w:firstLine="720"/>
        <w:jc w:val="both"/>
        <w:rPr>
          <w:rFonts w:cstheme="minorHAnsi"/>
        </w:rPr>
      </w:pPr>
      <w:r w:rsidRPr="000A20E2">
        <w:rPr>
          <w:rFonts w:cstheme="minorHAnsi"/>
        </w:rPr>
        <w:t xml:space="preserve"> </w:t>
      </w:r>
    </w:p>
    <w:p w14:paraId="10285526" w14:textId="153F5DF5" w:rsidR="0045717F" w:rsidRPr="006C1DA2" w:rsidRDefault="0045717F" w:rsidP="006C1DA2">
      <w:pPr>
        <w:pStyle w:val="ListParagraph"/>
        <w:numPr>
          <w:ilvl w:val="0"/>
          <w:numId w:val="28"/>
        </w:numPr>
        <w:spacing w:after="0" w:line="240" w:lineRule="auto"/>
        <w:jc w:val="both"/>
        <w:rPr>
          <w:rFonts w:cstheme="minorHAnsi"/>
          <w:b/>
        </w:rPr>
      </w:pPr>
      <w:r w:rsidRPr="006C1DA2">
        <w:rPr>
          <w:rFonts w:cstheme="minorHAnsi"/>
          <w:b/>
        </w:rPr>
        <w:t>Non-members</w:t>
      </w:r>
      <w:r w:rsidR="00EC0B34" w:rsidRPr="006C1DA2">
        <w:rPr>
          <w:rFonts w:cstheme="minorHAnsi"/>
          <w:b/>
        </w:rPr>
        <w:t>hip</w:t>
      </w:r>
    </w:p>
    <w:p w14:paraId="6378A07E" w14:textId="77777777" w:rsidR="006C1DA2" w:rsidRDefault="006C1DA2" w:rsidP="006C1DA2">
      <w:pPr>
        <w:spacing w:after="0" w:line="240" w:lineRule="auto"/>
        <w:jc w:val="both"/>
        <w:rPr>
          <w:rFonts w:cstheme="minorHAnsi"/>
        </w:rPr>
      </w:pPr>
    </w:p>
    <w:p w14:paraId="7657490D" w14:textId="5A28EC3E" w:rsidR="00BA5064" w:rsidRPr="000A20E2" w:rsidRDefault="007402E1" w:rsidP="006C1DA2">
      <w:pPr>
        <w:spacing w:after="0" w:line="240" w:lineRule="auto"/>
        <w:jc w:val="both"/>
        <w:rPr>
          <w:rFonts w:cstheme="minorHAnsi"/>
        </w:rPr>
      </w:pPr>
      <w:r w:rsidRPr="000A20E2">
        <w:rPr>
          <w:rFonts w:cstheme="minorHAnsi"/>
        </w:rPr>
        <w:t xml:space="preserve">Amongst the </w:t>
      </w:r>
      <w:r w:rsidR="003D7359" w:rsidRPr="000A20E2">
        <w:rPr>
          <w:rFonts w:cstheme="minorHAnsi"/>
        </w:rPr>
        <w:t>many</w:t>
      </w:r>
      <w:r w:rsidRPr="000A20E2">
        <w:rPr>
          <w:rFonts w:cstheme="minorHAnsi"/>
        </w:rPr>
        <w:t xml:space="preserve"> studie</w:t>
      </w:r>
      <w:r w:rsidR="003D7359" w:rsidRPr="000A20E2">
        <w:rPr>
          <w:rFonts w:cstheme="minorHAnsi"/>
        </w:rPr>
        <w:t>s</w:t>
      </w:r>
      <w:r w:rsidRPr="000A20E2">
        <w:rPr>
          <w:rFonts w:cstheme="minorHAnsi"/>
        </w:rPr>
        <w:t xml:space="preserve"> considering why workers cease to be or never become union members are economic, social, political and ideological concerns. Some of the most obvious </w:t>
      </w:r>
      <w:r w:rsidR="00F11E24" w:rsidRPr="000A20E2">
        <w:rPr>
          <w:rFonts w:cstheme="minorHAnsi"/>
        </w:rPr>
        <w:t xml:space="preserve">factors </w:t>
      </w:r>
      <w:r w:rsidRPr="000A20E2">
        <w:rPr>
          <w:rFonts w:cstheme="minorHAnsi"/>
        </w:rPr>
        <w:t xml:space="preserve">are </w:t>
      </w:r>
      <w:r w:rsidR="00F4454B" w:rsidRPr="000A20E2">
        <w:rPr>
          <w:rFonts w:cstheme="minorHAnsi"/>
        </w:rPr>
        <w:t xml:space="preserve">the impacts of sectoral </w:t>
      </w:r>
      <w:r w:rsidR="00F11E24" w:rsidRPr="000A20E2">
        <w:rPr>
          <w:rFonts w:cstheme="minorHAnsi"/>
        </w:rPr>
        <w:t xml:space="preserve">workforce </w:t>
      </w:r>
      <w:r w:rsidR="00F4454B" w:rsidRPr="000A20E2">
        <w:rPr>
          <w:rFonts w:cstheme="minorHAnsi"/>
        </w:rPr>
        <w:t xml:space="preserve">composition, </w:t>
      </w:r>
      <w:r w:rsidRPr="000A20E2">
        <w:rPr>
          <w:rFonts w:cstheme="minorHAnsi"/>
        </w:rPr>
        <w:t xml:space="preserve">social background, parental </w:t>
      </w:r>
      <w:r w:rsidR="009620AA" w:rsidRPr="000A20E2">
        <w:rPr>
          <w:rFonts w:cstheme="minorHAnsi"/>
        </w:rPr>
        <w:t xml:space="preserve">and peer </w:t>
      </w:r>
      <w:r w:rsidRPr="000A20E2">
        <w:rPr>
          <w:rFonts w:cstheme="minorHAnsi"/>
        </w:rPr>
        <w:t>influence, demographic characteristics</w:t>
      </w:r>
      <w:r w:rsidR="009620AA" w:rsidRPr="000A20E2">
        <w:rPr>
          <w:rFonts w:cstheme="minorHAnsi"/>
        </w:rPr>
        <w:t xml:space="preserve"> (like age and gender)</w:t>
      </w:r>
      <w:r w:rsidRPr="000A20E2">
        <w:rPr>
          <w:rFonts w:cstheme="minorHAnsi"/>
        </w:rPr>
        <w:t>, job characteristics and satisfaction, employer behaviour and characteristics (including employer attitudes to</w:t>
      </w:r>
      <w:r w:rsidR="005124FF" w:rsidRPr="000A20E2">
        <w:rPr>
          <w:rFonts w:cstheme="minorHAnsi"/>
        </w:rPr>
        <w:t>wards</w:t>
      </w:r>
      <w:r w:rsidRPr="000A20E2">
        <w:rPr>
          <w:rFonts w:cstheme="minorHAnsi"/>
        </w:rPr>
        <w:t xml:space="preserve"> unionisation and </w:t>
      </w:r>
      <w:r w:rsidR="009620AA" w:rsidRPr="000A20E2">
        <w:rPr>
          <w:rFonts w:cstheme="minorHAnsi"/>
        </w:rPr>
        <w:t xml:space="preserve">provision of </w:t>
      </w:r>
      <w:r w:rsidRPr="000A20E2">
        <w:rPr>
          <w:rFonts w:cstheme="minorHAnsi"/>
        </w:rPr>
        <w:t>alterative voice mechanisms) and state p</w:t>
      </w:r>
      <w:r w:rsidR="005124FF" w:rsidRPr="000A20E2">
        <w:rPr>
          <w:rFonts w:cstheme="minorHAnsi"/>
        </w:rPr>
        <w:t>olicy. However, and given t</w:t>
      </w:r>
      <w:r w:rsidRPr="000A20E2">
        <w:rPr>
          <w:rFonts w:cstheme="minorHAnsi"/>
        </w:rPr>
        <w:t xml:space="preserve">he decisions of </w:t>
      </w:r>
      <w:r w:rsidR="009620AA" w:rsidRPr="000A20E2">
        <w:rPr>
          <w:rFonts w:cstheme="minorHAnsi"/>
        </w:rPr>
        <w:t>workers</w:t>
      </w:r>
      <w:r w:rsidRPr="000A20E2">
        <w:rPr>
          <w:rFonts w:cstheme="minorHAnsi"/>
        </w:rPr>
        <w:t xml:space="preserve"> about taking up, maintaining or ceasing membership are based upon </w:t>
      </w:r>
      <w:r w:rsidR="005124FF" w:rsidRPr="000A20E2">
        <w:rPr>
          <w:rFonts w:cstheme="minorHAnsi"/>
        </w:rPr>
        <w:t xml:space="preserve">largely </w:t>
      </w:r>
      <w:r w:rsidRPr="000A20E2">
        <w:rPr>
          <w:rFonts w:cstheme="minorHAnsi"/>
        </w:rPr>
        <w:t>instrumental concerns, the issue of union effectiveness is one that is seldom given sufficient attention.</w:t>
      </w:r>
      <w:r w:rsidR="00840EA1">
        <w:rPr>
          <w:rStyle w:val="FootnoteReference"/>
          <w:rFonts w:cstheme="minorHAnsi"/>
        </w:rPr>
        <w:footnoteReference w:id="15"/>
      </w:r>
      <w:r w:rsidRPr="000A20E2">
        <w:rPr>
          <w:rFonts w:cstheme="minorHAnsi"/>
        </w:rPr>
        <w:t xml:space="preserve"> </w:t>
      </w:r>
      <w:r w:rsidR="009620AA" w:rsidRPr="000A20E2">
        <w:rPr>
          <w:rFonts w:cstheme="minorHAnsi"/>
        </w:rPr>
        <w:t>Unions can be considered to be effective when they not only provide ‘voice’ in terms of articulating members’ grievances but are also able to prosecute the</w:t>
      </w:r>
      <w:r w:rsidR="005124FF" w:rsidRPr="000A20E2">
        <w:rPr>
          <w:rFonts w:cstheme="minorHAnsi"/>
        </w:rPr>
        <w:t xml:space="preserve">se and the </w:t>
      </w:r>
      <w:r w:rsidR="009620AA" w:rsidRPr="000A20E2">
        <w:rPr>
          <w:rFonts w:cstheme="minorHAnsi"/>
        </w:rPr>
        <w:t xml:space="preserve">interests </w:t>
      </w:r>
      <w:r w:rsidR="007A5C31" w:rsidRPr="000A20E2">
        <w:rPr>
          <w:rFonts w:cstheme="minorHAnsi"/>
        </w:rPr>
        <w:t>under</w:t>
      </w:r>
      <w:r w:rsidR="009620AA" w:rsidRPr="000A20E2">
        <w:rPr>
          <w:rFonts w:cstheme="minorHAnsi"/>
        </w:rPr>
        <w:t>lying the</w:t>
      </w:r>
      <w:r w:rsidR="005124FF" w:rsidRPr="000A20E2">
        <w:rPr>
          <w:rFonts w:cstheme="minorHAnsi"/>
        </w:rPr>
        <w:t>m</w:t>
      </w:r>
      <w:r w:rsidR="009620AA" w:rsidRPr="000A20E2">
        <w:rPr>
          <w:rFonts w:cstheme="minorHAnsi"/>
        </w:rPr>
        <w:t>.</w:t>
      </w:r>
      <w:r w:rsidR="00840EA1">
        <w:rPr>
          <w:rStyle w:val="FootnoteReference"/>
          <w:rFonts w:cstheme="minorHAnsi"/>
        </w:rPr>
        <w:footnoteReference w:id="16"/>
      </w:r>
      <w:r w:rsidR="009620AA" w:rsidRPr="000A20E2">
        <w:rPr>
          <w:rFonts w:cstheme="minorHAnsi"/>
        </w:rPr>
        <w:t xml:space="preserve"> Of course, </w:t>
      </w:r>
      <w:r w:rsidR="007A5C31" w:rsidRPr="000A20E2">
        <w:rPr>
          <w:rFonts w:cstheme="minorHAnsi"/>
        </w:rPr>
        <w:t xml:space="preserve">differing </w:t>
      </w:r>
      <w:r w:rsidR="005124FF" w:rsidRPr="000A20E2">
        <w:rPr>
          <w:rFonts w:cstheme="minorHAnsi"/>
        </w:rPr>
        <w:t xml:space="preserve">(subjective) </w:t>
      </w:r>
      <w:r w:rsidR="009620AA" w:rsidRPr="000A20E2">
        <w:rPr>
          <w:rFonts w:cstheme="minorHAnsi"/>
        </w:rPr>
        <w:t xml:space="preserve">perceptions of effectiveness play a role as much as </w:t>
      </w:r>
      <w:r w:rsidR="005124FF" w:rsidRPr="000A20E2">
        <w:rPr>
          <w:rFonts w:cstheme="minorHAnsi"/>
        </w:rPr>
        <w:t>(</w:t>
      </w:r>
      <w:r w:rsidR="009620AA" w:rsidRPr="000A20E2">
        <w:rPr>
          <w:rFonts w:cstheme="minorHAnsi"/>
        </w:rPr>
        <w:t>objective</w:t>
      </w:r>
      <w:r w:rsidR="005124FF" w:rsidRPr="000A20E2">
        <w:rPr>
          <w:rFonts w:cstheme="minorHAnsi"/>
        </w:rPr>
        <w:t>)</w:t>
      </w:r>
      <w:r w:rsidR="009620AA" w:rsidRPr="000A20E2">
        <w:rPr>
          <w:rFonts w:cstheme="minorHAnsi"/>
        </w:rPr>
        <w:t xml:space="preserve"> assessments (</w:t>
      </w:r>
      <w:r w:rsidR="005124FF" w:rsidRPr="000A20E2">
        <w:rPr>
          <w:rFonts w:cstheme="minorHAnsi"/>
        </w:rPr>
        <w:t>on u</w:t>
      </w:r>
      <w:r w:rsidR="009620AA" w:rsidRPr="000A20E2">
        <w:rPr>
          <w:rFonts w:cstheme="minorHAnsi"/>
        </w:rPr>
        <w:t>nion wage mark-up</w:t>
      </w:r>
      <w:r w:rsidR="005124FF" w:rsidRPr="000A20E2">
        <w:rPr>
          <w:rFonts w:cstheme="minorHAnsi"/>
        </w:rPr>
        <w:t>s</w:t>
      </w:r>
      <w:r w:rsidR="009620AA" w:rsidRPr="000A20E2">
        <w:rPr>
          <w:rFonts w:cstheme="minorHAnsi"/>
        </w:rPr>
        <w:t xml:space="preserve">) do in </w:t>
      </w:r>
      <w:r w:rsidR="00D757FB" w:rsidRPr="000A20E2">
        <w:rPr>
          <w:rFonts w:cstheme="minorHAnsi"/>
        </w:rPr>
        <w:t>influenci</w:t>
      </w:r>
      <w:r w:rsidR="009620AA" w:rsidRPr="000A20E2">
        <w:rPr>
          <w:rFonts w:cstheme="minorHAnsi"/>
        </w:rPr>
        <w:t>ng workers to join, stay or leave.</w:t>
      </w:r>
      <w:r w:rsidRPr="000A20E2">
        <w:rPr>
          <w:rFonts w:cstheme="minorHAnsi"/>
        </w:rPr>
        <w:t xml:space="preserve"> </w:t>
      </w:r>
      <w:r w:rsidR="009620AA" w:rsidRPr="000A20E2">
        <w:rPr>
          <w:rFonts w:cstheme="minorHAnsi"/>
        </w:rPr>
        <w:t xml:space="preserve">Both </w:t>
      </w:r>
      <w:r w:rsidR="005124FF" w:rsidRPr="000A20E2">
        <w:rPr>
          <w:rFonts w:cstheme="minorHAnsi"/>
        </w:rPr>
        <w:t>perception</w:t>
      </w:r>
      <w:r w:rsidR="009620AA" w:rsidRPr="000A20E2">
        <w:rPr>
          <w:rFonts w:cstheme="minorHAnsi"/>
        </w:rPr>
        <w:t>s and assessment</w:t>
      </w:r>
      <w:r w:rsidR="00D757FB" w:rsidRPr="000A20E2">
        <w:rPr>
          <w:rFonts w:cstheme="minorHAnsi"/>
        </w:rPr>
        <w:t>s</w:t>
      </w:r>
      <w:r w:rsidR="009620AA" w:rsidRPr="000A20E2">
        <w:rPr>
          <w:rFonts w:cstheme="minorHAnsi"/>
        </w:rPr>
        <w:t xml:space="preserve"> </w:t>
      </w:r>
      <w:r w:rsidR="005124FF" w:rsidRPr="000A20E2">
        <w:rPr>
          <w:rFonts w:cstheme="minorHAnsi"/>
        </w:rPr>
        <w:t xml:space="preserve">inform </w:t>
      </w:r>
      <w:r w:rsidR="009620AA" w:rsidRPr="000A20E2">
        <w:rPr>
          <w:rFonts w:cstheme="minorHAnsi"/>
        </w:rPr>
        <w:t>workers</w:t>
      </w:r>
      <w:r w:rsidR="005124FF" w:rsidRPr="000A20E2">
        <w:rPr>
          <w:rFonts w:cstheme="minorHAnsi"/>
        </w:rPr>
        <w:t>’</w:t>
      </w:r>
      <w:r w:rsidR="009620AA" w:rsidRPr="000A20E2">
        <w:rPr>
          <w:rFonts w:cstheme="minorHAnsi"/>
        </w:rPr>
        <w:t xml:space="preserve"> cost/benefit calculations </w:t>
      </w:r>
      <w:r w:rsidR="005124FF" w:rsidRPr="000A20E2">
        <w:rPr>
          <w:rFonts w:cstheme="minorHAnsi"/>
        </w:rPr>
        <w:t>(</w:t>
      </w:r>
      <w:r w:rsidR="009620AA" w:rsidRPr="000A20E2">
        <w:rPr>
          <w:rFonts w:cstheme="minorHAnsi"/>
        </w:rPr>
        <w:t>in financial and non-financial terms</w:t>
      </w:r>
      <w:r w:rsidR="005124FF" w:rsidRPr="000A20E2">
        <w:rPr>
          <w:rFonts w:cstheme="minorHAnsi"/>
        </w:rPr>
        <w:t>)</w:t>
      </w:r>
      <w:r w:rsidR="009620AA" w:rsidRPr="000A20E2">
        <w:rPr>
          <w:rFonts w:cstheme="minorHAnsi"/>
        </w:rPr>
        <w:t xml:space="preserve"> about membership.</w:t>
      </w:r>
      <w:r w:rsidR="00BA5064" w:rsidRPr="000A20E2">
        <w:rPr>
          <w:rFonts w:cstheme="minorHAnsi"/>
        </w:rPr>
        <w:t xml:space="preserve"> </w:t>
      </w:r>
      <w:r w:rsidR="007A5C31" w:rsidRPr="000A20E2">
        <w:rPr>
          <w:rFonts w:cstheme="minorHAnsi"/>
        </w:rPr>
        <w:t>Judged by declinin</w:t>
      </w:r>
      <w:r w:rsidR="005124FF" w:rsidRPr="000A20E2">
        <w:rPr>
          <w:rFonts w:cstheme="minorHAnsi"/>
        </w:rPr>
        <w:t>g</w:t>
      </w:r>
      <w:r w:rsidR="007A5C31" w:rsidRPr="000A20E2">
        <w:rPr>
          <w:rFonts w:cstheme="minorHAnsi"/>
        </w:rPr>
        <w:t xml:space="preserve"> union effectiveness on an array of issues, the extent of the union </w:t>
      </w:r>
      <w:r w:rsidR="005124FF" w:rsidRPr="000A20E2">
        <w:rPr>
          <w:rFonts w:cstheme="minorHAnsi"/>
        </w:rPr>
        <w:t>‘</w:t>
      </w:r>
      <w:r w:rsidR="007A5C31" w:rsidRPr="000A20E2">
        <w:rPr>
          <w:rFonts w:cstheme="minorHAnsi"/>
        </w:rPr>
        <w:t>premium</w:t>
      </w:r>
      <w:r w:rsidR="005124FF" w:rsidRPr="000A20E2">
        <w:rPr>
          <w:rFonts w:cstheme="minorHAnsi"/>
        </w:rPr>
        <w:t>’</w:t>
      </w:r>
      <w:r w:rsidR="007A5C31" w:rsidRPr="000A20E2">
        <w:rPr>
          <w:rFonts w:cstheme="minorHAnsi"/>
        </w:rPr>
        <w:t xml:space="preserve"> has not unsurprisingly declined in the last twenty to thirty years in most countries. Thus, if union effectiveness declines </w:t>
      </w:r>
      <w:r w:rsidR="00B31744" w:rsidRPr="000A20E2">
        <w:rPr>
          <w:rFonts w:cstheme="minorHAnsi"/>
        </w:rPr>
        <w:t>the propensity to join or maintain membership will also decline with the consequence that, all other things being equal, union effectiveness will further decline and so on and so forth. Contrastingly, i</w:t>
      </w:r>
      <w:r w:rsidR="007A5C31" w:rsidRPr="000A20E2">
        <w:rPr>
          <w:rFonts w:cstheme="minorHAnsi"/>
        </w:rPr>
        <w:t xml:space="preserve">f union effectiveness could be enhanced and increased, there are grounds for believing </w:t>
      </w:r>
      <w:r w:rsidR="00B31744" w:rsidRPr="000A20E2">
        <w:rPr>
          <w:rFonts w:cstheme="minorHAnsi"/>
        </w:rPr>
        <w:t>membership would also increase</w:t>
      </w:r>
      <w:r w:rsidR="006E5449" w:rsidRPr="000A20E2">
        <w:rPr>
          <w:rFonts w:cstheme="minorHAnsi"/>
        </w:rPr>
        <w:t>,</w:t>
      </w:r>
      <w:r w:rsidR="00B31744" w:rsidRPr="000A20E2">
        <w:rPr>
          <w:rFonts w:cstheme="minorHAnsi"/>
        </w:rPr>
        <w:t xml:space="preserve"> </w:t>
      </w:r>
      <w:r w:rsidR="003F0D89" w:rsidRPr="000A20E2">
        <w:rPr>
          <w:rFonts w:cstheme="minorHAnsi"/>
        </w:rPr>
        <w:t xml:space="preserve">with positive knock effects on union effectiveness </w:t>
      </w:r>
      <w:r w:rsidR="00D757FB" w:rsidRPr="000A20E2">
        <w:rPr>
          <w:rFonts w:cstheme="minorHAnsi"/>
        </w:rPr>
        <w:t xml:space="preserve">in a </w:t>
      </w:r>
      <w:r w:rsidR="005124FF" w:rsidRPr="000A20E2">
        <w:rPr>
          <w:rFonts w:cstheme="minorHAnsi"/>
        </w:rPr>
        <w:t>virtuous upwa</w:t>
      </w:r>
      <w:r w:rsidR="00D757FB" w:rsidRPr="000A20E2">
        <w:rPr>
          <w:rFonts w:cstheme="minorHAnsi"/>
        </w:rPr>
        <w:t>rd spiral</w:t>
      </w:r>
      <w:r w:rsidR="00B31744" w:rsidRPr="000A20E2">
        <w:rPr>
          <w:rFonts w:cstheme="minorHAnsi"/>
        </w:rPr>
        <w:t>.</w:t>
      </w:r>
      <w:r w:rsidR="006D7B2F" w:rsidRPr="000A20E2">
        <w:rPr>
          <w:rFonts w:cstheme="minorHAnsi"/>
        </w:rPr>
        <w:t xml:space="preserve"> </w:t>
      </w:r>
    </w:p>
    <w:p w14:paraId="0D9A650C" w14:textId="535207A3" w:rsidR="00CE256A" w:rsidRPr="000A20E2" w:rsidRDefault="00B31744" w:rsidP="000A20E2">
      <w:pPr>
        <w:spacing w:after="0" w:line="240" w:lineRule="auto"/>
        <w:ind w:firstLine="720"/>
        <w:jc w:val="both"/>
        <w:rPr>
          <w:rFonts w:cstheme="minorHAnsi"/>
        </w:rPr>
      </w:pPr>
      <w:r w:rsidRPr="000A20E2">
        <w:rPr>
          <w:rFonts w:cstheme="minorHAnsi"/>
        </w:rPr>
        <w:t xml:space="preserve">In terms of </w:t>
      </w:r>
      <w:r w:rsidR="00284DD0" w:rsidRPr="000A20E2">
        <w:rPr>
          <w:rFonts w:cstheme="minorHAnsi"/>
        </w:rPr>
        <w:t xml:space="preserve">the propensity to </w:t>
      </w:r>
      <w:r w:rsidRPr="000A20E2">
        <w:rPr>
          <w:rFonts w:cstheme="minorHAnsi"/>
        </w:rPr>
        <w:t>increas</w:t>
      </w:r>
      <w:r w:rsidR="00284DD0" w:rsidRPr="000A20E2">
        <w:rPr>
          <w:rFonts w:cstheme="minorHAnsi"/>
        </w:rPr>
        <w:t>e</w:t>
      </w:r>
      <w:r w:rsidRPr="000A20E2">
        <w:rPr>
          <w:rFonts w:cstheme="minorHAnsi"/>
        </w:rPr>
        <w:t xml:space="preserve"> union membership and effectiveness</w:t>
      </w:r>
      <w:r w:rsidR="00C368D8" w:rsidRPr="000A20E2">
        <w:rPr>
          <w:rFonts w:cstheme="minorHAnsi"/>
        </w:rPr>
        <w:t xml:space="preserve"> and their inter-relationship</w:t>
      </w:r>
      <w:r w:rsidRPr="000A20E2">
        <w:rPr>
          <w:rFonts w:cstheme="minorHAnsi"/>
        </w:rPr>
        <w:t xml:space="preserve">, two </w:t>
      </w:r>
      <w:r w:rsidR="00EB693C" w:rsidRPr="000A20E2">
        <w:rPr>
          <w:rFonts w:cstheme="minorHAnsi"/>
        </w:rPr>
        <w:t xml:space="preserve">salient considerations are </w:t>
      </w:r>
      <w:r w:rsidR="00284DD0" w:rsidRPr="000A20E2">
        <w:rPr>
          <w:rFonts w:cstheme="minorHAnsi"/>
        </w:rPr>
        <w:t>desire for membership and union representation</w:t>
      </w:r>
      <w:r w:rsidRPr="000A20E2">
        <w:rPr>
          <w:rFonts w:cstheme="minorHAnsi"/>
        </w:rPr>
        <w:t>.</w:t>
      </w:r>
      <w:r w:rsidR="00CF1D41" w:rsidRPr="000A20E2">
        <w:rPr>
          <w:rFonts w:cstheme="minorHAnsi"/>
        </w:rPr>
        <w:t xml:space="preserve"> In Australia, </w:t>
      </w:r>
      <w:r w:rsidR="0007122C" w:rsidRPr="000A20E2">
        <w:rPr>
          <w:rFonts w:cstheme="minorHAnsi"/>
        </w:rPr>
        <w:t>Britain</w:t>
      </w:r>
      <w:r w:rsidR="00CF1D41" w:rsidRPr="000A20E2">
        <w:rPr>
          <w:rFonts w:cstheme="minorHAnsi"/>
        </w:rPr>
        <w:t>, Canada, New Zeal</w:t>
      </w:r>
      <w:r w:rsidR="00EB693C" w:rsidRPr="000A20E2">
        <w:rPr>
          <w:rFonts w:cstheme="minorHAnsi"/>
        </w:rPr>
        <w:t>a</w:t>
      </w:r>
      <w:r w:rsidR="00CF1D41" w:rsidRPr="000A20E2">
        <w:rPr>
          <w:rFonts w:cstheme="minorHAnsi"/>
        </w:rPr>
        <w:t>nd</w:t>
      </w:r>
      <w:r w:rsidR="0007122C" w:rsidRPr="000A20E2">
        <w:rPr>
          <w:rFonts w:cstheme="minorHAnsi"/>
        </w:rPr>
        <w:t xml:space="preserve"> and the US,</w:t>
      </w:r>
      <w:r w:rsidR="00AC1850" w:rsidRPr="000A20E2">
        <w:rPr>
          <w:rFonts w:cstheme="minorHAnsi"/>
        </w:rPr>
        <w:t xml:space="preserve"> </w:t>
      </w:r>
      <w:r w:rsidR="0007122C" w:rsidRPr="000A20E2">
        <w:rPr>
          <w:rFonts w:cstheme="minorHAnsi"/>
        </w:rPr>
        <w:t>strong evidence exists for there being unfulfilled demand for union representation</w:t>
      </w:r>
      <w:r w:rsidR="00C368D8" w:rsidRPr="000A20E2">
        <w:rPr>
          <w:rFonts w:cstheme="minorHAnsi"/>
        </w:rPr>
        <w:t>.</w:t>
      </w:r>
      <w:r w:rsidR="00840EA1">
        <w:rPr>
          <w:rStyle w:val="FootnoteReference"/>
          <w:rFonts w:cstheme="minorHAnsi"/>
        </w:rPr>
        <w:footnoteReference w:id="17"/>
      </w:r>
      <w:r w:rsidR="00C368D8" w:rsidRPr="000A20E2">
        <w:rPr>
          <w:rFonts w:cstheme="minorHAnsi"/>
        </w:rPr>
        <w:t xml:space="preserve"> </w:t>
      </w:r>
      <w:r w:rsidR="00943CBF" w:rsidRPr="000A20E2">
        <w:rPr>
          <w:rFonts w:cstheme="minorHAnsi"/>
        </w:rPr>
        <w:t>For example, Freeman commented: ‘if workers were provided the union representation they desired in 2005, then the union</w:t>
      </w:r>
      <w:r w:rsidR="00D757FB" w:rsidRPr="000A20E2">
        <w:rPr>
          <w:rFonts w:cstheme="minorHAnsi"/>
        </w:rPr>
        <w:t xml:space="preserve">ization rate would be about 58% - </w:t>
      </w:r>
      <w:r w:rsidR="00943CBF" w:rsidRPr="000A20E2">
        <w:rPr>
          <w:rFonts w:cstheme="minorHAnsi"/>
        </w:rPr>
        <w:t>almost eight times higher than the actual rate of 7.4%, and considerably higher than the 44% found in polls from the mid-1990s’.</w:t>
      </w:r>
      <w:r w:rsidR="00840EA1">
        <w:rPr>
          <w:rStyle w:val="FootnoteReference"/>
          <w:rFonts w:cstheme="minorHAnsi"/>
        </w:rPr>
        <w:footnoteReference w:id="18"/>
      </w:r>
      <w:r w:rsidR="00943CBF" w:rsidRPr="000A20E2">
        <w:rPr>
          <w:rFonts w:cstheme="minorHAnsi"/>
        </w:rPr>
        <w:t xml:space="preserve"> </w:t>
      </w:r>
      <w:r w:rsidR="00C368D8" w:rsidRPr="000A20E2">
        <w:rPr>
          <w:rFonts w:cstheme="minorHAnsi"/>
        </w:rPr>
        <w:t xml:space="preserve">Often the questions poised were formulated around </w:t>
      </w:r>
      <w:r w:rsidR="00943CBF" w:rsidRPr="000A20E2">
        <w:rPr>
          <w:rFonts w:cstheme="minorHAnsi"/>
        </w:rPr>
        <w:t xml:space="preserve">the likes of </w:t>
      </w:r>
      <w:r w:rsidR="00C368D8" w:rsidRPr="000A20E2">
        <w:rPr>
          <w:rFonts w:cstheme="minorHAnsi"/>
        </w:rPr>
        <w:t>‘would you like union representation?’</w:t>
      </w:r>
      <w:r w:rsidR="00D71BE0" w:rsidRPr="000A20E2">
        <w:rPr>
          <w:rFonts w:cstheme="minorHAnsi"/>
        </w:rPr>
        <w:t>, ‘would you vote for a union</w:t>
      </w:r>
      <w:r w:rsidR="00EB693C" w:rsidRPr="000A20E2">
        <w:rPr>
          <w:rFonts w:cstheme="minorHAnsi"/>
        </w:rPr>
        <w:t>?</w:t>
      </w:r>
      <w:r w:rsidR="00D71BE0" w:rsidRPr="000A20E2">
        <w:rPr>
          <w:rFonts w:cstheme="minorHAnsi"/>
        </w:rPr>
        <w:t>’</w:t>
      </w:r>
      <w:r w:rsidR="00C368D8" w:rsidRPr="000A20E2">
        <w:rPr>
          <w:rFonts w:cstheme="minorHAnsi"/>
        </w:rPr>
        <w:t xml:space="preserve"> or ‘would you join a union if asked?’ But without either employer</w:t>
      </w:r>
      <w:r w:rsidR="00943CBF" w:rsidRPr="000A20E2">
        <w:rPr>
          <w:rFonts w:cstheme="minorHAnsi"/>
        </w:rPr>
        <w:t xml:space="preserve"> willingness to recognise the union o</w:t>
      </w:r>
      <w:r w:rsidR="00EC0B34" w:rsidRPr="000A20E2">
        <w:rPr>
          <w:rFonts w:cstheme="minorHAnsi"/>
        </w:rPr>
        <w:t>f</w:t>
      </w:r>
      <w:r w:rsidR="00943CBF" w:rsidRPr="000A20E2">
        <w:rPr>
          <w:rFonts w:cstheme="minorHAnsi"/>
        </w:rPr>
        <w:t xml:space="preserve"> workers or workers being </w:t>
      </w:r>
      <w:r w:rsidR="00D757FB" w:rsidRPr="000A20E2">
        <w:rPr>
          <w:rFonts w:cstheme="minorHAnsi"/>
        </w:rPr>
        <w:t xml:space="preserve">asked </w:t>
      </w:r>
      <w:r w:rsidR="00943CBF" w:rsidRPr="000A20E2">
        <w:rPr>
          <w:rFonts w:cstheme="minorHAnsi"/>
        </w:rPr>
        <w:t>by unions in non-union</w:t>
      </w:r>
      <w:r w:rsidR="00C368D8" w:rsidRPr="000A20E2">
        <w:rPr>
          <w:rFonts w:cstheme="minorHAnsi"/>
        </w:rPr>
        <w:t xml:space="preserve"> </w:t>
      </w:r>
      <w:r w:rsidR="00943CBF" w:rsidRPr="000A20E2">
        <w:rPr>
          <w:rFonts w:cstheme="minorHAnsi"/>
        </w:rPr>
        <w:t>workplaces such p</w:t>
      </w:r>
      <w:r w:rsidR="00EB693C" w:rsidRPr="000A20E2">
        <w:rPr>
          <w:rFonts w:cstheme="minorHAnsi"/>
        </w:rPr>
        <w:t xml:space="preserve">otential </w:t>
      </w:r>
      <w:r w:rsidR="00943CBF" w:rsidRPr="000A20E2">
        <w:rPr>
          <w:rFonts w:cstheme="minorHAnsi"/>
        </w:rPr>
        <w:t>ha</w:t>
      </w:r>
      <w:r w:rsidR="00EB693C" w:rsidRPr="000A20E2">
        <w:rPr>
          <w:rFonts w:cstheme="minorHAnsi"/>
        </w:rPr>
        <w:t>s</w:t>
      </w:r>
      <w:r w:rsidR="00943CBF" w:rsidRPr="000A20E2">
        <w:rPr>
          <w:rFonts w:cstheme="minorHAnsi"/>
        </w:rPr>
        <w:t xml:space="preserve"> not been realised.</w:t>
      </w:r>
      <w:r w:rsidR="00C368D8" w:rsidRPr="000A20E2">
        <w:rPr>
          <w:rFonts w:cstheme="minorHAnsi"/>
        </w:rPr>
        <w:t xml:space="preserve"> </w:t>
      </w:r>
      <w:r w:rsidR="00EC0B34" w:rsidRPr="000A20E2">
        <w:rPr>
          <w:rFonts w:cstheme="minorHAnsi"/>
        </w:rPr>
        <w:t>This highlights</w:t>
      </w:r>
      <w:r w:rsidR="0007122C" w:rsidRPr="000A20E2">
        <w:rPr>
          <w:rFonts w:cstheme="minorHAnsi"/>
        </w:rPr>
        <w:t xml:space="preserve"> </w:t>
      </w:r>
      <w:r w:rsidR="00EC0B34" w:rsidRPr="000A20E2">
        <w:rPr>
          <w:rFonts w:cstheme="minorHAnsi"/>
        </w:rPr>
        <w:t>the importance of employers being compelled to recognise unions to give f</w:t>
      </w:r>
      <w:r w:rsidR="0007122C" w:rsidRPr="000A20E2">
        <w:rPr>
          <w:rFonts w:cstheme="minorHAnsi"/>
          <w:shd w:val="clear" w:color="auto" w:fill="FFFFFF"/>
        </w:rPr>
        <w:t>ull</w:t>
      </w:r>
      <w:r w:rsidR="00EC0B34" w:rsidRPr="000A20E2">
        <w:rPr>
          <w:rFonts w:cstheme="minorHAnsi"/>
          <w:shd w:val="clear" w:color="auto" w:fill="FFFFFF"/>
        </w:rPr>
        <w:t xml:space="preserve">er </w:t>
      </w:r>
      <w:r w:rsidR="0007122C" w:rsidRPr="000A20E2">
        <w:rPr>
          <w:rFonts w:cstheme="minorHAnsi"/>
          <w:shd w:val="clear" w:color="auto" w:fill="FFFFFF"/>
        </w:rPr>
        <w:t>effect to value of membership</w:t>
      </w:r>
      <w:r w:rsidR="00EC0B34" w:rsidRPr="000A20E2">
        <w:rPr>
          <w:rFonts w:cstheme="minorHAnsi"/>
          <w:shd w:val="clear" w:color="auto" w:fill="FFFFFF"/>
        </w:rPr>
        <w:t>. In this regard</w:t>
      </w:r>
      <w:r w:rsidR="00CE256A" w:rsidRPr="000A20E2">
        <w:rPr>
          <w:rFonts w:cstheme="minorHAnsi"/>
        </w:rPr>
        <w:t xml:space="preserve">, </w:t>
      </w:r>
      <w:r w:rsidR="00F4454B" w:rsidRPr="000A20E2">
        <w:rPr>
          <w:rFonts w:cstheme="minorHAnsi"/>
        </w:rPr>
        <w:t>Bryson and Gomez found th</w:t>
      </w:r>
      <w:r w:rsidR="00CE256A" w:rsidRPr="000A20E2">
        <w:rPr>
          <w:rFonts w:cstheme="minorHAnsi"/>
        </w:rPr>
        <w:t>e ‘</w:t>
      </w:r>
      <w:r w:rsidR="00F4454B" w:rsidRPr="000A20E2">
        <w:rPr>
          <w:rFonts w:cstheme="minorHAnsi"/>
        </w:rPr>
        <w:t>biggest single factor determining the probability of never-membership</w:t>
      </w:r>
      <w:r w:rsidR="00CE256A" w:rsidRPr="000A20E2">
        <w:rPr>
          <w:rFonts w:cstheme="minorHAnsi"/>
        </w:rPr>
        <w:t xml:space="preserve"> </w:t>
      </w:r>
      <w:r w:rsidR="00F4454B" w:rsidRPr="000A20E2">
        <w:rPr>
          <w:rFonts w:cstheme="minorHAnsi"/>
        </w:rPr>
        <w:t>is whether or not an individual is employed in a workplace with a recognized</w:t>
      </w:r>
      <w:r w:rsidR="00CE256A" w:rsidRPr="000A20E2">
        <w:rPr>
          <w:rFonts w:cstheme="minorHAnsi"/>
        </w:rPr>
        <w:t xml:space="preserve"> </w:t>
      </w:r>
      <w:r w:rsidR="00F4454B" w:rsidRPr="000A20E2">
        <w:rPr>
          <w:rFonts w:cstheme="minorHAnsi"/>
        </w:rPr>
        <w:t>union. Employees in unionized workplaces h</w:t>
      </w:r>
      <w:r w:rsidR="00CE256A" w:rsidRPr="000A20E2">
        <w:rPr>
          <w:rFonts w:cstheme="minorHAnsi"/>
        </w:rPr>
        <w:t>ad a 40 per cent lower probabil</w:t>
      </w:r>
      <w:r w:rsidR="00F4454B" w:rsidRPr="000A20E2">
        <w:rPr>
          <w:rFonts w:cstheme="minorHAnsi"/>
        </w:rPr>
        <w:t xml:space="preserve">ity of never-membership than similar employees in non-unionized work-places. </w:t>
      </w:r>
      <w:r w:rsidR="00CE256A" w:rsidRPr="000A20E2">
        <w:rPr>
          <w:rFonts w:cstheme="minorHAnsi"/>
        </w:rPr>
        <w:t>… [T]</w:t>
      </w:r>
      <w:r w:rsidR="00F4454B" w:rsidRPr="000A20E2">
        <w:rPr>
          <w:rFonts w:cstheme="minorHAnsi"/>
        </w:rPr>
        <w:t>he decline in workplace unionization has contributed very</w:t>
      </w:r>
      <w:r w:rsidR="00CE256A" w:rsidRPr="000A20E2">
        <w:rPr>
          <w:rFonts w:cstheme="minorHAnsi"/>
        </w:rPr>
        <w:t xml:space="preserve"> </w:t>
      </w:r>
      <w:r w:rsidR="00F4454B" w:rsidRPr="000A20E2">
        <w:rPr>
          <w:rFonts w:cstheme="minorHAnsi"/>
        </w:rPr>
        <w:t>significantly to the rise in never-membership in the economy</w:t>
      </w:r>
      <w:r w:rsidR="00CE256A" w:rsidRPr="000A20E2">
        <w:rPr>
          <w:rFonts w:cstheme="minorHAnsi"/>
        </w:rPr>
        <w:t>’</w:t>
      </w:r>
      <w:r w:rsidR="00F4454B" w:rsidRPr="000A20E2">
        <w:rPr>
          <w:rFonts w:cstheme="minorHAnsi"/>
        </w:rPr>
        <w:t>.</w:t>
      </w:r>
      <w:r w:rsidR="00840EA1">
        <w:rPr>
          <w:rStyle w:val="FootnoteReference"/>
          <w:rFonts w:cstheme="minorHAnsi"/>
        </w:rPr>
        <w:footnoteReference w:id="19"/>
      </w:r>
      <w:r w:rsidR="008D330F" w:rsidRPr="000A20E2">
        <w:rPr>
          <w:rFonts w:cstheme="minorHAnsi"/>
        </w:rPr>
        <w:t xml:space="preserve"> </w:t>
      </w:r>
    </w:p>
    <w:p w14:paraId="7723316E" w14:textId="18DF299A" w:rsidR="00EC0B34" w:rsidRPr="000A20E2" w:rsidRDefault="00EC0B34" w:rsidP="000A20E2">
      <w:pPr>
        <w:spacing w:after="0" w:line="240" w:lineRule="auto"/>
        <w:ind w:firstLine="720"/>
        <w:jc w:val="both"/>
        <w:rPr>
          <w:rFonts w:cstheme="minorHAnsi"/>
        </w:rPr>
      </w:pPr>
      <w:r w:rsidRPr="000A20E2">
        <w:rPr>
          <w:rFonts w:cstheme="minorHAnsi"/>
        </w:rPr>
        <w:t xml:space="preserve">This brief consideration </w:t>
      </w:r>
      <w:r w:rsidR="00EB693C" w:rsidRPr="000A20E2">
        <w:rPr>
          <w:rFonts w:cstheme="minorHAnsi"/>
        </w:rPr>
        <w:t>highlights</w:t>
      </w:r>
      <w:r w:rsidRPr="000A20E2">
        <w:rPr>
          <w:rFonts w:cstheme="minorHAnsi"/>
        </w:rPr>
        <w:t xml:space="preserve"> </w:t>
      </w:r>
      <w:proofErr w:type="spellStart"/>
      <w:r w:rsidRPr="000A20E2">
        <w:rPr>
          <w:rFonts w:cstheme="minorHAnsi"/>
        </w:rPr>
        <w:t>i</w:t>
      </w:r>
      <w:proofErr w:type="spellEnd"/>
      <w:r w:rsidR="00A423DB" w:rsidRPr="000A20E2">
        <w:rPr>
          <w:rFonts w:cstheme="minorHAnsi"/>
        </w:rPr>
        <w:t xml:space="preserve">) there is strong evidence </w:t>
      </w:r>
      <w:r w:rsidRPr="000A20E2">
        <w:rPr>
          <w:rFonts w:cstheme="minorHAnsi"/>
        </w:rPr>
        <w:t>a union default would not compel unwilling workers into membersh</w:t>
      </w:r>
      <w:r w:rsidR="009F5CF1" w:rsidRPr="000A20E2">
        <w:rPr>
          <w:rFonts w:cstheme="minorHAnsi"/>
        </w:rPr>
        <w:t>ip</w:t>
      </w:r>
      <w:r w:rsidR="00C90D58" w:rsidRPr="000A20E2">
        <w:rPr>
          <w:rFonts w:cstheme="minorHAnsi"/>
        </w:rPr>
        <w:t xml:space="preserve">, </w:t>
      </w:r>
      <w:r w:rsidR="009F5CF1" w:rsidRPr="000A20E2">
        <w:rPr>
          <w:rFonts w:cstheme="minorHAnsi"/>
        </w:rPr>
        <w:t>ii) without a union default</w:t>
      </w:r>
      <w:r w:rsidR="00A423DB" w:rsidRPr="000A20E2">
        <w:rPr>
          <w:rFonts w:cstheme="minorHAnsi"/>
        </w:rPr>
        <w:t>,</w:t>
      </w:r>
      <w:r w:rsidRPr="000A20E2">
        <w:rPr>
          <w:rFonts w:cstheme="minorHAnsi"/>
        </w:rPr>
        <w:t xml:space="preserve"> ma</w:t>
      </w:r>
      <w:r w:rsidR="009F5CF1" w:rsidRPr="000A20E2">
        <w:rPr>
          <w:rFonts w:cstheme="minorHAnsi"/>
        </w:rPr>
        <w:t>n</w:t>
      </w:r>
      <w:r w:rsidRPr="000A20E2">
        <w:rPr>
          <w:rFonts w:cstheme="minorHAnsi"/>
        </w:rPr>
        <w:t>y workers will be unable and/or unwilling to join a union</w:t>
      </w:r>
      <w:r w:rsidR="00C90D58" w:rsidRPr="000A20E2">
        <w:rPr>
          <w:rFonts w:cstheme="minorHAnsi"/>
        </w:rPr>
        <w:t xml:space="preserve">, </w:t>
      </w:r>
      <w:r w:rsidRPr="000A20E2">
        <w:rPr>
          <w:rFonts w:cstheme="minorHAnsi"/>
        </w:rPr>
        <w:t xml:space="preserve">and iii) in order to facilitate </w:t>
      </w:r>
      <w:r w:rsidR="009F5CF1" w:rsidRPr="000A20E2">
        <w:rPr>
          <w:rFonts w:cstheme="minorHAnsi"/>
        </w:rPr>
        <w:t xml:space="preserve">acquisition of </w:t>
      </w:r>
      <w:r w:rsidRPr="000A20E2">
        <w:rPr>
          <w:rFonts w:cstheme="minorHAnsi"/>
        </w:rPr>
        <w:t xml:space="preserve">fuller </w:t>
      </w:r>
      <w:r w:rsidR="009F5CF1" w:rsidRPr="000A20E2">
        <w:rPr>
          <w:rFonts w:cstheme="minorHAnsi"/>
        </w:rPr>
        <w:t xml:space="preserve">membership </w:t>
      </w:r>
      <w:r w:rsidRPr="000A20E2">
        <w:rPr>
          <w:rFonts w:cstheme="minorHAnsi"/>
        </w:rPr>
        <w:t xml:space="preserve">benefits </w:t>
      </w:r>
      <w:r w:rsidR="00D03BCF" w:rsidRPr="000A20E2">
        <w:rPr>
          <w:rFonts w:cstheme="minorHAnsi"/>
        </w:rPr>
        <w:t xml:space="preserve">(as per union effectiveness), workers require </w:t>
      </w:r>
      <w:r w:rsidR="00515B4A" w:rsidRPr="000A20E2">
        <w:rPr>
          <w:rFonts w:cstheme="minorHAnsi"/>
        </w:rPr>
        <w:t xml:space="preserve">lawful </w:t>
      </w:r>
      <w:r w:rsidR="00D03BCF" w:rsidRPr="000A20E2">
        <w:rPr>
          <w:rFonts w:cstheme="minorHAnsi"/>
        </w:rPr>
        <w:t>means to compel employers to recognise the</w:t>
      </w:r>
      <w:r w:rsidR="009F5CF1" w:rsidRPr="000A20E2">
        <w:rPr>
          <w:rFonts w:cstheme="minorHAnsi"/>
        </w:rPr>
        <w:t>ir union</w:t>
      </w:r>
      <w:r w:rsidR="00D03BCF" w:rsidRPr="000A20E2">
        <w:rPr>
          <w:rFonts w:cstheme="minorHAnsi"/>
        </w:rPr>
        <w:t>.</w:t>
      </w:r>
      <w:r w:rsidR="00D71BE0" w:rsidRPr="000A20E2">
        <w:rPr>
          <w:rFonts w:cstheme="minorHAnsi"/>
        </w:rPr>
        <w:t xml:space="preserve"> The latter is particularly important given e</w:t>
      </w:r>
      <w:r w:rsidR="004500CD" w:rsidRPr="000A20E2">
        <w:rPr>
          <w:rFonts w:cstheme="minorHAnsi"/>
        </w:rPr>
        <w:t xml:space="preserve">mployer resistance to conceding recognition is widespread </w:t>
      </w:r>
      <w:r w:rsidR="00117091" w:rsidRPr="000A20E2">
        <w:rPr>
          <w:rFonts w:cstheme="minorHAnsi"/>
        </w:rPr>
        <w:t>even where statutory mechanisms do exist</w:t>
      </w:r>
      <w:r w:rsidR="009F5CF1" w:rsidRPr="000A20E2">
        <w:rPr>
          <w:rFonts w:cstheme="minorHAnsi"/>
        </w:rPr>
        <w:t>,</w:t>
      </w:r>
      <w:r w:rsidR="00840EA1">
        <w:rPr>
          <w:rStyle w:val="FootnoteReference"/>
          <w:rFonts w:cstheme="minorHAnsi"/>
        </w:rPr>
        <w:footnoteReference w:id="20"/>
      </w:r>
      <w:r w:rsidR="009F5CF1" w:rsidRPr="000A20E2">
        <w:rPr>
          <w:rFonts w:cstheme="minorHAnsi"/>
        </w:rPr>
        <w:t xml:space="preserve"> suggesting effective mechanisms require stronger laws, enforcement and penalties</w:t>
      </w:r>
      <w:r w:rsidR="00D71BE0" w:rsidRPr="000A20E2">
        <w:rPr>
          <w:rFonts w:cstheme="minorHAnsi"/>
        </w:rPr>
        <w:t>.</w:t>
      </w:r>
      <w:r w:rsidR="00515B4A" w:rsidRPr="000A20E2">
        <w:rPr>
          <w:rFonts w:cstheme="minorHAnsi"/>
        </w:rPr>
        <w:t xml:space="preserve"> </w:t>
      </w:r>
    </w:p>
    <w:p w14:paraId="1C2C5262" w14:textId="77777777" w:rsidR="006D7B2F" w:rsidRPr="000A20E2" w:rsidRDefault="006D7B2F" w:rsidP="000A20E2">
      <w:pPr>
        <w:spacing w:after="0" w:line="240" w:lineRule="auto"/>
        <w:jc w:val="both"/>
        <w:rPr>
          <w:rFonts w:cstheme="minorHAnsi"/>
          <w:b/>
          <w:bCs/>
        </w:rPr>
      </w:pPr>
    </w:p>
    <w:p w14:paraId="6B61322C" w14:textId="37FA3164" w:rsidR="00413205" w:rsidRPr="006C1DA2" w:rsidRDefault="006C6428" w:rsidP="006C1DA2">
      <w:pPr>
        <w:pStyle w:val="ListParagraph"/>
        <w:numPr>
          <w:ilvl w:val="0"/>
          <w:numId w:val="28"/>
        </w:numPr>
        <w:spacing w:after="0" w:line="240" w:lineRule="auto"/>
        <w:jc w:val="both"/>
        <w:rPr>
          <w:rFonts w:cstheme="minorHAnsi"/>
          <w:b/>
          <w:bCs/>
        </w:rPr>
      </w:pPr>
      <w:r w:rsidRPr="006C1DA2">
        <w:rPr>
          <w:rFonts w:cstheme="minorHAnsi"/>
          <w:b/>
          <w:bCs/>
        </w:rPr>
        <w:t xml:space="preserve">The </w:t>
      </w:r>
      <w:r w:rsidR="00A22522" w:rsidRPr="006C1DA2">
        <w:rPr>
          <w:rFonts w:cstheme="minorHAnsi"/>
          <w:b/>
          <w:bCs/>
        </w:rPr>
        <w:t>nature of the non-union defa</w:t>
      </w:r>
      <w:r w:rsidR="00ED00FE" w:rsidRPr="006C1DA2">
        <w:rPr>
          <w:rFonts w:cstheme="minorHAnsi"/>
          <w:b/>
          <w:bCs/>
        </w:rPr>
        <w:t>ult</w:t>
      </w:r>
    </w:p>
    <w:p w14:paraId="6D8457FC" w14:textId="77777777" w:rsidR="006C1DA2" w:rsidRDefault="006C1DA2" w:rsidP="006C1DA2">
      <w:pPr>
        <w:spacing w:after="0" w:line="240" w:lineRule="auto"/>
        <w:jc w:val="both"/>
        <w:rPr>
          <w:rFonts w:cstheme="minorHAnsi"/>
        </w:rPr>
      </w:pPr>
    </w:p>
    <w:p w14:paraId="0ACEA126" w14:textId="66B8E926" w:rsidR="00BB04EF" w:rsidRPr="000A20E2" w:rsidRDefault="00901498" w:rsidP="006C1DA2">
      <w:pPr>
        <w:spacing w:after="0" w:line="240" w:lineRule="auto"/>
        <w:jc w:val="both"/>
        <w:rPr>
          <w:rFonts w:cstheme="minorHAnsi"/>
        </w:rPr>
      </w:pPr>
      <w:r w:rsidRPr="000A20E2">
        <w:rPr>
          <w:rFonts w:cstheme="minorHAnsi"/>
        </w:rPr>
        <w:t>A</w:t>
      </w:r>
      <w:r w:rsidR="00413205" w:rsidRPr="000A20E2">
        <w:rPr>
          <w:rFonts w:cstheme="minorHAnsi"/>
        </w:rPr>
        <w:t xml:space="preserve"> default is the </w:t>
      </w:r>
      <w:r w:rsidR="00BB04EF" w:rsidRPr="000A20E2">
        <w:rPr>
          <w:rFonts w:cstheme="minorHAnsi"/>
        </w:rPr>
        <w:t xml:space="preserve">option </w:t>
      </w:r>
      <w:r w:rsidR="008417D3" w:rsidRPr="000A20E2">
        <w:rPr>
          <w:rFonts w:cstheme="minorHAnsi"/>
        </w:rPr>
        <w:t>that</w:t>
      </w:r>
      <w:r w:rsidR="00BB04EF" w:rsidRPr="000A20E2">
        <w:rPr>
          <w:rFonts w:cstheme="minorHAnsi"/>
        </w:rPr>
        <w:t xml:space="preserve"> automatically applies wherever a decision-maker proceeds wit</w:t>
      </w:r>
      <w:r w:rsidR="0025101A" w:rsidRPr="000A20E2">
        <w:rPr>
          <w:rFonts w:cstheme="minorHAnsi"/>
        </w:rPr>
        <w:t>hout having actively chosen an</w:t>
      </w:r>
      <w:r w:rsidR="00BB04EF" w:rsidRPr="000A20E2">
        <w:rPr>
          <w:rFonts w:cstheme="minorHAnsi"/>
        </w:rPr>
        <w:t xml:space="preserve"> alternative</w:t>
      </w:r>
      <w:r w:rsidR="003D08CF" w:rsidRPr="000A20E2">
        <w:rPr>
          <w:rFonts w:cstheme="minorHAnsi"/>
        </w:rPr>
        <w:t>.</w:t>
      </w:r>
      <w:r w:rsidR="00840EA1">
        <w:rPr>
          <w:rStyle w:val="FootnoteReference"/>
          <w:rFonts w:cstheme="minorHAnsi"/>
        </w:rPr>
        <w:footnoteReference w:id="21"/>
      </w:r>
      <w:r w:rsidR="004920B0" w:rsidRPr="000A20E2">
        <w:rPr>
          <w:rFonts w:cstheme="minorHAnsi"/>
        </w:rPr>
        <w:t xml:space="preserve"> </w:t>
      </w:r>
      <w:r w:rsidR="0025101A" w:rsidRPr="000A20E2">
        <w:rPr>
          <w:rFonts w:cstheme="minorHAnsi"/>
        </w:rPr>
        <w:t>It</w:t>
      </w:r>
      <w:r w:rsidR="00413205" w:rsidRPr="000A20E2">
        <w:rPr>
          <w:rFonts w:cstheme="minorHAnsi"/>
        </w:rPr>
        <w:t xml:space="preserve"> is </w:t>
      </w:r>
      <w:r w:rsidR="00503478" w:rsidRPr="000A20E2">
        <w:rPr>
          <w:rFonts w:cstheme="minorHAnsi"/>
        </w:rPr>
        <w:t>‘</w:t>
      </w:r>
      <w:r w:rsidR="00413205" w:rsidRPr="000A20E2">
        <w:rPr>
          <w:rFonts w:cstheme="minorHAnsi"/>
        </w:rPr>
        <w:t>…</w:t>
      </w:r>
      <w:r w:rsidR="00503478" w:rsidRPr="000A20E2">
        <w:rPr>
          <w:rFonts w:cstheme="minorHAnsi"/>
        </w:rPr>
        <w:t xml:space="preserve"> </w:t>
      </w:r>
      <w:r w:rsidR="00413205" w:rsidRPr="000A20E2">
        <w:rPr>
          <w:rFonts w:cstheme="minorHAnsi"/>
        </w:rPr>
        <w:t>what happens when individuals take no action with regard to a choice opportunity</w:t>
      </w:r>
      <w:r w:rsidR="00A22522" w:rsidRPr="000A20E2">
        <w:rPr>
          <w:rFonts w:cstheme="minorHAnsi"/>
        </w:rPr>
        <w:t>’</w:t>
      </w:r>
      <w:r w:rsidR="003378DD" w:rsidRPr="000A20E2">
        <w:rPr>
          <w:rFonts w:cstheme="minorHAnsi"/>
        </w:rPr>
        <w:t>.</w:t>
      </w:r>
      <w:r w:rsidR="00840EA1">
        <w:rPr>
          <w:rStyle w:val="FootnoteReference"/>
          <w:rFonts w:cstheme="minorHAnsi"/>
        </w:rPr>
        <w:footnoteReference w:id="22"/>
      </w:r>
      <w:r w:rsidR="005A77B4" w:rsidRPr="000A20E2">
        <w:rPr>
          <w:rFonts w:cstheme="minorHAnsi"/>
        </w:rPr>
        <w:t xml:space="preserve"> </w:t>
      </w:r>
      <w:r w:rsidR="006D7CA8" w:rsidRPr="000A20E2">
        <w:rPr>
          <w:rFonts w:cstheme="minorHAnsi"/>
        </w:rPr>
        <w:t xml:space="preserve">It </w:t>
      </w:r>
      <w:r w:rsidR="006C6428" w:rsidRPr="000A20E2">
        <w:rPr>
          <w:rFonts w:cstheme="minorHAnsi"/>
        </w:rPr>
        <w:t>is typically established by a default setter</w:t>
      </w:r>
      <w:r w:rsidR="00A430FD" w:rsidRPr="000A20E2">
        <w:rPr>
          <w:rFonts w:cstheme="minorHAnsi"/>
        </w:rPr>
        <w:t xml:space="preserve"> </w:t>
      </w:r>
      <w:r w:rsidR="0025101A" w:rsidRPr="000A20E2">
        <w:rPr>
          <w:rFonts w:cstheme="minorHAnsi"/>
        </w:rPr>
        <w:t xml:space="preserve">to deal with </w:t>
      </w:r>
      <w:r w:rsidR="006D7CA8" w:rsidRPr="000A20E2">
        <w:rPr>
          <w:rFonts w:cstheme="minorHAnsi"/>
        </w:rPr>
        <w:t xml:space="preserve">such </w:t>
      </w:r>
      <w:r w:rsidR="006C6428" w:rsidRPr="000A20E2">
        <w:rPr>
          <w:rFonts w:cstheme="minorHAnsi"/>
        </w:rPr>
        <w:t>situations</w:t>
      </w:r>
      <w:r w:rsidR="000E1FCB" w:rsidRPr="000A20E2">
        <w:rPr>
          <w:rFonts w:cstheme="minorHAnsi"/>
        </w:rPr>
        <w:t>.</w:t>
      </w:r>
      <w:r w:rsidR="00840EA1">
        <w:rPr>
          <w:rStyle w:val="FootnoteReference"/>
          <w:rFonts w:cstheme="minorHAnsi"/>
        </w:rPr>
        <w:footnoteReference w:id="23"/>
      </w:r>
      <w:r w:rsidR="004920B0" w:rsidRPr="000A20E2">
        <w:rPr>
          <w:rFonts w:cstheme="minorHAnsi"/>
        </w:rPr>
        <w:t xml:space="preserve"> </w:t>
      </w:r>
      <w:r w:rsidR="00073AD4" w:rsidRPr="000A20E2">
        <w:rPr>
          <w:rFonts w:cstheme="minorHAnsi"/>
        </w:rPr>
        <w:t>Defaults are pervasive in modern</w:t>
      </w:r>
      <w:r w:rsidR="006D7CA8" w:rsidRPr="000A20E2">
        <w:rPr>
          <w:rFonts w:cstheme="minorHAnsi"/>
        </w:rPr>
        <w:t>ity</w:t>
      </w:r>
      <w:r w:rsidR="00073AD4" w:rsidRPr="000A20E2">
        <w:rPr>
          <w:rFonts w:cstheme="minorHAnsi"/>
        </w:rPr>
        <w:t xml:space="preserve">. </w:t>
      </w:r>
      <w:r w:rsidR="00503478" w:rsidRPr="000A20E2">
        <w:rPr>
          <w:rFonts w:cstheme="minorHAnsi"/>
        </w:rPr>
        <w:t>‘</w:t>
      </w:r>
      <w:r w:rsidR="006C6428" w:rsidRPr="000A20E2">
        <w:rPr>
          <w:rFonts w:cstheme="minorHAnsi"/>
        </w:rPr>
        <w:t>Impersonal, default rules, chosen by private and public institutions, establish settings and starting points for countless goods and activities – cell phones, rental car agreements, computers, savings plans, health insurance, websites, privacy, and much more</w:t>
      </w:r>
      <w:r w:rsidR="00BF591D" w:rsidRPr="000A20E2">
        <w:rPr>
          <w:rFonts w:cstheme="minorHAnsi"/>
        </w:rPr>
        <w:t>’</w:t>
      </w:r>
      <w:r w:rsidR="006C6428" w:rsidRPr="000A20E2">
        <w:rPr>
          <w:rFonts w:cstheme="minorHAnsi"/>
        </w:rPr>
        <w:t>.</w:t>
      </w:r>
      <w:r w:rsidR="00840EA1">
        <w:rPr>
          <w:rStyle w:val="FootnoteReference"/>
          <w:rFonts w:cstheme="minorHAnsi"/>
        </w:rPr>
        <w:footnoteReference w:id="24"/>
      </w:r>
      <w:r w:rsidR="005A77B4" w:rsidRPr="000A20E2">
        <w:rPr>
          <w:rFonts w:cstheme="minorHAnsi"/>
        </w:rPr>
        <w:t xml:space="preserve"> </w:t>
      </w:r>
      <w:r w:rsidR="00F004E4" w:rsidRPr="000A20E2">
        <w:rPr>
          <w:rFonts w:cstheme="minorHAnsi"/>
        </w:rPr>
        <w:t>Defaults</w:t>
      </w:r>
      <w:r w:rsidR="006C6428" w:rsidRPr="000A20E2">
        <w:rPr>
          <w:rFonts w:cstheme="minorHAnsi"/>
        </w:rPr>
        <w:t xml:space="preserve"> also </w:t>
      </w:r>
      <w:r w:rsidR="00503478" w:rsidRPr="000A20E2">
        <w:rPr>
          <w:rFonts w:cstheme="minorHAnsi"/>
        </w:rPr>
        <w:t>‘</w:t>
      </w:r>
      <w:r w:rsidR="006C6428" w:rsidRPr="000A20E2">
        <w:rPr>
          <w:rFonts w:cstheme="minorHAnsi"/>
        </w:rPr>
        <w:t>… constitute the law of contract, much of which is in the following form:</w:t>
      </w:r>
      <w:r w:rsidR="005A77B4" w:rsidRPr="000A20E2">
        <w:rPr>
          <w:rFonts w:cstheme="minorHAnsi"/>
        </w:rPr>
        <w:t xml:space="preserve"> </w:t>
      </w:r>
      <w:r w:rsidR="006C6428" w:rsidRPr="000A20E2">
        <w:rPr>
          <w:rFonts w:cstheme="minorHAnsi"/>
        </w:rPr>
        <w:t>Unless the contracting parties say otherwise, the rules that govern their relationship will be as follows</w:t>
      </w:r>
      <w:r w:rsidR="00503478" w:rsidRPr="000A20E2">
        <w:rPr>
          <w:rFonts w:cstheme="minorHAnsi"/>
        </w:rPr>
        <w:t>’</w:t>
      </w:r>
      <w:r w:rsidR="006C6428" w:rsidRPr="000A20E2">
        <w:rPr>
          <w:rFonts w:cstheme="minorHAnsi"/>
        </w:rPr>
        <w:t>.</w:t>
      </w:r>
      <w:r w:rsidR="00840EA1">
        <w:rPr>
          <w:rStyle w:val="FootnoteReference"/>
          <w:rFonts w:cstheme="minorHAnsi"/>
        </w:rPr>
        <w:footnoteReference w:id="25"/>
      </w:r>
      <w:r w:rsidR="004920B0" w:rsidRPr="000A20E2">
        <w:rPr>
          <w:rFonts w:cstheme="minorHAnsi"/>
        </w:rPr>
        <w:t xml:space="preserve"> </w:t>
      </w:r>
      <w:r w:rsidR="004C23F5" w:rsidRPr="000A20E2">
        <w:rPr>
          <w:rFonts w:cstheme="minorHAnsi"/>
        </w:rPr>
        <w:t>Indeed, d</w:t>
      </w:r>
      <w:r w:rsidR="00741515" w:rsidRPr="000A20E2">
        <w:rPr>
          <w:rFonts w:cstheme="minorHAnsi"/>
        </w:rPr>
        <w:t>efaults are</w:t>
      </w:r>
      <w:r w:rsidR="00A40B3C" w:rsidRPr="000A20E2">
        <w:rPr>
          <w:rFonts w:cstheme="minorHAnsi"/>
        </w:rPr>
        <w:t xml:space="preserve"> inevitable</w:t>
      </w:r>
      <w:r w:rsidR="002C7A1A" w:rsidRPr="000A20E2">
        <w:rPr>
          <w:rFonts w:cstheme="minorHAnsi"/>
        </w:rPr>
        <w:t xml:space="preserve"> </w:t>
      </w:r>
      <w:r w:rsidR="00840EA1">
        <w:rPr>
          <w:rFonts w:cstheme="minorHAnsi"/>
        </w:rPr>
        <w:t>and even highly desirable</w:t>
      </w:r>
      <w:r w:rsidR="00A40B3C" w:rsidRPr="000A20E2">
        <w:rPr>
          <w:rFonts w:cstheme="minorHAnsi"/>
        </w:rPr>
        <w:t>.</w:t>
      </w:r>
      <w:r w:rsidR="00840EA1">
        <w:rPr>
          <w:rStyle w:val="FootnoteReference"/>
          <w:rFonts w:cstheme="minorHAnsi"/>
        </w:rPr>
        <w:footnoteReference w:id="26"/>
      </w:r>
      <w:r w:rsidR="005A77B4" w:rsidRPr="000A20E2">
        <w:rPr>
          <w:rFonts w:cstheme="minorHAnsi"/>
        </w:rPr>
        <w:t xml:space="preserve"> </w:t>
      </w:r>
      <w:r w:rsidR="00156E9F" w:rsidRPr="000A20E2">
        <w:rPr>
          <w:rFonts w:cstheme="minorHAnsi"/>
        </w:rPr>
        <w:t>One</w:t>
      </w:r>
      <w:r w:rsidR="00A40B3C" w:rsidRPr="000A20E2">
        <w:rPr>
          <w:rFonts w:cstheme="minorHAnsi"/>
        </w:rPr>
        <w:t xml:space="preserve"> option </w:t>
      </w:r>
      <w:r w:rsidR="00F004E4" w:rsidRPr="000A20E2">
        <w:rPr>
          <w:rFonts w:cstheme="minorHAnsi"/>
        </w:rPr>
        <w:t xml:space="preserve">in any selection of options </w:t>
      </w:r>
      <w:r w:rsidR="00A40B3C" w:rsidRPr="000A20E2">
        <w:rPr>
          <w:rFonts w:cstheme="minorHAnsi"/>
        </w:rPr>
        <w:t xml:space="preserve">must be specified as the default </w:t>
      </w:r>
      <w:r w:rsidR="00073AD4" w:rsidRPr="000A20E2">
        <w:rPr>
          <w:rFonts w:cstheme="minorHAnsi"/>
        </w:rPr>
        <w:t>wherever</w:t>
      </w:r>
      <w:r w:rsidR="00A40B3C" w:rsidRPr="000A20E2">
        <w:rPr>
          <w:rFonts w:cstheme="minorHAnsi"/>
        </w:rPr>
        <w:t xml:space="preserve"> choosers are</w:t>
      </w:r>
      <w:r w:rsidR="004C23F5" w:rsidRPr="000A20E2">
        <w:rPr>
          <w:rFonts w:cstheme="minorHAnsi"/>
        </w:rPr>
        <w:t xml:space="preserve"> </w:t>
      </w:r>
      <w:r w:rsidR="00A40B3C" w:rsidRPr="000A20E2">
        <w:rPr>
          <w:rFonts w:cstheme="minorHAnsi"/>
        </w:rPr>
        <w:t>n</w:t>
      </w:r>
      <w:r w:rsidR="004C23F5" w:rsidRPr="000A20E2">
        <w:rPr>
          <w:rFonts w:cstheme="minorHAnsi"/>
        </w:rPr>
        <w:t>o</w:t>
      </w:r>
      <w:r w:rsidR="00A40B3C" w:rsidRPr="000A20E2">
        <w:rPr>
          <w:rFonts w:cstheme="minorHAnsi"/>
        </w:rPr>
        <w:t>t able</w:t>
      </w:r>
      <w:r w:rsidR="00C90648" w:rsidRPr="000A20E2">
        <w:rPr>
          <w:rFonts w:cstheme="minorHAnsi"/>
        </w:rPr>
        <w:t xml:space="preserve"> or willing</w:t>
      </w:r>
      <w:r w:rsidR="00A40B3C" w:rsidRPr="000A20E2">
        <w:rPr>
          <w:rFonts w:cstheme="minorHAnsi"/>
        </w:rPr>
        <w:t xml:space="preserve"> to </w:t>
      </w:r>
      <w:r w:rsidR="00C90648" w:rsidRPr="000A20E2">
        <w:rPr>
          <w:rFonts w:cstheme="minorHAnsi"/>
        </w:rPr>
        <w:t>choose</w:t>
      </w:r>
      <w:r w:rsidR="00A40B3C" w:rsidRPr="000A20E2">
        <w:rPr>
          <w:rFonts w:cstheme="minorHAnsi"/>
        </w:rPr>
        <w:t>.</w:t>
      </w:r>
      <w:r w:rsidR="005A77B4" w:rsidRPr="000A20E2">
        <w:rPr>
          <w:rFonts w:cstheme="minorHAnsi"/>
        </w:rPr>
        <w:t xml:space="preserve"> </w:t>
      </w:r>
      <w:r w:rsidR="00F22F82" w:rsidRPr="000A20E2">
        <w:rPr>
          <w:rFonts w:cstheme="minorHAnsi"/>
        </w:rPr>
        <w:t xml:space="preserve">For instance, most </w:t>
      </w:r>
      <w:r w:rsidR="00A32BC3" w:rsidRPr="000A20E2">
        <w:rPr>
          <w:rFonts w:cstheme="minorHAnsi"/>
        </w:rPr>
        <w:t xml:space="preserve">people </w:t>
      </w:r>
      <w:r w:rsidR="00F22F82" w:rsidRPr="000A20E2">
        <w:rPr>
          <w:rFonts w:cstheme="minorHAnsi"/>
        </w:rPr>
        <w:t>do</w:t>
      </w:r>
      <w:r w:rsidR="004C23F5" w:rsidRPr="000A20E2">
        <w:rPr>
          <w:rFonts w:cstheme="minorHAnsi"/>
        </w:rPr>
        <w:t xml:space="preserve"> </w:t>
      </w:r>
      <w:r w:rsidR="00F22F82" w:rsidRPr="000A20E2">
        <w:rPr>
          <w:rFonts w:cstheme="minorHAnsi"/>
        </w:rPr>
        <w:t>n</w:t>
      </w:r>
      <w:r w:rsidR="004C23F5" w:rsidRPr="000A20E2">
        <w:rPr>
          <w:rFonts w:cstheme="minorHAnsi"/>
        </w:rPr>
        <w:t>o</w:t>
      </w:r>
      <w:r w:rsidR="00F22F82" w:rsidRPr="000A20E2">
        <w:rPr>
          <w:rFonts w:cstheme="minorHAnsi"/>
        </w:rPr>
        <w:t xml:space="preserve">t want to choose the basic settings on </w:t>
      </w:r>
      <w:r w:rsidR="00A32BC3" w:rsidRPr="000A20E2">
        <w:rPr>
          <w:rFonts w:cstheme="minorHAnsi"/>
        </w:rPr>
        <w:t xml:space="preserve">their </w:t>
      </w:r>
      <w:r w:rsidR="00F22F82" w:rsidRPr="000A20E2">
        <w:rPr>
          <w:rFonts w:cstheme="minorHAnsi"/>
        </w:rPr>
        <w:t>computer</w:t>
      </w:r>
      <w:r w:rsidR="004C23F5" w:rsidRPr="000A20E2">
        <w:rPr>
          <w:rFonts w:cstheme="minorHAnsi"/>
        </w:rPr>
        <w:t>s</w:t>
      </w:r>
      <w:r w:rsidR="000E7044" w:rsidRPr="000A20E2">
        <w:rPr>
          <w:rFonts w:cstheme="minorHAnsi"/>
        </w:rPr>
        <w:t xml:space="preserve"> </w:t>
      </w:r>
      <w:r w:rsidR="00A32BC3" w:rsidRPr="000A20E2">
        <w:rPr>
          <w:rFonts w:cstheme="minorHAnsi"/>
        </w:rPr>
        <w:t xml:space="preserve">- they </w:t>
      </w:r>
      <w:r w:rsidR="00F22F82" w:rsidRPr="000A20E2">
        <w:rPr>
          <w:rFonts w:cstheme="minorHAnsi"/>
        </w:rPr>
        <w:t>have neither the inclination nor capacity to do so.</w:t>
      </w:r>
      <w:r w:rsidR="005A77B4" w:rsidRPr="000A20E2">
        <w:rPr>
          <w:rFonts w:cstheme="minorHAnsi"/>
        </w:rPr>
        <w:t xml:space="preserve"> </w:t>
      </w:r>
      <w:r w:rsidR="00F22F82" w:rsidRPr="000A20E2">
        <w:rPr>
          <w:rFonts w:cstheme="minorHAnsi"/>
        </w:rPr>
        <w:t>Appropriate defaults</w:t>
      </w:r>
      <w:r w:rsidR="004C23F5" w:rsidRPr="000A20E2">
        <w:rPr>
          <w:rFonts w:cstheme="minorHAnsi"/>
        </w:rPr>
        <w:t>,</w:t>
      </w:r>
      <w:r w:rsidR="00F22F82" w:rsidRPr="000A20E2">
        <w:rPr>
          <w:rFonts w:cstheme="minorHAnsi"/>
        </w:rPr>
        <w:t xml:space="preserve"> thus</w:t>
      </w:r>
      <w:r w:rsidR="004C23F5" w:rsidRPr="000A20E2">
        <w:rPr>
          <w:rFonts w:cstheme="minorHAnsi"/>
        </w:rPr>
        <w:t>,</w:t>
      </w:r>
      <w:r w:rsidR="00F22F82" w:rsidRPr="000A20E2">
        <w:rPr>
          <w:rFonts w:cstheme="minorHAnsi"/>
        </w:rPr>
        <w:t xml:space="preserve"> often save time and mone</w:t>
      </w:r>
      <w:r w:rsidR="004C23F5" w:rsidRPr="000A20E2">
        <w:rPr>
          <w:rFonts w:cstheme="minorHAnsi"/>
        </w:rPr>
        <w:t xml:space="preserve">y, while conserving </w:t>
      </w:r>
      <w:r w:rsidR="00F22F82" w:rsidRPr="000A20E2">
        <w:rPr>
          <w:rFonts w:cstheme="minorHAnsi"/>
        </w:rPr>
        <w:t>cognitive resources for other, more pressing and relevant tasks.</w:t>
      </w:r>
      <w:r w:rsidR="008D330F" w:rsidRPr="000A20E2">
        <w:rPr>
          <w:rFonts w:cstheme="minorHAnsi"/>
        </w:rPr>
        <w:t xml:space="preserve"> </w:t>
      </w:r>
    </w:p>
    <w:p w14:paraId="3408D64B" w14:textId="54C43590" w:rsidR="00BC247C" w:rsidRPr="000A20E2" w:rsidRDefault="00CD7756" w:rsidP="000A20E2">
      <w:pPr>
        <w:spacing w:after="0" w:line="240" w:lineRule="auto"/>
        <w:jc w:val="both"/>
        <w:rPr>
          <w:rFonts w:cstheme="minorHAnsi"/>
        </w:rPr>
      </w:pPr>
      <w:r w:rsidRPr="000A20E2">
        <w:rPr>
          <w:rFonts w:cstheme="minorHAnsi"/>
          <w:b/>
          <w:bCs/>
        </w:rPr>
        <w:t xml:space="preserve"> </w:t>
      </w:r>
      <w:r w:rsidR="003D1357" w:rsidRPr="000A20E2">
        <w:rPr>
          <w:rFonts w:cstheme="minorHAnsi"/>
        </w:rPr>
        <w:tab/>
      </w:r>
      <w:r w:rsidRPr="000A20E2">
        <w:rPr>
          <w:rFonts w:cstheme="minorHAnsi"/>
        </w:rPr>
        <w:t xml:space="preserve">The decision to join or not join a union involves </w:t>
      </w:r>
      <w:r w:rsidR="00401F65" w:rsidRPr="000A20E2">
        <w:rPr>
          <w:rFonts w:cstheme="minorHAnsi"/>
        </w:rPr>
        <w:t>an</w:t>
      </w:r>
      <w:r w:rsidRPr="000A20E2">
        <w:rPr>
          <w:rFonts w:cstheme="minorHAnsi"/>
        </w:rPr>
        <w:t xml:space="preserve"> unacknowledged default.</w:t>
      </w:r>
      <w:r w:rsidR="005A77B4" w:rsidRPr="000A20E2">
        <w:rPr>
          <w:rFonts w:cstheme="minorHAnsi"/>
        </w:rPr>
        <w:t xml:space="preserve"> </w:t>
      </w:r>
      <w:r w:rsidRPr="000A20E2">
        <w:rPr>
          <w:rFonts w:cstheme="minorHAnsi"/>
        </w:rPr>
        <w:t xml:space="preserve">In all </w:t>
      </w:r>
      <w:r w:rsidR="00C90648" w:rsidRPr="000A20E2">
        <w:rPr>
          <w:rFonts w:cstheme="minorHAnsi"/>
        </w:rPr>
        <w:t xml:space="preserve">known </w:t>
      </w:r>
      <w:r w:rsidRPr="000A20E2">
        <w:rPr>
          <w:rFonts w:cstheme="minorHAnsi"/>
        </w:rPr>
        <w:t>countries, th</w:t>
      </w:r>
      <w:r w:rsidR="00C90648" w:rsidRPr="000A20E2">
        <w:rPr>
          <w:rFonts w:cstheme="minorHAnsi"/>
        </w:rPr>
        <w:t>e</w:t>
      </w:r>
      <w:r w:rsidRPr="000A20E2">
        <w:rPr>
          <w:rFonts w:cstheme="minorHAnsi"/>
        </w:rPr>
        <w:t xml:space="preserve"> default is ‘non-union’.</w:t>
      </w:r>
      <w:r w:rsidR="005A77B4" w:rsidRPr="000A20E2">
        <w:rPr>
          <w:rFonts w:cstheme="minorHAnsi"/>
        </w:rPr>
        <w:t xml:space="preserve"> </w:t>
      </w:r>
      <w:r w:rsidRPr="000A20E2">
        <w:rPr>
          <w:rFonts w:cstheme="minorHAnsi"/>
        </w:rPr>
        <w:t>So, if employee</w:t>
      </w:r>
      <w:r w:rsidR="00C90648" w:rsidRPr="000A20E2">
        <w:rPr>
          <w:rFonts w:cstheme="minorHAnsi"/>
        </w:rPr>
        <w:t>s</w:t>
      </w:r>
      <w:r w:rsidRPr="000A20E2">
        <w:rPr>
          <w:rFonts w:cstheme="minorHAnsi"/>
        </w:rPr>
        <w:t xml:space="preserve"> do </w:t>
      </w:r>
      <w:r w:rsidRPr="000A20E2">
        <w:rPr>
          <w:rFonts w:cstheme="minorHAnsi"/>
          <w:i/>
          <w:iCs/>
        </w:rPr>
        <w:t>not</w:t>
      </w:r>
      <w:r w:rsidRPr="000A20E2">
        <w:rPr>
          <w:rFonts w:cstheme="minorHAnsi"/>
        </w:rPr>
        <w:t xml:space="preserve"> actively choose to be either in or out of a union, </w:t>
      </w:r>
      <w:r w:rsidR="00C90648" w:rsidRPr="000A20E2">
        <w:rPr>
          <w:rFonts w:cstheme="minorHAnsi"/>
        </w:rPr>
        <w:t>they will</w:t>
      </w:r>
      <w:r w:rsidRPr="000A20E2">
        <w:rPr>
          <w:rFonts w:cstheme="minorHAnsi"/>
        </w:rPr>
        <w:t xml:space="preserve"> </w:t>
      </w:r>
      <w:r w:rsidRPr="000A20E2">
        <w:rPr>
          <w:rFonts w:cstheme="minorHAnsi"/>
          <w:i/>
          <w:iCs/>
        </w:rPr>
        <w:t>not</w:t>
      </w:r>
      <w:r w:rsidR="007715A5" w:rsidRPr="000A20E2">
        <w:rPr>
          <w:rFonts w:cstheme="minorHAnsi"/>
        </w:rPr>
        <w:t xml:space="preserve"> be</w:t>
      </w:r>
      <w:r w:rsidR="00741515" w:rsidRPr="000A20E2">
        <w:rPr>
          <w:rFonts w:cstheme="minorHAnsi"/>
        </w:rPr>
        <w:t xml:space="preserve"> union member</w:t>
      </w:r>
      <w:r w:rsidR="00C90648" w:rsidRPr="000A20E2">
        <w:rPr>
          <w:rFonts w:cstheme="minorHAnsi"/>
        </w:rPr>
        <w:t>s</w:t>
      </w:r>
      <w:r w:rsidR="00163ADF" w:rsidRPr="000A20E2">
        <w:rPr>
          <w:rFonts w:cstheme="minorHAnsi"/>
        </w:rPr>
        <w:t>.</w:t>
      </w:r>
      <w:r w:rsidR="00B25D6D" w:rsidRPr="000A20E2">
        <w:rPr>
          <w:rStyle w:val="FootnoteReference"/>
          <w:rFonts w:cstheme="minorHAnsi"/>
        </w:rPr>
        <w:footnoteReference w:id="27"/>
      </w:r>
      <w:r w:rsidR="004920B0" w:rsidRPr="000A20E2">
        <w:rPr>
          <w:rFonts w:cstheme="minorHAnsi"/>
        </w:rPr>
        <w:t xml:space="preserve"> </w:t>
      </w:r>
      <w:r w:rsidR="00741515" w:rsidRPr="000A20E2">
        <w:rPr>
          <w:rFonts w:cstheme="minorHAnsi"/>
        </w:rPr>
        <w:t>T</w:t>
      </w:r>
      <w:r w:rsidR="007715A5" w:rsidRPr="000A20E2">
        <w:rPr>
          <w:rFonts w:cstheme="minorHAnsi"/>
        </w:rPr>
        <w:t xml:space="preserve">he starting position in the employment relationship, in the </w:t>
      </w:r>
      <w:r w:rsidR="00163ADF" w:rsidRPr="000A20E2">
        <w:rPr>
          <w:rFonts w:cstheme="minorHAnsi"/>
        </w:rPr>
        <w:t>absence of consciously choosing to be a union member or not, is</w:t>
      </w:r>
      <w:r w:rsidR="005A77B4" w:rsidRPr="000A20E2">
        <w:rPr>
          <w:rFonts w:cstheme="minorHAnsi"/>
        </w:rPr>
        <w:t xml:space="preserve"> </w:t>
      </w:r>
      <w:r w:rsidR="004C23F5" w:rsidRPr="000A20E2">
        <w:rPr>
          <w:rFonts w:cstheme="minorHAnsi"/>
        </w:rPr>
        <w:t>‘</w:t>
      </w:r>
      <w:r w:rsidR="00F004E4" w:rsidRPr="000A20E2">
        <w:rPr>
          <w:rFonts w:cstheme="minorHAnsi"/>
        </w:rPr>
        <w:t>no union membership</w:t>
      </w:r>
      <w:r w:rsidR="00163ADF" w:rsidRPr="000A20E2">
        <w:rPr>
          <w:rFonts w:cstheme="minorHAnsi"/>
        </w:rPr>
        <w:t>’.</w:t>
      </w:r>
      <w:r w:rsidR="00840EA1">
        <w:rPr>
          <w:rStyle w:val="FootnoteReference"/>
          <w:rFonts w:cstheme="minorHAnsi"/>
        </w:rPr>
        <w:footnoteReference w:id="28"/>
      </w:r>
      <w:r w:rsidR="005A77B4" w:rsidRPr="000A20E2">
        <w:rPr>
          <w:rFonts w:cstheme="minorHAnsi"/>
        </w:rPr>
        <w:t xml:space="preserve"> </w:t>
      </w:r>
      <w:r w:rsidR="00BF591D" w:rsidRPr="000A20E2">
        <w:rPr>
          <w:rFonts w:cstheme="minorHAnsi"/>
        </w:rPr>
        <w:t>This results from unions being ‘secondary’ or ‘intermediate’ organisations</w:t>
      </w:r>
      <w:r w:rsidR="00840EA1">
        <w:rPr>
          <w:rStyle w:val="FootnoteReference"/>
          <w:rFonts w:cstheme="minorHAnsi"/>
        </w:rPr>
        <w:footnoteReference w:id="29"/>
      </w:r>
      <w:r w:rsidR="00B821B6" w:rsidRPr="000A20E2">
        <w:rPr>
          <w:rFonts w:cstheme="minorHAnsi"/>
        </w:rPr>
        <w:t xml:space="preserve"> </w:t>
      </w:r>
      <w:r w:rsidR="00C90648" w:rsidRPr="000A20E2">
        <w:rPr>
          <w:rFonts w:cstheme="minorHAnsi"/>
        </w:rPr>
        <w:t xml:space="preserve"> because, and flowing </w:t>
      </w:r>
      <w:r w:rsidR="00764F74" w:rsidRPr="000A20E2">
        <w:rPr>
          <w:rFonts w:cstheme="minorHAnsi"/>
        </w:rPr>
        <w:t xml:space="preserve">from </w:t>
      </w:r>
      <w:r w:rsidR="009F6A60" w:rsidRPr="000A20E2">
        <w:rPr>
          <w:rFonts w:cstheme="minorHAnsi"/>
        </w:rPr>
        <w:t>employer own</w:t>
      </w:r>
      <w:r w:rsidR="00C90648" w:rsidRPr="000A20E2">
        <w:rPr>
          <w:rFonts w:cstheme="minorHAnsi"/>
        </w:rPr>
        <w:t xml:space="preserve">ership </w:t>
      </w:r>
      <w:r w:rsidR="009F6A60" w:rsidRPr="000A20E2">
        <w:rPr>
          <w:rFonts w:cstheme="minorHAnsi"/>
        </w:rPr>
        <w:t>and control, workers are already organised by employers into units of organisational association. However, this also results from employers</w:t>
      </w:r>
      <w:r w:rsidR="00CF1D41" w:rsidRPr="000A20E2">
        <w:rPr>
          <w:rFonts w:cstheme="minorHAnsi"/>
        </w:rPr>
        <w:t>’</w:t>
      </w:r>
      <w:r w:rsidR="009F6A60" w:rsidRPr="000A20E2">
        <w:rPr>
          <w:rFonts w:cstheme="minorHAnsi"/>
        </w:rPr>
        <w:t xml:space="preserve"> conscious choice not to have union membership as a default due to attitudes ranging from hostility to</w:t>
      </w:r>
      <w:r w:rsidR="00FD59CA" w:rsidRPr="000A20E2">
        <w:rPr>
          <w:rFonts w:cstheme="minorHAnsi"/>
        </w:rPr>
        <w:t>,</w:t>
      </w:r>
      <w:r w:rsidR="009F6A60" w:rsidRPr="000A20E2">
        <w:rPr>
          <w:rFonts w:cstheme="minorHAnsi"/>
        </w:rPr>
        <w:t xml:space="preserve"> </w:t>
      </w:r>
      <w:r w:rsidR="000F5CFA" w:rsidRPr="000A20E2">
        <w:rPr>
          <w:rFonts w:cstheme="minorHAnsi"/>
        </w:rPr>
        <w:t xml:space="preserve">and </w:t>
      </w:r>
      <w:r w:rsidR="009F6A60" w:rsidRPr="000A20E2">
        <w:rPr>
          <w:rFonts w:cstheme="minorHAnsi"/>
        </w:rPr>
        <w:t>agnosticism about</w:t>
      </w:r>
      <w:r w:rsidR="00FD59CA" w:rsidRPr="000A20E2">
        <w:rPr>
          <w:rFonts w:cstheme="minorHAnsi"/>
        </w:rPr>
        <w:t>,</w:t>
      </w:r>
      <w:r w:rsidR="009F6A60" w:rsidRPr="000A20E2">
        <w:rPr>
          <w:rFonts w:cstheme="minorHAnsi"/>
        </w:rPr>
        <w:t xml:space="preserve"> unions.</w:t>
      </w:r>
      <w:r w:rsidR="000F5CFA" w:rsidRPr="000A20E2">
        <w:rPr>
          <w:rFonts w:cstheme="minorHAnsi"/>
        </w:rPr>
        <w:t xml:space="preserve"> </w:t>
      </w:r>
      <w:r w:rsidR="00163ADF" w:rsidRPr="000A20E2">
        <w:rPr>
          <w:rFonts w:cstheme="minorHAnsi"/>
        </w:rPr>
        <w:t xml:space="preserve">The </w:t>
      </w:r>
      <w:r w:rsidR="009F6A60" w:rsidRPr="000A20E2">
        <w:rPr>
          <w:rFonts w:cstheme="minorHAnsi"/>
        </w:rPr>
        <w:t xml:space="preserve">consequence </w:t>
      </w:r>
      <w:r w:rsidR="00163ADF" w:rsidRPr="000A20E2">
        <w:rPr>
          <w:rFonts w:cstheme="minorHAnsi"/>
        </w:rPr>
        <w:t xml:space="preserve">is that many employees, probably </w:t>
      </w:r>
      <w:r w:rsidR="000F5CFA" w:rsidRPr="000A20E2">
        <w:rPr>
          <w:rFonts w:cstheme="minorHAnsi"/>
        </w:rPr>
        <w:t>most</w:t>
      </w:r>
      <w:r w:rsidR="00163ADF" w:rsidRPr="000A20E2">
        <w:rPr>
          <w:rFonts w:cstheme="minorHAnsi"/>
        </w:rPr>
        <w:t xml:space="preserve">, have never </w:t>
      </w:r>
      <w:r w:rsidR="004C23F5" w:rsidRPr="000A20E2">
        <w:rPr>
          <w:rFonts w:cstheme="minorHAnsi"/>
        </w:rPr>
        <w:t xml:space="preserve">actively or consciously </w:t>
      </w:r>
      <w:r w:rsidR="00163ADF" w:rsidRPr="000A20E2">
        <w:rPr>
          <w:rFonts w:cstheme="minorHAnsi"/>
        </w:rPr>
        <w:t xml:space="preserve">chosen </w:t>
      </w:r>
      <w:r w:rsidR="00301D5D" w:rsidRPr="000A20E2">
        <w:rPr>
          <w:rFonts w:cstheme="minorHAnsi"/>
        </w:rPr>
        <w:t>their non-union status</w:t>
      </w:r>
      <w:r w:rsidR="00E53F3E" w:rsidRPr="000A20E2">
        <w:rPr>
          <w:rFonts w:cstheme="minorHAnsi"/>
        </w:rPr>
        <w:t xml:space="preserve"> (even if the extent of the impact of this does vary by country)</w:t>
      </w:r>
      <w:r w:rsidR="00163ADF" w:rsidRPr="000A20E2">
        <w:rPr>
          <w:rFonts w:cstheme="minorHAnsi"/>
          <w:b/>
        </w:rPr>
        <w:t>.</w:t>
      </w:r>
      <w:r w:rsidR="005A77B4" w:rsidRPr="000A20E2">
        <w:rPr>
          <w:rFonts w:cstheme="minorHAnsi"/>
        </w:rPr>
        <w:t xml:space="preserve"> </w:t>
      </w:r>
      <w:r w:rsidR="00163ADF" w:rsidRPr="000A20E2">
        <w:rPr>
          <w:rFonts w:cstheme="minorHAnsi"/>
        </w:rPr>
        <w:t xml:space="preserve">They have simply been defaulted to </w:t>
      </w:r>
      <w:r w:rsidR="00741515" w:rsidRPr="000A20E2">
        <w:rPr>
          <w:rFonts w:cstheme="minorHAnsi"/>
        </w:rPr>
        <w:t>it</w:t>
      </w:r>
      <w:r w:rsidR="00085EED" w:rsidRPr="000A20E2">
        <w:rPr>
          <w:rFonts w:cstheme="minorHAnsi"/>
        </w:rPr>
        <w:t>.</w:t>
      </w:r>
      <w:r w:rsidR="004920B0" w:rsidRPr="000A20E2">
        <w:rPr>
          <w:rFonts w:cstheme="minorHAnsi"/>
        </w:rPr>
        <w:t xml:space="preserve"> </w:t>
      </w:r>
      <w:r w:rsidR="00C0319B" w:rsidRPr="000A20E2">
        <w:rPr>
          <w:rFonts w:cstheme="minorHAnsi"/>
        </w:rPr>
        <w:t xml:space="preserve">Yet, their non-union status is </w:t>
      </w:r>
      <w:r w:rsidR="00085EED" w:rsidRPr="000A20E2">
        <w:rPr>
          <w:rFonts w:cstheme="minorHAnsi"/>
        </w:rPr>
        <w:t>often</w:t>
      </w:r>
      <w:r w:rsidR="00C0319B" w:rsidRPr="000A20E2">
        <w:rPr>
          <w:rFonts w:cstheme="minorHAnsi"/>
        </w:rPr>
        <w:t xml:space="preserve"> assumed to be a product of </w:t>
      </w:r>
      <w:r w:rsidR="00741515" w:rsidRPr="000A20E2">
        <w:rPr>
          <w:rFonts w:cstheme="minorHAnsi"/>
        </w:rPr>
        <w:t>deliberate choice</w:t>
      </w:r>
      <w:r w:rsidR="00085EED" w:rsidRPr="000A20E2">
        <w:rPr>
          <w:rFonts w:cstheme="minorHAnsi"/>
        </w:rPr>
        <w:t>.</w:t>
      </w:r>
      <w:r w:rsidR="006D7B2F" w:rsidRPr="000A20E2">
        <w:rPr>
          <w:rFonts w:cstheme="minorHAnsi"/>
        </w:rPr>
        <w:t xml:space="preserve"> </w:t>
      </w:r>
    </w:p>
    <w:p w14:paraId="5211CA85" w14:textId="77777777" w:rsidR="006D7B2F" w:rsidRPr="000A20E2" w:rsidRDefault="006D7B2F" w:rsidP="000A20E2">
      <w:pPr>
        <w:spacing w:after="0" w:line="240" w:lineRule="auto"/>
        <w:jc w:val="both"/>
        <w:rPr>
          <w:rFonts w:cstheme="minorHAnsi"/>
          <w:b/>
          <w:bCs/>
        </w:rPr>
      </w:pPr>
    </w:p>
    <w:p w14:paraId="0F9330E7" w14:textId="1F764016" w:rsidR="00413205" w:rsidRPr="006C1DA2" w:rsidRDefault="00413205" w:rsidP="006C1DA2">
      <w:pPr>
        <w:pStyle w:val="ListParagraph"/>
        <w:numPr>
          <w:ilvl w:val="0"/>
          <w:numId w:val="28"/>
        </w:numPr>
        <w:spacing w:after="0" w:line="240" w:lineRule="auto"/>
        <w:jc w:val="both"/>
        <w:rPr>
          <w:rFonts w:cstheme="minorHAnsi"/>
        </w:rPr>
      </w:pPr>
      <w:r w:rsidRPr="006C1DA2">
        <w:rPr>
          <w:rFonts w:cstheme="minorHAnsi"/>
          <w:b/>
          <w:bCs/>
        </w:rPr>
        <w:t xml:space="preserve">Default </w:t>
      </w:r>
      <w:r w:rsidR="004C23F5" w:rsidRPr="006C1DA2">
        <w:rPr>
          <w:rFonts w:cstheme="minorHAnsi"/>
          <w:b/>
          <w:bCs/>
        </w:rPr>
        <w:t>e</w:t>
      </w:r>
      <w:r w:rsidRPr="006C1DA2">
        <w:rPr>
          <w:rFonts w:cstheme="minorHAnsi"/>
          <w:b/>
          <w:bCs/>
        </w:rPr>
        <w:t>ffect</w:t>
      </w:r>
      <w:r w:rsidR="00785978" w:rsidRPr="006C1DA2">
        <w:rPr>
          <w:rFonts w:cstheme="minorHAnsi"/>
          <w:b/>
          <w:bCs/>
        </w:rPr>
        <w:t>s:</w:t>
      </w:r>
      <w:r w:rsidR="005A77B4" w:rsidRPr="006C1DA2">
        <w:rPr>
          <w:rFonts w:cstheme="minorHAnsi"/>
          <w:b/>
          <w:bCs/>
        </w:rPr>
        <w:t xml:space="preserve"> </w:t>
      </w:r>
      <w:r w:rsidR="004C23F5" w:rsidRPr="006C1DA2">
        <w:rPr>
          <w:rFonts w:cstheme="minorHAnsi"/>
          <w:b/>
          <w:bCs/>
        </w:rPr>
        <w:t>the empirical evi</w:t>
      </w:r>
      <w:r w:rsidR="00785978" w:rsidRPr="006C1DA2">
        <w:rPr>
          <w:rFonts w:cstheme="minorHAnsi"/>
          <w:b/>
          <w:bCs/>
        </w:rPr>
        <w:t>dence</w:t>
      </w:r>
      <w:r w:rsidR="005A77B4" w:rsidRPr="006C1DA2">
        <w:rPr>
          <w:rFonts w:cstheme="minorHAnsi"/>
          <w:b/>
          <w:bCs/>
        </w:rPr>
        <w:t xml:space="preserve"> </w:t>
      </w:r>
    </w:p>
    <w:p w14:paraId="460070D9" w14:textId="77777777" w:rsidR="006C1DA2" w:rsidRDefault="006C1DA2" w:rsidP="006C1DA2">
      <w:pPr>
        <w:spacing w:after="0" w:line="240" w:lineRule="auto"/>
        <w:jc w:val="both"/>
        <w:rPr>
          <w:rFonts w:cstheme="minorHAnsi"/>
        </w:rPr>
      </w:pPr>
    </w:p>
    <w:p w14:paraId="1CC7C691" w14:textId="12C56509" w:rsidR="00D66FE2" w:rsidRPr="00A860DC" w:rsidRDefault="00B60DAC" w:rsidP="006C1DA2">
      <w:pPr>
        <w:spacing w:after="0" w:line="240" w:lineRule="auto"/>
        <w:jc w:val="both"/>
        <w:rPr>
          <w:rFonts w:cstheme="minorHAnsi"/>
        </w:rPr>
      </w:pPr>
      <w:r w:rsidRPr="000A20E2">
        <w:rPr>
          <w:rFonts w:cstheme="minorHAnsi"/>
        </w:rPr>
        <w:t xml:space="preserve">The non-union default could have a substantial </w:t>
      </w:r>
      <w:r w:rsidR="00401F65" w:rsidRPr="000A20E2">
        <w:rPr>
          <w:rFonts w:cstheme="minorHAnsi"/>
        </w:rPr>
        <w:t xml:space="preserve">negative </w:t>
      </w:r>
      <w:r w:rsidRPr="000A20E2">
        <w:rPr>
          <w:rFonts w:cstheme="minorHAnsi"/>
        </w:rPr>
        <w:t>impact</w:t>
      </w:r>
      <w:r w:rsidR="00E84C50" w:rsidRPr="000A20E2">
        <w:rPr>
          <w:rFonts w:cstheme="minorHAnsi"/>
        </w:rPr>
        <w:t xml:space="preserve"> on the numbers of employees joining a union</w:t>
      </w:r>
      <w:r w:rsidR="007D62A1" w:rsidRPr="000A20E2">
        <w:rPr>
          <w:rFonts w:cstheme="minorHAnsi"/>
        </w:rPr>
        <w:t xml:space="preserve"> as a consequence</w:t>
      </w:r>
      <w:r w:rsidRPr="000A20E2">
        <w:rPr>
          <w:rFonts w:cstheme="minorHAnsi"/>
        </w:rPr>
        <w:t xml:space="preserve"> of the </w:t>
      </w:r>
      <w:r w:rsidRPr="00A860DC">
        <w:rPr>
          <w:rFonts w:cstheme="minorHAnsi"/>
          <w:iCs/>
        </w:rPr>
        <w:t>default effect.</w:t>
      </w:r>
      <w:r w:rsidR="005A77B4" w:rsidRPr="000A20E2">
        <w:rPr>
          <w:rFonts w:cstheme="minorHAnsi"/>
          <w:i/>
          <w:iCs/>
        </w:rPr>
        <w:t xml:space="preserve"> </w:t>
      </w:r>
      <w:r w:rsidR="00022437" w:rsidRPr="000A20E2">
        <w:rPr>
          <w:rFonts w:cstheme="minorHAnsi"/>
        </w:rPr>
        <w:t>Th</w:t>
      </w:r>
      <w:r w:rsidR="000F5CFA" w:rsidRPr="000A20E2">
        <w:rPr>
          <w:rFonts w:cstheme="minorHAnsi"/>
        </w:rPr>
        <w:t xml:space="preserve">is </w:t>
      </w:r>
      <w:r w:rsidR="00022437" w:rsidRPr="000A20E2">
        <w:rPr>
          <w:rFonts w:cstheme="minorHAnsi"/>
        </w:rPr>
        <w:t xml:space="preserve">refers to the increased probability an option will be </w:t>
      </w:r>
      <w:r w:rsidR="00BB04EF" w:rsidRPr="000A20E2">
        <w:rPr>
          <w:rFonts w:cstheme="minorHAnsi"/>
        </w:rPr>
        <w:t>selected</w:t>
      </w:r>
      <w:r w:rsidR="00022437" w:rsidRPr="000A20E2">
        <w:rPr>
          <w:rFonts w:cstheme="minorHAnsi"/>
        </w:rPr>
        <w:t xml:space="preserve"> </w:t>
      </w:r>
      <w:r w:rsidR="00F004E4" w:rsidRPr="000A20E2">
        <w:rPr>
          <w:rFonts w:cstheme="minorHAnsi"/>
        </w:rPr>
        <w:t>just because it has been</w:t>
      </w:r>
      <w:r w:rsidR="00022437" w:rsidRPr="000A20E2">
        <w:rPr>
          <w:rFonts w:cstheme="minorHAnsi"/>
        </w:rPr>
        <w:t xml:space="preserve"> </w:t>
      </w:r>
      <w:r w:rsidR="00BB04EF" w:rsidRPr="000A20E2">
        <w:rPr>
          <w:rFonts w:cstheme="minorHAnsi"/>
        </w:rPr>
        <w:t>specified as the</w:t>
      </w:r>
      <w:r w:rsidR="00022437" w:rsidRPr="000A20E2">
        <w:rPr>
          <w:rFonts w:cstheme="minorHAnsi"/>
        </w:rPr>
        <w:t xml:space="preserve"> default.</w:t>
      </w:r>
      <w:r w:rsidR="005A77B4" w:rsidRPr="000A20E2">
        <w:rPr>
          <w:rFonts w:cstheme="minorHAnsi"/>
        </w:rPr>
        <w:t xml:space="preserve"> </w:t>
      </w:r>
      <w:r w:rsidR="001B1EC4" w:rsidRPr="000A20E2">
        <w:rPr>
          <w:rFonts w:cstheme="minorHAnsi"/>
        </w:rPr>
        <w:t>Thus, specifying non-union</w:t>
      </w:r>
      <w:r w:rsidR="000F5CFA" w:rsidRPr="000A20E2">
        <w:rPr>
          <w:rFonts w:cstheme="minorHAnsi"/>
        </w:rPr>
        <w:t>ism</w:t>
      </w:r>
      <w:r w:rsidR="001B1EC4" w:rsidRPr="000A20E2">
        <w:rPr>
          <w:rFonts w:cstheme="minorHAnsi"/>
        </w:rPr>
        <w:t xml:space="preserve"> as the default increases the probability workers will remain non-union, effectively</w:t>
      </w:r>
      <w:r w:rsidR="001B1EC4" w:rsidRPr="00A860DC">
        <w:rPr>
          <w:rFonts w:cstheme="minorHAnsi"/>
        </w:rPr>
        <w:t xml:space="preserve"> </w:t>
      </w:r>
      <w:r w:rsidR="001B1EC4" w:rsidRPr="00A860DC">
        <w:rPr>
          <w:rFonts w:cstheme="minorHAnsi"/>
          <w:iCs/>
        </w:rPr>
        <w:t>by default</w:t>
      </w:r>
      <w:r w:rsidR="001B1EC4" w:rsidRPr="00A860DC">
        <w:rPr>
          <w:rFonts w:cstheme="minorHAnsi"/>
        </w:rPr>
        <w:t>.</w:t>
      </w:r>
      <w:r w:rsidR="009F6A60" w:rsidRPr="00A860DC">
        <w:rPr>
          <w:rFonts w:cstheme="minorHAnsi"/>
        </w:rPr>
        <w:t xml:space="preserve"> </w:t>
      </w:r>
      <w:r w:rsidR="001B1EC4" w:rsidRPr="00A860DC">
        <w:rPr>
          <w:rFonts w:cstheme="minorHAnsi"/>
        </w:rPr>
        <w:t xml:space="preserve">The </w:t>
      </w:r>
      <w:r w:rsidR="001B1EC4" w:rsidRPr="00A860DC">
        <w:rPr>
          <w:rFonts w:cstheme="minorHAnsi"/>
          <w:iCs/>
        </w:rPr>
        <w:t>default effect</w:t>
      </w:r>
      <w:r w:rsidR="00022437" w:rsidRPr="00A860DC">
        <w:rPr>
          <w:rFonts w:cstheme="minorHAnsi"/>
        </w:rPr>
        <w:t xml:space="preserve"> is an empirically substantiated finding across many experimental and observational studies</w:t>
      </w:r>
      <w:r w:rsidR="00BB04EF" w:rsidRPr="00A860DC">
        <w:rPr>
          <w:rFonts w:cstheme="minorHAnsi"/>
        </w:rPr>
        <w:t xml:space="preserve"> in a wide range of decision-making contexts.</w:t>
      </w:r>
      <w:r w:rsidR="004920B0" w:rsidRPr="00A860DC">
        <w:rPr>
          <w:rFonts w:cstheme="minorHAnsi"/>
        </w:rPr>
        <w:t xml:space="preserve"> </w:t>
      </w:r>
      <w:r w:rsidR="003D08CF" w:rsidRPr="00A860DC">
        <w:rPr>
          <w:rFonts w:cstheme="minorHAnsi"/>
        </w:rPr>
        <w:t>These include</w:t>
      </w:r>
      <w:r w:rsidR="00E025A9" w:rsidRPr="00A860DC">
        <w:rPr>
          <w:rFonts w:cstheme="minorHAnsi"/>
        </w:rPr>
        <w:t xml:space="preserve"> </w:t>
      </w:r>
      <w:r w:rsidR="003378DD" w:rsidRPr="00A860DC">
        <w:rPr>
          <w:rFonts w:cstheme="minorHAnsi"/>
        </w:rPr>
        <w:t>charitable donations,</w:t>
      </w:r>
      <w:r w:rsidR="00840EA1" w:rsidRPr="00A860DC">
        <w:rPr>
          <w:rStyle w:val="FootnoteReference"/>
          <w:rFonts w:cstheme="minorHAnsi"/>
        </w:rPr>
        <w:footnoteReference w:id="30"/>
      </w:r>
      <w:r w:rsidR="003378DD" w:rsidRPr="00A860DC">
        <w:rPr>
          <w:rFonts w:cstheme="minorHAnsi"/>
        </w:rPr>
        <w:t xml:space="preserve"> </w:t>
      </w:r>
      <w:r w:rsidR="0070670F" w:rsidRPr="00A860DC">
        <w:rPr>
          <w:rFonts w:cstheme="minorHAnsi"/>
        </w:rPr>
        <w:t>car insurance</w:t>
      </w:r>
      <w:r w:rsidR="003D08CF" w:rsidRPr="00A860DC">
        <w:rPr>
          <w:rFonts w:cstheme="minorHAnsi"/>
        </w:rPr>
        <w:t xml:space="preserve"> purchases</w:t>
      </w:r>
      <w:r w:rsidR="0070670F" w:rsidRPr="00A860DC">
        <w:rPr>
          <w:rFonts w:cstheme="minorHAnsi"/>
        </w:rPr>
        <w:t>,</w:t>
      </w:r>
      <w:r w:rsidR="00AD67B6" w:rsidRPr="00A860DC">
        <w:rPr>
          <w:rStyle w:val="FootnoteReference"/>
          <w:rFonts w:cstheme="minorHAnsi"/>
        </w:rPr>
        <w:footnoteReference w:id="31"/>
      </w:r>
      <w:r w:rsidR="0070670F" w:rsidRPr="00A860DC">
        <w:rPr>
          <w:rFonts w:cstheme="minorHAnsi"/>
        </w:rPr>
        <w:t xml:space="preserve"> </w:t>
      </w:r>
      <w:r w:rsidR="00635CEE" w:rsidRPr="00A860DC">
        <w:rPr>
          <w:rFonts w:cstheme="minorHAnsi"/>
        </w:rPr>
        <w:t xml:space="preserve">consumer product </w:t>
      </w:r>
      <w:r w:rsidR="003D08CF" w:rsidRPr="00A860DC">
        <w:rPr>
          <w:rFonts w:cstheme="minorHAnsi"/>
        </w:rPr>
        <w:t>selections</w:t>
      </w:r>
      <w:r w:rsidR="00635CEE" w:rsidRPr="00A860DC">
        <w:rPr>
          <w:rFonts w:cstheme="minorHAnsi"/>
        </w:rPr>
        <w:t>,</w:t>
      </w:r>
      <w:r w:rsidR="00A860DC" w:rsidRPr="00A860DC">
        <w:rPr>
          <w:rStyle w:val="FootnoteReference"/>
          <w:rFonts w:cstheme="minorHAnsi"/>
        </w:rPr>
        <w:footnoteReference w:id="32"/>
      </w:r>
      <w:r w:rsidR="00635CEE" w:rsidRPr="00A860DC">
        <w:rPr>
          <w:rFonts w:cstheme="minorHAnsi"/>
        </w:rPr>
        <w:t xml:space="preserve"> medical decisions</w:t>
      </w:r>
      <w:r w:rsidR="000E27C3" w:rsidRPr="00A860DC">
        <w:rPr>
          <w:rFonts w:cstheme="minorHAnsi"/>
        </w:rPr>
        <w:t>,</w:t>
      </w:r>
      <w:r w:rsidR="00A860DC" w:rsidRPr="00A860DC">
        <w:rPr>
          <w:rStyle w:val="FootnoteReference"/>
          <w:rFonts w:cstheme="minorHAnsi"/>
        </w:rPr>
        <w:footnoteReference w:id="33"/>
      </w:r>
      <w:r w:rsidR="000E27C3" w:rsidRPr="00A860DC">
        <w:rPr>
          <w:rFonts w:cstheme="minorHAnsi"/>
        </w:rPr>
        <w:t xml:space="preserve"> </w:t>
      </w:r>
      <w:r w:rsidR="0070670F" w:rsidRPr="00A860DC">
        <w:rPr>
          <w:rFonts w:cstheme="minorHAnsi"/>
        </w:rPr>
        <w:t>green electricity</w:t>
      </w:r>
      <w:r w:rsidR="003D08CF" w:rsidRPr="00A860DC">
        <w:rPr>
          <w:rFonts w:cstheme="minorHAnsi"/>
        </w:rPr>
        <w:t xml:space="preserve"> choices</w:t>
      </w:r>
      <w:r w:rsidR="0070670F" w:rsidRPr="00A860DC">
        <w:rPr>
          <w:rFonts w:cstheme="minorHAnsi"/>
        </w:rPr>
        <w:t>,</w:t>
      </w:r>
      <w:r w:rsidR="00A860DC" w:rsidRPr="00A860DC">
        <w:rPr>
          <w:rStyle w:val="FootnoteReference"/>
          <w:rFonts w:cstheme="minorHAnsi"/>
        </w:rPr>
        <w:footnoteReference w:id="34"/>
      </w:r>
      <w:r w:rsidR="0070670F" w:rsidRPr="00A860DC">
        <w:rPr>
          <w:rFonts w:cstheme="minorHAnsi"/>
        </w:rPr>
        <w:t xml:space="preserve"> </w:t>
      </w:r>
      <w:r w:rsidR="000E27C3" w:rsidRPr="00A860DC">
        <w:rPr>
          <w:rFonts w:cstheme="minorHAnsi"/>
        </w:rPr>
        <w:t xml:space="preserve">internet privacy </w:t>
      </w:r>
      <w:r w:rsidR="003D08CF" w:rsidRPr="00A860DC">
        <w:rPr>
          <w:rFonts w:cstheme="minorHAnsi"/>
        </w:rPr>
        <w:t>settings</w:t>
      </w:r>
      <w:r w:rsidR="000E27C3" w:rsidRPr="00A860DC">
        <w:rPr>
          <w:rFonts w:cstheme="minorHAnsi"/>
        </w:rPr>
        <w:t>,</w:t>
      </w:r>
      <w:r w:rsidR="00A860DC" w:rsidRPr="00A860DC">
        <w:rPr>
          <w:rStyle w:val="FootnoteReference"/>
          <w:rFonts w:cstheme="minorHAnsi"/>
        </w:rPr>
        <w:footnoteReference w:id="35"/>
      </w:r>
      <w:r w:rsidR="005A77B4" w:rsidRPr="00A860DC">
        <w:rPr>
          <w:rFonts w:cstheme="minorHAnsi"/>
        </w:rPr>
        <w:t xml:space="preserve"> </w:t>
      </w:r>
      <w:r w:rsidR="000E27C3" w:rsidRPr="00A860DC">
        <w:rPr>
          <w:rFonts w:cstheme="minorHAnsi"/>
        </w:rPr>
        <w:t>organ donations,</w:t>
      </w:r>
      <w:r w:rsidR="00A860DC" w:rsidRPr="00A860DC">
        <w:rPr>
          <w:rStyle w:val="FootnoteReference"/>
          <w:rFonts w:cstheme="minorHAnsi"/>
        </w:rPr>
        <w:footnoteReference w:id="36"/>
      </w:r>
      <w:r w:rsidR="004920B0" w:rsidRPr="00A860DC">
        <w:rPr>
          <w:rFonts w:cstheme="minorHAnsi"/>
        </w:rPr>
        <w:t xml:space="preserve"> </w:t>
      </w:r>
      <w:r w:rsidR="00015A93" w:rsidRPr="00A860DC">
        <w:rPr>
          <w:rFonts w:cstheme="minorHAnsi"/>
        </w:rPr>
        <w:t>healthcare plans,</w:t>
      </w:r>
      <w:r w:rsidR="00A860DC" w:rsidRPr="00A860DC">
        <w:rPr>
          <w:rStyle w:val="FootnoteReference"/>
          <w:rFonts w:cstheme="minorHAnsi"/>
        </w:rPr>
        <w:footnoteReference w:id="37"/>
      </w:r>
      <w:r w:rsidR="003D08CF" w:rsidRPr="00A860DC">
        <w:rPr>
          <w:rFonts w:cstheme="minorHAnsi"/>
        </w:rPr>
        <w:t xml:space="preserve"> savings plan</w:t>
      </w:r>
      <w:r w:rsidR="00015A93" w:rsidRPr="00A860DC">
        <w:rPr>
          <w:rFonts w:cstheme="minorHAnsi"/>
        </w:rPr>
        <w:t>s</w:t>
      </w:r>
      <w:r w:rsidR="003378DD" w:rsidRPr="00A860DC">
        <w:rPr>
          <w:rFonts w:cstheme="minorHAnsi"/>
        </w:rPr>
        <w:t>,</w:t>
      </w:r>
      <w:r w:rsidR="00A860DC" w:rsidRPr="00A860DC">
        <w:rPr>
          <w:rStyle w:val="FootnoteReference"/>
          <w:rFonts w:cstheme="minorHAnsi"/>
        </w:rPr>
        <w:footnoteReference w:id="38"/>
      </w:r>
      <w:r w:rsidR="003378DD" w:rsidRPr="00A860DC">
        <w:rPr>
          <w:rFonts w:cstheme="minorHAnsi"/>
        </w:rPr>
        <w:t xml:space="preserve"> </w:t>
      </w:r>
      <w:r w:rsidR="001B1EC4" w:rsidRPr="00A860DC">
        <w:rPr>
          <w:rFonts w:cstheme="minorHAnsi"/>
        </w:rPr>
        <w:t>and</w:t>
      </w:r>
      <w:r w:rsidR="00BC383E" w:rsidRPr="00A860DC">
        <w:rPr>
          <w:rFonts w:cstheme="minorHAnsi"/>
        </w:rPr>
        <w:t xml:space="preserve"> </w:t>
      </w:r>
      <w:r w:rsidR="00015A93" w:rsidRPr="00A860DC">
        <w:rPr>
          <w:rFonts w:cstheme="minorHAnsi"/>
        </w:rPr>
        <w:t>pension plans</w:t>
      </w:r>
      <w:r w:rsidR="00A860DC" w:rsidRPr="00A860DC">
        <w:rPr>
          <w:rFonts w:cstheme="minorHAnsi"/>
        </w:rPr>
        <w:t>.</w:t>
      </w:r>
      <w:r w:rsidR="00015A93" w:rsidRPr="00A860DC">
        <w:rPr>
          <w:rStyle w:val="FootnoteReference"/>
          <w:rFonts w:cstheme="minorHAnsi"/>
        </w:rPr>
        <w:footnoteReference w:id="39"/>
      </w:r>
      <w:r w:rsidR="004920B0" w:rsidRPr="00A860DC">
        <w:rPr>
          <w:rFonts w:cstheme="minorHAnsi"/>
        </w:rPr>
        <w:t xml:space="preserve"> </w:t>
      </w:r>
      <w:r w:rsidR="001B1EC4" w:rsidRPr="00A860DC">
        <w:rPr>
          <w:rFonts w:cstheme="minorHAnsi"/>
        </w:rPr>
        <w:t>However, other than for pension plans,</w:t>
      </w:r>
      <w:r w:rsidR="00B01F8B" w:rsidRPr="00A860DC">
        <w:rPr>
          <w:rFonts w:cstheme="minorHAnsi"/>
        </w:rPr>
        <w:t xml:space="preserve"> there is </w:t>
      </w:r>
      <w:r w:rsidR="00E025A9" w:rsidRPr="00A860DC">
        <w:rPr>
          <w:rFonts w:cstheme="minorHAnsi"/>
        </w:rPr>
        <w:t>currently</w:t>
      </w:r>
      <w:r w:rsidR="00B01F8B" w:rsidRPr="00A860DC">
        <w:rPr>
          <w:rFonts w:cstheme="minorHAnsi"/>
        </w:rPr>
        <w:t xml:space="preserve"> little work on default effects in</w:t>
      </w:r>
      <w:r w:rsidR="000F5CFA" w:rsidRPr="00A860DC">
        <w:rPr>
          <w:rFonts w:cstheme="minorHAnsi"/>
        </w:rPr>
        <w:t xml:space="preserve"> employment.</w:t>
      </w:r>
      <w:r w:rsidR="005A77B4" w:rsidRPr="00A860DC">
        <w:rPr>
          <w:rFonts w:cstheme="minorHAnsi"/>
        </w:rPr>
        <w:t xml:space="preserve"> </w:t>
      </w:r>
    </w:p>
    <w:p w14:paraId="37196871" w14:textId="313BD337" w:rsidR="00795A05" w:rsidRPr="000A20E2" w:rsidRDefault="00EF7DE9" w:rsidP="000A20E2">
      <w:pPr>
        <w:spacing w:after="0" w:line="240" w:lineRule="auto"/>
        <w:ind w:firstLine="720"/>
        <w:jc w:val="both"/>
        <w:rPr>
          <w:rFonts w:cstheme="minorHAnsi"/>
        </w:rPr>
      </w:pPr>
      <w:r w:rsidRPr="00A860DC">
        <w:rPr>
          <w:rFonts w:cstheme="minorHAnsi"/>
          <w:iCs/>
        </w:rPr>
        <w:t>Default effects</w:t>
      </w:r>
      <w:r w:rsidRPr="00A860DC">
        <w:rPr>
          <w:rFonts w:cstheme="minorHAnsi"/>
        </w:rPr>
        <w:t xml:space="preserve"> are ge</w:t>
      </w:r>
      <w:r w:rsidR="003163C9" w:rsidRPr="00A860DC">
        <w:rPr>
          <w:rFonts w:cstheme="minorHAnsi"/>
        </w:rPr>
        <w:t xml:space="preserve">nerally </w:t>
      </w:r>
      <w:r w:rsidR="00841C17" w:rsidRPr="00A860DC">
        <w:rPr>
          <w:rFonts w:cstheme="minorHAnsi"/>
        </w:rPr>
        <w:t>sizeable:</w:t>
      </w:r>
      <w:r w:rsidR="005A77B4" w:rsidRPr="00A860DC">
        <w:rPr>
          <w:rFonts w:cstheme="minorHAnsi"/>
        </w:rPr>
        <w:t xml:space="preserve"> </w:t>
      </w:r>
      <w:r w:rsidR="003163C9" w:rsidRPr="00A860DC">
        <w:rPr>
          <w:rFonts w:cstheme="minorHAnsi"/>
        </w:rPr>
        <w:t xml:space="preserve">they have a </w:t>
      </w:r>
      <w:r w:rsidR="00841C17" w:rsidRPr="00A860DC">
        <w:rPr>
          <w:rFonts w:cstheme="minorHAnsi"/>
        </w:rPr>
        <w:t>large</w:t>
      </w:r>
      <w:r w:rsidR="003163C9" w:rsidRPr="00A860DC">
        <w:rPr>
          <w:rFonts w:cstheme="minorHAnsi"/>
        </w:rPr>
        <w:t xml:space="preserve"> influence on what people </w:t>
      </w:r>
      <w:r w:rsidR="000F5CFA" w:rsidRPr="00A860DC">
        <w:rPr>
          <w:rFonts w:cstheme="minorHAnsi"/>
        </w:rPr>
        <w:t>‘</w:t>
      </w:r>
      <w:r w:rsidR="003163C9" w:rsidRPr="00A860DC">
        <w:rPr>
          <w:rFonts w:cstheme="minorHAnsi"/>
        </w:rPr>
        <w:t>choose</w:t>
      </w:r>
      <w:r w:rsidR="000F5CFA" w:rsidRPr="00A860DC">
        <w:rPr>
          <w:rFonts w:cstheme="minorHAnsi"/>
        </w:rPr>
        <w:t>’</w:t>
      </w:r>
      <w:r w:rsidR="0070051A" w:rsidRPr="00A860DC">
        <w:rPr>
          <w:rFonts w:cstheme="minorHAnsi"/>
        </w:rPr>
        <w:t>,</w:t>
      </w:r>
      <w:r w:rsidR="003163C9" w:rsidRPr="00A860DC">
        <w:rPr>
          <w:rFonts w:cstheme="minorHAnsi"/>
        </w:rPr>
        <w:t xml:space="preserve"> and </w:t>
      </w:r>
      <w:r w:rsidR="00B260EE" w:rsidRPr="00A860DC">
        <w:rPr>
          <w:rFonts w:cstheme="minorHAnsi"/>
        </w:rPr>
        <w:t>the courses of action they end up taking</w:t>
      </w:r>
      <w:r w:rsidR="00752B3F" w:rsidRPr="00A860DC">
        <w:rPr>
          <w:rFonts w:cstheme="minorHAnsi"/>
        </w:rPr>
        <w:t>, even when there are major financial consequence</w:t>
      </w:r>
      <w:r w:rsidR="00752B3F" w:rsidRPr="000A20E2">
        <w:rPr>
          <w:rFonts w:cstheme="minorHAnsi"/>
        </w:rPr>
        <w:t>s at stake</w:t>
      </w:r>
      <w:r w:rsidR="00B260EE" w:rsidRPr="000A20E2">
        <w:rPr>
          <w:rFonts w:cstheme="minorHAnsi"/>
        </w:rPr>
        <w:t>.</w:t>
      </w:r>
      <w:r w:rsidR="004920B0" w:rsidRPr="000A20E2">
        <w:rPr>
          <w:rFonts w:cstheme="minorHAnsi"/>
        </w:rPr>
        <w:t xml:space="preserve"> </w:t>
      </w:r>
      <w:r w:rsidR="00EC448D" w:rsidRPr="000A20E2">
        <w:rPr>
          <w:rFonts w:cstheme="minorHAnsi"/>
        </w:rPr>
        <w:t>In 2000, when</w:t>
      </w:r>
      <w:r w:rsidR="00124333" w:rsidRPr="000A20E2">
        <w:rPr>
          <w:rFonts w:cstheme="minorHAnsi"/>
        </w:rPr>
        <w:t xml:space="preserve"> Sweden </w:t>
      </w:r>
      <w:r w:rsidR="007D7075" w:rsidRPr="000A20E2">
        <w:rPr>
          <w:rFonts w:cstheme="minorHAnsi"/>
        </w:rPr>
        <w:t xml:space="preserve">introduced substantial elements of </w:t>
      </w:r>
      <w:r w:rsidR="00124333" w:rsidRPr="000A20E2">
        <w:rPr>
          <w:rFonts w:cstheme="minorHAnsi"/>
        </w:rPr>
        <w:t>privat</w:t>
      </w:r>
      <w:r w:rsidR="007D7075" w:rsidRPr="000A20E2">
        <w:rPr>
          <w:rFonts w:cstheme="minorHAnsi"/>
        </w:rPr>
        <w:t xml:space="preserve">e provision into </w:t>
      </w:r>
      <w:r w:rsidR="00124333" w:rsidRPr="000A20E2">
        <w:rPr>
          <w:rFonts w:cstheme="minorHAnsi"/>
        </w:rPr>
        <w:t xml:space="preserve">its social security system, </w:t>
      </w:r>
      <w:r w:rsidR="00867306" w:rsidRPr="000A20E2">
        <w:rPr>
          <w:rFonts w:cstheme="minorHAnsi"/>
        </w:rPr>
        <w:t>citizens</w:t>
      </w:r>
      <w:r w:rsidR="00EC448D" w:rsidRPr="000A20E2">
        <w:rPr>
          <w:rFonts w:cstheme="minorHAnsi"/>
        </w:rPr>
        <w:t xml:space="preserve"> were encouraged </w:t>
      </w:r>
      <w:r w:rsidR="00124333" w:rsidRPr="000A20E2">
        <w:rPr>
          <w:rFonts w:cstheme="minorHAnsi"/>
        </w:rPr>
        <w:t>to choose one of 456 private funds for their pension accruals.</w:t>
      </w:r>
      <w:r w:rsidR="00A860DC">
        <w:rPr>
          <w:rStyle w:val="FootnoteReference"/>
          <w:rFonts w:cstheme="minorHAnsi"/>
        </w:rPr>
        <w:footnoteReference w:id="40"/>
      </w:r>
      <w:r w:rsidR="005A77B4" w:rsidRPr="000A20E2">
        <w:rPr>
          <w:rFonts w:cstheme="minorHAnsi"/>
        </w:rPr>
        <w:t xml:space="preserve"> </w:t>
      </w:r>
      <w:r w:rsidR="00EC448D" w:rsidRPr="000A20E2">
        <w:rPr>
          <w:rFonts w:cstheme="minorHAnsi"/>
        </w:rPr>
        <w:t xml:space="preserve">Despite heavy advertising from the private pension companies, only 67% actively made such a choice and the remaining 33% </w:t>
      </w:r>
      <w:r w:rsidR="0071626E" w:rsidRPr="000A20E2">
        <w:rPr>
          <w:rFonts w:cstheme="minorHAnsi"/>
        </w:rPr>
        <w:t>went with the default</w:t>
      </w:r>
      <w:r w:rsidR="001B1EC4" w:rsidRPr="000A20E2">
        <w:rPr>
          <w:rFonts w:cstheme="minorHAnsi"/>
        </w:rPr>
        <w:t xml:space="preserve"> pension scheme</w:t>
      </w:r>
      <w:r w:rsidR="0071626E" w:rsidRPr="000A20E2">
        <w:rPr>
          <w:rFonts w:cstheme="minorHAnsi"/>
        </w:rPr>
        <w:t>.</w:t>
      </w:r>
      <w:r w:rsidR="00A860DC">
        <w:rPr>
          <w:rStyle w:val="FootnoteReference"/>
          <w:rFonts w:cstheme="minorHAnsi"/>
        </w:rPr>
        <w:footnoteReference w:id="41"/>
      </w:r>
      <w:r w:rsidR="00153BA6" w:rsidRPr="000A20E2">
        <w:rPr>
          <w:rFonts w:cstheme="minorHAnsi"/>
        </w:rPr>
        <w:t xml:space="preserve"> </w:t>
      </w:r>
      <w:r w:rsidR="00015A93" w:rsidRPr="000A20E2">
        <w:rPr>
          <w:rFonts w:cstheme="minorHAnsi"/>
        </w:rPr>
        <w:t xml:space="preserve">Only </w:t>
      </w:r>
      <w:r w:rsidR="00867306" w:rsidRPr="000A20E2">
        <w:rPr>
          <w:rFonts w:cstheme="minorHAnsi"/>
        </w:rPr>
        <w:t>4%</w:t>
      </w:r>
      <w:r w:rsidR="00015A93" w:rsidRPr="000A20E2">
        <w:rPr>
          <w:rFonts w:cstheme="minorHAnsi"/>
        </w:rPr>
        <w:t xml:space="preserve"> selected the next most popular </w:t>
      </w:r>
      <w:r w:rsidR="00CF1D41" w:rsidRPr="000A20E2">
        <w:rPr>
          <w:rFonts w:cstheme="minorHAnsi"/>
        </w:rPr>
        <w:t>option</w:t>
      </w:r>
      <w:r w:rsidR="00015A93" w:rsidRPr="000A20E2">
        <w:rPr>
          <w:rFonts w:cstheme="minorHAnsi"/>
        </w:rPr>
        <w:t xml:space="preserve">, </w:t>
      </w:r>
      <w:r w:rsidR="00CF1D41" w:rsidRPr="000A20E2">
        <w:rPr>
          <w:rFonts w:cstheme="minorHAnsi"/>
        </w:rPr>
        <w:t xml:space="preserve">the </w:t>
      </w:r>
      <w:r w:rsidR="00015A93" w:rsidRPr="000A20E2">
        <w:rPr>
          <w:rFonts w:cstheme="minorHAnsi"/>
        </w:rPr>
        <w:t xml:space="preserve">Robur </w:t>
      </w:r>
      <w:proofErr w:type="spellStart"/>
      <w:r w:rsidR="00015A93" w:rsidRPr="000A20E2">
        <w:rPr>
          <w:rFonts w:cstheme="minorHAnsi"/>
        </w:rPr>
        <w:t>Aktiefond</w:t>
      </w:r>
      <w:proofErr w:type="spellEnd"/>
      <w:r w:rsidR="00CF1D41" w:rsidRPr="000A20E2">
        <w:rPr>
          <w:rFonts w:cstheme="minorHAnsi"/>
        </w:rPr>
        <w:t xml:space="preserve"> fund</w:t>
      </w:r>
      <w:r w:rsidR="00015A93" w:rsidRPr="000A20E2">
        <w:rPr>
          <w:rFonts w:cstheme="minorHAnsi"/>
        </w:rPr>
        <w:t>.</w:t>
      </w:r>
      <w:r w:rsidR="00A860DC">
        <w:rPr>
          <w:rStyle w:val="FootnoteReference"/>
          <w:rFonts w:cstheme="minorHAnsi"/>
        </w:rPr>
        <w:footnoteReference w:id="42"/>
      </w:r>
      <w:r w:rsidR="00927C61" w:rsidRPr="000A20E2">
        <w:rPr>
          <w:rFonts w:cstheme="minorHAnsi"/>
        </w:rPr>
        <w:t xml:space="preserve"> </w:t>
      </w:r>
      <w:r w:rsidR="00795A05" w:rsidRPr="000A20E2">
        <w:rPr>
          <w:rFonts w:cstheme="minorHAnsi"/>
        </w:rPr>
        <w:t>As private pension companies cut back on advertising and those newly joining a pension plan increasingly involved younger workers, reliance on the default rose further.</w:t>
      </w:r>
      <w:r w:rsidR="005A77B4" w:rsidRPr="000A20E2">
        <w:rPr>
          <w:rFonts w:cstheme="minorHAnsi"/>
        </w:rPr>
        <w:t xml:space="preserve"> </w:t>
      </w:r>
      <w:r w:rsidR="00795A05" w:rsidRPr="000A20E2">
        <w:rPr>
          <w:rFonts w:cstheme="minorHAnsi"/>
        </w:rPr>
        <w:t xml:space="preserve">By 2003, 92% of new entrants were opting to stay with the default as their plan, with only </w:t>
      </w:r>
      <w:r w:rsidR="00867306" w:rsidRPr="000A20E2">
        <w:rPr>
          <w:rFonts w:cstheme="minorHAnsi"/>
        </w:rPr>
        <w:t>8%</w:t>
      </w:r>
      <w:r w:rsidR="00795A05" w:rsidRPr="000A20E2">
        <w:rPr>
          <w:rFonts w:cstheme="minorHAnsi"/>
        </w:rPr>
        <w:t xml:space="preserve"> activel</w:t>
      </w:r>
      <w:r w:rsidR="00A860DC">
        <w:rPr>
          <w:rFonts w:cstheme="minorHAnsi"/>
        </w:rPr>
        <w:t>y choosing some alternative</w:t>
      </w:r>
      <w:r w:rsidR="00795A05" w:rsidRPr="000A20E2">
        <w:rPr>
          <w:rFonts w:cstheme="minorHAnsi"/>
        </w:rPr>
        <w:t>.</w:t>
      </w:r>
      <w:r w:rsidR="00A860DC">
        <w:rPr>
          <w:rStyle w:val="FootnoteReference"/>
          <w:rFonts w:cstheme="minorHAnsi"/>
        </w:rPr>
        <w:footnoteReference w:id="43"/>
      </w:r>
      <w:r w:rsidR="008857D3" w:rsidRPr="000A20E2">
        <w:rPr>
          <w:rFonts w:cstheme="minorHAnsi"/>
        </w:rPr>
        <w:t xml:space="preserve"> </w:t>
      </w:r>
    </w:p>
    <w:p w14:paraId="7AFB888F" w14:textId="52EA3266" w:rsidR="00EC710D" w:rsidRPr="000A20E2" w:rsidRDefault="00F97F14" w:rsidP="000A20E2">
      <w:pPr>
        <w:spacing w:after="0" w:line="240" w:lineRule="auto"/>
        <w:ind w:firstLine="720"/>
        <w:jc w:val="both"/>
        <w:rPr>
          <w:rFonts w:cstheme="minorHAnsi"/>
        </w:rPr>
      </w:pPr>
      <w:r w:rsidRPr="000A20E2">
        <w:rPr>
          <w:rFonts w:cstheme="minorHAnsi"/>
        </w:rPr>
        <w:t xml:space="preserve">The </w:t>
      </w:r>
      <w:r w:rsidRPr="00A860DC">
        <w:rPr>
          <w:rFonts w:cstheme="minorHAnsi"/>
          <w:iCs/>
        </w:rPr>
        <w:t>default effect</w:t>
      </w:r>
      <w:r w:rsidRPr="000A20E2">
        <w:rPr>
          <w:rFonts w:cstheme="minorHAnsi"/>
          <w:i/>
          <w:iCs/>
        </w:rPr>
        <w:t xml:space="preserve"> </w:t>
      </w:r>
      <w:r w:rsidRPr="000A20E2">
        <w:rPr>
          <w:rFonts w:cstheme="minorHAnsi"/>
        </w:rPr>
        <w:t>is</w:t>
      </w:r>
      <w:r w:rsidR="00795A05" w:rsidRPr="000A20E2">
        <w:rPr>
          <w:rFonts w:cstheme="minorHAnsi"/>
          <w:i/>
          <w:iCs/>
        </w:rPr>
        <w:t xml:space="preserve"> </w:t>
      </w:r>
      <w:r w:rsidR="00795A05" w:rsidRPr="000A20E2">
        <w:rPr>
          <w:rFonts w:cstheme="minorHAnsi"/>
        </w:rPr>
        <w:t xml:space="preserve">perhaps most </w:t>
      </w:r>
      <w:r w:rsidR="000E586A" w:rsidRPr="000A20E2">
        <w:rPr>
          <w:rFonts w:cstheme="minorHAnsi"/>
        </w:rPr>
        <w:t>apparent</w:t>
      </w:r>
      <w:r w:rsidR="00795A05" w:rsidRPr="000A20E2">
        <w:rPr>
          <w:rFonts w:cstheme="minorHAnsi"/>
        </w:rPr>
        <w:t xml:space="preserve"> in parallel situations with opposite defaults.</w:t>
      </w:r>
      <w:r w:rsidR="005A77B4" w:rsidRPr="000A20E2">
        <w:rPr>
          <w:rFonts w:cstheme="minorHAnsi"/>
        </w:rPr>
        <w:t xml:space="preserve"> </w:t>
      </w:r>
      <w:r w:rsidR="00795A05" w:rsidRPr="000A20E2">
        <w:rPr>
          <w:rFonts w:cstheme="minorHAnsi"/>
        </w:rPr>
        <w:t xml:space="preserve">For example, 80% of New Jersey drivers stayed with car insurance policies where </w:t>
      </w:r>
      <w:r w:rsidR="0047066C" w:rsidRPr="000A20E2">
        <w:rPr>
          <w:rFonts w:cstheme="minorHAnsi"/>
        </w:rPr>
        <w:t xml:space="preserve">there was only </w:t>
      </w:r>
      <w:r w:rsidR="00795A05" w:rsidRPr="000A20E2">
        <w:rPr>
          <w:rFonts w:cstheme="minorHAnsi"/>
        </w:rPr>
        <w:t xml:space="preserve">a </w:t>
      </w:r>
      <w:r w:rsidR="00795A05" w:rsidRPr="000A20E2">
        <w:rPr>
          <w:rFonts w:cstheme="minorHAnsi"/>
          <w:i/>
          <w:iCs/>
        </w:rPr>
        <w:t xml:space="preserve">limited </w:t>
      </w:r>
      <w:r w:rsidR="00795A05" w:rsidRPr="000A20E2">
        <w:rPr>
          <w:rFonts w:cstheme="minorHAnsi"/>
        </w:rPr>
        <w:t>right to sue specified as the state default</w:t>
      </w:r>
      <w:r w:rsidR="0047066C" w:rsidRPr="000A20E2">
        <w:rPr>
          <w:rFonts w:cstheme="minorHAnsi"/>
        </w:rPr>
        <w:t>.</w:t>
      </w:r>
      <w:r w:rsidR="00A860DC">
        <w:rPr>
          <w:rStyle w:val="FootnoteReference"/>
          <w:rFonts w:cstheme="minorHAnsi"/>
        </w:rPr>
        <w:footnoteReference w:id="44"/>
      </w:r>
      <w:r w:rsidR="0047066C" w:rsidRPr="000A20E2">
        <w:rPr>
          <w:rFonts w:cstheme="minorHAnsi"/>
        </w:rPr>
        <w:t xml:space="preserve"> </w:t>
      </w:r>
      <w:r w:rsidR="00795A05" w:rsidRPr="000A20E2">
        <w:rPr>
          <w:rFonts w:cstheme="minorHAnsi"/>
        </w:rPr>
        <w:t>Meanwhile, 75% of Pennsylvania drivers stayed with car insurance policies where a</w:t>
      </w:r>
      <w:r w:rsidR="00795A05" w:rsidRPr="0074247F">
        <w:rPr>
          <w:rFonts w:cstheme="minorHAnsi"/>
        </w:rPr>
        <w:t xml:space="preserve"> </w:t>
      </w:r>
      <w:r w:rsidR="00795A05" w:rsidRPr="0074247F">
        <w:rPr>
          <w:rFonts w:cstheme="minorHAnsi"/>
          <w:iCs/>
        </w:rPr>
        <w:t>full</w:t>
      </w:r>
      <w:r w:rsidR="00795A05" w:rsidRPr="000A20E2">
        <w:rPr>
          <w:rFonts w:cstheme="minorHAnsi"/>
        </w:rPr>
        <w:t xml:space="preserve"> right to sue was specified</w:t>
      </w:r>
      <w:r w:rsidR="00084F8A" w:rsidRPr="000A20E2">
        <w:rPr>
          <w:rFonts w:cstheme="minorHAnsi"/>
        </w:rPr>
        <w:t xml:space="preserve"> as the state default.</w:t>
      </w:r>
      <w:r w:rsidR="0074247F">
        <w:rPr>
          <w:rStyle w:val="FootnoteReference"/>
          <w:rFonts w:cstheme="minorHAnsi"/>
        </w:rPr>
        <w:footnoteReference w:id="45"/>
      </w:r>
      <w:r w:rsidR="00927C61" w:rsidRPr="000A20E2">
        <w:rPr>
          <w:rFonts w:cstheme="minorHAnsi"/>
        </w:rPr>
        <w:t xml:space="preserve"> </w:t>
      </w:r>
      <w:r w:rsidR="00084F8A" w:rsidRPr="000A20E2">
        <w:rPr>
          <w:rFonts w:cstheme="minorHAnsi"/>
        </w:rPr>
        <w:t>Opposite defaults were similarly ‘sticky’.</w:t>
      </w:r>
      <w:r w:rsidR="005A77B4" w:rsidRPr="000A20E2">
        <w:rPr>
          <w:rFonts w:cstheme="minorHAnsi"/>
        </w:rPr>
        <w:t xml:space="preserve"> </w:t>
      </w:r>
      <w:r w:rsidR="00084F8A" w:rsidRPr="000A20E2">
        <w:rPr>
          <w:rFonts w:cstheme="minorHAnsi"/>
        </w:rPr>
        <w:t>An experiment involving 136 staff with limited and full rights to sue alternately provided as the default had similar effects on car insurance choices.</w:t>
      </w:r>
      <w:r w:rsidR="005A77B4" w:rsidRPr="000A20E2">
        <w:rPr>
          <w:rFonts w:cstheme="minorHAnsi"/>
        </w:rPr>
        <w:t xml:space="preserve"> </w:t>
      </w:r>
      <w:r w:rsidR="00084F8A" w:rsidRPr="000A20E2">
        <w:rPr>
          <w:rFonts w:cstheme="minorHAnsi"/>
        </w:rPr>
        <w:t>The default remained ‘sticky’, in t</w:t>
      </w:r>
      <w:r w:rsidR="00741515" w:rsidRPr="000A20E2">
        <w:rPr>
          <w:rFonts w:cstheme="minorHAnsi"/>
        </w:rPr>
        <w:t>hat it was likely to be chosen</w:t>
      </w:r>
      <w:r w:rsidR="00084F8A" w:rsidRPr="000A20E2">
        <w:rPr>
          <w:rFonts w:cstheme="minorHAnsi"/>
        </w:rPr>
        <w:t xml:space="preserve"> irrespective of </w:t>
      </w:r>
      <w:r w:rsidR="0001004E" w:rsidRPr="000A20E2">
        <w:rPr>
          <w:rFonts w:cstheme="minorHAnsi"/>
        </w:rPr>
        <w:t>whether it was the limited or full right to sue</w:t>
      </w:r>
      <w:r w:rsidR="00084F8A" w:rsidRPr="000A20E2">
        <w:rPr>
          <w:rFonts w:cstheme="minorHAnsi"/>
        </w:rPr>
        <w:t>.</w:t>
      </w:r>
      <w:r w:rsidR="0074247F">
        <w:rPr>
          <w:rStyle w:val="FootnoteReference"/>
          <w:rFonts w:cstheme="minorHAnsi"/>
        </w:rPr>
        <w:footnoteReference w:id="46"/>
      </w:r>
      <w:r w:rsidR="00927C61" w:rsidRPr="000A20E2">
        <w:rPr>
          <w:rFonts w:cstheme="minorHAnsi"/>
        </w:rPr>
        <w:t xml:space="preserve"> </w:t>
      </w:r>
      <w:r w:rsidR="00015A93" w:rsidRPr="000A20E2">
        <w:rPr>
          <w:rFonts w:cstheme="minorHAnsi"/>
        </w:rPr>
        <w:t>Defaults even influence selections in situations where strong moral and ethical positions would normally be anticipated, such as green electricity,</w:t>
      </w:r>
      <w:r w:rsidR="0074247F">
        <w:rPr>
          <w:rStyle w:val="FootnoteReference"/>
          <w:rFonts w:cstheme="minorHAnsi"/>
        </w:rPr>
        <w:footnoteReference w:id="47"/>
      </w:r>
      <w:r w:rsidR="00015A93" w:rsidRPr="000A20E2">
        <w:rPr>
          <w:rFonts w:cstheme="minorHAnsi"/>
        </w:rPr>
        <w:t xml:space="preserve"> organ donation,</w:t>
      </w:r>
      <w:r w:rsidR="0074247F">
        <w:rPr>
          <w:rStyle w:val="FootnoteReference"/>
          <w:rFonts w:cstheme="minorHAnsi"/>
        </w:rPr>
        <w:footnoteReference w:id="48"/>
      </w:r>
      <w:r w:rsidR="00015A93" w:rsidRPr="000A20E2">
        <w:rPr>
          <w:rFonts w:cstheme="minorHAnsi"/>
        </w:rPr>
        <w:t xml:space="preserve"> charitable giving,</w:t>
      </w:r>
      <w:r w:rsidR="0074247F">
        <w:rPr>
          <w:rStyle w:val="FootnoteReference"/>
          <w:rFonts w:cstheme="minorHAnsi"/>
        </w:rPr>
        <w:footnoteReference w:id="49"/>
      </w:r>
      <w:r w:rsidR="00015A93" w:rsidRPr="000A20E2">
        <w:rPr>
          <w:rFonts w:cstheme="minorHAnsi"/>
        </w:rPr>
        <w:t xml:space="preserve"> and end-of-life decisions.</w:t>
      </w:r>
      <w:r w:rsidR="0074247F">
        <w:rPr>
          <w:rStyle w:val="FootnoteReference"/>
          <w:rFonts w:cstheme="minorHAnsi"/>
        </w:rPr>
        <w:footnoteReference w:id="50"/>
      </w:r>
    </w:p>
    <w:p w14:paraId="1EB2E19E" w14:textId="77777777" w:rsidR="006D7B2F" w:rsidRPr="000A20E2" w:rsidRDefault="006D7B2F" w:rsidP="000A20E2">
      <w:pPr>
        <w:spacing w:after="0" w:line="240" w:lineRule="auto"/>
        <w:jc w:val="both"/>
        <w:rPr>
          <w:rFonts w:cstheme="minorHAnsi"/>
          <w:b/>
          <w:bCs/>
        </w:rPr>
      </w:pPr>
    </w:p>
    <w:p w14:paraId="4F86340D" w14:textId="106F84B8" w:rsidR="00CD7756" w:rsidRPr="006C1DA2" w:rsidRDefault="00A43429" w:rsidP="006C1DA2">
      <w:pPr>
        <w:pStyle w:val="ListParagraph"/>
        <w:numPr>
          <w:ilvl w:val="0"/>
          <w:numId w:val="28"/>
        </w:numPr>
        <w:spacing w:after="0" w:line="240" w:lineRule="auto"/>
        <w:jc w:val="both"/>
        <w:rPr>
          <w:rFonts w:cstheme="minorHAnsi"/>
        </w:rPr>
      </w:pPr>
      <w:r w:rsidRPr="006C1DA2">
        <w:rPr>
          <w:rFonts w:cstheme="minorHAnsi"/>
          <w:b/>
          <w:bCs/>
        </w:rPr>
        <w:t xml:space="preserve">Rational </w:t>
      </w:r>
      <w:r w:rsidR="00E62277" w:rsidRPr="006C1DA2">
        <w:rPr>
          <w:rFonts w:cstheme="minorHAnsi"/>
          <w:b/>
          <w:bCs/>
        </w:rPr>
        <w:t xml:space="preserve">choice explanation of default effects </w:t>
      </w:r>
    </w:p>
    <w:p w14:paraId="331ED05E" w14:textId="77777777" w:rsidR="006C1DA2" w:rsidRDefault="006C1DA2" w:rsidP="006C1DA2">
      <w:pPr>
        <w:spacing w:after="0" w:line="240" w:lineRule="auto"/>
        <w:jc w:val="both"/>
        <w:rPr>
          <w:rFonts w:cstheme="minorHAnsi"/>
        </w:rPr>
      </w:pPr>
    </w:p>
    <w:p w14:paraId="6A87C5C4" w14:textId="3EA99CFE" w:rsidR="00D6565C" w:rsidRPr="000A20E2" w:rsidRDefault="000A21B3" w:rsidP="006C1DA2">
      <w:pPr>
        <w:spacing w:after="0" w:line="240" w:lineRule="auto"/>
        <w:jc w:val="both"/>
        <w:rPr>
          <w:rFonts w:cstheme="minorHAnsi"/>
        </w:rPr>
      </w:pPr>
      <w:r w:rsidRPr="000A20E2">
        <w:rPr>
          <w:rFonts w:cstheme="minorHAnsi"/>
        </w:rPr>
        <w:t xml:space="preserve">The </w:t>
      </w:r>
      <w:r w:rsidR="004F2FC6" w:rsidRPr="000A20E2">
        <w:rPr>
          <w:rFonts w:cstheme="minorHAnsi"/>
        </w:rPr>
        <w:t xml:space="preserve">conventional </w:t>
      </w:r>
      <w:r w:rsidRPr="000A20E2">
        <w:rPr>
          <w:rFonts w:cstheme="minorHAnsi"/>
        </w:rPr>
        <w:t xml:space="preserve">explanation of default effects from </w:t>
      </w:r>
      <w:r w:rsidR="00E62277" w:rsidRPr="000A20E2">
        <w:rPr>
          <w:rFonts w:cstheme="minorHAnsi"/>
        </w:rPr>
        <w:t>rational choice the</w:t>
      </w:r>
      <w:r w:rsidRPr="000A20E2">
        <w:rPr>
          <w:rFonts w:cstheme="minorHAnsi"/>
        </w:rPr>
        <w:t>ory focus</w:t>
      </w:r>
      <w:r w:rsidR="00A43429" w:rsidRPr="000A20E2">
        <w:rPr>
          <w:rFonts w:cstheme="minorHAnsi"/>
        </w:rPr>
        <w:t>es</w:t>
      </w:r>
      <w:r w:rsidRPr="000A20E2">
        <w:rPr>
          <w:rFonts w:cstheme="minorHAnsi"/>
        </w:rPr>
        <w:t xml:space="preserve"> on the switching costs</w:t>
      </w:r>
      <w:r w:rsidR="00841C17" w:rsidRPr="000A20E2">
        <w:rPr>
          <w:rStyle w:val="FootnoteReference"/>
          <w:rFonts w:cstheme="minorHAnsi"/>
        </w:rPr>
        <w:footnoteReference w:id="51"/>
      </w:r>
      <w:r w:rsidR="00841C17" w:rsidRPr="000A20E2">
        <w:rPr>
          <w:rFonts w:cstheme="minorHAnsi"/>
        </w:rPr>
        <w:t xml:space="preserve"> of</w:t>
      </w:r>
      <w:r w:rsidRPr="000A20E2">
        <w:rPr>
          <w:rFonts w:cstheme="minorHAnsi"/>
        </w:rPr>
        <w:t xml:space="preserve"> moving from the default to some other option.</w:t>
      </w:r>
      <w:r w:rsidR="0074247F">
        <w:rPr>
          <w:rStyle w:val="FootnoteReference"/>
          <w:rFonts w:cstheme="minorHAnsi"/>
        </w:rPr>
        <w:footnoteReference w:id="52"/>
      </w:r>
      <w:r w:rsidR="005A77B4" w:rsidRPr="000A20E2">
        <w:rPr>
          <w:rFonts w:cstheme="minorHAnsi"/>
        </w:rPr>
        <w:t xml:space="preserve"> </w:t>
      </w:r>
      <w:r w:rsidRPr="000A20E2">
        <w:rPr>
          <w:rFonts w:cstheme="minorHAnsi"/>
        </w:rPr>
        <w:t>The centra</w:t>
      </w:r>
      <w:r w:rsidR="00EA18FC" w:rsidRPr="000A20E2">
        <w:rPr>
          <w:rFonts w:cstheme="minorHAnsi"/>
        </w:rPr>
        <w:t xml:space="preserve">l premise is </w:t>
      </w:r>
      <w:r w:rsidR="00B168EA" w:rsidRPr="000A20E2">
        <w:rPr>
          <w:rFonts w:cstheme="minorHAnsi"/>
        </w:rPr>
        <w:t xml:space="preserve">that the </w:t>
      </w:r>
      <w:r w:rsidRPr="000A20E2">
        <w:rPr>
          <w:rFonts w:cstheme="minorHAnsi"/>
        </w:rPr>
        <w:t xml:space="preserve">costs of switching from </w:t>
      </w:r>
      <w:r w:rsidR="00841C17" w:rsidRPr="000A20E2">
        <w:rPr>
          <w:rFonts w:cstheme="minorHAnsi"/>
        </w:rPr>
        <w:t>the</w:t>
      </w:r>
      <w:r w:rsidRPr="000A20E2">
        <w:rPr>
          <w:rFonts w:cstheme="minorHAnsi"/>
        </w:rPr>
        <w:t xml:space="preserve"> default can outweigh any</w:t>
      </w:r>
      <w:r w:rsidR="00B260EE" w:rsidRPr="000A20E2">
        <w:rPr>
          <w:rFonts w:cstheme="minorHAnsi"/>
        </w:rPr>
        <w:t xml:space="preserve"> increase in</w:t>
      </w:r>
      <w:r w:rsidRPr="000A20E2">
        <w:rPr>
          <w:rFonts w:cstheme="minorHAnsi"/>
        </w:rPr>
        <w:t xml:space="preserve"> benefits associated with an alt</w:t>
      </w:r>
      <w:r w:rsidR="00741515" w:rsidRPr="000A20E2">
        <w:rPr>
          <w:rFonts w:cstheme="minorHAnsi"/>
        </w:rPr>
        <w:t>ernative</w:t>
      </w:r>
      <w:r w:rsidRPr="000A20E2">
        <w:rPr>
          <w:rFonts w:cstheme="minorHAnsi"/>
        </w:rPr>
        <w:t>.</w:t>
      </w:r>
      <w:r w:rsidR="005A77B4" w:rsidRPr="000A20E2">
        <w:rPr>
          <w:rFonts w:cstheme="minorHAnsi"/>
        </w:rPr>
        <w:t xml:space="preserve"> </w:t>
      </w:r>
      <w:r w:rsidR="00EA18FC" w:rsidRPr="000A20E2">
        <w:rPr>
          <w:rFonts w:cstheme="minorHAnsi"/>
        </w:rPr>
        <w:t>S</w:t>
      </w:r>
      <w:r w:rsidRPr="000A20E2">
        <w:rPr>
          <w:rFonts w:cstheme="minorHAnsi"/>
        </w:rPr>
        <w:t>witching costs include th</w:t>
      </w:r>
      <w:r w:rsidR="00213BCA" w:rsidRPr="000A20E2">
        <w:rPr>
          <w:rFonts w:cstheme="minorHAnsi"/>
        </w:rPr>
        <w:t>os</w:t>
      </w:r>
      <w:r w:rsidRPr="000A20E2">
        <w:rPr>
          <w:rFonts w:cstheme="minorHAnsi"/>
        </w:rPr>
        <w:t>e of searching</w:t>
      </w:r>
      <w:r w:rsidR="00841C17" w:rsidRPr="000A20E2">
        <w:rPr>
          <w:rFonts w:cstheme="minorHAnsi"/>
        </w:rPr>
        <w:t xml:space="preserve"> and analysing</w:t>
      </w:r>
      <w:r w:rsidRPr="000A20E2">
        <w:rPr>
          <w:rFonts w:cstheme="minorHAnsi"/>
        </w:rPr>
        <w:t xml:space="preserve"> information </w:t>
      </w:r>
      <w:r w:rsidR="00841C17" w:rsidRPr="000A20E2">
        <w:rPr>
          <w:rFonts w:cstheme="minorHAnsi"/>
        </w:rPr>
        <w:t xml:space="preserve">about various options, together with </w:t>
      </w:r>
      <w:r w:rsidRPr="000A20E2">
        <w:rPr>
          <w:rFonts w:cstheme="minorHAnsi"/>
        </w:rPr>
        <w:t>th</w:t>
      </w:r>
      <w:r w:rsidR="00213BCA" w:rsidRPr="000A20E2">
        <w:rPr>
          <w:rFonts w:cstheme="minorHAnsi"/>
        </w:rPr>
        <w:t>os</w:t>
      </w:r>
      <w:r w:rsidRPr="000A20E2">
        <w:rPr>
          <w:rFonts w:cstheme="minorHAnsi"/>
        </w:rPr>
        <w:t>e of actually making the switch (e.g., registration, postage, lawyer fees, filling out forms).</w:t>
      </w:r>
      <w:r w:rsidR="005A77B4" w:rsidRPr="000A20E2">
        <w:rPr>
          <w:rFonts w:cstheme="minorHAnsi"/>
        </w:rPr>
        <w:t xml:space="preserve"> </w:t>
      </w:r>
      <w:r w:rsidR="00D6565C" w:rsidRPr="000A20E2">
        <w:rPr>
          <w:rFonts w:cstheme="minorHAnsi"/>
        </w:rPr>
        <w:t>Switching costs are not always, or even usually, important.</w:t>
      </w:r>
      <w:r w:rsidR="005A77B4" w:rsidRPr="000A20E2">
        <w:rPr>
          <w:rFonts w:cstheme="minorHAnsi"/>
        </w:rPr>
        <w:t xml:space="preserve"> </w:t>
      </w:r>
      <w:r w:rsidR="00D6565C" w:rsidRPr="000A20E2">
        <w:rPr>
          <w:rFonts w:cstheme="minorHAnsi"/>
        </w:rPr>
        <w:t>In many exper</w:t>
      </w:r>
      <w:r w:rsidR="00213BCA" w:rsidRPr="000A20E2">
        <w:rPr>
          <w:rFonts w:cstheme="minorHAnsi"/>
        </w:rPr>
        <w:t xml:space="preserve">iments and field studies of </w:t>
      </w:r>
      <w:r w:rsidR="00D6565C" w:rsidRPr="000A20E2">
        <w:rPr>
          <w:rFonts w:cstheme="minorHAnsi"/>
          <w:iCs/>
        </w:rPr>
        <w:t>default effect</w:t>
      </w:r>
      <w:r w:rsidR="00213BCA" w:rsidRPr="000A20E2">
        <w:rPr>
          <w:rFonts w:cstheme="minorHAnsi"/>
          <w:iCs/>
        </w:rPr>
        <w:t>s</w:t>
      </w:r>
      <w:r w:rsidR="00D6565C" w:rsidRPr="000A20E2">
        <w:rPr>
          <w:rFonts w:cstheme="minorHAnsi"/>
        </w:rPr>
        <w:t>, these costs have been close to nil.</w:t>
      </w:r>
      <w:r w:rsidR="005A77B4" w:rsidRPr="000A20E2">
        <w:rPr>
          <w:rFonts w:cstheme="minorHAnsi"/>
        </w:rPr>
        <w:t xml:space="preserve"> </w:t>
      </w:r>
      <w:r w:rsidR="00D6565C" w:rsidRPr="000A20E2">
        <w:rPr>
          <w:rFonts w:cstheme="minorHAnsi"/>
        </w:rPr>
        <w:t xml:space="preserve">Nothing more </w:t>
      </w:r>
      <w:r w:rsidR="00B168EA" w:rsidRPr="000A20E2">
        <w:rPr>
          <w:rFonts w:cstheme="minorHAnsi"/>
        </w:rPr>
        <w:t xml:space="preserve">than </w:t>
      </w:r>
      <w:r w:rsidR="00D6565C" w:rsidRPr="000A20E2">
        <w:rPr>
          <w:rFonts w:cstheme="minorHAnsi"/>
        </w:rPr>
        <w:t>tick</w:t>
      </w:r>
      <w:r w:rsidR="00213BCA" w:rsidRPr="000A20E2">
        <w:rPr>
          <w:rFonts w:cstheme="minorHAnsi"/>
        </w:rPr>
        <w:t>ing</w:t>
      </w:r>
      <w:r w:rsidR="00D6565C" w:rsidRPr="000A20E2">
        <w:rPr>
          <w:rFonts w:cstheme="minorHAnsi"/>
        </w:rPr>
        <w:t xml:space="preserve"> a box on a form or </w:t>
      </w:r>
      <w:r w:rsidR="002C1DE5" w:rsidRPr="000A20E2">
        <w:rPr>
          <w:rFonts w:cstheme="minorHAnsi"/>
        </w:rPr>
        <w:t>clicking</w:t>
      </w:r>
      <w:r w:rsidR="00D6565C" w:rsidRPr="000A20E2">
        <w:rPr>
          <w:rFonts w:cstheme="minorHAnsi"/>
        </w:rPr>
        <w:t xml:space="preserve"> a </w:t>
      </w:r>
      <w:r w:rsidR="00213BCA" w:rsidRPr="000A20E2">
        <w:rPr>
          <w:rFonts w:cstheme="minorHAnsi"/>
        </w:rPr>
        <w:t xml:space="preserve">computer </w:t>
      </w:r>
      <w:r w:rsidR="00D6565C" w:rsidRPr="000A20E2">
        <w:rPr>
          <w:rFonts w:cstheme="minorHAnsi"/>
        </w:rPr>
        <w:t xml:space="preserve">button is </w:t>
      </w:r>
      <w:r w:rsidR="00F47620" w:rsidRPr="000A20E2">
        <w:rPr>
          <w:rFonts w:cstheme="minorHAnsi"/>
        </w:rPr>
        <w:t>regularly</w:t>
      </w:r>
      <w:r w:rsidR="00D6565C" w:rsidRPr="000A20E2">
        <w:rPr>
          <w:rFonts w:cstheme="minorHAnsi"/>
        </w:rPr>
        <w:t xml:space="preserve"> required to actively choose an alternative to the default.</w:t>
      </w:r>
      <w:r w:rsidR="00D43EB7" w:rsidRPr="000A20E2">
        <w:rPr>
          <w:rStyle w:val="FootnoteReference"/>
          <w:rFonts w:cstheme="minorHAnsi"/>
        </w:rPr>
        <w:footnoteReference w:id="53"/>
      </w:r>
      <w:r w:rsidR="004920B0" w:rsidRPr="000A20E2">
        <w:rPr>
          <w:rFonts w:cstheme="minorHAnsi"/>
        </w:rPr>
        <w:t xml:space="preserve"> </w:t>
      </w:r>
      <w:r w:rsidR="00D6565C" w:rsidRPr="000A20E2">
        <w:rPr>
          <w:rFonts w:cstheme="minorHAnsi"/>
        </w:rPr>
        <w:t xml:space="preserve">Likewise, the decision scenarios usually present the default as just one option among others, where choosers </w:t>
      </w:r>
      <w:r w:rsidR="00D6565C" w:rsidRPr="000A20E2">
        <w:rPr>
          <w:rFonts w:cstheme="minorHAnsi"/>
          <w:iCs/>
        </w:rPr>
        <w:t>have</w:t>
      </w:r>
      <w:r w:rsidR="00E62277" w:rsidRPr="000A20E2">
        <w:rPr>
          <w:rFonts w:cstheme="minorHAnsi"/>
          <w:iCs/>
        </w:rPr>
        <w:t xml:space="preserve"> </w:t>
      </w:r>
      <w:r w:rsidR="00D6565C" w:rsidRPr="000A20E2">
        <w:rPr>
          <w:rFonts w:cstheme="minorHAnsi"/>
          <w:iCs/>
        </w:rPr>
        <w:t>n</w:t>
      </w:r>
      <w:r w:rsidR="00E62277" w:rsidRPr="000A20E2">
        <w:rPr>
          <w:rFonts w:cstheme="minorHAnsi"/>
          <w:iCs/>
        </w:rPr>
        <w:t>o</w:t>
      </w:r>
      <w:r w:rsidR="00D6565C" w:rsidRPr="000A20E2">
        <w:rPr>
          <w:rFonts w:cstheme="minorHAnsi"/>
          <w:iCs/>
        </w:rPr>
        <w:t>t yet chosen</w:t>
      </w:r>
      <w:r w:rsidR="00D6565C" w:rsidRPr="000A20E2">
        <w:rPr>
          <w:rFonts w:cstheme="minorHAnsi"/>
        </w:rPr>
        <w:t>.</w:t>
      </w:r>
      <w:r w:rsidR="005A77B4" w:rsidRPr="000A20E2">
        <w:rPr>
          <w:rFonts w:cstheme="minorHAnsi"/>
        </w:rPr>
        <w:t xml:space="preserve"> </w:t>
      </w:r>
      <w:r w:rsidR="00F47620" w:rsidRPr="000A20E2">
        <w:rPr>
          <w:rFonts w:cstheme="minorHAnsi"/>
        </w:rPr>
        <w:t>The default</w:t>
      </w:r>
      <w:r w:rsidR="002C1DE5" w:rsidRPr="000A20E2">
        <w:rPr>
          <w:rFonts w:cstheme="minorHAnsi"/>
        </w:rPr>
        <w:t xml:space="preserve"> is</w:t>
      </w:r>
      <w:r w:rsidR="002C1DE5" w:rsidRPr="0074247F">
        <w:rPr>
          <w:rFonts w:cstheme="minorHAnsi"/>
        </w:rPr>
        <w:t xml:space="preserve"> </w:t>
      </w:r>
      <w:r w:rsidR="003B43FB" w:rsidRPr="0074247F">
        <w:rPr>
          <w:rFonts w:cstheme="minorHAnsi"/>
          <w:iCs/>
        </w:rPr>
        <w:t>not</w:t>
      </w:r>
      <w:r w:rsidR="003B43FB" w:rsidRPr="000A20E2">
        <w:rPr>
          <w:rFonts w:cstheme="minorHAnsi"/>
        </w:rPr>
        <w:t xml:space="preserve"> a genuinely </w:t>
      </w:r>
      <w:r w:rsidR="003B43FB" w:rsidRPr="000A20E2">
        <w:rPr>
          <w:rFonts w:cstheme="minorHAnsi"/>
          <w:i/>
          <w:iCs/>
        </w:rPr>
        <w:t>status quo</w:t>
      </w:r>
      <w:r w:rsidR="003B43FB" w:rsidRPr="000A20E2">
        <w:rPr>
          <w:rFonts w:cstheme="minorHAnsi"/>
        </w:rPr>
        <w:t xml:space="preserve"> position</w:t>
      </w:r>
      <w:r w:rsidR="00B168EA" w:rsidRPr="000A20E2">
        <w:rPr>
          <w:rFonts w:cstheme="minorHAnsi"/>
        </w:rPr>
        <w:t>,</w:t>
      </w:r>
      <w:r w:rsidR="003B43FB" w:rsidRPr="000A20E2">
        <w:rPr>
          <w:rFonts w:cstheme="minorHAnsi"/>
        </w:rPr>
        <w:t xml:space="preserve"> the result of some past choice</w:t>
      </w:r>
      <w:r w:rsidR="00C15CCF" w:rsidRPr="000A20E2">
        <w:rPr>
          <w:rFonts w:cstheme="minorHAnsi"/>
        </w:rPr>
        <w:t>.</w:t>
      </w:r>
      <w:r w:rsidR="005A77B4" w:rsidRPr="000A20E2">
        <w:rPr>
          <w:rFonts w:cstheme="minorHAnsi"/>
        </w:rPr>
        <w:t xml:space="preserve"> </w:t>
      </w:r>
      <w:r w:rsidR="003B43FB" w:rsidRPr="000A20E2">
        <w:rPr>
          <w:rFonts w:cstheme="minorHAnsi"/>
        </w:rPr>
        <w:t>Thus</w:t>
      </w:r>
      <w:r w:rsidR="00EB6660" w:rsidRPr="000A20E2">
        <w:rPr>
          <w:rFonts w:cstheme="minorHAnsi"/>
        </w:rPr>
        <w:t xml:space="preserve">, </w:t>
      </w:r>
      <w:r w:rsidR="003B43FB" w:rsidRPr="000A20E2">
        <w:rPr>
          <w:rFonts w:cstheme="minorHAnsi"/>
        </w:rPr>
        <w:t xml:space="preserve">when no choice has yet been made, </w:t>
      </w:r>
      <w:r w:rsidR="00EB6660" w:rsidRPr="000A20E2">
        <w:rPr>
          <w:rFonts w:cstheme="minorHAnsi"/>
        </w:rPr>
        <w:t xml:space="preserve">the search and information costs of accepting </w:t>
      </w:r>
      <w:r w:rsidR="003C4D10" w:rsidRPr="000A20E2">
        <w:rPr>
          <w:rFonts w:cstheme="minorHAnsi"/>
        </w:rPr>
        <w:t xml:space="preserve">a default </w:t>
      </w:r>
      <w:r w:rsidR="00EB6660" w:rsidRPr="000A20E2">
        <w:rPr>
          <w:rFonts w:cstheme="minorHAnsi"/>
        </w:rPr>
        <w:t>are</w:t>
      </w:r>
      <w:r w:rsidR="00D43EB7" w:rsidRPr="000A20E2">
        <w:rPr>
          <w:rFonts w:cstheme="minorHAnsi"/>
        </w:rPr>
        <w:t xml:space="preserve"> essentially </w:t>
      </w:r>
      <w:r w:rsidR="00EB6660" w:rsidRPr="000A20E2">
        <w:rPr>
          <w:rFonts w:cstheme="minorHAnsi"/>
        </w:rPr>
        <w:t xml:space="preserve">the same as those </w:t>
      </w:r>
      <w:r w:rsidR="003C4D10" w:rsidRPr="000A20E2">
        <w:rPr>
          <w:rFonts w:cstheme="minorHAnsi"/>
        </w:rPr>
        <w:t>involved in rejecting it.</w:t>
      </w:r>
      <w:r w:rsidR="005A77B4" w:rsidRPr="000A20E2">
        <w:rPr>
          <w:rFonts w:cstheme="minorHAnsi"/>
        </w:rPr>
        <w:t xml:space="preserve"> </w:t>
      </w:r>
      <w:r w:rsidR="00741515" w:rsidRPr="000A20E2">
        <w:rPr>
          <w:rFonts w:cstheme="minorHAnsi"/>
        </w:rPr>
        <w:t>In short</w:t>
      </w:r>
      <w:r w:rsidR="00FE1018" w:rsidRPr="000A20E2">
        <w:rPr>
          <w:rFonts w:cstheme="minorHAnsi"/>
        </w:rPr>
        <w:t>, these costs are not truly avoided by choosing the default.</w:t>
      </w:r>
      <w:r w:rsidR="004920B0" w:rsidRPr="000A20E2">
        <w:rPr>
          <w:rFonts w:cstheme="minorHAnsi"/>
        </w:rPr>
        <w:t xml:space="preserve"> </w:t>
      </w:r>
      <w:r w:rsidR="00D6565C" w:rsidRPr="000A20E2">
        <w:rPr>
          <w:rFonts w:cstheme="minorHAnsi"/>
        </w:rPr>
        <w:t xml:space="preserve">Yet, substantial </w:t>
      </w:r>
      <w:r w:rsidR="00D6565C" w:rsidRPr="0074247F">
        <w:rPr>
          <w:rFonts w:cstheme="minorHAnsi"/>
          <w:iCs/>
        </w:rPr>
        <w:t>default effects</w:t>
      </w:r>
      <w:r w:rsidR="00D6565C" w:rsidRPr="000A20E2">
        <w:rPr>
          <w:rFonts w:cstheme="minorHAnsi"/>
        </w:rPr>
        <w:t xml:space="preserve"> </w:t>
      </w:r>
      <w:r w:rsidR="00741515" w:rsidRPr="000A20E2">
        <w:rPr>
          <w:rFonts w:cstheme="minorHAnsi"/>
        </w:rPr>
        <w:t xml:space="preserve">are still observed </w:t>
      </w:r>
      <w:r w:rsidR="00D6565C" w:rsidRPr="000A20E2">
        <w:rPr>
          <w:rFonts w:cstheme="minorHAnsi"/>
        </w:rPr>
        <w:t>in</w:t>
      </w:r>
      <w:r w:rsidR="00741515" w:rsidRPr="000A20E2">
        <w:rPr>
          <w:rFonts w:cstheme="minorHAnsi"/>
        </w:rPr>
        <w:t xml:space="preserve"> such studies</w:t>
      </w:r>
      <w:r w:rsidR="00D6565C" w:rsidRPr="000A20E2">
        <w:rPr>
          <w:rFonts w:cstheme="minorHAnsi"/>
        </w:rPr>
        <w:t>.</w:t>
      </w:r>
      <w:r w:rsidR="005A77B4" w:rsidRPr="000A20E2">
        <w:rPr>
          <w:rFonts w:cstheme="minorHAnsi"/>
        </w:rPr>
        <w:t xml:space="preserve"> </w:t>
      </w:r>
      <w:r w:rsidR="00213BCA" w:rsidRPr="000A20E2">
        <w:rPr>
          <w:rFonts w:cstheme="minorHAnsi"/>
        </w:rPr>
        <w:t>We now move to explain these.</w:t>
      </w:r>
    </w:p>
    <w:p w14:paraId="75BAD162" w14:textId="77777777" w:rsidR="006D7B2F" w:rsidRPr="000A20E2" w:rsidRDefault="006D7B2F" w:rsidP="000A20E2">
      <w:pPr>
        <w:spacing w:after="0" w:line="240" w:lineRule="auto"/>
        <w:jc w:val="both"/>
        <w:rPr>
          <w:rFonts w:cstheme="minorHAnsi"/>
          <w:b/>
          <w:bCs/>
        </w:rPr>
      </w:pPr>
    </w:p>
    <w:p w14:paraId="1AFF8CFF" w14:textId="2648D758" w:rsidR="00A43429" w:rsidRPr="005C13E1" w:rsidRDefault="00A43429" w:rsidP="005C13E1">
      <w:pPr>
        <w:pStyle w:val="ListParagraph"/>
        <w:numPr>
          <w:ilvl w:val="0"/>
          <w:numId w:val="28"/>
        </w:numPr>
        <w:spacing w:after="0" w:line="240" w:lineRule="auto"/>
        <w:jc w:val="both"/>
        <w:rPr>
          <w:rFonts w:cstheme="minorHAnsi"/>
          <w:b/>
          <w:bCs/>
        </w:rPr>
      </w:pPr>
      <w:r w:rsidRPr="005C13E1">
        <w:rPr>
          <w:rFonts w:cstheme="minorHAnsi"/>
          <w:b/>
          <w:bCs/>
        </w:rPr>
        <w:t>Behavioural</w:t>
      </w:r>
      <w:r w:rsidR="00E62277" w:rsidRPr="005C13E1">
        <w:rPr>
          <w:rFonts w:cstheme="minorHAnsi"/>
          <w:b/>
          <w:bCs/>
        </w:rPr>
        <w:t xml:space="preserve"> economics explanations of default effects </w:t>
      </w:r>
    </w:p>
    <w:p w14:paraId="605D0C9B" w14:textId="77777777" w:rsidR="005C13E1" w:rsidRDefault="005C13E1" w:rsidP="005C13E1">
      <w:pPr>
        <w:spacing w:after="0" w:line="240" w:lineRule="auto"/>
        <w:jc w:val="both"/>
        <w:rPr>
          <w:rFonts w:cstheme="minorHAnsi"/>
        </w:rPr>
      </w:pPr>
    </w:p>
    <w:p w14:paraId="58D0D7CB" w14:textId="0EE18634" w:rsidR="00056396" w:rsidRPr="000A20E2" w:rsidRDefault="000A67DE" w:rsidP="005C13E1">
      <w:pPr>
        <w:spacing w:after="0" w:line="240" w:lineRule="auto"/>
        <w:jc w:val="both"/>
        <w:rPr>
          <w:rFonts w:cstheme="minorHAnsi"/>
        </w:rPr>
      </w:pPr>
      <w:r w:rsidRPr="000A20E2">
        <w:rPr>
          <w:rFonts w:cstheme="minorHAnsi"/>
        </w:rPr>
        <w:t xml:space="preserve">Behavioural economists argue default </w:t>
      </w:r>
      <w:r w:rsidR="00741515" w:rsidRPr="000A20E2">
        <w:rPr>
          <w:rFonts w:cstheme="minorHAnsi"/>
        </w:rPr>
        <w:t>effects often originate</w:t>
      </w:r>
      <w:r w:rsidRPr="000A20E2">
        <w:rPr>
          <w:rFonts w:cstheme="minorHAnsi"/>
        </w:rPr>
        <w:t xml:space="preserve"> in the </w:t>
      </w:r>
      <w:r w:rsidR="00AA23C2" w:rsidRPr="000A20E2">
        <w:rPr>
          <w:rFonts w:cstheme="minorHAnsi"/>
        </w:rPr>
        <w:t>way humans think</w:t>
      </w:r>
      <w:r w:rsidR="00514D77" w:rsidRPr="000A20E2">
        <w:rPr>
          <w:rFonts w:cstheme="minorHAnsi"/>
        </w:rPr>
        <w:t>.</w:t>
      </w:r>
      <w:r w:rsidR="005A77B4" w:rsidRPr="000A20E2">
        <w:rPr>
          <w:rFonts w:cstheme="minorHAnsi"/>
        </w:rPr>
        <w:t xml:space="preserve"> </w:t>
      </w:r>
      <w:proofErr w:type="spellStart"/>
      <w:r w:rsidR="00514D77" w:rsidRPr="000A20E2">
        <w:rPr>
          <w:rFonts w:cstheme="minorHAnsi"/>
        </w:rPr>
        <w:t>Kahneman</w:t>
      </w:r>
      <w:proofErr w:type="spellEnd"/>
      <w:r w:rsidR="00514D77" w:rsidRPr="000A20E2">
        <w:rPr>
          <w:rFonts w:cstheme="minorHAnsi"/>
        </w:rPr>
        <w:t xml:space="preserve"> </w:t>
      </w:r>
      <w:r w:rsidR="00337BBE" w:rsidRPr="000A20E2">
        <w:rPr>
          <w:rFonts w:cstheme="minorHAnsi"/>
        </w:rPr>
        <w:t>explain</w:t>
      </w:r>
      <w:r w:rsidR="00E62277" w:rsidRPr="000A20E2">
        <w:rPr>
          <w:rFonts w:cstheme="minorHAnsi"/>
        </w:rPr>
        <w:t>ed</w:t>
      </w:r>
      <w:r w:rsidR="00337BBE" w:rsidRPr="000A20E2">
        <w:rPr>
          <w:rFonts w:cstheme="minorHAnsi"/>
        </w:rPr>
        <w:t xml:space="preserve"> </w:t>
      </w:r>
      <w:r w:rsidR="00AA23C2" w:rsidRPr="000A20E2">
        <w:rPr>
          <w:rFonts w:cstheme="minorHAnsi"/>
        </w:rPr>
        <w:t>humans have</w:t>
      </w:r>
      <w:r w:rsidR="00337BBE" w:rsidRPr="000A20E2">
        <w:rPr>
          <w:rFonts w:cstheme="minorHAnsi"/>
        </w:rPr>
        <w:t xml:space="preserve"> </w:t>
      </w:r>
      <w:r w:rsidR="00514D77" w:rsidRPr="000A20E2">
        <w:rPr>
          <w:rFonts w:cstheme="minorHAnsi"/>
        </w:rPr>
        <w:t>two cognitive systems</w:t>
      </w:r>
      <w:r w:rsidR="00E62277" w:rsidRPr="000A20E2">
        <w:rPr>
          <w:rFonts w:cstheme="minorHAnsi"/>
        </w:rPr>
        <w:t>.</w:t>
      </w:r>
      <w:r w:rsidR="0074247F">
        <w:rPr>
          <w:rStyle w:val="FootnoteReference"/>
          <w:rFonts w:cstheme="minorHAnsi"/>
        </w:rPr>
        <w:footnoteReference w:id="54"/>
      </w:r>
      <w:r w:rsidR="005A77B4" w:rsidRPr="000A20E2">
        <w:rPr>
          <w:rFonts w:cstheme="minorHAnsi"/>
        </w:rPr>
        <w:t xml:space="preserve"> </w:t>
      </w:r>
      <w:r w:rsidR="00E62277" w:rsidRPr="000A20E2">
        <w:rPr>
          <w:rFonts w:cstheme="minorHAnsi"/>
        </w:rPr>
        <w:t xml:space="preserve">System 1 is </w:t>
      </w:r>
      <w:r w:rsidR="00514D77" w:rsidRPr="000A20E2">
        <w:rPr>
          <w:rFonts w:cstheme="minorHAnsi"/>
        </w:rPr>
        <w:t>fast,</w:t>
      </w:r>
      <w:r w:rsidR="008A2041" w:rsidRPr="000A20E2">
        <w:rPr>
          <w:rFonts w:cstheme="minorHAnsi"/>
        </w:rPr>
        <w:t xml:space="preserve"> automatic,</w:t>
      </w:r>
      <w:r w:rsidR="00514D77" w:rsidRPr="000A20E2">
        <w:rPr>
          <w:rFonts w:cstheme="minorHAnsi"/>
        </w:rPr>
        <w:t xml:space="preserve"> </w:t>
      </w:r>
      <w:proofErr w:type="gramStart"/>
      <w:r w:rsidR="008A2041" w:rsidRPr="000A20E2">
        <w:rPr>
          <w:rFonts w:cstheme="minorHAnsi"/>
        </w:rPr>
        <w:t>reliant</w:t>
      </w:r>
      <w:proofErr w:type="gramEnd"/>
      <w:r w:rsidR="008A2041" w:rsidRPr="000A20E2">
        <w:rPr>
          <w:rFonts w:cstheme="minorHAnsi"/>
        </w:rPr>
        <w:t xml:space="preserve"> </w:t>
      </w:r>
      <w:r w:rsidR="00E62277" w:rsidRPr="000A20E2">
        <w:rPr>
          <w:rFonts w:cstheme="minorHAnsi"/>
        </w:rPr>
        <w:t>up</w:t>
      </w:r>
      <w:r w:rsidR="008A2041" w:rsidRPr="000A20E2">
        <w:rPr>
          <w:rFonts w:cstheme="minorHAnsi"/>
        </w:rPr>
        <w:t>on</w:t>
      </w:r>
      <w:r w:rsidR="00514D77" w:rsidRPr="000A20E2">
        <w:rPr>
          <w:rFonts w:cstheme="minorHAnsi"/>
        </w:rPr>
        <w:t xml:space="preserve"> habits and heuristics, </w:t>
      </w:r>
      <w:r w:rsidR="008A2041" w:rsidRPr="000A20E2">
        <w:rPr>
          <w:rFonts w:cstheme="minorHAnsi"/>
        </w:rPr>
        <w:t xml:space="preserve">and drives </w:t>
      </w:r>
      <w:r w:rsidR="00E62277" w:rsidRPr="000A20E2">
        <w:rPr>
          <w:rFonts w:cstheme="minorHAnsi"/>
        </w:rPr>
        <w:t>human</w:t>
      </w:r>
      <w:r w:rsidR="008A2041" w:rsidRPr="000A20E2">
        <w:rPr>
          <w:rFonts w:cstheme="minorHAnsi"/>
        </w:rPr>
        <w:t xml:space="preserve">s to action, often on the basis of </w:t>
      </w:r>
      <w:r w:rsidR="00741515" w:rsidRPr="000A20E2">
        <w:rPr>
          <w:rFonts w:cstheme="minorHAnsi"/>
        </w:rPr>
        <w:t>‘</w:t>
      </w:r>
      <w:r w:rsidR="008A2041" w:rsidRPr="000A20E2">
        <w:rPr>
          <w:rFonts w:cstheme="minorHAnsi"/>
        </w:rPr>
        <w:t>fight or flight</w:t>
      </w:r>
      <w:r w:rsidR="00741515" w:rsidRPr="000A20E2">
        <w:rPr>
          <w:rFonts w:cstheme="minorHAnsi"/>
        </w:rPr>
        <w:t>’</w:t>
      </w:r>
      <w:r w:rsidR="008A2041" w:rsidRPr="000A20E2">
        <w:rPr>
          <w:rFonts w:cstheme="minorHAnsi"/>
        </w:rPr>
        <w:t xml:space="preserve"> impulses.</w:t>
      </w:r>
      <w:r w:rsidR="005A77B4" w:rsidRPr="000A20E2">
        <w:rPr>
          <w:rFonts w:cstheme="minorHAnsi"/>
        </w:rPr>
        <w:t xml:space="preserve"> </w:t>
      </w:r>
      <w:r w:rsidR="00E62277" w:rsidRPr="000A20E2">
        <w:rPr>
          <w:rFonts w:cstheme="minorHAnsi"/>
        </w:rPr>
        <w:t xml:space="preserve">System 2 </w:t>
      </w:r>
      <w:r w:rsidR="008A2041" w:rsidRPr="000A20E2">
        <w:rPr>
          <w:rFonts w:cstheme="minorHAnsi"/>
        </w:rPr>
        <w:t>is much slower, more deliberat</w:t>
      </w:r>
      <w:r w:rsidR="006C0341" w:rsidRPr="000A20E2">
        <w:rPr>
          <w:rFonts w:cstheme="minorHAnsi"/>
        </w:rPr>
        <w:t>e</w:t>
      </w:r>
      <w:r w:rsidR="008A2041" w:rsidRPr="000A20E2">
        <w:rPr>
          <w:rFonts w:cstheme="minorHAnsi"/>
        </w:rPr>
        <w:t>, more careful, more mindful of long</w:t>
      </w:r>
      <w:r w:rsidR="005D6F12" w:rsidRPr="000A20E2">
        <w:rPr>
          <w:rFonts w:cstheme="minorHAnsi"/>
        </w:rPr>
        <w:t>-</w:t>
      </w:r>
      <w:r w:rsidR="008A2041" w:rsidRPr="000A20E2">
        <w:rPr>
          <w:rFonts w:cstheme="minorHAnsi"/>
        </w:rPr>
        <w:t xml:space="preserve"> </w:t>
      </w:r>
      <w:r w:rsidR="005D6F12" w:rsidRPr="000A20E2">
        <w:rPr>
          <w:rFonts w:cstheme="minorHAnsi"/>
        </w:rPr>
        <w:t>and</w:t>
      </w:r>
      <w:r w:rsidR="008A2041" w:rsidRPr="000A20E2">
        <w:rPr>
          <w:rFonts w:cstheme="minorHAnsi"/>
        </w:rPr>
        <w:t xml:space="preserve"> short-term consequences, and more focused on costs, benefits, probabilities</w:t>
      </w:r>
      <w:r w:rsidR="005D6F12" w:rsidRPr="000A20E2">
        <w:rPr>
          <w:rFonts w:cstheme="minorHAnsi"/>
        </w:rPr>
        <w:t>, and contingencies</w:t>
      </w:r>
      <w:r w:rsidR="00E62277" w:rsidRPr="000A20E2">
        <w:rPr>
          <w:rFonts w:cstheme="minorHAnsi"/>
        </w:rPr>
        <w:t xml:space="preserve"> </w:t>
      </w:r>
      <w:r w:rsidR="008A2041" w:rsidRPr="000A20E2">
        <w:rPr>
          <w:rFonts w:cstheme="minorHAnsi"/>
        </w:rPr>
        <w:t>System 1 thinking is relatively effortless and easy, whereas System 2 thinking is effortful and difficult.</w:t>
      </w:r>
      <w:r w:rsidR="004920B0" w:rsidRPr="000A20E2">
        <w:rPr>
          <w:rFonts w:cstheme="minorHAnsi"/>
        </w:rPr>
        <w:t xml:space="preserve"> </w:t>
      </w:r>
      <w:r w:rsidR="005D6F12" w:rsidRPr="000A20E2">
        <w:rPr>
          <w:rFonts w:cstheme="minorHAnsi"/>
          <w:iCs/>
        </w:rPr>
        <w:t>Default effects</w:t>
      </w:r>
      <w:r w:rsidR="005D6F12" w:rsidRPr="000A20E2">
        <w:rPr>
          <w:rFonts w:cstheme="minorHAnsi"/>
        </w:rPr>
        <w:t xml:space="preserve"> can be explained with reference to both </w:t>
      </w:r>
      <w:r w:rsidR="00F506BF" w:rsidRPr="000A20E2">
        <w:rPr>
          <w:rFonts w:cstheme="minorHAnsi"/>
        </w:rPr>
        <w:t>cognitive systems, as the result of both thinking avoidance (System 2) and mental short-cutting (System 1)</w:t>
      </w:r>
      <w:r w:rsidR="005D6F12" w:rsidRPr="000A20E2">
        <w:rPr>
          <w:rFonts w:cstheme="minorHAnsi"/>
        </w:rPr>
        <w:t>.</w:t>
      </w:r>
      <w:r w:rsidR="004920B0" w:rsidRPr="000A20E2">
        <w:rPr>
          <w:rFonts w:cstheme="minorHAnsi"/>
        </w:rPr>
        <w:t xml:space="preserve"> </w:t>
      </w:r>
      <w:r w:rsidR="00C4582D" w:rsidRPr="000A20E2">
        <w:rPr>
          <w:rFonts w:cstheme="minorHAnsi"/>
        </w:rPr>
        <w:t xml:space="preserve">First, default effects can reflect </w:t>
      </w:r>
      <w:r w:rsidR="00C4582D" w:rsidRPr="000A20E2">
        <w:rPr>
          <w:rFonts w:cstheme="minorHAnsi"/>
          <w:i/>
        </w:rPr>
        <w:t>inertia</w:t>
      </w:r>
      <w:r w:rsidR="006C0341" w:rsidRPr="000A20E2">
        <w:rPr>
          <w:rFonts w:cstheme="minorHAnsi"/>
        </w:rPr>
        <w:t xml:space="preserve">, where </w:t>
      </w:r>
      <w:r w:rsidR="00694C35" w:rsidRPr="000A20E2">
        <w:rPr>
          <w:rFonts w:cstheme="minorHAnsi"/>
        </w:rPr>
        <w:t>p</w:t>
      </w:r>
      <w:r w:rsidR="00C4582D" w:rsidRPr="000A20E2">
        <w:rPr>
          <w:rFonts w:cstheme="minorHAnsi"/>
        </w:rPr>
        <w:t xml:space="preserve">eople stay with the default </w:t>
      </w:r>
      <w:r w:rsidR="00741515" w:rsidRPr="000A20E2">
        <w:rPr>
          <w:rFonts w:cstheme="minorHAnsi"/>
        </w:rPr>
        <w:t>because they want to avoid</w:t>
      </w:r>
      <w:r w:rsidR="00F506BF" w:rsidRPr="000A20E2">
        <w:rPr>
          <w:rFonts w:cstheme="minorHAnsi"/>
        </w:rPr>
        <w:t xml:space="preserve"> any </w:t>
      </w:r>
      <w:r w:rsidR="00C4582D" w:rsidRPr="000A20E2">
        <w:rPr>
          <w:rFonts w:cstheme="minorHAnsi"/>
        </w:rPr>
        <w:t xml:space="preserve">serious </w:t>
      </w:r>
      <w:r w:rsidR="00F506BF" w:rsidRPr="000A20E2">
        <w:rPr>
          <w:rFonts w:cstheme="minorHAnsi"/>
        </w:rPr>
        <w:t>thinking</w:t>
      </w:r>
      <w:r w:rsidR="00C4582D" w:rsidRPr="000A20E2">
        <w:rPr>
          <w:rFonts w:cstheme="minorHAnsi"/>
        </w:rPr>
        <w:t xml:space="preserve"> (System 2)</w:t>
      </w:r>
      <w:r w:rsidR="00F506BF" w:rsidRPr="000A20E2">
        <w:rPr>
          <w:rFonts w:cstheme="minorHAnsi"/>
        </w:rPr>
        <w:t xml:space="preserve"> about the various alternatives.</w:t>
      </w:r>
      <w:r w:rsidR="005A77B4" w:rsidRPr="000A20E2">
        <w:rPr>
          <w:rFonts w:cstheme="minorHAnsi"/>
        </w:rPr>
        <w:t xml:space="preserve"> </w:t>
      </w:r>
      <w:r w:rsidR="00F506BF" w:rsidRPr="000A20E2">
        <w:rPr>
          <w:rFonts w:cstheme="minorHAnsi"/>
        </w:rPr>
        <w:t xml:space="preserve">Second, </w:t>
      </w:r>
      <w:r w:rsidR="00C4582D" w:rsidRPr="000A20E2">
        <w:rPr>
          <w:rFonts w:cstheme="minorHAnsi"/>
          <w:iCs/>
        </w:rPr>
        <w:t>default effects</w:t>
      </w:r>
      <w:r w:rsidR="00C4582D" w:rsidRPr="000A20E2">
        <w:rPr>
          <w:rFonts w:cstheme="minorHAnsi"/>
        </w:rPr>
        <w:t xml:space="preserve"> can also arise </w:t>
      </w:r>
      <w:r w:rsidR="00694C35" w:rsidRPr="000A20E2">
        <w:rPr>
          <w:rFonts w:cstheme="minorHAnsi"/>
        </w:rPr>
        <w:t>from a defa</w:t>
      </w:r>
      <w:r w:rsidR="00741515" w:rsidRPr="000A20E2">
        <w:rPr>
          <w:rFonts w:cstheme="minorHAnsi"/>
        </w:rPr>
        <w:t>ult perceived as a social norm</w:t>
      </w:r>
      <w:r w:rsidR="00337BBE" w:rsidRPr="000A20E2">
        <w:rPr>
          <w:rFonts w:cstheme="minorHAnsi"/>
        </w:rPr>
        <w:t xml:space="preserve">. A </w:t>
      </w:r>
      <w:r w:rsidR="00337BBE" w:rsidRPr="000A20E2">
        <w:rPr>
          <w:rFonts w:cstheme="minorHAnsi"/>
          <w:i/>
        </w:rPr>
        <w:t>social norm</w:t>
      </w:r>
      <w:r w:rsidR="00337BBE" w:rsidRPr="000A20E2">
        <w:rPr>
          <w:rFonts w:cstheme="minorHAnsi"/>
        </w:rPr>
        <w:t xml:space="preserve"> default provides a </w:t>
      </w:r>
      <w:r w:rsidR="00741515" w:rsidRPr="000A20E2">
        <w:rPr>
          <w:rFonts w:cstheme="minorHAnsi"/>
        </w:rPr>
        <w:t>mental short-cut to estimating</w:t>
      </w:r>
      <w:r w:rsidR="00337BBE" w:rsidRPr="000A20E2">
        <w:rPr>
          <w:rFonts w:cstheme="minorHAnsi"/>
        </w:rPr>
        <w:t xml:space="preserve"> what is likely to work best or be most favoured, without having to engage in a difficult, time-consuming comparative asses</w:t>
      </w:r>
      <w:r w:rsidR="004B0996" w:rsidRPr="000A20E2">
        <w:rPr>
          <w:rFonts w:cstheme="minorHAnsi"/>
        </w:rPr>
        <w:t xml:space="preserve">sment of </w:t>
      </w:r>
      <w:r w:rsidR="0070051A" w:rsidRPr="000A20E2">
        <w:rPr>
          <w:rFonts w:cstheme="minorHAnsi"/>
        </w:rPr>
        <w:t xml:space="preserve">the </w:t>
      </w:r>
      <w:r w:rsidR="004B0996" w:rsidRPr="000A20E2">
        <w:rPr>
          <w:rFonts w:cstheme="minorHAnsi"/>
        </w:rPr>
        <w:t>options’ costs and benefits</w:t>
      </w:r>
      <w:r w:rsidR="00337BBE" w:rsidRPr="000A20E2">
        <w:rPr>
          <w:rFonts w:cstheme="minorHAnsi"/>
        </w:rPr>
        <w:t>.</w:t>
      </w:r>
      <w:r w:rsidR="005A77B4" w:rsidRPr="000A20E2">
        <w:rPr>
          <w:rFonts w:cstheme="minorHAnsi"/>
        </w:rPr>
        <w:t xml:space="preserve"> </w:t>
      </w:r>
      <w:r w:rsidR="00337BBE" w:rsidRPr="000A20E2">
        <w:rPr>
          <w:rFonts w:cstheme="minorHAnsi"/>
        </w:rPr>
        <w:t xml:space="preserve">Third, </w:t>
      </w:r>
      <w:r w:rsidR="00337BBE" w:rsidRPr="000A20E2">
        <w:rPr>
          <w:rFonts w:cstheme="minorHAnsi"/>
          <w:iCs/>
        </w:rPr>
        <w:t>default effects</w:t>
      </w:r>
      <w:r w:rsidR="00337BBE" w:rsidRPr="000A20E2">
        <w:rPr>
          <w:rFonts w:cstheme="minorHAnsi"/>
        </w:rPr>
        <w:t xml:space="preserve"> can also stem from using the default as a reference, or starting, point, from which moves to other options are assessed in terms of gains and loss</w:t>
      </w:r>
      <w:r w:rsidR="00A32BC3" w:rsidRPr="000A20E2">
        <w:rPr>
          <w:rFonts w:cstheme="minorHAnsi"/>
        </w:rPr>
        <w:t>es</w:t>
      </w:r>
      <w:r w:rsidR="00337BBE" w:rsidRPr="000A20E2">
        <w:rPr>
          <w:rFonts w:cstheme="minorHAnsi"/>
        </w:rPr>
        <w:t>.</w:t>
      </w:r>
      <w:r w:rsidR="008D330F" w:rsidRPr="000A20E2">
        <w:rPr>
          <w:rFonts w:cstheme="minorHAnsi"/>
        </w:rPr>
        <w:t xml:space="preserve"> </w:t>
      </w:r>
      <w:r w:rsidR="00B829AA" w:rsidRPr="000A20E2">
        <w:rPr>
          <w:rFonts w:cstheme="minorHAnsi"/>
        </w:rPr>
        <w:t xml:space="preserve">This mental short-cut enables people to make </w:t>
      </w:r>
      <w:r w:rsidR="00AA23C2" w:rsidRPr="000A20E2">
        <w:rPr>
          <w:rFonts w:cstheme="minorHAnsi"/>
        </w:rPr>
        <w:t>easier</w:t>
      </w:r>
      <w:r w:rsidR="00B829AA" w:rsidRPr="000A20E2">
        <w:rPr>
          <w:rFonts w:cstheme="minorHAnsi"/>
        </w:rPr>
        <w:t>, one-by-one comparisons</w:t>
      </w:r>
      <w:r w:rsidR="008A6B4F" w:rsidRPr="000A20E2">
        <w:rPr>
          <w:rFonts w:cstheme="minorHAnsi"/>
        </w:rPr>
        <w:t xml:space="preserve"> of</w:t>
      </w:r>
      <w:r w:rsidR="00B829AA" w:rsidRPr="000A20E2">
        <w:rPr>
          <w:rFonts w:cstheme="minorHAnsi"/>
        </w:rPr>
        <w:t xml:space="preserve"> each option with the default.</w:t>
      </w:r>
      <w:r w:rsidR="004920B0" w:rsidRPr="000A20E2">
        <w:rPr>
          <w:rFonts w:cstheme="minorHAnsi"/>
        </w:rPr>
        <w:t xml:space="preserve"> </w:t>
      </w:r>
      <w:r w:rsidR="00A12B9E" w:rsidRPr="000A20E2">
        <w:rPr>
          <w:rFonts w:cstheme="minorHAnsi"/>
        </w:rPr>
        <w:t>All three</w:t>
      </w:r>
      <w:r w:rsidR="00B829AA" w:rsidRPr="000A20E2">
        <w:rPr>
          <w:rFonts w:cstheme="minorHAnsi"/>
        </w:rPr>
        <w:t xml:space="preserve"> of these</w:t>
      </w:r>
      <w:r w:rsidR="00A12B9E" w:rsidRPr="000A20E2">
        <w:rPr>
          <w:rFonts w:cstheme="minorHAnsi"/>
        </w:rPr>
        <w:t xml:space="preserve"> explanations are likely </w:t>
      </w:r>
      <w:r w:rsidR="00B168EA" w:rsidRPr="000A20E2">
        <w:rPr>
          <w:rFonts w:cstheme="minorHAnsi"/>
        </w:rPr>
        <w:t>to af</w:t>
      </w:r>
      <w:r w:rsidR="000950DF" w:rsidRPr="000A20E2">
        <w:rPr>
          <w:rFonts w:cstheme="minorHAnsi"/>
        </w:rPr>
        <w:t xml:space="preserve">fect </w:t>
      </w:r>
      <w:r w:rsidR="00A12B9E" w:rsidRPr="000A20E2">
        <w:rPr>
          <w:rFonts w:cstheme="minorHAnsi"/>
        </w:rPr>
        <w:t>the decision</w:t>
      </w:r>
      <w:r w:rsidR="00B829AA" w:rsidRPr="000A20E2">
        <w:rPr>
          <w:rFonts w:cstheme="minorHAnsi"/>
        </w:rPr>
        <w:t xml:space="preserve"> to join</w:t>
      </w:r>
      <w:r w:rsidR="000950DF" w:rsidRPr="000A20E2">
        <w:rPr>
          <w:rFonts w:cstheme="minorHAnsi"/>
        </w:rPr>
        <w:t xml:space="preserve"> or </w:t>
      </w:r>
      <w:r w:rsidR="00B829AA" w:rsidRPr="000A20E2">
        <w:rPr>
          <w:rFonts w:cstheme="minorHAnsi"/>
        </w:rPr>
        <w:t>not join a union</w:t>
      </w:r>
      <w:r w:rsidR="00A12B9E" w:rsidRPr="000A20E2">
        <w:rPr>
          <w:rFonts w:cstheme="minorHAnsi"/>
        </w:rPr>
        <w:t>.</w:t>
      </w:r>
      <w:r w:rsidR="005A77B4" w:rsidRPr="000A20E2">
        <w:rPr>
          <w:rFonts w:cstheme="minorHAnsi"/>
        </w:rPr>
        <w:t xml:space="preserve"> </w:t>
      </w:r>
    </w:p>
    <w:p w14:paraId="5EF379AF" w14:textId="77777777" w:rsidR="008A6B4F" w:rsidRPr="000A20E2" w:rsidRDefault="008A6B4F" w:rsidP="000A20E2">
      <w:pPr>
        <w:spacing w:after="0" w:line="240" w:lineRule="auto"/>
        <w:ind w:firstLine="720"/>
        <w:jc w:val="both"/>
        <w:rPr>
          <w:rFonts w:cstheme="minorHAnsi"/>
        </w:rPr>
      </w:pPr>
    </w:p>
    <w:p w14:paraId="3D9020D7" w14:textId="77777777" w:rsidR="00AF3DAF" w:rsidRPr="000A20E2" w:rsidRDefault="00AF3DAF" w:rsidP="000A20E2">
      <w:pPr>
        <w:spacing w:after="0" w:line="240" w:lineRule="auto"/>
        <w:jc w:val="both"/>
        <w:rPr>
          <w:rFonts w:cstheme="minorHAnsi"/>
          <w:i/>
          <w:iCs/>
        </w:rPr>
      </w:pPr>
      <w:r w:rsidRPr="000A20E2">
        <w:rPr>
          <w:rFonts w:cstheme="minorHAnsi"/>
          <w:i/>
          <w:iCs/>
        </w:rPr>
        <w:t>Inertia</w:t>
      </w:r>
    </w:p>
    <w:p w14:paraId="47A176AC" w14:textId="77777777" w:rsidR="005C13E1" w:rsidRDefault="005C13E1" w:rsidP="005C13E1">
      <w:pPr>
        <w:spacing w:after="0" w:line="240" w:lineRule="auto"/>
        <w:jc w:val="both"/>
        <w:rPr>
          <w:rFonts w:cstheme="minorHAnsi"/>
        </w:rPr>
      </w:pPr>
    </w:p>
    <w:p w14:paraId="5D48B205" w14:textId="7353A0FF" w:rsidR="00D63709" w:rsidRPr="000A20E2" w:rsidRDefault="000950DF" w:rsidP="005C13E1">
      <w:pPr>
        <w:spacing w:after="0" w:line="240" w:lineRule="auto"/>
        <w:jc w:val="both"/>
        <w:rPr>
          <w:rFonts w:cstheme="minorHAnsi"/>
        </w:rPr>
      </w:pPr>
      <w:r w:rsidRPr="000A20E2">
        <w:rPr>
          <w:rFonts w:cstheme="minorHAnsi"/>
        </w:rPr>
        <w:t>V</w:t>
      </w:r>
      <w:r w:rsidR="00265A6E" w:rsidRPr="000A20E2">
        <w:rPr>
          <w:rFonts w:cstheme="minorHAnsi"/>
        </w:rPr>
        <w:t>arious i</w:t>
      </w:r>
      <w:r w:rsidR="00A12B9E" w:rsidRPr="000A20E2">
        <w:rPr>
          <w:rFonts w:cstheme="minorHAnsi"/>
        </w:rPr>
        <w:t xml:space="preserve">nertia-based explanations </w:t>
      </w:r>
      <w:r w:rsidRPr="000A20E2">
        <w:rPr>
          <w:rFonts w:cstheme="minorHAnsi"/>
        </w:rPr>
        <w:t xml:space="preserve">of default effects stress </w:t>
      </w:r>
      <w:r w:rsidR="00FF111F" w:rsidRPr="000A20E2">
        <w:rPr>
          <w:rFonts w:cstheme="minorHAnsi"/>
        </w:rPr>
        <w:t>an</w:t>
      </w:r>
      <w:r w:rsidR="00265A6E" w:rsidRPr="000A20E2">
        <w:rPr>
          <w:rFonts w:cstheme="minorHAnsi"/>
        </w:rPr>
        <w:t xml:space="preserve"> ac</w:t>
      </w:r>
      <w:r w:rsidR="00FF111F" w:rsidRPr="000A20E2">
        <w:rPr>
          <w:rFonts w:cstheme="minorHAnsi"/>
        </w:rPr>
        <w:t xml:space="preserve">tive choice, </w:t>
      </w:r>
      <w:r w:rsidR="00401F65" w:rsidRPr="000A20E2">
        <w:rPr>
          <w:rFonts w:cstheme="minorHAnsi"/>
        </w:rPr>
        <w:t>involving</w:t>
      </w:r>
      <w:r w:rsidR="00FF111F" w:rsidRPr="000A20E2">
        <w:rPr>
          <w:rFonts w:cstheme="minorHAnsi"/>
        </w:rPr>
        <w:t xml:space="preserve"> at least some cognitive effort, is required to reject a default and accept some alternative</w:t>
      </w:r>
      <w:r w:rsidR="00265A6E" w:rsidRPr="000A20E2">
        <w:rPr>
          <w:rFonts w:cstheme="minorHAnsi"/>
        </w:rPr>
        <w:t>.</w:t>
      </w:r>
      <w:r w:rsidR="005A77B4" w:rsidRPr="000A20E2">
        <w:rPr>
          <w:rFonts w:cstheme="minorHAnsi"/>
        </w:rPr>
        <w:t xml:space="preserve"> </w:t>
      </w:r>
      <w:r w:rsidR="00265A6E" w:rsidRPr="000A20E2">
        <w:rPr>
          <w:rFonts w:cstheme="minorHAnsi"/>
        </w:rPr>
        <w:t xml:space="preserve">Effort must be </w:t>
      </w:r>
      <w:r w:rsidR="00FF111F" w:rsidRPr="000A20E2">
        <w:rPr>
          <w:rFonts w:cstheme="minorHAnsi"/>
        </w:rPr>
        <w:t xml:space="preserve">first </w:t>
      </w:r>
      <w:r w:rsidR="00265A6E" w:rsidRPr="000A20E2">
        <w:rPr>
          <w:rFonts w:cstheme="minorHAnsi"/>
        </w:rPr>
        <w:t xml:space="preserve">exerted to understand the nature of </w:t>
      </w:r>
      <w:r w:rsidR="00FF111F" w:rsidRPr="000A20E2">
        <w:rPr>
          <w:rFonts w:cstheme="minorHAnsi"/>
        </w:rPr>
        <w:t xml:space="preserve">the decision-making </w:t>
      </w:r>
      <w:r w:rsidR="00265A6E" w:rsidRPr="000A20E2">
        <w:rPr>
          <w:rFonts w:cstheme="minorHAnsi"/>
        </w:rPr>
        <w:t>problem or oppo</w:t>
      </w:r>
      <w:r w:rsidR="00FF111F" w:rsidRPr="000A20E2">
        <w:rPr>
          <w:rFonts w:cstheme="minorHAnsi"/>
        </w:rPr>
        <w:t>rtunity</w:t>
      </w:r>
      <w:r w:rsidR="00265A6E" w:rsidRPr="000A20E2">
        <w:rPr>
          <w:rFonts w:cstheme="minorHAnsi"/>
        </w:rPr>
        <w:t>.</w:t>
      </w:r>
      <w:r w:rsidR="005A77B4" w:rsidRPr="000A20E2">
        <w:rPr>
          <w:rFonts w:cstheme="minorHAnsi"/>
        </w:rPr>
        <w:t xml:space="preserve"> </w:t>
      </w:r>
      <w:r w:rsidR="000C7CF6" w:rsidRPr="000A20E2">
        <w:rPr>
          <w:rFonts w:cstheme="minorHAnsi"/>
        </w:rPr>
        <w:t>It</w:t>
      </w:r>
      <w:r w:rsidR="00265A6E" w:rsidRPr="000A20E2">
        <w:rPr>
          <w:rFonts w:cstheme="minorHAnsi"/>
        </w:rPr>
        <w:t xml:space="preserve"> must </w:t>
      </w:r>
      <w:r w:rsidR="00FF111F" w:rsidRPr="000A20E2">
        <w:rPr>
          <w:rFonts w:cstheme="minorHAnsi"/>
        </w:rPr>
        <w:t>then</w:t>
      </w:r>
      <w:r w:rsidR="00265A6E" w:rsidRPr="000A20E2">
        <w:rPr>
          <w:rFonts w:cstheme="minorHAnsi"/>
        </w:rPr>
        <w:t xml:space="preserve"> be </w:t>
      </w:r>
      <w:r w:rsidR="00FF111F" w:rsidRPr="000A20E2">
        <w:rPr>
          <w:rFonts w:cstheme="minorHAnsi"/>
        </w:rPr>
        <w:t>applied to form a prefe</w:t>
      </w:r>
      <w:r w:rsidRPr="000A20E2">
        <w:rPr>
          <w:rFonts w:cstheme="minorHAnsi"/>
        </w:rPr>
        <w:t xml:space="preserve">rence regarding </w:t>
      </w:r>
      <w:r w:rsidR="00FF111F" w:rsidRPr="000A20E2">
        <w:rPr>
          <w:rFonts w:cstheme="minorHAnsi"/>
        </w:rPr>
        <w:t>the different alternatives, often in a comparison with the default.</w:t>
      </w:r>
      <w:r w:rsidR="004920B0" w:rsidRPr="000A20E2">
        <w:rPr>
          <w:rFonts w:cstheme="minorHAnsi"/>
        </w:rPr>
        <w:t xml:space="preserve"> </w:t>
      </w:r>
      <w:r w:rsidR="001D3653" w:rsidRPr="000A20E2">
        <w:rPr>
          <w:rFonts w:cstheme="minorHAnsi"/>
        </w:rPr>
        <w:t xml:space="preserve">Understanding a problem </w:t>
      </w:r>
      <w:r w:rsidR="00730F6E" w:rsidRPr="000A20E2">
        <w:rPr>
          <w:rFonts w:cstheme="minorHAnsi"/>
        </w:rPr>
        <w:t xml:space="preserve">and evaluating the various </w:t>
      </w:r>
      <w:r w:rsidRPr="000A20E2">
        <w:rPr>
          <w:rFonts w:cstheme="minorHAnsi"/>
        </w:rPr>
        <w:t>options</w:t>
      </w:r>
      <w:r w:rsidR="00730F6E" w:rsidRPr="000A20E2">
        <w:rPr>
          <w:rFonts w:cstheme="minorHAnsi"/>
        </w:rPr>
        <w:t xml:space="preserve"> can be </w:t>
      </w:r>
      <w:r w:rsidR="00B150A9" w:rsidRPr="000A20E2">
        <w:rPr>
          <w:rFonts w:cstheme="minorHAnsi"/>
        </w:rPr>
        <w:t>mentally taxing</w:t>
      </w:r>
      <w:r w:rsidR="001D3653" w:rsidRPr="000A20E2">
        <w:rPr>
          <w:rFonts w:cstheme="minorHAnsi"/>
        </w:rPr>
        <w:t>, especially</w:t>
      </w:r>
      <w:r w:rsidR="00B150A9" w:rsidRPr="000A20E2">
        <w:rPr>
          <w:rFonts w:cstheme="minorHAnsi"/>
        </w:rPr>
        <w:t xml:space="preserve"> if the problem is complex, there are many </w:t>
      </w:r>
      <w:r w:rsidRPr="000A20E2">
        <w:rPr>
          <w:rFonts w:cstheme="minorHAnsi"/>
        </w:rPr>
        <w:t>options</w:t>
      </w:r>
      <w:r w:rsidR="00B150A9" w:rsidRPr="000A20E2">
        <w:rPr>
          <w:rFonts w:cstheme="minorHAnsi"/>
        </w:rPr>
        <w:t xml:space="preserve">, and </w:t>
      </w:r>
      <w:r w:rsidR="004B307B" w:rsidRPr="000A20E2">
        <w:rPr>
          <w:rFonts w:cstheme="minorHAnsi"/>
        </w:rPr>
        <w:t>the person is</w:t>
      </w:r>
      <w:r w:rsidR="00B150A9" w:rsidRPr="000A20E2">
        <w:rPr>
          <w:rFonts w:cstheme="minorHAnsi"/>
        </w:rPr>
        <w:t xml:space="preserve"> too fatigued and/or busy to </w:t>
      </w:r>
      <w:r w:rsidR="00A76D88" w:rsidRPr="000A20E2">
        <w:rPr>
          <w:rFonts w:cstheme="minorHAnsi"/>
        </w:rPr>
        <w:t xml:space="preserve">want to </w:t>
      </w:r>
      <w:r w:rsidR="00B150A9" w:rsidRPr="000A20E2">
        <w:rPr>
          <w:rFonts w:cstheme="minorHAnsi"/>
        </w:rPr>
        <w:t>exert the cognitive effort.</w:t>
      </w:r>
      <w:r w:rsidR="0074247F">
        <w:rPr>
          <w:rStyle w:val="FootnoteReference"/>
          <w:rFonts w:cstheme="minorHAnsi"/>
        </w:rPr>
        <w:footnoteReference w:id="55"/>
      </w:r>
      <w:r w:rsidR="004920B0" w:rsidRPr="000A20E2">
        <w:rPr>
          <w:rFonts w:cstheme="minorHAnsi"/>
        </w:rPr>
        <w:t xml:space="preserve"> </w:t>
      </w:r>
      <w:r w:rsidR="00726B5A" w:rsidRPr="000A20E2">
        <w:rPr>
          <w:rFonts w:cstheme="minorHAnsi"/>
        </w:rPr>
        <w:t>The evidence shows that</w:t>
      </w:r>
      <w:r w:rsidR="00726B5A" w:rsidRPr="000A20E2">
        <w:rPr>
          <w:rFonts w:cstheme="minorHAnsi"/>
          <w:i/>
          <w:iCs/>
        </w:rPr>
        <w:t xml:space="preserve"> </w:t>
      </w:r>
      <w:r w:rsidR="00726B5A" w:rsidRPr="0074247F">
        <w:rPr>
          <w:rFonts w:cstheme="minorHAnsi"/>
          <w:iCs/>
        </w:rPr>
        <w:t>c</w:t>
      </w:r>
      <w:r w:rsidR="00A76D88" w:rsidRPr="0074247F">
        <w:rPr>
          <w:rFonts w:cstheme="minorHAnsi"/>
          <w:iCs/>
        </w:rPr>
        <w:t>hoice deferral</w:t>
      </w:r>
      <w:r w:rsidR="00A76D88" w:rsidRPr="000A20E2">
        <w:rPr>
          <w:rFonts w:cstheme="minorHAnsi"/>
        </w:rPr>
        <w:t xml:space="preserve"> can occur and the default then applies in the absence of </w:t>
      </w:r>
      <w:r w:rsidR="00B83D0B" w:rsidRPr="000A20E2">
        <w:rPr>
          <w:rFonts w:cstheme="minorHAnsi"/>
        </w:rPr>
        <w:t xml:space="preserve">any </w:t>
      </w:r>
      <w:r w:rsidR="00A76D88" w:rsidRPr="000A20E2">
        <w:rPr>
          <w:rFonts w:cstheme="minorHAnsi"/>
        </w:rPr>
        <w:t>active choosing.</w:t>
      </w:r>
      <w:r w:rsidR="0074247F">
        <w:rPr>
          <w:rStyle w:val="FootnoteReference"/>
          <w:rFonts w:cstheme="minorHAnsi"/>
        </w:rPr>
        <w:footnoteReference w:id="56"/>
      </w:r>
      <w:r w:rsidR="005A77B4" w:rsidRPr="000A20E2">
        <w:rPr>
          <w:rFonts w:cstheme="minorHAnsi"/>
        </w:rPr>
        <w:t xml:space="preserve"> </w:t>
      </w:r>
      <w:proofErr w:type="gramStart"/>
      <w:r w:rsidR="00A76D88" w:rsidRPr="000A20E2">
        <w:rPr>
          <w:rFonts w:cstheme="minorHAnsi"/>
        </w:rPr>
        <w:t xml:space="preserve">Postponing a decision </w:t>
      </w:r>
      <w:r w:rsidR="003265A3" w:rsidRPr="000A20E2">
        <w:rPr>
          <w:rFonts w:cstheme="minorHAnsi"/>
        </w:rPr>
        <w:t>might then</w:t>
      </w:r>
      <w:r w:rsidR="00A76D88" w:rsidRPr="000A20E2">
        <w:rPr>
          <w:rFonts w:cstheme="minorHAnsi"/>
        </w:rPr>
        <w:t xml:space="preserve"> lead to </w:t>
      </w:r>
      <w:r w:rsidR="003265A3" w:rsidRPr="000A20E2">
        <w:rPr>
          <w:rFonts w:cstheme="minorHAnsi"/>
        </w:rPr>
        <w:t xml:space="preserve">long-term </w:t>
      </w:r>
      <w:r w:rsidR="00A76D88" w:rsidRPr="0074247F">
        <w:rPr>
          <w:rFonts w:cstheme="minorHAnsi"/>
          <w:iCs/>
        </w:rPr>
        <w:t>inaction inertia</w:t>
      </w:r>
      <w:r w:rsidR="003265A3" w:rsidRPr="0074247F">
        <w:rPr>
          <w:rFonts w:cstheme="minorHAnsi"/>
        </w:rPr>
        <w:t>,</w:t>
      </w:r>
      <w:r w:rsidR="003265A3" w:rsidRPr="000A20E2">
        <w:rPr>
          <w:rFonts w:cstheme="minorHAnsi"/>
        </w:rPr>
        <w:t xml:space="preserve"> where pe</w:t>
      </w:r>
      <w:r w:rsidRPr="000A20E2">
        <w:rPr>
          <w:rFonts w:cstheme="minorHAnsi"/>
        </w:rPr>
        <w:t>ople</w:t>
      </w:r>
      <w:r w:rsidR="003265A3" w:rsidRPr="000A20E2">
        <w:rPr>
          <w:rFonts w:cstheme="minorHAnsi"/>
        </w:rPr>
        <w:t xml:space="preserve"> stay with the default because the options in subsequent decision rounds are less attractive than </w:t>
      </w:r>
      <w:r w:rsidR="000C7CF6" w:rsidRPr="000A20E2">
        <w:rPr>
          <w:rFonts w:cstheme="minorHAnsi"/>
        </w:rPr>
        <w:t>those</w:t>
      </w:r>
      <w:r w:rsidR="004B0996" w:rsidRPr="000A20E2">
        <w:rPr>
          <w:rFonts w:cstheme="minorHAnsi"/>
        </w:rPr>
        <w:t xml:space="preserve"> in the first</w:t>
      </w:r>
      <w:r w:rsidR="003265A3" w:rsidRPr="000A20E2">
        <w:rPr>
          <w:rFonts w:cstheme="minorHAnsi"/>
        </w:rPr>
        <w:t>.</w:t>
      </w:r>
      <w:proofErr w:type="gramEnd"/>
      <w:r w:rsidR="0074247F">
        <w:rPr>
          <w:rStyle w:val="FootnoteReference"/>
          <w:rFonts w:cstheme="minorHAnsi"/>
        </w:rPr>
        <w:footnoteReference w:id="57"/>
      </w:r>
      <w:r w:rsidR="005A77B4" w:rsidRPr="000A20E2">
        <w:rPr>
          <w:rFonts w:cstheme="minorHAnsi"/>
        </w:rPr>
        <w:t xml:space="preserve"> </w:t>
      </w:r>
      <w:r w:rsidR="000C7CF6" w:rsidRPr="000A20E2">
        <w:rPr>
          <w:rFonts w:cstheme="minorHAnsi"/>
        </w:rPr>
        <w:t>If it takes too much cognitive effort to as</w:t>
      </w:r>
      <w:r w:rsidR="004B0996" w:rsidRPr="000A20E2">
        <w:rPr>
          <w:rFonts w:cstheme="minorHAnsi"/>
        </w:rPr>
        <w:t>certain whether an option is</w:t>
      </w:r>
      <w:r w:rsidR="000C7CF6" w:rsidRPr="000A20E2">
        <w:rPr>
          <w:rFonts w:cstheme="minorHAnsi"/>
        </w:rPr>
        <w:t xml:space="preserve"> better or worse than an undesirable</w:t>
      </w:r>
      <w:r w:rsidR="00460A1F" w:rsidRPr="000A20E2">
        <w:rPr>
          <w:rFonts w:cstheme="minorHAnsi"/>
        </w:rPr>
        <w:t xml:space="preserve"> </w:t>
      </w:r>
      <w:r w:rsidR="000C7CF6" w:rsidRPr="000A20E2">
        <w:rPr>
          <w:rFonts w:cstheme="minorHAnsi"/>
        </w:rPr>
        <w:t xml:space="preserve">default, </w:t>
      </w:r>
      <w:r w:rsidR="00B83D0B" w:rsidRPr="000A20E2">
        <w:rPr>
          <w:rFonts w:cstheme="minorHAnsi"/>
        </w:rPr>
        <w:t>people are likely to exhibit an</w:t>
      </w:r>
      <w:r w:rsidR="000C7CF6" w:rsidRPr="000A20E2">
        <w:rPr>
          <w:rFonts w:cstheme="minorHAnsi"/>
        </w:rPr>
        <w:t xml:space="preserve"> </w:t>
      </w:r>
      <w:r w:rsidR="000C7CF6" w:rsidRPr="0074247F">
        <w:rPr>
          <w:rFonts w:cstheme="minorHAnsi"/>
          <w:iCs/>
        </w:rPr>
        <w:t>omission bias</w:t>
      </w:r>
      <w:r w:rsidR="000C7CF6" w:rsidRPr="000A20E2">
        <w:rPr>
          <w:rFonts w:cstheme="minorHAnsi"/>
        </w:rPr>
        <w:t xml:space="preserve"> in preferring to make mistakes through their inactions</w:t>
      </w:r>
      <w:r w:rsidR="00F513BA" w:rsidRPr="000A20E2">
        <w:rPr>
          <w:rFonts w:cstheme="minorHAnsi"/>
        </w:rPr>
        <w:t>, passively staying with a</w:t>
      </w:r>
      <w:r w:rsidR="00F60547" w:rsidRPr="000A20E2">
        <w:rPr>
          <w:rFonts w:cstheme="minorHAnsi"/>
        </w:rPr>
        <w:t xml:space="preserve">n unappealing </w:t>
      </w:r>
      <w:r w:rsidR="004B0996" w:rsidRPr="000A20E2">
        <w:rPr>
          <w:rFonts w:cstheme="minorHAnsi"/>
        </w:rPr>
        <w:t>default</w:t>
      </w:r>
      <w:r w:rsidR="00F513BA" w:rsidRPr="000A20E2">
        <w:rPr>
          <w:rFonts w:cstheme="minorHAnsi"/>
        </w:rPr>
        <w:t>.</w:t>
      </w:r>
      <w:r w:rsidR="0074247F">
        <w:rPr>
          <w:rStyle w:val="FootnoteReference"/>
          <w:rFonts w:cstheme="minorHAnsi"/>
        </w:rPr>
        <w:footnoteReference w:id="58"/>
      </w:r>
      <w:r w:rsidR="004920B0" w:rsidRPr="000A20E2">
        <w:rPr>
          <w:rFonts w:cstheme="minorHAnsi"/>
        </w:rPr>
        <w:t xml:space="preserve"> </w:t>
      </w:r>
      <w:r w:rsidR="00F513BA" w:rsidRPr="000A20E2">
        <w:rPr>
          <w:rFonts w:cstheme="minorHAnsi"/>
        </w:rPr>
        <w:t xml:space="preserve">Inactions </w:t>
      </w:r>
      <w:r w:rsidR="00812F82" w:rsidRPr="000A20E2">
        <w:rPr>
          <w:rFonts w:cstheme="minorHAnsi"/>
        </w:rPr>
        <w:t xml:space="preserve">(staying with the default) </w:t>
      </w:r>
      <w:r w:rsidR="00F513BA" w:rsidRPr="000A20E2">
        <w:rPr>
          <w:rFonts w:cstheme="minorHAnsi"/>
        </w:rPr>
        <w:t>result</w:t>
      </w:r>
      <w:r w:rsidRPr="000A20E2">
        <w:rPr>
          <w:rFonts w:cstheme="minorHAnsi"/>
        </w:rPr>
        <w:t>ing</w:t>
      </w:r>
      <w:r w:rsidR="00F513BA" w:rsidRPr="000A20E2">
        <w:rPr>
          <w:rFonts w:cstheme="minorHAnsi"/>
        </w:rPr>
        <w:t xml:space="preserve"> in negative consequences are generally seen as less </w:t>
      </w:r>
      <w:r w:rsidR="00BF094B" w:rsidRPr="000A20E2">
        <w:rPr>
          <w:rFonts w:cstheme="minorHAnsi"/>
        </w:rPr>
        <w:t>morally culpable</w:t>
      </w:r>
      <w:r w:rsidR="00F513BA" w:rsidRPr="000A20E2">
        <w:rPr>
          <w:rFonts w:cstheme="minorHAnsi"/>
        </w:rPr>
        <w:t xml:space="preserve"> than actions</w:t>
      </w:r>
      <w:r w:rsidR="00812F82" w:rsidRPr="000A20E2">
        <w:rPr>
          <w:rFonts w:cstheme="minorHAnsi"/>
        </w:rPr>
        <w:t xml:space="preserve"> (actively choosing another option)</w:t>
      </w:r>
      <w:r w:rsidR="00F513BA" w:rsidRPr="000A20E2">
        <w:rPr>
          <w:rFonts w:cstheme="minorHAnsi"/>
        </w:rPr>
        <w:t xml:space="preserve"> with the same negative consequences.</w:t>
      </w:r>
      <w:r w:rsidR="0074247F">
        <w:rPr>
          <w:rStyle w:val="FootnoteReference"/>
          <w:rFonts w:cstheme="minorHAnsi"/>
        </w:rPr>
        <w:footnoteReference w:id="59"/>
      </w:r>
      <w:r w:rsidR="004920B0" w:rsidRPr="000A20E2">
        <w:rPr>
          <w:rFonts w:cstheme="minorHAnsi"/>
        </w:rPr>
        <w:t xml:space="preserve"> </w:t>
      </w:r>
      <w:r w:rsidR="005077EF" w:rsidRPr="000A20E2">
        <w:rPr>
          <w:rFonts w:cstheme="minorHAnsi"/>
        </w:rPr>
        <w:t xml:space="preserve">Thus, inertia </w:t>
      </w:r>
      <w:r w:rsidR="00401F65" w:rsidRPr="000A20E2">
        <w:rPr>
          <w:rFonts w:cstheme="minorHAnsi"/>
        </w:rPr>
        <w:t>can</w:t>
      </w:r>
      <w:r w:rsidR="005077EF" w:rsidRPr="000A20E2">
        <w:rPr>
          <w:rFonts w:cstheme="minorHAnsi"/>
        </w:rPr>
        <w:t xml:space="preserve"> explain why many people stick with a def</w:t>
      </w:r>
      <w:r w:rsidR="004B0996" w:rsidRPr="000A20E2">
        <w:rPr>
          <w:rFonts w:cstheme="minorHAnsi"/>
        </w:rPr>
        <w:t>ault rather than change</w:t>
      </w:r>
      <w:r w:rsidR="000C2587" w:rsidRPr="000A20E2">
        <w:rPr>
          <w:rFonts w:cstheme="minorHAnsi"/>
        </w:rPr>
        <w:t xml:space="preserve"> option</w:t>
      </w:r>
      <w:r w:rsidR="004B0996" w:rsidRPr="000A20E2">
        <w:rPr>
          <w:rFonts w:cstheme="minorHAnsi"/>
        </w:rPr>
        <w:t>s</w:t>
      </w:r>
      <w:r w:rsidR="000C2587" w:rsidRPr="000A20E2">
        <w:rPr>
          <w:rFonts w:cstheme="minorHAnsi"/>
        </w:rPr>
        <w:t xml:space="preserve">. </w:t>
      </w:r>
    </w:p>
    <w:p w14:paraId="03DFB86C" w14:textId="681D4F10" w:rsidR="00A3737A" w:rsidRPr="000A20E2" w:rsidRDefault="00A3737A" w:rsidP="004737F3">
      <w:pPr>
        <w:spacing w:after="0" w:line="240" w:lineRule="auto"/>
        <w:jc w:val="both"/>
        <w:rPr>
          <w:rFonts w:cstheme="minorHAnsi"/>
        </w:rPr>
      </w:pPr>
    </w:p>
    <w:p w14:paraId="48E24275" w14:textId="77777777" w:rsidR="009664BA" w:rsidRPr="000A20E2" w:rsidRDefault="008E3614" w:rsidP="000A20E2">
      <w:pPr>
        <w:spacing w:after="0" w:line="240" w:lineRule="auto"/>
        <w:jc w:val="both"/>
        <w:rPr>
          <w:rFonts w:cstheme="minorHAnsi"/>
          <w:i/>
          <w:iCs/>
        </w:rPr>
      </w:pPr>
      <w:r w:rsidRPr="000A20E2">
        <w:rPr>
          <w:rFonts w:cstheme="minorHAnsi"/>
          <w:i/>
          <w:iCs/>
        </w:rPr>
        <w:t xml:space="preserve">Social </w:t>
      </w:r>
      <w:r w:rsidR="009664BA" w:rsidRPr="000A20E2">
        <w:rPr>
          <w:rFonts w:cstheme="minorHAnsi"/>
          <w:i/>
          <w:iCs/>
        </w:rPr>
        <w:t xml:space="preserve">Norms </w:t>
      </w:r>
    </w:p>
    <w:p w14:paraId="18528478" w14:textId="77777777" w:rsidR="005C13E1" w:rsidRDefault="005C13E1" w:rsidP="005C13E1">
      <w:pPr>
        <w:spacing w:after="0" w:line="240" w:lineRule="auto"/>
        <w:jc w:val="both"/>
        <w:rPr>
          <w:rFonts w:cstheme="minorHAnsi"/>
        </w:rPr>
      </w:pPr>
    </w:p>
    <w:p w14:paraId="2B1C57C6" w14:textId="2DA6D63E" w:rsidR="009664BA" w:rsidRPr="000A20E2" w:rsidRDefault="007C6166" w:rsidP="005C13E1">
      <w:pPr>
        <w:spacing w:after="0" w:line="240" w:lineRule="auto"/>
        <w:jc w:val="both"/>
        <w:rPr>
          <w:rFonts w:cstheme="minorHAnsi"/>
        </w:rPr>
      </w:pPr>
      <w:r w:rsidRPr="000A20E2">
        <w:rPr>
          <w:rFonts w:cstheme="minorHAnsi"/>
        </w:rPr>
        <w:t xml:space="preserve">Defaults can also affect </w:t>
      </w:r>
      <w:r w:rsidR="008E3614" w:rsidRPr="000A20E2">
        <w:rPr>
          <w:rFonts w:cstheme="minorHAnsi"/>
        </w:rPr>
        <w:t>choices</w:t>
      </w:r>
      <w:r w:rsidR="00D63709" w:rsidRPr="000A20E2">
        <w:rPr>
          <w:rFonts w:cstheme="minorHAnsi"/>
        </w:rPr>
        <w:t xml:space="preserve"> </w:t>
      </w:r>
      <w:r w:rsidRPr="000A20E2">
        <w:rPr>
          <w:rFonts w:cstheme="minorHAnsi"/>
        </w:rPr>
        <w:t>through</w:t>
      </w:r>
      <w:r w:rsidR="00D63709" w:rsidRPr="000A20E2">
        <w:rPr>
          <w:rFonts w:cstheme="minorHAnsi"/>
        </w:rPr>
        <w:t xml:space="preserve"> their role </w:t>
      </w:r>
      <w:r w:rsidR="008E3614" w:rsidRPr="000A20E2">
        <w:rPr>
          <w:rFonts w:cstheme="minorHAnsi"/>
        </w:rPr>
        <w:t>as perceived soci</w:t>
      </w:r>
      <w:r w:rsidR="004B0996" w:rsidRPr="000A20E2">
        <w:rPr>
          <w:rFonts w:cstheme="minorHAnsi"/>
        </w:rPr>
        <w:t>al norms</w:t>
      </w:r>
      <w:r w:rsidR="007C607E" w:rsidRPr="000A20E2">
        <w:rPr>
          <w:rFonts w:cstheme="minorHAnsi"/>
        </w:rPr>
        <w:t>.</w:t>
      </w:r>
      <w:r w:rsidR="005A77B4" w:rsidRPr="000A20E2">
        <w:rPr>
          <w:rFonts w:cstheme="minorHAnsi"/>
        </w:rPr>
        <w:t xml:space="preserve"> </w:t>
      </w:r>
      <w:r w:rsidR="007C607E" w:rsidRPr="000A20E2">
        <w:rPr>
          <w:rFonts w:cstheme="minorHAnsi"/>
        </w:rPr>
        <w:t>Social norms are what individuals generally believe to be the most prevalent and/or acceptable behavio</w:t>
      </w:r>
      <w:r w:rsidR="009B2CD0" w:rsidRPr="000A20E2">
        <w:rPr>
          <w:rFonts w:cstheme="minorHAnsi"/>
        </w:rPr>
        <w:t>ur in a particular group situat</w:t>
      </w:r>
      <w:r w:rsidR="007C607E" w:rsidRPr="000A20E2">
        <w:rPr>
          <w:rFonts w:cstheme="minorHAnsi"/>
        </w:rPr>
        <w:t>ion</w:t>
      </w:r>
      <w:r w:rsidR="0013214A" w:rsidRPr="000A20E2">
        <w:rPr>
          <w:rFonts w:cstheme="minorHAnsi"/>
        </w:rPr>
        <w:t>.</w:t>
      </w:r>
      <w:r w:rsidR="004737F3">
        <w:rPr>
          <w:rStyle w:val="FootnoteReference"/>
          <w:rFonts w:cstheme="minorHAnsi"/>
        </w:rPr>
        <w:footnoteReference w:id="60"/>
      </w:r>
      <w:r w:rsidR="004920B0" w:rsidRPr="000A20E2">
        <w:rPr>
          <w:rFonts w:cstheme="minorHAnsi"/>
        </w:rPr>
        <w:t xml:space="preserve"> </w:t>
      </w:r>
      <w:r w:rsidR="0013214A" w:rsidRPr="000A20E2">
        <w:rPr>
          <w:rFonts w:cstheme="minorHAnsi"/>
        </w:rPr>
        <w:t xml:space="preserve">Most </w:t>
      </w:r>
      <w:r w:rsidR="00726B5A" w:rsidRPr="000A20E2">
        <w:rPr>
          <w:rFonts w:cstheme="minorHAnsi"/>
        </w:rPr>
        <w:t>comply with social norms</w:t>
      </w:r>
      <w:r w:rsidR="0013214A" w:rsidRPr="000A20E2">
        <w:rPr>
          <w:rFonts w:cstheme="minorHAnsi"/>
        </w:rPr>
        <w:t xml:space="preserve"> and rely on them to guide the</w:t>
      </w:r>
      <w:r w:rsidR="00C90D58" w:rsidRPr="000A20E2">
        <w:rPr>
          <w:rFonts w:cstheme="minorHAnsi"/>
        </w:rPr>
        <w:t>ir behaviour</w:t>
      </w:r>
      <w:r w:rsidR="004737F3">
        <w:rPr>
          <w:rFonts w:cstheme="minorHAnsi"/>
        </w:rPr>
        <w:t>.</w:t>
      </w:r>
      <w:r w:rsidR="004737F3">
        <w:rPr>
          <w:rStyle w:val="FootnoteReference"/>
          <w:rFonts w:cstheme="minorHAnsi"/>
        </w:rPr>
        <w:footnoteReference w:id="61"/>
      </w:r>
      <w:r w:rsidR="005A77B4" w:rsidRPr="000A20E2">
        <w:rPr>
          <w:rFonts w:cstheme="minorHAnsi"/>
        </w:rPr>
        <w:t xml:space="preserve"> </w:t>
      </w:r>
      <w:r w:rsidR="00FD2CFD" w:rsidRPr="000A20E2">
        <w:rPr>
          <w:rFonts w:cstheme="minorHAnsi"/>
        </w:rPr>
        <w:t>There are two basic kinds of social norms:</w:t>
      </w:r>
      <w:r w:rsidR="005A77B4" w:rsidRPr="000A20E2">
        <w:rPr>
          <w:rFonts w:cstheme="minorHAnsi"/>
        </w:rPr>
        <w:t xml:space="preserve"> </w:t>
      </w:r>
      <w:r w:rsidR="00FD2CFD" w:rsidRPr="000A20E2">
        <w:rPr>
          <w:rFonts w:cstheme="minorHAnsi"/>
        </w:rPr>
        <w:t>descriptive and injunctive.</w:t>
      </w:r>
      <w:r w:rsidR="004737F3">
        <w:rPr>
          <w:rStyle w:val="FootnoteReference"/>
          <w:rFonts w:cstheme="minorHAnsi"/>
        </w:rPr>
        <w:footnoteReference w:id="62"/>
      </w:r>
      <w:r w:rsidR="004920B0" w:rsidRPr="000A20E2">
        <w:rPr>
          <w:rFonts w:cstheme="minorHAnsi"/>
        </w:rPr>
        <w:t xml:space="preserve"> </w:t>
      </w:r>
      <w:r w:rsidR="00022D5C" w:rsidRPr="000A20E2">
        <w:rPr>
          <w:rFonts w:cstheme="minorHAnsi"/>
        </w:rPr>
        <w:t>Descriptive refer</w:t>
      </w:r>
      <w:r w:rsidRPr="000A20E2">
        <w:rPr>
          <w:rFonts w:cstheme="minorHAnsi"/>
        </w:rPr>
        <w:t>s</w:t>
      </w:r>
      <w:r w:rsidR="00022D5C" w:rsidRPr="000A20E2">
        <w:rPr>
          <w:rFonts w:cstheme="minorHAnsi"/>
        </w:rPr>
        <w:t xml:space="preserve"> to what individuals perceive as the most common behaviours within a group: what most people </w:t>
      </w:r>
      <w:r w:rsidR="00621702" w:rsidRPr="000A20E2">
        <w:rPr>
          <w:rFonts w:cstheme="minorHAnsi"/>
        </w:rPr>
        <w:t>actually</w:t>
      </w:r>
      <w:r w:rsidR="00022D5C" w:rsidRPr="000A20E2">
        <w:rPr>
          <w:rFonts w:cstheme="minorHAnsi"/>
        </w:rPr>
        <w:t xml:space="preserve"> do in a given situation.</w:t>
      </w:r>
      <w:r w:rsidR="005A77B4" w:rsidRPr="000A20E2">
        <w:rPr>
          <w:rFonts w:cstheme="minorHAnsi"/>
        </w:rPr>
        <w:t xml:space="preserve"> </w:t>
      </w:r>
      <w:r w:rsidR="00022D5C" w:rsidRPr="000A20E2">
        <w:rPr>
          <w:rFonts w:cstheme="minorHAnsi"/>
        </w:rPr>
        <w:t>Injunctive refer</w:t>
      </w:r>
      <w:r w:rsidRPr="000A20E2">
        <w:rPr>
          <w:rFonts w:cstheme="minorHAnsi"/>
        </w:rPr>
        <w:t>s</w:t>
      </w:r>
      <w:r w:rsidR="00022D5C" w:rsidRPr="000A20E2">
        <w:rPr>
          <w:rFonts w:cstheme="minorHAnsi"/>
        </w:rPr>
        <w:t xml:space="preserve"> to what individuals perceive as the most </w:t>
      </w:r>
      <w:r w:rsidR="007B1574" w:rsidRPr="000A20E2">
        <w:rPr>
          <w:rFonts w:cstheme="minorHAnsi"/>
        </w:rPr>
        <w:t xml:space="preserve">appropriate behaviours </w:t>
      </w:r>
      <w:r w:rsidR="00022D5C" w:rsidRPr="000A20E2">
        <w:rPr>
          <w:rFonts w:cstheme="minorHAnsi"/>
        </w:rPr>
        <w:t>within a group:</w:t>
      </w:r>
      <w:r w:rsidR="005A77B4" w:rsidRPr="000A20E2">
        <w:rPr>
          <w:rFonts w:cstheme="minorHAnsi"/>
        </w:rPr>
        <w:t xml:space="preserve"> </w:t>
      </w:r>
      <w:r w:rsidR="00022D5C" w:rsidRPr="000A20E2">
        <w:rPr>
          <w:rFonts w:cstheme="minorHAnsi"/>
        </w:rPr>
        <w:t xml:space="preserve">what </w:t>
      </w:r>
      <w:r w:rsidR="00401F65" w:rsidRPr="000A20E2">
        <w:rPr>
          <w:rFonts w:cstheme="minorHAnsi"/>
        </w:rPr>
        <w:t xml:space="preserve">all </w:t>
      </w:r>
      <w:r w:rsidR="00022D5C" w:rsidRPr="000A20E2">
        <w:rPr>
          <w:rFonts w:cstheme="minorHAnsi"/>
        </w:rPr>
        <w:t>should do in a given situation.</w:t>
      </w:r>
      <w:r w:rsidR="005A77B4" w:rsidRPr="000A20E2">
        <w:rPr>
          <w:rFonts w:cstheme="minorHAnsi"/>
        </w:rPr>
        <w:t xml:space="preserve"> </w:t>
      </w:r>
      <w:r w:rsidRPr="000A20E2">
        <w:rPr>
          <w:rFonts w:cstheme="minorHAnsi"/>
        </w:rPr>
        <w:t>E</w:t>
      </w:r>
      <w:r w:rsidR="00726B5A" w:rsidRPr="000A20E2">
        <w:rPr>
          <w:rFonts w:cstheme="minorHAnsi"/>
        </w:rPr>
        <w:t>mpirical evidence shows a</w:t>
      </w:r>
      <w:r w:rsidR="00621702" w:rsidRPr="000A20E2">
        <w:rPr>
          <w:rFonts w:cstheme="minorHAnsi"/>
        </w:rPr>
        <w:t xml:space="preserve"> default can be interpreted as indicative of either a descriptive o</w:t>
      </w:r>
      <w:r w:rsidR="00276E65" w:rsidRPr="000A20E2">
        <w:rPr>
          <w:rFonts w:cstheme="minorHAnsi"/>
        </w:rPr>
        <w:t>r an injunctive norm</w:t>
      </w:r>
      <w:r w:rsidR="004737F3">
        <w:rPr>
          <w:rFonts w:cstheme="minorHAnsi"/>
        </w:rPr>
        <w:t>.</w:t>
      </w:r>
      <w:r w:rsidR="004737F3">
        <w:rPr>
          <w:rStyle w:val="FootnoteReference"/>
          <w:rFonts w:cstheme="minorHAnsi"/>
        </w:rPr>
        <w:footnoteReference w:id="63"/>
      </w:r>
      <w:r w:rsidR="004920B0" w:rsidRPr="000A20E2">
        <w:rPr>
          <w:rFonts w:cstheme="minorHAnsi"/>
        </w:rPr>
        <w:t xml:space="preserve"> </w:t>
      </w:r>
      <w:r w:rsidR="00276E65" w:rsidRPr="000A20E2">
        <w:rPr>
          <w:rFonts w:cstheme="minorHAnsi"/>
        </w:rPr>
        <w:t>When</w:t>
      </w:r>
      <w:r w:rsidR="00621702" w:rsidRPr="000A20E2">
        <w:rPr>
          <w:rFonts w:cstheme="minorHAnsi"/>
        </w:rPr>
        <w:t xml:space="preserve"> </w:t>
      </w:r>
      <w:r w:rsidR="00276E65" w:rsidRPr="000A20E2">
        <w:rPr>
          <w:rFonts w:cstheme="minorHAnsi"/>
        </w:rPr>
        <w:t xml:space="preserve">viewed </w:t>
      </w:r>
      <w:r w:rsidR="00621702" w:rsidRPr="000A20E2">
        <w:rPr>
          <w:rFonts w:cstheme="minorHAnsi"/>
        </w:rPr>
        <w:t xml:space="preserve">as a descriptive norm, </w:t>
      </w:r>
      <w:r w:rsidR="005D79EA" w:rsidRPr="000A20E2">
        <w:rPr>
          <w:rFonts w:cstheme="minorHAnsi"/>
        </w:rPr>
        <w:t>a</w:t>
      </w:r>
      <w:r w:rsidR="00621702" w:rsidRPr="000A20E2">
        <w:rPr>
          <w:rFonts w:cstheme="minorHAnsi"/>
        </w:rPr>
        <w:t xml:space="preserve"> </w:t>
      </w:r>
      <w:r w:rsidR="005D79EA" w:rsidRPr="000A20E2">
        <w:rPr>
          <w:rFonts w:cstheme="minorHAnsi"/>
        </w:rPr>
        <w:t>default is seen as having been set in accordance with majority preferences</w:t>
      </w:r>
      <w:r w:rsidR="00276E65" w:rsidRPr="000A20E2">
        <w:rPr>
          <w:rFonts w:cstheme="minorHAnsi"/>
        </w:rPr>
        <w:t>:</w:t>
      </w:r>
      <w:r w:rsidR="005A77B4" w:rsidRPr="000A20E2">
        <w:rPr>
          <w:rFonts w:cstheme="minorHAnsi"/>
        </w:rPr>
        <w:t xml:space="preserve"> </w:t>
      </w:r>
      <w:r w:rsidR="00276E65" w:rsidRPr="000A20E2">
        <w:rPr>
          <w:rFonts w:cstheme="minorHAnsi"/>
        </w:rPr>
        <w:t>what most would normally choose in the circumstances</w:t>
      </w:r>
      <w:r w:rsidR="009574EC" w:rsidRPr="000A20E2">
        <w:rPr>
          <w:rFonts w:cstheme="minorHAnsi"/>
        </w:rPr>
        <w:t>.</w:t>
      </w:r>
      <w:r w:rsidR="005A77B4" w:rsidRPr="000A20E2">
        <w:rPr>
          <w:rFonts w:cstheme="minorHAnsi"/>
        </w:rPr>
        <w:t xml:space="preserve"> </w:t>
      </w:r>
      <w:r w:rsidR="00276E65" w:rsidRPr="000A20E2">
        <w:rPr>
          <w:rFonts w:cstheme="minorHAnsi"/>
        </w:rPr>
        <w:t xml:space="preserve">When viewed as an injunctive </w:t>
      </w:r>
      <w:r w:rsidR="003D1C87" w:rsidRPr="000A20E2">
        <w:rPr>
          <w:rFonts w:cstheme="minorHAnsi"/>
        </w:rPr>
        <w:t>norm</w:t>
      </w:r>
      <w:r w:rsidR="00276E65" w:rsidRPr="000A20E2">
        <w:rPr>
          <w:rFonts w:cstheme="minorHAnsi"/>
        </w:rPr>
        <w:t xml:space="preserve">, </w:t>
      </w:r>
      <w:r w:rsidR="005D79EA" w:rsidRPr="000A20E2">
        <w:rPr>
          <w:rFonts w:cstheme="minorHAnsi"/>
        </w:rPr>
        <w:t>the default is seen as having been</w:t>
      </w:r>
      <w:r w:rsidR="00276E65" w:rsidRPr="000A20E2">
        <w:rPr>
          <w:rFonts w:cstheme="minorHAnsi"/>
        </w:rPr>
        <w:t xml:space="preserve"> </w:t>
      </w:r>
      <w:r w:rsidR="00F466C7" w:rsidRPr="000A20E2">
        <w:rPr>
          <w:rFonts w:cstheme="minorHAnsi"/>
        </w:rPr>
        <w:t xml:space="preserve">endorsed as </w:t>
      </w:r>
      <w:r w:rsidR="00276E65" w:rsidRPr="000A20E2">
        <w:rPr>
          <w:rFonts w:cstheme="minorHAnsi"/>
        </w:rPr>
        <w:t xml:space="preserve">the </w:t>
      </w:r>
      <w:r w:rsidR="00D97735" w:rsidRPr="000A20E2">
        <w:rPr>
          <w:rFonts w:cstheme="minorHAnsi"/>
        </w:rPr>
        <w:t>‘</w:t>
      </w:r>
      <w:r w:rsidR="00276E65" w:rsidRPr="000A20E2">
        <w:rPr>
          <w:rFonts w:cstheme="minorHAnsi"/>
        </w:rPr>
        <w:t>right thing to do</w:t>
      </w:r>
      <w:r w:rsidR="00D97735" w:rsidRPr="000A20E2">
        <w:rPr>
          <w:rFonts w:cstheme="minorHAnsi"/>
        </w:rPr>
        <w:t>’</w:t>
      </w:r>
      <w:r w:rsidR="00276E65" w:rsidRPr="000A20E2">
        <w:rPr>
          <w:rFonts w:cstheme="minorHAnsi"/>
        </w:rPr>
        <w:t>.</w:t>
      </w:r>
      <w:r w:rsidR="004920B0" w:rsidRPr="000A20E2">
        <w:rPr>
          <w:rFonts w:cstheme="minorHAnsi"/>
        </w:rPr>
        <w:t xml:space="preserve"> </w:t>
      </w:r>
      <w:r w:rsidR="007501CB" w:rsidRPr="000A20E2">
        <w:rPr>
          <w:rFonts w:cstheme="minorHAnsi"/>
        </w:rPr>
        <w:t>More s</w:t>
      </w:r>
      <w:r w:rsidR="00F466C7" w:rsidRPr="000A20E2">
        <w:rPr>
          <w:rFonts w:cstheme="minorHAnsi"/>
        </w:rPr>
        <w:t>pecifically, individual</w:t>
      </w:r>
      <w:r w:rsidRPr="000A20E2">
        <w:rPr>
          <w:rFonts w:cstheme="minorHAnsi"/>
        </w:rPr>
        <w:t>s</w:t>
      </w:r>
      <w:r w:rsidR="00F466C7" w:rsidRPr="000A20E2">
        <w:rPr>
          <w:rFonts w:cstheme="minorHAnsi"/>
        </w:rPr>
        <w:t xml:space="preserve"> might see the default as an implicit recommendation from experts and/or policy-makers.</w:t>
      </w:r>
      <w:r w:rsidR="004737F3">
        <w:rPr>
          <w:rStyle w:val="FootnoteReference"/>
          <w:rFonts w:cstheme="minorHAnsi"/>
        </w:rPr>
        <w:footnoteReference w:id="64"/>
      </w:r>
      <w:r w:rsidR="004920B0" w:rsidRPr="000A20E2">
        <w:rPr>
          <w:rFonts w:cstheme="minorHAnsi"/>
        </w:rPr>
        <w:t xml:space="preserve"> </w:t>
      </w:r>
      <w:r w:rsidR="009574EC" w:rsidRPr="000A20E2">
        <w:rPr>
          <w:rFonts w:cstheme="minorHAnsi"/>
        </w:rPr>
        <w:t xml:space="preserve">In either, the default </w:t>
      </w:r>
      <w:r w:rsidR="007C607E" w:rsidRPr="000A20E2">
        <w:rPr>
          <w:rFonts w:cstheme="minorHAnsi"/>
        </w:rPr>
        <w:t>is</w:t>
      </w:r>
      <w:r w:rsidR="005D79EA" w:rsidRPr="000A20E2">
        <w:rPr>
          <w:rFonts w:cstheme="minorHAnsi"/>
        </w:rPr>
        <w:t xml:space="preserve"> seen as conveying important information about what works best and/or what </w:t>
      </w:r>
      <w:r w:rsidR="00D130DA" w:rsidRPr="000A20E2">
        <w:rPr>
          <w:rFonts w:cstheme="minorHAnsi"/>
        </w:rPr>
        <w:t>would</w:t>
      </w:r>
      <w:r w:rsidR="005D79EA" w:rsidRPr="000A20E2">
        <w:rPr>
          <w:rFonts w:cstheme="minorHAnsi"/>
        </w:rPr>
        <w:t xml:space="preserve"> win public approval.</w:t>
      </w:r>
      <w:r w:rsidR="004737F3">
        <w:rPr>
          <w:rStyle w:val="FootnoteReference"/>
          <w:rFonts w:cstheme="minorHAnsi"/>
        </w:rPr>
        <w:footnoteReference w:id="65"/>
      </w:r>
      <w:r w:rsidR="004920B0" w:rsidRPr="000A20E2">
        <w:rPr>
          <w:rFonts w:cstheme="minorHAnsi"/>
        </w:rPr>
        <w:t xml:space="preserve"> </w:t>
      </w:r>
      <w:r w:rsidR="000C2587" w:rsidRPr="000A20E2">
        <w:rPr>
          <w:rFonts w:cstheme="minorHAnsi"/>
        </w:rPr>
        <w:t>Consequently, a default perceived as a social norm i</w:t>
      </w:r>
      <w:r w:rsidR="004B0996" w:rsidRPr="000A20E2">
        <w:rPr>
          <w:rFonts w:cstheme="minorHAnsi"/>
        </w:rPr>
        <w:t>s more likely to stick</w:t>
      </w:r>
      <w:r w:rsidR="000C2587" w:rsidRPr="000A20E2">
        <w:rPr>
          <w:rFonts w:cstheme="minorHAnsi"/>
        </w:rPr>
        <w:t>.</w:t>
      </w:r>
      <w:r w:rsidR="004920B0" w:rsidRPr="000A20E2">
        <w:rPr>
          <w:rFonts w:cstheme="minorHAnsi"/>
        </w:rPr>
        <w:t xml:space="preserve"> </w:t>
      </w:r>
    </w:p>
    <w:p w14:paraId="79601587" w14:textId="77777777" w:rsidR="008A6B4F" w:rsidRPr="000A20E2" w:rsidRDefault="008A6B4F" w:rsidP="000A20E2">
      <w:pPr>
        <w:spacing w:after="0" w:line="240" w:lineRule="auto"/>
        <w:ind w:firstLine="720"/>
        <w:jc w:val="both"/>
        <w:rPr>
          <w:rFonts w:cstheme="minorHAnsi"/>
        </w:rPr>
      </w:pPr>
    </w:p>
    <w:p w14:paraId="7626CAA2" w14:textId="77777777" w:rsidR="004920B0" w:rsidRPr="000A20E2" w:rsidRDefault="009664BA" w:rsidP="000A20E2">
      <w:pPr>
        <w:spacing w:after="0" w:line="240" w:lineRule="auto"/>
        <w:jc w:val="both"/>
        <w:rPr>
          <w:rFonts w:cstheme="minorHAnsi"/>
          <w:i/>
          <w:iCs/>
        </w:rPr>
      </w:pPr>
      <w:r w:rsidRPr="000A20E2">
        <w:rPr>
          <w:rFonts w:cstheme="minorHAnsi"/>
          <w:i/>
          <w:iCs/>
        </w:rPr>
        <w:t xml:space="preserve">Loss aversion </w:t>
      </w:r>
    </w:p>
    <w:p w14:paraId="30B0BD39" w14:textId="77777777" w:rsidR="005C13E1" w:rsidRDefault="005C13E1" w:rsidP="005C13E1">
      <w:pPr>
        <w:spacing w:after="0" w:line="240" w:lineRule="auto"/>
        <w:jc w:val="both"/>
        <w:rPr>
          <w:rFonts w:cstheme="minorHAnsi"/>
        </w:rPr>
      </w:pPr>
    </w:p>
    <w:p w14:paraId="4938ACF3" w14:textId="5B624815" w:rsidR="00C11546" w:rsidRPr="000A20E2" w:rsidRDefault="00AA0F27" w:rsidP="005C13E1">
      <w:pPr>
        <w:spacing w:after="0" w:line="240" w:lineRule="auto"/>
        <w:jc w:val="both"/>
        <w:rPr>
          <w:rFonts w:cstheme="minorHAnsi"/>
          <w:i/>
          <w:iCs/>
        </w:rPr>
      </w:pPr>
      <w:r w:rsidRPr="000A20E2">
        <w:rPr>
          <w:rFonts w:cstheme="minorHAnsi"/>
        </w:rPr>
        <w:t xml:space="preserve">Human beings generally </w:t>
      </w:r>
      <w:r w:rsidR="00503478" w:rsidRPr="000A20E2">
        <w:rPr>
          <w:rFonts w:cstheme="minorHAnsi"/>
        </w:rPr>
        <w:t>‘</w:t>
      </w:r>
      <w:r w:rsidR="008C0187" w:rsidRPr="000A20E2">
        <w:rPr>
          <w:rFonts w:cstheme="minorHAnsi"/>
        </w:rPr>
        <w:t>…</w:t>
      </w:r>
      <w:r w:rsidRPr="000A20E2">
        <w:rPr>
          <w:rFonts w:cstheme="minorHAnsi"/>
        </w:rPr>
        <w:t xml:space="preserve"> dislike losses more than they like corresponding gains</w:t>
      </w:r>
      <w:r w:rsidR="00503478" w:rsidRPr="000A20E2">
        <w:rPr>
          <w:rFonts w:cstheme="minorHAnsi"/>
        </w:rPr>
        <w:t>’</w:t>
      </w:r>
      <w:r w:rsidR="004737F3">
        <w:rPr>
          <w:rStyle w:val="FootnoteReference"/>
          <w:rFonts w:cstheme="minorHAnsi"/>
        </w:rPr>
        <w:footnoteReference w:id="66"/>
      </w:r>
      <w:r w:rsidRPr="000A20E2">
        <w:rPr>
          <w:rFonts w:cstheme="minorHAnsi"/>
        </w:rPr>
        <w:t xml:space="preserve"> and, </w:t>
      </w:r>
      <w:r w:rsidR="008C0187" w:rsidRPr="000A20E2">
        <w:rPr>
          <w:rFonts w:cstheme="minorHAnsi"/>
        </w:rPr>
        <w:t>so</w:t>
      </w:r>
      <w:r w:rsidRPr="000A20E2">
        <w:rPr>
          <w:rFonts w:cstheme="minorHAnsi"/>
        </w:rPr>
        <w:t>, are much more motivated to minimise losses than maxi</w:t>
      </w:r>
      <w:r w:rsidR="00C90D58" w:rsidRPr="000A20E2">
        <w:rPr>
          <w:rFonts w:cstheme="minorHAnsi"/>
        </w:rPr>
        <w:t>mise equivalent gains</w:t>
      </w:r>
      <w:r w:rsidRPr="000A20E2">
        <w:rPr>
          <w:rFonts w:cstheme="minorHAnsi"/>
        </w:rPr>
        <w:t>.</w:t>
      </w:r>
      <w:r w:rsidR="004920B0" w:rsidRPr="000A20E2">
        <w:rPr>
          <w:rFonts w:cstheme="minorHAnsi"/>
        </w:rPr>
        <w:t xml:space="preserve"> </w:t>
      </w:r>
      <w:r w:rsidRPr="000A20E2">
        <w:rPr>
          <w:rFonts w:cstheme="minorHAnsi"/>
        </w:rPr>
        <w:t xml:space="preserve">Defaults commonly establish </w:t>
      </w:r>
      <w:r w:rsidR="008C0187" w:rsidRPr="000A20E2">
        <w:rPr>
          <w:rFonts w:cstheme="minorHAnsi"/>
        </w:rPr>
        <w:t>r</w:t>
      </w:r>
      <w:r w:rsidRPr="000A20E2">
        <w:rPr>
          <w:rFonts w:cstheme="minorHAnsi"/>
        </w:rPr>
        <w:t>eference point</w:t>
      </w:r>
      <w:r w:rsidR="008C0187" w:rsidRPr="000A20E2">
        <w:rPr>
          <w:rFonts w:cstheme="minorHAnsi"/>
        </w:rPr>
        <w:t>s</w:t>
      </w:r>
      <w:r w:rsidRPr="000A20E2">
        <w:rPr>
          <w:rFonts w:cstheme="minorHAnsi"/>
        </w:rPr>
        <w:t xml:space="preserve"> in people’s minds, a </w:t>
      </w:r>
      <w:r w:rsidRPr="000A20E2">
        <w:rPr>
          <w:rFonts w:cstheme="minorHAnsi"/>
          <w:i/>
          <w:iCs/>
        </w:rPr>
        <w:t>status quo</w:t>
      </w:r>
      <w:r w:rsidRPr="000A20E2">
        <w:rPr>
          <w:rFonts w:cstheme="minorHAnsi"/>
        </w:rPr>
        <w:t xml:space="preserve"> position, against which losses and gains are ass</w:t>
      </w:r>
      <w:r w:rsidR="00C90D58" w:rsidRPr="000A20E2">
        <w:rPr>
          <w:rFonts w:cstheme="minorHAnsi"/>
        </w:rPr>
        <w:t>essed</w:t>
      </w:r>
      <w:r w:rsidRPr="000A20E2">
        <w:rPr>
          <w:rFonts w:cstheme="minorHAnsi"/>
        </w:rPr>
        <w:t>.</w:t>
      </w:r>
      <w:r w:rsidR="004737F3">
        <w:rPr>
          <w:rStyle w:val="FootnoteReference"/>
          <w:rFonts w:cstheme="minorHAnsi"/>
        </w:rPr>
        <w:footnoteReference w:id="67"/>
      </w:r>
      <w:r w:rsidR="004920B0" w:rsidRPr="000A20E2">
        <w:rPr>
          <w:rFonts w:cstheme="minorHAnsi"/>
        </w:rPr>
        <w:t xml:space="preserve"> </w:t>
      </w:r>
      <w:r w:rsidR="005E6A67" w:rsidRPr="000A20E2">
        <w:rPr>
          <w:rFonts w:cstheme="minorHAnsi"/>
        </w:rPr>
        <w:t>Active choosing of some other option is</w:t>
      </w:r>
      <w:r w:rsidR="004920B0" w:rsidRPr="000A20E2">
        <w:rPr>
          <w:rFonts w:cstheme="minorHAnsi"/>
        </w:rPr>
        <w:t>,</w:t>
      </w:r>
      <w:r w:rsidR="005E6A67" w:rsidRPr="000A20E2">
        <w:rPr>
          <w:rFonts w:cstheme="minorHAnsi"/>
        </w:rPr>
        <w:t xml:space="preserve"> thus</w:t>
      </w:r>
      <w:r w:rsidR="004920B0" w:rsidRPr="000A20E2">
        <w:rPr>
          <w:rFonts w:cstheme="minorHAnsi"/>
        </w:rPr>
        <w:t>,</w:t>
      </w:r>
      <w:r w:rsidR="005E6A67" w:rsidRPr="000A20E2">
        <w:rPr>
          <w:rFonts w:cstheme="minorHAnsi"/>
        </w:rPr>
        <w:t xml:space="preserve"> perceived as a departure from the default reference point, where rejecting the default involves losses and accepting an alternative involves gains.</w:t>
      </w:r>
      <w:r w:rsidR="005A77B4" w:rsidRPr="000A20E2">
        <w:rPr>
          <w:rFonts w:cstheme="minorHAnsi"/>
        </w:rPr>
        <w:t xml:space="preserve"> </w:t>
      </w:r>
      <w:r w:rsidR="0051205C" w:rsidRPr="000A20E2">
        <w:rPr>
          <w:rFonts w:cstheme="minorHAnsi"/>
        </w:rPr>
        <w:t>Since losses</w:t>
      </w:r>
      <w:r w:rsidR="004C3A12" w:rsidRPr="000A20E2">
        <w:rPr>
          <w:rFonts w:cstheme="minorHAnsi"/>
        </w:rPr>
        <w:t xml:space="preserve"> </w:t>
      </w:r>
      <w:r w:rsidR="005E6A67" w:rsidRPr="000A20E2">
        <w:rPr>
          <w:rFonts w:cstheme="minorHAnsi"/>
        </w:rPr>
        <w:t>have a magnified significance in people’</w:t>
      </w:r>
      <w:r w:rsidR="004C3A12" w:rsidRPr="000A20E2">
        <w:rPr>
          <w:rFonts w:cstheme="minorHAnsi"/>
        </w:rPr>
        <w:t>s minds relative to gains</w:t>
      </w:r>
      <w:r w:rsidR="0051205C" w:rsidRPr="000A20E2">
        <w:rPr>
          <w:rFonts w:cstheme="minorHAnsi"/>
        </w:rPr>
        <w:t>,</w:t>
      </w:r>
      <w:r w:rsidR="00C11546" w:rsidRPr="000A20E2">
        <w:rPr>
          <w:rFonts w:cstheme="minorHAnsi"/>
        </w:rPr>
        <w:t xml:space="preserve"> </w:t>
      </w:r>
      <w:r w:rsidR="0051205C" w:rsidRPr="000A20E2">
        <w:rPr>
          <w:rFonts w:cstheme="minorHAnsi"/>
        </w:rPr>
        <w:t xml:space="preserve">any alternative to </w:t>
      </w:r>
      <w:r w:rsidR="00132044" w:rsidRPr="000A20E2">
        <w:rPr>
          <w:rFonts w:cstheme="minorHAnsi"/>
        </w:rPr>
        <w:t xml:space="preserve">a </w:t>
      </w:r>
      <w:r w:rsidR="0051205C" w:rsidRPr="000A20E2">
        <w:rPr>
          <w:rFonts w:cstheme="minorHAnsi"/>
        </w:rPr>
        <w:t>default must</w:t>
      </w:r>
      <w:r w:rsidR="004B0996" w:rsidRPr="000A20E2">
        <w:rPr>
          <w:rFonts w:cstheme="minorHAnsi"/>
        </w:rPr>
        <w:t xml:space="preserve"> generally be perceived as much</w:t>
      </w:r>
      <w:r w:rsidR="0051205C" w:rsidRPr="000A20E2">
        <w:rPr>
          <w:rFonts w:cstheme="minorHAnsi"/>
        </w:rPr>
        <w:t xml:space="preserve"> more attractive, in terms of potential gains, to prompt switch</w:t>
      </w:r>
      <w:r w:rsidR="008C0187" w:rsidRPr="000A20E2">
        <w:rPr>
          <w:rFonts w:cstheme="minorHAnsi"/>
        </w:rPr>
        <w:t>ing</w:t>
      </w:r>
      <w:r w:rsidR="0051205C" w:rsidRPr="000A20E2">
        <w:rPr>
          <w:rFonts w:cstheme="minorHAnsi"/>
        </w:rPr>
        <w:t xml:space="preserve">. </w:t>
      </w:r>
      <w:r w:rsidR="008C0187" w:rsidRPr="000A20E2">
        <w:rPr>
          <w:rFonts w:cstheme="minorHAnsi"/>
        </w:rPr>
        <w:t>It follows</w:t>
      </w:r>
      <w:r w:rsidR="00410E30" w:rsidRPr="000A20E2">
        <w:rPr>
          <w:rFonts w:cstheme="minorHAnsi"/>
        </w:rPr>
        <w:t>, u</w:t>
      </w:r>
      <w:r w:rsidR="00C11546" w:rsidRPr="000A20E2">
        <w:rPr>
          <w:rFonts w:cstheme="minorHAnsi"/>
        </w:rPr>
        <w:t xml:space="preserve">nless </w:t>
      </w:r>
      <w:r w:rsidR="00410E30" w:rsidRPr="000A20E2">
        <w:rPr>
          <w:rFonts w:cstheme="minorHAnsi"/>
        </w:rPr>
        <w:t>an alternative is</w:t>
      </w:r>
      <w:r w:rsidR="00C11546" w:rsidRPr="000A20E2">
        <w:rPr>
          <w:rFonts w:cstheme="minorHAnsi"/>
        </w:rPr>
        <w:t xml:space="preserve"> viewed as obviously</w:t>
      </w:r>
      <w:r w:rsidR="00401F65" w:rsidRPr="000A20E2">
        <w:rPr>
          <w:rFonts w:cstheme="minorHAnsi"/>
        </w:rPr>
        <w:t xml:space="preserve"> much</w:t>
      </w:r>
      <w:r w:rsidR="00C11546" w:rsidRPr="000A20E2">
        <w:rPr>
          <w:rFonts w:cstheme="minorHAnsi"/>
        </w:rPr>
        <w:t xml:space="preserve"> superior, the default is likely to remain the preferred option.</w:t>
      </w:r>
      <w:r w:rsidR="004920B0" w:rsidRPr="000A20E2">
        <w:rPr>
          <w:rFonts w:cstheme="minorHAnsi"/>
        </w:rPr>
        <w:t xml:space="preserve"> </w:t>
      </w:r>
      <w:r w:rsidR="00C11546" w:rsidRPr="000A20E2">
        <w:rPr>
          <w:rFonts w:cstheme="minorHAnsi"/>
        </w:rPr>
        <w:t xml:space="preserve">The combination of loss aversion and </w:t>
      </w:r>
      <w:r w:rsidR="00410E30" w:rsidRPr="000A20E2">
        <w:rPr>
          <w:rFonts w:cstheme="minorHAnsi"/>
        </w:rPr>
        <w:t xml:space="preserve">a </w:t>
      </w:r>
      <w:r w:rsidR="00C11546" w:rsidRPr="000A20E2">
        <w:rPr>
          <w:rFonts w:cstheme="minorHAnsi"/>
        </w:rPr>
        <w:t>default reference point help</w:t>
      </w:r>
      <w:r w:rsidR="004B0996" w:rsidRPr="000A20E2">
        <w:rPr>
          <w:rFonts w:cstheme="minorHAnsi"/>
        </w:rPr>
        <w:t>s</w:t>
      </w:r>
      <w:r w:rsidR="00C11546" w:rsidRPr="000A20E2">
        <w:rPr>
          <w:rFonts w:cstheme="minorHAnsi"/>
        </w:rPr>
        <w:t xml:space="preserve"> </w:t>
      </w:r>
      <w:r w:rsidR="00132044" w:rsidRPr="000A20E2">
        <w:rPr>
          <w:rFonts w:cstheme="minorHAnsi"/>
        </w:rPr>
        <w:t xml:space="preserve">to </w:t>
      </w:r>
      <w:r w:rsidR="00C11546" w:rsidRPr="000A20E2">
        <w:rPr>
          <w:rFonts w:cstheme="minorHAnsi"/>
        </w:rPr>
        <w:t xml:space="preserve">ensure defaults </w:t>
      </w:r>
      <w:r w:rsidR="00410E30" w:rsidRPr="000A20E2">
        <w:rPr>
          <w:rFonts w:cstheme="minorHAnsi"/>
        </w:rPr>
        <w:t>remain</w:t>
      </w:r>
      <w:r w:rsidR="00C11546" w:rsidRPr="000A20E2">
        <w:rPr>
          <w:rFonts w:cstheme="minorHAnsi"/>
        </w:rPr>
        <w:t xml:space="preserve"> ‘sticky’.</w:t>
      </w:r>
      <w:r w:rsidR="004920B0" w:rsidRPr="000A20E2">
        <w:rPr>
          <w:rFonts w:cstheme="minorHAnsi"/>
        </w:rPr>
        <w:t xml:space="preserve"> </w:t>
      </w:r>
    </w:p>
    <w:p w14:paraId="1E4FC91C" w14:textId="77777777" w:rsidR="006D7B2F" w:rsidRPr="000A20E2" w:rsidRDefault="006D7B2F" w:rsidP="000A20E2">
      <w:pPr>
        <w:spacing w:after="0" w:line="240" w:lineRule="auto"/>
        <w:jc w:val="both"/>
        <w:rPr>
          <w:rFonts w:cstheme="minorHAnsi"/>
          <w:b/>
          <w:bCs/>
        </w:rPr>
      </w:pPr>
    </w:p>
    <w:p w14:paraId="75E3010C" w14:textId="53553BD9" w:rsidR="004920B0" w:rsidRPr="005C13E1" w:rsidRDefault="001A4C95" w:rsidP="005C13E1">
      <w:pPr>
        <w:pStyle w:val="ListParagraph"/>
        <w:numPr>
          <w:ilvl w:val="0"/>
          <w:numId w:val="28"/>
        </w:numPr>
        <w:spacing w:after="0" w:line="240" w:lineRule="auto"/>
        <w:jc w:val="both"/>
        <w:rPr>
          <w:rFonts w:cstheme="minorHAnsi"/>
          <w:b/>
          <w:bCs/>
        </w:rPr>
      </w:pPr>
      <w:r w:rsidRPr="005C13E1">
        <w:rPr>
          <w:rFonts w:cstheme="minorHAnsi"/>
          <w:b/>
          <w:bCs/>
        </w:rPr>
        <w:t xml:space="preserve">Negative </w:t>
      </w:r>
      <w:r w:rsidR="004920B0" w:rsidRPr="005C13E1">
        <w:rPr>
          <w:rFonts w:cstheme="minorHAnsi"/>
          <w:b/>
          <w:bCs/>
        </w:rPr>
        <w:t>union membership effects of a non-union default</w:t>
      </w:r>
    </w:p>
    <w:p w14:paraId="091C6663" w14:textId="77777777" w:rsidR="005C13E1" w:rsidRDefault="001A4C95" w:rsidP="000A20E2">
      <w:pPr>
        <w:spacing w:after="0" w:line="240" w:lineRule="auto"/>
        <w:jc w:val="both"/>
        <w:rPr>
          <w:rFonts w:cstheme="minorHAnsi"/>
          <w:b/>
          <w:bCs/>
        </w:rPr>
      </w:pPr>
      <w:r w:rsidRPr="000A20E2">
        <w:rPr>
          <w:rFonts w:cstheme="minorHAnsi"/>
          <w:b/>
          <w:bCs/>
        </w:rPr>
        <w:t xml:space="preserve"> </w:t>
      </w:r>
    </w:p>
    <w:p w14:paraId="20AC2D4F" w14:textId="690AB95B" w:rsidR="00581586" w:rsidRPr="000A20E2" w:rsidRDefault="001A4C95" w:rsidP="000A20E2">
      <w:pPr>
        <w:spacing w:after="0" w:line="240" w:lineRule="auto"/>
        <w:jc w:val="both"/>
        <w:rPr>
          <w:rFonts w:cstheme="minorHAnsi"/>
          <w:b/>
          <w:bCs/>
        </w:rPr>
      </w:pPr>
      <w:r w:rsidRPr="000A20E2">
        <w:rPr>
          <w:rFonts w:cstheme="minorHAnsi"/>
        </w:rPr>
        <w:t>No research has</w:t>
      </w:r>
      <w:r w:rsidR="00804645" w:rsidRPr="000A20E2">
        <w:rPr>
          <w:rFonts w:cstheme="minorHAnsi"/>
        </w:rPr>
        <w:t xml:space="preserve"> attempted to quantify the</w:t>
      </w:r>
      <w:r w:rsidR="009A39BA" w:rsidRPr="000A20E2">
        <w:rPr>
          <w:rFonts w:cstheme="minorHAnsi"/>
        </w:rPr>
        <w:t xml:space="preserve"> magnitude</w:t>
      </w:r>
      <w:r w:rsidR="00804645" w:rsidRPr="000A20E2">
        <w:rPr>
          <w:rFonts w:cstheme="minorHAnsi"/>
        </w:rPr>
        <w:t xml:space="preserve"> of the effects of a non-union default on union joining</w:t>
      </w:r>
      <w:r w:rsidR="009A39BA" w:rsidRPr="000A20E2">
        <w:rPr>
          <w:rFonts w:cstheme="minorHAnsi"/>
        </w:rPr>
        <w:t>.</w:t>
      </w:r>
      <w:r w:rsidR="005A77B4" w:rsidRPr="000A20E2">
        <w:rPr>
          <w:rFonts w:cstheme="minorHAnsi"/>
        </w:rPr>
        <w:t xml:space="preserve"> </w:t>
      </w:r>
      <w:r w:rsidR="006E24E0" w:rsidRPr="000A20E2">
        <w:rPr>
          <w:rFonts w:cstheme="minorHAnsi"/>
        </w:rPr>
        <w:t>The effect is likely to be large, given that all</w:t>
      </w:r>
      <w:r w:rsidR="004745B0" w:rsidRPr="000A20E2">
        <w:rPr>
          <w:rFonts w:cstheme="minorHAnsi"/>
        </w:rPr>
        <w:t xml:space="preserve"> four</w:t>
      </w:r>
      <w:r w:rsidR="00F2738D" w:rsidRPr="000A20E2">
        <w:rPr>
          <w:rFonts w:cstheme="minorHAnsi"/>
          <w:b/>
        </w:rPr>
        <w:t xml:space="preserve"> </w:t>
      </w:r>
      <w:r w:rsidR="006E24E0" w:rsidRPr="000A20E2">
        <w:rPr>
          <w:rFonts w:cstheme="minorHAnsi"/>
        </w:rPr>
        <w:t xml:space="preserve">explanations </w:t>
      </w:r>
      <w:r w:rsidR="004745B0" w:rsidRPr="000A20E2">
        <w:rPr>
          <w:rFonts w:cstheme="minorHAnsi"/>
        </w:rPr>
        <w:t xml:space="preserve">(switching costs, inertia, social norm, and loss aversion) </w:t>
      </w:r>
      <w:r w:rsidR="006E24E0" w:rsidRPr="000A20E2">
        <w:rPr>
          <w:rFonts w:cstheme="minorHAnsi"/>
        </w:rPr>
        <w:t>for a default effect could apply, either singly or in combination.</w:t>
      </w:r>
      <w:r w:rsidR="004920B0" w:rsidRPr="000A20E2">
        <w:rPr>
          <w:rFonts w:cstheme="minorHAnsi"/>
        </w:rPr>
        <w:t xml:space="preserve"> </w:t>
      </w:r>
      <w:r w:rsidR="006E24E0" w:rsidRPr="000A20E2">
        <w:rPr>
          <w:rFonts w:cstheme="minorHAnsi"/>
        </w:rPr>
        <w:t xml:space="preserve">First, switching costs of moving from non-union to union status </w:t>
      </w:r>
      <w:r w:rsidR="004920B0" w:rsidRPr="000A20E2">
        <w:rPr>
          <w:rFonts w:cstheme="minorHAnsi"/>
        </w:rPr>
        <w:t>w</w:t>
      </w:r>
      <w:r w:rsidR="00491C91" w:rsidRPr="000A20E2">
        <w:rPr>
          <w:rFonts w:cstheme="minorHAnsi"/>
        </w:rPr>
        <w:t>ould</w:t>
      </w:r>
      <w:r w:rsidR="006E24E0" w:rsidRPr="000A20E2">
        <w:rPr>
          <w:rFonts w:cstheme="minorHAnsi"/>
        </w:rPr>
        <w:t xml:space="preserve"> be comparatively large</w:t>
      </w:r>
      <w:r w:rsidR="008376DA" w:rsidRPr="000A20E2">
        <w:rPr>
          <w:rFonts w:cstheme="minorHAnsi"/>
        </w:rPr>
        <w:t xml:space="preserve">, </w:t>
      </w:r>
      <w:r w:rsidR="00F86EC6" w:rsidRPr="000A20E2">
        <w:rPr>
          <w:rFonts w:cstheme="minorHAnsi"/>
        </w:rPr>
        <w:t>especially</w:t>
      </w:r>
      <w:r w:rsidR="008376DA" w:rsidRPr="000A20E2">
        <w:rPr>
          <w:rFonts w:cstheme="minorHAnsi"/>
        </w:rPr>
        <w:t xml:space="preserve"> </w:t>
      </w:r>
      <w:r w:rsidR="00B00C66" w:rsidRPr="000A20E2">
        <w:rPr>
          <w:rFonts w:cstheme="minorHAnsi"/>
        </w:rPr>
        <w:t>where</w:t>
      </w:r>
      <w:r w:rsidR="008376DA" w:rsidRPr="000A20E2">
        <w:rPr>
          <w:rFonts w:cstheme="minorHAnsi"/>
        </w:rPr>
        <w:t xml:space="preserve"> </w:t>
      </w:r>
      <w:r w:rsidR="00B00C66" w:rsidRPr="000A20E2">
        <w:rPr>
          <w:rFonts w:cstheme="minorHAnsi"/>
        </w:rPr>
        <w:t xml:space="preserve">there is </w:t>
      </w:r>
      <w:r w:rsidR="008376DA" w:rsidRPr="000A20E2">
        <w:rPr>
          <w:rFonts w:cstheme="minorHAnsi"/>
        </w:rPr>
        <w:t>no est</w:t>
      </w:r>
      <w:r w:rsidR="00804645" w:rsidRPr="000A20E2">
        <w:rPr>
          <w:rFonts w:cstheme="minorHAnsi"/>
        </w:rPr>
        <w:t xml:space="preserve">ablished </w:t>
      </w:r>
      <w:r w:rsidR="00B00C66" w:rsidRPr="000A20E2">
        <w:rPr>
          <w:rFonts w:cstheme="minorHAnsi"/>
        </w:rPr>
        <w:t xml:space="preserve">and/or certified/recognised </w:t>
      </w:r>
      <w:r w:rsidR="000534EE" w:rsidRPr="000A20E2">
        <w:rPr>
          <w:rFonts w:cstheme="minorHAnsi"/>
        </w:rPr>
        <w:t xml:space="preserve">workplace </w:t>
      </w:r>
      <w:r w:rsidR="00804645" w:rsidRPr="000A20E2">
        <w:rPr>
          <w:rFonts w:cstheme="minorHAnsi"/>
        </w:rPr>
        <w:t>union</w:t>
      </w:r>
      <w:r w:rsidR="008376DA" w:rsidRPr="000A20E2">
        <w:rPr>
          <w:rFonts w:cstheme="minorHAnsi"/>
        </w:rPr>
        <w:t xml:space="preserve"> to join</w:t>
      </w:r>
      <w:r w:rsidR="006E24E0" w:rsidRPr="000A20E2">
        <w:rPr>
          <w:rFonts w:cstheme="minorHAnsi"/>
        </w:rPr>
        <w:t>.</w:t>
      </w:r>
      <w:r w:rsidR="005A77B4" w:rsidRPr="000A20E2">
        <w:rPr>
          <w:rFonts w:cstheme="minorHAnsi"/>
        </w:rPr>
        <w:t xml:space="preserve"> </w:t>
      </w:r>
      <w:r w:rsidR="00804645" w:rsidRPr="000A20E2">
        <w:rPr>
          <w:rFonts w:cstheme="minorHAnsi"/>
        </w:rPr>
        <w:t xml:space="preserve">Total switching costs are </w:t>
      </w:r>
      <w:r w:rsidR="00581C3B" w:rsidRPr="000A20E2">
        <w:rPr>
          <w:rFonts w:cstheme="minorHAnsi"/>
        </w:rPr>
        <w:t xml:space="preserve">generally </w:t>
      </w:r>
      <w:r w:rsidR="00804645" w:rsidRPr="000A20E2">
        <w:rPr>
          <w:rFonts w:cstheme="minorHAnsi"/>
        </w:rPr>
        <w:t>high</w:t>
      </w:r>
      <w:r w:rsidR="00581C3B" w:rsidRPr="000A20E2">
        <w:rPr>
          <w:rFonts w:cstheme="minorHAnsi"/>
        </w:rPr>
        <w:t>, especially in the US,</w:t>
      </w:r>
      <w:r w:rsidR="00804645" w:rsidRPr="000A20E2">
        <w:rPr>
          <w:rFonts w:cstheme="minorHAnsi"/>
        </w:rPr>
        <w:t xml:space="preserve"> where union certification is </w:t>
      </w:r>
      <w:r w:rsidR="00D8103F" w:rsidRPr="000A20E2">
        <w:rPr>
          <w:rFonts w:cstheme="minorHAnsi"/>
        </w:rPr>
        <w:t>adversarial,</w:t>
      </w:r>
      <w:r w:rsidR="00804645" w:rsidRPr="000A20E2">
        <w:rPr>
          <w:rFonts w:cstheme="minorHAnsi"/>
        </w:rPr>
        <w:t xml:space="preserve"> com</w:t>
      </w:r>
      <w:r w:rsidR="000534EE" w:rsidRPr="000A20E2">
        <w:rPr>
          <w:rFonts w:cstheme="minorHAnsi"/>
        </w:rPr>
        <w:t>plex, expensive, time-consuming</w:t>
      </w:r>
      <w:r w:rsidR="00804645" w:rsidRPr="000A20E2">
        <w:rPr>
          <w:rFonts w:cstheme="minorHAnsi"/>
        </w:rPr>
        <w:t xml:space="preserve"> and uncertain.</w:t>
      </w:r>
      <w:r w:rsidR="004737F3">
        <w:rPr>
          <w:rStyle w:val="FootnoteReference"/>
          <w:rFonts w:cstheme="minorHAnsi"/>
        </w:rPr>
        <w:footnoteReference w:id="68"/>
      </w:r>
      <w:r w:rsidR="004920B0" w:rsidRPr="000A20E2">
        <w:rPr>
          <w:rFonts w:cstheme="minorHAnsi"/>
        </w:rPr>
        <w:t xml:space="preserve"> </w:t>
      </w:r>
      <w:r w:rsidR="00D742A7" w:rsidRPr="000A20E2">
        <w:rPr>
          <w:rFonts w:cstheme="minorHAnsi"/>
        </w:rPr>
        <w:t xml:space="preserve">For American </w:t>
      </w:r>
      <w:r w:rsidR="00094DB8" w:rsidRPr="000A20E2">
        <w:rPr>
          <w:rFonts w:cstheme="minorHAnsi"/>
        </w:rPr>
        <w:t>workers</w:t>
      </w:r>
      <w:r w:rsidR="00D742A7" w:rsidRPr="000A20E2">
        <w:rPr>
          <w:rFonts w:cstheme="minorHAnsi"/>
        </w:rPr>
        <w:t xml:space="preserve">, direct switching costs of transferring to union membership are </w:t>
      </w:r>
      <w:r w:rsidR="007C607E" w:rsidRPr="000A20E2">
        <w:rPr>
          <w:rFonts w:cstheme="minorHAnsi"/>
        </w:rPr>
        <w:t>relatively low</w:t>
      </w:r>
      <w:r w:rsidR="00D742A7" w:rsidRPr="000A20E2">
        <w:rPr>
          <w:rFonts w:cstheme="minorHAnsi"/>
        </w:rPr>
        <w:t xml:space="preserve"> </w:t>
      </w:r>
      <w:r w:rsidR="00B00C66" w:rsidRPr="000A20E2">
        <w:rPr>
          <w:rFonts w:cstheme="minorHAnsi"/>
        </w:rPr>
        <w:t xml:space="preserve">for most members </w:t>
      </w:r>
      <w:r w:rsidR="00D742A7" w:rsidRPr="000A20E2">
        <w:rPr>
          <w:rFonts w:cstheme="minorHAnsi"/>
          <w:iCs/>
        </w:rPr>
        <w:t>during an organising drive</w:t>
      </w:r>
      <w:r w:rsidR="00804645" w:rsidRPr="000A20E2">
        <w:rPr>
          <w:rFonts w:cstheme="minorHAnsi"/>
        </w:rPr>
        <w:t>.</w:t>
      </w:r>
      <w:r w:rsidR="005A77B4" w:rsidRPr="000A20E2">
        <w:rPr>
          <w:rFonts w:cstheme="minorHAnsi"/>
        </w:rPr>
        <w:t xml:space="preserve"> </w:t>
      </w:r>
      <w:r w:rsidR="00804645" w:rsidRPr="000A20E2">
        <w:rPr>
          <w:rFonts w:cstheme="minorHAnsi"/>
        </w:rPr>
        <w:t xml:space="preserve">They comprise </w:t>
      </w:r>
      <w:r w:rsidR="00D742A7" w:rsidRPr="000A20E2">
        <w:rPr>
          <w:rFonts w:cstheme="minorHAnsi"/>
        </w:rPr>
        <w:t xml:space="preserve">little more than time costs of </w:t>
      </w:r>
      <w:r w:rsidR="00437DE7" w:rsidRPr="000A20E2">
        <w:rPr>
          <w:rFonts w:cstheme="minorHAnsi"/>
        </w:rPr>
        <w:t>signing a card</w:t>
      </w:r>
      <w:r w:rsidR="00D742A7" w:rsidRPr="000A20E2">
        <w:rPr>
          <w:rFonts w:cstheme="minorHAnsi"/>
        </w:rPr>
        <w:t xml:space="preserve"> and paying, in most cases, a nominal fee.</w:t>
      </w:r>
      <w:r w:rsidR="002539F6" w:rsidRPr="000A20E2">
        <w:rPr>
          <w:rStyle w:val="FootnoteReference"/>
          <w:rFonts w:cstheme="minorHAnsi"/>
        </w:rPr>
        <w:footnoteReference w:id="69"/>
      </w:r>
      <w:r w:rsidR="00D742A7" w:rsidRPr="000A20E2">
        <w:rPr>
          <w:rFonts w:cstheme="minorHAnsi"/>
        </w:rPr>
        <w:t xml:space="preserve"> In contrast, the indirect costs of making such a switch can be substantial</w:t>
      </w:r>
      <w:r w:rsidR="00804645" w:rsidRPr="000A20E2">
        <w:rPr>
          <w:rFonts w:cstheme="minorHAnsi"/>
        </w:rPr>
        <w:t>:</w:t>
      </w:r>
      <w:r w:rsidR="00437DE7" w:rsidRPr="000A20E2">
        <w:rPr>
          <w:rFonts w:cstheme="minorHAnsi"/>
        </w:rPr>
        <w:t xml:space="preserve"> </w:t>
      </w:r>
      <w:r w:rsidR="00581C3B" w:rsidRPr="000A20E2">
        <w:rPr>
          <w:rFonts w:cstheme="minorHAnsi"/>
        </w:rPr>
        <w:t xml:space="preserve">the </w:t>
      </w:r>
      <w:r w:rsidR="00437DE7" w:rsidRPr="000A20E2">
        <w:rPr>
          <w:rFonts w:cstheme="minorHAnsi"/>
        </w:rPr>
        <w:t xml:space="preserve">stresses </w:t>
      </w:r>
      <w:r w:rsidR="00581586" w:rsidRPr="000A20E2">
        <w:rPr>
          <w:rFonts w:cstheme="minorHAnsi"/>
        </w:rPr>
        <w:t xml:space="preserve">and strains </w:t>
      </w:r>
      <w:r w:rsidR="00437DE7" w:rsidRPr="000A20E2">
        <w:rPr>
          <w:rFonts w:cstheme="minorHAnsi"/>
        </w:rPr>
        <w:t>of a management backlash man</w:t>
      </w:r>
      <w:r w:rsidR="00804645" w:rsidRPr="000A20E2">
        <w:rPr>
          <w:rFonts w:cstheme="minorHAnsi"/>
        </w:rPr>
        <w:t>ifested in harassment, victimis</w:t>
      </w:r>
      <w:r w:rsidR="00437DE7" w:rsidRPr="000A20E2">
        <w:rPr>
          <w:rFonts w:cstheme="minorHAnsi"/>
        </w:rPr>
        <w:t>ation, and even dismissal.</w:t>
      </w:r>
      <w:r w:rsidR="004737F3">
        <w:rPr>
          <w:rStyle w:val="FootnoteReference"/>
          <w:rFonts w:cstheme="minorHAnsi"/>
        </w:rPr>
        <w:footnoteReference w:id="70"/>
      </w:r>
      <w:r w:rsidR="005A77B4" w:rsidRPr="000A20E2">
        <w:rPr>
          <w:rFonts w:cstheme="minorHAnsi"/>
        </w:rPr>
        <w:t xml:space="preserve"> </w:t>
      </w:r>
      <w:r w:rsidR="00094DB8" w:rsidRPr="000A20E2">
        <w:rPr>
          <w:rFonts w:cstheme="minorHAnsi"/>
        </w:rPr>
        <w:t>In the absence of an outside union r</w:t>
      </w:r>
      <w:r w:rsidR="00804645" w:rsidRPr="000A20E2">
        <w:rPr>
          <w:rFonts w:cstheme="minorHAnsi"/>
        </w:rPr>
        <w:t>unning an organising drive,</w:t>
      </w:r>
      <w:r w:rsidR="00094DB8" w:rsidRPr="000A20E2">
        <w:rPr>
          <w:rFonts w:cstheme="minorHAnsi"/>
        </w:rPr>
        <w:t xml:space="preserve"> </w:t>
      </w:r>
      <w:r w:rsidR="002618DD" w:rsidRPr="000A20E2">
        <w:rPr>
          <w:rFonts w:cstheme="minorHAnsi"/>
        </w:rPr>
        <w:t xml:space="preserve">even </w:t>
      </w:r>
      <w:r w:rsidR="00094DB8" w:rsidRPr="000A20E2">
        <w:rPr>
          <w:rFonts w:cstheme="minorHAnsi"/>
        </w:rPr>
        <w:t>the direct costs of switching can be very substantial, because a group of workers must typically band together to found</w:t>
      </w:r>
      <w:r w:rsidR="002539F6" w:rsidRPr="000A20E2">
        <w:rPr>
          <w:rFonts w:cstheme="minorHAnsi"/>
        </w:rPr>
        <w:t xml:space="preserve"> and </w:t>
      </w:r>
      <w:r w:rsidR="000E357D" w:rsidRPr="000A20E2">
        <w:rPr>
          <w:rFonts w:cstheme="minorHAnsi"/>
        </w:rPr>
        <w:t>operate</w:t>
      </w:r>
      <w:r w:rsidR="00094DB8" w:rsidRPr="000A20E2">
        <w:rPr>
          <w:rFonts w:cstheme="minorHAnsi"/>
        </w:rPr>
        <w:t xml:space="preserve"> their own workplace union and recruit members.</w:t>
      </w:r>
      <w:r w:rsidR="005A77B4" w:rsidRPr="000A20E2">
        <w:rPr>
          <w:rFonts w:cstheme="minorHAnsi"/>
        </w:rPr>
        <w:t xml:space="preserve"> </w:t>
      </w:r>
      <w:r w:rsidR="00094DB8" w:rsidRPr="000A20E2">
        <w:rPr>
          <w:rFonts w:cstheme="minorHAnsi"/>
        </w:rPr>
        <w:t xml:space="preserve">This involves major </w:t>
      </w:r>
      <w:r w:rsidR="000534EE" w:rsidRPr="000A20E2">
        <w:rPr>
          <w:rFonts w:cstheme="minorHAnsi"/>
        </w:rPr>
        <w:t xml:space="preserve">time </w:t>
      </w:r>
      <w:r w:rsidR="00094DB8" w:rsidRPr="000A20E2">
        <w:rPr>
          <w:rFonts w:cstheme="minorHAnsi"/>
        </w:rPr>
        <w:t>commitment</w:t>
      </w:r>
      <w:r w:rsidR="002618DD" w:rsidRPr="000A20E2">
        <w:rPr>
          <w:rFonts w:cstheme="minorHAnsi"/>
        </w:rPr>
        <w:t>s</w:t>
      </w:r>
      <w:r w:rsidR="00094DB8" w:rsidRPr="000A20E2">
        <w:rPr>
          <w:rFonts w:cstheme="minorHAnsi"/>
        </w:rPr>
        <w:t xml:space="preserve"> </w:t>
      </w:r>
      <w:r w:rsidR="002539F6" w:rsidRPr="000A20E2">
        <w:rPr>
          <w:rFonts w:cstheme="minorHAnsi"/>
        </w:rPr>
        <w:t>as well as</w:t>
      </w:r>
      <w:r w:rsidR="00094DB8" w:rsidRPr="000A20E2">
        <w:rPr>
          <w:rFonts w:cstheme="minorHAnsi"/>
        </w:rPr>
        <w:t xml:space="preserve"> money</w:t>
      </w:r>
      <w:r w:rsidR="00E41B89" w:rsidRPr="000A20E2">
        <w:rPr>
          <w:rFonts w:cstheme="minorHAnsi"/>
        </w:rPr>
        <w:t xml:space="preserve"> for </w:t>
      </w:r>
      <w:r w:rsidR="00F86EC6" w:rsidRPr="000A20E2">
        <w:rPr>
          <w:rFonts w:cstheme="minorHAnsi"/>
        </w:rPr>
        <w:t xml:space="preserve">administrative, </w:t>
      </w:r>
      <w:r w:rsidR="00E41B89" w:rsidRPr="000A20E2">
        <w:rPr>
          <w:rFonts w:cstheme="minorHAnsi"/>
        </w:rPr>
        <w:t>legal</w:t>
      </w:r>
      <w:r w:rsidR="00F86EC6" w:rsidRPr="000A20E2">
        <w:rPr>
          <w:rFonts w:cstheme="minorHAnsi"/>
        </w:rPr>
        <w:t>,</w:t>
      </w:r>
      <w:r w:rsidR="00E41B89" w:rsidRPr="000A20E2">
        <w:rPr>
          <w:rFonts w:cstheme="minorHAnsi"/>
        </w:rPr>
        <w:t xml:space="preserve"> and other </w:t>
      </w:r>
      <w:r w:rsidR="00F86EC6" w:rsidRPr="000A20E2">
        <w:rPr>
          <w:rFonts w:cstheme="minorHAnsi"/>
        </w:rPr>
        <w:t>costs</w:t>
      </w:r>
      <w:r w:rsidR="00094DB8" w:rsidRPr="000A20E2">
        <w:rPr>
          <w:rFonts w:cstheme="minorHAnsi"/>
        </w:rPr>
        <w:t>.</w:t>
      </w:r>
      <w:r w:rsidR="005A77B4" w:rsidRPr="000A20E2">
        <w:rPr>
          <w:rFonts w:cstheme="minorHAnsi"/>
        </w:rPr>
        <w:t xml:space="preserve"> </w:t>
      </w:r>
    </w:p>
    <w:p w14:paraId="08530499" w14:textId="4CD8B778" w:rsidR="00581586" w:rsidRPr="000A20E2" w:rsidRDefault="006E24E0" w:rsidP="000A20E2">
      <w:pPr>
        <w:spacing w:after="0" w:line="240" w:lineRule="auto"/>
        <w:ind w:firstLine="720"/>
        <w:jc w:val="both"/>
        <w:rPr>
          <w:rFonts w:cstheme="minorHAnsi"/>
        </w:rPr>
      </w:pPr>
      <w:r w:rsidRPr="000A20E2">
        <w:rPr>
          <w:rFonts w:cstheme="minorHAnsi"/>
        </w:rPr>
        <w:t xml:space="preserve">Second, </w:t>
      </w:r>
      <w:r w:rsidR="00491C91" w:rsidRPr="000A20E2">
        <w:rPr>
          <w:rFonts w:cstheme="minorHAnsi"/>
        </w:rPr>
        <w:t>there would be</w:t>
      </w:r>
      <w:r w:rsidR="00A92ECB" w:rsidRPr="000A20E2">
        <w:rPr>
          <w:rFonts w:cstheme="minorHAnsi"/>
        </w:rPr>
        <w:t xml:space="preserve"> </w:t>
      </w:r>
      <w:r w:rsidRPr="000A20E2">
        <w:rPr>
          <w:rFonts w:cstheme="minorHAnsi"/>
          <w:i/>
          <w:iCs/>
        </w:rPr>
        <w:t>inertia</w:t>
      </w:r>
      <w:r w:rsidRPr="000A20E2">
        <w:rPr>
          <w:rFonts w:cstheme="minorHAnsi"/>
        </w:rPr>
        <w:t xml:space="preserve"> </w:t>
      </w:r>
      <w:r w:rsidR="00A92ECB" w:rsidRPr="000A20E2">
        <w:rPr>
          <w:rFonts w:cstheme="minorHAnsi"/>
        </w:rPr>
        <w:t>in</w:t>
      </w:r>
      <w:r w:rsidRPr="000A20E2">
        <w:rPr>
          <w:rFonts w:cstheme="minorHAnsi"/>
        </w:rPr>
        <w:t xml:space="preserve"> a non-union default, because the decision to join a union </w:t>
      </w:r>
      <w:r w:rsidR="008F6D51" w:rsidRPr="000A20E2">
        <w:rPr>
          <w:rFonts w:cstheme="minorHAnsi"/>
        </w:rPr>
        <w:t>is cognitively demanding</w:t>
      </w:r>
      <w:r w:rsidR="00A92ECB" w:rsidRPr="000A20E2">
        <w:rPr>
          <w:rFonts w:cstheme="minorHAnsi"/>
        </w:rPr>
        <w:t xml:space="preserve"> and not easy to make for two reasons. </w:t>
      </w:r>
      <w:r w:rsidR="00A43B5C" w:rsidRPr="000A20E2">
        <w:rPr>
          <w:rFonts w:cstheme="minorHAnsi"/>
        </w:rPr>
        <w:t>First</w:t>
      </w:r>
      <w:r w:rsidR="00A92ECB" w:rsidRPr="000A20E2">
        <w:rPr>
          <w:rFonts w:cstheme="minorHAnsi"/>
        </w:rPr>
        <w:t>, it</w:t>
      </w:r>
      <w:r w:rsidR="00A43B5C" w:rsidRPr="000A20E2">
        <w:rPr>
          <w:rFonts w:cstheme="minorHAnsi"/>
        </w:rPr>
        <w:t xml:space="preserve"> </w:t>
      </w:r>
      <w:r w:rsidR="00491C91" w:rsidRPr="000A20E2">
        <w:rPr>
          <w:rFonts w:cstheme="minorHAnsi"/>
        </w:rPr>
        <w:t>involve</w:t>
      </w:r>
      <w:r w:rsidR="00A43B5C" w:rsidRPr="000A20E2">
        <w:rPr>
          <w:rFonts w:cstheme="minorHAnsi"/>
        </w:rPr>
        <w:t>s</w:t>
      </w:r>
      <w:r w:rsidRPr="000A20E2">
        <w:rPr>
          <w:rFonts w:cstheme="minorHAnsi"/>
        </w:rPr>
        <w:t xml:space="preserve"> many ‘purchase’ dimensions, since unions typically perform a variety of ser</w:t>
      </w:r>
      <w:r w:rsidR="00804645" w:rsidRPr="000A20E2">
        <w:rPr>
          <w:rFonts w:cstheme="minorHAnsi"/>
        </w:rPr>
        <w:t>vices</w:t>
      </w:r>
      <w:r w:rsidR="00A43B5C" w:rsidRPr="000A20E2">
        <w:rPr>
          <w:rFonts w:cstheme="minorHAnsi"/>
        </w:rPr>
        <w:t xml:space="preserve"> such as </w:t>
      </w:r>
      <w:r w:rsidRPr="000A20E2">
        <w:rPr>
          <w:rFonts w:cstheme="minorHAnsi"/>
        </w:rPr>
        <w:t>negotiat</w:t>
      </w:r>
      <w:r w:rsidR="00A43B5C" w:rsidRPr="000A20E2">
        <w:rPr>
          <w:rFonts w:cstheme="minorHAnsi"/>
        </w:rPr>
        <w:t>ing</w:t>
      </w:r>
      <w:r w:rsidRPr="000A20E2">
        <w:rPr>
          <w:rFonts w:cstheme="minorHAnsi"/>
        </w:rPr>
        <w:t xml:space="preserve"> collective agreements, lobby</w:t>
      </w:r>
      <w:r w:rsidR="00A43B5C" w:rsidRPr="000A20E2">
        <w:rPr>
          <w:rFonts w:cstheme="minorHAnsi"/>
        </w:rPr>
        <w:t>ing</w:t>
      </w:r>
      <w:r w:rsidRPr="000A20E2">
        <w:rPr>
          <w:rFonts w:cstheme="minorHAnsi"/>
        </w:rPr>
        <w:t xml:space="preserve"> governments, represent</w:t>
      </w:r>
      <w:r w:rsidR="00A43B5C" w:rsidRPr="000A20E2">
        <w:rPr>
          <w:rFonts w:cstheme="minorHAnsi"/>
        </w:rPr>
        <w:t>ing</w:t>
      </w:r>
      <w:r w:rsidRPr="000A20E2">
        <w:rPr>
          <w:rFonts w:cstheme="minorHAnsi"/>
        </w:rPr>
        <w:t xml:space="preserve"> members in personal grievances, and provid</w:t>
      </w:r>
      <w:r w:rsidR="00A43B5C" w:rsidRPr="000A20E2">
        <w:rPr>
          <w:rFonts w:cstheme="minorHAnsi"/>
        </w:rPr>
        <w:t>ing</w:t>
      </w:r>
      <w:r w:rsidRPr="000A20E2">
        <w:rPr>
          <w:rFonts w:cstheme="minorHAnsi"/>
        </w:rPr>
        <w:t xml:space="preserve"> free or discounted </w:t>
      </w:r>
      <w:r w:rsidR="00A43B5C" w:rsidRPr="000A20E2">
        <w:rPr>
          <w:rFonts w:cstheme="minorHAnsi"/>
        </w:rPr>
        <w:t>financial products</w:t>
      </w:r>
      <w:r w:rsidRPr="000A20E2">
        <w:rPr>
          <w:rFonts w:cstheme="minorHAnsi"/>
        </w:rPr>
        <w:t>.</w:t>
      </w:r>
      <w:r w:rsidR="004737F3">
        <w:rPr>
          <w:rStyle w:val="FootnoteReference"/>
          <w:rFonts w:cstheme="minorHAnsi"/>
        </w:rPr>
        <w:footnoteReference w:id="71"/>
      </w:r>
      <w:r w:rsidR="0064683E" w:rsidRPr="000A20E2">
        <w:rPr>
          <w:rFonts w:cstheme="minorHAnsi"/>
        </w:rPr>
        <w:t xml:space="preserve"> </w:t>
      </w:r>
      <w:r w:rsidRPr="000A20E2">
        <w:rPr>
          <w:rFonts w:cstheme="minorHAnsi"/>
        </w:rPr>
        <w:t xml:space="preserve">In addition, each one of these services can </w:t>
      </w:r>
      <w:r w:rsidR="000C2587" w:rsidRPr="000A20E2">
        <w:rPr>
          <w:rFonts w:cstheme="minorHAnsi"/>
        </w:rPr>
        <w:t>be stratified further into yet more ‘purchase’ dimensions</w:t>
      </w:r>
      <w:r w:rsidRPr="000A20E2">
        <w:rPr>
          <w:rFonts w:cstheme="minorHAnsi"/>
        </w:rPr>
        <w:t>.</w:t>
      </w:r>
      <w:r w:rsidR="005A77B4" w:rsidRPr="000A20E2">
        <w:rPr>
          <w:rFonts w:cstheme="minorHAnsi"/>
        </w:rPr>
        <w:t xml:space="preserve"> </w:t>
      </w:r>
      <w:r w:rsidRPr="000A20E2">
        <w:rPr>
          <w:rFonts w:cstheme="minorHAnsi"/>
        </w:rPr>
        <w:t>For instance, collective agreements commonly comprise a broad array of terms and conditions</w:t>
      </w:r>
      <w:r w:rsidR="0060417F" w:rsidRPr="000A20E2">
        <w:rPr>
          <w:rFonts w:cstheme="minorHAnsi"/>
        </w:rPr>
        <w:t xml:space="preserve"> of employment</w:t>
      </w:r>
      <w:r w:rsidRPr="000A20E2">
        <w:rPr>
          <w:rFonts w:cstheme="minorHAnsi"/>
        </w:rPr>
        <w:t>.</w:t>
      </w:r>
      <w:r w:rsidR="000F5CFA" w:rsidRPr="000A20E2">
        <w:rPr>
          <w:rFonts w:cstheme="minorHAnsi"/>
        </w:rPr>
        <w:t xml:space="preserve"> </w:t>
      </w:r>
      <w:r w:rsidRPr="000A20E2">
        <w:rPr>
          <w:rFonts w:cstheme="minorHAnsi"/>
        </w:rPr>
        <w:t>Some of the union’s ‘purchase’ dimensions are also intangible and</w:t>
      </w:r>
      <w:r w:rsidR="00581586" w:rsidRPr="000A20E2">
        <w:rPr>
          <w:rFonts w:cstheme="minorHAnsi"/>
        </w:rPr>
        <w:t>,</w:t>
      </w:r>
      <w:r w:rsidRPr="000A20E2">
        <w:rPr>
          <w:rFonts w:cstheme="minorHAnsi"/>
        </w:rPr>
        <w:t xml:space="preserve"> thus</w:t>
      </w:r>
      <w:r w:rsidR="00581586" w:rsidRPr="000A20E2">
        <w:rPr>
          <w:rFonts w:cstheme="minorHAnsi"/>
        </w:rPr>
        <w:t>,</w:t>
      </w:r>
      <w:r w:rsidRPr="000A20E2">
        <w:rPr>
          <w:rFonts w:cstheme="minorHAnsi"/>
        </w:rPr>
        <w:t xml:space="preserve"> hard to </w:t>
      </w:r>
      <w:r w:rsidR="00F51274" w:rsidRPr="000A20E2">
        <w:rPr>
          <w:rFonts w:cstheme="minorHAnsi"/>
        </w:rPr>
        <w:t>quantify</w:t>
      </w:r>
      <w:r w:rsidRPr="000A20E2">
        <w:rPr>
          <w:rFonts w:cstheme="minorHAnsi"/>
        </w:rPr>
        <w:t xml:space="preserve"> in any concrete way.</w:t>
      </w:r>
      <w:r w:rsidR="004920B0" w:rsidRPr="000A20E2">
        <w:rPr>
          <w:rFonts w:cstheme="minorHAnsi"/>
        </w:rPr>
        <w:t xml:space="preserve"> </w:t>
      </w:r>
      <w:r w:rsidRPr="000A20E2">
        <w:rPr>
          <w:rFonts w:cstheme="minorHAnsi"/>
        </w:rPr>
        <w:t>How does a worker value a union as a cohesive community of colleagues, from whom he or she can seek solace in the bad times and with whom he or she can celebrate in the good?</w:t>
      </w:r>
      <w:r w:rsidR="004920B0" w:rsidRPr="000A20E2">
        <w:rPr>
          <w:rFonts w:cstheme="minorHAnsi"/>
        </w:rPr>
        <w:t xml:space="preserve"> </w:t>
      </w:r>
      <w:r w:rsidRPr="000A20E2">
        <w:rPr>
          <w:rFonts w:cstheme="minorHAnsi"/>
        </w:rPr>
        <w:t>The number and complexity of thes</w:t>
      </w:r>
      <w:r w:rsidR="008F6D51" w:rsidRPr="000A20E2">
        <w:rPr>
          <w:rFonts w:cstheme="minorHAnsi"/>
        </w:rPr>
        <w:t>e various value dimensions make</w:t>
      </w:r>
      <w:r w:rsidR="000C2587" w:rsidRPr="000A20E2">
        <w:rPr>
          <w:rFonts w:cstheme="minorHAnsi"/>
        </w:rPr>
        <w:t xml:space="preserve"> accurately</w:t>
      </w:r>
      <w:r w:rsidRPr="000A20E2">
        <w:rPr>
          <w:rFonts w:cstheme="minorHAnsi"/>
        </w:rPr>
        <w:t xml:space="preserve"> assessing the utility of</w:t>
      </w:r>
      <w:r w:rsidR="00A43B5C" w:rsidRPr="000A20E2">
        <w:rPr>
          <w:rFonts w:cstheme="minorHAnsi"/>
        </w:rPr>
        <w:t xml:space="preserve"> membership </w:t>
      </w:r>
      <w:r w:rsidR="00804645" w:rsidRPr="000A20E2">
        <w:rPr>
          <w:rFonts w:cstheme="minorHAnsi"/>
        </w:rPr>
        <w:t>difficult</w:t>
      </w:r>
      <w:r w:rsidRPr="000A20E2">
        <w:rPr>
          <w:rFonts w:cstheme="minorHAnsi"/>
        </w:rPr>
        <w:t>.</w:t>
      </w:r>
      <w:r w:rsidR="004920B0" w:rsidRPr="000A20E2">
        <w:rPr>
          <w:rFonts w:cstheme="minorHAnsi"/>
        </w:rPr>
        <w:t xml:space="preserve"> </w:t>
      </w:r>
      <w:r w:rsidR="00804645" w:rsidRPr="000A20E2">
        <w:rPr>
          <w:rFonts w:cstheme="minorHAnsi"/>
        </w:rPr>
        <w:t>Moreover</w:t>
      </w:r>
      <w:r w:rsidRPr="000A20E2">
        <w:rPr>
          <w:rFonts w:cstheme="minorHAnsi"/>
        </w:rPr>
        <w:t xml:space="preserve">, value </w:t>
      </w:r>
      <w:r w:rsidR="00804645" w:rsidRPr="000A20E2">
        <w:rPr>
          <w:rFonts w:cstheme="minorHAnsi"/>
        </w:rPr>
        <w:t xml:space="preserve">is </w:t>
      </w:r>
      <w:r w:rsidR="00132044" w:rsidRPr="000A20E2">
        <w:rPr>
          <w:rFonts w:cstheme="minorHAnsi"/>
        </w:rPr>
        <w:t>hard</w:t>
      </w:r>
      <w:r w:rsidRPr="000A20E2">
        <w:rPr>
          <w:rFonts w:cstheme="minorHAnsi"/>
        </w:rPr>
        <w:t xml:space="preserve"> to ascertain because it is partly contingent on future circumstances, unknown at the time of joining.</w:t>
      </w:r>
      <w:r w:rsidR="005A77B4" w:rsidRPr="000A20E2">
        <w:rPr>
          <w:rFonts w:cstheme="minorHAnsi"/>
        </w:rPr>
        <w:t xml:space="preserve"> </w:t>
      </w:r>
      <w:r w:rsidR="00A92ECB" w:rsidRPr="000A20E2">
        <w:rPr>
          <w:rFonts w:cstheme="minorHAnsi"/>
        </w:rPr>
        <w:t>Some</w:t>
      </w:r>
      <w:r w:rsidRPr="000A20E2">
        <w:rPr>
          <w:rFonts w:cstheme="minorHAnsi"/>
        </w:rPr>
        <w:t xml:space="preserve"> work</w:t>
      </w:r>
      <w:r w:rsidR="00A43B5C" w:rsidRPr="000A20E2">
        <w:rPr>
          <w:rFonts w:cstheme="minorHAnsi"/>
        </w:rPr>
        <w:t xml:space="preserve">ers may regularly require </w:t>
      </w:r>
      <w:r w:rsidRPr="000A20E2">
        <w:rPr>
          <w:rFonts w:cstheme="minorHAnsi"/>
        </w:rPr>
        <w:t>representation to, for example, make a health and safety complaint</w:t>
      </w:r>
      <w:r w:rsidR="0060417F" w:rsidRPr="000A20E2">
        <w:rPr>
          <w:rFonts w:cstheme="minorHAnsi"/>
        </w:rPr>
        <w:t xml:space="preserve">, </w:t>
      </w:r>
      <w:r w:rsidRPr="000A20E2">
        <w:rPr>
          <w:rFonts w:cstheme="minorHAnsi"/>
        </w:rPr>
        <w:t>file a personal grievance</w:t>
      </w:r>
      <w:r w:rsidR="00A92ECB" w:rsidRPr="000A20E2">
        <w:rPr>
          <w:rFonts w:cstheme="minorHAnsi"/>
        </w:rPr>
        <w:t xml:space="preserve"> or rely</w:t>
      </w:r>
      <w:r w:rsidRPr="000A20E2">
        <w:rPr>
          <w:rFonts w:cstheme="minorHAnsi"/>
        </w:rPr>
        <w:t xml:space="preserve"> on clauses in the collective agreement to exercise various rights or qualify for entitlements, such as parental leave or accident insurance.</w:t>
      </w:r>
      <w:r w:rsidR="005A77B4" w:rsidRPr="000A20E2">
        <w:rPr>
          <w:rFonts w:cstheme="minorHAnsi"/>
        </w:rPr>
        <w:t xml:space="preserve"> </w:t>
      </w:r>
      <w:r w:rsidR="000C2587" w:rsidRPr="000A20E2">
        <w:rPr>
          <w:rFonts w:cstheme="minorHAnsi"/>
        </w:rPr>
        <w:t>Others may not.</w:t>
      </w:r>
      <w:r w:rsidR="005A77B4" w:rsidRPr="000A20E2">
        <w:rPr>
          <w:rFonts w:cstheme="minorHAnsi"/>
        </w:rPr>
        <w:t xml:space="preserve"> </w:t>
      </w:r>
      <w:r w:rsidR="00A43B5C" w:rsidRPr="000A20E2">
        <w:rPr>
          <w:rFonts w:cstheme="minorHAnsi"/>
        </w:rPr>
        <w:t>R</w:t>
      </w:r>
      <w:r w:rsidRPr="000A20E2">
        <w:rPr>
          <w:rFonts w:cstheme="minorHAnsi"/>
        </w:rPr>
        <w:t xml:space="preserve">eliance </w:t>
      </w:r>
      <w:r w:rsidR="0060417F" w:rsidRPr="000A20E2">
        <w:rPr>
          <w:rFonts w:cstheme="minorHAnsi"/>
        </w:rPr>
        <w:t>up</w:t>
      </w:r>
      <w:r w:rsidRPr="000A20E2">
        <w:rPr>
          <w:rFonts w:cstheme="minorHAnsi"/>
        </w:rPr>
        <w:t xml:space="preserve">on a union </w:t>
      </w:r>
      <w:r w:rsidR="00204B5C" w:rsidRPr="000A20E2">
        <w:rPr>
          <w:rFonts w:cstheme="minorHAnsi"/>
        </w:rPr>
        <w:t>can</w:t>
      </w:r>
      <w:r w:rsidRPr="000A20E2">
        <w:rPr>
          <w:rFonts w:cstheme="minorHAnsi"/>
        </w:rPr>
        <w:t xml:space="preserve"> vary considerably and somewhat unpredictably, in accordance with </w:t>
      </w:r>
      <w:r w:rsidR="0060417F" w:rsidRPr="000A20E2">
        <w:rPr>
          <w:rFonts w:cstheme="minorHAnsi"/>
        </w:rPr>
        <w:t>members’</w:t>
      </w:r>
      <w:r w:rsidRPr="000A20E2">
        <w:rPr>
          <w:rFonts w:cstheme="minorHAnsi"/>
        </w:rPr>
        <w:t xml:space="preserve"> life circumstances (e.g., illness, accidents, parenthood) and those of the organisation (e.g., redundancy, hazards).</w:t>
      </w:r>
      <w:r w:rsidR="005A77B4" w:rsidRPr="000A20E2">
        <w:rPr>
          <w:rFonts w:cstheme="minorHAnsi"/>
        </w:rPr>
        <w:t xml:space="preserve"> </w:t>
      </w:r>
      <w:r w:rsidR="00A43B5C" w:rsidRPr="000A20E2">
        <w:rPr>
          <w:rFonts w:cstheme="minorHAnsi"/>
        </w:rPr>
        <w:t>W</w:t>
      </w:r>
      <w:r w:rsidRPr="000A20E2">
        <w:rPr>
          <w:rFonts w:cstheme="minorHAnsi"/>
        </w:rPr>
        <w:t>orker</w:t>
      </w:r>
      <w:r w:rsidR="00A43B5C" w:rsidRPr="000A20E2">
        <w:rPr>
          <w:rFonts w:cstheme="minorHAnsi"/>
        </w:rPr>
        <w:t>s</w:t>
      </w:r>
      <w:r w:rsidRPr="000A20E2">
        <w:rPr>
          <w:rFonts w:cstheme="minorHAnsi"/>
        </w:rPr>
        <w:t xml:space="preserve"> cannot easily estimate the probabilities of these events at the time of joining.</w:t>
      </w:r>
      <w:r w:rsidR="005A77B4" w:rsidRPr="000A20E2">
        <w:rPr>
          <w:rFonts w:cstheme="minorHAnsi"/>
        </w:rPr>
        <w:t xml:space="preserve"> </w:t>
      </w:r>
      <w:r w:rsidR="000C2587" w:rsidRPr="000A20E2">
        <w:rPr>
          <w:rFonts w:cstheme="minorHAnsi"/>
        </w:rPr>
        <w:t xml:space="preserve">Faced with such cognitive complexity, it </w:t>
      </w:r>
      <w:r w:rsidR="002539F6" w:rsidRPr="000A20E2">
        <w:rPr>
          <w:rFonts w:cstheme="minorHAnsi"/>
        </w:rPr>
        <w:t>can</w:t>
      </w:r>
      <w:r w:rsidR="0022219D" w:rsidRPr="000A20E2">
        <w:rPr>
          <w:rFonts w:cstheme="minorHAnsi"/>
        </w:rPr>
        <w:t xml:space="preserve"> be</w:t>
      </w:r>
      <w:r w:rsidR="000C2587" w:rsidRPr="000A20E2">
        <w:rPr>
          <w:rFonts w:cstheme="minorHAnsi"/>
        </w:rPr>
        <w:t xml:space="preserve"> easier for workers to stay with the non-union default than to choose whether to join a </w:t>
      </w:r>
      <w:r w:rsidR="00782B02" w:rsidRPr="000A20E2">
        <w:rPr>
          <w:rFonts w:cstheme="minorHAnsi"/>
        </w:rPr>
        <w:t xml:space="preserve">particular </w:t>
      </w:r>
      <w:r w:rsidR="000C2587" w:rsidRPr="000A20E2">
        <w:rPr>
          <w:rFonts w:cstheme="minorHAnsi"/>
        </w:rPr>
        <w:t>union.</w:t>
      </w:r>
      <w:r w:rsidR="005A77B4" w:rsidRPr="000A20E2">
        <w:rPr>
          <w:rFonts w:cstheme="minorHAnsi"/>
        </w:rPr>
        <w:t xml:space="preserve"> </w:t>
      </w:r>
      <w:r w:rsidR="00F86EC6" w:rsidRPr="000A20E2">
        <w:rPr>
          <w:rFonts w:cstheme="minorHAnsi"/>
        </w:rPr>
        <w:t>Even if employees favour unionism for ideological</w:t>
      </w:r>
      <w:r w:rsidR="007264C4" w:rsidRPr="000A20E2">
        <w:rPr>
          <w:rFonts w:cstheme="minorHAnsi"/>
        </w:rPr>
        <w:t xml:space="preserve"> or other</w:t>
      </w:r>
      <w:r w:rsidR="00F86EC6" w:rsidRPr="000A20E2">
        <w:rPr>
          <w:rFonts w:cstheme="minorHAnsi"/>
        </w:rPr>
        <w:t xml:space="preserve"> reasons</w:t>
      </w:r>
      <w:r w:rsidR="0060417F" w:rsidRPr="000A20E2">
        <w:rPr>
          <w:rFonts w:cstheme="minorHAnsi"/>
        </w:rPr>
        <w:t xml:space="preserve"> like parental influence</w:t>
      </w:r>
      <w:r w:rsidR="00F86EC6" w:rsidRPr="000A20E2">
        <w:rPr>
          <w:rFonts w:cstheme="minorHAnsi"/>
        </w:rPr>
        <w:t xml:space="preserve">, they might still engage in </w:t>
      </w:r>
      <w:r w:rsidR="00F86EC6" w:rsidRPr="000A20E2">
        <w:rPr>
          <w:rFonts w:cstheme="minorHAnsi"/>
          <w:i/>
          <w:iCs/>
        </w:rPr>
        <w:t>choice deferral</w:t>
      </w:r>
      <w:r w:rsidR="00F86EC6" w:rsidRPr="000A20E2">
        <w:rPr>
          <w:rFonts w:cstheme="minorHAnsi"/>
        </w:rPr>
        <w:t xml:space="preserve"> and </w:t>
      </w:r>
      <w:r w:rsidR="00F86EC6" w:rsidRPr="000A20E2">
        <w:rPr>
          <w:rFonts w:cstheme="minorHAnsi"/>
          <w:i/>
          <w:iCs/>
        </w:rPr>
        <w:t>inaction inertia</w:t>
      </w:r>
      <w:r w:rsidR="00F86EC6" w:rsidRPr="000A20E2">
        <w:rPr>
          <w:rFonts w:cstheme="minorHAnsi"/>
        </w:rPr>
        <w:t xml:space="preserve"> and</w:t>
      </w:r>
      <w:r w:rsidR="00581586" w:rsidRPr="000A20E2">
        <w:rPr>
          <w:rFonts w:cstheme="minorHAnsi"/>
        </w:rPr>
        <w:t>,</w:t>
      </w:r>
      <w:r w:rsidR="00F86EC6" w:rsidRPr="000A20E2">
        <w:rPr>
          <w:rFonts w:cstheme="minorHAnsi"/>
        </w:rPr>
        <w:t xml:space="preserve"> therefore</w:t>
      </w:r>
      <w:r w:rsidR="00581586" w:rsidRPr="000A20E2">
        <w:rPr>
          <w:rFonts w:cstheme="minorHAnsi"/>
        </w:rPr>
        <w:t>,</w:t>
      </w:r>
      <w:r w:rsidR="00F86EC6" w:rsidRPr="000A20E2">
        <w:rPr>
          <w:rFonts w:cstheme="minorHAnsi"/>
        </w:rPr>
        <w:t xml:space="preserve"> remain non-union because of </w:t>
      </w:r>
      <w:r w:rsidR="00132044" w:rsidRPr="000A20E2">
        <w:rPr>
          <w:rFonts w:cstheme="minorHAnsi"/>
        </w:rPr>
        <w:t>the difficulties</w:t>
      </w:r>
      <w:r w:rsidR="00F86EC6" w:rsidRPr="000A20E2">
        <w:rPr>
          <w:rFonts w:cstheme="minorHAnsi"/>
        </w:rPr>
        <w:t xml:space="preserve"> associated with choosing whether to join a particular union in the present or a different, possibly more appropriate, union in the future.</w:t>
      </w:r>
      <w:r w:rsidR="006D7B2F" w:rsidRPr="000A20E2">
        <w:rPr>
          <w:rFonts w:cstheme="minorHAnsi"/>
        </w:rPr>
        <w:t xml:space="preserve"> </w:t>
      </w:r>
    </w:p>
    <w:p w14:paraId="73E40D56" w14:textId="77777777" w:rsidR="00581586" w:rsidRPr="000A20E2" w:rsidRDefault="00F024CD" w:rsidP="000A20E2">
      <w:pPr>
        <w:spacing w:after="0" w:line="240" w:lineRule="auto"/>
        <w:ind w:firstLine="720"/>
        <w:jc w:val="both"/>
        <w:rPr>
          <w:rFonts w:cstheme="minorHAnsi"/>
        </w:rPr>
      </w:pPr>
      <w:r w:rsidRPr="000A20E2">
        <w:rPr>
          <w:rFonts w:cstheme="minorHAnsi"/>
        </w:rPr>
        <w:t xml:space="preserve">Third, </w:t>
      </w:r>
      <w:r w:rsidR="006D05D6" w:rsidRPr="000A20E2">
        <w:rPr>
          <w:rFonts w:cstheme="minorHAnsi"/>
        </w:rPr>
        <w:t xml:space="preserve">a non-union default </w:t>
      </w:r>
      <w:r w:rsidR="00491C91" w:rsidRPr="000A20E2">
        <w:rPr>
          <w:rFonts w:cstheme="minorHAnsi"/>
        </w:rPr>
        <w:t>might be</w:t>
      </w:r>
      <w:r w:rsidR="006D05D6" w:rsidRPr="000A20E2">
        <w:rPr>
          <w:rFonts w:cstheme="minorHAnsi"/>
        </w:rPr>
        <w:t xml:space="preserve"> perceived as a social norm</w:t>
      </w:r>
      <w:r w:rsidR="00CC308A" w:rsidRPr="000A20E2">
        <w:rPr>
          <w:rFonts w:cstheme="minorHAnsi"/>
        </w:rPr>
        <w:t xml:space="preserve"> and</w:t>
      </w:r>
      <w:r w:rsidR="00A815F4" w:rsidRPr="000A20E2">
        <w:rPr>
          <w:rFonts w:cstheme="minorHAnsi"/>
        </w:rPr>
        <w:t>,</w:t>
      </w:r>
      <w:r w:rsidR="00CC308A" w:rsidRPr="000A20E2">
        <w:rPr>
          <w:rFonts w:cstheme="minorHAnsi"/>
        </w:rPr>
        <w:t xml:space="preserve"> therefore</w:t>
      </w:r>
      <w:r w:rsidR="00A815F4" w:rsidRPr="000A20E2">
        <w:rPr>
          <w:rFonts w:cstheme="minorHAnsi"/>
        </w:rPr>
        <w:t>,</w:t>
      </w:r>
      <w:r w:rsidR="00CC308A" w:rsidRPr="000A20E2">
        <w:rPr>
          <w:rFonts w:cstheme="minorHAnsi"/>
        </w:rPr>
        <w:t xml:space="preserve"> be relied </w:t>
      </w:r>
      <w:r w:rsidR="00A815F4" w:rsidRPr="000A20E2">
        <w:rPr>
          <w:rFonts w:cstheme="minorHAnsi"/>
        </w:rPr>
        <w:t>up</w:t>
      </w:r>
      <w:r w:rsidR="00CC308A" w:rsidRPr="000A20E2">
        <w:rPr>
          <w:rFonts w:cstheme="minorHAnsi"/>
        </w:rPr>
        <w:t>on to</w:t>
      </w:r>
      <w:r w:rsidR="006D05D6" w:rsidRPr="000A20E2">
        <w:rPr>
          <w:rFonts w:cstheme="minorHAnsi"/>
        </w:rPr>
        <w:t xml:space="preserve"> reject union</w:t>
      </w:r>
      <w:r w:rsidR="00806713" w:rsidRPr="000A20E2">
        <w:rPr>
          <w:rFonts w:cstheme="minorHAnsi"/>
        </w:rPr>
        <w:t>s</w:t>
      </w:r>
      <w:r w:rsidR="008376DA" w:rsidRPr="000A20E2">
        <w:rPr>
          <w:rFonts w:cstheme="minorHAnsi"/>
        </w:rPr>
        <w:t>.</w:t>
      </w:r>
      <w:r w:rsidR="005A77B4" w:rsidRPr="000A20E2">
        <w:rPr>
          <w:rFonts w:cstheme="minorHAnsi"/>
        </w:rPr>
        <w:t xml:space="preserve"> </w:t>
      </w:r>
      <w:r w:rsidR="007D017C" w:rsidRPr="000A20E2">
        <w:rPr>
          <w:rFonts w:cstheme="minorHAnsi"/>
        </w:rPr>
        <w:t>A</w:t>
      </w:r>
      <w:r w:rsidR="008376DA" w:rsidRPr="000A20E2">
        <w:rPr>
          <w:rFonts w:cstheme="minorHAnsi"/>
        </w:rPr>
        <w:t xml:space="preserve">s a descriptive social norm, workers </w:t>
      </w:r>
      <w:r w:rsidR="007264C4" w:rsidRPr="000A20E2">
        <w:rPr>
          <w:rFonts w:cstheme="minorHAnsi"/>
        </w:rPr>
        <w:t>would</w:t>
      </w:r>
      <w:r w:rsidR="008376DA" w:rsidRPr="000A20E2">
        <w:rPr>
          <w:rFonts w:cstheme="minorHAnsi"/>
        </w:rPr>
        <w:t xml:space="preserve"> believe that policy-makers had established a non-u</w:t>
      </w:r>
      <w:r w:rsidR="00132044" w:rsidRPr="000A20E2">
        <w:rPr>
          <w:rFonts w:cstheme="minorHAnsi"/>
        </w:rPr>
        <w:t xml:space="preserve">nion default because </w:t>
      </w:r>
      <w:r w:rsidR="007D017C" w:rsidRPr="000A20E2">
        <w:rPr>
          <w:rFonts w:cstheme="minorHAnsi"/>
        </w:rPr>
        <w:t xml:space="preserve">most </w:t>
      </w:r>
      <w:r w:rsidR="008376DA" w:rsidRPr="000A20E2">
        <w:rPr>
          <w:rFonts w:cstheme="minorHAnsi"/>
        </w:rPr>
        <w:t xml:space="preserve">workers </w:t>
      </w:r>
      <w:r w:rsidR="0098370B" w:rsidRPr="000A20E2">
        <w:rPr>
          <w:rFonts w:cstheme="minorHAnsi"/>
        </w:rPr>
        <w:t>preferred not to join</w:t>
      </w:r>
      <w:r w:rsidR="007D017C" w:rsidRPr="000A20E2">
        <w:rPr>
          <w:rFonts w:cstheme="minorHAnsi"/>
        </w:rPr>
        <w:t xml:space="preserve">, i.e., </w:t>
      </w:r>
      <w:r w:rsidR="008376DA" w:rsidRPr="000A20E2">
        <w:rPr>
          <w:rFonts w:cstheme="minorHAnsi"/>
        </w:rPr>
        <w:t xml:space="preserve">a non-union default would </w:t>
      </w:r>
      <w:r w:rsidR="000E357D" w:rsidRPr="000A20E2">
        <w:rPr>
          <w:rFonts w:cstheme="minorHAnsi"/>
        </w:rPr>
        <w:t>be interpreted as evidence</w:t>
      </w:r>
      <w:r w:rsidR="008376DA" w:rsidRPr="000A20E2">
        <w:rPr>
          <w:rFonts w:cstheme="minorHAnsi"/>
        </w:rPr>
        <w:t xml:space="preserve"> </w:t>
      </w:r>
      <w:r w:rsidR="00200B5C" w:rsidRPr="000A20E2">
        <w:rPr>
          <w:rFonts w:cstheme="minorHAnsi"/>
        </w:rPr>
        <w:t xml:space="preserve">most workers had rationally concluded </w:t>
      </w:r>
      <w:r w:rsidR="007D017C" w:rsidRPr="000A20E2">
        <w:rPr>
          <w:rFonts w:cstheme="minorHAnsi"/>
        </w:rPr>
        <w:t xml:space="preserve">membership </w:t>
      </w:r>
      <w:r w:rsidR="008376DA" w:rsidRPr="000A20E2">
        <w:rPr>
          <w:rFonts w:cstheme="minorHAnsi"/>
        </w:rPr>
        <w:t>costs outweighed benefits.</w:t>
      </w:r>
      <w:r w:rsidR="005A77B4" w:rsidRPr="000A20E2">
        <w:rPr>
          <w:rFonts w:cstheme="minorHAnsi"/>
        </w:rPr>
        <w:t xml:space="preserve"> </w:t>
      </w:r>
      <w:r w:rsidR="007D017C" w:rsidRPr="000A20E2">
        <w:rPr>
          <w:rFonts w:cstheme="minorHAnsi"/>
        </w:rPr>
        <w:t>A</w:t>
      </w:r>
      <w:r w:rsidR="008376DA" w:rsidRPr="000A20E2">
        <w:rPr>
          <w:rFonts w:cstheme="minorHAnsi"/>
        </w:rPr>
        <w:t xml:space="preserve">s an injunctive social norm, workers would believe that policy-makers had established a non-union default because </w:t>
      </w:r>
      <w:r w:rsidR="000E357D" w:rsidRPr="000A20E2">
        <w:rPr>
          <w:rFonts w:cstheme="minorHAnsi"/>
        </w:rPr>
        <w:t>they felt that</w:t>
      </w:r>
      <w:r w:rsidR="008376DA" w:rsidRPr="000A20E2">
        <w:rPr>
          <w:rFonts w:cstheme="minorHAnsi"/>
        </w:rPr>
        <w:t xml:space="preserve"> workers </w:t>
      </w:r>
      <w:r w:rsidR="008376DA" w:rsidRPr="000A20E2">
        <w:rPr>
          <w:rFonts w:cstheme="minorHAnsi"/>
          <w:i/>
          <w:iCs/>
        </w:rPr>
        <w:t>should</w:t>
      </w:r>
      <w:r w:rsidR="008376DA" w:rsidRPr="000A20E2">
        <w:rPr>
          <w:rFonts w:cstheme="minorHAnsi"/>
        </w:rPr>
        <w:t xml:space="preserve"> be non-union</w:t>
      </w:r>
      <w:r w:rsidR="007D017C" w:rsidRPr="000A20E2">
        <w:rPr>
          <w:rFonts w:cstheme="minorHAnsi"/>
        </w:rPr>
        <w:t xml:space="preserve">, i.e., </w:t>
      </w:r>
      <w:r w:rsidR="006D05D6" w:rsidRPr="000A20E2">
        <w:rPr>
          <w:rFonts w:cstheme="minorHAnsi"/>
        </w:rPr>
        <w:t xml:space="preserve">a non-union default </w:t>
      </w:r>
      <w:r w:rsidR="00F86EC6" w:rsidRPr="000A20E2">
        <w:rPr>
          <w:rFonts w:cstheme="minorHAnsi"/>
        </w:rPr>
        <w:t>would convey</w:t>
      </w:r>
      <w:r w:rsidR="006D05D6" w:rsidRPr="000A20E2">
        <w:rPr>
          <w:rFonts w:cstheme="minorHAnsi"/>
        </w:rPr>
        <w:t xml:space="preserve"> a strong message about what</w:t>
      </w:r>
      <w:r w:rsidR="007D017C" w:rsidRPr="000A20E2">
        <w:rPr>
          <w:rFonts w:cstheme="minorHAnsi"/>
        </w:rPr>
        <w:t xml:space="preserve"> i</w:t>
      </w:r>
      <w:r w:rsidR="006D05D6" w:rsidRPr="000A20E2">
        <w:rPr>
          <w:rFonts w:cstheme="minorHAnsi"/>
        </w:rPr>
        <w:t>s socially acceptable</w:t>
      </w:r>
      <w:r w:rsidR="0098370B" w:rsidRPr="000A20E2">
        <w:rPr>
          <w:rFonts w:cstheme="minorHAnsi"/>
        </w:rPr>
        <w:t xml:space="preserve"> and desirable</w:t>
      </w:r>
      <w:r w:rsidR="00F230E6" w:rsidRPr="000A20E2">
        <w:rPr>
          <w:rFonts w:cstheme="minorHAnsi"/>
        </w:rPr>
        <w:t xml:space="preserve"> for </w:t>
      </w:r>
      <w:r w:rsidR="007D017C" w:rsidRPr="000A20E2">
        <w:rPr>
          <w:rFonts w:cstheme="minorHAnsi"/>
        </w:rPr>
        <w:t xml:space="preserve">economy and </w:t>
      </w:r>
      <w:r w:rsidR="00F86EC6" w:rsidRPr="000A20E2">
        <w:rPr>
          <w:rFonts w:cstheme="minorHAnsi"/>
        </w:rPr>
        <w:t>society</w:t>
      </w:r>
      <w:r w:rsidR="00C3031A" w:rsidRPr="000A20E2">
        <w:rPr>
          <w:rFonts w:cstheme="minorHAnsi"/>
        </w:rPr>
        <w:t>.</w:t>
      </w:r>
      <w:r w:rsidR="005A77B4" w:rsidRPr="000A20E2">
        <w:rPr>
          <w:rFonts w:cstheme="minorHAnsi"/>
        </w:rPr>
        <w:t xml:space="preserve"> </w:t>
      </w:r>
      <w:r w:rsidR="009817CC" w:rsidRPr="000A20E2">
        <w:rPr>
          <w:rFonts w:cstheme="minorHAnsi"/>
        </w:rPr>
        <w:t xml:space="preserve">In either case, workers might conclude being non-union is </w:t>
      </w:r>
      <w:r w:rsidR="00503478" w:rsidRPr="000A20E2">
        <w:rPr>
          <w:rFonts w:cstheme="minorHAnsi"/>
        </w:rPr>
        <w:t>‘</w:t>
      </w:r>
      <w:r w:rsidR="00212C16" w:rsidRPr="000A20E2">
        <w:rPr>
          <w:rFonts w:cstheme="minorHAnsi"/>
        </w:rPr>
        <w:t xml:space="preserve">more </w:t>
      </w:r>
      <w:r w:rsidR="009817CC" w:rsidRPr="000A20E2">
        <w:rPr>
          <w:rFonts w:cstheme="minorHAnsi"/>
        </w:rPr>
        <w:t>normal</w:t>
      </w:r>
      <w:r w:rsidR="00503478" w:rsidRPr="000A20E2">
        <w:rPr>
          <w:rFonts w:cstheme="minorHAnsi"/>
        </w:rPr>
        <w:t>’</w:t>
      </w:r>
      <w:r w:rsidR="009817CC" w:rsidRPr="000A20E2">
        <w:rPr>
          <w:rFonts w:cstheme="minorHAnsi"/>
        </w:rPr>
        <w:t xml:space="preserve"> </w:t>
      </w:r>
      <w:r w:rsidR="00F230E6" w:rsidRPr="000A20E2">
        <w:rPr>
          <w:rFonts w:cstheme="minorHAnsi"/>
        </w:rPr>
        <w:t xml:space="preserve">or </w:t>
      </w:r>
      <w:r w:rsidR="00503478" w:rsidRPr="000A20E2">
        <w:rPr>
          <w:rFonts w:cstheme="minorHAnsi"/>
        </w:rPr>
        <w:t>‘</w:t>
      </w:r>
      <w:r w:rsidR="00212C16" w:rsidRPr="000A20E2">
        <w:rPr>
          <w:rFonts w:cstheme="minorHAnsi"/>
        </w:rPr>
        <w:t>better</w:t>
      </w:r>
      <w:r w:rsidR="00503478" w:rsidRPr="000A20E2">
        <w:rPr>
          <w:rFonts w:cstheme="minorHAnsi"/>
        </w:rPr>
        <w:t>’</w:t>
      </w:r>
      <w:r w:rsidR="00212C16" w:rsidRPr="000A20E2">
        <w:rPr>
          <w:rFonts w:cstheme="minorHAnsi"/>
        </w:rPr>
        <w:t xml:space="preserve"> than being a member.</w:t>
      </w:r>
      <w:r w:rsidR="005A77B4" w:rsidRPr="000A20E2">
        <w:rPr>
          <w:rFonts w:cstheme="minorHAnsi"/>
        </w:rPr>
        <w:t xml:space="preserve"> </w:t>
      </w:r>
    </w:p>
    <w:p w14:paraId="0EE09F72" w14:textId="0C57EDA5" w:rsidR="00212C16" w:rsidRPr="000A20E2" w:rsidRDefault="00F230E6" w:rsidP="000A20E2">
      <w:pPr>
        <w:spacing w:after="0" w:line="240" w:lineRule="auto"/>
        <w:ind w:firstLine="720"/>
        <w:jc w:val="both"/>
        <w:rPr>
          <w:rFonts w:cstheme="minorHAnsi"/>
        </w:rPr>
      </w:pPr>
      <w:r w:rsidRPr="000A20E2">
        <w:rPr>
          <w:rFonts w:cstheme="minorHAnsi"/>
        </w:rPr>
        <w:t xml:space="preserve">Finally, </w:t>
      </w:r>
      <w:r w:rsidR="00212C16" w:rsidRPr="000A20E2">
        <w:rPr>
          <w:rFonts w:cstheme="minorHAnsi"/>
        </w:rPr>
        <w:t xml:space="preserve">the non-union default </w:t>
      </w:r>
      <w:r w:rsidR="00491C91" w:rsidRPr="000A20E2">
        <w:rPr>
          <w:rFonts w:cstheme="minorHAnsi"/>
        </w:rPr>
        <w:t>might define</w:t>
      </w:r>
      <w:r w:rsidR="00804645" w:rsidRPr="000A20E2">
        <w:rPr>
          <w:rFonts w:cstheme="minorHAnsi"/>
        </w:rPr>
        <w:t xml:space="preserve"> a reference</w:t>
      </w:r>
      <w:r w:rsidR="00212C16" w:rsidRPr="000A20E2">
        <w:rPr>
          <w:rFonts w:cstheme="minorHAnsi"/>
        </w:rPr>
        <w:t xml:space="preserve"> point for workers’ thinking about costs and benefits of membership.</w:t>
      </w:r>
      <w:r w:rsidR="005A77B4" w:rsidRPr="000A20E2">
        <w:rPr>
          <w:rFonts w:cstheme="minorHAnsi"/>
        </w:rPr>
        <w:t xml:space="preserve"> </w:t>
      </w:r>
      <w:r w:rsidR="00212C16" w:rsidRPr="000A20E2">
        <w:rPr>
          <w:rFonts w:cstheme="minorHAnsi"/>
        </w:rPr>
        <w:t xml:space="preserve">More specifically, it </w:t>
      </w:r>
      <w:r w:rsidR="00491C91" w:rsidRPr="000A20E2">
        <w:rPr>
          <w:rFonts w:cstheme="minorHAnsi"/>
        </w:rPr>
        <w:t>might establish</w:t>
      </w:r>
      <w:r w:rsidR="00212C16" w:rsidRPr="000A20E2">
        <w:rPr>
          <w:rFonts w:cstheme="minorHAnsi"/>
        </w:rPr>
        <w:t xml:space="preserve"> </w:t>
      </w:r>
      <w:r w:rsidR="008F6D51" w:rsidRPr="000A20E2">
        <w:rPr>
          <w:rFonts w:cstheme="minorHAnsi"/>
        </w:rPr>
        <w:t xml:space="preserve">that </w:t>
      </w:r>
      <w:r w:rsidR="00212C16" w:rsidRPr="000A20E2">
        <w:rPr>
          <w:rFonts w:cstheme="minorHAnsi"/>
        </w:rPr>
        <w:t xml:space="preserve">being non-union is effectively the </w:t>
      </w:r>
      <w:r w:rsidR="00212C16" w:rsidRPr="000A20E2">
        <w:rPr>
          <w:rFonts w:cstheme="minorHAnsi"/>
          <w:i/>
          <w:iCs/>
        </w:rPr>
        <w:t>stat</w:t>
      </w:r>
      <w:r w:rsidR="0098370B" w:rsidRPr="000A20E2">
        <w:rPr>
          <w:rFonts w:cstheme="minorHAnsi"/>
          <w:i/>
          <w:iCs/>
        </w:rPr>
        <w:t>us quo</w:t>
      </w:r>
      <w:r w:rsidR="0098370B" w:rsidRPr="000A20E2">
        <w:rPr>
          <w:rFonts w:cstheme="minorHAnsi"/>
        </w:rPr>
        <w:t xml:space="preserve"> position.</w:t>
      </w:r>
      <w:r w:rsidR="005A77B4" w:rsidRPr="000A20E2">
        <w:rPr>
          <w:rFonts w:cstheme="minorHAnsi"/>
        </w:rPr>
        <w:t xml:space="preserve"> </w:t>
      </w:r>
      <w:r w:rsidR="0098370B" w:rsidRPr="000A20E2">
        <w:rPr>
          <w:rFonts w:cstheme="minorHAnsi"/>
        </w:rPr>
        <w:t>Any deviation</w:t>
      </w:r>
      <w:r w:rsidR="00212C16" w:rsidRPr="000A20E2">
        <w:rPr>
          <w:rFonts w:cstheme="minorHAnsi"/>
        </w:rPr>
        <w:t xml:space="preserve"> from th</w:t>
      </w:r>
      <w:r w:rsidR="007D017C" w:rsidRPr="000A20E2">
        <w:rPr>
          <w:rFonts w:cstheme="minorHAnsi"/>
        </w:rPr>
        <w:t>is</w:t>
      </w:r>
      <w:r w:rsidR="00212C16" w:rsidRPr="000A20E2">
        <w:rPr>
          <w:rFonts w:cstheme="minorHAnsi"/>
        </w:rPr>
        <w:t xml:space="preserve"> </w:t>
      </w:r>
      <w:r w:rsidR="009E2249" w:rsidRPr="000A20E2">
        <w:rPr>
          <w:rFonts w:cstheme="minorHAnsi"/>
        </w:rPr>
        <w:t xml:space="preserve">would </w:t>
      </w:r>
      <w:r w:rsidR="00212C16" w:rsidRPr="000A20E2">
        <w:rPr>
          <w:rFonts w:cstheme="minorHAnsi"/>
        </w:rPr>
        <w:t xml:space="preserve">involve </w:t>
      </w:r>
      <w:r w:rsidR="009E2249" w:rsidRPr="000A20E2">
        <w:rPr>
          <w:rFonts w:cstheme="minorHAnsi"/>
        </w:rPr>
        <w:t xml:space="preserve">so-called </w:t>
      </w:r>
      <w:r w:rsidR="00212C16" w:rsidRPr="000A20E2">
        <w:rPr>
          <w:rFonts w:cstheme="minorHAnsi"/>
        </w:rPr>
        <w:t xml:space="preserve">gains and losses, where the losses </w:t>
      </w:r>
      <w:r w:rsidR="0098370B" w:rsidRPr="000A20E2">
        <w:rPr>
          <w:rFonts w:cstheme="minorHAnsi"/>
        </w:rPr>
        <w:t>loom more</w:t>
      </w:r>
      <w:r w:rsidR="00212C16" w:rsidRPr="000A20E2">
        <w:rPr>
          <w:rFonts w:cstheme="minorHAnsi"/>
        </w:rPr>
        <w:t xml:space="preserve"> heavily </w:t>
      </w:r>
      <w:r w:rsidR="0098370B" w:rsidRPr="000A20E2">
        <w:rPr>
          <w:rFonts w:cstheme="minorHAnsi"/>
        </w:rPr>
        <w:t>than</w:t>
      </w:r>
      <w:r w:rsidR="00212C16" w:rsidRPr="000A20E2">
        <w:rPr>
          <w:rFonts w:cstheme="minorHAnsi"/>
        </w:rPr>
        <w:t xml:space="preserve"> the gains</w:t>
      </w:r>
      <w:r w:rsidR="0098370B" w:rsidRPr="000A20E2">
        <w:rPr>
          <w:rFonts w:cstheme="minorHAnsi"/>
        </w:rPr>
        <w:t xml:space="preserve"> in </w:t>
      </w:r>
      <w:r w:rsidR="008F6D51" w:rsidRPr="000A20E2">
        <w:rPr>
          <w:rFonts w:cstheme="minorHAnsi"/>
        </w:rPr>
        <w:t>workers’</w:t>
      </w:r>
      <w:r w:rsidR="007D017C" w:rsidRPr="000A20E2">
        <w:rPr>
          <w:rFonts w:cstheme="minorHAnsi"/>
        </w:rPr>
        <w:t xml:space="preserve"> </w:t>
      </w:r>
      <w:r w:rsidR="0098370B" w:rsidRPr="000A20E2">
        <w:rPr>
          <w:rFonts w:cstheme="minorHAnsi"/>
        </w:rPr>
        <w:t>minds</w:t>
      </w:r>
      <w:r w:rsidR="00212C16" w:rsidRPr="000A20E2">
        <w:rPr>
          <w:rFonts w:cstheme="minorHAnsi"/>
        </w:rPr>
        <w:t>.</w:t>
      </w:r>
      <w:r w:rsidR="004920B0" w:rsidRPr="000A20E2">
        <w:rPr>
          <w:rFonts w:cstheme="minorHAnsi"/>
        </w:rPr>
        <w:t xml:space="preserve"> </w:t>
      </w:r>
      <w:r w:rsidR="007D017C" w:rsidRPr="000A20E2">
        <w:rPr>
          <w:rFonts w:cstheme="minorHAnsi"/>
        </w:rPr>
        <w:t>‘G</w:t>
      </w:r>
      <w:r w:rsidR="00212C16" w:rsidRPr="000A20E2">
        <w:rPr>
          <w:rFonts w:cstheme="minorHAnsi"/>
        </w:rPr>
        <w:t>ains</w:t>
      </w:r>
      <w:r w:rsidR="0098370B" w:rsidRPr="000A20E2">
        <w:rPr>
          <w:rFonts w:cstheme="minorHAnsi"/>
        </w:rPr>
        <w:t>’</w:t>
      </w:r>
      <w:r w:rsidR="00212C16" w:rsidRPr="000A20E2">
        <w:rPr>
          <w:rFonts w:cstheme="minorHAnsi"/>
        </w:rPr>
        <w:t xml:space="preserve"> </w:t>
      </w:r>
      <w:r w:rsidR="009E2249" w:rsidRPr="000A20E2">
        <w:rPr>
          <w:rFonts w:cstheme="minorHAnsi"/>
        </w:rPr>
        <w:t xml:space="preserve">would be </w:t>
      </w:r>
      <w:r w:rsidR="00212C16" w:rsidRPr="000A20E2">
        <w:rPr>
          <w:rFonts w:cstheme="minorHAnsi"/>
        </w:rPr>
        <w:t xml:space="preserve">associated with </w:t>
      </w:r>
      <w:r w:rsidR="008F6D51" w:rsidRPr="000A20E2">
        <w:rPr>
          <w:rFonts w:cstheme="minorHAnsi"/>
        </w:rPr>
        <w:t xml:space="preserve">the </w:t>
      </w:r>
      <w:r w:rsidR="00212C16" w:rsidRPr="000A20E2">
        <w:rPr>
          <w:rFonts w:cstheme="minorHAnsi"/>
        </w:rPr>
        <w:t>benefits of moving to membership:</w:t>
      </w:r>
      <w:r w:rsidR="005A77B4" w:rsidRPr="000A20E2">
        <w:rPr>
          <w:rFonts w:cstheme="minorHAnsi"/>
        </w:rPr>
        <w:t xml:space="preserve"> </w:t>
      </w:r>
      <w:r w:rsidR="00212C16" w:rsidRPr="000A20E2">
        <w:rPr>
          <w:rFonts w:cstheme="minorHAnsi"/>
        </w:rPr>
        <w:t xml:space="preserve">improved </w:t>
      </w:r>
      <w:r w:rsidR="007D017C" w:rsidRPr="000A20E2">
        <w:rPr>
          <w:rFonts w:cstheme="minorHAnsi"/>
        </w:rPr>
        <w:t xml:space="preserve">contractual </w:t>
      </w:r>
      <w:r w:rsidR="00212C16" w:rsidRPr="000A20E2">
        <w:rPr>
          <w:rFonts w:cstheme="minorHAnsi"/>
        </w:rPr>
        <w:t>terms and conditions, stronger advocacy and additional benefits (e.g., insurance discounts) available directly from the union.</w:t>
      </w:r>
      <w:r w:rsidR="009E2249" w:rsidRPr="000A20E2">
        <w:rPr>
          <w:rStyle w:val="FootnoteReference"/>
          <w:rFonts w:cstheme="minorHAnsi"/>
        </w:rPr>
        <w:footnoteReference w:id="72"/>
      </w:r>
      <w:r w:rsidR="004920B0" w:rsidRPr="000A20E2">
        <w:rPr>
          <w:rFonts w:cstheme="minorHAnsi"/>
        </w:rPr>
        <w:t xml:space="preserve"> </w:t>
      </w:r>
      <w:r w:rsidR="007D017C" w:rsidRPr="000A20E2">
        <w:rPr>
          <w:rFonts w:cstheme="minorHAnsi"/>
        </w:rPr>
        <w:t>‘L</w:t>
      </w:r>
      <w:r w:rsidR="00212C16" w:rsidRPr="000A20E2">
        <w:rPr>
          <w:rFonts w:cstheme="minorHAnsi"/>
        </w:rPr>
        <w:t>osses</w:t>
      </w:r>
      <w:r w:rsidR="0098370B" w:rsidRPr="000A20E2">
        <w:rPr>
          <w:rFonts w:cstheme="minorHAnsi"/>
        </w:rPr>
        <w:t>’</w:t>
      </w:r>
      <w:r w:rsidR="00212C16" w:rsidRPr="000A20E2">
        <w:rPr>
          <w:rFonts w:cstheme="minorHAnsi"/>
        </w:rPr>
        <w:t xml:space="preserve"> </w:t>
      </w:r>
      <w:r w:rsidR="009E2249" w:rsidRPr="000A20E2">
        <w:rPr>
          <w:rFonts w:cstheme="minorHAnsi"/>
        </w:rPr>
        <w:t>would be</w:t>
      </w:r>
      <w:r w:rsidR="00212C16" w:rsidRPr="000A20E2">
        <w:rPr>
          <w:rFonts w:cstheme="minorHAnsi"/>
        </w:rPr>
        <w:t xml:space="preserve"> associated with what worker</w:t>
      </w:r>
      <w:r w:rsidR="007D017C" w:rsidRPr="000A20E2">
        <w:rPr>
          <w:rFonts w:cstheme="minorHAnsi"/>
        </w:rPr>
        <w:t>s</w:t>
      </w:r>
      <w:r w:rsidR="00212C16" w:rsidRPr="000A20E2">
        <w:rPr>
          <w:rFonts w:cstheme="minorHAnsi"/>
        </w:rPr>
        <w:t xml:space="preserve"> relinquish </w:t>
      </w:r>
      <w:r w:rsidR="0098370B" w:rsidRPr="000A20E2">
        <w:rPr>
          <w:rFonts w:cstheme="minorHAnsi"/>
        </w:rPr>
        <w:t>in moving away from being non-union</w:t>
      </w:r>
      <w:r w:rsidR="00212C16" w:rsidRPr="000A20E2">
        <w:rPr>
          <w:rFonts w:cstheme="minorHAnsi"/>
        </w:rPr>
        <w:t>, particularly any favourable treatment from</w:t>
      </w:r>
      <w:r w:rsidR="00786D32" w:rsidRPr="000A20E2">
        <w:rPr>
          <w:rFonts w:cstheme="minorHAnsi"/>
        </w:rPr>
        <w:t xml:space="preserve"> management and </w:t>
      </w:r>
      <w:r w:rsidR="00D60FA6" w:rsidRPr="000A20E2">
        <w:rPr>
          <w:rFonts w:cstheme="minorHAnsi"/>
        </w:rPr>
        <w:t xml:space="preserve">the money for </w:t>
      </w:r>
      <w:r w:rsidR="00786D32" w:rsidRPr="000A20E2">
        <w:rPr>
          <w:rFonts w:cstheme="minorHAnsi"/>
        </w:rPr>
        <w:t>union fees/</w:t>
      </w:r>
      <w:r w:rsidR="00212C16" w:rsidRPr="000A20E2">
        <w:rPr>
          <w:rFonts w:cstheme="minorHAnsi"/>
        </w:rPr>
        <w:t>dues which would otherwise have been available for other purchases.</w:t>
      </w:r>
      <w:r w:rsidR="004920B0" w:rsidRPr="000A20E2">
        <w:rPr>
          <w:rFonts w:cstheme="minorHAnsi"/>
        </w:rPr>
        <w:t xml:space="preserve"> </w:t>
      </w:r>
      <w:r w:rsidR="00212C16" w:rsidRPr="000A20E2">
        <w:rPr>
          <w:rFonts w:cstheme="minorHAnsi"/>
        </w:rPr>
        <w:t xml:space="preserve">Since humans are loss averse, </w:t>
      </w:r>
      <w:r w:rsidR="009E2249" w:rsidRPr="000A20E2">
        <w:rPr>
          <w:rFonts w:cstheme="minorHAnsi"/>
        </w:rPr>
        <w:t>a non-union reference point, defined by the default,</w:t>
      </w:r>
      <w:r w:rsidR="00212C16" w:rsidRPr="000A20E2">
        <w:rPr>
          <w:rFonts w:cstheme="minorHAnsi"/>
        </w:rPr>
        <w:t xml:space="preserve"> amplifies the significance of seemingly ‘losing’ these latter be</w:t>
      </w:r>
      <w:r w:rsidR="00804645" w:rsidRPr="000A20E2">
        <w:rPr>
          <w:rFonts w:cstheme="minorHAnsi"/>
        </w:rPr>
        <w:t>nefits.</w:t>
      </w:r>
      <w:r w:rsidR="005A77B4" w:rsidRPr="000A20E2">
        <w:rPr>
          <w:rFonts w:cstheme="minorHAnsi"/>
        </w:rPr>
        <w:t xml:space="preserve"> </w:t>
      </w:r>
      <w:r w:rsidR="00804645" w:rsidRPr="000A20E2">
        <w:rPr>
          <w:rFonts w:cstheme="minorHAnsi"/>
        </w:rPr>
        <w:t>Thus, paying</w:t>
      </w:r>
      <w:r w:rsidR="00212C16" w:rsidRPr="000A20E2">
        <w:rPr>
          <w:rFonts w:cstheme="minorHAnsi"/>
        </w:rPr>
        <w:t xml:space="preserve"> dues would appear, in the minds of </w:t>
      </w:r>
      <w:r w:rsidR="0090397C" w:rsidRPr="000A20E2">
        <w:rPr>
          <w:rFonts w:cstheme="minorHAnsi"/>
        </w:rPr>
        <w:t>many</w:t>
      </w:r>
      <w:r w:rsidR="00212C16" w:rsidRPr="000A20E2">
        <w:rPr>
          <w:rFonts w:cstheme="minorHAnsi"/>
        </w:rPr>
        <w:t xml:space="preserve"> workers, to be a major sacrifice</w:t>
      </w:r>
      <w:r w:rsidR="008D5080" w:rsidRPr="000A20E2">
        <w:rPr>
          <w:rFonts w:cstheme="minorHAnsi"/>
        </w:rPr>
        <w:t>,</w:t>
      </w:r>
      <w:r w:rsidR="009E2249" w:rsidRPr="000A20E2">
        <w:rPr>
          <w:rFonts w:cstheme="minorHAnsi"/>
        </w:rPr>
        <w:t xml:space="preserve"> but only</w:t>
      </w:r>
      <w:r w:rsidR="008D5080" w:rsidRPr="000A20E2">
        <w:rPr>
          <w:rFonts w:cstheme="minorHAnsi"/>
        </w:rPr>
        <w:t xml:space="preserve"> when the default is non-union</w:t>
      </w:r>
      <w:r w:rsidR="00212C16" w:rsidRPr="000A20E2">
        <w:rPr>
          <w:rFonts w:cstheme="minorHAnsi"/>
        </w:rPr>
        <w:t>.</w:t>
      </w:r>
      <w:r w:rsidR="005A77B4" w:rsidRPr="000A20E2">
        <w:rPr>
          <w:rFonts w:cstheme="minorHAnsi"/>
        </w:rPr>
        <w:t xml:space="preserve"> </w:t>
      </w:r>
      <w:r w:rsidR="00786D32" w:rsidRPr="000A20E2">
        <w:rPr>
          <w:rFonts w:cstheme="minorHAnsi"/>
        </w:rPr>
        <w:t xml:space="preserve">Thus, </w:t>
      </w:r>
      <w:r w:rsidR="00212C16" w:rsidRPr="000A20E2">
        <w:rPr>
          <w:rFonts w:cstheme="minorHAnsi"/>
        </w:rPr>
        <w:t xml:space="preserve">perspective matters </w:t>
      </w:r>
      <w:r w:rsidR="00B31638" w:rsidRPr="000A20E2">
        <w:rPr>
          <w:rFonts w:cstheme="minorHAnsi"/>
        </w:rPr>
        <w:t>here</w:t>
      </w:r>
      <w:r w:rsidR="00212C16" w:rsidRPr="000A20E2">
        <w:rPr>
          <w:rFonts w:cstheme="minorHAnsi"/>
        </w:rPr>
        <w:t>.</w:t>
      </w:r>
      <w:r w:rsidR="004920B0" w:rsidRPr="000A20E2">
        <w:rPr>
          <w:rFonts w:cstheme="minorHAnsi"/>
        </w:rPr>
        <w:t xml:space="preserve"> </w:t>
      </w:r>
      <w:r w:rsidR="00212C16" w:rsidRPr="000A20E2">
        <w:rPr>
          <w:rFonts w:cstheme="minorHAnsi"/>
        </w:rPr>
        <w:t xml:space="preserve">If membership </w:t>
      </w:r>
      <w:r w:rsidR="00CA6996" w:rsidRPr="000A20E2">
        <w:rPr>
          <w:rFonts w:cstheme="minorHAnsi"/>
        </w:rPr>
        <w:t xml:space="preserve">were </w:t>
      </w:r>
      <w:r w:rsidR="00212C16" w:rsidRPr="000A20E2">
        <w:rPr>
          <w:rFonts w:cstheme="minorHAnsi"/>
        </w:rPr>
        <w:t xml:space="preserve">the default, ‘losing’ the benefits of union membership </w:t>
      </w:r>
      <w:r w:rsidR="008D5080" w:rsidRPr="000A20E2">
        <w:rPr>
          <w:rFonts w:cstheme="minorHAnsi"/>
        </w:rPr>
        <w:t>would be</w:t>
      </w:r>
      <w:r w:rsidR="00212C16" w:rsidRPr="000A20E2">
        <w:rPr>
          <w:rFonts w:cstheme="minorHAnsi"/>
        </w:rPr>
        <w:t xml:space="preserve"> </w:t>
      </w:r>
      <w:r w:rsidR="008D5080" w:rsidRPr="000A20E2">
        <w:rPr>
          <w:rFonts w:cstheme="minorHAnsi"/>
        </w:rPr>
        <w:t>viewed</w:t>
      </w:r>
      <w:r w:rsidR="00212C16" w:rsidRPr="000A20E2">
        <w:rPr>
          <w:rFonts w:cstheme="minorHAnsi"/>
        </w:rPr>
        <w:t xml:space="preserve"> as the big sacrifice</w:t>
      </w:r>
      <w:r w:rsidR="00D60FA6" w:rsidRPr="000A20E2">
        <w:rPr>
          <w:rFonts w:cstheme="minorHAnsi"/>
        </w:rPr>
        <w:t xml:space="preserve"> while</w:t>
      </w:r>
      <w:r w:rsidR="00C90D58" w:rsidRPr="000A20E2">
        <w:rPr>
          <w:rFonts w:cstheme="minorHAnsi"/>
        </w:rPr>
        <w:t xml:space="preserve"> </w:t>
      </w:r>
      <w:r w:rsidR="00212C16" w:rsidRPr="000A20E2">
        <w:rPr>
          <w:rFonts w:cstheme="minorHAnsi"/>
        </w:rPr>
        <w:t>‘gaining’ favourable treatment fr</w:t>
      </w:r>
      <w:r w:rsidR="001D557B" w:rsidRPr="000A20E2">
        <w:rPr>
          <w:rFonts w:cstheme="minorHAnsi"/>
        </w:rPr>
        <w:t xml:space="preserve">om management and pocketing </w:t>
      </w:r>
      <w:r w:rsidR="00212C16" w:rsidRPr="000A20E2">
        <w:rPr>
          <w:rFonts w:cstheme="minorHAnsi"/>
        </w:rPr>
        <w:t xml:space="preserve">dues </w:t>
      </w:r>
      <w:r w:rsidR="008D5080" w:rsidRPr="000A20E2">
        <w:rPr>
          <w:rFonts w:cstheme="minorHAnsi"/>
        </w:rPr>
        <w:t xml:space="preserve">would </w:t>
      </w:r>
      <w:r w:rsidR="00212C16" w:rsidRPr="000A20E2">
        <w:rPr>
          <w:rFonts w:cstheme="minorHAnsi"/>
        </w:rPr>
        <w:t xml:space="preserve">count </w:t>
      </w:r>
      <w:r w:rsidR="009E2249" w:rsidRPr="000A20E2">
        <w:rPr>
          <w:rFonts w:cstheme="minorHAnsi"/>
        </w:rPr>
        <w:t xml:space="preserve">for </w:t>
      </w:r>
      <w:r w:rsidR="00212C16" w:rsidRPr="000A20E2">
        <w:rPr>
          <w:rFonts w:cstheme="minorHAnsi"/>
        </w:rPr>
        <w:t>much less.</w:t>
      </w:r>
      <w:r w:rsidR="004920B0" w:rsidRPr="000A20E2">
        <w:rPr>
          <w:rFonts w:cstheme="minorHAnsi"/>
        </w:rPr>
        <w:t xml:space="preserve"> </w:t>
      </w:r>
      <w:r w:rsidR="00BF0CD6" w:rsidRPr="000A20E2">
        <w:rPr>
          <w:rFonts w:cstheme="minorHAnsi"/>
        </w:rPr>
        <w:t>The</w:t>
      </w:r>
      <w:r w:rsidR="00B31638" w:rsidRPr="000A20E2">
        <w:rPr>
          <w:rFonts w:cstheme="minorHAnsi"/>
        </w:rPr>
        <w:t xml:space="preserve"> empirical evidence from meta-studies indicates the human mind normally assigns twice the value to losses as equivalent gains.</w:t>
      </w:r>
      <w:r w:rsidR="004737F3">
        <w:rPr>
          <w:rStyle w:val="FootnoteReference"/>
          <w:rFonts w:cstheme="minorHAnsi"/>
        </w:rPr>
        <w:footnoteReference w:id="73"/>
      </w:r>
      <w:r w:rsidR="004920B0" w:rsidRPr="000A20E2">
        <w:rPr>
          <w:rFonts w:cstheme="minorHAnsi"/>
        </w:rPr>
        <w:t xml:space="preserve"> </w:t>
      </w:r>
      <w:r w:rsidR="00B31638" w:rsidRPr="000A20E2">
        <w:rPr>
          <w:rFonts w:cstheme="minorHAnsi"/>
        </w:rPr>
        <w:t>With a non-union default, ‘gains’ from membership would</w:t>
      </w:r>
      <w:r w:rsidR="00786D32" w:rsidRPr="000A20E2">
        <w:rPr>
          <w:rFonts w:cstheme="minorHAnsi"/>
        </w:rPr>
        <w:t>,</w:t>
      </w:r>
      <w:r w:rsidR="00B31638" w:rsidRPr="000A20E2">
        <w:rPr>
          <w:rFonts w:cstheme="minorHAnsi"/>
        </w:rPr>
        <w:t xml:space="preserve"> thus</w:t>
      </w:r>
      <w:r w:rsidR="00786D32" w:rsidRPr="000A20E2">
        <w:rPr>
          <w:rFonts w:cstheme="minorHAnsi"/>
        </w:rPr>
        <w:t>,</w:t>
      </w:r>
      <w:r w:rsidR="00B31638" w:rsidRPr="000A20E2">
        <w:rPr>
          <w:rFonts w:cstheme="minorHAnsi"/>
        </w:rPr>
        <w:t xml:space="preserve"> have to be more than twice as high as the ‘losses’ to </w:t>
      </w:r>
      <w:r w:rsidR="00BF0CD6" w:rsidRPr="000A20E2">
        <w:rPr>
          <w:rFonts w:cstheme="minorHAnsi"/>
        </w:rPr>
        <w:t>induce workers to join a union.</w:t>
      </w:r>
      <w:r w:rsidR="004920B0" w:rsidRPr="000A20E2">
        <w:rPr>
          <w:rFonts w:cstheme="minorHAnsi"/>
        </w:rPr>
        <w:t xml:space="preserve"> </w:t>
      </w:r>
      <w:r w:rsidR="0098370B" w:rsidRPr="000A20E2">
        <w:rPr>
          <w:rFonts w:cstheme="minorHAnsi"/>
        </w:rPr>
        <w:t>It follows that</w:t>
      </w:r>
      <w:r w:rsidR="00BF0CD6" w:rsidRPr="000A20E2">
        <w:rPr>
          <w:rFonts w:cstheme="minorHAnsi"/>
        </w:rPr>
        <w:t xml:space="preserve"> workers </w:t>
      </w:r>
      <w:r w:rsidR="00F86EC6" w:rsidRPr="000A20E2">
        <w:rPr>
          <w:rFonts w:cstheme="minorHAnsi"/>
        </w:rPr>
        <w:t xml:space="preserve">would be </w:t>
      </w:r>
      <w:r w:rsidR="00BF0CD6" w:rsidRPr="000A20E2">
        <w:rPr>
          <w:rFonts w:cstheme="minorHAnsi"/>
        </w:rPr>
        <w:t>unlikely to switch</w:t>
      </w:r>
      <w:r w:rsidR="005A77B4" w:rsidRPr="000A20E2">
        <w:rPr>
          <w:rFonts w:cstheme="minorHAnsi"/>
        </w:rPr>
        <w:t xml:space="preserve"> </w:t>
      </w:r>
      <w:r w:rsidR="00BF0CD6" w:rsidRPr="000A20E2">
        <w:rPr>
          <w:rFonts w:cstheme="minorHAnsi"/>
        </w:rPr>
        <w:t>to a</w:t>
      </w:r>
      <w:r w:rsidR="008D5080" w:rsidRPr="000A20E2">
        <w:rPr>
          <w:rFonts w:cstheme="minorHAnsi"/>
        </w:rPr>
        <w:t xml:space="preserve"> union unless the overall case w</w:t>
      </w:r>
      <w:r w:rsidR="001D557B" w:rsidRPr="000A20E2">
        <w:rPr>
          <w:rFonts w:cstheme="minorHAnsi"/>
        </w:rPr>
        <w:t>as</w:t>
      </w:r>
      <w:r w:rsidR="00BF0CD6" w:rsidRPr="000A20E2">
        <w:rPr>
          <w:rFonts w:cstheme="minorHAnsi"/>
        </w:rPr>
        <w:t xml:space="preserve"> compelling.</w:t>
      </w:r>
      <w:r w:rsidR="004920B0" w:rsidRPr="000A20E2">
        <w:rPr>
          <w:rFonts w:cstheme="minorHAnsi"/>
        </w:rPr>
        <w:t xml:space="preserve"> </w:t>
      </w:r>
    </w:p>
    <w:p w14:paraId="02DF76A7" w14:textId="77777777" w:rsidR="004F73F0" w:rsidRPr="000A20E2" w:rsidRDefault="004F73F0" w:rsidP="000A20E2">
      <w:pPr>
        <w:spacing w:after="0" w:line="240" w:lineRule="auto"/>
        <w:jc w:val="both"/>
        <w:rPr>
          <w:rFonts w:cstheme="minorHAnsi"/>
          <w:b/>
          <w:bCs/>
        </w:rPr>
      </w:pPr>
    </w:p>
    <w:p w14:paraId="05C0F7E2" w14:textId="6F330354" w:rsidR="001A338B" w:rsidRPr="005C13E1" w:rsidRDefault="005A5EA2" w:rsidP="005C13E1">
      <w:pPr>
        <w:pStyle w:val="ListParagraph"/>
        <w:numPr>
          <w:ilvl w:val="0"/>
          <w:numId w:val="28"/>
        </w:numPr>
        <w:spacing w:after="0" w:line="240" w:lineRule="auto"/>
        <w:jc w:val="both"/>
        <w:rPr>
          <w:rFonts w:cstheme="minorHAnsi"/>
          <w:b/>
          <w:bCs/>
        </w:rPr>
      </w:pPr>
      <w:r w:rsidRPr="005C13E1">
        <w:rPr>
          <w:rFonts w:cstheme="minorHAnsi"/>
          <w:b/>
          <w:bCs/>
        </w:rPr>
        <w:t xml:space="preserve">Positive </w:t>
      </w:r>
      <w:r w:rsidR="002E0046" w:rsidRPr="005C13E1">
        <w:rPr>
          <w:rFonts w:cstheme="minorHAnsi"/>
          <w:b/>
          <w:bCs/>
        </w:rPr>
        <w:t xml:space="preserve">membership effects of </w:t>
      </w:r>
      <w:r w:rsidR="00CA6996" w:rsidRPr="005C13E1">
        <w:rPr>
          <w:rFonts w:cstheme="minorHAnsi"/>
          <w:b/>
          <w:bCs/>
        </w:rPr>
        <w:t xml:space="preserve">a </w:t>
      </w:r>
      <w:r w:rsidR="002E0046" w:rsidRPr="005C13E1">
        <w:rPr>
          <w:rFonts w:cstheme="minorHAnsi"/>
          <w:b/>
          <w:bCs/>
        </w:rPr>
        <w:t>union de</w:t>
      </w:r>
      <w:r w:rsidRPr="005C13E1">
        <w:rPr>
          <w:rFonts w:cstheme="minorHAnsi"/>
          <w:b/>
          <w:bCs/>
        </w:rPr>
        <w:t xml:space="preserve">fault </w:t>
      </w:r>
    </w:p>
    <w:p w14:paraId="785F07C1" w14:textId="77777777" w:rsidR="005C13E1" w:rsidRDefault="005C13E1" w:rsidP="005C13E1">
      <w:pPr>
        <w:spacing w:after="0" w:line="240" w:lineRule="auto"/>
        <w:jc w:val="both"/>
        <w:rPr>
          <w:rFonts w:cstheme="minorHAnsi"/>
        </w:rPr>
      </w:pPr>
    </w:p>
    <w:p w14:paraId="2853DCBC" w14:textId="659AF505" w:rsidR="00B208A4" w:rsidRPr="000A20E2" w:rsidRDefault="00696A07" w:rsidP="005C13E1">
      <w:pPr>
        <w:spacing w:after="0" w:line="240" w:lineRule="auto"/>
        <w:jc w:val="both"/>
        <w:rPr>
          <w:rFonts w:cstheme="minorHAnsi"/>
          <w:b/>
          <w:bCs/>
        </w:rPr>
      </w:pPr>
      <w:r w:rsidRPr="000A20E2">
        <w:rPr>
          <w:rFonts w:cstheme="minorHAnsi"/>
        </w:rPr>
        <w:t>Introducing a</w:t>
      </w:r>
      <w:r w:rsidR="00480102" w:rsidRPr="000A20E2">
        <w:rPr>
          <w:rFonts w:cstheme="minorHAnsi"/>
        </w:rPr>
        <w:t xml:space="preserve"> union default co</w:t>
      </w:r>
      <w:r w:rsidR="00197376" w:rsidRPr="000A20E2">
        <w:rPr>
          <w:rFonts w:cstheme="minorHAnsi"/>
        </w:rPr>
        <w:t xml:space="preserve">uld have major positive </w:t>
      </w:r>
      <w:r w:rsidR="00480102" w:rsidRPr="000A20E2">
        <w:rPr>
          <w:rFonts w:cstheme="minorHAnsi"/>
        </w:rPr>
        <w:t>effects on membership levels</w:t>
      </w:r>
      <w:r w:rsidR="001D557B" w:rsidRPr="000A20E2">
        <w:rPr>
          <w:rFonts w:cstheme="minorHAnsi"/>
        </w:rPr>
        <w:t xml:space="preserve"> </w:t>
      </w:r>
      <w:r w:rsidR="00A32BC3" w:rsidRPr="000A20E2">
        <w:rPr>
          <w:rFonts w:cstheme="minorHAnsi"/>
        </w:rPr>
        <w:t xml:space="preserve">via </w:t>
      </w:r>
      <w:r w:rsidR="00197376" w:rsidRPr="000A20E2">
        <w:rPr>
          <w:rFonts w:cstheme="minorHAnsi"/>
        </w:rPr>
        <w:t>switching costs, inertia, social norms, and loss aversion.</w:t>
      </w:r>
      <w:r w:rsidR="001065A3" w:rsidRPr="000A20E2">
        <w:rPr>
          <w:rFonts w:cstheme="minorHAnsi"/>
        </w:rPr>
        <w:t xml:space="preserve"> </w:t>
      </w:r>
      <w:r w:rsidR="00210F67" w:rsidRPr="000A20E2">
        <w:rPr>
          <w:rFonts w:cstheme="minorHAnsi"/>
        </w:rPr>
        <w:t>First, a</w:t>
      </w:r>
      <w:r w:rsidR="005F67E1" w:rsidRPr="000A20E2">
        <w:rPr>
          <w:rFonts w:cstheme="minorHAnsi"/>
        </w:rPr>
        <w:t xml:space="preserve"> union default would encourage workers to join by r</w:t>
      </w:r>
      <w:r w:rsidR="00210F67" w:rsidRPr="000A20E2">
        <w:rPr>
          <w:rFonts w:cstheme="minorHAnsi"/>
        </w:rPr>
        <w:t>educing</w:t>
      </w:r>
      <w:r w:rsidR="005F67E1" w:rsidRPr="000A20E2">
        <w:rPr>
          <w:rFonts w:cstheme="minorHAnsi"/>
        </w:rPr>
        <w:t xml:space="preserve"> switching costs.</w:t>
      </w:r>
      <w:r w:rsidR="001065A3" w:rsidRPr="000A20E2">
        <w:rPr>
          <w:rFonts w:cstheme="minorHAnsi"/>
        </w:rPr>
        <w:t xml:space="preserve"> </w:t>
      </w:r>
      <w:r w:rsidR="00E51CB0" w:rsidRPr="000A20E2">
        <w:rPr>
          <w:rFonts w:cstheme="minorHAnsi"/>
        </w:rPr>
        <w:t>S</w:t>
      </w:r>
      <w:r w:rsidR="00492130" w:rsidRPr="000A20E2">
        <w:rPr>
          <w:rFonts w:cstheme="minorHAnsi"/>
        </w:rPr>
        <w:t xml:space="preserve">witching costs are low when a </w:t>
      </w:r>
      <w:r w:rsidR="00D6645D" w:rsidRPr="000A20E2">
        <w:rPr>
          <w:rFonts w:cstheme="minorHAnsi"/>
        </w:rPr>
        <w:t xml:space="preserve">union </w:t>
      </w:r>
      <w:r w:rsidRPr="000A20E2">
        <w:rPr>
          <w:rFonts w:cstheme="minorHAnsi"/>
        </w:rPr>
        <w:t xml:space="preserve">is </w:t>
      </w:r>
      <w:r w:rsidR="00D6645D" w:rsidRPr="000A20E2">
        <w:rPr>
          <w:rFonts w:cstheme="minorHAnsi"/>
        </w:rPr>
        <w:t xml:space="preserve">present </w:t>
      </w:r>
      <w:r w:rsidRPr="000A20E2">
        <w:rPr>
          <w:rFonts w:cstheme="minorHAnsi"/>
        </w:rPr>
        <w:t xml:space="preserve">in the workplace </w:t>
      </w:r>
      <w:r w:rsidR="00492130" w:rsidRPr="000A20E2">
        <w:rPr>
          <w:rFonts w:cstheme="minorHAnsi"/>
        </w:rPr>
        <w:t>to join</w:t>
      </w:r>
      <w:r w:rsidRPr="000A20E2">
        <w:rPr>
          <w:rFonts w:cstheme="minorHAnsi"/>
        </w:rPr>
        <w:t>.</w:t>
      </w:r>
      <w:r w:rsidR="001065A3" w:rsidRPr="000A20E2">
        <w:rPr>
          <w:rFonts w:cstheme="minorHAnsi"/>
        </w:rPr>
        <w:t xml:space="preserve"> </w:t>
      </w:r>
      <w:r w:rsidRPr="000A20E2">
        <w:rPr>
          <w:rFonts w:cstheme="minorHAnsi"/>
        </w:rPr>
        <w:t>A</w:t>
      </w:r>
      <w:r w:rsidR="00AA23C2" w:rsidRPr="000A20E2">
        <w:rPr>
          <w:rFonts w:cstheme="minorHAnsi"/>
        </w:rPr>
        <w:t xml:space="preserve"> </w:t>
      </w:r>
      <w:r w:rsidR="00492130" w:rsidRPr="000A20E2">
        <w:rPr>
          <w:rFonts w:cstheme="minorHAnsi"/>
        </w:rPr>
        <w:t xml:space="preserve">union default makes it </w:t>
      </w:r>
      <w:r w:rsidR="00210F67" w:rsidRPr="000A20E2">
        <w:rPr>
          <w:rFonts w:cstheme="minorHAnsi"/>
        </w:rPr>
        <w:t>easier</w:t>
      </w:r>
      <w:r w:rsidR="00492130" w:rsidRPr="000A20E2">
        <w:rPr>
          <w:rFonts w:cstheme="minorHAnsi"/>
        </w:rPr>
        <w:t xml:space="preserve"> to establish</w:t>
      </w:r>
      <w:r w:rsidRPr="000A20E2">
        <w:rPr>
          <w:rFonts w:cstheme="minorHAnsi"/>
        </w:rPr>
        <w:t xml:space="preserve"> and maintain</w:t>
      </w:r>
      <w:r w:rsidR="00492130" w:rsidRPr="000A20E2">
        <w:rPr>
          <w:rFonts w:cstheme="minorHAnsi"/>
        </w:rPr>
        <w:t xml:space="preserve"> a union presence</w:t>
      </w:r>
      <w:r w:rsidRPr="000A20E2">
        <w:rPr>
          <w:rFonts w:cstheme="minorHAnsi"/>
        </w:rPr>
        <w:t xml:space="preserve"> through the passive recruitment of </w:t>
      </w:r>
      <w:r w:rsidR="00AA23C2" w:rsidRPr="000A20E2">
        <w:rPr>
          <w:rFonts w:cstheme="minorHAnsi"/>
        </w:rPr>
        <w:t xml:space="preserve">a critical </w:t>
      </w:r>
      <w:r w:rsidRPr="000A20E2">
        <w:rPr>
          <w:rFonts w:cstheme="minorHAnsi"/>
        </w:rPr>
        <w:t>m</w:t>
      </w:r>
      <w:r w:rsidR="00E94C5E" w:rsidRPr="000A20E2">
        <w:rPr>
          <w:rFonts w:cstheme="minorHAnsi"/>
        </w:rPr>
        <w:t>ass of members</w:t>
      </w:r>
      <w:r w:rsidRPr="000A20E2">
        <w:rPr>
          <w:rFonts w:cstheme="minorHAnsi"/>
        </w:rPr>
        <w:t xml:space="preserve"> needed to achieve</w:t>
      </w:r>
      <w:r w:rsidR="001065A3" w:rsidRPr="000A20E2">
        <w:rPr>
          <w:rFonts w:cstheme="minorHAnsi"/>
        </w:rPr>
        <w:t xml:space="preserve"> </w:t>
      </w:r>
      <w:r w:rsidR="0049564B" w:rsidRPr="000A20E2">
        <w:rPr>
          <w:rFonts w:cstheme="minorHAnsi"/>
        </w:rPr>
        <w:t xml:space="preserve">economies of scale </w:t>
      </w:r>
      <w:r w:rsidRPr="000A20E2">
        <w:rPr>
          <w:rFonts w:cstheme="minorHAnsi"/>
        </w:rPr>
        <w:t>and assure effectiveness</w:t>
      </w:r>
      <w:r w:rsidR="00AA23C2" w:rsidRPr="000A20E2">
        <w:rPr>
          <w:rFonts w:cstheme="minorHAnsi"/>
        </w:rPr>
        <w:t>.</w:t>
      </w:r>
      <w:r w:rsidR="004920B0" w:rsidRPr="000A20E2">
        <w:rPr>
          <w:rFonts w:cstheme="minorHAnsi"/>
        </w:rPr>
        <w:t xml:space="preserve"> </w:t>
      </w:r>
      <w:r w:rsidR="00D6645D" w:rsidRPr="000A20E2">
        <w:rPr>
          <w:rFonts w:cstheme="minorHAnsi"/>
        </w:rPr>
        <w:t>O</w:t>
      </w:r>
      <w:r w:rsidR="00AA23C2" w:rsidRPr="000A20E2">
        <w:rPr>
          <w:rFonts w:cstheme="minorHAnsi"/>
        </w:rPr>
        <w:t>perationalis</w:t>
      </w:r>
      <w:r w:rsidR="00D6645D" w:rsidRPr="000A20E2">
        <w:rPr>
          <w:rFonts w:cstheme="minorHAnsi"/>
        </w:rPr>
        <w:t xml:space="preserve">ing this </w:t>
      </w:r>
      <w:r w:rsidR="00AA23C2" w:rsidRPr="000A20E2">
        <w:rPr>
          <w:rFonts w:cstheme="minorHAnsi"/>
        </w:rPr>
        <w:t xml:space="preserve">is </w:t>
      </w:r>
      <w:r w:rsidR="00D6645D" w:rsidRPr="000A20E2">
        <w:rPr>
          <w:rFonts w:cstheme="minorHAnsi"/>
        </w:rPr>
        <w:t>examined below</w:t>
      </w:r>
      <w:r w:rsidR="00AA23C2" w:rsidRPr="000A20E2">
        <w:rPr>
          <w:rFonts w:cstheme="minorHAnsi"/>
        </w:rPr>
        <w:t>.</w:t>
      </w:r>
      <w:r w:rsidR="005A77B4" w:rsidRPr="000A20E2">
        <w:rPr>
          <w:rFonts w:cstheme="minorHAnsi"/>
        </w:rPr>
        <w:t xml:space="preserve"> </w:t>
      </w:r>
      <w:r w:rsidR="00210F67" w:rsidRPr="000A20E2">
        <w:rPr>
          <w:rFonts w:cstheme="minorHAnsi"/>
        </w:rPr>
        <w:t xml:space="preserve">Second, there </w:t>
      </w:r>
      <w:r w:rsidR="00786D32" w:rsidRPr="000A20E2">
        <w:rPr>
          <w:rFonts w:cstheme="minorHAnsi"/>
        </w:rPr>
        <w:t>i</w:t>
      </w:r>
      <w:r w:rsidR="00DC0558" w:rsidRPr="000A20E2">
        <w:rPr>
          <w:rFonts w:cstheme="minorHAnsi"/>
        </w:rPr>
        <w:t xml:space="preserve">s also likely to be </w:t>
      </w:r>
      <w:r w:rsidR="00DC0558" w:rsidRPr="000A20E2">
        <w:rPr>
          <w:rFonts w:cstheme="minorHAnsi"/>
          <w:i/>
          <w:iCs/>
        </w:rPr>
        <w:t>inertia</w:t>
      </w:r>
      <w:r w:rsidR="005A77B4" w:rsidRPr="000A20E2">
        <w:rPr>
          <w:rFonts w:cstheme="minorHAnsi"/>
          <w:i/>
          <w:iCs/>
        </w:rPr>
        <w:t xml:space="preserve"> </w:t>
      </w:r>
      <w:r w:rsidR="00DC0558" w:rsidRPr="000A20E2">
        <w:rPr>
          <w:rFonts w:cstheme="minorHAnsi"/>
        </w:rPr>
        <w:t>in a union default, because of the on</w:t>
      </w:r>
      <w:r w:rsidR="00786D32" w:rsidRPr="000A20E2">
        <w:rPr>
          <w:rFonts w:cstheme="minorHAnsi"/>
        </w:rPr>
        <w:t>-</w:t>
      </w:r>
      <w:r w:rsidR="00DC0558" w:rsidRPr="000A20E2">
        <w:rPr>
          <w:rFonts w:cstheme="minorHAnsi"/>
        </w:rPr>
        <w:t>going complexities associated with any decision to join</w:t>
      </w:r>
      <w:r w:rsidR="00BB4AA9" w:rsidRPr="000A20E2">
        <w:rPr>
          <w:rFonts w:cstheme="minorHAnsi"/>
        </w:rPr>
        <w:t xml:space="preserve"> </w:t>
      </w:r>
      <w:r w:rsidR="002E0046" w:rsidRPr="000A20E2">
        <w:rPr>
          <w:rFonts w:cstheme="minorHAnsi"/>
        </w:rPr>
        <w:t xml:space="preserve">or not join </w:t>
      </w:r>
      <w:r w:rsidR="00DC0558" w:rsidRPr="000A20E2">
        <w:rPr>
          <w:rFonts w:cstheme="minorHAnsi"/>
        </w:rPr>
        <w:t>a union.</w:t>
      </w:r>
      <w:r w:rsidR="005A77B4" w:rsidRPr="000A20E2">
        <w:rPr>
          <w:rFonts w:cstheme="minorHAnsi"/>
        </w:rPr>
        <w:t xml:space="preserve"> </w:t>
      </w:r>
      <w:r w:rsidR="00BB1894" w:rsidRPr="000A20E2">
        <w:rPr>
          <w:rFonts w:cstheme="minorHAnsi"/>
        </w:rPr>
        <w:t>Specifically,</w:t>
      </w:r>
      <w:r w:rsidR="005A77B4" w:rsidRPr="000A20E2">
        <w:rPr>
          <w:rFonts w:cstheme="minorHAnsi"/>
        </w:rPr>
        <w:t xml:space="preserve"> </w:t>
      </w:r>
      <w:r w:rsidR="00BB1894" w:rsidRPr="000A20E2">
        <w:rPr>
          <w:rFonts w:cstheme="minorHAnsi"/>
        </w:rPr>
        <w:t>the choice of the default</w:t>
      </w:r>
      <w:r w:rsidR="005A77B4" w:rsidRPr="000A20E2">
        <w:rPr>
          <w:rFonts w:cstheme="minorHAnsi"/>
        </w:rPr>
        <w:t xml:space="preserve"> </w:t>
      </w:r>
      <w:r w:rsidR="00BB1894" w:rsidRPr="000A20E2">
        <w:rPr>
          <w:rFonts w:cstheme="minorHAnsi"/>
        </w:rPr>
        <w:t>does</w:t>
      </w:r>
      <w:r w:rsidR="002E0046" w:rsidRPr="000A20E2">
        <w:rPr>
          <w:rFonts w:cstheme="minorHAnsi"/>
        </w:rPr>
        <w:t xml:space="preserve"> </w:t>
      </w:r>
      <w:r w:rsidR="00BB1894" w:rsidRPr="000A20E2">
        <w:rPr>
          <w:rFonts w:cstheme="minorHAnsi"/>
        </w:rPr>
        <w:t>n</w:t>
      </w:r>
      <w:r w:rsidR="002E0046" w:rsidRPr="000A20E2">
        <w:rPr>
          <w:rFonts w:cstheme="minorHAnsi"/>
        </w:rPr>
        <w:t>o</w:t>
      </w:r>
      <w:r w:rsidR="00BB1894" w:rsidRPr="000A20E2">
        <w:rPr>
          <w:rFonts w:cstheme="minorHAnsi"/>
        </w:rPr>
        <w:t xml:space="preserve">t make it </w:t>
      </w:r>
      <w:r w:rsidR="00210F67" w:rsidRPr="000A20E2">
        <w:rPr>
          <w:rFonts w:cstheme="minorHAnsi"/>
        </w:rPr>
        <w:t>less difficult</w:t>
      </w:r>
      <w:r w:rsidR="00BB1894" w:rsidRPr="000A20E2">
        <w:rPr>
          <w:rFonts w:cstheme="minorHAnsi"/>
        </w:rPr>
        <w:t xml:space="preserve"> to assess the various ‘purchase’ dimensions of membership.</w:t>
      </w:r>
      <w:r w:rsidR="004920B0" w:rsidRPr="000A20E2">
        <w:rPr>
          <w:rFonts w:cstheme="minorHAnsi"/>
        </w:rPr>
        <w:t xml:space="preserve"> </w:t>
      </w:r>
      <w:r w:rsidR="00BB1894" w:rsidRPr="000A20E2">
        <w:rPr>
          <w:rFonts w:cstheme="minorHAnsi"/>
        </w:rPr>
        <w:t xml:space="preserve">Uncertainties about whether joining </w:t>
      </w:r>
      <w:r w:rsidR="00804645" w:rsidRPr="000A20E2">
        <w:rPr>
          <w:rFonts w:cstheme="minorHAnsi"/>
        </w:rPr>
        <w:t xml:space="preserve">a union </w:t>
      </w:r>
      <w:r w:rsidR="00BB4AA9" w:rsidRPr="000A20E2">
        <w:rPr>
          <w:rFonts w:cstheme="minorHAnsi"/>
        </w:rPr>
        <w:t>is going to be beneficial</w:t>
      </w:r>
      <w:r w:rsidR="002E0046" w:rsidRPr="000A20E2">
        <w:rPr>
          <w:rFonts w:cstheme="minorHAnsi"/>
        </w:rPr>
        <w:t xml:space="preserve"> overall</w:t>
      </w:r>
      <w:r w:rsidR="00BB1894" w:rsidRPr="000A20E2">
        <w:rPr>
          <w:rFonts w:cstheme="minorHAnsi"/>
        </w:rPr>
        <w:t xml:space="preserve"> are likely to result </w:t>
      </w:r>
      <w:r w:rsidR="00BB1894" w:rsidRPr="003A7F6F">
        <w:rPr>
          <w:rFonts w:cstheme="minorHAnsi"/>
        </w:rPr>
        <w:t xml:space="preserve">in </w:t>
      </w:r>
      <w:r w:rsidR="00BB1894" w:rsidRPr="003A7F6F">
        <w:rPr>
          <w:rFonts w:cstheme="minorHAnsi"/>
          <w:iCs/>
        </w:rPr>
        <w:t>choice deferral</w:t>
      </w:r>
      <w:r w:rsidR="00BB1894" w:rsidRPr="003A7F6F">
        <w:rPr>
          <w:rFonts w:cstheme="minorHAnsi"/>
        </w:rPr>
        <w:t xml:space="preserve"> and </w:t>
      </w:r>
      <w:r w:rsidR="00BB1894" w:rsidRPr="003A7F6F">
        <w:rPr>
          <w:rFonts w:cstheme="minorHAnsi"/>
          <w:iCs/>
        </w:rPr>
        <w:t>inaction inertia,</w:t>
      </w:r>
      <w:r w:rsidR="00BB1894" w:rsidRPr="000A20E2">
        <w:rPr>
          <w:rFonts w:cstheme="minorHAnsi"/>
          <w:i/>
          <w:iCs/>
        </w:rPr>
        <w:t xml:space="preserve"> </w:t>
      </w:r>
      <w:r w:rsidR="00BB1894" w:rsidRPr="000A20E2">
        <w:rPr>
          <w:rFonts w:cstheme="minorHAnsi"/>
        </w:rPr>
        <w:t>where at least some workers, unsure of what choice to make, temporarily or permanently avoid making any choice at all.</w:t>
      </w:r>
      <w:r w:rsidR="005A77B4" w:rsidRPr="000A20E2">
        <w:rPr>
          <w:rFonts w:cstheme="minorHAnsi"/>
        </w:rPr>
        <w:t xml:space="preserve"> </w:t>
      </w:r>
      <w:r w:rsidR="00BB1894" w:rsidRPr="000A20E2">
        <w:rPr>
          <w:rFonts w:cstheme="minorHAnsi"/>
        </w:rPr>
        <w:t xml:space="preserve">However, with a union default, inertia would mean continued membership in a </w:t>
      </w:r>
      <w:r w:rsidR="00243EF8" w:rsidRPr="000A20E2">
        <w:rPr>
          <w:rFonts w:cstheme="minorHAnsi"/>
        </w:rPr>
        <w:t xml:space="preserve">default </w:t>
      </w:r>
      <w:r w:rsidR="00BB1894" w:rsidRPr="000A20E2">
        <w:rPr>
          <w:rFonts w:cstheme="minorHAnsi"/>
        </w:rPr>
        <w:t>union</w:t>
      </w:r>
      <w:r w:rsidR="00243EF8" w:rsidRPr="000A20E2">
        <w:rPr>
          <w:rFonts w:cstheme="minorHAnsi"/>
        </w:rPr>
        <w:t>,</w:t>
      </w:r>
      <w:r w:rsidR="00BB1894" w:rsidRPr="000A20E2">
        <w:rPr>
          <w:rFonts w:cstheme="minorHAnsi"/>
        </w:rPr>
        <w:t xml:space="preserve"> until a worker actively </w:t>
      </w:r>
      <w:r w:rsidR="00243EF8" w:rsidRPr="000A20E2">
        <w:rPr>
          <w:rFonts w:cstheme="minorHAnsi"/>
        </w:rPr>
        <w:t>chose to affiliat</w:t>
      </w:r>
      <w:r w:rsidR="00BB4AA9" w:rsidRPr="000A20E2">
        <w:rPr>
          <w:rFonts w:cstheme="minorHAnsi"/>
        </w:rPr>
        <w:t>e with a different union or no</w:t>
      </w:r>
      <w:r w:rsidR="0020545B" w:rsidRPr="000A20E2">
        <w:rPr>
          <w:rFonts w:cstheme="minorHAnsi"/>
        </w:rPr>
        <w:t xml:space="preserve"> union</w:t>
      </w:r>
      <w:r w:rsidR="00BB4AA9" w:rsidRPr="000A20E2">
        <w:rPr>
          <w:rFonts w:cstheme="minorHAnsi"/>
        </w:rPr>
        <w:t xml:space="preserve"> at all</w:t>
      </w:r>
      <w:r w:rsidR="00243EF8" w:rsidRPr="000A20E2">
        <w:rPr>
          <w:rFonts w:cstheme="minorHAnsi"/>
        </w:rPr>
        <w:t>.</w:t>
      </w:r>
      <w:r w:rsidR="001065A3" w:rsidRPr="000A20E2">
        <w:rPr>
          <w:rFonts w:cstheme="minorHAnsi"/>
        </w:rPr>
        <w:t xml:space="preserve"> </w:t>
      </w:r>
      <w:r w:rsidR="00210F67" w:rsidRPr="000A20E2">
        <w:rPr>
          <w:rFonts w:cstheme="minorHAnsi"/>
        </w:rPr>
        <w:t>Third, a</w:t>
      </w:r>
      <w:r w:rsidR="00FE229C" w:rsidRPr="000A20E2">
        <w:rPr>
          <w:rFonts w:cstheme="minorHAnsi"/>
        </w:rPr>
        <w:t xml:space="preserve"> union default might also communicate new information about </w:t>
      </w:r>
      <w:r w:rsidR="00FE229C" w:rsidRPr="003A7F6F">
        <w:rPr>
          <w:rFonts w:cstheme="minorHAnsi"/>
          <w:iCs/>
        </w:rPr>
        <w:t>social norms</w:t>
      </w:r>
      <w:r w:rsidR="00FE229C" w:rsidRPr="003A7F6F">
        <w:rPr>
          <w:rFonts w:cstheme="minorHAnsi"/>
        </w:rPr>
        <w:t xml:space="preserve">, </w:t>
      </w:r>
      <w:r w:rsidR="00FE229C" w:rsidRPr="000A20E2">
        <w:rPr>
          <w:rFonts w:cstheme="minorHAnsi"/>
        </w:rPr>
        <w:t>which would then affect membership levels.</w:t>
      </w:r>
      <w:r w:rsidR="005A77B4" w:rsidRPr="000A20E2">
        <w:rPr>
          <w:rFonts w:cstheme="minorHAnsi"/>
        </w:rPr>
        <w:t xml:space="preserve"> </w:t>
      </w:r>
      <w:r w:rsidR="00FE229C" w:rsidRPr="000A20E2">
        <w:rPr>
          <w:rFonts w:cstheme="minorHAnsi"/>
        </w:rPr>
        <w:t xml:space="preserve">It might be seen as </w:t>
      </w:r>
      <w:r w:rsidR="00170322" w:rsidRPr="000A20E2">
        <w:rPr>
          <w:rFonts w:cstheme="minorHAnsi"/>
        </w:rPr>
        <w:t xml:space="preserve">an </w:t>
      </w:r>
      <w:r w:rsidR="002E0046" w:rsidRPr="000A20E2">
        <w:rPr>
          <w:rFonts w:cstheme="minorHAnsi"/>
        </w:rPr>
        <w:t xml:space="preserve">indication the state, </w:t>
      </w:r>
      <w:r w:rsidR="00FE229C" w:rsidRPr="000A20E2">
        <w:rPr>
          <w:rFonts w:cstheme="minorHAnsi"/>
        </w:rPr>
        <w:t>and so</w:t>
      </w:r>
      <w:r w:rsidR="00804645" w:rsidRPr="000A20E2">
        <w:rPr>
          <w:rFonts w:cstheme="minorHAnsi"/>
        </w:rPr>
        <w:t>ciety</w:t>
      </w:r>
      <w:r w:rsidR="002E0046" w:rsidRPr="000A20E2">
        <w:rPr>
          <w:rFonts w:cstheme="minorHAnsi"/>
        </w:rPr>
        <w:t xml:space="preserve">, </w:t>
      </w:r>
      <w:r w:rsidR="00FE229C" w:rsidRPr="000A20E2">
        <w:rPr>
          <w:rFonts w:cstheme="minorHAnsi"/>
        </w:rPr>
        <w:t xml:space="preserve">favour union membership as a choice that people </w:t>
      </w:r>
      <w:r w:rsidR="00FE229C" w:rsidRPr="003A7F6F">
        <w:rPr>
          <w:rFonts w:cstheme="minorHAnsi"/>
          <w:iCs/>
        </w:rPr>
        <w:t>ought</w:t>
      </w:r>
      <w:r w:rsidR="00FE229C" w:rsidRPr="000A20E2">
        <w:rPr>
          <w:rFonts w:cstheme="minorHAnsi"/>
          <w:i/>
          <w:iCs/>
        </w:rPr>
        <w:t xml:space="preserve"> </w:t>
      </w:r>
      <w:r w:rsidR="00FE229C" w:rsidRPr="000A20E2">
        <w:rPr>
          <w:rFonts w:cstheme="minorHAnsi"/>
        </w:rPr>
        <w:t>to make.</w:t>
      </w:r>
      <w:r w:rsidR="005A77B4" w:rsidRPr="000A20E2">
        <w:rPr>
          <w:rFonts w:cstheme="minorHAnsi"/>
        </w:rPr>
        <w:t xml:space="preserve"> </w:t>
      </w:r>
      <w:r w:rsidR="00FE229C" w:rsidRPr="000A20E2">
        <w:rPr>
          <w:rFonts w:cstheme="minorHAnsi"/>
        </w:rPr>
        <w:t>It might also be viewed as signal</w:t>
      </w:r>
      <w:r w:rsidR="006271CF" w:rsidRPr="000A20E2">
        <w:rPr>
          <w:rFonts w:cstheme="minorHAnsi"/>
        </w:rPr>
        <w:t xml:space="preserve">ling most workers </w:t>
      </w:r>
      <w:r w:rsidR="00FE229C" w:rsidRPr="000A20E2">
        <w:rPr>
          <w:rFonts w:cstheme="minorHAnsi"/>
        </w:rPr>
        <w:t xml:space="preserve">favoured unionisation, </w:t>
      </w:r>
      <w:r w:rsidR="00E13201" w:rsidRPr="000A20E2">
        <w:rPr>
          <w:rFonts w:cstheme="minorHAnsi"/>
        </w:rPr>
        <w:t xml:space="preserve">perhaps </w:t>
      </w:r>
      <w:r w:rsidR="00FE229C" w:rsidRPr="000A20E2">
        <w:rPr>
          <w:rFonts w:cstheme="minorHAnsi"/>
        </w:rPr>
        <w:t>on a reassessment that benefits outweighed costs.</w:t>
      </w:r>
      <w:r w:rsidR="005A77B4" w:rsidRPr="000A20E2">
        <w:rPr>
          <w:rFonts w:cstheme="minorHAnsi"/>
        </w:rPr>
        <w:t xml:space="preserve"> </w:t>
      </w:r>
      <w:r w:rsidR="00FE229C" w:rsidRPr="000A20E2">
        <w:rPr>
          <w:rFonts w:cstheme="minorHAnsi"/>
        </w:rPr>
        <w:t>In either case, a union default might convey strong positive messages about the general desirability of membership, which would prompt</w:t>
      </w:r>
      <w:r w:rsidR="00804645" w:rsidRPr="000A20E2">
        <w:rPr>
          <w:rFonts w:cstheme="minorHAnsi"/>
        </w:rPr>
        <w:t xml:space="preserve"> more to join</w:t>
      </w:r>
      <w:r w:rsidR="00FE229C" w:rsidRPr="000A20E2">
        <w:rPr>
          <w:rFonts w:cstheme="minorHAnsi"/>
        </w:rPr>
        <w:t>.</w:t>
      </w:r>
      <w:r w:rsidR="005A77B4" w:rsidRPr="000A20E2">
        <w:rPr>
          <w:rFonts w:cstheme="minorHAnsi"/>
        </w:rPr>
        <w:t xml:space="preserve"> </w:t>
      </w:r>
      <w:r w:rsidR="00B208A4" w:rsidRPr="000A20E2">
        <w:rPr>
          <w:rFonts w:cstheme="minorHAnsi"/>
        </w:rPr>
        <w:t>Finally, a union default might help redefine the reference point for estimating ‘gains’ and ‘losses’ in any decision about membership.</w:t>
      </w:r>
      <w:r w:rsidR="005A77B4" w:rsidRPr="000A20E2">
        <w:rPr>
          <w:rFonts w:cstheme="minorHAnsi"/>
        </w:rPr>
        <w:t xml:space="preserve"> </w:t>
      </w:r>
      <w:r w:rsidR="00B208A4" w:rsidRPr="000A20E2">
        <w:rPr>
          <w:rFonts w:cstheme="minorHAnsi"/>
        </w:rPr>
        <w:t xml:space="preserve">A union default defines membership as the </w:t>
      </w:r>
      <w:r w:rsidR="00B208A4" w:rsidRPr="000A20E2">
        <w:rPr>
          <w:rFonts w:cstheme="minorHAnsi"/>
          <w:i/>
          <w:iCs/>
        </w:rPr>
        <w:t>status quo</w:t>
      </w:r>
      <w:r w:rsidR="00BB4AA9" w:rsidRPr="000A20E2">
        <w:rPr>
          <w:rFonts w:cstheme="minorHAnsi"/>
        </w:rPr>
        <w:t xml:space="preserve"> and </w:t>
      </w:r>
      <w:r w:rsidR="00B208A4" w:rsidRPr="000A20E2">
        <w:rPr>
          <w:rFonts w:cstheme="minorHAnsi"/>
        </w:rPr>
        <w:t>non-union status as a change from this.</w:t>
      </w:r>
      <w:r w:rsidR="005A77B4" w:rsidRPr="000A20E2">
        <w:rPr>
          <w:rFonts w:cstheme="minorHAnsi"/>
        </w:rPr>
        <w:t xml:space="preserve"> </w:t>
      </w:r>
      <w:r w:rsidR="00B208A4" w:rsidRPr="000A20E2">
        <w:rPr>
          <w:rFonts w:cstheme="minorHAnsi"/>
        </w:rPr>
        <w:t xml:space="preserve">Thus, moving to non-union status involves ‘gains’ and </w:t>
      </w:r>
      <w:r w:rsidR="00BB4AA9" w:rsidRPr="000A20E2">
        <w:rPr>
          <w:rFonts w:cstheme="minorHAnsi"/>
        </w:rPr>
        <w:t>relinquishing</w:t>
      </w:r>
      <w:r w:rsidR="00B208A4" w:rsidRPr="000A20E2">
        <w:rPr>
          <w:rFonts w:cstheme="minorHAnsi"/>
        </w:rPr>
        <w:t xml:space="preserve"> union membership involves ‘losses’, where losses are typically given twice the importance of equivalent gains.</w:t>
      </w:r>
      <w:r w:rsidR="004920B0" w:rsidRPr="000A20E2">
        <w:rPr>
          <w:rFonts w:cstheme="minorHAnsi"/>
        </w:rPr>
        <w:t xml:space="preserve"> </w:t>
      </w:r>
      <w:r w:rsidR="00B208A4" w:rsidRPr="000A20E2">
        <w:rPr>
          <w:rFonts w:cstheme="minorHAnsi"/>
        </w:rPr>
        <w:t>With this perspective, workers woul</w:t>
      </w:r>
      <w:r w:rsidR="006271CF" w:rsidRPr="000A20E2">
        <w:rPr>
          <w:rFonts w:cstheme="minorHAnsi"/>
        </w:rPr>
        <w:t>d be reluctant to sacrifice</w:t>
      </w:r>
      <w:r w:rsidR="00210F67" w:rsidRPr="000A20E2">
        <w:rPr>
          <w:rFonts w:cstheme="minorHAnsi"/>
        </w:rPr>
        <w:t xml:space="preserve"> the</w:t>
      </w:r>
      <w:r w:rsidR="006271CF" w:rsidRPr="000A20E2">
        <w:rPr>
          <w:rFonts w:cstheme="minorHAnsi"/>
        </w:rPr>
        <w:t xml:space="preserve"> </w:t>
      </w:r>
      <w:r w:rsidR="00B208A4" w:rsidRPr="000A20E2">
        <w:rPr>
          <w:rFonts w:cstheme="minorHAnsi"/>
        </w:rPr>
        <w:t>‘</w:t>
      </w:r>
      <w:proofErr w:type="gramStart"/>
      <w:r w:rsidR="00B208A4" w:rsidRPr="000A20E2">
        <w:rPr>
          <w:rFonts w:cstheme="minorHAnsi"/>
        </w:rPr>
        <w:t>loss’</w:t>
      </w:r>
      <w:proofErr w:type="gramEnd"/>
      <w:r w:rsidR="00B208A4" w:rsidRPr="000A20E2">
        <w:rPr>
          <w:rFonts w:cstheme="minorHAnsi"/>
        </w:rPr>
        <w:t xml:space="preserve"> of union services in return for </w:t>
      </w:r>
      <w:r w:rsidR="00210F67" w:rsidRPr="000A20E2">
        <w:rPr>
          <w:rFonts w:cstheme="minorHAnsi"/>
        </w:rPr>
        <w:t xml:space="preserve">the </w:t>
      </w:r>
      <w:r w:rsidR="00B208A4" w:rsidRPr="000A20E2">
        <w:rPr>
          <w:rFonts w:cstheme="minorHAnsi"/>
        </w:rPr>
        <w:t>‘gain’ of dues available for other spending.</w:t>
      </w:r>
      <w:r w:rsidR="005A77B4" w:rsidRPr="000A20E2">
        <w:rPr>
          <w:rFonts w:cstheme="minorHAnsi"/>
        </w:rPr>
        <w:t xml:space="preserve"> </w:t>
      </w:r>
      <w:r w:rsidR="00B208A4" w:rsidRPr="000A20E2">
        <w:rPr>
          <w:rFonts w:cstheme="minorHAnsi"/>
        </w:rPr>
        <w:t xml:space="preserve">Any ‘gains’ would have to be roughly twice as high as the ‘losses’ to justify a switch to </w:t>
      </w:r>
      <w:r w:rsidR="004411BE" w:rsidRPr="000A20E2">
        <w:rPr>
          <w:rFonts w:cstheme="minorHAnsi"/>
        </w:rPr>
        <w:t xml:space="preserve">being </w:t>
      </w:r>
      <w:proofErr w:type="gramStart"/>
      <w:r w:rsidR="00B208A4" w:rsidRPr="000A20E2">
        <w:rPr>
          <w:rFonts w:cstheme="minorHAnsi"/>
        </w:rPr>
        <w:t>non-union,</w:t>
      </w:r>
      <w:proofErr w:type="gramEnd"/>
      <w:r w:rsidR="00B208A4" w:rsidRPr="000A20E2">
        <w:rPr>
          <w:rFonts w:cstheme="minorHAnsi"/>
        </w:rPr>
        <w:t xml:space="preserve"> and so most workers would stay with their default union.</w:t>
      </w:r>
      <w:r w:rsidR="005A77B4" w:rsidRPr="000A20E2">
        <w:rPr>
          <w:rFonts w:cstheme="minorHAnsi"/>
        </w:rPr>
        <w:t xml:space="preserve"> </w:t>
      </w:r>
    </w:p>
    <w:p w14:paraId="3447CE2C" w14:textId="1AC60ABD" w:rsidR="00CA28AE" w:rsidRPr="000A20E2" w:rsidRDefault="002E0046" w:rsidP="000A20E2">
      <w:pPr>
        <w:spacing w:after="0" w:line="240" w:lineRule="auto"/>
        <w:ind w:firstLine="720"/>
        <w:jc w:val="both"/>
        <w:rPr>
          <w:rFonts w:cstheme="minorHAnsi"/>
        </w:rPr>
      </w:pPr>
      <w:r w:rsidRPr="000A20E2">
        <w:rPr>
          <w:rFonts w:cstheme="minorHAnsi"/>
        </w:rPr>
        <w:t>Out of these benefits</w:t>
      </w:r>
      <w:r w:rsidR="00C74E30" w:rsidRPr="000A20E2">
        <w:rPr>
          <w:rFonts w:cstheme="minorHAnsi"/>
        </w:rPr>
        <w:t>, further benefits c</w:t>
      </w:r>
      <w:r w:rsidRPr="000A20E2">
        <w:rPr>
          <w:rFonts w:cstheme="minorHAnsi"/>
        </w:rPr>
        <w:t xml:space="preserve">ould </w:t>
      </w:r>
      <w:r w:rsidR="00C74E30" w:rsidRPr="000A20E2">
        <w:rPr>
          <w:rFonts w:cstheme="minorHAnsi"/>
        </w:rPr>
        <w:t>be expected</w:t>
      </w:r>
      <w:r w:rsidRPr="000A20E2">
        <w:rPr>
          <w:rFonts w:cstheme="minorHAnsi"/>
        </w:rPr>
        <w:t>.</w:t>
      </w:r>
      <w:r w:rsidR="00C74E30" w:rsidRPr="000A20E2">
        <w:rPr>
          <w:rFonts w:cstheme="minorHAnsi"/>
        </w:rPr>
        <w:t xml:space="preserve"> A union default </w:t>
      </w:r>
      <w:r w:rsidR="0047066C" w:rsidRPr="000A20E2">
        <w:rPr>
          <w:rFonts w:cstheme="minorHAnsi"/>
        </w:rPr>
        <w:t xml:space="preserve">would help reduce </w:t>
      </w:r>
      <w:r w:rsidR="00AA504A" w:rsidRPr="000A20E2">
        <w:rPr>
          <w:rFonts w:cstheme="minorHAnsi"/>
        </w:rPr>
        <w:t>the costs</w:t>
      </w:r>
      <w:r w:rsidR="00C74E30" w:rsidRPr="000A20E2">
        <w:rPr>
          <w:rFonts w:cstheme="minorHAnsi"/>
        </w:rPr>
        <w:t xml:space="preserve"> of re-recruiting members who </w:t>
      </w:r>
      <w:proofErr w:type="gramStart"/>
      <w:r w:rsidR="00C74E30" w:rsidRPr="000A20E2">
        <w:rPr>
          <w:rFonts w:cstheme="minorHAnsi"/>
        </w:rPr>
        <w:t>lapsed</w:t>
      </w:r>
      <w:proofErr w:type="gramEnd"/>
      <w:r w:rsidR="00C74E30" w:rsidRPr="000A20E2">
        <w:rPr>
          <w:rFonts w:cstheme="minorHAnsi"/>
        </w:rPr>
        <w:t xml:space="preserve"> membership when moving employment. </w:t>
      </w:r>
      <w:r w:rsidR="00AA504A" w:rsidRPr="000A20E2">
        <w:rPr>
          <w:rFonts w:cstheme="minorHAnsi"/>
        </w:rPr>
        <w:t>Also</w:t>
      </w:r>
      <w:r w:rsidR="0047066C" w:rsidRPr="000A20E2">
        <w:rPr>
          <w:rFonts w:cstheme="minorHAnsi"/>
        </w:rPr>
        <w:t xml:space="preserve">, a positive experience of membership via enhanced effectiveness </w:t>
      </w:r>
      <w:r w:rsidR="00AA504A" w:rsidRPr="000A20E2">
        <w:rPr>
          <w:rFonts w:cstheme="minorHAnsi"/>
        </w:rPr>
        <w:t>might render</w:t>
      </w:r>
      <w:r w:rsidR="0047066C" w:rsidRPr="000A20E2">
        <w:rPr>
          <w:rFonts w:cstheme="minorHAnsi"/>
        </w:rPr>
        <w:t xml:space="preserve"> workers easier to recruit if they move to other employment where no </w:t>
      </w:r>
      <w:r w:rsidR="00AA504A" w:rsidRPr="000A20E2">
        <w:rPr>
          <w:rFonts w:cstheme="minorHAnsi"/>
        </w:rPr>
        <w:t>union default</w:t>
      </w:r>
      <w:r w:rsidR="0047066C" w:rsidRPr="000A20E2">
        <w:rPr>
          <w:rFonts w:cstheme="minorHAnsi"/>
        </w:rPr>
        <w:t xml:space="preserve"> has been established – indeed, they m</w:t>
      </w:r>
      <w:r w:rsidR="00AA504A" w:rsidRPr="000A20E2">
        <w:rPr>
          <w:rFonts w:cstheme="minorHAnsi"/>
        </w:rPr>
        <w:t xml:space="preserve">ight </w:t>
      </w:r>
      <w:r w:rsidR="0047066C" w:rsidRPr="000A20E2">
        <w:rPr>
          <w:rFonts w:cstheme="minorHAnsi"/>
        </w:rPr>
        <w:t xml:space="preserve">seek out membership – or they </w:t>
      </w:r>
      <w:r w:rsidR="00AA504A" w:rsidRPr="000A20E2">
        <w:rPr>
          <w:rFonts w:cstheme="minorHAnsi"/>
        </w:rPr>
        <w:t>might be less likely to</w:t>
      </w:r>
      <w:r w:rsidR="0047066C" w:rsidRPr="000A20E2">
        <w:rPr>
          <w:rFonts w:cstheme="minorHAnsi"/>
        </w:rPr>
        <w:t xml:space="preserve"> opt out if they moved to a workplace with </w:t>
      </w:r>
      <w:r w:rsidR="00AA504A" w:rsidRPr="000A20E2">
        <w:rPr>
          <w:rFonts w:cstheme="minorHAnsi"/>
        </w:rPr>
        <w:t xml:space="preserve">a union </w:t>
      </w:r>
      <w:r w:rsidR="0047066C" w:rsidRPr="000A20E2">
        <w:rPr>
          <w:rFonts w:cstheme="minorHAnsi"/>
        </w:rPr>
        <w:t xml:space="preserve">default. </w:t>
      </w:r>
      <w:r w:rsidR="00C74E30" w:rsidRPr="000A20E2">
        <w:rPr>
          <w:rFonts w:cstheme="minorHAnsi"/>
        </w:rPr>
        <w:t xml:space="preserve">The extent of this benefit to individual unions would depend upon whether lapsed members regain employment in the same </w:t>
      </w:r>
      <w:r w:rsidR="00A21F52" w:rsidRPr="000A20E2">
        <w:rPr>
          <w:rFonts w:cstheme="minorHAnsi"/>
        </w:rPr>
        <w:t xml:space="preserve">sector </w:t>
      </w:r>
      <w:r w:rsidR="00C74E30" w:rsidRPr="000A20E2">
        <w:rPr>
          <w:rFonts w:cstheme="minorHAnsi"/>
        </w:rPr>
        <w:t>or different sectors organised by other unions. Nevertheless, these resources could then be used for other purposes and, as intimated ea</w:t>
      </w:r>
      <w:r w:rsidR="00AA504A" w:rsidRPr="000A20E2">
        <w:rPr>
          <w:rFonts w:cstheme="minorHAnsi"/>
        </w:rPr>
        <w:t>rlier, with enlarged membership</w:t>
      </w:r>
      <w:r w:rsidR="00C74E30" w:rsidRPr="000A20E2">
        <w:rPr>
          <w:rFonts w:cstheme="minorHAnsi"/>
        </w:rPr>
        <w:t xml:space="preserve"> economies of scale could also be gained, helping facilitate union effectiveness. </w:t>
      </w:r>
      <w:r w:rsidR="000D12FA" w:rsidRPr="000A20E2">
        <w:rPr>
          <w:rFonts w:cstheme="minorHAnsi"/>
        </w:rPr>
        <w:t xml:space="preserve">Another potential benefit is that a foundation for occupational and industrial unionism could be furnished. Such forms of labour unionism are generally held to be more effective than general unionism. The extent to </w:t>
      </w:r>
      <w:r w:rsidR="00A21F52" w:rsidRPr="000A20E2">
        <w:rPr>
          <w:rFonts w:cstheme="minorHAnsi"/>
        </w:rPr>
        <w:t xml:space="preserve">which </w:t>
      </w:r>
      <w:r w:rsidR="000D12FA" w:rsidRPr="000A20E2">
        <w:rPr>
          <w:rFonts w:cstheme="minorHAnsi"/>
        </w:rPr>
        <w:t>such a potential could be realised would be influence</w:t>
      </w:r>
      <w:r w:rsidR="00395DFA" w:rsidRPr="000A20E2">
        <w:rPr>
          <w:rFonts w:cstheme="minorHAnsi"/>
        </w:rPr>
        <w:t>d</w:t>
      </w:r>
      <w:r w:rsidR="000D12FA" w:rsidRPr="000A20E2">
        <w:rPr>
          <w:rFonts w:cstheme="minorHAnsi"/>
        </w:rPr>
        <w:t xml:space="preserve"> by the organising choices made by unions as well as the policy of labour relations boards in recognising particular unions as the default union in a particular sphere</w:t>
      </w:r>
      <w:r w:rsidR="004C1EC5" w:rsidRPr="000A20E2">
        <w:rPr>
          <w:rFonts w:cstheme="minorHAnsi"/>
        </w:rPr>
        <w:t>.</w:t>
      </w:r>
    </w:p>
    <w:p w14:paraId="34F77E38" w14:textId="77777777" w:rsidR="0054642A" w:rsidRPr="000A20E2" w:rsidRDefault="0054642A" w:rsidP="000A20E2">
      <w:pPr>
        <w:spacing w:after="0" w:line="240" w:lineRule="auto"/>
        <w:jc w:val="both"/>
        <w:rPr>
          <w:rFonts w:cstheme="minorHAnsi"/>
        </w:rPr>
      </w:pPr>
    </w:p>
    <w:p w14:paraId="15B1F25A" w14:textId="13F58944" w:rsidR="0054642A" w:rsidRPr="005C13E1" w:rsidRDefault="0054642A" w:rsidP="005C13E1">
      <w:pPr>
        <w:pStyle w:val="ListParagraph"/>
        <w:numPr>
          <w:ilvl w:val="0"/>
          <w:numId w:val="28"/>
        </w:numPr>
        <w:spacing w:after="0" w:line="240" w:lineRule="auto"/>
        <w:jc w:val="both"/>
        <w:rPr>
          <w:rFonts w:cstheme="minorHAnsi"/>
          <w:b/>
          <w:bCs/>
        </w:rPr>
      </w:pPr>
      <w:r w:rsidRPr="005C13E1">
        <w:rPr>
          <w:rFonts w:cstheme="minorHAnsi"/>
          <w:b/>
          <w:bCs/>
        </w:rPr>
        <w:t xml:space="preserve">Why is a union default better? </w:t>
      </w:r>
    </w:p>
    <w:p w14:paraId="59CABA3E" w14:textId="77777777" w:rsidR="005C13E1" w:rsidRDefault="005C13E1" w:rsidP="005C13E1">
      <w:pPr>
        <w:spacing w:after="0" w:line="240" w:lineRule="auto"/>
        <w:jc w:val="both"/>
        <w:rPr>
          <w:rFonts w:cstheme="minorHAnsi"/>
        </w:rPr>
      </w:pPr>
    </w:p>
    <w:p w14:paraId="66AB2F86" w14:textId="77777777" w:rsidR="0054642A" w:rsidRPr="000A20E2" w:rsidRDefault="0054642A" w:rsidP="005C13E1">
      <w:pPr>
        <w:spacing w:after="0" w:line="240" w:lineRule="auto"/>
        <w:jc w:val="both"/>
        <w:rPr>
          <w:rFonts w:cstheme="minorHAnsi"/>
        </w:rPr>
      </w:pPr>
      <w:r w:rsidRPr="000A20E2">
        <w:rPr>
          <w:rFonts w:cstheme="minorHAnsi"/>
        </w:rPr>
        <w:t>Aside from raising membership levels, the union default has many potential advantages likely to appeal to a diverse range of political views amongst interested parties.</w:t>
      </w:r>
    </w:p>
    <w:p w14:paraId="504B16CC" w14:textId="77777777" w:rsidR="0054642A" w:rsidRPr="000A20E2" w:rsidRDefault="0054642A" w:rsidP="000A20E2">
      <w:pPr>
        <w:spacing w:after="0" w:line="240" w:lineRule="auto"/>
        <w:ind w:firstLine="720"/>
        <w:rPr>
          <w:rFonts w:cstheme="minorHAnsi"/>
        </w:rPr>
      </w:pPr>
    </w:p>
    <w:p w14:paraId="6BB67842" w14:textId="77777777" w:rsidR="0054642A" w:rsidRPr="000A20E2" w:rsidRDefault="0054642A" w:rsidP="000A20E2">
      <w:pPr>
        <w:spacing w:after="0" w:line="240" w:lineRule="auto"/>
        <w:rPr>
          <w:rFonts w:cstheme="minorHAnsi"/>
        </w:rPr>
      </w:pPr>
      <w:r w:rsidRPr="000A20E2">
        <w:rPr>
          <w:rFonts w:cstheme="minorHAnsi"/>
          <w:i/>
          <w:iCs/>
        </w:rPr>
        <w:t xml:space="preserve">Freedom to associate with a union </w:t>
      </w:r>
    </w:p>
    <w:p w14:paraId="5157B803" w14:textId="77777777" w:rsidR="005C13E1" w:rsidRDefault="005C13E1" w:rsidP="005C13E1">
      <w:pPr>
        <w:spacing w:after="0" w:line="240" w:lineRule="auto"/>
        <w:jc w:val="both"/>
        <w:rPr>
          <w:rFonts w:cstheme="minorHAnsi"/>
        </w:rPr>
      </w:pPr>
    </w:p>
    <w:p w14:paraId="5230683F" w14:textId="23543EC1" w:rsidR="0054642A" w:rsidRPr="000A20E2" w:rsidRDefault="0054642A" w:rsidP="005C13E1">
      <w:pPr>
        <w:spacing w:after="0" w:line="240" w:lineRule="auto"/>
        <w:jc w:val="both"/>
        <w:rPr>
          <w:rFonts w:cstheme="minorHAnsi"/>
        </w:rPr>
      </w:pPr>
      <w:r w:rsidRPr="000A20E2">
        <w:rPr>
          <w:rFonts w:cstheme="minorHAnsi"/>
        </w:rPr>
        <w:t xml:space="preserve">A union default would improve the freedom to associate by increasing the opportunities to join a union. The empirical evidence from several Anglophone countries indicates an </w:t>
      </w:r>
      <w:r w:rsidRPr="000A20E2">
        <w:rPr>
          <w:rFonts w:cstheme="minorHAnsi"/>
          <w:i/>
          <w:iCs/>
        </w:rPr>
        <w:t>effective</w:t>
      </w:r>
      <w:r w:rsidRPr="000A20E2">
        <w:rPr>
          <w:rFonts w:cstheme="minorHAnsi"/>
        </w:rPr>
        <w:t xml:space="preserve"> freedom to associate critically depends upon the availability of a union present in the workplace to join.</w:t>
      </w:r>
      <w:r w:rsidR="003A7F6F">
        <w:rPr>
          <w:rStyle w:val="FootnoteReference"/>
          <w:rFonts w:cstheme="minorHAnsi"/>
        </w:rPr>
        <w:footnoteReference w:id="74"/>
      </w:r>
      <w:r w:rsidRPr="000A20E2">
        <w:rPr>
          <w:rFonts w:cstheme="minorHAnsi"/>
        </w:rPr>
        <w:t xml:space="preserve"> Otherwise, costs of switching from non-union to union status are too high to make this feasible most of the time for most people. The proposed low threshold membership level for establishing a default union </w:t>
      </w:r>
      <w:r w:rsidR="00F82E9B" w:rsidRPr="000A20E2">
        <w:rPr>
          <w:rFonts w:cstheme="minorHAnsi"/>
        </w:rPr>
        <w:t xml:space="preserve">(see later discussion) </w:t>
      </w:r>
      <w:r w:rsidRPr="000A20E2">
        <w:rPr>
          <w:rFonts w:cstheme="minorHAnsi"/>
        </w:rPr>
        <w:t xml:space="preserve">would make it relatively less difficult for unions to establish a workplace presence. Once established, the union default would then make it easy to become a member. Workers could </w:t>
      </w:r>
      <w:r w:rsidRPr="003A7F6F">
        <w:rPr>
          <w:rFonts w:cstheme="minorHAnsi"/>
          <w:iCs/>
        </w:rPr>
        <w:t>actively choose</w:t>
      </w:r>
      <w:r w:rsidRPr="000A20E2">
        <w:rPr>
          <w:rFonts w:cstheme="minorHAnsi"/>
        </w:rPr>
        <w:t xml:space="preserve"> membership, using the formal enrolment opportunity provided by the employer, or simply allow themselves to be defaulted to that status. Either way, they would have a greatly enhanced freedom to associate with a union than via any of the highly restricted, often bureaucratic, costly and adversarial processes available under current employment relations regimes in Anglophone countries.</w:t>
      </w:r>
      <w:r w:rsidR="003A7F6F">
        <w:rPr>
          <w:rStyle w:val="FootnoteReference"/>
          <w:rFonts w:cstheme="minorHAnsi"/>
        </w:rPr>
        <w:footnoteReference w:id="75"/>
      </w:r>
      <w:r w:rsidRPr="000A20E2">
        <w:rPr>
          <w:rFonts w:cstheme="minorHAnsi"/>
        </w:rPr>
        <w:t xml:space="preserve"> </w:t>
      </w:r>
    </w:p>
    <w:p w14:paraId="261C24DC" w14:textId="77777777" w:rsidR="0054642A" w:rsidRPr="000A20E2" w:rsidRDefault="0054642A" w:rsidP="000A20E2">
      <w:pPr>
        <w:pStyle w:val="ListParagraph"/>
        <w:spacing w:after="0" w:line="240" w:lineRule="auto"/>
        <w:ind w:left="0"/>
        <w:jc w:val="both"/>
        <w:rPr>
          <w:rFonts w:cstheme="minorHAnsi"/>
          <w:i/>
          <w:iCs/>
        </w:rPr>
      </w:pPr>
    </w:p>
    <w:p w14:paraId="20BEDBF3" w14:textId="77777777" w:rsidR="0054642A" w:rsidRPr="000A20E2" w:rsidRDefault="0054642A" w:rsidP="000A20E2">
      <w:pPr>
        <w:pStyle w:val="ListParagraph"/>
        <w:spacing w:after="0" w:line="240" w:lineRule="auto"/>
        <w:ind w:left="0"/>
        <w:jc w:val="both"/>
        <w:rPr>
          <w:rFonts w:cstheme="minorHAnsi"/>
          <w:i/>
          <w:iCs/>
        </w:rPr>
      </w:pPr>
      <w:r w:rsidRPr="000A20E2">
        <w:rPr>
          <w:rFonts w:cstheme="minorHAnsi"/>
          <w:i/>
          <w:iCs/>
        </w:rPr>
        <w:t xml:space="preserve">Freedom not to associate with a union </w:t>
      </w:r>
    </w:p>
    <w:p w14:paraId="2D3B1C9D" w14:textId="77777777" w:rsidR="005C13E1" w:rsidRDefault="005C13E1" w:rsidP="005C13E1">
      <w:pPr>
        <w:spacing w:after="0" w:line="240" w:lineRule="auto"/>
        <w:jc w:val="both"/>
        <w:rPr>
          <w:rFonts w:cstheme="minorHAnsi"/>
        </w:rPr>
      </w:pPr>
    </w:p>
    <w:p w14:paraId="5508AC74" w14:textId="1160819C" w:rsidR="0054642A" w:rsidRPr="000A20E2" w:rsidRDefault="0054642A" w:rsidP="005C13E1">
      <w:pPr>
        <w:spacing w:after="0" w:line="240" w:lineRule="auto"/>
        <w:jc w:val="both"/>
        <w:rPr>
          <w:rFonts w:cstheme="minorHAnsi"/>
        </w:rPr>
      </w:pPr>
      <w:r w:rsidRPr="000A20E2">
        <w:rPr>
          <w:rFonts w:cstheme="minorHAnsi"/>
        </w:rPr>
        <w:t xml:space="preserve">The combination of union default and active choosing, what </w:t>
      </w:r>
      <w:proofErr w:type="spellStart"/>
      <w:r w:rsidRPr="000A20E2">
        <w:rPr>
          <w:rFonts w:cstheme="minorHAnsi"/>
        </w:rPr>
        <w:t>Sunstein</w:t>
      </w:r>
      <w:proofErr w:type="spellEnd"/>
      <w:r w:rsidR="003A7F6F">
        <w:rPr>
          <w:rStyle w:val="FootnoteReference"/>
          <w:rFonts w:cstheme="minorHAnsi"/>
        </w:rPr>
        <w:footnoteReference w:id="76"/>
      </w:r>
      <w:r w:rsidRPr="000A20E2">
        <w:rPr>
          <w:rFonts w:cstheme="minorHAnsi"/>
        </w:rPr>
        <w:t xml:space="preserve"> refers to as ‘</w:t>
      </w:r>
      <w:r w:rsidRPr="000A20E2">
        <w:rPr>
          <w:rFonts w:cstheme="minorHAnsi"/>
          <w:iCs/>
        </w:rPr>
        <w:t>simple active choosing’</w:t>
      </w:r>
      <w:r w:rsidRPr="000A20E2">
        <w:rPr>
          <w:rFonts w:cstheme="minorHAnsi"/>
        </w:rPr>
        <w:t xml:space="preserve">, would preserve and protect the freedom </w:t>
      </w:r>
      <w:r w:rsidRPr="000A20E2">
        <w:rPr>
          <w:rFonts w:cstheme="minorHAnsi"/>
          <w:i/>
          <w:iCs/>
        </w:rPr>
        <w:t>not</w:t>
      </w:r>
      <w:r w:rsidRPr="000A20E2">
        <w:rPr>
          <w:rFonts w:cstheme="minorHAnsi"/>
        </w:rPr>
        <w:t xml:space="preserve"> to associate with a union. A default would allow anyone who had any aversion to unions to opt out of membership on their own initiative, though possibly subject to some restrictions.</w:t>
      </w:r>
      <w:r w:rsidRPr="000A20E2">
        <w:rPr>
          <w:rStyle w:val="FootnoteReference"/>
          <w:rFonts w:cstheme="minorHAnsi"/>
        </w:rPr>
        <w:footnoteReference w:id="77"/>
      </w:r>
      <w:r w:rsidRPr="000A20E2">
        <w:rPr>
          <w:rFonts w:cstheme="minorHAnsi"/>
        </w:rPr>
        <w:t xml:space="preserve"> Availability of </w:t>
      </w:r>
      <w:r w:rsidRPr="003A7F6F">
        <w:rPr>
          <w:rFonts w:cstheme="minorHAnsi"/>
          <w:iCs/>
        </w:rPr>
        <w:t>active choosing</w:t>
      </w:r>
      <w:r w:rsidRPr="000A20E2">
        <w:rPr>
          <w:rFonts w:cstheme="minorHAnsi"/>
        </w:rPr>
        <w:t xml:space="preserve"> would also mean that employers would be formally obliged to present workers with at least one opportunity to select what they want either at the start of their employment or when a union first obtained default status. The </w:t>
      </w:r>
      <w:r w:rsidRPr="003A7F6F">
        <w:rPr>
          <w:rFonts w:cstheme="minorHAnsi"/>
          <w:iCs/>
        </w:rPr>
        <w:t>active choosing</w:t>
      </w:r>
      <w:r w:rsidRPr="000A20E2">
        <w:rPr>
          <w:rFonts w:cstheme="minorHAnsi"/>
        </w:rPr>
        <w:t xml:space="preserve"> process would also make the default transparent: workers would be informed of being defaulted to membership if they did not exercise a choice. As a result, anti-union workers would be less likely to feel duped into becoming members and paying dues. </w:t>
      </w:r>
    </w:p>
    <w:p w14:paraId="48CCBA4D" w14:textId="77777777" w:rsidR="0054642A" w:rsidRPr="000A20E2" w:rsidRDefault="0054642A" w:rsidP="000A20E2">
      <w:pPr>
        <w:spacing w:after="0" w:line="240" w:lineRule="auto"/>
        <w:jc w:val="both"/>
        <w:rPr>
          <w:rFonts w:cstheme="minorHAnsi"/>
          <w:i/>
          <w:iCs/>
        </w:rPr>
      </w:pPr>
    </w:p>
    <w:p w14:paraId="711405D8" w14:textId="77777777" w:rsidR="0054642A" w:rsidRPr="000A20E2" w:rsidRDefault="0054642A" w:rsidP="000A20E2">
      <w:pPr>
        <w:spacing w:after="0" w:line="240" w:lineRule="auto"/>
        <w:jc w:val="both"/>
        <w:rPr>
          <w:rFonts w:cstheme="minorHAnsi"/>
          <w:i/>
          <w:iCs/>
        </w:rPr>
      </w:pPr>
      <w:r w:rsidRPr="000A20E2">
        <w:rPr>
          <w:rFonts w:cstheme="minorHAnsi"/>
          <w:i/>
          <w:iCs/>
        </w:rPr>
        <w:t xml:space="preserve">Freedom not to choose </w:t>
      </w:r>
    </w:p>
    <w:p w14:paraId="4FC57E7D" w14:textId="77777777" w:rsidR="005C13E1" w:rsidRDefault="005C13E1" w:rsidP="005C13E1">
      <w:pPr>
        <w:spacing w:after="0" w:line="240" w:lineRule="auto"/>
        <w:jc w:val="both"/>
        <w:rPr>
          <w:rFonts w:cstheme="minorHAnsi"/>
        </w:rPr>
      </w:pPr>
    </w:p>
    <w:p w14:paraId="2831228F" w14:textId="166F1DF8" w:rsidR="0054642A" w:rsidRPr="000A20E2" w:rsidRDefault="0054642A" w:rsidP="005C13E1">
      <w:pPr>
        <w:spacing w:after="0" w:line="240" w:lineRule="auto"/>
        <w:jc w:val="both"/>
        <w:rPr>
          <w:rFonts w:cstheme="minorHAnsi"/>
          <w:i/>
          <w:iCs/>
        </w:rPr>
      </w:pPr>
      <w:r w:rsidRPr="000A20E2">
        <w:rPr>
          <w:rFonts w:cstheme="minorHAnsi"/>
        </w:rPr>
        <w:t xml:space="preserve">Active choosing with a union default fundamentally respects workers’ right </w:t>
      </w:r>
      <w:r w:rsidRPr="000A20E2">
        <w:rPr>
          <w:rFonts w:cstheme="minorHAnsi"/>
          <w:i/>
          <w:iCs/>
        </w:rPr>
        <w:t>not</w:t>
      </w:r>
      <w:r w:rsidRPr="000A20E2">
        <w:rPr>
          <w:rFonts w:cstheme="minorHAnsi"/>
        </w:rPr>
        <w:t xml:space="preserve"> to choose due to, for example, </w:t>
      </w:r>
      <w:r w:rsidRPr="003A7F6F">
        <w:rPr>
          <w:rFonts w:cstheme="minorHAnsi"/>
          <w:iCs/>
        </w:rPr>
        <w:t>choice deferral</w:t>
      </w:r>
      <w:r w:rsidRPr="003A7F6F">
        <w:rPr>
          <w:rFonts w:cstheme="minorHAnsi"/>
        </w:rPr>
        <w:t xml:space="preserve"> or </w:t>
      </w:r>
      <w:r w:rsidRPr="003A7F6F">
        <w:rPr>
          <w:rFonts w:cstheme="minorHAnsi"/>
          <w:iCs/>
        </w:rPr>
        <w:t>action inertia</w:t>
      </w:r>
      <w:r w:rsidRPr="000A20E2">
        <w:rPr>
          <w:rFonts w:cstheme="minorHAnsi"/>
        </w:rPr>
        <w:t xml:space="preserve">. If workers did not </w:t>
      </w:r>
      <w:r w:rsidRPr="000A20E2">
        <w:rPr>
          <w:rFonts w:cstheme="minorHAnsi"/>
          <w:i/>
          <w:iCs/>
        </w:rPr>
        <w:t>actively choose</w:t>
      </w:r>
      <w:r w:rsidRPr="000A20E2">
        <w:rPr>
          <w:rFonts w:cstheme="minorHAnsi"/>
        </w:rPr>
        <w:t xml:space="preserve"> to associate or not associate with a union, they would be automatically defaulted to union membership. The same is true of the current non-union default, where the right </w:t>
      </w:r>
      <w:r w:rsidRPr="000A20E2">
        <w:rPr>
          <w:rFonts w:cstheme="minorHAnsi"/>
          <w:i/>
          <w:iCs/>
        </w:rPr>
        <w:t>not</w:t>
      </w:r>
      <w:r w:rsidRPr="000A20E2">
        <w:rPr>
          <w:rFonts w:cstheme="minorHAnsi"/>
        </w:rPr>
        <w:t xml:space="preserve"> to choose is also respected, but the worker is defaulted to non-union status instead. The main alternative to active choosing with a default is what </w:t>
      </w:r>
      <w:proofErr w:type="spellStart"/>
      <w:r w:rsidRPr="000A20E2">
        <w:rPr>
          <w:rFonts w:cstheme="minorHAnsi"/>
        </w:rPr>
        <w:t>Sunstein</w:t>
      </w:r>
      <w:proofErr w:type="spellEnd"/>
      <w:r w:rsidR="003A7F6F">
        <w:rPr>
          <w:rFonts w:cstheme="minorHAnsi"/>
        </w:rPr>
        <w:t xml:space="preserve"> </w:t>
      </w:r>
      <w:r w:rsidRPr="000A20E2">
        <w:rPr>
          <w:rFonts w:cstheme="minorHAnsi"/>
        </w:rPr>
        <w:t xml:space="preserve">calls </w:t>
      </w:r>
      <w:r w:rsidR="003A7F6F">
        <w:rPr>
          <w:rFonts w:cstheme="minorHAnsi"/>
        </w:rPr>
        <w:t>‘</w:t>
      </w:r>
      <w:r w:rsidRPr="003A7F6F">
        <w:rPr>
          <w:rFonts w:cstheme="minorHAnsi"/>
          <w:iCs/>
        </w:rPr>
        <w:t>required active choosing</w:t>
      </w:r>
      <w:r w:rsidR="003A7F6F">
        <w:rPr>
          <w:rFonts w:cstheme="minorHAnsi"/>
          <w:iCs/>
        </w:rPr>
        <w:t>’</w:t>
      </w:r>
      <w:r w:rsidRPr="000A20E2">
        <w:rPr>
          <w:rFonts w:cstheme="minorHAnsi"/>
        </w:rPr>
        <w:t>,</w:t>
      </w:r>
      <w:r w:rsidR="003A7F6F">
        <w:rPr>
          <w:rStyle w:val="FootnoteReference"/>
          <w:rFonts w:cstheme="minorHAnsi"/>
        </w:rPr>
        <w:footnoteReference w:id="78"/>
      </w:r>
      <w:r w:rsidRPr="000A20E2">
        <w:rPr>
          <w:rFonts w:cstheme="minorHAnsi"/>
        </w:rPr>
        <w:t xml:space="preserve"> but this involves its own special kind of compulsion. In the absence of a default, workers would have to be either penalised for not choosing, or rewarded for choosing, to ensure that they decided to join or not join a union. This would effectively transform the freedom to (not) associate, a right workers can freely exercise if they wish, into a duty. </w:t>
      </w:r>
    </w:p>
    <w:p w14:paraId="0007A1CB" w14:textId="77777777" w:rsidR="0054642A" w:rsidRPr="000A20E2" w:rsidRDefault="0054642A" w:rsidP="000A20E2">
      <w:pPr>
        <w:spacing w:after="0" w:line="240" w:lineRule="auto"/>
        <w:jc w:val="both"/>
        <w:rPr>
          <w:rFonts w:cstheme="minorHAnsi"/>
          <w:i/>
          <w:iCs/>
        </w:rPr>
      </w:pPr>
    </w:p>
    <w:p w14:paraId="3FD6940E" w14:textId="77777777" w:rsidR="0054642A" w:rsidRPr="000A20E2" w:rsidRDefault="0054642A" w:rsidP="000A20E2">
      <w:pPr>
        <w:spacing w:after="0" w:line="240" w:lineRule="auto"/>
        <w:jc w:val="both"/>
        <w:rPr>
          <w:rFonts w:cstheme="minorHAnsi"/>
          <w:i/>
          <w:iCs/>
        </w:rPr>
      </w:pPr>
      <w:r w:rsidRPr="000A20E2">
        <w:rPr>
          <w:rFonts w:cstheme="minorHAnsi"/>
          <w:i/>
          <w:iCs/>
        </w:rPr>
        <w:t xml:space="preserve">Internalising third party union effects </w:t>
      </w:r>
    </w:p>
    <w:p w14:paraId="669257E0" w14:textId="77777777" w:rsidR="005C13E1" w:rsidRDefault="005C13E1" w:rsidP="005C13E1">
      <w:pPr>
        <w:spacing w:after="0" w:line="240" w:lineRule="auto"/>
        <w:jc w:val="both"/>
        <w:rPr>
          <w:rFonts w:cstheme="minorHAnsi"/>
        </w:rPr>
      </w:pPr>
    </w:p>
    <w:p w14:paraId="25FAB67B" w14:textId="215579D2" w:rsidR="0054642A" w:rsidRPr="000A20E2" w:rsidRDefault="0054642A" w:rsidP="005C13E1">
      <w:pPr>
        <w:spacing w:after="0" w:line="240" w:lineRule="auto"/>
        <w:jc w:val="both"/>
        <w:rPr>
          <w:rFonts w:cstheme="minorHAnsi"/>
        </w:rPr>
      </w:pPr>
      <w:r w:rsidRPr="000A20E2">
        <w:rPr>
          <w:rFonts w:cstheme="minorHAnsi"/>
        </w:rPr>
        <w:t>A union default helps to ensure that workers who benefit from unions also help to pay for them. Unions provide public goods that cannot be solely restricted to members. A tragedy-of-the-commons situation can develop, where members depart from a union, dues rise to cover the ensuing cash shortfall, the incentive to free-ride correspondingly increases, and yet more members depart, until representation collapses completely. Public goods like those provided by a union are, thus, ordinarily under-supplied</w:t>
      </w:r>
      <w:r w:rsidR="00053245" w:rsidRPr="000A20E2">
        <w:rPr>
          <w:rFonts w:cstheme="minorHAnsi"/>
        </w:rPr>
        <w:t xml:space="preserve"> ad this is obviously</w:t>
      </w:r>
      <w:r w:rsidRPr="000A20E2">
        <w:rPr>
          <w:rFonts w:cstheme="minorHAnsi"/>
        </w:rPr>
        <w:t xml:space="preserve"> inefficient. Union security clauses, covering pre- and post-entry closed shops and fair share and agency shop agreements</w:t>
      </w:r>
      <w:r w:rsidR="003A7F6F">
        <w:rPr>
          <w:rFonts w:cstheme="minorHAnsi"/>
        </w:rPr>
        <w:t>,</w:t>
      </w:r>
      <w:r w:rsidRPr="000A20E2">
        <w:rPr>
          <w:rStyle w:val="FootnoteReference"/>
          <w:rFonts w:cstheme="minorHAnsi"/>
        </w:rPr>
        <w:footnoteReference w:id="79"/>
      </w:r>
      <w:r w:rsidRPr="000A20E2">
        <w:rPr>
          <w:rFonts w:cstheme="minorHAnsi"/>
        </w:rPr>
        <w:t xml:space="preserve"> have traditionally provided a solution to free-riding by mandating membership and/or the payment of dues, but the </w:t>
      </w:r>
      <w:r w:rsidR="00053245" w:rsidRPr="000A20E2">
        <w:rPr>
          <w:rFonts w:cstheme="minorHAnsi"/>
        </w:rPr>
        <w:t xml:space="preserve">problem is that the </w:t>
      </w:r>
      <w:r w:rsidRPr="000A20E2">
        <w:rPr>
          <w:rFonts w:cstheme="minorHAnsi"/>
        </w:rPr>
        <w:t xml:space="preserve">compulsion in these arrangements negates the freedom not to associate. A union default helps to mitigate free-riding while preserving freedom of choice because defaulting workers to membership would almost certainly raise membership levels to a more sustainable level via the positive </w:t>
      </w:r>
      <w:r w:rsidRPr="003A7F6F">
        <w:rPr>
          <w:rFonts w:cstheme="minorHAnsi"/>
          <w:iCs/>
        </w:rPr>
        <w:t>defaulting effect</w:t>
      </w:r>
      <w:r w:rsidRPr="000A20E2">
        <w:rPr>
          <w:rFonts w:cstheme="minorHAnsi"/>
        </w:rPr>
        <w:t xml:space="preserve"> discussed earlier. For instance, if defaulting workers to membership helped sustain membership levels at, say, 70%, union dues and the resultant incentive to free-ride could be kept low. Alternatively, if defaulting workers to non-union status produced membership levels of, say, 40%, union dues would have to be higher, the incentive to free-ride correspondingly greater </w:t>
      </w:r>
      <w:r w:rsidR="002F6DF5">
        <w:rPr>
          <w:rFonts w:cstheme="minorHAnsi"/>
        </w:rPr>
        <w:t>(</w:t>
      </w:r>
      <w:r w:rsidRPr="000A20E2">
        <w:rPr>
          <w:rFonts w:cstheme="minorHAnsi"/>
        </w:rPr>
        <w:t xml:space="preserve">and prone to </w:t>
      </w:r>
      <w:r w:rsidR="002F6DF5">
        <w:rPr>
          <w:rFonts w:cstheme="minorHAnsi"/>
        </w:rPr>
        <w:t>ri</w:t>
      </w:r>
      <w:r w:rsidRPr="000A20E2">
        <w:rPr>
          <w:rFonts w:cstheme="minorHAnsi"/>
        </w:rPr>
        <w:t>sing</w:t>
      </w:r>
      <w:r w:rsidR="002F6DF5">
        <w:rPr>
          <w:rFonts w:cstheme="minorHAnsi"/>
        </w:rPr>
        <w:t>)</w:t>
      </w:r>
      <w:r w:rsidRPr="000A20E2">
        <w:rPr>
          <w:rFonts w:cstheme="minorHAnsi"/>
        </w:rPr>
        <w:t>, and effective union representation harder to maintain.</w:t>
      </w:r>
      <w:r w:rsidR="008D330F" w:rsidRPr="000A20E2">
        <w:rPr>
          <w:rFonts w:cstheme="minorHAnsi"/>
        </w:rPr>
        <w:t xml:space="preserve"> </w:t>
      </w:r>
      <w:r w:rsidRPr="000A20E2">
        <w:rPr>
          <w:rFonts w:cstheme="minorHAnsi"/>
        </w:rPr>
        <w:t xml:space="preserve">However, there is no principled obstacle to combining a union default with agency shops or fair share agreements. Indeed, these </w:t>
      </w:r>
      <w:r w:rsidR="00053245" w:rsidRPr="000A20E2">
        <w:rPr>
          <w:rFonts w:cstheme="minorHAnsi"/>
        </w:rPr>
        <w:t xml:space="preserve">policies </w:t>
      </w:r>
      <w:r w:rsidRPr="000A20E2">
        <w:rPr>
          <w:rFonts w:cstheme="minorHAnsi"/>
        </w:rPr>
        <w:t xml:space="preserve">would reduce free riding and augment unions’ financial resources. </w:t>
      </w:r>
    </w:p>
    <w:p w14:paraId="1E37422F" w14:textId="77777777" w:rsidR="0054642A" w:rsidRPr="000A20E2" w:rsidRDefault="0054642A" w:rsidP="000A20E2">
      <w:pPr>
        <w:spacing w:after="0" w:line="240" w:lineRule="auto"/>
        <w:jc w:val="both"/>
        <w:rPr>
          <w:rFonts w:cstheme="minorHAnsi"/>
          <w:i/>
          <w:iCs/>
        </w:rPr>
      </w:pPr>
    </w:p>
    <w:p w14:paraId="48F2D313" w14:textId="77777777" w:rsidR="0054642A" w:rsidRPr="000A20E2" w:rsidRDefault="0054642A" w:rsidP="000A20E2">
      <w:pPr>
        <w:spacing w:after="0" w:line="240" w:lineRule="auto"/>
        <w:jc w:val="both"/>
        <w:rPr>
          <w:rFonts w:cstheme="minorHAnsi"/>
          <w:i/>
          <w:iCs/>
        </w:rPr>
      </w:pPr>
      <w:r w:rsidRPr="000A20E2">
        <w:rPr>
          <w:rFonts w:cstheme="minorHAnsi"/>
          <w:i/>
          <w:iCs/>
        </w:rPr>
        <w:t xml:space="preserve">Public acceptance </w:t>
      </w:r>
    </w:p>
    <w:p w14:paraId="17421DBF" w14:textId="77777777" w:rsidR="005C13E1" w:rsidRDefault="005C13E1" w:rsidP="005C13E1">
      <w:pPr>
        <w:spacing w:after="0" w:line="240" w:lineRule="auto"/>
        <w:jc w:val="both"/>
        <w:rPr>
          <w:rFonts w:cstheme="minorHAnsi"/>
        </w:rPr>
      </w:pPr>
    </w:p>
    <w:p w14:paraId="26985D1D" w14:textId="649265A8" w:rsidR="0054642A" w:rsidRPr="000A20E2" w:rsidRDefault="0054642A" w:rsidP="005C13E1">
      <w:pPr>
        <w:spacing w:after="0" w:line="240" w:lineRule="auto"/>
        <w:jc w:val="both"/>
        <w:rPr>
          <w:rFonts w:cstheme="minorHAnsi"/>
        </w:rPr>
      </w:pPr>
      <w:r w:rsidRPr="000A20E2">
        <w:rPr>
          <w:rFonts w:cstheme="minorHAnsi"/>
        </w:rPr>
        <w:t>Surveys from several countries suggest that people are generally approving of defaults, especially in some conditions.</w:t>
      </w:r>
      <w:r w:rsidR="003A7F6F">
        <w:rPr>
          <w:rStyle w:val="FootnoteReference"/>
          <w:rFonts w:cstheme="minorHAnsi"/>
        </w:rPr>
        <w:footnoteReference w:id="80"/>
      </w:r>
      <w:r w:rsidRPr="000A20E2">
        <w:rPr>
          <w:rFonts w:cstheme="minorHAnsi"/>
        </w:rPr>
        <w:t xml:space="preserve"> Defaults are more likely to be favoured when ‘… people approve of their ends and think that they are consistent with choosers’ values and interests’,</w:t>
      </w:r>
      <w:r w:rsidR="003A7F6F">
        <w:rPr>
          <w:rStyle w:val="FootnoteReference"/>
          <w:rFonts w:cstheme="minorHAnsi"/>
        </w:rPr>
        <w:footnoteReference w:id="81"/>
      </w:r>
      <w:r w:rsidRPr="000A20E2">
        <w:rPr>
          <w:rFonts w:cstheme="minorHAnsi"/>
        </w:rPr>
        <w:t xml:space="preserve"> either their own or a majority of the public’s. A union default is consistent with preferences for union membership expressed by approximately half the workforce in Anglophone countries.</w:t>
      </w:r>
      <w:r w:rsidR="003A7F6F">
        <w:rPr>
          <w:rStyle w:val="FootnoteReference"/>
          <w:rFonts w:cstheme="minorHAnsi"/>
        </w:rPr>
        <w:footnoteReference w:id="82"/>
      </w:r>
      <w:r w:rsidRPr="000A20E2">
        <w:rPr>
          <w:rFonts w:cstheme="minorHAnsi"/>
        </w:rPr>
        <w:t xml:space="preserve"> An even higher proportion would see a union default as protecting the interests and rights of all workers: those who do want to associate with a union, those who do not, and those who would rather not have to choose. Defaults are also more likely to be supported when people can actively affirm their conse</w:t>
      </w:r>
      <w:r w:rsidR="00053245" w:rsidRPr="000A20E2">
        <w:rPr>
          <w:rFonts w:cstheme="minorHAnsi"/>
        </w:rPr>
        <w:t xml:space="preserve">nt to any major losses involved, </w:t>
      </w:r>
      <w:r w:rsidRPr="000A20E2">
        <w:rPr>
          <w:rFonts w:cstheme="minorHAnsi"/>
        </w:rPr>
        <w:t>for they prefer to be more deliberative about choices with a personal impact.</w:t>
      </w:r>
      <w:r w:rsidR="003A7F6F">
        <w:rPr>
          <w:rStyle w:val="FootnoteReference"/>
          <w:rFonts w:cstheme="minorHAnsi"/>
        </w:rPr>
        <w:footnoteReference w:id="83"/>
      </w:r>
      <w:r w:rsidRPr="000A20E2">
        <w:rPr>
          <w:rFonts w:cstheme="minorHAnsi"/>
        </w:rPr>
        <w:t xml:space="preserve"> As an example, most people approve of organ donation but would prefer to be directly asked, via a process of </w:t>
      </w:r>
      <w:r w:rsidRPr="003A7F6F">
        <w:rPr>
          <w:rFonts w:cstheme="minorHAnsi"/>
          <w:iCs/>
        </w:rPr>
        <w:t>active choosing</w:t>
      </w:r>
      <w:r w:rsidRPr="000A20E2">
        <w:rPr>
          <w:rFonts w:cstheme="minorHAnsi"/>
          <w:i/>
          <w:iCs/>
        </w:rPr>
        <w:t>,</w:t>
      </w:r>
      <w:r w:rsidRPr="000A20E2">
        <w:rPr>
          <w:rFonts w:cstheme="minorHAnsi"/>
        </w:rPr>
        <w:t xml:space="preserve"> whether they want to be donors rather than automatically defaulted to donation status.</w:t>
      </w:r>
      <w:r w:rsidR="003A7F6F">
        <w:rPr>
          <w:rStyle w:val="FootnoteReference"/>
          <w:rFonts w:cstheme="minorHAnsi"/>
        </w:rPr>
        <w:footnoteReference w:id="84"/>
      </w:r>
      <w:r w:rsidRPr="000A20E2">
        <w:rPr>
          <w:rFonts w:cstheme="minorHAnsi"/>
        </w:rPr>
        <w:t xml:space="preserve"> Since joining a union entails paying dues, there is some initial personal loss. It follows that workers are more likely to be positively disposed to the union default in the current proposal, because of the opportunity, via </w:t>
      </w:r>
      <w:r w:rsidRPr="000A20E2">
        <w:rPr>
          <w:rFonts w:cstheme="minorHAnsi"/>
          <w:i/>
          <w:iCs/>
        </w:rPr>
        <w:t>active choosing</w:t>
      </w:r>
      <w:r w:rsidRPr="000A20E2">
        <w:rPr>
          <w:rFonts w:cstheme="minorHAnsi"/>
        </w:rPr>
        <w:t xml:space="preserve">, to explicitly agree/disagree with joining a union and paying dues. </w:t>
      </w:r>
    </w:p>
    <w:p w14:paraId="6E6BB479" w14:textId="77777777" w:rsidR="0054642A" w:rsidRPr="000A20E2" w:rsidRDefault="0054642A" w:rsidP="000A20E2">
      <w:pPr>
        <w:spacing w:after="0" w:line="240" w:lineRule="auto"/>
        <w:jc w:val="both"/>
        <w:rPr>
          <w:rFonts w:cstheme="minorHAnsi"/>
          <w:b/>
          <w:bCs/>
        </w:rPr>
      </w:pPr>
    </w:p>
    <w:p w14:paraId="132BF5D7" w14:textId="4FA8EABA" w:rsidR="00B5336D" w:rsidRPr="005C13E1" w:rsidRDefault="00E0383D" w:rsidP="005C13E1">
      <w:pPr>
        <w:pStyle w:val="ListParagraph"/>
        <w:numPr>
          <w:ilvl w:val="0"/>
          <w:numId w:val="28"/>
        </w:numPr>
        <w:spacing w:after="0" w:line="240" w:lineRule="auto"/>
        <w:jc w:val="both"/>
        <w:rPr>
          <w:rFonts w:cstheme="minorHAnsi"/>
          <w:b/>
          <w:bCs/>
        </w:rPr>
      </w:pPr>
      <w:r w:rsidRPr="005C13E1">
        <w:rPr>
          <w:rFonts w:cstheme="minorHAnsi"/>
          <w:b/>
          <w:bCs/>
        </w:rPr>
        <w:t xml:space="preserve">Operationalising </w:t>
      </w:r>
      <w:r w:rsidR="00A65DAE" w:rsidRPr="005C13E1">
        <w:rPr>
          <w:rFonts w:cstheme="minorHAnsi"/>
          <w:b/>
          <w:bCs/>
        </w:rPr>
        <w:t>a union default</w:t>
      </w:r>
    </w:p>
    <w:p w14:paraId="77DFF187" w14:textId="77777777" w:rsidR="005C13E1" w:rsidRDefault="005C13E1" w:rsidP="005C13E1">
      <w:pPr>
        <w:spacing w:after="0" w:line="240" w:lineRule="auto"/>
        <w:jc w:val="both"/>
        <w:rPr>
          <w:rFonts w:cstheme="minorHAnsi"/>
          <w:bCs/>
        </w:rPr>
      </w:pPr>
    </w:p>
    <w:p w14:paraId="71C94127" w14:textId="3C79B381" w:rsidR="00E0383D" w:rsidRPr="000A20E2" w:rsidRDefault="00B5336D" w:rsidP="005C13E1">
      <w:pPr>
        <w:spacing w:after="0" w:line="240" w:lineRule="auto"/>
        <w:jc w:val="both"/>
        <w:rPr>
          <w:rFonts w:cstheme="minorHAnsi"/>
        </w:rPr>
      </w:pPr>
      <w:r w:rsidRPr="000A20E2">
        <w:rPr>
          <w:rFonts w:cstheme="minorHAnsi"/>
          <w:bCs/>
        </w:rPr>
        <w:t xml:space="preserve">The first part of this section examines </w:t>
      </w:r>
      <w:r w:rsidR="00A3737A" w:rsidRPr="000A20E2">
        <w:rPr>
          <w:rFonts w:cstheme="minorHAnsi"/>
          <w:bCs/>
        </w:rPr>
        <w:t xml:space="preserve">the </w:t>
      </w:r>
      <w:r w:rsidRPr="000A20E2">
        <w:rPr>
          <w:rFonts w:cstheme="minorHAnsi"/>
          <w:bCs/>
        </w:rPr>
        <w:t xml:space="preserve">policy and practical issues in operationalising a union default. The second part </w:t>
      </w:r>
      <w:r w:rsidR="00A3737A" w:rsidRPr="000A20E2">
        <w:rPr>
          <w:rFonts w:cstheme="minorHAnsi"/>
          <w:bCs/>
        </w:rPr>
        <w:t>c</w:t>
      </w:r>
      <w:r w:rsidRPr="000A20E2">
        <w:rPr>
          <w:rFonts w:cstheme="minorHAnsi"/>
          <w:bCs/>
        </w:rPr>
        <w:t xml:space="preserve">onsiders </w:t>
      </w:r>
      <w:r w:rsidR="00A3737A" w:rsidRPr="000A20E2">
        <w:rPr>
          <w:rFonts w:cstheme="minorHAnsi"/>
          <w:bCs/>
        </w:rPr>
        <w:t xml:space="preserve">issues of </w:t>
      </w:r>
      <w:r w:rsidRPr="000A20E2">
        <w:rPr>
          <w:rFonts w:cstheme="minorHAnsi"/>
          <w:bCs/>
        </w:rPr>
        <w:t>law and jurisprudence.</w:t>
      </w:r>
      <w:r w:rsidR="00A3737A" w:rsidRPr="000A20E2">
        <w:rPr>
          <w:rFonts w:cstheme="minorHAnsi"/>
          <w:bCs/>
        </w:rPr>
        <w:t xml:space="preserve"> </w:t>
      </w:r>
      <w:r w:rsidR="005E6FDB" w:rsidRPr="000A20E2">
        <w:rPr>
          <w:rFonts w:cstheme="minorHAnsi"/>
        </w:rPr>
        <w:t>There are aspects of i</w:t>
      </w:r>
      <w:r w:rsidR="00E0383D" w:rsidRPr="000A20E2">
        <w:rPr>
          <w:rFonts w:cstheme="minorHAnsi"/>
        </w:rPr>
        <w:t>mplement</w:t>
      </w:r>
      <w:r w:rsidR="00571A57" w:rsidRPr="000A20E2">
        <w:rPr>
          <w:rFonts w:cstheme="minorHAnsi"/>
        </w:rPr>
        <w:t xml:space="preserve">ing </w:t>
      </w:r>
      <w:r w:rsidR="00E0383D" w:rsidRPr="000A20E2">
        <w:rPr>
          <w:rFonts w:cstheme="minorHAnsi"/>
        </w:rPr>
        <w:t xml:space="preserve">a union default </w:t>
      </w:r>
      <w:r w:rsidR="00F437F1" w:rsidRPr="000A20E2">
        <w:rPr>
          <w:rFonts w:cstheme="minorHAnsi"/>
        </w:rPr>
        <w:t xml:space="preserve">which </w:t>
      </w:r>
      <w:r w:rsidR="00E0383D" w:rsidRPr="000A20E2">
        <w:rPr>
          <w:rFonts w:cstheme="minorHAnsi"/>
        </w:rPr>
        <w:t>would be relatively straightforward in workplaces already partially or fully organised.</w:t>
      </w:r>
      <w:r w:rsidR="005A77B4" w:rsidRPr="000A20E2">
        <w:rPr>
          <w:rFonts w:cstheme="minorHAnsi"/>
        </w:rPr>
        <w:t xml:space="preserve"> </w:t>
      </w:r>
      <w:r w:rsidR="00395DFA" w:rsidRPr="000A20E2">
        <w:rPr>
          <w:rFonts w:cstheme="minorHAnsi"/>
        </w:rPr>
        <w:t>In Britain, 41% of workplaces in 2016 had a union presence</w:t>
      </w:r>
      <w:r w:rsidR="00AA7E2D" w:rsidRPr="000A20E2">
        <w:rPr>
          <w:rFonts w:cstheme="minorHAnsi"/>
        </w:rPr>
        <w:t>.</w:t>
      </w:r>
      <w:r w:rsidR="00BD3C8C">
        <w:rPr>
          <w:rStyle w:val="FootnoteReference"/>
          <w:rFonts w:cstheme="minorHAnsi"/>
        </w:rPr>
        <w:footnoteReference w:id="85"/>
      </w:r>
      <w:r w:rsidR="00AA7E2D" w:rsidRPr="000A20E2">
        <w:rPr>
          <w:rFonts w:cstheme="minorHAnsi"/>
        </w:rPr>
        <w:t xml:space="preserve"> </w:t>
      </w:r>
      <w:r w:rsidR="00E0383D" w:rsidRPr="000A20E2">
        <w:rPr>
          <w:rFonts w:cstheme="minorHAnsi"/>
        </w:rPr>
        <w:t>All new employees would default to members</w:t>
      </w:r>
      <w:r w:rsidR="00571A57" w:rsidRPr="000A20E2">
        <w:rPr>
          <w:rFonts w:cstheme="minorHAnsi"/>
        </w:rPr>
        <w:t>hip</w:t>
      </w:r>
      <w:r w:rsidR="00E0383D" w:rsidRPr="000A20E2">
        <w:rPr>
          <w:rFonts w:cstheme="minorHAnsi"/>
        </w:rPr>
        <w:t xml:space="preserve"> of the existing union, unless they </w:t>
      </w:r>
      <w:r w:rsidR="00E0383D" w:rsidRPr="000A20E2">
        <w:rPr>
          <w:rFonts w:cstheme="minorHAnsi"/>
          <w:i/>
          <w:iCs/>
        </w:rPr>
        <w:t>actively chose</w:t>
      </w:r>
      <w:r w:rsidR="00E0383D" w:rsidRPr="000A20E2">
        <w:rPr>
          <w:rFonts w:cstheme="minorHAnsi"/>
        </w:rPr>
        <w:t xml:space="preserve"> not to be.</w:t>
      </w:r>
      <w:r w:rsidR="005A77B4" w:rsidRPr="000A20E2">
        <w:rPr>
          <w:rFonts w:cstheme="minorHAnsi"/>
        </w:rPr>
        <w:t xml:space="preserve"> </w:t>
      </w:r>
      <w:r w:rsidR="00E0383D" w:rsidRPr="000A20E2">
        <w:rPr>
          <w:rFonts w:cstheme="minorHAnsi"/>
        </w:rPr>
        <w:t xml:space="preserve">If two or more unions represented different workers in the same bargaining unit, new employees would default to joining the union representing </w:t>
      </w:r>
      <w:r w:rsidR="00401F65" w:rsidRPr="000A20E2">
        <w:rPr>
          <w:rFonts w:cstheme="minorHAnsi"/>
        </w:rPr>
        <w:t xml:space="preserve">the </w:t>
      </w:r>
      <w:r w:rsidR="00E0383D" w:rsidRPr="000A20E2">
        <w:rPr>
          <w:rFonts w:cstheme="minorHAnsi"/>
        </w:rPr>
        <w:t xml:space="preserve">most members </w:t>
      </w:r>
      <w:r w:rsidR="00571A57" w:rsidRPr="000A20E2">
        <w:rPr>
          <w:rFonts w:cstheme="minorHAnsi"/>
        </w:rPr>
        <w:t>there</w:t>
      </w:r>
      <w:r w:rsidR="008F3B0B" w:rsidRPr="000A20E2">
        <w:rPr>
          <w:rFonts w:cstheme="minorHAnsi"/>
        </w:rPr>
        <w:t>.</w:t>
      </w:r>
      <w:r w:rsidR="00F437F1" w:rsidRPr="000A20E2">
        <w:rPr>
          <w:rStyle w:val="FootnoteReference"/>
          <w:rFonts w:cstheme="minorHAnsi"/>
        </w:rPr>
        <w:footnoteReference w:id="86"/>
      </w:r>
      <w:r w:rsidR="005A77B4" w:rsidRPr="000A20E2">
        <w:rPr>
          <w:rFonts w:cstheme="minorHAnsi"/>
        </w:rPr>
        <w:t xml:space="preserve"> </w:t>
      </w:r>
      <w:r w:rsidR="004F5C50" w:rsidRPr="000A20E2">
        <w:rPr>
          <w:rFonts w:cstheme="minorHAnsi"/>
        </w:rPr>
        <w:t>Following acceptance of employment</w:t>
      </w:r>
      <w:r w:rsidR="00E0383D" w:rsidRPr="000A20E2">
        <w:rPr>
          <w:rFonts w:cstheme="minorHAnsi"/>
        </w:rPr>
        <w:t>, employer</w:t>
      </w:r>
      <w:r w:rsidR="00571A57" w:rsidRPr="000A20E2">
        <w:rPr>
          <w:rFonts w:cstheme="minorHAnsi"/>
        </w:rPr>
        <w:t xml:space="preserve">s would inform </w:t>
      </w:r>
      <w:r w:rsidR="00E0383D" w:rsidRPr="000A20E2">
        <w:rPr>
          <w:rFonts w:cstheme="minorHAnsi"/>
        </w:rPr>
        <w:t>new employee</w:t>
      </w:r>
      <w:r w:rsidR="00571A57" w:rsidRPr="000A20E2">
        <w:rPr>
          <w:rFonts w:cstheme="minorHAnsi"/>
        </w:rPr>
        <w:t>s</w:t>
      </w:r>
      <w:r w:rsidR="00E0383D" w:rsidRPr="000A20E2">
        <w:rPr>
          <w:rFonts w:cstheme="minorHAnsi"/>
        </w:rPr>
        <w:t xml:space="preserve"> via letter and/or other means </w:t>
      </w:r>
      <w:r w:rsidR="00571A57" w:rsidRPr="000A20E2">
        <w:rPr>
          <w:rFonts w:cstheme="minorHAnsi"/>
        </w:rPr>
        <w:t xml:space="preserve">of </w:t>
      </w:r>
      <w:r w:rsidR="00E0383D" w:rsidRPr="000A20E2">
        <w:rPr>
          <w:rFonts w:cstheme="minorHAnsi"/>
        </w:rPr>
        <w:t xml:space="preserve">the default and the right to choose the non-union or union alternatives within a specified </w:t>
      </w:r>
      <w:r w:rsidR="008F3B0B" w:rsidRPr="000A20E2">
        <w:rPr>
          <w:rFonts w:cstheme="minorHAnsi"/>
        </w:rPr>
        <w:t>period</w:t>
      </w:r>
      <w:r w:rsidR="00E0383D" w:rsidRPr="000A20E2">
        <w:rPr>
          <w:rFonts w:cstheme="minorHAnsi"/>
        </w:rPr>
        <w:t>.</w:t>
      </w:r>
      <w:r w:rsidR="005A77B4" w:rsidRPr="000A20E2">
        <w:rPr>
          <w:rFonts w:cstheme="minorHAnsi"/>
        </w:rPr>
        <w:t xml:space="preserve"> </w:t>
      </w:r>
      <w:r w:rsidR="00EB4354" w:rsidRPr="000A20E2">
        <w:rPr>
          <w:rFonts w:cstheme="minorHAnsi"/>
        </w:rPr>
        <w:t xml:space="preserve">In order to reduce </w:t>
      </w:r>
      <w:r w:rsidR="00AA7E2D" w:rsidRPr="000A20E2">
        <w:rPr>
          <w:rFonts w:cstheme="minorHAnsi"/>
        </w:rPr>
        <w:t xml:space="preserve">employers’ </w:t>
      </w:r>
      <w:r w:rsidR="00EB4354" w:rsidRPr="000A20E2">
        <w:rPr>
          <w:rFonts w:cstheme="minorHAnsi"/>
        </w:rPr>
        <w:t xml:space="preserve">latitude </w:t>
      </w:r>
      <w:r w:rsidR="00AA7E2D" w:rsidRPr="000A20E2">
        <w:rPr>
          <w:rFonts w:cstheme="minorHAnsi"/>
        </w:rPr>
        <w:t>to</w:t>
      </w:r>
      <w:r w:rsidR="00EB4354" w:rsidRPr="000A20E2">
        <w:rPr>
          <w:rFonts w:cstheme="minorHAnsi"/>
        </w:rPr>
        <w:t xml:space="preserve"> influenc</w:t>
      </w:r>
      <w:r w:rsidR="00AA7E2D" w:rsidRPr="000A20E2">
        <w:rPr>
          <w:rFonts w:cstheme="minorHAnsi"/>
        </w:rPr>
        <w:t>e</w:t>
      </w:r>
      <w:r w:rsidR="00EB4354" w:rsidRPr="000A20E2">
        <w:rPr>
          <w:rFonts w:cstheme="minorHAnsi"/>
        </w:rPr>
        <w:t xml:space="preserve"> which unions were available to join or suggesting which union should be joined (as per ‘sweetheart’, ‘yellow’ or ‘company’ unions), a</w:t>
      </w:r>
      <w:r w:rsidR="00804645" w:rsidRPr="000A20E2">
        <w:rPr>
          <w:rFonts w:cstheme="minorHAnsi"/>
        </w:rPr>
        <w:t xml:space="preserve"> </w:t>
      </w:r>
      <w:r w:rsidR="0015674D" w:rsidRPr="000A20E2">
        <w:rPr>
          <w:rFonts w:cstheme="minorHAnsi"/>
        </w:rPr>
        <w:t xml:space="preserve">legislatively </w:t>
      </w:r>
      <w:r w:rsidR="00804645" w:rsidRPr="000A20E2">
        <w:rPr>
          <w:rFonts w:cstheme="minorHAnsi"/>
        </w:rPr>
        <w:t xml:space="preserve">standardised </w:t>
      </w:r>
      <w:r w:rsidR="0015674D" w:rsidRPr="000A20E2">
        <w:rPr>
          <w:rFonts w:cstheme="minorHAnsi"/>
        </w:rPr>
        <w:t>process</w:t>
      </w:r>
      <w:r w:rsidR="0015674D" w:rsidRPr="000A20E2">
        <w:rPr>
          <w:rStyle w:val="FootnoteReference"/>
          <w:rFonts w:cstheme="minorHAnsi"/>
        </w:rPr>
        <w:footnoteReference w:id="87"/>
      </w:r>
      <w:r w:rsidR="00804645" w:rsidRPr="000A20E2">
        <w:rPr>
          <w:rFonts w:cstheme="minorHAnsi"/>
        </w:rPr>
        <w:t xml:space="preserve"> could be used</w:t>
      </w:r>
      <w:r w:rsidR="00E0383D" w:rsidRPr="000A20E2">
        <w:rPr>
          <w:rFonts w:cstheme="minorHAnsi"/>
        </w:rPr>
        <w:t>.</w:t>
      </w:r>
      <w:r w:rsidR="005A77B4" w:rsidRPr="000A20E2">
        <w:rPr>
          <w:rFonts w:cstheme="minorHAnsi"/>
        </w:rPr>
        <w:t xml:space="preserve"> </w:t>
      </w:r>
      <w:r w:rsidR="00E0383D" w:rsidRPr="000A20E2">
        <w:rPr>
          <w:rFonts w:cstheme="minorHAnsi"/>
        </w:rPr>
        <w:t xml:space="preserve">The union or unions </w:t>
      </w:r>
      <w:r w:rsidR="00EB6FAD" w:rsidRPr="000A20E2">
        <w:rPr>
          <w:rFonts w:cstheme="minorHAnsi"/>
        </w:rPr>
        <w:t>w</w:t>
      </w:r>
      <w:r w:rsidR="00E0383D" w:rsidRPr="000A20E2">
        <w:rPr>
          <w:rFonts w:cstheme="minorHAnsi"/>
        </w:rPr>
        <w:t xml:space="preserve">ould be guaranteed workplace access rights to approach any employees in the bargaining unit at a reasonable time and in a reasonable way to discuss any matters relating to union business such as </w:t>
      </w:r>
      <w:r w:rsidR="00571A57" w:rsidRPr="000A20E2">
        <w:rPr>
          <w:rFonts w:cstheme="minorHAnsi"/>
        </w:rPr>
        <w:t>membership recruitment</w:t>
      </w:r>
      <w:r w:rsidR="00E0383D" w:rsidRPr="000A20E2">
        <w:rPr>
          <w:rFonts w:cstheme="minorHAnsi"/>
        </w:rPr>
        <w:t xml:space="preserve">. </w:t>
      </w:r>
    </w:p>
    <w:p w14:paraId="50D56051" w14:textId="796AC88E" w:rsidR="00E0383D" w:rsidRPr="000A20E2" w:rsidRDefault="00E0383D" w:rsidP="000A20E2">
      <w:pPr>
        <w:spacing w:after="0" w:line="240" w:lineRule="auto"/>
        <w:ind w:firstLine="720"/>
        <w:jc w:val="both"/>
        <w:rPr>
          <w:rFonts w:cstheme="minorHAnsi"/>
        </w:rPr>
      </w:pPr>
      <w:r w:rsidRPr="000A20E2">
        <w:rPr>
          <w:rFonts w:cstheme="minorHAnsi"/>
        </w:rPr>
        <w:t xml:space="preserve">How </w:t>
      </w:r>
      <w:r w:rsidR="00571A57" w:rsidRPr="000A20E2">
        <w:rPr>
          <w:rFonts w:cstheme="minorHAnsi"/>
        </w:rPr>
        <w:t>w</w:t>
      </w:r>
      <w:r w:rsidRPr="000A20E2">
        <w:rPr>
          <w:rFonts w:cstheme="minorHAnsi"/>
        </w:rPr>
        <w:t>ould a union default be implemented in non-union workplace</w:t>
      </w:r>
      <w:r w:rsidR="00571A57" w:rsidRPr="000A20E2">
        <w:rPr>
          <w:rFonts w:cstheme="minorHAnsi"/>
        </w:rPr>
        <w:t>s</w:t>
      </w:r>
      <w:r w:rsidRPr="000A20E2">
        <w:rPr>
          <w:rFonts w:cstheme="minorHAnsi"/>
        </w:rPr>
        <w:t>?</w:t>
      </w:r>
      <w:r w:rsidR="005A77B4" w:rsidRPr="000A20E2">
        <w:rPr>
          <w:rFonts w:cstheme="minorHAnsi"/>
        </w:rPr>
        <w:t xml:space="preserve"> </w:t>
      </w:r>
      <w:r w:rsidR="000A200D" w:rsidRPr="000A20E2">
        <w:rPr>
          <w:rFonts w:cstheme="minorHAnsi"/>
        </w:rPr>
        <w:t xml:space="preserve">And, </w:t>
      </w:r>
      <w:r w:rsidRPr="000A20E2">
        <w:rPr>
          <w:rFonts w:cstheme="minorHAnsi"/>
        </w:rPr>
        <w:t xml:space="preserve">which union would non-union employees be defaulted to </w:t>
      </w:r>
      <w:r w:rsidR="00505448" w:rsidRPr="000A20E2">
        <w:rPr>
          <w:rFonts w:cstheme="minorHAnsi"/>
        </w:rPr>
        <w:t>in the absence of any existing union</w:t>
      </w:r>
      <w:r w:rsidRPr="000A20E2">
        <w:rPr>
          <w:rFonts w:cstheme="minorHAnsi"/>
        </w:rPr>
        <w:t>?</w:t>
      </w:r>
      <w:r w:rsidR="005A77B4" w:rsidRPr="000A20E2">
        <w:rPr>
          <w:rFonts w:cstheme="minorHAnsi"/>
        </w:rPr>
        <w:t xml:space="preserve"> </w:t>
      </w:r>
      <w:r w:rsidRPr="000A20E2">
        <w:rPr>
          <w:rFonts w:cstheme="minorHAnsi"/>
        </w:rPr>
        <w:t xml:space="preserve">A union could earn the right to be the default union in a non-union workplace </w:t>
      </w:r>
      <w:r w:rsidR="00DE1B69" w:rsidRPr="000A20E2">
        <w:rPr>
          <w:rFonts w:cstheme="minorHAnsi"/>
        </w:rPr>
        <w:t xml:space="preserve">by </w:t>
      </w:r>
      <w:r w:rsidRPr="000A20E2">
        <w:rPr>
          <w:rFonts w:cstheme="minorHAnsi"/>
        </w:rPr>
        <w:t xml:space="preserve">organising a minimum number of members </w:t>
      </w:r>
      <w:r w:rsidR="00571A57" w:rsidRPr="000A20E2">
        <w:rPr>
          <w:rFonts w:cstheme="minorHAnsi"/>
        </w:rPr>
        <w:t>in</w:t>
      </w:r>
      <w:r w:rsidRPr="000A20E2">
        <w:rPr>
          <w:rFonts w:cstheme="minorHAnsi"/>
        </w:rPr>
        <w:t xml:space="preserve"> </w:t>
      </w:r>
      <w:r w:rsidR="00505448" w:rsidRPr="000A20E2">
        <w:rPr>
          <w:rFonts w:cstheme="minorHAnsi"/>
        </w:rPr>
        <w:t>that</w:t>
      </w:r>
      <w:r w:rsidRPr="000A20E2">
        <w:rPr>
          <w:rFonts w:cstheme="minorHAnsi"/>
        </w:rPr>
        <w:t xml:space="preserve"> workplace.</w:t>
      </w:r>
      <w:r w:rsidR="005A77B4" w:rsidRPr="000A20E2">
        <w:rPr>
          <w:rFonts w:cstheme="minorHAnsi"/>
        </w:rPr>
        <w:t xml:space="preserve"> </w:t>
      </w:r>
      <w:r w:rsidRPr="000A20E2">
        <w:rPr>
          <w:rFonts w:cstheme="minorHAnsi"/>
        </w:rPr>
        <w:t xml:space="preserve">This threshold could be set </w:t>
      </w:r>
      <w:r w:rsidR="00505448" w:rsidRPr="000A20E2">
        <w:rPr>
          <w:rFonts w:cstheme="minorHAnsi"/>
        </w:rPr>
        <w:t>at a</w:t>
      </w:r>
      <w:r w:rsidRPr="000A20E2">
        <w:rPr>
          <w:rFonts w:cstheme="minorHAnsi"/>
        </w:rPr>
        <w:t xml:space="preserve"> low </w:t>
      </w:r>
      <w:r w:rsidR="00505448" w:rsidRPr="000A20E2">
        <w:rPr>
          <w:rFonts w:cstheme="minorHAnsi"/>
        </w:rPr>
        <w:t xml:space="preserve">level to make it </w:t>
      </w:r>
      <w:r w:rsidRPr="000A20E2">
        <w:rPr>
          <w:rFonts w:cstheme="minorHAnsi"/>
        </w:rPr>
        <w:t>easy to introduce a union default.</w:t>
      </w:r>
      <w:r w:rsidR="00BD3C8C">
        <w:rPr>
          <w:rStyle w:val="FootnoteReference"/>
          <w:rFonts w:cstheme="minorHAnsi"/>
        </w:rPr>
        <w:footnoteReference w:id="88"/>
      </w:r>
      <w:r w:rsidR="004920B0" w:rsidRPr="000A20E2">
        <w:rPr>
          <w:rFonts w:cstheme="minorHAnsi"/>
        </w:rPr>
        <w:t xml:space="preserve"> </w:t>
      </w:r>
      <w:r w:rsidR="00DE1B69" w:rsidRPr="000A20E2">
        <w:rPr>
          <w:rFonts w:cstheme="minorHAnsi"/>
        </w:rPr>
        <w:t>Any union satisfying this criterion could then apply to a labour relations board</w:t>
      </w:r>
      <w:r w:rsidR="00325F2A" w:rsidRPr="000A20E2">
        <w:rPr>
          <w:rStyle w:val="FootnoteReference"/>
          <w:rFonts w:cstheme="minorHAnsi"/>
        </w:rPr>
        <w:footnoteReference w:id="89"/>
      </w:r>
      <w:r w:rsidR="00DE1B69" w:rsidRPr="000A20E2">
        <w:rPr>
          <w:rFonts w:cstheme="minorHAnsi"/>
        </w:rPr>
        <w:t xml:space="preserve"> to become the default union.</w:t>
      </w:r>
      <w:r w:rsidR="005A77B4" w:rsidRPr="000A20E2">
        <w:rPr>
          <w:rFonts w:cstheme="minorHAnsi"/>
        </w:rPr>
        <w:t xml:space="preserve"> </w:t>
      </w:r>
      <w:r w:rsidR="00A83E76" w:rsidRPr="000A20E2">
        <w:rPr>
          <w:rFonts w:cstheme="minorHAnsi"/>
        </w:rPr>
        <w:t xml:space="preserve">Prior to this, unions could be certified as being eligible to become default unions by having their independence and </w:t>
      </w:r>
      <w:r w:rsidR="00A83E76" w:rsidRPr="000A20E2">
        <w:rPr>
          <w:rFonts w:cstheme="minorHAnsi"/>
          <w:i/>
        </w:rPr>
        <w:t>bona fide</w:t>
      </w:r>
      <w:r w:rsidR="00A83E76" w:rsidRPr="000A20E2">
        <w:rPr>
          <w:rFonts w:cstheme="minorHAnsi"/>
        </w:rPr>
        <w:t xml:space="preserve"> functions verified. </w:t>
      </w:r>
      <w:r w:rsidR="00DE1B69" w:rsidRPr="000A20E2">
        <w:rPr>
          <w:rFonts w:cstheme="minorHAnsi"/>
        </w:rPr>
        <w:t xml:space="preserve">If two </w:t>
      </w:r>
      <w:r w:rsidR="004F5C50" w:rsidRPr="000A20E2">
        <w:rPr>
          <w:rFonts w:cstheme="minorHAnsi"/>
        </w:rPr>
        <w:t xml:space="preserve">or more </w:t>
      </w:r>
      <w:r w:rsidR="00DE1B69" w:rsidRPr="000A20E2">
        <w:rPr>
          <w:rFonts w:cstheme="minorHAnsi"/>
        </w:rPr>
        <w:t xml:space="preserve">unions recruited </w:t>
      </w:r>
      <w:r w:rsidR="004F5C50" w:rsidRPr="000A20E2">
        <w:rPr>
          <w:rFonts w:cstheme="minorHAnsi"/>
        </w:rPr>
        <w:t xml:space="preserve">at least </w:t>
      </w:r>
      <w:r w:rsidR="00DE1B69" w:rsidRPr="000A20E2">
        <w:rPr>
          <w:rFonts w:cstheme="minorHAnsi"/>
        </w:rPr>
        <w:t xml:space="preserve">the minimum number of members in the same </w:t>
      </w:r>
      <w:r w:rsidR="00A35C43" w:rsidRPr="000A20E2">
        <w:rPr>
          <w:rFonts w:cstheme="minorHAnsi"/>
        </w:rPr>
        <w:t>bargaining unit</w:t>
      </w:r>
      <w:r w:rsidR="00DE1B69" w:rsidRPr="000A20E2">
        <w:rPr>
          <w:rFonts w:cstheme="minorHAnsi"/>
        </w:rPr>
        <w:t xml:space="preserve">, the board could </w:t>
      </w:r>
      <w:r w:rsidR="00505448" w:rsidRPr="000A20E2">
        <w:rPr>
          <w:rFonts w:cstheme="minorHAnsi"/>
        </w:rPr>
        <w:t>award</w:t>
      </w:r>
      <w:r w:rsidR="00DE1B69" w:rsidRPr="000A20E2">
        <w:rPr>
          <w:rFonts w:cstheme="minorHAnsi"/>
        </w:rPr>
        <w:t xml:space="preserve"> default status to the one with the </w:t>
      </w:r>
      <w:r w:rsidR="00A35C43" w:rsidRPr="000A20E2">
        <w:rPr>
          <w:rFonts w:cstheme="minorHAnsi"/>
        </w:rPr>
        <w:t>most</w:t>
      </w:r>
      <w:r w:rsidR="00DE1B69" w:rsidRPr="000A20E2">
        <w:rPr>
          <w:rFonts w:cstheme="minorHAnsi"/>
        </w:rPr>
        <w:t xml:space="preserve"> </w:t>
      </w:r>
      <w:r w:rsidR="00A35C43" w:rsidRPr="000A20E2">
        <w:rPr>
          <w:rFonts w:cstheme="minorHAnsi"/>
        </w:rPr>
        <w:t>members.</w:t>
      </w:r>
      <w:r w:rsidR="00F86951" w:rsidRPr="000A20E2">
        <w:rPr>
          <w:rStyle w:val="FootnoteReference"/>
          <w:rFonts w:cstheme="minorHAnsi"/>
        </w:rPr>
        <w:footnoteReference w:id="90"/>
      </w:r>
      <w:r w:rsidR="004920B0" w:rsidRPr="000A20E2">
        <w:rPr>
          <w:rFonts w:cstheme="minorHAnsi"/>
        </w:rPr>
        <w:t xml:space="preserve"> </w:t>
      </w:r>
      <w:r w:rsidR="00506A64" w:rsidRPr="000A20E2">
        <w:rPr>
          <w:rFonts w:cstheme="minorHAnsi"/>
        </w:rPr>
        <w:t>Once granted default status, the employer would inform each employee, along the lines described earlier for unionised workplaces, about both the defaulting process and the right to choose the non-union or union alternatives.</w:t>
      </w:r>
      <w:r w:rsidR="005A77B4" w:rsidRPr="000A20E2">
        <w:rPr>
          <w:rFonts w:cstheme="minorHAnsi"/>
        </w:rPr>
        <w:t xml:space="preserve"> </w:t>
      </w:r>
    </w:p>
    <w:p w14:paraId="3DD11012" w14:textId="7037A415" w:rsidR="00FF05D6" w:rsidRPr="000A20E2" w:rsidRDefault="00FF05D6" w:rsidP="000A20E2">
      <w:pPr>
        <w:spacing w:after="0" w:line="240" w:lineRule="auto"/>
        <w:ind w:firstLine="720"/>
        <w:jc w:val="both"/>
        <w:rPr>
          <w:rFonts w:cstheme="minorHAnsi"/>
        </w:rPr>
      </w:pPr>
      <w:r w:rsidRPr="000A20E2">
        <w:rPr>
          <w:rFonts w:cstheme="minorHAnsi"/>
        </w:rPr>
        <w:t>In effect, application for default status could become another avenue for unions to obtain representation and bargaining rights</w:t>
      </w:r>
      <w:r w:rsidR="001065A3" w:rsidRPr="000A20E2">
        <w:rPr>
          <w:rFonts w:cstheme="minorHAnsi"/>
        </w:rPr>
        <w:t xml:space="preserve">. </w:t>
      </w:r>
      <w:r w:rsidRPr="000A20E2">
        <w:rPr>
          <w:rFonts w:cstheme="minorHAnsi"/>
        </w:rPr>
        <w:t>Union membership could be tied directly to union recognition, with unions legislatively guaranteed the right to bargain collectively on behalf of their members.</w:t>
      </w:r>
      <w:r w:rsidR="001065A3" w:rsidRPr="000A20E2">
        <w:rPr>
          <w:rFonts w:cstheme="minorHAnsi"/>
        </w:rPr>
        <w:t xml:space="preserve"> </w:t>
      </w:r>
      <w:r w:rsidRPr="000A20E2">
        <w:rPr>
          <w:rFonts w:cstheme="minorHAnsi"/>
        </w:rPr>
        <w:t>In New Zealand, for example, anyone who joins the union automatically joins the corresponding collective agreement that covers his or her work.</w:t>
      </w:r>
      <w:r w:rsidR="000C5938" w:rsidRPr="000A20E2">
        <w:rPr>
          <w:rStyle w:val="FootnoteReference"/>
          <w:rFonts w:cstheme="minorHAnsi"/>
        </w:rPr>
        <w:footnoteReference w:id="91"/>
      </w:r>
      <w:r w:rsidR="001065A3" w:rsidRPr="000A20E2">
        <w:rPr>
          <w:rFonts w:cstheme="minorHAnsi"/>
        </w:rPr>
        <w:t xml:space="preserve"> </w:t>
      </w:r>
      <w:r w:rsidR="001551E5" w:rsidRPr="000A20E2">
        <w:rPr>
          <w:rFonts w:cstheme="minorHAnsi"/>
        </w:rPr>
        <w:t xml:space="preserve">If a collective agreement does not yet exist, a union </w:t>
      </w:r>
      <w:r w:rsidR="000C5938" w:rsidRPr="000A20E2">
        <w:rPr>
          <w:rFonts w:cstheme="minorHAnsi"/>
        </w:rPr>
        <w:t xml:space="preserve">automatically </w:t>
      </w:r>
      <w:r w:rsidR="001551E5" w:rsidRPr="000A20E2">
        <w:rPr>
          <w:rFonts w:cstheme="minorHAnsi"/>
        </w:rPr>
        <w:t xml:space="preserve">has the right to bargain for one on behalf </w:t>
      </w:r>
      <w:r w:rsidR="009A0AAC" w:rsidRPr="000A20E2">
        <w:rPr>
          <w:rFonts w:cstheme="minorHAnsi"/>
        </w:rPr>
        <w:t>of its</w:t>
      </w:r>
      <w:r w:rsidR="001551E5" w:rsidRPr="000A20E2">
        <w:rPr>
          <w:rFonts w:cstheme="minorHAnsi"/>
        </w:rPr>
        <w:t xml:space="preserve"> members.</w:t>
      </w:r>
      <w:r w:rsidR="001065A3" w:rsidRPr="000A20E2">
        <w:rPr>
          <w:rFonts w:cstheme="minorHAnsi"/>
        </w:rPr>
        <w:t xml:space="preserve"> </w:t>
      </w:r>
      <w:r w:rsidR="001551E5" w:rsidRPr="000A20E2">
        <w:rPr>
          <w:rFonts w:cstheme="minorHAnsi"/>
        </w:rPr>
        <w:t>Good faith rules require employers to recognise the union employees have chosen, in exercising their freedom of association, and bargain accordingly.</w:t>
      </w:r>
      <w:r w:rsidR="000C5938" w:rsidRPr="000A20E2">
        <w:rPr>
          <w:rStyle w:val="FootnoteReference"/>
          <w:rFonts w:cstheme="minorHAnsi"/>
        </w:rPr>
        <w:footnoteReference w:id="92"/>
      </w:r>
      <w:r w:rsidR="001065A3" w:rsidRPr="000A20E2">
        <w:rPr>
          <w:rFonts w:cstheme="minorHAnsi"/>
        </w:rPr>
        <w:t xml:space="preserve"> </w:t>
      </w:r>
      <w:r w:rsidR="001551E5" w:rsidRPr="000A20E2">
        <w:rPr>
          <w:rFonts w:cstheme="minorHAnsi"/>
        </w:rPr>
        <w:t>If the employer acts in bad faith and undermine</w:t>
      </w:r>
      <w:r w:rsidR="00951D5C" w:rsidRPr="000A20E2">
        <w:rPr>
          <w:rFonts w:cstheme="minorHAnsi"/>
        </w:rPr>
        <w:t>s</w:t>
      </w:r>
      <w:r w:rsidR="001551E5" w:rsidRPr="000A20E2">
        <w:rPr>
          <w:rFonts w:cstheme="minorHAnsi"/>
        </w:rPr>
        <w:t xml:space="preserve"> efforts to </w:t>
      </w:r>
      <w:r w:rsidR="000C5938" w:rsidRPr="000A20E2">
        <w:rPr>
          <w:rFonts w:cstheme="minorHAnsi"/>
        </w:rPr>
        <w:t>negotiate</w:t>
      </w:r>
      <w:r w:rsidR="001551E5" w:rsidRPr="000A20E2">
        <w:rPr>
          <w:rFonts w:cstheme="minorHAnsi"/>
        </w:rPr>
        <w:t xml:space="preserve"> a collective agreement, the Employment Relations Authority may impo</w:t>
      </w:r>
      <w:r w:rsidR="000856FC" w:rsidRPr="000A20E2">
        <w:rPr>
          <w:rFonts w:cstheme="minorHAnsi"/>
        </w:rPr>
        <w:t>se all or part of a</w:t>
      </w:r>
      <w:r w:rsidR="001065A3" w:rsidRPr="000A20E2">
        <w:rPr>
          <w:rFonts w:cstheme="minorHAnsi"/>
        </w:rPr>
        <w:t xml:space="preserve"> </w:t>
      </w:r>
      <w:r w:rsidR="000856FC" w:rsidRPr="000A20E2">
        <w:rPr>
          <w:rFonts w:cstheme="minorHAnsi"/>
        </w:rPr>
        <w:t xml:space="preserve">first contract. </w:t>
      </w:r>
      <w:r w:rsidR="00FC7747" w:rsidRPr="000A20E2">
        <w:rPr>
          <w:rStyle w:val="FootnoteReference"/>
          <w:rFonts w:cstheme="minorHAnsi"/>
        </w:rPr>
        <w:footnoteReference w:id="93"/>
      </w:r>
      <w:r w:rsidR="001065A3" w:rsidRPr="000A20E2">
        <w:rPr>
          <w:rFonts w:cstheme="minorHAnsi"/>
        </w:rPr>
        <w:t xml:space="preserve"> </w:t>
      </w:r>
    </w:p>
    <w:p w14:paraId="24DCD3AD" w14:textId="167FD807" w:rsidR="00C05CD8" w:rsidRPr="000A20E2" w:rsidRDefault="00FF05D6" w:rsidP="000A20E2">
      <w:pPr>
        <w:spacing w:after="0" w:line="240" w:lineRule="auto"/>
        <w:ind w:firstLine="720"/>
        <w:jc w:val="both"/>
        <w:rPr>
          <w:rFonts w:cstheme="minorHAnsi"/>
        </w:rPr>
      </w:pPr>
      <w:r w:rsidRPr="000A20E2">
        <w:rPr>
          <w:rFonts w:cstheme="minorHAnsi"/>
        </w:rPr>
        <w:t>Freedom of association does</w:t>
      </w:r>
      <w:r w:rsidR="00F71A4B" w:rsidRPr="000A20E2">
        <w:rPr>
          <w:rFonts w:cstheme="minorHAnsi"/>
        </w:rPr>
        <w:t xml:space="preserve"> </w:t>
      </w:r>
      <w:r w:rsidR="008663B4" w:rsidRPr="000A20E2">
        <w:rPr>
          <w:rFonts w:cstheme="minorHAnsi"/>
        </w:rPr>
        <w:t xml:space="preserve">require </w:t>
      </w:r>
      <w:r w:rsidR="00F71A4B" w:rsidRPr="000A20E2">
        <w:rPr>
          <w:rFonts w:cstheme="minorHAnsi"/>
        </w:rPr>
        <w:t>protect</w:t>
      </w:r>
      <w:r w:rsidR="008663B4" w:rsidRPr="000A20E2">
        <w:rPr>
          <w:rFonts w:cstheme="minorHAnsi"/>
        </w:rPr>
        <w:t>ion</w:t>
      </w:r>
      <w:r w:rsidR="00F71A4B" w:rsidRPr="000A20E2">
        <w:rPr>
          <w:rFonts w:cstheme="minorHAnsi"/>
        </w:rPr>
        <w:t xml:space="preserve"> from </w:t>
      </w:r>
      <w:r w:rsidR="000E262C" w:rsidRPr="000A20E2">
        <w:rPr>
          <w:rFonts w:cstheme="minorHAnsi"/>
        </w:rPr>
        <w:t>employer interference</w:t>
      </w:r>
      <w:r w:rsidR="00F71A4B" w:rsidRPr="000A20E2">
        <w:rPr>
          <w:rFonts w:cstheme="minorHAnsi"/>
        </w:rPr>
        <w:t>.</w:t>
      </w:r>
      <w:r w:rsidR="005A77B4" w:rsidRPr="000A20E2">
        <w:rPr>
          <w:rFonts w:cstheme="minorHAnsi"/>
        </w:rPr>
        <w:t xml:space="preserve"> </w:t>
      </w:r>
      <w:r w:rsidR="00F71A4B" w:rsidRPr="000A20E2">
        <w:rPr>
          <w:rFonts w:cstheme="minorHAnsi"/>
        </w:rPr>
        <w:t>There are many ways this could be done.</w:t>
      </w:r>
      <w:r w:rsidR="005A77B4" w:rsidRPr="000A20E2">
        <w:rPr>
          <w:rFonts w:cstheme="minorHAnsi"/>
        </w:rPr>
        <w:t xml:space="preserve"> </w:t>
      </w:r>
      <w:r w:rsidR="00F71A4B" w:rsidRPr="000A20E2">
        <w:rPr>
          <w:rFonts w:cstheme="minorHAnsi"/>
        </w:rPr>
        <w:t xml:space="preserve">Various forms of interference could be </w:t>
      </w:r>
      <w:r w:rsidR="008663B4" w:rsidRPr="000A20E2">
        <w:rPr>
          <w:rFonts w:cstheme="minorHAnsi"/>
        </w:rPr>
        <w:t xml:space="preserve">constituted as </w:t>
      </w:r>
      <w:r w:rsidR="00F71A4B" w:rsidRPr="000A20E2">
        <w:rPr>
          <w:rFonts w:cstheme="minorHAnsi"/>
        </w:rPr>
        <w:t>unfair labour practices</w:t>
      </w:r>
      <w:r w:rsidR="00571A57" w:rsidRPr="000A20E2">
        <w:rPr>
          <w:rFonts w:cstheme="minorHAnsi"/>
        </w:rPr>
        <w:t xml:space="preserve"> but h</w:t>
      </w:r>
      <w:r w:rsidR="00A00CBD" w:rsidRPr="000A20E2">
        <w:rPr>
          <w:rFonts w:cstheme="minorHAnsi"/>
        </w:rPr>
        <w:t xml:space="preserve">eftier penalties than those currently available </w:t>
      </w:r>
      <w:r w:rsidR="00F71A4B" w:rsidRPr="000A20E2">
        <w:rPr>
          <w:rFonts w:cstheme="minorHAnsi"/>
        </w:rPr>
        <w:t>could be levied.</w:t>
      </w:r>
      <w:r w:rsidR="004920B0" w:rsidRPr="000A20E2">
        <w:rPr>
          <w:rFonts w:cstheme="minorHAnsi"/>
        </w:rPr>
        <w:t xml:space="preserve"> </w:t>
      </w:r>
      <w:r w:rsidR="00480102" w:rsidRPr="000A20E2">
        <w:rPr>
          <w:rFonts w:cstheme="minorHAnsi"/>
        </w:rPr>
        <w:t>In addition</w:t>
      </w:r>
      <w:r w:rsidR="00F71A4B" w:rsidRPr="000A20E2">
        <w:rPr>
          <w:rFonts w:cstheme="minorHAnsi"/>
        </w:rPr>
        <w:t xml:space="preserve">, it could </w:t>
      </w:r>
      <w:r w:rsidR="00EB4354" w:rsidRPr="000A20E2">
        <w:rPr>
          <w:rFonts w:cstheme="minorHAnsi"/>
        </w:rPr>
        <w:t xml:space="preserve">also </w:t>
      </w:r>
      <w:r w:rsidR="00F71A4B" w:rsidRPr="000A20E2">
        <w:rPr>
          <w:rFonts w:cstheme="minorHAnsi"/>
        </w:rPr>
        <w:t xml:space="preserve">be made </w:t>
      </w:r>
      <w:r w:rsidR="00EB4354" w:rsidRPr="000A20E2">
        <w:rPr>
          <w:rFonts w:cstheme="minorHAnsi"/>
        </w:rPr>
        <w:t>unlawful</w:t>
      </w:r>
      <w:r w:rsidR="00F71A4B" w:rsidRPr="000A20E2">
        <w:rPr>
          <w:rFonts w:cstheme="minorHAnsi"/>
        </w:rPr>
        <w:t xml:space="preserve"> to discriminate against </w:t>
      </w:r>
      <w:r w:rsidR="00ED7262" w:rsidRPr="000A20E2">
        <w:rPr>
          <w:rFonts w:cstheme="minorHAnsi"/>
        </w:rPr>
        <w:t xml:space="preserve">workers for </w:t>
      </w:r>
      <w:r w:rsidR="00A00CBD" w:rsidRPr="000A20E2">
        <w:rPr>
          <w:rFonts w:cstheme="minorHAnsi"/>
        </w:rPr>
        <w:t xml:space="preserve">their </w:t>
      </w:r>
      <w:r w:rsidR="00F71A4B" w:rsidRPr="000A20E2">
        <w:rPr>
          <w:rFonts w:cstheme="minorHAnsi"/>
        </w:rPr>
        <w:t>‘union activities’</w:t>
      </w:r>
      <w:r w:rsidR="00A00CBD" w:rsidRPr="000A20E2">
        <w:rPr>
          <w:rFonts w:cstheme="minorHAnsi"/>
        </w:rPr>
        <w:t xml:space="preserve"> or </w:t>
      </w:r>
      <w:r w:rsidR="00ED7262" w:rsidRPr="000A20E2">
        <w:rPr>
          <w:rFonts w:cstheme="minorHAnsi"/>
        </w:rPr>
        <w:t>office holding</w:t>
      </w:r>
      <w:r w:rsidR="00A00CBD" w:rsidRPr="000A20E2">
        <w:rPr>
          <w:rFonts w:cstheme="minorHAnsi"/>
        </w:rPr>
        <w:t>.</w:t>
      </w:r>
      <w:r w:rsidR="00ED7262" w:rsidRPr="000A20E2">
        <w:rPr>
          <w:rFonts w:cstheme="minorHAnsi"/>
        </w:rPr>
        <w:t xml:space="preserve"> </w:t>
      </w:r>
      <w:r w:rsidR="000A200D" w:rsidRPr="000A20E2">
        <w:rPr>
          <w:rFonts w:cstheme="minorHAnsi"/>
        </w:rPr>
        <w:t xml:space="preserve">Yet aside from hostile employer </w:t>
      </w:r>
      <w:r w:rsidR="001551E5" w:rsidRPr="000A20E2">
        <w:rPr>
          <w:rFonts w:cstheme="minorHAnsi"/>
        </w:rPr>
        <w:t>opposition</w:t>
      </w:r>
      <w:r w:rsidR="000A200D" w:rsidRPr="000A20E2">
        <w:rPr>
          <w:rFonts w:cstheme="minorHAnsi"/>
        </w:rPr>
        <w:t>,</w:t>
      </w:r>
      <w:r w:rsidR="00070742" w:rsidRPr="000A20E2">
        <w:rPr>
          <w:rFonts w:cstheme="minorHAnsi"/>
        </w:rPr>
        <w:t xml:space="preserve"> unions wo</w:t>
      </w:r>
      <w:r w:rsidR="00877503" w:rsidRPr="000A20E2">
        <w:rPr>
          <w:rFonts w:cstheme="minorHAnsi"/>
        </w:rPr>
        <w:t xml:space="preserve">uld still face </w:t>
      </w:r>
      <w:r w:rsidR="00070742" w:rsidRPr="000A20E2">
        <w:rPr>
          <w:rFonts w:cstheme="minorHAnsi"/>
        </w:rPr>
        <w:t xml:space="preserve">logistical and organisational challenges </w:t>
      </w:r>
      <w:r w:rsidR="00877503" w:rsidRPr="000A20E2">
        <w:rPr>
          <w:rFonts w:cstheme="minorHAnsi"/>
        </w:rPr>
        <w:t xml:space="preserve">in </w:t>
      </w:r>
      <w:r w:rsidR="00602793" w:rsidRPr="000A20E2">
        <w:rPr>
          <w:rFonts w:cstheme="minorHAnsi"/>
        </w:rPr>
        <w:t>attaining</w:t>
      </w:r>
      <w:r w:rsidR="00961115" w:rsidRPr="000A20E2">
        <w:rPr>
          <w:rFonts w:cstheme="minorHAnsi"/>
        </w:rPr>
        <w:t xml:space="preserve"> </w:t>
      </w:r>
      <w:r w:rsidR="00070742" w:rsidRPr="000A20E2">
        <w:rPr>
          <w:rFonts w:cstheme="minorHAnsi"/>
        </w:rPr>
        <w:t xml:space="preserve">default </w:t>
      </w:r>
      <w:r w:rsidR="00ED7262" w:rsidRPr="000A20E2">
        <w:rPr>
          <w:rFonts w:cstheme="minorHAnsi"/>
        </w:rPr>
        <w:t xml:space="preserve">status </w:t>
      </w:r>
      <w:r w:rsidR="00877503" w:rsidRPr="000A20E2">
        <w:rPr>
          <w:rFonts w:cstheme="minorHAnsi"/>
        </w:rPr>
        <w:t xml:space="preserve">– even with a low threshold - </w:t>
      </w:r>
      <w:r w:rsidR="00070742" w:rsidRPr="000A20E2">
        <w:rPr>
          <w:rFonts w:cstheme="minorHAnsi"/>
        </w:rPr>
        <w:t>in the non-</w:t>
      </w:r>
      <w:r w:rsidR="00ED7262" w:rsidRPr="000A20E2">
        <w:rPr>
          <w:rFonts w:cstheme="minorHAnsi"/>
        </w:rPr>
        <w:t xml:space="preserve"> or weakly unionised sectors</w:t>
      </w:r>
      <w:r w:rsidR="00070742" w:rsidRPr="000A20E2">
        <w:rPr>
          <w:rFonts w:cstheme="minorHAnsi"/>
        </w:rPr>
        <w:t>. The fragmentation of employment structures</w:t>
      </w:r>
      <w:r w:rsidR="00775C54" w:rsidRPr="000A20E2">
        <w:rPr>
          <w:rFonts w:cstheme="minorHAnsi"/>
        </w:rPr>
        <w:t xml:space="preserve"> </w:t>
      </w:r>
      <w:r w:rsidR="00070742" w:rsidRPr="000A20E2">
        <w:rPr>
          <w:rFonts w:cstheme="minorHAnsi"/>
        </w:rPr>
        <w:t xml:space="preserve">(through demerging and outsourcing in particular) means potential bargaining units are </w:t>
      </w:r>
      <w:r w:rsidR="00877503" w:rsidRPr="000A20E2">
        <w:rPr>
          <w:rFonts w:cstheme="minorHAnsi"/>
        </w:rPr>
        <w:t xml:space="preserve">smaller and </w:t>
      </w:r>
      <w:r w:rsidR="00602793" w:rsidRPr="000A20E2">
        <w:rPr>
          <w:rFonts w:cstheme="minorHAnsi"/>
        </w:rPr>
        <w:t xml:space="preserve">more </w:t>
      </w:r>
      <w:r w:rsidR="00877503" w:rsidRPr="000A20E2">
        <w:rPr>
          <w:rFonts w:cstheme="minorHAnsi"/>
        </w:rPr>
        <w:t xml:space="preserve">numerous. </w:t>
      </w:r>
      <w:r w:rsidR="00070742" w:rsidRPr="000A20E2">
        <w:rPr>
          <w:rFonts w:cstheme="minorHAnsi"/>
        </w:rPr>
        <w:t xml:space="preserve">To avail themselves of the possibility of gaining default status, unions would </w:t>
      </w:r>
      <w:r w:rsidR="00A56301" w:rsidRPr="000A20E2">
        <w:rPr>
          <w:rFonts w:cstheme="minorHAnsi"/>
        </w:rPr>
        <w:t xml:space="preserve">– at least initially - </w:t>
      </w:r>
      <w:r w:rsidR="00070742" w:rsidRPr="000A20E2">
        <w:rPr>
          <w:rFonts w:cstheme="minorHAnsi"/>
        </w:rPr>
        <w:t xml:space="preserve">need to switch </w:t>
      </w:r>
      <w:r w:rsidR="00A56301" w:rsidRPr="000A20E2">
        <w:rPr>
          <w:rFonts w:cstheme="minorHAnsi"/>
        </w:rPr>
        <w:t xml:space="preserve">some </w:t>
      </w:r>
      <w:r w:rsidR="00070742" w:rsidRPr="000A20E2">
        <w:rPr>
          <w:rFonts w:cstheme="minorHAnsi"/>
        </w:rPr>
        <w:t>resource from representing exist</w:t>
      </w:r>
      <w:r w:rsidR="00775C54" w:rsidRPr="000A20E2">
        <w:rPr>
          <w:rFonts w:cstheme="minorHAnsi"/>
        </w:rPr>
        <w:t xml:space="preserve">ing members to recruiting </w:t>
      </w:r>
      <w:r w:rsidR="00070742" w:rsidRPr="000A20E2">
        <w:rPr>
          <w:rFonts w:cstheme="minorHAnsi"/>
        </w:rPr>
        <w:t>members</w:t>
      </w:r>
      <w:r w:rsidR="00316887" w:rsidRPr="000A20E2">
        <w:rPr>
          <w:rFonts w:cstheme="minorHAnsi"/>
        </w:rPr>
        <w:t xml:space="preserve"> and/or raise membership fees (which may be acceptable if union effectiveness </w:t>
      </w:r>
      <w:r w:rsidR="00ED7262" w:rsidRPr="000A20E2">
        <w:rPr>
          <w:rFonts w:cstheme="minorHAnsi"/>
        </w:rPr>
        <w:t xml:space="preserve">had </w:t>
      </w:r>
      <w:r w:rsidR="00316887" w:rsidRPr="000A20E2">
        <w:rPr>
          <w:rFonts w:cstheme="minorHAnsi"/>
        </w:rPr>
        <w:t>already increased)</w:t>
      </w:r>
      <w:r w:rsidR="00A56301" w:rsidRPr="000A20E2">
        <w:rPr>
          <w:rFonts w:cstheme="minorHAnsi"/>
        </w:rPr>
        <w:t xml:space="preserve"> in order to generate the required resource to cover the additional recruitment work</w:t>
      </w:r>
      <w:r w:rsidR="00316887" w:rsidRPr="000A20E2">
        <w:rPr>
          <w:rFonts w:cstheme="minorHAnsi"/>
        </w:rPr>
        <w:t>.</w:t>
      </w:r>
      <w:r w:rsidR="000F5CFA" w:rsidRPr="000A20E2">
        <w:rPr>
          <w:rFonts w:cstheme="minorHAnsi"/>
        </w:rPr>
        <w:t xml:space="preserve"> </w:t>
      </w:r>
      <w:r w:rsidR="00974E42" w:rsidRPr="000A20E2">
        <w:rPr>
          <w:rFonts w:cstheme="minorHAnsi"/>
        </w:rPr>
        <w:t xml:space="preserve">(Thereafter, a virtuous upward spiral </w:t>
      </w:r>
      <w:r w:rsidR="00602793" w:rsidRPr="000A20E2">
        <w:rPr>
          <w:rFonts w:cstheme="minorHAnsi"/>
        </w:rPr>
        <w:t>might</w:t>
      </w:r>
      <w:r w:rsidR="00974E42" w:rsidRPr="000A20E2">
        <w:rPr>
          <w:rFonts w:cstheme="minorHAnsi"/>
        </w:rPr>
        <w:t xml:space="preserve"> </w:t>
      </w:r>
      <w:r w:rsidR="00602793" w:rsidRPr="000A20E2">
        <w:rPr>
          <w:rFonts w:cstheme="minorHAnsi"/>
        </w:rPr>
        <w:t>develop</w:t>
      </w:r>
      <w:r w:rsidR="00974E42" w:rsidRPr="000A20E2">
        <w:rPr>
          <w:rFonts w:cstheme="minorHAnsi"/>
        </w:rPr>
        <w:t xml:space="preserve"> as increased union membership facilitate</w:t>
      </w:r>
      <w:r w:rsidR="00A47D7A" w:rsidRPr="000A20E2">
        <w:rPr>
          <w:rFonts w:cstheme="minorHAnsi"/>
        </w:rPr>
        <w:t>d</w:t>
      </w:r>
      <w:r w:rsidR="00974E42" w:rsidRPr="000A20E2">
        <w:rPr>
          <w:rFonts w:cstheme="minorHAnsi"/>
        </w:rPr>
        <w:t xml:space="preserve"> union effectiveness and vice-versa, possibly leading to lower overall fees.)</w:t>
      </w:r>
      <w:r w:rsidR="001065A3" w:rsidRPr="000A20E2">
        <w:rPr>
          <w:rFonts w:cstheme="minorHAnsi"/>
        </w:rPr>
        <w:t xml:space="preserve"> </w:t>
      </w:r>
      <w:r w:rsidR="00FE5B9C" w:rsidRPr="000A20E2">
        <w:rPr>
          <w:rFonts w:cstheme="minorHAnsi"/>
        </w:rPr>
        <w:t>These</w:t>
      </w:r>
      <w:r w:rsidR="00775C54" w:rsidRPr="000A20E2">
        <w:rPr>
          <w:rFonts w:cstheme="minorHAnsi"/>
        </w:rPr>
        <w:t xml:space="preserve"> challenges are </w:t>
      </w:r>
      <w:r w:rsidR="00602793" w:rsidRPr="000A20E2">
        <w:rPr>
          <w:rFonts w:cstheme="minorHAnsi"/>
        </w:rPr>
        <w:t>exacerbated</w:t>
      </w:r>
      <w:r w:rsidR="00FE5B9C" w:rsidRPr="000A20E2">
        <w:rPr>
          <w:rFonts w:cstheme="minorHAnsi"/>
        </w:rPr>
        <w:t xml:space="preserve"> by the erosion and/or abolition </w:t>
      </w:r>
      <w:r w:rsidR="00775C54" w:rsidRPr="000A20E2">
        <w:rPr>
          <w:rFonts w:cstheme="minorHAnsi"/>
        </w:rPr>
        <w:t>of suitable institutional machinery for default extension</w:t>
      </w:r>
      <w:r w:rsidR="00FE5B9C" w:rsidRPr="000A20E2">
        <w:rPr>
          <w:rFonts w:cstheme="minorHAnsi"/>
        </w:rPr>
        <w:t>, as, for example, with</w:t>
      </w:r>
      <w:r w:rsidR="00775C54" w:rsidRPr="000A20E2">
        <w:rPr>
          <w:rFonts w:cstheme="minorHAnsi"/>
        </w:rPr>
        <w:t xml:space="preserve"> the ending of statutory industry awards in Australia </w:t>
      </w:r>
      <w:r w:rsidR="00FE5B9C" w:rsidRPr="000A20E2">
        <w:rPr>
          <w:rFonts w:cstheme="minorHAnsi"/>
        </w:rPr>
        <w:t xml:space="preserve">and </w:t>
      </w:r>
      <w:r w:rsidR="00775C54" w:rsidRPr="000A20E2">
        <w:rPr>
          <w:rFonts w:cstheme="minorHAnsi"/>
        </w:rPr>
        <w:t xml:space="preserve">sectoral wage setting councils in Britain, the collapse </w:t>
      </w:r>
      <w:r w:rsidR="00FE5B9C" w:rsidRPr="000A20E2">
        <w:rPr>
          <w:rFonts w:cstheme="minorHAnsi"/>
        </w:rPr>
        <w:t>or downgrading of</w:t>
      </w:r>
      <w:r w:rsidR="00775C54" w:rsidRPr="000A20E2">
        <w:rPr>
          <w:rFonts w:cstheme="minorHAnsi"/>
        </w:rPr>
        <w:t xml:space="preserve"> employer federations</w:t>
      </w:r>
      <w:r w:rsidR="004D0192" w:rsidRPr="000A20E2">
        <w:rPr>
          <w:rFonts w:cstheme="minorHAnsi"/>
        </w:rPr>
        <w:t>,</w:t>
      </w:r>
      <w:r w:rsidR="001065A3" w:rsidRPr="000A20E2">
        <w:rPr>
          <w:rFonts w:cstheme="minorHAnsi"/>
        </w:rPr>
        <w:t xml:space="preserve"> </w:t>
      </w:r>
      <w:r w:rsidR="00FE5B9C" w:rsidRPr="000A20E2">
        <w:rPr>
          <w:rFonts w:cstheme="minorHAnsi"/>
        </w:rPr>
        <w:t xml:space="preserve">and </w:t>
      </w:r>
      <w:r w:rsidR="00775C54" w:rsidRPr="000A20E2">
        <w:rPr>
          <w:rFonts w:cstheme="minorHAnsi"/>
        </w:rPr>
        <w:t>decentralisation of bargaining from</w:t>
      </w:r>
      <w:r w:rsidR="00FE5B9C" w:rsidRPr="000A20E2">
        <w:rPr>
          <w:rFonts w:cstheme="minorHAnsi"/>
        </w:rPr>
        <w:t xml:space="preserve"> </w:t>
      </w:r>
      <w:r w:rsidR="00547666" w:rsidRPr="000A20E2">
        <w:rPr>
          <w:rFonts w:cstheme="minorHAnsi"/>
        </w:rPr>
        <w:t>industry to enterprise and then to establishment</w:t>
      </w:r>
      <w:r w:rsidR="00A56564" w:rsidRPr="000A20E2">
        <w:rPr>
          <w:rFonts w:cstheme="minorHAnsi"/>
        </w:rPr>
        <w:t xml:space="preserve"> level</w:t>
      </w:r>
      <w:r w:rsidR="00775C54" w:rsidRPr="000A20E2">
        <w:rPr>
          <w:rFonts w:cstheme="minorHAnsi"/>
        </w:rPr>
        <w:t>.</w:t>
      </w:r>
      <w:r w:rsidR="006D7B2F" w:rsidRPr="000A20E2">
        <w:rPr>
          <w:rFonts w:cstheme="minorHAnsi"/>
        </w:rPr>
        <w:t xml:space="preserve"> </w:t>
      </w:r>
    </w:p>
    <w:p w14:paraId="6C4B3BC4" w14:textId="08066E66" w:rsidR="006F2C99" w:rsidRPr="000A20E2" w:rsidRDefault="0047066C" w:rsidP="000A20E2">
      <w:pPr>
        <w:spacing w:after="0" w:line="240" w:lineRule="auto"/>
        <w:ind w:firstLine="720"/>
        <w:jc w:val="both"/>
        <w:rPr>
          <w:rFonts w:cstheme="minorHAnsi"/>
        </w:rPr>
      </w:pPr>
      <w:r w:rsidRPr="000A20E2">
        <w:rPr>
          <w:rFonts w:cstheme="minorHAnsi"/>
        </w:rPr>
        <w:t>Implem</w:t>
      </w:r>
      <w:r w:rsidR="006936D8" w:rsidRPr="000A20E2">
        <w:rPr>
          <w:rFonts w:cstheme="minorHAnsi"/>
        </w:rPr>
        <w:t xml:space="preserve">enting a union default </w:t>
      </w:r>
      <w:r w:rsidR="002021F7" w:rsidRPr="000A20E2">
        <w:rPr>
          <w:rFonts w:cstheme="minorHAnsi"/>
        </w:rPr>
        <w:t xml:space="preserve">with active choosing </w:t>
      </w:r>
      <w:r w:rsidRPr="000A20E2">
        <w:rPr>
          <w:rFonts w:cstheme="minorHAnsi"/>
        </w:rPr>
        <w:t xml:space="preserve">would likely have </w:t>
      </w:r>
      <w:r w:rsidR="00312234" w:rsidRPr="000A20E2">
        <w:rPr>
          <w:rFonts w:cstheme="minorHAnsi"/>
        </w:rPr>
        <w:t>varying</w:t>
      </w:r>
      <w:r w:rsidRPr="000A20E2">
        <w:rPr>
          <w:rFonts w:cstheme="minorHAnsi"/>
        </w:rPr>
        <w:t xml:space="preserve"> effects on membership</w:t>
      </w:r>
      <w:r w:rsidR="00602793" w:rsidRPr="000A20E2">
        <w:rPr>
          <w:rFonts w:cstheme="minorHAnsi"/>
        </w:rPr>
        <w:t>, in accordance with differing national conditions</w:t>
      </w:r>
      <w:r w:rsidR="009850B9" w:rsidRPr="000A20E2">
        <w:rPr>
          <w:rFonts w:cstheme="minorHAnsi"/>
        </w:rPr>
        <w:t>.</w:t>
      </w:r>
      <w:r w:rsidR="001065A3" w:rsidRPr="000A20E2">
        <w:rPr>
          <w:rFonts w:cstheme="minorHAnsi"/>
        </w:rPr>
        <w:t xml:space="preserve"> </w:t>
      </w:r>
      <w:r w:rsidR="009850B9" w:rsidRPr="000A20E2">
        <w:rPr>
          <w:rFonts w:cstheme="minorHAnsi"/>
        </w:rPr>
        <w:t xml:space="preserve">Perhaps most obviously, opting out of union membership would be more prevalent in countries where employer opposition </w:t>
      </w:r>
      <w:r w:rsidR="00F67F85" w:rsidRPr="000A20E2">
        <w:rPr>
          <w:rFonts w:cstheme="minorHAnsi"/>
        </w:rPr>
        <w:t xml:space="preserve">to unions </w:t>
      </w:r>
      <w:r w:rsidR="009850B9" w:rsidRPr="000A20E2">
        <w:rPr>
          <w:rFonts w:cstheme="minorHAnsi"/>
        </w:rPr>
        <w:t xml:space="preserve">was more active </w:t>
      </w:r>
      <w:r w:rsidR="00F67F85" w:rsidRPr="000A20E2">
        <w:rPr>
          <w:rFonts w:cstheme="minorHAnsi"/>
        </w:rPr>
        <w:t xml:space="preserve">and aggressive, </w:t>
      </w:r>
      <w:r w:rsidR="009850B9" w:rsidRPr="000A20E2">
        <w:rPr>
          <w:rFonts w:cstheme="minorHAnsi"/>
        </w:rPr>
        <w:t>and state regulation of that opposition was more limited.</w:t>
      </w:r>
      <w:r w:rsidR="001065A3" w:rsidRPr="000A20E2">
        <w:rPr>
          <w:rFonts w:cstheme="minorHAnsi"/>
        </w:rPr>
        <w:t xml:space="preserve"> </w:t>
      </w:r>
      <w:r w:rsidR="009850B9" w:rsidRPr="000A20E2">
        <w:rPr>
          <w:rFonts w:cstheme="minorHAnsi"/>
        </w:rPr>
        <w:t>Opting out would also be more common in countries like France and South Korea, where union density is low and membership is not the sine qua non for collective mobilisation.</w:t>
      </w:r>
      <w:r w:rsidR="001065A3" w:rsidRPr="000A20E2">
        <w:rPr>
          <w:rFonts w:cstheme="minorHAnsi"/>
        </w:rPr>
        <w:t xml:space="preserve"> </w:t>
      </w:r>
      <w:r w:rsidR="00C04B69" w:rsidRPr="000A20E2">
        <w:rPr>
          <w:rFonts w:cstheme="minorHAnsi"/>
        </w:rPr>
        <w:t>However</w:t>
      </w:r>
      <w:r w:rsidR="004D734C" w:rsidRPr="000A20E2">
        <w:rPr>
          <w:rFonts w:cstheme="minorHAnsi"/>
        </w:rPr>
        <w:t xml:space="preserve">, </w:t>
      </w:r>
      <w:r w:rsidR="009850B9" w:rsidRPr="000A20E2">
        <w:rPr>
          <w:rFonts w:cstheme="minorHAnsi"/>
        </w:rPr>
        <w:t>even in these countries, opting out would be less pronounced, if workers felt that unions, as a beneficial public good, should be supported.</w:t>
      </w:r>
      <w:r w:rsidR="001065A3" w:rsidRPr="000A20E2">
        <w:rPr>
          <w:rFonts w:cstheme="minorHAnsi"/>
        </w:rPr>
        <w:t xml:space="preserve"> </w:t>
      </w:r>
      <w:r w:rsidR="009850B9" w:rsidRPr="000A20E2">
        <w:rPr>
          <w:rFonts w:cstheme="minorHAnsi"/>
        </w:rPr>
        <w:t xml:space="preserve">Opting out would also be widespread </w:t>
      </w:r>
      <w:r w:rsidR="00386D8E" w:rsidRPr="000A20E2">
        <w:rPr>
          <w:rFonts w:cstheme="minorHAnsi"/>
        </w:rPr>
        <w:t>in countries like China, Cuba, and North Korea, where unions have traditionally been dependent, and thus compromised, organs of the state.</w:t>
      </w:r>
      <w:r w:rsidR="001065A3" w:rsidRPr="000A20E2">
        <w:rPr>
          <w:rFonts w:cstheme="minorHAnsi"/>
        </w:rPr>
        <w:t xml:space="preserve"> </w:t>
      </w:r>
      <w:r w:rsidR="00386D8E" w:rsidRPr="000A20E2">
        <w:rPr>
          <w:rFonts w:cstheme="minorHAnsi"/>
        </w:rPr>
        <w:t>Finally, the non-union alternative would also be more appealing in countries where workers have extensive individual rights, guaranteed in legislation, and thus feel little need for the additional benefits of unionisation.</w:t>
      </w:r>
      <w:r w:rsidR="001065A3" w:rsidRPr="000A20E2">
        <w:rPr>
          <w:rFonts w:cstheme="minorHAnsi"/>
        </w:rPr>
        <w:t xml:space="preserve"> </w:t>
      </w:r>
      <w:r w:rsidR="002021F7" w:rsidRPr="000A20E2">
        <w:rPr>
          <w:rFonts w:cstheme="minorHAnsi"/>
        </w:rPr>
        <w:t xml:space="preserve">Much would depend, of course, on whether </w:t>
      </w:r>
      <w:r w:rsidR="00B008A6" w:rsidRPr="000A20E2">
        <w:rPr>
          <w:rFonts w:cstheme="minorHAnsi"/>
        </w:rPr>
        <w:t>the</w:t>
      </w:r>
      <w:r w:rsidR="00FE5B9C" w:rsidRPr="000A20E2">
        <w:rPr>
          <w:rFonts w:cstheme="minorHAnsi"/>
        </w:rPr>
        <w:t>se</w:t>
      </w:r>
      <w:r w:rsidR="002021F7" w:rsidRPr="000A20E2">
        <w:rPr>
          <w:rFonts w:cstheme="minorHAnsi"/>
        </w:rPr>
        <w:t xml:space="preserve"> same workers felt unions </w:t>
      </w:r>
      <w:r w:rsidR="00386D8E" w:rsidRPr="000A20E2">
        <w:rPr>
          <w:rFonts w:cstheme="minorHAnsi"/>
        </w:rPr>
        <w:t>were</w:t>
      </w:r>
      <w:r w:rsidR="002021F7" w:rsidRPr="000A20E2">
        <w:rPr>
          <w:rFonts w:cstheme="minorHAnsi"/>
        </w:rPr>
        <w:t xml:space="preserve"> necessary to enforce t</w:t>
      </w:r>
      <w:r w:rsidR="00B008A6" w:rsidRPr="000A20E2">
        <w:rPr>
          <w:rFonts w:cstheme="minorHAnsi"/>
        </w:rPr>
        <w:t xml:space="preserve">heir </w:t>
      </w:r>
      <w:r w:rsidR="002021F7" w:rsidRPr="000A20E2">
        <w:rPr>
          <w:rFonts w:cstheme="minorHAnsi"/>
        </w:rPr>
        <w:t>statutory, individual rights.</w:t>
      </w:r>
      <w:r w:rsidR="001065A3" w:rsidRPr="000A20E2">
        <w:rPr>
          <w:rFonts w:cstheme="minorHAnsi"/>
        </w:rPr>
        <w:t xml:space="preserve"> </w:t>
      </w:r>
      <w:r w:rsidR="002021F7" w:rsidRPr="000A20E2">
        <w:rPr>
          <w:rFonts w:cstheme="minorHAnsi"/>
        </w:rPr>
        <w:t xml:space="preserve">Only in the US </w:t>
      </w:r>
      <w:r w:rsidR="00386D8E" w:rsidRPr="000A20E2">
        <w:rPr>
          <w:rFonts w:cstheme="minorHAnsi"/>
        </w:rPr>
        <w:t>would there</w:t>
      </w:r>
      <w:r w:rsidR="002021F7" w:rsidRPr="000A20E2">
        <w:rPr>
          <w:rFonts w:cstheme="minorHAnsi"/>
        </w:rPr>
        <w:t xml:space="preserve"> likely be significant opting out as a result of ideological, rather than instrumental, hostility to unions. </w:t>
      </w:r>
      <w:r w:rsidR="00F67F85" w:rsidRPr="000A20E2">
        <w:rPr>
          <w:rFonts w:cstheme="minorHAnsi"/>
        </w:rPr>
        <w:t>Of course, i</w:t>
      </w:r>
      <w:r w:rsidR="004D734C" w:rsidRPr="000A20E2">
        <w:rPr>
          <w:rFonts w:cstheme="minorHAnsi"/>
        </w:rPr>
        <w:t>n all these scenarios, switching cost</w:t>
      </w:r>
      <w:r w:rsidR="00B008A6" w:rsidRPr="000A20E2">
        <w:rPr>
          <w:rFonts w:cstheme="minorHAnsi"/>
        </w:rPr>
        <w:t>s</w:t>
      </w:r>
      <w:r w:rsidR="004D734C" w:rsidRPr="000A20E2">
        <w:rPr>
          <w:rFonts w:cstheme="minorHAnsi"/>
        </w:rPr>
        <w:t xml:space="preserve">, inertia, social norms and loss </w:t>
      </w:r>
      <w:r w:rsidR="00386D8E" w:rsidRPr="000A20E2">
        <w:rPr>
          <w:rFonts w:cstheme="minorHAnsi"/>
        </w:rPr>
        <w:t xml:space="preserve">aversion would still reduce </w:t>
      </w:r>
      <w:r w:rsidR="00F67F85" w:rsidRPr="000A20E2">
        <w:rPr>
          <w:rFonts w:cstheme="minorHAnsi"/>
        </w:rPr>
        <w:t>opting opt.</w:t>
      </w:r>
      <w:r w:rsidR="001065A3" w:rsidRPr="000A20E2">
        <w:rPr>
          <w:rFonts w:cstheme="minorHAnsi"/>
        </w:rPr>
        <w:t xml:space="preserve"> </w:t>
      </w:r>
    </w:p>
    <w:p w14:paraId="445924BA" w14:textId="006EC5E0" w:rsidR="00F46193" w:rsidRPr="000A20E2" w:rsidRDefault="00971BC9" w:rsidP="000A20E2">
      <w:pPr>
        <w:spacing w:after="0" w:line="240" w:lineRule="auto"/>
        <w:ind w:firstLine="720"/>
        <w:jc w:val="both"/>
        <w:rPr>
          <w:rFonts w:cstheme="minorHAnsi"/>
        </w:rPr>
      </w:pPr>
      <w:r w:rsidRPr="000A20E2">
        <w:rPr>
          <w:rFonts w:cstheme="minorHAnsi"/>
          <w:bCs/>
        </w:rPr>
        <w:t xml:space="preserve">We now turn to issues of law and jurisprudence. </w:t>
      </w:r>
      <w:r w:rsidR="003318D6" w:rsidRPr="000A20E2">
        <w:rPr>
          <w:rFonts w:cstheme="minorHAnsi"/>
          <w:bCs/>
        </w:rPr>
        <w:t xml:space="preserve">First, </w:t>
      </w:r>
      <w:r w:rsidR="00A32BC3" w:rsidRPr="000A20E2">
        <w:rPr>
          <w:rFonts w:cstheme="minorHAnsi"/>
          <w:bCs/>
        </w:rPr>
        <w:t xml:space="preserve">there is no compulsion in a union default system, given the opt out, which </w:t>
      </w:r>
      <w:r w:rsidR="00B008A6" w:rsidRPr="000A20E2">
        <w:rPr>
          <w:rFonts w:cstheme="minorHAnsi"/>
          <w:bCs/>
        </w:rPr>
        <w:t>wo</w:t>
      </w:r>
      <w:r w:rsidR="00A32BC3" w:rsidRPr="000A20E2">
        <w:rPr>
          <w:rFonts w:cstheme="minorHAnsi"/>
          <w:bCs/>
        </w:rPr>
        <w:t xml:space="preserve">uld violate </w:t>
      </w:r>
      <w:r w:rsidR="003318D6" w:rsidRPr="000A20E2">
        <w:rPr>
          <w:rFonts w:cstheme="minorHAnsi"/>
          <w:bCs/>
        </w:rPr>
        <w:t xml:space="preserve">Article 11 of the European Convention on Human Rights (ECHR) </w:t>
      </w:r>
      <w:r w:rsidR="004A7513" w:rsidRPr="000A20E2">
        <w:rPr>
          <w:rFonts w:cstheme="minorHAnsi"/>
          <w:bCs/>
        </w:rPr>
        <w:t>or</w:t>
      </w:r>
      <w:r w:rsidR="003318D6" w:rsidRPr="000A20E2">
        <w:rPr>
          <w:rFonts w:cstheme="minorHAnsi"/>
          <w:bCs/>
        </w:rPr>
        <w:t xml:space="preserve"> Convention 87 of the Internat</w:t>
      </w:r>
      <w:r w:rsidR="00B461F7" w:rsidRPr="000A20E2">
        <w:rPr>
          <w:rFonts w:cstheme="minorHAnsi"/>
          <w:bCs/>
        </w:rPr>
        <w:t xml:space="preserve">ional </w:t>
      </w:r>
      <w:proofErr w:type="spellStart"/>
      <w:r w:rsidR="00B461F7" w:rsidRPr="000A20E2">
        <w:rPr>
          <w:rFonts w:cstheme="minorHAnsi"/>
          <w:bCs/>
        </w:rPr>
        <w:t>Labor</w:t>
      </w:r>
      <w:proofErr w:type="spellEnd"/>
      <w:r w:rsidR="00B461F7" w:rsidRPr="000A20E2">
        <w:rPr>
          <w:rFonts w:cstheme="minorHAnsi"/>
          <w:bCs/>
        </w:rPr>
        <w:t xml:space="preserve"> Organisation (ILO)</w:t>
      </w:r>
      <w:r w:rsidR="003318D6" w:rsidRPr="000A20E2">
        <w:rPr>
          <w:rFonts w:cstheme="minorHAnsi"/>
          <w:bCs/>
        </w:rPr>
        <w:t>.</w:t>
      </w:r>
      <w:r w:rsidR="00F71090">
        <w:rPr>
          <w:rStyle w:val="FootnoteReference"/>
          <w:rFonts w:cstheme="minorHAnsi"/>
          <w:bCs/>
        </w:rPr>
        <w:footnoteReference w:id="94"/>
      </w:r>
      <w:r w:rsidR="001065A3" w:rsidRPr="000A20E2">
        <w:rPr>
          <w:rFonts w:cstheme="minorHAnsi"/>
          <w:bCs/>
        </w:rPr>
        <w:t xml:space="preserve"> </w:t>
      </w:r>
      <w:r w:rsidR="003318D6" w:rsidRPr="000A20E2">
        <w:rPr>
          <w:rFonts w:cstheme="minorHAnsi"/>
          <w:bCs/>
        </w:rPr>
        <w:t>Second, and h</w:t>
      </w:r>
      <w:r w:rsidR="00B5336D" w:rsidRPr="000A20E2">
        <w:rPr>
          <w:rFonts w:cstheme="minorHAnsi"/>
        </w:rPr>
        <w:t xml:space="preserve">elpfully, the idea of defaults </w:t>
      </w:r>
      <w:r w:rsidR="006F2C99" w:rsidRPr="000A20E2">
        <w:rPr>
          <w:rFonts w:cstheme="minorHAnsi"/>
        </w:rPr>
        <w:t>that favour</w:t>
      </w:r>
      <w:r w:rsidR="00B5336D" w:rsidRPr="000A20E2">
        <w:rPr>
          <w:rFonts w:cstheme="minorHAnsi"/>
        </w:rPr>
        <w:t xml:space="preserve"> worker and union rights is not entirely n</w:t>
      </w:r>
      <w:r w:rsidRPr="000A20E2">
        <w:rPr>
          <w:rFonts w:cstheme="minorHAnsi"/>
        </w:rPr>
        <w:t>ovel</w:t>
      </w:r>
      <w:r w:rsidR="00B5336D" w:rsidRPr="000A20E2">
        <w:rPr>
          <w:rFonts w:cstheme="minorHAnsi"/>
        </w:rPr>
        <w:t xml:space="preserve"> </w:t>
      </w:r>
      <w:r w:rsidR="006F2C99" w:rsidRPr="000A20E2">
        <w:rPr>
          <w:rFonts w:cstheme="minorHAnsi"/>
        </w:rPr>
        <w:t>in legal scholarship</w:t>
      </w:r>
      <w:r w:rsidR="00B5336D" w:rsidRPr="000A20E2">
        <w:rPr>
          <w:rFonts w:cstheme="minorHAnsi"/>
          <w:b/>
        </w:rPr>
        <w:t>.</w:t>
      </w:r>
      <w:r w:rsidR="00F71090">
        <w:rPr>
          <w:rStyle w:val="FootnoteReference"/>
          <w:rFonts w:cstheme="minorHAnsi"/>
          <w:b/>
        </w:rPr>
        <w:footnoteReference w:id="95"/>
      </w:r>
      <w:r w:rsidR="001065A3" w:rsidRPr="000A20E2">
        <w:rPr>
          <w:rFonts w:cstheme="minorHAnsi"/>
        </w:rPr>
        <w:t xml:space="preserve"> </w:t>
      </w:r>
      <w:r w:rsidR="00F46193" w:rsidRPr="000A20E2">
        <w:rPr>
          <w:rFonts w:cstheme="minorHAnsi"/>
        </w:rPr>
        <w:t>The discussion of default mechanisms for recognition and collective bargaining by the r aforementioned legal scholars remains helpful for teasing out the salient issues.</w:t>
      </w:r>
    </w:p>
    <w:p w14:paraId="01FECB6C" w14:textId="3AF49B88" w:rsidR="00C64E1D" w:rsidRPr="000A20E2" w:rsidRDefault="00C64E1D" w:rsidP="000A20E2">
      <w:pPr>
        <w:spacing w:after="0" w:line="240" w:lineRule="auto"/>
        <w:ind w:firstLine="720"/>
        <w:jc w:val="both"/>
        <w:rPr>
          <w:rFonts w:cstheme="minorHAnsi"/>
        </w:rPr>
      </w:pPr>
      <w:proofErr w:type="spellStart"/>
      <w:r w:rsidRPr="000A20E2">
        <w:rPr>
          <w:rFonts w:cstheme="minorHAnsi"/>
        </w:rPr>
        <w:t>Weiler</w:t>
      </w:r>
      <w:proofErr w:type="spellEnd"/>
      <w:r w:rsidRPr="000A20E2">
        <w:rPr>
          <w:rFonts w:cstheme="minorHAnsi"/>
        </w:rPr>
        <w:t xml:space="preserve"> acknowledges </w:t>
      </w:r>
      <w:r w:rsidR="001065A3" w:rsidRPr="000A20E2">
        <w:rPr>
          <w:rFonts w:cstheme="minorHAnsi"/>
        </w:rPr>
        <w:t>‘</w:t>
      </w:r>
      <w:r w:rsidRPr="000A20E2">
        <w:rPr>
          <w:rFonts w:cstheme="minorHAnsi"/>
        </w:rPr>
        <w:t xml:space="preserve">... the tacit assumption that the 'natural' status for a workplace is </w:t>
      </w:r>
      <w:proofErr w:type="spellStart"/>
      <w:r w:rsidRPr="000A20E2">
        <w:rPr>
          <w:rFonts w:cstheme="minorHAnsi"/>
        </w:rPr>
        <w:t>nonunion</w:t>
      </w:r>
      <w:proofErr w:type="spellEnd"/>
      <w:r w:rsidRPr="000A20E2">
        <w:rPr>
          <w:rFonts w:cstheme="minorHAnsi"/>
        </w:rPr>
        <w:t xml:space="preserve">, with management exercising on behalf of the shareholder-owners the prerogatives of property and contract law to establish the firm's terms and conditions of employment … </w:t>
      </w:r>
      <w:r w:rsidR="00F71090">
        <w:rPr>
          <w:rFonts w:cstheme="minorHAnsi"/>
        </w:rPr>
        <w:t>‘</w:t>
      </w:r>
      <w:r w:rsidR="00102C98" w:rsidRPr="000A20E2">
        <w:rPr>
          <w:rFonts w:cstheme="minorHAnsi"/>
        </w:rPr>
        <w:t>.</w:t>
      </w:r>
      <w:r w:rsidR="00F71090">
        <w:rPr>
          <w:rStyle w:val="FootnoteReference"/>
          <w:rFonts w:cstheme="minorHAnsi"/>
        </w:rPr>
        <w:footnoteReference w:id="96"/>
      </w:r>
      <w:r w:rsidR="001065A3" w:rsidRPr="000A20E2">
        <w:rPr>
          <w:rFonts w:cstheme="minorHAnsi"/>
        </w:rPr>
        <w:t xml:space="preserve"> </w:t>
      </w:r>
      <w:r w:rsidRPr="000A20E2">
        <w:rPr>
          <w:rFonts w:cstheme="minorHAnsi"/>
        </w:rPr>
        <w:t xml:space="preserve">In other words, </w:t>
      </w:r>
      <w:r w:rsidR="00102C98" w:rsidRPr="000A20E2">
        <w:rPr>
          <w:rFonts w:cstheme="minorHAnsi"/>
        </w:rPr>
        <w:t xml:space="preserve">an implicit non-union default </w:t>
      </w:r>
      <w:r w:rsidRPr="000A20E2">
        <w:rPr>
          <w:rFonts w:cstheme="minorHAnsi"/>
        </w:rPr>
        <w:t>acts as an injunctive social norm to normalise the exercise of unilateral managerial authority</w:t>
      </w:r>
      <w:r w:rsidR="00102C98" w:rsidRPr="000A20E2">
        <w:rPr>
          <w:rFonts w:cstheme="minorHAnsi"/>
        </w:rPr>
        <w:t xml:space="preserve"> and discourage unionisation</w:t>
      </w:r>
      <w:r w:rsidRPr="000A20E2">
        <w:rPr>
          <w:rFonts w:cstheme="minorHAnsi"/>
        </w:rPr>
        <w:t>.</w:t>
      </w:r>
      <w:r w:rsidR="001065A3" w:rsidRPr="000A20E2">
        <w:rPr>
          <w:rFonts w:cstheme="minorHAnsi"/>
        </w:rPr>
        <w:t xml:space="preserve"> </w:t>
      </w:r>
      <w:r w:rsidR="0057303C" w:rsidRPr="000A20E2">
        <w:rPr>
          <w:rFonts w:cstheme="minorHAnsi"/>
        </w:rPr>
        <w:t xml:space="preserve">Three solutions are </w:t>
      </w:r>
      <w:r w:rsidR="00FF00E1" w:rsidRPr="000A20E2">
        <w:rPr>
          <w:rFonts w:cstheme="minorHAnsi"/>
        </w:rPr>
        <w:t>proffered</w:t>
      </w:r>
      <w:r w:rsidR="00FE5B9C" w:rsidRPr="000A20E2">
        <w:rPr>
          <w:rFonts w:cstheme="minorHAnsi"/>
        </w:rPr>
        <w:t xml:space="preserve"> for the US case</w:t>
      </w:r>
      <w:r w:rsidR="0057303C" w:rsidRPr="000A20E2">
        <w:rPr>
          <w:rFonts w:cstheme="minorHAnsi"/>
        </w:rPr>
        <w:t>.</w:t>
      </w:r>
      <w:r w:rsidR="001065A3" w:rsidRPr="000A20E2">
        <w:rPr>
          <w:rFonts w:cstheme="minorHAnsi"/>
        </w:rPr>
        <w:t xml:space="preserve"> </w:t>
      </w:r>
      <w:r w:rsidR="0057303C" w:rsidRPr="000A20E2">
        <w:rPr>
          <w:rFonts w:cstheme="minorHAnsi"/>
        </w:rPr>
        <w:t xml:space="preserve">The first two solutions, </w:t>
      </w:r>
      <w:r w:rsidR="00102C98" w:rsidRPr="000A20E2">
        <w:rPr>
          <w:rFonts w:cstheme="minorHAnsi"/>
        </w:rPr>
        <w:t xml:space="preserve">the </w:t>
      </w:r>
      <w:r w:rsidR="00B42965" w:rsidRPr="000A20E2">
        <w:rPr>
          <w:rFonts w:cstheme="minorHAnsi"/>
        </w:rPr>
        <w:t>‘r</w:t>
      </w:r>
      <w:r w:rsidR="00102C98" w:rsidRPr="000A20E2">
        <w:rPr>
          <w:rFonts w:cstheme="minorHAnsi"/>
        </w:rPr>
        <w:t>egulatory</w:t>
      </w:r>
      <w:r w:rsidR="00B42965" w:rsidRPr="000A20E2">
        <w:rPr>
          <w:rFonts w:cstheme="minorHAnsi"/>
        </w:rPr>
        <w:t>’</w:t>
      </w:r>
      <w:r w:rsidR="00102C98" w:rsidRPr="000A20E2">
        <w:rPr>
          <w:rFonts w:cstheme="minorHAnsi"/>
        </w:rPr>
        <w:t xml:space="preserve"> and </w:t>
      </w:r>
      <w:r w:rsidR="00B42965" w:rsidRPr="000A20E2">
        <w:rPr>
          <w:rFonts w:cstheme="minorHAnsi"/>
        </w:rPr>
        <w:t>‘r</w:t>
      </w:r>
      <w:r w:rsidR="0057303C" w:rsidRPr="000A20E2">
        <w:rPr>
          <w:rFonts w:cstheme="minorHAnsi"/>
        </w:rPr>
        <w:t>econstructive</w:t>
      </w:r>
      <w:r w:rsidR="00B42965" w:rsidRPr="000A20E2">
        <w:rPr>
          <w:rFonts w:cstheme="minorHAnsi"/>
        </w:rPr>
        <w:t>’</w:t>
      </w:r>
      <w:r w:rsidR="0057303C" w:rsidRPr="000A20E2">
        <w:rPr>
          <w:rFonts w:cstheme="minorHAnsi"/>
        </w:rPr>
        <w:t xml:space="preserve"> </w:t>
      </w:r>
      <w:r w:rsidR="001065A3" w:rsidRPr="000A20E2">
        <w:rPr>
          <w:rFonts w:cstheme="minorHAnsi"/>
        </w:rPr>
        <w:t>m</w:t>
      </w:r>
      <w:r w:rsidR="0057303C" w:rsidRPr="000A20E2">
        <w:rPr>
          <w:rFonts w:cstheme="minorHAnsi"/>
        </w:rPr>
        <w:t xml:space="preserve">odels, </w:t>
      </w:r>
      <w:r w:rsidR="00DA41F3" w:rsidRPr="000A20E2">
        <w:rPr>
          <w:rFonts w:cstheme="minorHAnsi"/>
        </w:rPr>
        <w:t>emphasise</w:t>
      </w:r>
      <w:r w:rsidR="0057303C" w:rsidRPr="000A20E2">
        <w:rPr>
          <w:rFonts w:cstheme="minorHAnsi"/>
        </w:rPr>
        <w:t xml:space="preserve"> strengthening the Wagner </w:t>
      </w:r>
      <w:r w:rsidR="001065A3" w:rsidRPr="000A20E2">
        <w:rPr>
          <w:rFonts w:cstheme="minorHAnsi"/>
        </w:rPr>
        <w:t>m</w:t>
      </w:r>
      <w:r w:rsidR="0057303C" w:rsidRPr="000A20E2">
        <w:rPr>
          <w:rFonts w:cstheme="minorHAnsi"/>
        </w:rPr>
        <w:t xml:space="preserve">odel to </w:t>
      </w:r>
      <w:r w:rsidR="00FF00E1" w:rsidRPr="000A20E2">
        <w:rPr>
          <w:rFonts w:cstheme="minorHAnsi"/>
        </w:rPr>
        <w:t>reduce management opposition to unions</w:t>
      </w:r>
      <w:r w:rsidR="0057303C" w:rsidRPr="000A20E2">
        <w:rPr>
          <w:rFonts w:cstheme="minorHAnsi"/>
        </w:rPr>
        <w:t>.</w:t>
      </w:r>
      <w:r w:rsidR="001065A3" w:rsidRPr="000A20E2">
        <w:rPr>
          <w:rFonts w:cstheme="minorHAnsi"/>
        </w:rPr>
        <w:t xml:space="preserve"> </w:t>
      </w:r>
      <w:r w:rsidR="0057303C" w:rsidRPr="000A20E2">
        <w:rPr>
          <w:rFonts w:cstheme="minorHAnsi"/>
        </w:rPr>
        <w:t>Proposed reforms include:</w:t>
      </w:r>
      <w:r w:rsidR="001065A3" w:rsidRPr="000A20E2">
        <w:rPr>
          <w:rFonts w:cstheme="minorHAnsi"/>
        </w:rPr>
        <w:t xml:space="preserve"> </w:t>
      </w:r>
      <w:r w:rsidR="0057303C" w:rsidRPr="000A20E2">
        <w:rPr>
          <w:rFonts w:cstheme="minorHAnsi"/>
        </w:rPr>
        <w:t>stiffer punishments and regulatory responses to unfair labour practices, snap elections that allow less time for anti-union campaigning, and no permanent replacement of striking workers.</w:t>
      </w:r>
      <w:r w:rsidR="001065A3" w:rsidRPr="000A20E2">
        <w:rPr>
          <w:rFonts w:cstheme="minorHAnsi"/>
        </w:rPr>
        <w:t xml:space="preserve"> </w:t>
      </w:r>
      <w:r w:rsidR="00DA41F3" w:rsidRPr="000A20E2">
        <w:rPr>
          <w:rFonts w:cstheme="minorHAnsi"/>
        </w:rPr>
        <w:t xml:space="preserve">Essentially, the focus </w:t>
      </w:r>
      <w:r w:rsidR="00102C98" w:rsidRPr="000A20E2">
        <w:rPr>
          <w:rFonts w:cstheme="minorHAnsi"/>
        </w:rPr>
        <w:t>is on reducing the switching costs of unionisation, but without changing the non-union default.</w:t>
      </w:r>
      <w:r w:rsidR="001065A3" w:rsidRPr="000A20E2">
        <w:rPr>
          <w:rFonts w:cstheme="minorHAnsi"/>
        </w:rPr>
        <w:t xml:space="preserve"> </w:t>
      </w:r>
      <w:r w:rsidR="00DA41F3" w:rsidRPr="000A20E2">
        <w:rPr>
          <w:rFonts w:cstheme="minorHAnsi"/>
        </w:rPr>
        <w:t xml:space="preserve">However, </w:t>
      </w:r>
      <w:proofErr w:type="spellStart"/>
      <w:r w:rsidR="00DA41F3" w:rsidRPr="000A20E2">
        <w:rPr>
          <w:rFonts w:cstheme="minorHAnsi"/>
        </w:rPr>
        <w:t>Weiler</w:t>
      </w:r>
      <w:proofErr w:type="spellEnd"/>
      <w:r w:rsidR="00DA41F3" w:rsidRPr="000A20E2">
        <w:rPr>
          <w:rFonts w:cstheme="minorHAnsi"/>
        </w:rPr>
        <w:t xml:space="preserve"> admits that such approaches still treat organising as a contest </w:t>
      </w:r>
      <w:r w:rsidR="00FF00E1" w:rsidRPr="000A20E2">
        <w:rPr>
          <w:rFonts w:cstheme="minorHAnsi"/>
        </w:rPr>
        <w:t xml:space="preserve">in which </w:t>
      </w:r>
      <w:r w:rsidR="00DA41F3" w:rsidRPr="000A20E2">
        <w:rPr>
          <w:rFonts w:cstheme="minorHAnsi"/>
        </w:rPr>
        <w:t xml:space="preserve">employers may legitimately participate, </w:t>
      </w:r>
      <w:r w:rsidR="00FF00E1" w:rsidRPr="000A20E2">
        <w:rPr>
          <w:rFonts w:cstheme="minorHAnsi"/>
        </w:rPr>
        <w:t>subject to</w:t>
      </w:r>
      <w:r w:rsidR="004B5F0D" w:rsidRPr="000A20E2">
        <w:rPr>
          <w:rFonts w:cstheme="minorHAnsi"/>
        </w:rPr>
        <w:t xml:space="preserve"> certain </w:t>
      </w:r>
      <w:r w:rsidR="00DA41F3" w:rsidRPr="000A20E2">
        <w:rPr>
          <w:rFonts w:cstheme="minorHAnsi"/>
        </w:rPr>
        <w:t>restrictions.</w:t>
      </w:r>
      <w:r w:rsidR="001065A3" w:rsidRPr="000A20E2">
        <w:rPr>
          <w:rFonts w:cstheme="minorHAnsi"/>
        </w:rPr>
        <w:t xml:space="preserve"> </w:t>
      </w:r>
      <w:r w:rsidR="00DA41F3" w:rsidRPr="000A20E2">
        <w:rPr>
          <w:rFonts w:cstheme="minorHAnsi"/>
        </w:rPr>
        <w:t>His third</w:t>
      </w:r>
      <w:r w:rsidR="004B5F0D" w:rsidRPr="000A20E2">
        <w:rPr>
          <w:rFonts w:cstheme="minorHAnsi"/>
        </w:rPr>
        <w:t xml:space="preserve"> and preferred</w:t>
      </w:r>
      <w:r w:rsidR="00DA41F3" w:rsidRPr="000A20E2">
        <w:rPr>
          <w:rFonts w:cstheme="minorHAnsi"/>
        </w:rPr>
        <w:t xml:space="preserve"> option </w:t>
      </w:r>
      <w:r w:rsidR="00102C98" w:rsidRPr="000A20E2">
        <w:rPr>
          <w:rFonts w:cstheme="minorHAnsi"/>
        </w:rPr>
        <w:t>for the US</w:t>
      </w:r>
      <w:r w:rsidR="00FE5B9C" w:rsidRPr="000A20E2">
        <w:rPr>
          <w:rFonts w:cstheme="minorHAnsi"/>
        </w:rPr>
        <w:t xml:space="preserve">, the </w:t>
      </w:r>
      <w:r w:rsidR="00B42965" w:rsidRPr="000A20E2">
        <w:rPr>
          <w:rFonts w:cstheme="minorHAnsi"/>
        </w:rPr>
        <w:t>‘c</w:t>
      </w:r>
      <w:r w:rsidR="00FE5B9C" w:rsidRPr="000A20E2">
        <w:rPr>
          <w:rFonts w:cstheme="minorHAnsi"/>
        </w:rPr>
        <w:t>onstitutive</w:t>
      </w:r>
      <w:r w:rsidR="00B42965" w:rsidRPr="000A20E2">
        <w:rPr>
          <w:rFonts w:cstheme="minorHAnsi"/>
        </w:rPr>
        <w:t>’</w:t>
      </w:r>
      <w:r w:rsidR="00FE5B9C" w:rsidRPr="000A20E2">
        <w:rPr>
          <w:rFonts w:cstheme="minorHAnsi"/>
        </w:rPr>
        <w:t xml:space="preserve"> </w:t>
      </w:r>
      <w:r w:rsidR="00B42965" w:rsidRPr="000A20E2">
        <w:rPr>
          <w:rFonts w:cstheme="minorHAnsi"/>
        </w:rPr>
        <w:t>m</w:t>
      </w:r>
      <w:r w:rsidR="00FE5B9C" w:rsidRPr="000A20E2">
        <w:rPr>
          <w:rFonts w:cstheme="minorHAnsi"/>
        </w:rPr>
        <w:t>odel,</w:t>
      </w:r>
      <w:r w:rsidR="00102C98" w:rsidRPr="000A20E2">
        <w:rPr>
          <w:rFonts w:cstheme="minorHAnsi"/>
        </w:rPr>
        <w:t xml:space="preserve"> </w:t>
      </w:r>
      <w:r w:rsidR="00DA41F3" w:rsidRPr="000A20E2">
        <w:rPr>
          <w:rFonts w:cstheme="minorHAnsi"/>
        </w:rPr>
        <w:t>is a German-style works council system</w:t>
      </w:r>
      <w:r w:rsidR="008733ED" w:rsidRPr="000A20E2">
        <w:rPr>
          <w:rFonts w:cstheme="minorHAnsi"/>
        </w:rPr>
        <w:t xml:space="preserve"> </w:t>
      </w:r>
      <w:r w:rsidR="004B5F0D" w:rsidRPr="000A20E2">
        <w:rPr>
          <w:rFonts w:cstheme="minorHAnsi"/>
        </w:rPr>
        <w:t>with a</w:t>
      </w:r>
      <w:r w:rsidR="001065A3" w:rsidRPr="000A20E2">
        <w:rPr>
          <w:rFonts w:cstheme="minorHAnsi"/>
        </w:rPr>
        <w:t xml:space="preserve"> </w:t>
      </w:r>
      <w:r w:rsidR="008733ED" w:rsidRPr="000A20E2">
        <w:rPr>
          <w:rFonts w:cstheme="minorHAnsi"/>
        </w:rPr>
        <w:t>guaranteed right to establish employee participation committees</w:t>
      </w:r>
      <w:r w:rsidR="00DA41F3" w:rsidRPr="000A20E2">
        <w:rPr>
          <w:rFonts w:cstheme="minorHAnsi"/>
        </w:rPr>
        <w:t>.</w:t>
      </w:r>
      <w:r w:rsidR="001065A3" w:rsidRPr="000A20E2">
        <w:rPr>
          <w:rFonts w:cstheme="minorHAnsi"/>
        </w:rPr>
        <w:t xml:space="preserve"> </w:t>
      </w:r>
      <w:r w:rsidR="00102C98" w:rsidRPr="000A20E2">
        <w:rPr>
          <w:rFonts w:cstheme="minorHAnsi"/>
        </w:rPr>
        <w:t xml:space="preserve">However, </w:t>
      </w:r>
      <w:r w:rsidR="009511C5" w:rsidRPr="000A20E2">
        <w:rPr>
          <w:rFonts w:cstheme="minorHAnsi"/>
        </w:rPr>
        <w:t>this proposal</w:t>
      </w:r>
      <w:r w:rsidR="00102C98" w:rsidRPr="000A20E2">
        <w:rPr>
          <w:rFonts w:cstheme="minorHAnsi"/>
        </w:rPr>
        <w:t xml:space="preserve"> still takes ‘no representation’</w:t>
      </w:r>
      <w:r w:rsidR="009511C5" w:rsidRPr="000A20E2">
        <w:rPr>
          <w:rFonts w:cstheme="minorHAnsi"/>
        </w:rPr>
        <w:t xml:space="preserve"> </w:t>
      </w:r>
      <w:r w:rsidR="00102C98" w:rsidRPr="000A20E2">
        <w:rPr>
          <w:rFonts w:cstheme="minorHAnsi"/>
        </w:rPr>
        <w:t xml:space="preserve">as the implicit default, and under-estimates the difficulties (e.g., </w:t>
      </w:r>
      <w:r w:rsidR="008733ED" w:rsidRPr="000A20E2">
        <w:rPr>
          <w:rFonts w:cstheme="minorHAnsi"/>
        </w:rPr>
        <w:t xml:space="preserve">the high </w:t>
      </w:r>
      <w:r w:rsidR="001065A3" w:rsidRPr="000A20E2">
        <w:rPr>
          <w:rFonts w:cstheme="minorHAnsi"/>
        </w:rPr>
        <w:t xml:space="preserve">switching costs) </w:t>
      </w:r>
      <w:r w:rsidR="00102C98" w:rsidRPr="000A20E2">
        <w:rPr>
          <w:rFonts w:cstheme="minorHAnsi"/>
        </w:rPr>
        <w:t>workers have in establishing and maintaining such a system, especially given employer opposition</w:t>
      </w:r>
      <w:r w:rsidR="00407659" w:rsidRPr="000A20E2">
        <w:rPr>
          <w:rFonts w:cstheme="minorHAnsi"/>
        </w:rPr>
        <w:t>.</w:t>
      </w:r>
      <w:r w:rsidR="00AF494E">
        <w:rPr>
          <w:rStyle w:val="FootnoteReference"/>
          <w:rFonts w:cstheme="minorHAnsi"/>
        </w:rPr>
        <w:footnoteReference w:id="97"/>
      </w:r>
      <w:r w:rsidR="001065A3" w:rsidRPr="000A20E2">
        <w:rPr>
          <w:rFonts w:cstheme="minorHAnsi"/>
        </w:rPr>
        <w:t xml:space="preserve"> </w:t>
      </w:r>
    </w:p>
    <w:p w14:paraId="7177A1EB" w14:textId="2D84E212" w:rsidR="00E163EC" w:rsidRPr="000A20E2" w:rsidRDefault="00E163EC" w:rsidP="000A20E2">
      <w:pPr>
        <w:spacing w:after="0" w:line="240" w:lineRule="auto"/>
        <w:ind w:firstLine="720"/>
        <w:jc w:val="both"/>
        <w:rPr>
          <w:rFonts w:cstheme="minorHAnsi"/>
        </w:rPr>
      </w:pPr>
      <w:r w:rsidRPr="000A20E2">
        <w:rPr>
          <w:rFonts w:cstheme="minorHAnsi"/>
        </w:rPr>
        <w:t>Sachs</w:t>
      </w:r>
      <w:r w:rsidR="009B0745" w:rsidRPr="000A20E2">
        <w:rPr>
          <w:rFonts w:cstheme="minorHAnsi"/>
        </w:rPr>
        <w:t xml:space="preserve">, in his analysis of the US, </w:t>
      </w:r>
      <w:r w:rsidRPr="000A20E2">
        <w:rPr>
          <w:rFonts w:cstheme="minorHAnsi"/>
        </w:rPr>
        <w:t xml:space="preserve">recognises that it may be </w:t>
      </w:r>
      <w:r w:rsidR="00441EC9" w:rsidRPr="000A20E2">
        <w:rPr>
          <w:rFonts w:cstheme="minorHAnsi"/>
        </w:rPr>
        <w:t>more difficult</w:t>
      </w:r>
      <w:r w:rsidRPr="000A20E2">
        <w:rPr>
          <w:rFonts w:cstheme="minorHAnsi"/>
        </w:rPr>
        <w:t xml:space="preserve"> to </w:t>
      </w:r>
      <w:r w:rsidR="00153FDB" w:rsidRPr="000A20E2">
        <w:rPr>
          <w:rFonts w:cstheme="minorHAnsi"/>
        </w:rPr>
        <w:t>‘depart’</w:t>
      </w:r>
      <w:r w:rsidR="00441EC9" w:rsidRPr="000A20E2">
        <w:rPr>
          <w:rFonts w:cstheme="minorHAnsi"/>
        </w:rPr>
        <w:t xml:space="preserve"> (e.g., higher switching costs) </w:t>
      </w:r>
      <w:r w:rsidRPr="000A20E2">
        <w:rPr>
          <w:rFonts w:cstheme="minorHAnsi"/>
        </w:rPr>
        <w:t>f</w:t>
      </w:r>
      <w:r w:rsidR="00441EC9" w:rsidRPr="000A20E2">
        <w:rPr>
          <w:rFonts w:cstheme="minorHAnsi"/>
        </w:rPr>
        <w:t>rom one default than another</w:t>
      </w:r>
      <w:r w:rsidRPr="000A20E2">
        <w:rPr>
          <w:rFonts w:cstheme="minorHAnsi"/>
        </w:rPr>
        <w:t>.</w:t>
      </w:r>
      <w:r w:rsidR="00AF494E">
        <w:rPr>
          <w:rStyle w:val="FootnoteReference"/>
          <w:rFonts w:cstheme="minorHAnsi"/>
        </w:rPr>
        <w:footnoteReference w:id="98"/>
      </w:r>
      <w:r w:rsidR="001065A3" w:rsidRPr="000A20E2">
        <w:rPr>
          <w:rFonts w:cstheme="minorHAnsi"/>
        </w:rPr>
        <w:t xml:space="preserve"> </w:t>
      </w:r>
      <w:r w:rsidR="00441EC9" w:rsidRPr="000A20E2">
        <w:rPr>
          <w:rFonts w:cstheme="minorHAnsi"/>
        </w:rPr>
        <w:t>For instance, collective action problems and management opposition make it harder to ‘depart’</w:t>
      </w:r>
      <w:r w:rsidR="00FF00E1" w:rsidRPr="000A20E2">
        <w:rPr>
          <w:rFonts w:cstheme="minorHAnsi"/>
        </w:rPr>
        <w:t xml:space="preserve"> from a </w:t>
      </w:r>
      <w:r w:rsidR="00441EC9" w:rsidRPr="000A20E2">
        <w:rPr>
          <w:rFonts w:cstheme="minorHAnsi"/>
        </w:rPr>
        <w:t>non-union default than a union one.</w:t>
      </w:r>
      <w:r w:rsidR="002F6DF5">
        <w:rPr>
          <w:rStyle w:val="FootnoteReference"/>
          <w:rFonts w:cstheme="minorHAnsi"/>
        </w:rPr>
        <w:footnoteReference w:id="99"/>
      </w:r>
      <w:r w:rsidR="001065A3" w:rsidRPr="000A20E2">
        <w:rPr>
          <w:rFonts w:cstheme="minorHAnsi"/>
        </w:rPr>
        <w:t xml:space="preserve"> </w:t>
      </w:r>
      <w:r w:rsidR="00153FDB" w:rsidRPr="000A20E2">
        <w:rPr>
          <w:rFonts w:cstheme="minorHAnsi"/>
        </w:rPr>
        <w:t>Legal theory</w:t>
      </w:r>
      <w:r w:rsidR="002F6DF5">
        <w:rPr>
          <w:rFonts w:cstheme="minorHAnsi"/>
        </w:rPr>
        <w:t xml:space="preserve"> </w:t>
      </w:r>
      <w:r w:rsidR="00153FDB" w:rsidRPr="000A20E2">
        <w:rPr>
          <w:rFonts w:cstheme="minorHAnsi"/>
        </w:rPr>
        <w:t xml:space="preserve">suggests that, to maximise the chances </w:t>
      </w:r>
      <w:r w:rsidR="0040504A" w:rsidRPr="000A20E2">
        <w:rPr>
          <w:rFonts w:cstheme="minorHAnsi"/>
        </w:rPr>
        <w:t xml:space="preserve">choosers ‘select’ </w:t>
      </w:r>
      <w:r w:rsidR="00153FDB" w:rsidRPr="000A20E2">
        <w:rPr>
          <w:rFonts w:cstheme="minorHAnsi"/>
        </w:rPr>
        <w:t>what they really want, legislatures (or</w:t>
      </w:r>
      <w:r w:rsidR="00441EC9" w:rsidRPr="000A20E2">
        <w:rPr>
          <w:rFonts w:cstheme="minorHAnsi"/>
        </w:rPr>
        <w:t xml:space="preserve"> courts) </w:t>
      </w:r>
      <w:r w:rsidR="001F6FD0" w:rsidRPr="000A20E2">
        <w:rPr>
          <w:rFonts w:cstheme="minorHAnsi"/>
        </w:rPr>
        <w:t>should set</w:t>
      </w:r>
      <w:r w:rsidR="00153FDB" w:rsidRPr="000A20E2">
        <w:rPr>
          <w:rFonts w:cstheme="minorHAnsi"/>
        </w:rPr>
        <w:t xml:space="preserve"> default</w:t>
      </w:r>
      <w:r w:rsidR="001F6FD0" w:rsidRPr="000A20E2">
        <w:rPr>
          <w:rFonts w:cstheme="minorHAnsi"/>
        </w:rPr>
        <w:t>s</w:t>
      </w:r>
      <w:r w:rsidR="00153FDB" w:rsidRPr="000A20E2">
        <w:rPr>
          <w:rFonts w:cstheme="minorHAnsi"/>
        </w:rPr>
        <w:t xml:space="preserve"> </w:t>
      </w:r>
      <w:r w:rsidR="00441EC9" w:rsidRPr="000A20E2">
        <w:rPr>
          <w:rFonts w:cstheme="minorHAnsi"/>
        </w:rPr>
        <w:t xml:space="preserve">to minimise </w:t>
      </w:r>
      <w:r w:rsidR="00153FDB" w:rsidRPr="000A20E2">
        <w:rPr>
          <w:rFonts w:cstheme="minorHAnsi"/>
        </w:rPr>
        <w:t>switching costs.</w:t>
      </w:r>
      <w:r w:rsidR="002F6DF5" w:rsidRPr="002F6DF5">
        <w:rPr>
          <w:rStyle w:val="FootnoteReference"/>
          <w:rFonts w:cstheme="minorHAnsi"/>
        </w:rPr>
        <w:t xml:space="preserve"> </w:t>
      </w:r>
      <w:r w:rsidR="002F6DF5" w:rsidRPr="000A20E2">
        <w:rPr>
          <w:rStyle w:val="FootnoteReference"/>
          <w:rFonts w:cstheme="minorHAnsi"/>
        </w:rPr>
        <w:footnoteReference w:id="100"/>
      </w:r>
      <w:r w:rsidR="002F6DF5" w:rsidRPr="000A20E2">
        <w:rPr>
          <w:rFonts w:cstheme="minorHAnsi"/>
        </w:rPr>
        <w:t xml:space="preserve"> </w:t>
      </w:r>
      <w:r w:rsidR="001065A3" w:rsidRPr="000A20E2">
        <w:rPr>
          <w:rFonts w:cstheme="minorHAnsi"/>
        </w:rPr>
        <w:t xml:space="preserve"> </w:t>
      </w:r>
      <w:r w:rsidR="00441EC9" w:rsidRPr="000A20E2">
        <w:rPr>
          <w:rFonts w:cstheme="minorHAnsi"/>
        </w:rPr>
        <w:t xml:space="preserve">However, </w:t>
      </w:r>
      <w:r w:rsidR="00153FDB" w:rsidRPr="000A20E2">
        <w:rPr>
          <w:rFonts w:cstheme="minorHAnsi"/>
        </w:rPr>
        <w:t>Sachs</w:t>
      </w:r>
      <w:r w:rsidR="002F6DF5">
        <w:rPr>
          <w:rStyle w:val="FootnoteReference"/>
          <w:rFonts w:cstheme="minorHAnsi"/>
        </w:rPr>
        <w:footnoteReference w:id="101"/>
      </w:r>
      <w:r w:rsidR="00153FDB" w:rsidRPr="000A20E2">
        <w:rPr>
          <w:rFonts w:cstheme="minorHAnsi"/>
        </w:rPr>
        <w:t xml:space="preserve"> </w:t>
      </w:r>
      <w:r w:rsidR="00E54564" w:rsidRPr="000A20E2">
        <w:rPr>
          <w:rFonts w:cstheme="minorHAnsi"/>
        </w:rPr>
        <w:t xml:space="preserve">rejects </w:t>
      </w:r>
      <w:r w:rsidR="00441EC9" w:rsidRPr="000A20E2">
        <w:rPr>
          <w:rFonts w:cstheme="minorHAnsi"/>
        </w:rPr>
        <w:t xml:space="preserve">reversing the default </w:t>
      </w:r>
      <w:r w:rsidR="008A27FC" w:rsidRPr="002F6DF5">
        <w:rPr>
          <w:rFonts w:cstheme="minorHAnsi"/>
          <w:iCs/>
        </w:rPr>
        <w:t>for entire bargaining unit</w:t>
      </w:r>
      <w:r w:rsidR="004B5F0D" w:rsidRPr="002F6DF5">
        <w:rPr>
          <w:rFonts w:cstheme="minorHAnsi"/>
        </w:rPr>
        <w:t>s,</w:t>
      </w:r>
      <w:r w:rsidR="008A27FC" w:rsidRPr="000A20E2">
        <w:rPr>
          <w:rFonts w:cstheme="minorHAnsi"/>
        </w:rPr>
        <w:t xml:space="preserve"> as unpalatable to a potentially hostile US Congress and as impractical</w:t>
      </w:r>
      <w:r w:rsidR="004B5F0D" w:rsidRPr="000A20E2">
        <w:rPr>
          <w:rFonts w:cstheme="minorHAnsi"/>
        </w:rPr>
        <w:t>:</w:t>
      </w:r>
      <w:r w:rsidR="001F6FD0" w:rsidRPr="000A20E2">
        <w:rPr>
          <w:rFonts w:cstheme="minorHAnsi"/>
        </w:rPr>
        <w:t xml:space="preserve"> a bargaining </w:t>
      </w:r>
      <w:r w:rsidR="008A27FC" w:rsidRPr="000A20E2">
        <w:rPr>
          <w:rFonts w:cstheme="minorHAnsi"/>
        </w:rPr>
        <w:t xml:space="preserve">unit </w:t>
      </w:r>
      <w:r w:rsidR="001F6FD0" w:rsidRPr="000A20E2">
        <w:rPr>
          <w:rFonts w:cstheme="minorHAnsi"/>
        </w:rPr>
        <w:t xml:space="preserve">that </w:t>
      </w:r>
      <w:r w:rsidR="008A27FC" w:rsidRPr="000A20E2">
        <w:rPr>
          <w:rFonts w:cstheme="minorHAnsi"/>
        </w:rPr>
        <w:t xml:space="preserve">voted ‘non-union’ </w:t>
      </w:r>
      <w:r w:rsidR="001F6FD0" w:rsidRPr="000A20E2">
        <w:rPr>
          <w:rFonts w:cstheme="minorHAnsi"/>
        </w:rPr>
        <w:t>would face</w:t>
      </w:r>
      <w:r w:rsidR="008A27FC" w:rsidRPr="000A20E2">
        <w:rPr>
          <w:rFonts w:cstheme="minorHAnsi"/>
        </w:rPr>
        <w:t xml:space="preserve"> </w:t>
      </w:r>
      <w:r w:rsidR="001F6FD0" w:rsidRPr="000A20E2">
        <w:rPr>
          <w:rFonts w:cstheme="minorHAnsi"/>
        </w:rPr>
        <w:t xml:space="preserve">prohibitively </w:t>
      </w:r>
      <w:r w:rsidR="008A27FC" w:rsidRPr="000A20E2">
        <w:rPr>
          <w:rFonts w:cstheme="minorHAnsi"/>
        </w:rPr>
        <w:t xml:space="preserve">high switching costs </w:t>
      </w:r>
      <w:r w:rsidR="001F6FD0" w:rsidRPr="000A20E2">
        <w:rPr>
          <w:rFonts w:cstheme="minorHAnsi"/>
        </w:rPr>
        <w:t>in shifting back</w:t>
      </w:r>
      <w:r w:rsidR="008A27FC" w:rsidRPr="000A20E2">
        <w:rPr>
          <w:rFonts w:cstheme="minorHAnsi"/>
        </w:rPr>
        <w:t xml:space="preserve"> to ‘union’.</w:t>
      </w:r>
      <w:r w:rsidR="001065A3" w:rsidRPr="000A20E2">
        <w:rPr>
          <w:rFonts w:cstheme="minorHAnsi"/>
        </w:rPr>
        <w:t xml:space="preserve"> </w:t>
      </w:r>
      <w:r w:rsidR="001F6FD0" w:rsidRPr="000A20E2">
        <w:rPr>
          <w:rFonts w:cstheme="minorHAnsi"/>
        </w:rPr>
        <w:t>Moreover, a union default for enterprise-level bargaining units would also facilitate company unionism.</w:t>
      </w:r>
      <w:r w:rsidR="002F6DF5">
        <w:rPr>
          <w:rStyle w:val="FootnoteReference"/>
          <w:rFonts w:cstheme="minorHAnsi"/>
        </w:rPr>
        <w:footnoteReference w:id="102"/>
      </w:r>
      <w:r w:rsidR="001065A3" w:rsidRPr="000A20E2">
        <w:rPr>
          <w:rFonts w:cstheme="minorHAnsi"/>
        </w:rPr>
        <w:t xml:space="preserve"> </w:t>
      </w:r>
      <w:r w:rsidR="001F6FD0" w:rsidRPr="000A20E2">
        <w:rPr>
          <w:rFonts w:cstheme="minorHAnsi"/>
        </w:rPr>
        <w:t>Sachs</w:t>
      </w:r>
      <w:r w:rsidR="002F6DF5">
        <w:rPr>
          <w:rStyle w:val="FootnoteReference"/>
          <w:rFonts w:cstheme="minorHAnsi"/>
        </w:rPr>
        <w:footnoteReference w:id="103"/>
      </w:r>
      <w:r w:rsidR="001F6FD0" w:rsidRPr="000A20E2">
        <w:rPr>
          <w:rFonts w:cstheme="minorHAnsi"/>
        </w:rPr>
        <w:t xml:space="preserve"> </w:t>
      </w:r>
      <w:r w:rsidR="00E54564" w:rsidRPr="000A20E2">
        <w:rPr>
          <w:rFonts w:cstheme="minorHAnsi"/>
        </w:rPr>
        <w:t xml:space="preserve">instead </w:t>
      </w:r>
      <w:r w:rsidR="00441EC9" w:rsidRPr="000A20E2">
        <w:rPr>
          <w:rFonts w:cstheme="minorHAnsi"/>
        </w:rPr>
        <w:t>advocates reducing the asymmetry in switching costs</w:t>
      </w:r>
      <w:r w:rsidR="00E54564" w:rsidRPr="000A20E2">
        <w:rPr>
          <w:rFonts w:cstheme="minorHAnsi"/>
        </w:rPr>
        <w:t xml:space="preserve"> between non-union and union defaults by adopting new ‘asymmetry-correcting</w:t>
      </w:r>
      <w:r w:rsidR="00FC4CDF" w:rsidRPr="000A20E2">
        <w:rPr>
          <w:rFonts w:cstheme="minorHAnsi"/>
        </w:rPr>
        <w:t xml:space="preserve"> altering</w:t>
      </w:r>
      <w:r w:rsidR="00E54564" w:rsidRPr="000A20E2">
        <w:rPr>
          <w:rFonts w:cstheme="minorHAnsi"/>
        </w:rPr>
        <w:t xml:space="preserve"> rules</w:t>
      </w:r>
      <w:r w:rsidR="00FC4CDF" w:rsidRPr="000A20E2">
        <w:rPr>
          <w:rFonts w:cstheme="minorHAnsi"/>
        </w:rPr>
        <w:t>’</w:t>
      </w:r>
      <w:r w:rsidR="00E54564" w:rsidRPr="000A20E2">
        <w:rPr>
          <w:rFonts w:cstheme="minorHAnsi"/>
        </w:rPr>
        <w:t>.</w:t>
      </w:r>
      <w:r w:rsidR="001065A3" w:rsidRPr="000A20E2">
        <w:rPr>
          <w:rFonts w:cstheme="minorHAnsi"/>
        </w:rPr>
        <w:t xml:space="preserve"> </w:t>
      </w:r>
      <w:r w:rsidR="009B0745" w:rsidRPr="000A20E2">
        <w:rPr>
          <w:rFonts w:cstheme="minorHAnsi"/>
        </w:rPr>
        <w:t xml:space="preserve">For example, an </w:t>
      </w:r>
      <w:r w:rsidR="00FF00E1" w:rsidRPr="000A20E2">
        <w:rPr>
          <w:rFonts w:cstheme="minorHAnsi"/>
        </w:rPr>
        <w:t>internet-based</w:t>
      </w:r>
      <w:r w:rsidR="0040504A" w:rsidRPr="000A20E2">
        <w:rPr>
          <w:rFonts w:cstheme="minorHAnsi"/>
        </w:rPr>
        <w:t xml:space="preserve"> variant of the Canadian ‘card check’ procedure </w:t>
      </w:r>
      <w:r w:rsidR="00FF00E1" w:rsidRPr="000A20E2">
        <w:rPr>
          <w:rFonts w:cstheme="minorHAnsi"/>
        </w:rPr>
        <w:t xml:space="preserve">would allow </w:t>
      </w:r>
      <w:r w:rsidR="00F10AF6" w:rsidRPr="000A20E2">
        <w:rPr>
          <w:rFonts w:cstheme="minorHAnsi"/>
        </w:rPr>
        <w:t>individuals</w:t>
      </w:r>
      <w:r w:rsidR="00FF00E1" w:rsidRPr="000A20E2">
        <w:rPr>
          <w:rFonts w:cstheme="minorHAnsi"/>
        </w:rPr>
        <w:t xml:space="preserve"> to signal support for a union</w:t>
      </w:r>
      <w:r w:rsidR="00F10AF6" w:rsidRPr="000A20E2">
        <w:rPr>
          <w:rFonts w:cstheme="minorHAnsi"/>
        </w:rPr>
        <w:t xml:space="preserve"> from </w:t>
      </w:r>
      <w:r w:rsidR="00FF00E1" w:rsidRPr="000A20E2">
        <w:rPr>
          <w:rFonts w:cstheme="minorHAnsi"/>
        </w:rPr>
        <w:t xml:space="preserve">their homes, with </w:t>
      </w:r>
      <w:r w:rsidR="0040504A" w:rsidRPr="000A20E2">
        <w:rPr>
          <w:rFonts w:cstheme="minorHAnsi"/>
        </w:rPr>
        <w:t xml:space="preserve">neither union nor management </w:t>
      </w:r>
      <w:r w:rsidR="00FF00E1" w:rsidRPr="000A20E2">
        <w:rPr>
          <w:rFonts w:cstheme="minorHAnsi"/>
        </w:rPr>
        <w:t>present</w:t>
      </w:r>
      <w:r w:rsidR="0040504A" w:rsidRPr="000A20E2">
        <w:rPr>
          <w:rFonts w:cstheme="minorHAnsi"/>
        </w:rPr>
        <w:t>.</w:t>
      </w:r>
      <w:r w:rsidR="001065A3" w:rsidRPr="000A20E2">
        <w:rPr>
          <w:rFonts w:cstheme="minorHAnsi"/>
        </w:rPr>
        <w:t xml:space="preserve"> </w:t>
      </w:r>
      <w:r w:rsidR="0040504A" w:rsidRPr="000A20E2">
        <w:rPr>
          <w:rFonts w:cstheme="minorHAnsi"/>
        </w:rPr>
        <w:t xml:space="preserve">A variant of </w:t>
      </w:r>
      <w:r w:rsidR="00FF00E1" w:rsidRPr="000A20E2">
        <w:rPr>
          <w:rFonts w:cstheme="minorHAnsi"/>
        </w:rPr>
        <w:t xml:space="preserve">the </w:t>
      </w:r>
      <w:r w:rsidR="0040504A" w:rsidRPr="000A20E2">
        <w:rPr>
          <w:rFonts w:cstheme="minorHAnsi"/>
        </w:rPr>
        <w:t xml:space="preserve">‘rapid elections’ </w:t>
      </w:r>
      <w:r w:rsidR="009B0745" w:rsidRPr="000A20E2">
        <w:rPr>
          <w:rFonts w:cstheme="minorHAnsi"/>
        </w:rPr>
        <w:t xml:space="preserve">idea </w:t>
      </w:r>
      <w:r w:rsidR="0040504A" w:rsidRPr="000A20E2">
        <w:rPr>
          <w:rFonts w:cstheme="minorHAnsi"/>
        </w:rPr>
        <w:t xml:space="preserve">would allow </w:t>
      </w:r>
      <w:r w:rsidR="00FF00E1" w:rsidRPr="000A20E2">
        <w:rPr>
          <w:rFonts w:cstheme="minorHAnsi"/>
        </w:rPr>
        <w:t xml:space="preserve">secret </w:t>
      </w:r>
      <w:r w:rsidR="00F834D5" w:rsidRPr="000A20E2">
        <w:rPr>
          <w:rFonts w:cstheme="minorHAnsi"/>
        </w:rPr>
        <w:t>early</w:t>
      </w:r>
      <w:r w:rsidR="001065A3" w:rsidRPr="000A20E2">
        <w:rPr>
          <w:rFonts w:cstheme="minorHAnsi"/>
        </w:rPr>
        <w:t xml:space="preserve"> </w:t>
      </w:r>
      <w:r w:rsidR="00FF00E1" w:rsidRPr="000A20E2">
        <w:rPr>
          <w:rFonts w:cstheme="minorHAnsi"/>
        </w:rPr>
        <w:t>voting via an offsite polling station or mail, again to minimise intervention by third parties.</w:t>
      </w:r>
      <w:r w:rsidR="001065A3" w:rsidRPr="000A20E2">
        <w:rPr>
          <w:rFonts w:cstheme="minorHAnsi"/>
        </w:rPr>
        <w:t xml:space="preserve"> </w:t>
      </w:r>
    </w:p>
    <w:p w14:paraId="7766BDD5" w14:textId="65EEA266" w:rsidR="00F834D5" w:rsidRPr="000A20E2" w:rsidRDefault="00AF494E" w:rsidP="000A20E2">
      <w:pPr>
        <w:spacing w:after="0" w:line="240" w:lineRule="auto"/>
        <w:jc w:val="both"/>
        <w:rPr>
          <w:rFonts w:cstheme="minorHAnsi"/>
        </w:rPr>
      </w:pPr>
      <w:r>
        <w:rPr>
          <w:rFonts w:cstheme="minorHAnsi"/>
        </w:rPr>
        <w:tab/>
      </w:r>
      <w:r w:rsidR="00F834D5" w:rsidRPr="000A20E2">
        <w:rPr>
          <w:rFonts w:cstheme="minorHAnsi"/>
        </w:rPr>
        <w:t>Sachs</w:t>
      </w:r>
      <w:r>
        <w:rPr>
          <w:rFonts w:cstheme="minorHAnsi"/>
        </w:rPr>
        <w:t>’</w:t>
      </w:r>
      <w:r w:rsidR="00F834D5" w:rsidRPr="000A20E2">
        <w:rPr>
          <w:rFonts w:cstheme="minorHAnsi"/>
        </w:rPr>
        <w:t xml:space="preserve"> proposals have strengths, including innovative suggestions to lower switching costs</w:t>
      </w:r>
      <w:r w:rsidR="00C322DA" w:rsidRPr="000A20E2">
        <w:rPr>
          <w:rFonts w:cstheme="minorHAnsi"/>
        </w:rPr>
        <w:t>, but</w:t>
      </w:r>
      <w:r w:rsidR="00F10AF6" w:rsidRPr="000A20E2">
        <w:rPr>
          <w:rFonts w:cstheme="minorHAnsi"/>
        </w:rPr>
        <w:t xml:space="preserve"> there are weaknesses</w:t>
      </w:r>
      <w:r w:rsidR="00F834D5" w:rsidRPr="000A20E2">
        <w:rPr>
          <w:rFonts w:cstheme="minorHAnsi"/>
        </w:rPr>
        <w:t>.</w:t>
      </w:r>
      <w:r w:rsidR="001065A3" w:rsidRPr="000A20E2">
        <w:rPr>
          <w:rFonts w:cstheme="minorHAnsi"/>
        </w:rPr>
        <w:t xml:space="preserve"> </w:t>
      </w:r>
      <w:r w:rsidR="006A2765" w:rsidRPr="000A20E2">
        <w:rPr>
          <w:rFonts w:cstheme="minorHAnsi"/>
        </w:rPr>
        <w:t xml:space="preserve">First, </w:t>
      </w:r>
      <w:r w:rsidR="00780BEC" w:rsidRPr="000A20E2">
        <w:rPr>
          <w:rFonts w:cstheme="minorHAnsi"/>
        </w:rPr>
        <w:t xml:space="preserve">the </w:t>
      </w:r>
      <w:r w:rsidR="0028050E" w:rsidRPr="000A20E2">
        <w:rPr>
          <w:rFonts w:cstheme="minorHAnsi"/>
        </w:rPr>
        <w:t xml:space="preserve">complex, </w:t>
      </w:r>
      <w:r w:rsidR="009C77DA" w:rsidRPr="000A20E2">
        <w:rPr>
          <w:rFonts w:cstheme="minorHAnsi"/>
        </w:rPr>
        <w:t xml:space="preserve">demanding requirements of certification, even </w:t>
      </w:r>
      <w:r w:rsidR="00F10AF6" w:rsidRPr="000A20E2">
        <w:rPr>
          <w:rFonts w:cstheme="minorHAnsi"/>
        </w:rPr>
        <w:t xml:space="preserve">in </w:t>
      </w:r>
      <w:r w:rsidR="009C77DA" w:rsidRPr="000A20E2">
        <w:rPr>
          <w:rFonts w:cstheme="minorHAnsi"/>
        </w:rPr>
        <w:t>worker-friendly Canadian versions, inherently involve high switching costs</w:t>
      </w:r>
      <w:r w:rsidR="00162709" w:rsidRPr="000A20E2">
        <w:rPr>
          <w:rFonts w:cstheme="minorHAnsi"/>
        </w:rPr>
        <w:t>:</w:t>
      </w:r>
      <w:r w:rsidR="001065A3" w:rsidRPr="000A20E2">
        <w:rPr>
          <w:rFonts w:cstheme="minorHAnsi"/>
        </w:rPr>
        <w:t xml:space="preserve"> </w:t>
      </w:r>
      <w:r w:rsidR="00162709" w:rsidRPr="000A20E2">
        <w:rPr>
          <w:rFonts w:cstheme="minorHAnsi"/>
        </w:rPr>
        <w:t xml:space="preserve">organising via a statutory process is </w:t>
      </w:r>
      <w:r w:rsidR="00F10AF6" w:rsidRPr="000A20E2">
        <w:rPr>
          <w:rFonts w:cstheme="minorHAnsi"/>
        </w:rPr>
        <w:t xml:space="preserve">difficult and </w:t>
      </w:r>
      <w:r w:rsidR="00162709" w:rsidRPr="000A20E2">
        <w:rPr>
          <w:rFonts w:cstheme="minorHAnsi"/>
        </w:rPr>
        <w:t>expensive</w:t>
      </w:r>
      <w:r w:rsidR="006A2765" w:rsidRPr="000A20E2">
        <w:rPr>
          <w:rFonts w:cstheme="minorHAnsi"/>
        </w:rPr>
        <w:t>, even with the successful muzzling of management opposition.</w:t>
      </w:r>
      <w:r w:rsidR="001065A3" w:rsidRPr="000A20E2">
        <w:rPr>
          <w:rFonts w:cstheme="minorHAnsi"/>
        </w:rPr>
        <w:t xml:space="preserve"> </w:t>
      </w:r>
      <w:r w:rsidR="006A2765" w:rsidRPr="000A20E2">
        <w:rPr>
          <w:rFonts w:cstheme="minorHAnsi"/>
        </w:rPr>
        <w:t xml:space="preserve">Second, </w:t>
      </w:r>
      <w:r w:rsidR="00780BEC" w:rsidRPr="000A20E2">
        <w:rPr>
          <w:rFonts w:cstheme="minorHAnsi"/>
        </w:rPr>
        <w:t xml:space="preserve">quite </w:t>
      </w:r>
      <w:r w:rsidR="006A2765" w:rsidRPr="000A20E2">
        <w:rPr>
          <w:rFonts w:cstheme="minorHAnsi"/>
        </w:rPr>
        <w:t>apart from switching costs, inertia, social norms, and loss aversion could also reinforce the ‘stickiness’ of the non-union default.</w:t>
      </w:r>
      <w:r w:rsidR="001065A3" w:rsidRPr="000A20E2">
        <w:rPr>
          <w:rFonts w:cstheme="minorHAnsi"/>
        </w:rPr>
        <w:t xml:space="preserve"> </w:t>
      </w:r>
      <w:r w:rsidR="008B7492" w:rsidRPr="000A20E2">
        <w:rPr>
          <w:rFonts w:cstheme="minorHAnsi"/>
        </w:rPr>
        <w:t>For example, t</w:t>
      </w:r>
      <w:r w:rsidR="009545F6" w:rsidRPr="000A20E2">
        <w:rPr>
          <w:rFonts w:cstheme="minorHAnsi"/>
        </w:rPr>
        <w:t xml:space="preserve">he inertia </w:t>
      </w:r>
      <w:r w:rsidR="008B7492" w:rsidRPr="000A20E2">
        <w:rPr>
          <w:rFonts w:cstheme="minorHAnsi"/>
        </w:rPr>
        <w:t xml:space="preserve">of </w:t>
      </w:r>
      <w:r w:rsidR="009545F6" w:rsidRPr="000A20E2">
        <w:rPr>
          <w:rFonts w:cstheme="minorHAnsi"/>
        </w:rPr>
        <w:t>rising</w:t>
      </w:r>
      <w:r w:rsidR="001065A3" w:rsidRPr="000A20E2">
        <w:rPr>
          <w:rFonts w:cstheme="minorHAnsi"/>
        </w:rPr>
        <w:t xml:space="preserve"> </w:t>
      </w:r>
      <w:r w:rsidR="009545F6" w:rsidRPr="000A20E2">
        <w:rPr>
          <w:rFonts w:cstheme="minorHAnsi"/>
        </w:rPr>
        <w:t>‘never membership’</w:t>
      </w:r>
      <w:r w:rsidR="008B7492" w:rsidRPr="000A20E2">
        <w:rPr>
          <w:rFonts w:cstheme="minorHAnsi"/>
        </w:rPr>
        <w:t xml:space="preserve"> in the UK </w:t>
      </w:r>
      <w:r w:rsidR="009545F6" w:rsidRPr="000A20E2">
        <w:rPr>
          <w:rFonts w:cstheme="minorHAnsi"/>
        </w:rPr>
        <w:t xml:space="preserve">has almost certainly increased the </w:t>
      </w:r>
      <w:r w:rsidR="006A2765" w:rsidRPr="000A20E2">
        <w:rPr>
          <w:rFonts w:cstheme="minorHAnsi"/>
        </w:rPr>
        <w:t>‘</w:t>
      </w:r>
      <w:r w:rsidR="009545F6" w:rsidRPr="000A20E2">
        <w:rPr>
          <w:rFonts w:cstheme="minorHAnsi"/>
        </w:rPr>
        <w:t>stickiness</w:t>
      </w:r>
      <w:r w:rsidR="006A2765" w:rsidRPr="000A20E2">
        <w:rPr>
          <w:rFonts w:cstheme="minorHAnsi"/>
        </w:rPr>
        <w:t>’</w:t>
      </w:r>
      <w:r w:rsidR="009545F6" w:rsidRPr="000A20E2">
        <w:rPr>
          <w:rFonts w:cstheme="minorHAnsi"/>
        </w:rPr>
        <w:t xml:space="preserve"> of the no</w:t>
      </w:r>
      <w:r w:rsidR="00FE5B9C" w:rsidRPr="000A20E2">
        <w:rPr>
          <w:rFonts w:cstheme="minorHAnsi"/>
        </w:rPr>
        <w:t>n-union default</w:t>
      </w:r>
      <w:r w:rsidR="009545F6" w:rsidRPr="000A20E2">
        <w:rPr>
          <w:rFonts w:cstheme="minorHAnsi"/>
        </w:rPr>
        <w:t>.</w:t>
      </w:r>
      <w:r w:rsidR="002F6DF5">
        <w:rPr>
          <w:rStyle w:val="FootnoteReference"/>
          <w:rFonts w:cstheme="minorHAnsi"/>
        </w:rPr>
        <w:footnoteReference w:id="104"/>
      </w:r>
      <w:r w:rsidR="001065A3" w:rsidRPr="000A20E2">
        <w:rPr>
          <w:rFonts w:cstheme="minorHAnsi"/>
        </w:rPr>
        <w:t xml:space="preserve"> </w:t>
      </w:r>
      <w:r w:rsidR="006A2765" w:rsidRPr="000A20E2">
        <w:rPr>
          <w:rFonts w:cstheme="minorHAnsi"/>
        </w:rPr>
        <w:t>Third</w:t>
      </w:r>
      <w:r w:rsidR="00073608" w:rsidRPr="000A20E2">
        <w:rPr>
          <w:rFonts w:cstheme="minorHAnsi"/>
        </w:rPr>
        <w:t xml:space="preserve">, </w:t>
      </w:r>
      <w:r w:rsidR="004B5F0D" w:rsidRPr="000A20E2">
        <w:rPr>
          <w:rFonts w:cstheme="minorHAnsi"/>
        </w:rPr>
        <w:t xml:space="preserve">a union default </w:t>
      </w:r>
      <w:r w:rsidR="0028050E" w:rsidRPr="000A20E2">
        <w:rPr>
          <w:rFonts w:cstheme="minorHAnsi"/>
        </w:rPr>
        <w:t>need not be</w:t>
      </w:r>
      <w:r w:rsidR="004B5F0D" w:rsidRPr="000A20E2">
        <w:rPr>
          <w:rFonts w:cstheme="minorHAnsi"/>
        </w:rPr>
        <w:t xml:space="preserve"> </w:t>
      </w:r>
      <w:r w:rsidR="0028050E" w:rsidRPr="000A20E2">
        <w:rPr>
          <w:rFonts w:cstheme="minorHAnsi"/>
        </w:rPr>
        <w:t>based</w:t>
      </w:r>
      <w:r w:rsidR="004B5F0D" w:rsidRPr="000A20E2">
        <w:rPr>
          <w:rFonts w:cstheme="minorHAnsi"/>
        </w:rPr>
        <w:t xml:space="preserve"> on </w:t>
      </w:r>
      <w:r w:rsidR="00162709" w:rsidRPr="000A20E2">
        <w:rPr>
          <w:rFonts w:cstheme="minorHAnsi"/>
        </w:rPr>
        <w:t>a reverse Wagner Model</w:t>
      </w:r>
      <w:r w:rsidR="004B5F0D" w:rsidRPr="000A20E2">
        <w:rPr>
          <w:rFonts w:cstheme="minorHAnsi"/>
        </w:rPr>
        <w:t xml:space="preserve">, </w:t>
      </w:r>
      <w:r w:rsidR="00C322DA" w:rsidRPr="000A20E2">
        <w:rPr>
          <w:rFonts w:cstheme="minorHAnsi"/>
        </w:rPr>
        <w:t>in</w:t>
      </w:r>
      <w:r w:rsidR="004B5F0D" w:rsidRPr="000A20E2">
        <w:rPr>
          <w:rFonts w:cstheme="minorHAnsi"/>
        </w:rPr>
        <w:t xml:space="preserve"> applying to an entire bargaining unit</w:t>
      </w:r>
      <w:r w:rsidR="006A2765" w:rsidRPr="000A20E2">
        <w:rPr>
          <w:rFonts w:cstheme="minorHAnsi"/>
        </w:rPr>
        <w:t>, as suggested by Sachs (2010)</w:t>
      </w:r>
      <w:r w:rsidR="00162709" w:rsidRPr="000A20E2">
        <w:rPr>
          <w:rFonts w:cstheme="minorHAnsi"/>
        </w:rPr>
        <w:t>.</w:t>
      </w:r>
      <w:r w:rsidR="001065A3" w:rsidRPr="000A20E2">
        <w:rPr>
          <w:rFonts w:cstheme="minorHAnsi"/>
        </w:rPr>
        <w:t xml:space="preserve"> </w:t>
      </w:r>
      <w:r w:rsidR="006A2765" w:rsidRPr="000A20E2">
        <w:rPr>
          <w:rFonts w:cstheme="minorHAnsi"/>
        </w:rPr>
        <w:t>Our</w:t>
      </w:r>
      <w:r w:rsidR="00162709" w:rsidRPr="000A20E2">
        <w:rPr>
          <w:rFonts w:cstheme="minorHAnsi"/>
        </w:rPr>
        <w:t xml:space="preserve"> proposal</w:t>
      </w:r>
      <w:r w:rsidR="006A2765" w:rsidRPr="000A20E2">
        <w:rPr>
          <w:rFonts w:cstheme="minorHAnsi"/>
        </w:rPr>
        <w:t xml:space="preserve"> for a union default would</w:t>
      </w:r>
      <w:r w:rsidR="00162709" w:rsidRPr="000A20E2">
        <w:rPr>
          <w:rFonts w:cstheme="minorHAnsi"/>
        </w:rPr>
        <w:t xml:space="preserve"> </w:t>
      </w:r>
      <w:r w:rsidR="008B7492" w:rsidRPr="000A20E2">
        <w:rPr>
          <w:rFonts w:cstheme="minorHAnsi"/>
        </w:rPr>
        <w:t>i</w:t>
      </w:r>
      <w:r w:rsidR="006A2765" w:rsidRPr="000A20E2">
        <w:rPr>
          <w:rFonts w:cstheme="minorHAnsi"/>
        </w:rPr>
        <w:t>nvolve</w:t>
      </w:r>
      <w:r w:rsidR="00162709" w:rsidRPr="000A20E2">
        <w:rPr>
          <w:rFonts w:cstheme="minorHAnsi"/>
        </w:rPr>
        <w:t xml:space="preserve"> some organising by a </w:t>
      </w:r>
      <w:r w:rsidR="00162709" w:rsidRPr="000A20E2">
        <w:rPr>
          <w:rFonts w:cstheme="minorHAnsi"/>
          <w:i/>
          <w:iCs/>
        </w:rPr>
        <w:t>bona fide</w:t>
      </w:r>
      <w:r w:rsidR="00162709" w:rsidRPr="000A20E2">
        <w:rPr>
          <w:rFonts w:cstheme="minorHAnsi"/>
        </w:rPr>
        <w:t xml:space="preserve"> union</w:t>
      </w:r>
      <w:r w:rsidR="00780BEC" w:rsidRPr="000A20E2">
        <w:rPr>
          <w:rFonts w:cstheme="minorHAnsi"/>
        </w:rPr>
        <w:t>, but</w:t>
      </w:r>
      <w:r w:rsidR="004B5F0D" w:rsidRPr="000A20E2">
        <w:rPr>
          <w:rFonts w:cstheme="minorHAnsi"/>
        </w:rPr>
        <w:t xml:space="preserve"> </w:t>
      </w:r>
      <w:r w:rsidR="009545F6" w:rsidRPr="000A20E2">
        <w:rPr>
          <w:rFonts w:cstheme="minorHAnsi"/>
        </w:rPr>
        <w:t>the threshold membership number</w:t>
      </w:r>
      <w:r w:rsidR="004B5F0D" w:rsidRPr="000A20E2">
        <w:rPr>
          <w:rFonts w:cstheme="minorHAnsi"/>
        </w:rPr>
        <w:t xml:space="preserve"> required to establish union default status would be </w:t>
      </w:r>
      <w:r w:rsidR="00780BEC" w:rsidRPr="000A20E2">
        <w:rPr>
          <w:rFonts w:cstheme="minorHAnsi"/>
        </w:rPr>
        <w:t>easier</w:t>
      </w:r>
      <w:r w:rsidR="001065A3" w:rsidRPr="000A20E2">
        <w:rPr>
          <w:rFonts w:cstheme="minorHAnsi"/>
        </w:rPr>
        <w:t xml:space="preserve"> </w:t>
      </w:r>
      <w:r w:rsidR="004B5F0D" w:rsidRPr="000A20E2">
        <w:rPr>
          <w:rFonts w:cstheme="minorHAnsi"/>
        </w:rPr>
        <w:t xml:space="preserve">to meet </w:t>
      </w:r>
      <w:r w:rsidR="00780BEC" w:rsidRPr="000A20E2">
        <w:rPr>
          <w:rFonts w:cstheme="minorHAnsi"/>
        </w:rPr>
        <w:t xml:space="preserve">and more </w:t>
      </w:r>
      <w:r w:rsidR="004B5F0D" w:rsidRPr="000A20E2">
        <w:rPr>
          <w:rFonts w:cstheme="minorHAnsi"/>
        </w:rPr>
        <w:t xml:space="preserve">respectful </w:t>
      </w:r>
      <w:r w:rsidR="00FE5B9C" w:rsidRPr="000A20E2">
        <w:rPr>
          <w:rFonts w:cstheme="minorHAnsi"/>
        </w:rPr>
        <w:t xml:space="preserve">of </w:t>
      </w:r>
      <w:r w:rsidR="004B5F0D" w:rsidRPr="000A20E2">
        <w:rPr>
          <w:rFonts w:cstheme="minorHAnsi"/>
        </w:rPr>
        <w:t>individual choice.</w:t>
      </w:r>
      <w:r w:rsidR="001065A3" w:rsidRPr="000A20E2">
        <w:rPr>
          <w:rFonts w:cstheme="minorHAnsi"/>
        </w:rPr>
        <w:t xml:space="preserve"> </w:t>
      </w:r>
    </w:p>
    <w:p w14:paraId="531FD044" w14:textId="251C8D96" w:rsidR="00D24440" w:rsidRPr="000A20E2" w:rsidRDefault="00903435" w:rsidP="000A20E2">
      <w:pPr>
        <w:spacing w:after="0" w:line="240" w:lineRule="auto"/>
        <w:ind w:firstLine="720"/>
        <w:jc w:val="both"/>
        <w:rPr>
          <w:rFonts w:cstheme="minorHAnsi"/>
          <w:shd w:val="clear" w:color="auto" w:fill="FFFFFF"/>
        </w:rPr>
      </w:pPr>
      <w:r w:rsidRPr="000A20E2">
        <w:rPr>
          <w:rFonts w:cstheme="minorHAnsi"/>
          <w:bCs/>
        </w:rPr>
        <w:t xml:space="preserve">Like </w:t>
      </w:r>
      <w:r w:rsidR="003651E2" w:rsidRPr="000A20E2">
        <w:rPr>
          <w:rFonts w:cstheme="minorHAnsi"/>
          <w:bCs/>
        </w:rPr>
        <w:t>Sachs</w:t>
      </w:r>
      <w:r w:rsidR="00654FCE">
        <w:rPr>
          <w:rStyle w:val="FootnoteReference"/>
          <w:rFonts w:cstheme="minorHAnsi"/>
          <w:bCs/>
        </w:rPr>
        <w:footnoteReference w:id="105"/>
      </w:r>
      <w:r w:rsidR="003651E2" w:rsidRPr="000A20E2">
        <w:rPr>
          <w:rFonts w:cstheme="minorHAnsi"/>
          <w:bCs/>
        </w:rPr>
        <w:t xml:space="preserve"> in </w:t>
      </w:r>
      <w:r w:rsidR="00A37471" w:rsidRPr="000A20E2">
        <w:rPr>
          <w:rFonts w:cstheme="minorHAnsi"/>
          <w:bCs/>
        </w:rPr>
        <w:t xml:space="preserve">the US, </w:t>
      </w:r>
      <w:proofErr w:type="spellStart"/>
      <w:r w:rsidR="00A37471" w:rsidRPr="000A20E2">
        <w:rPr>
          <w:rFonts w:cstheme="minorHAnsi"/>
          <w:bCs/>
        </w:rPr>
        <w:t>Bogg</w:t>
      </w:r>
      <w:proofErr w:type="spellEnd"/>
      <w:r w:rsidR="00654FCE">
        <w:rPr>
          <w:rStyle w:val="FootnoteReference"/>
          <w:rFonts w:cstheme="minorHAnsi"/>
          <w:bCs/>
        </w:rPr>
        <w:footnoteReference w:id="106"/>
      </w:r>
      <w:r w:rsidR="00A37471" w:rsidRPr="000A20E2">
        <w:rPr>
          <w:rFonts w:cstheme="minorHAnsi"/>
          <w:bCs/>
        </w:rPr>
        <w:t xml:space="preserve"> </w:t>
      </w:r>
      <w:r w:rsidR="003651E2" w:rsidRPr="000A20E2">
        <w:rPr>
          <w:rFonts w:cstheme="minorHAnsi"/>
          <w:bCs/>
        </w:rPr>
        <w:t xml:space="preserve">identifies </w:t>
      </w:r>
      <w:r w:rsidR="00A37471" w:rsidRPr="000A20E2">
        <w:rPr>
          <w:rFonts w:cstheme="minorHAnsi"/>
          <w:bCs/>
        </w:rPr>
        <w:t xml:space="preserve">inadequacies </w:t>
      </w:r>
      <w:r w:rsidR="003651E2" w:rsidRPr="000A20E2">
        <w:rPr>
          <w:rFonts w:cstheme="minorHAnsi"/>
          <w:bCs/>
        </w:rPr>
        <w:t>in</w:t>
      </w:r>
      <w:r w:rsidR="00A37471" w:rsidRPr="000A20E2">
        <w:rPr>
          <w:rFonts w:cstheme="minorHAnsi"/>
          <w:bCs/>
        </w:rPr>
        <w:t xml:space="preserve"> the statutory union recognition procedure </w:t>
      </w:r>
      <w:r w:rsidR="003651E2" w:rsidRPr="000A20E2">
        <w:rPr>
          <w:rFonts w:cstheme="minorHAnsi"/>
          <w:bCs/>
        </w:rPr>
        <w:t>in</w:t>
      </w:r>
      <w:r w:rsidR="00A37471" w:rsidRPr="000A20E2">
        <w:rPr>
          <w:rFonts w:cstheme="minorHAnsi"/>
          <w:bCs/>
        </w:rPr>
        <w:t xml:space="preserve"> Britain</w:t>
      </w:r>
      <w:r w:rsidR="00CB726B" w:rsidRPr="000A20E2">
        <w:rPr>
          <w:rFonts w:cstheme="minorHAnsi"/>
          <w:bCs/>
        </w:rPr>
        <w:t xml:space="preserve"> and proposes various radical reforms</w:t>
      </w:r>
      <w:r w:rsidR="00A37471" w:rsidRPr="000A20E2">
        <w:rPr>
          <w:rFonts w:cstheme="minorHAnsi"/>
          <w:bCs/>
        </w:rPr>
        <w:t>.</w:t>
      </w:r>
      <w:r w:rsidR="001065A3" w:rsidRPr="000A20E2">
        <w:rPr>
          <w:rFonts w:cstheme="minorHAnsi"/>
          <w:bCs/>
        </w:rPr>
        <w:t xml:space="preserve"> </w:t>
      </w:r>
      <w:r w:rsidR="0049274B" w:rsidRPr="000A20E2">
        <w:rPr>
          <w:rFonts w:cstheme="minorHAnsi"/>
          <w:bCs/>
        </w:rPr>
        <w:t>He acknowledges the importance and power of the non-union default, but does not propose reversing it</w:t>
      </w:r>
      <w:r w:rsidR="00CB726B" w:rsidRPr="000A20E2">
        <w:rPr>
          <w:rFonts w:cstheme="minorHAnsi"/>
          <w:bCs/>
        </w:rPr>
        <w:t>.</w:t>
      </w:r>
      <w:r w:rsidR="001065A3" w:rsidRPr="000A20E2">
        <w:rPr>
          <w:rFonts w:cstheme="minorHAnsi"/>
          <w:bCs/>
        </w:rPr>
        <w:t xml:space="preserve"> </w:t>
      </w:r>
      <w:proofErr w:type="spellStart"/>
      <w:r w:rsidR="00CB726B" w:rsidRPr="000A20E2">
        <w:rPr>
          <w:rFonts w:cstheme="minorHAnsi"/>
          <w:bCs/>
        </w:rPr>
        <w:t>Bogg</w:t>
      </w:r>
      <w:proofErr w:type="spellEnd"/>
      <w:r w:rsidR="00CB726B" w:rsidRPr="000A20E2">
        <w:rPr>
          <w:rFonts w:cstheme="minorHAnsi"/>
          <w:bCs/>
        </w:rPr>
        <w:t xml:space="preserve"> </w:t>
      </w:r>
      <w:r w:rsidR="0049274B" w:rsidRPr="000A20E2">
        <w:rPr>
          <w:rFonts w:cstheme="minorHAnsi"/>
          <w:bCs/>
        </w:rPr>
        <w:t xml:space="preserve">argues that </w:t>
      </w:r>
      <w:r w:rsidR="002333F3" w:rsidRPr="000A20E2">
        <w:rPr>
          <w:rFonts w:cstheme="minorHAnsi"/>
        </w:rPr>
        <w:t xml:space="preserve">weaknesses </w:t>
      </w:r>
      <w:r w:rsidR="00D95732" w:rsidRPr="000A20E2">
        <w:rPr>
          <w:rFonts w:cstheme="minorHAnsi"/>
        </w:rPr>
        <w:t>in</w:t>
      </w:r>
      <w:r w:rsidR="002333F3" w:rsidRPr="000A20E2">
        <w:rPr>
          <w:rFonts w:cstheme="minorHAnsi"/>
        </w:rPr>
        <w:t xml:space="preserve"> the statutory </w:t>
      </w:r>
      <w:r w:rsidR="006A2A8A" w:rsidRPr="000A20E2">
        <w:rPr>
          <w:rFonts w:cstheme="minorHAnsi"/>
        </w:rPr>
        <w:t xml:space="preserve">procedure in </w:t>
      </w:r>
      <w:r w:rsidR="00CB726B" w:rsidRPr="000A20E2">
        <w:rPr>
          <w:rFonts w:cstheme="minorHAnsi"/>
        </w:rPr>
        <w:t xml:space="preserve">Britain </w:t>
      </w:r>
      <w:r w:rsidR="006A2A8A" w:rsidRPr="000A20E2">
        <w:rPr>
          <w:rFonts w:cstheme="minorHAnsi"/>
        </w:rPr>
        <w:t>(</w:t>
      </w:r>
      <w:r w:rsidR="00CB726B" w:rsidRPr="000A20E2">
        <w:rPr>
          <w:rFonts w:cstheme="minorHAnsi"/>
        </w:rPr>
        <w:t xml:space="preserve">and </w:t>
      </w:r>
      <w:r w:rsidR="002333F3" w:rsidRPr="000A20E2">
        <w:rPr>
          <w:rFonts w:cstheme="minorHAnsi"/>
        </w:rPr>
        <w:t>the US</w:t>
      </w:r>
      <w:r w:rsidR="006A2A8A" w:rsidRPr="000A20E2">
        <w:rPr>
          <w:rFonts w:cstheme="minorHAnsi"/>
        </w:rPr>
        <w:t xml:space="preserve">) </w:t>
      </w:r>
      <w:r w:rsidRPr="000A20E2">
        <w:rPr>
          <w:rFonts w:cstheme="minorHAnsi"/>
        </w:rPr>
        <w:t>arise from using majoritarian consent and a representational model of bargaining as a private mark</w:t>
      </w:r>
      <w:r w:rsidR="0054642A" w:rsidRPr="000A20E2">
        <w:rPr>
          <w:rFonts w:cstheme="minorHAnsi"/>
        </w:rPr>
        <w:t>e</w:t>
      </w:r>
      <w:r w:rsidRPr="000A20E2">
        <w:rPr>
          <w:rFonts w:cstheme="minorHAnsi"/>
        </w:rPr>
        <w:t>t activity</w:t>
      </w:r>
      <w:r w:rsidR="00CB726B" w:rsidRPr="000A20E2">
        <w:rPr>
          <w:rFonts w:cstheme="minorHAnsi"/>
          <w:shd w:val="clear" w:color="auto" w:fill="FFFFFF"/>
        </w:rPr>
        <w:t>.</w:t>
      </w:r>
      <w:r w:rsidR="001065A3" w:rsidRPr="000A20E2">
        <w:rPr>
          <w:rFonts w:cstheme="minorHAnsi"/>
          <w:shd w:val="clear" w:color="auto" w:fill="FFFFFF"/>
        </w:rPr>
        <w:t xml:space="preserve"> </w:t>
      </w:r>
      <w:r w:rsidR="0049274B" w:rsidRPr="000A20E2">
        <w:rPr>
          <w:rFonts w:cstheme="minorHAnsi"/>
          <w:shd w:val="clear" w:color="auto" w:fill="FFFFFF"/>
        </w:rPr>
        <w:t>A</w:t>
      </w:r>
      <w:r w:rsidR="00BE091D" w:rsidRPr="000A20E2">
        <w:rPr>
          <w:rFonts w:cstheme="minorHAnsi"/>
          <w:shd w:val="clear" w:color="auto" w:fill="FFFFFF"/>
        </w:rPr>
        <w:t>lthough persuasive</w:t>
      </w:r>
      <w:r w:rsidR="00CB726B" w:rsidRPr="000A20E2">
        <w:rPr>
          <w:rFonts w:cstheme="minorHAnsi"/>
          <w:shd w:val="clear" w:color="auto" w:fill="FFFFFF"/>
        </w:rPr>
        <w:t xml:space="preserve">, </w:t>
      </w:r>
      <w:r w:rsidR="004A7513" w:rsidRPr="000A20E2">
        <w:rPr>
          <w:rFonts w:cstheme="minorHAnsi"/>
          <w:shd w:val="clear" w:color="auto" w:fill="FFFFFF"/>
        </w:rPr>
        <w:t>this argument o</w:t>
      </w:r>
      <w:r w:rsidR="00CB726B" w:rsidRPr="000A20E2">
        <w:rPr>
          <w:rFonts w:cstheme="minorHAnsi"/>
          <w:shd w:val="clear" w:color="auto" w:fill="FFFFFF"/>
        </w:rPr>
        <w:t xml:space="preserve">nly has particular force when </w:t>
      </w:r>
      <w:r w:rsidR="002333F3" w:rsidRPr="000A20E2">
        <w:rPr>
          <w:rFonts w:cstheme="minorHAnsi"/>
          <w:shd w:val="clear" w:color="auto" w:fill="FFFFFF"/>
        </w:rPr>
        <w:t>based upon a non-union default</w:t>
      </w:r>
      <w:r w:rsidR="00CB726B" w:rsidRPr="000A20E2">
        <w:rPr>
          <w:rFonts w:cstheme="minorHAnsi"/>
          <w:shd w:val="clear" w:color="auto" w:fill="FFFFFF"/>
        </w:rPr>
        <w:t xml:space="preserve">, and </w:t>
      </w:r>
      <w:r w:rsidR="00BE091D" w:rsidRPr="000A20E2">
        <w:rPr>
          <w:rFonts w:cstheme="minorHAnsi"/>
          <w:shd w:val="clear" w:color="auto" w:fill="FFFFFF"/>
        </w:rPr>
        <w:t xml:space="preserve">fails to account for the </w:t>
      </w:r>
      <w:r w:rsidR="006A2A8A" w:rsidRPr="000A20E2">
        <w:rPr>
          <w:rFonts w:cstheme="minorHAnsi"/>
          <w:shd w:val="clear" w:color="auto" w:fill="FFFFFF"/>
        </w:rPr>
        <w:t xml:space="preserve">disaggregating effect of management and state-led </w:t>
      </w:r>
      <w:r w:rsidR="002333F3" w:rsidRPr="000A20E2">
        <w:rPr>
          <w:rFonts w:cstheme="minorHAnsi"/>
          <w:shd w:val="clear" w:color="auto" w:fill="FFFFFF"/>
        </w:rPr>
        <w:t>decentralis</w:t>
      </w:r>
      <w:r w:rsidR="006A2A8A" w:rsidRPr="000A20E2">
        <w:rPr>
          <w:rFonts w:cstheme="minorHAnsi"/>
          <w:shd w:val="clear" w:color="auto" w:fill="FFFFFF"/>
        </w:rPr>
        <w:t xml:space="preserve">ation and deregulation </w:t>
      </w:r>
      <w:r w:rsidR="002333F3" w:rsidRPr="000A20E2">
        <w:rPr>
          <w:rFonts w:cstheme="minorHAnsi"/>
          <w:shd w:val="clear" w:color="auto" w:fill="FFFFFF"/>
        </w:rPr>
        <w:t>of industrial relations</w:t>
      </w:r>
      <w:r w:rsidR="006A2A8A" w:rsidRPr="000A20E2">
        <w:rPr>
          <w:rFonts w:cstheme="minorHAnsi"/>
          <w:shd w:val="clear" w:color="auto" w:fill="FFFFFF"/>
        </w:rPr>
        <w:t xml:space="preserve"> systems</w:t>
      </w:r>
      <w:r w:rsidR="002333F3" w:rsidRPr="000A20E2">
        <w:rPr>
          <w:rFonts w:cstheme="minorHAnsi"/>
          <w:shd w:val="clear" w:color="auto" w:fill="FFFFFF"/>
        </w:rPr>
        <w:t>.</w:t>
      </w:r>
      <w:r w:rsidR="002A5A48" w:rsidRPr="000A20E2">
        <w:rPr>
          <w:rFonts w:cstheme="minorHAnsi"/>
          <w:shd w:val="clear" w:color="auto" w:fill="FFFFFF"/>
        </w:rPr>
        <w:t xml:space="preserve"> </w:t>
      </w:r>
      <w:r w:rsidR="00BE091D" w:rsidRPr="000A20E2">
        <w:rPr>
          <w:rFonts w:cstheme="minorHAnsi"/>
          <w:shd w:val="clear" w:color="auto" w:fill="FFFFFF"/>
        </w:rPr>
        <w:t>To highlight the point, the current British recognition system would have functioned better for unions in the 1960s and 1970s than in the 2000s and 2010s.</w:t>
      </w:r>
      <w:r w:rsidR="008D330F" w:rsidRPr="000A20E2">
        <w:rPr>
          <w:rFonts w:cstheme="minorHAnsi"/>
          <w:shd w:val="clear" w:color="auto" w:fill="FFFFFF"/>
        </w:rPr>
        <w:t xml:space="preserve"> </w:t>
      </w:r>
      <w:r w:rsidR="002333F3" w:rsidRPr="000A20E2">
        <w:rPr>
          <w:rFonts w:cstheme="minorHAnsi"/>
          <w:shd w:val="clear" w:color="auto" w:fill="FFFFFF"/>
        </w:rPr>
        <w:t xml:space="preserve">Thus, </w:t>
      </w:r>
      <w:proofErr w:type="spellStart"/>
      <w:r w:rsidR="002333F3" w:rsidRPr="000A20E2">
        <w:rPr>
          <w:rFonts w:cstheme="minorHAnsi"/>
          <w:shd w:val="clear" w:color="auto" w:fill="FFFFFF"/>
        </w:rPr>
        <w:t>Bogg</w:t>
      </w:r>
      <w:proofErr w:type="spellEnd"/>
      <w:r w:rsidR="002333F3" w:rsidRPr="000A20E2">
        <w:rPr>
          <w:rFonts w:cstheme="minorHAnsi"/>
          <w:shd w:val="clear" w:color="auto" w:fill="FFFFFF"/>
        </w:rPr>
        <w:t xml:space="preserve"> </w:t>
      </w:r>
      <w:r w:rsidR="00BE091D" w:rsidRPr="000A20E2">
        <w:rPr>
          <w:rFonts w:cstheme="minorHAnsi"/>
          <w:shd w:val="clear" w:color="auto" w:fill="FFFFFF"/>
        </w:rPr>
        <w:t xml:space="preserve">correctly </w:t>
      </w:r>
      <w:r w:rsidR="002333F3" w:rsidRPr="000A20E2">
        <w:rPr>
          <w:rFonts w:cstheme="minorHAnsi"/>
          <w:shd w:val="clear" w:color="auto" w:fill="FFFFFF"/>
        </w:rPr>
        <w:t>understand</w:t>
      </w:r>
      <w:r w:rsidR="00BE091D" w:rsidRPr="000A20E2">
        <w:rPr>
          <w:rFonts w:cstheme="minorHAnsi"/>
          <w:shd w:val="clear" w:color="auto" w:fill="FFFFFF"/>
        </w:rPr>
        <w:t>s</w:t>
      </w:r>
      <w:r w:rsidR="002333F3" w:rsidRPr="000A20E2">
        <w:rPr>
          <w:rFonts w:cstheme="minorHAnsi"/>
          <w:shd w:val="clear" w:color="auto" w:fill="FFFFFF"/>
        </w:rPr>
        <w:t xml:space="preserve"> the theoretical underpinnings of the recognition proce</w:t>
      </w:r>
      <w:r w:rsidR="006A2A8A" w:rsidRPr="000A20E2">
        <w:rPr>
          <w:rFonts w:cstheme="minorHAnsi"/>
          <w:shd w:val="clear" w:color="auto" w:fill="FFFFFF"/>
        </w:rPr>
        <w:t xml:space="preserve">dures but eschews </w:t>
      </w:r>
      <w:r w:rsidR="00BE091D" w:rsidRPr="000A20E2">
        <w:rPr>
          <w:rFonts w:cstheme="minorHAnsi"/>
          <w:shd w:val="clear" w:color="auto" w:fill="FFFFFF"/>
        </w:rPr>
        <w:t xml:space="preserve">contextual </w:t>
      </w:r>
      <w:r w:rsidR="002333F3" w:rsidRPr="000A20E2">
        <w:rPr>
          <w:rFonts w:cstheme="minorHAnsi"/>
          <w:shd w:val="clear" w:color="auto" w:fill="FFFFFF"/>
        </w:rPr>
        <w:t>consideration</w:t>
      </w:r>
      <w:r w:rsidR="0049274B" w:rsidRPr="000A20E2">
        <w:rPr>
          <w:rFonts w:cstheme="minorHAnsi"/>
          <w:shd w:val="clear" w:color="auto" w:fill="FFFFFF"/>
        </w:rPr>
        <w:t>s</w:t>
      </w:r>
      <w:r w:rsidR="00BE091D" w:rsidRPr="000A20E2">
        <w:rPr>
          <w:rFonts w:cstheme="minorHAnsi"/>
          <w:shd w:val="clear" w:color="auto" w:fill="FFFFFF"/>
        </w:rPr>
        <w:t>.</w:t>
      </w:r>
      <w:r w:rsidR="001065A3" w:rsidRPr="000A20E2">
        <w:rPr>
          <w:rFonts w:cstheme="minorHAnsi"/>
          <w:shd w:val="clear" w:color="auto" w:fill="FFFFFF"/>
        </w:rPr>
        <w:t xml:space="preserve"> </w:t>
      </w:r>
      <w:r w:rsidR="003651E2" w:rsidRPr="000A20E2">
        <w:rPr>
          <w:rFonts w:cstheme="minorHAnsi"/>
          <w:shd w:val="clear" w:color="auto" w:fill="FFFFFF"/>
        </w:rPr>
        <w:t>The</w:t>
      </w:r>
      <w:r w:rsidR="00BE091D" w:rsidRPr="000A20E2">
        <w:rPr>
          <w:rFonts w:cstheme="minorHAnsi"/>
          <w:shd w:val="clear" w:color="auto" w:fill="FFFFFF"/>
        </w:rPr>
        <w:t xml:space="preserve"> </w:t>
      </w:r>
      <w:r w:rsidR="002333F3" w:rsidRPr="000A20E2">
        <w:rPr>
          <w:rFonts w:cstheme="minorHAnsi"/>
          <w:shd w:val="clear" w:color="auto" w:fill="FFFFFF"/>
        </w:rPr>
        <w:t>non-union default</w:t>
      </w:r>
      <w:r w:rsidR="003651E2" w:rsidRPr="000A20E2">
        <w:rPr>
          <w:rFonts w:cstheme="minorHAnsi"/>
          <w:shd w:val="clear" w:color="auto" w:fill="FFFFFF"/>
        </w:rPr>
        <w:t xml:space="preserve"> is accepted</w:t>
      </w:r>
      <w:r w:rsidR="008960AD" w:rsidRPr="000A20E2">
        <w:rPr>
          <w:rFonts w:cstheme="minorHAnsi"/>
          <w:shd w:val="clear" w:color="auto" w:fill="FFFFFF"/>
        </w:rPr>
        <w:t xml:space="preserve">, </w:t>
      </w:r>
      <w:r w:rsidR="003651E2" w:rsidRPr="000A20E2">
        <w:rPr>
          <w:rFonts w:cstheme="minorHAnsi"/>
          <w:shd w:val="clear" w:color="auto" w:fill="FFFFFF"/>
        </w:rPr>
        <w:t xml:space="preserve">though, in </w:t>
      </w:r>
      <w:proofErr w:type="spellStart"/>
      <w:r w:rsidR="003651E2" w:rsidRPr="000A20E2">
        <w:rPr>
          <w:rFonts w:cstheme="minorHAnsi"/>
          <w:shd w:val="clear" w:color="auto" w:fill="FFFFFF"/>
        </w:rPr>
        <w:t>Bogg’s</w:t>
      </w:r>
      <w:proofErr w:type="spellEnd"/>
      <w:r w:rsidR="003651E2" w:rsidRPr="000A20E2">
        <w:rPr>
          <w:rFonts w:cstheme="minorHAnsi"/>
          <w:shd w:val="clear" w:color="auto" w:fill="FFFFFF"/>
        </w:rPr>
        <w:t xml:space="preserve"> words, </w:t>
      </w:r>
      <w:r w:rsidR="001065A3" w:rsidRPr="000A20E2">
        <w:rPr>
          <w:rFonts w:cstheme="minorHAnsi"/>
          <w:shd w:val="clear" w:color="auto" w:fill="FFFFFF"/>
        </w:rPr>
        <w:t>‘</w:t>
      </w:r>
      <w:r w:rsidR="003651E2" w:rsidRPr="000A20E2">
        <w:rPr>
          <w:rFonts w:cstheme="minorHAnsi"/>
          <w:shd w:val="clear" w:color="auto" w:fill="FFFFFF"/>
        </w:rPr>
        <w:t>…</w:t>
      </w:r>
      <w:r w:rsidR="001065A3" w:rsidRPr="000A20E2">
        <w:rPr>
          <w:rFonts w:cstheme="minorHAnsi"/>
          <w:shd w:val="clear" w:color="auto" w:fill="FFFFFF"/>
        </w:rPr>
        <w:t xml:space="preserve"> </w:t>
      </w:r>
      <w:r w:rsidR="003651E2" w:rsidRPr="000A20E2">
        <w:rPr>
          <w:rFonts w:cstheme="minorHAnsi"/>
          <w:shd w:val="clear" w:color="auto" w:fill="FFFFFF"/>
        </w:rPr>
        <w:t>it is highly doubtful that an improved ‘choice architecture’ would be sufficient as a regulatory response to the spectacular collapse in recognition applications in the UK</w:t>
      </w:r>
      <w:r w:rsidR="00633521">
        <w:rPr>
          <w:rFonts w:cstheme="minorHAnsi"/>
          <w:shd w:val="clear" w:color="auto" w:fill="FFFFFF"/>
        </w:rPr>
        <w:t xml:space="preserve"> </w:t>
      </w:r>
      <w:r w:rsidR="003651E2" w:rsidRPr="000A20E2">
        <w:rPr>
          <w:rFonts w:cstheme="minorHAnsi"/>
          <w:shd w:val="clear" w:color="auto" w:fill="FFFFFF"/>
        </w:rPr>
        <w:t>…</w:t>
      </w:r>
      <w:r w:rsidR="001065A3" w:rsidRPr="000A20E2">
        <w:rPr>
          <w:rFonts w:cstheme="minorHAnsi"/>
          <w:shd w:val="clear" w:color="auto" w:fill="FFFFFF"/>
        </w:rPr>
        <w:t xml:space="preserve">’ </w:t>
      </w:r>
      <w:r w:rsidR="003651E2" w:rsidRPr="000A20E2">
        <w:rPr>
          <w:rFonts w:cstheme="minorHAnsi"/>
          <w:shd w:val="clear" w:color="auto" w:fill="FFFFFF"/>
        </w:rPr>
        <w:t xml:space="preserve">and </w:t>
      </w:r>
      <w:r w:rsidR="001065A3" w:rsidRPr="000A20E2">
        <w:rPr>
          <w:rFonts w:cstheme="minorHAnsi"/>
          <w:shd w:val="clear" w:color="auto" w:fill="FFFFFF"/>
        </w:rPr>
        <w:t>‘</w:t>
      </w:r>
      <w:r w:rsidR="003651E2" w:rsidRPr="000A20E2">
        <w:rPr>
          <w:rFonts w:cstheme="minorHAnsi"/>
          <w:shd w:val="clear" w:color="auto" w:fill="FFFFFF"/>
        </w:rPr>
        <w:t>the non-union default and the rise of ‘never-membership’ display sheer gravitational inertia that is difficult to displace, however smart the ‘choice architecture</w:t>
      </w:r>
      <w:r w:rsidR="00D95732" w:rsidRPr="000A20E2">
        <w:rPr>
          <w:rFonts w:cstheme="minorHAnsi"/>
          <w:shd w:val="clear" w:color="auto" w:fill="FFFFFF"/>
        </w:rPr>
        <w:t>’</w:t>
      </w:r>
      <w:r w:rsidR="001065A3" w:rsidRPr="000A20E2">
        <w:rPr>
          <w:rFonts w:cstheme="minorHAnsi"/>
          <w:shd w:val="clear" w:color="auto" w:fill="FFFFFF"/>
        </w:rPr>
        <w:t>’</w:t>
      </w:r>
      <w:r w:rsidR="003651E2" w:rsidRPr="000A20E2">
        <w:rPr>
          <w:rFonts w:cstheme="minorHAnsi"/>
        </w:rPr>
        <w:t>.</w:t>
      </w:r>
      <w:r w:rsidR="00654FCE">
        <w:rPr>
          <w:rStyle w:val="FootnoteReference"/>
          <w:rFonts w:cstheme="minorHAnsi"/>
        </w:rPr>
        <w:footnoteReference w:id="107"/>
      </w:r>
      <w:r w:rsidR="001065A3" w:rsidRPr="000A20E2">
        <w:rPr>
          <w:rFonts w:cstheme="minorHAnsi"/>
        </w:rPr>
        <w:t xml:space="preserve"> </w:t>
      </w:r>
      <w:r w:rsidR="00D95732" w:rsidRPr="000A20E2">
        <w:rPr>
          <w:rFonts w:cstheme="minorHAnsi"/>
          <w:shd w:val="clear" w:color="auto" w:fill="FFFFFF"/>
        </w:rPr>
        <w:t xml:space="preserve">In fact, </w:t>
      </w:r>
      <w:proofErr w:type="spellStart"/>
      <w:r w:rsidR="00D95732" w:rsidRPr="000A20E2">
        <w:rPr>
          <w:rFonts w:cstheme="minorHAnsi"/>
          <w:shd w:val="clear" w:color="auto" w:fill="FFFFFF"/>
        </w:rPr>
        <w:t>Bogg</w:t>
      </w:r>
      <w:proofErr w:type="spellEnd"/>
      <w:r w:rsidR="001065A3" w:rsidRPr="000A20E2">
        <w:rPr>
          <w:rFonts w:cstheme="minorHAnsi"/>
          <w:shd w:val="clear" w:color="auto" w:fill="FFFFFF"/>
        </w:rPr>
        <w:t xml:space="preserve"> </w:t>
      </w:r>
      <w:r w:rsidR="00D95732" w:rsidRPr="000A20E2">
        <w:rPr>
          <w:rFonts w:cstheme="minorHAnsi"/>
          <w:shd w:val="clear" w:color="auto" w:fill="FFFFFF"/>
        </w:rPr>
        <w:t xml:space="preserve">admits that a union default </w:t>
      </w:r>
      <w:r w:rsidR="001065A3" w:rsidRPr="000A20E2">
        <w:rPr>
          <w:rFonts w:cstheme="minorHAnsi"/>
          <w:shd w:val="clear" w:color="auto" w:fill="FFFFFF"/>
        </w:rPr>
        <w:t>‘</w:t>
      </w:r>
      <w:r w:rsidR="002333F3" w:rsidRPr="000A20E2">
        <w:rPr>
          <w:rFonts w:cstheme="minorHAnsi"/>
        </w:rPr>
        <w:t>is only unrealistic on a representational conception of collective bargaining</w:t>
      </w:r>
      <w:r w:rsidR="001065A3" w:rsidRPr="000A20E2">
        <w:rPr>
          <w:rFonts w:cstheme="minorHAnsi"/>
        </w:rPr>
        <w:t xml:space="preserve"> …’ </w:t>
      </w:r>
      <w:r w:rsidR="00D95732" w:rsidRPr="000A20E2">
        <w:rPr>
          <w:rFonts w:cstheme="minorHAnsi"/>
        </w:rPr>
        <w:t xml:space="preserve">and that </w:t>
      </w:r>
      <w:r w:rsidR="001065A3" w:rsidRPr="000A20E2">
        <w:rPr>
          <w:rFonts w:cstheme="minorHAnsi"/>
        </w:rPr>
        <w:t>‘</w:t>
      </w:r>
      <w:r w:rsidR="00D95732" w:rsidRPr="000A20E2">
        <w:rPr>
          <w:rFonts w:cstheme="minorHAnsi"/>
        </w:rPr>
        <w:t xml:space="preserve">… </w:t>
      </w:r>
      <w:r w:rsidR="002333F3" w:rsidRPr="000A20E2">
        <w:rPr>
          <w:rFonts w:cstheme="minorHAnsi"/>
        </w:rPr>
        <w:t>for many workers in continental Europe, there is a union default rule given the extensive reach of regulatory bargaining at the sectoral level</w:t>
      </w:r>
      <w:r w:rsidR="001065A3" w:rsidRPr="000A20E2">
        <w:rPr>
          <w:rFonts w:cstheme="minorHAnsi"/>
        </w:rPr>
        <w:t>’</w:t>
      </w:r>
      <w:r w:rsidR="002333F3" w:rsidRPr="000A20E2">
        <w:rPr>
          <w:rFonts w:cstheme="minorHAnsi"/>
        </w:rPr>
        <w:t>.</w:t>
      </w:r>
      <w:r w:rsidR="00654FCE">
        <w:rPr>
          <w:rStyle w:val="FootnoteReference"/>
          <w:rFonts w:cstheme="minorHAnsi"/>
        </w:rPr>
        <w:footnoteReference w:id="108"/>
      </w:r>
      <w:r w:rsidR="00A915AC" w:rsidRPr="000A20E2">
        <w:rPr>
          <w:rFonts w:cstheme="minorHAnsi"/>
        </w:rPr>
        <w:t xml:space="preserve"> The latter rather puts the ‘cart before the horse’</w:t>
      </w:r>
      <w:r w:rsidR="00AB2494" w:rsidRPr="000A20E2">
        <w:rPr>
          <w:rFonts w:cstheme="minorHAnsi"/>
        </w:rPr>
        <w:t>,</w:t>
      </w:r>
      <w:r w:rsidR="00A915AC" w:rsidRPr="000A20E2">
        <w:rPr>
          <w:rFonts w:cstheme="minorHAnsi"/>
        </w:rPr>
        <w:t xml:space="preserve"> for introducing sectoral collective bargaining without a union default could constitute something of a ‘house built on sand’ (see below). Nonetheless, as with Sachs, </w:t>
      </w:r>
      <w:proofErr w:type="spellStart"/>
      <w:r w:rsidR="00A915AC" w:rsidRPr="000A20E2">
        <w:rPr>
          <w:rFonts w:cstheme="minorHAnsi"/>
        </w:rPr>
        <w:t>Bogg</w:t>
      </w:r>
      <w:proofErr w:type="spellEnd"/>
      <w:r w:rsidR="002F6DF5">
        <w:rPr>
          <w:rStyle w:val="FootnoteReference"/>
          <w:rFonts w:cstheme="minorHAnsi"/>
        </w:rPr>
        <w:footnoteReference w:id="109"/>
      </w:r>
      <w:r w:rsidR="00122B64" w:rsidRPr="000A20E2">
        <w:rPr>
          <w:rFonts w:cstheme="minorHAnsi"/>
        </w:rPr>
        <w:t xml:space="preserve"> does offer useful suggestions </w:t>
      </w:r>
      <w:r w:rsidR="00AB2494" w:rsidRPr="000A20E2">
        <w:rPr>
          <w:rFonts w:cstheme="minorHAnsi"/>
        </w:rPr>
        <w:t>for reforming</w:t>
      </w:r>
      <w:r w:rsidR="00122B64" w:rsidRPr="000A20E2">
        <w:rPr>
          <w:rFonts w:cstheme="minorHAnsi"/>
        </w:rPr>
        <w:t xml:space="preserve"> the recognition procedure</w:t>
      </w:r>
      <w:r w:rsidR="00D95732" w:rsidRPr="000A20E2">
        <w:rPr>
          <w:rFonts w:cstheme="minorHAnsi"/>
        </w:rPr>
        <w:t>, especially regarding</w:t>
      </w:r>
      <w:r w:rsidR="00122B64" w:rsidRPr="000A20E2">
        <w:rPr>
          <w:rFonts w:cstheme="minorHAnsi"/>
        </w:rPr>
        <w:t xml:space="preserve"> staged recognition</w:t>
      </w:r>
      <w:r w:rsidR="009D0803" w:rsidRPr="000A20E2">
        <w:rPr>
          <w:rFonts w:cstheme="minorHAnsi"/>
        </w:rPr>
        <w:t xml:space="preserve"> and escalating representation rights,</w:t>
      </w:r>
      <w:r w:rsidR="00122B64" w:rsidRPr="000A20E2">
        <w:rPr>
          <w:rFonts w:cstheme="minorHAnsi"/>
        </w:rPr>
        <w:t xml:space="preserve"> </w:t>
      </w:r>
      <w:r w:rsidR="00D95732" w:rsidRPr="000A20E2">
        <w:rPr>
          <w:rFonts w:cstheme="minorHAnsi"/>
        </w:rPr>
        <w:t>tied to different thresholds of membership support</w:t>
      </w:r>
      <w:r w:rsidR="00D24440" w:rsidRPr="000A20E2">
        <w:rPr>
          <w:rFonts w:cstheme="minorHAnsi"/>
          <w:shd w:val="clear" w:color="auto" w:fill="FFFFFF"/>
        </w:rPr>
        <w:t>.</w:t>
      </w:r>
      <w:r w:rsidR="002F6DF5">
        <w:rPr>
          <w:rStyle w:val="FootnoteReference"/>
          <w:rFonts w:cstheme="minorHAnsi"/>
          <w:shd w:val="clear" w:color="auto" w:fill="FFFFFF"/>
        </w:rPr>
        <w:footnoteReference w:id="110"/>
      </w:r>
    </w:p>
    <w:p w14:paraId="28036D05" w14:textId="6C3EE01D" w:rsidR="00FC259F" w:rsidRPr="000A20E2" w:rsidRDefault="00FC259F" w:rsidP="000A20E2">
      <w:pPr>
        <w:spacing w:after="0" w:line="240" w:lineRule="auto"/>
        <w:ind w:firstLine="720"/>
        <w:jc w:val="both"/>
        <w:rPr>
          <w:rFonts w:cstheme="minorHAnsi"/>
          <w:b/>
          <w:bCs/>
        </w:rPr>
      </w:pPr>
      <w:r w:rsidRPr="000A20E2">
        <w:rPr>
          <w:rFonts w:cstheme="minorHAnsi"/>
          <w:shd w:val="clear" w:color="auto" w:fill="FFFFFF"/>
        </w:rPr>
        <w:t xml:space="preserve">The key lessons from Sachs, </w:t>
      </w:r>
      <w:proofErr w:type="spellStart"/>
      <w:r w:rsidRPr="000A20E2">
        <w:rPr>
          <w:rFonts w:cstheme="minorHAnsi"/>
          <w:shd w:val="clear" w:color="auto" w:fill="FFFFFF"/>
        </w:rPr>
        <w:t>Bogg</w:t>
      </w:r>
      <w:proofErr w:type="spellEnd"/>
      <w:r w:rsidRPr="000A20E2">
        <w:rPr>
          <w:rFonts w:cstheme="minorHAnsi"/>
          <w:shd w:val="clear" w:color="auto" w:fill="FFFFFF"/>
        </w:rPr>
        <w:t xml:space="preserve">, and Forsyth </w:t>
      </w:r>
      <w:r w:rsidRPr="000A20E2">
        <w:rPr>
          <w:rFonts w:cstheme="minorHAnsi"/>
          <w:i/>
          <w:shd w:val="clear" w:color="auto" w:fill="FFFFFF"/>
        </w:rPr>
        <w:t>et al.</w:t>
      </w:r>
      <w:r w:rsidR="002F6DF5" w:rsidRPr="002F6DF5">
        <w:rPr>
          <w:rStyle w:val="FootnoteReference"/>
          <w:rFonts w:cstheme="minorHAnsi"/>
          <w:shd w:val="clear" w:color="auto" w:fill="FFFFFF"/>
        </w:rPr>
        <w:footnoteReference w:id="111"/>
      </w:r>
      <w:r w:rsidRPr="002F6DF5">
        <w:rPr>
          <w:rFonts w:cstheme="minorHAnsi"/>
          <w:shd w:val="clear" w:color="auto" w:fill="FFFFFF"/>
        </w:rPr>
        <w:t xml:space="preserve"> </w:t>
      </w:r>
      <w:r w:rsidRPr="000A20E2">
        <w:rPr>
          <w:rFonts w:cstheme="minorHAnsi"/>
          <w:shd w:val="clear" w:color="auto" w:fill="FFFFFF"/>
        </w:rPr>
        <w:t>arise from their more worker- and union-friendly proposals for establishing recognition and collective bargaining.</w:t>
      </w:r>
      <w:r w:rsidR="001065A3" w:rsidRPr="000A20E2">
        <w:rPr>
          <w:rFonts w:cstheme="minorHAnsi"/>
          <w:shd w:val="clear" w:color="auto" w:fill="FFFFFF"/>
        </w:rPr>
        <w:t xml:space="preserve"> </w:t>
      </w:r>
      <w:r w:rsidRPr="000A20E2">
        <w:rPr>
          <w:rFonts w:cstheme="minorHAnsi"/>
          <w:shd w:val="clear" w:color="auto" w:fill="FFFFFF"/>
        </w:rPr>
        <w:t>This includes a collective bargaining default that operates in a similar way to a union default, with opt out and threshold criteria.</w:t>
      </w:r>
      <w:r w:rsidR="001065A3" w:rsidRPr="000A20E2">
        <w:rPr>
          <w:rFonts w:cstheme="minorHAnsi"/>
          <w:shd w:val="clear" w:color="auto" w:fill="FFFFFF"/>
        </w:rPr>
        <w:t xml:space="preserve"> </w:t>
      </w:r>
      <w:r w:rsidRPr="000A20E2">
        <w:rPr>
          <w:rFonts w:cstheme="minorHAnsi"/>
          <w:shd w:val="clear" w:color="auto" w:fill="FFFFFF"/>
        </w:rPr>
        <w:t>We view such proposals as helping to ensure, along with u</w:t>
      </w:r>
      <w:r w:rsidRPr="000A20E2">
        <w:rPr>
          <w:rFonts w:cstheme="minorHAnsi"/>
          <w:bCs/>
        </w:rPr>
        <w:t>nion security clauses (agency shops and fair share agreements) and law prohibiting employers from using financial inducements to encourage opting out from collective bargaining, that a union default system is supported and effective interest representation is accordingly developed.</w:t>
      </w:r>
      <w:r w:rsidRPr="000A20E2">
        <w:rPr>
          <w:rFonts w:cstheme="minorHAnsi"/>
          <w:b/>
          <w:bCs/>
        </w:rPr>
        <w:t xml:space="preserve"> </w:t>
      </w:r>
    </w:p>
    <w:p w14:paraId="1136C5AF" w14:textId="289811EB" w:rsidR="00122B64" w:rsidRPr="000A20E2" w:rsidRDefault="00B728C1" w:rsidP="000A20E2">
      <w:pPr>
        <w:spacing w:after="0" w:line="240" w:lineRule="auto"/>
        <w:ind w:firstLine="720"/>
        <w:jc w:val="both"/>
        <w:rPr>
          <w:rFonts w:cstheme="minorHAnsi"/>
        </w:rPr>
      </w:pPr>
      <w:proofErr w:type="spellStart"/>
      <w:r w:rsidRPr="000A20E2">
        <w:rPr>
          <w:rFonts w:cstheme="minorHAnsi"/>
        </w:rPr>
        <w:t>McGaughey</w:t>
      </w:r>
      <w:proofErr w:type="spellEnd"/>
      <w:r w:rsidR="002F6DF5">
        <w:rPr>
          <w:rStyle w:val="FootnoteReference"/>
          <w:rFonts w:cstheme="minorHAnsi"/>
        </w:rPr>
        <w:footnoteReference w:id="112"/>
      </w:r>
      <w:r w:rsidRPr="000A20E2">
        <w:rPr>
          <w:rFonts w:cstheme="minorHAnsi"/>
        </w:rPr>
        <w:t xml:space="preserve"> argues that auto-enrolment (union default) clauses in collective agreements are already permitted under section 146(1c) of the U</w:t>
      </w:r>
      <w:r w:rsidR="002F6DF5">
        <w:rPr>
          <w:rFonts w:cstheme="minorHAnsi"/>
        </w:rPr>
        <w:t xml:space="preserve">nited </w:t>
      </w:r>
      <w:r w:rsidRPr="000A20E2">
        <w:rPr>
          <w:rFonts w:cstheme="minorHAnsi"/>
        </w:rPr>
        <w:t>K</w:t>
      </w:r>
      <w:r w:rsidR="002F6DF5">
        <w:rPr>
          <w:rFonts w:cstheme="minorHAnsi"/>
        </w:rPr>
        <w:t>ingdom</w:t>
      </w:r>
      <w:r w:rsidRPr="000A20E2">
        <w:rPr>
          <w:rFonts w:cstheme="minorHAnsi"/>
        </w:rPr>
        <w:t xml:space="preserve">’s </w:t>
      </w:r>
      <w:r w:rsidRPr="000A20E2">
        <w:rPr>
          <w:rFonts w:cstheme="minorHAnsi"/>
          <w:i/>
          <w:iCs/>
        </w:rPr>
        <w:t>Trade Union and Labour Relations Act 1992</w:t>
      </w:r>
      <w:r w:rsidRPr="000A20E2">
        <w:rPr>
          <w:rFonts w:cstheme="minorHAnsi"/>
        </w:rPr>
        <w:t>.</w:t>
      </w:r>
      <w:r w:rsidR="001065A3" w:rsidRPr="000A20E2">
        <w:rPr>
          <w:rFonts w:cstheme="minorHAnsi"/>
        </w:rPr>
        <w:t xml:space="preserve"> </w:t>
      </w:r>
      <w:r w:rsidRPr="000A20E2">
        <w:rPr>
          <w:rFonts w:cstheme="minorHAnsi"/>
        </w:rPr>
        <w:t xml:space="preserve">He claims that, given an opt </w:t>
      </w:r>
      <w:proofErr w:type="gramStart"/>
      <w:r w:rsidRPr="000A20E2">
        <w:rPr>
          <w:rFonts w:cstheme="minorHAnsi"/>
        </w:rPr>
        <w:t>out,</w:t>
      </w:r>
      <w:proofErr w:type="gramEnd"/>
      <w:r w:rsidRPr="000A20E2">
        <w:rPr>
          <w:rFonts w:cstheme="minorHAnsi"/>
        </w:rPr>
        <w:t xml:space="preserve"> there is no compulsion in such clauses which would violate the Act.</w:t>
      </w:r>
      <w:r w:rsidR="001065A3" w:rsidRPr="000A20E2">
        <w:rPr>
          <w:rFonts w:cstheme="minorHAnsi"/>
        </w:rPr>
        <w:t xml:space="preserve"> </w:t>
      </w:r>
      <w:proofErr w:type="spellStart"/>
      <w:r w:rsidRPr="000A20E2">
        <w:rPr>
          <w:rFonts w:cstheme="minorHAnsi"/>
        </w:rPr>
        <w:t>McGaughey’s</w:t>
      </w:r>
      <w:proofErr w:type="spellEnd"/>
      <w:r w:rsidRPr="000A20E2">
        <w:rPr>
          <w:rFonts w:cstheme="minorHAnsi"/>
        </w:rPr>
        <w:t xml:space="preserve"> proposal</w:t>
      </w:r>
      <w:r w:rsidR="00F056CF" w:rsidRPr="000A20E2">
        <w:rPr>
          <w:rFonts w:cstheme="minorHAnsi"/>
        </w:rPr>
        <w:t xml:space="preserve">, though novel </w:t>
      </w:r>
      <w:r w:rsidR="00FC259F" w:rsidRPr="000A20E2">
        <w:rPr>
          <w:rFonts w:cstheme="minorHAnsi"/>
        </w:rPr>
        <w:t xml:space="preserve">among the various legal scholars </w:t>
      </w:r>
      <w:r w:rsidR="00F056CF" w:rsidRPr="000A20E2">
        <w:rPr>
          <w:rFonts w:cstheme="minorHAnsi"/>
        </w:rPr>
        <w:t xml:space="preserve">in proposing a reversal of the non-union default, </w:t>
      </w:r>
      <w:r w:rsidRPr="000A20E2">
        <w:rPr>
          <w:rFonts w:cstheme="minorHAnsi"/>
        </w:rPr>
        <w:t>is substantially different from ours in two key respects. First, it relies on unions to prioritise auto-enrolment in their bargaining and employers to consent to such terms.</w:t>
      </w:r>
      <w:r w:rsidR="001065A3" w:rsidRPr="000A20E2">
        <w:rPr>
          <w:rFonts w:cstheme="minorHAnsi"/>
        </w:rPr>
        <w:t xml:space="preserve"> Here, t</w:t>
      </w:r>
      <w:r w:rsidRPr="000A20E2">
        <w:rPr>
          <w:rFonts w:cstheme="minorHAnsi"/>
        </w:rPr>
        <w:t>he state plays no role in requiring active choosing with a union default.</w:t>
      </w:r>
      <w:r w:rsidR="001065A3" w:rsidRPr="000A20E2">
        <w:rPr>
          <w:rFonts w:cstheme="minorHAnsi"/>
        </w:rPr>
        <w:t xml:space="preserve"> </w:t>
      </w:r>
      <w:r w:rsidRPr="000A20E2">
        <w:rPr>
          <w:rFonts w:cstheme="minorHAnsi"/>
        </w:rPr>
        <w:t>Second, the proposal has no implications for auto-enrolment in non-union workplaces, because it only applies to ‘brownfield’ and ‘in-fill’ situations where unions are already recognised.</w:t>
      </w:r>
      <w:r w:rsidR="001065A3" w:rsidRPr="000A20E2">
        <w:rPr>
          <w:rFonts w:cstheme="minorHAnsi"/>
        </w:rPr>
        <w:t xml:space="preserve"> </w:t>
      </w:r>
      <w:r w:rsidR="00D26B8D" w:rsidRPr="000A20E2">
        <w:rPr>
          <w:rFonts w:cstheme="minorHAnsi"/>
        </w:rPr>
        <w:t>Its</w:t>
      </w:r>
      <w:r w:rsidRPr="000A20E2">
        <w:rPr>
          <w:rFonts w:cstheme="minorHAnsi"/>
        </w:rPr>
        <w:t xml:space="preserve"> overall impact on union membership levels and power resources would thus be relatively </w:t>
      </w:r>
      <w:r w:rsidR="00FC259F" w:rsidRPr="000A20E2">
        <w:rPr>
          <w:rFonts w:cstheme="minorHAnsi"/>
        </w:rPr>
        <w:t>modest</w:t>
      </w:r>
      <w:r w:rsidRPr="000A20E2">
        <w:rPr>
          <w:rFonts w:cstheme="minorHAnsi"/>
        </w:rPr>
        <w:t>.</w:t>
      </w:r>
      <w:r w:rsidR="001065A3" w:rsidRPr="000A20E2">
        <w:rPr>
          <w:rFonts w:cstheme="minorHAnsi"/>
        </w:rPr>
        <w:t xml:space="preserve"> </w:t>
      </w:r>
      <w:r w:rsidRPr="000A20E2">
        <w:rPr>
          <w:rFonts w:cstheme="minorHAnsi"/>
        </w:rPr>
        <w:t>Nevertheless, the proposal has the major advantage of not requiring any major law change to operationalise.</w:t>
      </w:r>
      <w:r w:rsidR="001065A3" w:rsidRPr="000A20E2">
        <w:rPr>
          <w:rFonts w:cstheme="minorHAnsi"/>
        </w:rPr>
        <w:t xml:space="preserve"> </w:t>
      </w:r>
    </w:p>
    <w:p w14:paraId="7D4A7761" w14:textId="1559FEE1" w:rsidR="00A306A7" w:rsidRPr="000A20E2" w:rsidRDefault="001065A3" w:rsidP="000A20E2">
      <w:pPr>
        <w:spacing w:after="0" w:line="240" w:lineRule="auto"/>
        <w:ind w:firstLine="720"/>
        <w:jc w:val="both"/>
        <w:rPr>
          <w:rFonts w:cstheme="minorHAnsi"/>
        </w:rPr>
      </w:pPr>
      <w:r w:rsidRPr="000A20E2">
        <w:rPr>
          <w:rFonts w:cstheme="minorHAnsi"/>
        </w:rPr>
        <w:t>And, w</w:t>
      </w:r>
      <w:r w:rsidR="00E82FEB" w:rsidRPr="000A20E2">
        <w:rPr>
          <w:rFonts w:cstheme="minorHAnsi"/>
        </w:rPr>
        <w:t xml:space="preserve">hile there are similarities between our proposal and the </w:t>
      </w:r>
      <w:r w:rsidR="00E82FEB" w:rsidRPr="000A20E2">
        <w:rPr>
          <w:rFonts w:cstheme="minorHAnsi"/>
          <w:i/>
        </w:rPr>
        <w:t>Pensions Act 2008</w:t>
      </w:r>
      <w:r w:rsidR="00E82FEB" w:rsidRPr="000A20E2">
        <w:rPr>
          <w:rFonts w:cstheme="minorHAnsi"/>
        </w:rPr>
        <w:t xml:space="preserve"> in Britain (which created auto-enrolment in employer pension schemes </w:t>
      </w:r>
      <w:r w:rsidR="00AF3058" w:rsidRPr="000A20E2">
        <w:rPr>
          <w:rFonts w:cstheme="minorHAnsi"/>
        </w:rPr>
        <w:t xml:space="preserve">(with </w:t>
      </w:r>
      <w:r w:rsidR="006B24F4" w:rsidRPr="000A20E2">
        <w:rPr>
          <w:rFonts w:cstheme="minorHAnsi"/>
        </w:rPr>
        <w:t>employers mak</w:t>
      </w:r>
      <w:r w:rsidR="00AF3058" w:rsidRPr="000A20E2">
        <w:rPr>
          <w:rFonts w:cstheme="minorHAnsi"/>
        </w:rPr>
        <w:t>ing</w:t>
      </w:r>
      <w:r w:rsidR="006B24F4" w:rsidRPr="000A20E2">
        <w:rPr>
          <w:rFonts w:cstheme="minorHAnsi"/>
        </w:rPr>
        <w:t xml:space="preserve"> substantial contribution) </w:t>
      </w:r>
      <w:r w:rsidR="00E82FEB" w:rsidRPr="000A20E2">
        <w:rPr>
          <w:rFonts w:cstheme="minorHAnsi"/>
        </w:rPr>
        <w:t>unless worker</w:t>
      </w:r>
      <w:r w:rsidR="006B24F4" w:rsidRPr="000A20E2">
        <w:rPr>
          <w:rFonts w:cstheme="minorHAnsi"/>
        </w:rPr>
        <w:t>s</w:t>
      </w:r>
      <w:r w:rsidR="00E82FEB" w:rsidRPr="000A20E2">
        <w:rPr>
          <w:rFonts w:cstheme="minorHAnsi"/>
        </w:rPr>
        <w:t xml:space="preserve"> chose to opt out</w:t>
      </w:r>
      <w:r w:rsidR="002F6DF5">
        <w:rPr>
          <w:rFonts w:cstheme="minorHAnsi"/>
        </w:rPr>
        <w:t>)</w:t>
      </w:r>
      <w:r w:rsidR="00E82FEB" w:rsidRPr="000A20E2">
        <w:rPr>
          <w:rFonts w:cstheme="minorHAnsi"/>
        </w:rPr>
        <w:t>,</w:t>
      </w:r>
      <w:r w:rsidR="002F6DF5">
        <w:rPr>
          <w:rStyle w:val="FootnoteReference"/>
          <w:rFonts w:cstheme="minorHAnsi"/>
        </w:rPr>
        <w:footnoteReference w:id="113"/>
      </w:r>
      <w:r w:rsidR="00E82FEB" w:rsidRPr="000A20E2">
        <w:rPr>
          <w:rFonts w:cstheme="minorHAnsi"/>
        </w:rPr>
        <w:t xml:space="preserve"> there are also profound differences. The Act indicates that new defaults (with opt outs) can be created in law and that the state can impose its will upon capital. However, the differences in relation to creating the political will to create a union default</w:t>
      </w:r>
      <w:r w:rsidR="00DF5E20" w:rsidRPr="000A20E2">
        <w:rPr>
          <w:rFonts w:cstheme="minorHAnsi"/>
        </w:rPr>
        <w:t xml:space="preserve"> (and in doing so overcome resistance)</w:t>
      </w:r>
      <w:r w:rsidR="00AF3058" w:rsidRPr="000A20E2">
        <w:rPr>
          <w:rFonts w:cstheme="minorHAnsi"/>
        </w:rPr>
        <w:t xml:space="preserve"> are telling</w:t>
      </w:r>
      <w:r w:rsidR="00E82FEB" w:rsidRPr="000A20E2">
        <w:rPr>
          <w:rFonts w:cstheme="minorHAnsi"/>
        </w:rPr>
        <w:t xml:space="preserve">. </w:t>
      </w:r>
      <w:r w:rsidR="00DF5E20" w:rsidRPr="000A20E2">
        <w:rPr>
          <w:rFonts w:cstheme="minorHAnsi"/>
        </w:rPr>
        <w:t>In other words, the scale of the challenge for the pension default</w:t>
      </w:r>
      <w:r w:rsidR="00A306A7" w:rsidRPr="000A20E2">
        <w:rPr>
          <w:rFonts w:cstheme="minorHAnsi"/>
        </w:rPr>
        <w:t xml:space="preserve"> was far l</w:t>
      </w:r>
      <w:r w:rsidR="00DF5E20" w:rsidRPr="000A20E2">
        <w:rPr>
          <w:rFonts w:cstheme="minorHAnsi"/>
        </w:rPr>
        <w:t>ess than it will be for a union default.</w:t>
      </w:r>
      <w:r w:rsidR="008D330F" w:rsidRPr="000A20E2">
        <w:rPr>
          <w:rFonts w:cstheme="minorHAnsi"/>
        </w:rPr>
        <w:t xml:space="preserve"> </w:t>
      </w:r>
      <w:r w:rsidR="00DF5E20" w:rsidRPr="000A20E2">
        <w:rPr>
          <w:rFonts w:cstheme="minorHAnsi"/>
        </w:rPr>
        <w:t xml:space="preserve">First, the state had a vested interest in increasing independent pension provision in order to </w:t>
      </w:r>
      <w:r w:rsidR="00A306A7" w:rsidRPr="000A20E2">
        <w:rPr>
          <w:rFonts w:cstheme="minorHAnsi"/>
        </w:rPr>
        <w:t xml:space="preserve">guard it against the cost of it </w:t>
      </w:r>
      <w:r w:rsidR="00DF5E20" w:rsidRPr="000A20E2">
        <w:rPr>
          <w:rFonts w:cstheme="minorHAnsi"/>
        </w:rPr>
        <w:t>having to take remedial action on pensioner poverty in the abs</w:t>
      </w:r>
      <w:r w:rsidR="006B24F4" w:rsidRPr="000A20E2">
        <w:rPr>
          <w:rFonts w:cstheme="minorHAnsi"/>
        </w:rPr>
        <w:t>ence of the default. Second, although the numbers covered by auto-enrolment</w:t>
      </w:r>
      <w:r w:rsidR="00A306A7" w:rsidRPr="000A20E2">
        <w:rPr>
          <w:rFonts w:cstheme="minorHAnsi"/>
        </w:rPr>
        <w:t xml:space="preserve"> are significant, there are not nearly as large as those potentially covered by a union default, indicating that not all employers were affected. Third, t</w:t>
      </w:r>
      <w:r w:rsidR="00DF5E20" w:rsidRPr="000A20E2">
        <w:rPr>
          <w:rFonts w:cstheme="minorHAnsi"/>
        </w:rPr>
        <w:t xml:space="preserve">he pension default </w:t>
      </w:r>
      <w:r w:rsidR="00A306A7" w:rsidRPr="000A20E2">
        <w:rPr>
          <w:rFonts w:cstheme="minorHAnsi"/>
        </w:rPr>
        <w:t xml:space="preserve">was a delimited action and </w:t>
      </w:r>
      <w:r w:rsidR="00DF5E20" w:rsidRPr="000A20E2">
        <w:rPr>
          <w:rFonts w:cstheme="minorHAnsi"/>
        </w:rPr>
        <w:t>did not provide workers with the (potential) means to challenge the managerial prerogative</w:t>
      </w:r>
      <w:r w:rsidR="00BE57AA" w:rsidRPr="000A20E2">
        <w:rPr>
          <w:rFonts w:cstheme="minorHAnsi"/>
        </w:rPr>
        <w:t xml:space="preserve"> </w:t>
      </w:r>
      <w:r w:rsidR="00AF3058" w:rsidRPr="000A20E2">
        <w:rPr>
          <w:rFonts w:cstheme="minorHAnsi"/>
        </w:rPr>
        <w:t xml:space="preserve">- </w:t>
      </w:r>
      <w:r w:rsidR="00BE57AA" w:rsidRPr="000A20E2">
        <w:rPr>
          <w:rFonts w:cstheme="minorHAnsi"/>
        </w:rPr>
        <w:t>and where employers have shown historical antipathy to unions</w:t>
      </w:r>
      <w:r w:rsidR="00DF5E20" w:rsidRPr="000A20E2">
        <w:rPr>
          <w:rFonts w:cstheme="minorHAnsi"/>
        </w:rPr>
        <w:t>.</w:t>
      </w:r>
      <w:r w:rsidR="008D330F" w:rsidRPr="000A20E2">
        <w:rPr>
          <w:rFonts w:cstheme="minorHAnsi"/>
        </w:rPr>
        <w:t xml:space="preserve"> </w:t>
      </w:r>
      <w:r w:rsidR="00A306A7" w:rsidRPr="000A20E2">
        <w:rPr>
          <w:rFonts w:cstheme="minorHAnsi"/>
        </w:rPr>
        <w:t xml:space="preserve">Fourth, on the pension issue there was a certain amount of political </w:t>
      </w:r>
      <w:r w:rsidR="00E82FEB" w:rsidRPr="000A20E2">
        <w:rPr>
          <w:rFonts w:cstheme="minorHAnsi"/>
        </w:rPr>
        <w:t>convergence</w:t>
      </w:r>
      <w:r w:rsidR="00A306A7" w:rsidRPr="000A20E2">
        <w:rPr>
          <w:rFonts w:cstheme="minorHAnsi"/>
        </w:rPr>
        <w:t xml:space="preserve"> - and long-term alignment - </w:t>
      </w:r>
      <w:r w:rsidR="00E82FEB" w:rsidRPr="000A20E2">
        <w:rPr>
          <w:rFonts w:cstheme="minorHAnsi"/>
        </w:rPr>
        <w:t>of interests between capital, labour and state</w:t>
      </w:r>
      <w:r w:rsidR="00A306A7" w:rsidRPr="000A20E2">
        <w:rPr>
          <w:rFonts w:cstheme="minorHAnsi"/>
        </w:rPr>
        <w:t xml:space="preserve">. Fifth, the historical default for the political levy paid by union members is now being phased out under the </w:t>
      </w:r>
      <w:r w:rsidR="00A306A7" w:rsidRPr="000A20E2">
        <w:rPr>
          <w:rFonts w:cstheme="minorHAnsi"/>
          <w:i/>
        </w:rPr>
        <w:t>Trade Union Act 2016</w:t>
      </w:r>
      <w:r w:rsidR="00A306A7" w:rsidRPr="000A20E2">
        <w:rPr>
          <w:rFonts w:cstheme="minorHAnsi"/>
        </w:rPr>
        <w:t>. New members must now opt in to the levy.</w:t>
      </w:r>
    </w:p>
    <w:p w14:paraId="35E8FC8D" w14:textId="77777777" w:rsidR="008D330F" w:rsidRPr="000A20E2" w:rsidRDefault="008D330F" w:rsidP="000A20E2">
      <w:pPr>
        <w:spacing w:after="0" w:line="240" w:lineRule="auto"/>
        <w:jc w:val="both"/>
        <w:rPr>
          <w:rFonts w:cstheme="minorHAnsi"/>
          <w:b/>
        </w:rPr>
      </w:pPr>
    </w:p>
    <w:p w14:paraId="684F5BB6" w14:textId="29413853" w:rsidR="00EE174A" w:rsidRPr="005C13E1" w:rsidRDefault="00EE174A" w:rsidP="005C13E1">
      <w:pPr>
        <w:pStyle w:val="ListParagraph"/>
        <w:numPr>
          <w:ilvl w:val="0"/>
          <w:numId w:val="28"/>
        </w:numPr>
        <w:spacing w:after="0" w:line="240" w:lineRule="auto"/>
        <w:jc w:val="both"/>
        <w:rPr>
          <w:rFonts w:cstheme="minorHAnsi"/>
          <w:b/>
        </w:rPr>
      </w:pPr>
      <w:r w:rsidRPr="005C13E1">
        <w:rPr>
          <w:rFonts w:cstheme="minorHAnsi"/>
          <w:b/>
        </w:rPr>
        <w:t>Conclusion</w:t>
      </w:r>
    </w:p>
    <w:p w14:paraId="0346299B" w14:textId="77777777" w:rsidR="005C13E1" w:rsidRDefault="005C13E1" w:rsidP="005C13E1">
      <w:pPr>
        <w:spacing w:after="0" w:line="240" w:lineRule="auto"/>
        <w:jc w:val="both"/>
        <w:rPr>
          <w:rFonts w:cstheme="minorHAnsi"/>
          <w:bCs/>
        </w:rPr>
      </w:pPr>
    </w:p>
    <w:p w14:paraId="477E3F5E" w14:textId="4207EBC7" w:rsidR="0088656B" w:rsidRPr="000A20E2" w:rsidRDefault="00CC7E81" w:rsidP="005C13E1">
      <w:pPr>
        <w:spacing w:after="0" w:line="240" w:lineRule="auto"/>
        <w:jc w:val="both"/>
        <w:rPr>
          <w:rFonts w:cstheme="minorHAnsi"/>
          <w:bCs/>
        </w:rPr>
      </w:pPr>
      <w:r w:rsidRPr="000A20E2">
        <w:rPr>
          <w:rFonts w:cstheme="minorHAnsi"/>
          <w:bCs/>
        </w:rPr>
        <w:t xml:space="preserve">At the most general level, </w:t>
      </w:r>
      <w:r w:rsidR="009837A4" w:rsidRPr="000A20E2">
        <w:rPr>
          <w:rFonts w:cstheme="minorHAnsi"/>
          <w:bCs/>
        </w:rPr>
        <w:t>this paper seeks</w:t>
      </w:r>
      <w:r w:rsidR="00DF209F" w:rsidRPr="000A20E2">
        <w:rPr>
          <w:rFonts w:cstheme="minorHAnsi"/>
          <w:bCs/>
        </w:rPr>
        <w:t xml:space="preserve"> to provoke discussion of </w:t>
      </w:r>
      <w:r w:rsidRPr="000A20E2">
        <w:rPr>
          <w:rFonts w:cstheme="minorHAnsi"/>
          <w:bCs/>
        </w:rPr>
        <w:t xml:space="preserve">a problematic </w:t>
      </w:r>
      <w:r w:rsidR="002F5A07" w:rsidRPr="000A20E2">
        <w:rPr>
          <w:rFonts w:cstheme="minorHAnsi"/>
          <w:bCs/>
        </w:rPr>
        <w:t xml:space="preserve">but </w:t>
      </w:r>
      <w:r w:rsidR="00117091" w:rsidRPr="000A20E2">
        <w:rPr>
          <w:rFonts w:cstheme="minorHAnsi"/>
          <w:bCs/>
        </w:rPr>
        <w:t xml:space="preserve">far </w:t>
      </w:r>
      <w:r w:rsidR="00DF209F" w:rsidRPr="000A20E2">
        <w:rPr>
          <w:rFonts w:cstheme="minorHAnsi"/>
          <w:bCs/>
        </w:rPr>
        <w:t xml:space="preserve">too </w:t>
      </w:r>
      <w:r w:rsidR="00B50744" w:rsidRPr="000A20E2">
        <w:rPr>
          <w:rFonts w:cstheme="minorHAnsi"/>
          <w:bCs/>
        </w:rPr>
        <w:t xml:space="preserve">often </w:t>
      </w:r>
      <w:r w:rsidR="00DF209F" w:rsidRPr="000A20E2">
        <w:rPr>
          <w:rFonts w:cstheme="minorHAnsi"/>
          <w:bCs/>
        </w:rPr>
        <w:t xml:space="preserve">taken-for-granted </w:t>
      </w:r>
      <w:r w:rsidR="00451C96" w:rsidRPr="000A20E2">
        <w:rPr>
          <w:rFonts w:cstheme="minorHAnsi"/>
          <w:bCs/>
        </w:rPr>
        <w:t xml:space="preserve">default </w:t>
      </w:r>
      <w:r w:rsidR="002F5A07" w:rsidRPr="000A20E2">
        <w:rPr>
          <w:rFonts w:cstheme="minorHAnsi"/>
          <w:bCs/>
        </w:rPr>
        <w:t>arrangement</w:t>
      </w:r>
      <w:r w:rsidRPr="000A20E2">
        <w:rPr>
          <w:rFonts w:cstheme="minorHAnsi"/>
          <w:bCs/>
        </w:rPr>
        <w:t>.</w:t>
      </w:r>
      <w:r w:rsidR="005A77B4" w:rsidRPr="000A20E2">
        <w:rPr>
          <w:rFonts w:cstheme="minorHAnsi"/>
          <w:bCs/>
        </w:rPr>
        <w:t xml:space="preserve"> </w:t>
      </w:r>
      <w:r w:rsidR="002F5A07" w:rsidRPr="000A20E2">
        <w:rPr>
          <w:rFonts w:cstheme="minorHAnsi"/>
          <w:bCs/>
        </w:rPr>
        <w:t xml:space="preserve">Confounding </w:t>
      </w:r>
      <w:r w:rsidR="006936D8" w:rsidRPr="000A20E2">
        <w:rPr>
          <w:rFonts w:cstheme="minorHAnsi"/>
          <w:bCs/>
        </w:rPr>
        <w:t xml:space="preserve">neo-liberalism’s </w:t>
      </w:r>
      <w:r w:rsidR="002F5A07" w:rsidRPr="000A20E2">
        <w:rPr>
          <w:rFonts w:cstheme="minorHAnsi"/>
          <w:bCs/>
        </w:rPr>
        <w:t xml:space="preserve">political and ideological domination, the </w:t>
      </w:r>
      <w:r w:rsidR="00451C96" w:rsidRPr="000A20E2">
        <w:rPr>
          <w:rFonts w:cstheme="minorHAnsi"/>
          <w:bCs/>
        </w:rPr>
        <w:t xml:space="preserve">proposal is to </w:t>
      </w:r>
      <w:r w:rsidR="002F5A07" w:rsidRPr="000A20E2">
        <w:rPr>
          <w:rFonts w:cstheme="minorHAnsi"/>
          <w:bCs/>
        </w:rPr>
        <w:t>chang</w:t>
      </w:r>
      <w:r w:rsidR="00451C96" w:rsidRPr="000A20E2">
        <w:rPr>
          <w:rFonts w:cstheme="minorHAnsi"/>
          <w:bCs/>
        </w:rPr>
        <w:t>e</w:t>
      </w:r>
      <w:r w:rsidR="002F5A07" w:rsidRPr="000A20E2">
        <w:rPr>
          <w:rFonts w:cstheme="minorHAnsi"/>
          <w:bCs/>
        </w:rPr>
        <w:t xml:space="preserve"> the non-union default to a union default. The arguments for doing so are many </w:t>
      </w:r>
      <w:r w:rsidR="00B87825" w:rsidRPr="000A20E2">
        <w:rPr>
          <w:rFonts w:cstheme="minorHAnsi"/>
          <w:bCs/>
        </w:rPr>
        <w:t xml:space="preserve">and multi-layered </w:t>
      </w:r>
      <w:r w:rsidR="002F5A07" w:rsidRPr="000A20E2">
        <w:rPr>
          <w:rFonts w:cstheme="minorHAnsi"/>
          <w:bCs/>
        </w:rPr>
        <w:t xml:space="preserve">but at their core is recognition </w:t>
      </w:r>
      <w:r w:rsidR="00451C96" w:rsidRPr="000A20E2">
        <w:rPr>
          <w:rFonts w:cstheme="minorHAnsi"/>
          <w:bCs/>
        </w:rPr>
        <w:t>of</w:t>
      </w:r>
      <w:r w:rsidR="002F5A07" w:rsidRPr="000A20E2">
        <w:rPr>
          <w:rFonts w:cstheme="minorHAnsi"/>
          <w:bCs/>
        </w:rPr>
        <w:t xml:space="preserve"> th</w:t>
      </w:r>
      <w:r w:rsidR="00451C96" w:rsidRPr="000A20E2">
        <w:rPr>
          <w:rFonts w:cstheme="minorHAnsi"/>
          <w:bCs/>
        </w:rPr>
        <w:t>e growing imbalance in power bet</w:t>
      </w:r>
      <w:r w:rsidR="002F5A07" w:rsidRPr="000A20E2">
        <w:rPr>
          <w:rFonts w:cstheme="minorHAnsi"/>
          <w:bCs/>
        </w:rPr>
        <w:t xml:space="preserve">ween capital and labour. </w:t>
      </w:r>
      <w:r w:rsidR="00117091" w:rsidRPr="000A20E2">
        <w:rPr>
          <w:rFonts w:cstheme="minorHAnsi"/>
          <w:bCs/>
        </w:rPr>
        <w:t xml:space="preserve">In </w:t>
      </w:r>
      <w:r w:rsidR="00451C96" w:rsidRPr="000A20E2">
        <w:rPr>
          <w:rFonts w:cstheme="minorHAnsi"/>
          <w:bCs/>
        </w:rPr>
        <w:t>making this proposal</w:t>
      </w:r>
      <w:r w:rsidR="00117091" w:rsidRPr="000A20E2">
        <w:rPr>
          <w:rFonts w:cstheme="minorHAnsi"/>
          <w:bCs/>
        </w:rPr>
        <w:t xml:space="preserve">, the necessity of also having </w:t>
      </w:r>
      <w:r w:rsidR="008C1C0C" w:rsidRPr="000A20E2">
        <w:rPr>
          <w:rFonts w:cstheme="minorHAnsi"/>
          <w:bCs/>
        </w:rPr>
        <w:t xml:space="preserve">statutory </w:t>
      </w:r>
      <w:r w:rsidR="00117091" w:rsidRPr="000A20E2">
        <w:rPr>
          <w:rFonts w:cstheme="minorHAnsi"/>
          <w:bCs/>
        </w:rPr>
        <w:t xml:space="preserve">mechanisms </w:t>
      </w:r>
      <w:r w:rsidR="008C1C0C" w:rsidRPr="000A20E2">
        <w:rPr>
          <w:rFonts w:cstheme="minorHAnsi"/>
          <w:bCs/>
        </w:rPr>
        <w:t xml:space="preserve">to </w:t>
      </w:r>
      <w:r w:rsidR="00117091" w:rsidRPr="000A20E2">
        <w:rPr>
          <w:rFonts w:cstheme="minorHAnsi"/>
          <w:bCs/>
        </w:rPr>
        <w:t xml:space="preserve">give effect </w:t>
      </w:r>
      <w:r w:rsidR="008C1C0C" w:rsidRPr="000A20E2">
        <w:rPr>
          <w:rFonts w:cstheme="minorHAnsi"/>
          <w:bCs/>
        </w:rPr>
        <w:t xml:space="preserve">to the fuller benefits of union membership was recognised. Of course, while default union membership systems and statutory mechanisms for union recognition are necessary, they are not in themselves sufficient to facilitate union effectiveness. This requires appropriate </w:t>
      </w:r>
      <w:r w:rsidR="00451C96" w:rsidRPr="000A20E2">
        <w:rPr>
          <w:rFonts w:cstheme="minorHAnsi"/>
          <w:bCs/>
        </w:rPr>
        <w:t xml:space="preserve">union </w:t>
      </w:r>
      <w:r w:rsidR="008C1C0C" w:rsidRPr="000A20E2">
        <w:rPr>
          <w:rFonts w:cstheme="minorHAnsi"/>
          <w:bCs/>
        </w:rPr>
        <w:t xml:space="preserve">choices </w:t>
      </w:r>
      <w:r w:rsidR="00451C96" w:rsidRPr="000A20E2">
        <w:rPr>
          <w:rFonts w:cstheme="minorHAnsi"/>
          <w:bCs/>
          <w:i/>
        </w:rPr>
        <w:t>vis-à-vis</w:t>
      </w:r>
      <w:r w:rsidR="00451C96" w:rsidRPr="000A20E2">
        <w:rPr>
          <w:rFonts w:cstheme="minorHAnsi"/>
          <w:bCs/>
        </w:rPr>
        <w:t xml:space="preserve"> </w:t>
      </w:r>
      <w:r w:rsidR="008C1C0C" w:rsidRPr="000A20E2">
        <w:rPr>
          <w:rFonts w:cstheme="minorHAnsi"/>
          <w:bCs/>
        </w:rPr>
        <w:t>their bargaining objectives and attendant strategy and tactics as well as unfair labour p</w:t>
      </w:r>
      <w:r w:rsidR="00451C96" w:rsidRPr="000A20E2">
        <w:rPr>
          <w:rFonts w:cstheme="minorHAnsi"/>
          <w:bCs/>
        </w:rPr>
        <w:t xml:space="preserve">ractice clauses to prevent </w:t>
      </w:r>
      <w:r w:rsidR="008C1C0C" w:rsidRPr="000A20E2">
        <w:rPr>
          <w:rFonts w:cstheme="minorHAnsi"/>
          <w:bCs/>
        </w:rPr>
        <w:t xml:space="preserve">employer </w:t>
      </w:r>
      <w:r w:rsidR="00451C96" w:rsidRPr="000A20E2">
        <w:rPr>
          <w:rFonts w:cstheme="minorHAnsi"/>
          <w:bCs/>
        </w:rPr>
        <w:t xml:space="preserve">resistance through </w:t>
      </w:r>
      <w:r w:rsidR="00BF591D" w:rsidRPr="000A20E2">
        <w:rPr>
          <w:rFonts w:cstheme="minorHAnsi"/>
          <w:bCs/>
        </w:rPr>
        <w:t xml:space="preserve">obfuscation, </w:t>
      </w:r>
      <w:r w:rsidR="008C1C0C" w:rsidRPr="000A20E2">
        <w:rPr>
          <w:rFonts w:cstheme="minorHAnsi"/>
          <w:bCs/>
        </w:rPr>
        <w:t>stonewalling and surface bargaining.</w:t>
      </w:r>
      <w:r w:rsidR="002F6DF5">
        <w:rPr>
          <w:rFonts w:cstheme="minorHAnsi"/>
          <w:bCs/>
        </w:rPr>
        <w:t xml:space="preserve"> </w:t>
      </w:r>
      <w:r w:rsidR="0088656B" w:rsidRPr="000A20E2">
        <w:rPr>
          <w:rFonts w:cstheme="minorHAnsi"/>
          <w:bCs/>
        </w:rPr>
        <w:t xml:space="preserve">To provoke </w:t>
      </w:r>
      <w:r w:rsidR="00451C96" w:rsidRPr="000A20E2">
        <w:rPr>
          <w:rFonts w:cstheme="minorHAnsi"/>
          <w:bCs/>
        </w:rPr>
        <w:t>this discussion,</w:t>
      </w:r>
      <w:r w:rsidR="0088656B" w:rsidRPr="000A20E2">
        <w:rPr>
          <w:rFonts w:cstheme="minorHAnsi"/>
          <w:bCs/>
        </w:rPr>
        <w:t xml:space="preserve"> i</w:t>
      </w:r>
      <w:r w:rsidRPr="000A20E2">
        <w:rPr>
          <w:rFonts w:cstheme="minorHAnsi"/>
          <w:bCs/>
        </w:rPr>
        <w:t xml:space="preserve">nsights from behavioural economics </w:t>
      </w:r>
      <w:r w:rsidR="0088656B" w:rsidRPr="000A20E2">
        <w:rPr>
          <w:rFonts w:cstheme="minorHAnsi"/>
          <w:bCs/>
        </w:rPr>
        <w:t xml:space="preserve">were </w:t>
      </w:r>
      <w:r w:rsidR="00DF209F" w:rsidRPr="000A20E2">
        <w:rPr>
          <w:rFonts w:cstheme="minorHAnsi"/>
          <w:bCs/>
        </w:rPr>
        <w:t xml:space="preserve">imported </w:t>
      </w:r>
      <w:r w:rsidR="002F5A07" w:rsidRPr="000A20E2">
        <w:rPr>
          <w:rFonts w:cstheme="minorHAnsi"/>
          <w:bCs/>
        </w:rPr>
        <w:t>in</w:t>
      </w:r>
      <w:r w:rsidRPr="000A20E2">
        <w:rPr>
          <w:rFonts w:cstheme="minorHAnsi"/>
          <w:bCs/>
        </w:rPr>
        <w:t>to industrial relations, providing an additional reason to question ‘rational choice’ theories of behaviour.</w:t>
      </w:r>
      <w:r w:rsidR="005A77B4" w:rsidRPr="000A20E2">
        <w:rPr>
          <w:rFonts w:cstheme="minorHAnsi"/>
          <w:bCs/>
        </w:rPr>
        <w:t xml:space="preserve"> </w:t>
      </w:r>
      <w:r w:rsidR="002F5A07" w:rsidRPr="000A20E2">
        <w:rPr>
          <w:rFonts w:cstheme="minorHAnsi"/>
          <w:bCs/>
        </w:rPr>
        <w:t>Thus, the paper</w:t>
      </w:r>
      <w:r w:rsidRPr="000A20E2">
        <w:rPr>
          <w:rFonts w:cstheme="minorHAnsi"/>
          <w:bCs/>
        </w:rPr>
        <w:t xml:space="preserve"> argued the widespread existence of the </w:t>
      </w:r>
      <w:r w:rsidR="002F5A07" w:rsidRPr="000A20E2">
        <w:rPr>
          <w:rFonts w:cstheme="minorHAnsi"/>
          <w:bCs/>
        </w:rPr>
        <w:t xml:space="preserve">non-union default in </w:t>
      </w:r>
      <w:r w:rsidRPr="000A20E2">
        <w:rPr>
          <w:rFonts w:cstheme="minorHAnsi"/>
          <w:bCs/>
        </w:rPr>
        <w:t xml:space="preserve">legal systems is likely to have had a greater effect on </w:t>
      </w:r>
      <w:r w:rsidR="002F5A07" w:rsidRPr="000A20E2">
        <w:rPr>
          <w:rFonts w:cstheme="minorHAnsi"/>
          <w:bCs/>
        </w:rPr>
        <w:t>union membership levels t</w:t>
      </w:r>
      <w:r w:rsidRPr="000A20E2">
        <w:rPr>
          <w:rFonts w:cstheme="minorHAnsi"/>
          <w:bCs/>
        </w:rPr>
        <w:t>han is generally recognised</w:t>
      </w:r>
      <w:r w:rsidR="006F67EB" w:rsidRPr="000A20E2">
        <w:rPr>
          <w:rFonts w:cstheme="minorHAnsi"/>
          <w:bCs/>
        </w:rPr>
        <w:t>,</w:t>
      </w:r>
      <w:r w:rsidR="004573AF" w:rsidRPr="000A20E2">
        <w:rPr>
          <w:rFonts w:cstheme="minorHAnsi"/>
          <w:bCs/>
        </w:rPr>
        <w:t xml:space="preserve"> given the operation of four factors</w:t>
      </w:r>
      <w:r w:rsidRPr="000A20E2">
        <w:rPr>
          <w:rFonts w:cstheme="minorHAnsi"/>
          <w:bCs/>
        </w:rPr>
        <w:t>.</w:t>
      </w:r>
      <w:r w:rsidR="005A77B4" w:rsidRPr="000A20E2">
        <w:rPr>
          <w:rFonts w:cstheme="minorHAnsi"/>
          <w:bCs/>
        </w:rPr>
        <w:t xml:space="preserve"> </w:t>
      </w:r>
    </w:p>
    <w:p w14:paraId="5151C25A" w14:textId="4FF3B747" w:rsidR="00D321D9" w:rsidRPr="000A20E2" w:rsidRDefault="00451C96" w:rsidP="000A20E2">
      <w:pPr>
        <w:spacing w:after="0" w:line="240" w:lineRule="auto"/>
        <w:ind w:firstLine="720"/>
        <w:jc w:val="both"/>
        <w:rPr>
          <w:rFonts w:cstheme="minorHAnsi"/>
        </w:rPr>
      </w:pPr>
      <w:r w:rsidRPr="000A20E2">
        <w:rPr>
          <w:rFonts w:cstheme="minorHAnsi"/>
          <w:bCs/>
        </w:rPr>
        <w:t>While a</w:t>
      </w:r>
      <w:r w:rsidR="00CC7E81" w:rsidRPr="000A20E2">
        <w:rPr>
          <w:rFonts w:cstheme="minorHAnsi"/>
          <w:bCs/>
        </w:rPr>
        <w:t xml:space="preserve"> limitation </w:t>
      </w:r>
      <w:r w:rsidR="002F5A07" w:rsidRPr="000A20E2">
        <w:rPr>
          <w:rFonts w:cstheme="minorHAnsi"/>
          <w:bCs/>
        </w:rPr>
        <w:t xml:space="preserve">of the paper </w:t>
      </w:r>
      <w:r w:rsidR="00CC7E81" w:rsidRPr="000A20E2">
        <w:rPr>
          <w:rFonts w:cstheme="minorHAnsi"/>
          <w:bCs/>
        </w:rPr>
        <w:t xml:space="preserve">is </w:t>
      </w:r>
      <w:r w:rsidR="00117091" w:rsidRPr="000A20E2">
        <w:rPr>
          <w:rFonts w:cstheme="minorHAnsi"/>
          <w:bCs/>
        </w:rPr>
        <w:t xml:space="preserve">that </w:t>
      </w:r>
      <w:r w:rsidR="002F5A07" w:rsidRPr="000A20E2">
        <w:rPr>
          <w:rFonts w:cstheme="minorHAnsi"/>
          <w:bCs/>
        </w:rPr>
        <w:t xml:space="preserve">no empirical testing has been carried out, a more significant obstacle is the ideological and political opposition that would arise to any </w:t>
      </w:r>
      <w:r w:rsidR="005E4009" w:rsidRPr="000A20E2">
        <w:rPr>
          <w:rFonts w:cstheme="minorHAnsi"/>
          <w:bCs/>
        </w:rPr>
        <w:t xml:space="preserve">public </w:t>
      </w:r>
      <w:r w:rsidR="002F5A07" w:rsidRPr="000A20E2">
        <w:rPr>
          <w:rFonts w:cstheme="minorHAnsi"/>
          <w:bCs/>
        </w:rPr>
        <w:t xml:space="preserve">proposal to </w:t>
      </w:r>
      <w:r w:rsidR="005E4009" w:rsidRPr="000A20E2">
        <w:rPr>
          <w:rFonts w:cstheme="minorHAnsi"/>
          <w:bCs/>
        </w:rPr>
        <w:t xml:space="preserve">extensively </w:t>
      </w:r>
      <w:r w:rsidR="002F5A07" w:rsidRPr="000A20E2">
        <w:rPr>
          <w:rFonts w:cstheme="minorHAnsi"/>
          <w:bCs/>
        </w:rPr>
        <w:t xml:space="preserve">study the </w:t>
      </w:r>
      <w:r w:rsidR="006936D8" w:rsidRPr="000A20E2">
        <w:rPr>
          <w:rFonts w:cstheme="minorHAnsi"/>
          <w:bCs/>
        </w:rPr>
        <w:t>case for a union default</w:t>
      </w:r>
      <w:r w:rsidR="005E4009" w:rsidRPr="000A20E2">
        <w:rPr>
          <w:rFonts w:cstheme="minorHAnsi"/>
          <w:bCs/>
        </w:rPr>
        <w:t xml:space="preserve">, let alone introduce one. Offence would be taken by </w:t>
      </w:r>
      <w:r w:rsidR="0088656B" w:rsidRPr="000A20E2">
        <w:rPr>
          <w:rFonts w:cstheme="minorHAnsi"/>
          <w:bCs/>
        </w:rPr>
        <w:t>certain vested interests</w:t>
      </w:r>
      <w:r w:rsidR="005E4009" w:rsidRPr="000A20E2">
        <w:rPr>
          <w:rFonts w:cstheme="minorHAnsi"/>
          <w:bCs/>
        </w:rPr>
        <w:t xml:space="preserve">, </w:t>
      </w:r>
      <w:r w:rsidR="0088656B" w:rsidRPr="000A20E2">
        <w:rPr>
          <w:rFonts w:cstheme="minorHAnsi"/>
          <w:bCs/>
        </w:rPr>
        <w:t xml:space="preserve">with </w:t>
      </w:r>
      <w:r w:rsidR="005E4009" w:rsidRPr="000A20E2">
        <w:rPr>
          <w:rFonts w:cstheme="minorHAnsi"/>
          <w:bCs/>
        </w:rPr>
        <w:t xml:space="preserve">criticism cloaked in the subterfuge of an affront to individual liberty and a backdoor route to </w:t>
      </w:r>
      <w:r w:rsidR="0088656B" w:rsidRPr="000A20E2">
        <w:rPr>
          <w:rFonts w:cstheme="minorHAnsi"/>
          <w:bCs/>
        </w:rPr>
        <w:t>socialism.</w:t>
      </w:r>
      <w:r w:rsidR="00D321D9" w:rsidRPr="000A20E2">
        <w:rPr>
          <w:rFonts w:cstheme="minorHAnsi"/>
          <w:bCs/>
        </w:rPr>
        <w:t xml:space="preserve"> We are in no doubt about the scale of the political and ideological task</w:t>
      </w:r>
      <w:r w:rsidR="00DE5956" w:rsidRPr="000A20E2">
        <w:rPr>
          <w:rFonts w:cstheme="minorHAnsi"/>
          <w:bCs/>
        </w:rPr>
        <w:t>s</w:t>
      </w:r>
      <w:r w:rsidR="00D321D9" w:rsidRPr="000A20E2">
        <w:rPr>
          <w:rFonts w:cstheme="minorHAnsi"/>
          <w:bCs/>
        </w:rPr>
        <w:t xml:space="preserve"> involved</w:t>
      </w:r>
      <w:r w:rsidR="00995834" w:rsidRPr="000A20E2">
        <w:rPr>
          <w:rFonts w:cstheme="minorHAnsi"/>
          <w:bCs/>
        </w:rPr>
        <w:t xml:space="preserve"> in implementing a union default</w:t>
      </w:r>
      <w:r w:rsidR="00D321D9" w:rsidRPr="000A20E2">
        <w:rPr>
          <w:rFonts w:cstheme="minorHAnsi"/>
          <w:bCs/>
        </w:rPr>
        <w:t>.</w:t>
      </w:r>
      <w:r w:rsidR="008D330F" w:rsidRPr="000A20E2">
        <w:rPr>
          <w:rFonts w:cstheme="minorHAnsi"/>
        </w:rPr>
        <w:t xml:space="preserve"> </w:t>
      </w:r>
      <w:r w:rsidR="002F7965" w:rsidRPr="000A20E2">
        <w:rPr>
          <w:rFonts w:cstheme="minorHAnsi"/>
        </w:rPr>
        <w:t xml:space="preserve">A </w:t>
      </w:r>
      <w:r w:rsidR="0054642A" w:rsidRPr="000A20E2">
        <w:rPr>
          <w:rFonts w:cstheme="minorHAnsi"/>
        </w:rPr>
        <w:t>labour regulation index for western countries for the period to 2013</w:t>
      </w:r>
      <w:r w:rsidR="002F6DF5">
        <w:rPr>
          <w:rStyle w:val="FootnoteReference"/>
          <w:rFonts w:cstheme="minorHAnsi"/>
        </w:rPr>
        <w:footnoteReference w:id="114"/>
      </w:r>
      <w:r w:rsidR="002F7965" w:rsidRPr="000A20E2">
        <w:rPr>
          <w:rFonts w:cstheme="minorHAnsi"/>
        </w:rPr>
        <w:t xml:space="preserve"> </w:t>
      </w:r>
      <w:r w:rsidR="0054642A" w:rsidRPr="000A20E2">
        <w:rPr>
          <w:rFonts w:cstheme="minorHAnsi"/>
        </w:rPr>
        <w:t xml:space="preserve"> shows that the majority have</w:t>
      </w:r>
      <w:r w:rsidR="00D321D9" w:rsidRPr="000A20E2">
        <w:rPr>
          <w:rFonts w:cstheme="minorHAnsi"/>
        </w:rPr>
        <w:t xml:space="preserve"> never had or do now not have any constitutional clauses or pieces of legislation which may facilitate or permit a union default (with opt out). This is judged by examining the section ‘D. Employee Representation’ and especially the category ’29. </w:t>
      </w:r>
      <w:proofErr w:type="gramStart"/>
      <w:r w:rsidR="00D321D9" w:rsidRPr="000A20E2">
        <w:rPr>
          <w:rFonts w:cstheme="minorHAnsi"/>
        </w:rPr>
        <w:t>Closed shops’ within the index to determine the existence of such rights and legal infrastructure.</w:t>
      </w:r>
      <w:proofErr w:type="gramEnd"/>
      <w:r w:rsidR="00D321D9" w:rsidRPr="000A20E2">
        <w:rPr>
          <w:rFonts w:cstheme="minorHAnsi"/>
        </w:rPr>
        <w:t xml:space="preserve"> While the closed shop system is not synonymous with a union default system given the element of compulsion and absence of opting out, it is still the closest available cousin to it. The rights and legal infrastructure </w:t>
      </w:r>
      <w:r w:rsidR="0054642A" w:rsidRPr="000A20E2">
        <w:rPr>
          <w:rFonts w:cstheme="minorHAnsi"/>
        </w:rPr>
        <w:t xml:space="preserve">associated </w:t>
      </w:r>
      <w:r w:rsidR="00D321D9" w:rsidRPr="000A20E2">
        <w:rPr>
          <w:rFonts w:cstheme="minorHAnsi"/>
        </w:rPr>
        <w:t xml:space="preserve">with closed shops </w:t>
      </w:r>
      <w:r w:rsidR="0054642A" w:rsidRPr="000A20E2">
        <w:rPr>
          <w:rFonts w:cstheme="minorHAnsi"/>
        </w:rPr>
        <w:t xml:space="preserve">are </w:t>
      </w:r>
      <w:r w:rsidR="00D321D9" w:rsidRPr="000A20E2">
        <w:rPr>
          <w:rFonts w:cstheme="minorHAnsi"/>
        </w:rPr>
        <w:t>capable of helping to facilitate a union default system i</w:t>
      </w:r>
      <w:r w:rsidR="0054642A" w:rsidRPr="000A20E2">
        <w:rPr>
          <w:rFonts w:cstheme="minorHAnsi"/>
        </w:rPr>
        <w:t>n</w:t>
      </w:r>
      <w:r w:rsidR="00D321D9" w:rsidRPr="000A20E2">
        <w:rPr>
          <w:rFonts w:cstheme="minorHAnsi"/>
        </w:rPr>
        <w:t xml:space="preserve"> that they represent the setting of a precedent in regard of establishing in law and public policy a societal default which is operationalised at the enterprise or workplace level.</w:t>
      </w:r>
      <w:r w:rsidR="00A3737A" w:rsidRPr="000A20E2">
        <w:rPr>
          <w:rFonts w:cstheme="minorHAnsi"/>
        </w:rPr>
        <w:t xml:space="preserve"> </w:t>
      </w:r>
      <w:r w:rsidR="00D321D9" w:rsidRPr="000A20E2">
        <w:rPr>
          <w:rFonts w:cstheme="minorHAnsi"/>
        </w:rPr>
        <w:t>Only Canada, Iceland, Ireland, Japan, the Netherlands, Norway and South Africa have some varying degree of rights and legal infrastructure by which a union default system could be established while Australia, Belgium, Denmark, Finland, France, Germany, Italy, New Zealand, Portugal, Spain, Switzerland, the UK and USA do not. So the majority of these countries – and the larger ones at that – do not have any such compatible rights and legal infrastructure - with some presently and specifically protecting the right not to associate. This indicates the scale of the political project required to create the conditions in which compatible rights and legal infrastructure (even with opt out) can be generated.</w:t>
      </w:r>
    </w:p>
    <w:p w14:paraId="4899E24B" w14:textId="503352F0" w:rsidR="0023545E" w:rsidRPr="000A20E2" w:rsidRDefault="005E4009" w:rsidP="000A20E2">
      <w:pPr>
        <w:spacing w:after="0" w:line="240" w:lineRule="auto"/>
        <w:ind w:firstLine="720"/>
        <w:jc w:val="both"/>
        <w:rPr>
          <w:rFonts w:cstheme="minorHAnsi"/>
          <w:b/>
        </w:rPr>
      </w:pPr>
      <w:r w:rsidRPr="000A20E2">
        <w:rPr>
          <w:rFonts w:cstheme="minorHAnsi"/>
          <w:bCs/>
        </w:rPr>
        <w:t xml:space="preserve">Yet the </w:t>
      </w:r>
      <w:r w:rsidR="000B4836" w:rsidRPr="000A20E2">
        <w:rPr>
          <w:rFonts w:cstheme="minorHAnsi"/>
          <w:bCs/>
        </w:rPr>
        <w:t xml:space="preserve">qualitative </w:t>
      </w:r>
      <w:r w:rsidR="00CC7E81" w:rsidRPr="000A20E2">
        <w:rPr>
          <w:rFonts w:cstheme="minorHAnsi"/>
          <w:bCs/>
        </w:rPr>
        <w:t>argume</w:t>
      </w:r>
      <w:r w:rsidR="0088656B" w:rsidRPr="000A20E2">
        <w:rPr>
          <w:rFonts w:cstheme="minorHAnsi"/>
          <w:bCs/>
        </w:rPr>
        <w:t>nts, we believe</w:t>
      </w:r>
      <w:r w:rsidR="00995834" w:rsidRPr="000A20E2">
        <w:rPr>
          <w:rFonts w:cstheme="minorHAnsi"/>
          <w:bCs/>
        </w:rPr>
        <w:t>,</w:t>
      </w:r>
      <w:r w:rsidR="0088656B" w:rsidRPr="000A20E2">
        <w:rPr>
          <w:rFonts w:cstheme="minorHAnsi"/>
          <w:bCs/>
        </w:rPr>
        <w:t xml:space="preserve"> are </w:t>
      </w:r>
      <w:r w:rsidR="00B23625" w:rsidRPr="000A20E2">
        <w:rPr>
          <w:rFonts w:cstheme="minorHAnsi"/>
          <w:bCs/>
        </w:rPr>
        <w:t xml:space="preserve">sufficiently </w:t>
      </w:r>
      <w:r w:rsidR="000B4836" w:rsidRPr="000A20E2">
        <w:rPr>
          <w:rFonts w:cstheme="minorHAnsi"/>
          <w:bCs/>
        </w:rPr>
        <w:t>persuasive</w:t>
      </w:r>
      <w:r w:rsidRPr="000A20E2">
        <w:rPr>
          <w:rFonts w:cstheme="minorHAnsi"/>
          <w:bCs/>
        </w:rPr>
        <w:t xml:space="preserve"> as to</w:t>
      </w:r>
      <w:r w:rsidR="00B23625" w:rsidRPr="000A20E2">
        <w:rPr>
          <w:rFonts w:cstheme="minorHAnsi"/>
          <w:bCs/>
        </w:rPr>
        <w:t xml:space="preserve"> be worthy of </w:t>
      </w:r>
      <w:r w:rsidR="000B4836" w:rsidRPr="000A20E2">
        <w:rPr>
          <w:rFonts w:cstheme="minorHAnsi"/>
          <w:bCs/>
        </w:rPr>
        <w:t>unions and other pro-labour organisations</w:t>
      </w:r>
      <w:r w:rsidR="00DF209F" w:rsidRPr="000A20E2">
        <w:rPr>
          <w:rFonts w:cstheme="minorHAnsi"/>
          <w:bCs/>
        </w:rPr>
        <w:t>,</w:t>
      </w:r>
      <w:r w:rsidR="000B4836" w:rsidRPr="000A20E2">
        <w:rPr>
          <w:rFonts w:cstheme="minorHAnsi"/>
          <w:bCs/>
        </w:rPr>
        <w:t xml:space="preserve"> such as social democratic parties</w:t>
      </w:r>
      <w:r w:rsidR="00A65DAE" w:rsidRPr="000A20E2">
        <w:rPr>
          <w:rFonts w:cstheme="minorHAnsi"/>
          <w:bCs/>
        </w:rPr>
        <w:t>, foundations and think tanks</w:t>
      </w:r>
      <w:r w:rsidR="00DF209F" w:rsidRPr="000A20E2">
        <w:rPr>
          <w:rFonts w:cstheme="minorHAnsi"/>
          <w:bCs/>
        </w:rPr>
        <w:t>,</w:t>
      </w:r>
      <w:r w:rsidR="000B4836" w:rsidRPr="000A20E2">
        <w:rPr>
          <w:rFonts w:cstheme="minorHAnsi"/>
          <w:bCs/>
        </w:rPr>
        <w:t xml:space="preserve"> </w:t>
      </w:r>
      <w:r w:rsidR="00B23625" w:rsidRPr="000A20E2">
        <w:rPr>
          <w:rFonts w:cstheme="minorHAnsi"/>
          <w:bCs/>
        </w:rPr>
        <w:t xml:space="preserve">expending their energies and resources </w:t>
      </w:r>
      <w:r w:rsidR="000B4836" w:rsidRPr="000A20E2">
        <w:rPr>
          <w:rFonts w:cstheme="minorHAnsi"/>
          <w:bCs/>
        </w:rPr>
        <w:t>problemati</w:t>
      </w:r>
      <w:r w:rsidR="00743D10" w:rsidRPr="000A20E2">
        <w:rPr>
          <w:rFonts w:cstheme="minorHAnsi"/>
          <w:bCs/>
        </w:rPr>
        <w:t>z</w:t>
      </w:r>
      <w:r w:rsidR="000B4836" w:rsidRPr="000A20E2">
        <w:rPr>
          <w:rFonts w:cstheme="minorHAnsi"/>
          <w:bCs/>
        </w:rPr>
        <w:t xml:space="preserve">ing </w:t>
      </w:r>
      <w:r w:rsidR="00B23625" w:rsidRPr="000A20E2">
        <w:rPr>
          <w:rFonts w:cstheme="minorHAnsi"/>
          <w:bCs/>
        </w:rPr>
        <w:t>the issue in or</w:t>
      </w:r>
      <w:r w:rsidR="00A65DAE" w:rsidRPr="000A20E2">
        <w:rPr>
          <w:rFonts w:cstheme="minorHAnsi"/>
          <w:bCs/>
        </w:rPr>
        <w:t>der to evaluate it</w:t>
      </w:r>
      <w:r w:rsidR="004C1EC5" w:rsidRPr="000A20E2">
        <w:rPr>
          <w:rFonts w:cstheme="minorHAnsi"/>
          <w:bCs/>
        </w:rPr>
        <w:t xml:space="preserve"> because it creates an opportunity of the exercise of choice.</w:t>
      </w:r>
      <w:r w:rsidR="00A65DAE" w:rsidRPr="000A20E2">
        <w:rPr>
          <w:rFonts w:cstheme="minorHAnsi"/>
          <w:bCs/>
        </w:rPr>
        <w:t xml:space="preserve"> </w:t>
      </w:r>
      <w:r w:rsidR="00B50744" w:rsidRPr="000A20E2">
        <w:rPr>
          <w:rFonts w:cstheme="minorHAnsi"/>
          <w:bCs/>
        </w:rPr>
        <w:t xml:space="preserve">The example </w:t>
      </w:r>
      <w:r w:rsidR="00995834" w:rsidRPr="000A20E2">
        <w:rPr>
          <w:rFonts w:cstheme="minorHAnsi"/>
          <w:bCs/>
        </w:rPr>
        <w:t xml:space="preserve">of the </w:t>
      </w:r>
      <w:r w:rsidR="00B50744" w:rsidRPr="000A20E2">
        <w:rPr>
          <w:rFonts w:cstheme="minorHAnsi"/>
          <w:bCs/>
        </w:rPr>
        <w:t xml:space="preserve">radical </w:t>
      </w:r>
      <w:r w:rsidR="00995834" w:rsidRPr="000A20E2">
        <w:rPr>
          <w:rFonts w:cstheme="minorHAnsi"/>
          <w:bCs/>
          <w:i/>
        </w:rPr>
        <w:t>Manifesto for Labour Law</w:t>
      </w:r>
      <w:r w:rsidR="00B97716">
        <w:rPr>
          <w:rStyle w:val="FootnoteReference"/>
          <w:rFonts w:cstheme="minorHAnsi"/>
          <w:bCs/>
          <w:i/>
        </w:rPr>
        <w:footnoteReference w:id="115"/>
      </w:r>
      <w:r w:rsidR="00995834" w:rsidRPr="000A20E2">
        <w:rPr>
          <w:rFonts w:cstheme="minorHAnsi"/>
          <w:bCs/>
        </w:rPr>
        <w:t xml:space="preserve"> </w:t>
      </w:r>
      <w:r w:rsidR="00B97716">
        <w:rPr>
          <w:rFonts w:cstheme="minorHAnsi"/>
          <w:bCs/>
        </w:rPr>
        <w:t xml:space="preserve">from </w:t>
      </w:r>
      <w:r w:rsidR="00995834" w:rsidRPr="000A20E2">
        <w:rPr>
          <w:rFonts w:cstheme="minorHAnsi"/>
          <w:bCs/>
        </w:rPr>
        <w:t>the Institute of Employment Rights i</w:t>
      </w:r>
      <w:r w:rsidR="00B50744" w:rsidRPr="000A20E2">
        <w:rPr>
          <w:rFonts w:cstheme="minorHAnsi"/>
          <w:bCs/>
        </w:rPr>
        <w:t>n Britain i</w:t>
      </w:r>
      <w:r w:rsidR="00995834" w:rsidRPr="000A20E2">
        <w:rPr>
          <w:rFonts w:cstheme="minorHAnsi"/>
          <w:bCs/>
        </w:rPr>
        <w:t xml:space="preserve">s instructive </w:t>
      </w:r>
      <w:r w:rsidR="00B50744" w:rsidRPr="000A20E2">
        <w:rPr>
          <w:rFonts w:cstheme="minorHAnsi"/>
          <w:bCs/>
        </w:rPr>
        <w:t xml:space="preserve">for two reasons. </w:t>
      </w:r>
      <w:r w:rsidR="009278B0" w:rsidRPr="000A20E2">
        <w:rPr>
          <w:rFonts w:cstheme="minorHAnsi"/>
          <w:bCs/>
        </w:rPr>
        <w:t>The f</w:t>
      </w:r>
      <w:r w:rsidR="00B50744" w:rsidRPr="000A20E2">
        <w:rPr>
          <w:rFonts w:cstheme="minorHAnsi"/>
          <w:bCs/>
        </w:rPr>
        <w:t>irst</w:t>
      </w:r>
      <w:r w:rsidR="009278B0" w:rsidRPr="000A20E2">
        <w:rPr>
          <w:rFonts w:cstheme="minorHAnsi"/>
          <w:bCs/>
        </w:rPr>
        <w:t xml:space="preserve"> concerns understanding how a proposal becomes a policy in mainstream </w:t>
      </w:r>
      <w:r w:rsidR="00DE5956" w:rsidRPr="000A20E2">
        <w:rPr>
          <w:rFonts w:cstheme="minorHAnsi"/>
          <w:bCs/>
        </w:rPr>
        <w:t xml:space="preserve">polity </w:t>
      </w:r>
      <w:r w:rsidR="009278B0" w:rsidRPr="000A20E2">
        <w:rPr>
          <w:rFonts w:cstheme="minorHAnsi"/>
          <w:bCs/>
        </w:rPr>
        <w:t>due to the alignment of principles and political opportunity</w:t>
      </w:r>
      <w:r w:rsidR="009278B0" w:rsidRPr="000A20E2">
        <w:rPr>
          <w:rFonts w:cstheme="minorHAnsi"/>
        </w:rPr>
        <w:t>.</w:t>
      </w:r>
      <w:r w:rsidR="00B97716">
        <w:rPr>
          <w:rStyle w:val="FootnoteReference"/>
          <w:rFonts w:cstheme="minorHAnsi"/>
        </w:rPr>
        <w:footnoteReference w:id="116"/>
      </w:r>
      <w:r w:rsidR="009278B0" w:rsidRPr="000A20E2">
        <w:rPr>
          <w:rFonts w:cstheme="minorHAnsi"/>
        </w:rPr>
        <w:t xml:space="preserve"> So,</w:t>
      </w:r>
      <w:r w:rsidR="00B50744" w:rsidRPr="000A20E2">
        <w:rPr>
          <w:rFonts w:cstheme="minorHAnsi"/>
          <w:bCs/>
        </w:rPr>
        <w:t xml:space="preserve"> after winning the support of all the major unions and union</w:t>
      </w:r>
      <w:r w:rsidR="0023545E" w:rsidRPr="000A20E2">
        <w:rPr>
          <w:rFonts w:cstheme="minorHAnsi"/>
          <w:bCs/>
        </w:rPr>
        <w:t>s</w:t>
      </w:r>
      <w:r w:rsidR="00B50744" w:rsidRPr="000A20E2">
        <w:rPr>
          <w:rFonts w:cstheme="minorHAnsi"/>
          <w:bCs/>
        </w:rPr>
        <w:t xml:space="preserve"> affiliate</w:t>
      </w:r>
      <w:r w:rsidR="0023545E" w:rsidRPr="000A20E2">
        <w:rPr>
          <w:rFonts w:cstheme="minorHAnsi"/>
          <w:bCs/>
        </w:rPr>
        <w:t>d</w:t>
      </w:r>
      <w:r w:rsidR="00B50744" w:rsidRPr="000A20E2">
        <w:rPr>
          <w:rFonts w:cstheme="minorHAnsi"/>
          <w:bCs/>
        </w:rPr>
        <w:t xml:space="preserve"> to Labour and then the </w:t>
      </w:r>
      <w:r w:rsidR="009278B0" w:rsidRPr="000A20E2">
        <w:rPr>
          <w:rFonts w:cstheme="minorHAnsi"/>
          <w:bCs/>
        </w:rPr>
        <w:t xml:space="preserve">new </w:t>
      </w:r>
      <w:r w:rsidR="00B50744" w:rsidRPr="000A20E2">
        <w:rPr>
          <w:rFonts w:cstheme="minorHAnsi"/>
          <w:bCs/>
        </w:rPr>
        <w:t xml:space="preserve">party leadership, </w:t>
      </w:r>
      <w:r w:rsidR="009278B0" w:rsidRPr="000A20E2">
        <w:rPr>
          <w:rFonts w:cstheme="minorHAnsi"/>
          <w:bCs/>
        </w:rPr>
        <w:t xml:space="preserve">the </w:t>
      </w:r>
      <w:r w:rsidR="009278B0" w:rsidRPr="000A20E2">
        <w:rPr>
          <w:rFonts w:cstheme="minorHAnsi"/>
          <w:bCs/>
          <w:i/>
        </w:rPr>
        <w:t xml:space="preserve">Manifesto </w:t>
      </w:r>
      <w:r w:rsidR="00B50744" w:rsidRPr="000A20E2">
        <w:rPr>
          <w:rFonts w:cstheme="minorHAnsi"/>
        </w:rPr>
        <w:t xml:space="preserve">was adopted as Labour Party policy in 2016 and formed the basis of Labour’s 2017 general election manifesto on employment rights. With the help of that manifesto, Labour was able to prevent the Conservatives from gaining a majority for government. </w:t>
      </w:r>
      <w:r w:rsidR="004C7DFA" w:rsidRPr="000A20E2">
        <w:rPr>
          <w:rFonts w:cstheme="minorHAnsi"/>
        </w:rPr>
        <w:t xml:space="preserve">Second, </w:t>
      </w:r>
      <w:r w:rsidR="00B50744" w:rsidRPr="000A20E2">
        <w:rPr>
          <w:rFonts w:cstheme="minorHAnsi"/>
        </w:rPr>
        <w:t xml:space="preserve">although it conceives of various means to support unions, union recognition and collective bargaining, these proposals are built upon </w:t>
      </w:r>
      <w:r w:rsidR="009278B0" w:rsidRPr="000A20E2">
        <w:rPr>
          <w:rFonts w:cstheme="minorHAnsi"/>
        </w:rPr>
        <w:t xml:space="preserve">unnecessarily </w:t>
      </w:r>
      <w:r w:rsidR="00B50744" w:rsidRPr="000A20E2">
        <w:rPr>
          <w:rFonts w:cstheme="minorHAnsi"/>
        </w:rPr>
        <w:t xml:space="preserve">weak foundations because </w:t>
      </w:r>
      <w:r w:rsidR="009278B0" w:rsidRPr="000A20E2">
        <w:rPr>
          <w:rFonts w:cstheme="minorHAnsi"/>
        </w:rPr>
        <w:t>they</w:t>
      </w:r>
      <w:r w:rsidR="00B50744" w:rsidRPr="000A20E2">
        <w:rPr>
          <w:rFonts w:cstheme="minorHAnsi"/>
        </w:rPr>
        <w:t xml:space="preserve"> do not consider changing the default status from</w:t>
      </w:r>
      <w:r w:rsidR="00687D5F" w:rsidRPr="000A20E2">
        <w:rPr>
          <w:rFonts w:cstheme="minorHAnsi"/>
        </w:rPr>
        <w:t xml:space="preserve"> non-union to union.</w:t>
      </w:r>
      <w:r w:rsidR="004C7DFA" w:rsidRPr="000A20E2">
        <w:rPr>
          <w:rFonts w:cstheme="minorHAnsi"/>
        </w:rPr>
        <w:t xml:space="preserve"> Yet, </w:t>
      </w:r>
      <w:r w:rsidR="009278B0" w:rsidRPr="000A20E2">
        <w:rPr>
          <w:rFonts w:cstheme="minorHAnsi"/>
        </w:rPr>
        <w:t xml:space="preserve">such </w:t>
      </w:r>
      <w:r w:rsidR="004C7DFA" w:rsidRPr="000A20E2">
        <w:rPr>
          <w:rFonts w:cstheme="minorHAnsi"/>
        </w:rPr>
        <w:t xml:space="preserve">a default is essential to provide unions with the means to take advantage of the reforms the </w:t>
      </w:r>
      <w:r w:rsidR="004C7DFA" w:rsidRPr="000A20E2">
        <w:rPr>
          <w:rFonts w:cstheme="minorHAnsi"/>
          <w:i/>
        </w:rPr>
        <w:t>Manifesto</w:t>
      </w:r>
      <w:r w:rsidR="004C7DFA" w:rsidRPr="000A20E2">
        <w:rPr>
          <w:rFonts w:cstheme="minorHAnsi"/>
        </w:rPr>
        <w:t xml:space="preserve"> </w:t>
      </w:r>
      <w:r w:rsidR="00B97716" w:rsidRPr="00B97716">
        <w:rPr>
          <w:rFonts w:cstheme="minorHAnsi"/>
          <w:bCs/>
          <w:i/>
        </w:rPr>
        <w:t xml:space="preserve">for Labour Law </w:t>
      </w:r>
      <w:r w:rsidR="004C7DFA" w:rsidRPr="000A20E2">
        <w:rPr>
          <w:rFonts w:cstheme="minorHAnsi"/>
        </w:rPr>
        <w:t>proposes. For example, the compulsion upon employers to engage in sectorial bargainin</w:t>
      </w:r>
      <w:r w:rsidR="0023545E" w:rsidRPr="000A20E2">
        <w:rPr>
          <w:rFonts w:cstheme="minorHAnsi"/>
        </w:rPr>
        <w:t xml:space="preserve">g could result in two unintended outcomes, these being collective bargaining coverage (by company) not increasing and unions not having any greater membership resource with which to exert leverage over the employers. We believe the spirit and intention of a union default is not only compatible with the </w:t>
      </w:r>
      <w:r w:rsidR="0023545E" w:rsidRPr="000A20E2">
        <w:rPr>
          <w:rFonts w:cstheme="minorHAnsi"/>
          <w:i/>
        </w:rPr>
        <w:t>Manifesto</w:t>
      </w:r>
      <w:r w:rsidR="0023545E" w:rsidRPr="000A20E2">
        <w:rPr>
          <w:rFonts w:cstheme="minorHAnsi"/>
        </w:rPr>
        <w:t xml:space="preserve"> </w:t>
      </w:r>
      <w:r w:rsidR="00B97716" w:rsidRPr="00B97716">
        <w:rPr>
          <w:rFonts w:cstheme="minorHAnsi"/>
          <w:bCs/>
          <w:i/>
        </w:rPr>
        <w:t xml:space="preserve">for Labour Law </w:t>
      </w:r>
      <w:r w:rsidR="0023545E" w:rsidRPr="000A20E2">
        <w:rPr>
          <w:rFonts w:cstheme="minorHAnsi"/>
        </w:rPr>
        <w:t>but essential to it.</w:t>
      </w:r>
      <w:r w:rsidR="009278B0" w:rsidRPr="000A20E2">
        <w:rPr>
          <w:rStyle w:val="FootnoteReference"/>
          <w:rFonts w:cstheme="minorHAnsi"/>
        </w:rPr>
        <w:footnoteReference w:id="117"/>
      </w:r>
      <w:r w:rsidR="0023545E" w:rsidRPr="000A20E2">
        <w:rPr>
          <w:rFonts w:cstheme="minorHAnsi"/>
        </w:rPr>
        <w:t xml:space="preserve"> </w:t>
      </w:r>
    </w:p>
    <w:p w14:paraId="3FF57587" w14:textId="2CDCA3D0" w:rsidR="0092778E" w:rsidRPr="000A20E2" w:rsidRDefault="009278B0" w:rsidP="000A20E2">
      <w:pPr>
        <w:spacing w:after="0" w:line="240" w:lineRule="auto"/>
        <w:ind w:firstLine="720"/>
        <w:jc w:val="both"/>
        <w:rPr>
          <w:rFonts w:cstheme="minorHAnsi"/>
        </w:rPr>
      </w:pPr>
      <w:r w:rsidRPr="000A20E2">
        <w:rPr>
          <w:rFonts w:cstheme="minorHAnsi"/>
          <w:bCs/>
        </w:rPr>
        <w:t>Therefore</w:t>
      </w:r>
      <w:r w:rsidR="004C1EC5" w:rsidRPr="000A20E2">
        <w:rPr>
          <w:rFonts w:cstheme="minorHAnsi"/>
          <w:bCs/>
        </w:rPr>
        <w:t>, i</w:t>
      </w:r>
      <w:r w:rsidR="00A65DAE" w:rsidRPr="000A20E2">
        <w:rPr>
          <w:rFonts w:cstheme="minorHAnsi"/>
          <w:bCs/>
        </w:rPr>
        <w:t>f the conc</w:t>
      </w:r>
      <w:r w:rsidR="00B23625" w:rsidRPr="000A20E2">
        <w:rPr>
          <w:rFonts w:cstheme="minorHAnsi"/>
          <w:bCs/>
        </w:rPr>
        <w:t>lusion</w:t>
      </w:r>
      <w:r w:rsidR="00A65DAE" w:rsidRPr="000A20E2">
        <w:rPr>
          <w:rFonts w:cstheme="minorHAnsi"/>
          <w:bCs/>
        </w:rPr>
        <w:t xml:space="preserve"> </w:t>
      </w:r>
      <w:r w:rsidR="00995834" w:rsidRPr="000A20E2">
        <w:rPr>
          <w:rFonts w:cstheme="minorHAnsi"/>
          <w:bCs/>
        </w:rPr>
        <w:t xml:space="preserve">to the problematizing </w:t>
      </w:r>
      <w:r w:rsidR="00A65DAE" w:rsidRPr="000A20E2">
        <w:rPr>
          <w:rFonts w:cstheme="minorHAnsi"/>
          <w:bCs/>
        </w:rPr>
        <w:t xml:space="preserve">was found to be positive, </w:t>
      </w:r>
      <w:r w:rsidR="00995834" w:rsidRPr="000A20E2">
        <w:rPr>
          <w:rFonts w:cstheme="minorHAnsi"/>
          <w:bCs/>
        </w:rPr>
        <w:t xml:space="preserve">as with the </w:t>
      </w:r>
      <w:r w:rsidR="00995834" w:rsidRPr="000A20E2">
        <w:rPr>
          <w:rFonts w:cstheme="minorHAnsi"/>
          <w:bCs/>
          <w:i/>
        </w:rPr>
        <w:t>Manifesto</w:t>
      </w:r>
      <w:r w:rsidR="00995834" w:rsidRPr="000A20E2">
        <w:rPr>
          <w:rFonts w:cstheme="minorHAnsi"/>
          <w:bCs/>
        </w:rPr>
        <w:t xml:space="preserve"> </w:t>
      </w:r>
      <w:r w:rsidR="00B97716" w:rsidRPr="00B97716">
        <w:rPr>
          <w:rFonts w:cstheme="minorHAnsi"/>
          <w:bCs/>
          <w:i/>
        </w:rPr>
        <w:t xml:space="preserve">for Labour Law </w:t>
      </w:r>
      <w:r w:rsidR="00A65DAE" w:rsidRPr="000A20E2">
        <w:rPr>
          <w:rFonts w:cstheme="minorHAnsi"/>
          <w:bCs/>
        </w:rPr>
        <w:t>the next step would be to set out a policy proposal and to c</w:t>
      </w:r>
      <w:r w:rsidR="00451C96" w:rsidRPr="000A20E2">
        <w:rPr>
          <w:rFonts w:cstheme="minorHAnsi"/>
          <w:bCs/>
        </w:rPr>
        <w:t xml:space="preserve">onsider how and by what means the proposal </w:t>
      </w:r>
      <w:r w:rsidR="00A65DAE" w:rsidRPr="000A20E2">
        <w:rPr>
          <w:rFonts w:cstheme="minorHAnsi"/>
          <w:bCs/>
        </w:rPr>
        <w:t xml:space="preserve">could be prosecuted on the journey towards becoming legislation and public policy. </w:t>
      </w:r>
      <w:r w:rsidR="00DC08A4" w:rsidRPr="000A20E2">
        <w:rPr>
          <w:rFonts w:cstheme="minorHAnsi"/>
          <w:bCs/>
        </w:rPr>
        <w:t>In doing so, an ideological struggle would need to be waged in order to re-interpret and re-imagine what ‘freedom from constraint’ means and represents, namely, that the atomisation of workers under a non-union default provides opportunit</w:t>
      </w:r>
      <w:r w:rsidR="00451C96" w:rsidRPr="000A20E2">
        <w:rPr>
          <w:rFonts w:cstheme="minorHAnsi"/>
          <w:bCs/>
        </w:rPr>
        <w:t>ies</w:t>
      </w:r>
      <w:r w:rsidR="00DC08A4" w:rsidRPr="000A20E2">
        <w:rPr>
          <w:rFonts w:cstheme="minorHAnsi"/>
          <w:bCs/>
        </w:rPr>
        <w:t xml:space="preserve"> for capital to subjugate labour while the collectivisation of workers under employer union default provides opportunit</w:t>
      </w:r>
      <w:r w:rsidR="00451C96" w:rsidRPr="000A20E2">
        <w:rPr>
          <w:rFonts w:cstheme="minorHAnsi"/>
          <w:bCs/>
        </w:rPr>
        <w:t>ies</w:t>
      </w:r>
      <w:r w:rsidR="00DC08A4" w:rsidRPr="000A20E2">
        <w:rPr>
          <w:rFonts w:cstheme="minorHAnsi"/>
          <w:bCs/>
        </w:rPr>
        <w:t xml:space="preserve"> for labour not to be subjugated by capital. </w:t>
      </w:r>
      <w:r w:rsidR="00A65DAE" w:rsidRPr="000A20E2">
        <w:rPr>
          <w:rFonts w:cstheme="minorHAnsi"/>
          <w:bCs/>
        </w:rPr>
        <w:t xml:space="preserve">The political prospects for </w:t>
      </w:r>
      <w:r w:rsidR="00DC08A4" w:rsidRPr="000A20E2">
        <w:rPr>
          <w:rFonts w:cstheme="minorHAnsi"/>
          <w:bCs/>
        </w:rPr>
        <w:t xml:space="preserve">creating a union default setting </w:t>
      </w:r>
      <w:r w:rsidR="00A65DAE" w:rsidRPr="000A20E2">
        <w:rPr>
          <w:rFonts w:cstheme="minorHAnsi"/>
          <w:bCs/>
        </w:rPr>
        <w:t xml:space="preserve">would revolve around </w:t>
      </w:r>
      <w:r w:rsidR="00DC08A4" w:rsidRPr="000A20E2">
        <w:rPr>
          <w:rFonts w:cstheme="minorHAnsi"/>
          <w:bCs/>
        </w:rPr>
        <w:t xml:space="preserve">– but also be part and parcel of - </w:t>
      </w:r>
      <w:r w:rsidR="00A65DAE" w:rsidRPr="000A20E2">
        <w:rPr>
          <w:rFonts w:cstheme="minorHAnsi"/>
          <w:bCs/>
        </w:rPr>
        <w:t>the retrenchment of neo-liberalism and a resurgence of social democracy.</w:t>
      </w:r>
      <w:r w:rsidR="004C1EC5" w:rsidRPr="000A20E2">
        <w:rPr>
          <w:rFonts w:cstheme="minorHAnsi"/>
          <w:bCs/>
        </w:rPr>
        <w:t xml:space="preserve"> </w:t>
      </w:r>
    </w:p>
    <w:p w14:paraId="46AA9655" w14:textId="77777777" w:rsidR="00B058AC" w:rsidRDefault="00B058AC" w:rsidP="000A20E2">
      <w:pPr>
        <w:spacing w:after="0" w:line="240" w:lineRule="auto"/>
        <w:jc w:val="both"/>
        <w:rPr>
          <w:rFonts w:cstheme="minorHAnsi"/>
        </w:rPr>
      </w:pPr>
    </w:p>
    <w:p w14:paraId="0BBD73AD" w14:textId="2D48BC60" w:rsidR="006C1DA2" w:rsidRPr="006C1DA2" w:rsidRDefault="006C1DA2" w:rsidP="000A20E2">
      <w:pPr>
        <w:spacing w:after="0" w:line="240" w:lineRule="auto"/>
        <w:jc w:val="both"/>
        <w:rPr>
          <w:rFonts w:cstheme="minorHAnsi"/>
          <w:b/>
        </w:rPr>
      </w:pPr>
      <w:r w:rsidRPr="006C1DA2">
        <w:rPr>
          <w:rFonts w:cstheme="minorHAnsi"/>
          <w:b/>
        </w:rPr>
        <w:t>Acknowledgement</w:t>
      </w:r>
    </w:p>
    <w:p w14:paraId="7E0B5C3B" w14:textId="77777777" w:rsidR="006C1DA2" w:rsidRDefault="006C1DA2" w:rsidP="000A20E2">
      <w:pPr>
        <w:spacing w:after="0" w:line="240" w:lineRule="auto"/>
        <w:jc w:val="both"/>
        <w:rPr>
          <w:rFonts w:cstheme="minorHAnsi"/>
        </w:rPr>
      </w:pPr>
    </w:p>
    <w:p w14:paraId="2980F792" w14:textId="77777777" w:rsidR="006C1DA2" w:rsidRDefault="006C1DA2" w:rsidP="000A20E2">
      <w:pPr>
        <w:spacing w:after="0" w:line="240" w:lineRule="auto"/>
        <w:jc w:val="both"/>
        <w:rPr>
          <w:rFonts w:cstheme="minorHAnsi"/>
        </w:rPr>
      </w:pPr>
      <w:r>
        <w:rPr>
          <w:rFonts w:cstheme="minorHAnsi"/>
        </w:rPr>
        <w:t xml:space="preserve">We are grateful for the help of Ewan </w:t>
      </w:r>
      <w:proofErr w:type="spellStart"/>
      <w:r w:rsidRPr="00B51499">
        <w:rPr>
          <w:rFonts w:cstheme="minorHAnsi"/>
        </w:rPr>
        <w:t>McGaughey</w:t>
      </w:r>
      <w:proofErr w:type="spellEnd"/>
      <w:r>
        <w:rPr>
          <w:rFonts w:cstheme="minorHAnsi"/>
        </w:rPr>
        <w:t xml:space="preserve"> and another referee in revising this article for publication.</w:t>
      </w:r>
    </w:p>
    <w:p w14:paraId="5A6F79F4" w14:textId="53A6701C" w:rsidR="006C1DA2" w:rsidRDefault="006C1DA2" w:rsidP="000A20E2">
      <w:pPr>
        <w:spacing w:after="0" w:line="240" w:lineRule="auto"/>
        <w:jc w:val="both"/>
        <w:rPr>
          <w:rFonts w:cstheme="minorHAnsi"/>
        </w:rPr>
      </w:pPr>
      <w:r>
        <w:rPr>
          <w:rFonts w:cstheme="minorHAnsi"/>
        </w:rPr>
        <w:t xml:space="preserve"> </w:t>
      </w:r>
    </w:p>
    <w:sectPr w:rsidR="006C1DA2" w:rsidSect="007B199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A97B2F" w14:textId="77777777" w:rsidR="001C4B9E" w:rsidRDefault="001C4B9E" w:rsidP="00B25D6D">
      <w:pPr>
        <w:spacing w:after="0" w:line="240" w:lineRule="auto"/>
      </w:pPr>
      <w:r>
        <w:separator/>
      </w:r>
    </w:p>
  </w:endnote>
  <w:endnote w:type="continuationSeparator" w:id="0">
    <w:p w14:paraId="6E30D48A" w14:textId="77777777" w:rsidR="001C4B9E" w:rsidRDefault="001C4B9E" w:rsidP="00B25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AF7BB" w14:textId="77777777" w:rsidR="008B6308" w:rsidRDefault="008B63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485444"/>
      <w:docPartObj>
        <w:docPartGallery w:val="Page Numbers (Bottom of Page)"/>
        <w:docPartUnique/>
      </w:docPartObj>
    </w:sdtPr>
    <w:sdtEndPr>
      <w:rPr>
        <w:noProof/>
      </w:rPr>
    </w:sdtEndPr>
    <w:sdtContent>
      <w:p w14:paraId="08D4B612" w14:textId="092C3917" w:rsidR="008B6308" w:rsidRDefault="008B6308">
        <w:pPr>
          <w:pStyle w:val="Footer"/>
          <w:jc w:val="center"/>
        </w:pPr>
        <w:r>
          <w:fldChar w:fldCharType="begin"/>
        </w:r>
        <w:r>
          <w:instrText xml:space="preserve"> PAGE   \* MERGEFORMAT </w:instrText>
        </w:r>
        <w:r>
          <w:fldChar w:fldCharType="separate"/>
        </w:r>
        <w:r w:rsidR="00302747">
          <w:rPr>
            <w:noProof/>
          </w:rPr>
          <w:t>1</w:t>
        </w:r>
        <w:r>
          <w:rPr>
            <w:noProof/>
          </w:rPr>
          <w:fldChar w:fldCharType="end"/>
        </w:r>
      </w:p>
    </w:sdtContent>
  </w:sdt>
  <w:p w14:paraId="635991CD" w14:textId="77777777" w:rsidR="008B6308" w:rsidRDefault="008B63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45DBA" w14:textId="77777777" w:rsidR="008B6308" w:rsidRDefault="008B63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2459CA" w14:textId="77777777" w:rsidR="001C4B9E" w:rsidRDefault="001C4B9E" w:rsidP="00B25D6D">
      <w:pPr>
        <w:spacing w:after="0" w:line="240" w:lineRule="auto"/>
      </w:pPr>
      <w:r>
        <w:separator/>
      </w:r>
    </w:p>
  </w:footnote>
  <w:footnote w:type="continuationSeparator" w:id="0">
    <w:p w14:paraId="0AF7B322" w14:textId="77777777" w:rsidR="001C4B9E" w:rsidRDefault="001C4B9E" w:rsidP="00B25D6D">
      <w:pPr>
        <w:spacing w:after="0" w:line="240" w:lineRule="auto"/>
      </w:pPr>
      <w:r>
        <w:continuationSeparator/>
      </w:r>
    </w:p>
  </w:footnote>
  <w:footnote w:id="1">
    <w:p w14:paraId="406A1A1E" w14:textId="212AC700" w:rsidR="008B6308" w:rsidRPr="00137A86" w:rsidRDefault="008B6308" w:rsidP="00137A86">
      <w:pPr>
        <w:pStyle w:val="FootnoteText"/>
        <w:rPr>
          <w:rFonts w:cstheme="minorHAnsi"/>
        </w:rPr>
      </w:pPr>
      <w:r w:rsidRPr="00137A86">
        <w:rPr>
          <w:rStyle w:val="FootnoteReference"/>
          <w:rFonts w:cstheme="minorHAnsi"/>
        </w:rPr>
        <w:footnoteRef/>
      </w:r>
      <w:r w:rsidRPr="00137A86">
        <w:rPr>
          <w:rFonts w:cstheme="minorHAnsi"/>
        </w:rPr>
        <w:t xml:space="preserve"> C. </w:t>
      </w:r>
      <w:proofErr w:type="spellStart"/>
      <w:r w:rsidRPr="00137A86">
        <w:rPr>
          <w:rFonts w:cstheme="minorHAnsi"/>
        </w:rPr>
        <w:t>Frege</w:t>
      </w:r>
      <w:proofErr w:type="spellEnd"/>
      <w:r w:rsidRPr="00137A86">
        <w:rPr>
          <w:rFonts w:cstheme="minorHAnsi"/>
        </w:rPr>
        <w:t xml:space="preserve">. </w:t>
      </w:r>
      <w:proofErr w:type="gramStart"/>
      <w:r w:rsidRPr="00137A86">
        <w:rPr>
          <w:rFonts w:cstheme="minorHAnsi"/>
        </w:rPr>
        <w:t>and</w:t>
      </w:r>
      <w:proofErr w:type="gramEnd"/>
      <w:r w:rsidRPr="00137A86">
        <w:rPr>
          <w:rFonts w:cstheme="minorHAnsi"/>
        </w:rPr>
        <w:t xml:space="preserve"> J. Kelly (eds.), </w:t>
      </w:r>
      <w:r w:rsidRPr="00137A86">
        <w:rPr>
          <w:rFonts w:cstheme="minorHAnsi"/>
          <w:i/>
        </w:rPr>
        <w:t>Varieties of Unionism: Strategies for Union Revitalization in a Globalizing Economy</w:t>
      </w:r>
      <w:r w:rsidRPr="00137A86">
        <w:rPr>
          <w:rFonts w:cstheme="minorHAnsi"/>
        </w:rPr>
        <w:t xml:space="preserve"> (Oxford: Oxford University Press, 2003).</w:t>
      </w:r>
    </w:p>
  </w:footnote>
  <w:footnote w:id="2">
    <w:p w14:paraId="5E903C6E" w14:textId="170D56E1" w:rsidR="008B6308" w:rsidRPr="00137A86" w:rsidRDefault="008B6308" w:rsidP="00137A86">
      <w:pPr>
        <w:spacing w:after="0" w:line="240" w:lineRule="auto"/>
        <w:jc w:val="both"/>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Department of Business, Energy and Industrial Strategy, </w:t>
      </w:r>
      <w:r w:rsidRPr="00137A86">
        <w:rPr>
          <w:rFonts w:cstheme="minorHAnsi"/>
          <w:i/>
          <w:sz w:val="20"/>
          <w:szCs w:val="20"/>
        </w:rPr>
        <w:t>Trade Union Membership 2016</w:t>
      </w:r>
      <w:r w:rsidRPr="00137A86">
        <w:rPr>
          <w:rFonts w:cstheme="minorHAnsi"/>
          <w:sz w:val="20"/>
          <w:szCs w:val="20"/>
        </w:rPr>
        <w:t>, (London: HMSO, 2017) 23, 25.</w:t>
      </w:r>
    </w:p>
  </w:footnote>
  <w:footnote w:id="3">
    <w:p w14:paraId="48062A87" w14:textId="4699B5FB" w:rsidR="008B6308" w:rsidRPr="00137A86" w:rsidRDefault="008B6308" w:rsidP="00137A86">
      <w:pPr>
        <w:spacing w:after="0" w:line="240" w:lineRule="auto"/>
        <w:jc w:val="both"/>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S. Ryall and S. </w:t>
      </w:r>
      <w:proofErr w:type="spellStart"/>
      <w:r w:rsidRPr="00137A86">
        <w:rPr>
          <w:rFonts w:cstheme="minorHAnsi"/>
          <w:sz w:val="20"/>
          <w:szCs w:val="20"/>
        </w:rPr>
        <w:t>Blumenfeld</w:t>
      </w:r>
      <w:proofErr w:type="spellEnd"/>
      <w:r w:rsidRPr="00137A86">
        <w:rPr>
          <w:rFonts w:cstheme="minorHAnsi"/>
          <w:sz w:val="20"/>
          <w:szCs w:val="20"/>
        </w:rPr>
        <w:t xml:space="preserve">, </w:t>
      </w:r>
      <w:proofErr w:type="gramStart"/>
      <w:r w:rsidRPr="00137A86">
        <w:rPr>
          <w:rFonts w:cstheme="minorHAnsi"/>
          <w:i/>
          <w:iCs/>
          <w:sz w:val="20"/>
          <w:szCs w:val="20"/>
        </w:rPr>
        <w:t>The</w:t>
      </w:r>
      <w:proofErr w:type="gramEnd"/>
      <w:r w:rsidRPr="00137A86">
        <w:rPr>
          <w:rFonts w:cstheme="minorHAnsi"/>
          <w:i/>
          <w:iCs/>
          <w:sz w:val="20"/>
          <w:szCs w:val="20"/>
        </w:rPr>
        <w:t xml:space="preserve"> State of New Zealand Union Membership in 2014</w:t>
      </w:r>
      <w:r w:rsidRPr="00137A86">
        <w:rPr>
          <w:rFonts w:cstheme="minorHAnsi"/>
          <w:sz w:val="20"/>
          <w:szCs w:val="20"/>
        </w:rPr>
        <w:t xml:space="preserve"> (Wellington, New Zealand: Centre for Labour Employment and Work at Victoria University, 2015).</w:t>
      </w:r>
      <w:r w:rsidR="00137A86">
        <w:rPr>
          <w:rFonts w:cstheme="minorHAnsi"/>
          <w:sz w:val="20"/>
          <w:szCs w:val="20"/>
        </w:rPr>
        <w:t xml:space="preserve"> </w:t>
      </w:r>
    </w:p>
  </w:footnote>
  <w:footnote w:id="4">
    <w:p w14:paraId="6FFE9648" w14:textId="753F5238" w:rsidR="008B6308" w:rsidRPr="00137A86" w:rsidRDefault="008B6308" w:rsidP="00137A86">
      <w:pPr>
        <w:pStyle w:val="FootnoteText"/>
        <w:rPr>
          <w:rFonts w:cstheme="minorHAnsi"/>
        </w:rPr>
      </w:pPr>
      <w:r w:rsidRPr="00137A86">
        <w:rPr>
          <w:rStyle w:val="FootnoteReference"/>
          <w:rFonts w:cstheme="minorHAnsi"/>
        </w:rPr>
        <w:footnoteRef/>
      </w:r>
      <w:r w:rsidRPr="00137A86">
        <w:rPr>
          <w:rFonts w:cstheme="minorHAnsi"/>
        </w:rPr>
        <w:t xml:space="preserve"> R. Sullivan, ‘Labour market or labour movement? </w:t>
      </w:r>
      <w:proofErr w:type="gramStart"/>
      <w:r w:rsidRPr="00137A86">
        <w:rPr>
          <w:rFonts w:cstheme="minorHAnsi"/>
        </w:rPr>
        <w:t xml:space="preserve">The union density bias as barrier to labour renewal’ (2010) 24 </w:t>
      </w:r>
      <w:r w:rsidRPr="00137A86">
        <w:rPr>
          <w:rFonts w:cstheme="minorHAnsi"/>
          <w:i/>
        </w:rPr>
        <w:t>Work, Employment and Society</w:t>
      </w:r>
      <w:r w:rsidRPr="00137A86">
        <w:rPr>
          <w:rFonts w:cstheme="minorHAnsi"/>
        </w:rPr>
        <w:t>.</w:t>
      </w:r>
      <w:proofErr w:type="gramEnd"/>
    </w:p>
  </w:footnote>
  <w:footnote w:id="5">
    <w:p w14:paraId="460C701D" w14:textId="4E25E4DE" w:rsidR="008B6308" w:rsidRPr="00137A86" w:rsidRDefault="008B6308" w:rsidP="00137A86">
      <w:pPr>
        <w:spacing w:after="0" w:line="240" w:lineRule="auto"/>
        <w:jc w:val="both"/>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A. Bryson, R. Gomez, M. Gunderson and N. </w:t>
      </w:r>
      <w:proofErr w:type="spellStart"/>
      <w:r w:rsidRPr="00137A86">
        <w:rPr>
          <w:rFonts w:cstheme="minorHAnsi"/>
          <w:sz w:val="20"/>
          <w:szCs w:val="20"/>
        </w:rPr>
        <w:t>Meltz</w:t>
      </w:r>
      <w:proofErr w:type="spellEnd"/>
      <w:r w:rsidRPr="00137A86">
        <w:rPr>
          <w:rFonts w:cstheme="minorHAnsi"/>
          <w:sz w:val="20"/>
          <w:szCs w:val="20"/>
        </w:rPr>
        <w:t xml:space="preserve">, ‘Youth-Adult Differences in the Demand for Unionization: Are American, British, and Canadian Workers All That Different?’ </w:t>
      </w:r>
      <w:proofErr w:type="gramStart"/>
      <w:r w:rsidRPr="00137A86">
        <w:rPr>
          <w:rFonts w:cstheme="minorHAnsi"/>
          <w:sz w:val="20"/>
          <w:szCs w:val="20"/>
        </w:rPr>
        <w:t xml:space="preserve">(2005) 26 </w:t>
      </w:r>
      <w:r w:rsidRPr="00137A86">
        <w:rPr>
          <w:rFonts w:cstheme="minorHAnsi"/>
          <w:i/>
          <w:iCs/>
          <w:sz w:val="20"/>
          <w:szCs w:val="20"/>
        </w:rPr>
        <w:t xml:space="preserve">Journal of </w:t>
      </w:r>
      <w:proofErr w:type="spellStart"/>
      <w:r w:rsidRPr="00137A86">
        <w:rPr>
          <w:rFonts w:cstheme="minorHAnsi"/>
          <w:i/>
          <w:iCs/>
          <w:sz w:val="20"/>
          <w:szCs w:val="20"/>
        </w:rPr>
        <w:t>Labor</w:t>
      </w:r>
      <w:proofErr w:type="spellEnd"/>
      <w:r w:rsidRPr="00137A86">
        <w:rPr>
          <w:rFonts w:cstheme="minorHAnsi"/>
          <w:i/>
          <w:iCs/>
          <w:sz w:val="20"/>
          <w:szCs w:val="20"/>
        </w:rPr>
        <w:t xml:space="preserve"> Research; </w:t>
      </w:r>
      <w:r w:rsidRPr="00137A86">
        <w:rPr>
          <w:rFonts w:cstheme="minorHAnsi"/>
          <w:iCs/>
          <w:sz w:val="20"/>
          <w:szCs w:val="20"/>
        </w:rPr>
        <w:t>P.</w:t>
      </w:r>
      <w:r w:rsidRPr="00137A86">
        <w:rPr>
          <w:rFonts w:cstheme="minorHAnsi"/>
          <w:i/>
          <w:iCs/>
          <w:sz w:val="20"/>
          <w:szCs w:val="20"/>
        </w:rPr>
        <w:t xml:space="preserve"> </w:t>
      </w:r>
      <w:r w:rsidRPr="00137A86">
        <w:rPr>
          <w:rFonts w:cstheme="minorHAnsi"/>
          <w:sz w:val="20"/>
          <w:szCs w:val="20"/>
        </w:rPr>
        <w:t xml:space="preserve">Haynes, P. Boxall and K. </w:t>
      </w:r>
      <w:proofErr w:type="spellStart"/>
      <w:r w:rsidRPr="00137A86">
        <w:rPr>
          <w:rFonts w:cstheme="minorHAnsi"/>
          <w:sz w:val="20"/>
          <w:szCs w:val="20"/>
        </w:rPr>
        <w:t>Macky</w:t>
      </w:r>
      <w:proofErr w:type="spellEnd"/>
      <w:r w:rsidRPr="00137A86">
        <w:rPr>
          <w:rFonts w:cstheme="minorHAnsi"/>
          <w:sz w:val="20"/>
          <w:szCs w:val="20"/>
        </w:rPr>
        <w:t xml:space="preserve"> ‘Switched Off, Beyond Reach or Blank Slates?</w:t>
      </w:r>
      <w:proofErr w:type="gramEnd"/>
      <w:r w:rsidRPr="00137A86">
        <w:rPr>
          <w:rFonts w:cstheme="minorHAnsi"/>
          <w:sz w:val="20"/>
          <w:szCs w:val="20"/>
        </w:rPr>
        <w:t xml:space="preserve"> Young Workers and Trade Unions in New Zealand’ (Noosa: Proceedings of the 18</w:t>
      </w:r>
      <w:r w:rsidRPr="00137A86">
        <w:rPr>
          <w:rFonts w:cstheme="minorHAnsi"/>
          <w:sz w:val="20"/>
          <w:szCs w:val="20"/>
          <w:vertAlign w:val="superscript"/>
        </w:rPr>
        <w:t>th</w:t>
      </w:r>
      <w:r w:rsidRPr="00137A86">
        <w:rPr>
          <w:rFonts w:cstheme="minorHAnsi"/>
          <w:sz w:val="20"/>
          <w:szCs w:val="20"/>
        </w:rPr>
        <w:t xml:space="preserve"> AIRAANZ Conference, 2004); J. </w:t>
      </w:r>
      <w:proofErr w:type="spellStart"/>
      <w:r w:rsidRPr="00137A86">
        <w:rPr>
          <w:rFonts w:cstheme="minorHAnsi"/>
          <w:sz w:val="20"/>
          <w:szCs w:val="20"/>
          <w:lang w:val="en-NZ"/>
        </w:rPr>
        <w:t>Teicher</w:t>
      </w:r>
      <w:proofErr w:type="spellEnd"/>
      <w:r w:rsidRPr="00137A86">
        <w:rPr>
          <w:rFonts w:cstheme="minorHAnsi"/>
          <w:sz w:val="20"/>
          <w:szCs w:val="20"/>
          <w:lang w:val="en-NZ"/>
        </w:rPr>
        <w:t xml:space="preserve">, P. Holland, A. </w:t>
      </w:r>
      <w:proofErr w:type="spellStart"/>
      <w:r w:rsidRPr="00137A86">
        <w:rPr>
          <w:rFonts w:cstheme="minorHAnsi"/>
          <w:sz w:val="20"/>
          <w:szCs w:val="20"/>
        </w:rPr>
        <w:t>Pyman</w:t>
      </w:r>
      <w:proofErr w:type="spellEnd"/>
      <w:r w:rsidRPr="00137A86">
        <w:rPr>
          <w:rFonts w:cstheme="minorHAnsi"/>
          <w:sz w:val="20"/>
          <w:szCs w:val="20"/>
        </w:rPr>
        <w:t xml:space="preserve">, and B. Cooper, ‘Australian Workers: Finding Their Voice?’ in R. Freeman, P. Boxall and P. Haynes (eds.) </w:t>
      </w:r>
      <w:r w:rsidRPr="00137A86">
        <w:rPr>
          <w:rFonts w:cstheme="minorHAnsi"/>
          <w:i/>
          <w:iCs/>
          <w:sz w:val="20"/>
          <w:szCs w:val="20"/>
        </w:rPr>
        <w:t>What Workers Say? Employee Voice in the Anglo-American Workplace</w:t>
      </w:r>
      <w:r w:rsidRPr="00137A86">
        <w:rPr>
          <w:rFonts w:cstheme="minorHAnsi"/>
          <w:sz w:val="20"/>
          <w:szCs w:val="20"/>
        </w:rPr>
        <w:t>, (New York: Cornell University Press, 2007).</w:t>
      </w:r>
    </w:p>
  </w:footnote>
  <w:footnote w:id="6">
    <w:p w14:paraId="08654C0F" w14:textId="403D70D0" w:rsidR="008B6308" w:rsidRPr="00CD47A6" w:rsidRDefault="008B6308" w:rsidP="00137A86">
      <w:pPr>
        <w:pStyle w:val="FootnoteText"/>
        <w:rPr>
          <w:rFonts w:cstheme="minorHAnsi"/>
          <w:lang w:val="fr-FR"/>
        </w:rPr>
      </w:pPr>
      <w:r w:rsidRPr="00137A86">
        <w:rPr>
          <w:rStyle w:val="FootnoteReference"/>
          <w:rFonts w:cstheme="minorHAnsi"/>
        </w:rPr>
        <w:footnoteRef/>
      </w:r>
      <w:r w:rsidRPr="00CD47A6">
        <w:rPr>
          <w:rFonts w:cstheme="minorHAnsi"/>
          <w:lang w:val="fr-FR"/>
        </w:rPr>
        <w:t xml:space="preserve"> </w:t>
      </w:r>
      <w:proofErr w:type="spellStart"/>
      <w:r w:rsidRPr="00CD47A6">
        <w:rPr>
          <w:rFonts w:cstheme="minorHAnsi"/>
          <w:lang w:val="fr-FR"/>
        </w:rPr>
        <w:t>Bryson</w:t>
      </w:r>
      <w:proofErr w:type="spellEnd"/>
      <w:r w:rsidRPr="00CD47A6">
        <w:rPr>
          <w:rFonts w:cstheme="minorHAnsi"/>
          <w:lang w:val="fr-FR"/>
        </w:rPr>
        <w:t xml:space="preserve"> </w:t>
      </w:r>
      <w:r w:rsidRPr="00CD47A6">
        <w:rPr>
          <w:rFonts w:cstheme="minorHAnsi"/>
          <w:i/>
          <w:lang w:val="fr-FR"/>
        </w:rPr>
        <w:t>et al</w:t>
      </w:r>
      <w:r w:rsidRPr="00CD47A6">
        <w:rPr>
          <w:rFonts w:cstheme="minorHAnsi"/>
          <w:lang w:val="fr-FR"/>
        </w:rPr>
        <w:t xml:space="preserve"> </w:t>
      </w:r>
      <w:proofErr w:type="spellStart"/>
      <w:r w:rsidRPr="00CD47A6">
        <w:rPr>
          <w:rFonts w:cstheme="minorHAnsi"/>
          <w:lang w:val="fr-FR"/>
        </w:rPr>
        <w:t>above</w:t>
      </w:r>
      <w:proofErr w:type="spellEnd"/>
      <w:r w:rsidRPr="00CD47A6">
        <w:rPr>
          <w:rFonts w:cstheme="minorHAnsi"/>
          <w:lang w:val="fr-FR"/>
        </w:rPr>
        <w:t xml:space="preserve"> n.5; </w:t>
      </w:r>
      <w:proofErr w:type="spellStart"/>
      <w:r w:rsidRPr="00CD47A6">
        <w:rPr>
          <w:rFonts w:cstheme="minorHAnsi"/>
          <w:lang w:val="fr-FR"/>
        </w:rPr>
        <w:t>Haynes</w:t>
      </w:r>
      <w:proofErr w:type="spellEnd"/>
      <w:r w:rsidRPr="00CD47A6">
        <w:rPr>
          <w:rFonts w:cstheme="minorHAnsi"/>
          <w:lang w:val="fr-FR"/>
        </w:rPr>
        <w:t xml:space="preserve"> </w:t>
      </w:r>
      <w:r w:rsidRPr="00CD47A6">
        <w:rPr>
          <w:rFonts w:cstheme="minorHAnsi"/>
          <w:i/>
          <w:lang w:val="fr-FR"/>
        </w:rPr>
        <w:t xml:space="preserve">et al </w:t>
      </w:r>
      <w:proofErr w:type="spellStart"/>
      <w:r w:rsidRPr="00CD47A6">
        <w:rPr>
          <w:rFonts w:cstheme="minorHAnsi"/>
          <w:lang w:val="fr-FR"/>
        </w:rPr>
        <w:t>above</w:t>
      </w:r>
      <w:proofErr w:type="spellEnd"/>
      <w:r w:rsidRPr="00CD47A6">
        <w:rPr>
          <w:rFonts w:cstheme="minorHAnsi"/>
          <w:lang w:val="fr-FR"/>
        </w:rPr>
        <w:t xml:space="preserve"> n.5.</w:t>
      </w:r>
    </w:p>
  </w:footnote>
  <w:footnote w:id="7">
    <w:p w14:paraId="76DC35CC" w14:textId="35F56C2F" w:rsidR="008B6308" w:rsidRPr="00137A86" w:rsidRDefault="008B6308" w:rsidP="00137A86">
      <w:pPr>
        <w:pStyle w:val="Heading1"/>
        <w:numPr>
          <w:ilvl w:val="0"/>
          <w:numId w:val="0"/>
        </w:numPr>
        <w:rPr>
          <w:rFonts w:asciiTheme="minorHAnsi" w:hAnsiTheme="minorHAnsi" w:cstheme="minorHAnsi"/>
          <w:b w:val="0"/>
          <w:sz w:val="20"/>
        </w:rPr>
      </w:pPr>
      <w:r w:rsidRPr="00137A86">
        <w:rPr>
          <w:rStyle w:val="FootnoteReference"/>
          <w:rFonts w:asciiTheme="minorHAnsi" w:hAnsiTheme="minorHAnsi" w:cstheme="minorHAnsi"/>
          <w:b w:val="0"/>
          <w:sz w:val="20"/>
        </w:rPr>
        <w:footnoteRef/>
      </w:r>
      <w:r w:rsidRPr="00137A86">
        <w:rPr>
          <w:rFonts w:asciiTheme="minorHAnsi" w:hAnsiTheme="minorHAnsi" w:cstheme="minorHAnsi"/>
          <w:b w:val="0"/>
          <w:sz w:val="20"/>
        </w:rPr>
        <w:t xml:space="preserve"> G. Gall, ‘British employer resistance to trade union recognition’ (2004) 14 </w:t>
      </w:r>
      <w:r w:rsidRPr="00137A86">
        <w:rPr>
          <w:rFonts w:asciiTheme="minorHAnsi" w:hAnsiTheme="minorHAnsi" w:cstheme="minorHAnsi"/>
          <w:b w:val="0"/>
          <w:i/>
          <w:sz w:val="20"/>
        </w:rPr>
        <w:t>Human Resource Management Journal</w:t>
      </w:r>
      <w:r w:rsidRPr="00137A86">
        <w:rPr>
          <w:rFonts w:asciiTheme="minorHAnsi" w:hAnsiTheme="minorHAnsi" w:cstheme="minorHAnsi"/>
          <w:b w:val="0"/>
          <w:sz w:val="20"/>
        </w:rPr>
        <w:t>.</w:t>
      </w:r>
    </w:p>
  </w:footnote>
  <w:footnote w:id="8">
    <w:p w14:paraId="7D1683A4" w14:textId="550E1EB9" w:rsidR="008B6308" w:rsidRPr="00137A86" w:rsidRDefault="008B6308" w:rsidP="00137A86">
      <w:pPr>
        <w:spacing w:after="0" w:line="240" w:lineRule="auto"/>
        <w:jc w:val="both"/>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D. </w:t>
      </w:r>
      <w:proofErr w:type="spellStart"/>
      <w:r w:rsidRPr="00137A86">
        <w:rPr>
          <w:rFonts w:cstheme="minorHAnsi"/>
          <w:sz w:val="20"/>
          <w:szCs w:val="20"/>
        </w:rPr>
        <w:t>Peetz</w:t>
      </w:r>
      <w:proofErr w:type="spellEnd"/>
      <w:r w:rsidRPr="00137A86">
        <w:rPr>
          <w:rFonts w:cstheme="minorHAnsi"/>
          <w:sz w:val="20"/>
          <w:szCs w:val="20"/>
        </w:rPr>
        <w:t xml:space="preserve">, </w:t>
      </w:r>
      <w:r w:rsidRPr="00137A86">
        <w:rPr>
          <w:rFonts w:cstheme="minorHAnsi"/>
          <w:i/>
          <w:iCs/>
          <w:sz w:val="20"/>
          <w:szCs w:val="20"/>
        </w:rPr>
        <w:t>Unions in a Contrary World: The Future of the Australian Trade Union Movement,</w:t>
      </w:r>
      <w:r w:rsidRPr="00137A86">
        <w:rPr>
          <w:rFonts w:cstheme="minorHAnsi"/>
          <w:sz w:val="20"/>
          <w:szCs w:val="20"/>
        </w:rPr>
        <w:t xml:space="preserve"> (Cambridge, UK: Cambridge University Press, 1998). </w:t>
      </w:r>
    </w:p>
  </w:footnote>
  <w:footnote w:id="9">
    <w:p w14:paraId="20368AE5" w14:textId="25A20811" w:rsidR="008B6308" w:rsidRPr="00137A86" w:rsidRDefault="008B6308" w:rsidP="00137A86">
      <w:pPr>
        <w:spacing w:after="0" w:line="240" w:lineRule="auto"/>
        <w:jc w:val="both"/>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R. </w:t>
      </w:r>
      <w:proofErr w:type="spellStart"/>
      <w:r w:rsidRPr="00137A86">
        <w:rPr>
          <w:rFonts w:cstheme="minorHAnsi"/>
          <w:sz w:val="20"/>
          <w:szCs w:val="20"/>
        </w:rPr>
        <w:t>Undy</w:t>
      </w:r>
      <w:proofErr w:type="spellEnd"/>
      <w:r w:rsidRPr="00137A86">
        <w:rPr>
          <w:rFonts w:cstheme="minorHAnsi"/>
          <w:sz w:val="20"/>
          <w:szCs w:val="20"/>
        </w:rPr>
        <w:t xml:space="preserve">, P. </w:t>
      </w:r>
      <w:proofErr w:type="spellStart"/>
      <w:r w:rsidRPr="00137A86">
        <w:rPr>
          <w:rFonts w:cstheme="minorHAnsi"/>
          <w:sz w:val="20"/>
          <w:szCs w:val="20"/>
        </w:rPr>
        <w:t>Fosh</w:t>
      </w:r>
      <w:proofErr w:type="spellEnd"/>
      <w:r w:rsidRPr="00137A86">
        <w:rPr>
          <w:rFonts w:cstheme="minorHAnsi"/>
          <w:sz w:val="20"/>
          <w:szCs w:val="20"/>
        </w:rPr>
        <w:t xml:space="preserve">, H. Morris, P. Smith, and R. Martin, </w:t>
      </w:r>
      <w:r w:rsidRPr="00137A86">
        <w:rPr>
          <w:rFonts w:cstheme="minorHAnsi"/>
          <w:i/>
          <w:sz w:val="20"/>
          <w:szCs w:val="20"/>
        </w:rPr>
        <w:t>Managing the Unions: The Impact of Legislation on Trade Unions' Behaviour</w:t>
      </w:r>
      <w:r w:rsidRPr="00137A86">
        <w:rPr>
          <w:rFonts w:cstheme="minorHAnsi"/>
          <w:sz w:val="20"/>
          <w:szCs w:val="20"/>
        </w:rPr>
        <w:t xml:space="preserve"> (Oxford: Oxford University Press, 1996).</w:t>
      </w:r>
    </w:p>
  </w:footnote>
  <w:footnote w:id="10">
    <w:p w14:paraId="4183D6A6" w14:textId="3C2EE9D8" w:rsidR="008B6308" w:rsidRPr="00137A86" w:rsidRDefault="008B6308" w:rsidP="00137A86">
      <w:pPr>
        <w:pStyle w:val="FootnoteText"/>
        <w:rPr>
          <w:rFonts w:cstheme="minorHAnsi"/>
        </w:rPr>
      </w:pPr>
      <w:r w:rsidRPr="00137A86">
        <w:rPr>
          <w:rStyle w:val="FootnoteReference"/>
          <w:rFonts w:cstheme="minorHAnsi"/>
        </w:rPr>
        <w:footnoteRef/>
      </w:r>
      <w:r w:rsidR="00137A86">
        <w:rPr>
          <w:rFonts w:cstheme="minorHAnsi"/>
        </w:rPr>
        <w:t xml:space="preserve"> </w:t>
      </w:r>
      <w:r w:rsidRPr="00137A86">
        <w:rPr>
          <w:rFonts w:cstheme="minorHAnsi"/>
        </w:rPr>
        <w:t xml:space="preserve">G. Gall, ‘Union Recognition in Britain: the end of legally-induced voluntarism?’ </w:t>
      </w:r>
      <w:proofErr w:type="gramStart"/>
      <w:r w:rsidRPr="00137A86">
        <w:rPr>
          <w:rFonts w:cstheme="minorHAnsi"/>
        </w:rPr>
        <w:t>(2012) 41.</w:t>
      </w:r>
      <w:proofErr w:type="gramEnd"/>
      <w:r w:rsidRPr="00137A86">
        <w:rPr>
          <w:rFonts w:cstheme="minorHAnsi"/>
        </w:rPr>
        <w:t xml:space="preserve"> </w:t>
      </w:r>
      <w:proofErr w:type="gramStart"/>
      <w:r w:rsidRPr="00137A86">
        <w:rPr>
          <w:rFonts w:cstheme="minorHAnsi"/>
          <w:i/>
        </w:rPr>
        <w:t>Industrial Law Journal</w:t>
      </w:r>
      <w:r w:rsidRPr="00137A86">
        <w:rPr>
          <w:rFonts w:cstheme="minorHAnsi"/>
        </w:rPr>
        <w:t>.</w:t>
      </w:r>
      <w:proofErr w:type="gramEnd"/>
    </w:p>
  </w:footnote>
  <w:footnote w:id="11">
    <w:p w14:paraId="16CA9D44" w14:textId="1C59D7E4" w:rsidR="008B6308" w:rsidRPr="00137A86" w:rsidRDefault="008B6308" w:rsidP="00137A86">
      <w:pPr>
        <w:spacing w:after="0" w:line="240" w:lineRule="auto"/>
        <w:jc w:val="both"/>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G. Gall and J. </w:t>
      </w:r>
      <w:proofErr w:type="spellStart"/>
      <w:r w:rsidRPr="00137A86">
        <w:rPr>
          <w:rFonts w:cstheme="minorHAnsi"/>
          <w:sz w:val="20"/>
          <w:szCs w:val="20"/>
        </w:rPr>
        <w:t>Fiorito</w:t>
      </w:r>
      <w:proofErr w:type="spellEnd"/>
      <w:r w:rsidRPr="00137A86">
        <w:rPr>
          <w:rFonts w:cstheme="minorHAnsi"/>
          <w:sz w:val="20"/>
          <w:szCs w:val="20"/>
        </w:rPr>
        <w:t xml:space="preserve">, ‘The forward march of labour halted? Or what is to be done with ‘union organising’? </w:t>
      </w:r>
      <w:proofErr w:type="gramStart"/>
      <w:r w:rsidRPr="00137A86">
        <w:rPr>
          <w:rFonts w:cstheme="minorHAnsi"/>
          <w:sz w:val="20"/>
          <w:szCs w:val="20"/>
        </w:rPr>
        <w:t xml:space="preserve">The cases of Britain and the US’ (2011) 35 </w:t>
      </w:r>
      <w:r w:rsidRPr="00137A86">
        <w:rPr>
          <w:rFonts w:cstheme="minorHAnsi"/>
          <w:i/>
          <w:sz w:val="20"/>
          <w:szCs w:val="20"/>
        </w:rPr>
        <w:t>Capital and Class</w:t>
      </w:r>
      <w:r w:rsidRPr="00137A86">
        <w:rPr>
          <w:rFonts w:cstheme="minorHAnsi"/>
          <w:sz w:val="20"/>
          <w:szCs w:val="20"/>
        </w:rPr>
        <w:t>.</w:t>
      </w:r>
      <w:proofErr w:type="gramEnd"/>
      <w:r w:rsidRPr="00137A86">
        <w:rPr>
          <w:rFonts w:cstheme="minorHAnsi"/>
          <w:sz w:val="20"/>
          <w:szCs w:val="20"/>
        </w:rPr>
        <w:t xml:space="preserve"> </w:t>
      </w:r>
    </w:p>
  </w:footnote>
  <w:footnote w:id="12">
    <w:p w14:paraId="3561218B" w14:textId="6D321D4D" w:rsidR="008B6308" w:rsidRPr="00137A86" w:rsidRDefault="008B6308" w:rsidP="00137A86">
      <w:pPr>
        <w:spacing w:after="0" w:line="240" w:lineRule="auto"/>
        <w:jc w:val="both"/>
        <w:rPr>
          <w:rFonts w:cstheme="minorHAnsi"/>
          <w:sz w:val="20"/>
          <w:szCs w:val="20"/>
        </w:rPr>
      </w:pPr>
      <w:r w:rsidRPr="00137A86">
        <w:rPr>
          <w:rStyle w:val="FootnoteReference"/>
          <w:rFonts w:cstheme="minorHAnsi"/>
          <w:sz w:val="20"/>
          <w:szCs w:val="20"/>
        </w:rPr>
        <w:footnoteRef/>
      </w:r>
      <w:r w:rsidR="00137A86">
        <w:rPr>
          <w:rFonts w:cstheme="minorHAnsi"/>
          <w:sz w:val="20"/>
          <w:szCs w:val="20"/>
        </w:rPr>
        <w:t xml:space="preserve"> </w:t>
      </w:r>
      <w:r w:rsidRPr="00137A86">
        <w:rPr>
          <w:rFonts w:cstheme="minorHAnsi"/>
          <w:sz w:val="20"/>
          <w:szCs w:val="20"/>
        </w:rPr>
        <w:t>R. Stutz, ‘</w:t>
      </w:r>
      <w:r w:rsidRPr="00137A86">
        <w:rPr>
          <w:rStyle w:val="Emphasis"/>
          <w:rFonts w:cstheme="minorHAnsi"/>
          <w:bCs/>
          <w:i w:val="0"/>
          <w:iCs w:val="0"/>
          <w:sz w:val="20"/>
          <w:szCs w:val="20"/>
          <w:shd w:val="clear" w:color="auto" w:fill="FFFFFF"/>
        </w:rPr>
        <w:t>Employee organizations</w:t>
      </w:r>
      <w:r w:rsidRPr="00137A86">
        <w:rPr>
          <w:rFonts w:cstheme="minorHAnsi"/>
          <w:sz w:val="20"/>
          <w:szCs w:val="20"/>
          <w:shd w:val="clear" w:color="auto" w:fill="FFFFFF"/>
        </w:rPr>
        <w:t> in </w:t>
      </w:r>
      <w:r w:rsidRPr="00137A86">
        <w:rPr>
          <w:rStyle w:val="Emphasis"/>
          <w:rFonts w:cstheme="minorHAnsi"/>
          <w:bCs/>
          <w:i w:val="0"/>
          <w:iCs w:val="0"/>
          <w:sz w:val="20"/>
          <w:szCs w:val="20"/>
          <w:shd w:val="clear" w:color="auto" w:fill="FFFFFF"/>
        </w:rPr>
        <w:t>public service’ m</w:t>
      </w:r>
      <w:r w:rsidRPr="00137A86">
        <w:rPr>
          <w:rFonts w:cstheme="minorHAnsi"/>
          <w:sz w:val="20"/>
          <w:szCs w:val="20"/>
          <w:shd w:val="clear" w:color="auto" w:fill="FFFFFF"/>
        </w:rPr>
        <w:t xml:space="preserve">imeograph bulletin (Storrs: </w:t>
      </w:r>
      <w:proofErr w:type="spellStart"/>
      <w:r w:rsidRPr="00137A86">
        <w:rPr>
          <w:rFonts w:cstheme="minorHAnsi"/>
          <w:sz w:val="20"/>
          <w:szCs w:val="20"/>
          <w:shd w:val="clear" w:color="auto" w:fill="FFFFFF"/>
        </w:rPr>
        <w:t>Labor</w:t>
      </w:r>
      <w:proofErr w:type="spellEnd"/>
      <w:r w:rsidRPr="00137A86">
        <w:rPr>
          <w:rFonts w:cstheme="minorHAnsi"/>
          <w:sz w:val="20"/>
          <w:szCs w:val="20"/>
          <w:shd w:val="clear" w:color="auto" w:fill="FFFFFF"/>
        </w:rPr>
        <w:t xml:space="preserve">-Management Institute, University of Connecticut, 1960); K. </w:t>
      </w:r>
      <w:r w:rsidRPr="00137A86">
        <w:rPr>
          <w:rFonts w:cstheme="minorHAnsi"/>
          <w:sz w:val="20"/>
          <w:szCs w:val="20"/>
        </w:rPr>
        <w:t xml:space="preserve">Ewing and J. Hendy, </w:t>
      </w:r>
      <w:r w:rsidRPr="00137A86">
        <w:rPr>
          <w:rFonts w:cstheme="minorHAnsi"/>
          <w:i/>
          <w:sz w:val="20"/>
          <w:szCs w:val="20"/>
        </w:rPr>
        <w:t>Protect the right to strike: kill the bill</w:t>
      </w:r>
      <w:r w:rsidRPr="00137A86">
        <w:rPr>
          <w:rFonts w:cstheme="minorHAnsi"/>
          <w:sz w:val="20"/>
          <w:szCs w:val="20"/>
        </w:rPr>
        <w:t xml:space="preserve"> (Liverpool: Institute of Employment Rights, 2015).</w:t>
      </w:r>
    </w:p>
  </w:footnote>
  <w:footnote w:id="13">
    <w:p w14:paraId="26D878F1" w14:textId="3727C89E" w:rsidR="008B6308" w:rsidRPr="00137A86" w:rsidRDefault="008B6308" w:rsidP="00137A86">
      <w:pPr>
        <w:spacing w:after="0" w:line="240" w:lineRule="auto"/>
        <w:jc w:val="both"/>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P. </w:t>
      </w:r>
      <w:proofErr w:type="spellStart"/>
      <w:r w:rsidRPr="00137A86">
        <w:rPr>
          <w:rFonts w:cstheme="minorHAnsi"/>
          <w:sz w:val="20"/>
          <w:szCs w:val="20"/>
        </w:rPr>
        <w:t>Weiler</w:t>
      </w:r>
      <w:proofErr w:type="spellEnd"/>
      <w:r w:rsidRPr="00137A86">
        <w:rPr>
          <w:rFonts w:cstheme="minorHAnsi"/>
          <w:sz w:val="20"/>
          <w:szCs w:val="20"/>
        </w:rPr>
        <w:t xml:space="preserve">, </w:t>
      </w:r>
      <w:r w:rsidRPr="00137A86">
        <w:rPr>
          <w:rFonts w:cstheme="minorHAnsi"/>
          <w:i/>
          <w:sz w:val="20"/>
          <w:szCs w:val="20"/>
        </w:rPr>
        <w:t xml:space="preserve">Governing the Workplace: The future of </w:t>
      </w:r>
      <w:proofErr w:type="spellStart"/>
      <w:r w:rsidRPr="00137A86">
        <w:rPr>
          <w:rFonts w:cstheme="minorHAnsi"/>
          <w:i/>
          <w:sz w:val="20"/>
          <w:szCs w:val="20"/>
        </w:rPr>
        <w:t>labor</w:t>
      </w:r>
      <w:proofErr w:type="spellEnd"/>
      <w:r w:rsidRPr="00137A86">
        <w:rPr>
          <w:rFonts w:cstheme="minorHAnsi"/>
          <w:i/>
          <w:sz w:val="20"/>
          <w:szCs w:val="20"/>
        </w:rPr>
        <w:t xml:space="preserve"> and employment law</w:t>
      </w:r>
      <w:r w:rsidRPr="00137A86">
        <w:rPr>
          <w:rFonts w:cstheme="minorHAnsi"/>
          <w:sz w:val="20"/>
          <w:szCs w:val="20"/>
        </w:rPr>
        <w:t xml:space="preserve"> (Cambridge, MA: </w:t>
      </w:r>
      <w:r w:rsidR="00A04845" w:rsidRPr="00137A86">
        <w:rPr>
          <w:rFonts w:cstheme="minorHAnsi"/>
          <w:sz w:val="20"/>
          <w:szCs w:val="20"/>
        </w:rPr>
        <w:t>Harvard University Press, 1990)</w:t>
      </w:r>
      <w:r w:rsidRPr="00137A86">
        <w:rPr>
          <w:rFonts w:cstheme="minorHAnsi"/>
          <w:sz w:val="20"/>
          <w:szCs w:val="20"/>
        </w:rPr>
        <w:t xml:space="preserve"> 228.</w:t>
      </w:r>
    </w:p>
  </w:footnote>
  <w:footnote w:id="14">
    <w:p w14:paraId="450B864E" w14:textId="221E5FE1" w:rsidR="008B6308" w:rsidRPr="00137A86" w:rsidRDefault="008B6308" w:rsidP="00137A86">
      <w:pPr>
        <w:spacing w:after="0" w:line="240" w:lineRule="auto"/>
        <w:jc w:val="both"/>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See A. Flanders, </w:t>
      </w:r>
      <w:r w:rsidRPr="00137A86">
        <w:rPr>
          <w:rFonts w:cstheme="minorHAnsi"/>
          <w:i/>
          <w:sz w:val="20"/>
          <w:szCs w:val="20"/>
        </w:rPr>
        <w:t>Management and Unions</w:t>
      </w:r>
      <w:r w:rsidRPr="00137A86">
        <w:rPr>
          <w:rFonts w:cstheme="minorHAnsi"/>
          <w:sz w:val="20"/>
          <w:szCs w:val="20"/>
        </w:rPr>
        <w:t xml:space="preserve"> (London: Faber and Faber, 1970)</w:t>
      </w:r>
    </w:p>
  </w:footnote>
  <w:footnote w:id="15">
    <w:p w14:paraId="7BF9CAFE" w14:textId="7B3F4825" w:rsidR="008B6308" w:rsidRPr="00137A86" w:rsidRDefault="008B6308" w:rsidP="00137A86">
      <w:pPr>
        <w:spacing w:after="0" w:line="240" w:lineRule="auto"/>
        <w:jc w:val="both"/>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A. Bryson ‘Working with dinosaurs? Union effectiveness in Britain’ in G. Gall (ed.) </w:t>
      </w:r>
      <w:r w:rsidRPr="00137A86">
        <w:rPr>
          <w:rFonts w:cstheme="minorHAnsi"/>
          <w:i/>
          <w:sz w:val="20"/>
          <w:szCs w:val="20"/>
        </w:rPr>
        <w:t>Union recognition: organising and bargaining outcomes</w:t>
      </w:r>
      <w:r w:rsidRPr="00137A86">
        <w:rPr>
          <w:rFonts w:cstheme="minorHAnsi"/>
          <w:sz w:val="20"/>
          <w:szCs w:val="20"/>
        </w:rPr>
        <w:t xml:space="preserve"> (London: Routledge, 2005).</w:t>
      </w:r>
    </w:p>
  </w:footnote>
  <w:footnote w:id="16">
    <w:p w14:paraId="6EFBFE7B" w14:textId="018A65E3" w:rsidR="008B6308" w:rsidRPr="00137A86" w:rsidRDefault="008B6308" w:rsidP="00137A86">
      <w:pPr>
        <w:spacing w:after="0" w:line="240" w:lineRule="auto"/>
        <w:jc w:val="both"/>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G. Gall and J. </w:t>
      </w:r>
      <w:proofErr w:type="spellStart"/>
      <w:r w:rsidRPr="00137A86">
        <w:rPr>
          <w:rFonts w:cstheme="minorHAnsi"/>
          <w:sz w:val="20"/>
          <w:szCs w:val="20"/>
        </w:rPr>
        <w:t>Fiorito</w:t>
      </w:r>
      <w:proofErr w:type="spellEnd"/>
      <w:r w:rsidRPr="00137A86">
        <w:rPr>
          <w:rFonts w:cstheme="minorHAnsi"/>
          <w:sz w:val="20"/>
          <w:szCs w:val="20"/>
        </w:rPr>
        <w:t xml:space="preserve">, ‘Union Effectiveness: In Search of the Holy Grail’ (2016) 37 </w:t>
      </w:r>
      <w:r w:rsidRPr="00137A86">
        <w:rPr>
          <w:rFonts w:cstheme="minorHAnsi"/>
          <w:i/>
          <w:sz w:val="20"/>
          <w:szCs w:val="20"/>
          <w:lang w:val="en-US"/>
        </w:rPr>
        <w:t>Economic and Industrial Democracy</w:t>
      </w:r>
      <w:r w:rsidRPr="00137A86">
        <w:rPr>
          <w:rFonts w:cstheme="minorHAnsi"/>
          <w:sz w:val="20"/>
          <w:szCs w:val="20"/>
        </w:rPr>
        <w:t>.</w:t>
      </w:r>
    </w:p>
  </w:footnote>
  <w:footnote w:id="17">
    <w:p w14:paraId="7941E564" w14:textId="71676EB4" w:rsidR="008B6308" w:rsidRPr="00137A86" w:rsidRDefault="008B6308" w:rsidP="00137A86">
      <w:pPr>
        <w:shd w:val="clear" w:color="auto" w:fill="FFFFFF"/>
        <w:spacing w:after="0" w:line="240" w:lineRule="auto"/>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Bryson </w:t>
      </w:r>
      <w:r w:rsidRPr="00137A86">
        <w:rPr>
          <w:rFonts w:cstheme="minorHAnsi"/>
          <w:i/>
          <w:sz w:val="20"/>
          <w:szCs w:val="20"/>
        </w:rPr>
        <w:t>et al</w:t>
      </w:r>
      <w:r w:rsidRPr="00137A86">
        <w:rPr>
          <w:rFonts w:cstheme="minorHAnsi"/>
          <w:sz w:val="20"/>
          <w:szCs w:val="20"/>
        </w:rPr>
        <w:t xml:space="preserve"> above n.5</w:t>
      </w:r>
      <w:r w:rsidR="007A0180" w:rsidRPr="00137A86">
        <w:rPr>
          <w:rFonts w:cstheme="minorHAnsi"/>
          <w:sz w:val="20"/>
          <w:szCs w:val="20"/>
        </w:rPr>
        <w:t xml:space="preserve">; A. </w:t>
      </w:r>
      <w:r w:rsidR="007A0180" w:rsidRPr="00137A86">
        <w:rPr>
          <w:rFonts w:eastAsia="Times New Roman" w:cstheme="minorHAnsi"/>
          <w:color w:val="000000"/>
          <w:sz w:val="20"/>
          <w:szCs w:val="20"/>
          <w:shd w:val="clear" w:color="auto" w:fill="FFFFFF"/>
          <w:lang w:eastAsia="en-GB"/>
        </w:rPr>
        <w:t>Charlwood, ‘</w:t>
      </w:r>
      <w:proofErr w:type="gramStart"/>
      <w:r w:rsidR="007A0180" w:rsidRPr="00137A86">
        <w:rPr>
          <w:rFonts w:eastAsia="Times New Roman" w:cstheme="minorHAnsi"/>
          <w:i/>
          <w:iCs/>
          <w:color w:val="000000"/>
          <w:sz w:val="20"/>
          <w:szCs w:val="20"/>
          <w:shd w:val="clear" w:color="auto" w:fill="FFFFFF"/>
          <w:lang w:eastAsia="en-GB"/>
        </w:rPr>
        <w:t>The</w:t>
      </w:r>
      <w:proofErr w:type="gramEnd"/>
      <w:r w:rsidR="007A0180" w:rsidRPr="00137A86">
        <w:rPr>
          <w:rFonts w:eastAsia="Times New Roman" w:cstheme="minorHAnsi"/>
          <w:i/>
          <w:iCs/>
          <w:color w:val="000000"/>
          <w:sz w:val="20"/>
          <w:szCs w:val="20"/>
          <w:shd w:val="clear" w:color="auto" w:fill="FFFFFF"/>
          <w:lang w:eastAsia="en-GB"/>
        </w:rPr>
        <w:t xml:space="preserve"> anatomy of union decline in Britain: 1990-1998</w:t>
      </w:r>
      <w:r w:rsidR="007A0180" w:rsidRPr="00137A86">
        <w:rPr>
          <w:rFonts w:eastAsia="Times New Roman" w:cstheme="minorHAnsi"/>
          <w:iCs/>
          <w:color w:val="000000"/>
          <w:sz w:val="20"/>
          <w:szCs w:val="20"/>
          <w:shd w:val="clear" w:color="auto" w:fill="FFFFFF"/>
          <w:lang w:eastAsia="en-GB"/>
        </w:rPr>
        <w:t>’, 601 (London:</w:t>
      </w:r>
      <w:r w:rsidR="007A0180" w:rsidRPr="00137A86">
        <w:rPr>
          <w:rFonts w:eastAsia="Times New Roman" w:cstheme="minorHAnsi"/>
          <w:color w:val="000000"/>
          <w:sz w:val="20"/>
          <w:szCs w:val="20"/>
          <w:shd w:val="clear" w:color="auto" w:fill="FFFFFF"/>
          <w:lang w:eastAsia="en-GB"/>
        </w:rPr>
        <w:t xml:space="preserve"> LSE Centre for Economic Performance, 2003); </w:t>
      </w:r>
      <w:r w:rsidRPr="00137A86">
        <w:rPr>
          <w:rFonts w:cstheme="minorHAnsi"/>
          <w:sz w:val="20"/>
          <w:szCs w:val="20"/>
        </w:rPr>
        <w:t xml:space="preserve">R. Freeman, ‘Do workers still want unions? More than ever’ Briefing Paper 182 (New York:, Economic Policy Institute, 2007); </w:t>
      </w:r>
      <w:r w:rsidR="007A0180" w:rsidRPr="00137A86">
        <w:rPr>
          <w:rFonts w:cstheme="minorHAnsi"/>
          <w:sz w:val="20"/>
          <w:szCs w:val="20"/>
          <w:shd w:val="clear" w:color="auto" w:fill="FFFFFF"/>
        </w:rPr>
        <w:t>W. Diamond and R. Freeman, ‘</w:t>
      </w:r>
      <w:hyperlink r:id="rId1" w:tgtFrame="_blank" w:history="1">
        <w:r w:rsidR="007A0180" w:rsidRPr="00137A86">
          <w:rPr>
            <w:rStyle w:val="Hyperlink"/>
            <w:rFonts w:cstheme="minorHAnsi"/>
            <w:color w:val="auto"/>
            <w:sz w:val="20"/>
            <w:szCs w:val="20"/>
            <w:u w:val="none"/>
            <w:shd w:val="clear" w:color="auto" w:fill="FFFFFF"/>
          </w:rPr>
          <w:t>Young Workers and Trade Unions</w:t>
        </w:r>
      </w:hyperlink>
      <w:r w:rsidR="007A0180" w:rsidRPr="00137A86">
        <w:rPr>
          <w:rFonts w:cstheme="minorHAnsi"/>
          <w:sz w:val="20"/>
          <w:szCs w:val="20"/>
          <w:shd w:val="clear" w:color="auto" w:fill="FFFFFF"/>
        </w:rPr>
        <w:t xml:space="preserve">’ in H. Gospel and S. Wood (eds.) </w:t>
      </w:r>
      <w:r w:rsidR="007A0180" w:rsidRPr="00137A86">
        <w:rPr>
          <w:rFonts w:cstheme="minorHAnsi"/>
          <w:i/>
          <w:sz w:val="20"/>
          <w:szCs w:val="20"/>
          <w:shd w:val="clear" w:color="auto" w:fill="FFFFFF"/>
        </w:rPr>
        <w:t>Representing Workers: Union Recognition and Membership in Britain</w:t>
      </w:r>
      <w:r w:rsidR="00137A86">
        <w:rPr>
          <w:rFonts w:cstheme="minorHAnsi"/>
          <w:sz w:val="20"/>
          <w:szCs w:val="20"/>
          <w:shd w:val="clear" w:color="auto" w:fill="FFFFFF"/>
        </w:rPr>
        <w:t xml:space="preserve"> (London: Routledge, 2003)</w:t>
      </w:r>
      <w:r w:rsidR="007A0180" w:rsidRPr="00137A86">
        <w:rPr>
          <w:rFonts w:cstheme="minorHAnsi"/>
          <w:sz w:val="20"/>
          <w:szCs w:val="20"/>
        </w:rPr>
        <w:t xml:space="preserve">; </w:t>
      </w:r>
      <w:r w:rsidRPr="00137A86">
        <w:rPr>
          <w:rFonts w:cstheme="minorHAnsi"/>
          <w:sz w:val="20"/>
          <w:szCs w:val="20"/>
        </w:rPr>
        <w:t xml:space="preserve">R. Freeman and J. Rogers, </w:t>
      </w:r>
      <w:r w:rsidRPr="00137A86">
        <w:rPr>
          <w:rFonts w:cstheme="minorHAnsi"/>
          <w:i/>
          <w:iCs/>
          <w:sz w:val="20"/>
          <w:szCs w:val="20"/>
        </w:rPr>
        <w:t xml:space="preserve">What workers want </w:t>
      </w:r>
      <w:r w:rsidRPr="00137A86">
        <w:rPr>
          <w:rFonts w:cstheme="minorHAnsi"/>
          <w:iCs/>
          <w:sz w:val="20"/>
          <w:szCs w:val="20"/>
        </w:rPr>
        <w:t>(New York:</w:t>
      </w:r>
      <w:r w:rsidRPr="00137A86">
        <w:rPr>
          <w:rFonts w:cstheme="minorHAnsi"/>
          <w:i/>
          <w:iCs/>
          <w:sz w:val="20"/>
          <w:szCs w:val="20"/>
        </w:rPr>
        <w:t xml:space="preserve"> </w:t>
      </w:r>
      <w:r w:rsidRPr="00137A86">
        <w:rPr>
          <w:rFonts w:cstheme="minorHAnsi"/>
          <w:iCs/>
          <w:sz w:val="20"/>
          <w:szCs w:val="20"/>
        </w:rPr>
        <w:t xml:space="preserve">ILR/Cornell/Russell Sage Foundation, 2006); </w:t>
      </w:r>
      <w:r w:rsidRPr="00137A86">
        <w:rPr>
          <w:rFonts w:cstheme="minorHAnsi"/>
          <w:sz w:val="20"/>
          <w:szCs w:val="20"/>
        </w:rPr>
        <w:t xml:space="preserve">Haynes </w:t>
      </w:r>
      <w:r w:rsidRPr="00137A86">
        <w:rPr>
          <w:rFonts w:cstheme="minorHAnsi"/>
          <w:i/>
          <w:sz w:val="20"/>
          <w:szCs w:val="20"/>
        </w:rPr>
        <w:t xml:space="preserve">et al </w:t>
      </w:r>
      <w:r w:rsidRPr="00137A86">
        <w:rPr>
          <w:rFonts w:cstheme="minorHAnsi"/>
          <w:sz w:val="20"/>
          <w:szCs w:val="20"/>
        </w:rPr>
        <w:t xml:space="preserve">above n.5; </w:t>
      </w:r>
      <w:proofErr w:type="spellStart"/>
      <w:r w:rsidRPr="00137A86">
        <w:rPr>
          <w:rFonts w:cstheme="minorHAnsi"/>
          <w:sz w:val="20"/>
          <w:szCs w:val="20"/>
        </w:rPr>
        <w:t>Teicher</w:t>
      </w:r>
      <w:proofErr w:type="spellEnd"/>
      <w:r w:rsidRPr="00137A86">
        <w:rPr>
          <w:rFonts w:cstheme="minorHAnsi"/>
          <w:sz w:val="20"/>
          <w:szCs w:val="20"/>
        </w:rPr>
        <w:t xml:space="preserve"> </w:t>
      </w:r>
      <w:r w:rsidRPr="00137A86">
        <w:rPr>
          <w:rFonts w:cstheme="minorHAnsi"/>
          <w:i/>
          <w:sz w:val="20"/>
          <w:szCs w:val="20"/>
        </w:rPr>
        <w:t>et al.</w:t>
      </w:r>
      <w:r w:rsidRPr="00137A86">
        <w:rPr>
          <w:rFonts w:cstheme="minorHAnsi"/>
          <w:sz w:val="20"/>
          <w:szCs w:val="20"/>
        </w:rPr>
        <w:t xml:space="preserve"> above n. </w:t>
      </w:r>
      <w:r w:rsidR="00365072" w:rsidRPr="00137A86">
        <w:rPr>
          <w:rFonts w:cstheme="minorHAnsi"/>
          <w:sz w:val="20"/>
          <w:szCs w:val="20"/>
        </w:rPr>
        <w:t>5</w:t>
      </w:r>
      <w:r w:rsidRPr="00137A86">
        <w:rPr>
          <w:rFonts w:cstheme="minorHAnsi"/>
          <w:sz w:val="20"/>
          <w:szCs w:val="20"/>
        </w:rPr>
        <w:t xml:space="preserve">; J. Waddington and C. Whitson, ‘Why Do People Join Unions in a Period of Membership Decline?’ </w:t>
      </w:r>
      <w:proofErr w:type="gramStart"/>
      <w:r w:rsidRPr="00137A86">
        <w:rPr>
          <w:rFonts w:cstheme="minorHAnsi"/>
          <w:sz w:val="20"/>
          <w:szCs w:val="20"/>
        </w:rPr>
        <w:t xml:space="preserve">(1997) </w:t>
      </w:r>
      <w:r w:rsidR="00A04845" w:rsidRPr="00137A86">
        <w:rPr>
          <w:rFonts w:cstheme="minorHAnsi"/>
          <w:sz w:val="20"/>
          <w:szCs w:val="20"/>
        </w:rPr>
        <w:t xml:space="preserve">35 </w:t>
      </w:r>
      <w:r w:rsidRPr="00137A86">
        <w:rPr>
          <w:rFonts w:cstheme="minorHAnsi"/>
          <w:i/>
          <w:sz w:val="20"/>
          <w:szCs w:val="20"/>
        </w:rPr>
        <w:t>British Journal of Industrial Relations</w:t>
      </w:r>
      <w:r w:rsidRPr="00137A86">
        <w:rPr>
          <w:rFonts w:cstheme="minorHAnsi"/>
          <w:sz w:val="20"/>
          <w:szCs w:val="20"/>
        </w:rPr>
        <w:t>.</w:t>
      </w:r>
      <w:proofErr w:type="gramEnd"/>
    </w:p>
  </w:footnote>
  <w:footnote w:id="18">
    <w:p w14:paraId="116775DA" w14:textId="362AE827" w:rsidR="008B6308" w:rsidRPr="00137A86" w:rsidRDefault="008B6308" w:rsidP="00137A86">
      <w:pPr>
        <w:spacing w:after="0" w:line="240" w:lineRule="auto"/>
        <w:jc w:val="both"/>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w:t>
      </w:r>
      <w:proofErr w:type="gramStart"/>
      <w:r w:rsidRPr="00137A86">
        <w:rPr>
          <w:rFonts w:cstheme="minorHAnsi"/>
          <w:sz w:val="20"/>
          <w:szCs w:val="20"/>
        </w:rPr>
        <w:t>Freeman above n. 17, 6.</w:t>
      </w:r>
      <w:proofErr w:type="gramEnd"/>
    </w:p>
  </w:footnote>
  <w:footnote w:id="19">
    <w:p w14:paraId="0CFBE0AB" w14:textId="3B15CE38" w:rsidR="008B6308" w:rsidRPr="00137A86" w:rsidRDefault="008B6308" w:rsidP="00137A86">
      <w:pPr>
        <w:spacing w:after="0" w:line="240" w:lineRule="auto"/>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A. </w:t>
      </w:r>
      <w:r w:rsidRPr="00137A86">
        <w:rPr>
          <w:rFonts w:cstheme="minorHAnsi"/>
          <w:sz w:val="20"/>
          <w:szCs w:val="20"/>
          <w:shd w:val="clear" w:color="auto" w:fill="FFFFFF"/>
        </w:rPr>
        <w:t xml:space="preserve">Bryson, and R. Gomez, ‘Why have workers stopped joining unions? </w:t>
      </w:r>
      <w:proofErr w:type="gramStart"/>
      <w:r w:rsidRPr="00137A86">
        <w:rPr>
          <w:rFonts w:cstheme="minorHAnsi"/>
          <w:sz w:val="20"/>
          <w:szCs w:val="20"/>
          <w:shd w:val="clear" w:color="auto" w:fill="FFFFFF"/>
        </w:rPr>
        <w:t>The rise in never membership in Britain</w:t>
      </w:r>
      <w:r w:rsidRPr="00137A86">
        <w:rPr>
          <w:rStyle w:val="Hyperlink"/>
          <w:rFonts w:cstheme="minorHAnsi"/>
          <w:bCs/>
          <w:color w:val="auto"/>
          <w:sz w:val="20"/>
          <w:szCs w:val="20"/>
          <w:u w:val="none"/>
          <w:bdr w:val="none" w:sz="0" w:space="0" w:color="auto" w:frame="1"/>
        </w:rPr>
        <w:t xml:space="preserve">’ (2005) 43, </w:t>
      </w:r>
      <w:r w:rsidRPr="00137A86">
        <w:rPr>
          <w:rFonts w:cstheme="minorHAnsi"/>
          <w:i/>
          <w:iCs/>
          <w:sz w:val="20"/>
          <w:szCs w:val="20"/>
          <w:bdr w:val="none" w:sz="0" w:space="0" w:color="auto" w:frame="1"/>
          <w:shd w:val="clear" w:color="auto" w:fill="FFFFFF"/>
        </w:rPr>
        <w:t xml:space="preserve">British Journal of Industrial Relations </w:t>
      </w:r>
      <w:r w:rsidRPr="00137A86">
        <w:rPr>
          <w:rFonts w:cstheme="minorHAnsi"/>
          <w:sz w:val="20"/>
          <w:szCs w:val="20"/>
        </w:rPr>
        <w:t>87.</w:t>
      </w:r>
      <w:proofErr w:type="gramEnd"/>
    </w:p>
  </w:footnote>
  <w:footnote w:id="20">
    <w:p w14:paraId="444BC1ED" w14:textId="6B4B2A63" w:rsidR="008B6308" w:rsidRPr="00137A86" w:rsidRDefault="008B6308" w:rsidP="00137A86">
      <w:pPr>
        <w:pStyle w:val="FootnoteText"/>
        <w:rPr>
          <w:rFonts w:cstheme="minorHAnsi"/>
        </w:rPr>
      </w:pPr>
      <w:r w:rsidRPr="00137A86">
        <w:rPr>
          <w:rStyle w:val="FootnoteReference"/>
          <w:rFonts w:cstheme="minorHAnsi"/>
        </w:rPr>
        <w:footnoteRef/>
      </w:r>
      <w:r w:rsidRPr="00137A86">
        <w:rPr>
          <w:rFonts w:cstheme="minorHAnsi"/>
        </w:rPr>
        <w:t xml:space="preserve"> L. Cohen and R. Hurd, ‘Fear, conflict, and union organizing’ in K. Bronfenbrenner, S. Friedman, R. Hurd, R. Oswald and R.</w:t>
      </w:r>
      <w:r w:rsidR="00137A86">
        <w:rPr>
          <w:rFonts w:cstheme="minorHAnsi"/>
        </w:rPr>
        <w:t xml:space="preserve"> </w:t>
      </w:r>
      <w:proofErr w:type="spellStart"/>
      <w:r w:rsidRPr="00137A86">
        <w:rPr>
          <w:rFonts w:cstheme="minorHAnsi"/>
        </w:rPr>
        <w:t>Seeber</w:t>
      </w:r>
      <w:proofErr w:type="spellEnd"/>
      <w:r w:rsidRPr="00137A86">
        <w:rPr>
          <w:rFonts w:cstheme="minorHAnsi"/>
        </w:rPr>
        <w:t xml:space="preserve"> (eds.) </w:t>
      </w:r>
      <w:r w:rsidRPr="00137A86">
        <w:rPr>
          <w:rFonts w:cstheme="minorHAnsi"/>
          <w:i/>
        </w:rPr>
        <w:t xml:space="preserve">Organizing to win: New research on union strategies </w:t>
      </w:r>
      <w:r w:rsidRPr="00137A86">
        <w:rPr>
          <w:rFonts w:cstheme="minorHAnsi"/>
        </w:rPr>
        <w:t xml:space="preserve">(Ithaca: ILR Press, 1998); Gall above n. 7; G. Gall, ‘Statutory union recognition provisions as stimulants to employer anti-unionism in three Anglo-Saxon countries’ (2010) 31 </w:t>
      </w:r>
      <w:r w:rsidRPr="00137A86">
        <w:rPr>
          <w:rFonts w:cstheme="minorHAnsi"/>
          <w:i/>
        </w:rPr>
        <w:t>Economic and Industrial Democracy</w:t>
      </w:r>
      <w:r w:rsidRPr="00137A86">
        <w:rPr>
          <w:rFonts w:cstheme="minorHAnsi"/>
        </w:rPr>
        <w:t xml:space="preserve">. </w:t>
      </w:r>
    </w:p>
  </w:footnote>
  <w:footnote w:id="21">
    <w:p w14:paraId="606AA4E4" w14:textId="4C57915E" w:rsidR="008B6308" w:rsidRPr="00137A86" w:rsidRDefault="008B6308" w:rsidP="00137A86">
      <w:pPr>
        <w:spacing w:after="0" w:line="240" w:lineRule="auto"/>
        <w:jc w:val="both"/>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C. Brown and A. Krishna, ‘</w:t>
      </w:r>
      <w:proofErr w:type="gramStart"/>
      <w:r w:rsidRPr="00137A86">
        <w:rPr>
          <w:rFonts w:cstheme="minorHAnsi"/>
          <w:sz w:val="20"/>
          <w:szCs w:val="20"/>
        </w:rPr>
        <w:t>The</w:t>
      </w:r>
      <w:proofErr w:type="gramEnd"/>
      <w:r w:rsidRPr="00137A86">
        <w:rPr>
          <w:rFonts w:cstheme="minorHAnsi"/>
          <w:sz w:val="20"/>
          <w:szCs w:val="20"/>
        </w:rPr>
        <w:t xml:space="preserve"> </w:t>
      </w:r>
      <w:proofErr w:type="spellStart"/>
      <w:r w:rsidRPr="00137A86">
        <w:rPr>
          <w:rFonts w:cstheme="minorHAnsi"/>
          <w:sz w:val="20"/>
          <w:szCs w:val="20"/>
        </w:rPr>
        <w:t>Skeptical</w:t>
      </w:r>
      <w:proofErr w:type="spellEnd"/>
      <w:r w:rsidRPr="00137A86">
        <w:rPr>
          <w:rFonts w:cstheme="minorHAnsi"/>
          <w:sz w:val="20"/>
          <w:szCs w:val="20"/>
        </w:rPr>
        <w:t xml:space="preserve"> Shopper: A Metacognitive Account for the Effects of Default Options on Choice’ (2004) 31 </w:t>
      </w:r>
      <w:r w:rsidRPr="00137A86">
        <w:rPr>
          <w:rFonts w:cstheme="minorHAnsi"/>
          <w:i/>
          <w:iCs/>
          <w:sz w:val="20"/>
          <w:szCs w:val="20"/>
        </w:rPr>
        <w:t>Journal of Consumer Research.</w:t>
      </w:r>
    </w:p>
  </w:footnote>
  <w:footnote w:id="22">
    <w:p w14:paraId="2AF531F2" w14:textId="5B78C2B4" w:rsidR="008B6308" w:rsidRPr="00137A86" w:rsidRDefault="008B6308" w:rsidP="00137A86">
      <w:pPr>
        <w:spacing w:after="0" w:line="240" w:lineRule="auto"/>
        <w:jc w:val="both"/>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S. </w:t>
      </w:r>
      <w:proofErr w:type="spellStart"/>
      <w:r w:rsidRPr="00137A86">
        <w:rPr>
          <w:rFonts w:cstheme="minorHAnsi"/>
          <w:sz w:val="20"/>
          <w:szCs w:val="20"/>
        </w:rPr>
        <w:t>Davidai</w:t>
      </w:r>
      <w:proofErr w:type="spellEnd"/>
      <w:r w:rsidRPr="00137A86">
        <w:rPr>
          <w:rFonts w:cstheme="minorHAnsi"/>
          <w:sz w:val="20"/>
          <w:szCs w:val="20"/>
        </w:rPr>
        <w:t xml:space="preserve">, T. </w:t>
      </w:r>
      <w:proofErr w:type="spellStart"/>
      <w:r w:rsidRPr="00137A86">
        <w:rPr>
          <w:rFonts w:cstheme="minorHAnsi"/>
          <w:sz w:val="20"/>
          <w:szCs w:val="20"/>
        </w:rPr>
        <w:t>Gilovich</w:t>
      </w:r>
      <w:proofErr w:type="spellEnd"/>
      <w:r w:rsidRPr="00137A86">
        <w:rPr>
          <w:rFonts w:cstheme="minorHAnsi"/>
          <w:sz w:val="20"/>
          <w:szCs w:val="20"/>
        </w:rPr>
        <w:t xml:space="preserve">, and L. Ross, ‘The meaning of default options for potential donors’ (2012) 109 </w:t>
      </w:r>
      <w:r w:rsidRPr="00137A86">
        <w:rPr>
          <w:rFonts w:cstheme="minorHAnsi"/>
          <w:i/>
          <w:iCs/>
          <w:sz w:val="20"/>
          <w:szCs w:val="20"/>
        </w:rPr>
        <w:t>Proceedings of the National Academy of Sciences</w:t>
      </w:r>
      <w:r w:rsidRPr="00137A86">
        <w:rPr>
          <w:rFonts w:cstheme="minorHAnsi"/>
          <w:sz w:val="20"/>
          <w:szCs w:val="20"/>
        </w:rPr>
        <w:t xml:space="preserve"> 15201.</w:t>
      </w:r>
    </w:p>
  </w:footnote>
  <w:footnote w:id="23">
    <w:p w14:paraId="10CEF467" w14:textId="234E312B" w:rsidR="008B6308" w:rsidRPr="00137A86" w:rsidRDefault="008B6308" w:rsidP="00137A86">
      <w:pPr>
        <w:spacing w:after="0" w:line="240" w:lineRule="auto"/>
        <w:jc w:val="both"/>
        <w:rPr>
          <w:rFonts w:cstheme="minorHAnsi"/>
          <w:sz w:val="20"/>
          <w:szCs w:val="20"/>
        </w:rPr>
      </w:pPr>
      <w:r w:rsidRPr="00137A86">
        <w:rPr>
          <w:rStyle w:val="FootnoteReference"/>
          <w:rFonts w:cstheme="minorHAnsi"/>
          <w:sz w:val="20"/>
          <w:szCs w:val="20"/>
        </w:rPr>
        <w:footnoteRef/>
      </w:r>
      <w:r w:rsidR="00137A86">
        <w:rPr>
          <w:rFonts w:cstheme="minorHAnsi"/>
          <w:sz w:val="20"/>
          <w:szCs w:val="20"/>
        </w:rPr>
        <w:t xml:space="preserve"> </w:t>
      </w:r>
      <w:r w:rsidRPr="00137A86">
        <w:rPr>
          <w:rFonts w:cstheme="minorHAnsi"/>
          <w:sz w:val="20"/>
          <w:szCs w:val="20"/>
        </w:rPr>
        <w:t xml:space="preserve">R. </w:t>
      </w:r>
      <w:proofErr w:type="spellStart"/>
      <w:r w:rsidRPr="00137A86">
        <w:rPr>
          <w:rFonts w:cstheme="minorHAnsi"/>
          <w:sz w:val="20"/>
          <w:szCs w:val="20"/>
        </w:rPr>
        <w:t>Thaler</w:t>
      </w:r>
      <w:proofErr w:type="spellEnd"/>
      <w:r w:rsidRPr="00137A86">
        <w:rPr>
          <w:rFonts w:cstheme="minorHAnsi"/>
          <w:sz w:val="20"/>
          <w:szCs w:val="20"/>
        </w:rPr>
        <w:t xml:space="preserve"> and C. </w:t>
      </w:r>
      <w:proofErr w:type="spellStart"/>
      <w:proofErr w:type="gramStart"/>
      <w:r w:rsidRPr="00137A86">
        <w:rPr>
          <w:rFonts w:cstheme="minorHAnsi"/>
          <w:sz w:val="20"/>
          <w:szCs w:val="20"/>
        </w:rPr>
        <w:t>Sunstein</w:t>
      </w:r>
      <w:proofErr w:type="spellEnd"/>
      <w:r w:rsidRPr="00137A86">
        <w:rPr>
          <w:rFonts w:cstheme="minorHAnsi"/>
          <w:sz w:val="20"/>
          <w:szCs w:val="20"/>
        </w:rPr>
        <w:t>,</w:t>
      </w:r>
      <w:proofErr w:type="gramEnd"/>
      <w:r w:rsidRPr="00137A86">
        <w:rPr>
          <w:rFonts w:cstheme="minorHAnsi"/>
          <w:sz w:val="20"/>
          <w:szCs w:val="20"/>
        </w:rPr>
        <w:t xml:space="preserve"> </w:t>
      </w:r>
      <w:r w:rsidRPr="00137A86">
        <w:rPr>
          <w:rFonts w:cstheme="minorHAnsi"/>
          <w:i/>
          <w:iCs/>
          <w:sz w:val="20"/>
          <w:szCs w:val="20"/>
        </w:rPr>
        <w:t>Nudge: Improving Decisions About Health, Wealth, and Happiness</w:t>
      </w:r>
      <w:r w:rsidRPr="00137A86">
        <w:rPr>
          <w:rFonts w:cstheme="minorHAnsi"/>
          <w:sz w:val="20"/>
          <w:szCs w:val="20"/>
        </w:rPr>
        <w:t xml:space="preserve">, (New Haven: Yale University Press, 2008). </w:t>
      </w:r>
    </w:p>
  </w:footnote>
  <w:footnote w:id="24">
    <w:p w14:paraId="4B0EA3ED" w14:textId="4F0261FB" w:rsidR="008B6308" w:rsidRPr="00137A86" w:rsidRDefault="008B6308" w:rsidP="00137A86">
      <w:pPr>
        <w:spacing w:after="0" w:line="240" w:lineRule="auto"/>
        <w:jc w:val="both"/>
        <w:rPr>
          <w:rFonts w:cstheme="minorHAnsi"/>
          <w:sz w:val="20"/>
          <w:szCs w:val="20"/>
        </w:rPr>
      </w:pPr>
      <w:r w:rsidRPr="00137A86">
        <w:rPr>
          <w:rStyle w:val="FootnoteReference"/>
          <w:rFonts w:cstheme="minorHAnsi"/>
          <w:sz w:val="20"/>
          <w:szCs w:val="20"/>
        </w:rPr>
        <w:footnoteRef/>
      </w:r>
      <w:r w:rsidR="00137A86">
        <w:rPr>
          <w:rFonts w:cstheme="minorHAnsi"/>
          <w:sz w:val="20"/>
          <w:szCs w:val="20"/>
        </w:rPr>
        <w:t xml:space="preserve"> </w:t>
      </w:r>
      <w:r w:rsidRPr="00137A86">
        <w:rPr>
          <w:rFonts w:cstheme="minorHAnsi"/>
          <w:sz w:val="20"/>
          <w:szCs w:val="20"/>
        </w:rPr>
        <w:t xml:space="preserve">C. </w:t>
      </w:r>
      <w:proofErr w:type="spellStart"/>
      <w:r w:rsidRPr="00137A86">
        <w:rPr>
          <w:rFonts w:cstheme="minorHAnsi"/>
          <w:sz w:val="20"/>
          <w:szCs w:val="20"/>
        </w:rPr>
        <w:t>Sunstein</w:t>
      </w:r>
      <w:proofErr w:type="spellEnd"/>
      <w:r w:rsidRPr="00137A86">
        <w:rPr>
          <w:rFonts w:cstheme="minorHAnsi"/>
          <w:sz w:val="20"/>
          <w:szCs w:val="20"/>
        </w:rPr>
        <w:t xml:space="preserve">, ‘Deciding by Default’ (2013) 162 </w:t>
      </w:r>
      <w:r w:rsidRPr="00137A86">
        <w:rPr>
          <w:rFonts w:cstheme="minorHAnsi"/>
          <w:i/>
          <w:iCs/>
          <w:sz w:val="20"/>
          <w:szCs w:val="20"/>
        </w:rPr>
        <w:t>University of Pennsylvania Law Review</w:t>
      </w:r>
      <w:r w:rsidRPr="00137A86">
        <w:rPr>
          <w:rFonts w:cstheme="minorHAnsi"/>
          <w:sz w:val="20"/>
          <w:szCs w:val="20"/>
        </w:rPr>
        <w:t xml:space="preserve"> 1-2.</w:t>
      </w:r>
    </w:p>
  </w:footnote>
  <w:footnote w:id="25">
    <w:p w14:paraId="05A2A132" w14:textId="0E1E9716" w:rsidR="008B6308" w:rsidRPr="00137A86" w:rsidRDefault="008B6308" w:rsidP="00137A86">
      <w:pPr>
        <w:spacing w:after="0" w:line="240" w:lineRule="auto"/>
        <w:jc w:val="both"/>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C. </w:t>
      </w:r>
      <w:proofErr w:type="spellStart"/>
      <w:r w:rsidRPr="00137A86">
        <w:rPr>
          <w:rFonts w:cstheme="minorHAnsi"/>
          <w:sz w:val="20"/>
          <w:szCs w:val="20"/>
        </w:rPr>
        <w:t>Sunstein</w:t>
      </w:r>
      <w:proofErr w:type="spellEnd"/>
      <w:r w:rsidRPr="00137A86">
        <w:rPr>
          <w:rFonts w:cstheme="minorHAnsi"/>
          <w:sz w:val="20"/>
          <w:szCs w:val="20"/>
        </w:rPr>
        <w:t xml:space="preserve">, </w:t>
      </w:r>
      <w:r w:rsidRPr="00137A86">
        <w:rPr>
          <w:rFonts w:cstheme="minorHAnsi"/>
          <w:i/>
          <w:iCs/>
          <w:sz w:val="20"/>
          <w:szCs w:val="20"/>
        </w:rPr>
        <w:t>Choosing Not to Choose: Understanding the Value of Choice</w:t>
      </w:r>
      <w:r w:rsidRPr="00137A86">
        <w:rPr>
          <w:rFonts w:cstheme="minorHAnsi"/>
          <w:sz w:val="20"/>
          <w:szCs w:val="20"/>
        </w:rPr>
        <w:t xml:space="preserve"> (New York: Oxford University Press, 2015) 3.</w:t>
      </w:r>
    </w:p>
  </w:footnote>
  <w:footnote w:id="26">
    <w:p w14:paraId="5CC1CE07" w14:textId="2EF33BB2" w:rsidR="008B6308" w:rsidRPr="00137A86" w:rsidRDefault="008B6308" w:rsidP="00137A86">
      <w:pPr>
        <w:spacing w:after="0" w:line="240" w:lineRule="auto"/>
        <w:jc w:val="both"/>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C. </w:t>
      </w:r>
      <w:proofErr w:type="spellStart"/>
      <w:r w:rsidRPr="00137A86">
        <w:rPr>
          <w:rFonts w:cstheme="minorHAnsi"/>
          <w:sz w:val="20"/>
          <w:szCs w:val="20"/>
        </w:rPr>
        <w:t>Sunstein</w:t>
      </w:r>
      <w:proofErr w:type="spellEnd"/>
      <w:r w:rsidRPr="00137A86">
        <w:rPr>
          <w:rFonts w:cstheme="minorHAnsi"/>
          <w:sz w:val="20"/>
          <w:szCs w:val="20"/>
        </w:rPr>
        <w:t xml:space="preserve">, ‘Nudges, agency, navigability, and abstraction: a reply to critics’ (2015) 6 </w:t>
      </w:r>
      <w:r w:rsidRPr="00137A86">
        <w:rPr>
          <w:rFonts w:cstheme="minorHAnsi"/>
          <w:i/>
          <w:iCs/>
          <w:sz w:val="20"/>
          <w:szCs w:val="20"/>
        </w:rPr>
        <w:t>Review of Philosophy and Psychology</w:t>
      </w:r>
      <w:r w:rsidRPr="00137A86">
        <w:rPr>
          <w:rFonts w:cstheme="minorHAnsi"/>
          <w:sz w:val="20"/>
          <w:szCs w:val="20"/>
        </w:rPr>
        <w:t>.</w:t>
      </w:r>
    </w:p>
  </w:footnote>
  <w:footnote w:id="27">
    <w:p w14:paraId="3FEA5EF4" w14:textId="0FBD88AA" w:rsidR="008B6308" w:rsidRPr="00137A86" w:rsidRDefault="008B6308" w:rsidP="00137A86">
      <w:pPr>
        <w:pStyle w:val="FootnoteText"/>
        <w:jc w:val="both"/>
        <w:rPr>
          <w:rFonts w:cstheme="minorHAnsi"/>
        </w:rPr>
      </w:pPr>
      <w:r w:rsidRPr="00137A86">
        <w:rPr>
          <w:rStyle w:val="FootnoteReference"/>
          <w:rFonts w:cstheme="minorHAnsi"/>
        </w:rPr>
        <w:footnoteRef/>
      </w:r>
      <w:r w:rsidRPr="00137A86">
        <w:rPr>
          <w:rFonts w:cstheme="minorHAnsi"/>
        </w:rPr>
        <w:t xml:space="preserve"> The sole exception involves those situations in a few countries like Canada, where union security clauses, union shops and closed shops, still compel union membership. For employees covered by such security clauses in collective agreements, there is no default at all. They must join the union. </w:t>
      </w:r>
    </w:p>
  </w:footnote>
  <w:footnote w:id="28">
    <w:p w14:paraId="183834F2" w14:textId="3EC051DA" w:rsidR="008B6308" w:rsidRPr="00137A86" w:rsidRDefault="008B6308" w:rsidP="00137A86">
      <w:pPr>
        <w:pStyle w:val="FootnoteText"/>
        <w:rPr>
          <w:rFonts w:cstheme="minorHAnsi"/>
        </w:rPr>
      </w:pPr>
      <w:r w:rsidRPr="00137A86">
        <w:rPr>
          <w:rStyle w:val="FootnoteReference"/>
          <w:rFonts w:cstheme="minorHAnsi"/>
        </w:rPr>
        <w:footnoteRef/>
      </w:r>
      <w:r w:rsidR="00827F69" w:rsidRPr="00137A86">
        <w:rPr>
          <w:rFonts w:cstheme="minorHAnsi"/>
        </w:rPr>
        <w:t xml:space="preserve"> </w:t>
      </w:r>
      <w:r w:rsidRPr="00137A86">
        <w:rPr>
          <w:rFonts w:cstheme="minorHAnsi"/>
        </w:rPr>
        <w:t xml:space="preserve">P. </w:t>
      </w:r>
      <w:proofErr w:type="spellStart"/>
      <w:r w:rsidRPr="00137A86">
        <w:rPr>
          <w:rFonts w:cstheme="minorHAnsi"/>
        </w:rPr>
        <w:t>Weiler</w:t>
      </w:r>
      <w:proofErr w:type="spellEnd"/>
      <w:r w:rsidRPr="00137A86">
        <w:rPr>
          <w:rFonts w:cstheme="minorHAnsi"/>
        </w:rPr>
        <w:t xml:space="preserve">, </w:t>
      </w:r>
      <w:r w:rsidRPr="00137A86">
        <w:rPr>
          <w:rFonts w:cstheme="minorHAnsi"/>
          <w:i/>
        </w:rPr>
        <w:t xml:space="preserve">Governing the Workplace: the future of </w:t>
      </w:r>
      <w:proofErr w:type="spellStart"/>
      <w:r w:rsidRPr="00137A86">
        <w:rPr>
          <w:rFonts w:cstheme="minorHAnsi"/>
          <w:i/>
        </w:rPr>
        <w:t>labor</w:t>
      </w:r>
      <w:proofErr w:type="spellEnd"/>
      <w:r w:rsidRPr="00137A86">
        <w:rPr>
          <w:rFonts w:cstheme="minorHAnsi"/>
          <w:i/>
        </w:rPr>
        <w:t xml:space="preserve"> and employment law</w:t>
      </w:r>
      <w:r w:rsidRPr="00137A86">
        <w:rPr>
          <w:rFonts w:cstheme="minorHAnsi"/>
        </w:rPr>
        <w:t xml:space="preserve"> (Cambridge, MA: Harvard University Press, 1990).</w:t>
      </w:r>
    </w:p>
  </w:footnote>
  <w:footnote w:id="29">
    <w:p w14:paraId="0647A650" w14:textId="77538AC3" w:rsidR="008B6308" w:rsidRPr="00137A86" w:rsidRDefault="008B6308" w:rsidP="00137A86">
      <w:pPr>
        <w:spacing w:after="0" w:line="240" w:lineRule="auto"/>
        <w:jc w:val="both"/>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W. Müller-</w:t>
      </w:r>
      <w:proofErr w:type="spellStart"/>
      <w:r w:rsidRPr="00137A86">
        <w:rPr>
          <w:rFonts w:cstheme="minorHAnsi"/>
          <w:sz w:val="20"/>
          <w:szCs w:val="20"/>
        </w:rPr>
        <w:t>Jentsch</w:t>
      </w:r>
      <w:proofErr w:type="spellEnd"/>
      <w:r w:rsidRPr="00137A86">
        <w:rPr>
          <w:rFonts w:cstheme="minorHAnsi"/>
          <w:sz w:val="20"/>
          <w:szCs w:val="20"/>
        </w:rPr>
        <w:t xml:space="preserve">, ‘Trade unions as intermediary organizations’ (1985) 6 </w:t>
      </w:r>
      <w:r w:rsidRPr="00137A86">
        <w:rPr>
          <w:rFonts w:cstheme="minorHAnsi"/>
          <w:i/>
          <w:sz w:val="20"/>
          <w:szCs w:val="20"/>
        </w:rPr>
        <w:t>Economic and Industrial Democracy</w:t>
      </w:r>
      <w:r w:rsidRPr="00137A86">
        <w:rPr>
          <w:rFonts w:cstheme="minorHAnsi"/>
          <w:sz w:val="20"/>
          <w:szCs w:val="20"/>
        </w:rPr>
        <w:t>.</w:t>
      </w:r>
    </w:p>
  </w:footnote>
  <w:footnote w:id="30">
    <w:p w14:paraId="49C9201C" w14:textId="32BA5D94" w:rsidR="008B6308" w:rsidRPr="00137A86" w:rsidRDefault="008B6308" w:rsidP="00137A86">
      <w:pPr>
        <w:spacing w:after="0" w:line="240" w:lineRule="auto"/>
        <w:jc w:val="both"/>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J. Everett, L. </w:t>
      </w:r>
      <w:proofErr w:type="spellStart"/>
      <w:r w:rsidRPr="00137A86">
        <w:rPr>
          <w:rFonts w:cstheme="minorHAnsi"/>
          <w:sz w:val="20"/>
          <w:szCs w:val="20"/>
        </w:rPr>
        <w:t>Caviola</w:t>
      </w:r>
      <w:proofErr w:type="spellEnd"/>
      <w:r w:rsidRPr="00137A86">
        <w:rPr>
          <w:rFonts w:cstheme="minorHAnsi"/>
          <w:sz w:val="20"/>
          <w:szCs w:val="20"/>
        </w:rPr>
        <w:t xml:space="preserve">, G. </w:t>
      </w:r>
      <w:proofErr w:type="spellStart"/>
      <w:r w:rsidRPr="00137A86">
        <w:rPr>
          <w:rFonts w:cstheme="minorHAnsi"/>
          <w:sz w:val="20"/>
          <w:szCs w:val="20"/>
        </w:rPr>
        <w:t>Kahane</w:t>
      </w:r>
      <w:proofErr w:type="spellEnd"/>
      <w:r w:rsidRPr="00137A86">
        <w:rPr>
          <w:rFonts w:cstheme="minorHAnsi"/>
          <w:sz w:val="20"/>
          <w:szCs w:val="20"/>
        </w:rPr>
        <w:t xml:space="preserve">, J. </w:t>
      </w:r>
      <w:proofErr w:type="spellStart"/>
      <w:r w:rsidRPr="00137A86">
        <w:rPr>
          <w:rFonts w:cstheme="minorHAnsi"/>
          <w:sz w:val="20"/>
          <w:szCs w:val="20"/>
        </w:rPr>
        <w:t>Savulescu</w:t>
      </w:r>
      <w:proofErr w:type="spellEnd"/>
      <w:r w:rsidRPr="00137A86">
        <w:rPr>
          <w:rFonts w:cstheme="minorHAnsi"/>
          <w:sz w:val="20"/>
          <w:szCs w:val="20"/>
        </w:rPr>
        <w:t xml:space="preserve"> and N. Faber, ‘Doing Good by Doing Nothing? The Role of Social Norms in Explaining Default Effects in Altruistic Contexts’ (2015) 45 </w:t>
      </w:r>
      <w:r w:rsidRPr="00137A86">
        <w:rPr>
          <w:rFonts w:cstheme="minorHAnsi"/>
          <w:i/>
          <w:iCs/>
          <w:sz w:val="20"/>
          <w:szCs w:val="20"/>
        </w:rPr>
        <w:t>European Journal of Social Psychology</w:t>
      </w:r>
      <w:r w:rsidRPr="00137A86">
        <w:rPr>
          <w:rFonts w:cstheme="minorHAnsi"/>
          <w:sz w:val="20"/>
          <w:szCs w:val="20"/>
        </w:rPr>
        <w:t xml:space="preserve">; I. </w:t>
      </w:r>
      <w:proofErr w:type="spellStart"/>
      <w:r w:rsidRPr="00137A86">
        <w:rPr>
          <w:rFonts w:cstheme="minorHAnsi"/>
          <w:sz w:val="20"/>
          <w:szCs w:val="20"/>
        </w:rPr>
        <w:t>Goswami</w:t>
      </w:r>
      <w:proofErr w:type="spellEnd"/>
      <w:r w:rsidRPr="00137A86">
        <w:rPr>
          <w:rFonts w:cstheme="minorHAnsi"/>
          <w:sz w:val="20"/>
          <w:szCs w:val="20"/>
        </w:rPr>
        <w:t xml:space="preserve"> and O. </w:t>
      </w:r>
      <w:proofErr w:type="spellStart"/>
      <w:r w:rsidRPr="00137A86">
        <w:rPr>
          <w:rFonts w:cstheme="minorHAnsi"/>
          <w:sz w:val="20"/>
          <w:szCs w:val="20"/>
        </w:rPr>
        <w:t>Urminsky</w:t>
      </w:r>
      <w:proofErr w:type="spellEnd"/>
      <w:r w:rsidRPr="00137A86">
        <w:rPr>
          <w:rFonts w:cstheme="minorHAnsi"/>
          <w:sz w:val="20"/>
          <w:szCs w:val="20"/>
        </w:rPr>
        <w:t xml:space="preserve">, ‘When Should the Ask Be a Nudge? The Effect of Default Amounts on Charitable Donations’ (2016) 53 </w:t>
      </w:r>
      <w:proofErr w:type="gramStart"/>
      <w:r w:rsidRPr="00137A86">
        <w:rPr>
          <w:rFonts w:cstheme="minorHAnsi"/>
          <w:i/>
          <w:iCs/>
          <w:sz w:val="20"/>
          <w:szCs w:val="20"/>
        </w:rPr>
        <w:t>Journal</w:t>
      </w:r>
      <w:proofErr w:type="gramEnd"/>
      <w:r w:rsidRPr="00137A86">
        <w:rPr>
          <w:rFonts w:cstheme="minorHAnsi"/>
          <w:i/>
          <w:iCs/>
          <w:sz w:val="20"/>
          <w:szCs w:val="20"/>
        </w:rPr>
        <w:t xml:space="preserve"> of Marketing Research</w:t>
      </w:r>
      <w:r w:rsidRPr="00137A86">
        <w:rPr>
          <w:rFonts w:cstheme="minorHAnsi"/>
          <w:sz w:val="20"/>
          <w:szCs w:val="20"/>
        </w:rPr>
        <w:t>.</w:t>
      </w:r>
    </w:p>
  </w:footnote>
  <w:footnote w:id="31">
    <w:p w14:paraId="280E6F1A" w14:textId="77FACB69" w:rsidR="008B6308" w:rsidRPr="00137A86" w:rsidRDefault="008B6308" w:rsidP="00137A86">
      <w:pPr>
        <w:spacing w:after="0" w:line="240" w:lineRule="auto"/>
        <w:jc w:val="both"/>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E. Johnson, J. Hershey, J. </w:t>
      </w:r>
      <w:proofErr w:type="spellStart"/>
      <w:r w:rsidRPr="00137A86">
        <w:rPr>
          <w:rFonts w:cstheme="minorHAnsi"/>
          <w:sz w:val="20"/>
          <w:szCs w:val="20"/>
        </w:rPr>
        <w:t>Meszaros</w:t>
      </w:r>
      <w:proofErr w:type="spellEnd"/>
      <w:r w:rsidRPr="00137A86">
        <w:rPr>
          <w:rFonts w:cstheme="minorHAnsi"/>
          <w:sz w:val="20"/>
          <w:szCs w:val="20"/>
        </w:rPr>
        <w:t xml:space="preserve">, and H. </w:t>
      </w:r>
      <w:proofErr w:type="spellStart"/>
      <w:r w:rsidRPr="00137A86">
        <w:rPr>
          <w:rFonts w:cstheme="minorHAnsi"/>
          <w:sz w:val="20"/>
          <w:szCs w:val="20"/>
        </w:rPr>
        <w:t>Kunreuther</w:t>
      </w:r>
      <w:proofErr w:type="spellEnd"/>
      <w:r w:rsidRPr="00137A86">
        <w:rPr>
          <w:rFonts w:cstheme="minorHAnsi"/>
          <w:sz w:val="20"/>
          <w:szCs w:val="20"/>
        </w:rPr>
        <w:t xml:space="preserve">, ‘Framing, Probability Distortions, and Insurance Decisions’ (1993) 7 </w:t>
      </w:r>
      <w:proofErr w:type="gramStart"/>
      <w:r w:rsidRPr="00137A86">
        <w:rPr>
          <w:rFonts w:cstheme="minorHAnsi"/>
          <w:i/>
          <w:iCs/>
          <w:sz w:val="20"/>
          <w:szCs w:val="20"/>
        </w:rPr>
        <w:t>Journal</w:t>
      </w:r>
      <w:proofErr w:type="gramEnd"/>
      <w:r w:rsidRPr="00137A86">
        <w:rPr>
          <w:rFonts w:cstheme="minorHAnsi"/>
          <w:i/>
          <w:iCs/>
          <w:sz w:val="20"/>
          <w:szCs w:val="20"/>
        </w:rPr>
        <w:t xml:space="preserve"> of Risk and Uncertainty</w:t>
      </w:r>
      <w:r w:rsidRPr="00137A86">
        <w:rPr>
          <w:rFonts w:cstheme="minorHAnsi"/>
          <w:sz w:val="20"/>
          <w:szCs w:val="20"/>
        </w:rPr>
        <w:t>.</w:t>
      </w:r>
    </w:p>
  </w:footnote>
  <w:footnote w:id="32">
    <w:p w14:paraId="249B5A6E" w14:textId="1BD029B8" w:rsidR="008B6308" w:rsidRPr="00137A86" w:rsidRDefault="008B6308" w:rsidP="00137A86">
      <w:pPr>
        <w:spacing w:after="0" w:line="240" w:lineRule="auto"/>
        <w:jc w:val="both"/>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C. Brown and A. Krishna, ‘The </w:t>
      </w:r>
      <w:proofErr w:type="spellStart"/>
      <w:r w:rsidRPr="00137A86">
        <w:rPr>
          <w:rFonts w:cstheme="minorHAnsi"/>
          <w:sz w:val="20"/>
          <w:szCs w:val="20"/>
        </w:rPr>
        <w:t>Skeptical</w:t>
      </w:r>
      <w:proofErr w:type="spellEnd"/>
      <w:r w:rsidRPr="00137A86">
        <w:rPr>
          <w:rFonts w:cstheme="minorHAnsi"/>
          <w:sz w:val="20"/>
          <w:szCs w:val="20"/>
        </w:rPr>
        <w:t xml:space="preserve"> Shopper: A Metacognitive Account for the Effects of Default Options on Choice’ (2004) 31 </w:t>
      </w:r>
      <w:r w:rsidRPr="00137A86">
        <w:rPr>
          <w:rFonts w:cstheme="minorHAnsi"/>
          <w:i/>
          <w:iCs/>
          <w:sz w:val="20"/>
          <w:szCs w:val="20"/>
        </w:rPr>
        <w:t>Journal of Consumer Research</w:t>
      </w:r>
      <w:r w:rsidRPr="00137A86">
        <w:rPr>
          <w:rFonts w:cstheme="minorHAnsi"/>
          <w:sz w:val="20"/>
          <w:szCs w:val="20"/>
        </w:rPr>
        <w:t xml:space="preserve">; D. Goldstein, E. Johnson, A. Herrmann, and M. </w:t>
      </w:r>
      <w:proofErr w:type="spellStart"/>
      <w:r w:rsidRPr="00137A86">
        <w:rPr>
          <w:rFonts w:cstheme="minorHAnsi"/>
          <w:sz w:val="20"/>
          <w:szCs w:val="20"/>
        </w:rPr>
        <w:t>Heitmann</w:t>
      </w:r>
      <w:proofErr w:type="spellEnd"/>
      <w:r w:rsidRPr="00137A86">
        <w:rPr>
          <w:rFonts w:cstheme="minorHAnsi"/>
          <w:sz w:val="20"/>
          <w:szCs w:val="20"/>
        </w:rPr>
        <w:t xml:space="preserve">, ‘Nudge Your Customers Toward Better Choices’ (2008) December </w:t>
      </w:r>
      <w:r w:rsidRPr="00137A86">
        <w:rPr>
          <w:rFonts w:cstheme="minorHAnsi"/>
          <w:i/>
          <w:iCs/>
          <w:sz w:val="20"/>
          <w:szCs w:val="20"/>
        </w:rPr>
        <w:t>Harvard Business Review</w:t>
      </w:r>
      <w:r w:rsidRPr="00137A86">
        <w:rPr>
          <w:rFonts w:cstheme="minorHAnsi"/>
          <w:sz w:val="20"/>
          <w:szCs w:val="20"/>
        </w:rPr>
        <w:t xml:space="preserve">; Y. Huh, J. </w:t>
      </w:r>
      <w:proofErr w:type="spellStart"/>
      <w:r w:rsidRPr="00137A86">
        <w:rPr>
          <w:rFonts w:cstheme="minorHAnsi"/>
          <w:sz w:val="20"/>
          <w:szCs w:val="20"/>
        </w:rPr>
        <w:t>Vosgerau</w:t>
      </w:r>
      <w:proofErr w:type="spellEnd"/>
      <w:r w:rsidRPr="00137A86">
        <w:rPr>
          <w:rFonts w:cstheme="minorHAnsi"/>
          <w:sz w:val="20"/>
          <w:szCs w:val="20"/>
        </w:rPr>
        <w:t xml:space="preserve"> and C. </w:t>
      </w:r>
      <w:proofErr w:type="spellStart"/>
      <w:r w:rsidRPr="00137A86">
        <w:rPr>
          <w:rFonts w:cstheme="minorHAnsi"/>
          <w:sz w:val="20"/>
          <w:szCs w:val="20"/>
        </w:rPr>
        <w:t>Morewedge</w:t>
      </w:r>
      <w:proofErr w:type="spellEnd"/>
      <w:r w:rsidRPr="00137A86">
        <w:rPr>
          <w:rFonts w:cstheme="minorHAnsi"/>
          <w:sz w:val="20"/>
          <w:szCs w:val="20"/>
        </w:rPr>
        <w:t xml:space="preserve">, ‘Social Defaults: Observed Choices Become Choice Defaults’ (2014) 41 </w:t>
      </w:r>
      <w:r w:rsidRPr="00137A86">
        <w:rPr>
          <w:rFonts w:cstheme="minorHAnsi"/>
          <w:i/>
          <w:iCs/>
          <w:sz w:val="20"/>
          <w:szCs w:val="20"/>
        </w:rPr>
        <w:t>Journal of Consumer Research</w:t>
      </w:r>
      <w:r w:rsidRPr="00137A86">
        <w:rPr>
          <w:rFonts w:cstheme="minorHAnsi"/>
          <w:sz w:val="20"/>
          <w:szCs w:val="20"/>
        </w:rPr>
        <w:t>.</w:t>
      </w:r>
    </w:p>
  </w:footnote>
  <w:footnote w:id="33">
    <w:p w14:paraId="3D1F77C8" w14:textId="4349D607" w:rsidR="008B6308" w:rsidRPr="00137A86" w:rsidRDefault="008B6308" w:rsidP="00137A86">
      <w:pPr>
        <w:spacing w:after="0" w:line="240" w:lineRule="auto"/>
        <w:jc w:val="both"/>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S. Malhotra, A. </w:t>
      </w:r>
      <w:proofErr w:type="spellStart"/>
      <w:r w:rsidRPr="00137A86">
        <w:rPr>
          <w:rFonts w:cstheme="minorHAnsi"/>
          <w:sz w:val="20"/>
          <w:szCs w:val="20"/>
        </w:rPr>
        <w:t>Cheriff</w:t>
      </w:r>
      <w:proofErr w:type="spellEnd"/>
      <w:r w:rsidRPr="00137A86">
        <w:rPr>
          <w:rFonts w:cstheme="minorHAnsi"/>
          <w:sz w:val="20"/>
          <w:szCs w:val="20"/>
        </w:rPr>
        <w:t xml:space="preserve">, J.T. </w:t>
      </w:r>
      <w:proofErr w:type="spellStart"/>
      <w:r w:rsidRPr="00137A86">
        <w:rPr>
          <w:rFonts w:cstheme="minorHAnsi"/>
          <w:sz w:val="20"/>
          <w:szCs w:val="20"/>
        </w:rPr>
        <w:t>Gossey</w:t>
      </w:r>
      <w:proofErr w:type="spellEnd"/>
      <w:r w:rsidRPr="00137A86">
        <w:rPr>
          <w:rFonts w:cstheme="minorHAnsi"/>
          <w:sz w:val="20"/>
          <w:szCs w:val="20"/>
        </w:rPr>
        <w:t xml:space="preserve">, C. Cole, R. Kaushal, J. and </w:t>
      </w:r>
      <w:proofErr w:type="spellStart"/>
      <w:r w:rsidRPr="00137A86">
        <w:rPr>
          <w:rFonts w:cstheme="minorHAnsi"/>
          <w:sz w:val="20"/>
          <w:szCs w:val="20"/>
        </w:rPr>
        <w:t>Ancker</w:t>
      </w:r>
      <w:proofErr w:type="spellEnd"/>
      <w:r w:rsidRPr="00137A86">
        <w:rPr>
          <w:rFonts w:cstheme="minorHAnsi"/>
          <w:sz w:val="20"/>
          <w:szCs w:val="20"/>
        </w:rPr>
        <w:t xml:space="preserve">, ‘Effects of an e-Prescribing Interface Redesign on Rates of Generic Drug Prescribing: Exploiting Default Options’ (2016) 23 </w:t>
      </w:r>
      <w:r w:rsidRPr="00137A86">
        <w:rPr>
          <w:rFonts w:cstheme="minorHAnsi"/>
          <w:i/>
          <w:iCs/>
          <w:sz w:val="20"/>
          <w:szCs w:val="20"/>
        </w:rPr>
        <w:t>Journal of the American Medical Informatics Association</w:t>
      </w:r>
      <w:r w:rsidRPr="00137A86">
        <w:rPr>
          <w:rFonts w:cstheme="minorHAnsi"/>
          <w:iCs/>
          <w:sz w:val="20"/>
          <w:szCs w:val="20"/>
        </w:rPr>
        <w:t xml:space="preserve">; C. </w:t>
      </w:r>
      <w:r w:rsidRPr="00137A86">
        <w:rPr>
          <w:rFonts w:cstheme="minorHAnsi"/>
          <w:sz w:val="20"/>
          <w:szCs w:val="20"/>
        </w:rPr>
        <w:t xml:space="preserve">Probst, V. Shaffer, and Y. Chan, ‘The Effect of Defaults in an Electronic Health Record on Laboratory Test Ordering Practices for </w:t>
      </w:r>
      <w:proofErr w:type="spellStart"/>
      <w:r w:rsidRPr="00137A86">
        <w:rPr>
          <w:rFonts w:cstheme="minorHAnsi"/>
          <w:sz w:val="20"/>
          <w:szCs w:val="20"/>
        </w:rPr>
        <w:t>Pediatric</w:t>
      </w:r>
      <w:proofErr w:type="spellEnd"/>
      <w:r w:rsidRPr="00137A86">
        <w:rPr>
          <w:rFonts w:cstheme="minorHAnsi"/>
          <w:sz w:val="20"/>
          <w:szCs w:val="20"/>
        </w:rPr>
        <w:t xml:space="preserve"> Patients’ (2013) 32 </w:t>
      </w:r>
      <w:r w:rsidRPr="00137A86">
        <w:rPr>
          <w:rFonts w:cstheme="minorHAnsi"/>
          <w:i/>
          <w:iCs/>
          <w:sz w:val="20"/>
          <w:szCs w:val="20"/>
        </w:rPr>
        <w:t>Health Psychology</w:t>
      </w:r>
      <w:r w:rsidRPr="00137A86">
        <w:rPr>
          <w:rFonts w:cstheme="minorHAnsi"/>
          <w:sz w:val="20"/>
          <w:szCs w:val="20"/>
        </w:rPr>
        <w:t>.</w:t>
      </w:r>
    </w:p>
  </w:footnote>
  <w:footnote w:id="34">
    <w:p w14:paraId="2AA7E705" w14:textId="7D6B1544" w:rsidR="008B6308" w:rsidRPr="00137A86" w:rsidRDefault="008B6308" w:rsidP="00137A86">
      <w:pPr>
        <w:spacing w:after="0" w:line="240" w:lineRule="auto"/>
        <w:jc w:val="both"/>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I. Dinner, E. Johnson, D. Goldstein, and K. Liu, ‘Partitioning Default Effects: Why People Choose Not to Choose’ (2011) 17 </w:t>
      </w:r>
      <w:r w:rsidRPr="00137A86">
        <w:rPr>
          <w:rFonts w:cstheme="minorHAnsi"/>
          <w:i/>
          <w:iCs/>
          <w:sz w:val="20"/>
          <w:szCs w:val="20"/>
        </w:rPr>
        <w:t>Journal of Experimental Psychology</w:t>
      </w:r>
      <w:r w:rsidRPr="00137A86">
        <w:rPr>
          <w:rFonts w:cstheme="minorHAnsi"/>
          <w:sz w:val="20"/>
          <w:szCs w:val="20"/>
        </w:rPr>
        <w:t xml:space="preserve">; C. </w:t>
      </w:r>
      <w:proofErr w:type="spellStart"/>
      <w:r w:rsidRPr="00137A86">
        <w:rPr>
          <w:rFonts w:cstheme="minorHAnsi"/>
          <w:sz w:val="20"/>
          <w:szCs w:val="20"/>
        </w:rPr>
        <w:t>Ghesla</w:t>
      </w:r>
      <w:proofErr w:type="spellEnd"/>
      <w:r w:rsidRPr="00137A86">
        <w:rPr>
          <w:rFonts w:cstheme="minorHAnsi"/>
          <w:sz w:val="20"/>
          <w:szCs w:val="20"/>
        </w:rPr>
        <w:t xml:space="preserve">, ‘Defaults in Green Electricity Markets – Preference Match not Guaranteed’ (2016) Social Science Research Network, available at SSRN: </w:t>
      </w:r>
      <w:hyperlink r:id="rId2" w:history="1">
        <w:r w:rsidRPr="00137A86">
          <w:rPr>
            <w:rStyle w:val="Hyperlink"/>
            <w:rFonts w:cstheme="minorHAnsi"/>
            <w:color w:val="auto"/>
            <w:sz w:val="20"/>
            <w:szCs w:val="20"/>
          </w:rPr>
          <w:t>https://ssrn.com/abstract=2732662</w:t>
        </w:r>
      </w:hyperlink>
      <w:r w:rsidRPr="00137A86">
        <w:rPr>
          <w:rStyle w:val="Hyperlink"/>
          <w:rFonts w:cstheme="minorHAnsi"/>
          <w:color w:val="auto"/>
          <w:sz w:val="20"/>
          <w:szCs w:val="20"/>
          <w:u w:val="none"/>
        </w:rPr>
        <w:t xml:space="preserve">; M. </w:t>
      </w:r>
      <w:r w:rsidRPr="00137A86">
        <w:rPr>
          <w:rFonts w:cstheme="minorHAnsi"/>
          <w:sz w:val="20"/>
          <w:szCs w:val="20"/>
        </w:rPr>
        <w:t xml:space="preserve">Vetter and F. </w:t>
      </w:r>
      <w:proofErr w:type="spellStart"/>
      <w:r w:rsidRPr="00137A86">
        <w:rPr>
          <w:rFonts w:cstheme="minorHAnsi"/>
          <w:sz w:val="20"/>
          <w:szCs w:val="20"/>
        </w:rPr>
        <w:t>Kutzner</w:t>
      </w:r>
      <w:proofErr w:type="spellEnd"/>
      <w:r w:rsidRPr="00137A86">
        <w:rPr>
          <w:rFonts w:cstheme="minorHAnsi"/>
          <w:sz w:val="20"/>
          <w:szCs w:val="20"/>
        </w:rPr>
        <w:t>, ‘Nudge Me if You Can – How Defaults and Attitude Strength Interact to Change Behaviour’ (2016) 1</w:t>
      </w:r>
      <w:r w:rsidRPr="00137A86">
        <w:rPr>
          <w:rFonts w:cstheme="minorHAnsi"/>
          <w:b/>
          <w:sz w:val="20"/>
          <w:szCs w:val="20"/>
        </w:rPr>
        <w:t xml:space="preserve"> </w:t>
      </w:r>
      <w:r w:rsidRPr="00137A86">
        <w:rPr>
          <w:rFonts w:cstheme="minorHAnsi"/>
          <w:i/>
          <w:iCs/>
          <w:sz w:val="20"/>
          <w:szCs w:val="20"/>
        </w:rPr>
        <w:t>Comprehensive Results in Social Psychology</w:t>
      </w:r>
      <w:r w:rsidRPr="00137A86">
        <w:rPr>
          <w:rFonts w:cstheme="minorHAnsi"/>
          <w:sz w:val="20"/>
          <w:szCs w:val="20"/>
        </w:rPr>
        <w:t>.</w:t>
      </w:r>
    </w:p>
  </w:footnote>
  <w:footnote w:id="35">
    <w:p w14:paraId="5E477531" w14:textId="228E071B" w:rsidR="008B6308" w:rsidRPr="00137A86" w:rsidRDefault="008B6308" w:rsidP="00137A86">
      <w:pPr>
        <w:spacing w:after="0" w:line="240" w:lineRule="auto"/>
        <w:jc w:val="both"/>
        <w:rPr>
          <w:rFonts w:cstheme="minorHAnsi"/>
          <w:sz w:val="20"/>
          <w:szCs w:val="20"/>
        </w:rPr>
      </w:pPr>
      <w:r w:rsidRPr="00137A86">
        <w:rPr>
          <w:rStyle w:val="FootnoteReference"/>
          <w:rFonts w:cstheme="minorHAnsi"/>
          <w:sz w:val="20"/>
          <w:szCs w:val="20"/>
        </w:rPr>
        <w:footnoteRef/>
      </w:r>
      <w:r w:rsidR="00137A86">
        <w:rPr>
          <w:rFonts w:cstheme="minorHAnsi"/>
          <w:sz w:val="20"/>
          <w:szCs w:val="20"/>
        </w:rPr>
        <w:t xml:space="preserve"> </w:t>
      </w:r>
      <w:r w:rsidRPr="00137A86">
        <w:rPr>
          <w:rFonts w:cstheme="minorHAnsi"/>
          <w:sz w:val="20"/>
          <w:szCs w:val="20"/>
        </w:rPr>
        <w:t xml:space="preserve">M. </w:t>
      </w:r>
      <w:proofErr w:type="spellStart"/>
      <w:r w:rsidRPr="00137A86">
        <w:rPr>
          <w:rFonts w:cstheme="minorHAnsi"/>
          <w:sz w:val="20"/>
          <w:szCs w:val="20"/>
        </w:rPr>
        <w:t>Steffel</w:t>
      </w:r>
      <w:proofErr w:type="spellEnd"/>
      <w:r w:rsidRPr="00137A86">
        <w:rPr>
          <w:rFonts w:cstheme="minorHAnsi"/>
          <w:sz w:val="20"/>
          <w:szCs w:val="20"/>
        </w:rPr>
        <w:t xml:space="preserve">, E. </w:t>
      </w:r>
      <w:proofErr w:type="spellStart"/>
      <w:r w:rsidRPr="00137A86">
        <w:rPr>
          <w:rFonts w:cstheme="minorHAnsi"/>
          <w:sz w:val="20"/>
          <w:szCs w:val="20"/>
        </w:rPr>
        <w:t>Willams</w:t>
      </w:r>
      <w:proofErr w:type="spellEnd"/>
      <w:r w:rsidRPr="00137A86">
        <w:rPr>
          <w:rFonts w:cstheme="minorHAnsi"/>
          <w:sz w:val="20"/>
          <w:szCs w:val="20"/>
        </w:rPr>
        <w:t xml:space="preserve">, and R. </w:t>
      </w:r>
      <w:proofErr w:type="spellStart"/>
      <w:r w:rsidRPr="00137A86">
        <w:rPr>
          <w:rFonts w:cstheme="minorHAnsi"/>
          <w:sz w:val="20"/>
          <w:szCs w:val="20"/>
        </w:rPr>
        <w:t>Pogacar</w:t>
      </w:r>
      <w:proofErr w:type="spellEnd"/>
      <w:r w:rsidRPr="00137A86">
        <w:rPr>
          <w:rFonts w:cstheme="minorHAnsi"/>
          <w:sz w:val="20"/>
          <w:szCs w:val="20"/>
        </w:rPr>
        <w:t xml:space="preserve">, ‘Ethically Deployed Defaults: Transparency and Consumer Protection through Disclosure and Preference Articulation’ (2016) 53 </w:t>
      </w:r>
      <w:r w:rsidRPr="00137A86">
        <w:rPr>
          <w:rFonts w:cstheme="minorHAnsi"/>
          <w:i/>
          <w:iCs/>
          <w:sz w:val="20"/>
          <w:szCs w:val="20"/>
        </w:rPr>
        <w:t>Journal of Marketing Research</w:t>
      </w:r>
      <w:r w:rsidRPr="00137A86">
        <w:rPr>
          <w:rFonts w:cstheme="minorHAnsi"/>
          <w:sz w:val="20"/>
          <w:szCs w:val="20"/>
        </w:rPr>
        <w:t>.</w:t>
      </w:r>
    </w:p>
  </w:footnote>
  <w:footnote w:id="36">
    <w:p w14:paraId="352320B3" w14:textId="4AABFFE8" w:rsidR="008B6308" w:rsidRPr="00137A86" w:rsidRDefault="008B6308" w:rsidP="00137A86">
      <w:pPr>
        <w:spacing w:after="0" w:line="240" w:lineRule="auto"/>
        <w:jc w:val="both"/>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w:t>
      </w:r>
      <w:proofErr w:type="spellStart"/>
      <w:r w:rsidRPr="00137A86">
        <w:rPr>
          <w:rFonts w:cstheme="minorHAnsi"/>
          <w:sz w:val="20"/>
          <w:szCs w:val="20"/>
        </w:rPr>
        <w:t>Davidai</w:t>
      </w:r>
      <w:proofErr w:type="spellEnd"/>
      <w:r w:rsidRPr="00137A86">
        <w:rPr>
          <w:rFonts w:cstheme="minorHAnsi"/>
          <w:sz w:val="20"/>
          <w:szCs w:val="20"/>
        </w:rPr>
        <w:t xml:space="preserve"> </w:t>
      </w:r>
      <w:r w:rsidRPr="00137A86">
        <w:rPr>
          <w:rFonts w:cstheme="minorHAnsi"/>
          <w:i/>
          <w:sz w:val="20"/>
          <w:szCs w:val="20"/>
        </w:rPr>
        <w:t>et al.</w:t>
      </w:r>
      <w:r w:rsidRPr="00137A86">
        <w:rPr>
          <w:rFonts w:cstheme="minorHAnsi"/>
          <w:sz w:val="20"/>
          <w:szCs w:val="20"/>
        </w:rPr>
        <w:t xml:space="preserve"> above n. 22; E. Johnson and D. Goldstein, ‘Do Defaults Save Lives?’ </w:t>
      </w:r>
      <w:proofErr w:type="gramStart"/>
      <w:r w:rsidRPr="00137A86">
        <w:rPr>
          <w:rFonts w:cstheme="minorHAnsi"/>
          <w:sz w:val="20"/>
          <w:szCs w:val="20"/>
        </w:rPr>
        <w:t xml:space="preserve">(2003) 302 </w:t>
      </w:r>
      <w:r w:rsidRPr="00137A86">
        <w:rPr>
          <w:rFonts w:cstheme="minorHAnsi"/>
          <w:i/>
          <w:iCs/>
          <w:sz w:val="20"/>
          <w:szCs w:val="20"/>
        </w:rPr>
        <w:t>Science</w:t>
      </w:r>
      <w:r w:rsidR="00365072" w:rsidRPr="00137A86">
        <w:rPr>
          <w:rFonts w:cstheme="minorHAnsi"/>
          <w:sz w:val="20"/>
          <w:szCs w:val="20"/>
        </w:rPr>
        <w:t xml:space="preserve">; </w:t>
      </w:r>
      <w:r w:rsidRPr="00137A86">
        <w:rPr>
          <w:rFonts w:cstheme="minorHAnsi"/>
          <w:sz w:val="20"/>
          <w:szCs w:val="20"/>
        </w:rPr>
        <w:t xml:space="preserve">E. Johnson and D. Goldstein, ‘Defaults and Donation Decisions’ (2004) 78 </w:t>
      </w:r>
      <w:r w:rsidRPr="00137A86">
        <w:rPr>
          <w:rFonts w:cstheme="minorHAnsi"/>
          <w:i/>
          <w:iCs/>
          <w:sz w:val="20"/>
          <w:szCs w:val="20"/>
        </w:rPr>
        <w:t xml:space="preserve">Transplantation; C. </w:t>
      </w:r>
      <w:r w:rsidRPr="00137A86">
        <w:rPr>
          <w:rFonts w:cstheme="minorHAnsi"/>
          <w:sz w:val="20"/>
          <w:szCs w:val="20"/>
        </w:rPr>
        <w:t xml:space="preserve">McKenzie, M. </w:t>
      </w:r>
      <w:proofErr w:type="spellStart"/>
      <w:r w:rsidRPr="00137A86">
        <w:rPr>
          <w:rFonts w:cstheme="minorHAnsi"/>
          <w:sz w:val="20"/>
          <w:szCs w:val="20"/>
        </w:rPr>
        <w:t>Liersch</w:t>
      </w:r>
      <w:proofErr w:type="spellEnd"/>
      <w:r w:rsidRPr="00137A86">
        <w:rPr>
          <w:rFonts w:cstheme="minorHAnsi"/>
          <w:sz w:val="20"/>
          <w:szCs w:val="20"/>
        </w:rPr>
        <w:t xml:space="preserve"> and S. Finkelstein, </w:t>
      </w:r>
      <w:r w:rsidRPr="00137A86">
        <w:rPr>
          <w:rFonts w:cstheme="minorHAnsi"/>
          <w:sz w:val="20"/>
          <w:szCs w:val="20"/>
          <w:cs/>
        </w:rPr>
        <w:t>‎</w:t>
      </w:r>
      <w:r w:rsidRPr="00137A86">
        <w:rPr>
          <w:rFonts w:cstheme="minorHAnsi"/>
          <w:sz w:val="20"/>
          <w:szCs w:val="20"/>
        </w:rPr>
        <w:t>‘</w:t>
      </w:r>
      <w:r w:rsidRPr="00137A86">
        <w:rPr>
          <w:rFonts w:cstheme="minorHAnsi"/>
          <w:sz w:val="20"/>
          <w:szCs w:val="20"/>
          <w:cs/>
        </w:rPr>
        <w:t>‎</w:t>
      </w:r>
      <w:r w:rsidRPr="00137A86">
        <w:rPr>
          <w:rFonts w:cstheme="minorHAnsi"/>
          <w:sz w:val="20"/>
          <w:szCs w:val="20"/>
        </w:rPr>
        <w:t>Recommendations Implicit in Policy Defaults</w:t>
      </w:r>
      <w:r w:rsidRPr="00137A86">
        <w:rPr>
          <w:rFonts w:cstheme="minorHAnsi"/>
          <w:sz w:val="20"/>
          <w:szCs w:val="20"/>
          <w:cs/>
        </w:rPr>
        <w:t>‎</w:t>
      </w:r>
      <w:r w:rsidRPr="00137A86">
        <w:rPr>
          <w:rFonts w:cstheme="minorHAnsi"/>
          <w:sz w:val="20"/>
          <w:szCs w:val="20"/>
        </w:rPr>
        <w:t xml:space="preserve">’ (2006) 17 </w:t>
      </w:r>
      <w:r w:rsidRPr="00137A86">
        <w:rPr>
          <w:rFonts w:cstheme="minorHAnsi"/>
          <w:i/>
          <w:iCs/>
          <w:sz w:val="20"/>
          <w:szCs w:val="20"/>
        </w:rPr>
        <w:t>Psychological Science.</w:t>
      </w:r>
      <w:proofErr w:type="gramEnd"/>
    </w:p>
  </w:footnote>
  <w:footnote w:id="37">
    <w:p w14:paraId="7DCFE245" w14:textId="2E551E01" w:rsidR="008B6308" w:rsidRPr="00137A86" w:rsidRDefault="008B6308" w:rsidP="00137A86">
      <w:pPr>
        <w:spacing w:after="0" w:line="240" w:lineRule="auto"/>
        <w:jc w:val="both"/>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A. </w:t>
      </w:r>
      <w:proofErr w:type="spellStart"/>
      <w:r w:rsidRPr="00137A86">
        <w:rPr>
          <w:rFonts w:cstheme="minorHAnsi"/>
          <w:sz w:val="20"/>
          <w:szCs w:val="20"/>
        </w:rPr>
        <w:t>Sinaiko</w:t>
      </w:r>
      <w:proofErr w:type="spellEnd"/>
      <w:r w:rsidRPr="00137A86">
        <w:rPr>
          <w:rFonts w:cstheme="minorHAnsi"/>
          <w:sz w:val="20"/>
          <w:szCs w:val="20"/>
        </w:rPr>
        <w:t xml:space="preserve"> and R. </w:t>
      </w:r>
      <w:proofErr w:type="spellStart"/>
      <w:r w:rsidRPr="00137A86">
        <w:rPr>
          <w:rFonts w:cstheme="minorHAnsi"/>
          <w:sz w:val="20"/>
          <w:szCs w:val="20"/>
        </w:rPr>
        <w:t>Zeckhauser</w:t>
      </w:r>
      <w:proofErr w:type="spellEnd"/>
      <w:r w:rsidRPr="00137A86">
        <w:rPr>
          <w:rFonts w:cstheme="minorHAnsi"/>
          <w:sz w:val="20"/>
          <w:szCs w:val="20"/>
        </w:rPr>
        <w:t xml:space="preserve">, ‘Forced to Choose, Again: The Effects of Defaults on Individuals in Terminated Health Plans, in I.G. Cohen, H.F. Lynch, C.T. Robertson (eds.) </w:t>
      </w:r>
      <w:r w:rsidRPr="00137A86">
        <w:rPr>
          <w:rFonts w:cstheme="minorHAnsi"/>
          <w:i/>
          <w:iCs/>
          <w:sz w:val="20"/>
          <w:szCs w:val="20"/>
        </w:rPr>
        <w:t>Nudging Health: Health Law and Behavioural Economics</w:t>
      </w:r>
      <w:r w:rsidRPr="00137A86">
        <w:rPr>
          <w:rFonts w:cstheme="minorHAnsi"/>
          <w:sz w:val="20"/>
          <w:szCs w:val="20"/>
        </w:rPr>
        <w:t>, (Maryland: John Hopkins University Press, 2015).</w:t>
      </w:r>
    </w:p>
  </w:footnote>
  <w:footnote w:id="38">
    <w:p w14:paraId="51D9BD27" w14:textId="48F1D836" w:rsidR="008B6308" w:rsidRPr="00137A86" w:rsidRDefault="008B6308" w:rsidP="00137A86">
      <w:pPr>
        <w:spacing w:after="0" w:line="240" w:lineRule="auto"/>
        <w:jc w:val="both"/>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J. </w:t>
      </w:r>
      <w:proofErr w:type="spellStart"/>
      <w:r w:rsidRPr="00137A86">
        <w:rPr>
          <w:rFonts w:cstheme="minorHAnsi"/>
          <w:sz w:val="20"/>
          <w:szCs w:val="20"/>
        </w:rPr>
        <w:t>Blumenstock</w:t>
      </w:r>
      <w:proofErr w:type="spellEnd"/>
      <w:r w:rsidRPr="00137A86">
        <w:rPr>
          <w:rFonts w:cstheme="minorHAnsi"/>
          <w:sz w:val="20"/>
          <w:szCs w:val="20"/>
        </w:rPr>
        <w:t>, M. Callen, and T. Ghani, ‘Mobile-</w:t>
      </w:r>
      <w:proofErr w:type="spellStart"/>
      <w:r w:rsidRPr="00137A86">
        <w:rPr>
          <w:rFonts w:cstheme="minorHAnsi"/>
          <w:sz w:val="20"/>
          <w:szCs w:val="20"/>
        </w:rPr>
        <w:t>izing</w:t>
      </w:r>
      <w:proofErr w:type="spellEnd"/>
      <w:r w:rsidRPr="00137A86">
        <w:rPr>
          <w:rFonts w:cstheme="minorHAnsi"/>
          <w:sz w:val="20"/>
          <w:szCs w:val="20"/>
        </w:rPr>
        <w:t xml:space="preserve"> Savings with Automatic Contributions: Experimental Evidence on Present Bias and Default Effects in Afghanistan’ </w:t>
      </w:r>
      <w:r w:rsidRPr="00137A86">
        <w:rPr>
          <w:rFonts w:cstheme="minorHAnsi"/>
          <w:i/>
          <w:iCs/>
          <w:sz w:val="20"/>
          <w:szCs w:val="20"/>
        </w:rPr>
        <w:t>Discussion Paper 11400</w:t>
      </w:r>
      <w:r w:rsidRPr="00137A86">
        <w:rPr>
          <w:rFonts w:cstheme="minorHAnsi"/>
          <w:sz w:val="20"/>
          <w:szCs w:val="20"/>
        </w:rPr>
        <w:t xml:space="preserve">, (London: Centre for Economic Policy Research, 2016). </w:t>
      </w:r>
    </w:p>
  </w:footnote>
  <w:footnote w:id="39">
    <w:p w14:paraId="1D4998A6" w14:textId="4347C990" w:rsidR="008B6308" w:rsidRPr="00137A86" w:rsidRDefault="008B6308" w:rsidP="00137A86">
      <w:pPr>
        <w:spacing w:after="0" w:line="240" w:lineRule="auto"/>
        <w:jc w:val="both"/>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J. Brown, A. Farrell, and S. </w:t>
      </w:r>
      <w:proofErr w:type="spellStart"/>
      <w:r w:rsidRPr="00137A86">
        <w:rPr>
          <w:rFonts w:cstheme="minorHAnsi"/>
          <w:sz w:val="20"/>
          <w:szCs w:val="20"/>
        </w:rPr>
        <w:t>Weisbenner</w:t>
      </w:r>
      <w:proofErr w:type="spellEnd"/>
      <w:r w:rsidRPr="00137A86">
        <w:rPr>
          <w:rFonts w:cstheme="minorHAnsi"/>
          <w:sz w:val="20"/>
          <w:szCs w:val="20"/>
        </w:rPr>
        <w:t xml:space="preserve">, ‘Decision-Making Approaches and the Propensity to Default: Evidence and Implications’ (2016) 121 </w:t>
      </w:r>
      <w:r w:rsidRPr="00137A86">
        <w:rPr>
          <w:rFonts w:cstheme="minorHAnsi"/>
          <w:i/>
          <w:iCs/>
          <w:sz w:val="20"/>
          <w:szCs w:val="20"/>
        </w:rPr>
        <w:t xml:space="preserve">Journal of Financial Economics; </w:t>
      </w:r>
      <w:r w:rsidRPr="00137A86">
        <w:rPr>
          <w:rFonts w:cstheme="minorHAnsi"/>
          <w:iCs/>
          <w:sz w:val="20"/>
          <w:szCs w:val="20"/>
        </w:rPr>
        <w:t xml:space="preserve">M. </w:t>
      </w:r>
      <w:r w:rsidRPr="00137A86">
        <w:rPr>
          <w:rFonts w:cstheme="minorHAnsi"/>
          <w:sz w:val="20"/>
          <w:szCs w:val="20"/>
        </w:rPr>
        <w:t xml:space="preserve">Butler and F. </w:t>
      </w:r>
      <w:proofErr w:type="spellStart"/>
      <w:r w:rsidRPr="00137A86">
        <w:rPr>
          <w:rFonts w:cstheme="minorHAnsi"/>
          <w:sz w:val="20"/>
          <w:szCs w:val="20"/>
        </w:rPr>
        <w:t>Teppa</w:t>
      </w:r>
      <w:proofErr w:type="spellEnd"/>
      <w:r w:rsidRPr="00137A86">
        <w:rPr>
          <w:rFonts w:cstheme="minorHAnsi"/>
          <w:sz w:val="20"/>
          <w:szCs w:val="20"/>
        </w:rPr>
        <w:t xml:space="preserve">, ‘The Choice Between an Annuity and a Lump Sum: Results from Swiss Pension Funds’ (2007) 91 </w:t>
      </w:r>
      <w:r w:rsidRPr="00137A86">
        <w:rPr>
          <w:rFonts w:cstheme="minorHAnsi"/>
          <w:i/>
          <w:iCs/>
          <w:sz w:val="20"/>
          <w:szCs w:val="20"/>
        </w:rPr>
        <w:t xml:space="preserve">Journal of Public Economics; </w:t>
      </w:r>
      <w:r w:rsidRPr="00137A86">
        <w:rPr>
          <w:rFonts w:cstheme="minorHAnsi"/>
          <w:iCs/>
          <w:sz w:val="20"/>
          <w:szCs w:val="20"/>
        </w:rPr>
        <w:t>J.</w:t>
      </w:r>
      <w:r w:rsidRPr="00137A86">
        <w:rPr>
          <w:rFonts w:cstheme="minorHAnsi"/>
          <w:i/>
          <w:iCs/>
          <w:sz w:val="20"/>
          <w:szCs w:val="20"/>
        </w:rPr>
        <w:t xml:space="preserve"> </w:t>
      </w:r>
      <w:r w:rsidRPr="00137A86">
        <w:rPr>
          <w:rFonts w:cstheme="minorHAnsi"/>
          <w:sz w:val="20"/>
          <w:szCs w:val="20"/>
        </w:rPr>
        <w:t xml:space="preserve">Choi, D. </w:t>
      </w:r>
      <w:proofErr w:type="spellStart"/>
      <w:r w:rsidRPr="00137A86">
        <w:rPr>
          <w:rFonts w:cstheme="minorHAnsi"/>
          <w:sz w:val="20"/>
          <w:szCs w:val="20"/>
        </w:rPr>
        <w:t>Laibson</w:t>
      </w:r>
      <w:proofErr w:type="spellEnd"/>
      <w:r w:rsidRPr="00137A86">
        <w:rPr>
          <w:rFonts w:cstheme="minorHAnsi"/>
          <w:sz w:val="20"/>
          <w:szCs w:val="20"/>
        </w:rPr>
        <w:t xml:space="preserve">, B. </w:t>
      </w:r>
      <w:proofErr w:type="spellStart"/>
      <w:r w:rsidRPr="00137A86">
        <w:rPr>
          <w:rFonts w:cstheme="minorHAnsi"/>
          <w:sz w:val="20"/>
          <w:szCs w:val="20"/>
        </w:rPr>
        <w:t>Madrian</w:t>
      </w:r>
      <w:proofErr w:type="spellEnd"/>
      <w:r w:rsidRPr="00137A86">
        <w:rPr>
          <w:rFonts w:cstheme="minorHAnsi"/>
          <w:sz w:val="20"/>
          <w:szCs w:val="20"/>
        </w:rPr>
        <w:t xml:space="preserve">, and A. </w:t>
      </w:r>
      <w:proofErr w:type="spellStart"/>
      <w:r w:rsidRPr="00137A86">
        <w:rPr>
          <w:rFonts w:cstheme="minorHAnsi"/>
          <w:sz w:val="20"/>
          <w:szCs w:val="20"/>
        </w:rPr>
        <w:t>Metrick</w:t>
      </w:r>
      <w:proofErr w:type="spellEnd"/>
      <w:r w:rsidRPr="00137A86">
        <w:rPr>
          <w:rFonts w:cstheme="minorHAnsi"/>
          <w:sz w:val="20"/>
          <w:szCs w:val="20"/>
        </w:rPr>
        <w:t xml:space="preserve">, ‘Optimal Defaults’ (2003) 93 </w:t>
      </w:r>
      <w:r w:rsidRPr="00137A86">
        <w:rPr>
          <w:rFonts w:cstheme="minorHAnsi"/>
          <w:i/>
          <w:iCs/>
          <w:sz w:val="20"/>
          <w:szCs w:val="20"/>
        </w:rPr>
        <w:t>American Economic Association Proceedings</w:t>
      </w:r>
      <w:r w:rsidRPr="00137A86">
        <w:rPr>
          <w:rFonts w:cstheme="minorHAnsi"/>
          <w:iCs/>
          <w:sz w:val="20"/>
          <w:szCs w:val="20"/>
        </w:rPr>
        <w:t xml:space="preserve">; and H. </w:t>
      </w:r>
      <w:proofErr w:type="spellStart"/>
      <w:r w:rsidRPr="00137A86">
        <w:rPr>
          <w:rFonts w:cstheme="minorHAnsi"/>
          <w:sz w:val="20"/>
          <w:szCs w:val="20"/>
        </w:rPr>
        <w:t>Cronqvist</w:t>
      </w:r>
      <w:proofErr w:type="spellEnd"/>
      <w:r w:rsidRPr="00137A86">
        <w:rPr>
          <w:rFonts w:cstheme="minorHAnsi"/>
          <w:sz w:val="20"/>
          <w:szCs w:val="20"/>
        </w:rPr>
        <w:t xml:space="preserve"> and R. </w:t>
      </w:r>
      <w:proofErr w:type="spellStart"/>
      <w:r w:rsidRPr="00137A86">
        <w:rPr>
          <w:rFonts w:cstheme="minorHAnsi"/>
          <w:sz w:val="20"/>
          <w:szCs w:val="20"/>
        </w:rPr>
        <w:t>Thaler</w:t>
      </w:r>
      <w:proofErr w:type="spellEnd"/>
      <w:r w:rsidRPr="00137A86">
        <w:rPr>
          <w:rFonts w:cstheme="minorHAnsi"/>
          <w:sz w:val="20"/>
          <w:szCs w:val="20"/>
        </w:rPr>
        <w:t xml:space="preserve">, ‘Design Choices in Privatized Social-Security Systems: Learning from the Swedish Experience’ (2004) 94 </w:t>
      </w:r>
      <w:r w:rsidRPr="00137A86">
        <w:rPr>
          <w:rFonts w:cstheme="minorHAnsi"/>
          <w:i/>
          <w:iCs/>
          <w:sz w:val="20"/>
          <w:szCs w:val="20"/>
        </w:rPr>
        <w:t>American Economic Association Proceedings</w:t>
      </w:r>
      <w:r w:rsidRPr="00137A86">
        <w:rPr>
          <w:rFonts w:cstheme="minorHAnsi"/>
          <w:sz w:val="20"/>
          <w:szCs w:val="20"/>
        </w:rPr>
        <w:t xml:space="preserve">. This can include choosing the pension plan and/or the contribution rate. </w:t>
      </w:r>
    </w:p>
  </w:footnote>
  <w:footnote w:id="40">
    <w:p w14:paraId="14970F4C" w14:textId="7C0B060B" w:rsidR="008B6308" w:rsidRPr="00137A86" w:rsidRDefault="008B6308" w:rsidP="00137A86">
      <w:pPr>
        <w:pStyle w:val="FootnoteText"/>
        <w:rPr>
          <w:rFonts w:cstheme="minorHAnsi"/>
        </w:rPr>
      </w:pPr>
      <w:r w:rsidRPr="00137A86">
        <w:rPr>
          <w:rStyle w:val="FootnoteReference"/>
          <w:rFonts w:cstheme="minorHAnsi"/>
        </w:rPr>
        <w:footnoteRef/>
      </w:r>
      <w:r w:rsidRPr="00137A86">
        <w:rPr>
          <w:rFonts w:cstheme="minorHAnsi"/>
        </w:rPr>
        <w:t xml:space="preserve"> </w:t>
      </w:r>
      <w:proofErr w:type="spellStart"/>
      <w:proofErr w:type="gramStart"/>
      <w:r w:rsidRPr="00137A86">
        <w:rPr>
          <w:rFonts w:cstheme="minorHAnsi"/>
        </w:rPr>
        <w:t>Cronqvist</w:t>
      </w:r>
      <w:proofErr w:type="spellEnd"/>
      <w:r w:rsidRPr="00137A86">
        <w:rPr>
          <w:rFonts w:cstheme="minorHAnsi"/>
        </w:rPr>
        <w:t xml:space="preserve"> and </w:t>
      </w:r>
      <w:proofErr w:type="spellStart"/>
      <w:r w:rsidRPr="00137A86">
        <w:rPr>
          <w:rFonts w:cstheme="minorHAnsi"/>
        </w:rPr>
        <w:t>Thaler</w:t>
      </w:r>
      <w:proofErr w:type="spellEnd"/>
      <w:r w:rsidRPr="00137A86">
        <w:rPr>
          <w:rFonts w:cstheme="minorHAnsi"/>
        </w:rPr>
        <w:t xml:space="preserve"> above n. 39, 425-27.</w:t>
      </w:r>
      <w:proofErr w:type="gramEnd"/>
    </w:p>
  </w:footnote>
  <w:footnote w:id="41">
    <w:p w14:paraId="408AF702" w14:textId="4DF3E030" w:rsidR="008B6308" w:rsidRPr="00137A86" w:rsidRDefault="008B6308" w:rsidP="00137A86">
      <w:pPr>
        <w:pStyle w:val="FootnoteText"/>
        <w:rPr>
          <w:rFonts w:cstheme="minorHAnsi"/>
        </w:rPr>
      </w:pPr>
      <w:r w:rsidRPr="00137A86">
        <w:rPr>
          <w:rStyle w:val="FootnoteReference"/>
          <w:rFonts w:cstheme="minorHAnsi"/>
        </w:rPr>
        <w:footnoteRef/>
      </w:r>
      <w:r w:rsidRPr="00137A86">
        <w:rPr>
          <w:rFonts w:cstheme="minorHAnsi"/>
        </w:rPr>
        <w:t xml:space="preserve"> </w:t>
      </w:r>
      <w:proofErr w:type="spellStart"/>
      <w:proofErr w:type="gramStart"/>
      <w:r w:rsidRPr="00137A86">
        <w:rPr>
          <w:rFonts w:cstheme="minorHAnsi"/>
        </w:rPr>
        <w:t>Cronqvist</w:t>
      </w:r>
      <w:proofErr w:type="spellEnd"/>
      <w:r w:rsidRPr="00137A86">
        <w:rPr>
          <w:rFonts w:cstheme="minorHAnsi"/>
        </w:rPr>
        <w:t xml:space="preserve"> and </w:t>
      </w:r>
      <w:proofErr w:type="spellStart"/>
      <w:r w:rsidRPr="00137A86">
        <w:rPr>
          <w:rFonts w:cstheme="minorHAnsi"/>
        </w:rPr>
        <w:t>Thaler</w:t>
      </w:r>
      <w:proofErr w:type="spellEnd"/>
      <w:r w:rsidRPr="00137A86">
        <w:rPr>
          <w:rFonts w:cstheme="minorHAnsi"/>
        </w:rPr>
        <w:t xml:space="preserve"> above n. </w:t>
      </w:r>
      <w:r w:rsidR="00365072" w:rsidRPr="00137A86">
        <w:rPr>
          <w:rFonts w:cstheme="minorHAnsi"/>
        </w:rPr>
        <w:t>39</w:t>
      </w:r>
      <w:r w:rsidRPr="00137A86">
        <w:rPr>
          <w:rFonts w:cstheme="minorHAnsi"/>
        </w:rPr>
        <w:t>, 425-27.</w:t>
      </w:r>
      <w:proofErr w:type="gramEnd"/>
    </w:p>
  </w:footnote>
  <w:footnote w:id="42">
    <w:p w14:paraId="5F22A4F8" w14:textId="1FEC6596" w:rsidR="008B6308" w:rsidRPr="00137A86" w:rsidRDefault="008B6308" w:rsidP="00137A86">
      <w:pPr>
        <w:pStyle w:val="FootnoteText"/>
        <w:rPr>
          <w:rFonts w:cstheme="minorHAnsi"/>
        </w:rPr>
      </w:pPr>
      <w:r w:rsidRPr="00137A86">
        <w:rPr>
          <w:rStyle w:val="FootnoteReference"/>
          <w:rFonts w:cstheme="minorHAnsi"/>
        </w:rPr>
        <w:footnoteRef/>
      </w:r>
      <w:r w:rsidRPr="00137A86">
        <w:rPr>
          <w:rFonts w:cstheme="minorHAnsi"/>
        </w:rPr>
        <w:t xml:space="preserve"> </w:t>
      </w:r>
      <w:proofErr w:type="spellStart"/>
      <w:proofErr w:type="gramStart"/>
      <w:r w:rsidRPr="00137A86">
        <w:rPr>
          <w:rFonts w:cstheme="minorHAnsi"/>
        </w:rPr>
        <w:t>Cronqvist</w:t>
      </w:r>
      <w:proofErr w:type="spellEnd"/>
      <w:r w:rsidRPr="00137A86">
        <w:rPr>
          <w:rFonts w:cstheme="minorHAnsi"/>
        </w:rPr>
        <w:t xml:space="preserve"> and </w:t>
      </w:r>
      <w:proofErr w:type="spellStart"/>
      <w:r w:rsidRPr="00137A86">
        <w:rPr>
          <w:rFonts w:cstheme="minorHAnsi"/>
        </w:rPr>
        <w:t>Thaler</w:t>
      </w:r>
      <w:proofErr w:type="spellEnd"/>
      <w:r w:rsidRPr="00137A86">
        <w:rPr>
          <w:rFonts w:cstheme="minorHAnsi"/>
        </w:rPr>
        <w:t xml:space="preserve"> above n. </w:t>
      </w:r>
      <w:r w:rsidR="00365072" w:rsidRPr="00137A86">
        <w:rPr>
          <w:rFonts w:cstheme="minorHAnsi"/>
        </w:rPr>
        <w:t>39</w:t>
      </w:r>
      <w:r w:rsidRPr="00137A86">
        <w:rPr>
          <w:rFonts w:cstheme="minorHAnsi"/>
        </w:rPr>
        <w:t>, 425-27.</w:t>
      </w:r>
      <w:proofErr w:type="gramEnd"/>
      <w:r w:rsidRPr="00137A86">
        <w:rPr>
          <w:rFonts w:cstheme="minorHAnsi"/>
        </w:rPr>
        <w:t xml:space="preserve"> </w:t>
      </w:r>
    </w:p>
  </w:footnote>
  <w:footnote w:id="43">
    <w:p w14:paraId="181F81FD" w14:textId="4B01DE4B" w:rsidR="008B6308" w:rsidRPr="00137A86" w:rsidRDefault="008B6308" w:rsidP="00137A86">
      <w:pPr>
        <w:pStyle w:val="FootnoteText"/>
        <w:rPr>
          <w:rFonts w:cstheme="minorHAnsi"/>
        </w:rPr>
      </w:pPr>
      <w:r w:rsidRPr="00137A86">
        <w:rPr>
          <w:rStyle w:val="FootnoteReference"/>
          <w:rFonts w:cstheme="minorHAnsi"/>
        </w:rPr>
        <w:footnoteRef/>
      </w:r>
      <w:r w:rsidRPr="00137A86">
        <w:rPr>
          <w:rFonts w:cstheme="minorHAnsi"/>
        </w:rPr>
        <w:t xml:space="preserve"> </w:t>
      </w:r>
      <w:proofErr w:type="spellStart"/>
      <w:proofErr w:type="gramStart"/>
      <w:r w:rsidRPr="00137A86">
        <w:rPr>
          <w:rFonts w:cstheme="minorHAnsi"/>
        </w:rPr>
        <w:t>Cronqvist</w:t>
      </w:r>
      <w:proofErr w:type="spellEnd"/>
      <w:r w:rsidRPr="00137A86">
        <w:rPr>
          <w:rFonts w:cstheme="minorHAnsi"/>
        </w:rPr>
        <w:t xml:space="preserve"> and </w:t>
      </w:r>
      <w:proofErr w:type="spellStart"/>
      <w:r w:rsidRPr="00137A86">
        <w:rPr>
          <w:rFonts w:cstheme="minorHAnsi"/>
        </w:rPr>
        <w:t>Thaler</w:t>
      </w:r>
      <w:proofErr w:type="spellEnd"/>
      <w:r w:rsidRPr="00137A86">
        <w:rPr>
          <w:rFonts w:cstheme="minorHAnsi"/>
        </w:rPr>
        <w:t xml:space="preserve"> above n. </w:t>
      </w:r>
      <w:r w:rsidR="00365072" w:rsidRPr="00137A86">
        <w:rPr>
          <w:rFonts w:cstheme="minorHAnsi"/>
        </w:rPr>
        <w:t>39</w:t>
      </w:r>
      <w:r w:rsidRPr="00137A86">
        <w:rPr>
          <w:rFonts w:cstheme="minorHAnsi"/>
        </w:rPr>
        <w:t>, 425-27.</w:t>
      </w:r>
      <w:proofErr w:type="gramEnd"/>
    </w:p>
  </w:footnote>
  <w:footnote w:id="44">
    <w:p w14:paraId="03B6463F" w14:textId="24212E14" w:rsidR="008B6308" w:rsidRPr="00137A86" w:rsidRDefault="008B6308" w:rsidP="000C35D9">
      <w:pPr>
        <w:spacing w:after="0" w:line="240" w:lineRule="auto"/>
        <w:jc w:val="both"/>
        <w:rPr>
          <w:rFonts w:cstheme="minorHAnsi"/>
          <w:sz w:val="20"/>
          <w:szCs w:val="20"/>
        </w:rPr>
      </w:pPr>
      <w:r w:rsidRPr="00137A86">
        <w:rPr>
          <w:rStyle w:val="FootnoteReference"/>
          <w:rFonts w:cstheme="minorHAnsi"/>
          <w:sz w:val="20"/>
          <w:szCs w:val="20"/>
        </w:rPr>
        <w:footnoteRef/>
      </w:r>
      <w:r w:rsidR="00137A86">
        <w:rPr>
          <w:rFonts w:cstheme="minorHAnsi"/>
          <w:sz w:val="20"/>
          <w:szCs w:val="20"/>
        </w:rPr>
        <w:t xml:space="preserve"> </w:t>
      </w:r>
      <w:r w:rsidRPr="00137A86">
        <w:rPr>
          <w:rFonts w:cstheme="minorHAnsi"/>
          <w:sz w:val="20"/>
          <w:szCs w:val="20"/>
        </w:rPr>
        <w:t xml:space="preserve">E. Johnson, J. Hershey, J. </w:t>
      </w:r>
      <w:proofErr w:type="spellStart"/>
      <w:r w:rsidRPr="00137A86">
        <w:rPr>
          <w:rFonts w:cstheme="minorHAnsi"/>
          <w:sz w:val="20"/>
          <w:szCs w:val="20"/>
        </w:rPr>
        <w:t>Meszaros</w:t>
      </w:r>
      <w:proofErr w:type="spellEnd"/>
      <w:r w:rsidRPr="00137A86">
        <w:rPr>
          <w:rFonts w:cstheme="minorHAnsi"/>
          <w:sz w:val="20"/>
          <w:szCs w:val="20"/>
        </w:rPr>
        <w:t xml:space="preserve">, and H. </w:t>
      </w:r>
      <w:proofErr w:type="spellStart"/>
      <w:r w:rsidRPr="00137A86">
        <w:rPr>
          <w:rFonts w:cstheme="minorHAnsi"/>
          <w:sz w:val="20"/>
          <w:szCs w:val="20"/>
        </w:rPr>
        <w:t>Kunreuther</w:t>
      </w:r>
      <w:proofErr w:type="spellEnd"/>
      <w:r w:rsidRPr="00137A86">
        <w:rPr>
          <w:rFonts w:cstheme="minorHAnsi"/>
          <w:sz w:val="20"/>
          <w:szCs w:val="20"/>
        </w:rPr>
        <w:t xml:space="preserve">, ‘Framing, Probability Distortions, and Insurance Decisions’ (1993) 7 </w:t>
      </w:r>
      <w:proofErr w:type="gramStart"/>
      <w:r w:rsidRPr="00137A86">
        <w:rPr>
          <w:rFonts w:cstheme="minorHAnsi"/>
          <w:i/>
          <w:iCs/>
          <w:sz w:val="20"/>
          <w:szCs w:val="20"/>
        </w:rPr>
        <w:t>Journal</w:t>
      </w:r>
      <w:proofErr w:type="gramEnd"/>
      <w:r w:rsidRPr="00137A86">
        <w:rPr>
          <w:rFonts w:cstheme="minorHAnsi"/>
          <w:i/>
          <w:iCs/>
          <w:sz w:val="20"/>
          <w:szCs w:val="20"/>
        </w:rPr>
        <w:t xml:space="preserve"> of Risk and Uncertainty</w:t>
      </w:r>
      <w:r w:rsidRPr="00137A86">
        <w:rPr>
          <w:rFonts w:cstheme="minorHAnsi"/>
          <w:sz w:val="20"/>
          <w:szCs w:val="20"/>
        </w:rPr>
        <w:t>.</w:t>
      </w:r>
    </w:p>
  </w:footnote>
  <w:footnote w:id="45">
    <w:p w14:paraId="109D69AF" w14:textId="2523ECE8" w:rsidR="008B6308" w:rsidRPr="00137A86" w:rsidRDefault="008B6308" w:rsidP="00137A86">
      <w:pPr>
        <w:pStyle w:val="FootnoteText"/>
        <w:rPr>
          <w:rFonts w:cstheme="minorHAnsi"/>
        </w:rPr>
      </w:pPr>
      <w:r w:rsidRPr="00137A86">
        <w:rPr>
          <w:rStyle w:val="FootnoteReference"/>
          <w:rFonts w:cstheme="minorHAnsi"/>
        </w:rPr>
        <w:footnoteRef/>
      </w:r>
      <w:r w:rsidRPr="00137A86">
        <w:rPr>
          <w:rFonts w:cstheme="minorHAnsi"/>
        </w:rPr>
        <w:t xml:space="preserve"> </w:t>
      </w:r>
      <w:proofErr w:type="gramStart"/>
      <w:r w:rsidRPr="00137A86">
        <w:rPr>
          <w:rFonts w:cstheme="minorHAnsi"/>
        </w:rPr>
        <w:t xml:space="preserve">(Johnson </w:t>
      </w:r>
      <w:r w:rsidRPr="00137A86">
        <w:rPr>
          <w:rFonts w:cstheme="minorHAnsi"/>
          <w:i/>
        </w:rPr>
        <w:t>et al.</w:t>
      </w:r>
      <w:r w:rsidRPr="00137A86">
        <w:rPr>
          <w:rFonts w:cstheme="minorHAnsi"/>
        </w:rPr>
        <w:t xml:space="preserve"> above n. 44.</w:t>
      </w:r>
      <w:proofErr w:type="gramEnd"/>
    </w:p>
  </w:footnote>
  <w:footnote w:id="46">
    <w:p w14:paraId="061C5D4A" w14:textId="21B9C2EF" w:rsidR="008B6308" w:rsidRPr="00137A86" w:rsidRDefault="008B6308" w:rsidP="00137A86">
      <w:pPr>
        <w:pStyle w:val="FootnoteText"/>
        <w:rPr>
          <w:rFonts w:cstheme="minorHAnsi"/>
        </w:rPr>
      </w:pPr>
      <w:r w:rsidRPr="00137A86">
        <w:rPr>
          <w:rStyle w:val="FootnoteReference"/>
          <w:rFonts w:cstheme="minorHAnsi"/>
        </w:rPr>
        <w:footnoteRef/>
      </w:r>
      <w:r w:rsidRPr="00137A86">
        <w:rPr>
          <w:rFonts w:cstheme="minorHAnsi"/>
        </w:rPr>
        <w:t xml:space="preserve"> </w:t>
      </w:r>
      <w:proofErr w:type="gramStart"/>
      <w:r w:rsidRPr="00137A86">
        <w:rPr>
          <w:rFonts w:cstheme="minorHAnsi"/>
        </w:rPr>
        <w:t xml:space="preserve">Johnson </w:t>
      </w:r>
      <w:r w:rsidRPr="00137A86">
        <w:rPr>
          <w:rFonts w:cstheme="minorHAnsi"/>
          <w:i/>
        </w:rPr>
        <w:t>et al.</w:t>
      </w:r>
      <w:r w:rsidRPr="00137A86">
        <w:rPr>
          <w:rFonts w:cstheme="minorHAnsi"/>
        </w:rPr>
        <w:t xml:space="preserve"> above n. 44, 46-7.</w:t>
      </w:r>
      <w:proofErr w:type="gramEnd"/>
    </w:p>
  </w:footnote>
  <w:footnote w:id="47">
    <w:p w14:paraId="67A50CE1" w14:textId="01AA6619" w:rsidR="008B6308" w:rsidRPr="00137A86" w:rsidRDefault="008B6308" w:rsidP="00137A86">
      <w:pPr>
        <w:pStyle w:val="FootnoteText"/>
        <w:rPr>
          <w:rFonts w:cstheme="minorHAnsi"/>
        </w:rPr>
      </w:pPr>
      <w:r w:rsidRPr="00137A86">
        <w:rPr>
          <w:rStyle w:val="FootnoteReference"/>
          <w:rFonts w:cstheme="minorHAnsi"/>
        </w:rPr>
        <w:footnoteRef/>
      </w:r>
      <w:r w:rsidRPr="00137A86">
        <w:rPr>
          <w:rFonts w:cstheme="minorHAnsi"/>
        </w:rPr>
        <w:t xml:space="preserve"> Dinner </w:t>
      </w:r>
      <w:r w:rsidRPr="00137A86">
        <w:rPr>
          <w:rFonts w:cstheme="minorHAnsi"/>
          <w:i/>
        </w:rPr>
        <w:t>et al.</w:t>
      </w:r>
      <w:r w:rsidRPr="00137A86">
        <w:rPr>
          <w:rFonts w:cstheme="minorHAnsi"/>
        </w:rPr>
        <w:t xml:space="preserve"> above n. 34; </w:t>
      </w:r>
      <w:proofErr w:type="spellStart"/>
      <w:r w:rsidRPr="00137A86">
        <w:rPr>
          <w:rFonts w:cstheme="minorHAnsi"/>
        </w:rPr>
        <w:t>Ghesla</w:t>
      </w:r>
      <w:proofErr w:type="spellEnd"/>
      <w:r w:rsidRPr="00137A86">
        <w:rPr>
          <w:rFonts w:cstheme="minorHAnsi"/>
        </w:rPr>
        <w:t xml:space="preserve"> above n. 34</w:t>
      </w:r>
      <w:proofErr w:type="gramStart"/>
      <w:r w:rsidRPr="00137A86">
        <w:rPr>
          <w:rFonts w:cstheme="minorHAnsi"/>
        </w:rPr>
        <w:t>;,</w:t>
      </w:r>
      <w:proofErr w:type="gramEnd"/>
      <w:r w:rsidRPr="00137A86">
        <w:rPr>
          <w:rFonts w:cstheme="minorHAnsi"/>
        </w:rPr>
        <w:t xml:space="preserve"> Vetter and </w:t>
      </w:r>
      <w:proofErr w:type="spellStart"/>
      <w:r w:rsidRPr="00137A86">
        <w:rPr>
          <w:rFonts w:cstheme="minorHAnsi"/>
        </w:rPr>
        <w:t>Kutzner</w:t>
      </w:r>
      <w:proofErr w:type="spellEnd"/>
      <w:r w:rsidRPr="00137A86">
        <w:rPr>
          <w:rFonts w:cstheme="minorHAnsi"/>
        </w:rPr>
        <w:t xml:space="preserve"> above, n. 34.</w:t>
      </w:r>
    </w:p>
  </w:footnote>
  <w:footnote w:id="48">
    <w:p w14:paraId="23045DF1" w14:textId="24A88DAC" w:rsidR="008B6308" w:rsidRPr="00137A86" w:rsidRDefault="008B6308" w:rsidP="00137A86">
      <w:pPr>
        <w:pStyle w:val="FootnoteText"/>
        <w:rPr>
          <w:rFonts w:cstheme="minorHAnsi"/>
        </w:rPr>
      </w:pPr>
      <w:r w:rsidRPr="00137A86">
        <w:rPr>
          <w:rStyle w:val="FootnoteReference"/>
          <w:rFonts w:cstheme="minorHAnsi"/>
        </w:rPr>
        <w:footnoteRef/>
      </w:r>
      <w:r w:rsidRPr="00137A86">
        <w:rPr>
          <w:rFonts w:cstheme="minorHAnsi"/>
        </w:rPr>
        <w:t xml:space="preserve"> </w:t>
      </w:r>
      <w:proofErr w:type="spellStart"/>
      <w:r w:rsidRPr="00137A86">
        <w:rPr>
          <w:rFonts w:cstheme="minorHAnsi"/>
        </w:rPr>
        <w:t>Davidai</w:t>
      </w:r>
      <w:proofErr w:type="spellEnd"/>
      <w:r w:rsidRPr="00137A86">
        <w:rPr>
          <w:rFonts w:cstheme="minorHAnsi"/>
        </w:rPr>
        <w:t xml:space="preserve"> </w:t>
      </w:r>
      <w:r w:rsidRPr="00137A86">
        <w:rPr>
          <w:rFonts w:cstheme="minorHAnsi"/>
          <w:i/>
        </w:rPr>
        <w:t xml:space="preserve">et al. </w:t>
      </w:r>
      <w:r w:rsidRPr="00137A86">
        <w:rPr>
          <w:rFonts w:cstheme="minorHAnsi"/>
        </w:rPr>
        <w:t>above n. 22</w:t>
      </w:r>
      <w:proofErr w:type="gramStart"/>
      <w:r w:rsidRPr="00137A86">
        <w:rPr>
          <w:rFonts w:cstheme="minorHAnsi"/>
        </w:rPr>
        <w:t>;,</w:t>
      </w:r>
      <w:proofErr w:type="gramEnd"/>
      <w:r w:rsidRPr="00137A86">
        <w:rPr>
          <w:rFonts w:cstheme="minorHAnsi"/>
        </w:rPr>
        <w:t xml:space="preserve"> Johnson and Goldstein above n. 36; McKenzie above n. 36.</w:t>
      </w:r>
    </w:p>
  </w:footnote>
  <w:footnote w:id="49">
    <w:p w14:paraId="24A228D6" w14:textId="6E7A7F34" w:rsidR="008B6308" w:rsidRPr="00137A86" w:rsidRDefault="008B6308" w:rsidP="00137A86">
      <w:pPr>
        <w:pStyle w:val="FootnoteText"/>
        <w:rPr>
          <w:rFonts w:cstheme="minorHAnsi"/>
        </w:rPr>
      </w:pPr>
      <w:r w:rsidRPr="00137A86">
        <w:rPr>
          <w:rStyle w:val="FootnoteReference"/>
          <w:rFonts w:cstheme="minorHAnsi"/>
        </w:rPr>
        <w:footnoteRef/>
      </w:r>
      <w:r w:rsidRPr="00137A86">
        <w:rPr>
          <w:rFonts w:cstheme="minorHAnsi"/>
        </w:rPr>
        <w:t xml:space="preserve"> </w:t>
      </w:r>
      <w:proofErr w:type="gramStart"/>
      <w:r w:rsidRPr="00137A86">
        <w:rPr>
          <w:rFonts w:cstheme="minorHAnsi"/>
        </w:rPr>
        <w:t xml:space="preserve">Everett </w:t>
      </w:r>
      <w:r w:rsidRPr="00137A86">
        <w:rPr>
          <w:rFonts w:cstheme="minorHAnsi"/>
          <w:i/>
        </w:rPr>
        <w:t>et al.</w:t>
      </w:r>
      <w:r w:rsidRPr="00137A86">
        <w:rPr>
          <w:rFonts w:cstheme="minorHAnsi"/>
        </w:rPr>
        <w:t xml:space="preserve"> above n. 30; 2015, </w:t>
      </w:r>
      <w:proofErr w:type="spellStart"/>
      <w:r w:rsidRPr="00137A86">
        <w:rPr>
          <w:rFonts w:cstheme="minorHAnsi"/>
        </w:rPr>
        <w:t>Goswami</w:t>
      </w:r>
      <w:proofErr w:type="spellEnd"/>
      <w:r w:rsidRPr="00137A86">
        <w:rPr>
          <w:rFonts w:cstheme="minorHAnsi"/>
        </w:rPr>
        <w:t xml:space="preserve"> and </w:t>
      </w:r>
      <w:proofErr w:type="spellStart"/>
      <w:r w:rsidRPr="00137A86">
        <w:rPr>
          <w:rFonts w:cstheme="minorHAnsi"/>
        </w:rPr>
        <w:t>Urminsky</w:t>
      </w:r>
      <w:proofErr w:type="spellEnd"/>
      <w:r w:rsidRPr="00137A86">
        <w:rPr>
          <w:rFonts w:cstheme="minorHAnsi"/>
        </w:rPr>
        <w:t xml:space="preserve"> above n. 30.</w:t>
      </w:r>
      <w:proofErr w:type="gramEnd"/>
    </w:p>
  </w:footnote>
  <w:footnote w:id="50">
    <w:p w14:paraId="7D9C5BE0" w14:textId="59E18968" w:rsidR="008B6308" w:rsidRPr="00137A86" w:rsidRDefault="008B6308" w:rsidP="00137A86">
      <w:pPr>
        <w:pStyle w:val="FootnoteText"/>
        <w:rPr>
          <w:rFonts w:cstheme="minorHAnsi"/>
          <w:b/>
        </w:rPr>
      </w:pPr>
      <w:r w:rsidRPr="00137A86">
        <w:rPr>
          <w:rStyle w:val="FootnoteReference"/>
          <w:rFonts w:cstheme="minorHAnsi"/>
        </w:rPr>
        <w:footnoteRef/>
      </w:r>
      <w:r w:rsidRPr="00137A86">
        <w:rPr>
          <w:rFonts w:cstheme="minorHAnsi"/>
        </w:rPr>
        <w:t xml:space="preserve"> </w:t>
      </w:r>
      <w:r w:rsidR="000C35D9">
        <w:rPr>
          <w:rFonts w:cstheme="minorHAnsi"/>
        </w:rPr>
        <w:t xml:space="preserve">L. </w:t>
      </w:r>
      <w:proofErr w:type="spellStart"/>
      <w:r w:rsidR="00B34893" w:rsidRPr="000C35D9">
        <w:rPr>
          <w:rFonts w:cstheme="minorHAnsi"/>
        </w:rPr>
        <w:t>Kressel</w:t>
      </w:r>
      <w:proofErr w:type="spellEnd"/>
      <w:r w:rsidR="00B34893" w:rsidRPr="000C35D9">
        <w:rPr>
          <w:rFonts w:cstheme="minorHAnsi"/>
        </w:rPr>
        <w:t xml:space="preserve"> and </w:t>
      </w:r>
      <w:r w:rsidR="000C35D9" w:rsidRPr="000C35D9">
        <w:rPr>
          <w:rFonts w:cstheme="minorHAnsi"/>
        </w:rPr>
        <w:t xml:space="preserve">G. </w:t>
      </w:r>
      <w:r w:rsidR="00B34893" w:rsidRPr="000C35D9">
        <w:rPr>
          <w:rFonts w:cstheme="minorHAnsi"/>
        </w:rPr>
        <w:t xml:space="preserve">Chapman, </w:t>
      </w:r>
      <w:r w:rsidR="000C35D9" w:rsidRPr="000C35D9">
        <w:rPr>
          <w:rFonts w:cstheme="minorHAnsi"/>
        </w:rPr>
        <w:t>‘</w:t>
      </w:r>
      <w:r w:rsidR="00B34893" w:rsidRPr="000C35D9">
        <w:rPr>
          <w:rFonts w:cstheme="minorHAnsi"/>
        </w:rPr>
        <w:t>The Default Effect in End-of-Life Medical Treatment Preferences</w:t>
      </w:r>
      <w:r w:rsidR="000C35D9" w:rsidRPr="000C35D9">
        <w:rPr>
          <w:rFonts w:cstheme="minorHAnsi"/>
        </w:rPr>
        <w:t xml:space="preserve">’ (2007) 27 </w:t>
      </w:r>
      <w:r w:rsidR="00B34893" w:rsidRPr="000C35D9">
        <w:rPr>
          <w:rFonts w:cstheme="minorHAnsi"/>
          <w:i/>
        </w:rPr>
        <w:t xml:space="preserve">Medical </w:t>
      </w:r>
      <w:r w:rsidR="000C35D9" w:rsidRPr="000C35D9">
        <w:rPr>
          <w:rFonts w:cstheme="minorHAnsi"/>
          <w:i/>
        </w:rPr>
        <w:t>Decision Making</w:t>
      </w:r>
      <w:r w:rsidR="000C35D9" w:rsidRPr="000C35D9">
        <w:rPr>
          <w:rFonts w:cstheme="minorHAnsi"/>
        </w:rPr>
        <w:t>.</w:t>
      </w:r>
      <w:r w:rsidR="00B34893" w:rsidRPr="000C35D9">
        <w:rPr>
          <w:rFonts w:cstheme="minorHAnsi"/>
        </w:rPr>
        <w:t xml:space="preserve"> </w:t>
      </w:r>
    </w:p>
  </w:footnote>
  <w:footnote w:id="51">
    <w:p w14:paraId="2B71E243" w14:textId="77777777" w:rsidR="008B6308" w:rsidRPr="00137A86" w:rsidRDefault="008B6308" w:rsidP="00137A86">
      <w:pPr>
        <w:pStyle w:val="FootnoteText"/>
        <w:jc w:val="both"/>
        <w:rPr>
          <w:rFonts w:cstheme="minorHAnsi"/>
        </w:rPr>
      </w:pPr>
      <w:r w:rsidRPr="00137A86">
        <w:rPr>
          <w:rStyle w:val="FootnoteReference"/>
          <w:rFonts w:cstheme="minorHAnsi"/>
        </w:rPr>
        <w:footnoteRef/>
      </w:r>
      <w:r w:rsidRPr="00137A86">
        <w:rPr>
          <w:rFonts w:cstheme="minorHAnsi"/>
        </w:rPr>
        <w:t xml:space="preserve"> Switching costs are a specific type of transaction costs. Another ‘rational’ explanation focuses on network effects, but these are relevant to corporations rather than individuals. </w:t>
      </w:r>
    </w:p>
  </w:footnote>
  <w:footnote w:id="52">
    <w:p w14:paraId="0BF8A33A" w14:textId="6622582B" w:rsidR="008B6308" w:rsidRPr="00137A86" w:rsidRDefault="008B6308" w:rsidP="000C35D9">
      <w:pPr>
        <w:spacing w:after="0" w:line="240" w:lineRule="auto"/>
        <w:jc w:val="both"/>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C. Wilson, L. </w:t>
      </w:r>
      <w:proofErr w:type="spellStart"/>
      <w:r w:rsidRPr="00137A86">
        <w:rPr>
          <w:rFonts w:cstheme="minorHAnsi"/>
          <w:sz w:val="20"/>
          <w:szCs w:val="20"/>
        </w:rPr>
        <w:t>Garrod</w:t>
      </w:r>
      <w:proofErr w:type="spellEnd"/>
      <w:r w:rsidRPr="00137A86">
        <w:rPr>
          <w:rFonts w:cstheme="minorHAnsi"/>
          <w:sz w:val="20"/>
          <w:szCs w:val="20"/>
        </w:rPr>
        <w:t xml:space="preserve"> and A. Munro, ‘Default Effects, Transaction Costs, and Imperfect Information’ (2013) 119 </w:t>
      </w:r>
      <w:r w:rsidRPr="00137A86">
        <w:rPr>
          <w:rFonts w:cstheme="minorHAnsi"/>
          <w:i/>
          <w:iCs/>
          <w:sz w:val="20"/>
          <w:szCs w:val="20"/>
        </w:rPr>
        <w:t>Economic Letters</w:t>
      </w:r>
      <w:r w:rsidRPr="00137A86">
        <w:rPr>
          <w:rFonts w:cstheme="minorHAnsi"/>
          <w:sz w:val="20"/>
          <w:szCs w:val="20"/>
        </w:rPr>
        <w:t>.</w:t>
      </w:r>
    </w:p>
  </w:footnote>
  <w:footnote w:id="53">
    <w:p w14:paraId="4B01E288" w14:textId="77777777" w:rsidR="008B6308" w:rsidRPr="00137A86" w:rsidRDefault="008B6308" w:rsidP="000C35D9">
      <w:pPr>
        <w:pStyle w:val="FootnoteText"/>
        <w:jc w:val="both"/>
        <w:rPr>
          <w:rFonts w:cstheme="minorHAnsi"/>
        </w:rPr>
      </w:pPr>
      <w:r w:rsidRPr="00137A86">
        <w:rPr>
          <w:rStyle w:val="FootnoteReference"/>
          <w:rFonts w:cstheme="minorHAnsi"/>
        </w:rPr>
        <w:footnoteRef/>
      </w:r>
      <w:r w:rsidRPr="00137A86">
        <w:rPr>
          <w:rFonts w:cstheme="minorHAnsi"/>
        </w:rPr>
        <w:t xml:space="preserve"> Note that all participants in most of these studies must ordinarily complete a survey or fill out a form, online or offline, irrespective of whether they opt for the default or not. </w:t>
      </w:r>
    </w:p>
  </w:footnote>
  <w:footnote w:id="54">
    <w:p w14:paraId="7CE6252B" w14:textId="28929C95" w:rsidR="008B6308" w:rsidRPr="00137A86" w:rsidRDefault="008B6308" w:rsidP="000C35D9">
      <w:pPr>
        <w:spacing w:after="0" w:line="240" w:lineRule="auto"/>
        <w:jc w:val="both"/>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D. </w:t>
      </w:r>
      <w:proofErr w:type="spellStart"/>
      <w:r w:rsidRPr="00137A86">
        <w:rPr>
          <w:rFonts w:cstheme="minorHAnsi"/>
          <w:sz w:val="20"/>
          <w:szCs w:val="20"/>
        </w:rPr>
        <w:t>Kahneman</w:t>
      </w:r>
      <w:proofErr w:type="spellEnd"/>
      <w:r w:rsidRPr="00137A86">
        <w:rPr>
          <w:rFonts w:cstheme="minorHAnsi"/>
          <w:sz w:val="20"/>
          <w:szCs w:val="20"/>
        </w:rPr>
        <w:t xml:space="preserve">, </w:t>
      </w:r>
      <w:r w:rsidRPr="00137A86">
        <w:rPr>
          <w:rFonts w:cstheme="minorHAnsi"/>
          <w:i/>
          <w:iCs/>
          <w:sz w:val="20"/>
          <w:szCs w:val="20"/>
        </w:rPr>
        <w:t>Thinking: Fast and Slow</w:t>
      </w:r>
      <w:r w:rsidRPr="00137A86">
        <w:rPr>
          <w:rFonts w:cstheme="minorHAnsi"/>
          <w:sz w:val="20"/>
          <w:szCs w:val="20"/>
        </w:rPr>
        <w:t xml:space="preserve"> (New York: Farrar, Straus and Giroux, 2011).</w:t>
      </w:r>
    </w:p>
  </w:footnote>
  <w:footnote w:id="55">
    <w:p w14:paraId="3FC97127" w14:textId="3640630F" w:rsidR="008B6308" w:rsidRPr="00137A86" w:rsidRDefault="008B6308" w:rsidP="000C35D9">
      <w:pPr>
        <w:pStyle w:val="FootnoteText"/>
        <w:rPr>
          <w:rFonts w:cstheme="minorHAnsi"/>
        </w:rPr>
      </w:pPr>
      <w:r w:rsidRPr="00137A86">
        <w:rPr>
          <w:rStyle w:val="FootnoteReference"/>
          <w:rFonts w:cstheme="minorHAnsi"/>
        </w:rPr>
        <w:footnoteRef/>
      </w:r>
      <w:r w:rsidRPr="00137A86">
        <w:rPr>
          <w:rFonts w:cstheme="minorHAnsi"/>
        </w:rPr>
        <w:t xml:space="preserve"> </w:t>
      </w:r>
      <w:proofErr w:type="spellStart"/>
      <w:proofErr w:type="gramStart"/>
      <w:r w:rsidRPr="00137A86">
        <w:rPr>
          <w:rFonts w:cstheme="minorHAnsi"/>
        </w:rPr>
        <w:t>Sunstein</w:t>
      </w:r>
      <w:proofErr w:type="spellEnd"/>
      <w:r w:rsidRPr="00137A86">
        <w:rPr>
          <w:rFonts w:cstheme="minorHAnsi"/>
        </w:rPr>
        <w:t xml:space="preserve"> above n. 25.</w:t>
      </w:r>
      <w:proofErr w:type="gramEnd"/>
    </w:p>
  </w:footnote>
  <w:footnote w:id="56">
    <w:p w14:paraId="2B3BB3DA" w14:textId="6F117F90" w:rsidR="008B6308" w:rsidRPr="00137A86" w:rsidRDefault="008B6308" w:rsidP="000C35D9">
      <w:pPr>
        <w:spacing w:after="0" w:line="240" w:lineRule="auto"/>
        <w:jc w:val="both"/>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C. Anderson, ‘The Psychology of Doing Nothing: Forms of Decision Avoidance Result From Reason and </w:t>
      </w:r>
      <w:proofErr w:type="gramStart"/>
      <w:r w:rsidRPr="00137A86">
        <w:rPr>
          <w:rFonts w:cstheme="minorHAnsi"/>
          <w:sz w:val="20"/>
          <w:szCs w:val="20"/>
        </w:rPr>
        <w:t>Emotion’(</w:t>
      </w:r>
      <w:proofErr w:type="gramEnd"/>
      <w:r w:rsidRPr="00137A86">
        <w:rPr>
          <w:rFonts w:cstheme="minorHAnsi"/>
          <w:sz w:val="20"/>
          <w:szCs w:val="20"/>
        </w:rPr>
        <w:t xml:space="preserve">2003) 129 </w:t>
      </w:r>
      <w:r w:rsidRPr="00137A86">
        <w:rPr>
          <w:rFonts w:cstheme="minorHAnsi"/>
          <w:i/>
          <w:iCs/>
          <w:sz w:val="20"/>
          <w:szCs w:val="20"/>
        </w:rPr>
        <w:t>Psychological Bulletin</w:t>
      </w:r>
      <w:r w:rsidRPr="00137A86">
        <w:rPr>
          <w:rFonts w:cstheme="minorHAnsi"/>
          <w:sz w:val="20"/>
          <w:szCs w:val="20"/>
        </w:rPr>
        <w:t xml:space="preserve">; R. </w:t>
      </w:r>
      <w:proofErr w:type="spellStart"/>
      <w:r w:rsidRPr="00137A86">
        <w:rPr>
          <w:rFonts w:cstheme="minorHAnsi"/>
          <w:sz w:val="20"/>
          <w:szCs w:val="20"/>
        </w:rPr>
        <w:t>Dhar</w:t>
      </w:r>
      <w:proofErr w:type="spellEnd"/>
      <w:r w:rsidRPr="00137A86">
        <w:rPr>
          <w:rFonts w:cstheme="minorHAnsi"/>
          <w:sz w:val="20"/>
          <w:szCs w:val="20"/>
        </w:rPr>
        <w:t>, ‘Consumer Preference for a No-Choice Option’ (1997) 24</w:t>
      </w:r>
      <w:r w:rsidRPr="00137A86">
        <w:rPr>
          <w:rFonts w:cstheme="minorHAnsi"/>
          <w:i/>
          <w:iCs/>
          <w:sz w:val="20"/>
          <w:szCs w:val="20"/>
        </w:rPr>
        <w:t xml:space="preserve"> Journal of Consumer Research</w:t>
      </w:r>
      <w:r w:rsidRPr="00137A86">
        <w:rPr>
          <w:rFonts w:cstheme="minorHAnsi"/>
          <w:sz w:val="20"/>
          <w:szCs w:val="20"/>
        </w:rPr>
        <w:t xml:space="preserve">. </w:t>
      </w:r>
    </w:p>
  </w:footnote>
  <w:footnote w:id="57">
    <w:p w14:paraId="562BF7B2" w14:textId="76DB49B2" w:rsidR="008B6308" w:rsidRPr="00137A86" w:rsidRDefault="008B6308" w:rsidP="000C35D9">
      <w:pPr>
        <w:spacing w:after="0" w:line="240" w:lineRule="auto"/>
        <w:jc w:val="both"/>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O. </w:t>
      </w:r>
      <w:proofErr w:type="spellStart"/>
      <w:r w:rsidRPr="00137A86">
        <w:rPr>
          <w:rFonts w:cstheme="minorHAnsi"/>
          <w:sz w:val="20"/>
          <w:szCs w:val="20"/>
        </w:rPr>
        <w:t>Tykocinski</w:t>
      </w:r>
      <w:proofErr w:type="spellEnd"/>
      <w:r w:rsidRPr="00137A86">
        <w:rPr>
          <w:rFonts w:cstheme="minorHAnsi"/>
          <w:sz w:val="20"/>
          <w:szCs w:val="20"/>
        </w:rPr>
        <w:t xml:space="preserve">, T. Pittman, and E. Tuttle, ‘Inaction Inertia: Foregoing Future Benefits as a Result of an Initial Failure to Act’ (1995) 68 </w:t>
      </w:r>
      <w:r w:rsidRPr="00137A86">
        <w:rPr>
          <w:rFonts w:cstheme="minorHAnsi"/>
          <w:i/>
          <w:iCs/>
          <w:sz w:val="20"/>
          <w:szCs w:val="20"/>
        </w:rPr>
        <w:t>Journal of Personality and Social Psychology;</w:t>
      </w:r>
      <w:r w:rsidR="00137A86">
        <w:rPr>
          <w:rFonts w:cstheme="minorHAnsi"/>
          <w:i/>
          <w:iCs/>
          <w:sz w:val="20"/>
          <w:szCs w:val="20"/>
        </w:rPr>
        <w:t xml:space="preserve"> </w:t>
      </w:r>
      <w:r w:rsidRPr="00137A86">
        <w:rPr>
          <w:rFonts w:cstheme="minorHAnsi"/>
          <w:sz w:val="20"/>
          <w:szCs w:val="20"/>
        </w:rPr>
        <w:t xml:space="preserve">H. </w:t>
      </w:r>
      <w:proofErr w:type="spellStart"/>
      <w:r w:rsidRPr="00137A86">
        <w:rPr>
          <w:rFonts w:cstheme="minorHAnsi"/>
          <w:sz w:val="20"/>
          <w:szCs w:val="20"/>
        </w:rPr>
        <w:t>Arkes</w:t>
      </w:r>
      <w:proofErr w:type="spellEnd"/>
      <w:r w:rsidRPr="00137A86">
        <w:rPr>
          <w:rFonts w:cstheme="minorHAnsi"/>
          <w:sz w:val="20"/>
          <w:szCs w:val="20"/>
        </w:rPr>
        <w:t xml:space="preserve">, H., Y. Kung, and L. </w:t>
      </w:r>
      <w:proofErr w:type="spellStart"/>
      <w:r w:rsidRPr="00137A86">
        <w:rPr>
          <w:rFonts w:cstheme="minorHAnsi"/>
          <w:sz w:val="20"/>
          <w:szCs w:val="20"/>
        </w:rPr>
        <w:t>Hutzel</w:t>
      </w:r>
      <w:proofErr w:type="spellEnd"/>
      <w:r w:rsidRPr="00137A86">
        <w:rPr>
          <w:rFonts w:cstheme="minorHAnsi"/>
          <w:sz w:val="20"/>
          <w:szCs w:val="20"/>
        </w:rPr>
        <w:t xml:space="preserve">, ‘Regret, Valuation, and Inaction Inertia’ (2002), </w:t>
      </w:r>
      <w:r w:rsidRPr="00137A86">
        <w:rPr>
          <w:rFonts w:cstheme="minorHAnsi"/>
          <w:i/>
          <w:iCs/>
          <w:sz w:val="20"/>
          <w:szCs w:val="20"/>
        </w:rPr>
        <w:t xml:space="preserve">Organizational </w:t>
      </w:r>
      <w:proofErr w:type="spellStart"/>
      <w:r w:rsidRPr="00137A86">
        <w:rPr>
          <w:rFonts w:cstheme="minorHAnsi"/>
          <w:i/>
          <w:iCs/>
          <w:sz w:val="20"/>
          <w:szCs w:val="20"/>
        </w:rPr>
        <w:t>Behavior</w:t>
      </w:r>
      <w:proofErr w:type="spellEnd"/>
      <w:r w:rsidRPr="00137A86">
        <w:rPr>
          <w:rFonts w:cstheme="minorHAnsi"/>
          <w:i/>
          <w:iCs/>
          <w:sz w:val="20"/>
          <w:szCs w:val="20"/>
        </w:rPr>
        <w:t xml:space="preserve"> and Human Decision Processes</w:t>
      </w:r>
      <w:r w:rsidRPr="00137A86">
        <w:rPr>
          <w:rFonts w:cstheme="minorHAnsi"/>
          <w:sz w:val="20"/>
          <w:szCs w:val="20"/>
        </w:rPr>
        <w:t xml:space="preserve">, </w:t>
      </w:r>
      <w:r w:rsidRPr="00137A86">
        <w:rPr>
          <w:rFonts w:cstheme="minorHAnsi"/>
          <w:bCs/>
          <w:sz w:val="20"/>
          <w:szCs w:val="20"/>
        </w:rPr>
        <w:t>87</w:t>
      </w:r>
      <w:r w:rsidRPr="00137A86">
        <w:rPr>
          <w:rFonts w:cstheme="minorHAnsi"/>
          <w:sz w:val="20"/>
          <w:szCs w:val="20"/>
        </w:rPr>
        <w:t xml:space="preserve">. </w:t>
      </w:r>
    </w:p>
  </w:footnote>
  <w:footnote w:id="58">
    <w:p w14:paraId="3FA8B370" w14:textId="0B0C83A1" w:rsidR="008B6308" w:rsidRPr="00137A86" w:rsidRDefault="008B6308" w:rsidP="000C35D9">
      <w:pPr>
        <w:spacing w:after="0" w:line="240" w:lineRule="auto"/>
        <w:jc w:val="both"/>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I. </w:t>
      </w:r>
      <w:proofErr w:type="spellStart"/>
      <w:r w:rsidRPr="00137A86">
        <w:rPr>
          <w:rFonts w:cstheme="minorHAnsi"/>
          <w:sz w:val="20"/>
          <w:szCs w:val="20"/>
        </w:rPr>
        <w:t>Ritov</w:t>
      </w:r>
      <w:proofErr w:type="spellEnd"/>
      <w:r w:rsidRPr="00137A86">
        <w:rPr>
          <w:rFonts w:cstheme="minorHAnsi"/>
          <w:sz w:val="20"/>
          <w:szCs w:val="20"/>
        </w:rPr>
        <w:t xml:space="preserve"> and J. Baron, ‘Reluctance to Vaccinate: Omission Bias and Ambiguity’ (1990) 3 </w:t>
      </w:r>
      <w:r w:rsidRPr="00137A86">
        <w:rPr>
          <w:rFonts w:cstheme="minorHAnsi"/>
          <w:i/>
          <w:iCs/>
          <w:sz w:val="20"/>
          <w:szCs w:val="20"/>
        </w:rPr>
        <w:t xml:space="preserve">Journal of </w:t>
      </w:r>
      <w:proofErr w:type="spellStart"/>
      <w:r w:rsidRPr="00137A86">
        <w:rPr>
          <w:rFonts w:cstheme="minorHAnsi"/>
          <w:i/>
          <w:iCs/>
          <w:sz w:val="20"/>
          <w:szCs w:val="20"/>
        </w:rPr>
        <w:t>Behavioral</w:t>
      </w:r>
      <w:proofErr w:type="spellEnd"/>
      <w:r w:rsidRPr="00137A86">
        <w:rPr>
          <w:rFonts w:cstheme="minorHAnsi"/>
          <w:i/>
          <w:iCs/>
          <w:sz w:val="20"/>
          <w:szCs w:val="20"/>
        </w:rPr>
        <w:t xml:space="preserve"> Decision Making</w:t>
      </w:r>
      <w:r w:rsidRPr="00137A86">
        <w:rPr>
          <w:rFonts w:cstheme="minorHAnsi"/>
          <w:sz w:val="20"/>
          <w:szCs w:val="20"/>
        </w:rPr>
        <w:t>.</w:t>
      </w:r>
    </w:p>
  </w:footnote>
  <w:footnote w:id="59">
    <w:p w14:paraId="6A545603" w14:textId="09D207BE" w:rsidR="008B6308" w:rsidRPr="00137A86" w:rsidRDefault="008B6308" w:rsidP="000C35D9">
      <w:pPr>
        <w:spacing w:after="0" w:line="240" w:lineRule="auto"/>
        <w:jc w:val="both"/>
        <w:rPr>
          <w:rFonts w:cstheme="minorHAnsi"/>
          <w:sz w:val="20"/>
          <w:szCs w:val="20"/>
        </w:rPr>
      </w:pPr>
      <w:r w:rsidRPr="00137A86">
        <w:rPr>
          <w:rStyle w:val="FootnoteReference"/>
          <w:rFonts w:cstheme="minorHAnsi"/>
          <w:sz w:val="20"/>
          <w:szCs w:val="20"/>
        </w:rPr>
        <w:footnoteRef/>
      </w:r>
      <w:r w:rsidR="00137A86">
        <w:rPr>
          <w:rFonts w:cstheme="minorHAnsi"/>
          <w:sz w:val="20"/>
          <w:szCs w:val="20"/>
        </w:rPr>
        <w:t xml:space="preserve"> </w:t>
      </w:r>
      <w:r w:rsidRPr="00137A86">
        <w:rPr>
          <w:rFonts w:cstheme="minorHAnsi"/>
          <w:sz w:val="20"/>
          <w:szCs w:val="20"/>
        </w:rPr>
        <w:t xml:space="preserve">B. </w:t>
      </w:r>
      <w:proofErr w:type="spellStart"/>
      <w:r w:rsidRPr="00137A86">
        <w:rPr>
          <w:rFonts w:cstheme="minorHAnsi"/>
          <w:sz w:val="20"/>
          <w:szCs w:val="20"/>
        </w:rPr>
        <w:t>Bartling</w:t>
      </w:r>
      <w:proofErr w:type="spellEnd"/>
      <w:r w:rsidRPr="00137A86">
        <w:rPr>
          <w:rFonts w:cstheme="minorHAnsi"/>
          <w:sz w:val="20"/>
          <w:szCs w:val="20"/>
        </w:rPr>
        <w:t xml:space="preserve"> and U. </w:t>
      </w:r>
      <w:proofErr w:type="spellStart"/>
      <w:r w:rsidRPr="00137A86">
        <w:rPr>
          <w:rFonts w:cstheme="minorHAnsi"/>
          <w:sz w:val="20"/>
          <w:szCs w:val="20"/>
        </w:rPr>
        <w:t>Fischbacher</w:t>
      </w:r>
      <w:proofErr w:type="spellEnd"/>
      <w:r w:rsidRPr="00137A86">
        <w:rPr>
          <w:rFonts w:cstheme="minorHAnsi"/>
          <w:sz w:val="20"/>
          <w:szCs w:val="20"/>
        </w:rPr>
        <w:t xml:space="preserve">, ‘Shifting the Blame: On Delegation and Responsibility’ (2012) 79 </w:t>
      </w:r>
      <w:r w:rsidRPr="00137A86">
        <w:rPr>
          <w:rFonts w:cstheme="minorHAnsi"/>
          <w:i/>
          <w:iCs/>
          <w:sz w:val="20"/>
          <w:szCs w:val="20"/>
        </w:rPr>
        <w:t>Review of Economic Studies</w:t>
      </w:r>
      <w:r w:rsidRPr="00137A86">
        <w:rPr>
          <w:rFonts w:cstheme="minorHAnsi"/>
          <w:sz w:val="20"/>
          <w:szCs w:val="20"/>
        </w:rPr>
        <w:t xml:space="preserve">. </w:t>
      </w:r>
    </w:p>
  </w:footnote>
  <w:footnote w:id="60">
    <w:p w14:paraId="1A8986E5" w14:textId="7DFB3A60" w:rsidR="008B6308" w:rsidRPr="00137A86" w:rsidRDefault="008B6308" w:rsidP="000C35D9">
      <w:pPr>
        <w:spacing w:after="0" w:line="240" w:lineRule="auto"/>
        <w:jc w:val="both"/>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R. </w:t>
      </w:r>
      <w:proofErr w:type="spellStart"/>
      <w:r w:rsidRPr="00137A86">
        <w:rPr>
          <w:rFonts w:cstheme="minorHAnsi"/>
          <w:sz w:val="20"/>
          <w:szCs w:val="20"/>
        </w:rPr>
        <w:t>Cialdini</w:t>
      </w:r>
      <w:proofErr w:type="spellEnd"/>
      <w:r w:rsidRPr="00137A86">
        <w:rPr>
          <w:rFonts w:cstheme="minorHAnsi"/>
          <w:sz w:val="20"/>
          <w:szCs w:val="20"/>
        </w:rPr>
        <w:t xml:space="preserve"> and M. </w:t>
      </w:r>
      <w:proofErr w:type="spellStart"/>
      <w:r w:rsidRPr="00137A86">
        <w:rPr>
          <w:rFonts w:cstheme="minorHAnsi"/>
          <w:sz w:val="20"/>
          <w:szCs w:val="20"/>
        </w:rPr>
        <w:t>Trost</w:t>
      </w:r>
      <w:proofErr w:type="spellEnd"/>
      <w:r w:rsidRPr="00137A86">
        <w:rPr>
          <w:rFonts w:cstheme="minorHAnsi"/>
          <w:sz w:val="20"/>
          <w:szCs w:val="20"/>
        </w:rPr>
        <w:t xml:space="preserve">, ‘Social Influence: Social Norms, Conformity, and Compliance’ in D. Gilbert, S. Fiske, and G. Lindsey (eds.) </w:t>
      </w:r>
      <w:proofErr w:type="gramStart"/>
      <w:r w:rsidRPr="00137A86">
        <w:rPr>
          <w:rFonts w:cstheme="minorHAnsi"/>
          <w:i/>
          <w:iCs/>
          <w:sz w:val="20"/>
          <w:szCs w:val="20"/>
        </w:rPr>
        <w:t>The</w:t>
      </w:r>
      <w:proofErr w:type="gramEnd"/>
      <w:r w:rsidRPr="00137A86">
        <w:rPr>
          <w:rFonts w:cstheme="minorHAnsi"/>
          <w:i/>
          <w:iCs/>
          <w:sz w:val="20"/>
          <w:szCs w:val="20"/>
        </w:rPr>
        <w:t xml:space="preserve"> Handbook of Social Psychology</w:t>
      </w:r>
      <w:r w:rsidRPr="00137A86">
        <w:rPr>
          <w:rFonts w:cstheme="minorHAnsi"/>
          <w:sz w:val="20"/>
          <w:szCs w:val="20"/>
        </w:rPr>
        <w:t xml:space="preserve"> (New York: McGraw-Hill, 1998).</w:t>
      </w:r>
    </w:p>
  </w:footnote>
  <w:footnote w:id="61">
    <w:p w14:paraId="02A0F087" w14:textId="0C21849F" w:rsidR="008B6308" w:rsidRPr="00137A86" w:rsidRDefault="008B6308" w:rsidP="000C35D9">
      <w:pPr>
        <w:spacing w:after="0" w:line="240" w:lineRule="auto"/>
        <w:jc w:val="both"/>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M. Deutsch and H. Gerard, ‘A Study of Normative and Informational Social Influence Upon Individual </w:t>
      </w:r>
      <w:proofErr w:type="gramStart"/>
      <w:r w:rsidRPr="00137A86">
        <w:rPr>
          <w:rFonts w:cstheme="minorHAnsi"/>
          <w:sz w:val="20"/>
          <w:szCs w:val="20"/>
        </w:rPr>
        <w:t>Judgment‘</w:t>
      </w:r>
      <w:r w:rsidR="00365072" w:rsidRPr="00137A86">
        <w:rPr>
          <w:rFonts w:cstheme="minorHAnsi"/>
          <w:sz w:val="20"/>
          <w:szCs w:val="20"/>
        </w:rPr>
        <w:t xml:space="preserve"> </w:t>
      </w:r>
      <w:r w:rsidRPr="00137A86">
        <w:rPr>
          <w:rFonts w:cstheme="minorHAnsi"/>
          <w:sz w:val="20"/>
          <w:szCs w:val="20"/>
        </w:rPr>
        <w:t>(</w:t>
      </w:r>
      <w:proofErr w:type="gramEnd"/>
      <w:r w:rsidRPr="00137A86">
        <w:rPr>
          <w:rFonts w:cstheme="minorHAnsi"/>
          <w:sz w:val="20"/>
          <w:szCs w:val="20"/>
        </w:rPr>
        <w:t xml:space="preserve">1955) 51 </w:t>
      </w:r>
      <w:r w:rsidRPr="00137A86">
        <w:rPr>
          <w:rFonts w:cstheme="minorHAnsi"/>
          <w:i/>
          <w:iCs/>
          <w:sz w:val="20"/>
          <w:szCs w:val="20"/>
        </w:rPr>
        <w:t>Journal of Abnormal and Social Psychology.</w:t>
      </w:r>
    </w:p>
  </w:footnote>
  <w:footnote w:id="62">
    <w:p w14:paraId="252DED14" w14:textId="5F368127" w:rsidR="008B6308" w:rsidRPr="00137A86" w:rsidRDefault="008B6308" w:rsidP="000C35D9">
      <w:pPr>
        <w:pStyle w:val="FootnoteText"/>
        <w:rPr>
          <w:rFonts w:cstheme="minorHAnsi"/>
        </w:rPr>
      </w:pPr>
      <w:r w:rsidRPr="00137A86">
        <w:rPr>
          <w:rStyle w:val="FootnoteReference"/>
          <w:rFonts w:cstheme="minorHAnsi"/>
        </w:rPr>
        <w:footnoteRef/>
      </w:r>
      <w:r w:rsidRPr="00137A86">
        <w:rPr>
          <w:rFonts w:cstheme="minorHAnsi"/>
        </w:rPr>
        <w:t xml:space="preserve"> </w:t>
      </w:r>
      <w:proofErr w:type="gramStart"/>
      <w:r w:rsidRPr="00137A86">
        <w:rPr>
          <w:rFonts w:cstheme="minorHAnsi"/>
        </w:rPr>
        <w:t xml:space="preserve">Everett </w:t>
      </w:r>
      <w:r w:rsidRPr="00137A86">
        <w:rPr>
          <w:rFonts w:cstheme="minorHAnsi"/>
          <w:i/>
        </w:rPr>
        <w:t>et al.</w:t>
      </w:r>
      <w:r w:rsidRPr="00137A86">
        <w:rPr>
          <w:rFonts w:cstheme="minorHAnsi"/>
        </w:rPr>
        <w:t xml:space="preserve"> above n. 30.</w:t>
      </w:r>
      <w:proofErr w:type="gramEnd"/>
    </w:p>
  </w:footnote>
  <w:footnote w:id="63">
    <w:p w14:paraId="4485CE9C" w14:textId="63213810" w:rsidR="008B6308" w:rsidRPr="00137A86" w:rsidRDefault="008B6308" w:rsidP="000C35D9">
      <w:pPr>
        <w:pStyle w:val="FootnoteText"/>
        <w:rPr>
          <w:rFonts w:cstheme="minorHAnsi"/>
        </w:rPr>
      </w:pPr>
      <w:r w:rsidRPr="00137A86">
        <w:rPr>
          <w:rStyle w:val="FootnoteReference"/>
          <w:rFonts w:cstheme="minorHAnsi"/>
        </w:rPr>
        <w:footnoteRef/>
      </w:r>
      <w:r w:rsidRPr="00137A86">
        <w:rPr>
          <w:rFonts w:cstheme="minorHAnsi"/>
        </w:rPr>
        <w:t xml:space="preserve"> </w:t>
      </w:r>
      <w:proofErr w:type="gramStart"/>
      <w:r w:rsidRPr="00137A86">
        <w:rPr>
          <w:rFonts w:cstheme="minorHAnsi"/>
        </w:rPr>
        <w:t xml:space="preserve">Everett </w:t>
      </w:r>
      <w:r w:rsidRPr="00137A86">
        <w:rPr>
          <w:rFonts w:cstheme="minorHAnsi"/>
          <w:i/>
        </w:rPr>
        <w:t>et al.</w:t>
      </w:r>
      <w:r w:rsidRPr="00137A86">
        <w:rPr>
          <w:rFonts w:cstheme="minorHAnsi"/>
        </w:rPr>
        <w:t xml:space="preserve"> above n. 30.</w:t>
      </w:r>
      <w:proofErr w:type="gramEnd"/>
    </w:p>
  </w:footnote>
  <w:footnote w:id="64">
    <w:p w14:paraId="5FA498E3" w14:textId="163F8DBF" w:rsidR="008B6308" w:rsidRPr="00137A86" w:rsidRDefault="008B6308" w:rsidP="000C35D9">
      <w:pPr>
        <w:spacing w:after="0" w:line="240" w:lineRule="auto"/>
        <w:jc w:val="both"/>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S. Halpern, P. </w:t>
      </w:r>
      <w:proofErr w:type="spellStart"/>
      <w:r w:rsidRPr="00137A86">
        <w:rPr>
          <w:rFonts w:cstheme="minorHAnsi"/>
          <w:sz w:val="20"/>
          <w:szCs w:val="20"/>
        </w:rPr>
        <w:t>Ubel</w:t>
      </w:r>
      <w:proofErr w:type="spellEnd"/>
      <w:r w:rsidRPr="00137A86">
        <w:rPr>
          <w:rFonts w:cstheme="minorHAnsi"/>
          <w:sz w:val="20"/>
          <w:szCs w:val="20"/>
        </w:rPr>
        <w:t xml:space="preserve"> and D. Asch, ‘Harnessing the Power of Default Options to Improve Health </w:t>
      </w:r>
      <w:proofErr w:type="gramStart"/>
      <w:r w:rsidRPr="00137A86">
        <w:rPr>
          <w:rFonts w:cstheme="minorHAnsi"/>
          <w:sz w:val="20"/>
          <w:szCs w:val="20"/>
        </w:rPr>
        <w:t>Care‘ (</w:t>
      </w:r>
      <w:proofErr w:type="gramEnd"/>
      <w:r w:rsidRPr="00137A86">
        <w:rPr>
          <w:rFonts w:cstheme="minorHAnsi"/>
          <w:sz w:val="20"/>
          <w:szCs w:val="20"/>
        </w:rPr>
        <w:t xml:space="preserve">2007) 357 </w:t>
      </w:r>
      <w:r w:rsidRPr="00137A86">
        <w:rPr>
          <w:rFonts w:cstheme="minorHAnsi"/>
          <w:i/>
          <w:iCs/>
          <w:sz w:val="20"/>
          <w:szCs w:val="20"/>
        </w:rPr>
        <w:t>New England Journal of Medicine</w:t>
      </w:r>
      <w:r w:rsidRPr="00137A86">
        <w:rPr>
          <w:rFonts w:cstheme="minorHAnsi"/>
          <w:sz w:val="20"/>
          <w:szCs w:val="20"/>
        </w:rPr>
        <w:t>.</w:t>
      </w:r>
    </w:p>
  </w:footnote>
  <w:footnote w:id="65">
    <w:p w14:paraId="0F69101A" w14:textId="39977FEA" w:rsidR="008B6308" w:rsidRPr="00137A86" w:rsidRDefault="008B6308" w:rsidP="000C35D9">
      <w:pPr>
        <w:pStyle w:val="FootnoteText"/>
        <w:rPr>
          <w:rFonts w:cstheme="minorHAnsi"/>
        </w:rPr>
      </w:pPr>
      <w:r w:rsidRPr="00137A86">
        <w:rPr>
          <w:rStyle w:val="FootnoteReference"/>
          <w:rFonts w:cstheme="minorHAnsi"/>
        </w:rPr>
        <w:footnoteRef/>
      </w:r>
      <w:r w:rsidRPr="00137A86">
        <w:rPr>
          <w:rFonts w:cstheme="minorHAnsi"/>
        </w:rPr>
        <w:t xml:space="preserve"> </w:t>
      </w:r>
      <w:proofErr w:type="gramStart"/>
      <w:r w:rsidRPr="00137A86">
        <w:rPr>
          <w:rFonts w:cstheme="minorHAnsi"/>
        </w:rPr>
        <w:t xml:space="preserve">Everett </w:t>
      </w:r>
      <w:r w:rsidRPr="00137A86">
        <w:rPr>
          <w:rFonts w:cstheme="minorHAnsi"/>
          <w:i/>
        </w:rPr>
        <w:t>et al.</w:t>
      </w:r>
      <w:r w:rsidRPr="00137A86">
        <w:rPr>
          <w:rFonts w:cstheme="minorHAnsi"/>
        </w:rPr>
        <w:t xml:space="preserve"> above n. 30.</w:t>
      </w:r>
      <w:proofErr w:type="gramEnd"/>
    </w:p>
  </w:footnote>
  <w:footnote w:id="66">
    <w:p w14:paraId="27A178BB" w14:textId="41D85EAA" w:rsidR="008B6308" w:rsidRPr="00137A86" w:rsidRDefault="008B6308" w:rsidP="000C35D9">
      <w:pPr>
        <w:pStyle w:val="FootnoteText"/>
        <w:rPr>
          <w:rFonts w:cstheme="minorHAnsi"/>
        </w:rPr>
      </w:pPr>
      <w:r w:rsidRPr="00137A86">
        <w:rPr>
          <w:rStyle w:val="FootnoteReference"/>
          <w:rFonts w:cstheme="minorHAnsi"/>
        </w:rPr>
        <w:footnoteRef/>
      </w:r>
      <w:r w:rsidRPr="00137A86">
        <w:rPr>
          <w:rFonts w:cstheme="minorHAnsi"/>
        </w:rPr>
        <w:t xml:space="preserve"> </w:t>
      </w:r>
      <w:proofErr w:type="spellStart"/>
      <w:proofErr w:type="gramStart"/>
      <w:r w:rsidRPr="00137A86">
        <w:rPr>
          <w:rFonts w:cstheme="minorHAnsi"/>
        </w:rPr>
        <w:t>Sunstein</w:t>
      </w:r>
      <w:proofErr w:type="spellEnd"/>
      <w:r w:rsidRPr="00137A86">
        <w:rPr>
          <w:rFonts w:cstheme="minorHAnsi"/>
        </w:rPr>
        <w:t xml:space="preserve"> above n.24, 21.</w:t>
      </w:r>
      <w:proofErr w:type="gramEnd"/>
    </w:p>
  </w:footnote>
  <w:footnote w:id="67">
    <w:p w14:paraId="64743913" w14:textId="234A5DA9" w:rsidR="008B6308" w:rsidRPr="00137A86" w:rsidRDefault="008B6308" w:rsidP="000C35D9">
      <w:pPr>
        <w:spacing w:after="0" w:line="240" w:lineRule="auto"/>
        <w:jc w:val="both"/>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W. Samuelson and R. </w:t>
      </w:r>
      <w:proofErr w:type="spellStart"/>
      <w:r w:rsidRPr="00137A86">
        <w:rPr>
          <w:rFonts w:cstheme="minorHAnsi"/>
          <w:sz w:val="20"/>
          <w:szCs w:val="20"/>
        </w:rPr>
        <w:t>Zeckhauser</w:t>
      </w:r>
      <w:proofErr w:type="spellEnd"/>
      <w:r w:rsidRPr="00137A86">
        <w:rPr>
          <w:rFonts w:cstheme="minorHAnsi"/>
          <w:sz w:val="20"/>
          <w:szCs w:val="20"/>
        </w:rPr>
        <w:t xml:space="preserve">, ‘Status Quo Bias in Decision Making’ (1988) 1 </w:t>
      </w:r>
      <w:r w:rsidRPr="00137A86">
        <w:rPr>
          <w:rFonts w:cstheme="minorHAnsi"/>
          <w:i/>
          <w:iCs/>
          <w:sz w:val="20"/>
          <w:szCs w:val="20"/>
        </w:rPr>
        <w:t>Journal of Risk and Uncertainty</w:t>
      </w:r>
      <w:r w:rsidRPr="00137A86">
        <w:rPr>
          <w:rFonts w:cstheme="minorHAnsi"/>
          <w:sz w:val="20"/>
          <w:szCs w:val="20"/>
        </w:rPr>
        <w:t xml:space="preserve">; D. </w:t>
      </w:r>
      <w:proofErr w:type="spellStart"/>
      <w:r w:rsidRPr="00137A86">
        <w:rPr>
          <w:rFonts w:cstheme="minorHAnsi"/>
          <w:sz w:val="20"/>
          <w:szCs w:val="20"/>
        </w:rPr>
        <w:t>Kahneman</w:t>
      </w:r>
      <w:proofErr w:type="spellEnd"/>
      <w:r w:rsidRPr="00137A86">
        <w:rPr>
          <w:rFonts w:cstheme="minorHAnsi"/>
          <w:sz w:val="20"/>
          <w:szCs w:val="20"/>
        </w:rPr>
        <w:t xml:space="preserve">, J. </w:t>
      </w:r>
      <w:proofErr w:type="spellStart"/>
      <w:r w:rsidRPr="00137A86">
        <w:rPr>
          <w:rFonts w:cstheme="minorHAnsi"/>
          <w:sz w:val="20"/>
          <w:szCs w:val="20"/>
        </w:rPr>
        <w:t>Knetsch</w:t>
      </w:r>
      <w:proofErr w:type="spellEnd"/>
      <w:r w:rsidRPr="00137A86">
        <w:rPr>
          <w:rFonts w:cstheme="minorHAnsi"/>
          <w:sz w:val="20"/>
          <w:szCs w:val="20"/>
        </w:rPr>
        <w:t xml:space="preserve">, and R. </w:t>
      </w:r>
      <w:proofErr w:type="spellStart"/>
      <w:r w:rsidRPr="00137A86">
        <w:rPr>
          <w:rFonts w:cstheme="minorHAnsi"/>
          <w:sz w:val="20"/>
          <w:szCs w:val="20"/>
        </w:rPr>
        <w:t>Thaler</w:t>
      </w:r>
      <w:proofErr w:type="spellEnd"/>
      <w:r w:rsidRPr="00137A86">
        <w:rPr>
          <w:rFonts w:cstheme="minorHAnsi"/>
          <w:sz w:val="20"/>
          <w:szCs w:val="20"/>
        </w:rPr>
        <w:t>, ‘</w:t>
      </w:r>
      <w:r w:rsidR="00B34893" w:rsidRPr="00137A86">
        <w:rPr>
          <w:rFonts w:cstheme="minorHAnsi"/>
          <w:color w:val="212121"/>
          <w:sz w:val="20"/>
          <w:szCs w:val="20"/>
          <w:shd w:val="clear" w:color="auto" w:fill="FFFFFF"/>
        </w:rPr>
        <w:t xml:space="preserve">Anomalies: The Endowment Effect, Loss Aversion, and Status Quo </w:t>
      </w:r>
      <w:proofErr w:type="spellStart"/>
      <w:r w:rsidR="00B34893" w:rsidRPr="00137A86">
        <w:rPr>
          <w:rFonts w:cstheme="minorHAnsi"/>
          <w:color w:val="212121"/>
          <w:sz w:val="20"/>
          <w:szCs w:val="20"/>
          <w:shd w:val="clear" w:color="auto" w:fill="FFFFFF"/>
        </w:rPr>
        <w:t>Bias’</w:t>
      </w:r>
      <w:proofErr w:type="spellEnd"/>
      <w:r w:rsidR="00B34893" w:rsidRPr="00137A86">
        <w:rPr>
          <w:rFonts w:cstheme="minorHAnsi"/>
          <w:sz w:val="20"/>
          <w:szCs w:val="20"/>
        </w:rPr>
        <w:t xml:space="preserve"> </w:t>
      </w:r>
      <w:r w:rsidRPr="00137A86">
        <w:rPr>
          <w:rFonts w:cstheme="minorHAnsi"/>
          <w:sz w:val="20"/>
          <w:szCs w:val="20"/>
        </w:rPr>
        <w:t xml:space="preserve">(1991) 5 </w:t>
      </w:r>
      <w:proofErr w:type="gramStart"/>
      <w:r w:rsidRPr="00137A86">
        <w:rPr>
          <w:rFonts w:cstheme="minorHAnsi"/>
          <w:i/>
          <w:iCs/>
          <w:sz w:val="20"/>
          <w:szCs w:val="20"/>
        </w:rPr>
        <w:t>Journal</w:t>
      </w:r>
      <w:proofErr w:type="gramEnd"/>
      <w:r w:rsidRPr="00137A86">
        <w:rPr>
          <w:rFonts w:cstheme="minorHAnsi"/>
          <w:i/>
          <w:iCs/>
          <w:sz w:val="20"/>
          <w:szCs w:val="20"/>
        </w:rPr>
        <w:t xml:space="preserve"> of Economic Perspectives</w:t>
      </w:r>
      <w:r w:rsidRPr="00137A86">
        <w:rPr>
          <w:rFonts w:cstheme="minorHAnsi"/>
          <w:sz w:val="20"/>
          <w:szCs w:val="20"/>
        </w:rPr>
        <w:t xml:space="preserve">. </w:t>
      </w:r>
    </w:p>
  </w:footnote>
  <w:footnote w:id="68">
    <w:p w14:paraId="4107809F" w14:textId="454DFFA3" w:rsidR="008B6308" w:rsidRPr="00137A86" w:rsidRDefault="008B6308" w:rsidP="000C35D9">
      <w:pPr>
        <w:spacing w:after="0" w:line="240" w:lineRule="auto"/>
        <w:jc w:val="both"/>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K. </w:t>
      </w:r>
      <w:r w:rsidRPr="00137A86">
        <w:rPr>
          <w:rFonts w:cstheme="minorHAnsi"/>
          <w:sz w:val="20"/>
          <w:szCs w:val="20"/>
          <w:lang w:val="de-DE"/>
        </w:rPr>
        <w:t xml:space="preserve">Bronfenbrenner, S. Friedman, R. Hurd, R. Oswald and R. Seeber (eds.) </w:t>
      </w:r>
      <w:r w:rsidRPr="00137A86">
        <w:rPr>
          <w:rFonts w:cstheme="minorHAnsi"/>
          <w:i/>
          <w:sz w:val="20"/>
          <w:szCs w:val="20"/>
        </w:rPr>
        <w:t xml:space="preserve">Organizing to win: New research on union strategies </w:t>
      </w:r>
      <w:r w:rsidRPr="00137A86">
        <w:rPr>
          <w:rFonts w:cstheme="minorHAnsi"/>
          <w:sz w:val="20"/>
          <w:szCs w:val="20"/>
        </w:rPr>
        <w:t>(</w:t>
      </w:r>
      <w:proofErr w:type="spellStart"/>
      <w:r w:rsidRPr="00137A86">
        <w:rPr>
          <w:rFonts w:cstheme="minorHAnsi"/>
          <w:sz w:val="20"/>
          <w:szCs w:val="20"/>
        </w:rPr>
        <w:t>Ithaca,NY</w:t>
      </w:r>
      <w:proofErr w:type="spellEnd"/>
      <w:r w:rsidRPr="00137A86">
        <w:rPr>
          <w:rFonts w:cstheme="minorHAnsi"/>
          <w:sz w:val="20"/>
          <w:szCs w:val="20"/>
        </w:rPr>
        <w:t>,</w:t>
      </w:r>
      <w:r w:rsidRPr="00137A86">
        <w:rPr>
          <w:rFonts w:cstheme="minorHAnsi"/>
          <w:i/>
          <w:sz w:val="20"/>
          <w:szCs w:val="20"/>
        </w:rPr>
        <w:t xml:space="preserve"> </w:t>
      </w:r>
      <w:r w:rsidRPr="00137A86">
        <w:rPr>
          <w:rFonts w:cstheme="minorHAnsi"/>
          <w:sz w:val="20"/>
          <w:szCs w:val="20"/>
        </w:rPr>
        <w:t xml:space="preserve">ILR Press, 1998); B. Bruno, ‘Unions Facing and Suffering Neo-liberalism in the United States’ in Gall, G. Hurd, R. and Wilkinson, A. (eds.) </w:t>
      </w:r>
      <w:r w:rsidRPr="00137A86">
        <w:rPr>
          <w:rFonts w:cstheme="minorHAnsi"/>
          <w:i/>
          <w:sz w:val="20"/>
          <w:szCs w:val="20"/>
        </w:rPr>
        <w:t>The International Handbook of Labour Unions: responses to neo-liberalism</w:t>
      </w:r>
      <w:r w:rsidRPr="00137A86">
        <w:rPr>
          <w:rFonts w:cstheme="minorHAnsi"/>
          <w:sz w:val="20"/>
          <w:szCs w:val="20"/>
        </w:rPr>
        <w:t xml:space="preserve"> (Cheltenham: Edward Elgar, 2012); J. Godard, ‘Do </w:t>
      </w:r>
      <w:proofErr w:type="spellStart"/>
      <w:r w:rsidRPr="00137A86">
        <w:rPr>
          <w:rFonts w:cstheme="minorHAnsi"/>
          <w:sz w:val="20"/>
          <w:szCs w:val="20"/>
        </w:rPr>
        <w:t>labor</w:t>
      </w:r>
      <w:proofErr w:type="spellEnd"/>
      <w:r w:rsidRPr="00137A86">
        <w:rPr>
          <w:rFonts w:cstheme="minorHAnsi"/>
          <w:sz w:val="20"/>
          <w:szCs w:val="20"/>
        </w:rPr>
        <w:t xml:space="preserve"> laws matter? The density decline and convergence thesis revisited’ (2003) 42 </w:t>
      </w:r>
      <w:r w:rsidRPr="00137A86">
        <w:rPr>
          <w:rFonts w:cstheme="minorHAnsi"/>
          <w:i/>
          <w:iCs/>
          <w:sz w:val="20"/>
          <w:szCs w:val="20"/>
        </w:rPr>
        <w:t>Industrial Relations.</w:t>
      </w:r>
    </w:p>
  </w:footnote>
  <w:footnote w:id="69">
    <w:p w14:paraId="225C4C1B" w14:textId="77777777" w:rsidR="008B6308" w:rsidRPr="00137A86" w:rsidRDefault="008B6308" w:rsidP="000C35D9">
      <w:pPr>
        <w:pStyle w:val="FootnoteText"/>
        <w:jc w:val="both"/>
        <w:rPr>
          <w:rFonts w:cstheme="minorHAnsi"/>
        </w:rPr>
      </w:pPr>
      <w:r w:rsidRPr="00137A86">
        <w:rPr>
          <w:rStyle w:val="FootnoteReference"/>
          <w:rFonts w:cstheme="minorHAnsi"/>
        </w:rPr>
        <w:footnoteRef/>
      </w:r>
      <w:r w:rsidRPr="00137A86">
        <w:rPr>
          <w:rFonts w:cstheme="minorHAnsi"/>
        </w:rPr>
        <w:t xml:space="preserve"> This assumes, of course, that the workers are not actively participating in the attempts to recruit members. </w:t>
      </w:r>
    </w:p>
  </w:footnote>
  <w:footnote w:id="70">
    <w:p w14:paraId="5B75CFF1" w14:textId="26D00650" w:rsidR="008B6308" w:rsidRPr="00137A86" w:rsidRDefault="008B6308" w:rsidP="000C35D9">
      <w:pPr>
        <w:spacing w:after="0" w:line="240" w:lineRule="auto"/>
        <w:jc w:val="both"/>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Godard above n. 68; G. Gall, ‘Employers </w:t>
      </w:r>
      <w:r w:rsidR="00365072" w:rsidRPr="00137A86">
        <w:rPr>
          <w:rFonts w:cstheme="minorHAnsi"/>
          <w:sz w:val="20"/>
          <w:szCs w:val="20"/>
        </w:rPr>
        <w:t>a</w:t>
      </w:r>
      <w:r w:rsidRPr="00137A86">
        <w:rPr>
          <w:rFonts w:cstheme="minorHAnsi"/>
          <w:sz w:val="20"/>
          <w:szCs w:val="20"/>
        </w:rPr>
        <w:t xml:space="preserve">gainst Unions: the British experience of union victimization’ in Gall, G. and </w:t>
      </w:r>
      <w:proofErr w:type="spellStart"/>
      <w:r w:rsidRPr="00137A86">
        <w:rPr>
          <w:rFonts w:cstheme="minorHAnsi"/>
          <w:sz w:val="20"/>
          <w:szCs w:val="20"/>
        </w:rPr>
        <w:t>Dundon</w:t>
      </w:r>
      <w:proofErr w:type="spellEnd"/>
      <w:r w:rsidRPr="00137A86">
        <w:rPr>
          <w:rFonts w:cstheme="minorHAnsi"/>
          <w:sz w:val="20"/>
          <w:szCs w:val="20"/>
        </w:rPr>
        <w:t xml:space="preserve">, T. (eds.) </w:t>
      </w:r>
      <w:r w:rsidRPr="00137A86">
        <w:rPr>
          <w:rFonts w:cstheme="minorHAnsi"/>
          <w:i/>
          <w:sz w:val="20"/>
          <w:szCs w:val="20"/>
        </w:rPr>
        <w:t>Global anti-unionism – nature, dynamics, trajectories and outcomes</w:t>
      </w:r>
      <w:r w:rsidRPr="00137A86">
        <w:rPr>
          <w:rFonts w:cstheme="minorHAnsi"/>
          <w:sz w:val="20"/>
          <w:szCs w:val="20"/>
        </w:rPr>
        <w:t xml:space="preserve"> (Basingstoke: Palgrave, 2013).</w:t>
      </w:r>
    </w:p>
  </w:footnote>
  <w:footnote w:id="71">
    <w:p w14:paraId="31035382" w14:textId="44F63596" w:rsidR="008B6308" w:rsidRPr="00137A86" w:rsidRDefault="008B6308" w:rsidP="000C35D9">
      <w:pPr>
        <w:pStyle w:val="FootnoteText"/>
        <w:rPr>
          <w:rFonts w:cstheme="minorHAnsi"/>
        </w:rPr>
      </w:pPr>
      <w:r w:rsidRPr="00137A86">
        <w:rPr>
          <w:rStyle w:val="FootnoteReference"/>
          <w:rFonts w:cstheme="minorHAnsi"/>
        </w:rPr>
        <w:footnoteRef/>
      </w:r>
      <w:r w:rsidRPr="00137A86">
        <w:rPr>
          <w:rFonts w:cstheme="minorHAnsi"/>
        </w:rPr>
        <w:t xml:space="preserve"> </w:t>
      </w:r>
      <w:proofErr w:type="gramStart"/>
      <w:r w:rsidRPr="00137A86">
        <w:rPr>
          <w:rFonts w:cstheme="minorHAnsi"/>
        </w:rPr>
        <w:t xml:space="preserve">Gall and </w:t>
      </w:r>
      <w:proofErr w:type="spellStart"/>
      <w:r w:rsidRPr="00137A86">
        <w:rPr>
          <w:rFonts w:cstheme="minorHAnsi"/>
        </w:rPr>
        <w:t>Fiorito</w:t>
      </w:r>
      <w:proofErr w:type="spellEnd"/>
      <w:r w:rsidRPr="00137A86">
        <w:rPr>
          <w:rFonts w:cstheme="minorHAnsi"/>
        </w:rPr>
        <w:t xml:space="preserve"> above n.16.</w:t>
      </w:r>
      <w:proofErr w:type="gramEnd"/>
    </w:p>
  </w:footnote>
  <w:footnote w:id="72">
    <w:p w14:paraId="49E07356" w14:textId="77777777" w:rsidR="008B6308" w:rsidRPr="00137A86" w:rsidRDefault="008B6308" w:rsidP="000C35D9">
      <w:pPr>
        <w:pStyle w:val="FootnoteText"/>
        <w:jc w:val="both"/>
        <w:rPr>
          <w:rFonts w:cstheme="minorHAnsi"/>
        </w:rPr>
      </w:pPr>
      <w:r w:rsidRPr="00137A86">
        <w:rPr>
          <w:rStyle w:val="FootnoteReference"/>
          <w:rFonts w:cstheme="minorHAnsi"/>
        </w:rPr>
        <w:footnoteRef/>
      </w:r>
      <w:r w:rsidRPr="00137A86">
        <w:rPr>
          <w:rFonts w:cstheme="minorHAnsi"/>
        </w:rPr>
        <w:t xml:space="preserve"> These are only gains if the workers feel that non-union is the initial reference point for making any assessment of gains or losses. </w:t>
      </w:r>
    </w:p>
  </w:footnote>
  <w:footnote w:id="73">
    <w:p w14:paraId="7DC81EBF" w14:textId="0299FD48" w:rsidR="008B6308" w:rsidRPr="00137A86" w:rsidRDefault="008B6308" w:rsidP="000C35D9">
      <w:pPr>
        <w:shd w:val="clear" w:color="auto" w:fill="FFFFFF"/>
        <w:spacing w:after="0" w:line="240" w:lineRule="auto"/>
        <w:jc w:val="both"/>
        <w:rPr>
          <w:rFonts w:cstheme="minorHAnsi"/>
          <w:sz w:val="20"/>
          <w:szCs w:val="20"/>
          <w:shd w:val="clear" w:color="auto" w:fill="FFFFFF"/>
        </w:rPr>
      </w:pPr>
      <w:r w:rsidRPr="00137A86">
        <w:rPr>
          <w:rStyle w:val="FootnoteReference"/>
          <w:rFonts w:cstheme="minorHAnsi"/>
          <w:sz w:val="20"/>
          <w:szCs w:val="20"/>
        </w:rPr>
        <w:footnoteRef/>
      </w:r>
      <w:r w:rsidRPr="00137A86">
        <w:rPr>
          <w:rFonts w:cstheme="minorHAnsi"/>
          <w:sz w:val="20"/>
          <w:szCs w:val="20"/>
        </w:rPr>
        <w:t xml:space="preserve"> J. </w:t>
      </w:r>
      <w:r w:rsidRPr="00137A86">
        <w:rPr>
          <w:rFonts w:cstheme="minorHAnsi"/>
          <w:iCs/>
          <w:sz w:val="20"/>
          <w:szCs w:val="20"/>
        </w:rPr>
        <w:t xml:space="preserve">Horowitz and K. McConnell, ‘A review of WTA/WTP studies’ (2002) 44 </w:t>
      </w:r>
      <w:r w:rsidRPr="00137A86">
        <w:rPr>
          <w:rFonts w:cstheme="minorHAnsi"/>
          <w:i/>
          <w:sz w:val="20"/>
          <w:szCs w:val="20"/>
        </w:rPr>
        <w:t>Journal of Environmental Economics and Management</w:t>
      </w:r>
      <w:r w:rsidRPr="00137A86">
        <w:rPr>
          <w:rFonts w:cstheme="minorHAnsi"/>
          <w:sz w:val="20"/>
          <w:szCs w:val="20"/>
        </w:rPr>
        <w:t xml:space="preserve">; S. </w:t>
      </w:r>
      <w:proofErr w:type="spellStart"/>
      <w:r w:rsidRPr="00137A86">
        <w:rPr>
          <w:rFonts w:cstheme="minorHAnsi"/>
          <w:sz w:val="20"/>
          <w:szCs w:val="20"/>
          <w:shd w:val="clear" w:color="auto" w:fill="FFFFFF"/>
        </w:rPr>
        <w:t>Sayman</w:t>
      </w:r>
      <w:proofErr w:type="spellEnd"/>
      <w:r w:rsidRPr="00137A86">
        <w:rPr>
          <w:rFonts w:cstheme="minorHAnsi"/>
          <w:sz w:val="20"/>
          <w:szCs w:val="20"/>
          <w:shd w:val="clear" w:color="auto" w:fill="FFFFFF"/>
        </w:rPr>
        <w:t xml:space="preserve"> and A. </w:t>
      </w:r>
      <w:proofErr w:type="spellStart"/>
      <w:r w:rsidRPr="00137A86">
        <w:rPr>
          <w:rFonts w:cstheme="minorHAnsi"/>
          <w:sz w:val="20"/>
          <w:szCs w:val="20"/>
          <w:shd w:val="clear" w:color="auto" w:fill="FFFFFF"/>
        </w:rPr>
        <w:t>Onculer</w:t>
      </w:r>
      <w:proofErr w:type="spellEnd"/>
      <w:r w:rsidRPr="00137A86">
        <w:rPr>
          <w:rFonts w:cstheme="minorHAnsi"/>
          <w:sz w:val="20"/>
          <w:szCs w:val="20"/>
          <w:shd w:val="clear" w:color="auto" w:fill="FFFFFF"/>
        </w:rPr>
        <w:t xml:space="preserve">, ‘Effect of study design characteristics on the WTA-WTP disparity: A meta analytical framework’ (2005) 26 </w:t>
      </w:r>
      <w:r w:rsidRPr="00137A86">
        <w:rPr>
          <w:rFonts w:cstheme="minorHAnsi"/>
          <w:i/>
          <w:iCs/>
          <w:sz w:val="20"/>
          <w:szCs w:val="20"/>
          <w:shd w:val="clear" w:color="auto" w:fill="FFFFFF"/>
        </w:rPr>
        <w:t>Journal of Economic Psychology</w:t>
      </w:r>
      <w:r w:rsidRPr="00137A86">
        <w:rPr>
          <w:rFonts w:cstheme="minorHAnsi"/>
          <w:iCs/>
          <w:sz w:val="20"/>
          <w:szCs w:val="20"/>
          <w:shd w:val="clear" w:color="auto" w:fill="FFFFFF"/>
        </w:rPr>
        <w:t xml:space="preserve">; T. </w:t>
      </w:r>
      <w:proofErr w:type="spellStart"/>
      <w:r w:rsidRPr="00137A86">
        <w:rPr>
          <w:rFonts w:cstheme="minorHAnsi"/>
          <w:sz w:val="20"/>
          <w:szCs w:val="20"/>
          <w:shd w:val="clear" w:color="auto" w:fill="FFFFFF"/>
        </w:rPr>
        <w:t>Tuncel</w:t>
      </w:r>
      <w:proofErr w:type="spellEnd"/>
      <w:r w:rsidRPr="00137A86">
        <w:rPr>
          <w:rFonts w:cstheme="minorHAnsi"/>
          <w:sz w:val="20"/>
          <w:szCs w:val="20"/>
          <w:shd w:val="clear" w:color="auto" w:fill="FFFFFF"/>
        </w:rPr>
        <w:t xml:space="preserve"> and J. </w:t>
      </w:r>
      <w:proofErr w:type="spellStart"/>
      <w:r w:rsidRPr="00137A86">
        <w:rPr>
          <w:rFonts w:cstheme="minorHAnsi"/>
          <w:sz w:val="20"/>
          <w:szCs w:val="20"/>
          <w:shd w:val="clear" w:color="auto" w:fill="FFFFFF"/>
        </w:rPr>
        <w:t>Hammitt</w:t>
      </w:r>
      <w:proofErr w:type="spellEnd"/>
      <w:r w:rsidRPr="00137A86">
        <w:rPr>
          <w:rFonts w:cstheme="minorHAnsi"/>
          <w:sz w:val="20"/>
          <w:szCs w:val="20"/>
          <w:shd w:val="clear" w:color="auto" w:fill="FFFFFF"/>
        </w:rPr>
        <w:t xml:space="preserve">, ‘A new meta-analysis on the WTP/WTA disparity’ (2014) 68 </w:t>
      </w:r>
      <w:r w:rsidRPr="00137A86">
        <w:rPr>
          <w:rFonts w:cstheme="minorHAnsi"/>
          <w:i/>
          <w:iCs/>
          <w:sz w:val="20"/>
          <w:szCs w:val="20"/>
          <w:shd w:val="clear" w:color="auto" w:fill="FFFFFF"/>
        </w:rPr>
        <w:t>Journal of Environmental Economics and Management</w:t>
      </w:r>
      <w:r w:rsidRPr="00137A86">
        <w:rPr>
          <w:rFonts w:cstheme="minorHAnsi"/>
          <w:sz w:val="20"/>
          <w:szCs w:val="20"/>
          <w:shd w:val="clear" w:color="auto" w:fill="FFFFFF"/>
        </w:rPr>
        <w:t>.</w:t>
      </w:r>
    </w:p>
    <w:p w14:paraId="2444825F" w14:textId="39BC0993" w:rsidR="008B6308" w:rsidRPr="00137A86" w:rsidRDefault="008B6308" w:rsidP="00137A86">
      <w:pPr>
        <w:shd w:val="clear" w:color="auto" w:fill="FFFFFF"/>
        <w:spacing w:after="0" w:line="240" w:lineRule="auto"/>
        <w:ind w:hanging="720"/>
        <w:jc w:val="both"/>
        <w:rPr>
          <w:rFonts w:cstheme="minorHAnsi"/>
          <w:sz w:val="20"/>
          <w:szCs w:val="20"/>
        </w:rPr>
      </w:pPr>
    </w:p>
  </w:footnote>
  <w:footnote w:id="74">
    <w:p w14:paraId="7134044D" w14:textId="3FA346DE" w:rsidR="008B6308" w:rsidRPr="00CD47A6" w:rsidRDefault="008B6308" w:rsidP="00137A86">
      <w:pPr>
        <w:pStyle w:val="FootnoteText"/>
        <w:rPr>
          <w:rFonts w:cstheme="minorHAnsi"/>
          <w:lang w:val="fr-FR"/>
        </w:rPr>
      </w:pPr>
      <w:r w:rsidRPr="00137A86">
        <w:rPr>
          <w:rStyle w:val="FootnoteReference"/>
          <w:rFonts w:cstheme="minorHAnsi"/>
        </w:rPr>
        <w:footnoteRef/>
      </w:r>
      <w:r w:rsidRPr="00CD47A6">
        <w:rPr>
          <w:rFonts w:cstheme="minorHAnsi"/>
          <w:lang w:val="fr-FR"/>
        </w:rPr>
        <w:t xml:space="preserve"> </w:t>
      </w:r>
      <w:proofErr w:type="spellStart"/>
      <w:r w:rsidRPr="00CD47A6">
        <w:rPr>
          <w:rFonts w:cstheme="minorHAnsi"/>
          <w:lang w:val="fr-FR"/>
        </w:rPr>
        <w:t>Bryson</w:t>
      </w:r>
      <w:proofErr w:type="spellEnd"/>
      <w:r w:rsidRPr="00CD47A6">
        <w:rPr>
          <w:rFonts w:cstheme="minorHAnsi"/>
          <w:lang w:val="fr-FR"/>
        </w:rPr>
        <w:t xml:space="preserve"> </w:t>
      </w:r>
      <w:r w:rsidRPr="00CD47A6">
        <w:rPr>
          <w:rFonts w:cstheme="minorHAnsi"/>
          <w:i/>
          <w:lang w:val="fr-FR"/>
        </w:rPr>
        <w:t>et al</w:t>
      </w:r>
      <w:r w:rsidRPr="00CD47A6">
        <w:rPr>
          <w:rFonts w:cstheme="minorHAnsi"/>
          <w:lang w:val="fr-FR"/>
        </w:rPr>
        <w:t xml:space="preserve"> </w:t>
      </w:r>
      <w:proofErr w:type="spellStart"/>
      <w:r w:rsidRPr="00CD47A6">
        <w:rPr>
          <w:rFonts w:cstheme="minorHAnsi"/>
          <w:lang w:val="fr-FR"/>
        </w:rPr>
        <w:t>above</w:t>
      </w:r>
      <w:proofErr w:type="spellEnd"/>
      <w:r w:rsidRPr="00CD47A6">
        <w:rPr>
          <w:rFonts w:cstheme="minorHAnsi"/>
          <w:lang w:val="fr-FR"/>
        </w:rPr>
        <w:t xml:space="preserve"> n.5; </w:t>
      </w:r>
      <w:proofErr w:type="spellStart"/>
      <w:r w:rsidRPr="00CD47A6">
        <w:rPr>
          <w:rFonts w:cstheme="minorHAnsi"/>
          <w:lang w:val="fr-FR"/>
        </w:rPr>
        <w:t>Haynes</w:t>
      </w:r>
      <w:proofErr w:type="spellEnd"/>
      <w:r w:rsidRPr="00CD47A6">
        <w:rPr>
          <w:rFonts w:cstheme="minorHAnsi"/>
          <w:lang w:val="fr-FR"/>
        </w:rPr>
        <w:t xml:space="preserve"> </w:t>
      </w:r>
      <w:r w:rsidRPr="00CD47A6">
        <w:rPr>
          <w:rFonts w:cstheme="minorHAnsi"/>
          <w:i/>
          <w:lang w:val="fr-FR"/>
        </w:rPr>
        <w:t xml:space="preserve">et al </w:t>
      </w:r>
      <w:proofErr w:type="spellStart"/>
      <w:r w:rsidRPr="00CD47A6">
        <w:rPr>
          <w:rFonts w:cstheme="minorHAnsi"/>
          <w:lang w:val="fr-FR"/>
        </w:rPr>
        <w:t>above</w:t>
      </w:r>
      <w:proofErr w:type="spellEnd"/>
      <w:r w:rsidRPr="00CD47A6">
        <w:rPr>
          <w:rFonts w:cstheme="minorHAnsi"/>
          <w:lang w:val="fr-FR"/>
        </w:rPr>
        <w:t xml:space="preserve"> n.5.</w:t>
      </w:r>
    </w:p>
  </w:footnote>
  <w:footnote w:id="75">
    <w:p w14:paraId="71F8297C" w14:textId="689654CC" w:rsidR="008B6308" w:rsidRPr="00137A86" w:rsidRDefault="008B6308" w:rsidP="00137A86">
      <w:pPr>
        <w:pStyle w:val="FootnoteText"/>
        <w:rPr>
          <w:rFonts w:cstheme="minorHAnsi"/>
        </w:rPr>
      </w:pPr>
      <w:r w:rsidRPr="00137A86">
        <w:rPr>
          <w:rStyle w:val="FootnoteReference"/>
          <w:rFonts w:cstheme="minorHAnsi"/>
        </w:rPr>
        <w:footnoteRef/>
      </w:r>
      <w:r w:rsidRPr="00137A86">
        <w:rPr>
          <w:rFonts w:cstheme="minorHAnsi"/>
        </w:rPr>
        <w:t xml:space="preserve"> See A. </w:t>
      </w:r>
      <w:proofErr w:type="spellStart"/>
      <w:r w:rsidRPr="00137A86">
        <w:rPr>
          <w:rFonts w:cstheme="minorHAnsi"/>
        </w:rPr>
        <w:t>Bogg</w:t>
      </w:r>
      <w:proofErr w:type="spellEnd"/>
      <w:r w:rsidRPr="00137A86">
        <w:rPr>
          <w:rFonts w:cstheme="minorHAnsi"/>
        </w:rPr>
        <w:t xml:space="preserve">, ‘The Death of Statutory Union Recognition in the United Kingdom’ (2012) 54 </w:t>
      </w:r>
      <w:r w:rsidRPr="00137A86">
        <w:rPr>
          <w:rFonts w:cstheme="minorHAnsi"/>
          <w:i/>
        </w:rPr>
        <w:t>Journal of Industrial Relations</w:t>
      </w:r>
      <w:r w:rsidRPr="00137A86">
        <w:rPr>
          <w:rFonts w:cstheme="minorHAnsi"/>
        </w:rPr>
        <w:t>.</w:t>
      </w:r>
    </w:p>
  </w:footnote>
  <w:footnote w:id="76">
    <w:p w14:paraId="3E58FE30" w14:textId="13172207" w:rsidR="008B6308" w:rsidRPr="00137A86" w:rsidRDefault="008B6308" w:rsidP="00137A86">
      <w:pPr>
        <w:pStyle w:val="FootnoteText"/>
        <w:rPr>
          <w:rFonts w:cstheme="minorHAnsi"/>
        </w:rPr>
      </w:pPr>
      <w:r w:rsidRPr="00137A86">
        <w:rPr>
          <w:rStyle w:val="FootnoteReference"/>
          <w:rFonts w:cstheme="minorHAnsi"/>
        </w:rPr>
        <w:footnoteRef/>
      </w:r>
      <w:r w:rsidR="00137A86">
        <w:rPr>
          <w:rFonts w:cstheme="minorHAnsi"/>
        </w:rPr>
        <w:t xml:space="preserve"> </w:t>
      </w:r>
      <w:proofErr w:type="spellStart"/>
      <w:proofErr w:type="gramStart"/>
      <w:r w:rsidR="00365072" w:rsidRPr="00137A86">
        <w:rPr>
          <w:rFonts w:cstheme="minorHAnsi"/>
        </w:rPr>
        <w:t>Sunstein</w:t>
      </w:r>
      <w:proofErr w:type="spellEnd"/>
      <w:r w:rsidR="00B73735" w:rsidRPr="00137A86">
        <w:rPr>
          <w:rFonts w:cstheme="minorHAnsi"/>
        </w:rPr>
        <w:t xml:space="preserve"> above n.25; C. </w:t>
      </w:r>
      <w:proofErr w:type="spellStart"/>
      <w:r w:rsidR="00B73735" w:rsidRPr="00137A86">
        <w:rPr>
          <w:rFonts w:cstheme="minorHAnsi"/>
        </w:rPr>
        <w:t>Sunstein</w:t>
      </w:r>
      <w:proofErr w:type="spellEnd"/>
      <w:r w:rsidR="00B73735" w:rsidRPr="00137A86">
        <w:rPr>
          <w:rFonts w:cstheme="minorHAnsi"/>
        </w:rPr>
        <w:t xml:space="preserve">, </w:t>
      </w:r>
      <w:r w:rsidR="00B73735" w:rsidRPr="00137A86">
        <w:rPr>
          <w:rFonts w:cstheme="minorHAnsi"/>
          <w:bCs/>
          <w:color w:val="212121"/>
          <w:shd w:val="clear" w:color="auto" w:fill="FFFFFF"/>
        </w:rPr>
        <w:t>‘Choosing Not to Choose’ (2014) 64 </w:t>
      </w:r>
      <w:r w:rsidR="00B73735" w:rsidRPr="00137A86">
        <w:rPr>
          <w:rFonts w:cstheme="minorHAnsi"/>
          <w:bCs/>
          <w:i/>
          <w:iCs/>
          <w:color w:val="212121"/>
          <w:shd w:val="clear" w:color="auto" w:fill="FFFFFF"/>
        </w:rPr>
        <w:t>Duke Law Journal</w:t>
      </w:r>
      <w:r w:rsidR="00B73735" w:rsidRPr="00137A86">
        <w:rPr>
          <w:rFonts w:cstheme="minorHAnsi"/>
          <w:bCs/>
          <w:color w:val="212121"/>
          <w:shd w:val="clear" w:color="auto" w:fill="FFFFFF"/>
        </w:rPr>
        <w:t>.</w:t>
      </w:r>
      <w:proofErr w:type="gramEnd"/>
      <w:r w:rsidR="00B73735" w:rsidRPr="00137A86">
        <w:rPr>
          <w:rFonts w:cstheme="minorHAnsi"/>
          <w:b/>
          <w:bCs/>
          <w:color w:val="212121"/>
          <w:shd w:val="clear" w:color="auto" w:fill="FFFFFF"/>
        </w:rPr>
        <w:t> </w:t>
      </w:r>
    </w:p>
  </w:footnote>
  <w:footnote w:id="77">
    <w:p w14:paraId="11478570" w14:textId="77777777" w:rsidR="008B6308" w:rsidRPr="00137A86" w:rsidRDefault="008B6308" w:rsidP="00137A86">
      <w:pPr>
        <w:pStyle w:val="FootnoteText"/>
        <w:jc w:val="both"/>
        <w:rPr>
          <w:rFonts w:cstheme="minorHAnsi"/>
        </w:rPr>
      </w:pPr>
      <w:r w:rsidRPr="00137A86">
        <w:rPr>
          <w:rStyle w:val="FootnoteReference"/>
          <w:rFonts w:cstheme="minorHAnsi"/>
        </w:rPr>
        <w:footnoteRef/>
      </w:r>
      <w:r w:rsidRPr="00137A86">
        <w:rPr>
          <w:rFonts w:cstheme="minorHAnsi"/>
        </w:rPr>
        <w:t xml:space="preserve"> Unions could be provided with greater membership </w:t>
      </w:r>
      <w:proofErr w:type="gramStart"/>
      <w:r w:rsidRPr="00137A86">
        <w:rPr>
          <w:rFonts w:cstheme="minorHAnsi"/>
        </w:rPr>
        <w:t>security by restricting opt</w:t>
      </w:r>
      <w:proofErr w:type="gramEnd"/>
      <w:r w:rsidRPr="00137A86">
        <w:rPr>
          <w:rFonts w:cstheme="minorHAnsi"/>
        </w:rPr>
        <w:t xml:space="preserve"> out opportunities to, for example, a period before a collective bargaining round or after a minimum period of union membership. </w:t>
      </w:r>
    </w:p>
  </w:footnote>
  <w:footnote w:id="78">
    <w:p w14:paraId="3FDD6D2A" w14:textId="6CBB365A" w:rsidR="008B6308" w:rsidRPr="00137A86" w:rsidRDefault="008B6308" w:rsidP="00137A86">
      <w:pPr>
        <w:pStyle w:val="FootnoteText"/>
        <w:rPr>
          <w:rFonts w:cstheme="minorHAnsi"/>
        </w:rPr>
      </w:pPr>
      <w:r w:rsidRPr="00137A86">
        <w:rPr>
          <w:rStyle w:val="FootnoteReference"/>
          <w:rFonts w:cstheme="minorHAnsi"/>
        </w:rPr>
        <w:footnoteRef/>
      </w:r>
      <w:r w:rsidR="00137A86">
        <w:rPr>
          <w:rFonts w:cstheme="minorHAnsi"/>
        </w:rPr>
        <w:t xml:space="preserve"> </w:t>
      </w:r>
      <w:proofErr w:type="spellStart"/>
      <w:proofErr w:type="gramStart"/>
      <w:r w:rsidRPr="00137A86">
        <w:rPr>
          <w:rFonts w:cstheme="minorHAnsi"/>
        </w:rPr>
        <w:t>Sunstein</w:t>
      </w:r>
      <w:proofErr w:type="spellEnd"/>
      <w:r w:rsidRPr="00137A86">
        <w:rPr>
          <w:rFonts w:cstheme="minorHAnsi"/>
        </w:rPr>
        <w:t xml:space="preserve"> above n. 25.</w:t>
      </w:r>
      <w:proofErr w:type="gramEnd"/>
    </w:p>
  </w:footnote>
  <w:footnote w:id="79">
    <w:p w14:paraId="7FD6E06B" w14:textId="77777777" w:rsidR="008B6308" w:rsidRPr="00137A86" w:rsidRDefault="008B6308" w:rsidP="00137A86">
      <w:pPr>
        <w:pStyle w:val="FootnoteText"/>
        <w:jc w:val="both"/>
        <w:rPr>
          <w:rFonts w:cstheme="minorHAnsi"/>
        </w:rPr>
      </w:pPr>
      <w:r w:rsidRPr="00137A86">
        <w:rPr>
          <w:rStyle w:val="FootnoteReference"/>
          <w:rFonts w:cstheme="minorHAnsi"/>
        </w:rPr>
        <w:footnoteRef/>
      </w:r>
      <w:r w:rsidRPr="00137A86">
        <w:rPr>
          <w:rFonts w:cstheme="minorHAnsi"/>
        </w:rPr>
        <w:t xml:space="preserve"> An agency shop normally requires that non-members pay the equivalent of a full union subscription while a fair share agreement does not. Typically, the payment in the latter is around 75% of a full union subscription.</w:t>
      </w:r>
    </w:p>
  </w:footnote>
  <w:footnote w:id="80">
    <w:p w14:paraId="4D28D62F" w14:textId="64094080" w:rsidR="008B6308" w:rsidRPr="00137A86" w:rsidRDefault="008B6308" w:rsidP="000C35D9">
      <w:pPr>
        <w:shd w:val="clear" w:color="auto" w:fill="FFFFFF"/>
        <w:spacing w:after="0" w:line="240" w:lineRule="auto"/>
        <w:rPr>
          <w:rFonts w:cstheme="minorHAnsi"/>
          <w:b/>
          <w:sz w:val="20"/>
          <w:szCs w:val="20"/>
        </w:rPr>
      </w:pPr>
      <w:r w:rsidRPr="00137A86">
        <w:rPr>
          <w:rStyle w:val="FootnoteReference"/>
          <w:rFonts w:cstheme="minorHAnsi"/>
          <w:sz w:val="20"/>
          <w:szCs w:val="20"/>
        </w:rPr>
        <w:footnoteRef/>
      </w:r>
      <w:r w:rsidR="00B73735" w:rsidRPr="00137A86">
        <w:rPr>
          <w:rFonts w:cstheme="minorHAnsi"/>
          <w:sz w:val="20"/>
          <w:szCs w:val="20"/>
        </w:rPr>
        <w:t xml:space="preserve"> C. </w:t>
      </w:r>
      <w:proofErr w:type="spellStart"/>
      <w:r w:rsidR="00B73735" w:rsidRPr="00137A86">
        <w:rPr>
          <w:rFonts w:eastAsia="Times New Roman" w:cstheme="minorHAnsi"/>
          <w:color w:val="000000"/>
          <w:sz w:val="20"/>
          <w:szCs w:val="20"/>
          <w:lang w:eastAsia="en-GB"/>
        </w:rPr>
        <w:t>Sunstein</w:t>
      </w:r>
      <w:proofErr w:type="spellEnd"/>
      <w:r w:rsidR="00B73735" w:rsidRPr="00137A86">
        <w:rPr>
          <w:rFonts w:eastAsia="Times New Roman" w:cstheme="minorHAnsi"/>
          <w:color w:val="000000"/>
          <w:sz w:val="20"/>
          <w:szCs w:val="20"/>
          <w:lang w:eastAsia="en-GB"/>
        </w:rPr>
        <w:t>, ‘People Prefer System 2 Nudges (Kind of)’ (2016) 66 </w:t>
      </w:r>
      <w:r w:rsidR="00B73735" w:rsidRPr="00137A86">
        <w:rPr>
          <w:rFonts w:eastAsia="Times New Roman" w:cstheme="minorHAnsi"/>
          <w:i/>
          <w:iCs/>
          <w:color w:val="000000"/>
          <w:sz w:val="20"/>
          <w:szCs w:val="20"/>
          <w:lang w:eastAsia="en-GB"/>
        </w:rPr>
        <w:t>Duke Law Journal</w:t>
      </w:r>
      <w:r w:rsidR="000C35D9">
        <w:rPr>
          <w:rFonts w:eastAsia="Times New Roman" w:cstheme="minorHAnsi"/>
          <w:i/>
          <w:iCs/>
          <w:color w:val="000000"/>
          <w:sz w:val="20"/>
          <w:szCs w:val="20"/>
          <w:lang w:eastAsia="en-GB"/>
        </w:rPr>
        <w:t>.</w:t>
      </w:r>
    </w:p>
  </w:footnote>
  <w:footnote w:id="81">
    <w:p w14:paraId="1B89625C" w14:textId="154197A6" w:rsidR="008B6308" w:rsidRPr="00137A86" w:rsidRDefault="008B6308" w:rsidP="000C35D9">
      <w:pPr>
        <w:spacing w:after="0" w:line="240" w:lineRule="auto"/>
        <w:jc w:val="both"/>
        <w:rPr>
          <w:rFonts w:cstheme="minorHAnsi"/>
          <w:sz w:val="20"/>
          <w:szCs w:val="20"/>
        </w:rPr>
      </w:pPr>
      <w:r w:rsidRPr="00137A86">
        <w:rPr>
          <w:rStyle w:val="FootnoteReference"/>
          <w:rFonts w:cstheme="minorHAnsi"/>
          <w:sz w:val="20"/>
          <w:szCs w:val="20"/>
        </w:rPr>
        <w:footnoteRef/>
      </w:r>
      <w:r w:rsidR="00137A86" w:rsidRPr="00137A86">
        <w:rPr>
          <w:rFonts w:cstheme="minorHAnsi"/>
          <w:sz w:val="20"/>
          <w:szCs w:val="20"/>
        </w:rPr>
        <w:t xml:space="preserve"> C. </w:t>
      </w:r>
      <w:proofErr w:type="spellStart"/>
      <w:r w:rsidRPr="00137A86">
        <w:rPr>
          <w:rFonts w:cstheme="minorHAnsi"/>
          <w:sz w:val="20"/>
          <w:szCs w:val="20"/>
        </w:rPr>
        <w:t>Sunstein</w:t>
      </w:r>
      <w:proofErr w:type="spellEnd"/>
      <w:r w:rsidR="00137A86" w:rsidRPr="00137A86">
        <w:rPr>
          <w:rFonts w:cstheme="minorHAnsi"/>
          <w:sz w:val="20"/>
          <w:szCs w:val="20"/>
        </w:rPr>
        <w:t xml:space="preserve">, ‘Do People Like Nudges?’ </w:t>
      </w:r>
      <w:proofErr w:type="gramStart"/>
      <w:r w:rsidR="00137A86" w:rsidRPr="00137A86">
        <w:rPr>
          <w:rFonts w:cstheme="minorHAnsi"/>
          <w:sz w:val="20"/>
          <w:szCs w:val="20"/>
        </w:rPr>
        <w:t xml:space="preserve">(2016) 68 </w:t>
      </w:r>
      <w:r w:rsidR="00137A86" w:rsidRPr="00137A86">
        <w:rPr>
          <w:rFonts w:cstheme="minorHAnsi"/>
          <w:i/>
          <w:iCs/>
          <w:sz w:val="20"/>
          <w:szCs w:val="20"/>
        </w:rPr>
        <w:t>Administrative Law Review</w:t>
      </w:r>
      <w:r w:rsidR="00137A86" w:rsidRPr="00137A86">
        <w:rPr>
          <w:rFonts w:cstheme="minorHAnsi"/>
          <w:sz w:val="20"/>
          <w:szCs w:val="20"/>
        </w:rPr>
        <w:t xml:space="preserve"> 184.</w:t>
      </w:r>
      <w:proofErr w:type="gramEnd"/>
    </w:p>
  </w:footnote>
  <w:footnote w:id="82">
    <w:p w14:paraId="052E2FD4" w14:textId="29B887C1" w:rsidR="008B6308" w:rsidRPr="00137A86" w:rsidRDefault="008B6308" w:rsidP="000C35D9">
      <w:pPr>
        <w:pStyle w:val="FootnoteText"/>
        <w:rPr>
          <w:rFonts w:cstheme="minorHAnsi"/>
        </w:rPr>
      </w:pPr>
      <w:r w:rsidRPr="00137A86">
        <w:rPr>
          <w:rStyle w:val="FootnoteReference"/>
          <w:rFonts w:cstheme="minorHAnsi"/>
        </w:rPr>
        <w:footnoteRef/>
      </w:r>
      <w:r w:rsidRPr="00137A86">
        <w:rPr>
          <w:rFonts w:cstheme="minorHAnsi"/>
        </w:rPr>
        <w:t xml:space="preserve"> </w:t>
      </w:r>
      <w:proofErr w:type="gramStart"/>
      <w:r w:rsidRPr="00137A86">
        <w:rPr>
          <w:rFonts w:cstheme="minorHAnsi"/>
        </w:rPr>
        <w:t xml:space="preserve">Bryson </w:t>
      </w:r>
      <w:r w:rsidRPr="00137A86">
        <w:rPr>
          <w:rFonts w:cstheme="minorHAnsi"/>
          <w:i/>
        </w:rPr>
        <w:t>et al</w:t>
      </w:r>
      <w:r w:rsidRPr="00137A86">
        <w:rPr>
          <w:rFonts w:cstheme="minorHAnsi"/>
        </w:rPr>
        <w:t xml:space="preserve"> above n.5; Haynes </w:t>
      </w:r>
      <w:r w:rsidRPr="00137A86">
        <w:rPr>
          <w:rFonts w:cstheme="minorHAnsi"/>
          <w:i/>
        </w:rPr>
        <w:t xml:space="preserve">et al </w:t>
      </w:r>
      <w:r w:rsidR="00B73735" w:rsidRPr="00137A86">
        <w:rPr>
          <w:rFonts w:cstheme="minorHAnsi"/>
        </w:rPr>
        <w:t xml:space="preserve">above n.5; </w:t>
      </w:r>
      <w:proofErr w:type="spellStart"/>
      <w:r w:rsidRPr="00137A86">
        <w:rPr>
          <w:rFonts w:cstheme="minorHAnsi"/>
        </w:rPr>
        <w:t>Teicher</w:t>
      </w:r>
      <w:proofErr w:type="spellEnd"/>
      <w:r w:rsidRPr="00137A86">
        <w:rPr>
          <w:rFonts w:cstheme="minorHAnsi"/>
        </w:rPr>
        <w:t xml:space="preserve"> </w:t>
      </w:r>
      <w:r w:rsidRPr="00137A86">
        <w:rPr>
          <w:rFonts w:cstheme="minorHAnsi"/>
          <w:i/>
        </w:rPr>
        <w:t>et al.</w:t>
      </w:r>
      <w:r w:rsidR="00365072" w:rsidRPr="00137A86">
        <w:rPr>
          <w:rFonts w:cstheme="minorHAnsi"/>
        </w:rPr>
        <w:t xml:space="preserve"> </w:t>
      </w:r>
      <w:r w:rsidR="005D19F2" w:rsidRPr="00137A86">
        <w:rPr>
          <w:rFonts w:cstheme="minorHAnsi"/>
        </w:rPr>
        <w:t>above</w:t>
      </w:r>
      <w:r w:rsidR="00365072" w:rsidRPr="00137A86">
        <w:rPr>
          <w:rFonts w:cstheme="minorHAnsi"/>
        </w:rPr>
        <w:t xml:space="preserve"> n. 5.</w:t>
      </w:r>
      <w:proofErr w:type="gramEnd"/>
    </w:p>
  </w:footnote>
  <w:footnote w:id="83">
    <w:p w14:paraId="3BB7020C" w14:textId="4ACB1296" w:rsidR="008B6308" w:rsidRPr="000C35D9" w:rsidRDefault="008B6308" w:rsidP="000C35D9">
      <w:pPr>
        <w:spacing w:after="0" w:line="240" w:lineRule="auto"/>
        <w:jc w:val="both"/>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w:t>
      </w:r>
      <w:r w:rsidR="00827F69" w:rsidRPr="00137A86">
        <w:rPr>
          <w:rFonts w:cstheme="minorHAnsi"/>
          <w:sz w:val="20"/>
          <w:szCs w:val="20"/>
        </w:rPr>
        <w:t xml:space="preserve">G. </w:t>
      </w:r>
      <w:proofErr w:type="spellStart"/>
      <w:r w:rsidR="00827F69" w:rsidRPr="00137A86">
        <w:rPr>
          <w:rFonts w:cstheme="minorHAnsi"/>
          <w:sz w:val="20"/>
          <w:szCs w:val="20"/>
        </w:rPr>
        <w:t>Felsen</w:t>
      </w:r>
      <w:proofErr w:type="spellEnd"/>
      <w:r w:rsidR="00827F69" w:rsidRPr="00137A86">
        <w:rPr>
          <w:rFonts w:cstheme="minorHAnsi"/>
          <w:sz w:val="20"/>
          <w:szCs w:val="20"/>
        </w:rPr>
        <w:t xml:space="preserve">, N. Castelo and P. Reiner, ‘Decisional enhancement and autonomy: public attitudes towards overt and covert nudges’ (2013) 8 </w:t>
      </w:r>
      <w:r w:rsidR="00827F69" w:rsidRPr="00137A86">
        <w:rPr>
          <w:rFonts w:cstheme="minorHAnsi"/>
          <w:i/>
          <w:iCs/>
          <w:sz w:val="20"/>
          <w:szCs w:val="20"/>
        </w:rPr>
        <w:t>Judgment and Decision Making</w:t>
      </w:r>
      <w:r w:rsidR="00827F69" w:rsidRPr="00137A86">
        <w:rPr>
          <w:rFonts w:cstheme="minorHAnsi"/>
          <w:iCs/>
          <w:sz w:val="20"/>
          <w:szCs w:val="20"/>
        </w:rPr>
        <w:t xml:space="preserve">; L. </w:t>
      </w:r>
      <w:proofErr w:type="spellStart"/>
      <w:r w:rsidR="00827F69" w:rsidRPr="00137A86">
        <w:rPr>
          <w:rFonts w:cstheme="minorHAnsi"/>
          <w:sz w:val="20"/>
          <w:szCs w:val="20"/>
        </w:rPr>
        <w:t>Reisch</w:t>
      </w:r>
      <w:proofErr w:type="spellEnd"/>
      <w:r w:rsidR="00827F69" w:rsidRPr="00137A86">
        <w:rPr>
          <w:rFonts w:cstheme="minorHAnsi"/>
          <w:sz w:val="20"/>
          <w:szCs w:val="20"/>
        </w:rPr>
        <w:t xml:space="preserve"> and C. </w:t>
      </w:r>
      <w:proofErr w:type="spellStart"/>
      <w:r w:rsidR="00827F69" w:rsidRPr="00137A86">
        <w:rPr>
          <w:rFonts w:cstheme="minorHAnsi"/>
          <w:sz w:val="20"/>
          <w:szCs w:val="20"/>
        </w:rPr>
        <w:t>Sunstein</w:t>
      </w:r>
      <w:proofErr w:type="spellEnd"/>
      <w:r w:rsidR="00827F69" w:rsidRPr="00137A86">
        <w:rPr>
          <w:rFonts w:cstheme="minorHAnsi"/>
          <w:sz w:val="20"/>
          <w:szCs w:val="20"/>
        </w:rPr>
        <w:t xml:space="preserve">, ‘Do Europeans like nudges?’ (2016) 11 </w:t>
      </w:r>
      <w:proofErr w:type="gramStart"/>
      <w:r w:rsidR="00827F69" w:rsidRPr="00137A86">
        <w:rPr>
          <w:rFonts w:cstheme="minorHAnsi"/>
          <w:i/>
          <w:iCs/>
          <w:sz w:val="20"/>
          <w:szCs w:val="20"/>
        </w:rPr>
        <w:t>Judgment</w:t>
      </w:r>
      <w:proofErr w:type="gramEnd"/>
      <w:r w:rsidR="00827F69" w:rsidRPr="00137A86">
        <w:rPr>
          <w:rFonts w:cstheme="minorHAnsi"/>
          <w:i/>
          <w:iCs/>
          <w:sz w:val="20"/>
          <w:szCs w:val="20"/>
        </w:rPr>
        <w:t xml:space="preserve"> and Decision Making;</w:t>
      </w:r>
      <w:r w:rsidRPr="00137A86">
        <w:rPr>
          <w:rFonts w:cstheme="minorHAnsi"/>
          <w:sz w:val="20"/>
          <w:szCs w:val="20"/>
        </w:rPr>
        <w:t xml:space="preserve"> C. </w:t>
      </w:r>
      <w:proofErr w:type="spellStart"/>
      <w:r w:rsidRPr="00137A86">
        <w:rPr>
          <w:rFonts w:cstheme="minorHAnsi"/>
          <w:sz w:val="20"/>
          <w:szCs w:val="20"/>
        </w:rPr>
        <w:t>Sunstein</w:t>
      </w:r>
      <w:proofErr w:type="spellEnd"/>
      <w:r w:rsidRPr="00137A86">
        <w:rPr>
          <w:rFonts w:cstheme="minorHAnsi"/>
          <w:sz w:val="20"/>
          <w:szCs w:val="20"/>
        </w:rPr>
        <w:t xml:space="preserve">, ‘Nudges, Agency, Navigability, and Abstraction: A Reply to Critics’ (2015) 6 </w:t>
      </w:r>
      <w:r w:rsidRPr="00137A86">
        <w:rPr>
          <w:rFonts w:cstheme="minorHAnsi"/>
          <w:i/>
          <w:iCs/>
          <w:sz w:val="20"/>
          <w:szCs w:val="20"/>
        </w:rPr>
        <w:t>Review of Philosophy and Psychology;</w:t>
      </w:r>
      <w:r w:rsidRPr="00137A86">
        <w:rPr>
          <w:rFonts w:cstheme="minorHAnsi"/>
          <w:b/>
          <w:sz w:val="20"/>
          <w:szCs w:val="20"/>
        </w:rPr>
        <w:t xml:space="preserve"> </w:t>
      </w:r>
      <w:proofErr w:type="spellStart"/>
      <w:r w:rsidRPr="000C35D9">
        <w:rPr>
          <w:rFonts w:cstheme="minorHAnsi"/>
          <w:sz w:val="20"/>
          <w:szCs w:val="20"/>
        </w:rPr>
        <w:t>Sunstein</w:t>
      </w:r>
      <w:proofErr w:type="spellEnd"/>
      <w:r w:rsidRPr="000C35D9">
        <w:rPr>
          <w:rFonts w:cstheme="minorHAnsi"/>
          <w:sz w:val="20"/>
          <w:szCs w:val="20"/>
        </w:rPr>
        <w:t xml:space="preserve"> </w:t>
      </w:r>
      <w:r w:rsidR="00137A86" w:rsidRPr="000C35D9">
        <w:rPr>
          <w:rFonts w:cstheme="minorHAnsi"/>
          <w:sz w:val="20"/>
          <w:szCs w:val="20"/>
        </w:rPr>
        <w:t>above n. 81.</w:t>
      </w:r>
    </w:p>
  </w:footnote>
  <w:footnote w:id="84">
    <w:p w14:paraId="5F52CF79" w14:textId="39761EE0" w:rsidR="008B6308" w:rsidRPr="000C35D9" w:rsidRDefault="008B6308" w:rsidP="000C35D9">
      <w:pPr>
        <w:pStyle w:val="FootnoteText"/>
        <w:rPr>
          <w:rFonts w:cstheme="minorHAnsi"/>
        </w:rPr>
      </w:pPr>
      <w:r w:rsidRPr="000C35D9">
        <w:rPr>
          <w:rStyle w:val="FootnoteReference"/>
          <w:rFonts w:cstheme="minorHAnsi"/>
        </w:rPr>
        <w:footnoteRef/>
      </w:r>
      <w:r w:rsidR="00137A86" w:rsidRPr="000C35D9">
        <w:rPr>
          <w:rFonts w:cstheme="minorHAnsi"/>
        </w:rPr>
        <w:t xml:space="preserve"> </w:t>
      </w:r>
      <w:proofErr w:type="spellStart"/>
      <w:proofErr w:type="gramStart"/>
      <w:r w:rsidR="00137A86" w:rsidRPr="000C35D9">
        <w:rPr>
          <w:rFonts w:cstheme="minorHAnsi"/>
        </w:rPr>
        <w:t>Sunstein</w:t>
      </w:r>
      <w:proofErr w:type="spellEnd"/>
      <w:r w:rsidR="00137A86" w:rsidRPr="000C35D9">
        <w:rPr>
          <w:rFonts w:cstheme="minorHAnsi"/>
        </w:rPr>
        <w:t xml:space="preserve"> above n. 81.</w:t>
      </w:r>
      <w:proofErr w:type="gramEnd"/>
    </w:p>
  </w:footnote>
  <w:footnote w:id="85">
    <w:p w14:paraId="23E83E19" w14:textId="4C980E66" w:rsidR="008B6308" w:rsidRPr="00137A86" w:rsidRDefault="008B6308" w:rsidP="000C35D9">
      <w:pPr>
        <w:pStyle w:val="FootnoteText"/>
        <w:rPr>
          <w:rFonts w:cstheme="minorHAnsi"/>
        </w:rPr>
      </w:pPr>
      <w:r w:rsidRPr="00137A86">
        <w:rPr>
          <w:rStyle w:val="FootnoteReference"/>
          <w:rFonts w:cstheme="minorHAnsi"/>
        </w:rPr>
        <w:footnoteRef/>
      </w:r>
      <w:r w:rsidRPr="00137A86">
        <w:rPr>
          <w:rFonts w:cstheme="minorHAnsi"/>
        </w:rPr>
        <w:t xml:space="preserve"> </w:t>
      </w:r>
      <w:proofErr w:type="gramStart"/>
      <w:r w:rsidRPr="00137A86">
        <w:rPr>
          <w:rFonts w:cstheme="minorHAnsi"/>
        </w:rPr>
        <w:t>Department of Business, Energy and Industrial Strategy above n. 2, 36.</w:t>
      </w:r>
      <w:proofErr w:type="gramEnd"/>
    </w:p>
  </w:footnote>
  <w:footnote w:id="86">
    <w:p w14:paraId="42B587AE" w14:textId="77777777" w:rsidR="008B6308" w:rsidRPr="00137A86" w:rsidRDefault="008B6308" w:rsidP="000C35D9">
      <w:pPr>
        <w:pStyle w:val="FootnoteText"/>
        <w:jc w:val="both"/>
        <w:rPr>
          <w:rFonts w:cstheme="minorHAnsi"/>
        </w:rPr>
      </w:pPr>
      <w:r w:rsidRPr="00137A86">
        <w:rPr>
          <w:rStyle w:val="FootnoteReference"/>
          <w:rFonts w:cstheme="minorHAnsi"/>
        </w:rPr>
        <w:footnoteRef/>
      </w:r>
      <w:r w:rsidRPr="00137A86">
        <w:rPr>
          <w:rFonts w:cstheme="minorHAnsi"/>
        </w:rPr>
        <w:t xml:space="preserve"> Of course, this raises issue of individual choice for the majority union may not always be the union of choice for all workers.</w:t>
      </w:r>
    </w:p>
  </w:footnote>
  <w:footnote w:id="87">
    <w:p w14:paraId="4922E518" w14:textId="77777777" w:rsidR="008B6308" w:rsidRPr="00137A86" w:rsidRDefault="008B6308" w:rsidP="000C35D9">
      <w:pPr>
        <w:pStyle w:val="FootnoteText"/>
        <w:jc w:val="both"/>
        <w:rPr>
          <w:rFonts w:cstheme="minorHAnsi"/>
        </w:rPr>
      </w:pPr>
      <w:r w:rsidRPr="00137A86">
        <w:rPr>
          <w:rStyle w:val="FootnoteReference"/>
          <w:rFonts w:cstheme="minorHAnsi"/>
        </w:rPr>
        <w:footnoteRef/>
      </w:r>
      <w:r w:rsidRPr="00137A86">
        <w:rPr>
          <w:rFonts w:cstheme="minorHAnsi"/>
        </w:rPr>
        <w:t xml:space="preserve"> This standardised process could also involve a standardised form to avoid any employer interference in framing the respective choices. </w:t>
      </w:r>
    </w:p>
  </w:footnote>
  <w:footnote w:id="88">
    <w:p w14:paraId="109CF3FD" w14:textId="0CD398F5" w:rsidR="008B6308" w:rsidRPr="00137A86" w:rsidRDefault="008B6308" w:rsidP="000C35D9">
      <w:pPr>
        <w:pStyle w:val="FootnoteText"/>
        <w:rPr>
          <w:rFonts w:cstheme="minorHAnsi"/>
        </w:rPr>
      </w:pPr>
      <w:r w:rsidRPr="00137A86">
        <w:rPr>
          <w:rStyle w:val="FootnoteReference"/>
          <w:rFonts w:cstheme="minorHAnsi"/>
        </w:rPr>
        <w:footnoteRef/>
      </w:r>
      <w:r w:rsidRPr="00137A86">
        <w:rPr>
          <w:rFonts w:cstheme="minorHAnsi"/>
        </w:rPr>
        <w:t xml:space="preserve"> See also </w:t>
      </w:r>
      <w:proofErr w:type="spellStart"/>
      <w:r w:rsidRPr="00137A86">
        <w:rPr>
          <w:rFonts w:cstheme="minorHAnsi"/>
        </w:rPr>
        <w:t>Bogg</w:t>
      </w:r>
      <w:proofErr w:type="spellEnd"/>
      <w:r w:rsidRPr="00137A86">
        <w:rPr>
          <w:rFonts w:cstheme="minorHAnsi"/>
        </w:rPr>
        <w:t xml:space="preserve"> </w:t>
      </w:r>
      <w:r w:rsidR="005D19F2" w:rsidRPr="00137A86">
        <w:rPr>
          <w:rFonts w:cstheme="minorHAnsi"/>
        </w:rPr>
        <w:t xml:space="preserve">above </w:t>
      </w:r>
      <w:r w:rsidRPr="00137A86">
        <w:rPr>
          <w:rFonts w:cstheme="minorHAnsi"/>
        </w:rPr>
        <w:t>n. 75.</w:t>
      </w:r>
    </w:p>
  </w:footnote>
  <w:footnote w:id="89">
    <w:p w14:paraId="5ABB9D1D" w14:textId="77777777" w:rsidR="008B6308" w:rsidRPr="00137A86" w:rsidRDefault="008B6308" w:rsidP="000C35D9">
      <w:pPr>
        <w:pStyle w:val="FootnoteText"/>
        <w:jc w:val="both"/>
        <w:rPr>
          <w:rFonts w:cstheme="minorHAnsi"/>
        </w:rPr>
      </w:pPr>
      <w:r w:rsidRPr="00137A86">
        <w:rPr>
          <w:rStyle w:val="FootnoteReference"/>
          <w:rFonts w:cstheme="minorHAnsi"/>
        </w:rPr>
        <w:footnoteRef/>
      </w:r>
      <w:r w:rsidRPr="00137A86">
        <w:rPr>
          <w:rFonts w:cstheme="minorHAnsi"/>
        </w:rPr>
        <w:t xml:space="preserve"> These bodies could be those existing institutions which deal with union certification/recognition issues, namely, in the US, this could be the National </w:t>
      </w:r>
      <w:proofErr w:type="spellStart"/>
      <w:r w:rsidRPr="00137A86">
        <w:rPr>
          <w:rFonts w:cstheme="minorHAnsi"/>
        </w:rPr>
        <w:t>Labor</w:t>
      </w:r>
      <w:proofErr w:type="spellEnd"/>
      <w:r w:rsidRPr="00137A86">
        <w:rPr>
          <w:rFonts w:cstheme="minorHAnsi"/>
        </w:rPr>
        <w:t xml:space="preserve"> Relations Board, in Britain the Central Arbitration Committee, in Australia the Fair Work Commission, in New Zealand the Employment Relations Authority, and in Ireland, the Labour Court or Labour Relations Commission. </w:t>
      </w:r>
    </w:p>
  </w:footnote>
  <w:footnote w:id="90">
    <w:p w14:paraId="6A8741BE" w14:textId="77777777" w:rsidR="008B6308" w:rsidRPr="00137A86" w:rsidRDefault="008B6308" w:rsidP="000C35D9">
      <w:pPr>
        <w:pStyle w:val="FootnoteText"/>
        <w:jc w:val="both"/>
        <w:rPr>
          <w:rFonts w:cstheme="minorHAnsi"/>
        </w:rPr>
      </w:pPr>
      <w:r w:rsidRPr="00137A86">
        <w:rPr>
          <w:rStyle w:val="FootnoteReference"/>
          <w:rFonts w:cstheme="minorHAnsi"/>
        </w:rPr>
        <w:footnoteRef/>
      </w:r>
      <w:r w:rsidRPr="00137A86">
        <w:rPr>
          <w:rFonts w:cstheme="minorHAnsi"/>
        </w:rPr>
        <w:t xml:space="preserve"> A default union policy could be applied in different ways to reflect variance in existing employment relations institutions across nations. In North America, for example, default status could be awarded to a single union, in order to preserve and protect the policy of exclusive representation. Alternatively, multi-unionism could be allowed but under new rules to facilitate or even require various forms of multi-union collaboration, such as joint collective bargaining. Peak bodies like the TUC in Britain could act as an ‘honest broker’ in laying out spheres of influence and resolving disputes (as it has historically tried to do under the so-called ‘Bridlington rules’).</w:t>
      </w:r>
    </w:p>
  </w:footnote>
  <w:footnote w:id="91">
    <w:p w14:paraId="1732D842" w14:textId="57110F97" w:rsidR="008B6308" w:rsidRPr="00137A86" w:rsidRDefault="008B6308" w:rsidP="000C35D9">
      <w:pPr>
        <w:pStyle w:val="FootnoteText"/>
        <w:rPr>
          <w:rFonts w:cstheme="minorHAnsi"/>
        </w:rPr>
      </w:pPr>
      <w:r w:rsidRPr="00137A86">
        <w:rPr>
          <w:rStyle w:val="FootnoteReference"/>
          <w:rFonts w:cstheme="minorHAnsi"/>
        </w:rPr>
        <w:footnoteRef/>
      </w:r>
      <w:r w:rsidRPr="00137A86">
        <w:rPr>
          <w:rFonts w:cstheme="minorHAnsi"/>
        </w:rPr>
        <w:t xml:space="preserve"> </w:t>
      </w:r>
      <w:proofErr w:type="spellStart"/>
      <w:proofErr w:type="gramStart"/>
      <w:r w:rsidRPr="00137A86">
        <w:rPr>
          <w:rFonts w:cstheme="minorHAnsi"/>
        </w:rPr>
        <w:t>Ss</w:t>
      </w:r>
      <w:proofErr w:type="spellEnd"/>
      <w:r w:rsidRPr="00137A86">
        <w:rPr>
          <w:rFonts w:cstheme="minorHAnsi"/>
        </w:rPr>
        <w:t xml:space="preserve"> 18</w:t>
      </w:r>
      <w:r w:rsidR="00827F69" w:rsidRPr="00137A86">
        <w:rPr>
          <w:rFonts w:cstheme="minorHAnsi"/>
        </w:rPr>
        <w:t xml:space="preserve">, </w:t>
      </w:r>
      <w:r w:rsidRPr="00137A86">
        <w:rPr>
          <w:rFonts w:cstheme="minorHAnsi"/>
        </w:rPr>
        <w:t xml:space="preserve">56 </w:t>
      </w:r>
      <w:r w:rsidRPr="00137A86">
        <w:rPr>
          <w:rFonts w:cstheme="minorHAnsi"/>
          <w:i/>
        </w:rPr>
        <w:t>Employment Relations Act</w:t>
      </w:r>
      <w:r w:rsidR="00827F69" w:rsidRPr="00137A86">
        <w:rPr>
          <w:rFonts w:cstheme="minorHAnsi"/>
          <w:i/>
        </w:rPr>
        <w:t xml:space="preserve"> 2000, </w:t>
      </w:r>
      <w:r w:rsidR="00827F69" w:rsidRPr="00137A86">
        <w:rPr>
          <w:rFonts w:cstheme="minorHAnsi"/>
        </w:rPr>
        <w:t>New Zealand</w:t>
      </w:r>
      <w:r w:rsidRPr="00137A86">
        <w:rPr>
          <w:rFonts w:cstheme="minorHAnsi"/>
        </w:rPr>
        <w:t>.</w:t>
      </w:r>
      <w:proofErr w:type="gramEnd"/>
      <w:r w:rsidRPr="00137A86">
        <w:rPr>
          <w:rFonts w:cstheme="minorHAnsi"/>
        </w:rPr>
        <w:t xml:space="preserve"> </w:t>
      </w:r>
    </w:p>
  </w:footnote>
  <w:footnote w:id="92">
    <w:p w14:paraId="135BC243" w14:textId="649F47C1" w:rsidR="008B6308" w:rsidRPr="00137A86" w:rsidRDefault="008B6308" w:rsidP="000C35D9">
      <w:pPr>
        <w:pStyle w:val="FootnoteText"/>
        <w:rPr>
          <w:rFonts w:cstheme="minorHAnsi"/>
        </w:rPr>
      </w:pPr>
      <w:r w:rsidRPr="00137A86">
        <w:rPr>
          <w:rStyle w:val="FootnoteReference"/>
          <w:rFonts w:cstheme="minorHAnsi"/>
        </w:rPr>
        <w:footnoteRef/>
      </w:r>
      <w:r w:rsidRPr="00137A86">
        <w:rPr>
          <w:rFonts w:cstheme="minorHAnsi"/>
        </w:rPr>
        <w:t xml:space="preserve"> </w:t>
      </w:r>
      <w:proofErr w:type="spellStart"/>
      <w:proofErr w:type="gramStart"/>
      <w:r w:rsidRPr="00137A86">
        <w:rPr>
          <w:rFonts w:cstheme="minorHAnsi"/>
        </w:rPr>
        <w:t>Ss</w:t>
      </w:r>
      <w:proofErr w:type="spellEnd"/>
      <w:r w:rsidR="00827F69" w:rsidRPr="00137A86">
        <w:rPr>
          <w:rFonts w:cstheme="minorHAnsi"/>
        </w:rPr>
        <w:t xml:space="preserve"> 4, 32 </w:t>
      </w:r>
      <w:r w:rsidRPr="00137A86">
        <w:rPr>
          <w:rFonts w:cstheme="minorHAnsi"/>
          <w:i/>
        </w:rPr>
        <w:t>Employment Relations Act</w:t>
      </w:r>
      <w:r w:rsidR="00827F69" w:rsidRPr="00137A86">
        <w:rPr>
          <w:rFonts w:cstheme="minorHAnsi"/>
          <w:i/>
        </w:rPr>
        <w:t xml:space="preserve"> 2000, </w:t>
      </w:r>
      <w:r w:rsidR="00827F69" w:rsidRPr="00137A86">
        <w:rPr>
          <w:rFonts w:cstheme="minorHAnsi"/>
        </w:rPr>
        <w:t>New Zealand</w:t>
      </w:r>
      <w:r w:rsidRPr="00137A86">
        <w:rPr>
          <w:rFonts w:cstheme="minorHAnsi"/>
        </w:rPr>
        <w:t>.</w:t>
      </w:r>
      <w:proofErr w:type="gramEnd"/>
      <w:r w:rsidRPr="00137A86">
        <w:rPr>
          <w:rFonts w:cstheme="minorHAnsi"/>
        </w:rPr>
        <w:t xml:space="preserve"> </w:t>
      </w:r>
    </w:p>
  </w:footnote>
  <w:footnote w:id="93">
    <w:p w14:paraId="1C631CC5" w14:textId="521D037B" w:rsidR="008B6308" w:rsidRPr="00137A86" w:rsidRDefault="008B6308" w:rsidP="000C35D9">
      <w:pPr>
        <w:pStyle w:val="FootnoteText"/>
        <w:rPr>
          <w:rFonts w:cstheme="minorHAnsi"/>
        </w:rPr>
      </w:pPr>
      <w:r w:rsidRPr="00137A86">
        <w:rPr>
          <w:rStyle w:val="FootnoteReference"/>
          <w:rFonts w:cstheme="minorHAnsi"/>
        </w:rPr>
        <w:footnoteRef/>
      </w:r>
      <w:r w:rsidRPr="00137A86">
        <w:rPr>
          <w:rFonts w:cstheme="minorHAnsi"/>
        </w:rPr>
        <w:t xml:space="preserve"> </w:t>
      </w:r>
      <w:proofErr w:type="gramStart"/>
      <w:r w:rsidRPr="00137A86">
        <w:rPr>
          <w:rFonts w:cstheme="minorHAnsi"/>
        </w:rPr>
        <w:t xml:space="preserve">S 50J </w:t>
      </w:r>
      <w:r w:rsidRPr="00137A86">
        <w:rPr>
          <w:rFonts w:cstheme="minorHAnsi"/>
          <w:i/>
        </w:rPr>
        <w:t>Employment Relations Act</w:t>
      </w:r>
      <w:r w:rsidR="00827F69" w:rsidRPr="00137A86">
        <w:rPr>
          <w:rFonts w:cstheme="minorHAnsi"/>
          <w:i/>
        </w:rPr>
        <w:t xml:space="preserve"> 2000, </w:t>
      </w:r>
      <w:r w:rsidR="00827F69" w:rsidRPr="00137A86">
        <w:rPr>
          <w:rFonts w:cstheme="minorHAnsi"/>
        </w:rPr>
        <w:t>New Zealand</w:t>
      </w:r>
      <w:r w:rsidRPr="00137A86">
        <w:rPr>
          <w:rFonts w:cstheme="minorHAnsi"/>
        </w:rPr>
        <w:t>.</w:t>
      </w:r>
      <w:proofErr w:type="gramEnd"/>
      <w:r w:rsidRPr="00137A86">
        <w:rPr>
          <w:rFonts w:cstheme="minorHAnsi"/>
        </w:rPr>
        <w:t xml:space="preserve"> </w:t>
      </w:r>
    </w:p>
  </w:footnote>
  <w:footnote w:id="94">
    <w:p w14:paraId="32C636D8" w14:textId="3381CD6F" w:rsidR="008B6308" w:rsidRPr="00137A86" w:rsidRDefault="008B6308" w:rsidP="000C35D9">
      <w:pPr>
        <w:spacing w:after="0" w:line="240" w:lineRule="auto"/>
        <w:jc w:val="both"/>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w:t>
      </w:r>
      <w:r w:rsidR="00B24C12" w:rsidRPr="00137A86">
        <w:rPr>
          <w:rFonts w:cstheme="minorHAnsi"/>
          <w:sz w:val="20"/>
          <w:szCs w:val="20"/>
        </w:rPr>
        <w:t>S</w:t>
      </w:r>
      <w:r w:rsidRPr="00137A86">
        <w:rPr>
          <w:rFonts w:cstheme="minorHAnsi"/>
          <w:bCs/>
          <w:sz w:val="20"/>
          <w:szCs w:val="20"/>
        </w:rPr>
        <w:t xml:space="preserve">ee also </w:t>
      </w:r>
      <w:r w:rsidR="00B24C12" w:rsidRPr="00137A86">
        <w:rPr>
          <w:rFonts w:cstheme="minorHAnsi"/>
          <w:bCs/>
          <w:sz w:val="20"/>
          <w:szCs w:val="20"/>
        </w:rPr>
        <w:t xml:space="preserve">E. </w:t>
      </w:r>
      <w:proofErr w:type="spellStart"/>
      <w:r w:rsidR="00B24C12" w:rsidRPr="00137A86">
        <w:rPr>
          <w:rFonts w:cstheme="minorHAnsi"/>
          <w:sz w:val="20"/>
          <w:szCs w:val="20"/>
        </w:rPr>
        <w:t>McGaughey</w:t>
      </w:r>
      <w:proofErr w:type="spellEnd"/>
      <w:r w:rsidR="00B24C12" w:rsidRPr="00137A86">
        <w:rPr>
          <w:rFonts w:cstheme="minorHAnsi"/>
          <w:sz w:val="20"/>
          <w:szCs w:val="20"/>
        </w:rPr>
        <w:t xml:space="preserve">, ‘A Twelve Point Plan for Labour and A Manifesto for Labour Law’ (2017) 46 </w:t>
      </w:r>
      <w:r w:rsidR="00B24C12" w:rsidRPr="00137A86">
        <w:rPr>
          <w:rFonts w:cstheme="minorHAnsi"/>
          <w:i/>
          <w:sz w:val="20"/>
          <w:szCs w:val="20"/>
        </w:rPr>
        <w:t>Industrial Law Journal</w:t>
      </w:r>
      <w:r w:rsidR="00B24C12" w:rsidRPr="00137A86">
        <w:rPr>
          <w:rFonts w:cstheme="minorHAnsi"/>
          <w:sz w:val="20"/>
          <w:szCs w:val="20"/>
        </w:rPr>
        <w:t>.</w:t>
      </w:r>
    </w:p>
  </w:footnote>
  <w:footnote w:id="95">
    <w:p w14:paraId="34A9D028" w14:textId="0810B0B1" w:rsidR="008B6308" w:rsidRPr="00137A86" w:rsidRDefault="008B6308" w:rsidP="000C35D9">
      <w:pPr>
        <w:spacing w:after="0" w:line="240" w:lineRule="auto"/>
        <w:jc w:val="both"/>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w:t>
      </w:r>
      <w:r w:rsidR="00B24C12" w:rsidRPr="00137A86">
        <w:rPr>
          <w:rFonts w:cstheme="minorHAnsi"/>
          <w:sz w:val="20"/>
          <w:szCs w:val="20"/>
        </w:rPr>
        <w:t>S</w:t>
      </w:r>
      <w:r w:rsidRPr="00137A86">
        <w:rPr>
          <w:rFonts w:cstheme="minorHAnsi"/>
          <w:sz w:val="20"/>
          <w:szCs w:val="20"/>
        </w:rPr>
        <w:t xml:space="preserve">ee, for example, </w:t>
      </w:r>
      <w:proofErr w:type="spellStart"/>
      <w:r w:rsidRPr="00137A86">
        <w:rPr>
          <w:rFonts w:cstheme="minorHAnsi"/>
          <w:sz w:val="20"/>
          <w:szCs w:val="20"/>
        </w:rPr>
        <w:t>Weiler</w:t>
      </w:r>
      <w:proofErr w:type="spellEnd"/>
      <w:r w:rsidR="00B24C12" w:rsidRPr="00137A86">
        <w:rPr>
          <w:rFonts w:cstheme="minorHAnsi"/>
          <w:sz w:val="20"/>
          <w:szCs w:val="20"/>
        </w:rPr>
        <w:t xml:space="preserve"> above n. 28;</w:t>
      </w:r>
      <w:r w:rsidRPr="00137A86">
        <w:rPr>
          <w:rFonts w:cstheme="minorHAnsi"/>
          <w:sz w:val="20"/>
          <w:szCs w:val="20"/>
        </w:rPr>
        <w:t xml:space="preserve"> </w:t>
      </w:r>
      <w:r w:rsidR="00B24C12" w:rsidRPr="00137A86">
        <w:rPr>
          <w:rFonts w:cstheme="minorHAnsi"/>
          <w:sz w:val="20"/>
          <w:szCs w:val="20"/>
        </w:rPr>
        <w:t xml:space="preserve">B. Sachs, ‘Enabling employee choice: A structural approach to the rules of union Organizing’ (2010) 123 </w:t>
      </w:r>
      <w:r w:rsidR="00B24C12" w:rsidRPr="00137A86">
        <w:rPr>
          <w:rFonts w:cstheme="minorHAnsi"/>
          <w:i/>
          <w:sz w:val="20"/>
          <w:szCs w:val="20"/>
        </w:rPr>
        <w:t>Harvard Law Review</w:t>
      </w:r>
      <w:r w:rsidR="00B24C12" w:rsidRPr="00137A86">
        <w:rPr>
          <w:rFonts w:cstheme="minorHAnsi"/>
          <w:sz w:val="20"/>
          <w:szCs w:val="20"/>
        </w:rPr>
        <w:t>;</w:t>
      </w:r>
      <w:r w:rsidRPr="00137A86">
        <w:rPr>
          <w:rFonts w:cstheme="minorHAnsi"/>
          <w:sz w:val="20"/>
          <w:szCs w:val="20"/>
        </w:rPr>
        <w:t xml:space="preserve"> A. </w:t>
      </w:r>
      <w:proofErr w:type="spellStart"/>
      <w:r w:rsidRPr="00137A86">
        <w:rPr>
          <w:rFonts w:cstheme="minorHAnsi"/>
          <w:sz w:val="20"/>
          <w:szCs w:val="20"/>
        </w:rPr>
        <w:t>Bogg</w:t>
      </w:r>
      <w:proofErr w:type="spellEnd"/>
      <w:r w:rsidRPr="00137A86">
        <w:rPr>
          <w:rFonts w:cstheme="minorHAnsi"/>
          <w:sz w:val="20"/>
          <w:szCs w:val="20"/>
        </w:rPr>
        <w:t xml:space="preserve">, </w:t>
      </w:r>
      <w:r w:rsidRPr="00137A86">
        <w:rPr>
          <w:rFonts w:cstheme="minorHAnsi"/>
          <w:i/>
          <w:sz w:val="20"/>
          <w:szCs w:val="20"/>
        </w:rPr>
        <w:t>The Democratic Aspects of Trade Union Recognition</w:t>
      </w:r>
      <w:r w:rsidRPr="00137A86">
        <w:rPr>
          <w:rFonts w:cstheme="minorHAnsi"/>
          <w:sz w:val="20"/>
          <w:szCs w:val="20"/>
        </w:rPr>
        <w:t xml:space="preserve"> (Oxford: Hart Publishing, 2009) and n. 75; </w:t>
      </w:r>
      <w:r w:rsidR="00B24C12" w:rsidRPr="00137A86">
        <w:rPr>
          <w:rFonts w:cstheme="minorHAnsi"/>
          <w:sz w:val="20"/>
          <w:szCs w:val="20"/>
        </w:rPr>
        <w:t xml:space="preserve">E. </w:t>
      </w:r>
      <w:proofErr w:type="spellStart"/>
      <w:r w:rsidR="00B24C12" w:rsidRPr="00137A86">
        <w:rPr>
          <w:rFonts w:cstheme="minorHAnsi"/>
          <w:sz w:val="20"/>
          <w:szCs w:val="20"/>
        </w:rPr>
        <w:t>McGaughey</w:t>
      </w:r>
      <w:proofErr w:type="spellEnd"/>
      <w:r w:rsidR="00B24C12" w:rsidRPr="00137A86">
        <w:rPr>
          <w:rFonts w:cstheme="minorHAnsi"/>
          <w:sz w:val="20"/>
          <w:szCs w:val="20"/>
        </w:rPr>
        <w:t xml:space="preserve">, ‘Behavioural economics and labour Law’ (2014) 20 LSE Legal Studies Working; </w:t>
      </w:r>
      <w:proofErr w:type="spellStart"/>
      <w:r w:rsidRPr="00137A86">
        <w:rPr>
          <w:rFonts w:cstheme="minorHAnsi"/>
          <w:sz w:val="20"/>
          <w:szCs w:val="20"/>
        </w:rPr>
        <w:t>McGaughey</w:t>
      </w:r>
      <w:proofErr w:type="spellEnd"/>
      <w:r w:rsidRPr="00137A86">
        <w:rPr>
          <w:rFonts w:cstheme="minorHAnsi"/>
          <w:sz w:val="20"/>
          <w:szCs w:val="20"/>
        </w:rPr>
        <w:t xml:space="preserve"> </w:t>
      </w:r>
      <w:r w:rsidR="00B24C12" w:rsidRPr="00137A86">
        <w:rPr>
          <w:rFonts w:cstheme="minorHAnsi"/>
          <w:sz w:val="20"/>
          <w:szCs w:val="20"/>
        </w:rPr>
        <w:t>above n. 94</w:t>
      </w:r>
      <w:r w:rsidR="00633521" w:rsidRPr="00137A86">
        <w:rPr>
          <w:rFonts w:cstheme="minorHAnsi"/>
          <w:sz w:val="20"/>
          <w:szCs w:val="20"/>
        </w:rPr>
        <w:t>.</w:t>
      </w:r>
      <w:r w:rsidR="00B24C12" w:rsidRPr="00137A86">
        <w:rPr>
          <w:rFonts w:cstheme="minorHAnsi"/>
          <w:sz w:val="20"/>
          <w:szCs w:val="20"/>
        </w:rPr>
        <w:t xml:space="preserve"> </w:t>
      </w:r>
    </w:p>
  </w:footnote>
  <w:footnote w:id="96">
    <w:p w14:paraId="7818ACC2" w14:textId="3F31DC69" w:rsidR="008B6308" w:rsidRPr="00137A86" w:rsidRDefault="008B6308" w:rsidP="000C35D9">
      <w:pPr>
        <w:pStyle w:val="FootnoteText"/>
        <w:rPr>
          <w:rFonts w:cstheme="minorHAnsi"/>
        </w:rPr>
      </w:pPr>
      <w:r w:rsidRPr="00137A86">
        <w:rPr>
          <w:rStyle w:val="FootnoteReference"/>
          <w:rFonts w:cstheme="minorHAnsi"/>
        </w:rPr>
        <w:footnoteRef/>
      </w:r>
      <w:r w:rsidR="00137A86">
        <w:rPr>
          <w:rFonts w:cstheme="minorHAnsi"/>
        </w:rPr>
        <w:t xml:space="preserve"> </w:t>
      </w:r>
      <w:proofErr w:type="spellStart"/>
      <w:proofErr w:type="gramStart"/>
      <w:r w:rsidR="00633521" w:rsidRPr="00137A86">
        <w:rPr>
          <w:rFonts w:cstheme="minorHAnsi"/>
        </w:rPr>
        <w:t>Weiler</w:t>
      </w:r>
      <w:proofErr w:type="spellEnd"/>
      <w:r w:rsidR="00633521" w:rsidRPr="00137A86">
        <w:rPr>
          <w:rFonts w:cstheme="minorHAnsi"/>
        </w:rPr>
        <w:t xml:space="preserve"> above n. 13.</w:t>
      </w:r>
      <w:proofErr w:type="gramEnd"/>
    </w:p>
  </w:footnote>
  <w:footnote w:id="97">
    <w:p w14:paraId="54FF8872" w14:textId="425EA813" w:rsidR="008B6308" w:rsidRPr="00137A86" w:rsidRDefault="008B6308" w:rsidP="000C35D9">
      <w:pPr>
        <w:spacing w:after="0" w:line="240" w:lineRule="auto"/>
        <w:jc w:val="both"/>
        <w:rPr>
          <w:rFonts w:cstheme="minorHAnsi"/>
          <w:sz w:val="20"/>
          <w:szCs w:val="20"/>
        </w:rPr>
      </w:pPr>
      <w:r w:rsidRPr="00137A86">
        <w:rPr>
          <w:rStyle w:val="FootnoteReference"/>
          <w:rFonts w:cstheme="minorHAnsi"/>
          <w:sz w:val="20"/>
          <w:szCs w:val="20"/>
        </w:rPr>
        <w:footnoteRef/>
      </w:r>
      <w:r w:rsidR="00137A86">
        <w:rPr>
          <w:rFonts w:cstheme="minorHAnsi"/>
          <w:sz w:val="20"/>
          <w:szCs w:val="20"/>
        </w:rPr>
        <w:t xml:space="preserve"> </w:t>
      </w:r>
      <w:r w:rsidR="00137A86" w:rsidRPr="00137A86">
        <w:rPr>
          <w:rFonts w:cstheme="minorHAnsi"/>
          <w:sz w:val="20"/>
          <w:szCs w:val="20"/>
        </w:rPr>
        <w:t xml:space="preserve">U. </w:t>
      </w:r>
      <w:proofErr w:type="spellStart"/>
      <w:r w:rsidR="00137A86" w:rsidRPr="00137A86">
        <w:rPr>
          <w:rFonts w:cstheme="minorHAnsi"/>
          <w:sz w:val="20"/>
          <w:szCs w:val="20"/>
        </w:rPr>
        <w:t>Jirjahn</w:t>
      </w:r>
      <w:proofErr w:type="spellEnd"/>
      <w:r w:rsidR="00137A86" w:rsidRPr="00137A86">
        <w:rPr>
          <w:rFonts w:cstheme="minorHAnsi"/>
          <w:sz w:val="20"/>
          <w:szCs w:val="20"/>
        </w:rPr>
        <w:t xml:space="preserve"> and J. </w:t>
      </w:r>
      <w:proofErr w:type="spellStart"/>
      <w:r w:rsidR="00137A86" w:rsidRPr="00137A86">
        <w:rPr>
          <w:rFonts w:cstheme="minorHAnsi"/>
          <w:sz w:val="20"/>
          <w:szCs w:val="20"/>
        </w:rPr>
        <w:t>Mohrenweiser</w:t>
      </w:r>
      <w:proofErr w:type="spellEnd"/>
      <w:r w:rsidR="00137A86" w:rsidRPr="00137A86">
        <w:rPr>
          <w:rFonts w:cstheme="minorHAnsi"/>
          <w:sz w:val="20"/>
          <w:szCs w:val="20"/>
        </w:rPr>
        <w:t>, ‘</w:t>
      </w:r>
      <w:r w:rsidR="00137A86" w:rsidRPr="00137A86">
        <w:rPr>
          <w:rFonts w:cstheme="minorHAnsi"/>
          <w:sz w:val="20"/>
          <w:szCs w:val="20"/>
          <w:shd w:val="clear" w:color="auto" w:fill="FFFFFF"/>
        </w:rPr>
        <w:t xml:space="preserve">Owner‐managers and the failure of newly adopted works councils’ (2015) 54 </w:t>
      </w:r>
      <w:r w:rsidR="00137A86" w:rsidRPr="00137A86">
        <w:rPr>
          <w:rFonts w:cstheme="minorHAnsi"/>
          <w:i/>
          <w:iCs/>
          <w:sz w:val="20"/>
          <w:szCs w:val="20"/>
          <w:shd w:val="clear" w:color="auto" w:fill="FFFFFF"/>
        </w:rPr>
        <w:t>British Journal of Industrial Relations.</w:t>
      </w:r>
    </w:p>
  </w:footnote>
  <w:footnote w:id="98">
    <w:p w14:paraId="679752E5" w14:textId="6339D82D" w:rsidR="008B6308" w:rsidRPr="00137A86" w:rsidRDefault="008B6308" w:rsidP="000C35D9">
      <w:pPr>
        <w:pStyle w:val="FootnoteText"/>
        <w:rPr>
          <w:rFonts w:cstheme="minorHAnsi"/>
        </w:rPr>
      </w:pPr>
      <w:r w:rsidRPr="00137A86">
        <w:rPr>
          <w:rStyle w:val="FootnoteReference"/>
          <w:rFonts w:cstheme="minorHAnsi"/>
        </w:rPr>
        <w:footnoteRef/>
      </w:r>
      <w:r w:rsidRPr="00137A86">
        <w:rPr>
          <w:rFonts w:cstheme="minorHAnsi"/>
        </w:rPr>
        <w:t xml:space="preserve"> </w:t>
      </w:r>
      <w:proofErr w:type="gramStart"/>
      <w:r w:rsidR="00633521" w:rsidRPr="00137A86">
        <w:rPr>
          <w:rFonts w:cstheme="minorHAnsi"/>
        </w:rPr>
        <w:t>Sachs above n. 95.</w:t>
      </w:r>
      <w:proofErr w:type="gramEnd"/>
    </w:p>
  </w:footnote>
  <w:footnote w:id="99">
    <w:p w14:paraId="186D9D2A" w14:textId="3BFEC3F5" w:rsidR="008B6308" w:rsidRPr="00137A86" w:rsidRDefault="008B6308" w:rsidP="000C35D9">
      <w:pPr>
        <w:pStyle w:val="FootnoteText"/>
        <w:rPr>
          <w:rFonts w:cstheme="minorHAnsi"/>
        </w:rPr>
      </w:pPr>
      <w:r w:rsidRPr="00137A86">
        <w:rPr>
          <w:rStyle w:val="FootnoteReference"/>
          <w:rFonts w:cstheme="minorHAnsi"/>
        </w:rPr>
        <w:footnoteRef/>
      </w:r>
      <w:r w:rsidRPr="00137A86">
        <w:rPr>
          <w:rFonts w:cstheme="minorHAnsi"/>
        </w:rPr>
        <w:t xml:space="preserve"> </w:t>
      </w:r>
      <w:proofErr w:type="gramStart"/>
      <w:r w:rsidR="00633521" w:rsidRPr="00137A86">
        <w:rPr>
          <w:rFonts w:cstheme="minorHAnsi"/>
        </w:rPr>
        <w:t>Sachs above n. 95.</w:t>
      </w:r>
      <w:proofErr w:type="gramEnd"/>
      <w:r w:rsidR="00633521" w:rsidRPr="00137A86">
        <w:rPr>
          <w:rFonts w:cstheme="minorHAnsi"/>
        </w:rPr>
        <w:t xml:space="preserve"> </w:t>
      </w:r>
      <w:r w:rsidRPr="00137A86">
        <w:rPr>
          <w:rFonts w:cstheme="minorHAnsi"/>
        </w:rPr>
        <w:t>685-691</w:t>
      </w:r>
      <w:r w:rsidR="00633521" w:rsidRPr="00137A86">
        <w:rPr>
          <w:rFonts w:cstheme="minorHAnsi"/>
        </w:rPr>
        <w:t>.</w:t>
      </w:r>
    </w:p>
  </w:footnote>
  <w:footnote w:id="100">
    <w:p w14:paraId="1DDEB303" w14:textId="77777777" w:rsidR="008B6308" w:rsidRPr="00137A86" w:rsidRDefault="008B6308" w:rsidP="000C35D9">
      <w:pPr>
        <w:pStyle w:val="FootnoteText"/>
        <w:rPr>
          <w:rFonts w:cstheme="minorHAnsi"/>
        </w:rPr>
      </w:pPr>
      <w:r w:rsidRPr="00137A86">
        <w:rPr>
          <w:rStyle w:val="FootnoteReference"/>
          <w:rFonts w:cstheme="minorHAnsi"/>
        </w:rPr>
        <w:footnoteRef/>
      </w:r>
      <w:r w:rsidRPr="00137A86">
        <w:rPr>
          <w:rFonts w:cstheme="minorHAnsi"/>
        </w:rPr>
        <w:t xml:space="preserve"> </w:t>
      </w:r>
      <w:proofErr w:type="gramStart"/>
      <w:r w:rsidRPr="00137A86">
        <w:rPr>
          <w:rFonts w:cstheme="minorHAnsi"/>
        </w:rPr>
        <w:t>Preference-eliciting default theory (statutory interpretation law) and reversible default theory (corporate law).</w:t>
      </w:r>
      <w:proofErr w:type="gramEnd"/>
      <w:r w:rsidRPr="00137A86">
        <w:rPr>
          <w:rFonts w:cstheme="minorHAnsi"/>
        </w:rPr>
        <w:t xml:space="preserve"> </w:t>
      </w:r>
    </w:p>
  </w:footnote>
  <w:footnote w:id="101">
    <w:p w14:paraId="01F65599" w14:textId="193C2704" w:rsidR="00633521" w:rsidRPr="00137A86" w:rsidRDefault="008B6308" w:rsidP="000C35D9">
      <w:pPr>
        <w:pStyle w:val="FootnoteText"/>
        <w:rPr>
          <w:rFonts w:cstheme="minorHAnsi"/>
        </w:rPr>
      </w:pPr>
      <w:r w:rsidRPr="00137A86">
        <w:rPr>
          <w:rStyle w:val="FootnoteReference"/>
          <w:rFonts w:cstheme="minorHAnsi"/>
        </w:rPr>
        <w:footnoteRef/>
      </w:r>
      <w:r w:rsidRPr="00137A86">
        <w:rPr>
          <w:rFonts w:cstheme="minorHAnsi"/>
        </w:rPr>
        <w:t xml:space="preserve"> </w:t>
      </w:r>
      <w:proofErr w:type="gramStart"/>
      <w:r w:rsidR="00633521" w:rsidRPr="00137A86">
        <w:rPr>
          <w:rFonts w:cstheme="minorHAnsi"/>
        </w:rPr>
        <w:t>Sachs above n. 95, 695, 694.</w:t>
      </w:r>
      <w:proofErr w:type="gramEnd"/>
    </w:p>
  </w:footnote>
  <w:footnote w:id="102">
    <w:p w14:paraId="507D3673" w14:textId="309B632F" w:rsidR="00633521" w:rsidRPr="00137A86" w:rsidRDefault="008B6308" w:rsidP="000C35D9">
      <w:pPr>
        <w:pStyle w:val="FootnoteText"/>
        <w:rPr>
          <w:rFonts w:cstheme="minorHAnsi"/>
        </w:rPr>
      </w:pPr>
      <w:r w:rsidRPr="00137A86">
        <w:rPr>
          <w:rStyle w:val="FootnoteReference"/>
          <w:rFonts w:cstheme="minorHAnsi"/>
        </w:rPr>
        <w:footnoteRef/>
      </w:r>
      <w:r w:rsidR="00633521" w:rsidRPr="00137A86">
        <w:rPr>
          <w:rFonts w:cstheme="minorHAnsi"/>
        </w:rPr>
        <w:t xml:space="preserve"> </w:t>
      </w:r>
      <w:proofErr w:type="gramStart"/>
      <w:r w:rsidR="00633521" w:rsidRPr="00137A86">
        <w:rPr>
          <w:rFonts w:cstheme="minorHAnsi"/>
        </w:rPr>
        <w:t>Sachs above n. 95.</w:t>
      </w:r>
      <w:proofErr w:type="gramEnd"/>
      <w:r w:rsidR="00633521" w:rsidRPr="00137A86">
        <w:rPr>
          <w:rFonts w:cstheme="minorHAnsi"/>
        </w:rPr>
        <w:t xml:space="preserve"> </w:t>
      </w:r>
      <w:r w:rsidRPr="00137A86">
        <w:rPr>
          <w:rFonts w:cstheme="minorHAnsi"/>
        </w:rPr>
        <w:t>695</w:t>
      </w:r>
      <w:r w:rsidR="00633521" w:rsidRPr="00137A86">
        <w:rPr>
          <w:rFonts w:cstheme="minorHAnsi"/>
        </w:rPr>
        <w:t>.</w:t>
      </w:r>
    </w:p>
  </w:footnote>
  <w:footnote w:id="103">
    <w:p w14:paraId="5DE190CC" w14:textId="4A1C31FA" w:rsidR="008B6308" w:rsidRPr="00137A86" w:rsidRDefault="008B6308" w:rsidP="000C35D9">
      <w:pPr>
        <w:pStyle w:val="FootnoteText"/>
        <w:rPr>
          <w:rFonts w:cstheme="minorHAnsi"/>
        </w:rPr>
      </w:pPr>
      <w:r w:rsidRPr="00137A86">
        <w:rPr>
          <w:rStyle w:val="FootnoteReference"/>
          <w:rFonts w:cstheme="minorHAnsi"/>
        </w:rPr>
        <w:footnoteRef/>
      </w:r>
      <w:r w:rsidRPr="00137A86">
        <w:rPr>
          <w:rFonts w:cstheme="minorHAnsi"/>
        </w:rPr>
        <w:t xml:space="preserve"> </w:t>
      </w:r>
      <w:proofErr w:type="gramStart"/>
      <w:r w:rsidR="00633521" w:rsidRPr="00137A86">
        <w:rPr>
          <w:rFonts w:cstheme="minorHAnsi"/>
        </w:rPr>
        <w:t>Sachs above n. 95.</w:t>
      </w:r>
      <w:proofErr w:type="gramEnd"/>
    </w:p>
  </w:footnote>
  <w:footnote w:id="104">
    <w:p w14:paraId="0ED909EF" w14:textId="36B615CB" w:rsidR="008B6308" w:rsidRPr="00137A86" w:rsidRDefault="008B6308" w:rsidP="000C35D9">
      <w:pPr>
        <w:pStyle w:val="FootnoteText"/>
        <w:rPr>
          <w:rFonts w:cstheme="minorHAnsi"/>
        </w:rPr>
      </w:pPr>
      <w:r w:rsidRPr="00137A86">
        <w:rPr>
          <w:rStyle w:val="FootnoteReference"/>
          <w:rFonts w:cstheme="minorHAnsi"/>
        </w:rPr>
        <w:footnoteRef/>
      </w:r>
      <w:r w:rsidRPr="00137A86">
        <w:rPr>
          <w:rFonts w:cstheme="minorHAnsi"/>
        </w:rPr>
        <w:t xml:space="preserve"> </w:t>
      </w:r>
      <w:proofErr w:type="spellStart"/>
      <w:proofErr w:type="gramStart"/>
      <w:r w:rsidRPr="00137A86">
        <w:rPr>
          <w:rFonts w:cstheme="minorHAnsi"/>
        </w:rPr>
        <w:t>Bogg</w:t>
      </w:r>
      <w:proofErr w:type="spellEnd"/>
      <w:r w:rsidRPr="00137A86">
        <w:rPr>
          <w:rFonts w:cstheme="minorHAnsi"/>
        </w:rPr>
        <w:t xml:space="preserve"> </w:t>
      </w:r>
      <w:r w:rsidR="00633521" w:rsidRPr="00137A86">
        <w:rPr>
          <w:rFonts w:cstheme="minorHAnsi"/>
        </w:rPr>
        <w:t xml:space="preserve">above </w:t>
      </w:r>
      <w:r w:rsidRPr="00137A86">
        <w:rPr>
          <w:rFonts w:cstheme="minorHAnsi"/>
        </w:rPr>
        <w:t>n. 75, 416.</w:t>
      </w:r>
      <w:proofErr w:type="gramEnd"/>
    </w:p>
  </w:footnote>
  <w:footnote w:id="105">
    <w:p w14:paraId="322A71F7" w14:textId="05B65DAB" w:rsidR="008B6308" w:rsidRPr="00137A86" w:rsidRDefault="008B6308" w:rsidP="000C35D9">
      <w:pPr>
        <w:spacing w:after="0" w:line="240" w:lineRule="auto"/>
        <w:jc w:val="both"/>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w:t>
      </w:r>
      <w:proofErr w:type="gramStart"/>
      <w:r w:rsidR="00633521" w:rsidRPr="00137A86">
        <w:rPr>
          <w:rFonts w:cstheme="minorHAnsi"/>
          <w:sz w:val="20"/>
          <w:szCs w:val="20"/>
        </w:rPr>
        <w:t xml:space="preserve">Sachs above n. 95; B. Sachs, ‘Law, Organizing, and Status Quo Vulnerability’ (2017) 96 </w:t>
      </w:r>
      <w:r w:rsidR="00633521" w:rsidRPr="00137A86">
        <w:rPr>
          <w:rFonts w:cstheme="minorHAnsi"/>
          <w:i/>
          <w:sz w:val="20"/>
          <w:szCs w:val="20"/>
        </w:rPr>
        <w:t>Texas Law Review</w:t>
      </w:r>
      <w:r w:rsidR="00633521" w:rsidRPr="00137A86">
        <w:rPr>
          <w:rFonts w:cstheme="minorHAnsi"/>
          <w:sz w:val="20"/>
          <w:szCs w:val="20"/>
        </w:rPr>
        <w:t>.</w:t>
      </w:r>
      <w:proofErr w:type="gramEnd"/>
    </w:p>
  </w:footnote>
  <w:footnote w:id="106">
    <w:p w14:paraId="020EDCE7" w14:textId="026EDBA6" w:rsidR="008B6308" w:rsidRPr="00137A86" w:rsidRDefault="008B6308" w:rsidP="000C35D9">
      <w:pPr>
        <w:pStyle w:val="FootnoteText"/>
        <w:rPr>
          <w:rFonts w:cstheme="minorHAnsi"/>
        </w:rPr>
      </w:pPr>
      <w:r w:rsidRPr="00137A86">
        <w:rPr>
          <w:rStyle w:val="FootnoteReference"/>
          <w:rFonts w:cstheme="minorHAnsi"/>
        </w:rPr>
        <w:footnoteRef/>
      </w:r>
      <w:r w:rsidRPr="00137A86">
        <w:rPr>
          <w:rFonts w:cstheme="minorHAnsi"/>
        </w:rPr>
        <w:t xml:space="preserve"> </w:t>
      </w:r>
      <w:proofErr w:type="spellStart"/>
      <w:proofErr w:type="gramStart"/>
      <w:r w:rsidRPr="00137A86">
        <w:rPr>
          <w:rFonts w:cstheme="minorHAnsi"/>
        </w:rPr>
        <w:t>Bogg</w:t>
      </w:r>
      <w:proofErr w:type="spellEnd"/>
      <w:r w:rsidRPr="00137A86">
        <w:rPr>
          <w:rFonts w:cstheme="minorHAnsi"/>
        </w:rPr>
        <w:t xml:space="preserve"> </w:t>
      </w:r>
      <w:r w:rsidR="00633521" w:rsidRPr="00137A86">
        <w:rPr>
          <w:rFonts w:cstheme="minorHAnsi"/>
        </w:rPr>
        <w:t xml:space="preserve">above </w:t>
      </w:r>
      <w:r w:rsidRPr="00137A86">
        <w:rPr>
          <w:rFonts w:cstheme="minorHAnsi"/>
        </w:rPr>
        <w:t>n. 95.</w:t>
      </w:r>
      <w:proofErr w:type="gramEnd"/>
      <w:r w:rsidRPr="00137A86">
        <w:rPr>
          <w:rFonts w:cstheme="minorHAnsi"/>
        </w:rPr>
        <w:t xml:space="preserve"> </w:t>
      </w:r>
    </w:p>
  </w:footnote>
  <w:footnote w:id="107">
    <w:p w14:paraId="51927536" w14:textId="71ED2D0B" w:rsidR="008B6308" w:rsidRPr="00137A86" w:rsidRDefault="008B6308" w:rsidP="000C35D9">
      <w:pPr>
        <w:pStyle w:val="FootnoteText"/>
        <w:rPr>
          <w:rFonts w:cstheme="minorHAnsi"/>
        </w:rPr>
      </w:pPr>
      <w:r w:rsidRPr="00137A86">
        <w:rPr>
          <w:rStyle w:val="FootnoteReference"/>
          <w:rFonts w:cstheme="minorHAnsi"/>
        </w:rPr>
        <w:footnoteRef/>
      </w:r>
      <w:r w:rsidRPr="00137A86">
        <w:rPr>
          <w:rFonts w:cstheme="minorHAnsi"/>
        </w:rPr>
        <w:t xml:space="preserve"> </w:t>
      </w:r>
      <w:proofErr w:type="spellStart"/>
      <w:proofErr w:type="gramStart"/>
      <w:r w:rsidRPr="00137A86">
        <w:rPr>
          <w:rFonts w:cstheme="minorHAnsi"/>
          <w:shd w:val="clear" w:color="auto" w:fill="FFFFFF"/>
        </w:rPr>
        <w:t>B</w:t>
      </w:r>
      <w:r w:rsidRPr="00137A86">
        <w:rPr>
          <w:rFonts w:cstheme="minorHAnsi"/>
        </w:rPr>
        <w:t>ogg</w:t>
      </w:r>
      <w:proofErr w:type="spellEnd"/>
      <w:r w:rsidRPr="00137A86">
        <w:rPr>
          <w:rFonts w:cstheme="minorHAnsi"/>
        </w:rPr>
        <w:t xml:space="preserve"> </w:t>
      </w:r>
      <w:r w:rsidR="00633521" w:rsidRPr="00137A86">
        <w:rPr>
          <w:rFonts w:cstheme="minorHAnsi"/>
        </w:rPr>
        <w:t xml:space="preserve">above </w:t>
      </w:r>
      <w:r w:rsidRPr="00137A86">
        <w:rPr>
          <w:rFonts w:cstheme="minorHAnsi"/>
        </w:rPr>
        <w:t>n. 75, 416.</w:t>
      </w:r>
      <w:proofErr w:type="gramEnd"/>
    </w:p>
  </w:footnote>
  <w:footnote w:id="108">
    <w:p w14:paraId="2492AE65" w14:textId="32E5F29D" w:rsidR="008B6308" w:rsidRPr="00137A86" w:rsidRDefault="008B6308" w:rsidP="000C35D9">
      <w:pPr>
        <w:pStyle w:val="FootnoteText"/>
        <w:rPr>
          <w:rFonts w:cstheme="minorHAnsi"/>
        </w:rPr>
      </w:pPr>
      <w:r w:rsidRPr="00137A86">
        <w:rPr>
          <w:rStyle w:val="FootnoteReference"/>
          <w:rFonts w:cstheme="minorHAnsi"/>
        </w:rPr>
        <w:footnoteRef/>
      </w:r>
      <w:r w:rsidRPr="00137A86">
        <w:rPr>
          <w:rFonts w:cstheme="minorHAnsi"/>
        </w:rPr>
        <w:t xml:space="preserve"> </w:t>
      </w:r>
      <w:proofErr w:type="spellStart"/>
      <w:r w:rsidRPr="00137A86">
        <w:rPr>
          <w:rFonts w:cstheme="minorHAnsi"/>
        </w:rPr>
        <w:t>Bogg</w:t>
      </w:r>
      <w:proofErr w:type="spellEnd"/>
      <w:r w:rsidRPr="00137A86">
        <w:rPr>
          <w:rFonts w:cstheme="minorHAnsi"/>
        </w:rPr>
        <w:t xml:space="preserve"> </w:t>
      </w:r>
      <w:r w:rsidR="00633521" w:rsidRPr="00137A86">
        <w:rPr>
          <w:rFonts w:cstheme="minorHAnsi"/>
        </w:rPr>
        <w:t xml:space="preserve">above </w:t>
      </w:r>
      <w:r w:rsidRPr="00137A86">
        <w:rPr>
          <w:rFonts w:cstheme="minorHAnsi"/>
        </w:rPr>
        <w:t>n. 75, 416-417.</w:t>
      </w:r>
    </w:p>
  </w:footnote>
  <w:footnote w:id="109">
    <w:p w14:paraId="2A3B82F5" w14:textId="3A9945EE" w:rsidR="008B6308" w:rsidRPr="00137A86" w:rsidRDefault="008B6308" w:rsidP="000C35D9">
      <w:pPr>
        <w:pStyle w:val="FootnoteText"/>
        <w:rPr>
          <w:rFonts w:cstheme="minorHAnsi"/>
        </w:rPr>
      </w:pPr>
      <w:r w:rsidRPr="00137A86">
        <w:rPr>
          <w:rStyle w:val="FootnoteReference"/>
          <w:rFonts w:cstheme="minorHAnsi"/>
        </w:rPr>
        <w:footnoteRef/>
      </w:r>
      <w:r w:rsidRPr="00137A86">
        <w:rPr>
          <w:rFonts w:cstheme="minorHAnsi"/>
        </w:rPr>
        <w:t xml:space="preserve"> </w:t>
      </w:r>
      <w:proofErr w:type="spellStart"/>
      <w:proofErr w:type="gramStart"/>
      <w:r w:rsidRPr="00137A86">
        <w:rPr>
          <w:rFonts w:cstheme="minorHAnsi"/>
        </w:rPr>
        <w:t>Bogg</w:t>
      </w:r>
      <w:proofErr w:type="spellEnd"/>
      <w:r w:rsidRPr="00137A86">
        <w:rPr>
          <w:rFonts w:cstheme="minorHAnsi"/>
        </w:rPr>
        <w:t xml:space="preserve"> </w:t>
      </w:r>
      <w:r w:rsidR="00633521" w:rsidRPr="00137A86">
        <w:rPr>
          <w:rFonts w:cstheme="minorHAnsi"/>
        </w:rPr>
        <w:t xml:space="preserve">above </w:t>
      </w:r>
      <w:r w:rsidRPr="00137A86">
        <w:rPr>
          <w:rFonts w:cstheme="minorHAnsi"/>
        </w:rPr>
        <w:t>n. 95.</w:t>
      </w:r>
      <w:proofErr w:type="gramEnd"/>
    </w:p>
  </w:footnote>
  <w:footnote w:id="110">
    <w:p w14:paraId="314817E3" w14:textId="1B779321" w:rsidR="008B6308" w:rsidRPr="00137A86" w:rsidRDefault="008B6308" w:rsidP="000C35D9">
      <w:pPr>
        <w:pStyle w:val="FootnoteText"/>
        <w:rPr>
          <w:rFonts w:cstheme="minorHAnsi"/>
        </w:rPr>
      </w:pPr>
      <w:r w:rsidRPr="00137A86">
        <w:rPr>
          <w:rStyle w:val="FootnoteReference"/>
          <w:rFonts w:cstheme="minorHAnsi"/>
        </w:rPr>
        <w:footnoteRef/>
      </w:r>
      <w:r w:rsidR="00137A86">
        <w:rPr>
          <w:rFonts w:cstheme="minorHAnsi"/>
        </w:rPr>
        <w:t xml:space="preserve"> </w:t>
      </w:r>
      <w:proofErr w:type="spellStart"/>
      <w:r w:rsidRPr="00137A86">
        <w:rPr>
          <w:rFonts w:cstheme="minorHAnsi"/>
          <w:shd w:val="clear" w:color="auto" w:fill="FFFFFF"/>
        </w:rPr>
        <w:t>Bogg</w:t>
      </w:r>
      <w:proofErr w:type="spellEnd"/>
      <w:r w:rsidRPr="00137A86">
        <w:rPr>
          <w:rFonts w:cstheme="minorHAnsi"/>
          <w:shd w:val="clear" w:color="auto" w:fill="FFFFFF"/>
        </w:rPr>
        <w:t xml:space="preserve"> </w:t>
      </w:r>
      <w:proofErr w:type="gramStart"/>
      <w:r w:rsidRPr="00137A86">
        <w:rPr>
          <w:rFonts w:cstheme="minorHAnsi"/>
          <w:i/>
        </w:rPr>
        <w:t>The</w:t>
      </w:r>
      <w:proofErr w:type="gramEnd"/>
      <w:r w:rsidRPr="00137A86">
        <w:rPr>
          <w:rFonts w:cstheme="minorHAnsi"/>
          <w:i/>
        </w:rPr>
        <w:t xml:space="preserve"> Democratic Aspects of Trade Union Recognition</w:t>
      </w:r>
      <w:r w:rsidRPr="00137A86">
        <w:rPr>
          <w:rFonts w:cstheme="minorHAnsi"/>
          <w:shd w:val="clear" w:color="auto" w:fill="FFFFFF"/>
        </w:rPr>
        <w:t>, 208.</w:t>
      </w:r>
    </w:p>
  </w:footnote>
  <w:footnote w:id="111">
    <w:p w14:paraId="4328A901" w14:textId="6F870CE4" w:rsidR="008B6308" w:rsidRPr="00137A86" w:rsidRDefault="008B6308" w:rsidP="000C35D9">
      <w:pPr>
        <w:spacing w:after="0" w:line="240" w:lineRule="auto"/>
        <w:jc w:val="both"/>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A. Forsyth, J. Howe, P. Gahan, and I. Landau, ‘</w:t>
      </w:r>
      <w:proofErr w:type="gramStart"/>
      <w:r w:rsidRPr="00137A86">
        <w:rPr>
          <w:rFonts w:cstheme="minorHAnsi"/>
          <w:sz w:val="20"/>
          <w:szCs w:val="20"/>
        </w:rPr>
        <w:t>Establishing</w:t>
      </w:r>
      <w:proofErr w:type="gramEnd"/>
      <w:r w:rsidRPr="00137A86">
        <w:rPr>
          <w:rFonts w:cstheme="minorHAnsi"/>
          <w:sz w:val="20"/>
          <w:szCs w:val="20"/>
        </w:rPr>
        <w:t xml:space="preserve"> the Right to Bargain Collectively in Australia and the UK: Are Majority Support Determinations under Australia’s Fair Work Act a More Effective Form of Union Recognition?’ </w:t>
      </w:r>
      <w:proofErr w:type="gramStart"/>
      <w:r w:rsidRPr="00137A86">
        <w:rPr>
          <w:rFonts w:cstheme="minorHAnsi"/>
          <w:sz w:val="20"/>
          <w:szCs w:val="20"/>
        </w:rPr>
        <w:t xml:space="preserve">(2017) 46 </w:t>
      </w:r>
      <w:r w:rsidRPr="00137A86">
        <w:rPr>
          <w:rFonts w:cstheme="minorHAnsi"/>
          <w:i/>
          <w:sz w:val="20"/>
          <w:szCs w:val="20"/>
        </w:rPr>
        <w:t>Industrial Law Journal</w:t>
      </w:r>
      <w:r w:rsidRPr="00137A86">
        <w:rPr>
          <w:rFonts w:cstheme="minorHAnsi"/>
          <w:sz w:val="20"/>
          <w:szCs w:val="20"/>
        </w:rPr>
        <w:t>.</w:t>
      </w:r>
      <w:proofErr w:type="gramEnd"/>
    </w:p>
  </w:footnote>
  <w:footnote w:id="112">
    <w:p w14:paraId="721696AA" w14:textId="1B1CC413" w:rsidR="008B6308" w:rsidRPr="00137A86" w:rsidRDefault="008B6308" w:rsidP="000C35D9">
      <w:pPr>
        <w:pStyle w:val="FootnoteText"/>
        <w:rPr>
          <w:rFonts w:cstheme="minorHAnsi"/>
        </w:rPr>
      </w:pPr>
      <w:r w:rsidRPr="00137A86">
        <w:rPr>
          <w:rStyle w:val="FootnoteReference"/>
          <w:rFonts w:cstheme="minorHAnsi"/>
        </w:rPr>
        <w:footnoteRef/>
      </w:r>
      <w:r w:rsidR="007D6462" w:rsidRPr="00137A86">
        <w:rPr>
          <w:rFonts w:cstheme="minorHAnsi"/>
        </w:rPr>
        <w:t xml:space="preserve"> </w:t>
      </w:r>
      <w:proofErr w:type="spellStart"/>
      <w:proofErr w:type="gramStart"/>
      <w:r w:rsidR="007D6462" w:rsidRPr="00137A86">
        <w:rPr>
          <w:rFonts w:cstheme="minorHAnsi"/>
        </w:rPr>
        <w:t>McGaughey</w:t>
      </w:r>
      <w:proofErr w:type="spellEnd"/>
      <w:r w:rsidR="007D6462" w:rsidRPr="00137A86">
        <w:rPr>
          <w:rFonts w:cstheme="minorHAnsi"/>
        </w:rPr>
        <w:t xml:space="preserve"> above n. 95, 29-30; </w:t>
      </w:r>
      <w:proofErr w:type="spellStart"/>
      <w:r w:rsidR="007D6462" w:rsidRPr="00137A86">
        <w:rPr>
          <w:rFonts w:cstheme="minorHAnsi"/>
        </w:rPr>
        <w:t>McGaughey</w:t>
      </w:r>
      <w:proofErr w:type="spellEnd"/>
      <w:r w:rsidR="007D6462" w:rsidRPr="00137A86">
        <w:rPr>
          <w:rFonts w:cstheme="minorHAnsi"/>
        </w:rPr>
        <w:t xml:space="preserve"> above n. 94, </w:t>
      </w:r>
      <w:r w:rsidRPr="00137A86">
        <w:rPr>
          <w:rFonts w:cstheme="minorHAnsi"/>
        </w:rPr>
        <w:t>175-6</w:t>
      </w:r>
      <w:r w:rsidR="007D6462" w:rsidRPr="00137A86">
        <w:rPr>
          <w:rFonts w:cstheme="minorHAnsi"/>
        </w:rPr>
        <w:t>.</w:t>
      </w:r>
      <w:proofErr w:type="gramEnd"/>
    </w:p>
  </w:footnote>
  <w:footnote w:id="113">
    <w:p w14:paraId="1C03D308" w14:textId="07AD770E" w:rsidR="008B6308" w:rsidRPr="00137A86" w:rsidRDefault="008B6308" w:rsidP="000C35D9">
      <w:pPr>
        <w:pStyle w:val="FootnoteText"/>
        <w:rPr>
          <w:rFonts w:cstheme="minorHAnsi"/>
        </w:rPr>
      </w:pPr>
      <w:r w:rsidRPr="00137A86">
        <w:rPr>
          <w:rStyle w:val="FootnoteReference"/>
          <w:rFonts w:cstheme="minorHAnsi"/>
        </w:rPr>
        <w:footnoteRef/>
      </w:r>
      <w:r w:rsidRPr="00137A86">
        <w:rPr>
          <w:rFonts w:cstheme="minorHAnsi"/>
        </w:rPr>
        <w:t xml:space="preserve"> </w:t>
      </w:r>
      <w:r w:rsidR="007D6462" w:rsidRPr="00137A86">
        <w:rPr>
          <w:rFonts w:cstheme="minorHAnsi"/>
        </w:rPr>
        <w:t>Se</w:t>
      </w:r>
      <w:r w:rsidRPr="00137A86">
        <w:rPr>
          <w:rFonts w:cstheme="minorHAnsi"/>
        </w:rPr>
        <w:t xml:space="preserve">e </w:t>
      </w:r>
      <w:proofErr w:type="spellStart"/>
      <w:r w:rsidRPr="00137A86">
        <w:rPr>
          <w:rFonts w:cstheme="minorHAnsi"/>
        </w:rPr>
        <w:t>McGaughey</w:t>
      </w:r>
      <w:proofErr w:type="spellEnd"/>
      <w:r w:rsidRPr="00137A86">
        <w:rPr>
          <w:rFonts w:cstheme="minorHAnsi"/>
        </w:rPr>
        <w:t xml:space="preserve"> </w:t>
      </w:r>
      <w:r w:rsidR="007D6462" w:rsidRPr="00137A86">
        <w:rPr>
          <w:rFonts w:cstheme="minorHAnsi"/>
        </w:rPr>
        <w:t>above n. 95, n. 94.</w:t>
      </w:r>
    </w:p>
  </w:footnote>
  <w:footnote w:id="114">
    <w:p w14:paraId="53CB0B37" w14:textId="29DA4212" w:rsidR="008B6308" w:rsidRPr="00137A86" w:rsidRDefault="008B6308" w:rsidP="000C35D9">
      <w:pPr>
        <w:spacing w:after="0" w:line="240" w:lineRule="auto"/>
        <w:jc w:val="both"/>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Z. </w:t>
      </w:r>
      <w:r w:rsidRPr="00137A86">
        <w:rPr>
          <w:rFonts w:cstheme="minorHAnsi"/>
          <w:bCs/>
          <w:sz w:val="20"/>
          <w:szCs w:val="20"/>
        </w:rPr>
        <w:t xml:space="preserve">Adams, L. Bishop, and S. Deakin, </w:t>
      </w:r>
      <w:r w:rsidRPr="00137A86">
        <w:rPr>
          <w:rFonts w:cstheme="minorHAnsi"/>
          <w:bCs/>
          <w:i/>
          <w:sz w:val="20"/>
          <w:szCs w:val="20"/>
        </w:rPr>
        <w:t>CBR Labour Regulation Index (Dataset of 117 Countries)</w:t>
      </w:r>
      <w:r w:rsidRPr="00137A86">
        <w:rPr>
          <w:rFonts w:cstheme="minorHAnsi"/>
          <w:bCs/>
          <w:sz w:val="20"/>
          <w:szCs w:val="20"/>
        </w:rPr>
        <w:t>, (Cambridge: Centre for Business Research, 2016).</w:t>
      </w:r>
    </w:p>
  </w:footnote>
  <w:footnote w:id="115">
    <w:p w14:paraId="204947D1" w14:textId="14A88052" w:rsidR="008B6308" w:rsidRPr="00137A86" w:rsidRDefault="008B6308" w:rsidP="000C35D9">
      <w:pPr>
        <w:spacing w:after="0" w:line="240" w:lineRule="auto"/>
        <w:jc w:val="both"/>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w:t>
      </w:r>
      <w:r w:rsidR="007D6462" w:rsidRPr="00137A86">
        <w:rPr>
          <w:rFonts w:cstheme="minorHAnsi"/>
          <w:sz w:val="20"/>
          <w:szCs w:val="20"/>
        </w:rPr>
        <w:t xml:space="preserve">K. Ewing, J. Hendy and C. Jones (eds.) </w:t>
      </w:r>
      <w:r w:rsidR="007D6462" w:rsidRPr="00137A86">
        <w:rPr>
          <w:rFonts w:cstheme="minorHAnsi"/>
          <w:i/>
          <w:sz w:val="20"/>
          <w:szCs w:val="20"/>
        </w:rPr>
        <w:t>A Manifesto for Labour Law: towards a comprehensive revision of workers’ rights</w:t>
      </w:r>
      <w:r w:rsidR="007D6462" w:rsidRPr="00137A86">
        <w:rPr>
          <w:rFonts w:cstheme="minorHAnsi"/>
          <w:sz w:val="20"/>
          <w:szCs w:val="20"/>
        </w:rPr>
        <w:t xml:space="preserve"> (Liverpool:</w:t>
      </w:r>
      <w:r w:rsidR="00137A86">
        <w:rPr>
          <w:rFonts w:cstheme="minorHAnsi"/>
          <w:sz w:val="20"/>
          <w:szCs w:val="20"/>
        </w:rPr>
        <w:t xml:space="preserve"> </w:t>
      </w:r>
      <w:r w:rsidR="007D6462" w:rsidRPr="00137A86">
        <w:rPr>
          <w:rFonts w:cstheme="minorHAnsi"/>
          <w:sz w:val="20"/>
          <w:szCs w:val="20"/>
        </w:rPr>
        <w:t>Institute of Employment Rights, 2016).</w:t>
      </w:r>
    </w:p>
  </w:footnote>
  <w:footnote w:id="116">
    <w:p w14:paraId="1B76A6DD" w14:textId="69C9ADDF" w:rsidR="008B6308" w:rsidRPr="00137A86" w:rsidRDefault="008B6308" w:rsidP="000C35D9">
      <w:pPr>
        <w:pStyle w:val="FootnoteText"/>
        <w:rPr>
          <w:rFonts w:cstheme="minorHAnsi"/>
        </w:rPr>
      </w:pPr>
      <w:r w:rsidRPr="00137A86">
        <w:rPr>
          <w:rStyle w:val="FootnoteReference"/>
          <w:rFonts w:cstheme="minorHAnsi"/>
        </w:rPr>
        <w:footnoteRef/>
      </w:r>
      <w:r w:rsidRPr="00137A86">
        <w:rPr>
          <w:rFonts w:cstheme="minorHAnsi"/>
        </w:rPr>
        <w:t xml:space="preserve"> </w:t>
      </w:r>
      <w:r w:rsidR="007D6462" w:rsidRPr="00137A86">
        <w:rPr>
          <w:rFonts w:cstheme="minorHAnsi"/>
        </w:rPr>
        <w:t>S</w:t>
      </w:r>
      <w:r w:rsidRPr="00137A86">
        <w:rPr>
          <w:rFonts w:cstheme="minorHAnsi"/>
          <w:bCs/>
        </w:rPr>
        <w:t xml:space="preserve">ee also </w:t>
      </w:r>
      <w:proofErr w:type="spellStart"/>
      <w:r w:rsidRPr="00137A86">
        <w:rPr>
          <w:rFonts w:cstheme="minorHAnsi"/>
        </w:rPr>
        <w:t>McGaughey</w:t>
      </w:r>
      <w:proofErr w:type="spellEnd"/>
      <w:r w:rsidRPr="00137A86">
        <w:rPr>
          <w:rFonts w:cstheme="minorHAnsi"/>
        </w:rPr>
        <w:t xml:space="preserve"> </w:t>
      </w:r>
      <w:r w:rsidR="007D6462" w:rsidRPr="00137A86">
        <w:rPr>
          <w:rFonts w:cstheme="minorHAnsi"/>
        </w:rPr>
        <w:t>above n. 94, 170.</w:t>
      </w:r>
    </w:p>
  </w:footnote>
  <w:footnote w:id="117">
    <w:p w14:paraId="5106EA70" w14:textId="7EF6BC48" w:rsidR="008B6308" w:rsidRPr="00137A86" w:rsidRDefault="008B6308" w:rsidP="000C35D9">
      <w:pPr>
        <w:spacing w:after="0" w:line="240" w:lineRule="auto"/>
        <w:jc w:val="both"/>
        <w:rPr>
          <w:rFonts w:cstheme="minorHAnsi"/>
          <w:sz w:val="20"/>
          <w:szCs w:val="20"/>
        </w:rPr>
      </w:pPr>
      <w:r w:rsidRPr="00137A86">
        <w:rPr>
          <w:rStyle w:val="FootnoteReference"/>
          <w:rFonts w:cstheme="minorHAnsi"/>
          <w:sz w:val="20"/>
          <w:szCs w:val="20"/>
        </w:rPr>
        <w:footnoteRef/>
      </w:r>
      <w:r w:rsidRPr="00137A86">
        <w:rPr>
          <w:rFonts w:cstheme="minorHAnsi"/>
          <w:sz w:val="20"/>
          <w:szCs w:val="20"/>
        </w:rPr>
        <w:t xml:space="preserve"> Despite our criticism, that is why </w:t>
      </w:r>
      <w:proofErr w:type="spellStart"/>
      <w:r w:rsidRPr="00137A86">
        <w:rPr>
          <w:rFonts w:cstheme="minorHAnsi"/>
          <w:sz w:val="20"/>
          <w:szCs w:val="20"/>
        </w:rPr>
        <w:t>McGaughey’s</w:t>
      </w:r>
      <w:proofErr w:type="spellEnd"/>
      <w:r w:rsidRPr="00137A86">
        <w:rPr>
          <w:rFonts w:cstheme="minorHAnsi"/>
          <w:sz w:val="20"/>
          <w:szCs w:val="20"/>
        </w:rPr>
        <w:t xml:space="preserve"> (</w:t>
      </w:r>
      <w:r w:rsidR="007D6462" w:rsidRPr="00137A86">
        <w:rPr>
          <w:rFonts w:cstheme="minorHAnsi"/>
          <w:sz w:val="20"/>
          <w:szCs w:val="20"/>
        </w:rPr>
        <w:t>n. 94)</w:t>
      </w:r>
      <w:r w:rsidRPr="00137A86">
        <w:rPr>
          <w:rFonts w:cstheme="minorHAnsi"/>
          <w:sz w:val="20"/>
          <w:szCs w:val="20"/>
        </w:rPr>
        <w:t xml:space="preserve"> suggestion of auto-enrolment, especially as the first point in his ‘Twelve Point Plan for Labour’, has significance.</w:t>
      </w:r>
      <w:r w:rsidRPr="00137A86">
        <w:rPr>
          <w:rFonts w:cstheme="minorHAnsi"/>
          <w:bCs/>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4C832" w14:textId="77777777" w:rsidR="008B6308" w:rsidRDefault="008B63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21F86" w14:textId="77777777" w:rsidR="008B6308" w:rsidRDefault="008B63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C43E6" w14:textId="77777777" w:rsidR="008B6308" w:rsidRDefault="008B63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3EDE"/>
    <w:multiLevelType w:val="hybridMultilevel"/>
    <w:tmpl w:val="03F0878A"/>
    <w:lvl w:ilvl="0" w:tplc="AE08EC76">
      <w:start w:val="2"/>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4513937"/>
    <w:multiLevelType w:val="hybridMultilevel"/>
    <w:tmpl w:val="7FA2D246"/>
    <w:lvl w:ilvl="0" w:tplc="D96A4B38">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5CA3F50"/>
    <w:multiLevelType w:val="hybridMultilevel"/>
    <w:tmpl w:val="5B1CC48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2F32F01"/>
    <w:multiLevelType w:val="hybridMultilevel"/>
    <w:tmpl w:val="C88400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4A10624"/>
    <w:multiLevelType w:val="hybridMultilevel"/>
    <w:tmpl w:val="1C2E53E4"/>
    <w:lvl w:ilvl="0" w:tplc="AE08EC76">
      <w:start w:val="2"/>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167F466C"/>
    <w:multiLevelType w:val="hybridMultilevel"/>
    <w:tmpl w:val="AA6454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F18062F"/>
    <w:multiLevelType w:val="hybridMultilevel"/>
    <w:tmpl w:val="BDD658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nsid w:val="2660651B"/>
    <w:multiLevelType w:val="hybridMultilevel"/>
    <w:tmpl w:val="7868B22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nsid w:val="2A3B5E3A"/>
    <w:multiLevelType w:val="hybridMultilevel"/>
    <w:tmpl w:val="356E0A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2CB30945"/>
    <w:multiLevelType w:val="hybridMultilevel"/>
    <w:tmpl w:val="BAB077F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34A6041B"/>
    <w:multiLevelType w:val="hybridMultilevel"/>
    <w:tmpl w:val="004CA596"/>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nsid w:val="38EE53C2"/>
    <w:multiLevelType w:val="hybridMultilevel"/>
    <w:tmpl w:val="F348B2D0"/>
    <w:lvl w:ilvl="0" w:tplc="FF388DF4">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3D855090"/>
    <w:multiLevelType w:val="hybridMultilevel"/>
    <w:tmpl w:val="30D008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44314987"/>
    <w:multiLevelType w:val="hybridMultilevel"/>
    <w:tmpl w:val="1278D89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45E4056D"/>
    <w:multiLevelType w:val="hybridMultilevel"/>
    <w:tmpl w:val="979014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48CD1869"/>
    <w:multiLevelType w:val="hybridMultilevel"/>
    <w:tmpl w:val="6E16B8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4B960A4B"/>
    <w:multiLevelType w:val="hybridMultilevel"/>
    <w:tmpl w:val="0ABE7674"/>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nsid w:val="4FF355AF"/>
    <w:multiLevelType w:val="hybridMultilevel"/>
    <w:tmpl w:val="49BE58B2"/>
    <w:lvl w:ilvl="0" w:tplc="54DE4E60">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0B50240"/>
    <w:multiLevelType w:val="hybridMultilevel"/>
    <w:tmpl w:val="4502C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20D0F05"/>
    <w:multiLevelType w:val="hybridMultilevel"/>
    <w:tmpl w:val="6900B082"/>
    <w:lvl w:ilvl="0" w:tplc="CEB0CD58">
      <w:start w:val="1"/>
      <w:numFmt w:val="upperLetter"/>
      <w:lvlText w:val="%1."/>
      <w:lvlJc w:val="left"/>
      <w:pPr>
        <w:ind w:left="720" w:hanging="360"/>
      </w:pPr>
      <w:rPr>
        <w:rFonts w:ascii="Arial" w:hAnsi="Arial" w:cs="Arial" w:hint="default"/>
        <w:color w:val="00000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20E3199"/>
    <w:multiLevelType w:val="hybridMultilevel"/>
    <w:tmpl w:val="2A60FDFA"/>
    <w:lvl w:ilvl="0" w:tplc="0CFCA15E">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4BF6A13"/>
    <w:multiLevelType w:val="hybridMultilevel"/>
    <w:tmpl w:val="51F821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592C3139"/>
    <w:multiLevelType w:val="hybridMultilevel"/>
    <w:tmpl w:val="0F7429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nsid w:val="5BE23CB8"/>
    <w:multiLevelType w:val="singleLevel"/>
    <w:tmpl w:val="3462E81A"/>
    <w:lvl w:ilvl="0">
      <w:start w:val="1"/>
      <w:numFmt w:val="decimal"/>
      <w:lvlText w:val="%1) "/>
      <w:legacy w:legacy="1" w:legacySpace="0" w:legacyIndent="283"/>
      <w:lvlJc w:val="left"/>
      <w:pPr>
        <w:ind w:left="283" w:hanging="283"/>
      </w:pPr>
      <w:rPr>
        <w:rFonts w:ascii="TmsRmn 12pt" w:hAnsi="TmsRmn 12pt" w:hint="default"/>
        <w:b w:val="0"/>
        <w:i w:val="0"/>
        <w:sz w:val="24"/>
        <w:u w:val="none"/>
      </w:rPr>
    </w:lvl>
  </w:abstractNum>
  <w:abstractNum w:abstractNumId="24">
    <w:nsid w:val="5DD505C4"/>
    <w:multiLevelType w:val="hybridMultilevel"/>
    <w:tmpl w:val="87CAF7EE"/>
    <w:lvl w:ilvl="0" w:tplc="32A2DC42">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3C3BDA"/>
    <w:multiLevelType w:val="hybridMultilevel"/>
    <w:tmpl w:val="A55E856A"/>
    <w:lvl w:ilvl="0" w:tplc="660EB008">
      <w:numFmt w:val="bullet"/>
      <w:lvlText w:val=""/>
      <w:lvlJc w:val="left"/>
      <w:pPr>
        <w:ind w:left="720" w:hanging="360"/>
      </w:pPr>
      <w:rPr>
        <w:rFonts w:ascii="Symbol" w:eastAsiaTheme="minorHAnsi" w:hAnsi="Symbol" w:cs="Calibri" w:hint="default"/>
        <w:color w:val="2121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4CE08A8"/>
    <w:multiLevelType w:val="singleLevel"/>
    <w:tmpl w:val="679C243A"/>
    <w:lvl w:ilvl="0">
      <w:start w:val="1"/>
      <w:numFmt w:val="upperLetter"/>
      <w:pStyle w:val="Heading1"/>
      <w:lvlText w:val="%1)"/>
      <w:lvlJc w:val="left"/>
      <w:pPr>
        <w:tabs>
          <w:tab w:val="num" w:pos="360"/>
        </w:tabs>
        <w:ind w:left="360" w:hanging="360"/>
      </w:pPr>
      <w:rPr>
        <w:rFonts w:hint="default"/>
      </w:rPr>
    </w:lvl>
  </w:abstractNum>
  <w:abstractNum w:abstractNumId="27">
    <w:nsid w:val="69B62CEF"/>
    <w:multiLevelType w:val="hybridMultilevel"/>
    <w:tmpl w:val="27A8E3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nsid w:val="6DE252E5"/>
    <w:multiLevelType w:val="hybridMultilevel"/>
    <w:tmpl w:val="56F447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nsid w:val="700137C8"/>
    <w:multiLevelType w:val="hybridMultilevel"/>
    <w:tmpl w:val="66B0CB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nsid w:val="71AA4EE8"/>
    <w:multiLevelType w:val="hybridMultilevel"/>
    <w:tmpl w:val="E9889E4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1">
    <w:nsid w:val="74A709FC"/>
    <w:multiLevelType w:val="hybridMultilevel"/>
    <w:tmpl w:val="F934E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29"/>
  </w:num>
  <w:num w:numId="5">
    <w:abstractNumId w:val="22"/>
  </w:num>
  <w:num w:numId="6">
    <w:abstractNumId w:val="28"/>
  </w:num>
  <w:num w:numId="7">
    <w:abstractNumId w:val="1"/>
  </w:num>
  <w:num w:numId="8">
    <w:abstractNumId w:val="3"/>
  </w:num>
  <w:num w:numId="9">
    <w:abstractNumId w:val="2"/>
  </w:num>
  <w:num w:numId="10">
    <w:abstractNumId w:val="8"/>
  </w:num>
  <w:num w:numId="11">
    <w:abstractNumId w:val="12"/>
  </w:num>
  <w:num w:numId="12">
    <w:abstractNumId w:val="14"/>
  </w:num>
  <w:num w:numId="13">
    <w:abstractNumId w:val="15"/>
  </w:num>
  <w:num w:numId="14">
    <w:abstractNumId w:val="27"/>
  </w:num>
  <w:num w:numId="15">
    <w:abstractNumId w:val="13"/>
  </w:num>
  <w:num w:numId="16">
    <w:abstractNumId w:val="10"/>
  </w:num>
  <w:num w:numId="17">
    <w:abstractNumId w:val="9"/>
  </w:num>
  <w:num w:numId="18">
    <w:abstractNumId w:val="21"/>
  </w:num>
  <w:num w:numId="19">
    <w:abstractNumId w:val="30"/>
  </w:num>
  <w:num w:numId="20">
    <w:abstractNumId w:val="11"/>
  </w:num>
  <w:num w:numId="21">
    <w:abstractNumId w:val="0"/>
  </w:num>
  <w:num w:numId="22">
    <w:abstractNumId w:val="4"/>
  </w:num>
  <w:num w:numId="23">
    <w:abstractNumId w:val="16"/>
  </w:num>
  <w:num w:numId="24">
    <w:abstractNumId w:val="23"/>
    <w:lvlOverride w:ilvl="0">
      <w:lvl w:ilvl="0">
        <w:start w:val="2"/>
        <w:numFmt w:val="decimal"/>
        <w:lvlText w:val="%1) "/>
        <w:legacy w:legacy="1" w:legacySpace="0" w:legacyIndent="283"/>
        <w:lvlJc w:val="left"/>
        <w:pPr>
          <w:ind w:left="425" w:hanging="283"/>
        </w:pPr>
        <w:rPr>
          <w:rFonts w:ascii="TmsRmn 12pt" w:hAnsi="TmsRmn 12pt" w:hint="default"/>
          <w:b w:val="0"/>
          <w:i w:val="0"/>
          <w:sz w:val="24"/>
          <w:u w:val="none"/>
        </w:rPr>
      </w:lvl>
    </w:lvlOverride>
  </w:num>
  <w:num w:numId="25">
    <w:abstractNumId w:val="26"/>
  </w:num>
  <w:num w:numId="26">
    <w:abstractNumId w:val="25"/>
  </w:num>
  <w:num w:numId="27">
    <w:abstractNumId w:val="31"/>
  </w:num>
  <w:num w:numId="28">
    <w:abstractNumId w:val="18"/>
  </w:num>
  <w:num w:numId="29">
    <w:abstractNumId w:val="24"/>
  </w:num>
  <w:num w:numId="30">
    <w:abstractNumId w:val="17"/>
  </w:num>
  <w:num w:numId="31">
    <w:abstractNumId w:val="2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EC6"/>
    <w:rsid w:val="000026C3"/>
    <w:rsid w:val="00003AFF"/>
    <w:rsid w:val="0000603C"/>
    <w:rsid w:val="00006D0F"/>
    <w:rsid w:val="0001004E"/>
    <w:rsid w:val="0001112C"/>
    <w:rsid w:val="000141A5"/>
    <w:rsid w:val="00015A93"/>
    <w:rsid w:val="00015DE3"/>
    <w:rsid w:val="00015FDC"/>
    <w:rsid w:val="00020350"/>
    <w:rsid w:val="00022437"/>
    <w:rsid w:val="00022D5C"/>
    <w:rsid w:val="00024EBA"/>
    <w:rsid w:val="00030211"/>
    <w:rsid w:val="000377BD"/>
    <w:rsid w:val="000412B5"/>
    <w:rsid w:val="00050AA9"/>
    <w:rsid w:val="00053245"/>
    <w:rsid w:val="000534EE"/>
    <w:rsid w:val="00053C99"/>
    <w:rsid w:val="0005490D"/>
    <w:rsid w:val="00056396"/>
    <w:rsid w:val="00057BA1"/>
    <w:rsid w:val="00061BDA"/>
    <w:rsid w:val="000628D7"/>
    <w:rsid w:val="0006340C"/>
    <w:rsid w:val="00070655"/>
    <w:rsid w:val="00070742"/>
    <w:rsid w:val="0007122C"/>
    <w:rsid w:val="00073608"/>
    <w:rsid w:val="00073AD4"/>
    <w:rsid w:val="00080113"/>
    <w:rsid w:val="00084F8A"/>
    <w:rsid w:val="000856FC"/>
    <w:rsid w:val="00085EED"/>
    <w:rsid w:val="000877D3"/>
    <w:rsid w:val="00094DB8"/>
    <w:rsid w:val="000950DF"/>
    <w:rsid w:val="0009786B"/>
    <w:rsid w:val="000A1730"/>
    <w:rsid w:val="000A200D"/>
    <w:rsid w:val="000A20E2"/>
    <w:rsid w:val="000A21B3"/>
    <w:rsid w:val="000A6647"/>
    <w:rsid w:val="000A67DE"/>
    <w:rsid w:val="000B05C2"/>
    <w:rsid w:val="000B1085"/>
    <w:rsid w:val="000B3A08"/>
    <w:rsid w:val="000B4836"/>
    <w:rsid w:val="000B76B7"/>
    <w:rsid w:val="000B77B0"/>
    <w:rsid w:val="000C2587"/>
    <w:rsid w:val="000C25AE"/>
    <w:rsid w:val="000C35D9"/>
    <w:rsid w:val="000C4A4B"/>
    <w:rsid w:val="000C4F1F"/>
    <w:rsid w:val="000C5938"/>
    <w:rsid w:val="000C7CF6"/>
    <w:rsid w:val="000D12FA"/>
    <w:rsid w:val="000D4D23"/>
    <w:rsid w:val="000E03A7"/>
    <w:rsid w:val="000E1027"/>
    <w:rsid w:val="000E17FC"/>
    <w:rsid w:val="000E1FCB"/>
    <w:rsid w:val="000E262C"/>
    <w:rsid w:val="000E27C3"/>
    <w:rsid w:val="000E2E8B"/>
    <w:rsid w:val="000E3353"/>
    <w:rsid w:val="000E357D"/>
    <w:rsid w:val="000E3E84"/>
    <w:rsid w:val="000E4D49"/>
    <w:rsid w:val="000E50D5"/>
    <w:rsid w:val="000E586A"/>
    <w:rsid w:val="000E6F6B"/>
    <w:rsid w:val="000E7044"/>
    <w:rsid w:val="000F03D4"/>
    <w:rsid w:val="000F3F46"/>
    <w:rsid w:val="000F5CFA"/>
    <w:rsid w:val="00102C98"/>
    <w:rsid w:val="0010532F"/>
    <w:rsid w:val="001065A3"/>
    <w:rsid w:val="00106C53"/>
    <w:rsid w:val="00107912"/>
    <w:rsid w:val="0010798D"/>
    <w:rsid w:val="00111ACB"/>
    <w:rsid w:val="00117091"/>
    <w:rsid w:val="00117F72"/>
    <w:rsid w:val="00121279"/>
    <w:rsid w:val="00122B64"/>
    <w:rsid w:val="00124333"/>
    <w:rsid w:val="00124F36"/>
    <w:rsid w:val="001255CA"/>
    <w:rsid w:val="00125F6B"/>
    <w:rsid w:val="00132044"/>
    <w:rsid w:val="0013214A"/>
    <w:rsid w:val="00133175"/>
    <w:rsid w:val="0013743A"/>
    <w:rsid w:val="00137A86"/>
    <w:rsid w:val="00141404"/>
    <w:rsid w:val="001419F1"/>
    <w:rsid w:val="001433D6"/>
    <w:rsid w:val="0014368C"/>
    <w:rsid w:val="00151A45"/>
    <w:rsid w:val="00153BA6"/>
    <w:rsid w:val="00153FDB"/>
    <w:rsid w:val="001551E5"/>
    <w:rsid w:val="0015674D"/>
    <w:rsid w:val="00156E9F"/>
    <w:rsid w:val="00160FAA"/>
    <w:rsid w:val="00161023"/>
    <w:rsid w:val="00161162"/>
    <w:rsid w:val="00162709"/>
    <w:rsid w:val="001630D0"/>
    <w:rsid w:val="00163ADF"/>
    <w:rsid w:val="00170322"/>
    <w:rsid w:val="001715A7"/>
    <w:rsid w:val="001736C5"/>
    <w:rsid w:val="001772CA"/>
    <w:rsid w:val="00180518"/>
    <w:rsid w:val="001848FD"/>
    <w:rsid w:val="00185F7E"/>
    <w:rsid w:val="00195F19"/>
    <w:rsid w:val="00197376"/>
    <w:rsid w:val="001A1199"/>
    <w:rsid w:val="001A16D7"/>
    <w:rsid w:val="001A220C"/>
    <w:rsid w:val="001A2AC1"/>
    <w:rsid w:val="001A338B"/>
    <w:rsid w:val="001A49E1"/>
    <w:rsid w:val="001A4B34"/>
    <w:rsid w:val="001A4C95"/>
    <w:rsid w:val="001A7C67"/>
    <w:rsid w:val="001B1EC4"/>
    <w:rsid w:val="001B2CFD"/>
    <w:rsid w:val="001B380F"/>
    <w:rsid w:val="001C4B9E"/>
    <w:rsid w:val="001C51DD"/>
    <w:rsid w:val="001C6873"/>
    <w:rsid w:val="001C7EAF"/>
    <w:rsid w:val="001D2A75"/>
    <w:rsid w:val="001D3653"/>
    <w:rsid w:val="001D3F68"/>
    <w:rsid w:val="001D557B"/>
    <w:rsid w:val="001D70B9"/>
    <w:rsid w:val="001E34EC"/>
    <w:rsid w:val="001E42EF"/>
    <w:rsid w:val="001E5096"/>
    <w:rsid w:val="001E61EE"/>
    <w:rsid w:val="001F1C51"/>
    <w:rsid w:val="001F3788"/>
    <w:rsid w:val="001F6003"/>
    <w:rsid w:val="001F6FD0"/>
    <w:rsid w:val="001F7377"/>
    <w:rsid w:val="001F7D36"/>
    <w:rsid w:val="00200B5C"/>
    <w:rsid w:val="00201767"/>
    <w:rsid w:val="002021F7"/>
    <w:rsid w:val="0020331F"/>
    <w:rsid w:val="00203BCF"/>
    <w:rsid w:val="0020408F"/>
    <w:rsid w:val="00204B5C"/>
    <w:rsid w:val="0020545B"/>
    <w:rsid w:val="002062DD"/>
    <w:rsid w:val="00206C7E"/>
    <w:rsid w:val="00207255"/>
    <w:rsid w:val="00210F67"/>
    <w:rsid w:val="00212C16"/>
    <w:rsid w:val="00212C3C"/>
    <w:rsid w:val="002136C2"/>
    <w:rsid w:val="00213BCA"/>
    <w:rsid w:val="002206DF"/>
    <w:rsid w:val="0022219D"/>
    <w:rsid w:val="00222AA9"/>
    <w:rsid w:val="00222E67"/>
    <w:rsid w:val="00223425"/>
    <w:rsid w:val="00223845"/>
    <w:rsid w:val="00225E31"/>
    <w:rsid w:val="002333F3"/>
    <w:rsid w:val="0023545E"/>
    <w:rsid w:val="00240BC2"/>
    <w:rsid w:val="00242588"/>
    <w:rsid w:val="00243EF8"/>
    <w:rsid w:val="002474C4"/>
    <w:rsid w:val="0025101A"/>
    <w:rsid w:val="00251153"/>
    <w:rsid w:val="002518E2"/>
    <w:rsid w:val="00252128"/>
    <w:rsid w:val="002539F6"/>
    <w:rsid w:val="00255FE5"/>
    <w:rsid w:val="00257192"/>
    <w:rsid w:val="00257513"/>
    <w:rsid w:val="00260F26"/>
    <w:rsid w:val="00261140"/>
    <w:rsid w:val="002618DD"/>
    <w:rsid w:val="00262CEC"/>
    <w:rsid w:val="002632FA"/>
    <w:rsid w:val="00265A6E"/>
    <w:rsid w:val="00266C60"/>
    <w:rsid w:val="00272E2E"/>
    <w:rsid w:val="002758BE"/>
    <w:rsid w:val="00276E65"/>
    <w:rsid w:val="00276E71"/>
    <w:rsid w:val="0028050E"/>
    <w:rsid w:val="00281D65"/>
    <w:rsid w:val="002821F0"/>
    <w:rsid w:val="00284641"/>
    <w:rsid w:val="00284DD0"/>
    <w:rsid w:val="002867A6"/>
    <w:rsid w:val="00290394"/>
    <w:rsid w:val="00290E1E"/>
    <w:rsid w:val="00293009"/>
    <w:rsid w:val="00294232"/>
    <w:rsid w:val="00297F63"/>
    <w:rsid w:val="002A0823"/>
    <w:rsid w:val="002A1A04"/>
    <w:rsid w:val="002A3E03"/>
    <w:rsid w:val="002A5A48"/>
    <w:rsid w:val="002A5BAC"/>
    <w:rsid w:val="002A7978"/>
    <w:rsid w:val="002B384A"/>
    <w:rsid w:val="002B3877"/>
    <w:rsid w:val="002B6BAD"/>
    <w:rsid w:val="002C1DE5"/>
    <w:rsid w:val="002C1F1A"/>
    <w:rsid w:val="002C513B"/>
    <w:rsid w:val="002C5DF7"/>
    <w:rsid w:val="002C6416"/>
    <w:rsid w:val="002C7A1A"/>
    <w:rsid w:val="002D52F5"/>
    <w:rsid w:val="002D6D98"/>
    <w:rsid w:val="002E0046"/>
    <w:rsid w:val="002E7393"/>
    <w:rsid w:val="002F0D9C"/>
    <w:rsid w:val="002F5A07"/>
    <w:rsid w:val="002F6DF5"/>
    <w:rsid w:val="002F7965"/>
    <w:rsid w:val="00301D5D"/>
    <w:rsid w:val="003026EE"/>
    <w:rsid w:val="00302747"/>
    <w:rsid w:val="00303B5D"/>
    <w:rsid w:val="00307C03"/>
    <w:rsid w:val="00310269"/>
    <w:rsid w:val="00312234"/>
    <w:rsid w:val="00313507"/>
    <w:rsid w:val="003163C9"/>
    <w:rsid w:val="00316887"/>
    <w:rsid w:val="00316908"/>
    <w:rsid w:val="003222B3"/>
    <w:rsid w:val="00325F2A"/>
    <w:rsid w:val="003265A3"/>
    <w:rsid w:val="00327C37"/>
    <w:rsid w:val="003318D6"/>
    <w:rsid w:val="00331DF0"/>
    <w:rsid w:val="003321E2"/>
    <w:rsid w:val="0033302F"/>
    <w:rsid w:val="003335BC"/>
    <w:rsid w:val="00333837"/>
    <w:rsid w:val="00334499"/>
    <w:rsid w:val="003378DD"/>
    <w:rsid w:val="00337BBE"/>
    <w:rsid w:val="00342C5C"/>
    <w:rsid w:val="003430FD"/>
    <w:rsid w:val="00343A45"/>
    <w:rsid w:val="00352120"/>
    <w:rsid w:val="00352C73"/>
    <w:rsid w:val="003533DE"/>
    <w:rsid w:val="0035408D"/>
    <w:rsid w:val="003544C2"/>
    <w:rsid w:val="003549F5"/>
    <w:rsid w:val="0035688A"/>
    <w:rsid w:val="003575BB"/>
    <w:rsid w:val="003575CF"/>
    <w:rsid w:val="00360711"/>
    <w:rsid w:val="00360E28"/>
    <w:rsid w:val="0036263C"/>
    <w:rsid w:val="00362898"/>
    <w:rsid w:val="00364064"/>
    <w:rsid w:val="00365072"/>
    <w:rsid w:val="003651E2"/>
    <w:rsid w:val="003668D9"/>
    <w:rsid w:val="003701A5"/>
    <w:rsid w:val="003735BD"/>
    <w:rsid w:val="00377B3B"/>
    <w:rsid w:val="00377B49"/>
    <w:rsid w:val="00382925"/>
    <w:rsid w:val="00382FD6"/>
    <w:rsid w:val="003835DB"/>
    <w:rsid w:val="00383DBC"/>
    <w:rsid w:val="00386D8E"/>
    <w:rsid w:val="00387FAC"/>
    <w:rsid w:val="003912BD"/>
    <w:rsid w:val="00393342"/>
    <w:rsid w:val="00393D1B"/>
    <w:rsid w:val="00395DFA"/>
    <w:rsid w:val="00397B48"/>
    <w:rsid w:val="003A1069"/>
    <w:rsid w:val="003A2564"/>
    <w:rsid w:val="003A2C81"/>
    <w:rsid w:val="003A36BA"/>
    <w:rsid w:val="003A5D8B"/>
    <w:rsid w:val="003A7F6F"/>
    <w:rsid w:val="003B43FB"/>
    <w:rsid w:val="003B4439"/>
    <w:rsid w:val="003B548E"/>
    <w:rsid w:val="003C0AED"/>
    <w:rsid w:val="003C19BE"/>
    <w:rsid w:val="003C24E9"/>
    <w:rsid w:val="003C4D10"/>
    <w:rsid w:val="003D08CF"/>
    <w:rsid w:val="003D1357"/>
    <w:rsid w:val="003D1C87"/>
    <w:rsid w:val="003D33DD"/>
    <w:rsid w:val="003D66D6"/>
    <w:rsid w:val="003D7359"/>
    <w:rsid w:val="003E09EA"/>
    <w:rsid w:val="003E0B60"/>
    <w:rsid w:val="003E2A9E"/>
    <w:rsid w:val="003E2BBD"/>
    <w:rsid w:val="003E2EB1"/>
    <w:rsid w:val="003E6EE8"/>
    <w:rsid w:val="003F0D89"/>
    <w:rsid w:val="003F4C62"/>
    <w:rsid w:val="00401F65"/>
    <w:rsid w:val="0040504A"/>
    <w:rsid w:val="00405BA7"/>
    <w:rsid w:val="00406463"/>
    <w:rsid w:val="00407659"/>
    <w:rsid w:val="00410E30"/>
    <w:rsid w:val="00413205"/>
    <w:rsid w:val="004139AE"/>
    <w:rsid w:val="00414F10"/>
    <w:rsid w:val="00424195"/>
    <w:rsid w:val="00433D58"/>
    <w:rsid w:val="0043539A"/>
    <w:rsid w:val="00435837"/>
    <w:rsid w:val="00436279"/>
    <w:rsid w:val="00437DE7"/>
    <w:rsid w:val="00440EEE"/>
    <w:rsid w:val="004411BE"/>
    <w:rsid w:val="00441EC9"/>
    <w:rsid w:val="0044337D"/>
    <w:rsid w:val="00443A12"/>
    <w:rsid w:val="004500CD"/>
    <w:rsid w:val="00451C96"/>
    <w:rsid w:val="0045717F"/>
    <w:rsid w:val="004573AF"/>
    <w:rsid w:val="00460A1F"/>
    <w:rsid w:val="0047066C"/>
    <w:rsid w:val="004737F3"/>
    <w:rsid w:val="004745B0"/>
    <w:rsid w:val="00480102"/>
    <w:rsid w:val="00480715"/>
    <w:rsid w:val="00482547"/>
    <w:rsid w:val="00483A77"/>
    <w:rsid w:val="00483FF6"/>
    <w:rsid w:val="00484A47"/>
    <w:rsid w:val="0048516D"/>
    <w:rsid w:val="00485FA6"/>
    <w:rsid w:val="00491C91"/>
    <w:rsid w:val="00492035"/>
    <w:rsid w:val="004920B0"/>
    <w:rsid w:val="00492130"/>
    <w:rsid w:val="0049274B"/>
    <w:rsid w:val="0049564B"/>
    <w:rsid w:val="00497F8F"/>
    <w:rsid w:val="004A075C"/>
    <w:rsid w:val="004A0837"/>
    <w:rsid w:val="004A35AF"/>
    <w:rsid w:val="004A7513"/>
    <w:rsid w:val="004B0996"/>
    <w:rsid w:val="004B1608"/>
    <w:rsid w:val="004B307B"/>
    <w:rsid w:val="004B3750"/>
    <w:rsid w:val="004B457B"/>
    <w:rsid w:val="004B5F0D"/>
    <w:rsid w:val="004B7D04"/>
    <w:rsid w:val="004C1755"/>
    <w:rsid w:val="004C1EC5"/>
    <w:rsid w:val="004C23F5"/>
    <w:rsid w:val="004C3020"/>
    <w:rsid w:val="004C3A12"/>
    <w:rsid w:val="004C4685"/>
    <w:rsid w:val="004C7DFA"/>
    <w:rsid w:val="004D0192"/>
    <w:rsid w:val="004D2472"/>
    <w:rsid w:val="004D3899"/>
    <w:rsid w:val="004D5FBF"/>
    <w:rsid w:val="004D6C47"/>
    <w:rsid w:val="004D734C"/>
    <w:rsid w:val="004D771B"/>
    <w:rsid w:val="004D7E56"/>
    <w:rsid w:val="004E3777"/>
    <w:rsid w:val="004E565F"/>
    <w:rsid w:val="004E6028"/>
    <w:rsid w:val="004E753F"/>
    <w:rsid w:val="004F2FC6"/>
    <w:rsid w:val="004F5C50"/>
    <w:rsid w:val="004F5F8B"/>
    <w:rsid w:val="004F6F37"/>
    <w:rsid w:val="004F73F0"/>
    <w:rsid w:val="00503478"/>
    <w:rsid w:val="00503A81"/>
    <w:rsid w:val="00505448"/>
    <w:rsid w:val="00505AE1"/>
    <w:rsid w:val="00506A64"/>
    <w:rsid w:val="005077EF"/>
    <w:rsid w:val="00510C46"/>
    <w:rsid w:val="0051205C"/>
    <w:rsid w:val="005124FF"/>
    <w:rsid w:val="00514A14"/>
    <w:rsid w:val="00514D77"/>
    <w:rsid w:val="00515B4A"/>
    <w:rsid w:val="00523675"/>
    <w:rsid w:val="00524CB4"/>
    <w:rsid w:val="0052771E"/>
    <w:rsid w:val="0053003E"/>
    <w:rsid w:val="005311FB"/>
    <w:rsid w:val="0053159C"/>
    <w:rsid w:val="00532DE9"/>
    <w:rsid w:val="00533518"/>
    <w:rsid w:val="00533952"/>
    <w:rsid w:val="00535D36"/>
    <w:rsid w:val="0053717E"/>
    <w:rsid w:val="0054235B"/>
    <w:rsid w:val="00542EAA"/>
    <w:rsid w:val="005451EA"/>
    <w:rsid w:val="0054642A"/>
    <w:rsid w:val="00547666"/>
    <w:rsid w:val="00555106"/>
    <w:rsid w:val="0056128B"/>
    <w:rsid w:val="00567445"/>
    <w:rsid w:val="00571A57"/>
    <w:rsid w:val="00571AFD"/>
    <w:rsid w:val="005727A4"/>
    <w:rsid w:val="0057303C"/>
    <w:rsid w:val="00577EFC"/>
    <w:rsid w:val="00581586"/>
    <w:rsid w:val="00581C3B"/>
    <w:rsid w:val="00584107"/>
    <w:rsid w:val="005859CD"/>
    <w:rsid w:val="0059040F"/>
    <w:rsid w:val="00590A54"/>
    <w:rsid w:val="005929E4"/>
    <w:rsid w:val="005941D4"/>
    <w:rsid w:val="00594B3E"/>
    <w:rsid w:val="005955D0"/>
    <w:rsid w:val="00595B87"/>
    <w:rsid w:val="005A3218"/>
    <w:rsid w:val="005A5EA2"/>
    <w:rsid w:val="005A637E"/>
    <w:rsid w:val="005A751A"/>
    <w:rsid w:val="005A77B4"/>
    <w:rsid w:val="005B2C28"/>
    <w:rsid w:val="005B2D82"/>
    <w:rsid w:val="005B607D"/>
    <w:rsid w:val="005B6182"/>
    <w:rsid w:val="005C00BC"/>
    <w:rsid w:val="005C0BC2"/>
    <w:rsid w:val="005C13E1"/>
    <w:rsid w:val="005C21E4"/>
    <w:rsid w:val="005C2448"/>
    <w:rsid w:val="005C27FB"/>
    <w:rsid w:val="005C70E8"/>
    <w:rsid w:val="005C78D8"/>
    <w:rsid w:val="005D0588"/>
    <w:rsid w:val="005D145B"/>
    <w:rsid w:val="005D19F2"/>
    <w:rsid w:val="005D5B3D"/>
    <w:rsid w:val="005D63FB"/>
    <w:rsid w:val="005D6F12"/>
    <w:rsid w:val="005D79EA"/>
    <w:rsid w:val="005E4009"/>
    <w:rsid w:val="005E543F"/>
    <w:rsid w:val="005E6A67"/>
    <w:rsid w:val="005E6FDB"/>
    <w:rsid w:val="005F0E69"/>
    <w:rsid w:val="005F119C"/>
    <w:rsid w:val="005F29A3"/>
    <w:rsid w:val="005F67E1"/>
    <w:rsid w:val="005F6B64"/>
    <w:rsid w:val="00601583"/>
    <w:rsid w:val="00601DAD"/>
    <w:rsid w:val="00601FA2"/>
    <w:rsid w:val="0060241C"/>
    <w:rsid w:val="00602793"/>
    <w:rsid w:val="0060417F"/>
    <w:rsid w:val="00606F40"/>
    <w:rsid w:val="006116D6"/>
    <w:rsid w:val="00612624"/>
    <w:rsid w:val="00613550"/>
    <w:rsid w:val="00616604"/>
    <w:rsid w:val="00617227"/>
    <w:rsid w:val="006177D2"/>
    <w:rsid w:val="00621702"/>
    <w:rsid w:val="00622907"/>
    <w:rsid w:val="00624339"/>
    <w:rsid w:val="00624692"/>
    <w:rsid w:val="006271CF"/>
    <w:rsid w:val="006274D7"/>
    <w:rsid w:val="00631190"/>
    <w:rsid w:val="00633521"/>
    <w:rsid w:val="00635CEE"/>
    <w:rsid w:val="00636CE5"/>
    <w:rsid w:val="00640C8B"/>
    <w:rsid w:val="00641853"/>
    <w:rsid w:val="006448BE"/>
    <w:rsid w:val="00644BF8"/>
    <w:rsid w:val="00645336"/>
    <w:rsid w:val="0064624D"/>
    <w:rsid w:val="0064683E"/>
    <w:rsid w:val="00654171"/>
    <w:rsid w:val="00654FCE"/>
    <w:rsid w:val="0066286C"/>
    <w:rsid w:val="00664591"/>
    <w:rsid w:val="00667E08"/>
    <w:rsid w:val="00672969"/>
    <w:rsid w:val="00681060"/>
    <w:rsid w:val="006865A5"/>
    <w:rsid w:val="00687447"/>
    <w:rsid w:val="00687AA5"/>
    <w:rsid w:val="00687D5F"/>
    <w:rsid w:val="00692480"/>
    <w:rsid w:val="006936D8"/>
    <w:rsid w:val="00694C35"/>
    <w:rsid w:val="0069632E"/>
    <w:rsid w:val="00696A07"/>
    <w:rsid w:val="006A0058"/>
    <w:rsid w:val="006A0A9A"/>
    <w:rsid w:val="006A0AB2"/>
    <w:rsid w:val="006A1685"/>
    <w:rsid w:val="006A2765"/>
    <w:rsid w:val="006A2A8A"/>
    <w:rsid w:val="006B12F1"/>
    <w:rsid w:val="006B24F4"/>
    <w:rsid w:val="006B36F4"/>
    <w:rsid w:val="006B3D69"/>
    <w:rsid w:val="006B6BEC"/>
    <w:rsid w:val="006B7185"/>
    <w:rsid w:val="006B7383"/>
    <w:rsid w:val="006C0341"/>
    <w:rsid w:val="006C1DA2"/>
    <w:rsid w:val="006C41D5"/>
    <w:rsid w:val="006C5738"/>
    <w:rsid w:val="006C6428"/>
    <w:rsid w:val="006C7344"/>
    <w:rsid w:val="006D041F"/>
    <w:rsid w:val="006D05D6"/>
    <w:rsid w:val="006D2C02"/>
    <w:rsid w:val="006D383A"/>
    <w:rsid w:val="006D418B"/>
    <w:rsid w:val="006D6120"/>
    <w:rsid w:val="006D7B2F"/>
    <w:rsid w:val="006D7CA8"/>
    <w:rsid w:val="006E078C"/>
    <w:rsid w:val="006E24E0"/>
    <w:rsid w:val="006E31FC"/>
    <w:rsid w:val="006E420D"/>
    <w:rsid w:val="006E5449"/>
    <w:rsid w:val="006E70A4"/>
    <w:rsid w:val="006E735D"/>
    <w:rsid w:val="006F177C"/>
    <w:rsid w:val="006F2470"/>
    <w:rsid w:val="006F2C99"/>
    <w:rsid w:val="006F3E9B"/>
    <w:rsid w:val="006F5C15"/>
    <w:rsid w:val="006F66B1"/>
    <w:rsid w:val="006F67EB"/>
    <w:rsid w:val="0070051A"/>
    <w:rsid w:val="00700633"/>
    <w:rsid w:val="007058B5"/>
    <w:rsid w:val="0070670F"/>
    <w:rsid w:val="00707D10"/>
    <w:rsid w:val="00710038"/>
    <w:rsid w:val="00712CAE"/>
    <w:rsid w:val="007134A8"/>
    <w:rsid w:val="00713690"/>
    <w:rsid w:val="007147E1"/>
    <w:rsid w:val="0071626E"/>
    <w:rsid w:val="007163E5"/>
    <w:rsid w:val="00717582"/>
    <w:rsid w:val="007264C4"/>
    <w:rsid w:val="00726A0C"/>
    <w:rsid w:val="00726B5A"/>
    <w:rsid w:val="00726BF5"/>
    <w:rsid w:val="00727A7D"/>
    <w:rsid w:val="00730348"/>
    <w:rsid w:val="00730F6E"/>
    <w:rsid w:val="00733DBC"/>
    <w:rsid w:val="00734DC2"/>
    <w:rsid w:val="00737477"/>
    <w:rsid w:val="007402E1"/>
    <w:rsid w:val="00741515"/>
    <w:rsid w:val="0074247F"/>
    <w:rsid w:val="007428B0"/>
    <w:rsid w:val="00743D10"/>
    <w:rsid w:val="007501CB"/>
    <w:rsid w:val="00751F27"/>
    <w:rsid w:val="00752B3F"/>
    <w:rsid w:val="00754016"/>
    <w:rsid w:val="007540F3"/>
    <w:rsid w:val="00754CFA"/>
    <w:rsid w:val="00760908"/>
    <w:rsid w:val="00764747"/>
    <w:rsid w:val="00764F74"/>
    <w:rsid w:val="007667CE"/>
    <w:rsid w:val="0076704A"/>
    <w:rsid w:val="007715A5"/>
    <w:rsid w:val="00772CA9"/>
    <w:rsid w:val="00772E80"/>
    <w:rsid w:val="0077568C"/>
    <w:rsid w:val="00775C54"/>
    <w:rsid w:val="00777805"/>
    <w:rsid w:val="00780BEC"/>
    <w:rsid w:val="0078292F"/>
    <w:rsid w:val="00782B02"/>
    <w:rsid w:val="00785978"/>
    <w:rsid w:val="00786D32"/>
    <w:rsid w:val="00792379"/>
    <w:rsid w:val="00792ED9"/>
    <w:rsid w:val="00795A05"/>
    <w:rsid w:val="00797B66"/>
    <w:rsid w:val="007A0180"/>
    <w:rsid w:val="007A5C31"/>
    <w:rsid w:val="007A765D"/>
    <w:rsid w:val="007B1574"/>
    <w:rsid w:val="007B1996"/>
    <w:rsid w:val="007B1F03"/>
    <w:rsid w:val="007B4597"/>
    <w:rsid w:val="007C2215"/>
    <w:rsid w:val="007C48D5"/>
    <w:rsid w:val="007C607E"/>
    <w:rsid w:val="007C6166"/>
    <w:rsid w:val="007D017C"/>
    <w:rsid w:val="007D038A"/>
    <w:rsid w:val="007D08B9"/>
    <w:rsid w:val="007D1A78"/>
    <w:rsid w:val="007D62A1"/>
    <w:rsid w:val="007D6462"/>
    <w:rsid w:val="007D7075"/>
    <w:rsid w:val="007E28A0"/>
    <w:rsid w:val="007E7F1C"/>
    <w:rsid w:val="007F4CD3"/>
    <w:rsid w:val="007F636A"/>
    <w:rsid w:val="007F6FBD"/>
    <w:rsid w:val="0080105F"/>
    <w:rsid w:val="00804645"/>
    <w:rsid w:val="008057C7"/>
    <w:rsid w:val="00805D91"/>
    <w:rsid w:val="00806713"/>
    <w:rsid w:val="00807D77"/>
    <w:rsid w:val="00811E42"/>
    <w:rsid w:val="0081234A"/>
    <w:rsid w:val="00812F82"/>
    <w:rsid w:val="008140B7"/>
    <w:rsid w:val="00820EBA"/>
    <w:rsid w:val="0082274C"/>
    <w:rsid w:val="008248D1"/>
    <w:rsid w:val="008251EF"/>
    <w:rsid w:val="00827053"/>
    <w:rsid w:val="00827F69"/>
    <w:rsid w:val="00830E36"/>
    <w:rsid w:val="008376DA"/>
    <w:rsid w:val="00840EA1"/>
    <w:rsid w:val="008417D3"/>
    <w:rsid w:val="00841B6D"/>
    <w:rsid w:val="00841C17"/>
    <w:rsid w:val="008445A6"/>
    <w:rsid w:val="0084558B"/>
    <w:rsid w:val="00845A78"/>
    <w:rsid w:val="00852628"/>
    <w:rsid w:val="00852B11"/>
    <w:rsid w:val="00855829"/>
    <w:rsid w:val="0085726D"/>
    <w:rsid w:val="0086102B"/>
    <w:rsid w:val="00864717"/>
    <w:rsid w:val="008647B3"/>
    <w:rsid w:val="008663B4"/>
    <w:rsid w:val="00867306"/>
    <w:rsid w:val="008733ED"/>
    <w:rsid w:val="00874E91"/>
    <w:rsid w:val="00875CCD"/>
    <w:rsid w:val="00876D97"/>
    <w:rsid w:val="00877503"/>
    <w:rsid w:val="008776DD"/>
    <w:rsid w:val="00880BC4"/>
    <w:rsid w:val="00882AD6"/>
    <w:rsid w:val="008857D3"/>
    <w:rsid w:val="0088656B"/>
    <w:rsid w:val="00887A2A"/>
    <w:rsid w:val="00890184"/>
    <w:rsid w:val="008942ED"/>
    <w:rsid w:val="00894732"/>
    <w:rsid w:val="008960AD"/>
    <w:rsid w:val="0089726C"/>
    <w:rsid w:val="00897F68"/>
    <w:rsid w:val="008A2041"/>
    <w:rsid w:val="008A27FC"/>
    <w:rsid w:val="008A4640"/>
    <w:rsid w:val="008A6B4F"/>
    <w:rsid w:val="008A7881"/>
    <w:rsid w:val="008B0EC5"/>
    <w:rsid w:val="008B48C4"/>
    <w:rsid w:val="008B6308"/>
    <w:rsid w:val="008B7492"/>
    <w:rsid w:val="008C0187"/>
    <w:rsid w:val="008C11EA"/>
    <w:rsid w:val="008C1C0C"/>
    <w:rsid w:val="008C2920"/>
    <w:rsid w:val="008C617A"/>
    <w:rsid w:val="008D330F"/>
    <w:rsid w:val="008D5080"/>
    <w:rsid w:val="008D6A71"/>
    <w:rsid w:val="008E0135"/>
    <w:rsid w:val="008E0E37"/>
    <w:rsid w:val="008E3614"/>
    <w:rsid w:val="008E50C9"/>
    <w:rsid w:val="008E5EF1"/>
    <w:rsid w:val="008E66A7"/>
    <w:rsid w:val="008F102C"/>
    <w:rsid w:val="008F24FD"/>
    <w:rsid w:val="008F3B0B"/>
    <w:rsid w:val="008F6D51"/>
    <w:rsid w:val="008F7ABB"/>
    <w:rsid w:val="009008B1"/>
    <w:rsid w:val="00901477"/>
    <w:rsid w:val="00901498"/>
    <w:rsid w:val="00903435"/>
    <w:rsid w:val="0090397C"/>
    <w:rsid w:val="009050F8"/>
    <w:rsid w:val="00912200"/>
    <w:rsid w:val="00914030"/>
    <w:rsid w:val="0091700C"/>
    <w:rsid w:val="0092778E"/>
    <w:rsid w:val="009278B0"/>
    <w:rsid w:val="00927C61"/>
    <w:rsid w:val="00931F74"/>
    <w:rsid w:val="00943CBF"/>
    <w:rsid w:val="00946041"/>
    <w:rsid w:val="0094621C"/>
    <w:rsid w:val="00946563"/>
    <w:rsid w:val="0094758F"/>
    <w:rsid w:val="009478EB"/>
    <w:rsid w:val="009511C5"/>
    <w:rsid w:val="00951D5C"/>
    <w:rsid w:val="009545F6"/>
    <w:rsid w:val="009574EC"/>
    <w:rsid w:val="00961115"/>
    <w:rsid w:val="00961E39"/>
    <w:rsid w:val="009620AA"/>
    <w:rsid w:val="00963668"/>
    <w:rsid w:val="00963792"/>
    <w:rsid w:val="00964DB3"/>
    <w:rsid w:val="009664BA"/>
    <w:rsid w:val="00967103"/>
    <w:rsid w:val="00971BC9"/>
    <w:rsid w:val="00972B48"/>
    <w:rsid w:val="0097350C"/>
    <w:rsid w:val="00974E42"/>
    <w:rsid w:val="00976477"/>
    <w:rsid w:val="009817CC"/>
    <w:rsid w:val="00982622"/>
    <w:rsid w:val="0098370B"/>
    <w:rsid w:val="009837A4"/>
    <w:rsid w:val="009850B9"/>
    <w:rsid w:val="00990901"/>
    <w:rsid w:val="00992A29"/>
    <w:rsid w:val="00994B3A"/>
    <w:rsid w:val="00995819"/>
    <w:rsid w:val="00995834"/>
    <w:rsid w:val="009A0193"/>
    <w:rsid w:val="009A037D"/>
    <w:rsid w:val="009A09AB"/>
    <w:rsid w:val="009A0AAC"/>
    <w:rsid w:val="009A142D"/>
    <w:rsid w:val="009A2286"/>
    <w:rsid w:val="009A30F9"/>
    <w:rsid w:val="009A39BA"/>
    <w:rsid w:val="009A4647"/>
    <w:rsid w:val="009A55DE"/>
    <w:rsid w:val="009A6F89"/>
    <w:rsid w:val="009B03B7"/>
    <w:rsid w:val="009B0477"/>
    <w:rsid w:val="009B0745"/>
    <w:rsid w:val="009B20C8"/>
    <w:rsid w:val="009B2CD0"/>
    <w:rsid w:val="009B4211"/>
    <w:rsid w:val="009C77DA"/>
    <w:rsid w:val="009D0803"/>
    <w:rsid w:val="009D6A53"/>
    <w:rsid w:val="009E1365"/>
    <w:rsid w:val="009E2249"/>
    <w:rsid w:val="009E285A"/>
    <w:rsid w:val="009E3411"/>
    <w:rsid w:val="009E3D5A"/>
    <w:rsid w:val="009E4C43"/>
    <w:rsid w:val="009E5537"/>
    <w:rsid w:val="009F4F03"/>
    <w:rsid w:val="009F5CF1"/>
    <w:rsid w:val="009F6A60"/>
    <w:rsid w:val="00A00C14"/>
    <w:rsid w:val="00A00CBD"/>
    <w:rsid w:val="00A01178"/>
    <w:rsid w:val="00A01CAB"/>
    <w:rsid w:val="00A03600"/>
    <w:rsid w:val="00A04845"/>
    <w:rsid w:val="00A04DCC"/>
    <w:rsid w:val="00A12B9E"/>
    <w:rsid w:val="00A15697"/>
    <w:rsid w:val="00A165D8"/>
    <w:rsid w:val="00A203FD"/>
    <w:rsid w:val="00A20D82"/>
    <w:rsid w:val="00A2108D"/>
    <w:rsid w:val="00A21F52"/>
    <w:rsid w:val="00A22522"/>
    <w:rsid w:val="00A306A7"/>
    <w:rsid w:val="00A32153"/>
    <w:rsid w:val="00A32BC3"/>
    <w:rsid w:val="00A35C43"/>
    <w:rsid w:val="00A3737A"/>
    <w:rsid w:val="00A37471"/>
    <w:rsid w:val="00A4049A"/>
    <w:rsid w:val="00A40B3C"/>
    <w:rsid w:val="00A423DB"/>
    <w:rsid w:val="00A426AB"/>
    <w:rsid w:val="00A4295A"/>
    <w:rsid w:val="00A42DA9"/>
    <w:rsid w:val="00A430FD"/>
    <w:rsid w:val="00A43429"/>
    <w:rsid w:val="00A43B5C"/>
    <w:rsid w:val="00A47D7A"/>
    <w:rsid w:val="00A543E7"/>
    <w:rsid w:val="00A56301"/>
    <w:rsid w:val="00A56564"/>
    <w:rsid w:val="00A56F1C"/>
    <w:rsid w:val="00A60A2C"/>
    <w:rsid w:val="00A6255E"/>
    <w:rsid w:val="00A63AE7"/>
    <w:rsid w:val="00A65DAE"/>
    <w:rsid w:val="00A67C73"/>
    <w:rsid w:val="00A7057C"/>
    <w:rsid w:val="00A7631D"/>
    <w:rsid w:val="00A76D88"/>
    <w:rsid w:val="00A77C91"/>
    <w:rsid w:val="00A815F4"/>
    <w:rsid w:val="00A81790"/>
    <w:rsid w:val="00A82DF1"/>
    <w:rsid w:val="00A83E76"/>
    <w:rsid w:val="00A84785"/>
    <w:rsid w:val="00A860DC"/>
    <w:rsid w:val="00A8649C"/>
    <w:rsid w:val="00A87627"/>
    <w:rsid w:val="00A901F5"/>
    <w:rsid w:val="00A9055B"/>
    <w:rsid w:val="00A915AC"/>
    <w:rsid w:val="00A92B2C"/>
    <w:rsid w:val="00A92ECB"/>
    <w:rsid w:val="00A942BA"/>
    <w:rsid w:val="00A95CA4"/>
    <w:rsid w:val="00AA0F27"/>
    <w:rsid w:val="00AA1AA6"/>
    <w:rsid w:val="00AA23C2"/>
    <w:rsid w:val="00AA2BC6"/>
    <w:rsid w:val="00AA3693"/>
    <w:rsid w:val="00AA3ADA"/>
    <w:rsid w:val="00AA504A"/>
    <w:rsid w:val="00AA7E2D"/>
    <w:rsid w:val="00AB1A1B"/>
    <w:rsid w:val="00AB2494"/>
    <w:rsid w:val="00AB2877"/>
    <w:rsid w:val="00AC1850"/>
    <w:rsid w:val="00AC6C52"/>
    <w:rsid w:val="00AC6D32"/>
    <w:rsid w:val="00AC6E03"/>
    <w:rsid w:val="00AD16BC"/>
    <w:rsid w:val="00AD293C"/>
    <w:rsid w:val="00AD67B6"/>
    <w:rsid w:val="00AD7B3E"/>
    <w:rsid w:val="00AE2A8E"/>
    <w:rsid w:val="00AE2AA5"/>
    <w:rsid w:val="00AE4E3B"/>
    <w:rsid w:val="00AE690C"/>
    <w:rsid w:val="00AF00B9"/>
    <w:rsid w:val="00AF0994"/>
    <w:rsid w:val="00AF1918"/>
    <w:rsid w:val="00AF3058"/>
    <w:rsid w:val="00AF3DAF"/>
    <w:rsid w:val="00AF494E"/>
    <w:rsid w:val="00AF679A"/>
    <w:rsid w:val="00AF6F4B"/>
    <w:rsid w:val="00AF7832"/>
    <w:rsid w:val="00B008A6"/>
    <w:rsid w:val="00B00C66"/>
    <w:rsid w:val="00B01F8B"/>
    <w:rsid w:val="00B028FD"/>
    <w:rsid w:val="00B04EF8"/>
    <w:rsid w:val="00B04F27"/>
    <w:rsid w:val="00B058AC"/>
    <w:rsid w:val="00B05AFC"/>
    <w:rsid w:val="00B07BB1"/>
    <w:rsid w:val="00B10ECB"/>
    <w:rsid w:val="00B11DEB"/>
    <w:rsid w:val="00B1221B"/>
    <w:rsid w:val="00B14C66"/>
    <w:rsid w:val="00B150A9"/>
    <w:rsid w:val="00B15E40"/>
    <w:rsid w:val="00B168EA"/>
    <w:rsid w:val="00B17581"/>
    <w:rsid w:val="00B208A4"/>
    <w:rsid w:val="00B23625"/>
    <w:rsid w:val="00B24C12"/>
    <w:rsid w:val="00B25D6D"/>
    <w:rsid w:val="00B260EE"/>
    <w:rsid w:val="00B30AE9"/>
    <w:rsid w:val="00B314F4"/>
    <w:rsid w:val="00B31638"/>
    <w:rsid w:val="00B31744"/>
    <w:rsid w:val="00B3261F"/>
    <w:rsid w:val="00B3376C"/>
    <w:rsid w:val="00B33EAF"/>
    <w:rsid w:val="00B345C4"/>
    <w:rsid w:val="00B34893"/>
    <w:rsid w:val="00B36DDB"/>
    <w:rsid w:val="00B373E2"/>
    <w:rsid w:val="00B40D7E"/>
    <w:rsid w:val="00B42965"/>
    <w:rsid w:val="00B42DC5"/>
    <w:rsid w:val="00B445EE"/>
    <w:rsid w:val="00B461F7"/>
    <w:rsid w:val="00B464A3"/>
    <w:rsid w:val="00B46F33"/>
    <w:rsid w:val="00B501D2"/>
    <w:rsid w:val="00B50744"/>
    <w:rsid w:val="00B51499"/>
    <w:rsid w:val="00B52802"/>
    <w:rsid w:val="00B5336D"/>
    <w:rsid w:val="00B6037E"/>
    <w:rsid w:val="00B60DAC"/>
    <w:rsid w:val="00B64FFC"/>
    <w:rsid w:val="00B710BF"/>
    <w:rsid w:val="00B728C1"/>
    <w:rsid w:val="00B73735"/>
    <w:rsid w:val="00B75651"/>
    <w:rsid w:val="00B821B6"/>
    <w:rsid w:val="00B82889"/>
    <w:rsid w:val="00B829AA"/>
    <w:rsid w:val="00B82C84"/>
    <w:rsid w:val="00B83D0B"/>
    <w:rsid w:val="00B8402A"/>
    <w:rsid w:val="00B84809"/>
    <w:rsid w:val="00B849C8"/>
    <w:rsid w:val="00B858BB"/>
    <w:rsid w:val="00B87825"/>
    <w:rsid w:val="00B91924"/>
    <w:rsid w:val="00B930E1"/>
    <w:rsid w:val="00B9334F"/>
    <w:rsid w:val="00B9692F"/>
    <w:rsid w:val="00B97716"/>
    <w:rsid w:val="00BA0398"/>
    <w:rsid w:val="00BA5064"/>
    <w:rsid w:val="00BA5470"/>
    <w:rsid w:val="00BA64CF"/>
    <w:rsid w:val="00BB04EF"/>
    <w:rsid w:val="00BB0EDE"/>
    <w:rsid w:val="00BB1894"/>
    <w:rsid w:val="00BB4AA9"/>
    <w:rsid w:val="00BC1E5B"/>
    <w:rsid w:val="00BC247C"/>
    <w:rsid w:val="00BC383E"/>
    <w:rsid w:val="00BC632A"/>
    <w:rsid w:val="00BD2487"/>
    <w:rsid w:val="00BD3C8C"/>
    <w:rsid w:val="00BD3FC5"/>
    <w:rsid w:val="00BE091D"/>
    <w:rsid w:val="00BE22CF"/>
    <w:rsid w:val="00BE4CFF"/>
    <w:rsid w:val="00BE57AA"/>
    <w:rsid w:val="00BE5F21"/>
    <w:rsid w:val="00BF094B"/>
    <w:rsid w:val="00BF0CD6"/>
    <w:rsid w:val="00BF38D1"/>
    <w:rsid w:val="00BF591D"/>
    <w:rsid w:val="00C02A07"/>
    <w:rsid w:val="00C0319B"/>
    <w:rsid w:val="00C04B69"/>
    <w:rsid w:val="00C05CD8"/>
    <w:rsid w:val="00C068C0"/>
    <w:rsid w:val="00C07FBB"/>
    <w:rsid w:val="00C1029E"/>
    <w:rsid w:val="00C11546"/>
    <w:rsid w:val="00C129EE"/>
    <w:rsid w:val="00C13789"/>
    <w:rsid w:val="00C13C96"/>
    <w:rsid w:val="00C152F2"/>
    <w:rsid w:val="00C15CCF"/>
    <w:rsid w:val="00C204C5"/>
    <w:rsid w:val="00C21EC7"/>
    <w:rsid w:val="00C23368"/>
    <w:rsid w:val="00C23A4C"/>
    <w:rsid w:val="00C26729"/>
    <w:rsid w:val="00C26DA7"/>
    <w:rsid w:val="00C3031A"/>
    <w:rsid w:val="00C322DA"/>
    <w:rsid w:val="00C368D8"/>
    <w:rsid w:val="00C424E2"/>
    <w:rsid w:val="00C436D2"/>
    <w:rsid w:val="00C43EC8"/>
    <w:rsid w:val="00C4582D"/>
    <w:rsid w:val="00C4603E"/>
    <w:rsid w:val="00C52930"/>
    <w:rsid w:val="00C5508C"/>
    <w:rsid w:val="00C64308"/>
    <w:rsid w:val="00C64E1D"/>
    <w:rsid w:val="00C65C64"/>
    <w:rsid w:val="00C73F6C"/>
    <w:rsid w:val="00C74E30"/>
    <w:rsid w:val="00C767F7"/>
    <w:rsid w:val="00C76D57"/>
    <w:rsid w:val="00C7778C"/>
    <w:rsid w:val="00C77EAB"/>
    <w:rsid w:val="00C80984"/>
    <w:rsid w:val="00C80CF0"/>
    <w:rsid w:val="00C827E4"/>
    <w:rsid w:val="00C84D46"/>
    <w:rsid w:val="00C85FA8"/>
    <w:rsid w:val="00C90648"/>
    <w:rsid w:val="00C90D58"/>
    <w:rsid w:val="00C91405"/>
    <w:rsid w:val="00C934AE"/>
    <w:rsid w:val="00C96E96"/>
    <w:rsid w:val="00CA1892"/>
    <w:rsid w:val="00CA28AE"/>
    <w:rsid w:val="00CA38EB"/>
    <w:rsid w:val="00CA57A3"/>
    <w:rsid w:val="00CA6996"/>
    <w:rsid w:val="00CB0BBD"/>
    <w:rsid w:val="00CB0EB2"/>
    <w:rsid w:val="00CB1985"/>
    <w:rsid w:val="00CB618B"/>
    <w:rsid w:val="00CB61A4"/>
    <w:rsid w:val="00CB6446"/>
    <w:rsid w:val="00CB6D5B"/>
    <w:rsid w:val="00CB6D88"/>
    <w:rsid w:val="00CB726B"/>
    <w:rsid w:val="00CC308A"/>
    <w:rsid w:val="00CC7E81"/>
    <w:rsid w:val="00CD2D1D"/>
    <w:rsid w:val="00CD4009"/>
    <w:rsid w:val="00CD42AA"/>
    <w:rsid w:val="00CD47A6"/>
    <w:rsid w:val="00CD5ED7"/>
    <w:rsid w:val="00CD7756"/>
    <w:rsid w:val="00CE0AC9"/>
    <w:rsid w:val="00CE256A"/>
    <w:rsid w:val="00CE3127"/>
    <w:rsid w:val="00CF09E4"/>
    <w:rsid w:val="00CF1286"/>
    <w:rsid w:val="00CF1D41"/>
    <w:rsid w:val="00CF7486"/>
    <w:rsid w:val="00D03BCF"/>
    <w:rsid w:val="00D05127"/>
    <w:rsid w:val="00D063F2"/>
    <w:rsid w:val="00D130DA"/>
    <w:rsid w:val="00D16AC6"/>
    <w:rsid w:val="00D17DD5"/>
    <w:rsid w:val="00D2028B"/>
    <w:rsid w:val="00D210CB"/>
    <w:rsid w:val="00D22E25"/>
    <w:rsid w:val="00D24118"/>
    <w:rsid w:val="00D24440"/>
    <w:rsid w:val="00D26B8D"/>
    <w:rsid w:val="00D321D9"/>
    <w:rsid w:val="00D335A7"/>
    <w:rsid w:val="00D35232"/>
    <w:rsid w:val="00D359D9"/>
    <w:rsid w:val="00D43EB7"/>
    <w:rsid w:val="00D469F1"/>
    <w:rsid w:val="00D46F36"/>
    <w:rsid w:val="00D474C1"/>
    <w:rsid w:val="00D543C3"/>
    <w:rsid w:val="00D605F1"/>
    <w:rsid w:val="00D60FA6"/>
    <w:rsid w:val="00D635DD"/>
    <w:rsid w:val="00D63709"/>
    <w:rsid w:val="00D63A6D"/>
    <w:rsid w:val="00D6565C"/>
    <w:rsid w:val="00D6645D"/>
    <w:rsid w:val="00D66FE2"/>
    <w:rsid w:val="00D71473"/>
    <w:rsid w:val="00D71BE0"/>
    <w:rsid w:val="00D742A7"/>
    <w:rsid w:val="00D757FB"/>
    <w:rsid w:val="00D77DCC"/>
    <w:rsid w:val="00D8006C"/>
    <w:rsid w:val="00D8103F"/>
    <w:rsid w:val="00D85982"/>
    <w:rsid w:val="00D912FC"/>
    <w:rsid w:val="00D913B4"/>
    <w:rsid w:val="00D92F78"/>
    <w:rsid w:val="00D943C8"/>
    <w:rsid w:val="00D95732"/>
    <w:rsid w:val="00D95AC7"/>
    <w:rsid w:val="00D97615"/>
    <w:rsid w:val="00D97735"/>
    <w:rsid w:val="00DA0124"/>
    <w:rsid w:val="00DA338C"/>
    <w:rsid w:val="00DA41F3"/>
    <w:rsid w:val="00DA5208"/>
    <w:rsid w:val="00DB04A7"/>
    <w:rsid w:val="00DB2FEC"/>
    <w:rsid w:val="00DB6738"/>
    <w:rsid w:val="00DC0558"/>
    <w:rsid w:val="00DC08A4"/>
    <w:rsid w:val="00DC0B40"/>
    <w:rsid w:val="00DC540E"/>
    <w:rsid w:val="00DC5E66"/>
    <w:rsid w:val="00DC6386"/>
    <w:rsid w:val="00DE1B69"/>
    <w:rsid w:val="00DE5956"/>
    <w:rsid w:val="00DE6280"/>
    <w:rsid w:val="00DF209F"/>
    <w:rsid w:val="00DF2AA4"/>
    <w:rsid w:val="00DF519D"/>
    <w:rsid w:val="00DF5E20"/>
    <w:rsid w:val="00DF7E21"/>
    <w:rsid w:val="00E025A9"/>
    <w:rsid w:val="00E0383D"/>
    <w:rsid w:val="00E05F66"/>
    <w:rsid w:val="00E11EDC"/>
    <w:rsid w:val="00E13201"/>
    <w:rsid w:val="00E1536A"/>
    <w:rsid w:val="00E163EC"/>
    <w:rsid w:val="00E169FB"/>
    <w:rsid w:val="00E23569"/>
    <w:rsid w:val="00E23D75"/>
    <w:rsid w:val="00E3084B"/>
    <w:rsid w:val="00E30DAD"/>
    <w:rsid w:val="00E31441"/>
    <w:rsid w:val="00E32520"/>
    <w:rsid w:val="00E326BC"/>
    <w:rsid w:val="00E32CC1"/>
    <w:rsid w:val="00E402AE"/>
    <w:rsid w:val="00E40556"/>
    <w:rsid w:val="00E41B89"/>
    <w:rsid w:val="00E43E90"/>
    <w:rsid w:val="00E45287"/>
    <w:rsid w:val="00E454AA"/>
    <w:rsid w:val="00E457CC"/>
    <w:rsid w:val="00E46139"/>
    <w:rsid w:val="00E51CB0"/>
    <w:rsid w:val="00E53F3E"/>
    <w:rsid w:val="00E54564"/>
    <w:rsid w:val="00E6081F"/>
    <w:rsid w:val="00E62277"/>
    <w:rsid w:val="00E62B98"/>
    <w:rsid w:val="00E63DFE"/>
    <w:rsid w:val="00E735CA"/>
    <w:rsid w:val="00E802DC"/>
    <w:rsid w:val="00E81ED7"/>
    <w:rsid w:val="00E82FEB"/>
    <w:rsid w:val="00E84C50"/>
    <w:rsid w:val="00E85FBB"/>
    <w:rsid w:val="00E86DBE"/>
    <w:rsid w:val="00E900E8"/>
    <w:rsid w:val="00E90F19"/>
    <w:rsid w:val="00E94C5E"/>
    <w:rsid w:val="00E96218"/>
    <w:rsid w:val="00EA18FC"/>
    <w:rsid w:val="00EA31FB"/>
    <w:rsid w:val="00EA4653"/>
    <w:rsid w:val="00EB00E7"/>
    <w:rsid w:val="00EB036A"/>
    <w:rsid w:val="00EB4354"/>
    <w:rsid w:val="00EB4785"/>
    <w:rsid w:val="00EB6660"/>
    <w:rsid w:val="00EB693C"/>
    <w:rsid w:val="00EB6DDC"/>
    <w:rsid w:val="00EB6FAD"/>
    <w:rsid w:val="00EC0B34"/>
    <w:rsid w:val="00EC1916"/>
    <w:rsid w:val="00EC448D"/>
    <w:rsid w:val="00EC5988"/>
    <w:rsid w:val="00EC5B40"/>
    <w:rsid w:val="00EC710D"/>
    <w:rsid w:val="00ED00FE"/>
    <w:rsid w:val="00ED0B79"/>
    <w:rsid w:val="00ED1EEB"/>
    <w:rsid w:val="00ED66F2"/>
    <w:rsid w:val="00ED7262"/>
    <w:rsid w:val="00EE174A"/>
    <w:rsid w:val="00EE3A41"/>
    <w:rsid w:val="00EE748D"/>
    <w:rsid w:val="00EF003F"/>
    <w:rsid w:val="00EF48C5"/>
    <w:rsid w:val="00EF5D26"/>
    <w:rsid w:val="00EF7CAC"/>
    <w:rsid w:val="00EF7DE9"/>
    <w:rsid w:val="00F004E4"/>
    <w:rsid w:val="00F01DC5"/>
    <w:rsid w:val="00F024CD"/>
    <w:rsid w:val="00F056CF"/>
    <w:rsid w:val="00F06A5F"/>
    <w:rsid w:val="00F10AF6"/>
    <w:rsid w:val="00F10D12"/>
    <w:rsid w:val="00F11E24"/>
    <w:rsid w:val="00F131F4"/>
    <w:rsid w:val="00F13D8B"/>
    <w:rsid w:val="00F1508C"/>
    <w:rsid w:val="00F21579"/>
    <w:rsid w:val="00F21C24"/>
    <w:rsid w:val="00F22F82"/>
    <w:rsid w:val="00F230E6"/>
    <w:rsid w:val="00F2352B"/>
    <w:rsid w:val="00F239AF"/>
    <w:rsid w:val="00F23D90"/>
    <w:rsid w:val="00F24604"/>
    <w:rsid w:val="00F24DEB"/>
    <w:rsid w:val="00F25C47"/>
    <w:rsid w:val="00F2738D"/>
    <w:rsid w:val="00F277A7"/>
    <w:rsid w:val="00F27F77"/>
    <w:rsid w:val="00F30C10"/>
    <w:rsid w:val="00F32F4C"/>
    <w:rsid w:val="00F37A7C"/>
    <w:rsid w:val="00F406F7"/>
    <w:rsid w:val="00F437F1"/>
    <w:rsid w:val="00F4454B"/>
    <w:rsid w:val="00F44D62"/>
    <w:rsid w:val="00F45844"/>
    <w:rsid w:val="00F46193"/>
    <w:rsid w:val="00F466C7"/>
    <w:rsid w:val="00F47620"/>
    <w:rsid w:val="00F4781B"/>
    <w:rsid w:val="00F506BF"/>
    <w:rsid w:val="00F50B11"/>
    <w:rsid w:val="00F51274"/>
    <w:rsid w:val="00F513BA"/>
    <w:rsid w:val="00F553B8"/>
    <w:rsid w:val="00F60547"/>
    <w:rsid w:val="00F64D0A"/>
    <w:rsid w:val="00F65DC3"/>
    <w:rsid w:val="00F66643"/>
    <w:rsid w:val="00F66EC5"/>
    <w:rsid w:val="00F67F85"/>
    <w:rsid w:val="00F71090"/>
    <w:rsid w:val="00F71A4B"/>
    <w:rsid w:val="00F74EE3"/>
    <w:rsid w:val="00F7570D"/>
    <w:rsid w:val="00F76023"/>
    <w:rsid w:val="00F76051"/>
    <w:rsid w:val="00F82E9B"/>
    <w:rsid w:val="00F834D5"/>
    <w:rsid w:val="00F83876"/>
    <w:rsid w:val="00F85ADC"/>
    <w:rsid w:val="00F86951"/>
    <w:rsid w:val="00F86EC6"/>
    <w:rsid w:val="00F954EE"/>
    <w:rsid w:val="00F97F14"/>
    <w:rsid w:val="00FA0EC6"/>
    <w:rsid w:val="00FA2B8D"/>
    <w:rsid w:val="00FA4C51"/>
    <w:rsid w:val="00FB50A3"/>
    <w:rsid w:val="00FC0ACB"/>
    <w:rsid w:val="00FC259F"/>
    <w:rsid w:val="00FC41C0"/>
    <w:rsid w:val="00FC4CDF"/>
    <w:rsid w:val="00FC61DC"/>
    <w:rsid w:val="00FC6F10"/>
    <w:rsid w:val="00FC7231"/>
    <w:rsid w:val="00FC7747"/>
    <w:rsid w:val="00FD1363"/>
    <w:rsid w:val="00FD1D08"/>
    <w:rsid w:val="00FD1F71"/>
    <w:rsid w:val="00FD2CFD"/>
    <w:rsid w:val="00FD40CA"/>
    <w:rsid w:val="00FD4521"/>
    <w:rsid w:val="00FD59CA"/>
    <w:rsid w:val="00FD6442"/>
    <w:rsid w:val="00FE1018"/>
    <w:rsid w:val="00FE229C"/>
    <w:rsid w:val="00FE27A2"/>
    <w:rsid w:val="00FE3137"/>
    <w:rsid w:val="00FE4F76"/>
    <w:rsid w:val="00FE5221"/>
    <w:rsid w:val="00FE5B9C"/>
    <w:rsid w:val="00FF00E1"/>
    <w:rsid w:val="00FF05D6"/>
    <w:rsid w:val="00FF111F"/>
    <w:rsid w:val="00FF2B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1700C"/>
    <w:pPr>
      <w:keepNext/>
      <w:numPr>
        <w:numId w:val="25"/>
      </w:numPr>
      <w:tabs>
        <w:tab w:val="left" w:pos="-720"/>
      </w:tabs>
      <w:suppressAutoHyphens/>
      <w:spacing w:after="0" w:line="240" w:lineRule="auto"/>
      <w:jc w:val="both"/>
      <w:outlineLvl w:val="0"/>
    </w:pPr>
    <w:rPr>
      <w:rFonts w:ascii="Times New Roman" w:eastAsia="Times New Roman" w:hAnsi="Times New Roman" w:cs="Times New Roman"/>
      <w:b/>
      <w:spacing w:val="-3"/>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EC6"/>
    <w:pPr>
      <w:ind w:left="720"/>
      <w:contextualSpacing/>
    </w:pPr>
  </w:style>
  <w:style w:type="character" w:styleId="Hyperlink">
    <w:name w:val="Hyperlink"/>
    <w:basedOn w:val="DefaultParagraphFont"/>
    <w:uiPriority w:val="99"/>
    <w:unhideWhenUsed/>
    <w:rsid w:val="00161023"/>
    <w:rPr>
      <w:color w:val="0000FF"/>
      <w:u w:val="single"/>
    </w:rPr>
  </w:style>
  <w:style w:type="paragraph" w:styleId="BalloonText">
    <w:name w:val="Balloon Text"/>
    <w:basedOn w:val="Normal"/>
    <w:link w:val="BalloonTextChar"/>
    <w:uiPriority w:val="99"/>
    <w:semiHidden/>
    <w:unhideWhenUsed/>
    <w:rsid w:val="003640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064"/>
    <w:rPr>
      <w:rFonts w:ascii="Segoe UI" w:hAnsi="Segoe UI" w:cs="Segoe UI"/>
      <w:sz w:val="18"/>
      <w:szCs w:val="18"/>
    </w:rPr>
  </w:style>
  <w:style w:type="paragraph" w:styleId="EndnoteText">
    <w:name w:val="endnote text"/>
    <w:basedOn w:val="Normal"/>
    <w:link w:val="EndnoteTextChar"/>
    <w:uiPriority w:val="99"/>
    <w:semiHidden/>
    <w:unhideWhenUsed/>
    <w:rsid w:val="00B25D6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5D6D"/>
    <w:rPr>
      <w:sz w:val="20"/>
      <w:szCs w:val="20"/>
    </w:rPr>
  </w:style>
  <w:style w:type="character" w:styleId="EndnoteReference">
    <w:name w:val="endnote reference"/>
    <w:basedOn w:val="DefaultParagraphFont"/>
    <w:uiPriority w:val="99"/>
    <w:semiHidden/>
    <w:unhideWhenUsed/>
    <w:rsid w:val="00B25D6D"/>
    <w:rPr>
      <w:vertAlign w:val="superscript"/>
    </w:rPr>
  </w:style>
  <w:style w:type="paragraph" w:styleId="FootnoteText">
    <w:name w:val="footnote text"/>
    <w:basedOn w:val="Normal"/>
    <w:link w:val="FootnoteTextChar"/>
    <w:uiPriority w:val="99"/>
    <w:unhideWhenUsed/>
    <w:rsid w:val="00B25D6D"/>
    <w:pPr>
      <w:spacing w:after="0" w:line="240" w:lineRule="auto"/>
    </w:pPr>
    <w:rPr>
      <w:sz w:val="20"/>
      <w:szCs w:val="20"/>
    </w:rPr>
  </w:style>
  <w:style w:type="character" w:customStyle="1" w:styleId="FootnoteTextChar">
    <w:name w:val="Footnote Text Char"/>
    <w:basedOn w:val="DefaultParagraphFont"/>
    <w:link w:val="FootnoteText"/>
    <w:uiPriority w:val="99"/>
    <w:rsid w:val="00B25D6D"/>
    <w:rPr>
      <w:sz w:val="20"/>
      <w:szCs w:val="20"/>
    </w:rPr>
  </w:style>
  <w:style w:type="character" w:styleId="FootnoteReference">
    <w:name w:val="footnote reference"/>
    <w:basedOn w:val="DefaultParagraphFont"/>
    <w:uiPriority w:val="99"/>
    <w:semiHidden/>
    <w:unhideWhenUsed/>
    <w:rsid w:val="00B25D6D"/>
    <w:rPr>
      <w:vertAlign w:val="superscript"/>
    </w:rPr>
  </w:style>
  <w:style w:type="character" w:customStyle="1" w:styleId="apple-converted-space">
    <w:name w:val="apple-converted-space"/>
    <w:basedOn w:val="DefaultParagraphFont"/>
    <w:rsid w:val="00B36DDB"/>
  </w:style>
  <w:style w:type="paragraph" w:styleId="Header">
    <w:name w:val="header"/>
    <w:basedOn w:val="Normal"/>
    <w:link w:val="HeaderChar"/>
    <w:uiPriority w:val="99"/>
    <w:unhideWhenUsed/>
    <w:rsid w:val="000E26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62C"/>
  </w:style>
  <w:style w:type="paragraph" w:styleId="Footer">
    <w:name w:val="footer"/>
    <w:basedOn w:val="Normal"/>
    <w:link w:val="FooterChar"/>
    <w:uiPriority w:val="99"/>
    <w:unhideWhenUsed/>
    <w:rsid w:val="000E26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62C"/>
  </w:style>
  <w:style w:type="character" w:styleId="CommentReference">
    <w:name w:val="annotation reference"/>
    <w:basedOn w:val="DefaultParagraphFont"/>
    <w:uiPriority w:val="99"/>
    <w:semiHidden/>
    <w:unhideWhenUsed/>
    <w:rsid w:val="005C21E4"/>
    <w:rPr>
      <w:sz w:val="16"/>
      <w:szCs w:val="16"/>
    </w:rPr>
  </w:style>
  <w:style w:type="paragraph" w:styleId="CommentText">
    <w:name w:val="annotation text"/>
    <w:basedOn w:val="Normal"/>
    <w:link w:val="CommentTextChar"/>
    <w:uiPriority w:val="99"/>
    <w:semiHidden/>
    <w:unhideWhenUsed/>
    <w:rsid w:val="005C21E4"/>
    <w:pPr>
      <w:spacing w:line="240" w:lineRule="auto"/>
    </w:pPr>
    <w:rPr>
      <w:sz w:val="20"/>
      <w:szCs w:val="20"/>
    </w:rPr>
  </w:style>
  <w:style w:type="character" w:customStyle="1" w:styleId="CommentTextChar">
    <w:name w:val="Comment Text Char"/>
    <w:basedOn w:val="DefaultParagraphFont"/>
    <w:link w:val="CommentText"/>
    <w:uiPriority w:val="99"/>
    <w:semiHidden/>
    <w:rsid w:val="005C21E4"/>
    <w:rPr>
      <w:sz w:val="20"/>
      <w:szCs w:val="20"/>
    </w:rPr>
  </w:style>
  <w:style w:type="paragraph" w:styleId="CommentSubject">
    <w:name w:val="annotation subject"/>
    <w:basedOn w:val="CommentText"/>
    <w:next w:val="CommentText"/>
    <w:link w:val="CommentSubjectChar"/>
    <w:uiPriority w:val="99"/>
    <w:semiHidden/>
    <w:unhideWhenUsed/>
    <w:rsid w:val="005C21E4"/>
    <w:rPr>
      <w:b/>
      <w:bCs/>
    </w:rPr>
  </w:style>
  <w:style w:type="character" w:customStyle="1" w:styleId="CommentSubjectChar">
    <w:name w:val="Comment Subject Char"/>
    <w:basedOn w:val="CommentTextChar"/>
    <w:link w:val="CommentSubject"/>
    <w:uiPriority w:val="99"/>
    <w:semiHidden/>
    <w:rsid w:val="005C21E4"/>
    <w:rPr>
      <w:b/>
      <w:bCs/>
      <w:sz w:val="20"/>
      <w:szCs w:val="20"/>
    </w:rPr>
  </w:style>
  <w:style w:type="paragraph" w:styleId="NormalWeb">
    <w:name w:val="Normal (Web)"/>
    <w:basedOn w:val="Normal"/>
    <w:uiPriority w:val="99"/>
    <w:semiHidden/>
    <w:unhideWhenUsed/>
    <w:rsid w:val="002821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F1D41"/>
    <w:rPr>
      <w:color w:val="800080" w:themeColor="followedHyperlink"/>
      <w:u w:val="single"/>
    </w:rPr>
  </w:style>
  <w:style w:type="character" w:customStyle="1" w:styleId="Heading1Char">
    <w:name w:val="Heading 1 Char"/>
    <w:basedOn w:val="DefaultParagraphFont"/>
    <w:link w:val="Heading1"/>
    <w:rsid w:val="0091700C"/>
    <w:rPr>
      <w:rFonts w:ascii="Times New Roman" w:eastAsia="Times New Roman" w:hAnsi="Times New Roman" w:cs="Times New Roman"/>
      <w:b/>
      <w:spacing w:val="-3"/>
      <w:sz w:val="24"/>
      <w:szCs w:val="20"/>
      <w:lang w:eastAsia="en-GB"/>
    </w:rPr>
  </w:style>
  <w:style w:type="character" w:styleId="Emphasis">
    <w:name w:val="Emphasis"/>
    <w:basedOn w:val="DefaultParagraphFont"/>
    <w:uiPriority w:val="20"/>
    <w:qFormat/>
    <w:rsid w:val="006B71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1700C"/>
    <w:pPr>
      <w:keepNext/>
      <w:numPr>
        <w:numId w:val="25"/>
      </w:numPr>
      <w:tabs>
        <w:tab w:val="left" w:pos="-720"/>
      </w:tabs>
      <w:suppressAutoHyphens/>
      <w:spacing w:after="0" w:line="240" w:lineRule="auto"/>
      <w:jc w:val="both"/>
      <w:outlineLvl w:val="0"/>
    </w:pPr>
    <w:rPr>
      <w:rFonts w:ascii="Times New Roman" w:eastAsia="Times New Roman" w:hAnsi="Times New Roman" w:cs="Times New Roman"/>
      <w:b/>
      <w:spacing w:val="-3"/>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EC6"/>
    <w:pPr>
      <w:ind w:left="720"/>
      <w:contextualSpacing/>
    </w:pPr>
  </w:style>
  <w:style w:type="character" w:styleId="Hyperlink">
    <w:name w:val="Hyperlink"/>
    <w:basedOn w:val="DefaultParagraphFont"/>
    <w:uiPriority w:val="99"/>
    <w:unhideWhenUsed/>
    <w:rsid w:val="00161023"/>
    <w:rPr>
      <w:color w:val="0000FF"/>
      <w:u w:val="single"/>
    </w:rPr>
  </w:style>
  <w:style w:type="paragraph" w:styleId="BalloonText">
    <w:name w:val="Balloon Text"/>
    <w:basedOn w:val="Normal"/>
    <w:link w:val="BalloonTextChar"/>
    <w:uiPriority w:val="99"/>
    <w:semiHidden/>
    <w:unhideWhenUsed/>
    <w:rsid w:val="003640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064"/>
    <w:rPr>
      <w:rFonts w:ascii="Segoe UI" w:hAnsi="Segoe UI" w:cs="Segoe UI"/>
      <w:sz w:val="18"/>
      <w:szCs w:val="18"/>
    </w:rPr>
  </w:style>
  <w:style w:type="paragraph" w:styleId="EndnoteText">
    <w:name w:val="endnote text"/>
    <w:basedOn w:val="Normal"/>
    <w:link w:val="EndnoteTextChar"/>
    <w:uiPriority w:val="99"/>
    <w:semiHidden/>
    <w:unhideWhenUsed/>
    <w:rsid w:val="00B25D6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5D6D"/>
    <w:rPr>
      <w:sz w:val="20"/>
      <w:szCs w:val="20"/>
    </w:rPr>
  </w:style>
  <w:style w:type="character" w:styleId="EndnoteReference">
    <w:name w:val="endnote reference"/>
    <w:basedOn w:val="DefaultParagraphFont"/>
    <w:uiPriority w:val="99"/>
    <w:semiHidden/>
    <w:unhideWhenUsed/>
    <w:rsid w:val="00B25D6D"/>
    <w:rPr>
      <w:vertAlign w:val="superscript"/>
    </w:rPr>
  </w:style>
  <w:style w:type="paragraph" w:styleId="FootnoteText">
    <w:name w:val="footnote text"/>
    <w:basedOn w:val="Normal"/>
    <w:link w:val="FootnoteTextChar"/>
    <w:uiPriority w:val="99"/>
    <w:unhideWhenUsed/>
    <w:rsid w:val="00B25D6D"/>
    <w:pPr>
      <w:spacing w:after="0" w:line="240" w:lineRule="auto"/>
    </w:pPr>
    <w:rPr>
      <w:sz w:val="20"/>
      <w:szCs w:val="20"/>
    </w:rPr>
  </w:style>
  <w:style w:type="character" w:customStyle="1" w:styleId="FootnoteTextChar">
    <w:name w:val="Footnote Text Char"/>
    <w:basedOn w:val="DefaultParagraphFont"/>
    <w:link w:val="FootnoteText"/>
    <w:uiPriority w:val="99"/>
    <w:rsid w:val="00B25D6D"/>
    <w:rPr>
      <w:sz w:val="20"/>
      <w:szCs w:val="20"/>
    </w:rPr>
  </w:style>
  <w:style w:type="character" w:styleId="FootnoteReference">
    <w:name w:val="footnote reference"/>
    <w:basedOn w:val="DefaultParagraphFont"/>
    <w:uiPriority w:val="99"/>
    <w:semiHidden/>
    <w:unhideWhenUsed/>
    <w:rsid w:val="00B25D6D"/>
    <w:rPr>
      <w:vertAlign w:val="superscript"/>
    </w:rPr>
  </w:style>
  <w:style w:type="character" w:customStyle="1" w:styleId="apple-converted-space">
    <w:name w:val="apple-converted-space"/>
    <w:basedOn w:val="DefaultParagraphFont"/>
    <w:rsid w:val="00B36DDB"/>
  </w:style>
  <w:style w:type="paragraph" w:styleId="Header">
    <w:name w:val="header"/>
    <w:basedOn w:val="Normal"/>
    <w:link w:val="HeaderChar"/>
    <w:uiPriority w:val="99"/>
    <w:unhideWhenUsed/>
    <w:rsid w:val="000E26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62C"/>
  </w:style>
  <w:style w:type="paragraph" w:styleId="Footer">
    <w:name w:val="footer"/>
    <w:basedOn w:val="Normal"/>
    <w:link w:val="FooterChar"/>
    <w:uiPriority w:val="99"/>
    <w:unhideWhenUsed/>
    <w:rsid w:val="000E26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62C"/>
  </w:style>
  <w:style w:type="character" w:styleId="CommentReference">
    <w:name w:val="annotation reference"/>
    <w:basedOn w:val="DefaultParagraphFont"/>
    <w:uiPriority w:val="99"/>
    <w:semiHidden/>
    <w:unhideWhenUsed/>
    <w:rsid w:val="005C21E4"/>
    <w:rPr>
      <w:sz w:val="16"/>
      <w:szCs w:val="16"/>
    </w:rPr>
  </w:style>
  <w:style w:type="paragraph" w:styleId="CommentText">
    <w:name w:val="annotation text"/>
    <w:basedOn w:val="Normal"/>
    <w:link w:val="CommentTextChar"/>
    <w:uiPriority w:val="99"/>
    <w:semiHidden/>
    <w:unhideWhenUsed/>
    <w:rsid w:val="005C21E4"/>
    <w:pPr>
      <w:spacing w:line="240" w:lineRule="auto"/>
    </w:pPr>
    <w:rPr>
      <w:sz w:val="20"/>
      <w:szCs w:val="20"/>
    </w:rPr>
  </w:style>
  <w:style w:type="character" w:customStyle="1" w:styleId="CommentTextChar">
    <w:name w:val="Comment Text Char"/>
    <w:basedOn w:val="DefaultParagraphFont"/>
    <w:link w:val="CommentText"/>
    <w:uiPriority w:val="99"/>
    <w:semiHidden/>
    <w:rsid w:val="005C21E4"/>
    <w:rPr>
      <w:sz w:val="20"/>
      <w:szCs w:val="20"/>
    </w:rPr>
  </w:style>
  <w:style w:type="paragraph" w:styleId="CommentSubject">
    <w:name w:val="annotation subject"/>
    <w:basedOn w:val="CommentText"/>
    <w:next w:val="CommentText"/>
    <w:link w:val="CommentSubjectChar"/>
    <w:uiPriority w:val="99"/>
    <w:semiHidden/>
    <w:unhideWhenUsed/>
    <w:rsid w:val="005C21E4"/>
    <w:rPr>
      <w:b/>
      <w:bCs/>
    </w:rPr>
  </w:style>
  <w:style w:type="character" w:customStyle="1" w:styleId="CommentSubjectChar">
    <w:name w:val="Comment Subject Char"/>
    <w:basedOn w:val="CommentTextChar"/>
    <w:link w:val="CommentSubject"/>
    <w:uiPriority w:val="99"/>
    <w:semiHidden/>
    <w:rsid w:val="005C21E4"/>
    <w:rPr>
      <w:b/>
      <w:bCs/>
      <w:sz w:val="20"/>
      <w:szCs w:val="20"/>
    </w:rPr>
  </w:style>
  <w:style w:type="paragraph" w:styleId="NormalWeb">
    <w:name w:val="Normal (Web)"/>
    <w:basedOn w:val="Normal"/>
    <w:uiPriority w:val="99"/>
    <w:semiHidden/>
    <w:unhideWhenUsed/>
    <w:rsid w:val="002821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F1D41"/>
    <w:rPr>
      <w:color w:val="800080" w:themeColor="followedHyperlink"/>
      <w:u w:val="single"/>
    </w:rPr>
  </w:style>
  <w:style w:type="character" w:customStyle="1" w:styleId="Heading1Char">
    <w:name w:val="Heading 1 Char"/>
    <w:basedOn w:val="DefaultParagraphFont"/>
    <w:link w:val="Heading1"/>
    <w:rsid w:val="0091700C"/>
    <w:rPr>
      <w:rFonts w:ascii="Times New Roman" w:eastAsia="Times New Roman" w:hAnsi="Times New Roman" w:cs="Times New Roman"/>
      <w:b/>
      <w:spacing w:val="-3"/>
      <w:sz w:val="24"/>
      <w:szCs w:val="20"/>
      <w:lang w:eastAsia="en-GB"/>
    </w:rPr>
  </w:style>
  <w:style w:type="character" w:styleId="Emphasis">
    <w:name w:val="Emphasis"/>
    <w:basedOn w:val="DefaultParagraphFont"/>
    <w:uiPriority w:val="20"/>
    <w:qFormat/>
    <w:rsid w:val="006B71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66895">
      <w:bodyDiv w:val="1"/>
      <w:marLeft w:val="0"/>
      <w:marRight w:val="0"/>
      <w:marTop w:val="0"/>
      <w:marBottom w:val="0"/>
      <w:divBdr>
        <w:top w:val="none" w:sz="0" w:space="0" w:color="auto"/>
        <w:left w:val="none" w:sz="0" w:space="0" w:color="auto"/>
        <w:bottom w:val="none" w:sz="0" w:space="0" w:color="auto"/>
        <w:right w:val="none" w:sz="0" w:space="0" w:color="auto"/>
      </w:divBdr>
      <w:divsChild>
        <w:div w:id="1764523524">
          <w:marLeft w:val="0"/>
          <w:marRight w:val="0"/>
          <w:marTop w:val="0"/>
          <w:marBottom w:val="0"/>
          <w:divBdr>
            <w:top w:val="none" w:sz="0" w:space="0" w:color="auto"/>
            <w:left w:val="none" w:sz="0" w:space="0" w:color="auto"/>
            <w:bottom w:val="none" w:sz="0" w:space="0" w:color="auto"/>
            <w:right w:val="none" w:sz="0" w:space="0" w:color="auto"/>
          </w:divBdr>
          <w:divsChild>
            <w:div w:id="1795128275">
              <w:marLeft w:val="0"/>
              <w:marRight w:val="0"/>
              <w:marTop w:val="0"/>
              <w:marBottom w:val="0"/>
              <w:divBdr>
                <w:top w:val="none" w:sz="0" w:space="0" w:color="auto"/>
                <w:left w:val="none" w:sz="0" w:space="0" w:color="auto"/>
                <w:bottom w:val="none" w:sz="0" w:space="0" w:color="auto"/>
                <w:right w:val="none" w:sz="0" w:space="0" w:color="auto"/>
              </w:divBdr>
              <w:divsChild>
                <w:div w:id="62111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9165">
      <w:bodyDiv w:val="1"/>
      <w:marLeft w:val="0"/>
      <w:marRight w:val="0"/>
      <w:marTop w:val="0"/>
      <w:marBottom w:val="0"/>
      <w:divBdr>
        <w:top w:val="none" w:sz="0" w:space="0" w:color="auto"/>
        <w:left w:val="none" w:sz="0" w:space="0" w:color="auto"/>
        <w:bottom w:val="none" w:sz="0" w:space="0" w:color="auto"/>
        <w:right w:val="none" w:sz="0" w:space="0" w:color="auto"/>
      </w:divBdr>
    </w:div>
    <w:div w:id="314724733">
      <w:bodyDiv w:val="1"/>
      <w:marLeft w:val="0"/>
      <w:marRight w:val="0"/>
      <w:marTop w:val="0"/>
      <w:marBottom w:val="0"/>
      <w:divBdr>
        <w:top w:val="none" w:sz="0" w:space="0" w:color="auto"/>
        <w:left w:val="none" w:sz="0" w:space="0" w:color="auto"/>
        <w:bottom w:val="none" w:sz="0" w:space="0" w:color="auto"/>
        <w:right w:val="none" w:sz="0" w:space="0" w:color="auto"/>
      </w:divBdr>
    </w:div>
    <w:div w:id="620964069">
      <w:bodyDiv w:val="1"/>
      <w:marLeft w:val="0"/>
      <w:marRight w:val="0"/>
      <w:marTop w:val="0"/>
      <w:marBottom w:val="0"/>
      <w:divBdr>
        <w:top w:val="none" w:sz="0" w:space="0" w:color="auto"/>
        <w:left w:val="none" w:sz="0" w:space="0" w:color="auto"/>
        <w:bottom w:val="none" w:sz="0" w:space="0" w:color="auto"/>
        <w:right w:val="none" w:sz="0" w:space="0" w:color="auto"/>
      </w:divBdr>
      <w:divsChild>
        <w:div w:id="1083835444">
          <w:marLeft w:val="0"/>
          <w:marRight w:val="0"/>
          <w:marTop w:val="0"/>
          <w:marBottom w:val="0"/>
          <w:divBdr>
            <w:top w:val="none" w:sz="0" w:space="0" w:color="auto"/>
            <w:left w:val="none" w:sz="0" w:space="0" w:color="auto"/>
            <w:bottom w:val="none" w:sz="0" w:space="0" w:color="auto"/>
            <w:right w:val="none" w:sz="0" w:space="0" w:color="auto"/>
          </w:divBdr>
        </w:div>
        <w:div w:id="1011295115">
          <w:marLeft w:val="0"/>
          <w:marRight w:val="0"/>
          <w:marTop w:val="0"/>
          <w:marBottom w:val="0"/>
          <w:divBdr>
            <w:top w:val="none" w:sz="0" w:space="0" w:color="auto"/>
            <w:left w:val="none" w:sz="0" w:space="0" w:color="auto"/>
            <w:bottom w:val="none" w:sz="0" w:space="0" w:color="auto"/>
            <w:right w:val="none" w:sz="0" w:space="0" w:color="auto"/>
          </w:divBdr>
        </w:div>
      </w:divsChild>
    </w:div>
    <w:div w:id="673997755">
      <w:bodyDiv w:val="1"/>
      <w:marLeft w:val="0"/>
      <w:marRight w:val="0"/>
      <w:marTop w:val="0"/>
      <w:marBottom w:val="0"/>
      <w:divBdr>
        <w:top w:val="none" w:sz="0" w:space="0" w:color="auto"/>
        <w:left w:val="none" w:sz="0" w:space="0" w:color="auto"/>
        <w:bottom w:val="none" w:sz="0" w:space="0" w:color="auto"/>
        <w:right w:val="none" w:sz="0" w:space="0" w:color="auto"/>
      </w:divBdr>
      <w:divsChild>
        <w:div w:id="811362393">
          <w:marLeft w:val="720"/>
          <w:marRight w:val="0"/>
          <w:marTop w:val="0"/>
          <w:marBottom w:val="0"/>
          <w:divBdr>
            <w:top w:val="none" w:sz="0" w:space="0" w:color="auto"/>
            <w:left w:val="none" w:sz="0" w:space="0" w:color="auto"/>
            <w:bottom w:val="none" w:sz="0" w:space="0" w:color="auto"/>
            <w:right w:val="none" w:sz="0" w:space="0" w:color="auto"/>
          </w:divBdr>
        </w:div>
        <w:div w:id="1063485016">
          <w:marLeft w:val="720"/>
          <w:marRight w:val="0"/>
          <w:marTop w:val="0"/>
          <w:marBottom w:val="0"/>
          <w:divBdr>
            <w:top w:val="none" w:sz="0" w:space="0" w:color="auto"/>
            <w:left w:val="none" w:sz="0" w:space="0" w:color="auto"/>
            <w:bottom w:val="none" w:sz="0" w:space="0" w:color="auto"/>
            <w:right w:val="none" w:sz="0" w:space="0" w:color="auto"/>
          </w:divBdr>
        </w:div>
      </w:divsChild>
    </w:div>
    <w:div w:id="1618026071">
      <w:bodyDiv w:val="1"/>
      <w:marLeft w:val="0"/>
      <w:marRight w:val="0"/>
      <w:marTop w:val="0"/>
      <w:marBottom w:val="0"/>
      <w:divBdr>
        <w:top w:val="none" w:sz="0" w:space="0" w:color="auto"/>
        <w:left w:val="none" w:sz="0" w:space="0" w:color="auto"/>
        <w:bottom w:val="none" w:sz="0" w:space="0" w:color="auto"/>
        <w:right w:val="none" w:sz="0" w:space="0" w:color="auto"/>
      </w:divBdr>
      <w:divsChild>
        <w:div w:id="284309102">
          <w:marLeft w:val="0"/>
          <w:marRight w:val="0"/>
          <w:marTop w:val="0"/>
          <w:marBottom w:val="0"/>
          <w:divBdr>
            <w:top w:val="none" w:sz="0" w:space="0" w:color="auto"/>
            <w:left w:val="none" w:sz="0" w:space="0" w:color="auto"/>
            <w:bottom w:val="none" w:sz="0" w:space="0" w:color="auto"/>
            <w:right w:val="none" w:sz="0" w:space="0" w:color="auto"/>
          </w:divBdr>
        </w:div>
        <w:div w:id="645545472">
          <w:marLeft w:val="0"/>
          <w:marRight w:val="0"/>
          <w:marTop w:val="0"/>
          <w:marBottom w:val="0"/>
          <w:divBdr>
            <w:top w:val="none" w:sz="0" w:space="0" w:color="auto"/>
            <w:left w:val="none" w:sz="0" w:space="0" w:color="auto"/>
            <w:bottom w:val="none" w:sz="0" w:space="0" w:color="auto"/>
            <w:right w:val="none" w:sz="0" w:space="0" w:color="auto"/>
          </w:divBdr>
        </w:div>
        <w:div w:id="1005666677">
          <w:marLeft w:val="0"/>
          <w:marRight w:val="0"/>
          <w:marTop w:val="0"/>
          <w:marBottom w:val="0"/>
          <w:divBdr>
            <w:top w:val="none" w:sz="0" w:space="0" w:color="auto"/>
            <w:left w:val="none" w:sz="0" w:space="0" w:color="auto"/>
            <w:bottom w:val="none" w:sz="0" w:space="0" w:color="auto"/>
            <w:right w:val="none" w:sz="0" w:space="0" w:color="auto"/>
          </w:divBdr>
        </w:div>
        <w:div w:id="1024403020">
          <w:marLeft w:val="0"/>
          <w:marRight w:val="0"/>
          <w:marTop w:val="0"/>
          <w:marBottom w:val="0"/>
          <w:divBdr>
            <w:top w:val="none" w:sz="0" w:space="0" w:color="auto"/>
            <w:left w:val="none" w:sz="0" w:space="0" w:color="auto"/>
            <w:bottom w:val="none" w:sz="0" w:space="0" w:color="auto"/>
            <w:right w:val="none" w:sz="0" w:space="0" w:color="auto"/>
          </w:divBdr>
        </w:div>
        <w:div w:id="1246301284">
          <w:marLeft w:val="0"/>
          <w:marRight w:val="0"/>
          <w:marTop w:val="0"/>
          <w:marBottom w:val="0"/>
          <w:divBdr>
            <w:top w:val="none" w:sz="0" w:space="0" w:color="auto"/>
            <w:left w:val="none" w:sz="0" w:space="0" w:color="auto"/>
            <w:bottom w:val="none" w:sz="0" w:space="0" w:color="auto"/>
            <w:right w:val="none" w:sz="0" w:space="0" w:color="auto"/>
          </w:divBdr>
        </w:div>
      </w:divsChild>
    </w:div>
    <w:div w:id="1679653609">
      <w:bodyDiv w:val="1"/>
      <w:marLeft w:val="0"/>
      <w:marRight w:val="0"/>
      <w:marTop w:val="0"/>
      <w:marBottom w:val="0"/>
      <w:divBdr>
        <w:top w:val="none" w:sz="0" w:space="0" w:color="auto"/>
        <w:left w:val="none" w:sz="0" w:space="0" w:color="auto"/>
        <w:bottom w:val="none" w:sz="0" w:space="0" w:color="auto"/>
        <w:right w:val="none" w:sz="0" w:space="0" w:color="auto"/>
      </w:divBdr>
    </w:div>
    <w:div w:id="1817724552">
      <w:bodyDiv w:val="1"/>
      <w:marLeft w:val="0"/>
      <w:marRight w:val="0"/>
      <w:marTop w:val="0"/>
      <w:marBottom w:val="0"/>
      <w:divBdr>
        <w:top w:val="none" w:sz="0" w:space="0" w:color="auto"/>
        <w:left w:val="none" w:sz="0" w:space="0" w:color="auto"/>
        <w:bottom w:val="none" w:sz="0" w:space="0" w:color="auto"/>
        <w:right w:val="none" w:sz="0" w:space="0" w:color="auto"/>
      </w:divBdr>
      <w:divsChild>
        <w:div w:id="665549279">
          <w:marLeft w:val="0"/>
          <w:marRight w:val="0"/>
          <w:marTop w:val="0"/>
          <w:marBottom w:val="0"/>
          <w:divBdr>
            <w:top w:val="none" w:sz="0" w:space="0" w:color="auto"/>
            <w:left w:val="none" w:sz="0" w:space="0" w:color="auto"/>
            <w:bottom w:val="none" w:sz="0" w:space="0" w:color="auto"/>
            <w:right w:val="none" w:sz="0" w:space="0" w:color="auto"/>
          </w:divBdr>
        </w:div>
        <w:div w:id="793716134">
          <w:marLeft w:val="0"/>
          <w:marRight w:val="0"/>
          <w:marTop w:val="0"/>
          <w:marBottom w:val="0"/>
          <w:divBdr>
            <w:top w:val="none" w:sz="0" w:space="0" w:color="auto"/>
            <w:left w:val="none" w:sz="0" w:space="0" w:color="auto"/>
            <w:bottom w:val="none" w:sz="0" w:space="0" w:color="auto"/>
            <w:right w:val="none" w:sz="0" w:space="0" w:color="auto"/>
          </w:divBdr>
        </w:div>
        <w:div w:id="1217548100">
          <w:marLeft w:val="0"/>
          <w:marRight w:val="0"/>
          <w:marTop w:val="0"/>
          <w:marBottom w:val="0"/>
          <w:divBdr>
            <w:top w:val="none" w:sz="0" w:space="0" w:color="auto"/>
            <w:left w:val="none" w:sz="0" w:space="0" w:color="auto"/>
            <w:bottom w:val="none" w:sz="0" w:space="0" w:color="auto"/>
            <w:right w:val="none" w:sz="0" w:space="0" w:color="auto"/>
          </w:divBdr>
        </w:div>
        <w:div w:id="2093551995">
          <w:marLeft w:val="0"/>
          <w:marRight w:val="0"/>
          <w:marTop w:val="0"/>
          <w:marBottom w:val="0"/>
          <w:divBdr>
            <w:top w:val="none" w:sz="0" w:space="0" w:color="auto"/>
            <w:left w:val="none" w:sz="0" w:space="0" w:color="auto"/>
            <w:bottom w:val="none" w:sz="0" w:space="0" w:color="auto"/>
            <w:right w:val="none" w:sz="0" w:space="0" w:color="auto"/>
          </w:divBdr>
        </w:div>
        <w:div w:id="2141729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croucher@mdx.ac.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nuvimal@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gregorgall@outlook.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ark@waikato.ac.nz"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ssrn.com/abstract=2732662" TargetMode="External"/><Relationship Id="rId1" Type="http://schemas.openxmlformats.org/officeDocument/2006/relationships/hyperlink" Target="https://scholar.harvard.edu/freeman/publications/young-workers-and-trade-un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8F9B0-A5CC-4D52-B741-267F795CD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9675</Words>
  <Characters>55149</Characters>
  <Application>Microsoft Office Word</Application>
  <DocSecurity>4</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University of Waikato</Company>
  <LinksUpToDate>false</LinksUpToDate>
  <CharactersWithSpaces>64695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Harcourt</dc:creator>
  <cp:lastModifiedBy>Mark Houssart</cp:lastModifiedBy>
  <cp:revision>2</cp:revision>
  <cp:lastPrinted>2018-01-31T01:50:00Z</cp:lastPrinted>
  <dcterms:created xsi:type="dcterms:W3CDTF">2018-03-27T14:01:00Z</dcterms:created>
  <dcterms:modified xsi:type="dcterms:W3CDTF">2018-03-27T14:01:00Z</dcterms:modified>
</cp:coreProperties>
</file>