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5C4" w:rsidRPr="006A73DD" w:rsidRDefault="00AB15C4" w:rsidP="0096219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ajorBidi" w:hAnsiTheme="majorBidi" w:cstheme="majorBidi"/>
          <w:b/>
          <w:szCs w:val="24"/>
        </w:rPr>
      </w:pPr>
      <w:bookmarkStart w:id="0" w:name="_GoBack"/>
      <w:bookmarkEnd w:id="0"/>
      <w:proofErr w:type="spellStart"/>
      <w:r w:rsidRPr="006A73DD">
        <w:rPr>
          <w:rFonts w:asciiTheme="majorBidi" w:hAnsiTheme="majorBidi" w:cstheme="majorBidi"/>
          <w:b/>
          <w:szCs w:val="24"/>
        </w:rPr>
        <w:t>Tripartism</w:t>
      </w:r>
      <w:proofErr w:type="spellEnd"/>
      <w:r w:rsidRPr="006A73DD">
        <w:rPr>
          <w:rFonts w:asciiTheme="majorBidi" w:hAnsiTheme="majorBidi" w:cstheme="majorBidi"/>
          <w:b/>
          <w:szCs w:val="24"/>
        </w:rPr>
        <w:t xml:space="preserve"> in Comparative and Historical Perspective  </w:t>
      </w:r>
    </w:p>
    <w:p w:rsidR="00AB15C4" w:rsidRPr="006A73DD" w:rsidRDefault="00AB15C4" w:rsidP="0096219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ajorBidi" w:hAnsiTheme="majorBidi" w:cstheme="majorBidi"/>
          <w:szCs w:val="24"/>
        </w:rPr>
      </w:pPr>
    </w:p>
    <w:p w:rsidR="00E228B5" w:rsidRPr="006A73DD" w:rsidRDefault="00E228B5" w:rsidP="00E228B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ajorBidi" w:hAnsiTheme="majorBidi" w:cstheme="majorBidi"/>
          <w:szCs w:val="24"/>
          <w:vertAlign w:val="superscript"/>
        </w:rPr>
      </w:pPr>
      <w:r w:rsidRPr="006A73DD">
        <w:rPr>
          <w:rFonts w:asciiTheme="majorBidi" w:hAnsiTheme="majorBidi" w:cstheme="majorBidi"/>
          <w:szCs w:val="24"/>
        </w:rPr>
        <w:t xml:space="preserve">Richard </w:t>
      </w:r>
      <w:proofErr w:type="spellStart"/>
      <w:r w:rsidRPr="006A73DD">
        <w:rPr>
          <w:rFonts w:asciiTheme="majorBidi" w:hAnsiTheme="majorBidi" w:cstheme="majorBidi"/>
          <w:szCs w:val="24"/>
        </w:rPr>
        <w:t>Croucher</w:t>
      </w:r>
      <w:r w:rsidRPr="006A73DD">
        <w:rPr>
          <w:rFonts w:asciiTheme="majorBidi" w:hAnsiTheme="majorBidi" w:cstheme="majorBidi"/>
          <w:szCs w:val="24"/>
          <w:vertAlign w:val="superscript"/>
        </w:rPr>
        <w:t>a</w:t>
      </w:r>
      <w:proofErr w:type="spellEnd"/>
      <w:r w:rsidRPr="006A73DD">
        <w:rPr>
          <w:rStyle w:val="FootnoteReference"/>
          <w:rFonts w:asciiTheme="majorBidi" w:hAnsiTheme="majorBidi" w:cstheme="majorBidi"/>
          <w:szCs w:val="24"/>
        </w:rPr>
        <w:footnoteReference w:customMarkFollows="1" w:id="1"/>
        <w:sym w:font="Symbol" w:char="F02A"/>
      </w:r>
      <w:r w:rsidRPr="006A73DD">
        <w:rPr>
          <w:rFonts w:asciiTheme="majorBidi" w:hAnsiTheme="majorBidi" w:cstheme="majorBidi"/>
          <w:szCs w:val="24"/>
        </w:rPr>
        <w:t xml:space="preserve"> and Geoffrey </w:t>
      </w:r>
      <w:proofErr w:type="spellStart"/>
      <w:r w:rsidRPr="006A73DD">
        <w:rPr>
          <w:rFonts w:asciiTheme="majorBidi" w:hAnsiTheme="majorBidi" w:cstheme="majorBidi"/>
          <w:szCs w:val="24"/>
        </w:rPr>
        <w:t>Wood</w:t>
      </w:r>
      <w:r w:rsidRPr="006A73DD">
        <w:rPr>
          <w:rFonts w:asciiTheme="majorBidi" w:hAnsiTheme="majorBidi" w:cstheme="majorBidi"/>
          <w:szCs w:val="24"/>
          <w:vertAlign w:val="superscript"/>
        </w:rPr>
        <w:t>b</w:t>
      </w:r>
      <w:proofErr w:type="spellEnd"/>
    </w:p>
    <w:p w:rsidR="00E228B5" w:rsidRPr="006A73DD" w:rsidRDefault="00E228B5" w:rsidP="00E228B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ajorBidi" w:hAnsiTheme="majorBidi" w:cstheme="majorBidi"/>
          <w:i/>
          <w:szCs w:val="24"/>
        </w:rPr>
      </w:pPr>
      <w:proofErr w:type="spellStart"/>
      <w:r w:rsidRPr="006A73DD">
        <w:rPr>
          <w:rFonts w:asciiTheme="majorBidi" w:hAnsiTheme="majorBidi" w:cstheme="majorBidi"/>
          <w:i/>
          <w:szCs w:val="24"/>
          <w:vertAlign w:val="superscript"/>
        </w:rPr>
        <w:t>a</w:t>
      </w:r>
      <w:r w:rsidRPr="006A73DD">
        <w:rPr>
          <w:rFonts w:asciiTheme="majorBidi" w:hAnsiTheme="majorBidi" w:cstheme="majorBidi"/>
          <w:i/>
          <w:szCs w:val="24"/>
        </w:rPr>
        <w:t>Middlesex</w:t>
      </w:r>
      <w:proofErr w:type="spellEnd"/>
      <w:r w:rsidRPr="006A73DD">
        <w:rPr>
          <w:rFonts w:asciiTheme="majorBidi" w:hAnsiTheme="majorBidi" w:cstheme="majorBidi"/>
          <w:i/>
          <w:szCs w:val="24"/>
        </w:rPr>
        <w:t xml:space="preserve"> University Business School, Middlesex University, London, United Kingdom; </w:t>
      </w:r>
      <w:proofErr w:type="spellStart"/>
      <w:r w:rsidR="006E02F4" w:rsidRPr="006A73DD">
        <w:rPr>
          <w:rFonts w:asciiTheme="majorBidi" w:hAnsiTheme="majorBidi" w:cstheme="majorBidi"/>
          <w:i/>
          <w:szCs w:val="24"/>
          <w:vertAlign w:val="superscript"/>
        </w:rPr>
        <w:t>b</w:t>
      </w:r>
      <w:r w:rsidR="006E02F4" w:rsidRPr="006A73DD">
        <w:rPr>
          <w:rFonts w:asciiTheme="majorBidi" w:hAnsiTheme="majorBidi" w:cstheme="majorBidi"/>
          <w:i/>
          <w:szCs w:val="24"/>
        </w:rPr>
        <w:t>Warwick</w:t>
      </w:r>
      <w:proofErr w:type="spellEnd"/>
      <w:r w:rsidR="006E02F4" w:rsidRPr="006A73DD">
        <w:rPr>
          <w:rFonts w:asciiTheme="majorBidi" w:hAnsiTheme="majorBidi" w:cstheme="majorBidi"/>
          <w:i/>
          <w:szCs w:val="24"/>
        </w:rPr>
        <w:t xml:space="preserve"> Business School, Coventry, United Kingdom</w:t>
      </w:r>
    </w:p>
    <w:p w:rsidR="00E228B5" w:rsidRDefault="00E228B5" w:rsidP="0096219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ajorBidi" w:hAnsiTheme="majorBidi" w:cstheme="majorBidi"/>
          <w:szCs w:val="24"/>
        </w:rPr>
      </w:pPr>
    </w:p>
    <w:p w:rsidR="0085711D" w:rsidRPr="006A73DD" w:rsidRDefault="0085711D" w:rsidP="0096219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ajorBidi" w:hAnsiTheme="majorBidi" w:cstheme="majorBidi"/>
          <w:szCs w:val="24"/>
        </w:rPr>
      </w:pPr>
      <w:r>
        <w:rPr>
          <w:rFonts w:asciiTheme="majorBidi" w:hAnsiTheme="majorBidi" w:cstheme="majorBidi"/>
          <w:szCs w:val="24"/>
        </w:rPr>
        <w:t xml:space="preserve">Keywords: </w:t>
      </w:r>
      <w:proofErr w:type="spellStart"/>
      <w:r>
        <w:rPr>
          <w:rFonts w:asciiTheme="majorBidi" w:hAnsiTheme="majorBidi" w:cstheme="majorBidi"/>
          <w:szCs w:val="24"/>
        </w:rPr>
        <w:t>Tripartism</w:t>
      </w:r>
      <w:proofErr w:type="spellEnd"/>
      <w:r>
        <w:rPr>
          <w:rFonts w:asciiTheme="majorBidi" w:hAnsiTheme="majorBidi" w:cstheme="majorBidi"/>
          <w:szCs w:val="24"/>
        </w:rPr>
        <w:t>; comparative;  transnational history.</w:t>
      </w:r>
    </w:p>
    <w:p w:rsidR="0085711D" w:rsidRDefault="0085711D" w:rsidP="0096219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ajorBidi" w:hAnsiTheme="majorBidi" w:cstheme="majorBidi"/>
          <w:szCs w:val="24"/>
        </w:rPr>
      </w:pPr>
    </w:p>
    <w:p w:rsidR="00AA3173" w:rsidRPr="006A73DD" w:rsidRDefault="00290551" w:rsidP="0096219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ajorBidi" w:hAnsiTheme="majorBidi" w:cstheme="majorBidi"/>
          <w:szCs w:val="24"/>
        </w:rPr>
      </w:pPr>
      <w:r w:rsidRPr="006A73DD">
        <w:rPr>
          <w:rFonts w:asciiTheme="majorBidi" w:hAnsiTheme="majorBidi" w:cstheme="majorBidi"/>
          <w:szCs w:val="24"/>
        </w:rPr>
        <w:t>This special issue explores</w:t>
      </w:r>
      <w:r w:rsidR="00B94F64" w:rsidRPr="006A73DD">
        <w:rPr>
          <w:rFonts w:asciiTheme="majorBidi" w:hAnsiTheme="majorBidi" w:cstheme="majorBidi"/>
          <w:szCs w:val="24"/>
        </w:rPr>
        <w:t xml:space="preserve"> </w:t>
      </w:r>
      <w:r w:rsidR="00AB15C4" w:rsidRPr="006A73DD">
        <w:rPr>
          <w:rFonts w:asciiTheme="majorBidi" w:hAnsiTheme="majorBidi" w:cstheme="majorBidi"/>
          <w:szCs w:val="24"/>
        </w:rPr>
        <w:t xml:space="preserve">changes in the nature of tripartite arrangements between firms, governments and organized </w:t>
      </w:r>
      <w:proofErr w:type="spellStart"/>
      <w:r w:rsidR="00AB15C4" w:rsidRPr="006A73DD">
        <w:rPr>
          <w:rFonts w:asciiTheme="majorBidi" w:hAnsiTheme="majorBidi" w:cstheme="majorBidi"/>
          <w:szCs w:val="24"/>
        </w:rPr>
        <w:t>labour</w:t>
      </w:r>
      <w:proofErr w:type="spellEnd"/>
      <w:r w:rsidR="003D0C7D" w:rsidRPr="006A73DD">
        <w:rPr>
          <w:rFonts w:asciiTheme="majorBidi" w:hAnsiTheme="majorBidi" w:cstheme="majorBidi"/>
          <w:szCs w:val="24"/>
        </w:rPr>
        <w:t xml:space="preserve"> across the last century</w:t>
      </w:r>
      <w:r w:rsidRPr="006A73DD">
        <w:rPr>
          <w:rFonts w:asciiTheme="majorBidi" w:hAnsiTheme="majorBidi" w:cstheme="majorBidi"/>
          <w:szCs w:val="24"/>
        </w:rPr>
        <w:t>,</w:t>
      </w:r>
      <w:r w:rsidR="00AA3173" w:rsidRPr="006A73DD">
        <w:rPr>
          <w:rFonts w:asciiTheme="majorBidi" w:hAnsiTheme="majorBidi" w:cstheme="majorBidi"/>
          <w:szCs w:val="24"/>
        </w:rPr>
        <w:t xml:space="preserve"> focusing on their</w:t>
      </w:r>
      <w:r w:rsidR="00D06991" w:rsidRPr="006A73DD">
        <w:rPr>
          <w:rFonts w:asciiTheme="majorBidi" w:hAnsiTheme="majorBidi" w:cstheme="majorBidi"/>
          <w:szCs w:val="24"/>
        </w:rPr>
        <w:t xml:space="preserve"> post-1945 heyday</w:t>
      </w:r>
      <w:r w:rsidR="00AB15C4" w:rsidRPr="006A73DD">
        <w:rPr>
          <w:rFonts w:asciiTheme="majorBidi" w:hAnsiTheme="majorBidi" w:cstheme="majorBidi"/>
          <w:szCs w:val="24"/>
        </w:rPr>
        <w:t xml:space="preserve">. </w:t>
      </w:r>
      <w:r w:rsidR="00B94F64" w:rsidRPr="006A73DD">
        <w:rPr>
          <w:rFonts w:asciiTheme="majorBidi" w:hAnsiTheme="majorBidi" w:cstheme="majorBidi"/>
          <w:szCs w:val="24"/>
        </w:rPr>
        <w:t xml:space="preserve"> </w:t>
      </w:r>
      <w:r w:rsidR="00F20E01" w:rsidRPr="006A73DD">
        <w:rPr>
          <w:rFonts w:asciiTheme="majorBidi" w:hAnsiTheme="majorBidi" w:cstheme="majorBidi"/>
          <w:szCs w:val="24"/>
        </w:rPr>
        <w:t xml:space="preserve">Although </w:t>
      </w:r>
      <w:proofErr w:type="spellStart"/>
      <w:r w:rsidR="00F20E01" w:rsidRPr="006A73DD">
        <w:rPr>
          <w:rFonts w:asciiTheme="majorBidi" w:hAnsiTheme="majorBidi" w:cstheme="majorBidi"/>
          <w:szCs w:val="24"/>
        </w:rPr>
        <w:t>tripartism</w:t>
      </w:r>
      <w:proofErr w:type="spellEnd"/>
      <w:r w:rsidR="00F20E01" w:rsidRPr="006A73DD">
        <w:rPr>
          <w:rFonts w:asciiTheme="majorBidi" w:hAnsiTheme="majorBidi" w:cstheme="majorBidi"/>
          <w:szCs w:val="24"/>
        </w:rPr>
        <w:t xml:space="preserve"> </w:t>
      </w:r>
      <w:r w:rsidR="000E4C64" w:rsidRPr="006A73DD">
        <w:rPr>
          <w:rFonts w:asciiTheme="majorBidi" w:hAnsiTheme="majorBidi" w:cstheme="majorBidi"/>
          <w:szCs w:val="24"/>
        </w:rPr>
        <w:t>has its origins at</w:t>
      </w:r>
      <w:r w:rsidR="00204455" w:rsidRPr="006A73DD">
        <w:rPr>
          <w:rFonts w:asciiTheme="majorBidi" w:hAnsiTheme="majorBidi" w:cstheme="majorBidi"/>
          <w:szCs w:val="24"/>
        </w:rPr>
        <w:t xml:space="preserve"> </w:t>
      </w:r>
      <w:r w:rsidR="00F20E01" w:rsidRPr="006A73DD">
        <w:rPr>
          <w:rFonts w:asciiTheme="majorBidi" w:hAnsiTheme="majorBidi" w:cstheme="majorBidi"/>
          <w:szCs w:val="24"/>
        </w:rPr>
        <w:t>the turn of the Twentieth Centur</w:t>
      </w:r>
      <w:r w:rsidR="00204455" w:rsidRPr="006A73DD">
        <w:rPr>
          <w:rFonts w:asciiTheme="majorBidi" w:hAnsiTheme="majorBidi" w:cstheme="majorBidi"/>
          <w:szCs w:val="24"/>
        </w:rPr>
        <w:t>y</w:t>
      </w:r>
      <w:r w:rsidR="00F20E01" w:rsidRPr="006A73DD">
        <w:rPr>
          <w:rFonts w:asciiTheme="majorBidi" w:hAnsiTheme="majorBidi" w:cstheme="majorBidi"/>
          <w:szCs w:val="24"/>
        </w:rPr>
        <w:t xml:space="preserve">, the post-1945 </w:t>
      </w:r>
      <w:r w:rsidR="00204455" w:rsidRPr="006A73DD">
        <w:rPr>
          <w:rFonts w:asciiTheme="majorBidi" w:hAnsiTheme="majorBidi" w:cstheme="majorBidi"/>
          <w:szCs w:val="24"/>
        </w:rPr>
        <w:t>long boom</w:t>
      </w:r>
      <w:r w:rsidR="00F20E01" w:rsidRPr="006A73DD">
        <w:rPr>
          <w:rFonts w:asciiTheme="majorBidi" w:hAnsiTheme="majorBidi" w:cstheme="majorBidi"/>
          <w:szCs w:val="24"/>
        </w:rPr>
        <w:t xml:space="preserve"> represent</w:t>
      </w:r>
      <w:r w:rsidR="00204455" w:rsidRPr="006A73DD">
        <w:rPr>
          <w:rFonts w:asciiTheme="majorBidi" w:hAnsiTheme="majorBidi" w:cstheme="majorBidi"/>
          <w:szCs w:val="24"/>
        </w:rPr>
        <w:t>ed</w:t>
      </w:r>
      <w:r w:rsidR="00F20E01" w:rsidRPr="006A73DD">
        <w:rPr>
          <w:rFonts w:asciiTheme="majorBidi" w:hAnsiTheme="majorBidi" w:cstheme="majorBidi"/>
          <w:szCs w:val="24"/>
        </w:rPr>
        <w:t xml:space="preserve"> an historical high-water mark</w:t>
      </w:r>
      <w:r w:rsidR="00FF5620" w:rsidRPr="006A73DD">
        <w:rPr>
          <w:rFonts w:asciiTheme="majorBidi" w:hAnsiTheme="majorBidi" w:cstheme="majorBidi"/>
          <w:szCs w:val="24"/>
        </w:rPr>
        <w:t xml:space="preserve"> that may now be seen as quite distinct from our own</w:t>
      </w:r>
      <w:r w:rsidR="00AD1D0E" w:rsidRPr="006A73DD">
        <w:rPr>
          <w:rFonts w:asciiTheme="majorBidi" w:hAnsiTheme="majorBidi" w:cstheme="majorBidi"/>
          <w:szCs w:val="24"/>
        </w:rPr>
        <w:t xml:space="preserve"> </w:t>
      </w:r>
      <w:r w:rsidR="00B300AF" w:rsidRPr="006A73DD">
        <w:rPr>
          <w:rFonts w:asciiTheme="majorBidi" w:hAnsiTheme="majorBidi" w:cstheme="majorBidi"/>
          <w:szCs w:val="24"/>
        </w:rPr>
        <w:t xml:space="preserve">long </w:t>
      </w:r>
      <w:r w:rsidR="00AD1D0E" w:rsidRPr="006A73DD">
        <w:rPr>
          <w:rFonts w:asciiTheme="majorBidi" w:hAnsiTheme="majorBidi" w:cstheme="majorBidi"/>
          <w:szCs w:val="24"/>
        </w:rPr>
        <w:t>period</w:t>
      </w:r>
      <w:r w:rsidR="00B300AF" w:rsidRPr="006A73DD">
        <w:rPr>
          <w:rFonts w:asciiTheme="majorBidi" w:hAnsiTheme="majorBidi" w:cstheme="majorBidi"/>
          <w:szCs w:val="24"/>
        </w:rPr>
        <w:t xml:space="preserve"> of volatility and crisis</w:t>
      </w:r>
      <w:r w:rsidR="00F20E01" w:rsidRPr="006A73DD">
        <w:rPr>
          <w:rFonts w:asciiTheme="majorBidi" w:hAnsiTheme="majorBidi" w:cstheme="majorBidi"/>
          <w:szCs w:val="24"/>
        </w:rPr>
        <w:t xml:space="preserve">.  </w:t>
      </w:r>
      <w:r w:rsidR="00B94F64" w:rsidRPr="006A73DD">
        <w:rPr>
          <w:rFonts w:asciiTheme="majorBidi" w:hAnsiTheme="majorBidi" w:cstheme="majorBidi"/>
          <w:szCs w:val="24"/>
        </w:rPr>
        <w:t>Historical concerns are frequently stimulated by those of the present</w:t>
      </w:r>
      <w:r w:rsidR="00D06991" w:rsidRPr="006A73DD">
        <w:rPr>
          <w:rFonts w:asciiTheme="majorBidi" w:hAnsiTheme="majorBidi" w:cstheme="majorBidi"/>
          <w:szCs w:val="24"/>
        </w:rPr>
        <w:t xml:space="preserve"> and this is especially the case in contemporary history</w:t>
      </w:r>
      <w:r w:rsidR="00B94F64" w:rsidRPr="006A73DD">
        <w:rPr>
          <w:rFonts w:asciiTheme="majorBidi" w:hAnsiTheme="majorBidi" w:cstheme="majorBidi"/>
          <w:szCs w:val="24"/>
        </w:rPr>
        <w:t>.</w:t>
      </w:r>
      <w:r w:rsidR="00305C42" w:rsidRPr="006A73DD">
        <w:rPr>
          <w:rStyle w:val="EndnoteReference"/>
          <w:rFonts w:asciiTheme="majorBidi" w:hAnsiTheme="majorBidi" w:cstheme="majorBidi"/>
          <w:szCs w:val="24"/>
        </w:rPr>
        <w:endnoteReference w:id="1"/>
      </w:r>
      <w:r w:rsidRPr="006A73DD">
        <w:rPr>
          <w:rFonts w:asciiTheme="majorBidi" w:hAnsiTheme="majorBidi" w:cstheme="majorBidi"/>
          <w:szCs w:val="24"/>
        </w:rPr>
        <w:t xml:space="preserve">  Anglo-Saxon historians may </w:t>
      </w:r>
      <w:r w:rsidR="00D06991" w:rsidRPr="006A73DD">
        <w:rPr>
          <w:rFonts w:asciiTheme="majorBidi" w:hAnsiTheme="majorBidi" w:cstheme="majorBidi"/>
          <w:szCs w:val="24"/>
        </w:rPr>
        <w:t xml:space="preserve">feel that the age of </w:t>
      </w:r>
      <w:proofErr w:type="spellStart"/>
      <w:r w:rsidR="00D06991" w:rsidRPr="006A73DD">
        <w:rPr>
          <w:rFonts w:asciiTheme="majorBidi" w:hAnsiTheme="majorBidi" w:cstheme="majorBidi"/>
          <w:szCs w:val="24"/>
        </w:rPr>
        <w:t>triparti</w:t>
      </w:r>
      <w:r w:rsidR="00EC27D7" w:rsidRPr="006A73DD">
        <w:rPr>
          <w:rFonts w:asciiTheme="majorBidi" w:hAnsiTheme="majorBidi" w:cstheme="majorBidi"/>
          <w:szCs w:val="24"/>
        </w:rPr>
        <w:t>sm</w:t>
      </w:r>
      <w:proofErr w:type="spellEnd"/>
      <w:r w:rsidR="00EC27D7" w:rsidRPr="006A73DD">
        <w:rPr>
          <w:rFonts w:asciiTheme="majorBidi" w:hAnsiTheme="majorBidi" w:cstheme="majorBidi"/>
          <w:szCs w:val="24"/>
        </w:rPr>
        <w:t xml:space="preserve"> is at an end</w:t>
      </w:r>
      <w:r w:rsidR="00FF5620" w:rsidRPr="006A73DD">
        <w:rPr>
          <w:rFonts w:asciiTheme="majorBidi" w:hAnsiTheme="majorBidi" w:cstheme="majorBidi"/>
          <w:szCs w:val="24"/>
        </w:rPr>
        <w:t>,</w:t>
      </w:r>
      <w:r w:rsidR="00EC27D7" w:rsidRPr="006A73DD">
        <w:rPr>
          <w:rFonts w:asciiTheme="majorBidi" w:hAnsiTheme="majorBidi" w:cstheme="majorBidi"/>
          <w:szCs w:val="24"/>
        </w:rPr>
        <w:t xml:space="preserve"> but the contributions within this issue show that although this </w:t>
      </w:r>
      <w:r w:rsidR="00C5369F" w:rsidRPr="006A73DD">
        <w:rPr>
          <w:rFonts w:asciiTheme="majorBidi" w:hAnsiTheme="majorBidi" w:cstheme="majorBidi"/>
          <w:szCs w:val="24"/>
        </w:rPr>
        <w:t xml:space="preserve">may </w:t>
      </w:r>
      <w:r w:rsidR="00EC27D7" w:rsidRPr="006A73DD">
        <w:rPr>
          <w:rFonts w:asciiTheme="majorBidi" w:hAnsiTheme="majorBidi" w:cstheme="majorBidi"/>
          <w:szCs w:val="24"/>
        </w:rPr>
        <w:t>accur</w:t>
      </w:r>
      <w:r w:rsidR="00C5369F" w:rsidRPr="006A73DD">
        <w:rPr>
          <w:rFonts w:asciiTheme="majorBidi" w:hAnsiTheme="majorBidi" w:cstheme="majorBidi"/>
          <w:szCs w:val="24"/>
        </w:rPr>
        <w:t>ately reflect</w:t>
      </w:r>
      <w:r w:rsidR="00EC27D7" w:rsidRPr="006A73DD">
        <w:rPr>
          <w:rFonts w:asciiTheme="majorBidi" w:hAnsiTheme="majorBidi" w:cstheme="majorBidi"/>
          <w:szCs w:val="24"/>
        </w:rPr>
        <w:t xml:space="preserve"> </w:t>
      </w:r>
      <w:r w:rsidRPr="006A73DD">
        <w:rPr>
          <w:rFonts w:asciiTheme="majorBidi" w:hAnsiTheme="majorBidi" w:cstheme="majorBidi"/>
          <w:szCs w:val="24"/>
        </w:rPr>
        <w:t xml:space="preserve">current </w:t>
      </w:r>
      <w:r w:rsidR="00C5369F" w:rsidRPr="006A73DD">
        <w:rPr>
          <w:rFonts w:asciiTheme="majorBidi" w:hAnsiTheme="majorBidi" w:cstheme="majorBidi"/>
          <w:szCs w:val="24"/>
        </w:rPr>
        <w:t>perception</w:t>
      </w:r>
      <w:r w:rsidR="000E4C64" w:rsidRPr="006A73DD">
        <w:rPr>
          <w:rFonts w:asciiTheme="majorBidi" w:hAnsiTheme="majorBidi" w:cstheme="majorBidi"/>
          <w:szCs w:val="24"/>
        </w:rPr>
        <w:t>s</w:t>
      </w:r>
      <w:r w:rsidR="00EC27D7" w:rsidRPr="006A73DD">
        <w:rPr>
          <w:rFonts w:asciiTheme="majorBidi" w:hAnsiTheme="majorBidi" w:cstheme="majorBidi"/>
          <w:szCs w:val="24"/>
        </w:rPr>
        <w:t xml:space="preserve">, </w:t>
      </w:r>
      <w:proofErr w:type="spellStart"/>
      <w:r w:rsidR="00EC27D7" w:rsidRPr="006A73DD">
        <w:rPr>
          <w:rFonts w:asciiTheme="majorBidi" w:hAnsiTheme="majorBidi" w:cstheme="majorBidi"/>
          <w:szCs w:val="24"/>
        </w:rPr>
        <w:t>tripartism</w:t>
      </w:r>
      <w:proofErr w:type="spellEnd"/>
      <w:r w:rsidR="006A73DD" w:rsidRPr="006A73DD">
        <w:rPr>
          <w:rFonts w:asciiTheme="majorBidi" w:hAnsiTheme="majorBidi" w:cstheme="majorBidi"/>
          <w:szCs w:val="24"/>
        </w:rPr>
        <w:t xml:space="preserve"> </w:t>
      </w:r>
      <w:proofErr w:type="gramStart"/>
      <w:r w:rsidR="006A73DD" w:rsidRPr="006A73DD">
        <w:rPr>
          <w:rFonts w:asciiTheme="majorBidi" w:hAnsiTheme="majorBidi" w:cstheme="majorBidi"/>
          <w:szCs w:val="24"/>
        </w:rPr>
        <w:t xml:space="preserve">continues </w:t>
      </w:r>
      <w:r w:rsidR="00EC27D7" w:rsidRPr="006A73DD">
        <w:rPr>
          <w:rFonts w:asciiTheme="majorBidi" w:hAnsiTheme="majorBidi" w:cstheme="majorBidi"/>
          <w:szCs w:val="24"/>
        </w:rPr>
        <w:t>,</w:t>
      </w:r>
      <w:proofErr w:type="gramEnd"/>
      <w:r w:rsidR="00EC27D7" w:rsidRPr="006A73DD">
        <w:rPr>
          <w:rFonts w:asciiTheme="majorBidi" w:hAnsiTheme="majorBidi" w:cstheme="majorBidi"/>
          <w:szCs w:val="24"/>
        </w:rPr>
        <w:t xml:space="preserve"> albeit often i</w:t>
      </w:r>
      <w:r w:rsidR="00C5369F" w:rsidRPr="006A73DD">
        <w:rPr>
          <w:rFonts w:asciiTheme="majorBidi" w:hAnsiTheme="majorBidi" w:cstheme="majorBidi"/>
          <w:szCs w:val="24"/>
        </w:rPr>
        <w:t xml:space="preserve">n weak forms, in other </w:t>
      </w:r>
      <w:r w:rsidR="00EC27D7" w:rsidRPr="006A73DD">
        <w:rPr>
          <w:rFonts w:asciiTheme="majorBidi" w:hAnsiTheme="majorBidi" w:cstheme="majorBidi"/>
          <w:szCs w:val="24"/>
        </w:rPr>
        <w:t xml:space="preserve">national and transnational contexts; </w:t>
      </w:r>
      <w:r w:rsidR="00FF5620" w:rsidRPr="006A73DD">
        <w:rPr>
          <w:rFonts w:asciiTheme="majorBidi" w:hAnsiTheme="majorBidi" w:cstheme="majorBidi"/>
          <w:szCs w:val="24"/>
        </w:rPr>
        <w:t>its history therefore retains contemporary resonance</w:t>
      </w:r>
      <w:r w:rsidR="00AA3173" w:rsidRPr="006A73DD">
        <w:rPr>
          <w:rFonts w:asciiTheme="majorBidi" w:hAnsiTheme="majorBidi" w:cstheme="majorBidi"/>
          <w:szCs w:val="24"/>
        </w:rPr>
        <w:t xml:space="preserve">.  </w:t>
      </w:r>
    </w:p>
    <w:p w:rsidR="00AB15C4" w:rsidRPr="006A73DD" w:rsidRDefault="00000727" w:rsidP="0096219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ajorBidi" w:hAnsiTheme="majorBidi" w:cstheme="majorBidi"/>
          <w:szCs w:val="24"/>
        </w:rPr>
      </w:pPr>
      <w:r w:rsidRPr="006A73DD">
        <w:rPr>
          <w:rFonts w:asciiTheme="majorBidi" w:hAnsiTheme="majorBidi" w:cstheme="majorBidi"/>
          <w:szCs w:val="24"/>
        </w:rPr>
        <w:tab/>
      </w:r>
      <w:r w:rsidR="00AB15C4" w:rsidRPr="006A73DD">
        <w:rPr>
          <w:rFonts w:asciiTheme="majorBidi" w:hAnsiTheme="majorBidi" w:cstheme="majorBidi"/>
          <w:szCs w:val="24"/>
        </w:rPr>
        <w:t xml:space="preserve">In our present age, it is commonly assumed that </w:t>
      </w:r>
      <w:r w:rsidR="00AF730F" w:rsidRPr="006A73DD">
        <w:rPr>
          <w:rFonts w:asciiTheme="majorBidi" w:hAnsiTheme="majorBidi" w:cstheme="majorBidi"/>
          <w:szCs w:val="24"/>
        </w:rPr>
        <w:t>the relative power of</w:t>
      </w:r>
      <w:r w:rsidR="006A73DD" w:rsidRPr="006A73DD">
        <w:rPr>
          <w:rFonts w:asciiTheme="majorBidi" w:hAnsiTheme="majorBidi" w:cstheme="majorBidi"/>
          <w:szCs w:val="24"/>
        </w:rPr>
        <w:t xml:space="preserve"> employers</w:t>
      </w:r>
      <w:r w:rsidR="00AB15C4" w:rsidRPr="006A73DD">
        <w:rPr>
          <w:rFonts w:asciiTheme="majorBidi" w:hAnsiTheme="majorBidi" w:cstheme="majorBidi"/>
          <w:szCs w:val="24"/>
        </w:rPr>
        <w:t xml:space="preserve"> has increased </w:t>
      </w:r>
      <w:r w:rsidR="00AF730F" w:rsidRPr="006A73DD">
        <w:rPr>
          <w:rFonts w:asciiTheme="majorBidi" w:hAnsiTheme="majorBidi" w:cstheme="majorBidi"/>
          <w:szCs w:val="24"/>
        </w:rPr>
        <w:t>at the expense of government</w:t>
      </w:r>
      <w:r w:rsidR="00744A79" w:rsidRPr="006A73DD">
        <w:rPr>
          <w:rFonts w:asciiTheme="majorBidi" w:hAnsiTheme="majorBidi" w:cstheme="majorBidi"/>
          <w:szCs w:val="24"/>
        </w:rPr>
        <w:t xml:space="preserve"> – </w:t>
      </w:r>
      <w:r w:rsidR="00870A0D" w:rsidRPr="006A73DD">
        <w:rPr>
          <w:rFonts w:asciiTheme="majorBidi" w:hAnsiTheme="majorBidi" w:cstheme="majorBidi"/>
          <w:szCs w:val="24"/>
        </w:rPr>
        <w:t xml:space="preserve">the central </w:t>
      </w:r>
      <w:proofErr w:type="spellStart"/>
      <w:r w:rsidR="00870A0D" w:rsidRPr="006A73DD">
        <w:rPr>
          <w:rFonts w:asciiTheme="majorBidi" w:hAnsiTheme="majorBidi" w:cstheme="majorBidi"/>
          <w:szCs w:val="24"/>
        </w:rPr>
        <w:t>co-</w:t>
      </w:r>
      <w:r w:rsidR="00744A79" w:rsidRPr="006A73DD">
        <w:rPr>
          <w:rFonts w:asciiTheme="majorBidi" w:hAnsiTheme="majorBidi" w:cstheme="majorBidi"/>
          <w:szCs w:val="24"/>
        </w:rPr>
        <w:t>ordinating</w:t>
      </w:r>
      <w:proofErr w:type="spellEnd"/>
      <w:r w:rsidR="00744A79" w:rsidRPr="006A73DD">
        <w:rPr>
          <w:rFonts w:asciiTheme="majorBidi" w:hAnsiTheme="majorBidi" w:cstheme="majorBidi"/>
          <w:szCs w:val="24"/>
        </w:rPr>
        <w:t xml:space="preserve"> actor in </w:t>
      </w:r>
      <w:proofErr w:type="spellStart"/>
      <w:r w:rsidR="00744A79" w:rsidRPr="006A73DD">
        <w:rPr>
          <w:rFonts w:asciiTheme="majorBidi" w:hAnsiTheme="majorBidi" w:cstheme="majorBidi"/>
          <w:szCs w:val="24"/>
        </w:rPr>
        <w:t>tripartism</w:t>
      </w:r>
      <w:proofErr w:type="spellEnd"/>
      <w:r w:rsidR="00744A79" w:rsidRPr="006A73DD">
        <w:rPr>
          <w:rFonts w:asciiTheme="majorBidi" w:hAnsiTheme="majorBidi" w:cstheme="majorBidi"/>
          <w:szCs w:val="24"/>
        </w:rPr>
        <w:t xml:space="preserve"> – </w:t>
      </w:r>
      <w:r w:rsidR="00AF730F" w:rsidRPr="006A73DD">
        <w:rPr>
          <w:rFonts w:asciiTheme="majorBidi" w:hAnsiTheme="majorBidi" w:cstheme="majorBidi"/>
          <w:szCs w:val="24"/>
        </w:rPr>
        <w:t xml:space="preserve">and organized </w:t>
      </w:r>
      <w:proofErr w:type="spellStart"/>
      <w:r w:rsidR="00AF730F" w:rsidRPr="006A73DD">
        <w:rPr>
          <w:rFonts w:asciiTheme="majorBidi" w:hAnsiTheme="majorBidi" w:cstheme="majorBidi"/>
          <w:szCs w:val="24"/>
        </w:rPr>
        <w:t>labour</w:t>
      </w:r>
      <w:proofErr w:type="spellEnd"/>
      <w:r w:rsidR="00AF730F" w:rsidRPr="006A73DD">
        <w:rPr>
          <w:rFonts w:asciiTheme="majorBidi" w:hAnsiTheme="majorBidi" w:cstheme="majorBidi"/>
          <w:szCs w:val="24"/>
        </w:rPr>
        <w:t>. W</w:t>
      </w:r>
      <w:r w:rsidR="00AB15C4" w:rsidRPr="006A73DD">
        <w:rPr>
          <w:rFonts w:asciiTheme="majorBidi" w:hAnsiTheme="majorBidi" w:cstheme="majorBidi"/>
          <w:szCs w:val="24"/>
        </w:rPr>
        <w:t xml:space="preserve">ithin the firm, not only workers, but also traditional managers have been displaced </w:t>
      </w:r>
      <w:r w:rsidR="00FF5620" w:rsidRPr="006A73DD">
        <w:rPr>
          <w:rFonts w:asciiTheme="majorBidi" w:hAnsiTheme="majorBidi" w:cstheme="majorBidi"/>
          <w:szCs w:val="24"/>
        </w:rPr>
        <w:t>by assertive investors</w:t>
      </w:r>
      <w:r w:rsidR="00AB15C4" w:rsidRPr="006A73DD">
        <w:rPr>
          <w:rFonts w:asciiTheme="majorBidi" w:hAnsiTheme="majorBidi" w:cstheme="majorBidi"/>
          <w:szCs w:val="24"/>
        </w:rPr>
        <w:t xml:space="preserve"> and allied to them, </w:t>
      </w:r>
      <w:r w:rsidR="00B94F64" w:rsidRPr="006A73DD">
        <w:rPr>
          <w:rFonts w:asciiTheme="majorBidi" w:hAnsiTheme="majorBidi" w:cstheme="majorBidi"/>
          <w:szCs w:val="24"/>
        </w:rPr>
        <w:t xml:space="preserve">a </w:t>
      </w:r>
      <w:r w:rsidR="00AB15C4" w:rsidRPr="006A73DD">
        <w:rPr>
          <w:rFonts w:asciiTheme="majorBidi" w:hAnsiTheme="majorBidi" w:cstheme="majorBidi"/>
          <w:szCs w:val="24"/>
        </w:rPr>
        <w:t>new managerial class that has little emotional capital sunk in the firm other than as a vehicle for shareholder value maximization or release</w:t>
      </w:r>
      <w:r w:rsidR="00B300AF" w:rsidRPr="006A73DD">
        <w:rPr>
          <w:rFonts w:asciiTheme="majorBidi" w:hAnsiTheme="majorBidi" w:cstheme="majorBidi"/>
          <w:szCs w:val="24"/>
        </w:rPr>
        <w:t>, and personal enrichment</w:t>
      </w:r>
      <w:r w:rsidR="00AB15C4" w:rsidRPr="006A73DD">
        <w:rPr>
          <w:rFonts w:asciiTheme="majorBidi" w:hAnsiTheme="majorBidi" w:cstheme="majorBidi"/>
          <w:szCs w:val="24"/>
        </w:rPr>
        <w:t>.</w:t>
      </w:r>
      <w:r w:rsidR="00D06991" w:rsidRPr="006A73DD">
        <w:rPr>
          <w:rFonts w:asciiTheme="majorBidi" w:hAnsiTheme="majorBidi" w:cstheme="majorBidi"/>
          <w:szCs w:val="24"/>
        </w:rPr>
        <w:t xml:space="preserve">  </w:t>
      </w:r>
      <w:r w:rsidR="00B94F64" w:rsidRPr="006A73DD">
        <w:rPr>
          <w:rFonts w:asciiTheme="majorBidi" w:hAnsiTheme="majorBidi" w:cstheme="majorBidi"/>
          <w:szCs w:val="24"/>
        </w:rPr>
        <w:t>From the</w:t>
      </w:r>
      <w:r w:rsidR="00AB15C4" w:rsidRPr="006A73DD">
        <w:rPr>
          <w:rFonts w:asciiTheme="majorBidi" w:hAnsiTheme="majorBidi" w:cstheme="majorBidi"/>
          <w:szCs w:val="24"/>
        </w:rPr>
        <w:t xml:space="preserve"> business historian</w:t>
      </w:r>
      <w:r w:rsidR="00B94F64" w:rsidRPr="006A73DD">
        <w:rPr>
          <w:rFonts w:asciiTheme="majorBidi" w:hAnsiTheme="majorBidi" w:cstheme="majorBidi"/>
          <w:szCs w:val="24"/>
        </w:rPr>
        <w:t>’s viewpoint</w:t>
      </w:r>
      <w:r w:rsidR="0055387C" w:rsidRPr="006A73DD">
        <w:rPr>
          <w:rFonts w:asciiTheme="majorBidi" w:hAnsiTheme="majorBidi" w:cstheme="majorBidi"/>
          <w:szCs w:val="24"/>
        </w:rPr>
        <w:t>, these assumption</w:t>
      </w:r>
      <w:r w:rsidR="00290551" w:rsidRPr="006A73DD">
        <w:rPr>
          <w:rFonts w:asciiTheme="majorBidi" w:hAnsiTheme="majorBidi" w:cstheme="majorBidi"/>
          <w:szCs w:val="24"/>
        </w:rPr>
        <w:t>s</w:t>
      </w:r>
      <w:r w:rsidR="0055387C" w:rsidRPr="006A73DD">
        <w:rPr>
          <w:rFonts w:asciiTheme="majorBidi" w:hAnsiTheme="majorBidi" w:cstheme="majorBidi"/>
          <w:szCs w:val="24"/>
        </w:rPr>
        <w:t xml:space="preserve"> raise</w:t>
      </w:r>
      <w:r w:rsidR="00AB15C4" w:rsidRPr="006A73DD">
        <w:rPr>
          <w:rFonts w:asciiTheme="majorBidi" w:hAnsiTheme="majorBidi" w:cstheme="majorBidi"/>
          <w:szCs w:val="24"/>
        </w:rPr>
        <w:t xml:space="preserve"> a number of issues surrounding long term trends and diversity in the nature of the capitalist ecosystem </w:t>
      </w:r>
      <w:r w:rsidR="00AA3173" w:rsidRPr="006A73DD">
        <w:rPr>
          <w:rFonts w:asciiTheme="majorBidi" w:hAnsiTheme="majorBidi" w:cstheme="majorBidi"/>
          <w:szCs w:val="24"/>
        </w:rPr>
        <w:t xml:space="preserve">within which </w:t>
      </w:r>
      <w:proofErr w:type="spellStart"/>
      <w:r w:rsidR="00AA3173" w:rsidRPr="006A73DD">
        <w:rPr>
          <w:rFonts w:asciiTheme="majorBidi" w:hAnsiTheme="majorBidi" w:cstheme="majorBidi"/>
          <w:szCs w:val="24"/>
        </w:rPr>
        <w:t>tripartism</w:t>
      </w:r>
      <w:proofErr w:type="spellEnd"/>
      <w:r w:rsidR="00AA3173" w:rsidRPr="006A73DD">
        <w:rPr>
          <w:rFonts w:asciiTheme="majorBidi" w:hAnsiTheme="majorBidi" w:cstheme="majorBidi"/>
          <w:szCs w:val="24"/>
        </w:rPr>
        <w:t xml:space="preserve"> is located</w:t>
      </w:r>
      <w:r w:rsidR="000E4C64" w:rsidRPr="006A73DD">
        <w:rPr>
          <w:rFonts w:asciiTheme="majorBidi" w:hAnsiTheme="majorBidi" w:cstheme="majorBidi"/>
          <w:szCs w:val="24"/>
        </w:rPr>
        <w:t>.   In this connection</w:t>
      </w:r>
      <w:r w:rsidR="00853E70" w:rsidRPr="006A73DD">
        <w:rPr>
          <w:rFonts w:asciiTheme="majorBidi" w:hAnsiTheme="majorBidi" w:cstheme="majorBidi"/>
          <w:szCs w:val="24"/>
        </w:rPr>
        <w:t>, there are four</w:t>
      </w:r>
      <w:r w:rsidR="00290551" w:rsidRPr="006A73DD">
        <w:rPr>
          <w:rFonts w:asciiTheme="majorBidi" w:hAnsiTheme="majorBidi" w:cstheme="majorBidi"/>
          <w:szCs w:val="24"/>
        </w:rPr>
        <w:t xml:space="preserve"> </w:t>
      </w:r>
      <w:r w:rsidR="00AB15C4" w:rsidRPr="006A73DD">
        <w:rPr>
          <w:rFonts w:asciiTheme="majorBidi" w:hAnsiTheme="majorBidi" w:cstheme="majorBidi"/>
          <w:szCs w:val="24"/>
        </w:rPr>
        <w:t>alternative points of view</w:t>
      </w:r>
      <w:r w:rsidR="00D06991" w:rsidRPr="006A73DD">
        <w:rPr>
          <w:rFonts w:asciiTheme="majorBidi" w:hAnsiTheme="majorBidi" w:cstheme="majorBidi"/>
          <w:szCs w:val="24"/>
        </w:rPr>
        <w:t xml:space="preserve"> on broad </w:t>
      </w:r>
      <w:r w:rsidR="00D06991" w:rsidRPr="006A73DD">
        <w:rPr>
          <w:rFonts w:asciiTheme="majorBidi" w:hAnsiTheme="majorBidi" w:cstheme="majorBidi"/>
          <w:szCs w:val="24"/>
        </w:rPr>
        <w:lastRenderedPageBreak/>
        <w:t xml:space="preserve">approaches to </w:t>
      </w:r>
      <w:proofErr w:type="spellStart"/>
      <w:r w:rsidR="00D06991" w:rsidRPr="006A73DD">
        <w:rPr>
          <w:rFonts w:asciiTheme="majorBidi" w:hAnsiTheme="majorBidi" w:cstheme="majorBidi"/>
          <w:szCs w:val="24"/>
        </w:rPr>
        <w:t>labour</w:t>
      </w:r>
      <w:proofErr w:type="spellEnd"/>
      <w:r w:rsidR="00D06991" w:rsidRPr="006A73DD">
        <w:rPr>
          <w:rFonts w:asciiTheme="majorBidi" w:hAnsiTheme="majorBidi" w:cstheme="majorBidi"/>
          <w:szCs w:val="24"/>
        </w:rPr>
        <w:t xml:space="preserve"> management</w:t>
      </w:r>
      <w:r w:rsidR="00853E70" w:rsidRPr="006A73DD">
        <w:rPr>
          <w:rFonts w:asciiTheme="majorBidi" w:hAnsiTheme="majorBidi" w:cstheme="majorBidi"/>
          <w:szCs w:val="24"/>
        </w:rPr>
        <w:t>. The first, rooted in the</w:t>
      </w:r>
      <w:r w:rsidR="00290551" w:rsidRPr="006A73DD">
        <w:rPr>
          <w:rFonts w:asciiTheme="majorBidi" w:hAnsiTheme="majorBidi" w:cstheme="majorBidi"/>
          <w:szCs w:val="24"/>
        </w:rPr>
        <w:t xml:space="preserve"> then</w:t>
      </w:r>
      <w:r w:rsidR="00853E70" w:rsidRPr="006A73DD">
        <w:rPr>
          <w:rFonts w:asciiTheme="majorBidi" w:hAnsiTheme="majorBidi" w:cstheme="majorBidi"/>
          <w:szCs w:val="24"/>
        </w:rPr>
        <w:t xml:space="preserve"> apparent solidity of the British </w:t>
      </w:r>
      <w:r w:rsidR="00290551" w:rsidRPr="006A73DD">
        <w:rPr>
          <w:rFonts w:asciiTheme="majorBidi" w:hAnsiTheme="majorBidi" w:cstheme="majorBidi"/>
          <w:szCs w:val="24"/>
        </w:rPr>
        <w:t xml:space="preserve">postwar </w:t>
      </w:r>
      <w:r w:rsidR="00853E70" w:rsidRPr="006A73DD">
        <w:rPr>
          <w:rFonts w:asciiTheme="majorBidi" w:hAnsiTheme="majorBidi" w:cstheme="majorBidi"/>
          <w:szCs w:val="24"/>
        </w:rPr>
        <w:t>tripa</w:t>
      </w:r>
      <w:r w:rsidR="00290551" w:rsidRPr="006A73DD">
        <w:rPr>
          <w:rFonts w:asciiTheme="majorBidi" w:hAnsiTheme="majorBidi" w:cstheme="majorBidi"/>
          <w:szCs w:val="24"/>
        </w:rPr>
        <w:t>rtite settlement</w:t>
      </w:r>
      <w:r w:rsidR="00A82960" w:rsidRPr="006A73DD">
        <w:rPr>
          <w:rFonts w:asciiTheme="majorBidi" w:hAnsiTheme="majorBidi" w:cstheme="majorBidi"/>
          <w:szCs w:val="24"/>
        </w:rPr>
        <w:t>,</w:t>
      </w:r>
      <w:r w:rsidR="00290551" w:rsidRPr="006A73DD">
        <w:rPr>
          <w:rFonts w:asciiTheme="majorBidi" w:hAnsiTheme="majorBidi" w:cstheme="majorBidi"/>
          <w:szCs w:val="24"/>
        </w:rPr>
        <w:t xml:space="preserve"> wa</w:t>
      </w:r>
      <w:r w:rsidR="00853E70" w:rsidRPr="006A73DD">
        <w:rPr>
          <w:rFonts w:asciiTheme="majorBidi" w:hAnsiTheme="majorBidi" w:cstheme="majorBidi"/>
          <w:szCs w:val="24"/>
        </w:rPr>
        <w:t xml:space="preserve">s that the incorporation of </w:t>
      </w:r>
      <w:proofErr w:type="spellStart"/>
      <w:r w:rsidR="00853E70" w:rsidRPr="006A73DD">
        <w:rPr>
          <w:rFonts w:asciiTheme="majorBidi" w:hAnsiTheme="majorBidi" w:cstheme="majorBidi"/>
          <w:szCs w:val="24"/>
        </w:rPr>
        <w:t>labour’s</w:t>
      </w:r>
      <w:proofErr w:type="spellEnd"/>
      <w:r w:rsidR="00853E70" w:rsidRPr="006A73DD">
        <w:rPr>
          <w:rFonts w:asciiTheme="majorBidi" w:hAnsiTheme="majorBidi" w:cstheme="majorBidi"/>
          <w:szCs w:val="24"/>
        </w:rPr>
        <w:t xml:space="preserve"> institutions </w:t>
      </w:r>
      <w:r w:rsidR="00290551" w:rsidRPr="006A73DD">
        <w:rPr>
          <w:rFonts w:asciiTheme="majorBidi" w:hAnsiTheme="majorBidi" w:cstheme="majorBidi"/>
          <w:szCs w:val="24"/>
        </w:rPr>
        <w:t>wa</w:t>
      </w:r>
      <w:r w:rsidR="00853E70" w:rsidRPr="006A73DD">
        <w:rPr>
          <w:rFonts w:asciiTheme="majorBidi" w:hAnsiTheme="majorBidi" w:cstheme="majorBidi"/>
          <w:szCs w:val="24"/>
        </w:rPr>
        <w:t>s structurally essential to the state’s role in avoiding</w:t>
      </w:r>
      <w:r w:rsidR="00204455" w:rsidRPr="006A73DD">
        <w:rPr>
          <w:rFonts w:asciiTheme="majorBidi" w:hAnsiTheme="majorBidi" w:cstheme="majorBidi"/>
          <w:szCs w:val="24"/>
        </w:rPr>
        <w:t xml:space="preserve"> or genuinely resolving</w:t>
      </w:r>
      <w:r w:rsidR="00853E70" w:rsidRPr="006A73DD">
        <w:rPr>
          <w:rFonts w:asciiTheme="majorBidi" w:hAnsiTheme="majorBidi" w:cstheme="majorBidi"/>
          <w:szCs w:val="24"/>
        </w:rPr>
        <w:t xml:space="preserve"> cris</w:t>
      </w:r>
      <w:r w:rsidR="00204455" w:rsidRPr="006A73DD">
        <w:rPr>
          <w:rFonts w:asciiTheme="majorBidi" w:hAnsiTheme="majorBidi" w:cstheme="majorBidi"/>
          <w:szCs w:val="24"/>
        </w:rPr>
        <w:t>e</w:t>
      </w:r>
      <w:r w:rsidR="00853E70" w:rsidRPr="006A73DD">
        <w:rPr>
          <w:rFonts w:asciiTheme="majorBidi" w:hAnsiTheme="majorBidi" w:cstheme="majorBidi"/>
          <w:szCs w:val="24"/>
        </w:rPr>
        <w:t>s.</w:t>
      </w:r>
      <w:r w:rsidR="00305C42" w:rsidRPr="006A73DD">
        <w:rPr>
          <w:rStyle w:val="EndnoteReference"/>
          <w:rFonts w:asciiTheme="majorBidi" w:hAnsiTheme="majorBidi" w:cstheme="majorBidi"/>
          <w:szCs w:val="24"/>
        </w:rPr>
        <w:endnoteReference w:id="2"/>
      </w:r>
      <w:r w:rsidR="00853E70" w:rsidRPr="006A73DD">
        <w:rPr>
          <w:rFonts w:asciiTheme="majorBidi" w:hAnsiTheme="majorBidi" w:cstheme="majorBidi"/>
          <w:szCs w:val="24"/>
        </w:rPr>
        <w:t xml:space="preserve">  The second </w:t>
      </w:r>
      <w:r w:rsidR="00AB15C4" w:rsidRPr="006A73DD">
        <w:rPr>
          <w:rFonts w:asciiTheme="majorBidi" w:hAnsiTheme="majorBidi" w:cstheme="majorBidi"/>
          <w:szCs w:val="24"/>
        </w:rPr>
        <w:t>see</w:t>
      </w:r>
      <w:r w:rsidR="00290551" w:rsidRPr="006A73DD">
        <w:rPr>
          <w:rFonts w:asciiTheme="majorBidi" w:hAnsiTheme="majorBidi" w:cstheme="majorBidi"/>
          <w:szCs w:val="24"/>
        </w:rPr>
        <w:t>s</w:t>
      </w:r>
      <w:r w:rsidR="00AB15C4" w:rsidRPr="006A73DD">
        <w:rPr>
          <w:rFonts w:asciiTheme="majorBidi" w:hAnsiTheme="majorBidi" w:cstheme="majorBidi"/>
          <w:szCs w:val="24"/>
        </w:rPr>
        <w:t xml:space="preserve"> </w:t>
      </w:r>
      <w:proofErr w:type="spellStart"/>
      <w:r w:rsidR="00AB15C4" w:rsidRPr="006A73DD">
        <w:rPr>
          <w:rFonts w:asciiTheme="majorBidi" w:hAnsiTheme="majorBidi" w:cstheme="majorBidi"/>
          <w:szCs w:val="24"/>
        </w:rPr>
        <w:t>tripartism</w:t>
      </w:r>
      <w:proofErr w:type="spellEnd"/>
      <w:r w:rsidR="00AB15C4" w:rsidRPr="006A73DD">
        <w:rPr>
          <w:rFonts w:asciiTheme="majorBidi" w:hAnsiTheme="majorBidi" w:cstheme="majorBidi"/>
          <w:szCs w:val="24"/>
        </w:rPr>
        <w:t xml:space="preserve"> as very much a</w:t>
      </w:r>
      <w:r w:rsidR="00B94F64" w:rsidRPr="006A73DD">
        <w:rPr>
          <w:rFonts w:asciiTheme="majorBidi" w:hAnsiTheme="majorBidi" w:cstheme="majorBidi"/>
          <w:szCs w:val="24"/>
        </w:rPr>
        <w:t>n</w:t>
      </w:r>
      <w:r w:rsidR="00A82960" w:rsidRPr="006A73DD">
        <w:rPr>
          <w:rFonts w:asciiTheme="majorBidi" w:hAnsiTheme="majorBidi" w:cstheme="majorBidi"/>
          <w:szCs w:val="24"/>
        </w:rPr>
        <w:t xml:space="preserve"> historical exception, representing </w:t>
      </w:r>
      <w:r w:rsidR="000E4C64" w:rsidRPr="006A73DD">
        <w:rPr>
          <w:rFonts w:asciiTheme="majorBidi" w:hAnsiTheme="majorBidi" w:cstheme="majorBidi"/>
          <w:szCs w:val="24"/>
        </w:rPr>
        <w:t>to a large extent</w:t>
      </w:r>
      <w:r w:rsidR="009769C3" w:rsidRPr="006A73DD">
        <w:rPr>
          <w:rFonts w:asciiTheme="majorBidi" w:hAnsiTheme="majorBidi" w:cstheme="majorBidi"/>
          <w:szCs w:val="24"/>
        </w:rPr>
        <w:t xml:space="preserve"> a product of a very specific</w:t>
      </w:r>
      <w:r w:rsidR="00AB15C4" w:rsidRPr="006A73DD">
        <w:rPr>
          <w:rFonts w:asciiTheme="majorBidi" w:hAnsiTheme="majorBidi" w:cstheme="majorBidi"/>
          <w:szCs w:val="24"/>
        </w:rPr>
        <w:t xml:space="preserve"> set of </w:t>
      </w:r>
      <w:r w:rsidR="009769C3" w:rsidRPr="006A73DD">
        <w:rPr>
          <w:rFonts w:asciiTheme="majorBidi" w:hAnsiTheme="majorBidi" w:cstheme="majorBidi"/>
          <w:szCs w:val="24"/>
        </w:rPr>
        <w:t xml:space="preserve">historic </w:t>
      </w:r>
      <w:r w:rsidR="00AB15C4" w:rsidRPr="006A73DD">
        <w:rPr>
          <w:rFonts w:asciiTheme="majorBidi" w:hAnsiTheme="majorBidi" w:cstheme="majorBidi"/>
          <w:szCs w:val="24"/>
        </w:rPr>
        <w:t xml:space="preserve">circumstances </w:t>
      </w:r>
      <w:r w:rsidR="00AA3173" w:rsidRPr="006A73DD">
        <w:rPr>
          <w:rFonts w:asciiTheme="majorBidi" w:hAnsiTheme="majorBidi" w:cstheme="majorBidi"/>
          <w:szCs w:val="24"/>
        </w:rPr>
        <w:t>around</w:t>
      </w:r>
      <w:r w:rsidR="00AB15C4" w:rsidRPr="006A73DD">
        <w:rPr>
          <w:rFonts w:asciiTheme="majorBidi" w:hAnsiTheme="majorBidi" w:cstheme="majorBidi"/>
          <w:szCs w:val="24"/>
        </w:rPr>
        <w:t xml:space="preserve"> the </w:t>
      </w:r>
      <w:r w:rsidR="000E4C64" w:rsidRPr="006A73DD">
        <w:rPr>
          <w:rFonts w:asciiTheme="majorBidi" w:hAnsiTheme="majorBidi" w:cstheme="majorBidi"/>
          <w:szCs w:val="24"/>
        </w:rPr>
        <w:t>Great Depression</w:t>
      </w:r>
      <w:r w:rsidR="009769C3" w:rsidRPr="006A73DD">
        <w:rPr>
          <w:rFonts w:asciiTheme="majorBidi" w:hAnsiTheme="majorBidi" w:cstheme="majorBidi"/>
          <w:szCs w:val="24"/>
        </w:rPr>
        <w:t xml:space="preserve"> and the post</w:t>
      </w:r>
      <w:r w:rsidR="006A73DD" w:rsidRPr="006A73DD">
        <w:rPr>
          <w:rFonts w:asciiTheme="majorBidi" w:hAnsiTheme="majorBidi" w:cstheme="majorBidi"/>
          <w:szCs w:val="24"/>
        </w:rPr>
        <w:t>-</w:t>
      </w:r>
      <w:r w:rsidR="009769C3" w:rsidRPr="006A73DD">
        <w:rPr>
          <w:rFonts w:asciiTheme="majorBidi" w:hAnsiTheme="majorBidi" w:cstheme="majorBidi"/>
          <w:szCs w:val="24"/>
        </w:rPr>
        <w:t>World War Two</w:t>
      </w:r>
      <w:r w:rsidR="00853E70" w:rsidRPr="006A73DD">
        <w:rPr>
          <w:rFonts w:asciiTheme="majorBidi" w:hAnsiTheme="majorBidi" w:cstheme="majorBidi"/>
          <w:szCs w:val="24"/>
        </w:rPr>
        <w:t xml:space="preserve"> long boom.</w:t>
      </w:r>
      <w:r w:rsidR="00305C42" w:rsidRPr="006A73DD">
        <w:rPr>
          <w:rStyle w:val="EndnoteReference"/>
          <w:rFonts w:asciiTheme="majorBidi" w:hAnsiTheme="majorBidi" w:cstheme="majorBidi"/>
          <w:szCs w:val="24"/>
        </w:rPr>
        <w:endnoteReference w:id="3"/>
      </w:r>
      <w:r w:rsidR="00853E70" w:rsidRPr="006A73DD">
        <w:rPr>
          <w:rFonts w:asciiTheme="majorBidi" w:hAnsiTheme="majorBidi" w:cstheme="majorBidi"/>
          <w:szCs w:val="24"/>
        </w:rPr>
        <w:t xml:space="preserve"> The thir</w:t>
      </w:r>
      <w:r w:rsidR="00AA3173" w:rsidRPr="006A73DD">
        <w:rPr>
          <w:rFonts w:asciiTheme="majorBidi" w:hAnsiTheme="majorBidi" w:cstheme="majorBidi"/>
          <w:szCs w:val="24"/>
        </w:rPr>
        <w:t xml:space="preserve">d, </w:t>
      </w:r>
      <w:r w:rsidR="00290551" w:rsidRPr="006A73DD">
        <w:rPr>
          <w:rFonts w:asciiTheme="majorBidi" w:hAnsiTheme="majorBidi" w:cstheme="majorBidi"/>
          <w:szCs w:val="24"/>
        </w:rPr>
        <w:t>a variant of the second</w:t>
      </w:r>
      <w:r w:rsidR="00AB15C4" w:rsidRPr="006A73DD">
        <w:rPr>
          <w:rFonts w:asciiTheme="majorBidi" w:hAnsiTheme="majorBidi" w:cstheme="majorBidi"/>
          <w:szCs w:val="24"/>
        </w:rPr>
        <w:t xml:space="preserve">, would see historic compromises between state, the firm, and workers as a reflection of </w:t>
      </w:r>
      <w:r w:rsidR="00554E22" w:rsidRPr="006A73DD">
        <w:rPr>
          <w:rFonts w:asciiTheme="majorBidi" w:hAnsiTheme="majorBidi" w:cstheme="majorBidi"/>
          <w:szCs w:val="24"/>
        </w:rPr>
        <w:t>the thirty year</w:t>
      </w:r>
      <w:r w:rsidR="00D519C4" w:rsidRPr="006A73DD">
        <w:rPr>
          <w:rFonts w:asciiTheme="majorBidi" w:hAnsiTheme="majorBidi" w:cstheme="majorBidi"/>
          <w:szCs w:val="24"/>
        </w:rPr>
        <w:t xml:space="preserve"> period of </w:t>
      </w:r>
      <w:r w:rsidR="00AB15C4" w:rsidRPr="006A73DD">
        <w:rPr>
          <w:rFonts w:asciiTheme="majorBidi" w:hAnsiTheme="majorBidi" w:cstheme="majorBidi"/>
          <w:szCs w:val="24"/>
        </w:rPr>
        <w:t>relative global prosperity and growth</w:t>
      </w:r>
      <w:r w:rsidR="00AD1D0E" w:rsidRPr="006A73DD">
        <w:rPr>
          <w:rFonts w:asciiTheme="majorBidi" w:hAnsiTheme="majorBidi" w:cstheme="majorBidi"/>
          <w:szCs w:val="24"/>
        </w:rPr>
        <w:t xml:space="preserve"> which</w:t>
      </w:r>
      <w:r w:rsidR="00554E22" w:rsidRPr="006A73DD">
        <w:rPr>
          <w:rFonts w:asciiTheme="majorBidi" w:hAnsiTheme="majorBidi" w:cstheme="majorBidi"/>
          <w:szCs w:val="24"/>
        </w:rPr>
        <w:t xml:space="preserve"> had </w:t>
      </w:r>
      <w:r w:rsidR="00AD1D0E" w:rsidRPr="006A73DD">
        <w:rPr>
          <w:rFonts w:asciiTheme="majorBidi" w:hAnsiTheme="majorBidi" w:cstheme="majorBidi"/>
          <w:szCs w:val="24"/>
        </w:rPr>
        <w:t xml:space="preserve">deeper </w:t>
      </w:r>
      <w:r w:rsidR="00554E22" w:rsidRPr="006A73DD">
        <w:rPr>
          <w:rFonts w:asciiTheme="majorBidi" w:hAnsiTheme="majorBidi" w:cstheme="majorBidi"/>
          <w:szCs w:val="24"/>
        </w:rPr>
        <w:t xml:space="preserve">historic roots stretching back </w:t>
      </w:r>
      <w:r w:rsidR="00791BC3" w:rsidRPr="006A73DD">
        <w:rPr>
          <w:rFonts w:asciiTheme="majorBidi" w:hAnsiTheme="majorBidi" w:cstheme="majorBidi"/>
          <w:szCs w:val="24"/>
        </w:rPr>
        <w:t xml:space="preserve">at least </w:t>
      </w:r>
      <w:r w:rsidR="00554E22" w:rsidRPr="006A73DD">
        <w:rPr>
          <w:rFonts w:asciiTheme="majorBidi" w:hAnsiTheme="majorBidi" w:cstheme="majorBidi"/>
          <w:szCs w:val="24"/>
        </w:rPr>
        <w:t>into the Nineteenth Century</w:t>
      </w:r>
      <w:r w:rsidR="00853E70" w:rsidRPr="006A73DD">
        <w:rPr>
          <w:rFonts w:asciiTheme="majorBidi" w:hAnsiTheme="majorBidi" w:cstheme="majorBidi"/>
          <w:szCs w:val="24"/>
        </w:rPr>
        <w:t>.</w:t>
      </w:r>
      <w:r w:rsidR="00077C11" w:rsidRPr="006A73DD">
        <w:rPr>
          <w:rStyle w:val="EndnoteReference"/>
          <w:rFonts w:asciiTheme="majorBidi" w:hAnsiTheme="majorBidi" w:cstheme="majorBidi"/>
          <w:szCs w:val="24"/>
        </w:rPr>
        <w:endnoteReference w:id="4"/>
      </w:r>
      <w:r w:rsidR="00853E70" w:rsidRPr="006A73DD">
        <w:rPr>
          <w:rFonts w:asciiTheme="majorBidi" w:hAnsiTheme="majorBidi" w:cstheme="majorBidi"/>
          <w:szCs w:val="24"/>
        </w:rPr>
        <w:t xml:space="preserve"> The fourth</w:t>
      </w:r>
      <w:r w:rsidR="00AB15C4" w:rsidRPr="006A73DD">
        <w:rPr>
          <w:rFonts w:asciiTheme="majorBidi" w:hAnsiTheme="majorBidi" w:cstheme="majorBidi"/>
          <w:szCs w:val="24"/>
        </w:rPr>
        <w:t xml:space="preserve"> highli</w:t>
      </w:r>
      <w:r w:rsidR="009321F0" w:rsidRPr="006A73DD">
        <w:rPr>
          <w:rFonts w:asciiTheme="majorBidi" w:hAnsiTheme="majorBidi" w:cstheme="majorBidi"/>
          <w:szCs w:val="24"/>
        </w:rPr>
        <w:t>ghts national diversity</w:t>
      </w:r>
      <w:r w:rsidR="00AB15C4" w:rsidRPr="006A73DD">
        <w:rPr>
          <w:rFonts w:asciiTheme="majorBidi" w:hAnsiTheme="majorBidi" w:cstheme="majorBidi"/>
          <w:szCs w:val="24"/>
        </w:rPr>
        <w:t xml:space="preserve"> in global capitalism </w:t>
      </w:r>
      <w:r w:rsidR="00853E70" w:rsidRPr="006A73DD">
        <w:rPr>
          <w:rFonts w:asciiTheme="majorBidi" w:hAnsiTheme="majorBidi" w:cstheme="majorBidi"/>
          <w:szCs w:val="24"/>
        </w:rPr>
        <w:t xml:space="preserve">and </w:t>
      </w:r>
      <w:r w:rsidR="000E4C64" w:rsidRPr="006A73DD">
        <w:rPr>
          <w:rFonts w:asciiTheme="majorBidi" w:hAnsiTheme="majorBidi" w:cstheme="majorBidi"/>
          <w:szCs w:val="24"/>
        </w:rPr>
        <w:t xml:space="preserve">views </w:t>
      </w:r>
      <w:r w:rsidR="00853E70" w:rsidRPr="006A73DD">
        <w:rPr>
          <w:rFonts w:asciiTheme="majorBidi" w:hAnsiTheme="majorBidi" w:cstheme="majorBidi"/>
          <w:szCs w:val="24"/>
        </w:rPr>
        <w:t xml:space="preserve">the </w:t>
      </w:r>
      <w:proofErr w:type="spellStart"/>
      <w:r w:rsidR="00853E70" w:rsidRPr="006A73DD">
        <w:rPr>
          <w:rFonts w:asciiTheme="majorBidi" w:hAnsiTheme="majorBidi" w:cstheme="majorBidi"/>
          <w:szCs w:val="24"/>
        </w:rPr>
        <w:t>labour</w:t>
      </w:r>
      <w:proofErr w:type="spellEnd"/>
      <w:r w:rsidR="00853E70" w:rsidRPr="006A73DD">
        <w:rPr>
          <w:rFonts w:asciiTheme="majorBidi" w:hAnsiTheme="majorBidi" w:cstheme="majorBidi"/>
          <w:szCs w:val="24"/>
        </w:rPr>
        <w:t xml:space="preserve"> management options adopted </w:t>
      </w:r>
      <w:r w:rsidR="00AB15C4" w:rsidRPr="006A73DD">
        <w:rPr>
          <w:rFonts w:asciiTheme="majorBidi" w:hAnsiTheme="majorBidi" w:cstheme="majorBidi"/>
          <w:szCs w:val="24"/>
        </w:rPr>
        <w:t xml:space="preserve">according not only to temporal trends but also </w:t>
      </w:r>
      <w:r w:rsidR="009321F0" w:rsidRPr="006A73DD">
        <w:rPr>
          <w:rFonts w:asciiTheme="majorBidi" w:hAnsiTheme="majorBidi" w:cstheme="majorBidi"/>
          <w:szCs w:val="24"/>
        </w:rPr>
        <w:t xml:space="preserve">to such dimensions as </w:t>
      </w:r>
      <w:r w:rsidR="00AB15C4" w:rsidRPr="006A73DD">
        <w:rPr>
          <w:rFonts w:asciiTheme="majorBidi" w:hAnsiTheme="majorBidi" w:cstheme="majorBidi"/>
          <w:szCs w:val="24"/>
        </w:rPr>
        <w:t xml:space="preserve">space, scale, and </w:t>
      </w:r>
      <w:r w:rsidR="009321F0" w:rsidRPr="006A73DD">
        <w:rPr>
          <w:rFonts w:asciiTheme="majorBidi" w:hAnsiTheme="majorBidi" w:cstheme="majorBidi"/>
          <w:szCs w:val="24"/>
        </w:rPr>
        <w:t xml:space="preserve">global </w:t>
      </w:r>
      <w:proofErr w:type="spellStart"/>
      <w:r w:rsidR="00AB15C4" w:rsidRPr="006A73DD">
        <w:rPr>
          <w:rFonts w:asciiTheme="majorBidi" w:hAnsiTheme="majorBidi" w:cstheme="majorBidi"/>
          <w:szCs w:val="24"/>
        </w:rPr>
        <w:t>ce</w:t>
      </w:r>
      <w:r w:rsidR="00D519C4" w:rsidRPr="006A73DD">
        <w:rPr>
          <w:rFonts w:asciiTheme="majorBidi" w:hAnsiTheme="majorBidi" w:cstheme="majorBidi"/>
          <w:szCs w:val="24"/>
        </w:rPr>
        <w:t>ntre</w:t>
      </w:r>
      <w:proofErr w:type="spellEnd"/>
      <w:r w:rsidR="00D519C4" w:rsidRPr="006A73DD">
        <w:rPr>
          <w:rFonts w:asciiTheme="majorBidi" w:hAnsiTheme="majorBidi" w:cstheme="majorBidi"/>
          <w:szCs w:val="24"/>
        </w:rPr>
        <w:t>-periphery relations</w:t>
      </w:r>
      <w:r w:rsidR="000C3D09" w:rsidRPr="006A73DD">
        <w:rPr>
          <w:rFonts w:asciiTheme="majorBidi" w:hAnsiTheme="majorBidi" w:cstheme="majorBidi"/>
          <w:szCs w:val="24"/>
        </w:rPr>
        <w:t>.</w:t>
      </w:r>
      <w:r w:rsidR="00077C11" w:rsidRPr="006A73DD">
        <w:rPr>
          <w:rStyle w:val="EndnoteReference"/>
          <w:rFonts w:asciiTheme="majorBidi" w:hAnsiTheme="majorBidi" w:cstheme="majorBidi"/>
          <w:szCs w:val="24"/>
        </w:rPr>
        <w:endnoteReference w:id="5"/>
      </w:r>
      <w:r w:rsidR="006A73DD" w:rsidRPr="006A73DD">
        <w:rPr>
          <w:rFonts w:asciiTheme="majorBidi" w:hAnsiTheme="majorBidi" w:cstheme="majorBidi"/>
          <w:szCs w:val="24"/>
        </w:rPr>
        <w:t xml:space="preserve">  The latter view implies that</w:t>
      </w:r>
      <w:r w:rsidR="009D4491" w:rsidRPr="006A73DD">
        <w:rPr>
          <w:rFonts w:asciiTheme="majorBidi" w:hAnsiTheme="majorBidi" w:cstheme="majorBidi"/>
          <w:szCs w:val="24"/>
        </w:rPr>
        <w:t xml:space="preserve"> elements of post-war compromises may persist</w:t>
      </w:r>
      <w:r w:rsidR="00AB15C4" w:rsidRPr="006A73DD">
        <w:rPr>
          <w:rFonts w:asciiTheme="majorBidi" w:hAnsiTheme="majorBidi" w:cstheme="majorBidi"/>
          <w:szCs w:val="24"/>
        </w:rPr>
        <w:t xml:space="preserve">, even if, within many of the advanced societies, </w:t>
      </w:r>
      <w:r w:rsidR="009321F0" w:rsidRPr="006A73DD">
        <w:rPr>
          <w:rFonts w:asciiTheme="majorBidi" w:hAnsiTheme="majorBidi" w:cstheme="majorBidi"/>
          <w:szCs w:val="24"/>
        </w:rPr>
        <w:t>they do so in dilute form</w:t>
      </w:r>
      <w:r w:rsidR="00D519C4" w:rsidRPr="006A73DD">
        <w:rPr>
          <w:rFonts w:asciiTheme="majorBidi" w:hAnsiTheme="majorBidi" w:cstheme="majorBidi"/>
          <w:szCs w:val="24"/>
        </w:rPr>
        <w:t>.</w:t>
      </w:r>
      <w:r w:rsidR="00077C11" w:rsidRPr="006A73DD">
        <w:rPr>
          <w:rStyle w:val="EndnoteReference"/>
          <w:rFonts w:asciiTheme="majorBidi" w:hAnsiTheme="majorBidi" w:cstheme="majorBidi"/>
          <w:szCs w:val="24"/>
        </w:rPr>
        <w:endnoteReference w:id="6"/>
      </w:r>
      <w:r w:rsidR="00D519C4" w:rsidRPr="006A73DD">
        <w:rPr>
          <w:rFonts w:asciiTheme="majorBidi" w:hAnsiTheme="majorBidi" w:cstheme="majorBidi"/>
          <w:szCs w:val="24"/>
        </w:rPr>
        <w:t xml:space="preserve">  </w:t>
      </w:r>
      <w:r w:rsidR="00AB15C4" w:rsidRPr="006A73DD">
        <w:rPr>
          <w:rFonts w:asciiTheme="majorBidi" w:hAnsiTheme="majorBidi" w:cstheme="majorBidi"/>
          <w:szCs w:val="24"/>
        </w:rPr>
        <w:t xml:space="preserve">  </w:t>
      </w:r>
    </w:p>
    <w:p w:rsidR="000E4C64" w:rsidRPr="006A73DD" w:rsidRDefault="000E4C64" w:rsidP="0096219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ajorBidi" w:hAnsiTheme="majorBidi" w:cstheme="majorBidi"/>
          <w:b/>
          <w:szCs w:val="24"/>
        </w:rPr>
      </w:pPr>
    </w:p>
    <w:p w:rsidR="00AB15C4" w:rsidRPr="006A73DD" w:rsidRDefault="009769C3" w:rsidP="0096219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ajorBidi" w:hAnsiTheme="majorBidi" w:cstheme="majorBidi"/>
          <w:b/>
          <w:szCs w:val="24"/>
        </w:rPr>
      </w:pPr>
      <w:proofErr w:type="spellStart"/>
      <w:r w:rsidRPr="006A73DD">
        <w:rPr>
          <w:rFonts w:asciiTheme="majorBidi" w:hAnsiTheme="majorBidi" w:cstheme="majorBidi"/>
          <w:b/>
          <w:szCs w:val="24"/>
        </w:rPr>
        <w:t>Tripartism</w:t>
      </w:r>
      <w:proofErr w:type="spellEnd"/>
      <w:r w:rsidRPr="006A73DD">
        <w:rPr>
          <w:rFonts w:asciiTheme="majorBidi" w:hAnsiTheme="majorBidi" w:cstheme="majorBidi"/>
          <w:b/>
          <w:szCs w:val="24"/>
        </w:rPr>
        <w:t xml:space="preserve"> as</w:t>
      </w:r>
      <w:r w:rsidR="00EA78C0" w:rsidRPr="006A73DD">
        <w:rPr>
          <w:rFonts w:asciiTheme="majorBidi" w:hAnsiTheme="majorBidi" w:cstheme="majorBidi"/>
          <w:b/>
          <w:szCs w:val="24"/>
        </w:rPr>
        <w:t xml:space="preserve"> historical e</w:t>
      </w:r>
      <w:r w:rsidR="00AB15C4" w:rsidRPr="006A73DD">
        <w:rPr>
          <w:rFonts w:asciiTheme="majorBidi" w:hAnsiTheme="majorBidi" w:cstheme="majorBidi"/>
          <w:b/>
          <w:szCs w:val="24"/>
        </w:rPr>
        <w:t>xception</w:t>
      </w:r>
    </w:p>
    <w:p w:rsidR="00B300AF" w:rsidRPr="006A73DD" w:rsidRDefault="00D519C4" w:rsidP="0096219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ajorBidi" w:hAnsiTheme="majorBidi" w:cstheme="majorBidi"/>
          <w:szCs w:val="24"/>
        </w:rPr>
      </w:pPr>
      <w:proofErr w:type="spellStart"/>
      <w:r w:rsidRPr="006A73DD">
        <w:rPr>
          <w:rFonts w:asciiTheme="majorBidi" w:hAnsiTheme="majorBidi" w:cstheme="majorBidi"/>
          <w:szCs w:val="24"/>
        </w:rPr>
        <w:t>Tripartism</w:t>
      </w:r>
      <w:proofErr w:type="spellEnd"/>
      <w:r w:rsidRPr="006A73DD">
        <w:rPr>
          <w:rFonts w:asciiTheme="majorBidi" w:hAnsiTheme="majorBidi" w:cstheme="majorBidi"/>
          <w:szCs w:val="24"/>
        </w:rPr>
        <w:t xml:space="preserve"> almost by definition</w:t>
      </w:r>
      <w:r w:rsidR="004C38E9" w:rsidRPr="006A73DD">
        <w:rPr>
          <w:rFonts w:asciiTheme="majorBidi" w:hAnsiTheme="majorBidi" w:cstheme="majorBidi"/>
          <w:szCs w:val="24"/>
        </w:rPr>
        <w:t xml:space="preserve"> </w:t>
      </w:r>
      <w:r w:rsidR="000E4C64" w:rsidRPr="006A73DD">
        <w:rPr>
          <w:rFonts w:asciiTheme="majorBidi" w:hAnsiTheme="majorBidi" w:cstheme="majorBidi"/>
          <w:szCs w:val="24"/>
        </w:rPr>
        <w:t>requires a polity within which élite</w:t>
      </w:r>
      <w:r w:rsidR="004C38E9" w:rsidRPr="006A73DD">
        <w:rPr>
          <w:rFonts w:asciiTheme="majorBidi" w:hAnsiTheme="majorBidi" w:cstheme="majorBidi"/>
          <w:szCs w:val="24"/>
        </w:rPr>
        <w:t xml:space="preserve">s are prepared to institutionalize compromise with </w:t>
      </w:r>
      <w:proofErr w:type="spellStart"/>
      <w:r w:rsidR="004C38E9" w:rsidRPr="006A73DD">
        <w:rPr>
          <w:rFonts w:asciiTheme="majorBidi" w:hAnsiTheme="majorBidi" w:cstheme="majorBidi"/>
          <w:szCs w:val="24"/>
        </w:rPr>
        <w:t>labour</w:t>
      </w:r>
      <w:proofErr w:type="spellEnd"/>
      <w:r w:rsidR="004C38E9" w:rsidRPr="006A73DD">
        <w:rPr>
          <w:rFonts w:asciiTheme="majorBidi" w:hAnsiTheme="majorBidi" w:cstheme="majorBidi"/>
          <w:szCs w:val="24"/>
        </w:rPr>
        <w:t>.  Yet a</w:t>
      </w:r>
      <w:r w:rsidR="00AB15C4" w:rsidRPr="006A73DD">
        <w:rPr>
          <w:rFonts w:asciiTheme="majorBidi" w:hAnsiTheme="majorBidi" w:cstheme="majorBidi"/>
          <w:szCs w:val="24"/>
        </w:rPr>
        <w:t xml:space="preserve"> very wide and</w:t>
      </w:r>
      <w:r w:rsidR="009769C3" w:rsidRPr="006A73DD">
        <w:rPr>
          <w:rFonts w:asciiTheme="majorBidi" w:hAnsiTheme="majorBidi" w:cstheme="majorBidi"/>
          <w:szCs w:val="24"/>
        </w:rPr>
        <w:t xml:space="preserve"> diverse body of thinking </w:t>
      </w:r>
      <w:r w:rsidR="00C8307B" w:rsidRPr="006A73DD">
        <w:rPr>
          <w:rFonts w:asciiTheme="majorBidi" w:hAnsiTheme="majorBidi" w:cstheme="majorBidi"/>
          <w:szCs w:val="24"/>
        </w:rPr>
        <w:t xml:space="preserve">from across the political spectrum </w:t>
      </w:r>
      <w:r w:rsidR="00AB15C4" w:rsidRPr="006A73DD">
        <w:rPr>
          <w:rFonts w:asciiTheme="majorBidi" w:hAnsiTheme="majorBidi" w:cstheme="majorBidi"/>
          <w:szCs w:val="24"/>
        </w:rPr>
        <w:t xml:space="preserve">suggests that the normal condition of society </w:t>
      </w:r>
      <w:r w:rsidR="006A73DD" w:rsidRPr="006A73DD">
        <w:rPr>
          <w:rFonts w:asciiTheme="majorBidi" w:hAnsiTheme="majorBidi" w:cstheme="majorBidi"/>
          <w:szCs w:val="24"/>
        </w:rPr>
        <w:t xml:space="preserve">for </w:t>
      </w:r>
      <w:r w:rsidR="009769C3" w:rsidRPr="006A73DD">
        <w:rPr>
          <w:rFonts w:asciiTheme="majorBidi" w:hAnsiTheme="majorBidi" w:cstheme="majorBidi"/>
          <w:szCs w:val="24"/>
        </w:rPr>
        <w:t>centuries has been</w:t>
      </w:r>
      <w:r w:rsidR="00AB15C4" w:rsidRPr="006A73DD">
        <w:rPr>
          <w:rFonts w:asciiTheme="majorBidi" w:hAnsiTheme="majorBidi" w:cstheme="majorBidi"/>
          <w:szCs w:val="24"/>
        </w:rPr>
        <w:t xml:space="preserve"> charact</w:t>
      </w:r>
      <w:r w:rsidR="009769C3" w:rsidRPr="006A73DD">
        <w:rPr>
          <w:rFonts w:asciiTheme="majorBidi" w:hAnsiTheme="majorBidi" w:cstheme="majorBidi"/>
          <w:szCs w:val="24"/>
        </w:rPr>
        <w:t xml:space="preserve">erized by </w:t>
      </w:r>
      <w:proofErr w:type="spellStart"/>
      <w:r w:rsidR="009769C3" w:rsidRPr="006A73DD">
        <w:rPr>
          <w:rFonts w:asciiTheme="majorBidi" w:hAnsiTheme="majorBidi" w:cstheme="majorBidi"/>
          <w:szCs w:val="24"/>
        </w:rPr>
        <w:t>labour</w:t>
      </w:r>
      <w:proofErr w:type="spellEnd"/>
      <w:r w:rsidR="009769C3" w:rsidRPr="006A73DD">
        <w:rPr>
          <w:rFonts w:asciiTheme="majorBidi" w:hAnsiTheme="majorBidi" w:cstheme="majorBidi"/>
          <w:szCs w:val="24"/>
        </w:rPr>
        <w:t xml:space="preserve"> repression, entailing</w:t>
      </w:r>
      <w:r w:rsidR="00AB15C4" w:rsidRPr="006A73DD">
        <w:rPr>
          <w:rFonts w:asciiTheme="majorBidi" w:hAnsiTheme="majorBidi" w:cstheme="majorBidi"/>
          <w:szCs w:val="24"/>
        </w:rPr>
        <w:t xml:space="preserve"> the extraction </w:t>
      </w:r>
      <w:r w:rsidR="009321F0" w:rsidRPr="006A73DD">
        <w:rPr>
          <w:rFonts w:asciiTheme="majorBidi" w:hAnsiTheme="majorBidi" w:cstheme="majorBidi"/>
          <w:szCs w:val="24"/>
        </w:rPr>
        <w:t xml:space="preserve">by relatively small élites </w:t>
      </w:r>
      <w:r w:rsidR="00AB15C4" w:rsidRPr="006A73DD">
        <w:rPr>
          <w:rFonts w:asciiTheme="majorBidi" w:hAnsiTheme="majorBidi" w:cstheme="majorBidi"/>
          <w:szCs w:val="24"/>
        </w:rPr>
        <w:t>of t</w:t>
      </w:r>
      <w:r w:rsidR="009321F0" w:rsidRPr="006A73DD">
        <w:rPr>
          <w:rFonts w:asciiTheme="majorBidi" w:hAnsiTheme="majorBidi" w:cstheme="majorBidi"/>
          <w:szCs w:val="24"/>
        </w:rPr>
        <w:t>he bulk of any surplus generated</w:t>
      </w:r>
      <w:r w:rsidR="00AB15C4" w:rsidRPr="006A73DD">
        <w:rPr>
          <w:rFonts w:asciiTheme="majorBidi" w:hAnsiTheme="majorBidi" w:cstheme="majorBidi"/>
          <w:szCs w:val="24"/>
        </w:rPr>
        <w:t>.   The great theorist of American slave</w:t>
      </w:r>
      <w:r w:rsidR="009769C3" w:rsidRPr="006A73DD">
        <w:rPr>
          <w:rFonts w:asciiTheme="majorBidi" w:hAnsiTheme="majorBidi" w:cstheme="majorBidi"/>
          <w:szCs w:val="24"/>
        </w:rPr>
        <w:t xml:space="preserve">ry, </w:t>
      </w:r>
      <w:r w:rsidR="00204455" w:rsidRPr="006A73DD">
        <w:rPr>
          <w:rFonts w:asciiTheme="majorBidi" w:hAnsiTheme="majorBidi" w:cstheme="majorBidi"/>
          <w:szCs w:val="24"/>
        </w:rPr>
        <w:t xml:space="preserve">John </w:t>
      </w:r>
      <w:r w:rsidR="009769C3" w:rsidRPr="006A73DD">
        <w:rPr>
          <w:rFonts w:asciiTheme="majorBidi" w:hAnsiTheme="majorBidi" w:cstheme="majorBidi"/>
          <w:szCs w:val="24"/>
        </w:rPr>
        <w:t>Calhoun, defended it</w:t>
      </w:r>
      <w:r w:rsidR="00566B53" w:rsidRPr="006A73DD">
        <w:rPr>
          <w:rFonts w:asciiTheme="majorBidi" w:hAnsiTheme="majorBidi" w:cstheme="majorBidi"/>
          <w:szCs w:val="24"/>
        </w:rPr>
        <w:t xml:space="preserve"> through the asser</w:t>
      </w:r>
      <w:r w:rsidR="00AB15C4" w:rsidRPr="006A73DD">
        <w:rPr>
          <w:rFonts w:asciiTheme="majorBidi" w:hAnsiTheme="majorBidi" w:cstheme="majorBidi"/>
          <w:szCs w:val="24"/>
        </w:rPr>
        <w:t xml:space="preserve">tion that </w:t>
      </w:r>
      <w:proofErr w:type="spellStart"/>
      <w:r w:rsidR="00AB15C4" w:rsidRPr="006A73DD">
        <w:rPr>
          <w:rFonts w:asciiTheme="majorBidi" w:hAnsiTheme="majorBidi" w:cstheme="majorBidi"/>
          <w:szCs w:val="24"/>
        </w:rPr>
        <w:t>labour</w:t>
      </w:r>
      <w:proofErr w:type="spellEnd"/>
      <w:r w:rsidR="00AB15C4" w:rsidRPr="006A73DD">
        <w:rPr>
          <w:rFonts w:asciiTheme="majorBidi" w:hAnsiTheme="majorBidi" w:cstheme="majorBidi"/>
          <w:szCs w:val="24"/>
        </w:rPr>
        <w:t xml:space="preserve"> coercion was encountered in all societies, and that modern slavery represented a relatively benign form in that it ostensibly encompassed welfare commitments on the behalf of maste</w:t>
      </w:r>
      <w:r w:rsidR="00566B53" w:rsidRPr="006A73DD">
        <w:rPr>
          <w:rFonts w:asciiTheme="majorBidi" w:hAnsiTheme="majorBidi" w:cstheme="majorBidi"/>
          <w:szCs w:val="24"/>
        </w:rPr>
        <w:t>rs which were absent under the impersonal relations of</w:t>
      </w:r>
      <w:r w:rsidR="00AB15C4" w:rsidRPr="006A73DD">
        <w:rPr>
          <w:rFonts w:asciiTheme="majorBidi" w:hAnsiTheme="majorBidi" w:cstheme="majorBidi"/>
          <w:szCs w:val="24"/>
        </w:rPr>
        <w:t xml:space="preserve"> wage </w:t>
      </w:r>
      <w:proofErr w:type="spellStart"/>
      <w:r w:rsidR="00AB15C4" w:rsidRPr="006A73DD">
        <w:rPr>
          <w:rFonts w:asciiTheme="majorBidi" w:hAnsiTheme="majorBidi" w:cstheme="majorBidi"/>
          <w:szCs w:val="24"/>
        </w:rPr>
        <w:t>labour</w:t>
      </w:r>
      <w:proofErr w:type="spellEnd"/>
      <w:r w:rsidR="00AB15C4" w:rsidRPr="006A73DD">
        <w:rPr>
          <w:rFonts w:asciiTheme="majorBidi" w:hAnsiTheme="majorBidi" w:cstheme="majorBidi"/>
          <w:szCs w:val="24"/>
        </w:rPr>
        <w:t>.</w:t>
      </w:r>
      <w:r w:rsidR="00077C11" w:rsidRPr="006A73DD">
        <w:rPr>
          <w:rStyle w:val="EndnoteReference"/>
          <w:rFonts w:asciiTheme="majorBidi" w:hAnsiTheme="majorBidi" w:cstheme="majorBidi"/>
          <w:szCs w:val="24"/>
        </w:rPr>
        <w:endnoteReference w:id="7"/>
      </w:r>
      <w:r w:rsidR="00AB15C4" w:rsidRPr="006A73DD">
        <w:rPr>
          <w:rFonts w:asciiTheme="majorBidi" w:hAnsiTheme="majorBidi" w:cstheme="majorBidi"/>
          <w:szCs w:val="24"/>
        </w:rPr>
        <w:t xml:space="preserve"> This view, o</w:t>
      </w:r>
      <w:r w:rsidR="00141E31" w:rsidRPr="006A73DD">
        <w:rPr>
          <w:rFonts w:asciiTheme="majorBidi" w:hAnsiTheme="majorBidi" w:cstheme="majorBidi"/>
          <w:szCs w:val="24"/>
        </w:rPr>
        <w:t>f course, challenge</w:t>
      </w:r>
      <w:r w:rsidR="00D30971" w:rsidRPr="006A73DD">
        <w:rPr>
          <w:rFonts w:asciiTheme="majorBidi" w:hAnsiTheme="majorBidi" w:cstheme="majorBidi"/>
          <w:szCs w:val="24"/>
        </w:rPr>
        <w:t>s the arg</w:t>
      </w:r>
      <w:r w:rsidR="00141E31" w:rsidRPr="006A73DD">
        <w:rPr>
          <w:rFonts w:asciiTheme="majorBidi" w:hAnsiTheme="majorBidi" w:cstheme="majorBidi"/>
          <w:szCs w:val="24"/>
        </w:rPr>
        <w:t>uments</w:t>
      </w:r>
      <w:r w:rsidR="00AB15C4" w:rsidRPr="006A73DD">
        <w:rPr>
          <w:rFonts w:asciiTheme="majorBidi" w:hAnsiTheme="majorBidi" w:cstheme="majorBidi"/>
          <w:szCs w:val="24"/>
        </w:rPr>
        <w:t xml:space="preserve"> that </w:t>
      </w:r>
      <w:proofErr w:type="spellStart"/>
      <w:r w:rsidR="00AB15C4" w:rsidRPr="006A73DD">
        <w:rPr>
          <w:rFonts w:asciiTheme="majorBidi" w:hAnsiTheme="majorBidi" w:cstheme="majorBidi"/>
          <w:szCs w:val="24"/>
        </w:rPr>
        <w:t>labour</w:t>
      </w:r>
      <w:proofErr w:type="spellEnd"/>
      <w:r w:rsidR="00AB15C4" w:rsidRPr="006A73DD">
        <w:rPr>
          <w:rFonts w:asciiTheme="majorBidi" w:hAnsiTheme="majorBidi" w:cstheme="majorBidi"/>
          <w:szCs w:val="24"/>
        </w:rPr>
        <w:t xml:space="preserve"> coercion</w:t>
      </w:r>
      <w:r w:rsidR="009769C3" w:rsidRPr="006A73DD">
        <w:rPr>
          <w:rFonts w:asciiTheme="majorBidi" w:hAnsiTheme="majorBidi" w:cstheme="majorBidi"/>
          <w:szCs w:val="24"/>
        </w:rPr>
        <w:t xml:space="preserve"> both under slavery and more widely </w:t>
      </w:r>
      <w:r w:rsidR="00AB15C4" w:rsidRPr="006A73DD">
        <w:rPr>
          <w:rFonts w:asciiTheme="majorBidi" w:hAnsiTheme="majorBidi" w:cstheme="majorBidi"/>
          <w:szCs w:val="24"/>
        </w:rPr>
        <w:t>is often irrationally cruel</w:t>
      </w:r>
      <w:r w:rsidR="00C8307B" w:rsidRPr="006A73DD">
        <w:rPr>
          <w:rFonts w:asciiTheme="majorBidi" w:hAnsiTheme="majorBidi" w:cstheme="majorBidi"/>
          <w:szCs w:val="24"/>
        </w:rPr>
        <w:t xml:space="preserve"> </w:t>
      </w:r>
      <w:r w:rsidR="009321F0" w:rsidRPr="006A73DD">
        <w:rPr>
          <w:rFonts w:asciiTheme="majorBidi" w:hAnsiTheme="majorBidi" w:cstheme="majorBidi"/>
          <w:szCs w:val="24"/>
        </w:rPr>
        <w:t>since human property was</w:t>
      </w:r>
      <w:r w:rsidR="00D30971" w:rsidRPr="006A73DD">
        <w:rPr>
          <w:rFonts w:asciiTheme="majorBidi" w:hAnsiTheme="majorBidi" w:cstheme="majorBidi"/>
          <w:szCs w:val="24"/>
        </w:rPr>
        <w:t xml:space="preserve"> </w:t>
      </w:r>
      <w:r w:rsidR="00AD1D0E" w:rsidRPr="006A73DD">
        <w:rPr>
          <w:rFonts w:asciiTheme="majorBidi" w:hAnsiTheme="majorBidi" w:cstheme="majorBidi"/>
          <w:szCs w:val="24"/>
        </w:rPr>
        <w:t>often</w:t>
      </w:r>
      <w:r w:rsidR="00B300AF" w:rsidRPr="006A73DD">
        <w:rPr>
          <w:rFonts w:asciiTheme="majorBidi" w:hAnsiTheme="majorBidi" w:cstheme="majorBidi"/>
          <w:szCs w:val="24"/>
        </w:rPr>
        <w:t xml:space="preserve"> wilfully</w:t>
      </w:r>
      <w:r w:rsidR="00AD1D0E" w:rsidRPr="006A73DD">
        <w:rPr>
          <w:rFonts w:asciiTheme="majorBidi" w:hAnsiTheme="majorBidi" w:cstheme="majorBidi"/>
          <w:szCs w:val="24"/>
        </w:rPr>
        <w:t xml:space="preserve"> </w:t>
      </w:r>
      <w:r w:rsidR="00D30971" w:rsidRPr="006A73DD">
        <w:rPr>
          <w:rFonts w:asciiTheme="majorBidi" w:hAnsiTheme="majorBidi" w:cstheme="majorBidi"/>
          <w:szCs w:val="24"/>
        </w:rPr>
        <w:t>damaged by its owners</w:t>
      </w:r>
      <w:r w:rsidRPr="006A73DD">
        <w:rPr>
          <w:rFonts w:asciiTheme="majorBidi" w:hAnsiTheme="majorBidi" w:cstheme="majorBidi"/>
          <w:szCs w:val="24"/>
        </w:rPr>
        <w:t>.</w:t>
      </w:r>
      <w:r w:rsidR="00077C11" w:rsidRPr="006A73DD">
        <w:rPr>
          <w:rStyle w:val="EndnoteReference"/>
          <w:rFonts w:asciiTheme="majorBidi" w:hAnsiTheme="majorBidi" w:cstheme="majorBidi"/>
          <w:szCs w:val="24"/>
        </w:rPr>
        <w:endnoteReference w:id="8"/>
      </w:r>
      <w:r w:rsidRPr="006A73DD">
        <w:rPr>
          <w:rFonts w:asciiTheme="majorBidi" w:hAnsiTheme="majorBidi" w:cstheme="majorBidi"/>
          <w:szCs w:val="24"/>
        </w:rPr>
        <w:t xml:space="preserve">  </w:t>
      </w:r>
    </w:p>
    <w:p w:rsidR="00B300AF" w:rsidRPr="006A73DD" w:rsidRDefault="00B300AF" w:rsidP="0096219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ajorBidi" w:hAnsiTheme="majorBidi" w:cstheme="majorBidi"/>
          <w:szCs w:val="24"/>
        </w:rPr>
      </w:pPr>
    </w:p>
    <w:p w:rsidR="00AB15C4" w:rsidRPr="006A73DD" w:rsidRDefault="00B300AF" w:rsidP="006A73D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ajorBidi" w:hAnsiTheme="majorBidi" w:cstheme="majorBidi"/>
          <w:szCs w:val="24"/>
        </w:rPr>
      </w:pPr>
      <w:r w:rsidRPr="006A73DD">
        <w:rPr>
          <w:rFonts w:asciiTheme="majorBidi" w:hAnsiTheme="majorBidi" w:cstheme="majorBidi"/>
          <w:szCs w:val="24"/>
        </w:rPr>
        <w:lastRenderedPageBreak/>
        <w:t>More</w:t>
      </w:r>
      <w:r w:rsidR="006A73DD" w:rsidRPr="006A73DD">
        <w:rPr>
          <w:rFonts w:asciiTheme="majorBidi" w:hAnsiTheme="majorBidi" w:cstheme="majorBidi"/>
          <w:szCs w:val="24"/>
        </w:rPr>
        <w:t xml:space="preserve"> generally speaking, it can be</w:t>
      </w:r>
      <w:r w:rsidRPr="006A73DD">
        <w:rPr>
          <w:rFonts w:asciiTheme="majorBidi" w:hAnsiTheme="majorBidi" w:cstheme="majorBidi"/>
          <w:szCs w:val="24"/>
        </w:rPr>
        <w:t xml:space="preserve"> argued that </w:t>
      </w:r>
      <w:r w:rsidR="000E4C64" w:rsidRPr="006A73DD">
        <w:rPr>
          <w:rFonts w:asciiTheme="majorBidi" w:hAnsiTheme="majorBidi" w:cstheme="majorBidi"/>
          <w:szCs w:val="24"/>
        </w:rPr>
        <w:t>élites</w:t>
      </w:r>
      <w:r w:rsidR="00D519C4" w:rsidRPr="006A73DD">
        <w:rPr>
          <w:rFonts w:asciiTheme="majorBidi" w:hAnsiTheme="majorBidi" w:cstheme="majorBidi"/>
          <w:szCs w:val="24"/>
        </w:rPr>
        <w:t xml:space="preserve"> a</w:t>
      </w:r>
      <w:r w:rsidRPr="006A73DD">
        <w:rPr>
          <w:rFonts w:asciiTheme="majorBidi" w:hAnsiTheme="majorBidi" w:cstheme="majorBidi"/>
          <w:szCs w:val="24"/>
        </w:rPr>
        <w:t>re</w:t>
      </w:r>
      <w:r w:rsidR="00AB15C4" w:rsidRPr="006A73DD">
        <w:rPr>
          <w:rFonts w:asciiTheme="majorBidi" w:hAnsiTheme="majorBidi" w:cstheme="majorBidi"/>
          <w:szCs w:val="24"/>
        </w:rPr>
        <w:t xml:space="preserve"> extr</w:t>
      </w:r>
      <w:r w:rsidR="00400BDF" w:rsidRPr="006A73DD">
        <w:rPr>
          <w:rFonts w:asciiTheme="majorBidi" w:hAnsiTheme="majorBidi" w:cstheme="majorBidi"/>
          <w:szCs w:val="24"/>
        </w:rPr>
        <w:t>eme</w:t>
      </w:r>
      <w:r w:rsidR="00AB15C4" w:rsidRPr="006A73DD">
        <w:rPr>
          <w:rFonts w:asciiTheme="majorBidi" w:hAnsiTheme="majorBidi" w:cstheme="majorBidi"/>
          <w:szCs w:val="24"/>
        </w:rPr>
        <w:t xml:space="preserve">ly reluctant to compromise even when the alternatives are social disorder </w:t>
      </w:r>
      <w:r w:rsidR="003D1C7B" w:rsidRPr="006A73DD">
        <w:rPr>
          <w:rFonts w:asciiTheme="majorBidi" w:hAnsiTheme="majorBidi" w:cstheme="majorBidi"/>
          <w:szCs w:val="24"/>
        </w:rPr>
        <w:t xml:space="preserve">or war. </w:t>
      </w:r>
      <w:r w:rsidR="00141E31" w:rsidRPr="006A73DD">
        <w:rPr>
          <w:rFonts w:asciiTheme="majorBidi" w:hAnsiTheme="majorBidi" w:cstheme="majorBidi"/>
          <w:szCs w:val="24"/>
        </w:rPr>
        <w:t xml:space="preserve"> Marx </w:t>
      </w:r>
      <w:r w:rsidR="00AB15C4" w:rsidRPr="006A73DD">
        <w:rPr>
          <w:rFonts w:asciiTheme="majorBidi" w:hAnsiTheme="majorBidi" w:cstheme="majorBidi"/>
          <w:szCs w:val="24"/>
        </w:rPr>
        <w:t xml:space="preserve">believed that </w:t>
      </w:r>
      <w:r w:rsidR="009321F0" w:rsidRPr="006A73DD">
        <w:rPr>
          <w:rFonts w:asciiTheme="majorBidi" w:hAnsiTheme="majorBidi" w:cstheme="majorBidi"/>
          <w:szCs w:val="24"/>
        </w:rPr>
        <w:t xml:space="preserve">though </w:t>
      </w:r>
      <w:r w:rsidR="00C8307B" w:rsidRPr="006A73DD">
        <w:rPr>
          <w:rFonts w:asciiTheme="majorBidi" w:hAnsiTheme="majorBidi" w:cstheme="majorBidi"/>
          <w:szCs w:val="24"/>
        </w:rPr>
        <w:t xml:space="preserve">repression had hitherto been universal, </w:t>
      </w:r>
      <w:r w:rsidR="00AB15C4" w:rsidRPr="006A73DD">
        <w:rPr>
          <w:rFonts w:asciiTheme="majorBidi" w:hAnsiTheme="majorBidi" w:cstheme="majorBidi"/>
          <w:szCs w:val="24"/>
        </w:rPr>
        <w:t>general emancipation was</w:t>
      </w:r>
      <w:r w:rsidRPr="006A73DD">
        <w:rPr>
          <w:rFonts w:asciiTheme="majorBidi" w:hAnsiTheme="majorBidi" w:cstheme="majorBidi"/>
          <w:szCs w:val="24"/>
        </w:rPr>
        <w:t xml:space="preserve"> </w:t>
      </w:r>
      <w:r w:rsidR="00141E31" w:rsidRPr="006A73DD">
        <w:rPr>
          <w:rFonts w:asciiTheme="majorBidi" w:hAnsiTheme="majorBidi" w:cstheme="majorBidi"/>
          <w:szCs w:val="24"/>
        </w:rPr>
        <w:t>possible, and</w:t>
      </w:r>
      <w:r w:rsidRPr="006A73DD">
        <w:rPr>
          <w:rFonts w:asciiTheme="majorBidi" w:hAnsiTheme="majorBidi" w:cstheme="majorBidi"/>
          <w:szCs w:val="24"/>
        </w:rPr>
        <w:t>, indeed</w:t>
      </w:r>
      <w:r w:rsidR="00AB15C4" w:rsidRPr="006A73DD">
        <w:rPr>
          <w:rFonts w:asciiTheme="majorBidi" w:hAnsiTheme="majorBidi" w:cstheme="majorBidi"/>
          <w:szCs w:val="24"/>
        </w:rPr>
        <w:t xml:space="preserve"> </w:t>
      </w:r>
      <w:r w:rsidR="009321F0" w:rsidRPr="006A73DD">
        <w:rPr>
          <w:rFonts w:asciiTheme="majorBidi" w:hAnsiTheme="majorBidi" w:cstheme="majorBidi"/>
          <w:szCs w:val="24"/>
        </w:rPr>
        <w:t xml:space="preserve">that </w:t>
      </w:r>
      <w:r w:rsidR="00AB15C4" w:rsidRPr="006A73DD">
        <w:rPr>
          <w:rFonts w:asciiTheme="majorBidi" w:hAnsiTheme="majorBidi" w:cstheme="majorBidi"/>
          <w:szCs w:val="24"/>
        </w:rPr>
        <w:t xml:space="preserve">wage </w:t>
      </w:r>
      <w:proofErr w:type="spellStart"/>
      <w:r w:rsidR="00AB15C4" w:rsidRPr="006A73DD">
        <w:rPr>
          <w:rFonts w:asciiTheme="majorBidi" w:hAnsiTheme="majorBidi" w:cstheme="majorBidi"/>
          <w:szCs w:val="24"/>
        </w:rPr>
        <w:t>labour</w:t>
      </w:r>
      <w:proofErr w:type="spellEnd"/>
      <w:r w:rsidR="00AB15C4" w:rsidRPr="006A73DD">
        <w:rPr>
          <w:rFonts w:asciiTheme="majorBidi" w:hAnsiTheme="majorBidi" w:cstheme="majorBidi"/>
          <w:szCs w:val="24"/>
        </w:rPr>
        <w:t xml:space="preserve"> </w:t>
      </w:r>
      <w:r w:rsidRPr="006A73DD">
        <w:rPr>
          <w:rFonts w:asciiTheme="majorBidi" w:hAnsiTheme="majorBidi" w:cstheme="majorBidi"/>
          <w:szCs w:val="24"/>
        </w:rPr>
        <w:t>already represented an improvement o</w:t>
      </w:r>
      <w:r w:rsidR="00650892" w:rsidRPr="006A73DD">
        <w:rPr>
          <w:rFonts w:asciiTheme="majorBidi" w:hAnsiTheme="majorBidi" w:cstheme="majorBidi"/>
          <w:szCs w:val="24"/>
        </w:rPr>
        <w:t>n</w:t>
      </w:r>
      <w:r w:rsidRPr="006A73DD">
        <w:rPr>
          <w:rFonts w:asciiTheme="majorBidi" w:hAnsiTheme="majorBidi" w:cstheme="majorBidi"/>
          <w:szCs w:val="24"/>
        </w:rPr>
        <w:t xml:space="preserve"> </w:t>
      </w:r>
      <w:r w:rsidR="000E4C64" w:rsidRPr="006A73DD">
        <w:rPr>
          <w:rFonts w:asciiTheme="majorBidi" w:hAnsiTheme="majorBidi" w:cstheme="majorBidi"/>
          <w:szCs w:val="24"/>
        </w:rPr>
        <w:t>any previous form</w:t>
      </w:r>
      <w:r w:rsidRPr="006A73DD">
        <w:rPr>
          <w:rFonts w:asciiTheme="majorBidi" w:hAnsiTheme="majorBidi" w:cstheme="majorBidi"/>
          <w:szCs w:val="24"/>
        </w:rPr>
        <w:t xml:space="preserve"> of production</w:t>
      </w:r>
      <w:r w:rsidR="00C8307B" w:rsidRPr="006A73DD">
        <w:rPr>
          <w:rFonts w:asciiTheme="majorBidi" w:hAnsiTheme="majorBidi" w:cstheme="majorBidi"/>
          <w:szCs w:val="24"/>
        </w:rPr>
        <w:t>. H</w:t>
      </w:r>
      <w:r w:rsidR="00AB15C4" w:rsidRPr="006A73DD">
        <w:rPr>
          <w:rFonts w:asciiTheme="majorBidi" w:hAnsiTheme="majorBidi" w:cstheme="majorBidi"/>
          <w:szCs w:val="24"/>
        </w:rPr>
        <w:t xml:space="preserve">e was </w:t>
      </w:r>
      <w:r w:rsidR="00C8307B" w:rsidRPr="006A73DD">
        <w:rPr>
          <w:rFonts w:asciiTheme="majorBidi" w:hAnsiTheme="majorBidi" w:cstheme="majorBidi"/>
          <w:szCs w:val="24"/>
        </w:rPr>
        <w:t xml:space="preserve">also notoriously </w:t>
      </w:r>
      <w:r w:rsidR="00AB15C4" w:rsidRPr="006A73DD">
        <w:rPr>
          <w:rFonts w:asciiTheme="majorBidi" w:hAnsiTheme="majorBidi" w:cstheme="majorBidi"/>
          <w:szCs w:val="24"/>
        </w:rPr>
        <w:t xml:space="preserve">skeptical of the possibility </w:t>
      </w:r>
      <w:r w:rsidR="005F3748" w:rsidRPr="006A73DD">
        <w:rPr>
          <w:rFonts w:asciiTheme="majorBidi" w:hAnsiTheme="majorBidi" w:cstheme="majorBidi"/>
          <w:szCs w:val="24"/>
        </w:rPr>
        <w:t xml:space="preserve">of meaningful </w:t>
      </w:r>
      <w:r w:rsidR="00C8307B" w:rsidRPr="006A73DD">
        <w:rPr>
          <w:rFonts w:asciiTheme="majorBidi" w:hAnsiTheme="majorBidi" w:cstheme="majorBidi"/>
          <w:szCs w:val="24"/>
        </w:rPr>
        <w:t xml:space="preserve">reform and </w:t>
      </w:r>
      <w:r w:rsidR="005F3748" w:rsidRPr="006A73DD">
        <w:rPr>
          <w:rFonts w:asciiTheme="majorBidi" w:hAnsiTheme="majorBidi" w:cstheme="majorBidi"/>
          <w:szCs w:val="24"/>
        </w:rPr>
        <w:t>class compromises</w:t>
      </w:r>
      <w:r w:rsidR="00AB15C4" w:rsidRPr="006A73DD">
        <w:rPr>
          <w:rFonts w:asciiTheme="majorBidi" w:hAnsiTheme="majorBidi" w:cstheme="majorBidi"/>
          <w:szCs w:val="24"/>
        </w:rPr>
        <w:t xml:space="preserve">.  </w:t>
      </w:r>
      <w:r w:rsidR="003D1C7B" w:rsidRPr="006A73DD">
        <w:rPr>
          <w:rFonts w:asciiTheme="majorBidi" w:hAnsiTheme="majorBidi" w:cstheme="majorBidi"/>
          <w:szCs w:val="24"/>
        </w:rPr>
        <w:t>Why then, were</w:t>
      </w:r>
      <w:r w:rsidR="00AB15C4" w:rsidRPr="006A73DD">
        <w:rPr>
          <w:rFonts w:asciiTheme="majorBidi" w:hAnsiTheme="majorBidi" w:cstheme="majorBidi"/>
          <w:szCs w:val="24"/>
        </w:rPr>
        <w:t xml:space="preserve"> the great compromises of th</w:t>
      </w:r>
      <w:r w:rsidR="003D1C7B" w:rsidRPr="006A73DD">
        <w:rPr>
          <w:rFonts w:asciiTheme="majorBidi" w:hAnsiTheme="majorBidi" w:cstheme="majorBidi"/>
          <w:szCs w:val="24"/>
        </w:rPr>
        <w:t>e post war settlement constructed</w:t>
      </w:r>
      <w:r w:rsidR="00AB15C4" w:rsidRPr="006A73DD">
        <w:rPr>
          <w:rFonts w:asciiTheme="majorBidi" w:hAnsiTheme="majorBidi" w:cstheme="majorBidi"/>
          <w:szCs w:val="24"/>
        </w:rPr>
        <w:t>? Th</w:t>
      </w:r>
      <w:r w:rsidR="00566B53" w:rsidRPr="006A73DD">
        <w:rPr>
          <w:rFonts w:asciiTheme="majorBidi" w:hAnsiTheme="majorBidi" w:cstheme="majorBidi"/>
          <w:szCs w:val="24"/>
        </w:rPr>
        <w:t>e weight of opinion</w:t>
      </w:r>
      <w:r w:rsidR="00C8307B" w:rsidRPr="006A73DD">
        <w:rPr>
          <w:rFonts w:asciiTheme="majorBidi" w:hAnsiTheme="majorBidi" w:cstheme="majorBidi"/>
          <w:szCs w:val="24"/>
        </w:rPr>
        <w:t xml:space="preserve"> here is that they</w:t>
      </w:r>
      <w:r w:rsidR="006A73DD">
        <w:rPr>
          <w:rFonts w:asciiTheme="majorBidi" w:hAnsiTheme="majorBidi" w:cstheme="majorBidi"/>
          <w:szCs w:val="24"/>
        </w:rPr>
        <w:t xml:space="preserve"> reflected</w:t>
      </w:r>
      <w:r w:rsidR="00AB15C4" w:rsidRPr="006A73DD">
        <w:rPr>
          <w:rFonts w:asciiTheme="majorBidi" w:hAnsiTheme="majorBidi" w:cstheme="majorBidi"/>
          <w:szCs w:val="24"/>
        </w:rPr>
        <w:t xml:space="preserve"> a high</w:t>
      </w:r>
      <w:r w:rsidR="00C8307B" w:rsidRPr="006A73DD">
        <w:rPr>
          <w:rFonts w:asciiTheme="majorBidi" w:hAnsiTheme="majorBidi" w:cstheme="majorBidi"/>
          <w:szCs w:val="24"/>
        </w:rPr>
        <w:t>ly</w:t>
      </w:r>
      <w:r w:rsidR="00AB15C4" w:rsidRPr="006A73DD">
        <w:rPr>
          <w:rFonts w:asciiTheme="majorBidi" w:hAnsiTheme="majorBidi" w:cstheme="majorBidi"/>
          <w:szCs w:val="24"/>
        </w:rPr>
        <w:t xml:space="preserve"> specific set of circumstances. </w:t>
      </w:r>
      <w:r w:rsidR="004F3793" w:rsidRPr="006A73DD">
        <w:rPr>
          <w:rFonts w:asciiTheme="majorBidi" w:hAnsiTheme="majorBidi" w:cstheme="majorBidi"/>
          <w:szCs w:val="24"/>
        </w:rPr>
        <w:t xml:space="preserve">In the Anglo-Saxon economies, </w:t>
      </w:r>
      <w:proofErr w:type="spellStart"/>
      <w:r w:rsidR="004F3793" w:rsidRPr="006A73DD">
        <w:rPr>
          <w:rFonts w:asciiTheme="majorBidi" w:hAnsiTheme="majorBidi" w:cstheme="majorBidi"/>
          <w:szCs w:val="24"/>
        </w:rPr>
        <w:t>labour</w:t>
      </w:r>
      <w:proofErr w:type="spellEnd"/>
      <w:r w:rsidR="004F3793" w:rsidRPr="006A73DD">
        <w:rPr>
          <w:rFonts w:asciiTheme="majorBidi" w:hAnsiTheme="majorBidi" w:cstheme="majorBidi"/>
          <w:szCs w:val="24"/>
        </w:rPr>
        <w:t xml:space="preserve"> had been hugely strengthened by rearmament, war and </w:t>
      </w:r>
      <w:r w:rsidR="00A82960" w:rsidRPr="006A73DD">
        <w:rPr>
          <w:rFonts w:asciiTheme="majorBidi" w:hAnsiTheme="majorBidi" w:cstheme="majorBidi"/>
          <w:szCs w:val="24"/>
        </w:rPr>
        <w:t xml:space="preserve">an </w:t>
      </w:r>
      <w:r w:rsidR="003D1C7B" w:rsidRPr="006A73DD">
        <w:rPr>
          <w:rFonts w:asciiTheme="majorBidi" w:hAnsiTheme="majorBidi" w:cstheme="majorBidi"/>
          <w:szCs w:val="24"/>
        </w:rPr>
        <w:t>anti-fascist ideological consensus</w:t>
      </w:r>
      <w:r w:rsidR="004F3793" w:rsidRPr="006A73DD">
        <w:rPr>
          <w:rFonts w:asciiTheme="majorBidi" w:hAnsiTheme="majorBidi" w:cstheme="majorBidi"/>
          <w:szCs w:val="24"/>
        </w:rPr>
        <w:t xml:space="preserve">.  </w:t>
      </w:r>
      <w:r w:rsidR="00D30971" w:rsidRPr="006A73DD">
        <w:rPr>
          <w:rFonts w:asciiTheme="majorBidi" w:hAnsiTheme="majorBidi" w:cstheme="majorBidi"/>
          <w:szCs w:val="24"/>
        </w:rPr>
        <w:t xml:space="preserve"> </w:t>
      </w:r>
      <w:r w:rsidR="00AB15C4" w:rsidRPr="006A73DD">
        <w:rPr>
          <w:rFonts w:asciiTheme="majorBidi" w:hAnsiTheme="majorBidi" w:cstheme="majorBidi"/>
          <w:szCs w:val="24"/>
        </w:rPr>
        <w:t xml:space="preserve">The </w:t>
      </w:r>
      <w:r w:rsidR="00F20EAA" w:rsidRPr="006A73DD">
        <w:rPr>
          <w:rFonts w:asciiTheme="majorBidi" w:hAnsiTheme="majorBidi" w:cstheme="majorBidi"/>
          <w:szCs w:val="24"/>
        </w:rPr>
        <w:t xml:space="preserve">inter-war </w:t>
      </w:r>
      <w:r w:rsidR="000E4C64" w:rsidRPr="006A73DD">
        <w:rPr>
          <w:rFonts w:asciiTheme="majorBidi" w:hAnsiTheme="majorBidi" w:cstheme="majorBidi"/>
          <w:szCs w:val="24"/>
        </w:rPr>
        <w:t>Great Depression</w:t>
      </w:r>
      <w:r w:rsidR="00AB15C4" w:rsidRPr="006A73DD">
        <w:rPr>
          <w:rFonts w:asciiTheme="majorBidi" w:hAnsiTheme="majorBidi" w:cstheme="majorBidi"/>
          <w:szCs w:val="24"/>
        </w:rPr>
        <w:t xml:space="preserve"> and the rise and collapse of fascism compromised the legitimacy of defenders of untrammeled corporate power, and </w:t>
      </w:r>
      <w:r w:rsidR="00F20EAA" w:rsidRPr="006A73DD">
        <w:rPr>
          <w:rFonts w:asciiTheme="majorBidi" w:hAnsiTheme="majorBidi" w:cstheme="majorBidi"/>
          <w:szCs w:val="24"/>
        </w:rPr>
        <w:t xml:space="preserve">highlighted </w:t>
      </w:r>
      <w:r w:rsidR="00AB15C4" w:rsidRPr="006A73DD">
        <w:rPr>
          <w:rFonts w:asciiTheme="majorBidi" w:hAnsiTheme="majorBidi" w:cstheme="majorBidi"/>
          <w:szCs w:val="24"/>
        </w:rPr>
        <w:t>the exhaustion of policy alternatives s</w:t>
      </w:r>
      <w:r w:rsidR="003D1C7B" w:rsidRPr="006A73DD">
        <w:rPr>
          <w:rFonts w:asciiTheme="majorBidi" w:hAnsiTheme="majorBidi" w:cstheme="majorBidi"/>
          <w:szCs w:val="24"/>
        </w:rPr>
        <w:t>hort of class comprom</w:t>
      </w:r>
      <w:r w:rsidR="00566B53" w:rsidRPr="006A73DD">
        <w:rPr>
          <w:rFonts w:asciiTheme="majorBidi" w:hAnsiTheme="majorBidi" w:cstheme="majorBidi"/>
          <w:szCs w:val="24"/>
        </w:rPr>
        <w:t>ise.   A</w:t>
      </w:r>
      <w:r w:rsidR="003D1C7B" w:rsidRPr="006A73DD">
        <w:rPr>
          <w:rFonts w:asciiTheme="majorBidi" w:hAnsiTheme="majorBidi" w:cstheme="majorBidi"/>
          <w:szCs w:val="24"/>
        </w:rPr>
        <w:t xml:space="preserve"> </w:t>
      </w:r>
      <w:r w:rsidR="00AB15C4" w:rsidRPr="006A73DD">
        <w:rPr>
          <w:rFonts w:asciiTheme="majorBidi" w:hAnsiTheme="majorBidi" w:cstheme="majorBidi"/>
          <w:szCs w:val="24"/>
        </w:rPr>
        <w:t>policy alternative that had been advocated by o</w:t>
      </w:r>
      <w:r w:rsidR="00403005" w:rsidRPr="006A73DD">
        <w:rPr>
          <w:rFonts w:asciiTheme="majorBidi" w:hAnsiTheme="majorBidi" w:cstheme="majorBidi"/>
          <w:szCs w:val="24"/>
        </w:rPr>
        <w:t xml:space="preserve">rganized </w:t>
      </w:r>
      <w:proofErr w:type="spellStart"/>
      <w:r w:rsidR="00403005" w:rsidRPr="006A73DD">
        <w:rPr>
          <w:rFonts w:asciiTheme="majorBidi" w:hAnsiTheme="majorBidi" w:cstheme="majorBidi"/>
          <w:szCs w:val="24"/>
        </w:rPr>
        <w:t>labour</w:t>
      </w:r>
      <w:proofErr w:type="spellEnd"/>
      <w:r w:rsidR="00403005" w:rsidRPr="006A73DD">
        <w:rPr>
          <w:rFonts w:asciiTheme="majorBidi" w:hAnsiTheme="majorBidi" w:cstheme="majorBidi"/>
          <w:szCs w:val="24"/>
        </w:rPr>
        <w:t xml:space="preserve"> </w:t>
      </w:r>
      <w:r w:rsidR="00D229E3" w:rsidRPr="006A73DD">
        <w:rPr>
          <w:rFonts w:asciiTheme="majorBidi" w:hAnsiTheme="majorBidi" w:cstheme="majorBidi"/>
          <w:szCs w:val="24"/>
        </w:rPr>
        <w:t xml:space="preserve">in Germany and Britain </w:t>
      </w:r>
      <w:r w:rsidR="00403005" w:rsidRPr="006A73DD">
        <w:rPr>
          <w:rFonts w:asciiTheme="majorBidi" w:hAnsiTheme="majorBidi" w:cstheme="majorBidi"/>
          <w:szCs w:val="24"/>
        </w:rPr>
        <w:t>since the late Nineteenth Century</w:t>
      </w:r>
      <w:r w:rsidR="00AB15C4" w:rsidRPr="006A73DD">
        <w:rPr>
          <w:rFonts w:asciiTheme="majorBidi" w:hAnsiTheme="majorBidi" w:cstheme="majorBidi"/>
          <w:szCs w:val="24"/>
        </w:rPr>
        <w:t>, that is the partial integration of unions into national government decision making</w:t>
      </w:r>
      <w:r w:rsidR="00566B53" w:rsidRPr="006A73DD">
        <w:rPr>
          <w:rFonts w:asciiTheme="majorBidi" w:hAnsiTheme="majorBidi" w:cstheme="majorBidi"/>
          <w:szCs w:val="24"/>
        </w:rPr>
        <w:t>, was therefore adopted</w:t>
      </w:r>
      <w:r w:rsidR="00AB15C4" w:rsidRPr="006A73DD">
        <w:rPr>
          <w:rFonts w:asciiTheme="majorBidi" w:hAnsiTheme="majorBidi" w:cstheme="majorBidi"/>
          <w:szCs w:val="24"/>
        </w:rPr>
        <w:t>.</w:t>
      </w:r>
      <w:r w:rsidR="00077C11" w:rsidRPr="006A73DD">
        <w:rPr>
          <w:rStyle w:val="EndnoteReference"/>
          <w:rFonts w:asciiTheme="majorBidi" w:hAnsiTheme="majorBidi" w:cstheme="majorBidi"/>
          <w:szCs w:val="24"/>
        </w:rPr>
        <w:endnoteReference w:id="9"/>
      </w:r>
      <w:r w:rsidR="00AB15C4" w:rsidRPr="006A73DD">
        <w:rPr>
          <w:rFonts w:asciiTheme="majorBidi" w:hAnsiTheme="majorBidi" w:cstheme="majorBidi"/>
          <w:szCs w:val="24"/>
        </w:rPr>
        <w:t xml:space="preserve">  </w:t>
      </w:r>
      <w:r w:rsidR="000E4C64" w:rsidRPr="006A73DD">
        <w:rPr>
          <w:rFonts w:asciiTheme="majorBidi" w:hAnsiTheme="majorBidi" w:cstheme="majorBidi"/>
          <w:szCs w:val="24"/>
        </w:rPr>
        <w:t>Strong foundations</w:t>
      </w:r>
      <w:r w:rsidR="00FE6AE8" w:rsidRPr="006A73DD">
        <w:rPr>
          <w:rFonts w:asciiTheme="majorBidi" w:hAnsiTheme="majorBidi" w:cstheme="majorBidi"/>
          <w:szCs w:val="24"/>
          <w:lang w:val="en-GB"/>
        </w:rPr>
        <w:t xml:space="preserve"> </w:t>
      </w:r>
      <w:r w:rsidR="00D229E3" w:rsidRPr="006A73DD">
        <w:rPr>
          <w:rFonts w:asciiTheme="majorBidi" w:hAnsiTheme="majorBidi" w:cstheme="majorBidi"/>
          <w:szCs w:val="24"/>
        </w:rPr>
        <w:t xml:space="preserve">had </w:t>
      </w:r>
      <w:r w:rsidR="00FE6AE8" w:rsidRPr="006A73DD">
        <w:rPr>
          <w:rFonts w:asciiTheme="majorBidi" w:hAnsiTheme="majorBidi" w:cstheme="majorBidi"/>
          <w:szCs w:val="24"/>
          <w:lang w:val="en-GB"/>
        </w:rPr>
        <w:t xml:space="preserve">already </w:t>
      </w:r>
      <w:r w:rsidR="00D229E3" w:rsidRPr="006A73DD">
        <w:rPr>
          <w:rFonts w:asciiTheme="majorBidi" w:hAnsiTheme="majorBidi" w:cstheme="majorBidi"/>
          <w:szCs w:val="24"/>
        </w:rPr>
        <w:t xml:space="preserve">been laid in the inter-war period </w:t>
      </w:r>
      <w:r w:rsidR="00FE6AE8" w:rsidRPr="006A73DD">
        <w:rPr>
          <w:rFonts w:asciiTheme="majorBidi" w:hAnsiTheme="majorBidi" w:cstheme="majorBidi"/>
          <w:szCs w:val="24"/>
          <w:lang w:val="en-GB"/>
        </w:rPr>
        <w:t xml:space="preserve">and were strengthened in wartime </w:t>
      </w:r>
      <w:r w:rsidR="00D229E3" w:rsidRPr="006A73DD">
        <w:rPr>
          <w:rFonts w:asciiTheme="majorBidi" w:hAnsiTheme="majorBidi" w:cstheme="majorBidi"/>
          <w:szCs w:val="24"/>
        </w:rPr>
        <w:t>in Britain and the USA.</w:t>
      </w:r>
      <w:r w:rsidR="00077C11" w:rsidRPr="006A73DD">
        <w:rPr>
          <w:rStyle w:val="EndnoteReference"/>
          <w:rFonts w:asciiTheme="majorBidi" w:hAnsiTheme="majorBidi" w:cstheme="majorBidi"/>
          <w:szCs w:val="24"/>
        </w:rPr>
        <w:endnoteReference w:id="10"/>
      </w:r>
      <w:r w:rsidR="00D229E3" w:rsidRPr="006A73DD">
        <w:rPr>
          <w:rFonts w:asciiTheme="majorBidi" w:hAnsiTheme="majorBidi" w:cstheme="majorBidi"/>
          <w:szCs w:val="24"/>
        </w:rPr>
        <w:t xml:space="preserve">  </w:t>
      </w:r>
      <w:r w:rsidR="003D1C7B" w:rsidRPr="006A73DD">
        <w:rPr>
          <w:rFonts w:asciiTheme="majorBidi" w:hAnsiTheme="majorBidi" w:cstheme="majorBidi"/>
          <w:szCs w:val="24"/>
        </w:rPr>
        <w:t>I</w:t>
      </w:r>
      <w:r w:rsidR="00A82960" w:rsidRPr="006A73DD">
        <w:rPr>
          <w:rFonts w:asciiTheme="majorBidi" w:hAnsiTheme="majorBidi" w:cstheme="majorBidi"/>
          <w:szCs w:val="24"/>
        </w:rPr>
        <w:t>n the Cold W</w:t>
      </w:r>
      <w:r w:rsidR="00AB15C4" w:rsidRPr="006A73DD">
        <w:rPr>
          <w:rFonts w:asciiTheme="majorBidi" w:hAnsiTheme="majorBidi" w:cstheme="majorBidi"/>
          <w:szCs w:val="24"/>
        </w:rPr>
        <w:t xml:space="preserve">ar era, </w:t>
      </w:r>
      <w:r w:rsidR="00F20EAA" w:rsidRPr="006A73DD">
        <w:rPr>
          <w:rFonts w:asciiTheme="majorBidi" w:hAnsiTheme="majorBidi" w:cstheme="majorBidi"/>
          <w:szCs w:val="24"/>
        </w:rPr>
        <w:t>a strong social democratic movement</w:t>
      </w:r>
      <w:r w:rsidR="00AB15C4" w:rsidRPr="006A73DD">
        <w:rPr>
          <w:rFonts w:asciiTheme="majorBidi" w:hAnsiTheme="majorBidi" w:cstheme="majorBidi"/>
          <w:szCs w:val="24"/>
        </w:rPr>
        <w:t xml:space="preserve"> was </w:t>
      </w:r>
      <w:r w:rsidR="00384AB6" w:rsidRPr="006A73DD">
        <w:rPr>
          <w:rFonts w:asciiTheme="majorBidi" w:hAnsiTheme="majorBidi" w:cstheme="majorBidi"/>
          <w:szCs w:val="24"/>
        </w:rPr>
        <w:t xml:space="preserve">widely </w:t>
      </w:r>
      <w:r w:rsidR="00AB15C4" w:rsidRPr="006A73DD">
        <w:rPr>
          <w:rFonts w:asciiTheme="majorBidi" w:hAnsiTheme="majorBidi" w:cstheme="majorBidi"/>
          <w:szCs w:val="24"/>
        </w:rPr>
        <w:t>seen as a vital bulwark against the spread of communism.</w:t>
      </w:r>
      <w:r w:rsidR="00077C11" w:rsidRPr="006A73DD">
        <w:rPr>
          <w:rStyle w:val="EndnoteReference"/>
          <w:rFonts w:asciiTheme="majorBidi" w:hAnsiTheme="majorBidi" w:cstheme="majorBidi"/>
          <w:szCs w:val="24"/>
        </w:rPr>
        <w:endnoteReference w:id="11"/>
      </w:r>
      <w:r w:rsidR="00D30971" w:rsidRPr="006A73DD">
        <w:rPr>
          <w:rFonts w:asciiTheme="majorBidi" w:hAnsiTheme="majorBidi" w:cstheme="majorBidi"/>
          <w:szCs w:val="24"/>
        </w:rPr>
        <w:t xml:space="preserve">  </w:t>
      </w:r>
    </w:p>
    <w:p w:rsidR="00AB15C4" w:rsidRPr="006A73DD" w:rsidRDefault="00AB15C4" w:rsidP="00000727">
      <w:pPr>
        <w:pStyle w:val="Heading2"/>
        <w:spacing w:before="0" w:beforeAutospacing="0" w:after="0" w:afterAutospacing="0" w:line="480" w:lineRule="auto"/>
        <w:rPr>
          <w:rFonts w:asciiTheme="majorBidi" w:hAnsiTheme="majorBidi" w:cstheme="majorBidi"/>
          <w:b w:val="0"/>
          <w:sz w:val="24"/>
          <w:szCs w:val="24"/>
        </w:rPr>
      </w:pPr>
      <w:r w:rsidRPr="006A73DD">
        <w:rPr>
          <w:rFonts w:asciiTheme="majorBidi" w:hAnsiTheme="majorBidi" w:cstheme="majorBidi"/>
          <w:sz w:val="24"/>
          <w:szCs w:val="24"/>
        </w:rPr>
        <w:tab/>
      </w:r>
      <w:r w:rsidRPr="006A73DD">
        <w:rPr>
          <w:rFonts w:asciiTheme="majorBidi" w:hAnsiTheme="majorBidi" w:cstheme="majorBidi"/>
          <w:b w:val="0"/>
          <w:sz w:val="24"/>
          <w:szCs w:val="24"/>
        </w:rPr>
        <w:t>At a somewhat less m</w:t>
      </w:r>
      <w:r w:rsidR="00F20EAA" w:rsidRPr="006A73DD">
        <w:rPr>
          <w:rFonts w:asciiTheme="majorBidi" w:hAnsiTheme="majorBidi" w:cstheme="majorBidi"/>
          <w:b w:val="0"/>
          <w:sz w:val="24"/>
          <w:szCs w:val="24"/>
        </w:rPr>
        <w:t>eta</w:t>
      </w:r>
      <w:r w:rsidR="00650892" w:rsidRPr="006A73DD">
        <w:rPr>
          <w:rFonts w:asciiTheme="majorBidi" w:hAnsiTheme="majorBidi" w:cstheme="majorBidi"/>
          <w:b w:val="0"/>
          <w:sz w:val="24"/>
          <w:szCs w:val="24"/>
        </w:rPr>
        <w:t xml:space="preserve"> </w:t>
      </w:r>
      <w:r w:rsidR="00F20EAA" w:rsidRPr="006A73DD">
        <w:rPr>
          <w:rFonts w:asciiTheme="majorBidi" w:hAnsiTheme="majorBidi" w:cstheme="majorBidi"/>
          <w:b w:val="0"/>
          <w:sz w:val="24"/>
          <w:szCs w:val="24"/>
        </w:rPr>
        <w:t xml:space="preserve">theoretical level, </w:t>
      </w:r>
      <w:r w:rsidRPr="006A73DD">
        <w:rPr>
          <w:rFonts w:asciiTheme="majorBidi" w:hAnsiTheme="majorBidi" w:cstheme="majorBidi"/>
          <w:b w:val="0"/>
          <w:sz w:val="24"/>
          <w:szCs w:val="24"/>
        </w:rPr>
        <w:t>a range of contemporary accounts within the political economy and emplo</w:t>
      </w:r>
      <w:r w:rsidR="00566B53" w:rsidRPr="006A73DD">
        <w:rPr>
          <w:rFonts w:asciiTheme="majorBidi" w:hAnsiTheme="majorBidi" w:cstheme="majorBidi"/>
          <w:b w:val="0"/>
          <w:sz w:val="24"/>
          <w:szCs w:val="24"/>
        </w:rPr>
        <w:t>yment relations literature</w:t>
      </w:r>
      <w:r w:rsidRPr="006A73DD">
        <w:rPr>
          <w:rFonts w:asciiTheme="majorBidi" w:hAnsiTheme="majorBidi" w:cstheme="majorBidi"/>
          <w:b w:val="0"/>
          <w:sz w:val="24"/>
          <w:szCs w:val="24"/>
        </w:rPr>
        <w:t xml:space="preserve"> suggest</w:t>
      </w:r>
      <w:r w:rsidR="00566B53" w:rsidRPr="006A73DD">
        <w:rPr>
          <w:rFonts w:asciiTheme="majorBidi" w:hAnsiTheme="majorBidi" w:cstheme="majorBidi"/>
          <w:b w:val="0"/>
          <w:sz w:val="24"/>
          <w:szCs w:val="24"/>
        </w:rPr>
        <w:t>s</w:t>
      </w:r>
      <w:r w:rsidRPr="006A73DD">
        <w:rPr>
          <w:rFonts w:asciiTheme="majorBidi" w:hAnsiTheme="majorBidi" w:cstheme="majorBidi"/>
          <w:b w:val="0"/>
          <w:sz w:val="24"/>
          <w:szCs w:val="24"/>
        </w:rPr>
        <w:t xml:space="preserve"> that not only has the position of workers and their representatives</w:t>
      </w:r>
      <w:r w:rsidR="008929C8" w:rsidRPr="006A73DD">
        <w:rPr>
          <w:rFonts w:asciiTheme="majorBidi" w:hAnsiTheme="majorBidi" w:cstheme="majorBidi"/>
          <w:b w:val="0"/>
          <w:sz w:val="24"/>
          <w:szCs w:val="24"/>
        </w:rPr>
        <w:t xml:space="preserve"> been worsening</w:t>
      </w:r>
      <w:r w:rsidRPr="006A73DD">
        <w:rPr>
          <w:rFonts w:asciiTheme="majorBidi" w:hAnsiTheme="majorBidi" w:cstheme="majorBidi"/>
          <w:b w:val="0"/>
          <w:sz w:val="24"/>
          <w:szCs w:val="24"/>
        </w:rPr>
        <w:t xml:space="preserve"> for many years, </w:t>
      </w:r>
      <w:r w:rsidR="00D229E3" w:rsidRPr="006A73DD">
        <w:rPr>
          <w:rFonts w:asciiTheme="majorBidi" w:hAnsiTheme="majorBidi" w:cstheme="majorBidi"/>
          <w:b w:val="0"/>
          <w:sz w:val="24"/>
          <w:szCs w:val="24"/>
        </w:rPr>
        <w:t>and markedly so in the period following the oil price shock of the mid-1970s</w:t>
      </w:r>
      <w:r w:rsidR="008929C8" w:rsidRPr="006A73DD">
        <w:rPr>
          <w:rFonts w:asciiTheme="majorBidi" w:hAnsiTheme="majorBidi" w:cstheme="majorBidi"/>
          <w:b w:val="0"/>
          <w:sz w:val="24"/>
          <w:szCs w:val="24"/>
        </w:rPr>
        <w:t>,</w:t>
      </w:r>
      <w:r w:rsidR="00D229E3" w:rsidRPr="006A73DD">
        <w:rPr>
          <w:rFonts w:asciiTheme="majorBidi" w:hAnsiTheme="majorBidi" w:cstheme="majorBidi"/>
          <w:b w:val="0"/>
          <w:sz w:val="24"/>
          <w:szCs w:val="24"/>
        </w:rPr>
        <w:t xml:space="preserve"> </w:t>
      </w:r>
      <w:r w:rsidRPr="006A73DD">
        <w:rPr>
          <w:rFonts w:asciiTheme="majorBidi" w:hAnsiTheme="majorBidi" w:cstheme="majorBidi"/>
          <w:b w:val="0"/>
          <w:sz w:val="24"/>
          <w:szCs w:val="24"/>
        </w:rPr>
        <w:t>but also that such trends are very difficult or impossible to reverse.</w:t>
      </w:r>
      <w:r w:rsidR="00077C11" w:rsidRPr="006A73DD">
        <w:rPr>
          <w:rStyle w:val="EndnoteReference"/>
          <w:rFonts w:asciiTheme="majorBidi" w:hAnsiTheme="majorBidi" w:cstheme="majorBidi"/>
          <w:b w:val="0"/>
          <w:sz w:val="24"/>
          <w:szCs w:val="24"/>
        </w:rPr>
        <w:endnoteReference w:id="12"/>
      </w:r>
      <w:r w:rsidRPr="006A73DD">
        <w:rPr>
          <w:rFonts w:asciiTheme="majorBidi" w:hAnsiTheme="majorBidi" w:cstheme="majorBidi"/>
          <w:sz w:val="24"/>
          <w:szCs w:val="24"/>
        </w:rPr>
        <w:t xml:space="preserve"> </w:t>
      </w:r>
      <w:r w:rsidR="003D1C7B" w:rsidRPr="006A73DD">
        <w:rPr>
          <w:rFonts w:asciiTheme="majorBidi" w:hAnsiTheme="majorBidi" w:cstheme="majorBidi"/>
          <w:sz w:val="24"/>
          <w:szCs w:val="24"/>
        </w:rPr>
        <w:t xml:space="preserve"> </w:t>
      </w:r>
      <w:r w:rsidR="003D1C7B" w:rsidRPr="006A73DD">
        <w:rPr>
          <w:rFonts w:asciiTheme="majorBidi" w:hAnsiTheme="majorBidi" w:cstheme="majorBidi"/>
          <w:b w:val="0"/>
          <w:sz w:val="24"/>
          <w:szCs w:val="24"/>
        </w:rPr>
        <w:t>In the Twenty-First Century, trade union den</w:t>
      </w:r>
      <w:r w:rsidR="000E0C3F" w:rsidRPr="006A73DD">
        <w:rPr>
          <w:rFonts w:asciiTheme="majorBidi" w:hAnsiTheme="majorBidi" w:cstheme="majorBidi"/>
          <w:b w:val="0"/>
          <w:sz w:val="24"/>
          <w:szCs w:val="24"/>
        </w:rPr>
        <w:t>sity in Britain is</w:t>
      </w:r>
      <w:r w:rsidR="003D1C7B" w:rsidRPr="006A73DD">
        <w:rPr>
          <w:rFonts w:asciiTheme="majorBidi" w:hAnsiTheme="majorBidi" w:cstheme="majorBidi"/>
          <w:b w:val="0"/>
          <w:sz w:val="24"/>
          <w:szCs w:val="24"/>
        </w:rPr>
        <w:t xml:space="preserve"> revert</w:t>
      </w:r>
      <w:r w:rsidR="000E0C3F" w:rsidRPr="006A73DD">
        <w:rPr>
          <w:rFonts w:asciiTheme="majorBidi" w:hAnsiTheme="majorBidi" w:cstheme="majorBidi"/>
          <w:b w:val="0"/>
          <w:sz w:val="24"/>
          <w:szCs w:val="24"/>
        </w:rPr>
        <w:t>ing to its position a centur</w:t>
      </w:r>
      <w:r w:rsidR="00566B53" w:rsidRPr="006A73DD">
        <w:rPr>
          <w:rFonts w:asciiTheme="majorBidi" w:hAnsiTheme="majorBidi" w:cstheme="majorBidi"/>
          <w:b w:val="0"/>
          <w:sz w:val="24"/>
          <w:szCs w:val="24"/>
        </w:rPr>
        <w:t>y ago, arguably its secular mean</w:t>
      </w:r>
      <w:r w:rsidR="003D1C7B" w:rsidRPr="006A73DD">
        <w:rPr>
          <w:rFonts w:asciiTheme="majorBidi" w:hAnsiTheme="majorBidi" w:cstheme="majorBidi"/>
          <w:b w:val="0"/>
          <w:sz w:val="24"/>
          <w:szCs w:val="24"/>
        </w:rPr>
        <w:t>.</w:t>
      </w:r>
      <w:r w:rsidR="00077C11" w:rsidRPr="006A73DD">
        <w:rPr>
          <w:rStyle w:val="EndnoteReference"/>
          <w:rFonts w:asciiTheme="majorBidi" w:hAnsiTheme="majorBidi" w:cstheme="majorBidi"/>
          <w:b w:val="0"/>
          <w:sz w:val="24"/>
          <w:szCs w:val="24"/>
        </w:rPr>
        <w:endnoteReference w:id="13"/>
      </w:r>
      <w:r w:rsidR="00FE6AE8" w:rsidRPr="006A73DD">
        <w:rPr>
          <w:rFonts w:asciiTheme="majorBidi" w:hAnsiTheme="majorBidi" w:cstheme="majorBidi"/>
          <w:b w:val="0"/>
          <w:sz w:val="24"/>
          <w:szCs w:val="24"/>
          <w:lang w:val="en-GB"/>
        </w:rPr>
        <w:t xml:space="preserve"> </w:t>
      </w:r>
      <w:r w:rsidR="00FE6AE8" w:rsidRPr="006A73DD">
        <w:rPr>
          <w:rFonts w:asciiTheme="majorBidi" w:hAnsiTheme="majorBidi" w:cstheme="majorBidi"/>
          <w:b w:val="0"/>
          <w:sz w:val="24"/>
          <w:szCs w:val="24"/>
        </w:rPr>
        <w:t>This</w:t>
      </w:r>
      <w:r w:rsidRPr="006A73DD">
        <w:rPr>
          <w:rFonts w:asciiTheme="majorBidi" w:hAnsiTheme="majorBidi" w:cstheme="majorBidi"/>
          <w:b w:val="0"/>
          <w:sz w:val="24"/>
          <w:szCs w:val="24"/>
        </w:rPr>
        <w:t xml:space="preserve"> reflect</w:t>
      </w:r>
      <w:r w:rsidR="00FE6AE8" w:rsidRPr="006A73DD">
        <w:rPr>
          <w:rFonts w:asciiTheme="majorBidi" w:hAnsiTheme="majorBidi" w:cstheme="majorBidi"/>
          <w:b w:val="0"/>
          <w:sz w:val="24"/>
          <w:szCs w:val="24"/>
          <w:lang w:val="en-GB"/>
        </w:rPr>
        <w:t>s</w:t>
      </w:r>
      <w:r w:rsidRPr="006A73DD">
        <w:rPr>
          <w:rFonts w:asciiTheme="majorBidi" w:hAnsiTheme="majorBidi" w:cstheme="majorBidi"/>
          <w:b w:val="0"/>
          <w:sz w:val="24"/>
          <w:szCs w:val="24"/>
        </w:rPr>
        <w:t xml:space="preserve"> the extr</w:t>
      </w:r>
      <w:r w:rsidR="00F20EAA" w:rsidRPr="006A73DD">
        <w:rPr>
          <w:rFonts w:asciiTheme="majorBidi" w:hAnsiTheme="majorBidi" w:cstheme="majorBidi"/>
          <w:b w:val="0"/>
          <w:sz w:val="24"/>
          <w:szCs w:val="24"/>
        </w:rPr>
        <w:t>a</w:t>
      </w:r>
      <w:r w:rsidRPr="006A73DD">
        <w:rPr>
          <w:rFonts w:asciiTheme="majorBidi" w:hAnsiTheme="majorBidi" w:cstheme="majorBidi"/>
          <w:b w:val="0"/>
          <w:sz w:val="24"/>
          <w:szCs w:val="24"/>
        </w:rPr>
        <w:t>o</w:t>
      </w:r>
      <w:r w:rsidR="00F20EAA" w:rsidRPr="006A73DD">
        <w:rPr>
          <w:rFonts w:asciiTheme="majorBidi" w:hAnsiTheme="majorBidi" w:cstheme="majorBidi"/>
          <w:b w:val="0"/>
          <w:sz w:val="24"/>
          <w:szCs w:val="24"/>
        </w:rPr>
        <w:t>r</w:t>
      </w:r>
      <w:r w:rsidRPr="006A73DD">
        <w:rPr>
          <w:rFonts w:asciiTheme="majorBidi" w:hAnsiTheme="majorBidi" w:cstheme="majorBidi"/>
          <w:b w:val="0"/>
          <w:sz w:val="24"/>
          <w:szCs w:val="24"/>
        </w:rPr>
        <w:t>dinary strengthening of capital during the “third wave” of globalizat</w:t>
      </w:r>
      <w:r w:rsidR="004F3793" w:rsidRPr="006A73DD">
        <w:rPr>
          <w:rFonts w:asciiTheme="majorBidi" w:hAnsiTheme="majorBidi" w:cstheme="majorBidi"/>
          <w:b w:val="0"/>
          <w:sz w:val="24"/>
          <w:szCs w:val="24"/>
        </w:rPr>
        <w:t>i</w:t>
      </w:r>
      <w:r w:rsidRPr="006A73DD">
        <w:rPr>
          <w:rFonts w:asciiTheme="majorBidi" w:hAnsiTheme="majorBidi" w:cstheme="majorBidi"/>
          <w:b w:val="0"/>
          <w:sz w:val="24"/>
          <w:szCs w:val="24"/>
        </w:rPr>
        <w:t xml:space="preserve">on, forcing all countries onto a neo-liberal path. Even more pessimistic variations of this point of view suggest that the ultimate outcomes </w:t>
      </w:r>
      <w:r w:rsidR="000C3D09" w:rsidRPr="006A73DD">
        <w:rPr>
          <w:rFonts w:asciiTheme="majorBidi" w:hAnsiTheme="majorBidi" w:cstheme="majorBidi"/>
          <w:b w:val="0"/>
          <w:sz w:val="24"/>
          <w:szCs w:val="24"/>
        </w:rPr>
        <w:t>may</w:t>
      </w:r>
      <w:r w:rsidRPr="006A73DD">
        <w:rPr>
          <w:rFonts w:asciiTheme="majorBidi" w:hAnsiTheme="majorBidi" w:cstheme="majorBidi"/>
          <w:b w:val="0"/>
          <w:sz w:val="24"/>
          <w:szCs w:val="24"/>
        </w:rPr>
        <w:t xml:space="preserve"> be large scale starvation, authoritarianism and war.</w:t>
      </w:r>
      <w:r w:rsidR="00A05747" w:rsidRPr="006A73DD">
        <w:rPr>
          <w:rStyle w:val="EndnoteReference"/>
          <w:rFonts w:asciiTheme="majorBidi" w:hAnsiTheme="majorBidi" w:cstheme="majorBidi"/>
          <w:b w:val="0"/>
          <w:sz w:val="24"/>
          <w:szCs w:val="24"/>
        </w:rPr>
        <w:endnoteReference w:id="14"/>
      </w:r>
      <w:r w:rsidRPr="006A73DD">
        <w:rPr>
          <w:rFonts w:asciiTheme="majorBidi" w:hAnsiTheme="majorBidi" w:cstheme="majorBidi"/>
          <w:b w:val="0"/>
          <w:sz w:val="24"/>
          <w:szCs w:val="24"/>
        </w:rPr>
        <w:t xml:space="preserve"> </w:t>
      </w:r>
      <w:r w:rsidRPr="006A73DD">
        <w:rPr>
          <w:rFonts w:asciiTheme="majorBidi" w:hAnsiTheme="majorBidi" w:cstheme="majorBidi"/>
          <w:sz w:val="24"/>
          <w:szCs w:val="24"/>
        </w:rPr>
        <w:t xml:space="preserve">  </w:t>
      </w:r>
    </w:p>
    <w:p w:rsidR="00FE6AE8" w:rsidRPr="006A73DD" w:rsidRDefault="00FE6AE8" w:rsidP="0096219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ajorBidi" w:hAnsiTheme="majorBidi" w:cstheme="majorBidi"/>
          <w:b/>
          <w:szCs w:val="24"/>
        </w:rPr>
      </w:pPr>
    </w:p>
    <w:p w:rsidR="00AB15C4" w:rsidRPr="006A73DD" w:rsidRDefault="00000727" w:rsidP="0096219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ajorBidi" w:hAnsiTheme="majorBidi" w:cstheme="majorBidi"/>
          <w:b/>
          <w:szCs w:val="24"/>
        </w:rPr>
      </w:pPr>
      <w:r w:rsidRPr="006A73DD">
        <w:rPr>
          <w:rFonts w:asciiTheme="majorBidi" w:hAnsiTheme="majorBidi" w:cstheme="majorBidi"/>
          <w:b/>
          <w:szCs w:val="24"/>
        </w:rPr>
        <w:lastRenderedPageBreak/>
        <w:t>Relative prosperity and e</w:t>
      </w:r>
      <w:r w:rsidR="00AB15C4" w:rsidRPr="006A73DD">
        <w:rPr>
          <w:rFonts w:asciiTheme="majorBidi" w:hAnsiTheme="majorBidi" w:cstheme="majorBidi"/>
          <w:b/>
          <w:szCs w:val="24"/>
        </w:rPr>
        <w:t>lites</w:t>
      </w:r>
    </w:p>
    <w:p w:rsidR="00452AF2" w:rsidRPr="006A73DD" w:rsidRDefault="00AB15C4" w:rsidP="0096219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ajorBidi" w:hAnsiTheme="majorBidi" w:cstheme="majorBidi"/>
          <w:szCs w:val="24"/>
        </w:rPr>
      </w:pPr>
      <w:r w:rsidRPr="006A73DD">
        <w:rPr>
          <w:rFonts w:asciiTheme="majorBidi" w:hAnsiTheme="majorBidi" w:cstheme="majorBidi"/>
          <w:szCs w:val="24"/>
        </w:rPr>
        <w:t>A second</w:t>
      </w:r>
      <w:r w:rsidR="003D0C7D" w:rsidRPr="006A73DD">
        <w:rPr>
          <w:rFonts w:asciiTheme="majorBidi" w:hAnsiTheme="majorBidi" w:cstheme="majorBidi"/>
          <w:szCs w:val="24"/>
        </w:rPr>
        <w:t xml:space="preserve"> point of view would be that</w:t>
      </w:r>
      <w:r w:rsidRPr="006A73DD">
        <w:rPr>
          <w:rFonts w:asciiTheme="majorBidi" w:hAnsiTheme="majorBidi" w:cstheme="majorBidi"/>
          <w:szCs w:val="24"/>
        </w:rPr>
        <w:t xml:space="preserve"> tripartite </w:t>
      </w:r>
      <w:r w:rsidR="00FE6AE8" w:rsidRPr="006A73DD">
        <w:rPr>
          <w:rFonts w:asciiTheme="majorBidi" w:hAnsiTheme="majorBidi" w:cstheme="majorBidi"/>
          <w:szCs w:val="24"/>
        </w:rPr>
        <w:t>compromises reflect chang</w:t>
      </w:r>
      <w:r w:rsidR="000E4C64" w:rsidRPr="006A73DD">
        <w:rPr>
          <w:rFonts w:asciiTheme="majorBidi" w:hAnsiTheme="majorBidi" w:cstheme="majorBidi"/>
          <w:szCs w:val="24"/>
        </w:rPr>
        <w:t>es in élite composition and/or</w:t>
      </w:r>
      <w:r w:rsidRPr="006A73DD">
        <w:rPr>
          <w:rFonts w:asciiTheme="majorBidi" w:hAnsiTheme="majorBidi" w:cstheme="majorBidi"/>
          <w:szCs w:val="24"/>
        </w:rPr>
        <w:t xml:space="preserve"> s</w:t>
      </w:r>
      <w:r w:rsidR="0021450B" w:rsidRPr="006A73DD">
        <w:rPr>
          <w:rFonts w:asciiTheme="majorBidi" w:hAnsiTheme="majorBidi" w:cstheme="majorBidi"/>
          <w:szCs w:val="24"/>
        </w:rPr>
        <w:t>trategies which, in turn, are condition</w:t>
      </w:r>
      <w:r w:rsidRPr="006A73DD">
        <w:rPr>
          <w:rFonts w:asciiTheme="majorBidi" w:hAnsiTheme="majorBidi" w:cstheme="majorBidi"/>
          <w:szCs w:val="24"/>
        </w:rPr>
        <w:t xml:space="preserve">ed by overall economic growth.  Elite composition approaches encompass the work of </w:t>
      </w:r>
      <w:proofErr w:type="spellStart"/>
      <w:r w:rsidRPr="006A73DD">
        <w:rPr>
          <w:rFonts w:asciiTheme="majorBidi" w:hAnsiTheme="majorBidi" w:cstheme="majorBidi"/>
          <w:szCs w:val="24"/>
        </w:rPr>
        <w:t>Priestland</w:t>
      </w:r>
      <w:proofErr w:type="spellEnd"/>
      <w:r w:rsidRPr="006A73DD">
        <w:rPr>
          <w:rFonts w:asciiTheme="majorBidi" w:hAnsiTheme="majorBidi" w:cstheme="majorBidi"/>
          <w:szCs w:val="24"/>
        </w:rPr>
        <w:t xml:space="preserve"> and recent work by Karel Williams and colleag</w:t>
      </w:r>
      <w:r w:rsidR="000E0C3F" w:rsidRPr="006A73DD">
        <w:rPr>
          <w:rFonts w:asciiTheme="majorBidi" w:hAnsiTheme="majorBidi" w:cstheme="majorBidi"/>
          <w:szCs w:val="24"/>
        </w:rPr>
        <w:t>ues at Manchester.</w:t>
      </w:r>
      <w:r w:rsidR="00A05747" w:rsidRPr="006A73DD">
        <w:rPr>
          <w:rStyle w:val="EndnoteReference"/>
          <w:rFonts w:asciiTheme="majorBidi" w:hAnsiTheme="majorBidi" w:cstheme="majorBidi"/>
          <w:szCs w:val="24"/>
        </w:rPr>
        <w:endnoteReference w:id="15"/>
      </w:r>
      <w:r w:rsidR="000E0C3F" w:rsidRPr="006A73DD">
        <w:rPr>
          <w:rFonts w:asciiTheme="majorBidi" w:hAnsiTheme="majorBidi" w:cstheme="majorBidi"/>
          <w:szCs w:val="24"/>
        </w:rPr>
        <w:t xml:space="preserve">   These</w:t>
      </w:r>
      <w:r w:rsidRPr="006A73DD">
        <w:rPr>
          <w:rFonts w:asciiTheme="majorBidi" w:hAnsiTheme="majorBidi" w:cstheme="majorBidi"/>
          <w:szCs w:val="24"/>
        </w:rPr>
        <w:t xml:space="preserve"> t</w:t>
      </w:r>
      <w:r w:rsidR="000E0C3F" w:rsidRPr="006A73DD">
        <w:rPr>
          <w:rFonts w:asciiTheme="majorBidi" w:hAnsiTheme="majorBidi" w:cstheme="majorBidi"/>
          <w:szCs w:val="24"/>
        </w:rPr>
        <w:t>heories draw on a strong historical patrimony</w:t>
      </w:r>
      <w:r w:rsidRPr="006A73DD">
        <w:rPr>
          <w:rFonts w:asciiTheme="majorBidi" w:hAnsiTheme="majorBidi" w:cstheme="majorBidi"/>
          <w:szCs w:val="24"/>
        </w:rPr>
        <w:t xml:space="preserve"> </w:t>
      </w:r>
      <w:r w:rsidR="00336BDC" w:rsidRPr="006A73DD">
        <w:rPr>
          <w:rFonts w:asciiTheme="majorBidi" w:hAnsiTheme="majorBidi" w:cstheme="majorBidi"/>
          <w:szCs w:val="24"/>
        </w:rPr>
        <w:t>develop</w:t>
      </w:r>
      <w:r w:rsidR="004C38E9" w:rsidRPr="006A73DD">
        <w:rPr>
          <w:rFonts w:asciiTheme="majorBidi" w:hAnsiTheme="majorBidi" w:cstheme="majorBidi"/>
          <w:szCs w:val="24"/>
        </w:rPr>
        <w:t>ed by</w:t>
      </w:r>
      <w:r w:rsidR="004525B0" w:rsidRPr="006A73DD">
        <w:rPr>
          <w:rFonts w:asciiTheme="majorBidi" w:hAnsiTheme="majorBidi" w:cstheme="majorBidi"/>
          <w:szCs w:val="24"/>
        </w:rPr>
        <w:t xml:space="preserve"> Barrington Moore Jr who famously documented the </w:t>
      </w:r>
      <w:r w:rsidR="000A42AB" w:rsidRPr="006A73DD">
        <w:rPr>
          <w:rFonts w:asciiTheme="majorBidi" w:hAnsiTheme="majorBidi" w:cstheme="majorBidi"/>
          <w:szCs w:val="24"/>
        </w:rPr>
        <w:t xml:space="preserve">historic </w:t>
      </w:r>
      <w:r w:rsidR="004525B0" w:rsidRPr="006A73DD">
        <w:rPr>
          <w:rFonts w:asciiTheme="majorBidi" w:hAnsiTheme="majorBidi" w:cstheme="majorBidi"/>
          <w:szCs w:val="24"/>
        </w:rPr>
        <w:t xml:space="preserve">linkages between </w:t>
      </w:r>
      <w:r w:rsidR="00336BDC" w:rsidRPr="006A73DD">
        <w:rPr>
          <w:rFonts w:asciiTheme="majorBidi" w:hAnsiTheme="majorBidi" w:cstheme="majorBidi"/>
          <w:szCs w:val="24"/>
        </w:rPr>
        <w:t xml:space="preserve">governing </w:t>
      </w:r>
      <w:r w:rsidR="004525B0" w:rsidRPr="006A73DD">
        <w:rPr>
          <w:rFonts w:asciiTheme="majorBidi" w:hAnsiTheme="majorBidi" w:cstheme="majorBidi"/>
          <w:szCs w:val="24"/>
        </w:rPr>
        <w:t>bourgeoisies and</w:t>
      </w:r>
      <w:r w:rsidR="000A42AB" w:rsidRPr="006A73DD">
        <w:rPr>
          <w:rFonts w:asciiTheme="majorBidi" w:hAnsiTheme="majorBidi" w:cstheme="majorBidi"/>
          <w:szCs w:val="24"/>
        </w:rPr>
        <w:t xml:space="preserve"> democratic institutions in major economies, noting the significance of the absence of both</w:t>
      </w:r>
      <w:r w:rsidR="0021450B" w:rsidRPr="006A73DD">
        <w:rPr>
          <w:rFonts w:asciiTheme="majorBidi" w:hAnsiTheme="majorBidi" w:cstheme="majorBidi"/>
          <w:szCs w:val="24"/>
        </w:rPr>
        <w:t>.</w:t>
      </w:r>
      <w:r w:rsidR="00A05747" w:rsidRPr="006A73DD">
        <w:rPr>
          <w:rStyle w:val="EndnoteReference"/>
          <w:rFonts w:asciiTheme="majorBidi" w:hAnsiTheme="majorBidi" w:cstheme="majorBidi"/>
          <w:szCs w:val="24"/>
        </w:rPr>
        <w:endnoteReference w:id="16"/>
      </w:r>
      <w:r w:rsidR="0021450B" w:rsidRPr="006A73DD">
        <w:rPr>
          <w:rFonts w:asciiTheme="majorBidi" w:hAnsiTheme="majorBidi" w:cstheme="majorBidi"/>
          <w:szCs w:val="24"/>
        </w:rPr>
        <w:t xml:space="preserve">  </w:t>
      </w:r>
      <w:proofErr w:type="spellStart"/>
      <w:r w:rsidR="0021450B" w:rsidRPr="006A73DD">
        <w:rPr>
          <w:rFonts w:asciiTheme="majorBidi" w:hAnsiTheme="majorBidi" w:cstheme="majorBidi"/>
          <w:szCs w:val="24"/>
        </w:rPr>
        <w:t>Priestland</w:t>
      </w:r>
      <w:proofErr w:type="spellEnd"/>
      <w:r w:rsidR="0021450B" w:rsidRPr="006A73DD">
        <w:rPr>
          <w:rFonts w:asciiTheme="majorBidi" w:hAnsiTheme="majorBidi" w:cstheme="majorBidi"/>
          <w:szCs w:val="24"/>
        </w:rPr>
        <w:t xml:space="preserve"> assumes that é</w:t>
      </w:r>
      <w:r w:rsidRPr="006A73DD">
        <w:rPr>
          <w:rFonts w:asciiTheme="majorBidi" w:hAnsiTheme="majorBidi" w:cstheme="majorBidi"/>
          <w:szCs w:val="24"/>
        </w:rPr>
        <w:t>lites tend to be divided between merchant/capitalists, militarists and intellectuals.</w:t>
      </w:r>
      <w:r w:rsidR="00A05747" w:rsidRPr="006A73DD">
        <w:rPr>
          <w:rStyle w:val="EndnoteReference"/>
          <w:rFonts w:asciiTheme="majorBidi" w:hAnsiTheme="majorBidi" w:cstheme="majorBidi"/>
          <w:szCs w:val="24"/>
        </w:rPr>
        <w:endnoteReference w:id="17"/>
      </w:r>
      <w:r w:rsidRPr="006A73DD">
        <w:rPr>
          <w:rFonts w:asciiTheme="majorBidi" w:hAnsiTheme="majorBidi" w:cstheme="majorBidi"/>
          <w:szCs w:val="24"/>
        </w:rPr>
        <w:t xml:space="preserve">   Only w</w:t>
      </w:r>
      <w:r w:rsidR="0021450B" w:rsidRPr="006A73DD">
        <w:rPr>
          <w:rFonts w:asciiTheme="majorBidi" w:hAnsiTheme="majorBidi" w:cstheme="majorBidi"/>
          <w:szCs w:val="24"/>
        </w:rPr>
        <w:t xml:space="preserve">hen the latter are in </w:t>
      </w:r>
      <w:r w:rsidR="00336BDC" w:rsidRPr="006A73DD">
        <w:rPr>
          <w:rFonts w:asciiTheme="majorBidi" w:hAnsiTheme="majorBidi" w:cstheme="majorBidi"/>
          <w:szCs w:val="24"/>
        </w:rPr>
        <w:t>leadership – which is only likely to occur</w:t>
      </w:r>
      <w:r w:rsidRPr="006A73DD">
        <w:rPr>
          <w:rFonts w:asciiTheme="majorBidi" w:hAnsiTheme="majorBidi" w:cstheme="majorBidi"/>
          <w:szCs w:val="24"/>
        </w:rPr>
        <w:t xml:space="preserve"> when the former two groups have succeeded in utterly exhausting and discrediting themselves - are class compromises likely.   </w:t>
      </w:r>
    </w:p>
    <w:p w:rsidR="00AB15C4" w:rsidRPr="006A73DD" w:rsidRDefault="00F92589" w:rsidP="0096219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ajorBidi" w:hAnsiTheme="majorBidi" w:cstheme="majorBidi"/>
          <w:szCs w:val="24"/>
        </w:rPr>
      </w:pPr>
      <w:r w:rsidRPr="006A73DD">
        <w:rPr>
          <w:rFonts w:asciiTheme="majorBidi" w:hAnsiTheme="majorBidi" w:cstheme="majorBidi"/>
          <w:szCs w:val="24"/>
        </w:rPr>
        <w:tab/>
        <w:t>Williams and colleagues</w:t>
      </w:r>
      <w:r w:rsidR="0021450B" w:rsidRPr="006A73DD">
        <w:rPr>
          <w:rFonts w:asciiTheme="majorBidi" w:hAnsiTheme="majorBidi" w:cstheme="majorBidi"/>
          <w:szCs w:val="24"/>
        </w:rPr>
        <w:t xml:space="preserve"> focus on</w:t>
      </w:r>
      <w:r w:rsidR="00AB15C4" w:rsidRPr="006A73DD">
        <w:rPr>
          <w:rFonts w:asciiTheme="majorBidi" w:hAnsiTheme="majorBidi" w:cstheme="majorBidi"/>
          <w:szCs w:val="24"/>
        </w:rPr>
        <w:t xml:space="preserve"> the extent to which</w:t>
      </w:r>
      <w:r w:rsidR="00452AF2" w:rsidRPr="006A73DD">
        <w:rPr>
          <w:rFonts w:asciiTheme="majorBidi" w:hAnsiTheme="majorBidi" w:cstheme="majorBidi"/>
          <w:szCs w:val="24"/>
        </w:rPr>
        <w:t xml:space="preserve"> in recent years</w:t>
      </w:r>
      <w:r w:rsidR="00AB15C4" w:rsidRPr="006A73DD">
        <w:rPr>
          <w:rFonts w:asciiTheme="majorBidi" w:hAnsiTheme="majorBidi" w:cstheme="majorBidi"/>
          <w:szCs w:val="24"/>
        </w:rPr>
        <w:t xml:space="preserve"> </w:t>
      </w:r>
      <w:r w:rsidR="007371AB" w:rsidRPr="006A73DD">
        <w:rPr>
          <w:rFonts w:asciiTheme="majorBidi" w:hAnsiTheme="majorBidi" w:cstheme="majorBidi"/>
          <w:szCs w:val="24"/>
        </w:rPr>
        <w:t xml:space="preserve">financial interests </w:t>
      </w:r>
      <w:r w:rsidR="00452AF2" w:rsidRPr="006A73DD">
        <w:rPr>
          <w:rFonts w:asciiTheme="majorBidi" w:hAnsiTheme="majorBidi" w:cstheme="majorBidi"/>
          <w:szCs w:val="24"/>
        </w:rPr>
        <w:t>may capture</w:t>
      </w:r>
      <w:r w:rsidR="0021450B" w:rsidRPr="006A73DD">
        <w:rPr>
          <w:rFonts w:asciiTheme="majorBidi" w:hAnsiTheme="majorBidi" w:cstheme="majorBidi"/>
          <w:szCs w:val="24"/>
        </w:rPr>
        <w:t xml:space="preserve"> policy-making processes and are </w:t>
      </w:r>
      <w:r w:rsidR="007371AB" w:rsidRPr="006A73DD">
        <w:rPr>
          <w:rFonts w:asciiTheme="majorBidi" w:hAnsiTheme="majorBidi" w:cstheme="majorBidi"/>
          <w:szCs w:val="24"/>
        </w:rPr>
        <w:t xml:space="preserve">able to exert influence </w:t>
      </w:r>
      <w:r w:rsidR="00452AF2" w:rsidRPr="006A73DD">
        <w:rPr>
          <w:rFonts w:asciiTheme="majorBidi" w:hAnsiTheme="majorBidi" w:cstheme="majorBidi"/>
          <w:szCs w:val="24"/>
        </w:rPr>
        <w:t xml:space="preserve">largely </w:t>
      </w:r>
      <w:r w:rsidR="007371AB" w:rsidRPr="006A73DD">
        <w:rPr>
          <w:rFonts w:asciiTheme="majorBidi" w:hAnsiTheme="majorBidi" w:cstheme="majorBidi"/>
          <w:szCs w:val="24"/>
        </w:rPr>
        <w:t>inde</w:t>
      </w:r>
      <w:r w:rsidR="00452AF2" w:rsidRPr="006A73DD">
        <w:rPr>
          <w:rFonts w:asciiTheme="majorBidi" w:hAnsiTheme="majorBidi" w:cstheme="majorBidi"/>
          <w:szCs w:val="24"/>
        </w:rPr>
        <w:t>pendent of democratic constraint</w:t>
      </w:r>
      <w:r w:rsidR="007371AB" w:rsidRPr="006A73DD">
        <w:rPr>
          <w:rFonts w:asciiTheme="majorBidi" w:hAnsiTheme="majorBidi" w:cstheme="majorBidi"/>
          <w:szCs w:val="24"/>
        </w:rPr>
        <w:t>s.</w:t>
      </w:r>
      <w:r w:rsidR="00A05747" w:rsidRPr="006A73DD">
        <w:rPr>
          <w:rStyle w:val="EndnoteReference"/>
          <w:rFonts w:asciiTheme="majorBidi" w:hAnsiTheme="majorBidi" w:cstheme="majorBidi"/>
          <w:szCs w:val="24"/>
        </w:rPr>
        <w:endnoteReference w:id="18"/>
      </w:r>
      <w:r w:rsidR="0021450B" w:rsidRPr="006A73DD">
        <w:rPr>
          <w:rFonts w:asciiTheme="majorBidi" w:hAnsiTheme="majorBidi" w:cstheme="majorBidi"/>
          <w:szCs w:val="24"/>
        </w:rPr>
        <w:t xml:space="preserve">  </w:t>
      </w:r>
      <w:r w:rsidR="00AB15C4" w:rsidRPr="006A73DD">
        <w:rPr>
          <w:rFonts w:asciiTheme="majorBidi" w:hAnsiTheme="majorBidi" w:cstheme="majorBidi"/>
          <w:szCs w:val="24"/>
        </w:rPr>
        <w:t xml:space="preserve">Wood and Lane </w:t>
      </w:r>
      <w:r w:rsidR="0021450B" w:rsidRPr="006A73DD">
        <w:rPr>
          <w:rFonts w:asciiTheme="majorBidi" w:hAnsiTheme="majorBidi" w:cstheme="majorBidi"/>
          <w:szCs w:val="24"/>
        </w:rPr>
        <w:t>argue that during period</w:t>
      </w:r>
      <w:r w:rsidR="00AB15C4" w:rsidRPr="006A73DD">
        <w:rPr>
          <w:rFonts w:asciiTheme="majorBidi" w:hAnsiTheme="majorBidi" w:cstheme="majorBidi"/>
          <w:szCs w:val="24"/>
        </w:rPr>
        <w:t xml:space="preserve">s of economic crisis, owners of highly fungible assets are likely to assume predominance over more patient investors, and those with </w:t>
      </w:r>
      <w:proofErr w:type="gramStart"/>
      <w:r w:rsidR="00AB15C4" w:rsidRPr="006A73DD">
        <w:rPr>
          <w:rFonts w:asciiTheme="majorBidi" w:hAnsiTheme="majorBidi" w:cstheme="majorBidi"/>
          <w:szCs w:val="24"/>
        </w:rPr>
        <w:t>sunk</w:t>
      </w:r>
      <w:proofErr w:type="gramEnd"/>
      <w:r w:rsidR="00AB15C4" w:rsidRPr="006A73DD">
        <w:rPr>
          <w:rFonts w:asciiTheme="majorBidi" w:hAnsiTheme="majorBidi" w:cstheme="majorBidi"/>
          <w:szCs w:val="24"/>
        </w:rPr>
        <w:t xml:space="preserve"> capital (traditional managers and workers) within the firm</w:t>
      </w:r>
      <w:r w:rsidR="000E0C3F" w:rsidRPr="006A73DD">
        <w:rPr>
          <w:rFonts w:asciiTheme="majorBidi" w:hAnsiTheme="majorBidi" w:cstheme="majorBidi"/>
          <w:szCs w:val="24"/>
        </w:rPr>
        <w:t>.</w:t>
      </w:r>
      <w:r w:rsidR="00A05747" w:rsidRPr="006A73DD">
        <w:rPr>
          <w:rStyle w:val="EndnoteReference"/>
          <w:rFonts w:asciiTheme="majorBidi" w:hAnsiTheme="majorBidi" w:cstheme="majorBidi"/>
          <w:szCs w:val="24"/>
        </w:rPr>
        <w:endnoteReference w:id="19"/>
      </w:r>
      <w:r w:rsidR="000E0C3F" w:rsidRPr="006A73DD">
        <w:rPr>
          <w:rFonts w:asciiTheme="majorBidi" w:hAnsiTheme="majorBidi" w:cstheme="majorBidi"/>
          <w:szCs w:val="24"/>
        </w:rPr>
        <w:t xml:space="preserve">  The argument finds historic support from the differential support </w:t>
      </w:r>
      <w:r w:rsidR="000E4C64" w:rsidRPr="006A73DD">
        <w:rPr>
          <w:rFonts w:asciiTheme="majorBidi" w:hAnsiTheme="majorBidi" w:cstheme="majorBidi"/>
          <w:szCs w:val="24"/>
        </w:rPr>
        <w:t>that</w:t>
      </w:r>
      <w:r w:rsidR="00763B82" w:rsidRPr="006A73DD">
        <w:rPr>
          <w:rFonts w:asciiTheme="majorBidi" w:hAnsiTheme="majorBidi" w:cstheme="majorBidi"/>
          <w:szCs w:val="24"/>
        </w:rPr>
        <w:t xml:space="preserve"> diverse</w:t>
      </w:r>
      <w:r w:rsidR="00336BDC" w:rsidRPr="006A73DD">
        <w:rPr>
          <w:rFonts w:asciiTheme="majorBidi" w:hAnsiTheme="majorBidi" w:cstheme="majorBidi"/>
          <w:szCs w:val="24"/>
        </w:rPr>
        <w:t xml:space="preserve"> </w:t>
      </w:r>
      <w:r w:rsidR="000E4C64" w:rsidRPr="006A73DD">
        <w:rPr>
          <w:rFonts w:asciiTheme="majorBidi" w:hAnsiTheme="majorBidi" w:cstheme="majorBidi"/>
          <w:szCs w:val="24"/>
        </w:rPr>
        <w:t>élite</w:t>
      </w:r>
      <w:r w:rsidR="00336BDC" w:rsidRPr="006A73DD">
        <w:rPr>
          <w:rFonts w:asciiTheme="majorBidi" w:hAnsiTheme="majorBidi" w:cstheme="majorBidi"/>
          <w:szCs w:val="24"/>
        </w:rPr>
        <w:t xml:space="preserve"> groups </w:t>
      </w:r>
      <w:r w:rsidR="000E0C3F" w:rsidRPr="006A73DD">
        <w:rPr>
          <w:rFonts w:asciiTheme="majorBidi" w:hAnsiTheme="majorBidi" w:cstheme="majorBidi"/>
          <w:szCs w:val="24"/>
        </w:rPr>
        <w:t>afforded Nazism in</w:t>
      </w:r>
      <w:r w:rsidR="000A42AB" w:rsidRPr="006A73DD">
        <w:rPr>
          <w:rFonts w:asciiTheme="majorBidi" w:hAnsiTheme="majorBidi" w:cstheme="majorBidi"/>
          <w:szCs w:val="24"/>
        </w:rPr>
        <w:t xml:space="preserve"> inter-war Germany</w:t>
      </w:r>
      <w:r w:rsidR="00AB15C4" w:rsidRPr="006A73DD">
        <w:rPr>
          <w:rFonts w:asciiTheme="majorBidi" w:hAnsiTheme="majorBidi" w:cstheme="majorBidi"/>
          <w:szCs w:val="24"/>
        </w:rPr>
        <w:t>.</w:t>
      </w:r>
      <w:r w:rsidR="00A05747" w:rsidRPr="006A73DD">
        <w:rPr>
          <w:rStyle w:val="EndnoteReference"/>
          <w:rFonts w:asciiTheme="majorBidi" w:hAnsiTheme="majorBidi" w:cstheme="majorBidi"/>
          <w:szCs w:val="24"/>
        </w:rPr>
        <w:endnoteReference w:id="20"/>
      </w:r>
      <w:r w:rsidR="00AB15C4" w:rsidRPr="006A73DD">
        <w:rPr>
          <w:rFonts w:asciiTheme="majorBidi" w:hAnsiTheme="majorBidi" w:cstheme="majorBidi"/>
          <w:szCs w:val="24"/>
        </w:rPr>
        <w:t xml:space="preserve">   </w:t>
      </w:r>
      <w:r w:rsidR="008929C8" w:rsidRPr="006A73DD">
        <w:rPr>
          <w:rFonts w:asciiTheme="majorBidi" w:hAnsiTheme="majorBidi" w:cstheme="majorBidi"/>
          <w:szCs w:val="24"/>
        </w:rPr>
        <w:t>Wood and Lane</w:t>
      </w:r>
      <w:r w:rsidR="00AB15C4" w:rsidRPr="006A73DD">
        <w:rPr>
          <w:rFonts w:asciiTheme="majorBidi" w:hAnsiTheme="majorBidi" w:cstheme="majorBidi"/>
          <w:szCs w:val="24"/>
        </w:rPr>
        <w:t xml:space="preserve"> reject the view that the present age represents a return to rentier power, however, as investors with highly fungible assets include sovereign wealth funds (SWFs), </w:t>
      </w:r>
      <w:r w:rsidR="000E0C3F" w:rsidRPr="006A73DD">
        <w:rPr>
          <w:rFonts w:asciiTheme="majorBidi" w:hAnsiTheme="majorBidi" w:cstheme="majorBidi"/>
          <w:szCs w:val="24"/>
        </w:rPr>
        <w:t xml:space="preserve">who </w:t>
      </w:r>
      <w:r w:rsidR="00FF443A" w:rsidRPr="006A73DD">
        <w:rPr>
          <w:rFonts w:asciiTheme="majorBidi" w:hAnsiTheme="majorBidi" w:cstheme="majorBidi"/>
          <w:szCs w:val="24"/>
        </w:rPr>
        <w:t xml:space="preserve">are </w:t>
      </w:r>
      <w:r w:rsidR="00AB15C4" w:rsidRPr="006A73DD">
        <w:rPr>
          <w:rFonts w:asciiTheme="majorBidi" w:hAnsiTheme="majorBidi" w:cstheme="majorBidi"/>
          <w:szCs w:val="24"/>
        </w:rPr>
        <w:t xml:space="preserve">opening up a new type of </w:t>
      </w:r>
      <w:proofErr w:type="spellStart"/>
      <w:r w:rsidR="00AB15C4" w:rsidRPr="006A73DD">
        <w:rPr>
          <w:rFonts w:asciiTheme="majorBidi" w:hAnsiTheme="majorBidi" w:cstheme="majorBidi"/>
          <w:szCs w:val="24"/>
        </w:rPr>
        <w:t>statism</w:t>
      </w:r>
      <w:proofErr w:type="spellEnd"/>
      <w:r w:rsidR="004C38E9" w:rsidRPr="006A73DD">
        <w:rPr>
          <w:rFonts w:asciiTheme="majorBidi" w:hAnsiTheme="majorBidi" w:cstheme="majorBidi"/>
          <w:szCs w:val="24"/>
        </w:rPr>
        <w:t xml:space="preserve"> which </w:t>
      </w:r>
      <w:r w:rsidR="00336BDC" w:rsidRPr="006A73DD">
        <w:rPr>
          <w:rFonts w:asciiTheme="majorBidi" w:hAnsiTheme="majorBidi" w:cstheme="majorBidi"/>
          <w:szCs w:val="24"/>
        </w:rPr>
        <w:t xml:space="preserve">simply </w:t>
      </w:r>
      <w:r w:rsidR="004C38E9" w:rsidRPr="006A73DD">
        <w:rPr>
          <w:rFonts w:asciiTheme="majorBidi" w:hAnsiTheme="majorBidi" w:cstheme="majorBidi"/>
          <w:szCs w:val="24"/>
        </w:rPr>
        <w:t>bypasses corporatist arrangements</w:t>
      </w:r>
      <w:r w:rsidR="00AB15C4" w:rsidRPr="006A73DD">
        <w:rPr>
          <w:rFonts w:asciiTheme="majorBidi" w:hAnsiTheme="majorBidi" w:cstheme="majorBidi"/>
          <w:szCs w:val="24"/>
        </w:rPr>
        <w:t>.  In most ca</w:t>
      </w:r>
      <w:r w:rsidR="006A73DD">
        <w:rPr>
          <w:rFonts w:asciiTheme="majorBidi" w:hAnsiTheme="majorBidi" w:cstheme="majorBidi"/>
          <w:szCs w:val="24"/>
        </w:rPr>
        <w:t xml:space="preserve">ses, </w:t>
      </w:r>
      <w:proofErr w:type="spellStart"/>
      <w:r w:rsidR="006A73DD">
        <w:rPr>
          <w:rFonts w:asciiTheme="majorBidi" w:hAnsiTheme="majorBidi" w:cstheme="majorBidi"/>
          <w:szCs w:val="24"/>
        </w:rPr>
        <w:t>behaviour</w:t>
      </w:r>
      <w:proofErr w:type="spellEnd"/>
      <w:r w:rsidR="006A73DD">
        <w:rPr>
          <w:rFonts w:asciiTheme="majorBidi" w:hAnsiTheme="majorBidi" w:cstheme="majorBidi"/>
          <w:szCs w:val="24"/>
        </w:rPr>
        <w:t xml:space="preserve"> will not be </w:t>
      </w:r>
      <w:r w:rsidR="00AB15C4" w:rsidRPr="006A73DD">
        <w:rPr>
          <w:rFonts w:asciiTheme="majorBidi" w:hAnsiTheme="majorBidi" w:cstheme="majorBidi"/>
          <w:szCs w:val="24"/>
        </w:rPr>
        <w:t xml:space="preserve">far removed from </w:t>
      </w:r>
      <w:r w:rsidR="006A73DD">
        <w:rPr>
          <w:rFonts w:asciiTheme="majorBidi" w:hAnsiTheme="majorBidi" w:cstheme="majorBidi"/>
          <w:szCs w:val="24"/>
        </w:rPr>
        <w:t xml:space="preserve">that of </w:t>
      </w:r>
      <w:r w:rsidR="00AB15C4" w:rsidRPr="006A73DD">
        <w:rPr>
          <w:rFonts w:asciiTheme="majorBidi" w:hAnsiTheme="majorBidi" w:cstheme="majorBidi"/>
          <w:szCs w:val="24"/>
        </w:rPr>
        <w:t>traditional rentiers.</w:t>
      </w:r>
      <w:r w:rsidR="00A05747" w:rsidRPr="006A73DD">
        <w:rPr>
          <w:rStyle w:val="EndnoteReference"/>
          <w:rFonts w:asciiTheme="majorBidi" w:hAnsiTheme="majorBidi" w:cstheme="majorBidi"/>
          <w:szCs w:val="24"/>
        </w:rPr>
        <w:endnoteReference w:id="21"/>
      </w:r>
      <w:r w:rsidR="00AB15C4" w:rsidRPr="006A73DD">
        <w:rPr>
          <w:rFonts w:asciiTheme="majorBidi" w:hAnsiTheme="majorBidi" w:cstheme="majorBidi"/>
          <w:szCs w:val="24"/>
        </w:rPr>
        <w:t xml:space="preserve">  However, some SWFs, most notably N</w:t>
      </w:r>
      <w:r w:rsidR="006A73DD">
        <w:rPr>
          <w:rFonts w:asciiTheme="majorBidi" w:hAnsiTheme="majorBidi" w:cstheme="majorBidi"/>
          <w:szCs w:val="24"/>
        </w:rPr>
        <w:t>orway’s, pursue a social agenda</w:t>
      </w:r>
      <w:r w:rsidR="00AB15C4" w:rsidRPr="006A73DD">
        <w:rPr>
          <w:rFonts w:asciiTheme="majorBidi" w:hAnsiTheme="majorBidi" w:cstheme="majorBidi"/>
          <w:szCs w:val="24"/>
        </w:rPr>
        <w:t xml:space="preserve"> that might be conducive to compromise at firm, but not </w:t>
      </w:r>
      <w:r w:rsidR="0021450B" w:rsidRPr="006A73DD">
        <w:rPr>
          <w:rFonts w:asciiTheme="majorBidi" w:hAnsiTheme="majorBidi" w:cstheme="majorBidi"/>
          <w:szCs w:val="24"/>
        </w:rPr>
        <w:t xml:space="preserve">at </w:t>
      </w:r>
      <w:r w:rsidR="00AB15C4" w:rsidRPr="006A73DD">
        <w:rPr>
          <w:rFonts w:asciiTheme="majorBidi" w:hAnsiTheme="majorBidi" w:cstheme="majorBidi"/>
          <w:szCs w:val="24"/>
        </w:rPr>
        <w:t>societal l</w:t>
      </w:r>
      <w:r w:rsidR="006A73DD">
        <w:rPr>
          <w:rFonts w:asciiTheme="majorBidi" w:hAnsiTheme="majorBidi" w:cstheme="majorBidi"/>
          <w:szCs w:val="24"/>
        </w:rPr>
        <w:t>evel.  Others encompass thinly-v</w:t>
      </w:r>
      <w:r w:rsidR="00AB15C4" w:rsidRPr="006A73DD">
        <w:rPr>
          <w:rFonts w:asciiTheme="majorBidi" w:hAnsiTheme="majorBidi" w:cstheme="majorBidi"/>
          <w:szCs w:val="24"/>
        </w:rPr>
        <w:t>eile</w:t>
      </w:r>
      <w:r w:rsidR="00763B82" w:rsidRPr="006A73DD">
        <w:rPr>
          <w:rFonts w:asciiTheme="majorBidi" w:hAnsiTheme="majorBidi" w:cstheme="majorBidi"/>
          <w:szCs w:val="24"/>
        </w:rPr>
        <w:t>d foreign policy ambitions, which</w:t>
      </w:r>
      <w:r w:rsidR="00AB15C4" w:rsidRPr="006A73DD">
        <w:rPr>
          <w:rFonts w:asciiTheme="majorBidi" w:hAnsiTheme="majorBidi" w:cstheme="majorBidi"/>
          <w:szCs w:val="24"/>
        </w:rPr>
        <w:t xml:space="preserve"> have little to do with traditiona</w:t>
      </w:r>
      <w:r w:rsidR="00951548" w:rsidRPr="006A73DD">
        <w:rPr>
          <w:rFonts w:asciiTheme="majorBidi" w:hAnsiTheme="majorBidi" w:cstheme="majorBidi"/>
          <w:szCs w:val="24"/>
        </w:rPr>
        <w:t>l firm practice.  However</w:t>
      </w:r>
      <w:r w:rsidR="004C38E9" w:rsidRPr="006A73DD">
        <w:rPr>
          <w:rFonts w:asciiTheme="majorBidi" w:hAnsiTheme="majorBidi" w:cstheme="majorBidi"/>
          <w:szCs w:val="24"/>
        </w:rPr>
        <w:t>,</w:t>
      </w:r>
      <w:r w:rsidR="00951548" w:rsidRPr="006A73DD">
        <w:rPr>
          <w:rFonts w:asciiTheme="majorBidi" w:hAnsiTheme="majorBidi" w:cstheme="majorBidi"/>
          <w:szCs w:val="24"/>
        </w:rPr>
        <w:t xml:space="preserve"> the picture is </w:t>
      </w:r>
      <w:r w:rsidR="00B300AF" w:rsidRPr="006A73DD">
        <w:rPr>
          <w:rFonts w:asciiTheme="majorBidi" w:hAnsiTheme="majorBidi" w:cstheme="majorBidi"/>
          <w:szCs w:val="24"/>
        </w:rPr>
        <w:t xml:space="preserve">a </w:t>
      </w:r>
      <w:r w:rsidR="00951548" w:rsidRPr="006A73DD">
        <w:rPr>
          <w:rFonts w:asciiTheme="majorBidi" w:hAnsiTheme="majorBidi" w:cstheme="majorBidi"/>
          <w:szCs w:val="24"/>
        </w:rPr>
        <w:t>far from uniform</w:t>
      </w:r>
      <w:r w:rsidR="00B300AF" w:rsidRPr="006A73DD">
        <w:rPr>
          <w:rFonts w:asciiTheme="majorBidi" w:hAnsiTheme="majorBidi" w:cstheme="majorBidi"/>
          <w:szCs w:val="24"/>
        </w:rPr>
        <w:t xml:space="preserve"> one</w:t>
      </w:r>
      <w:r w:rsidR="00951548" w:rsidRPr="006A73DD">
        <w:rPr>
          <w:rFonts w:asciiTheme="majorBidi" w:hAnsiTheme="majorBidi" w:cstheme="majorBidi"/>
          <w:szCs w:val="24"/>
        </w:rPr>
        <w:t xml:space="preserve"> as</w:t>
      </w:r>
      <w:r w:rsidR="00763B82" w:rsidRPr="006A73DD">
        <w:rPr>
          <w:rFonts w:asciiTheme="majorBidi" w:hAnsiTheme="majorBidi" w:cstheme="majorBidi"/>
          <w:szCs w:val="24"/>
        </w:rPr>
        <w:t xml:space="preserve"> </w:t>
      </w:r>
      <w:proofErr w:type="spellStart"/>
      <w:r w:rsidR="00763B82" w:rsidRPr="006A73DD">
        <w:rPr>
          <w:rFonts w:asciiTheme="majorBidi" w:hAnsiTheme="majorBidi" w:cstheme="majorBidi"/>
          <w:szCs w:val="24"/>
        </w:rPr>
        <w:t>labour</w:t>
      </w:r>
      <w:proofErr w:type="spellEnd"/>
      <w:r w:rsidR="004C38E9" w:rsidRPr="006A73DD">
        <w:rPr>
          <w:rFonts w:asciiTheme="majorBidi" w:hAnsiTheme="majorBidi" w:cstheme="majorBidi"/>
          <w:szCs w:val="24"/>
        </w:rPr>
        <w:t xml:space="preserve"> stakeholders </w:t>
      </w:r>
      <w:r w:rsidR="00FF443A" w:rsidRPr="006A73DD">
        <w:rPr>
          <w:rFonts w:asciiTheme="majorBidi" w:hAnsiTheme="majorBidi" w:cstheme="majorBidi"/>
          <w:szCs w:val="24"/>
        </w:rPr>
        <w:t xml:space="preserve">do tend to </w:t>
      </w:r>
      <w:r w:rsidR="00AB15C4" w:rsidRPr="006A73DD">
        <w:rPr>
          <w:rFonts w:asciiTheme="majorBidi" w:hAnsiTheme="majorBidi" w:cstheme="majorBidi"/>
          <w:szCs w:val="24"/>
        </w:rPr>
        <w:t>encourage dialogue or comprom</w:t>
      </w:r>
      <w:r w:rsidR="00336BDC" w:rsidRPr="006A73DD">
        <w:rPr>
          <w:rFonts w:asciiTheme="majorBidi" w:hAnsiTheme="majorBidi" w:cstheme="majorBidi"/>
          <w:szCs w:val="24"/>
        </w:rPr>
        <w:t>ise with worker interests</w:t>
      </w:r>
      <w:r w:rsidR="00AB15C4" w:rsidRPr="006A73DD">
        <w:rPr>
          <w:rFonts w:asciiTheme="majorBidi" w:hAnsiTheme="majorBidi" w:cstheme="majorBidi"/>
          <w:szCs w:val="24"/>
        </w:rPr>
        <w:t xml:space="preserve"> at </w:t>
      </w:r>
      <w:r w:rsidR="00FF443A" w:rsidRPr="006A73DD">
        <w:rPr>
          <w:rFonts w:asciiTheme="majorBidi" w:hAnsiTheme="majorBidi" w:cstheme="majorBidi"/>
          <w:szCs w:val="24"/>
        </w:rPr>
        <w:t>firm level</w:t>
      </w:r>
      <w:r w:rsidR="00AB15C4" w:rsidRPr="006A73DD">
        <w:rPr>
          <w:rFonts w:asciiTheme="majorBidi" w:hAnsiTheme="majorBidi" w:cstheme="majorBidi"/>
          <w:szCs w:val="24"/>
        </w:rPr>
        <w:t>.</w:t>
      </w:r>
      <w:r w:rsidR="00A05747" w:rsidRPr="006A73DD">
        <w:rPr>
          <w:rStyle w:val="EndnoteReference"/>
          <w:rFonts w:asciiTheme="majorBidi" w:hAnsiTheme="majorBidi" w:cstheme="majorBidi"/>
          <w:szCs w:val="24"/>
        </w:rPr>
        <w:endnoteReference w:id="22"/>
      </w:r>
      <w:r w:rsidR="00AB15C4" w:rsidRPr="006A73DD">
        <w:rPr>
          <w:rFonts w:asciiTheme="majorBidi" w:hAnsiTheme="majorBidi" w:cstheme="majorBidi"/>
          <w:szCs w:val="24"/>
        </w:rPr>
        <w:t xml:space="preserve">    </w:t>
      </w:r>
    </w:p>
    <w:p w:rsidR="00AB15C4" w:rsidRPr="006A73DD" w:rsidRDefault="00AB15C4" w:rsidP="0096219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ajorBidi" w:hAnsiTheme="majorBidi" w:cstheme="majorBidi"/>
          <w:szCs w:val="24"/>
        </w:rPr>
      </w:pPr>
      <w:r w:rsidRPr="006A73DD">
        <w:rPr>
          <w:rFonts w:asciiTheme="majorBidi" w:hAnsiTheme="majorBidi" w:cstheme="majorBidi"/>
          <w:szCs w:val="24"/>
        </w:rPr>
        <w:lastRenderedPageBreak/>
        <w:tab/>
        <w:t>An i</w:t>
      </w:r>
      <w:r w:rsidR="00631E3C" w:rsidRPr="006A73DD">
        <w:rPr>
          <w:rFonts w:asciiTheme="majorBidi" w:hAnsiTheme="majorBidi" w:cstheme="majorBidi"/>
          <w:szCs w:val="24"/>
        </w:rPr>
        <w:t>m</w:t>
      </w:r>
      <w:r w:rsidR="004C38E9" w:rsidRPr="006A73DD">
        <w:rPr>
          <w:rFonts w:asciiTheme="majorBidi" w:hAnsiTheme="majorBidi" w:cstheme="majorBidi"/>
          <w:szCs w:val="24"/>
        </w:rPr>
        <w:t>p</w:t>
      </w:r>
      <w:r w:rsidR="00631E3C" w:rsidRPr="006A73DD">
        <w:rPr>
          <w:rFonts w:asciiTheme="majorBidi" w:hAnsiTheme="majorBidi" w:cstheme="majorBidi"/>
          <w:szCs w:val="24"/>
        </w:rPr>
        <w:t>ortant</w:t>
      </w:r>
      <w:r w:rsidR="003F4B0E" w:rsidRPr="006A73DD">
        <w:rPr>
          <w:rFonts w:asciiTheme="majorBidi" w:hAnsiTheme="majorBidi" w:cstheme="majorBidi"/>
          <w:szCs w:val="24"/>
        </w:rPr>
        <w:t xml:space="preserve"> new book by Pi</w:t>
      </w:r>
      <w:r w:rsidR="00631E3C" w:rsidRPr="006A73DD">
        <w:rPr>
          <w:rFonts w:asciiTheme="majorBidi" w:hAnsiTheme="majorBidi" w:cstheme="majorBidi"/>
          <w:szCs w:val="24"/>
        </w:rPr>
        <w:t xml:space="preserve">ketty </w:t>
      </w:r>
      <w:r w:rsidRPr="006A73DD">
        <w:rPr>
          <w:rFonts w:asciiTheme="majorBidi" w:hAnsiTheme="majorBidi" w:cstheme="majorBidi"/>
          <w:szCs w:val="24"/>
        </w:rPr>
        <w:t>present</w:t>
      </w:r>
      <w:r w:rsidR="00763B82" w:rsidRPr="006A73DD">
        <w:rPr>
          <w:rFonts w:asciiTheme="majorBidi" w:hAnsiTheme="majorBidi" w:cstheme="majorBidi"/>
          <w:szCs w:val="24"/>
        </w:rPr>
        <w:t xml:space="preserve">s a somewhat different </w:t>
      </w:r>
      <w:r w:rsidRPr="006A73DD">
        <w:rPr>
          <w:rFonts w:asciiTheme="majorBidi" w:hAnsiTheme="majorBidi" w:cstheme="majorBidi"/>
          <w:szCs w:val="24"/>
        </w:rPr>
        <w:t>vi</w:t>
      </w:r>
      <w:r w:rsidR="00951548" w:rsidRPr="006A73DD">
        <w:rPr>
          <w:rFonts w:asciiTheme="majorBidi" w:hAnsiTheme="majorBidi" w:cstheme="majorBidi"/>
          <w:szCs w:val="24"/>
        </w:rPr>
        <w:t>ew</w:t>
      </w:r>
      <w:r w:rsidR="00763B82" w:rsidRPr="006A73DD">
        <w:rPr>
          <w:rFonts w:asciiTheme="majorBidi" w:hAnsiTheme="majorBidi" w:cstheme="majorBidi"/>
          <w:szCs w:val="24"/>
        </w:rPr>
        <w:t>point</w:t>
      </w:r>
      <w:r w:rsidR="00951548" w:rsidRPr="006A73DD">
        <w:rPr>
          <w:rFonts w:asciiTheme="majorBidi" w:hAnsiTheme="majorBidi" w:cstheme="majorBidi"/>
          <w:szCs w:val="24"/>
        </w:rPr>
        <w:t>.</w:t>
      </w:r>
      <w:r w:rsidR="00B11C4B" w:rsidRPr="006A73DD">
        <w:rPr>
          <w:rStyle w:val="EndnoteReference"/>
          <w:rFonts w:asciiTheme="majorBidi" w:hAnsiTheme="majorBidi" w:cstheme="majorBidi"/>
          <w:szCs w:val="24"/>
        </w:rPr>
        <w:endnoteReference w:id="23"/>
      </w:r>
      <w:r w:rsidR="00951548" w:rsidRPr="006A73DD">
        <w:rPr>
          <w:rFonts w:asciiTheme="majorBidi" w:hAnsiTheme="majorBidi" w:cstheme="majorBidi"/>
          <w:szCs w:val="24"/>
        </w:rPr>
        <w:t xml:space="preserve"> Pi</w:t>
      </w:r>
      <w:r w:rsidR="00AC40E8" w:rsidRPr="006A73DD">
        <w:rPr>
          <w:rFonts w:asciiTheme="majorBidi" w:hAnsiTheme="majorBidi" w:cstheme="majorBidi"/>
          <w:szCs w:val="24"/>
        </w:rPr>
        <w:t>ketty is, in common with theorist</w:t>
      </w:r>
      <w:r w:rsidRPr="006A73DD">
        <w:rPr>
          <w:rFonts w:asciiTheme="majorBidi" w:hAnsiTheme="majorBidi" w:cstheme="majorBidi"/>
          <w:szCs w:val="24"/>
        </w:rPr>
        <w:t xml:space="preserve">s of near-inevitable </w:t>
      </w:r>
      <w:proofErr w:type="spellStart"/>
      <w:r w:rsidRPr="006A73DD">
        <w:rPr>
          <w:rFonts w:asciiTheme="majorBidi" w:hAnsiTheme="majorBidi" w:cstheme="majorBidi"/>
          <w:szCs w:val="24"/>
        </w:rPr>
        <w:t>labour</w:t>
      </w:r>
      <w:proofErr w:type="spellEnd"/>
      <w:r w:rsidRPr="006A73DD">
        <w:rPr>
          <w:rFonts w:asciiTheme="majorBidi" w:hAnsiTheme="majorBidi" w:cstheme="majorBidi"/>
          <w:szCs w:val="24"/>
        </w:rPr>
        <w:t xml:space="preserve"> coercion, somewhat skeptical as to the possibilities of meaningful class compro</w:t>
      </w:r>
      <w:r w:rsidR="00336BDC" w:rsidRPr="006A73DD">
        <w:rPr>
          <w:rFonts w:asciiTheme="majorBidi" w:hAnsiTheme="majorBidi" w:cstheme="majorBidi"/>
          <w:szCs w:val="24"/>
        </w:rPr>
        <w:t>mises other than in very particular</w:t>
      </w:r>
      <w:r w:rsidRPr="006A73DD">
        <w:rPr>
          <w:rFonts w:asciiTheme="majorBidi" w:hAnsiTheme="majorBidi" w:cstheme="majorBidi"/>
          <w:szCs w:val="24"/>
        </w:rPr>
        <w:t xml:space="preserve"> circumstances. However,</w:t>
      </w:r>
      <w:r w:rsidR="00452AF2" w:rsidRPr="006A73DD">
        <w:rPr>
          <w:rFonts w:asciiTheme="majorBidi" w:hAnsiTheme="majorBidi" w:cstheme="majorBidi"/>
          <w:szCs w:val="24"/>
        </w:rPr>
        <w:t xml:space="preserve"> in his study of wealth</w:t>
      </w:r>
      <w:r w:rsidR="00AC40E8" w:rsidRPr="006A73DD">
        <w:rPr>
          <w:rFonts w:asciiTheme="majorBidi" w:hAnsiTheme="majorBidi" w:cstheme="majorBidi"/>
          <w:szCs w:val="24"/>
        </w:rPr>
        <w:t xml:space="preserve"> spanning the last three centuries, he</w:t>
      </w:r>
      <w:r w:rsidRPr="006A73DD">
        <w:rPr>
          <w:rFonts w:asciiTheme="majorBidi" w:hAnsiTheme="majorBidi" w:cstheme="majorBidi"/>
          <w:szCs w:val="24"/>
        </w:rPr>
        <w:t xml:space="preserve"> argues that in hard economic</w:t>
      </w:r>
      <w:r w:rsidR="00AC40E8" w:rsidRPr="006A73DD">
        <w:rPr>
          <w:rFonts w:asciiTheme="majorBidi" w:hAnsiTheme="majorBidi" w:cstheme="majorBidi"/>
          <w:szCs w:val="24"/>
        </w:rPr>
        <w:t xml:space="preserve"> times, societal inequality has</w:t>
      </w:r>
      <w:r w:rsidRPr="006A73DD">
        <w:rPr>
          <w:rFonts w:asciiTheme="majorBidi" w:hAnsiTheme="majorBidi" w:cstheme="majorBidi"/>
          <w:szCs w:val="24"/>
        </w:rPr>
        <w:t xml:space="preserve"> rise</w:t>
      </w:r>
      <w:r w:rsidR="00AC40E8" w:rsidRPr="006A73DD">
        <w:rPr>
          <w:rFonts w:asciiTheme="majorBidi" w:hAnsiTheme="majorBidi" w:cstheme="majorBidi"/>
          <w:szCs w:val="24"/>
        </w:rPr>
        <w:t>n</w:t>
      </w:r>
      <w:r w:rsidR="00763B82" w:rsidRPr="006A73DD">
        <w:rPr>
          <w:rFonts w:asciiTheme="majorBidi" w:hAnsiTheme="majorBidi" w:cstheme="majorBidi"/>
          <w:szCs w:val="24"/>
        </w:rPr>
        <w:t xml:space="preserve"> as élites</w:t>
      </w:r>
      <w:r w:rsidRPr="006A73DD">
        <w:rPr>
          <w:rFonts w:asciiTheme="majorBidi" w:hAnsiTheme="majorBidi" w:cstheme="majorBidi"/>
          <w:szCs w:val="24"/>
        </w:rPr>
        <w:t xml:space="preserve"> concentrate their resources in speculative rather than productive investment.  </w:t>
      </w:r>
      <w:r w:rsidR="00951548" w:rsidRPr="006A73DD">
        <w:rPr>
          <w:rFonts w:asciiTheme="majorBidi" w:hAnsiTheme="majorBidi" w:cstheme="majorBidi"/>
          <w:szCs w:val="24"/>
        </w:rPr>
        <w:t>In contrast, in times of growth</w:t>
      </w:r>
      <w:r w:rsidR="00452AF2" w:rsidRPr="006A73DD">
        <w:rPr>
          <w:rFonts w:asciiTheme="majorBidi" w:hAnsiTheme="majorBidi" w:cstheme="majorBidi"/>
          <w:szCs w:val="24"/>
        </w:rPr>
        <w:t xml:space="preserve"> such as the thirty-year post-war boom</w:t>
      </w:r>
      <w:r w:rsidR="00951548" w:rsidRPr="006A73DD">
        <w:rPr>
          <w:rFonts w:asciiTheme="majorBidi" w:hAnsiTheme="majorBidi" w:cstheme="majorBidi"/>
          <w:szCs w:val="24"/>
        </w:rPr>
        <w:t>, the societal base of consumption widens, making more productiv</w:t>
      </w:r>
      <w:r w:rsidR="00336BDC" w:rsidRPr="006A73DD">
        <w:rPr>
          <w:rFonts w:asciiTheme="majorBidi" w:hAnsiTheme="majorBidi" w:cstheme="majorBidi"/>
          <w:szCs w:val="24"/>
        </w:rPr>
        <w:t>e investment attractive; this, in turn, increases workers’ bargaining power, encouraging</w:t>
      </w:r>
      <w:r w:rsidR="00951548" w:rsidRPr="006A73DD">
        <w:rPr>
          <w:rFonts w:asciiTheme="majorBidi" w:hAnsiTheme="majorBidi" w:cstheme="majorBidi"/>
          <w:szCs w:val="24"/>
        </w:rPr>
        <w:t xml:space="preserve"> class compromise.  </w:t>
      </w:r>
      <w:r w:rsidRPr="006A73DD">
        <w:rPr>
          <w:rFonts w:asciiTheme="majorBidi" w:hAnsiTheme="majorBidi" w:cstheme="majorBidi"/>
          <w:szCs w:val="24"/>
        </w:rPr>
        <w:t>As the rate of retur</w:t>
      </w:r>
      <w:r w:rsidR="00184482" w:rsidRPr="006A73DD">
        <w:rPr>
          <w:rFonts w:asciiTheme="majorBidi" w:hAnsiTheme="majorBidi" w:cstheme="majorBidi"/>
          <w:szCs w:val="24"/>
        </w:rPr>
        <w:t>n on financial assets invariably</w:t>
      </w:r>
      <w:r w:rsidRPr="006A73DD">
        <w:rPr>
          <w:rFonts w:asciiTheme="majorBidi" w:hAnsiTheme="majorBidi" w:cstheme="majorBidi"/>
          <w:szCs w:val="24"/>
        </w:rPr>
        <w:t xml:space="preserve"> exceed</w:t>
      </w:r>
      <w:r w:rsidR="00184482" w:rsidRPr="006A73DD">
        <w:rPr>
          <w:rFonts w:asciiTheme="majorBidi" w:hAnsiTheme="majorBidi" w:cstheme="majorBidi"/>
          <w:szCs w:val="24"/>
        </w:rPr>
        <w:t>s</w:t>
      </w:r>
      <w:r w:rsidR="00951548" w:rsidRPr="006A73DD">
        <w:rPr>
          <w:rFonts w:asciiTheme="majorBidi" w:hAnsiTheme="majorBidi" w:cstheme="majorBidi"/>
          <w:szCs w:val="24"/>
        </w:rPr>
        <w:t xml:space="preserve"> the rate of growth,</w:t>
      </w:r>
      <w:r w:rsidRPr="006A73DD">
        <w:rPr>
          <w:rFonts w:asciiTheme="majorBidi" w:hAnsiTheme="majorBidi" w:cstheme="majorBidi"/>
          <w:szCs w:val="24"/>
        </w:rPr>
        <w:t xml:space="preserve"> when</w:t>
      </w:r>
      <w:r w:rsidR="008929C8" w:rsidRPr="006A73DD">
        <w:rPr>
          <w:rFonts w:asciiTheme="majorBidi" w:hAnsiTheme="majorBidi" w:cstheme="majorBidi"/>
          <w:szCs w:val="24"/>
        </w:rPr>
        <w:t>,</w:t>
      </w:r>
      <w:r w:rsidRPr="006A73DD">
        <w:rPr>
          <w:rFonts w:asciiTheme="majorBidi" w:hAnsiTheme="majorBidi" w:cstheme="majorBidi"/>
          <w:szCs w:val="24"/>
        </w:rPr>
        <w:t xml:space="preserve"> </w:t>
      </w:r>
      <w:r w:rsidR="00763B82" w:rsidRPr="006A73DD">
        <w:rPr>
          <w:rFonts w:asciiTheme="majorBidi" w:hAnsiTheme="majorBidi" w:cstheme="majorBidi"/>
          <w:szCs w:val="24"/>
        </w:rPr>
        <w:t>as in the present</w:t>
      </w:r>
      <w:r w:rsidR="008929C8" w:rsidRPr="006A73DD">
        <w:rPr>
          <w:rFonts w:asciiTheme="majorBidi" w:hAnsiTheme="majorBidi" w:cstheme="majorBidi"/>
          <w:szCs w:val="24"/>
        </w:rPr>
        <w:t>,</w:t>
      </w:r>
      <w:r w:rsidR="00763B82" w:rsidRPr="006A73DD">
        <w:rPr>
          <w:rFonts w:asciiTheme="majorBidi" w:hAnsiTheme="majorBidi" w:cstheme="majorBidi"/>
          <w:szCs w:val="24"/>
        </w:rPr>
        <w:t xml:space="preserve"> </w:t>
      </w:r>
      <w:r w:rsidRPr="006A73DD">
        <w:rPr>
          <w:rFonts w:asciiTheme="majorBidi" w:hAnsiTheme="majorBidi" w:cstheme="majorBidi"/>
          <w:szCs w:val="24"/>
        </w:rPr>
        <w:t>growth</w:t>
      </w:r>
      <w:r w:rsidR="00951548" w:rsidRPr="006A73DD">
        <w:rPr>
          <w:rFonts w:asciiTheme="majorBidi" w:hAnsiTheme="majorBidi" w:cstheme="majorBidi"/>
          <w:szCs w:val="24"/>
        </w:rPr>
        <w:t xml:space="preserve"> is low, social inequality </w:t>
      </w:r>
      <w:r w:rsidR="00184482" w:rsidRPr="006A73DD">
        <w:rPr>
          <w:rFonts w:asciiTheme="majorBidi" w:hAnsiTheme="majorBidi" w:cstheme="majorBidi"/>
          <w:szCs w:val="24"/>
        </w:rPr>
        <w:t>widens</w:t>
      </w:r>
      <w:r w:rsidRPr="006A73DD">
        <w:rPr>
          <w:rFonts w:asciiTheme="majorBidi" w:hAnsiTheme="majorBidi" w:cstheme="majorBidi"/>
          <w:szCs w:val="24"/>
        </w:rPr>
        <w:t>.</w:t>
      </w:r>
      <w:r w:rsidR="00B11C4B" w:rsidRPr="006A73DD">
        <w:rPr>
          <w:rStyle w:val="EndnoteReference"/>
          <w:rFonts w:asciiTheme="majorBidi" w:hAnsiTheme="majorBidi" w:cstheme="majorBidi"/>
          <w:szCs w:val="24"/>
        </w:rPr>
        <w:endnoteReference w:id="24"/>
      </w:r>
      <w:r w:rsidRPr="006A73DD">
        <w:rPr>
          <w:rFonts w:asciiTheme="majorBidi" w:hAnsiTheme="majorBidi" w:cstheme="majorBidi"/>
          <w:szCs w:val="24"/>
        </w:rPr>
        <w:t xml:space="preserve">  This makes </w:t>
      </w:r>
      <w:r w:rsidR="00763B82" w:rsidRPr="006A73DD">
        <w:rPr>
          <w:rFonts w:asciiTheme="majorBidi" w:hAnsiTheme="majorBidi" w:cstheme="majorBidi"/>
          <w:szCs w:val="24"/>
        </w:rPr>
        <w:t>for</w:t>
      </w:r>
      <w:r w:rsidRPr="006A73DD">
        <w:rPr>
          <w:rFonts w:asciiTheme="majorBidi" w:hAnsiTheme="majorBidi" w:cstheme="majorBidi"/>
          <w:szCs w:val="24"/>
        </w:rPr>
        <w:t xml:space="preserve"> further concentration of wealth and p</w:t>
      </w:r>
      <w:r w:rsidR="00A47B5E" w:rsidRPr="006A73DD">
        <w:rPr>
          <w:rFonts w:asciiTheme="majorBidi" w:hAnsiTheme="majorBidi" w:cstheme="majorBidi"/>
          <w:szCs w:val="24"/>
        </w:rPr>
        <w:t>ower in the hands of élites, reduc</w:t>
      </w:r>
      <w:r w:rsidRPr="006A73DD">
        <w:rPr>
          <w:rFonts w:asciiTheme="majorBidi" w:hAnsiTheme="majorBidi" w:cstheme="majorBidi"/>
          <w:szCs w:val="24"/>
        </w:rPr>
        <w:t xml:space="preserve">ing </w:t>
      </w:r>
      <w:r w:rsidR="00184482" w:rsidRPr="006A73DD">
        <w:rPr>
          <w:rFonts w:asciiTheme="majorBidi" w:hAnsiTheme="majorBidi" w:cstheme="majorBidi"/>
          <w:szCs w:val="24"/>
        </w:rPr>
        <w:t xml:space="preserve">the likelihood of </w:t>
      </w:r>
      <w:r w:rsidR="00A47B5E" w:rsidRPr="006A73DD">
        <w:rPr>
          <w:rFonts w:asciiTheme="majorBidi" w:hAnsiTheme="majorBidi" w:cstheme="majorBidi"/>
          <w:szCs w:val="24"/>
        </w:rPr>
        <w:t>social compromises</w:t>
      </w:r>
      <w:r w:rsidRPr="006A73DD">
        <w:rPr>
          <w:rFonts w:asciiTheme="majorBidi" w:hAnsiTheme="majorBidi" w:cstheme="majorBidi"/>
          <w:szCs w:val="24"/>
        </w:rPr>
        <w:t xml:space="preserve">. </w:t>
      </w:r>
    </w:p>
    <w:p w:rsidR="00117D22" w:rsidRPr="006A73DD" w:rsidRDefault="00117D22" w:rsidP="0096219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ajorBidi" w:hAnsiTheme="majorBidi" w:cstheme="majorBidi"/>
          <w:b/>
          <w:szCs w:val="24"/>
        </w:rPr>
      </w:pPr>
    </w:p>
    <w:p w:rsidR="00AB15C4" w:rsidRPr="006A73DD" w:rsidRDefault="00000727" w:rsidP="0096219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ajorBidi" w:hAnsiTheme="majorBidi" w:cstheme="majorBidi"/>
          <w:b/>
          <w:szCs w:val="24"/>
        </w:rPr>
      </w:pPr>
      <w:proofErr w:type="spellStart"/>
      <w:r w:rsidRPr="006A73DD">
        <w:rPr>
          <w:rFonts w:asciiTheme="majorBidi" w:hAnsiTheme="majorBidi" w:cstheme="majorBidi"/>
          <w:b/>
          <w:szCs w:val="24"/>
        </w:rPr>
        <w:t>Tripartism</w:t>
      </w:r>
      <w:proofErr w:type="spellEnd"/>
      <w:r w:rsidRPr="006A73DD">
        <w:rPr>
          <w:rFonts w:asciiTheme="majorBidi" w:hAnsiTheme="majorBidi" w:cstheme="majorBidi"/>
          <w:b/>
          <w:szCs w:val="24"/>
        </w:rPr>
        <w:t xml:space="preserve"> and s</w:t>
      </w:r>
      <w:r w:rsidR="00AB15C4" w:rsidRPr="006A73DD">
        <w:rPr>
          <w:rFonts w:asciiTheme="majorBidi" w:hAnsiTheme="majorBidi" w:cstheme="majorBidi"/>
          <w:b/>
          <w:szCs w:val="24"/>
        </w:rPr>
        <w:t>cale</w:t>
      </w:r>
    </w:p>
    <w:p w:rsidR="00AB15C4" w:rsidRPr="006A73DD" w:rsidRDefault="00AB15C4" w:rsidP="0096219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ajorBidi" w:hAnsiTheme="majorBidi" w:cstheme="majorBidi"/>
          <w:szCs w:val="24"/>
        </w:rPr>
      </w:pPr>
      <w:r w:rsidRPr="006A73DD">
        <w:rPr>
          <w:rFonts w:asciiTheme="majorBidi" w:hAnsiTheme="majorBidi" w:cstheme="majorBidi"/>
          <w:szCs w:val="24"/>
        </w:rPr>
        <w:t>A limitation of the preceding sets of arguments is that they are, above all, temporal theories, linking the relative power of societal groupings to long</w:t>
      </w:r>
      <w:r w:rsidR="00763B82" w:rsidRPr="006A73DD">
        <w:rPr>
          <w:rFonts w:asciiTheme="majorBidi" w:hAnsiTheme="majorBidi" w:cstheme="majorBidi"/>
          <w:szCs w:val="24"/>
        </w:rPr>
        <w:t>-</w:t>
      </w:r>
      <w:r w:rsidRPr="006A73DD">
        <w:rPr>
          <w:rFonts w:asciiTheme="majorBidi" w:hAnsiTheme="majorBidi" w:cstheme="majorBidi"/>
          <w:szCs w:val="24"/>
        </w:rPr>
        <w:t>term shifts in</w:t>
      </w:r>
      <w:r w:rsidR="00A47B5E" w:rsidRPr="006A73DD">
        <w:rPr>
          <w:rFonts w:asciiTheme="majorBidi" w:hAnsiTheme="majorBidi" w:cstheme="majorBidi"/>
          <w:szCs w:val="24"/>
        </w:rPr>
        <w:t xml:space="preserve"> the nature of capitalism in the advanced economies</w:t>
      </w:r>
      <w:r w:rsidRPr="006A73DD">
        <w:rPr>
          <w:rFonts w:asciiTheme="majorBidi" w:hAnsiTheme="majorBidi" w:cstheme="majorBidi"/>
          <w:szCs w:val="24"/>
        </w:rPr>
        <w:t xml:space="preserve">. </w:t>
      </w:r>
      <w:r w:rsidR="00502629" w:rsidRPr="006A73DD">
        <w:rPr>
          <w:rFonts w:asciiTheme="majorBidi" w:hAnsiTheme="majorBidi" w:cstheme="majorBidi"/>
          <w:szCs w:val="24"/>
        </w:rPr>
        <w:t xml:space="preserve">A central reference point for much of the literature </w:t>
      </w:r>
      <w:r w:rsidR="000A3C7B" w:rsidRPr="006A73DD">
        <w:rPr>
          <w:rFonts w:asciiTheme="majorBidi" w:hAnsiTheme="majorBidi" w:cstheme="majorBidi"/>
          <w:szCs w:val="24"/>
        </w:rPr>
        <w:t>on comparative capitalism has been</w:t>
      </w:r>
      <w:r w:rsidR="00502629" w:rsidRPr="006A73DD">
        <w:rPr>
          <w:rFonts w:asciiTheme="majorBidi" w:hAnsiTheme="majorBidi" w:cstheme="majorBidi"/>
          <w:szCs w:val="24"/>
        </w:rPr>
        <w:t xml:space="preserve"> developed </w:t>
      </w:r>
      <w:r w:rsidR="00A47B5E" w:rsidRPr="006A73DD">
        <w:rPr>
          <w:rFonts w:asciiTheme="majorBidi" w:hAnsiTheme="majorBidi" w:cstheme="majorBidi"/>
          <w:szCs w:val="24"/>
        </w:rPr>
        <w:t xml:space="preserve">and, in particular, </w:t>
      </w:r>
      <w:r w:rsidR="00502629" w:rsidRPr="006A73DD">
        <w:rPr>
          <w:rFonts w:asciiTheme="majorBidi" w:hAnsiTheme="majorBidi" w:cstheme="majorBidi"/>
          <w:szCs w:val="24"/>
        </w:rPr>
        <w:t xml:space="preserve">coordinated markets - the Rhineland economies and Scandinavia </w:t>
      </w:r>
      <w:r w:rsidR="000A3C7B" w:rsidRPr="006A73DD">
        <w:rPr>
          <w:rFonts w:asciiTheme="majorBidi" w:hAnsiTheme="majorBidi" w:cstheme="majorBidi"/>
          <w:szCs w:val="24"/>
        </w:rPr>
        <w:t>–</w:t>
      </w:r>
      <w:r w:rsidR="00502629" w:rsidRPr="006A73DD">
        <w:rPr>
          <w:rFonts w:asciiTheme="majorBidi" w:hAnsiTheme="majorBidi" w:cstheme="majorBidi"/>
          <w:szCs w:val="24"/>
        </w:rPr>
        <w:t xml:space="preserve"> </w:t>
      </w:r>
      <w:r w:rsidR="000A3C7B" w:rsidRPr="006A73DD">
        <w:rPr>
          <w:rFonts w:asciiTheme="majorBidi" w:hAnsiTheme="majorBidi" w:cstheme="majorBidi"/>
          <w:szCs w:val="24"/>
        </w:rPr>
        <w:t xml:space="preserve">where </w:t>
      </w:r>
      <w:r w:rsidR="00502629" w:rsidRPr="006A73DD">
        <w:rPr>
          <w:rFonts w:asciiTheme="majorBidi" w:hAnsiTheme="majorBidi" w:cstheme="majorBidi"/>
          <w:szCs w:val="24"/>
        </w:rPr>
        <w:t>stakeholder rights are relatively strong. As firms are bound by dense or “thick” ties to a range of s</w:t>
      </w:r>
      <w:r w:rsidR="00A47B5E" w:rsidRPr="006A73DD">
        <w:rPr>
          <w:rFonts w:asciiTheme="majorBidi" w:hAnsiTheme="majorBidi" w:cstheme="majorBidi"/>
          <w:szCs w:val="24"/>
        </w:rPr>
        <w:t>ocietal interests,</w:t>
      </w:r>
      <w:r w:rsidR="00502629" w:rsidRPr="006A73DD">
        <w:rPr>
          <w:rFonts w:asciiTheme="majorBidi" w:hAnsiTheme="majorBidi" w:cstheme="majorBidi"/>
          <w:szCs w:val="24"/>
        </w:rPr>
        <w:t xml:space="preserve"> mirrored by societal level institutions, </w:t>
      </w:r>
      <w:r w:rsidR="00A47B5E" w:rsidRPr="006A73DD">
        <w:rPr>
          <w:rFonts w:asciiTheme="majorBidi" w:hAnsiTheme="majorBidi" w:cstheme="majorBidi"/>
          <w:szCs w:val="24"/>
        </w:rPr>
        <w:t xml:space="preserve">they are </w:t>
      </w:r>
      <w:r w:rsidR="00502629" w:rsidRPr="006A73DD">
        <w:rPr>
          <w:rFonts w:asciiTheme="majorBidi" w:hAnsiTheme="majorBidi" w:cstheme="majorBidi"/>
          <w:szCs w:val="24"/>
        </w:rPr>
        <w:t>founded on</w:t>
      </w:r>
      <w:r w:rsidR="00A47B5E" w:rsidRPr="006A73DD">
        <w:rPr>
          <w:rFonts w:asciiTheme="majorBidi" w:hAnsiTheme="majorBidi" w:cstheme="majorBidi"/>
          <w:szCs w:val="24"/>
        </w:rPr>
        <w:t xml:space="preserve"> long-term</w:t>
      </w:r>
      <w:r w:rsidR="00502629" w:rsidRPr="006A73DD">
        <w:rPr>
          <w:rFonts w:asciiTheme="majorBidi" w:hAnsiTheme="majorBidi" w:cstheme="majorBidi"/>
          <w:szCs w:val="24"/>
        </w:rPr>
        <w:t xml:space="preserve"> compromises a</w:t>
      </w:r>
      <w:r w:rsidR="00763B82" w:rsidRPr="006A73DD">
        <w:rPr>
          <w:rFonts w:asciiTheme="majorBidi" w:hAnsiTheme="majorBidi" w:cstheme="majorBidi"/>
          <w:szCs w:val="24"/>
        </w:rPr>
        <w:t>nd ongoing reconstructive deals</w:t>
      </w:r>
      <w:r w:rsidR="00502629" w:rsidRPr="006A73DD">
        <w:rPr>
          <w:rFonts w:asciiTheme="majorBidi" w:hAnsiTheme="majorBidi" w:cstheme="majorBidi"/>
          <w:szCs w:val="24"/>
        </w:rPr>
        <w:t xml:space="preserve"> between state, business and </w:t>
      </w:r>
      <w:proofErr w:type="spellStart"/>
      <w:r w:rsidR="00502629" w:rsidRPr="006A73DD">
        <w:rPr>
          <w:rFonts w:asciiTheme="majorBidi" w:hAnsiTheme="majorBidi" w:cstheme="majorBidi"/>
          <w:szCs w:val="24"/>
        </w:rPr>
        <w:t>labour</w:t>
      </w:r>
      <w:proofErr w:type="spellEnd"/>
      <w:r w:rsidR="00502629" w:rsidRPr="006A73DD">
        <w:rPr>
          <w:rFonts w:asciiTheme="majorBidi" w:hAnsiTheme="majorBidi" w:cstheme="majorBidi"/>
          <w:szCs w:val="24"/>
        </w:rPr>
        <w:t>.</w:t>
      </w:r>
      <w:r w:rsidR="00B11C4B" w:rsidRPr="006A73DD">
        <w:rPr>
          <w:rStyle w:val="EndnoteReference"/>
          <w:rFonts w:asciiTheme="majorBidi" w:hAnsiTheme="majorBidi" w:cstheme="majorBidi"/>
          <w:szCs w:val="24"/>
        </w:rPr>
        <w:endnoteReference w:id="25"/>
      </w:r>
      <w:r w:rsidR="00502629" w:rsidRPr="006A73DD">
        <w:rPr>
          <w:rFonts w:asciiTheme="majorBidi" w:hAnsiTheme="majorBidi" w:cstheme="majorBidi"/>
          <w:szCs w:val="24"/>
        </w:rPr>
        <w:t xml:space="preserve"> </w:t>
      </w:r>
      <w:r w:rsidR="00A47B5E" w:rsidRPr="006A73DD">
        <w:rPr>
          <w:rFonts w:asciiTheme="majorBidi" w:hAnsiTheme="majorBidi" w:cstheme="majorBidi"/>
          <w:szCs w:val="24"/>
        </w:rPr>
        <w:t xml:space="preserve">These societies, in which </w:t>
      </w:r>
      <w:proofErr w:type="spellStart"/>
      <w:r w:rsidR="00A47B5E" w:rsidRPr="006A73DD">
        <w:rPr>
          <w:rFonts w:asciiTheme="majorBidi" w:hAnsiTheme="majorBidi" w:cstheme="majorBidi"/>
          <w:szCs w:val="24"/>
        </w:rPr>
        <w:t>tripartism</w:t>
      </w:r>
      <w:proofErr w:type="spellEnd"/>
      <w:r w:rsidR="00A47B5E" w:rsidRPr="006A73DD">
        <w:rPr>
          <w:rFonts w:asciiTheme="majorBidi" w:hAnsiTheme="majorBidi" w:cstheme="majorBidi"/>
          <w:szCs w:val="24"/>
        </w:rPr>
        <w:t xml:space="preserve"> is a more or less ‘natural’ state of affairs, remain an analytic reference point that stands in sharp contrast to that of the Anglo-Saxon model. </w:t>
      </w:r>
      <w:r w:rsidR="00B8194E" w:rsidRPr="006A73DD">
        <w:rPr>
          <w:rFonts w:asciiTheme="majorBidi" w:hAnsiTheme="majorBidi" w:cstheme="majorBidi"/>
          <w:szCs w:val="24"/>
        </w:rPr>
        <w:t>Yet</w:t>
      </w:r>
      <w:r w:rsidRPr="006A73DD">
        <w:rPr>
          <w:rFonts w:asciiTheme="majorBidi" w:hAnsiTheme="majorBidi" w:cstheme="majorBidi"/>
          <w:szCs w:val="24"/>
        </w:rPr>
        <w:t xml:space="preserve"> current theories of comparative capitalism highlight the extent to which very different types of capitalism, with quite distinct forms of societal relations</w:t>
      </w:r>
      <w:r w:rsidR="000A3C7B" w:rsidRPr="006A73DD">
        <w:rPr>
          <w:rFonts w:asciiTheme="majorBidi" w:hAnsiTheme="majorBidi" w:cstheme="majorBidi"/>
          <w:szCs w:val="24"/>
        </w:rPr>
        <w:t xml:space="preserve"> (and not simply the</w:t>
      </w:r>
      <w:r w:rsidR="00763B82" w:rsidRPr="006A73DD">
        <w:rPr>
          <w:rFonts w:asciiTheme="majorBidi" w:hAnsiTheme="majorBidi" w:cstheme="majorBidi"/>
          <w:szCs w:val="24"/>
        </w:rPr>
        <w:t xml:space="preserve"> Rhineland or</w:t>
      </w:r>
      <w:r w:rsidR="000A3C7B" w:rsidRPr="006A73DD">
        <w:rPr>
          <w:rFonts w:asciiTheme="majorBidi" w:hAnsiTheme="majorBidi" w:cstheme="majorBidi"/>
          <w:szCs w:val="24"/>
        </w:rPr>
        <w:t xml:space="preserve"> Anglo-Saxon form</w:t>
      </w:r>
      <w:r w:rsidR="00763B82" w:rsidRPr="006A73DD">
        <w:rPr>
          <w:rFonts w:asciiTheme="majorBidi" w:hAnsiTheme="majorBidi" w:cstheme="majorBidi"/>
          <w:szCs w:val="24"/>
        </w:rPr>
        <w:t>s</w:t>
      </w:r>
      <w:r w:rsidR="000A3C7B" w:rsidRPr="006A73DD">
        <w:rPr>
          <w:rFonts w:asciiTheme="majorBidi" w:hAnsiTheme="majorBidi" w:cstheme="majorBidi"/>
          <w:szCs w:val="24"/>
        </w:rPr>
        <w:t>)</w:t>
      </w:r>
      <w:r w:rsidRPr="006A73DD">
        <w:rPr>
          <w:rFonts w:asciiTheme="majorBidi" w:hAnsiTheme="majorBidi" w:cstheme="majorBidi"/>
          <w:szCs w:val="24"/>
        </w:rPr>
        <w:t xml:space="preserve"> may coexist </w:t>
      </w:r>
      <w:r w:rsidR="00502629" w:rsidRPr="006A73DD">
        <w:rPr>
          <w:rFonts w:asciiTheme="majorBidi" w:hAnsiTheme="majorBidi" w:cstheme="majorBidi"/>
          <w:szCs w:val="24"/>
        </w:rPr>
        <w:t>in different national settings across the globe</w:t>
      </w:r>
      <w:r w:rsidRPr="006A73DD">
        <w:rPr>
          <w:rFonts w:asciiTheme="majorBidi" w:hAnsiTheme="majorBidi" w:cstheme="majorBidi"/>
          <w:szCs w:val="24"/>
        </w:rPr>
        <w:t>.</w:t>
      </w:r>
      <w:r w:rsidR="00B11C4B" w:rsidRPr="006A73DD">
        <w:rPr>
          <w:rStyle w:val="EndnoteReference"/>
          <w:rFonts w:asciiTheme="majorBidi" w:hAnsiTheme="majorBidi" w:cstheme="majorBidi"/>
          <w:szCs w:val="24"/>
        </w:rPr>
        <w:endnoteReference w:id="26"/>
      </w:r>
      <w:r w:rsidRPr="006A73DD">
        <w:rPr>
          <w:rFonts w:asciiTheme="majorBidi" w:hAnsiTheme="majorBidi" w:cstheme="majorBidi"/>
          <w:szCs w:val="24"/>
        </w:rPr>
        <w:t xml:space="preserve">   This would suggest that tripartit</w:t>
      </w:r>
      <w:r w:rsidR="00DC6AA7" w:rsidRPr="006A73DD">
        <w:rPr>
          <w:rFonts w:asciiTheme="majorBidi" w:hAnsiTheme="majorBidi" w:cstheme="majorBidi"/>
          <w:szCs w:val="24"/>
        </w:rPr>
        <w:t xml:space="preserve">e deals are possible across a </w:t>
      </w:r>
      <w:r w:rsidR="00502629" w:rsidRPr="006A73DD">
        <w:rPr>
          <w:rFonts w:asciiTheme="majorBidi" w:hAnsiTheme="majorBidi" w:cstheme="majorBidi"/>
          <w:szCs w:val="24"/>
        </w:rPr>
        <w:t xml:space="preserve">much </w:t>
      </w:r>
      <w:r w:rsidR="00DC6AA7" w:rsidRPr="006A73DD">
        <w:rPr>
          <w:rFonts w:asciiTheme="majorBidi" w:hAnsiTheme="majorBidi" w:cstheme="majorBidi"/>
          <w:szCs w:val="24"/>
        </w:rPr>
        <w:t>wide</w:t>
      </w:r>
      <w:r w:rsidR="00502629" w:rsidRPr="006A73DD">
        <w:rPr>
          <w:rFonts w:asciiTheme="majorBidi" w:hAnsiTheme="majorBidi" w:cstheme="majorBidi"/>
          <w:szCs w:val="24"/>
        </w:rPr>
        <w:t>r</w:t>
      </w:r>
      <w:r w:rsidR="00DC6AA7" w:rsidRPr="006A73DD">
        <w:rPr>
          <w:rFonts w:asciiTheme="majorBidi" w:hAnsiTheme="majorBidi" w:cstheme="majorBidi"/>
          <w:szCs w:val="24"/>
        </w:rPr>
        <w:t xml:space="preserve"> range of contexts</w:t>
      </w:r>
      <w:r w:rsidR="00502629" w:rsidRPr="006A73DD">
        <w:rPr>
          <w:rFonts w:asciiTheme="majorBidi" w:hAnsiTheme="majorBidi" w:cstheme="majorBidi"/>
          <w:szCs w:val="24"/>
        </w:rPr>
        <w:t xml:space="preserve"> internationally than has often been assumed.  </w:t>
      </w:r>
    </w:p>
    <w:p w:rsidR="00AB15C4" w:rsidRPr="006A73DD" w:rsidRDefault="00AB15C4" w:rsidP="0096219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ajorBidi" w:hAnsiTheme="majorBidi" w:cstheme="majorBidi"/>
          <w:szCs w:val="24"/>
        </w:rPr>
      </w:pPr>
      <w:r w:rsidRPr="006A73DD">
        <w:rPr>
          <w:rFonts w:asciiTheme="majorBidi" w:hAnsiTheme="majorBidi" w:cstheme="majorBidi"/>
          <w:szCs w:val="24"/>
        </w:rPr>
        <w:lastRenderedPageBreak/>
        <w:tab/>
        <w:t xml:space="preserve">The post 2008- economic crisis reopened debate as to the relative </w:t>
      </w:r>
      <w:proofErr w:type="spellStart"/>
      <w:r w:rsidRPr="006A73DD">
        <w:rPr>
          <w:rFonts w:asciiTheme="majorBidi" w:hAnsiTheme="majorBidi" w:cstheme="majorBidi"/>
          <w:szCs w:val="24"/>
        </w:rPr>
        <w:t>embeddedness</w:t>
      </w:r>
      <w:proofErr w:type="spellEnd"/>
      <w:r w:rsidRPr="006A73DD">
        <w:rPr>
          <w:rFonts w:asciiTheme="majorBidi" w:hAnsiTheme="majorBidi" w:cstheme="majorBidi"/>
          <w:szCs w:val="24"/>
        </w:rPr>
        <w:t xml:space="preserve"> of nati</w:t>
      </w:r>
      <w:r w:rsidR="00502629" w:rsidRPr="006A73DD">
        <w:rPr>
          <w:rFonts w:asciiTheme="majorBidi" w:hAnsiTheme="majorBidi" w:cstheme="majorBidi"/>
          <w:szCs w:val="24"/>
        </w:rPr>
        <w:t>onal institutions, and the degree</w:t>
      </w:r>
      <w:r w:rsidRPr="006A73DD">
        <w:rPr>
          <w:rFonts w:asciiTheme="majorBidi" w:hAnsiTheme="majorBidi" w:cstheme="majorBidi"/>
          <w:szCs w:val="24"/>
        </w:rPr>
        <w:t xml:space="preserve"> of </w:t>
      </w:r>
      <w:r w:rsidR="00502629" w:rsidRPr="006A73DD">
        <w:rPr>
          <w:rFonts w:asciiTheme="majorBidi" w:hAnsiTheme="majorBidi" w:cstheme="majorBidi"/>
          <w:szCs w:val="24"/>
        </w:rPr>
        <w:t>‘</w:t>
      </w:r>
      <w:r w:rsidRPr="006A73DD">
        <w:rPr>
          <w:rFonts w:asciiTheme="majorBidi" w:hAnsiTheme="majorBidi" w:cstheme="majorBidi"/>
          <w:szCs w:val="24"/>
        </w:rPr>
        <w:t>path dependence</w:t>
      </w:r>
      <w:r w:rsidR="00502629" w:rsidRPr="006A73DD">
        <w:rPr>
          <w:rFonts w:asciiTheme="majorBidi" w:hAnsiTheme="majorBidi" w:cstheme="majorBidi"/>
          <w:szCs w:val="24"/>
        </w:rPr>
        <w:t>’</w:t>
      </w:r>
      <w:r w:rsidR="000A3C7B" w:rsidRPr="006A73DD">
        <w:rPr>
          <w:rFonts w:asciiTheme="majorBidi" w:hAnsiTheme="majorBidi" w:cstheme="majorBidi"/>
          <w:szCs w:val="24"/>
        </w:rPr>
        <w:t xml:space="preserve"> to be found in different national settings</w:t>
      </w:r>
      <w:r w:rsidRPr="006A73DD">
        <w:rPr>
          <w:rFonts w:asciiTheme="majorBidi" w:hAnsiTheme="majorBidi" w:cstheme="majorBidi"/>
          <w:szCs w:val="24"/>
        </w:rPr>
        <w:t xml:space="preserve">.  Pessimistic accounts, such as that of </w:t>
      </w:r>
      <w:proofErr w:type="spellStart"/>
      <w:r w:rsidRPr="006A73DD">
        <w:rPr>
          <w:rFonts w:asciiTheme="majorBidi" w:hAnsiTheme="majorBidi" w:cstheme="majorBidi"/>
          <w:szCs w:val="24"/>
        </w:rPr>
        <w:t>Streeck</w:t>
      </w:r>
      <w:proofErr w:type="spellEnd"/>
      <w:r w:rsidR="008929C8" w:rsidRPr="006A73DD">
        <w:rPr>
          <w:rFonts w:asciiTheme="majorBidi" w:hAnsiTheme="majorBidi" w:cstheme="majorBidi"/>
          <w:szCs w:val="24"/>
        </w:rPr>
        <w:t>,</w:t>
      </w:r>
      <w:r w:rsidR="007371AB" w:rsidRPr="006A73DD">
        <w:rPr>
          <w:rFonts w:asciiTheme="majorBidi" w:hAnsiTheme="majorBidi" w:cstheme="majorBidi"/>
          <w:szCs w:val="24"/>
        </w:rPr>
        <w:t xml:space="preserve"> </w:t>
      </w:r>
      <w:r w:rsidRPr="006A73DD">
        <w:rPr>
          <w:rFonts w:asciiTheme="majorBidi" w:hAnsiTheme="majorBidi" w:cstheme="majorBidi"/>
          <w:szCs w:val="24"/>
        </w:rPr>
        <w:t>suggest that broad hi</w:t>
      </w:r>
      <w:r w:rsidR="00DC6AA7" w:rsidRPr="006A73DD">
        <w:rPr>
          <w:rFonts w:asciiTheme="majorBidi" w:hAnsiTheme="majorBidi" w:cstheme="majorBidi"/>
          <w:szCs w:val="24"/>
        </w:rPr>
        <w:t>storical trends</w:t>
      </w:r>
      <w:r w:rsidR="000A3C7B" w:rsidRPr="006A73DD">
        <w:rPr>
          <w:rFonts w:asciiTheme="majorBidi" w:hAnsiTheme="majorBidi" w:cstheme="majorBidi"/>
          <w:szCs w:val="24"/>
        </w:rPr>
        <w:t xml:space="preserve"> towards the dissolution of non-financial ties</w:t>
      </w:r>
      <w:r w:rsidR="00DC6AA7" w:rsidRPr="006A73DD">
        <w:rPr>
          <w:rFonts w:asciiTheme="majorBidi" w:hAnsiTheme="majorBidi" w:cstheme="majorBidi"/>
          <w:szCs w:val="24"/>
        </w:rPr>
        <w:t xml:space="preserve"> ultimately over-ride</w:t>
      </w:r>
      <w:r w:rsidRPr="006A73DD">
        <w:rPr>
          <w:rFonts w:asciiTheme="majorBidi" w:hAnsiTheme="majorBidi" w:cstheme="majorBidi"/>
          <w:szCs w:val="24"/>
        </w:rPr>
        <w:t xml:space="preserve"> distinct national historical legacies, leading to the gradual unravelling of more coordinated types of capitalism.</w:t>
      </w:r>
      <w:r w:rsidR="00B11C4B" w:rsidRPr="006A73DD">
        <w:rPr>
          <w:rStyle w:val="EndnoteReference"/>
          <w:rFonts w:asciiTheme="majorBidi" w:hAnsiTheme="majorBidi" w:cstheme="majorBidi"/>
          <w:szCs w:val="24"/>
        </w:rPr>
        <w:endnoteReference w:id="27"/>
      </w:r>
      <w:r w:rsidRPr="006A73DD">
        <w:rPr>
          <w:rFonts w:asciiTheme="majorBidi" w:hAnsiTheme="majorBidi" w:cstheme="majorBidi"/>
          <w:szCs w:val="24"/>
        </w:rPr>
        <w:t xml:space="preserve">  In contrast, and informed by the radical economic geography literature, </w:t>
      </w:r>
      <w:r w:rsidR="00502629" w:rsidRPr="006A73DD">
        <w:rPr>
          <w:rFonts w:asciiTheme="majorBidi" w:hAnsiTheme="majorBidi" w:cstheme="majorBidi"/>
          <w:szCs w:val="24"/>
        </w:rPr>
        <w:t>‘</w:t>
      </w:r>
      <w:r w:rsidRPr="006A73DD">
        <w:rPr>
          <w:rFonts w:asciiTheme="majorBidi" w:hAnsiTheme="majorBidi" w:cstheme="majorBidi"/>
          <w:szCs w:val="24"/>
        </w:rPr>
        <w:t>variegated capitalism</w:t>
      </w:r>
      <w:r w:rsidR="00502629" w:rsidRPr="006A73DD">
        <w:rPr>
          <w:rFonts w:asciiTheme="majorBidi" w:hAnsiTheme="majorBidi" w:cstheme="majorBidi"/>
          <w:szCs w:val="24"/>
        </w:rPr>
        <w:t>’</w:t>
      </w:r>
      <w:r w:rsidRPr="006A73DD">
        <w:rPr>
          <w:rFonts w:asciiTheme="majorBidi" w:hAnsiTheme="majorBidi" w:cstheme="majorBidi"/>
          <w:szCs w:val="24"/>
        </w:rPr>
        <w:t xml:space="preserve"> approaches highlight the tensions between a global c</w:t>
      </w:r>
      <w:r w:rsidR="00502629" w:rsidRPr="006A73DD">
        <w:rPr>
          <w:rFonts w:asciiTheme="majorBidi" w:hAnsiTheme="majorBidi" w:cstheme="majorBidi"/>
          <w:szCs w:val="24"/>
        </w:rPr>
        <w:t>apitalist ecosystem, and nation-</w:t>
      </w:r>
      <w:r w:rsidRPr="006A73DD">
        <w:rPr>
          <w:rFonts w:asciiTheme="majorBidi" w:hAnsiTheme="majorBidi" w:cstheme="majorBidi"/>
          <w:szCs w:val="24"/>
        </w:rPr>
        <w:t>specific forms of institutional mediation.</w:t>
      </w:r>
      <w:r w:rsidR="00B11C4B" w:rsidRPr="006A73DD">
        <w:rPr>
          <w:rStyle w:val="EndnoteReference"/>
          <w:rFonts w:asciiTheme="majorBidi" w:hAnsiTheme="majorBidi" w:cstheme="majorBidi"/>
          <w:szCs w:val="24"/>
        </w:rPr>
        <w:endnoteReference w:id="28"/>
      </w:r>
      <w:r w:rsidRPr="006A73DD">
        <w:rPr>
          <w:rFonts w:asciiTheme="majorBidi" w:hAnsiTheme="majorBidi" w:cstheme="majorBidi"/>
          <w:szCs w:val="24"/>
        </w:rPr>
        <w:t xml:space="preserve">  </w:t>
      </w:r>
      <w:r w:rsidR="00502629" w:rsidRPr="006A73DD">
        <w:rPr>
          <w:rFonts w:asciiTheme="majorBidi" w:hAnsiTheme="majorBidi" w:cstheme="majorBidi"/>
          <w:szCs w:val="24"/>
        </w:rPr>
        <w:t xml:space="preserve">Thus, social democratic </w:t>
      </w:r>
      <w:r w:rsidR="00E65645">
        <w:rPr>
          <w:rFonts w:asciiTheme="majorBidi" w:hAnsiTheme="majorBidi" w:cstheme="majorBidi"/>
          <w:szCs w:val="24"/>
        </w:rPr>
        <w:t>ré</w:t>
      </w:r>
      <w:r w:rsidR="00CF5D36" w:rsidRPr="006A73DD">
        <w:rPr>
          <w:rFonts w:asciiTheme="majorBidi" w:hAnsiTheme="majorBidi" w:cstheme="majorBidi"/>
          <w:szCs w:val="24"/>
        </w:rPr>
        <w:t xml:space="preserve">gimes </w:t>
      </w:r>
      <w:r w:rsidR="00502629" w:rsidRPr="006A73DD">
        <w:rPr>
          <w:rFonts w:asciiTheme="majorBidi" w:hAnsiTheme="majorBidi" w:cstheme="majorBidi"/>
          <w:szCs w:val="24"/>
        </w:rPr>
        <w:t>on the ‘global periphery’</w:t>
      </w:r>
      <w:r w:rsidR="00B8194E" w:rsidRPr="006A73DD">
        <w:rPr>
          <w:rFonts w:asciiTheme="majorBidi" w:hAnsiTheme="majorBidi" w:cstheme="majorBidi"/>
          <w:szCs w:val="24"/>
        </w:rPr>
        <w:t xml:space="preserve"> </w:t>
      </w:r>
      <w:r w:rsidR="00CF5D36" w:rsidRPr="006A73DD">
        <w:rPr>
          <w:rFonts w:asciiTheme="majorBidi" w:hAnsiTheme="majorBidi" w:cstheme="majorBidi"/>
          <w:szCs w:val="24"/>
        </w:rPr>
        <w:t xml:space="preserve">have proven </w:t>
      </w:r>
      <w:r w:rsidR="000A3C7B" w:rsidRPr="006A73DD">
        <w:rPr>
          <w:rFonts w:asciiTheme="majorBidi" w:hAnsiTheme="majorBidi" w:cstheme="majorBidi"/>
          <w:szCs w:val="24"/>
        </w:rPr>
        <w:t>cap</w:t>
      </w:r>
      <w:r w:rsidR="00CF5D36" w:rsidRPr="006A73DD">
        <w:rPr>
          <w:rFonts w:asciiTheme="majorBidi" w:hAnsiTheme="majorBidi" w:cstheme="majorBidi"/>
          <w:szCs w:val="24"/>
        </w:rPr>
        <w:t>able of building institutio</w:t>
      </w:r>
      <w:r w:rsidR="000A3C7B" w:rsidRPr="006A73DD">
        <w:rPr>
          <w:rFonts w:asciiTheme="majorBidi" w:hAnsiTheme="majorBidi" w:cstheme="majorBidi"/>
          <w:szCs w:val="24"/>
        </w:rPr>
        <w:t xml:space="preserve">nal frameworks that </w:t>
      </w:r>
      <w:r w:rsidR="00B8194E" w:rsidRPr="006A73DD">
        <w:rPr>
          <w:rFonts w:asciiTheme="majorBidi" w:hAnsiTheme="majorBidi" w:cstheme="majorBidi"/>
          <w:szCs w:val="24"/>
        </w:rPr>
        <w:t xml:space="preserve">incorporate </w:t>
      </w:r>
      <w:proofErr w:type="spellStart"/>
      <w:r w:rsidR="00B8194E" w:rsidRPr="006A73DD">
        <w:rPr>
          <w:rFonts w:asciiTheme="majorBidi" w:hAnsiTheme="majorBidi" w:cstheme="majorBidi"/>
          <w:szCs w:val="24"/>
        </w:rPr>
        <w:t>labour</w:t>
      </w:r>
      <w:proofErr w:type="spellEnd"/>
      <w:r w:rsidR="00B8194E" w:rsidRPr="006A73DD">
        <w:rPr>
          <w:rFonts w:asciiTheme="majorBidi" w:hAnsiTheme="majorBidi" w:cstheme="majorBidi"/>
          <w:szCs w:val="24"/>
        </w:rPr>
        <w:t xml:space="preserve"> via tripartite mechanisms and which have also</w:t>
      </w:r>
      <w:r w:rsidR="000A3C7B" w:rsidRPr="006A73DD">
        <w:rPr>
          <w:rFonts w:asciiTheme="majorBidi" w:hAnsiTheme="majorBidi" w:cstheme="majorBidi"/>
          <w:szCs w:val="24"/>
        </w:rPr>
        <w:t xml:space="preserve"> been associated with</w:t>
      </w:r>
      <w:r w:rsidR="00CF5D36" w:rsidRPr="006A73DD">
        <w:rPr>
          <w:rFonts w:asciiTheme="majorBidi" w:hAnsiTheme="majorBidi" w:cstheme="majorBidi"/>
          <w:szCs w:val="24"/>
        </w:rPr>
        <w:t xml:space="preserve"> a degree of economic success</w:t>
      </w:r>
      <w:r w:rsidR="00FA64B9" w:rsidRPr="006A73DD">
        <w:rPr>
          <w:rFonts w:asciiTheme="majorBidi" w:hAnsiTheme="majorBidi" w:cstheme="majorBidi"/>
          <w:szCs w:val="24"/>
        </w:rPr>
        <w:t>.</w:t>
      </w:r>
      <w:r w:rsidR="00B11C4B" w:rsidRPr="006A73DD">
        <w:rPr>
          <w:rStyle w:val="EndnoteReference"/>
          <w:rFonts w:asciiTheme="majorBidi" w:hAnsiTheme="majorBidi" w:cstheme="majorBidi"/>
          <w:szCs w:val="24"/>
        </w:rPr>
        <w:endnoteReference w:id="29"/>
      </w:r>
      <w:r w:rsidR="00B8194E" w:rsidRPr="006A73DD">
        <w:rPr>
          <w:rFonts w:asciiTheme="majorBidi" w:hAnsiTheme="majorBidi" w:cstheme="majorBidi"/>
          <w:szCs w:val="24"/>
        </w:rPr>
        <w:t xml:space="preserve">  In Russia, a</w:t>
      </w:r>
      <w:r w:rsidR="009F659A" w:rsidRPr="006A73DD">
        <w:rPr>
          <w:rFonts w:asciiTheme="majorBidi" w:hAnsiTheme="majorBidi" w:cstheme="majorBidi"/>
          <w:szCs w:val="24"/>
        </w:rPr>
        <w:t>n alternative</w:t>
      </w:r>
      <w:r w:rsidR="00B8194E" w:rsidRPr="006A73DD">
        <w:rPr>
          <w:rFonts w:asciiTheme="majorBidi" w:hAnsiTheme="majorBidi" w:cstheme="majorBidi"/>
          <w:szCs w:val="24"/>
        </w:rPr>
        <w:t xml:space="preserve"> specific form of ‘social partn</w:t>
      </w:r>
      <w:r w:rsidR="004B5677" w:rsidRPr="006A73DD">
        <w:rPr>
          <w:rFonts w:asciiTheme="majorBidi" w:hAnsiTheme="majorBidi" w:cstheme="majorBidi"/>
          <w:szCs w:val="24"/>
        </w:rPr>
        <w:t xml:space="preserve">ership’ persists, reflected in an agreement with the International </w:t>
      </w:r>
      <w:proofErr w:type="spellStart"/>
      <w:r w:rsidR="004B5677" w:rsidRPr="006A73DD">
        <w:rPr>
          <w:rFonts w:asciiTheme="majorBidi" w:hAnsiTheme="majorBidi" w:cstheme="majorBidi"/>
          <w:szCs w:val="24"/>
        </w:rPr>
        <w:t>Labour</w:t>
      </w:r>
      <w:proofErr w:type="spellEnd"/>
      <w:r w:rsidR="004B5677" w:rsidRPr="006A73DD">
        <w:rPr>
          <w:rFonts w:asciiTheme="majorBidi" w:hAnsiTheme="majorBidi" w:cstheme="majorBidi"/>
          <w:szCs w:val="24"/>
        </w:rPr>
        <w:t xml:space="preserve"> </w:t>
      </w:r>
      <w:proofErr w:type="spellStart"/>
      <w:r w:rsidR="004B5677" w:rsidRPr="006A73DD">
        <w:rPr>
          <w:rFonts w:asciiTheme="majorBidi" w:hAnsiTheme="majorBidi" w:cstheme="majorBidi"/>
          <w:szCs w:val="24"/>
        </w:rPr>
        <w:t>Organisation</w:t>
      </w:r>
      <w:proofErr w:type="spellEnd"/>
      <w:r w:rsidR="004B5677" w:rsidRPr="006A73DD">
        <w:rPr>
          <w:rFonts w:asciiTheme="majorBidi" w:hAnsiTheme="majorBidi" w:cstheme="majorBidi"/>
          <w:szCs w:val="24"/>
        </w:rPr>
        <w:t>, dubbed ‘coercive corporatism’</w:t>
      </w:r>
      <w:r w:rsidR="00E65645">
        <w:rPr>
          <w:rFonts w:asciiTheme="majorBidi" w:hAnsiTheme="majorBidi" w:cstheme="majorBidi"/>
          <w:szCs w:val="24"/>
        </w:rPr>
        <w:t>,</w:t>
      </w:r>
      <w:r w:rsidR="004B5677" w:rsidRPr="006A73DD">
        <w:rPr>
          <w:rFonts w:asciiTheme="majorBidi" w:hAnsiTheme="majorBidi" w:cstheme="majorBidi"/>
          <w:szCs w:val="24"/>
        </w:rPr>
        <w:t xml:space="preserve"> which </w:t>
      </w:r>
      <w:r w:rsidR="00E65645">
        <w:rPr>
          <w:rFonts w:asciiTheme="majorBidi" w:hAnsiTheme="majorBidi" w:cstheme="majorBidi"/>
          <w:szCs w:val="24"/>
        </w:rPr>
        <w:t xml:space="preserve">also </w:t>
      </w:r>
      <w:r w:rsidR="004B5677" w:rsidRPr="006A73DD">
        <w:rPr>
          <w:rFonts w:asciiTheme="majorBidi" w:hAnsiTheme="majorBidi" w:cstheme="majorBidi"/>
          <w:szCs w:val="24"/>
        </w:rPr>
        <w:t xml:space="preserve">embodies weak forms of </w:t>
      </w:r>
      <w:proofErr w:type="spellStart"/>
      <w:r w:rsidR="004B5677" w:rsidRPr="006A73DD">
        <w:rPr>
          <w:rFonts w:asciiTheme="majorBidi" w:hAnsiTheme="majorBidi" w:cstheme="majorBidi"/>
          <w:szCs w:val="24"/>
        </w:rPr>
        <w:t>tripartism</w:t>
      </w:r>
      <w:proofErr w:type="spellEnd"/>
      <w:r w:rsidR="004B5677" w:rsidRPr="006A73DD">
        <w:rPr>
          <w:rFonts w:asciiTheme="majorBidi" w:hAnsiTheme="majorBidi" w:cstheme="majorBidi"/>
          <w:szCs w:val="24"/>
        </w:rPr>
        <w:t>.</w:t>
      </w:r>
      <w:r w:rsidR="00B11C4B" w:rsidRPr="006A73DD">
        <w:rPr>
          <w:rStyle w:val="EndnoteReference"/>
          <w:rFonts w:asciiTheme="majorBidi" w:hAnsiTheme="majorBidi" w:cstheme="majorBidi"/>
          <w:szCs w:val="24"/>
        </w:rPr>
        <w:endnoteReference w:id="30"/>
      </w:r>
      <w:r w:rsidR="004B5677" w:rsidRPr="006A73DD">
        <w:rPr>
          <w:rFonts w:asciiTheme="majorBidi" w:hAnsiTheme="majorBidi" w:cstheme="majorBidi"/>
          <w:szCs w:val="24"/>
        </w:rPr>
        <w:t xml:space="preserve">  </w:t>
      </w:r>
      <w:r w:rsidR="00B8194E" w:rsidRPr="006A73DD">
        <w:rPr>
          <w:rFonts w:asciiTheme="majorBidi" w:hAnsiTheme="majorBidi" w:cstheme="majorBidi"/>
          <w:szCs w:val="24"/>
        </w:rPr>
        <w:t xml:space="preserve"> </w:t>
      </w:r>
    </w:p>
    <w:p w:rsidR="00AB15C4" w:rsidRPr="006A73DD" w:rsidRDefault="00AB15C4" w:rsidP="0096219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ajorBidi" w:hAnsiTheme="majorBidi" w:cstheme="majorBidi"/>
          <w:szCs w:val="24"/>
        </w:rPr>
      </w:pPr>
      <w:r w:rsidRPr="006A73DD">
        <w:rPr>
          <w:rFonts w:asciiTheme="majorBidi" w:hAnsiTheme="majorBidi" w:cstheme="majorBidi"/>
          <w:szCs w:val="24"/>
        </w:rPr>
        <w:tab/>
        <w:t>In practical terms, it can further be argued that supra-national and national institutions are a</w:t>
      </w:r>
      <w:r w:rsidR="00AE7FEC" w:rsidRPr="006A73DD">
        <w:rPr>
          <w:rFonts w:asciiTheme="majorBidi" w:hAnsiTheme="majorBidi" w:cstheme="majorBidi"/>
          <w:szCs w:val="24"/>
        </w:rPr>
        <w:t>t best loosely coupled. Consequently</w:t>
      </w:r>
      <w:r w:rsidRPr="006A73DD">
        <w:rPr>
          <w:rFonts w:asciiTheme="majorBidi" w:hAnsiTheme="majorBidi" w:cstheme="majorBidi"/>
          <w:szCs w:val="24"/>
        </w:rPr>
        <w:t>, for example, the seemingly overwhelming power of international financial institutions varies greatly from setting to setting;</w:t>
      </w:r>
      <w:r w:rsidR="00B8194E" w:rsidRPr="006A73DD">
        <w:rPr>
          <w:rFonts w:asciiTheme="majorBidi" w:hAnsiTheme="majorBidi" w:cstheme="majorBidi"/>
          <w:szCs w:val="24"/>
        </w:rPr>
        <w:t xml:space="preserve"> many Asian nations and Russia</w:t>
      </w:r>
      <w:r w:rsidRPr="006A73DD">
        <w:rPr>
          <w:rFonts w:asciiTheme="majorBidi" w:hAnsiTheme="majorBidi" w:cstheme="majorBidi"/>
          <w:szCs w:val="24"/>
        </w:rPr>
        <w:t xml:space="preserve"> sought to stockpile foreign exchange reserves in the aftermath of the Asian financial crisis, p</w:t>
      </w:r>
      <w:r w:rsidR="004B5677" w:rsidRPr="006A73DD">
        <w:rPr>
          <w:rFonts w:asciiTheme="majorBidi" w:hAnsiTheme="majorBidi" w:cstheme="majorBidi"/>
          <w:szCs w:val="24"/>
        </w:rPr>
        <w:t>recisely to avoid having to accept</w:t>
      </w:r>
      <w:r w:rsidRPr="006A73DD">
        <w:rPr>
          <w:rFonts w:asciiTheme="majorBidi" w:hAnsiTheme="majorBidi" w:cstheme="majorBidi"/>
          <w:szCs w:val="24"/>
        </w:rPr>
        <w:t xml:space="preserve"> IMF policy pre</w:t>
      </w:r>
      <w:r w:rsidR="00FA64B9" w:rsidRPr="006A73DD">
        <w:rPr>
          <w:rFonts w:asciiTheme="majorBidi" w:hAnsiTheme="majorBidi" w:cstheme="majorBidi"/>
          <w:szCs w:val="24"/>
        </w:rPr>
        <w:t>scriptions in the future.  Moreover</w:t>
      </w:r>
      <w:r w:rsidRPr="006A73DD">
        <w:rPr>
          <w:rFonts w:asciiTheme="majorBidi" w:hAnsiTheme="majorBidi" w:cstheme="majorBidi"/>
          <w:szCs w:val="24"/>
        </w:rPr>
        <w:t>, the uneven and declining</w:t>
      </w:r>
      <w:r w:rsidR="00E65645">
        <w:rPr>
          <w:rFonts w:asciiTheme="majorBidi" w:hAnsiTheme="majorBidi" w:cstheme="majorBidi"/>
          <w:szCs w:val="24"/>
        </w:rPr>
        <w:t xml:space="preserve"> nature of US influence has ensured that</w:t>
      </w:r>
      <w:r w:rsidRPr="006A73DD">
        <w:rPr>
          <w:rFonts w:asciiTheme="majorBidi" w:hAnsiTheme="majorBidi" w:cstheme="majorBidi"/>
          <w:szCs w:val="24"/>
        </w:rPr>
        <w:t xml:space="preserve"> the political evangelization </w:t>
      </w:r>
      <w:r w:rsidR="000A3C7B" w:rsidRPr="006A73DD">
        <w:rPr>
          <w:rFonts w:asciiTheme="majorBidi" w:hAnsiTheme="majorBidi" w:cstheme="majorBidi"/>
          <w:szCs w:val="24"/>
        </w:rPr>
        <w:t xml:space="preserve">of neo-liberalism </w:t>
      </w:r>
      <w:r w:rsidR="00E65645">
        <w:rPr>
          <w:rFonts w:asciiTheme="majorBidi" w:hAnsiTheme="majorBidi" w:cstheme="majorBidi"/>
          <w:szCs w:val="24"/>
        </w:rPr>
        <w:t>has been decreasingly</w:t>
      </w:r>
      <w:r w:rsidR="000A3C7B" w:rsidRPr="006A73DD">
        <w:rPr>
          <w:rFonts w:asciiTheme="majorBidi" w:hAnsiTheme="majorBidi" w:cstheme="majorBidi"/>
          <w:szCs w:val="24"/>
        </w:rPr>
        <w:t xml:space="preserve"> </w:t>
      </w:r>
      <w:r w:rsidR="00EF59DD" w:rsidRPr="006A73DD">
        <w:rPr>
          <w:rFonts w:asciiTheme="majorBidi" w:hAnsiTheme="majorBidi" w:cstheme="majorBidi"/>
          <w:szCs w:val="24"/>
        </w:rPr>
        <w:t>well-received</w:t>
      </w:r>
      <w:r w:rsidRPr="006A73DD">
        <w:rPr>
          <w:rFonts w:asciiTheme="majorBidi" w:hAnsiTheme="majorBidi" w:cstheme="majorBidi"/>
          <w:szCs w:val="24"/>
        </w:rPr>
        <w:t>. Finally, as Morgan notes, M</w:t>
      </w:r>
      <w:r w:rsidR="00763B82" w:rsidRPr="006A73DD">
        <w:rPr>
          <w:rFonts w:asciiTheme="majorBidi" w:hAnsiTheme="majorBidi" w:cstheme="majorBidi"/>
          <w:szCs w:val="24"/>
        </w:rPr>
        <w:t>ulti-</w:t>
      </w:r>
      <w:r w:rsidRPr="006A73DD">
        <w:rPr>
          <w:rFonts w:asciiTheme="majorBidi" w:hAnsiTheme="majorBidi" w:cstheme="majorBidi"/>
          <w:szCs w:val="24"/>
        </w:rPr>
        <w:t>N</w:t>
      </w:r>
      <w:r w:rsidR="00763B82" w:rsidRPr="006A73DD">
        <w:rPr>
          <w:rFonts w:asciiTheme="majorBidi" w:hAnsiTheme="majorBidi" w:cstheme="majorBidi"/>
          <w:szCs w:val="24"/>
        </w:rPr>
        <w:t xml:space="preserve">ational </w:t>
      </w:r>
      <w:r w:rsidRPr="006A73DD">
        <w:rPr>
          <w:rFonts w:asciiTheme="majorBidi" w:hAnsiTheme="majorBidi" w:cstheme="majorBidi"/>
          <w:szCs w:val="24"/>
        </w:rPr>
        <w:t>E</w:t>
      </w:r>
      <w:r w:rsidR="00763B82" w:rsidRPr="006A73DD">
        <w:rPr>
          <w:rFonts w:asciiTheme="majorBidi" w:hAnsiTheme="majorBidi" w:cstheme="majorBidi"/>
          <w:szCs w:val="24"/>
        </w:rPr>
        <w:t>nterprise</w:t>
      </w:r>
      <w:r w:rsidRPr="006A73DD">
        <w:rPr>
          <w:rFonts w:asciiTheme="majorBidi" w:hAnsiTheme="majorBidi" w:cstheme="majorBidi"/>
          <w:szCs w:val="24"/>
        </w:rPr>
        <w:t>s choose to invest in countries for a range of reasons, from natural resources through market access to a desire to benefit from particular local production regimes.</w:t>
      </w:r>
      <w:r w:rsidR="00B11C4B" w:rsidRPr="006A73DD">
        <w:rPr>
          <w:rStyle w:val="EndnoteReference"/>
          <w:rFonts w:asciiTheme="majorBidi" w:hAnsiTheme="majorBidi" w:cstheme="majorBidi"/>
          <w:szCs w:val="24"/>
        </w:rPr>
        <w:endnoteReference w:id="31"/>
      </w:r>
      <w:r w:rsidRPr="006A73DD">
        <w:rPr>
          <w:rFonts w:asciiTheme="majorBidi" w:hAnsiTheme="majorBidi" w:cstheme="majorBidi"/>
          <w:szCs w:val="24"/>
        </w:rPr>
        <w:t xml:space="preserve"> The relative draw of these factors (and, in particular, the relative strength of the latter) will, in turn, impact on the extent to which firms make strategic compromises and associated adjustments in organizational practices according to setting</w:t>
      </w:r>
      <w:r w:rsidR="001D733C" w:rsidRPr="006A73DD">
        <w:rPr>
          <w:rFonts w:asciiTheme="majorBidi" w:hAnsiTheme="majorBidi" w:cstheme="majorBidi"/>
          <w:szCs w:val="24"/>
        </w:rPr>
        <w:t xml:space="preserve">. </w:t>
      </w:r>
      <w:r w:rsidRPr="006A73DD">
        <w:rPr>
          <w:rFonts w:asciiTheme="majorBidi" w:hAnsiTheme="majorBidi" w:cstheme="majorBidi"/>
          <w:szCs w:val="24"/>
        </w:rPr>
        <w:t>All this would suggest that some</w:t>
      </w:r>
      <w:r w:rsidR="00AE7FEC" w:rsidRPr="006A73DD">
        <w:rPr>
          <w:rFonts w:asciiTheme="majorBidi" w:hAnsiTheme="majorBidi" w:cstheme="majorBidi"/>
          <w:szCs w:val="24"/>
        </w:rPr>
        <w:t xml:space="preserve"> national governments have </w:t>
      </w:r>
      <w:r w:rsidRPr="006A73DD">
        <w:rPr>
          <w:rFonts w:asciiTheme="majorBidi" w:hAnsiTheme="majorBidi" w:cstheme="majorBidi"/>
          <w:szCs w:val="24"/>
        </w:rPr>
        <w:t xml:space="preserve">much more power - and, indeed, </w:t>
      </w:r>
      <w:r w:rsidR="00E65645">
        <w:rPr>
          <w:rFonts w:asciiTheme="majorBidi" w:hAnsiTheme="majorBidi" w:cstheme="majorBidi"/>
          <w:szCs w:val="24"/>
        </w:rPr>
        <w:t xml:space="preserve">greater </w:t>
      </w:r>
      <w:r w:rsidRPr="006A73DD">
        <w:rPr>
          <w:rFonts w:asciiTheme="majorBidi" w:hAnsiTheme="majorBidi" w:cstheme="majorBidi"/>
          <w:szCs w:val="24"/>
        </w:rPr>
        <w:t>incentives - to engage in tripartite deals, t</w:t>
      </w:r>
      <w:r w:rsidR="00FA64B9" w:rsidRPr="006A73DD">
        <w:rPr>
          <w:rFonts w:asciiTheme="majorBidi" w:hAnsiTheme="majorBidi" w:cstheme="majorBidi"/>
          <w:szCs w:val="24"/>
        </w:rPr>
        <w:t xml:space="preserve">han others.  </w:t>
      </w:r>
      <w:r w:rsidR="00A05881" w:rsidRPr="006A73DD">
        <w:rPr>
          <w:rFonts w:asciiTheme="majorBidi" w:hAnsiTheme="majorBidi" w:cstheme="majorBidi"/>
          <w:szCs w:val="24"/>
        </w:rPr>
        <w:t>In the case of Western companies purchasing goods from low-wage countries</w:t>
      </w:r>
      <w:r w:rsidR="009F659A" w:rsidRPr="006A73DD">
        <w:rPr>
          <w:rFonts w:asciiTheme="majorBidi" w:hAnsiTheme="majorBidi" w:cstheme="majorBidi"/>
          <w:szCs w:val="24"/>
        </w:rPr>
        <w:t xml:space="preserve">, </w:t>
      </w:r>
      <w:r w:rsidR="009464E2" w:rsidRPr="006A73DD">
        <w:rPr>
          <w:rFonts w:asciiTheme="majorBidi" w:hAnsiTheme="majorBidi" w:cstheme="majorBidi"/>
          <w:szCs w:val="24"/>
        </w:rPr>
        <w:t>as we illustrate below</w:t>
      </w:r>
      <w:r w:rsidR="00A05881" w:rsidRPr="006A73DD">
        <w:rPr>
          <w:rFonts w:asciiTheme="majorBidi" w:hAnsiTheme="majorBidi" w:cstheme="majorBidi"/>
          <w:szCs w:val="24"/>
        </w:rPr>
        <w:t xml:space="preserve">, they have responded </w:t>
      </w:r>
      <w:r w:rsidR="00A05881" w:rsidRPr="006A73DD">
        <w:rPr>
          <w:rFonts w:asciiTheme="majorBidi" w:hAnsiTheme="majorBidi" w:cstheme="majorBidi"/>
          <w:szCs w:val="24"/>
        </w:rPr>
        <w:lastRenderedPageBreak/>
        <w:t>to concerns by ethical investors, consumer opinion and other companies to push developing-world governments for</w:t>
      </w:r>
      <w:r w:rsidR="00A20D85" w:rsidRPr="006A73DD">
        <w:rPr>
          <w:rFonts w:asciiTheme="majorBidi" w:hAnsiTheme="majorBidi" w:cstheme="majorBidi"/>
          <w:szCs w:val="24"/>
        </w:rPr>
        <w:t>,</w:t>
      </w:r>
      <w:r w:rsidR="00A05881" w:rsidRPr="006A73DD">
        <w:rPr>
          <w:rFonts w:asciiTheme="majorBidi" w:hAnsiTheme="majorBidi" w:cstheme="majorBidi"/>
          <w:szCs w:val="24"/>
        </w:rPr>
        <w:t xml:space="preserve"> and to participate in tripartite deals</w:t>
      </w:r>
      <w:r w:rsidR="001D733C" w:rsidRPr="006A73DD">
        <w:rPr>
          <w:rFonts w:asciiTheme="majorBidi" w:hAnsiTheme="majorBidi" w:cstheme="majorBidi"/>
          <w:szCs w:val="24"/>
        </w:rPr>
        <w:t>.</w:t>
      </w:r>
    </w:p>
    <w:p w:rsidR="00B300AF" w:rsidRPr="006A73DD" w:rsidRDefault="00AB15C4" w:rsidP="0096219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ajorBidi" w:hAnsiTheme="majorBidi" w:cstheme="majorBidi"/>
          <w:szCs w:val="24"/>
        </w:rPr>
      </w:pPr>
      <w:r w:rsidRPr="006A73DD">
        <w:rPr>
          <w:rFonts w:asciiTheme="majorBidi" w:hAnsiTheme="majorBidi" w:cstheme="majorBidi"/>
          <w:szCs w:val="24"/>
        </w:rPr>
        <w:tab/>
        <w:t>Thi</w:t>
      </w:r>
      <w:r w:rsidR="00FA64B9" w:rsidRPr="006A73DD">
        <w:rPr>
          <w:rFonts w:asciiTheme="majorBidi" w:hAnsiTheme="majorBidi" w:cstheme="majorBidi"/>
          <w:szCs w:val="24"/>
        </w:rPr>
        <w:t>s might suggest closer examination of</w:t>
      </w:r>
      <w:r w:rsidRPr="006A73DD">
        <w:rPr>
          <w:rFonts w:asciiTheme="majorBidi" w:hAnsiTheme="majorBidi" w:cstheme="majorBidi"/>
          <w:szCs w:val="24"/>
        </w:rPr>
        <w:t xml:space="preserve"> the</w:t>
      </w:r>
      <w:r w:rsidR="00DC6AA7" w:rsidRPr="006A73DD">
        <w:rPr>
          <w:rFonts w:asciiTheme="majorBidi" w:hAnsiTheme="majorBidi" w:cstheme="majorBidi"/>
          <w:szCs w:val="24"/>
        </w:rPr>
        <w:t xml:space="preserve"> historic development of types of capitalism across the world</w:t>
      </w:r>
      <w:r w:rsidR="009464E2" w:rsidRPr="006A73DD">
        <w:rPr>
          <w:rFonts w:asciiTheme="majorBidi" w:hAnsiTheme="majorBidi" w:cstheme="majorBidi"/>
          <w:szCs w:val="24"/>
        </w:rPr>
        <w:t xml:space="preserve"> and how it has conditioned</w:t>
      </w:r>
      <w:r w:rsidR="00EE1326" w:rsidRPr="006A73DD">
        <w:rPr>
          <w:rFonts w:asciiTheme="majorBidi" w:hAnsiTheme="majorBidi" w:cstheme="majorBidi"/>
          <w:szCs w:val="24"/>
        </w:rPr>
        <w:t xml:space="preserve"> corporatist arrangements such as </w:t>
      </w:r>
      <w:proofErr w:type="spellStart"/>
      <w:r w:rsidR="00EE1326" w:rsidRPr="006A73DD">
        <w:rPr>
          <w:rFonts w:asciiTheme="majorBidi" w:hAnsiTheme="majorBidi" w:cstheme="majorBidi"/>
          <w:szCs w:val="24"/>
        </w:rPr>
        <w:t>tripartism</w:t>
      </w:r>
      <w:proofErr w:type="spellEnd"/>
      <w:r w:rsidR="00EE1326" w:rsidRPr="006A73DD">
        <w:rPr>
          <w:rFonts w:asciiTheme="majorBidi" w:hAnsiTheme="majorBidi" w:cstheme="majorBidi"/>
          <w:szCs w:val="24"/>
        </w:rPr>
        <w:t xml:space="preserve">.  </w:t>
      </w:r>
      <w:r w:rsidRPr="006A73DD">
        <w:rPr>
          <w:rFonts w:asciiTheme="majorBidi" w:hAnsiTheme="majorBidi" w:cstheme="majorBidi"/>
          <w:szCs w:val="24"/>
        </w:rPr>
        <w:t xml:space="preserve"> </w:t>
      </w:r>
      <w:r w:rsidR="00E65645">
        <w:rPr>
          <w:rFonts w:asciiTheme="majorBidi" w:hAnsiTheme="majorBidi" w:cstheme="majorBidi"/>
          <w:szCs w:val="24"/>
        </w:rPr>
        <w:t xml:space="preserve">Study </w:t>
      </w:r>
      <w:r w:rsidR="00EE1326" w:rsidRPr="006A73DD">
        <w:rPr>
          <w:rFonts w:asciiTheme="majorBidi" w:hAnsiTheme="majorBidi" w:cstheme="majorBidi"/>
          <w:szCs w:val="24"/>
        </w:rPr>
        <w:t>of the Latin American experience suggests the importance of political conjunctures</w:t>
      </w:r>
      <w:r w:rsidR="00691D65" w:rsidRPr="006A73DD">
        <w:rPr>
          <w:rFonts w:asciiTheme="majorBidi" w:hAnsiTheme="majorBidi" w:cstheme="majorBidi"/>
          <w:szCs w:val="24"/>
        </w:rPr>
        <w:t xml:space="preserve"> within</w:t>
      </w:r>
      <w:r w:rsidR="00835B6D" w:rsidRPr="006A73DD">
        <w:rPr>
          <w:rFonts w:asciiTheme="majorBidi" w:hAnsiTheme="majorBidi" w:cstheme="majorBidi"/>
          <w:szCs w:val="24"/>
        </w:rPr>
        <w:t xml:space="preserve"> the state construction process which gave </w:t>
      </w:r>
      <w:r w:rsidR="00691D65" w:rsidRPr="006A73DD">
        <w:rPr>
          <w:rFonts w:asciiTheme="majorBidi" w:hAnsiTheme="majorBidi" w:cstheme="majorBidi"/>
          <w:szCs w:val="24"/>
        </w:rPr>
        <w:t xml:space="preserve">rise to </w:t>
      </w:r>
      <w:r w:rsidR="00EF59DD" w:rsidRPr="006A73DD">
        <w:rPr>
          <w:rFonts w:asciiTheme="majorBidi" w:hAnsiTheme="majorBidi" w:cstheme="majorBidi"/>
          <w:szCs w:val="24"/>
        </w:rPr>
        <w:t xml:space="preserve">such </w:t>
      </w:r>
      <w:r w:rsidR="009464E2" w:rsidRPr="006A73DD">
        <w:rPr>
          <w:rFonts w:asciiTheme="majorBidi" w:hAnsiTheme="majorBidi" w:cstheme="majorBidi"/>
          <w:szCs w:val="24"/>
        </w:rPr>
        <w:t xml:space="preserve">weak tripartite </w:t>
      </w:r>
      <w:r w:rsidR="00EF59DD" w:rsidRPr="006A73DD">
        <w:rPr>
          <w:rFonts w:asciiTheme="majorBidi" w:hAnsiTheme="majorBidi" w:cstheme="majorBidi"/>
          <w:szCs w:val="24"/>
        </w:rPr>
        <w:t xml:space="preserve">phenomena as </w:t>
      </w:r>
      <w:r w:rsidR="00691D65" w:rsidRPr="006A73DD">
        <w:rPr>
          <w:rFonts w:asciiTheme="majorBidi" w:hAnsiTheme="majorBidi" w:cstheme="majorBidi"/>
          <w:szCs w:val="24"/>
        </w:rPr>
        <w:t>Peronism in Argentina; more recent</w:t>
      </w:r>
      <w:r w:rsidR="00835B6D" w:rsidRPr="006A73DD">
        <w:rPr>
          <w:rFonts w:asciiTheme="majorBidi" w:hAnsiTheme="majorBidi" w:cstheme="majorBidi"/>
          <w:szCs w:val="24"/>
        </w:rPr>
        <w:t xml:space="preserve"> conjunctures</w:t>
      </w:r>
      <w:r w:rsidR="00691D65" w:rsidRPr="006A73DD">
        <w:rPr>
          <w:rFonts w:asciiTheme="majorBidi" w:hAnsiTheme="majorBidi" w:cstheme="majorBidi"/>
          <w:szCs w:val="24"/>
        </w:rPr>
        <w:t xml:space="preserve"> have also evoked</w:t>
      </w:r>
      <w:r w:rsidR="00835B6D" w:rsidRPr="006A73DD">
        <w:rPr>
          <w:rFonts w:asciiTheme="majorBidi" w:hAnsiTheme="majorBidi" w:cstheme="majorBidi"/>
          <w:szCs w:val="24"/>
        </w:rPr>
        <w:t xml:space="preserve"> </w:t>
      </w:r>
      <w:r w:rsidR="009464E2" w:rsidRPr="006A73DD">
        <w:rPr>
          <w:rFonts w:asciiTheme="majorBidi" w:hAnsiTheme="majorBidi" w:cstheme="majorBidi"/>
          <w:szCs w:val="24"/>
        </w:rPr>
        <w:t xml:space="preserve">similarly </w:t>
      </w:r>
      <w:proofErr w:type="spellStart"/>
      <w:r w:rsidR="00835B6D" w:rsidRPr="006A73DD">
        <w:rPr>
          <w:rFonts w:asciiTheme="majorBidi" w:hAnsiTheme="majorBidi" w:cstheme="majorBidi"/>
          <w:szCs w:val="24"/>
        </w:rPr>
        <w:t>labour</w:t>
      </w:r>
      <w:proofErr w:type="spellEnd"/>
      <w:r w:rsidR="00835B6D" w:rsidRPr="006A73DD">
        <w:rPr>
          <w:rFonts w:asciiTheme="majorBidi" w:hAnsiTheme="majorBidi" w:cstheme="majorBidi"/>
          <w:szCs w:val="24"/>
        </w:rPr>
        <w:t xml:space="preserve">-oriented state responses </w:t>
      </w:r>
      <w:r w:rsidR="00691D65" w:rsidRPr="006A73DD">
        <w:rPr>
          <w:rFonts w:asciiTheme="majorBidi" w:hAnsiTheme="majorBidi" w:cstheme="majorBidi"/>
          <w:szCs w:val="24"/>
        </w:rPr>
        <w:t>with complementary inputs sought from other civil society actors.</w:t>
      </w:r>
      <w:r w:rsidR="00B11C4B" w:rsidRPr="006A73DD">
        <w:rPr>
          <w:rStyle w:val="EndnoteReference"/>
          <w:rFonts w:asciiTheme="majorBidi" w:hAnsiTheme="majorBidi" w:cstheme="majorBidi"/>
          <w:szCs w:val="24"/>
        </w:rPr>
        <w:endnoteReference w:id="32"/>
      </w:r>
      <w:r w:rsidR="00691D65" w:rsidRPr="006A73DD">
        <w:rPr>
          <w:rFonts w:asciiTheme="majorBidi" w:hAnsiTheme="majorBidi" w:cstheme="majorBidi"/>
          <w:szCs w:val="24"/>
        </w:rPr>
        <w:t xml:space="preserve">  R</w:t>
      </w:r>
      <w:r w:rsidR="00EE1326" w:rsidRPr="006A73DD">
        <w:rPr>
          <w:rFonts w:asciiTheme="majorBidi" w:hAnsiTheme="majorBidi" w:cstheme="majorBidi"/>
          <w:szCs w:val="24"/>
        </w:rPr>
        <w:t>ecent analyses have stressed the relationship between institutionalization and economic segmentation</w:t>
      </w:r>
      <w:r w:rsidR="00EF59DD" w:rsidRPr="006A73DD">
        <w:rPr>
          <w:rFonts w:asciiTheme="majorBidi" w:hAnsiTheme="majorBidi" w:cstheme="majorBidi"/>
          <w:szCs w:val="24"/>
        </w:rPr>
        <w:t xml:space="preserve"> outside of the advanced economies</w:t>
      </w:r>
      <w:r w:rsidR="00EE1326" w:rsidRPr="006A73DD">
        <w:rPr>
          <w:rFonts w:asciiTheme="majorBidi" w:hAnsiTheme="majorBidi" w:cstheme="majorBidi"/>
          <w:szCs w:val="24"/>
        </w:rPr>
        <w:t xml:space="preserve">.  </w:t>
      </w:r>
    </w:p>
    <w:p w:rsidR="00AB15C4" w:rsidRPr="006A73DD" w:rsidRDefault="00B300AF" w:rsidP="0096219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ajorBidi" w:hAnsiTheme="majorBidi" w:cstheme="majorBidi"/>
          <w:szCs w:val="24"/>
        </w:rPr>
      </w:pPr>
      <w:r w:rsidRPr="006A73DD">
        <w:rPr>
          <w:rFonts w:asciiTheme="majorBidi" w:hAnsiTheme="majorBidi" w:cstheme="majorBidi"/>
          <w:szCs w:val="24"/>
        </w:rPr>
        <w:tab/>
      </w:r>
      <w:r w:rsidR="00EE1326" w:rsidRPr="006A73DD">
        <w:rPr>
          <w:rFonts w:asciiTheme="majorBidi" w:hAnsiTheme="majorBidi" w:cstheme="majorBidi"/>
          <w:szCs w:val="24"/>
        </w:rPr>
        <w:t>A</w:t>
      </w:r>
      <w:r w:rsidR="00AB15C4" w:rsidRPr="006A73DD">
        <w:rPr>
          <w:rFonts w:asciiTheme="majorBidi" w:hAnsiTheme="majorBidi" w:cstheme="majorBidi"/>
          <w:szCs w:val="24"/>
        </w:rPr>
        <w:t xml:space="preserve">lthough there have been numerous attempts to categorize emerging markets </w:t>
      </w:r>
      <w:r w:rsidRPr="006A73DD">
        <w:rPr>
          <w:rFonts w:asciiTheme="majorBidi" w:hAnsiTheme="majorBidi" w:cstheme="majorBidi"/>
          <w:szCs w:val="24"/>
        </w:rPr>
        <w:t xml:space="preserve">around the world </w:t>
      </w:r>
      <w:r w:rsidR="00AB15C4" w:rsidRPr="006A73DD">
        <w:rPr>
          <w:rFonts w:asciiTheme="majorBidi" w:hAnsiTheme="majorBidi" w:cstheme="majorBidi"/>
          <w:szCs w:val="24"/>
        </w:rPr>
        <w:t>into distinct capitalist archetypes - for example, Hierarchical Market Economies and Segmented Business Systems</w:t>
      </w:r>
      <w:r w:rsidR="007371AB" w:rsidRPr="006A73DD">
        <w:rPr>
          <w:rFonts w:asciiTheme="majorBidi" w:hAnsiTheme="majorBidi" w:cstheme="majorBidi"/>
          <w:szCs w:val="24"/>
        </w:rPr>
        <w:t xml:space="preserve"> </w:t>
      </w:r>
      <w:r w:rsidR="00870AE3" w:rsidRPr="006A73DD">
        <w:rPr>
          <w:rFonts w:asciiTheme="majorBidi" w:hAnsiTheme="majorBidi" w:cstheme="majorBidi"/>
          <w:szCs w:val="24"/>
        </w:rPr>
        <w:t>–</w:t>
      </w:r>
      <w:r w:rsidR="00AB15C4" w:rsidRPr="006A73DD">
        <w:rPr>
          <w:rFonts w:asciiTheme="majorBidi" w:hAnsiTheme="majorBidi" w:cstheme="majorBidi"/>
          <w:szCs w:val="24"/>
        </w:rPr>
        <w:t xml:space="preserve"> a common strand in such categorizations is of structural internal economic divides, and uneven institutional coverage.</w:t>
      </w:r>
      <w:r w:rsidR="00A6442C" w:rsidRPr="006A73DD">
        <w:rPr>
          <w:rStyle w:val="EndnoteReference"/>
          <w:rFonts w:asciiTheme="majorBidi" w:hAnsiTheme="majorBidi" w:cstheme="majorBidi"/>
          <w:szCs w:val="24"/>
        </w:rPr>
        <w:endnoteReference w:id="33"/>
      </w:r>
      <w:r w:rsidR="00E65645">
        <w:rPr>
          <w:rFonts w:asciiTheme="majorBidi" w:hAnsiTheme="majorBidi" w:cstheme="majorBidi"/>
          <w:szCs w:val="24"/>
        </w:rPr>
        <w:t xml:space="preserve">  Although</w:t>
      </w:r>
      <w:r w:rsidR="00AB15C4" w:rsidRPr="006A73DD">
        <w:rPr>
          <w:rFonts w:asciiTheme="majorBidi" w:hAnsiTheme="majorBidi" w:cstheme="majorBidi"/>
          <w:szCs w:val="24"/>
        </w:rPr>
        <w:t xml:space="preserve"> democratic transitions</w:t>
      </w:r>
      <w:r w:rsidR="00AE7FEC" w:rsidRPr="006A73DD">
        <w:rPr>
          <w:rFonts w:asciiTheme="majorBidi" w:hAnsiTheme="majorBidi" w:cstheme="majorBidi"/>
          <w:szCs w:val="24"/>
        </w:rPr>
        <w:t xml:space="preserve"> - </w:t>
      </w:r>
      <w:r w:rsidR="00691D65" w:rsidRPr="006A73DD">
        <w:rPr>
          <w:rFonts w:asciiTheme="majorBidi" w:hAnsiTheme="majorBidi" w:cstheme="majorBidi"/>
          <w:szCs w:val="24"/>
        </w:rPr>
        <w:t>fo</w:t>
      </w:r>
      <w:r w:rsidR="00EF59DD" w:rsidRPr="006A73DD">
        <w:rPr>
          <w:rFonts w:asciiTheme="majorBidi" w:hAnsiTheme="majorBidi" w:cstheme="majorBidi"/>
          <w:szCs w:val="24"/>
        </w:rPr>
        <w:t>r example those which followed immediately on from African independence</w:t>
      </w:r>
      <w:r w:rsidR="00691D65" w:rsidRPr="006A73DD">
        <w:rPr>
          <w:rFonts w:asciiTheme="majorBidi" w:hAnsiTheme="majorBidi" w:cstheme="majorBidi"/>
          <w:szCs w:val="24"/>
        </w:rPr>
        <w:t xml:space="preserve"> in the 1960s or the post-Aparth</w:t>
      </w:r>
      <w:r w:rsidR="00AE7FEC" w:rsidRPr="006A73DD">
        <w:rPr>
          <w:rFonts w:asciiTheme="majorBidi" w:hAnsiTheme="majorBidi" w:cstheme="majorBidi"/>
          <w:szCs w:val="24"/>
        </w:rPr>
        <w:t xml:space="preserve">eid transition in South Africa - </w:t>
      </w:r>
      <w:r w:rsidR="00AB15C4" w:rsidRPr="006A73DD">
        <w:rPr>
          <w:rFonts w:asciiTheme="majorBidi" w:hAnsiTheme="majorBidi" w:cstheme="majorBidi"/>
          <w:szCs w:val="24"/>
        </w:rPr>
        <w:t>may encourage tripartite deal making, such deals tend to be somewhat short</w:t>
      </w:r>
      <w:r w:rsidR="001D295F" w:rsidRPr="006A73DD">
        <w:rPr>
          <w:rFonts w:asciiTheme="majorBidi" w:hAnsiTheme="majorBidi" w:cstheme="majorBidi"/>
          <w:szCs w:val="24"/>
        </w:rPr>
        <w:t>-</w:t>
      </w:r>
      <w:r w:rsidR="00AB15C4" w:rsidRPr="006A73DD">
        <w:rPr>
          <w:rFonts w:asciiTheme="majorBidi" w:hAnsiTheme="majorBidi" w:cstheme="majorBidi"/>
          <w:szCs w:val="24"/>
        </w:rPr>
        <w:t>lived.  Whilst organized business</w:t>
      </w:r>
      <w:r w:rsidR="009464E2" w:rsidRPr="006A73DD">
        <w:rPr>
          <w:rFonts w:asciiTheme="majorBidi" w:hAnsiTheme="majorBidi" w:cstheme="majorBidi"/>
          <w:szCs w:val="24"/>
        </w:rPr>
        <w:t xml:space="preserve"> may initially </w:t>
      </w:r>
      <w:proofErr w:type="spellStart"/>
      <w:r w:rsidR="009464E2" w:rsidRPr="006A73DD">
        <w:rPr>
          <w:rFonts w:asciiTheme="majorBidi" w:hAnsiTheme="majorBidi" w:cstheme="majorBidi"/>
          <w:szCs w:val="24"/>
        </w:rPr>
        <w:t>favour</w:t>
      </w:r>
      <w:proofErr w:type="spellEnd"/>
      <w:r w:rsidR="009464E2" w:rsidRPr="006A73DD">
        <w:rPr>
          <w:rFonts w:asciiTheme="majorBidi" w:hAnsiTheme="majorBidi" w:cstheme="majorBidi"/>
          <w:szCs w:val="24"/>
        </w:rPr>
        <w:t xml:space="preserve"> arrangements of this type</w:t>
      </w:r>
      <w:r w:rsidR="00AB15C4" w:rsidRPr="006A73DD">
        <w:rPr>
          <w:rFonts w:asciiTheme="majorBidi" w:hAnsiTheme="majorBidi" w:cstheme="majorBidi"/>
          <w:szCs w:val="24"/>
        </w:rPr>
        <w:t xml:space="preserve"> to secure stability through transitions, a bedding</w:t>
      </w:r>
      <w:r w:rsidR="00E65645">
        <w:rPr>
          <w:rFonts w:asciiTheme="majorBidi" w:hAnsiTheme="majorBidi" w:cstheme="majorBidi"/>
          <w:szCs w:val="24"/>
        </w:rPr>
        <w:t>-</w:t>
      </w:r>
      <w:r w:rsidR="00AB15C4" w:rsidRPr="006A73DD">
        <w:rPr>
          <w:rFonts w:asciiTheme="majorBidi" w:hAnsiTheme="majorBidi" w:cstheme="majorBidi"/>
          <w:szCs w:val="24"/>
        </w:rPr>
        <w:t>down of the new order means that compromises are invariably challenged at the expense of workers</w:t>
      </w:r>
      <w:r w:rsidR="0096219D" w:rsidRPr="006A73DD">
        <w:rPr>
          <w:rFonts w:asciiTheme="majorBidi" w:hAnsiTheme="majorBidi" w:cstheme="majorBidi"/>
          <w:szCs w:val="24"/>
        </w:rPr>
        <w:t xml:space="preserve">’ </w:t>
      </w:r>
      <w:proofErr w:type="spellStart"/>
      <w:r w:rsidR="0096219D" w:rsidRPr="006A73DD">
        <w:rPr>
          <w:rFonts w:asciiTheme="majorBidi" w:hAnsiTheme="majorBidi" w:cstheme="majorBidi"/>
          <w:szCs w:val="24"/>
        </w:rPr>
        <w:t>organisations</w:t>
      </w:r>
      <w:proofErr w:type="spellEnd"/>
      <w:r w:rsidR="0096219D" w:rsidRPr="006A73DD">
        <w:rPr>
          <w:rFonts w:asciiTheme="majorBidi" w:hAnsiTheme="majorBidi" w:cstheme="majorBidi"/>
          <w:szCs w:val="24"/>
        </w:rPr>
        <w:t>.    When</w:t>
      </w:r>
      <w:r w:rsidR="00AB15C4" w:rsidRPr="006A73DD">
        <w:rPr>
          <w:rFonts w:asciiTheme="majorBidi" w:hAnsiTheme="majorBidi" w:cstheme="majorBidi"/>
          <w:szCs w:val="24"/>
        </w:rPr>
        <w:t xml:space="preserve"> such deals retain their form, uneven regulation and enforcement may </w:t>
      </w:r>
      <w:r w:rsidR="00E65645">
        <w:rPr>
          <w:rFonts w:asciiTheme="majorBidi" w:hAnsiTheme="majorBidi" w:cstheme="majorBidi"/>
          <w:szCs w:val="24"/>
        </w:rPr>
        <w:t>result in limited coverage</w:t>
      </w:r>
      <w:r w:rsidR="00AB15C4" w:rsidRPr="006A73DD">
        <w:rPr>
          <w:rFonts w:asciiTheme="majorBidi" w:hAnsiTheme="majorBidi" w:cstheme="majorBidi"/>
          <w:szCs w:val="24"/>
        </w:rPr>
        <w:t xml:space="preserve">.   </w:t>
      </w:r>
      <w:r w:rsidR="0096219D" w:rsidRPr="006A73DD">
        <w:rPr>
          <w:rFonts w:asciiTheme="majorBidi" w:hAnsiTheme="majorBidi" w:cstheme="majorBidi"/>
          <w:szCs w:val="24"/>
        </w:rPr>
        <w:t xml:space="preserve">This does not mean however that </w:t>
      </w:r>
      <w:proofErr w:type="spellStart"/>
      <w:r w:rsidR="0096219D" w:rsidRPr="006A73DD">
        <w:rPr>
          <w:rFonts w:asciiTheme="majorBidi" w:hAnsiTheme="majorBidi" w:cstheme="majorBidi"/>
          <w:szCs w:val="24"/>
        </w:rPr>
        <w:t>tripartism</w:t>
      </w:r>
      <w:proofErr w:type="spellEnd"/>
      <w:r w:rsidR="0096219D" w:rsidRPr="006A73DD">
        <w:rPr>
          <w:rFonts w:asciiTheme="majorBidi" w:hAnsiTheme="majorBidi" w:cstheme="majorBidi"/>
          <w:szCs w:val="24"/>
        </w:rPr>
        <w:t xml:space="preserve"> has entirely disappeared even in</w:t>
      </w:r>
      <w:r w:rsidR="009464E2" w:rsidRPr="006A73DD">
        <w:rPr>
          <w:rFonts w:asciiTheme="majorBidi" w:hAnsiTheme="majorBidi" w:cstheme="majorBidi"/>
          <w:szCs w:val="24"/>
        </w:rPr>
        <w:t xml:space="preserve"> these countries, nor </w:t>
      </w:r>
      <w:r w:rsidR="00AE7FEC" w:rsidRPr="006A73DD">
        <w:rPr>
          <w:rFonts w:asciiTheme="majorBidi" w:hAnsiTheme="majorBidi" w:cstheme="majorBidi"/>
          <w:szCs w:val="24"/>
        </w:rPr>
        <w:t xml:space="preserve">does it </w:t>
      </w:r>
      <w:r w:rsidR="009464E2" w:rsidRPr="006A73DD">
        <w:rPr>
          <w:rFonts w:asciiTheme="majorBidi" w:hAnsiTheme="majorBidi" w:cstheme="majorBidi"/>
          <w:szCs w:val="24"/>
        </w:rPr>
        <w:t xml:space="preserve">remove it as a viable </w:t>
      </w:r>
      <w:r w:rsidR="0096219D" w:rsidRPr="006A73DD">
        <w:rPr>
          <w:rFonts w:asciiTheme="majorBidi" w:hAnsiTheme="majorBidi" w:cstheme="majorBidi"/>
          <w:szCs w:val="24"/>
        </w:rPr>
        <w:t xml:space="preserve">option elsewhere.  </w:t>
      </w:r>
    </w:p>
    <w:p w:rsidR="00AB15C4" w:rsidRPr="006A73DD" w:rsidRDefault="00870AE3" w:rsidP="0096219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ajorBidi" w:hAnsiTheme="majorBidi" w:cstheme="majorBidi"/>
          <w:szCs w:val="24"/>
        </w:rPr>
      </w:pPr>
      <w:r w:rsidRPr="006A73DD">
        <w:rPr>
          <w:rFonts w:asciiTheme="majorBidi" w:hAnsiTheme="majorBidi" w:cstheme="majorBidi"/>
          <w:szCs w:val="24"/>
        </w:rPr>
        <w:tab/>
      </w:r>
      <w:r w:rsidR="00B300AF" w:rsidRPr="006A73DD">
        <w:rPr>
          <w:rFonts w:asciiTheme="majorBidi" w:hAnsiTheme="majorBidi" w:cstheme="majorBidi"/>
          <w:szCs w:val="24"/>
        </w:rPr>
        <w:t>S</w:t>
      </w:r>
      <w:r w:rsidR="00AB15C4" w:rsidRPr="006A73DD">
        <w:rPr>
          <w:rFonts w:asciiTheme="majorBidi" w:hAnsiTheme="majorBidi" w:cstheme="majorBidi"/>
          <w:szCs w:val="24"/>
        </w:rPr>
        <w:t>tructures are reconst</w:t>
      </w:r>
      <w:r w:rsidR="00691D65" w:rsidRPr="006A73DD">
        <w:rPr>
          <w:rFonts w:asciiTheme="majorBidi" w:hAnsiTheme="majorBidi" w:cstheme="majorBidi"/>
          <w:szCs w:val="24"/>
        </w:rPr>
        <w:t xml:space="preserve">ituted and </w:t>
      </w:r>
      <w:proofErr w:type="spellStart"/>
      <w:r w:rsidR="00691D65" w:rsidRPr="006A73DD">
        <w:rPr>
          <w:rFonts w:asciiTheme="majorBidi" w:hAnsiTheme="majorBidi" w:cstheme="majorBidi"/>
          <w:szCs w:val="24"/>
        </w:rPr>
        <w:t>remoulded</w:t>
      </w:r>
      <w:proofErr w:type="spellEnd"/>
      <w:r w:rsidR="00691D65" w:rsidRPr="006A73DD">
        <w:rPr>
          <w:rFonts w:asciiTheme="majorBidi" w:hAnsiTheme="majorBidi" w:cstheme="majorBidi"/>
          <w:szCs w:val="24"/>
        </w:rPr>
        <w:t xml:space="preserve"> through actors’ strategic choices</w:t>
      </w:r>
      <w:r w:rsidR="00AB15C4" w:rsidRPr="006A73DD">
        <w:rPr>
          <w:rFonts w:asciiTheme="majorBidi" w:hAnsiTheme="majorBidi" w:cstheme="majorBidi"/>
          <w:szCs w:val="24"/>
        </w:rPr>
        <w:t xml:space="preserve">. Although a </w:t>
      </w:r>
      <w:proofErr w:type="spellStart"/>
      <w:r w:rsidR="00AB15C4" w:rsidRPr="006A73DD">
        <w:rPr>
          <w:rFonts w:asciiTheme="majorBidi" w:hAnsiTheme="majorBidi" w:cstheme="majorBidi"/>
          <w:szCs w:val="24"/>
        </w:rPr>
        <w:t>favourable</w:t>
      </w:r>
      <w:proofErr w:type="spellEnd"/>
      <w:r w:rsidR="00AB15C4" w:rsidRPr="006A73DD">
        <w:rPr>
          <w:rFonts w:asciiTheme="majorBidi" w:hAnsiTheme="majorBidi" w:cstheme="majorBidi"/>
          <w:szCs w:val="24"/>
        </w:rPr>
        <w:t xml:space="preserve"> social, economic and political environment may allow more room for novelty and creativity in such choices, even in bleak times, the possibility and type of social compromise a</w:t>
      </w:r>
      <w:r w:rsidR="0096219D" w:rsidRPr="006A73DD">
        <w:rPr>
          <w:rFonts w:asciiTheme="majorBidi" w:hAnsiTheme="majorBidi" w:cstheme="majorBidi"/>
          <w:szCs w:val="24"/>
        </w:rPr>
        <w:t>t least in</w:t>
      </w:r>
      <w:r w:rsidR="00B643C0" w:rsidRPr="006A73DD">
        <w:rPr>
          <w:rFonts w:asciiTheme="majorBidi" w:hAnsiTheme="majorBidi" w:cstheme="majorBidi"/>
          <w:szCs w:val="24"/>
        </w:rPr>
        <w:t xml:space="preserve"> part reflects</w:t>
      </w:r>
      <w:r w:rsidR="00E65645">
        <w:rPr>
          <w:rFonts w:asciiTheme="majorBidi" w:hAnsiTheme="majorBidi" w:cstheme="majorBidi"/>
          <w:szCs w:val="24"/>
        </w:rPr>
        <w:t xml:space="preserve"> decisions</w:t>
      </w:r>
      <w:r w:rsidR="00AB15C4" w:rsidRPr="006A73DD">
        <w:rPr>
          <w:rFonts w:asciiTheme="majorBidi" w:hAnsiTheme="majorBidi" w:cstheme="majorBidi"/>
          <w:szCs w:val="24"/>
        </w:rPr>
        <w:t xml:space="preserve"> by unions and other social actors.   </w:t>
      </w:r>
      <w:r w:rsidR="00094463" w:rsidRPr="006A73DD">
        <w:rPr>
          <w:rFonts w:asciiTheme="majorBidi" w:hAnsiTheme="majorBidi" w:cstheme="majorBidi"/>
          <w:szCs w:val="24"/>
        </w:rPr>
        <w:t>This does not mean that</w:t>
      </w:r>
      <w:r w:rsidR="00AB15C4" w:rsidRPr="006A73DD">
        <w:rPr>
          <w:rFonts w:asciiTheme="majorBidi" w:hAnsiTheme="majorBidi" w:cstheme="majorBidi"/>
          <w:szCs w:val="24"/>
        </w:rPr>
        <w:t xml:space="preserve"> an optimal set </w:t>
      </w:r>
      <w:r w:rsidR="00AB15C4" w:rsidRPr="006A73DD">
        <w:rPr>
          <w:rFonts w:asciiTheme="majorBidi" w:hAnsiTheme="majorBidi" w:cstheme="majorBidi"/>
          <w:szCs w:val="24"/>
        </w:rPr>
        <w:lastRenderedPageBreak/>
        <w:t>of best practices</w:t>
      </w:r>
      <w:r w:rsidR="00094463" w:rsidRPr="006A73DD">
        <w:rPr>
          <w:rFonts w:asciiTheme="majorBidi" w:hAnsiTheme="majorBidi" w:cstheme="majorBidi"/>
          <w:szCs w:val="24"/>
        </w:rPr>
        <w:t xml:space="preserve"> for unions exists that is</w:t>
      </w:r>
      <w:r w:rsidR="00AB15C4" w:rsidRPr="006A73DD">
        <w:rPr>
          <w:rFonts w:asciiTheme="majorBidi" w:hAnsiTheme="majorBidi" w:cstheme="majorBidi"/>
          <w:szCs w:val="24"/>
        </w:rPr>
        <w:t xml:space="preserve"> readily transposable bet</w:t>
      </w:r>
      <w:r w:rsidR="00691D65" w:rsidRPr="006A73DD">
        <w:rPr>
          <w:rFonts w:asciiTheme="majorBidi" w:hAnsiTheme="majorBidi" w:cstheme="majorBidi"/>
          <w:szCs w:val="24"/>
        </w:rPr>
        <w:t>ween contexts and periods, as ha</w:t>
      </w:r>
      <w:r w:rsidR="00AB15C4" w:rsidRPr="006A73DD">
        <w:rPr>
          <w:rFonts w:asciiTheme="majorBidi" w:hAnsiTheme="majorBidi" w:cstheme="majorBidi"/>
          <w:szCs w:val="24"/>
        </w:rPr>
        <w:t>s</w:t>
      </w:r>
      <w:r w:rsidR="00691D65" w:rsidRPr="006A73DD">
        <w:rPr>
          <w:rFonts w:asciiTheme="majorBidi" w:hAnsiTheme="majorBidi" w:cstheme="majorBidi"/>
          <w:szCs w:val="24"/>
        </w:rPr>
        <w:t xml:space="preserve"> been</w:t>
      </w:r>
      <w:r w:rsidR="00AB15C4" w:rsidRPr="006A73DD">
        <w:rPr>
          <w:rFonts w:asciiTheme="majorBidi" w:hAnsiTheme="majorBidi" w:cstheme="majorBidi"/>
          <w:szCs w:val="24"/>
        </w:rPr>
        <w:t xml:space="preserve"> highlighted by the very mixed record of organizing unionism out</w:t>
      </w:r>
      <w:r w:rsidR="000C18CF" w:rsidRPr="006A73DD">
        <w:rPr>
          <w:rFonts w:asciiTheme="majorBidi" w:hAnsiTheme="majorBidi" w:cstheme="majorBidi"/>
          <w:szCs w:val="24"/>
        </w:rPr>
        <w:t xml:space="preserve">side of California.  However, </w:t>
      </w:r>
      <w:r w:rsidR="007A4E33" w:rsidRPr="006A73DD">
        <w:rPr>
          <w:rFonts w:asciiTheme="majorBidi" w:hAnsiTheme="majorBidi" w:cstheme="majorBidi"/>
          <w:szCs w:val="24"/>
        </w:rPr>
        <w:t>political</w:t>
      </w:r>
      <w:r w:rsidR="000C18CF" w:rsidRPr="006A73DD">
        <w:rPr>
          <w:rFonts w:asciiTheme="majorBidi" w:hAnsiTheme="majorBidi" w:cstheme="majorBidi"/>
          <w:szCs w:val="24"/>
        </w:rPr>
        <w:t xml:space="preserve"> </w:t>
      </w:r>
      <w:proofErr w:type="spellStart"/>
      <w:r w:rsidR="000C18CF" w:rsidRPr="006A73DD">
        <w:rPr>
          <w:rFonts w:asciiTheme="majorBidi" w:hAnsiTheme="majorBidi" w:cstheme="majorBidi"/>
          <w:szCs w:val="24"/>
        </w:rPr>
        <w:t>action</w:t>
      </w:r>
      <w:r w:rsidR="00B300AF" w:rsidRPr="006A73DD">
        <w:rPr>
          <w:rFonts w:asciiTheme="majorBidi" w:hAnsiTheme="majorBidi" w:cstheme="majorBidi"/>
          <w:szCs w:val="24"/>
        </w:rPr>
        <w:t>s</w:t>
      </w:r>
      <w:proofErr w:type="spellEnd"/>
      <w:r w:rsidR="007A4E33" w:rsidRPr="006A73DD">
        <w:rPr>
          <w:rFonts w:asciiTheme="majorBidi" w:hAnsiTheme="majorBidi" w:cstheme="majorBidi"/>
          <w:szCs w:val="24"/>
        </w:rPr>
        <w:t xml:space="preserve"> within and in support of tripartite mechanisms</w:t>
      </w:r>
      <w:r w:rsidR="000C18CF" w:rsidRPr="006A73DD">
        <w:rPr>
          <w:rFonts w:asciiTheme="majorBidi" w:hAnsiTheme="majorBidi" w:cstheme="majorBidi"/>
          <w:szCs w:val="24"/>
        </w:rPr>
        <w:t xml:space="preserve"> by some trade unio</w:t>
      </w:r>
      <w:r w:rsidR="007A4E33" w:rsidRPr="006A73DD">
        <w:rPr>
          <w:rFonts w:asciiTheme="majorBidi" w:hAnsiTheme="majorBidi" w:cstheme="majorBidi"/>
          <w:szCs w:val="24"/>
        </w:rPr>
        <w:t>n movements in Latin America were pursued  with success during the democratic transitions at th</w:t>
      </w:r>
      <w:r w:rsidRPr="006A73DD">
        <w:rPr>
          <w:rFonts w:asciiTheme="majorBidi" w:hAnsiTheme="majorBidi" w:cstheme="majorBidi"/>
          <w:szCs w:val="24"/>
        </w:rPr>
        <w:t>e end of the Twentieth Century</w:t>
      </w:r>
      <w:r w:rsidR="007A4E33" w:rsidRPr="006A73DD">
        <w:rPr>
          <w:rFonts w:asciiTheme="majorBidi" w:hAnsiTheme="majorBidi" w:cstheme="majorBidi"/>
          <w:szCs w:val="24"/>
        </w:rPr>
        <w:t xml:space="preserve"> </w:t>
      </w:r>
      <w:r w:rsidRPr="006A73DD">
        <w:rPr>
          <w:rFonts w:asciiTheme="majorBidi" w:hAnsiTheme="majorBidi" w:cstheme="majorBidi"/>
          <w:szCs w:val="24"/>
        </w:rPr>
        <w:t xml:space="preserve">and, as </w:t>
      </w:r>
      <w:proofErr w:type="spellStart"/>
      <w:r w:rsidRPr="006A73DD">
        <w:rPr>
          <w:rFonts w:asciiTheme="majorBidi" w:hAnsiTheme="majorBidi" w:cstheme="majorBidi"/>
          <w:szCs w:val="24"/>
        </w:rPr>
        <w:t>Sandbrook</w:t>
      </w:r>
      <w:proofErr w:type="spellEnd"/>
      <w:r w:rsidRPr="006A73DD">
        <w:rPr>
          <w:rFonts w:asciiTheme="majorBidi" w:hAnsiTheme="majorBidi" w:cstheme="majorBidi"/>
          <w:szCs w:val="24"/>
        </w:rPr>
        <w:t xml:space="preserve"> and colleagues </w:t>
      </w:r>
      <w:r w:rsidR="000C18CF" w:rsidRPr="006A73DD">
        <w:rPr>
          <w:rFonts w:asciiTheme="majorBidi" w:hAnsiTheme="majorBidi" w:cstheme="majorBidi"/>
          <w:szCs w:val="24"/>
        </w:rPr>
        <w:t>demonstrate, in other settings where popula</w:t>
      </w:r>
      <w:r w:rsidR="0096219D" w:rsidRPr="006A73DD">
        <w:rPr>
          <w:rFonts w:asciiTheme="majorBidi" w:hAnsiTheme="majorBidi" w:cstheme="majorBidi"/>
          <w:szCs w:val="24"/>
        </w:rPr>
        <w:t xml:space="preserve">r movements have acted in concert with unions </w:t>
      </w:r>
      <w:r w:rsidR="000C18CF" w:rsidRPr="006A73DD">
        <w:rPr>
          <w:rFonts w:asciiTheme="majorBidi" w:hAnsiTheme="majorBidi" w:cstheme="majorBidi"/>
          <w:szCs w:val="24"/>
        </w:rPr>
        <w:t xml:space="preserve">to </w:t>
      </w:r>
      <w:r w:rsidR="00094463" w:rsidRPr="006A73DD">
        <w:rPr>
          <w:rFonts w:asciiTheme="majorBidi" w:hAnsiTheme="majorBidi" w:cstheme="majorBidi"/>
          <w:szCs w:val="24"/>
        </w:rPr>
        <w:t>pressure élites</w:t>
      </w:r>
      <w:r w:rsidR="00AB15C4" w:rsidRPr="006A73DD">
        <w:rPr>
          <w:rFonts w:asciiTheme="majorBidi" w:hAnsiTheme="majorBidi" w:cstheme="majorBidi"/>
          <w:szCs w:val="24"/>
        </w:rPr>
        <w:t>.</w:t>
      </w:r>
      <w:r w:rsidR="00A6442C" w:rsidRPr="006A73DD">
        <w:rPr>
          <w:rStyle w:val="EndnoteReference"/>
          <w:rFonts w:asciiTheme="majorBidi" w:hAnsiTheme="majorBidi" w:cstheme="majorBidi"/>
          <w:szCs w:val="24"/>
        </w:rPr>
        <w:endnoteReference w:id="34"/>
      </w:r>
      <w:r w:rsidR="00546C7A" w:rsidRPr="006A73DD">
        <w:rPr>
          <w:rFonts w:asciiTheme="majorBidi" w:hAnsiTheme="majorBidi" w:cstheme="majorBidi"/>
          <w:szCs w:val="24"/>
        </w:rPr>
        <w:t xml:space="preserve">  Thus, the contemporary situation at global level is one of the uneven </w:t>
      </w:r>
      <w:proofErr w:type="gramStart"/>
      <w:r w:rsidR="00546C7A" w:rsidRPr="006A73DD">
        <w:rPr>
          <w:rFonts w:asciiTheme="majorBidi" w:hAnsiTheme="majorBidi" w:cstheme="majorBidi"/>
          <w:szCs w:val="24"/>
        </w:rPr>
        <w:t>application</w:t>
      </w:r>
      <w:proofErr w:type="gramEnd"/>
      <w:r w:rsidR="00546C7A" w:rsidRPr="006A73DD">
        <w:rPr>
          <w:rFonts w:asciiTheme="majorBidi" w:hAnsiTheme="majorBidi" w:cstheme="majorBidi"/>
          <w:szCs w:val="24"/>
        </w:rPr>
        <w:t xml:space="preserve"> of weaker forms of </w:t>
      </w:r>
      <w:proofErr w:type="spellStart"/>
      <w:r w:rsidR="00546C7A" w:rsidRPr="006A73DD">
        <w:rPr>
          <w:rFonts w:asciiTheme="majorBidi" w:hAnsiTheme="majorBidi" w:cstheme="majorBidi"/>
          <w:szCs w:val="24"/>
        </w:rPr>
        <w:t>tripartism</w:t>
      </w:r>
      <w:proofErr w:type="spellEnd"/>
      <w:r w:rsidR="00546C7A" w:rsidRPr="006A73DD">
        <w:rPr>
          <w:rFonts w:asciiTheme="majorBidi" w:hAnsiTheme="majorBidi" w:cstheme="majorBidi"/>
          <w:szCs w:val="24"/>
        </w:rPr>
        <w:t xml:space="preserve">.  </w:t>
      </w:r>
    </w:p>
    <w:p w:rsidR="00AB15C4" w:rsidRPr="006A73DD" w:rsidRDefault="00AB15C4" w:rsidP="0096219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ajorBidi" w:hAnsiTheme="majorBidi" w:cstheme="majorBidi"/>
          <w:szCs w:val="24"/>
        </w:rPr>
      </w:pPr>
    </w:p>
    <w:p w:rsidR="0096219D" w:rsidRPr="006A73DD" w:rsidRDefault="00000727" w:rsidP="00546C7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ajorBidi" w:hAnsiTheme="majorBidi" w:cstheme="majorBidi"/>
          <w:b/>
          <w:szCs w:val="24"/>
        </w:rPr>
      </w:pPr>
      <w:r w:rsidRPr="006A73DD">
        <w:rPr>
          <w:rFonts w:asciiTheme="majorBidi" w:hAnsiTheme="majorBidi" w:cstheme="majorBidi"/>
          <w:b/>
          <w:szCs w:val="24"/>
        </w:rPr>
        <w:t xml:space="preserve">Variations in </w:t>
      </w:r>
      <w:proofErr w:type="spellStart"/>
      <w:r w:rsidRPr="006A73DD">
        <w:rPr>
          <w:rFonts w:asciiTheme="majorBidi" w:hAnsiTheme="majorBidi" w:cstheme="majorBidi"/>
          <w:b/>
          <w:szCs w:val="24"/>
        </w:rPr>
        <w:t>tripartism</w:t>
      </w:r>
      <w:proofErr w:type="spellEnd"/>
      <w:r w:rsidRPr="006A73DD">
        <w:rPr>
          <w:rFonts w:asciiTheme="majorBidi" w:hAnsiTheme="majorBidi" w:cstheme="majorBidi"/>
          <w:b/>
          <w:szCs w:val="24"/>
        </w:rPr>
        <w:t>: evidence from around the w</w:t>
      </w:r>
      <w:r w:rsidR="00AB15C4" w:rsidRPr="006A73DD">
        <w:rPr>
          <w:rFonts w:asciiTheme="majorBidi" w:hAnsiTheme="majorBidi" w:cstheme="majorBidi"/>
          <w:b/>
          <w:szCs w:val="24"/>
        </w:rPr>
        <w:t>orld</w:t>
      </w:r>
    </w:p>
    <w:p w:rsidR="001E1FD7" w:rsidRPr="006A73DD" w:rsidRDefault="00796EEA" w:rsidP="00000727">
      <w:pPr>
        <w:pStyle w:val="Abstract"/>
        <w:spacing w:before="0" w:after="0" w:line="480" w:lineRule="auto"/>
        <w:ind w:left="0"/>
        <w:rPr>
          <w:rFonts w:asciiTheme="majorBidi" w:hAnsiTheme="majorBidi" w:cstheme="majorBidi"/>
          <w:sz w:val="24"/>
        </w:rPr>
      </w:pPr>
      <w:proofErr w:type="spellStart"/>
      <w:r w:rsidRPr="006A73DD">
        <w:rPr>
          <w:rFonts w:asciiTheme="majorBidi" w:hAnsiTheme="majorBidi" w:cstheme="majorBidi"/>
          <w:sz w:val="24"/>
          <w:lang w:val="en-US"/>
        </w:rPr>
        <w:t>Tripartism</w:t>
      </w:r>
      <w:proofErr w:type="spellEnd"/>
      <w:r w:rsidR="00546C7A" w:rsidRPr="006A73DD">
        <w:rPr>
          <w:rFonts w:asciiTheme="majorBidi" w:hAnsiTheme="majorBidi" w:cstheme="majorBidi"/>
          <w:sz w:val="24"/>
          <w:lang w:val="en-US"/>
        </w:rPr>
        <w:t xml:space="preserve"> remains a set of arrangeme</w:t>
      </w:r>
      <w:r w:rsidRPr="006A73DD">
        <w:rPr>
          <w:rFonts w:asciiTheme="majorBidi" w:hAnsiTheme="majorBidi" w:cstheme="majorBidi"/>
          <w:sz w:val="24"/>
          <w:lang w:val="en-US"/>
        </w:rPr>
        <w:t xml:space="preserve">nts that is integral to </w:t>
      </w:r>
      <w:r w:rsidR="00546C7A" w:rsidRPr="006A73DD">
        <w:rPr>
          <w:rFonts w:asciiTheme="majorBidi" w:hAnsiTheme="majorBidi" w:cstheme="majorBidi"/>
          <w:sz w:val="24"/>
          <w:lang w:val="en-US"/>
        </w:rPr>
        <w:t>the ‘European model’ of industrial relations</w:t>
      </w:r>
      <w:r w:rsidRPr="006A73DD">
        <w:rPr>
          <w:rFonts w:asciiTheme="majorBidi" w:hAnsiTheme="majorBidi" w:cstheme="majorBidi"/>
          <w:sz w:val="24"/>
          <w:lang w:val="en-US"/>
        </w:rPr>
        <w:t>.</w:t>
      </w:r>
      <w:r w:rsidR="00A6442C" w:rsidRPr="006A73DD">
        <w:rPr>
          <w:rStyle w:val="EndnoteReference"/>
          <w:rFonts w:asciiTheme="majorBidi" w:hAnsiTheme="majorBidi" w:cstheme="majorBidi"/>
          <w:sz w:val="24"/>
          <w:lang w:val="en-US"/>
        </w:rPr>
        <w:endnoteReference w:id="35"/>
      </w:r>
      <w:r w:rsidR="00546C7A" w:rsidRPr="006A73DD">
        <w:rPr>
          <w:rFonts w:asciiTheme="majorBidi" w:hAnsiTheme="majorBidi" w:cstheme="majorBidi"/>
          <w:sz w:val="24"/>
          <w:lang w:val="en-US"/>
        </w:rPr>
        <w:t xml:space="preserve"> </w:t>
      </w:r>
      <w:r w:rsidR="00ED7B7F" w:rsidRPr="006A73DD">
        <w:rPr>
          <w:rFonts w:asciiTheme="majorBidi" w:hAnsiTheme="majorBidi" w:cstheme="majorBidi"/>
          <w:sz w:val="24"/>
        </w:rPr>
        <w:t>Three of the articles published here</w:t>
      </w:r>
      <w:r w:rsidR="00E33CFD" w:rsidRPr="006A73DD">
        <w:rPr>
          <w:rFonts w:asciiTheme="majorBidi" w:hAnsiTheme="majorBidi" w:cstheme="majorBidi"/>
          <w:sz w:val="24"/>
        </w:rPr>
        <w:t xml:space="preserve"> make significant contributions to the transnational history of European </w:t>
      </w:r>
      <w:proofErr w:type="spellStart"/>
      <w:r w:rsidR="00E33CFD" w:rsidRPr="006A73DD">
        <w:rPr>
          <w:rFonts w:asciiTheme="majorBidi" w:hAnsiTheme="majorBidi" w:cstheme="majorBidi"/>
          <w:sz w:val="24"/>
        </w:rPr>
        <w:t>tripartism</w:t>
      </w:r>
      <w:proofErr w:type="spellEnd"/>
      <w:r w:rsidR="00E33CFD" w:rsidRPr="006A73DD">
        <w:rPr>
          <w:rFonts w:asciiTheme="majorBidi" w:hAnsiTheme="majorBidi" w:cstheme="majorBidi"/>
          <w:sz w:val="24"/>
        </w:rPr>
        <w:t xml:space="preserve"> in the comparative and supra-national meanings of the ‘transnational’ term</w:t>
      </w:r>
      <w:r w:rsidR="00870AE3" w:rsidRPr="006A73DD">
        <w:rPr>
          <w:rFonts w:asciiTheme="majorBidi" w:hAnsiTheme="majorBidi" w:cstheme="majorBidi"/>
          <w:sz w:val="24"/>
        </w:rPr>
        <w:t>.</w:t>
      </w:r>
      <w:r w:rsidR="00A6442C" w:rsidRPr="006A73DD">
        <w:rPr>
          <w:rStyle w:val="EndnoteReference"/>
          <w:rFonts w:asciiTheme="majorBidi" w:hAnsiTheme="majorBidi" w:cstheme="majorBidi"/>
          <w:sz w:val="24"/>
        </w:rPr>
        <w:endnoteReference w:id="36"/>
      </w:r>
      <w:r w:rsidR="00E33CFD" w:rsidRPr="006A73DD">
        <w:rPr>
          <w:rFonts w:asciiTheme="majorBidi" w:hAnsiTheme="majorBidi" w:cstheme="majorBidi"/>
          <w:sz w:val="24"/>
        </w:rPr>
        <w:t xml:space="preserve">  </w:t>
      </w:r>
      <w:r w:rsidR="00AF7BA7" w:rsidRPr="006A73DD">
        <w:rPr>
          <w:rFonts w:asciiTheme="majorBidi" w:hAnsiTheme="majorBidi" w:cstheme="majorBidi"/>
          <w:sz w:val="24"/>
        </w:rPr>
        <w:t xml:space="preserve">Chris </w:t>
      </w:r>
      <w:proofErr w:type="spellStart"/>
      <w:r w:rsidR="00AF7BA7" w:rsidRPr="006A73DD">
        <w:rPr>
          <w:rFonts w:asciiTheme="majorBidi" w:hAnsiTheme="majorBidi" w:cstheme="majorBidi"/>
          <w:sz w:val="24"/>
        </w:rPr>
        <w:t>Minns</w:t>
      </w:r>
      <w:proofErr w:type="spellEnd"/>
      <w:r w:rsidR="001D4543" w:rsidRPr="006A73DD">
        <w:rPr>
          <w:rFonts w:asciiTheme="majorBidi" w:hAnsiTheme="majorBidi" w:cstheme="majorBidi"/>
          <w:sz w:val="24"/>
        </w:rPr>
        <w:t xml:space="preserve"> and Marian </w:t>
      </w:r>
      <w:proofErr w:type="spellStart"/>
      <w:r w:rsidR="001D4543" w:rsidRPr="006A73DD">
        <w:rPr>
          <w:rFonts w:asciiTheme="majorBidi" w:hAnsiTheme="majorBidi" w:cstheme="majorBidi"/>
          <w:sz w:val="24"/>
        </w:rPr>
        <w:t>Rizov</w:t>
      </w:r>
      <w:proofErr w:type="spellEnd"/>
      <w:r w:rsidR="001D4543" w:rsidRPr="006A73DD">
        <w:rPr>
          <w:rFonts w:asciiTheme="majorBidi" w:hAnsiTheme="majorBidi" w:cstheme="majorBidi"/>
          <w:sz w:val="24"/>
        </w:rPr>
        <w:t xml:space="preserve"> operate on a broad temporal and spatial canvas to examine </w:t>
      </w:r>
      <w:proofErr w:type="spellStart"/>
      <w:r w:rsidR="001D4543" w:rsidRPr="006A73DD">
        <w:rPr>
          <w:rFonts w:asciiTheme="majorBidi" w:hAnsiTheme="majorBidi" w:cstheme="majorBidi"/>
          <w:sz w:val="24"/>
        </w:rPr>
        <w:t>tripartism’s</w:t>
      </w:r>
      <w:proofErr w:type="spellEnd"/>
      <w:r w:rsidR="001D4543" w:rsidRPr="006A73DD">
        <w:rPr>
          <w:rFonts w:asciiTheme="majorBidi" w:hAnsiTheme="majorBidi" w:cstheme="majorBidi"/>
          <w:sz w:val="24"/>
        </w:rPr>
        <w:t xml:space="preserve"> impact on wage moderation and dispersion since 1970.  </w:t>
      </w:r>
      <w:r w:rsidR="00721801" w:rsidRPr="006A73DD">
        <w:rPr>
          <w:rFonts w:asciiTheme="majorBidi" w:hAnsiTheme="majorBidi" w:cstheme="majorBidi"/>
          <w:sz w:val="24"/>
        </w:rPr>
        <w:t xml:space="preserve">They show that, notwithstanding the importance of national institutional effects, government involvement in wage bargaining generally led to increased wage moderation and reduced wage dispersion across the countries they investigated, and that this effect persisted even when the institutional basis for it was eroded or disappeared. </w:t>
      </w:r>
      <w:r w:rsidR="00482652" w:rsidRPr="006A73DD">
        <w:rPr>
          <w:rFonts w:asciiTheme="majorBidi" w:hAnsiTheme="majorBidi" w:cstheme="majorBidi"/>
          <w:sz w:val="24"/>
        </w:rPr>
        <w:t xml:space="preserve">The return to </w:t>
      </w:r>
      <w:r w:rsidR="00094463" w:rsidRPr="006A73DD">
        <w:rPr>
          <w:rFonts w:asciiTheme="majorBidi" w:hAnsiTheme="majorBidi" w:cstheme="majorBidi"/>
          <w:i/>
          <w:sz w:val="24"/>
        </w:rPr>
        <w:t xml:space="preserve">Belle </w:t>
      </w:r>
      <w:proofErr w:type="spellStart"/>
      <w:r w:rsidR="00094463" w:rsidRPr="006A73DD">
        <w:rPr>
          <w:rFonts w:asciiTheme="majorBidi" w:hAnsiTheme="majorBidi" w:cstheme="majorBidi"/>
          <w:i/>
          <w:sz w:val="24"/>
        </w:rPr>
        <w:t>Ē</w:t>
      </w:r>
      <w:r w:rsidR="00482652" w:rsidRPr="006A73DD">
        <w:rPr>
          <w:rFonts w:asciiTheme="majorBidi" w:hAnsiTheme="majorBidi" w:cstheme="majorBidi"/>
          <w:i/>
          <w:sz w:val="24"/>
        </w:rPr>
        <w:t>poque</w:t>
      </w:r>
      <w:proofErr w:type="spellEnd"/>
      <w:r w:rsidR="00482652" w:rsidRPr="006A73DD">
        <w:rPr>
          <w:rFonts w:asciiTheme="majorBidi" w:hAnsiTheme="majorBidi" w:cstheme="majorBidi"/>
          <w:sz w:val="24"/>
        </w:rPr>
        <w:t xml:space="preserve"> levels of social inequality in many of the advanced societies vests this finding with particular importance; tripartite deal</w:t>
      </w:r>
      <w:r w:rsidR="00841852" w:rsidRPr="006A73DD">
        <w:rPr>
          <w:rFonts w:asciiTheme="majorBidi" w:hAnsiTheme="majorBidi" w:cstheme="majorBidi"/>
          <w:sz w:val="24"/>
        </w:rPr>
        <w:t>-</w:t>
      </w:r>
      <w:r w:rsidR="00482652" w:rsidRPr="006A73DD">
        <w:rPr>
          <w:rFonts w:asciiTheme="majorBidi" w:hAnsiTheme="majorBidi" w:cstheme="majorBidi"/>
          <w:sz w:val="24"/>
        </w:rPr>
        <w:t xml:space="preserve">making around wages </w:t>
      </w:r>
      <w:r w:rsidR="00A6442C" w:rsidRPr="006A73DD">
        <w:rPr>
          <w:rFonts w:asciiTheme="majorBidi" w:hAnsiTheme="majorBidi" w:cstheme="majorBidi"/>
          <w:sz w:val="24"/>
        </w:rPr>
        <w:t>and related conditions of work</w:t>
      </w:r>
      <w:r w:rsidR="00841852" w:rsidRPr="006A73DD">
        <w:rPr>
          <w:rFonts w:asciiTheme="majorBidi" w:hAnsiTheme="majorBidi" w:cstheme="majorBidi"/>
          <w:sz w:val="24"/>
        </w:rPr>
        <w:t>,</w:t>
      </w:r>
      <w:r w:rsidR="00A6442C" w:rsidRPr="006A73DD">
        <w:rPr>
          <w:rFonts w:asciiTheme="majorBidi" w:hAnsiTheme="majorBidi" w:cstheme="majorBidi"/>
          <w:sz w:val="24"/>
        </w:rPr>
        <w:t xml:space="preserve"> </w:t>
      </w:r>
      <w:r w:rsidR="00094463" w:rsidRPr="006A73DD">
        <w:rPr>
          <w:rFonts w:asciiTheme="majorBidi" w:hAnsiTheme="majorBidi" w:cstheme="majorBidi"/>
          <w:sz w:val="24"/>
        </w:rPr>
        <w:t>at least in this period</w:t>
      </w:r>
      <w:r w:rsidR="00841852" w:rsidRPr="006A73DD">
        <w:rPr>
          <w:rFonts w:asciiTheme="majorBidi" w:hAnsiTheme="majorBidi" w:cstheme="majorBidi"/>
          <w:sz w:val="24"/>
        </w:rPr>
        <w:t>,</w:t>
      </w:r>
      <w:r w:rsidR="00094463" w:rsidRPr="006A73DD">
        <w:rPr>
          <w:rFonts w:asciiTheme="majorBidi" w:hAnsiTheme="majorBidi" w:cstheme="majorBidi"/>
          <w:sz w:val="24"/>
        </w:rPr>
        <w:t xml:space="preserve"> represented</w:t>
      </w:r>
      <w:r w:rsidR="00482652" w:rsidRPr="006A73DD">
        <w:rPr>
          <w:rFonts w:asciiTheme="majorBidi" w:hAnsiTheme="majorBidi" w:cstheme="majorBidi"/>
          <w:sz w:val="24"/>
        </w:rPr>
        <w:t xml:space="preserve"> a proven policy mechanism for promoting greater equity – and a more sustainable basis for consumption –</w:t>
      </w:r>
      <w:r w:rsidR="007D2355" w:rsidRPr="006A73DD">
        <w:rPr>
          <w:rFonts w:asciiTheme="majorBidi" w:hAnsiTheme="majorBidi" w:cstheme="majorBidi"/>
          <w:sz w:val="24"/>
        </w:rPr>
        <w:t xml:space="preserve"> without entering unchartered policy waters. </w:t>
      </w:r>
      <w:r w:rsidR="00094463" w:rsidRPr="006A73DD">
        <w:rPr>
          <w:rFonts w:asciiTheme="majorBidi" w:hAnsiTheme="majorBidi" w:cstheme="majorBidi"/>
          <w:sz w:val="24"/>
        </w:rPr>
        <w:t>Moreover, n</w:t>
      </w:r>
      <w:r w:rsidR="00482652" w:rsidRPr="006A73DD">
        <w:rPr>
          <w:rFonts w:asciiTheme="majorBidi" w:hAnsiTheme="majorBidi" w:cstheme="majorBidi"/>
          <w:sz w:val="24"/>
        </w:rPr>
        <w:t>ot only did these</w:t>
      </w:r>
      <w:r w:rsidR="00444FF5" w:rsidRPr="006A73DD">
        <w:rPr>
          <w:rFonts w:asciiTheme="majorBidi" w:hAnsiTheme="majorBidi" w:cstheme="majorBidi"/>
          <w:sz w:val="24"/>
        </w:rPr>
        <w:t xml:space="preserve"> arrangements encourage wage moderation</w:t>
      </w:r>
      <w:r w:rsidR="00B643C0" w:rsidRPr="006A73DD">
        <w:rPr>
          <w:rFonts w:asciiTheme="majorBidi" w:hAnsiTheme="majorBidi" w:cstheme="majorBidi"/>
          <w:sz w:val="24"/>
        </w:rPr>
        <w:t>;</w:t>
      </w:r>
      <w:r w:rsidR="00444FF5" w:rsidRPr="006A73DD">
        <w:rPr>
          <w:rFonts w:asciiTheme="majorBidi" w:hAnsiTheme="majorBidi" w:cstheme="majorBidi"/>
          <w:sz w:val="24"/>
        </w:rPr>
        <w:t xml:space="preserve"> </w:t>
      </w:r>
      <w:r w:rsidR="007D2355" w:rsidRPr="006A73DD">
        <w:rPr>
          <w:rFonts w:asciiTheme="majorBidi" w:hAnsiTheme="majorBidi" w:cstheme="majorBidi"/>
          <w:sz w:val="24"/>
        </w:rPr>
        <w:t xml:space="preserve">they </w:t>
      </w:r>
      <w:r w:rsidR="00094463" w:rsidRPr="006A73DD">
        <w:rPr>
          <w:rFonts w:asciiTheme="majorBidi" w:hAnsiTheme="majorBidi" w:cstheme="majorBidi"/>
          <w:sz w:val="24"/>
        </w:rPr>
        <w:t xml:space="preserve">also </w:t>
      </w:r>
      <w:r w:rsidR="00444FF5" w:rsidRPr="006A73DD">
        <w:rPr>
          <w:rFonts w:asciiTheme="majorBidi" w:hAnsiTheme="majorBidi" w:cstheme="majorBidi"/>
          <w:sz w:val="24"/>
        </w:rPr>
        <w:t>created the conditions for enhanced productivity in manufacturing industry</w:t>
      </w:r>
      <w:r w:rsidR="007D2355" w:rsidRPr="006A73DD">
        <w:rPr>
          <w:rFonts w:asciiTheme="majorBidi" w:hAnsiTheme="majorBidi" w:cstheme="majorBidi"/>
          <w:sz w:val="24"/>
        </w:rPr>
        <w:t xml:space="preserve">, a lesson that </w:t>
      </w:r>
      <w:r w:rsidR="00094463" w:rsidRPr="006A73DD">
        <w:rPr>
          <w:rFonts w:asciiTheme="majorBidi" w:hAnsiTheme="majorBidi" w:cstheme="majorBidi"/>
          <w:sz w:val="24"/>
        </w:rPr>
        <w:t xml:space="preserve">present-day </w:t>
      </w:r>
      <w:r w:rsidR="007D2355" w:rsidRPr="006A73DD">
        <w:rPr>
          <w:rFonts w:asciiTheme="majorBidi" w:hAnsiTheme="majorBidi" w:cstheme="majorBidi"/>
          <w:sz w:val="24"/>
        </w:rPr>
        <w:t>Britain, with stagnant or declining wages for the bulk of the population, and stagnating producti</w:t>
      </w:r>
      <w:r w:rsidR="00E65645">
        <w:rPr>
          <w:rFonts w:asciiTheme="majorBidi" w:hAnsiTheme="majorBidi" w:cstheme="majorBidi"/>
          <w:sz w:val="24"/>
        </w:rPr>
        <w:t>vity rates might heed</w:t>
      </w:r>
      <w:r w:rsidR="00444FF5" w:rsidRPr="006A73DD">
        <w:rPr>
          <w:rFonts w:asciiTheme="majorBidi" w:hAnsiTheme="majorBidi" w:cstheme="majorBidi"/>
          <w:sz w:val="24"/>
        </w:rPr>
        <w:t>.  Centralised bargaining did not, as some industrial relations researchers</w:t>
      </w:r>
      <w:r w:rsidR="00B643C0" w:rsidRPr="006A73DD">
        <w:rPr>
          <w:rFonts w:asciiTheme="majorBidi" w:hAnsiTheme="majorBidi" w:cstheme="majorBidi"/>
          <w:sz w:val="24"/>
        </w:rPr>
        <w:t xml:space="preserve"> have</w:t>
      </w:r>
      <w:r w:rsidR="00444FF5" w:rsidRPr="006A73DD">
        <w:rPr>
          <w:rFonts w:asciiTheme="majorBidi" w:hAnsiTheme="majorBidi" w:cstheme="majorBidi"/>
          <w:sz w:val="24"/>
        </w:rPr>
        <w:t xml:space="preserve"> </w:t>
      </w:r>
      <w:r w:rsidR="00444FF5" w:rsidRPr="006A73DD">
        <w:rPr>
          <w:rFonts w:asciiTheme="majorBidi" w:hAnsiTheme="majorBidi" w:cstheme="majorBidi"/>
          <w:sz w:val="24"/>
        </w:rPr>
        <w:lastRenderedPageBreak/>
        <w:t>suggested, lead to rela</w:t>
      </w:r>
      <w:r w:rsidR="00094463" w:rsidRPr="006A73DD">
        <w:rPr>
          <w:rFonts w:asciiTheme="majorBidi" w:hAnsiTheme="majorBidi" w:cstheme="majorBidi"/>
          <w:sz w:val="24"/>
        </w:rPr>
        <w:t>tively large increases for union</w:t>
      </w:r>
      <w:r w:rsidR="00444FF5" w:rsidRPr="006A73DD">
        <w:rPr>
          <w:rFonts w:asciiTheme="majorBidi" w:hAnsiTheme="majorBidi" w:cstheme="majorBidi"/>
          <w:sz w:val="24"/>
        </w:rPr>
        <w:t xml:space="preserve"> members but rather </w:t>
      </w:r>
      <w:r w:rsidR="00A6442C" w:rsidRPr="006A73DD">
        <w:rPr>
          <w:rFonts w:asciiTheme="majorBidi" w:hAnsiTheme="majorBidi" w:cstheme="majorBidi"/>
          <w:sz w:val="24"/>
        </w:rPr>
        <w:t xml:space="preserve">created ‘concertina’ effects. </w:t>
      </w:r>
      <w:proofErr w:type="spellStart"/>
      <w:r w:rsidR="00444FF5" w:rsidRPr="006A73DD">
        <w:rPr>
          <w:rFonts w:asciiTheme="majorBidi" w:hAnsiTheme="majorBidi" w:cstheme="majorBidi"/>
          <w:sz w:val="24"/>
        </w:rPr>
        <w:t>Tripartism</w:t>
      </w:r>
      <w:proofErr w:type="spellEnd"/>
      <w:r w:rsidR="00444FF5" w:rsidRPr="006A73DD">
        <w:rPr>
          <w:rFonts w:asciiTheme="majorBidi" w:hAnsiTheme="majorBidi" w:cstheme="majorBidi"/>
          <w:sz w:val="24"/>
        </w:rPr>
        <w:t xml:space="preserve"> was in this sense part of a virtuous circle in the period which continued to have </w:t>
      </w:r>
      <w:r w:rsidR="007D2355" w:rsidRPr="006A73DD">
        <w:rPr>
          <w:rFonts w:asciiTheme="majorBidi" w:hAnsiTheme="majorBidi" w:cstheme="majorBidi"/>
          <w:sz w:val="24"/>
        </w:rPr>
        <w:t xml:space="preserve">lingering and </w:t>
      </w:r>
      <w:r w:rsidR="00444FF5" w:rsidRPr="006A73DD">
        <w:rPr>
          <w:rFonts w:asciiTheme="majorBidi" w:hAnsiTheme="majorBidi" w:cstheme="majorBidi"/>
          <w:sz w:val="24"/>
        </w:rPr>
        <w:t xml:space="preserve">positive consequences even </w:t>
      </w:r>
      <w:r w:rsidR="00ED7B7F" w:rsidRPr="006A73DD">
        <w:rPr>
          <w:rFonts w:asciiTheme="majorBidi" w:hAnsiTheme="majorBidi" w:cstheme="majorBidi"/>
          <w:sz w:val="24"/>
        </w:rPr>
        <w:t xml:space="preserve">well </w:t>
      </w:r>
      <w:r w:rsidR="00444FF5" w:rsidRPr="006A73DD">
        <w:rPr>
          <w:rFonts w:asciiTheme="majorBidi" w:hAnsiTheme="majorBidi" w:cstheme="majorBidi"/>
          <w:sz w:val="24"/>
        </w:rPr>
        <w:t>after the Gold</w:t>
      </w:r>
      <w:r w:rsidR="00ED7B7F" w:rsidRPr="006A73DD">
        <w:rPr>
          <w:rFonts w:asciiTheme="majorBidi" w:hAnsiTheme="majorBidi" w:cstheme="majorBidi"/>
          <w:sz w:val="24"/>
        </w:rPr>
        <w:t>en</w:t>
      </w:r>
      <w:r w:rsidR="00444FF5" w:rsidRPr="006A73DD">
        <w:rPr>
          <w:rFonts w:asciiTheme="majorBidi" w:hAnsiTheme="majorBidi" w:cstheme="majorBidi"/>
          <w:sz w:val="24"/>
        </w:rPr>
        <w:t xml:space="preserve"> Age itself ended.  </w:t>
      </w:r>
    </w:p>
    <w:p w:rsidR="00ED7B7F" w:rsidRPr="006A73DD" w:rsidRDefault="00870AE3" w:rsidP="00870AE3">
      <w:pPr>
        <w:pStyle w:val="NoSpacing1"/>
        <w:spacing w:line="480" w:lineRule="auto"/>
        <w:ind w:right="567"/>
        <w:rPr>
          <w:rFonts w:asciiTheme="majorBidi" w:hAnsiTheme="majorBidi" w:cstheme="majorBidi"/>
        </w:rPr>
      </w:pPr>
      <w:r w:rsidRPr="006A73DD">
        <w:rPr>
          <w:rFonts w:asciiTheme="majorBidi" w:hAnsiTheme="majorBidi" w:cstheme="majorBidi"/>
        </w:rPr>
        <w:tab/>
      </w:r>
      <w:r w:rsidR="00DF7459" w:rsidRPr="006A73DD">
        <w:rPr>
          <w:rFonts w:asciiTheme="majorBidi" w:hAnsiTheme="majorBidi" w:cstheme="majorBidi"/>
        </w:rPr>
        <w:t>Thomas Prosser and Emmanue</w:t>
      </w:r>
      <w:r w:rsidR="00E65645">
        <w:rPr>
          <w:rFonts w:asciiTheme="majorBidi" w:hAnsiTheme="majorBidi" w:cstheme="majorBidi"/>
        </w:rPr>
        <w:t>lle Perrin contribute</w:t>
      </w:r>
      <w:r w:rsidR="00F660BD">
        <w:rPr>
          <w:rFonts w:asciiTheme="majorBidi" w:hAnsiTheme="majorBidi" w:cstheme="majorBidi"/>
        </w:rPr>
        <w:t xml:space="preserve"> an article</w:t>
      </w:r>
      <w:r w:rsidR="00DF7459" w:rsidRPr="006A73DD">
        <w:rPr>
          <w:rFonts w:asciiTheme="majorBidi" w:hAnsiTheme="majorBidi" w:cstheme="majorBidi"/>
        </w:rPr>
        <w:t xml:space="preserve"> on t</w:t>
      </w:r>
      <w:r w:rsidR="00ED7B7F" w:rsidRPr="006A73DD">
        <w:rPr>
          <w:rFonts w:asciiTheme="majorBidi" w:hAnsiTheme="majorBidi" w:cstheme="majorBidi"/>
        </w:rPr>
        <w:t xml:space="preserve">he </w:t>
      </w:r>
      <w:r w:rsidR="00DF7459" w:rsidRPr="006A73DD">
        <w:rPr>
          <w:rFonts w:asciiTheme="majorBidi" w:hAnsiTheme="majorBidi" w:cstheme="majorBidi"/>
        </w:rPr>
        <w:t xml:space="preserve">historical development of </w:t>
      </w:r>
      <w:proofErr w:type="spellStart"/>
      <w:r w:rsidR="00DF7459" w:rsidRPr="006A73DD">
        <w:rPr>
          <w:rFonts w:asciiTheme="majorBidi" w:hAnsiTheme="majorBidi" w:cstheme="majorBidi"/>
        </w:rPr>
        <w:t>tripartism</w:t>
      </w:r>
      <w:proofErr w:type="spellEnd"/>
      <w:r w:rsidR="00DF7459" w:rsidRPr="006A73DD">
        <w:rPr>
          <w:rFonts w:asciiTheme="majorBidi" w:hAnsiTheme="majorBidi" w:cstheme="majorBidi"/>
        </w:rPr>
        <w:t xml:space="preserve"> at the EU level which tends to confirm the</w:t>
      </w:r>
      <w:r w:rsidR="00FD05B9" w:rsidRPr="006A73DD">
        <w:rPr>
          <w:rFonts w:asciiTheme="majorBidi" w:hAnsiTheme="majorBidi" w:cstheme="majorBidi"/>
        </w:rPr>
        <w:t xml:space="preserve"> strong reservations</w:t>
      </w:r>
      <w:r w:rsidR="00DF7459" w:rsidRPr="006A73DD">
        <w:rPr>
          <w:rFonts w:asciiTheme="majorBidi" w:hAnsiTheme="majorBidi" w:cstheme="majorBidi"/>
        </w:rPr>
        <w:t xml:space="preserve"> </w:t>
      </w:r>
      <w:r w:rsidR="00094463" w:rsidRPr="006A73DD">
        <w:rPr>
          <w:rFonts w:asciiTheme="majorBidi" w:hAnsiTheme="majorBidi" w:cstheme="majorBidi"/>
        </w:rPr>
        <w:t xml:space="preserve">some scholars </w:t>
      </w:r>
      <w:r w:rsidR="00801D89" w:rsidRPr="006A73DD">
        <w:rPr>
          <w:rFonts w:asciiTheme="majorBidi" w:hAnsiTheme="majorBidi" w:cstheme="majorBidi"/>
        </w:rPr>
        <w:t xml:space="preserve">have expressed </w:t>
      </w:r>
      <w:r w:rsidR="00FD05B9" w:rsidRPr="006A73DD">
        <w:rPr>
          <w:rFonts w:asciiTheme="majorBidi" w:hAnsiTheme="majorBidi" w:cstheme="majorBidi"/>
        </w:rPr>
        <w:t xml:space="preserve">on </w:t>
      </w:r>
      <w:r w:rsidR="00024C48" w:rsidRPr="006A73DD">
        <w:rPr>
          <w:rFonts w:asciiTheme="majorBidi" w:hAnsiTheme="majorBidi" w:cstheme="majorBidi"/>
        </w:rPr>
        <w:t xml:space="preserve">the effectiveness of </w:t>
      </w:r>
      <w:r w:rsidR="00FD05B9" w:rsidRPr="006A73DD">
        <w:rPr>
          <w:rFonts w:asciiTheme="majorBidi" w:hAnsiTheme="majorBidi" w:cstheme="majorBidi"/>
        </w:rPr>
        <w:t>this level of ‘social dialogue’</w:t>
      </w:r>
      <w:r w:rsidR="00DF7459" w:rsidRPr="006A73DD">
        <w:rPr>
          <w:rFonts w:asciiTheme="majorBidi" w:hAnsiTheme="majorBidi" w:cstheme="majorBidi"/>
        </w:rPr>
        <w:t>.</w:t>
      </w:r>
      <w:r w:rsidR="00A6442C" w:rsidRPr="006A73DD">
        <w:rPr>
          <w:rStyle w:val="EndnoteReference"/>
          <w:rFonts w:asciiTheme="majorBidi" w:hAnsiTheme="majorBidi" w:cstheme="majorBidi"/>
        </w:rPr>
        <w:endnoteReference w:id="37"/>
      </w:r>
      <w:r w:rsidR="00DF7459" w:rsidRPr="006A73DD">
        <w:rPr>
          <w:rFonts w:asciiTheme="majorBidi" w:hAnsiTheme="majorBidi" w:cstheme="majorBidi"/>
        </w:rPr>
        <w:t xml:space="preserve"> </w:t>
      </w:r>
      <w:r w:rsidR="00FD05B9" w:rsidRPr="006A73DD">
        <w:rPr>
          <w:rFonts w:asciiTheme="majorBidi" w:hAnsiTheme="majorBidi" w:cstheme="majorBidi"/>
        </w:rPr>
        <w:t>Their</w:t>
      </w:r>
      <w:r w:rsidR="00DF7459" w:rsidRPr="006A73DD">
        <w:rPr>
          <w:rFonts w:asciiTheme="majorBidi" w:hAnsiTheme="majorBidi" w:cstheme="majorBidi"/>
        </w:rPr>
        <w:t xml:space="preserve"> </w:t>
      </w:r>
      <w:r w:rsidR="00ED7B7F" w:rsidRPr="006A73DD">
        <w:rPr>
          <w:rFonts w:asciiTheme="majorBidi" w:hAnsiTheme="majorBidi" w:cstheme="majorBidi"/>
        </w:rPr>
        <w:t xml:space="preserve">article examines the ‘new phase’ of the European social dialogue’s credentials as a system of European </w:t>
      </w:r>
      <w:proofErr w:type="spellStart"/>
      <w:r w:rsidR="00ED7B7F" w:rsidRPr="006A73DD">
        <w:rPr>
          <w:rFonts w:asciiTheme="majorBidi" w:hAnsiTheme="majorBidi" w:cstheme="majorBidi"/>
        </w:rPr>
        <w:t>tripartism</w:t>
      </w:r>
      <w:proofErr w:type="spellEnd"/>
      <w:r w:rsidR="00FD05B9" w:rsidRPr="006A73DD">
        <w:rPr>
          <w:rFonts w:asciiTheme="majorBidi" w:hAnsiTheme="majorBidi" w:cstheme="majorBidi"/>
        </w:rPr>
        <w:t>, judging it against four essential criteria.</w:t>
      </w:r>
      <w:r w:rsidR="00ED7B7F" w:rsidRPr="006A73DD">
        <w:rPr>
          <w:rFonts w:asciiTheme="majorBidi" w:hAnsiTheme="majorBidi" w:cstheme="majorBidi"/>
        </w:rPr>
        <w:t xml:space="preserve"> T</w:t>
      </w:r>
      <w:r w:rsidR="00FD05B9" w:rsidRPr="006A73DD">
        <w:rPr>
          <w:rFonts w:asciiTheme="majorBidi" w:hAnsiTheme="majorBidi" w:cstheme="majorBidi"/>
        </w:rPr>
        <w:t>hey concur with De Boer et al. on its broadening and de-intensification; t</w:t>
      </w:r>
      <w:r w:rsidR="00ED7B7F" w:rsidRPr="006A73DD">
        <w:rPr>
          <w:rFonts w:asciiTheme="majorBidi" w:hAnsiTheme="majorBidi" w:cstheme="majorBidi"/>
        </w:rPr>
        <w:t xml:space="preserve">hough the ‘new phase’ of the social </w:t>
      </w:r>
      <w:r w:rsidR="00FD05B9" w:rsidRPr="006A73DD">
        <w:rPr>
          <w:rFonts w:asciiTheme="majorBidi" w:hAnsiTheme="majorBidi" w:cstheme="majorBidi"/>
        </w:rPr>
        <w:t>dialogue has broached</w:t>
      </w:r>
      <w:r w:rsidR="00ED7B7F" w:rsidRPr="006A73DD">
        <w:rPr>
          <w:rFonts w:asciiTheme="majorBidi" w:hAnsiTheme="majorBidi" w:cstheme="majorBidi"/>
        </w:rPr>
        <w:t xml:space="preserve"> i</w:t>
      </w:r>
      <w:r w:rsidR="00FD05B9" w:rsidRPr="006A73DD">
        <w:rPr>
          <w:rFonts w:asciiTheme="majorBidi" w:hAnsiTheme="majorBidi" w:cstheme="majorBidi"/>
        </w:rPr>
        <w:t xml:space="preserve">nnovative topics, its </w:t>
      </w:r>
      <w:r w:rsidR="00ED7B7F" w:rsidRPr="006A73DD">
        <w:rPr>
          <w:rFonts w:asciiTheme="majorBidi" w:hAnsiTheme="majorBidi" w:cstheme="majorBidi"/>
        </w:rPr>
        <w:t>output</w:t>
      </w:r>
      <w:r w:rsidR="006D1960" w:rsidRPr="006A73DD">
        <w:rPr>
          <w:rFonts w:asciiTheme="majorBidi" w:hAnsiTheme="majorBidi" w:cstheme="majorBidi"/>
        </w:rPr>
        <w:t>s are peripheral</w:t>
      </w:r>
      <w:r w:rsidR="00FD05B9" w:rsidRPr="006A73DD">
        <w:rPr>
          <w:rFonts w:asciiTheme="majorBidi" w:hAnsiTheme="majorBidi" w:cstheme="majorBidi"/>
        </w:rPr>
        <w:t xml:space="preserve"> and its implementation patchy</w:t>
      </w:r>
      <w:r w:rsidR="006D1960" w:rsidRPr="006A73DD">
        <w:rPr>
          <w:rFonts w:asciiTheme="majorBidi" w:hAnsiTheme="majorBidi" w:cstheme="majorBidi"/>
        </w:rPr>
        <w:t>. Prosser and Perrin reflect on</w:t>
      </w:r>
      <w:r w:rsidR="00FD05B9" w:rsidRPr="006A73DD">
        <w:rPr>
          <w:rFonts w:asciiTheme="majorBidi" w:hAnsiTheme="majorBidi" w:cstheme="majorBidi"/>
        </w:rPr>
        <w:t xml:space="preserve"> the </w:t>
      </w:r>
      <w:r w:rsidR="00ED7B7F" w:rsidRPr="006A73DD">
        <w:rPr>
          <w:rFonts w:asciiTheme="majorBidi" w:hAnsiTheme="majorBidi" w:cstheme="majorBidi"/>
        </w:rPr>
        <w:t xml:space="preserve">difficulties associated with transnational </w:t>
      </w:r>
      <w:proofErr w:type="spellStart"/>
      <w:r w:rsidR="00ED7B7F" w:rsidRPr="006A73DD">
        <w:rPr>
          <w:rFonts w:asciiTheme="majorBidi" w:hAnsiTheme="majorBidi" w:cstheme="majorBidi"/>
        </w:rPr>
        <w:t>tripartism</w:t>
      </w:r>
      <w:proofErr w:type="spellEnd"/>
      <w:r w:rsidR="00ED7B7F" w:rsidRPr="006A73DD">
        <w:rPr>
          <w:rFonts w:asciiTheme="majorBidi" w:hAnsiTheme="majorBidi" w:cstheme="majorBidi"/>
        </w:rPr>
        <w:t xml:space="preserve"> and the increasing dilution of</w:t>
      </w:r>
      <w:r w:rsidR="006D1960" w:rsidRPr="006A73DD">
        <w:rPr>
          <w:rFonts w:asciiTheme="majorBidi" w:hAnsiTheme="majorBidi" w:cstheme="majorBidi"/>
        </w:rPr>
        <w:t xml:space="preserve"> the European social dialogue</w:t>
      </w:r>
      <w:r w:rsidR="000F4ED7" w:rsidRPr="006A73DD">
        <w:rPr>
          <w:rFonts w:asciiTheme="majorBidi" w:hAnsiTheme="majorBidi" w:cstheme="majorBidi"/>
        </w:rPr>
        <w:t>, especially in the aftermath of the financial crisis</w:t>
      </w:r>
      <w:r w:rsidR="006D1960" w:rsidRPr="006A73DD">
        <w:rPr>
          <w:rFonts w:asciiTheme="majorBidi" w:hAnsiTheme="majorBidi" w:cstheme="majorBidi"/>
        </w:rPr>
        <w:t xml:space="preserve">.  One especially interesting aspect of the article is </w:t>
      </w:r>
      <w:r w:rsidR="00801D89" w:rsidRPr="006A73DD">
        <w:rPr>
          <w:rFonts w:asciiTheme="majorBidi" w:hAnsiTheme="majorBidi" w:cstheme="majorBidi"/>
        </w:rPr>
        <w:t>the backlight that it</w:t>
      </w:r>
      <w:r w:rsidR="006D1960" w:rsidRPr="006A73DD">
        <w:rPr>
          <w:rFonts w:asciiTheme="majorBidi" w:hAnsiTheme="majorBidi" w:cstheme="majorBidi"/>
        </w:rPr>
        <w:t xml:space="preserve"> throws on the national history of </w:t>
      </w:r>
      <w:proofErr w:type="spellStart"/>
      <w:r w:rsidR="006D1960" w:rsidRPr="006A73DD">
        <w:rPr>
          <w:rFonts w:asciiTheme="majorBidi" w:hAnsiTheme="majorBidi" w:cstheme="majorBidi"/>
        </w:rPr>
        <w:t>tripartism</w:t>
      </w:r>
      <w:proofErr w:type="spellEnd"/>
      <w:r w:rsidR="006D1960" w:rsidRPr="006A73DD">
        <w:rPr>
          <w:rFonts w:asciiTheme="majorBidi" w:hAnsiTheme="majorBidi" w:cstheme="majorBidi"/>
        </w:rPr>
        <w:t xml:space="preserve">: its marginality and weak piecemeal implementation has represented little impediment to </w:t>
      </w:r>
      <w:proofErr w:type="spellStart"/>
      <w:r w:rsidR="000F4ED7" w:rsidRPr="006A73DD">
        <w:rPr>
          <w:rFonts w:asciiTheme="majorBidi" w:hAnsiTheme="majorBidi" w:cstheme="majorBidi"/>
        </w:rPr>
        <w:t>tripartism’s</w:t>
      </w:r>
      <w:proofErr w:type="spellEnd"/>
      <w:r w:rsidR="00A6442C" w:rsidRPr="006A73DD">
        <w:rPr>
          <w:rFonts w:asciiTheme="majorBidi" w:hAnsiTheme="majorBidi" w:cstheme="majorBidi"/>
        </w:rPr>
        <w:t xml:space="preserve"> persistence.</w:t>
      </w:r>
      <w:r w:rsidR="000F4ED7" w:rsidRPr="006A73DD">
        <w:rPr>
          <w:rFonts w:asciiTheme="majorBidi" w:hAnsiTheme="majorBidi" w:cstheme="majorBidi"/>
        </w:rPr>
        <w:t xml:space="preserve"> In other words, challenges to the social </w:t>
      </w:r>
      <w:r w:rsidR="00B643C0" w:rsidRPr="006A73DD">
        <w:rPr>
          <w:rFonts w:asciiTheme="majorBidi" w:hAnsiTheme="majorBidi" w:cstheme="majorBidi"/>
        </w:rPr>
        <w:t>model in Europe co-exist</w:t>
      </w:r>
      <w:r w:rsidR="00801D89" w:rsidRPr="006A73DD">
        <w:rPr>
          <w:rFonts w:asciiTheme="majorBidi" w:hAnsiTheme="majorBidi" w:cstheme="majorBidi"/>
        </w:rPr>
        <w:t xml:space="preserve"> with remarkably persistent </w:t>
      </w:r>
      <w:r w:rsidR="000F4ED7" w:rsidRPr="006A73DD">
        <w:rPr>
          <w:rFonts w:asciiTheme="majorBidi" w:hAnsiTheme="majorBidi" w:cstheme="majorBidi"/>
        </w:rPr>
        <w:t>specific featu</w:t>
      </w:r>
      <w:r w:rsidR="00801D89" w:rsidRPr="006A73DD">
        <w:rPr>
          <w:rFonts w:asciiTheme="majorBidi" w:hAnsiTheme="majorBidi" w:cstheme="majorBidi"/>
        </w:rPr>
        <w:t>res</w:t>
      </w:r>
      <w:r w:rsidR="000F4ED7" w:rsidRPr="006A73DD">
        <w:rPr>
          <w:rFonts w:asciiTheme="majorBidi" w:hAnsiTheme="majorBidi" w:cstheme="majorBidi"/>
        </w:rPr>
        <w:t xml:space="preserve">. Again, pressures to develop pan-Eurozone governance features may create a new political space for new forms of </w:t>
      </w:r>
      <w:proofErr w:type="spellStart"/>
      <w:r w:rsidR="000F4ED7" w:rsidRPr="006A73DD">
        <w:rPr>
          <w:rFonts w:asciiTheme="majorBidi" w:hAnsiTheme="majorBidi" w:cstheme="majorBidi"/>
        </w:rPr>
        <w:t>tripartism</w:t>
      </w:r>
      <w:proofErr w:type="spellEnd"/>
      <w:r w:rsidR="000F4ED7" w:rsidRPr="006A73DD">
        <w:rPr>
          <w:rFonts w:asciiTheme="majorBidi" w:hAnsiTheme="majorBidi" w:cstheme="majorBidi"/>
        </w:rPr>
        <w:t>, even if the prospect seems relatively remote at the time of writing.</w:t>
      </w:r>
    </w:p>
    <w:p w:rsidR="00152BED" w:rsidRPr="006A73DD" w:rsidRDefault="00870AE3" w:rsidP="0096219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ajorBidi" w:hAnsiTheme="majorBidi" w:cstheme="majorBidi"/>
          <w:szCs w:val="24"/>
        </w:rPr>
      </w:pPr>
      <w:r w:rsidRPr="006A73DD">
        <w:rPr>
          <w:rFonts w:asciiTheme="majorBidi" w:hAnsiTheme="majorBidi" w:cstheme="majorBidi"/>
          <w:szCs w:val="24"/>
        </w:rPr>
        <w:tab/>
      </w:r>
      <w:proofErr w:type="spellStart"/>
      <w:r w:rsidR="00474F86" w:rsidRPr="006A73DD">
        <w:rPr>
          <w:rFonts w:asciiTheme="majorBidi" w:hAnsiTheme="majorBidi" w:cstheme="majorBidi"/>
          <w:szCs w:val="24"/>
        </w:rPr>
        <w:t>Guglielmo</w:t>
      </w:r>
      <w:proofErr w:type="spellEnd"/>
      <w:r w:rsidR="00474F86" w:rsidRPr="006A73DD">
        <w:rPr>
          <w:rFonts w:asciiTheme="majorBidi" w:hAnsiTheme="majorBidi" w:cstheme="majorBidi"/>
          <w:szCs w:val="24"/>
        </w:rPr>
        <w:t xml:space="preserve"> </w:t>
      </w:r>
      <w:proofErr w:type="spellStart"/>
      <w:r w:rsidR="00474F86" w:rsidRPr="006A73DD">
        <w:rPr>
          <w:rFonts w:asciiTheme="majorBidi" w:hAnsiTheme="majorBidi" w:cstheme="majorBidi"/>
          <w:szCs w:val="24"/>
        </w:rPr>
        <w:t>Meardi</w:t>
      </w:r>
      <w:proofErr w:type="spellEnd"/>
      <w:r w:rsidR="00474F86" w:rsidRPr="006A73DD">
        <w:rPr>
          <w:rFonts w:asciiTheme="majorBidi" w:hAnsiTheme="majorBidi" w:cstheme="majorBidi"/>
          <w:szCs w:val="24"/>
        </w:rPr>
        <w:t xml:space="preserve">, </w:t>
      </w:r>
      <w:proofErr w:type="spellStart"/>
      <w:r w:rsidR="00594550" w:rsidRPr="006A73DD">
        <w:rPr>
          <w:rFonts w:asciiTheme="majorBidi" w:hAnsiTheme="majorBidi" w:cstheme="majorBidi"/>
          <w:szCs w:val="24"/>
        </w:rPr>
        <w:t>Juliusz</w:t>
      </w:r>
      <w:proofErr w:type="spellEnd"/>
      <w:r w:rsidR="00594550" w:rsidRPr="006A73DD">
        <w:rPr>
          <w:rFonts w:asciiTheme="majorBidi" w:hAnsiTheme="majorBidi" w:cstheme="majorBidi"/>
          <w:szCs w:val="24"/>
        </w:rPr>
        <w:t xml:space="preserve"> </w:t>
      </w:r>
      <w:proofErr w:type="spellStart"/>
      <w:r w:rsidR="00594550" w:rsidRPr="006A73DD">
        <w:rPr>
          <w:rFonts w:asciiTheme="majorBidi" w:hAnsiTheme="majorBidi" w:cstheme="majorBidi"/>
          <w:szCs w:val="24"/>
        </w:rPr>
        <w:t>Gardawski</w:t>
      </w:r>
      <w:proofErr w:type="spellEnd"/>
      <w:r w:rsidR="00594550" w:rsidRPr="006A73DD">
        <w:rPr>
          <w:rFonts w:asciiTheme="majorBidi" w:hAnsiTheme="majorBidi" w:cstheme="majorBidi"/>
          <w:szCs w:val="24"/>
        </w:rPr>
        <w:t xml:space="preserve"> and Oscar Molina </w:t>
      </w:r>
      <w:r w:rsidR="00C02409" w:rsidRPr="006A73DD">
        <w:rPr>
          <w:rFonts w:asciiTheme="majorBidi" w:hAnsiTheme="majorBidi" w:cstheme="majorBidi"/>
          <w:szCs w:val="24"/>
        </w:rPr>
        <w:t>adopt a comparative transnational histor</w:t>
      </w:r>
      <w:r w:rsidR="00801D89" w:rsidRPr="006A73DD">
        <w:rPr>
          <w:rFonts w:asciiTheme="majorBidi" w:hAnsiTheme="majorBidi" w:cstheme="majorBidi"/>
          <w:szCs w:val="24"/>
        </w:rPr>
        <w:t>ical approach to</w:t>
      </w:r>
      <w:r w:rsidR="00C02409" w:rsidRPr="006A73DD">
        <w:rPr>
          <w:rFonts w:asciiTheme="majorBidi" w:hAnsiTheme="majorBidi" w:cstheme="majorBidi"/>
          <w:szCs w:val="24"/>
        </w:rPr>
        <w:t xml:space="preserve"> </w:t>
      </w:r>
      <w:r w:rsidR="00594550" w:rsidRPr="006A73DD">
        <w:rPr>
          <w:rFonts w:asciiTheme="majorBidi" w:hAnsiTheme="majorBidi" w:cstheme="majorBidi"/>
          <w:szCs w:val="24"/>
        </w:rPr>
        <w:t>compare the evolution of weakly-</w:t>
      </w:r>
      <w:proofErr w:type="spellStart"/>
      <w:r w:rsidR="00594550" w:rsidRPr="006A73DD">
        <w:rPr>
          <w:rFonts w:asciiTheme="majorBidi" w:hAnsiTheme="majorBidi" w:cstheme="majorBidi"/>
          <w:szCs w:val="24"/>
        </w:rPr>
        <w:t>institutionalised</w:t>
      </w:r>
      <w:proofErr w:type="spellEnd"/>
      <w:r w:rsidR="00594550" w:rsidRPr="006A73DD">
        <w:rPr>
          <w:rFonts w:asciiTheme="majorBidi" w:hAnsiTheme="majorBidi" w:cstheme="majorBidi"/>
          <w:szCs w:val="24"/>
        </w:rPr>
        <w:t xml:space="preserve"> forms of </w:t>
      </w:r>
      <w:proofErr w:type="spellStart"/>
      <w:r w:rsidR="00594550" w:rsidRPr="006A73DD">
        <w:rPr>
          <w:rFonts w:asciiTheme="majorBidi" w:hAnsiTheme="majorBidi" w:cstheme="majorBidi"/>
          <w:szCs w:val="24"/>
        </w:rPr>
        <w:t>tripartism</w:t>
      </w:r>
      <w:proofErr w:type="spellEnd"/>
      <w:r w:rsidR="00594550" w:rsidRPr="006A73DD">
        <w:rPr>
          <w:rFonts w:asciiTheme="majorBidi" w:hAnsiTheme="majorBidi" w:cstheme="majorBidi"/>
          <w:szCs w:val="24"/>
        </w:rPr>
        <w:t xml:space="preserve"> subsequent on transitions to democracy </w:t>
      </w:r>
      <w:r w:rsidR="007F7DF5" w:rsidRPr="006A73DD">
        <w:rPr>
          <w:rFonts w:asciiTheme="majorBidi" w:hAnsiTheme="majorBidi" w:cstheme="majorBidi"/>
          <w:szCs w:val="24"/>
        </w:rPr>
        <w:t xml:space="preserve">(soon followed by European Union integration) </w:t>
      </w:r>
      <w:r w:rsidR="00594550" w:rsidRPr="006A73DD">
        <w:rPr>
          <w:rFonts w:asciiTheme="majorBidi" w:hAnsiTheme="majorBidi" w:cstheme="majorBidi"/>
          <w:szCs w:val="24"/>
        </w:rPr>
        <w:t xml:space="preserve">in Spain and Poland, showing the referential significance of the former case for the latter.  </w:t>
      </w:r>
      <w:r w:rsidR="007F7DF5" w:rsidRPr="006A73DD">
        <w:rPr>
          <w:rFonts w:asciiTheme="majorBidi" w:hAnsiTheme="majorBidi" w:cstheme="majorBidi"/>
          <w:szCs w:val="24"/>
        </w:rPr>
        <w:t xml:space="preserve">Despite widespread criticism of </w:t>
      </w:r>
      <w:proofErr w:type="spellStart"/>
      <w:r w:rsidR="007F7DF5" w:rsidRPr="006A73DD">
        <w:rPr>
          <w:rFonts w:asciiTheme="majorBidi" w:hAnsiTheme="majorBidi" w:cstheme="majorBidi"/>
          <w:szCs w:val="24"/>
        </w:rPr>
        <w:t>tripartism’s</w:t>
      </w:r>
      <w:proofErr w:type="spellEnd"/>
      <w:r w:rsidR="007F7DF5" w:rsidRPr="006A73DD">
        <w:rPr>
          <w:rFonts w:asciiTheme="majorBidi" w:hAnsiTheme="majorBidi" w:cstheme="majorBidi"/>
          <w:szCs w:val="24"/>
        </w:rPr>
        <w:t xml:space="preserve"> functioning in both cases, </w:t>
      </w:r>
      <w:r w:rsidR="00A6442C" w:rsidRPr="006A73DD">
        <w:rPr>
          <w:rFonts w:asciiTheme="majorBidi" w:hAnsiTheme="majorBidi" w:cstheme="majorBidi"/>
          <w:szCs w:val="24"/>
        </w:rPr>
        <w:t xml:space="preserve">the authors concur </w:t>
      </w:r>
      <w:r w:rsidR="00C337E1" w:rsidRPr="006A73DD">
        <w:rPr>
          <w:rFonts w:asciiTheme="majorBidi" w:hAnsiTheme="majorBidi" w:cstheme="majorBidi"/>
          <w:szCs w:val="24"/>
        </w:rPr>
        <w:t>with Hassel</w:t>
      </w:r>
      <w:r w:rsidR="007F7DF5" w:rsidRPr="006A73DD">
        <w:rPr>
          <w:rFonts w:asciiTheme="majorBidi" w:hAnsiTheme="majorBidi" w:cstheme="majorBidi"/>
          <w:szCs w:val="24"/>
        </w:rPr>
        <w:t>’s more measured estimation of these arrangements’ fu</w:t>
      </w:r>
      <w:r w:rsidR="00801D89" w:rsidRPr="006A73DD">
        <w:rPr>
          <w:rFonts w:asciiTheme="majorBidi" w:hAnsiTheme="majorBidi" w:cstheme="majorBidi"/>
          <w:szCs w:val="24"/>
        </w:rPr>
        <w:t>nction in ‘Eastern’ Europe.</w:t>
      </w:r>
      <w:r w:rsidR="00A6442C" w:rsidRPr="006A73DD">
        <w:rPr>
          <w:rStyle w:val="EndnoteReference"/>
          <w:rFonts w:asciiTheme="majorBidi" w:hAnsiTheme="majorBidi" w:cstheme="majorBidi"/>
          <w:szCs w:val="24"/>
        </w:rPr>
        <w:endnoteReference w:id="38"/>
      </w:r>
      <w:r w:rsidR="00801D89" w:rsidRPr="006A73DD">
        <w:rPr>
          <w:rFonts w:asciiTheme="majorBidi" w:hAnsiTheme="majorBidi" w:cstheme="majorBidi"/>
          <w:szCs w:val="24"/>
        </w:rPr>
        <w:t xml:space="preserve"> T</w:t>
      </w:r>
      <w:r w:rsidR="007F7DF5" w:rsidRPr="006A73DD">
        <w:rPr>
          <w:rFonts w:asciiTheme="majorBidi" w:hAnsiTheme="majorBidi" w:cstheme="majorBidi"/>
          <w:szCs w:val="24"/>
        </w:rPr>
        <w:t xml:space="preserve">he authors argue for </w:t>
      </w:r>
      <w:proofErr w:type="spellStart"/>
      <w:r w:rsidR="007F7DF5" w:rsidRPr="006A73DD">
        <w:rPr>
          <w:rFonts w:asciiTheme="majorBidi" w:hAnsiTheme="majorBidi" w:cstheme="majorBidi"/>
          <w:szCs w:val="24"/>
        </w:rPr>
        <w:t>Triparti</w:t>
      </w:r>
      <w:r w:rsidR="00594550" w:rsidRPr="006A73DD">
        <w:rPr>
          <w:rFonts w:asciiTheme="majorBidi" w:hAnsiTheme="majorBidi" w:cstheme="majorBidi"/>
          <w:szCs w:val="24"/>
        </w:rPr>
        <w:t>s</w:t>
      </w:r>
      <w:r w:rsidR="007F7DF5" w:rsidRPr="006A73DD">
        <w:rPr>
          <w:rFonts w:asciiTheme="majorBidi" w:hAnsiTheme="majorBidi" w:cstheme="majorBidi"/>
          <w:szCs w:val="24"/>
        </w:rPr>
        <w:t>m’s</w:t>
      </w:r>
      <w:proofErr w:type="spellEnd"/>
      <w:r w:rsidR="00594550" w:rsidRPr="006A73DD">
        <w:rPr>
          <w:rFonts w:asciiTheme="majorBidi" w:hAnsiTheme="majorBidi" w:cstheme="majorBidi"/>
          <w:szCs w:val="24"/>
        </w:rPr>
        <w:t xml:space="preserve"> stabilizing and ‘foundational’ function and point out the arrangements’ longevity in both national cases.  </w:t>
      </w:r>
      <w:r w:rsidR="00AF7BA7" w:rsidRPr="006A73DD">
        <w:rPr>
          <w:rFonts w:asciiTheme="majorBidi" w:hAnsiTheme="majorBidi" w:cstheme="majorBidi"/>
          <w:szCs w:val="24"/>
        </w:rPr>
        <w:t>While certain structural constrain</w:t>
      </w:r>
      <w:r w:rsidR="00801D89" w:rsidRPr="006A73DD">
        <w:rPr>
          <w:rFonts w:asciiTheme="majorBidi" w:hAnsiTheme="majorBidi" w:cstheme="majorBidi"/>
          <w:szCs w:val="24"/>
        </w:rPr>
        <w:t>ts are identified by the authorial team</w:t>
      </w:r>
      <w:r w:rsidR="00AF7BA7" w:rsidRPr="006A73DD">
        <w:rPr>
          <w:rFonts w:asciiTheme="majorBidi" w:hAnsiTheme="majorBidi" w:cstheme="majorBidi"/>
          <w:szCs w:val="24"/>
        </w:rPr>
        <w:t xml:space="preserve">, the </w:t>
      </w:r>
      <w:r w:rsidR="00AF7BA7" w:rsidRPr="006A73DD">
        <w:rPr>
          <w:rFonts w:asciiTheme="majorBidi" w:hAnsiTheme="majorBidi" w:cstheme="majorBidi"/>
          <w:szCs w:val="24"/>
        </w:rPr>
        <w:lastRenderedPageBreak/>
        <w:t xml:space="preserve">durability of these limited forms of </w:t>
      </w:r>
      <w:proofErr w:type="spellStart"/>
      <w:r w:rsidR="00AF7BA7" w:rsidRPr="006A73DD">
        <w:rPr>
          <w:rFonts w:asciiTheme="majorBidi" w:hAnsiTheme="majorBidi" w:cstheme="majorBidi"/>
          <w:szCs w:val="24"/>
        </w:rPr>
        <w:t>tripartism</w:t>
      </w:r>
      <w:proofErr w:type="spellEnd"/>
      <w:r w:rsidR="00AF7BA7" w:rsidRPr="006A73DD">
        <w:rPr>
          <w:rFonts w:asciiTheme="majorBidi" w:hAnsiTheme="majorBidi" w:cstheme="majorBidi"/>
          <w:szCs w:val="24"/>
        </w:rPr>
        <w:t xml:space="preserve"> </w:t>
      </w:r>
      <w:proofErr w:type="gramStart"/>
      <w:r w:rsidR="00AF7BA7" w:rsidRPr="006A73DD">
        <w:rPr>
          <w:rFonts w:asciiTheme="majorBidi" w:hAnsiTheme="majorBidi" w:cstheme="majorBidi"/>
          <w:szCs w:val="24"/>
        </w:rPr>
        <w:t>appear</w:t>
      </w:r>
      <w:proofErr w:type="gramEnd"/>
      <w:r w:rsidR="00AF7BA7" w:rsidRPr="006A73DD">
        <w:rPr>
          <w:rFonts w:asciiTheme="majorBidi" w:hAnsiTheme="majorBidi" w:cstheme="majorBidi"/>
          <w:szCs w:val="24"/>
        </w:rPr>
        <w:t xml:space="preserve"> to illustrate its functionality and certainly show its </w:t>
      </w:r>
      <w:r w:rsidR="00E20490" w:rsidRPr="006A73DD">
        <w:rPr>
          <w:rFonts w:asciiTheme="majorBidi" w:hAnsiTheme="majorBidi" w:cstheme="majorBidi"/>
          <w:szCs w:val="24"/>
        </w:rPr>
        <w:t>viability</w:t>
      </w:r>
      <w:r w:rsidR="00C02409" w:rsidRPr="006A73DD">
        <w:rPr>
          <w:rFonts w:asciiTheme="majorBidi" w:hAnsiTheme="majorBidi" w:cstheme="majorBidi"/>
          <w:szCs w:val="24"/>
        </w:rPr>
        <w:t xml:space="preserve"> in </w:t>
      </w:r>
      <w:r w:rsidR="00E20490" w:rsidRPr="006A73DD">
        <w:rPr>
          <w:rFonts w:asciiTheme="majorBidi" w:hAnsiTheme="majorBidi" w:cstheme="majorBidi"/>
          <w:szCs w:val="24"/>
        </w:rPr>
        <w:t>rather</w:t>
      </w:r>
      <w:r w:rsidR="00C02409" w:rsidRPr="006A73DD">
        <w:rPr>
          <w:rFonts w:asciiTheme="majorBidi" w:hAnsiTheme="majorBidi" w:cstheme="majorBidi"/>
          <w:szCs w:val="24"/>
        </w:rPr>
        <w:t xml:space="preserve"> diverse national contexts</w:t>
      </w:r>
      <w:r w:rsidR="00F660BD">
        <w:rPr>
          <w:rFonts w:asciiTheme="majorBidi" w:hAnsiTheme="majorBidi" w:cstheme="majorBidi"/>
          <w:szCs w:val="24"/>
        </w:rPr>
        <w:t xml:space="preserve"> </w:t>
      </w:r>
      <w:r w:rsidR="00E20490" w:rsidRPr="006A73DD">
        <w:rPr>
          <w:rFonts w:asciiTheme="majorBidi" w:hAnsiTheme="majorBidi" w:cstheme="majorBidi"/>
          <w:szCs w:val="24"/>
        </w:rPr>
        <w:t>with very distinctive historical legacies</w:t>
      </w:r>
      <w:r w:rsidR="00AF7BA7" w:rsidRPr="006A73DD">
        <w:rPr>
          <w:rFonts w:asciiTheme="majorBidi" w:hAnsiTheme="majorBidi" w:cstheme="majorBidi"/>
          <w:szCs w:val="24"/>
        </w:rPr>
        <w:t xml:space="preserve">.  </w:t>
      </w:r>
    </w:p>
    <w:p w:rsidR="008B16A5" w:rsidRPr="006A73DD" w:rsidRDefault="00870AE3" w:rsidP="0096219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ajorBidi" w:hAnsiTheme="majorBidi" w:cstheme="majorBidi"/>
          <w:szCs w:val="24"/>
        </w:rPr>
      </w:pPr>
      <w:r w:rsidRPr="006A73DD">
        <w:rPr>
          <w:rFonts w:asciiTheme="majorBidi" w:hAnsiTheme="majorBidi" w:cstheme="majorBidi"/>
          <w:szCs w:val="24"/>
        </w:rPr>
        <w:tab/>
      </w:r>
      <w:r w:rsidR="008B16A5" w:rsidRPr="006A73DD">
        <w:rPr>
          <w:rFonts w:asciiTheme="majorBidi" w:hAnsiTheme="majorBidi" w:cstheme="majorBidi"/>
          <w:szCs w:val="24"/>
        </w:rPr>
        <w:t xml:space="preserve">Jimmy </w:t>
      </w:r>
      <w:proofErr w:type="spellStart"/>
      <w:r w:rsidR="008B16A5" w:rsidRPr="006A73DD">
        <w:rPr>
          <w:rFonts w:asciiTheme="majorBidi" w:hAnsiTheme="majorBidi" w:cstheme="majorBidi"/>
          <w:szCs w:val="24"/>
        </w:rPr>
        <w:t>Donaghey</w:t>
      </w:r>
      <w:proofErr w:type="spellEnd"/>
      <w:r w:rsidR="008B16A5" w:rsidRPr="006A73DD">
        <w:rPr>
          <w:rFonts w:asciiTheme="majorBidi" w:hAnsiTheme="majorBidi" w:cstheme="majorBidi"/>
          <w:szCs w:val="24"/>
        </w:rPr>
        <w:t xml:space="preserve"> and Paul Teague review the rise and fall of the Irish experiment in social partnership.  Initially, it led to a “benign” period </w:t>
      </w:r>
      <w:r w:rsidR="00801D89" w:rsidRPr="006A73DD">
        <w:rPr>
          <w:rFonts w:asciiTheme="majorBidi" w:hAnsiTheme="majorBidi" w:cstheme="majorBidi"/>
          <w:szCs w:val="24"/>
        </w:rPr>
        <w:t xml:space="preserve">of </w:t>
      </w:r>
      <w:r w:rsidR="008B16A5" w:rsidRPr="006A73DD">
        <w:rPr>
          <w:rFonts w:asciiTheme="majorBidi" w:hAnsiTheme="majorBidi" w:cstheme="majorBidi"/>
          <w:szCs w:val="24"/>
        </w:rPr>
        <w:t>produ</w:t>
      </w:r>
      <w:r w:rsidR="00801D89" w:rsidRPr="006A73DD">
        <w:rPr>
          <w:rFonts w:asciiTheme="majorBidi" w:hAnsiTheme="majorBidi" w:cstheme="majorBidi"/>
          <w:szCs w:val="24"/>
        </w:rPr>
        <w:t>ctivity-driven growth. F</w:t>
      </w:r>
      <w:r w:rsidR="008B16A5" w:rsidRPr="006A73DD">
        <w:rPr>
          <w:rFonts w:asciiTheme="majorBidi" w:hAnsiTheme="majorBidi" w:cstheme="majorBidi"/>
          <w:szCs w:val="24"/>
        </w:rPr>
        <w:t>oreign manufacturing mult</w:t>
      </w:r>
      <w:r w:rsidR="00801D89" w:rsidRPr="006A73DD">
        <w:rPr>
          <w:rFonts w:asciiTheme="majorBidi" w:hAnsiTheme="majorBidi" w:cstheme="majorBidi"/>
          <w:szCs w:val="24"/>
        </w:rPr>
        <w:t>inationals operating in Ireland</w:t>
      </w:r>
      <w:r w:rsidR="00E20490" w:rsidRPr="006A73DD">
        <w:rPr>
          <w:rFonts w:asciiTheme="majorBidi" w:hAnsiTheme="majorBidi" w:cstheme="majorBidi"/>
          <w:szCs w:val="24"/>
        </w:rPr>
        <w:t xml:space="preserve"> provided an engine for the revival of manufacturing, </w:t>
      </w:r>
      <w:r w:rsidR="00801D89" w:rsidRPr="006A73DD">
        <w:rPr>
          <w:rFonts w:asciiTheme="majorBidi" w:hAnsiTheme="majorBidi" w:cstheme="majorBidi"/>
          <w:szCs w:val="24"/>
        </w:rPr>
        <w:t xml:space="preserve">but </w:t>
      </w:r>
      <w:r w:rsidR="00E20490" w:rsidRPr="006A73DD">
        <w:rPr>
          <w:rFonts w:asciiTheme="majorBidi" w:hAnsiTheme="majorBidi" w:cstheme="majorBidi"/>
          <w:szCs w:val="24"/>
        </w:rPr>
        <w:t xml:space="preserve">nonetheless </w:t>
      </w:r>
      <w:r w:rsidR="008B16A5" w:rsidRPr="006A73DD">
        <w:rPr>
          <w:rFonts w:asciiTheme="majorBidi" w:hAnsiTheme="majorBidi" w:cstheme="majorBidi"/>
          <w:szCs w:val="24"/>
        </w:rPr>
        <w:t>did not generate pressures for better and more supportive institutions, as they could draw on their own internal capabilities.</w:t>
      </w:r>
      <w:r w:rsidR="00E20490" w:rsidRPr="006A73DD">
        <w:rPr>
          <w:rFonts w:asciiTheme="majorBidi" w:hAnsiTheme="majorBidi" w:cstheme="majorBidi"/>
          <w:szCs w:val="24"/>
        </w:rPr>
        <w:t xml:space="preserve">  </w:t>
      </w:r>
      <w:r w:rsidR="00801D89" w:rsidRPr="006A73DD">
        <w:rPr>
          <w:rFonts w:asciiTheme="majorBidi" w:hAnsiTheme="majorBidi" w:cstheme="majorBidi"/>
          <w:szCs w:val="24"/>
        </w:rPr>
        <w:t>Moreover,</w:t>
      </w:r>
      <w:r w:rsidR="00E20490" w:rsidRPr="006A73DD">
        <w:rPr>
          <w:rFonts w:asciiTheme="majorBidi" w:hAnsiTheme="majorBidi" w:cstheme="majorBidi"/>
          <w:szCs w:val="24"/>
        </w:rPr>
        <w:t xml:space="preserve"> they were drawn to Ireland for reasons (such as a </w:t>
      </w:r>
      <w:proofErr w:type="spellStart"/>
      <w:r w:rsidR="00E20490" w:rsidRPr="006A73DD">
        <w:rPr>
          <w:rFonts w:asciiTheme="majorBidi" w:hAnsiTheme="majorBidi" w:cstheme="majorBidi"/>
          <w:szCs w:val="24"/>
        </w:rPr>
        <w:t>favourable</w:t>
      </w:r>
      <w:proofErr w:type="spellEnd"/>
      <w:r w:rsidR="00E20490" w:rsidRPr="006A73DD">
        <w:rPr>
          <w:rFonts w:asciiTheme="majorBidi" w:hAnsiTheme="majorBidi" w:cstheme="majorBidi"/>
          <w:szCs w:val="24"/>
        </w:rPr>
        <w:t xml:space="preserve"> tax regime and market access) that had little to do with </w:t>
      </w:r>
      <w:r w:rsidR="00801D89" w:rsidRPr="006A73DD">
        <w:rPr>
          <w:rFonts w:asciiTheme="majorBidi" w:hAnsiTheme="majorBidi" w:cstheme="majorBidi"/>
          <w:szCs w:val="24"/>
        </w:rPr>
        <w:t>the national production régime</w:t>
      </w:r>
      <w:r w:rsidR="00E20490" w:rsidRPr="006A73DD">
        <w:rPr>
          <w:rFonts w:asciiTheme="majorBidi" w:hAnsiTheme="majorBidi" w:cstheme="majorBidi"/>
          <w:szCs w:val="24"/>
        </w:rPr>
        <w:t xml:space="preserve">, and had few incentives to reform or deepen the latter. </w:t>
      </w:r>
      <w:r w:rsidR="008B16A5" w:rsidRPr="006A73DD">
        <w:rPr>
          <w:rFonts w:asciiTheme="majorBidi" w:hAnsiTheme="majorBidi" w:cstheme="majorBidi"/>
          <w:szCs w:val="24"/>
        </w:rPr>
        <w:t xml:space="preserve"> Ultimately, the increased stranglehold of financial services on the Irish economy undermined the </w:t>
      </w:r>
      <w:r w:rsidR="005C3F01" w:rsidRPr="006A73DD">
        <w:rPr>
          <w:rFonts w:asciiTheme="majorBidi" w:hAnsiTheme="majorBidi" w:cstheme="majorBidi"/>
          <w:szCs w:val="24"/>
        </w:rPr>
        <w:t>partnership’s functionality</w:t>
      </w:r>
      <w:r w:rsidR="008B16A5" w:rsidRPr="006A73DD">
        <w:rPr>
          <w:rFonts w:asciiTheme="majorBidi" w:hAnsiTheme="majorBidi" w:cstheme="majorBidi"/>
          <w:szCs w:val="24"/>
        </w:rPr>
        <w:t>; returns from financial speculation eclipsed what could be accrued from deploying capital productively</w:t>
      </w:r>
      <w:r w:rsidR="00E20490" w:rsidRPr="006A73DD">
        <w:rPr>
          <w:rFonts w:asciiTheme="majorBidi" w:hAnsiTheme="majorBidi" w:cstheme="majorBidi"/>
          <w:szCs w:val="24"/>
        </w:rPr>
        <w:t xml:space="preserve"> and the social compromises this may have entailed</w:t>
      </w:r>
      <w:r w:rsidR="008B16A5" w:rsidRPr="006A73DD">
        <w:rPr>
          <w:rFonts w:asciiTheme="majorBidi" w:hAnsiTheme="majorBidi" w:cstheme="majorBidi"/>
          <w:szCs w:val="24"/>
        </w:rPr>
        <w:t xml:space="preserve">.   </w:t>
      </w:r>
      <w:r w:rsidR="007C582C" w:rsidRPr="006A73DD">
        <w:rPr>
          <w:rFonts w:asciiTheme="majorBidi" w:hAnsiTheme="majorBidi" w:cstheme="majorBidi"/>
          <w:szCs w:val="24"/>
        </w:rPr>
        <w:t>This made it easy for employers and the stat</w:t>
      </w:r>
      <w:r w:rsidR="005C3F01" w:rsidRPr="006A73DD">
        <w:rPr>
          <w:rFonts w:asciiTheme="majorBidi" w:hAnsiTheme="majorBidi" w:cstheme="majorBidi"/>
          <w:szCs w:val="24"/>
        </w:rPr>
        <w:t>e to abandon it during the 2008</w:t>
      </w:r>
      <w:r w:rsidR="007C582C" w:rsidRPr="006A73DD">
        <w:rPr>
          <w:rFonts w:asciiTheme="majorBidi" w:hAnsiTheme="majorBidi" w:cstheme="majorBidi"/>
          <w:szCs w:val="24"/>
        </w:rPr>
        <w:t xml:space="preserve"> economic crisis, ironically making</w:t>
      </w:r>
      <w:r w:rsidR="006277DF" w:rsidRPr="006A73DD">
        <w:rPr>
          <w:rFonts w:asciiTheme="majorBidi" w:hAnsiTheme="majorBidi" w:cstheme="majorBidi"/>
          <w:szCs w:val="24"/>
        </w:rPr>
        <w:t xml:space="preserve"> any move to a more balanced economy</w:t>
      </w:r>
      <w:r w:rsidR="007C582C" w:rsidRPr="006A73DD">
        <w:rPr>
          <w:rFonts w:asciiTheme="majorBidi" w:hAnsiTheme="majorBidi" w:cstheme="majorBidi"/>
          <w:szCs w:val="24"/>
        </w:rPr>
        <w:t xml:space="preserve"> more difficult.</w:t>
      </w:r>
    </w:p>
    <w:p w:rsidR="00152BED" w:rsidRPr="006A73DD" w:rsidRDefault="00870AE3" w:rsidP="0096219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ajorBidi" w:hAnsiTheme="majorBidi" w:cstheme="majorBidi"/>
          <w:szCs w:val="24"/>
        </w:rPr>
      </w:pPr>
      <w:r w:rsidRPr="006A73DD">
        <w:rPr>
          <w:rFonts w:asciiTheme="majorBidi" w:hAnsiTheme="majorBidi" w:cstheme="majorBidi"/>
          <w:szCs w:val="24"/>
        </w:rPr>
        <w:tab/>
      </w:r>
      <w:r w:rsidR="00F660BD">
        <w:rPr>
          <w:rFonts w:asciiTheme="majorBidi" w:hAnsiTheme="majorBidi" w:cstheme="majorBidi"/>
          <w:szCs w:val="24"/>
        </w:rPr>
        <w:t xml:space="preserve">Two further </w:t>
      </w:r>
      <w:r w:rsidR="00A20D85" w:rsidRPr="006A73DD">
        <w:rPr>
          <w:rFonts w:asciiTheme="majorBidi" w:hAnsiTheme="majorBidi" w:cstheme="majorBidi"/>
          <w:szCs w:val="24"/>
        </w:rPr>
        <w:t>articles published here deal with extra-European manifestat</w:t>
      </w:r>
      <w:r w:rsidR="005C3F01" w:rsidRPr="006A73DD">
        <w:rPr>
          <w:rFonts w:asciiTheme="majorBidi" w:hAnsiTheme="majorBidi" w:cstheme="majorBidi"/>
          <w:szCs w:val="24"/>
        </w:rPr>
        <w:t xml:space="preserve">ions of </w:t>
      </w:r>
      <w:proofErr w:type="spellStart"/>
      <w:r w:rsidR="005C3F01" w:rsidRPr="006A73DD">
        <w:rPr>
          <w:rFonts w:asciiTheme="majorBidi" w:hAnsiTheme="majorBidi" w:cstheme="majorBidi"/>
          <w:szCs w:val="24"/>
        </w:rPr>
        <w:t>tripartism</w:t>
      </w:r>
      <w:proofErr w:type="spellEnd"/>
      <w:r w:rsidR="005C3F01" w:rsidRPr="006A73DD">
        <w:rPr>
          <w:rFonts w:asciiTheme="majorBidi" w:hAnsiTheme="majorBidi" w:cstheme="majorBidi"/>
          <w:szCs w:val="24"/>
        </w:rPr>
        <w:t xml:space="preserve">.  </w:t>
      </w:r>
      <w:r w:rsidR="00152BED" w:rsidRPr="006A73DD">
        <w:rPr>
          <w:rFonts w:asciiTheme="majorBidi" w:hAnsiTheme="majorBidi" w:cstheme="majorBidi"/>
          <w:szCs w:val="24"/>
        </w:rPr>
        <w:t>Bernard Gann, David Morgan and Peter Sheldon explore the development of Singapor</w:t>
      </w:r>
      <w:r w:rsidR="008C28F9" w:rsidRPr="006A73DD">
        <w:rPr>
          <w:rFonts w:asciiTheme="majorBidi" w:hAnsiTheme="majorBidi" w:cstheme="majorBidi"/>
          <w:szCs w:val="24"/>
        </w:rPr>
        <w:t>e</w:t>
      </w:r>
      <w:r w:rsidR="00152BED" w:rsidRPr="006A73DD">
        <w:rPr>
          <w:rFonts w:asciiTheme="majorBidi" w:hAnsiTheme="majorBidi" w:cstheme="majorBidi"/>
          <w:szCs w:val="24"/>
        </w:rPr>
        <w:t xml:space="preserve">an </w:t>
      </w:r>
      <w:proofErr w:type="spellStart"/>
      <w:r w:rsidR="00152BED" w:rsidRPr="006A73DD">
        <w:rPr>
          <w:rFonts w:asciiTheme="majorBidi" w:hAnsiTheme="majorBidi" w:cstheme="majorBidi"/>
          <w:szCs w:val="24"/>
        </w:rPr>
        <w:t>tripartism</w:t>
      </w:r>
      <w:proofErr w:type="spellEnd"/>
      <w:r w:rsidR="00152BED" w:rsidRPr="006A73DD">
        <w:rPr>
          <w:rFonts w:asciiTheme="majorBidi" w:hAnsiTheme="majorBidi" w:cstheme="majorBidi"/>
          <w:szCs w:val="24"/>
        </w:rPr>
        <w:t xml:space="preserve">. This reflected the desire of government to bolster its social legitimacy </w:t>
      </w:r>
      <w:r w:rsidR="00272401" w:rsidRPr="006A73DD">
        <w:rPr>
          <w:rFonts w:asciiTheme="majorBidi" w:hAnsiTheme="majorBidi" w:cstheme="majorBidi"/>
          <w:szCs w:val="24"/>
        </w:rPr>
        <w:t xml:space="preserve">and foster growth </w:t>
      </w:r>
      <w:r w:rsidR="00152BED" w:rsidRPr="006A73DD">
        <w:rPr>
          <w:rFonts w:asciiTheme="majorBidi" w:hAnsiTheme="majorBidi" w:cstheme="majorBidi"/>
          <w:szCs w:val="24"/>
        </w:rPr>
        <w:t>whilst marg</w:t>
      </w:r>
      <w:r w:rsidR="00841852" w:rsidRPr="006A73DD">
        <w:rPr>
          <w:rFonts w:asciiTheme="majorBidi" w:hAnsiTheme="majorBidi" w:cstheme="majorBidi"/>
          <w:szCs w:val="24"/>
        </w:rPr>
        <w:t xml:space="preserve">inalizing political opposition; </w:t>
      </w:r>
      <w:r w:rsidR="00A20D85" w:rsidRPr="006A73DD">
        <w:rPr>
          <w:rFonts w:asciiTheme="majorBidi" w:hAnsiTheme="majorBidi" w:cstheme="majorBidi"/>
          <w:szCs w:val="24"/>
        </w:rPr>
        <w:t xml:space="preserve">the </w:t>
      </w:r>
      <w:r w:rsidR="00152BED" w:rsidRPr="006A73DD">
        <w:rPr>
          <w:rFonts w:asciiTheme="majorBidi" w:hAnsiTheme="majorBidi" w:cstheme="majorBidi"/>
          <w:szCs w:val="24"/>
        </w:rPr>
        <w:t xml:space="preserve">subordination of organized </w:t>
      </w:r>
      <w:proofErr w:type="spellStart"/>
      <w:r w:rsidR="00152BED" w:rsidRPr="006A73DD">
        <w:rPr>
          <w:rFonts w:asciiTheme="majorBidi" w:hAnsiTheme="majorBidi" w:cstheme="majorBidi"/>
          <w:szCs w:val="24"/>
        </w:rPr>
        <w:t>labour</w:t>
      </w:r>
      <w:proofErr w:type="spellEnd"/>
      <w:r w:rsidR="00152BED" w:rsidRPr="006A73DD">
        <w:rPr>
          <w:rFonts w:asciiTheme="majorBidi" w:hAnsiTheme="majorBidi" w:cstheme="majorBidi"/>
          <w:szCs w:val="24"/>
        </w:rPr>
        <w:t xml:space="preserve"> </w:t>
      </w:r>
      <w:r w:rsidR="00A20D85" w:rsidRPr="006A73DD">
        <w:rPr>
          <w:rFonts w:asciiTheme="majorBidi" w:hAnsiTheme="majorBidi" w:cstheme="majorBidi"/>
          <w:szCs w:val="24"/>
        </w:rPr>
        <w:t xml:space="preserve">was achieved </w:t>
      </w:r>
      <w:r w:rsidR="00152BED" w:rsidRPr="006A73DD">
        <w:rPr>
          <w:rFonts w:asciiTheme="majorBidi" w:hAnsiTheme="majorBidi" w:cstheme="majorBidi"/>
          <w:szCs w:val="24"/>
        </w:rPr>
        <w:t>through incl</w:t>
      </w:r>
      <w:r w:rsidR="00CB609B" w:rsidRPr="006A73DD">
        <w:rPr>
          <w:rFonts w:asciiTheme="majorBidi" w:hAnsiTheme="majorBidi" w:cstheme="majorBidi"/>
          <w:szCs w:val="24"/>
        </w:rPr>
        <w:t>usion.  The emerging order</w:t>
      </w:r>
      <w:r w:rsidR="00841852" w:rsidRPr="006A73DD">
        <w:rPr>
          <w:rFonts w:asciiTheme="majorBidi" w:hAnsiTheme="majorBidi" w:cstheme="majorBidi"/>
          <w:szCs w:val="24"/>
        </w:rPr>
        <w:t xml:space="preserve"> was</w:t>
      </w:r>
      <w:r w:rsidR="00CB609B" w:rsidRPr="006A73DD">
        <w:rPr>
          <w:rFonts w:asciiTheme="majorBidi" w:hAnsiTheme="majorBidi" w:cstheme="majorBidi"/>
          <w:szCs w:val="24"/>
        </w:rPr>
        <w:t xml:space="preserve"> built</w:t>
      </w:r>
      <w:r w:rsidR="00152BED" w:rsidRPr="006A73DD">
        <w:rPr>
          <w:rFonts w:asciiTheme="majorBidi" w:hAnsiTheme="majorBidi" w:cstheme="majorBidi"/>
          <w:szCs w:val="24"/>
        </w:rPr>
        <w:t xml:space="preserve"> on traditional cultural values and the desire for social cohesion: the resultant syste</w:t>
      </w:r>
      <w:r w:rsidR="00000727" w:rsidRPr="006A73DD">
        <w:rPr>
          <w:rFonts w:asciiTheme="majorBidi" w:hAnsiTheme="majorBidi" w:cstheme="majorBidi"/>
          <w:szCs w:val="24"/>
        </w:rPr>
        <w:t xml:space="preserve">m of “enforceable benevolence” </w:t>
      </w:r>
      <w:r w:rsidR="00152BED" w:rsidRPr="006A73DD">
        <w:rPr>
          <w:rFonts w:asciiTheme="majorBidi" w:hAnsiTheme="majorBidi" w:cstheme="majorBidi"/>
          <w:szCs w:val="24"/>
        </w:rPr>
        <w:t>brought with it both economic and socia</w:t>
      </w:r>
      <w:r w:rsidR="00764A1B" w:rsidRPr="006A73DD">
        <w:rPr>
          <w:rFonts w:asciiTheme="majorBidi" w:hAnsiTheme="majorBidi" w:cstheme="majorBidi"/>
          <w:szCs w:val="24"/>
        </w:rPr>
        <w:t>l advances, but these were linked with</w:t>
      </w:r>
      <w:r w:rsidR="00152BED" w:rsidRPr="006A73DD">
        <w:rPr>
          <w:rFonts w:asciiTheme="majorBidi" w:hAnsiTheme="majorBidi" w:cstheme="majorBidi"/>
          <w:szCs w:val="24"/>
        </w:rPr>
        <w:t xml:space="preserve"> political development</w:t>
      </w:r>
      <w:r w:rsidR="00764A1B" w:rsidRPr="006A73DD">
        <w:rPr>
          <w:rFonts w:asciiTheme="majorBidi" w:hAnsiTheme="majorBidi" w:cstheme="majorBidi"/>
          <w:szCs w:val="24"/>
        </w:rPr>
        <w:t>s that were</w:t>
      </w:r>
      <w:r w:rsidR="00CB609B" w:rsidRPr="006A73DD">
        <w:rPr>
          <w:rFonts w:asciiTheme="majorBidi" w:hAnsiTheme="majorBidi" w:cstheme="majorBidi"/>
          <w:szCs w:val="24"/>
        </w:rPr>
        <w:t xml:space="preserve"> very different from</w:t>
      </w:r>
      <w:r w:rsidR="00152BED" w:rsidRPr="006A73DD">
        <w:rPr>
          <w:rFonts w:asciiTheme="majorBidi" w:hAnsiTheme="majorBidi" w:cstheme="majorBidi"/>
          <w:szCs w:val="24"/>
        </w:rPr>
        <w:t xml:space="preserve"> the post-war social democracies of Europe.</w:t>
      </w:r>
      <w:r w:rsidR="00272401" w:rsidRPr="006A73DD">
        <w:rPr>
          <w:rFonts w:asciiTheme="majorBidi" w:hAnsiTheme="majorBidi" w:cstheme="majorBidi"/>
          <w:szCs w:val="24"/>
        </w:rPr>
        <w:t xml:space="preserve">  </w:t>
      </w:r>
      <w:r w:rsidR="006277DF" w:rsidRPr="006A73DD">
        <w:rPr>
          <w:rFonts w:asciiTheme="majorBidi" w:hAnsiTheme="majorBidi" w:cstheme="majorBidi"/>
          <w:szCs w:val="24"/>
        </w:rPr>
        <w:t xml:space="preserve">  As is the case with corporatism, </w:t>
      </w:r>
      <w:proofErr w:type="spellStart"/>
      <w:r w:rsidR="006277DF" w:rsidRPr="006A73DD">
        <w:rPr>
          <w:rFonts w:asciiTheme="majorBidi" w:hAnsiTheme="majorBidi" w:cstheme="majorBidi"/>
          <w:szCs w:val="24"/>
        </w:rPr>
        <w:t>tripartism</w:t>
      </w:r>
      <w:proofErr w:type="spellEnd"/>
      <w:r w:rsidR="006277DF" w:rsidRPr="006A73DD">
        <w:rPr>
          <w:rFonts w:asciiTheme="majorBidi" w:hAnsiTheme="majorBidi" w:cstheme="majorBidi"/>
          <w:szCs w:val="24"/>
        </w:rPr>
        <w:t xml:space="preserve"> does not necessarily rest on fully democratic institutions; rather, it can serve as a policy tool to help facilitate social stability</w:t>
      </w:r>
      <w:r w:rsidR="00CB609B" w:rsidRPr="006A73DD">
        <w:rPr>
          <w:rFonts w:asciiTheme="majorBidi" w:hAnsiTheme="majorBidi" w:cstheme="majorBidi"/>
          <w:szCs w:val="24"/>
        </w:rPr>
        <w:t xml:space="preserve"> and hence, diminish</w:t>
      </w:r>
      <w:r w:rsidR="006277DF" w:rsidRPr="006A73DD">
        <w:rPr>
          <w:rFonts w:asciiTheme="majorBidi" w:hAnsiTheme="majorBidi" w:cstheme="majorBidi"/>
          <w:szCs w:val="24"/>
        </w:rPr>
        <w:t xml:space="preserve"> pressures </w:t>
      </w:r>
      <w:r w:rsidR="00474F86" w:rsidRPr="006A73DD">
        <w:rPr>
          <w:rFonts w:asciiTheme="majorBidi" w:hAnsiTheme="majorBidi" w:cstheme="majorBidi"/>
          <w:szCs w:val="24"/>
        </w:rPr>
        <w:t xml:space="preserve">for radical political reform. </w:t>
      </w:r>
      <w:r w:rsidR="006277DF" w:rsidRPr="006A73DD">
        <w:rPr>
          <w:rFonts w:asciiTheme="majorBidi" w:hAnsiTheme="majorBidi" w:cstheme="majorBidi"/>
          <w:szCs w:val="24"/>
        </w:rPr>
        <w:t xml:space="preserve">Given that gross social inequality is ultimately difficult to sustain without constant war or repression, this is a lesson that many </w:t>
      </w:r>
      <w:r w:rsidR="00CB609B" w:rsidRPr="006A73DD">
        <w:rPr>
          <w:rFonts w:asciiTheme="majorBidi" w:hAnsiTheme="majorBidi" w:cstheme="majorBidi"/>
          <w:szCs w:val="24"/>
        </w:rPr>
        <w:t xml:space="preserve">current </w:t>
      </w:r>
      <w:r w:rsidR="006277DF" w:rsidRPr="006A73DD">
        <w:rPr>
          <w:rFonts w:asciiTheme="majorBidi" w:hAnsiTheme="majorBidi" w:cstheme="majorBidi"/>
          <w:szCs w:val="24"/>
        </w:rPr>
        <w:t>Western g</w:t>
      </w:r>
      <w:r w:rsidR="00CB609B" w:rsidRPr="006A73DD">
        <w:rPr>
          <w:rFonts w:asciiTheme="majorBidi" w:hAnsiTheme="majorBidi" w:cstheme="majorBidi"/>
          <w:szCs w:val="24"/>
        </w:rPr>
        <w:t>overnments might heed</w:t>
      </w:r>
      <w:r w:rsidR="006277DF" w:rsidRPr="006A73DD">
        <w:rPr>
          <w:rFonts w:asciiTheme="majorBidi" w:hAnsiTheme="majorBidi" w:cstheme="majorBidi"/>
          <w:szCs w:val="24"/>
        </w:rPr>
        <w:t xml:space="preserve">. </w:t>
      </w:r>
    </w:p>
    <w:p w:rsidR="00152BED" w:rsidRPr="006A73DD" w:rsidRDefault="00870AE3" w:rsidP="0096219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ajorBidi" w:hAnsiTheme="majorBidi" w:cstheme="majorBidi"/>
          <w:szCs w:val="24"/>
        </w:rPr>
      </w:pPr>
      <w:r w:rsidRPr="006A73DD">
        <w:rPr>
          <w:rFonts w:asciiTheme="majorBidi" w:hAnsiTheme="majorBidi" w:cstheme="majorBidi"/>
          <w:szCs w:val="24"/>
        </w:rPr>
        <w:lastRenderedPageBreak/>
        <w:tab/>
      </w:r>
      <w:r w:rsidR="008C28F9" w:rsidRPr="006A73DD">
        <w:rPr>
          <w:rFonts w:asciiTheme="majorBidi" w:hAnsiTheme="majorBidi" w:cstheme="majorBidi"/>
          <w:szCs w:val="24"/>
        </w:rPr>
        <w:t>Geoff</w:t>
      </w:r>
      <w:r w:rsidR="006277DF" w:rsidRPr="006A73DD">
        <w:rPr>
          <w:rFonts w:asciiTheme="majorBidi" w:hAnsiTheme="majorBidi" w:cstheme="majorBidi"/>
          <w:szCs w:val="24"/>
        </w:rPr>
        <w:t>rey</w:t>
      </w:r>
      <w:r w:rsidR="008C28F9" w:rsidRPr="006A73DD">
        <w:rPr>
          <w:rFonts w:asciiTheme="majorBidi" w:hAnsiTheme="majorBidi" w:cstheme="majorBidi"/>
          <w:szCs w:val="24"/>
        </w:rPr>
        <w:t xml:space="preserve"> Wood, </w:t>
      </w:r>
      <w:proofErr w:type="spellStart"/>
      <w:r w:rsidR="005B41EA" w:rsidRPr="006A73DD">
        <w:rPr>
          <w:rFonts w:asciiTheme="majorBidi" w:hAnsiTheme="majorBidi" w:cstheme="majorBidi"/>
          <w:szCs w:val="24"/>
        </w:rPr>
        <w:t>Gilton</w:t>
      </w:r>
      <w:proofErr w:type="spellEnd"/>
      <w:r w:rsidR="005B41EA" w:rsidRPr="006A73DD">
        <w:rPr>
          <w:rFonts w:asciiTheme="majorBidi" w:hAnsiTheme="majorBidi" w:cstheme="majorBidi"/>
          <w:szCs w:val="24"/>
        </w:rPr>
        <w:t xml:space="preserve"> Klerk and </w:t>
      </w:r>
      <w:r w:rsidR="008C28F9" w:rsidRPr="006A73DD">
        <w:rPr>
          <w:rFonts w:asciiTheme="majorBidi" w:hAnsiTheme="majorBidi" w:cstheme="majorBidi"/>
          <w:szCs w:val="24"/>
        </w:rPr>
        <w:t xml:space="preserve">Pauline </w:t>
      </w:r>
      <w:proofErr w:type="spellStart"/>
      <w:r w:rsidR="008C28F9" w:rsidRPr="006A73DD">
        <w:rPr>
          <w:rFonts w:asciiTheme="majorBidi" w:hAnsiTheme="majorBidi" w:cstheme="majorBidi"/>
          <w:szCs w:val="24"/>
        </w:rPr>
        <w:t>Dibben</w:t>
      </w:r>
      <w:proofErr w:type="spellEnd"/>
      <w:r w:rsidR="008C28F9" w:rsidRPr="006A73DD">
        <w:rPr>
          <w:rFonts w:asciiTheme="majorBidi" w:hAnsiTheme="majorBidi" w:cstheme="majorBidi"/>
          <w:szCs w:val="24"/>
        </w:rPr>
        <w:t xml:space="preserve"> cont</w:t>
      </w:r>
      <w:r w:rsidRPr="006A73DD">
        <w:rPr>
          <w:rFonts w:asciiTheme="majorBidi" w:hAnsiTheme="majorBidi" w:cstheme="majorBidi"/>
          <w:szCs w:val="24"/>
        </w:rPr>
        <w:t>ribute on Southern Africa where</w:t>
      </w:r>
      <w:r w:rsidR="00737149" w:rsidRPr="006A73DD">
        <w:rPr>
          <w:rFonts w:asciiTheme="majorBidi" w:hAnsiTheme="majorBidi" w:cstheme="majorBidi"/>
          <w:szCs w:val="24"/>
        </w:rPr>
        <w:t xml:space="preserve"> Namibia, Mozambique and South Africa all experimented with tripartite i</w:t>
      </w:r>
      <w:r w:rsidR="00CB609B" w:rsidRPr="006A73DD">
        <w:rPr>
          <w:rFonts w:asciiTheme="majorBidi" w:hAnsiTheme="majorBidi" w:cstheme="majorBidi"/>
          <w:szCs w:val="24"/>
        </w:rPr>
        <w:t xml:space="preserve">nitiatives during the </w:t>
      </w:r>
      <w:r w:rsidR="00737149" w:rsidRPr="006A73DD">
        <w:rPr>
          <w:rFonts w:asciiTheme="majorBidi" w:hAnsiTheme="majorBidi" w:cstheme="majorBidi"/>
          <w:szCs w:val="24"/>
        </w:rPr>
        <w:t>democratization</w:t>
      </w:r>
      <w:r w:rsidR="00CB609B" w:rsidRPr="006A73DD">
        <w:rPr>
          <w:rFonts w:asciiTheme="majorBidi" w:hAnsiTheme="majorBidi" w:cstheme="majorBidi"/>
          <w:szCs w:val="24"/>
        </w:rPr>
        <w:t xml:space="preserve"> period</w:t>
      </w:r>
      <w:r w:rsidR="00737149" w:rsidRPr="006A73DD">
        <w:rPr>
          <w:rFonts w:asciiTheme="majorBidi" w:hAnsiTheme="majorBidi" w:cstheme="majorBidi"/>
          <w:szCs w:val="24"/>
        </w:rPr>
        <w:t xml:space="preserve">.  Whilst </w:t>
      </w:r>
      <w:r w:rsidR="00CB609B" w:rsidRPr="006A73DD">
        <w:rPr>
          <w:rFonts w:asciiTheme="majorBidi" w:hAnsiTheme="majorBidi" w:cstheme="majorBidi"/>
          <w:szCs w:val="24"/>
        </w:rPr>
        <w:t>in all instances this brought</w:t>
      </w:r>
      <w:r w:rsidR="00737149" w:rsidRPr="006A73DD">
        <w:rPr>
          <w:rFonts w:asciiTheme="majorBidi" w:hAnsiTheme="majorBidi" w:cstheme="majorBidi"/>
          <w:szCs w:val="24"/>
        </w:rPr>
        <w:t xml:space="preserve"> secure </w:t>
      </w:r>
      <w:r w:rsidR="00CB609B" w:rsidRPr="006A73DD">
        <w:rPr>
          <w:rFonts w:asciiTheme="majorBidi" w:hAnsiTheme="majorBidi" w:cstheme="majorBidi"/>
          <w:szCs w:val="24"/>
        </w:rPr>
        <w:t xml:space="preserve">and </w:t>
      </w:r>
      <w:r w:rsidR="00737149" w:rsidRPr="006A73DD">
        <w:rPr>
          <w:rFonts w:asciiTheme="majorBidi" w:hAnsiTheme="majorBidi" w:cstheme="majorBidi"/>
          <w:szCs w:val="24"/>
        </w:rPr>
        <w:t xml:space="preserve">significant improvements in worker rights, relative enforceability reflected variations in state capabilities </w:t>
      </w:r>
      <w:r w:rsidR="00A20D85" w:rsidRPr="006A73DD">
        <w:rPr>
          <w:rFonts w:asciiTheme="majorBidi" w:hAnsiTheme="majorBidi" w:cstheme="majorBidi"/>
          <w:szCs w:val="24"/>
        </w:rPr>
        <w:t>and political will.   Ultimately</w:t>
      </w:r>
      <w:r w:rsidR="00737149" w:rsidRPr="006A73DD">
        <w:rPr>
          <w:rFonts w:asciiTheme="majorBidi" w:hAnsiTheme="majorBidi" w:cstheme="majorBidi"/>
          <w:szCs w:val="24"/>
        </w:rPr>
        <w:t>, none of the ex</w:t>
      </w:r>
      <w:r w:rsidR="00CB609B" w:rsidRPr="006A73DD">
        <w:rPr>
          <w:rFonts w:asciiTheme="majorBidi" w:hAnsiTheme="majorBidi" w:cstheme="majorBidi"/>
          <w:szCs w:val="24"/>
        </w:rPr>
        <w:t>periments brought about the far-</w:t>
      </w:r>
      <w:r w:rsidR="00A434D4" w:rsidRPr="006A73DD">
        <w:rPr>
          <w:rFonts w:asciiTheme="majorBidi" w:hAnsiTheme="majorBidi" w:cstheme="majorBidi"/>
          <w:szCs w:val="24"/>
        </w:rPr>
        <w:t>reaching class</w:t>
      </w:r>
      <w:r w:rsidR="00E203BD" w:rsidRPr="006A73DD">
        <w:rPr>
          <w:rFonts w:asciiTheme="majorBidi" w:hAnsiTheme="majorBidi" w:cstheme="majorBidi"/>
          <w:szCs w:val="24"/>
        </w:rPr>
        <w:t xml:space="preserve"> </w:t>
      </w:r>
      <w:r w:rsidR="00737149" w:rsidRPr="006A73DD">
        <w:rPr>
          <w:rFonts w:asciiTheme="majorBidi" w:hAnsiTheme="majorBidi" w:cstheme="majorBidi"/>
          <w:szCs w:val="24"/>
        </w:rPr>
        <w:t xml:space="preserve">compromises </w:t>
      </w:r>
      <w:r w:rsidR="00A434D4" w:rsidRPr="006A73DD">
        <w:rPr>
          <w:rFonts w:asciiTheme="majorBidi" w:hAnsiTheme="majorBidi" w:cstheme="majorBidi"/>
          <w:szCs w:val="24"/>
        </w:rPr>
        <w:t xml:space="preserve">which </w:t>
      </w:r>
      <w:r w:rsidR="00737149" w:rsidRPr="006A73DD">
        <w:rPr>
          <w:rFonts w:asciiTheme="majorBidi" w:hAnsiTheme="majorBidi" w:cstheme="majorBidi"/>
          <w:szCs w:val="24"/>
        </w:rPr>
        <w:t xml:space="preserve">many believe are ultimately necessary to </w:t>
      </w:r>
      <w:r w:rsidR="00CB609B" w:rsidRPr="006A73DD">
        <w:rPr>
          <w:rFonts w:asciiTheme="majorBidi" w:hAnsiTheme="majorBidi" w:cstheme="majorBidi"/>
          <w:szCs w:val="24"/>
        </w:rPr>
        <w:t>secure social stability in these</w:t>
      </w:r>
      <w:r w:rsidR="00737149" w:rsidRPr="006A73DD">
        <w:rPr>
          <w:rFonts w:asciiTheme="majorBidi" w:hAnsiTheme="majorBidi" w:cstheme="majorBidi"/>
          <w:szCs w:val="24"/>
        </w:rPr>
        <w:t xml:space="preserve"> societies characterized by </w:t>
      </w:r>
      <w:r w:rsidR="006079D5" w:rsidRPr="006A73DD">
        <w:rPr>
          <w:rFonts w:asciiTheme="majorBidi" w:hAnsiTheme="majorBidi" w:cstheme="majorBidi"/>
          <w:szCs w:val="24"/>
        </w:rPr>
        <w:t>extr</w:t>
      </w:r>
      <w:r w:rsidR="00A20D85" w:rsidRPr="006A73DD">
        <w:rPr>
          <w:rFonts w:asciiTheme="majorBidi" w:hAnsiTheme="majorBidi" w:cstheme="majorBidi"/>
          <w:szCs w:val="24"/>
        </w:rPr>
        <w:t>a</w:t>
      </w:r>
      <w:r w:rsidR="006079D5" w:rsidRPr="006A73DD">
        <w:rPr>
          <w:rFonts w:asciiTheme="majorBidi" w:hAnsiTheme="majorBidi" w:cstheme="majorBidi"/>
          <w:szCs w:val="24"/>
        </w:rPr>
        <w:t>o</w:t>
      </w:r>
      <w:r w:rsidR="00A20D85" w:rsidRPr="006A73DD">
        <w:rPr>
          <w:rFonts w:asciiTheme="majorBidi" w:hAnsiTheme="majorBidi" w:cstheme="majorBidi"/>
          <w:szCs w:val="24"/>
        </w:rPr>
        <w:t>r</w:t>
      </w:r>
      <w:r w:rsidR="006079D5" w:rsidRPr="006A73DD">
        <w:rPr>
          <w:rFonts w:asciiTheme="majorBidi" w:hAnsiTheme="majorBidi" w:cstheme="majorBidi"/>
          <w:szCs w:val="24"/>
        </w:rPr>
        <w:t xml:space="preserve">dinarily high levels </w:t>
      </w:r>
      <w:r w:rsidR="00CB609B" w:rsidRPr="006A73DD">
        <w:rPr>
          <w:rFonts w:asciiTheme="majorBidi" w:hAnsiTheme="majorBidi" w:cstheme="majorBidi"/>
          <w:szCs w:val="24"/>
        </w:rPr>
        <w:t>of social inequality</w:t>
      </w:r>
      <w:r w:rsidR="006079D5" w:rsidRPr="006A73DD">
        <w:rPr>
          <w:rFonts w:asciiTheme="majorBidi" w:hAnsiTheme="majorBidi" w:cstheme="majorBidi"/>
          <w:szCs w:val="24"/>
        </w:rPr>
        <w:t xml:space="preserve">.  </w:t>
      </w:r>
      <w:r w:rsidR="00CB609B" w:rsidRPr="006A73DD">
        <w:rPr>
          <w:rFonts w:asciiTheme="majorBidi" w:hAnsiTheme="majorBidi" w:cstheme="majorBidi"/>
          <w:szCs w:val="24"/>
        </w:rPr>
        <w:t xml:space="preserve"> The authors ascribe this to neo-liberalism’s policy hegemony</w:t>
      </w:r>
      <w:r w:rsidR="00A20D85" w:rsidRPr="006A73DD">
        <w:rPr>
          <w:rFonts w:asciiTheme="majorBidi" w:hAnsiTheme="majorBidi" w:cstheme="majorBidi"/>
          <w:szCs w:val="24"/>
        </w:rPr>
        <w:t>, shifting é</w:t>
      </w:r>
      <w:r w:rsidR="006079D5" w:rsidRPr="006A73DD">
        <w:rPr>
          <w:rFonts w:asciiTheme="majorBidi" w:hAnsiTheme="majorBidi" w:cstheme="majorBidi"/>
          <w:szCs w:val="24"/>
        </w:rPr>
        <w:t>lite composition</w:t>
      </w:r>
      <w:r w:rsidR="006277DF" w:rsidRPr="006A73DD">
        <w:rPr>
          <w:rFonts w:asciiTheme="majorBidi" w:hAnsiTheme="majorBidi" w:cstheme="majorBidi"/>
          <w:szCs w:val="24"/>
        </w:rPr>
        <w:t xml:space="preserve"> (with the rise of political entrepreneurs once liberation had been secured)</w:t>
      </w:r>
      <w:r w:rsidR="00CB609B" w:rsidRPr="006A73DD">
        <w:rPr>
          <w:rFonts w:asciiTheme="majorBidi" w:hAnsiTheme="majorBidi" w:cstheme="majorBidi"/>
          <w:szCs w:val="24"/>
        </w:rPr>
        <w:t>,</w:t>
      </w:r>
      <w:r w:rsidR="006079D5" w:rsidRPr="006A73DD">
        <w:rPr>
          <w:rFonts w:asciiTheme="majorBidi" w:hAnsiTheme="majorBidi" w:cstheme="majorBidi"/>
          <w:szCs w:val="24"/>
        </w:rPr>
        <w:t xml:space="preserve"> dominant </w:t>
      </w:r>
      <w:proofErr w:type="spellStart"/>
      <w:r w:rsidR="006079D5" w:rsidRPr="006A73DD">
        <w:rPr>
          <w:rFonts w:asciiTheme="majorBidi" w:hAnsiTheme="majorBidi" w:cstheme="majorBidi"/>
          <w:szCs w:val="24"/>
        </w:rPr>
        <w:t>partyism</w:t>
      </w:r>
      <w:proofErr w:type="spellEnd"/>
      <w:r w:rsidR="006079D5" w:rsidRPr="006A73DD">
        <w:rPr>
          <w:rFonts w:asciiTheme="majorBidi" w:hAnsiTheme="majorBidi" w:cstheme="majorBidi"/>
          <w:szCs w:val="24"/>
        </w:rPr>
        <w:t>, and the extent to which rising commodity prices have</w:t>
      </w:r>
      <w:r w:rsidR="00281B91" w:rsidRPr="006A73DD">
        <w:rPr>
          <w:rFonts w:asciiTheme="majorBidi" w:hAnsiTheme="majorBidi" w:cstheme="majorBidi"/>
          <w:szCs w:val="24"/>
        </w:rPr>
        <w:t xml:space="preserve"> removed urgency from the need to find economic solutions. </w:t>
      </w:r>
      <w:r w:rsidR="00CB609B" w:rsidRPr="006A73DD">
        <w:rPr>
          <w:rFonts w:asciiTheme="majorBidi" w:hAnsiTheme="majorBidi" w:cstheme="majorBidi"/>
          <w:szCs w:val="24"/>
        </w:rPr>
        <w:t xml:space="preserve">  However, mineral price volatility</w:t>
      </w:r>
      <w:r w:rsidR="006277DF" w:rsidRPr="006A73DD">
        <w:rPr>
          <w:rFonts w:asciiTheme="majorBidi" w:hAnsiTheme="majorBidi" w:cstheme="majorBidi"/>
          <w:szCs w:val="24"/>
        </w:rPr>
        <w:t xml:space="preserve"> and the</w:t>
      </w:r>
      <w:r w:rsidR="00CB609B" w:rsidRPr="006A73DD">
        <w:rPr>
          <w:rFonts w:asciiTheme="majorBidi" w:hAnsiTheme="majorBidi" w:cstheme="majorBidi"/>
          <w:szCs w:val="24"/>
        </w:rPr>
        <w:t xml:space="preserve"> often negative effects</w:t>
      </w:r>
      <w:r w:rsidR="006277DF" w:rsidRPr="006A73DD">
        <w:rPr>
          <w:rFonts w:asciiTheme="majorBidi" w:hAnsiTheme="majorBidi" w:cstheme="majorBidi"/>
          <w:szCs w:val="24"/>
        </w:rPr>
        <w:t xml:space="preserve"> growth </w:t>
      </w:r>
      <w:r w:rsidR="00CB609B" w:rsidRPr="006A73DD">
        <w:rPr>
          <w:rFonts w:asciiTheme="majorBidi" w:hAnsiTheme="majorBidi" w:cstheme="majorBidi"/>
          <w:szCs w:val="24"/>
        </w:rPr>
        <w:t xml:space="preserve">in mineral extraction </w:t>
      </w:r>
      <w:r w:rsidR="006277DF" w:rsidRPr="006A73DD">
        <w:rPr>
          <w:rFonts w:asciiTheme="majorBidi" w:hAnsiTheme="majorBidi" w:cstheme="majorBidi"/>
          <w:szCs w:val="24"/>
        </w:rPr>
        <w:t xml:space="preserve">has </w:t>
      </w:r>
      <w:r w:rsidR="00DC236A" w:rsidRPr="006A73DD">
        <w:rPr>
          <w:rFonts w:asciiTheme="majorBidi" w:hAnsiTheme="majorBidi" w:cstheme="majorBidi"/>
          <w:szCs w:val="24"/>
        </w:rPr>
        <w:t>elsewhere in national economies</w:t>
      </w:r>
      <w:r w:rsidR="006277DF" w:rsidRPr="006A73DD">
        <w:rPr>
          <w:rFonts w:asciiTheme="majorBidi" w:hAnsiTheme="majorBidi" w:cstheme="majorBidi"/>
          <w:szCs w:val="24"/>
        </w:rPr>
        <w:t xml:space="preserve"> underscores the relevance of a type of social compromise that has been, in other contexts, associated with superior levels of equality and productivity.  </w:t>
      </w:r>
    </w:p>
    <w:p w:rsidR="008349EA" w:rsidRPr="006A73DD" w:rsidRDefault="00870AE3" w:rsidP="00976AB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ajorBidi" w:hAnsiTheme="majorBidi" w:cstheme="majorBidi"/>
          <w:szCs w:val="24"/>
        </w:rPr>
      </w:pPr>
      <w:r w:rsidRPr="006A73DD">
        <w:rPr>
          <w:rFonts w:asciiTheme="majorBidi" w:hAnsiTheme="majorBidi" w:cstheme="majorBidi"/>
          <w:szCs w:val="24"/>
        </w:rPr>
        <w:tab/>
      </w:r>
      <w:r w:rsidR="009C0655" w:rsidRPr="006A73DD">
        <w:rPr>
          <w:rFonts w:asciiTheme="majorBidi" w:hAnsiTheme="majorBidi" w:cstheme="majorBidi"/>
          <w:szCs w:val="24"/>
        </w:rPr>
        <w:t xml:space="preserve">Notwithstanding these </w:t>
      </w:r>
      <w:r w:rsidR="00DC236A" w:rsidRPr="006A73DD">
        <w:rPr>
          <w:rFonts w:asciiTheme="majorBidi" w:hAnsiTheme="majorBidi" w:cstheme="majorBidi"/>
          <w:szCs w:val="24"/>
        </w:rPr>
        <w:t xml:space="preserve">substantial </w:t>
      </w:r>
      <w:r w:rsidR="009C0655" w:rsidRPr="006A73DD">
        <w:rPr>
          <w:rFonts w:asciiTheme="majorBidi" w:hAnsiTheme="majorBidi" w:cstheme="majorBidi"/>
          <w:szCs w:val="24"/>
        </w:rPr>
        <w:t>contributions,</w:t>
      </w:r>
      <w:r w:rsidR="00272401" w:rsidRPr="006A73DD">
        <w:rPr>
          <w:rFonts w:asciiTheme="majorBidi" w:hAnsiTheme="majorBidi" w:cstheme="majorBidi"/>
          <w:szCs w:val="24"/>
        </w:rPr>
        <w:t xml:space="preserve"> and despite widespread and insistent</w:t>
      </w:r>
      <w:r w:rsidR="00796EEA" w:rsidRPr="006A73DD">
        <w:rPr>
          <w:rFonts w:asciiTheme="majorBidi" w:hAnsiTheme="majorBidi" w:cstheme="majorBidi"/>
          <w:szCs w:val="24"/>
        </w:rPr>
        <w:t xml:space="preserve"> advocacy of ‘trans-national’ history</w:t>
      </w:r>
      <w:r w:rsidRPr="006A73DD">
        <w:rPr>
          <w:rFonts w:asciiTheme="majorBidi" w:hAnsiTheme="majorBidi" w:cstheme="majorBidi"/>
          <w:szCs w:val="24"/>
        </w:rPr>
        <w:t>,</w:t>
      </w:r>
      <w:r w:rsidR="00796EEA" w:rsidRPr="006A73DD">
        <w:rPr>
          <w:rFonts w:asciiTheme="majorBidi" w:hAnsiTheme="majorBidi" w:cstheme="majorBidi"/>
          <w:szCs w:val="24"/>
        </w:rPr>
        <w:t xml:space="preserve"> </w:t>
      </w:r>
      <w:r w:rsidR="009C0655" w:rsidRPr="006A73DD">
        <w:rPr>
          <w:rFonts w:asciiTheme="majorBidi" w:hAnsiTheme="majorBidi" w:cstheme="majorBidi"/>
          <w:szCs w:val="24"/>
        </w:rPr>
        <w:t>a particularly</w:t>
      </w:r>
      <w:r w:rsidR="00796EEA" w:rsidRPr="006A73DD">
        <w:rPr>
          <w:rFonts w:asciiTheme="majorBidi" w:hAnsiTheme="majorBidi" w:cstheme="majorBidi"/>
          <w:szCs w:val="24"/>
        </w:rPr>
        <w:t xml:space="preserve"> significant</w:t>
      </w:r>
      <w:r w:rsidR="000D0FC8" w:rsidRPr="006A73DD">
        <w:rPr>
          <w:rFonts w:asciiTheme="majorBidi" w:hAnsiTheme="majorBidi" w:cstheme="majorBidi"/>
          <w:szCs w:val="24"/>
        </w:rPr>
        <w:t xml:space="preserve"> lacuna</w:t>
      </w:r>
      <w:r w:rsidR="00796EEA" w:rsidRPr="006A73DD">
        <w:rPr>
          <w:rFonts w:asciiTheme="majorBidi" w:hAnsiTheme="majorBidi" w:cstheme="majorBidi"/>
          <w:szCs w:val="24"/>
        </w:rPr>
        <w:t xml:space="preserve"> remains in the history of </w:t>
      </w:r>
      <w:proofErr w:type="spellStart"/>
      <w:r w:rsidR="00796EEA" w:rsidRPr="006A73DD">
        <w:rPr>
          <w:rFonts w:asciiTheme="majorBidi" w:hAnsiTheme="majorBidi" w:cstheme="majorBidi"/>
          <w:szCs w:val="24"/>
        </w:rPr>
        <w:t>tripartism</w:t>
      </w:r>
      <w:proofErr w:type="spellEnd"/>
      <w:r w:rsidR="000D0FC8" w:rsidRPr="006A73DD">
        <w:rPr>
          <w:rFonts w:asciiTheme="majorBidi" w:hAnsiTheme="majorBidi" w:cstheme="majorBidi"/>
          <w:szCs w:val="24"/>
        </w:rPr>
        <w:t>: the historical role of the ILO and its interactions with other international and national-level actors.</w:t>
      </w:r>
      <w:r w:rsidRPr="006A73DD">
        <w:rPr>
          <w:rStyle w:val="EndnoteReference"/>
          <w:rFonts w:asciiTheme="majorBidi" w:hAnsiTheme="majorBidi" w:cstheme="majorBidi"/>
          <w:szCs w:val="24"/>
        </w:rPr>
        <w:endnoteReference w:id="39"/>
      </w:r>
      <w:r w:rsidR="000D0FC8" w:rsidRPr="006A73DD">
        <w:rPr>
          <w:rFonts w:asciiTheme="majorBidi" w:hAnsiTheme="majorBidi" w:cstheme="majorBidi"/>
          <w:szCs w:val="24"/>
        </w:rPr>
        <w:t xml:space="preserve">  </w:t>
      </w:r>
      <w:r w:rsidR="00AA1B6C" w:rsidRPr="006A73DD">
        <w:rPr>
          <w:rFonts w:asciiTheme="majorBidi" w:hAnsiTheme="majorBidi" w:cstheme="majorBidi"/>
          <w:szCs w:val="24"/>
        </w:rPr>
        <w:t>The ILO’s foundation as the first tripartite international body gave institutional embodiment</w:t>
      </w:r>
      <w:r w:rsidR="002C12AC" w:rsidRPr="006A73DD">
        <w:rPr>
          <w:rFonts w:asciiTheme="majorBidi" w:hAnsiTheme="majorBidi" w:cstheme="majorBidi"/>
          <w:szCs w:val="24"/>
        </w:rPr>
        <w:t xml:space="preserve"> to the concept at global level</w:t>
      </w:r>
      <w:r w:rsidR="00AA1B6C" w:rsidRPr="006A73DD">
        <w:rPr>
          <w:rFonts w:asciiTheme="majorBidi" w:hAnsiTheme="majorBidi" w:cstheme="majorBidi"/>
          <w:szCs w:val="24"/>
        </w:rPr>
        <w:t xml:space="preserve">.  </w:t>
      </w:r>
      <w:r w:rsidR="002C12AC" w:rsidRPr="006A73DD">
        <w:rPr>
          <w:rFonts w:asciiTheme="majorBidi" w:hAnsiTheme="majorBidi" w:cstheme="majorBidi"/>
          <w:szCs w:val="24"/>
        </w:rPr>
        <w:t xml:space="preserve">Yet in common with other international organizations the ILO itself has felt constrained </w:t>
      </w:r>
      <w:r w:rsidR="00976AB4" w:rsidRPr="006A73DD">
        <w:rPr>
          <w:rFonts w:asciiTheme="majorBidi" w:hAnsiTheme="majorBidi" w:cstheme="majorBidi"/>
          <w:szCs w:val="24"/>
        </w:rPr>
        <w:t xml:space="preserve">by </w:t>
      </w:r>
      <w:r w:rsidR="008349EA" w:rsidRPr="006A73DD">
        <w:rPr>
          <w:rFonts w:asciiTheme="majorBidi" w:hAnsiTheme="majorBidi" w:cstheme="majorBidi"/>
          <w:szCs w:val="24"/>
        </w:rPr>
        <w:t xml:space="preserve">current views of </w:t>
      </w:r>
      <w:proofErr w:type="spellStart"/>
      <w:r w:rsidR="008349EA" w:rsidRPr="006A73DD">
        <w:rPr>
          <w:rFonts w:asciiTheme="majorBidi" w:hAnsiTheme="majorBidi" w:cstheme="majorBidi"/>
          <w:szCs w:val="24"/>
        </w:rPr>
        <w:t>labour</w:t>
      </w:r>
      <w:proofErr w:type="spellEnd"/>
      <w:r w:rsidR="008349EA" w:rsidRPr="006A73DD">
        <w:rPr>
          <w:rFonts w:asciiTheme="majorBidi" w:hAnsiTheme="majorBidi" w:cstheme="majorBidi"/>
          <w:szCs w:val="24"/>
        </w:rPr>
        <w:t xml:space="preserve"> rights and </w:t>
      </w:r>
      <w:r w:rsidR="00976AB4" w:rsidRPr="006A73DD">
        <w:rPr>
          <w:rFonts w:asciiTheme="majorBidi" w:hAnsiTheme="majorBidi" w:cstheme="majorBidi"/>
          <w:szCs w:val="24"/>
        </w:rPr>
        <w:t xml:space="preserve">its web of </w:t>
      </w:r>
      <w:r w:rsidR="00272401" w:rsidRPr="006A73DD">
        <w:rPr>
          <w:rFonts w:asciiTheme="majorBidi" w:hAnsiTheme="majorBidi" w:cstheme="majorBidi"/>
          <w:szCs w:val="24"/>
        </w:rPr>
        <w:t xml:space="preserve">external </w:t>
      </w:r>
      <w:r w:rsidR="00976AB4" w:rsidRPr="006A73DD">
        <w:rPr>
          <w:rFonts w:asciiTheme="majorBidi" w:hAnsiTheme="majorBidi" w:cstheme="majorBidi"/>
          <w:szCs w:val="24"/>
        </w:rPr>
        <w:t>relationships from</w:t>
      </w:r>
      <w:r w:rsidR="00272401" w:rsidRPr="006A73DD">
        <w:rPr>
          <w:rFonts w:asciiTheme="majorBidi" w:hAnsiTheme="majorBidi" w:cstheme="majorBidi"/>
          <w:szCs w:val="24"/>
        </w:rPr>
        <w:t xml:space="preserve"> elaborating on its own</w:t>
      </w:r>
      <w:r w:rsidR="002C12AC" w:rsidRPr="006A73DD">
        <w:rPr>
          <w:rFonts w:asciiTheme="majorBidi" w:hAnsiTheme="majorBidi" w:cstheme="majorBidi"/>
          <w:szCs w:val="24"/>
        </w:rPr>
        <w:t xml:space="preserve"> successes in the area.</w:t>
      </w:r>
      <w:r w:rsidR="00A6442C" w:rsidRPr="006A73DD">
        <w:rPr>
          <w:rStyle w:val="EndnoteReference"/>
          <w:rFonts w:asciiTheme="majorBidi" w:hAnsiTheme="majorBidi" w:cstheme="majorBidi"/>
          <w:szCs w:val="24"/>
        </w:rPr>
        <w:endnoteReference w:id="40"/>
      </w:r>
      <w:r w:rsidR="002C12AC" w:rsidRPr="006A73DD">
        <w:rPr>
          <w:rFonts w:asciiTheme="majorBidi" w:hAnsiTheme="majorBidi" w:cstheme="majorBidi"/>
          <w:szCs w:val="24"/>
        </w:rPr>
        <w:t xml:space="preserve">  </w:t>
      </w:r>
    </w:p>
    <w:p w:rsidR="00976AB4" w:rsidRPr="006A73DD" w:rsidRDefault="00000727" w:rsidP="00870AE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ajorBidi" w:hAnsiTheme="majorBidi" w:cstheme="majorBidi"/>
          <w:szCs w:val="24"/>
        </w:rPr>
      </w:pPr>
      <w:r w:rsidRPr="006A73DD">
        <w:rPr>
          <w:rFonts w:asciiTheme="majorBidi" w:hAnsiTheme="majorBidi" w:cstheme="majorBidi"/>
          <w:szCs w:val="24"/>
        </w:rPr>
        <w:tab/>
      </w:r>
      <w:r w:rsidR="000D0FC8" w:rsidRPr="006A73DD">
        <w:rPr>
          <w:rFonts w:asciiTheme="majorBidi" w:hAnsiTheme="majorBidi" w:cstheme="majorBidi"/>
          <w:szCs w:val="24"/>
        </w:rPr>
        <w:t xml:space="preserve">The ILO’s activities in support of </w:t>
      </w:r>
      <w:proofErr w:type="spellStart"/>
      <w:r w:rsidR="000D0FC8" w:rsidRPr="006A73DD">
        <w:rPr>
          <w:rFonts w:asciiTheme="majorBidi" w:hAnsiTheme="majorBidi" w:cstheme="majorBidi"/>
          <w:szCs w:val="24"/>
        </w:rPr>
        <w:t>tripartism</w:t>
      </w:r>
      <w:proofErr w:type="spellEnd"/>
      <w:r w:rsidR="000D0FC8" w:rsidRPr="006A73DD">
        <w:rPr>
          <w:rFonts w:asciiTheme="majorBidi" w:hAnsiTheme="majorBidi" w:cstheme="majorBidi"/>
          <w:szCs w:val="24"/>
        </w:rPr>
        <w:t>, including how they were received by and impacted upon national collective institutions certain</w:t>
      </w:r>
      <w:r w:rsidR="002C12AC" w:rsidRPr="006A73DD">
        <w:rPr>
          <w:rFonts w:asciiTheme="majorBidi" w:hAnsiTheme="majorBidi" w:cstheme="majorBidi"/>
          <w:szCs w:val="24"/>
        </w:rPr>
        <w:t xml:space="preserve">ly require further research, which may </w:t>
      </w:r>
      <w:r w:rsidR="00DC236A" w:rsidRPr="006A73DD">
        <w:rPr>
          <w:rFonts w:asciiTheme="majorBidi" w:hAnsiTheme="majorBidi" w:cstheme="majorBidi"/>
          <w:szCs w:val="24"/>
        </w:rPr>
        <w:t xml:space="preserve">be </w:t>
      </w:r>
      <w:proofErr w:type="spellStart"/>
      <w:r w:rsidR="00DC236A" w:rsidRPr="006A73DD">
        <w:rPr>
          <w:rFonts w:asciiTheme="majorBidi" w:hAnsiTheme="majorBidi" w:cstheme="majorBidi"/>
          <w:szCs w:val="24"/>
        </w:rPr>
        <w:t>co-ordinated</w:t>
      </w:r>
      <w:proofErr w:type="spellEnd"/>
      <w:r w:rsidR="00DC236A" w:rsidRPr="006A73DD">
        <w:rPr>
          <w:rFonts w:asciiTheme="majorBidi" w:hAnsiTheme="majorBidi" w:cstheme="majorBidi"/>
          <w:szCs w:val="24"/>
        </w:rPr>
        <w:t xml:space="preserve"> </w:t>
      </w:r>
      <w:r w:rsidR="000D0FC8" w:rsidRPr="006A73DD">
        <w:rPr>
          <w:rFonts w:asciiTheme="majorBidi" w:hAnsiTheme="majorBidi" w:cstheme="majorBidi"/>
          <w:szCs w:val="24"/>
        </w:rPr>
        <w:t>under the umbrella of the ILO’s centenary history project.</w:t>
      </w:r>
      <w:r w:rsidR="00A6442C" w:rsidRPr="006A73DD">
        <w:rPr>
          <w:rStyle w:val="EndnoteReference"/>
          <w:rFonts w:asciiTheme="majorBidi" w:hAnsiTheme="majorBidi" w:cstheme="majorBidi"/>
          <w:szCs w:val="24"/>
        </w:rPr>
        <w:endnoteReference w:id="41"/>
      </w:r>
      <w:r w:rsidR="000D0FC8" w:rsidRPr="006A73DD">
        <w:rPr>
          <w:rFonts w:asciiTheme="majorBidi" w:hAnsiTheme="majorBidi" w:cstheme="majorBidi"/>
          <w:szCs w:val="24"/>
        </w:rPr>
        <w:t xml:space="preserve">  </w:t>
      </w:r>
      <w:r w:rsidR="00AA1B6C" w:rsidRPr="006A73DD">
        <w:rPr>
          <w:rFonts w:asciiTheme="majorBidi" w:hAnsiTheme="majorBidi" w:cstheme="majorBidi"/>
          <w:szCs w:val="24"/>
        </w:rPr>
        <w:t>U</w:t>
      </w:r>
      <w:r w:rsidR="000D0FC8" w:rsidRPr="006A73DD">
        <w:rPr>
          <w:rFonts w:asciiTheme="majorBidi" w:hAnsiTheme="majorBidi" w:cstheme="majorBidi"/>
          <w:szCs w:val="24"/>
        </w:rPr>
        <w:t>ntil 1939, the ILO was a largely developed-world institution principally concerned with advancing employee welfare, cautious and bounded advocacy of collective institutions including in the colonial world and consolidating its own legitimacy</w:t>
      </w:r>
      <w:r w:rsidR="00AA1B6C" w:rsidRPr="006A73DD">
        <w:rPr>
          <w:rFonts w:asciiTheme="majorBidi" w:hAnsiTheme="majorBidi" w:cstheme="majorBidi"/>
          <w:szCs w:val="24"/>
        </w:rPr>
        <w:t>.</w:t>
      </w:r>
      <w:r w:rsidR="00800B13" w:rsidRPr="006A73DD">
        <w:rPr>
          <w:rStyle w:val="EndnoteReference"/>
          <w:rFonts w:asciiTheme="majorBidi" w:hAnsiTheme="majorBidi" w:cstheme="majorBidi"/>
          <w:szCs w:val="24"/>
        </w:rPr>
        <w:endnoteReference w:id="42"/>
      </w:r>
      <w:r w:rsidR="000D0FC8" w:rsidRPr="006A73DD">
        <w:rPr>
          <w:rFonts w:asciiTheme="majorBidi" w:hAnsiTheme="majorBidi" w:cstheme="majorBidi"/>
          <w:szCs w:val="24"/>
        </w:rPr>
        <w:t xml:space="preserve">  </w:t>
      </w:r>
      <w:r w:rsidR="00272401" w:rsidRPr="006A73DD">
        <w:rPr>
          <w:rFonts w:asciiTheme="majorBidi" w:hAnsiTheme="majorBidi" w:cstheme="majorBidi"/>
          <w:szCs w:val="24"/>
        </w:rPr>
        <w:t xml:space="preserve">In the post-war period, its internal organization and the wider </w:t>
      </w:r>
      <w:r w:rsidR="00272401" w:rsidRPr="006A73DD">
        <w:rPr>
          <w:rFonts w:asciiTheme="majorBidi" w:hAnsiTheme="majorBidi" w:cstheme="majorBidi"/>
          <w:szCs w:val="24"/>
        </w:rPr>
        <w:lastRenderedPageBreak/>
        <w:t xml:space="preserve">context meant that it could play a significant role in developing </w:t>
      </w:r>
      <w:proofErr w:type="spellStart"/>
      <w:r w:rsidR="00272401" w:rsidRPr="006A73DD">
        <w:rPr>
          <w:rFonts w:asciiTheme="majorBidi" w:hAnsiTheme="majorBidi" w:cstheme="majorBidi"/>
          <w:szCs w:val="24"/>
        </w:rPr>
        <w:t>tripartism</w:t>
      </w:r>
      <w:proofErr w:type="spellEnd"/>
      <w:r w:rsidR="00272401" w:rsidRPr="006A73DD">
        <w:rPr>
          <w:rFonts w:asciiTheme="majorBidi" w:hAnsiTheme="majorBidi" w:cstheme="majorBidi"/>
          <w:szCs w:val="24"/>
        </w:rPr>
        <w:t xml:space="preserve">.  </w:t>
      </w:r>
      <w:r w:rsidR="000D0FC8" w:rsidRPr="006A73DD">
        <w:rPr>
          <w:rFonts w:asciiTheme="majorBidi" w:hAnsiTheme="majorBidi" w:cstheme="majorBidi"/>
          <w:szCs w:val="24"/>
        </w:rPr>
        <w:t xml:space="preserve">It has been argued that its influence—and its emphasis on </w:t>
      </w:r>
      <w:proofErr w:type="spellStart"/>
      <w:r w:rsidR="000D0FC8" w:rsidRPr="006A73DD">
        <w:rPr>
          <w:rFonts w:asciiTheme="majorBidi" w:hAnsiTheme="majorBidi" w:cstheme="majorBidi"/>
          <w:szCs w:val="24"/>
        </w:rPr>
        <w:t>tripartism</w:t>
      </w:r>
      <w:proofErr w:type="spellEnd"/>
      <w:r w:rsidR="000D0FC8" w:rsidRPr="006A73DD">
        <w:rPr>
          <w:rFonts w:asciiTheme="majorBidi" w:hAnsiTheme="majorBidi" w:cstheme="majorBidi"/>
          <w:szCs w:val="24"/>
        </w:rPr>
        <w:t xml:space="preserve"> with it--declined greatly from the early 1980s essentially because of a major environmental shift: recession, the rise of neo-liberalism, </w:t>
      </w:r>
      <w:r w:rsidR="00B300AF" w:rsidRPr="006A73DD">
        <w:rPr>
          <w:rFonts w:asciiTheme="majorBidi" w:hAnsiTheme="majorBidi" w:cstheme="majorBidi"/>
          <w:szCs w:val="24"/>
        </w:rPr>
        <w:t xml:space="preserve">and US global hegemony. </w:t>
      </w:r>
      <w:r w:rsidR="000D0FC8" w:rsidRPr="006A73DD">
        <w:rPr>
          <w:rFonts w:asciiTheme="majorBidi" w:hAnsiTheme="majorBidi" w:cstheme="majorBidi"/>
          <w:szCs w:val="24"/>
        </w:rPr>
        <w:t xml:space="preserve">Structural Adjustment </w:t>
      </w:r>
      <w:proofErr w:type="spellStart"/>
      <w:r w:rsidR="000D0FC8" w:rsidRPr="006A73DD">
        <w:rPr>
          <w:rFonts w:asciiTheme="majorBidi" w:hAnsiTheme="majorBidi" w:cstheme="majorBidi"/>
          <w:szCs w:val="24"/>
        </w:rPr>
        <w:t>Programmes</w:t>
      </w:r>
      <w:proofErr w:type="spellEnd"/>
      <w:r w:rsidR="000D0FC8" w:rsidRPr="006A73DD">
        <w:rPr>
          <w:rFonts w:asciiTheme="majorBidi" w:hAnsiTheme="majorBidi" w:cstheme="majorBidi"/>
          <w:szCs w:val="24"/>
        </w:rPr>
        <w:t xml:space="preserve"> and the resultant expansion of informal sectors all rendered institutional industrial relations less significant.</w:t>
      </w:r>
      <w:r w:rsidR="00800B13" w:rsidRPr="006A73DD">
        <w:rPr>
          <w:rStyle w:val="EndnoteReference"/>
          <w:rFonts w:asciiTheme="majorBidi" w:hAnsiTheme="majorBidi" w:cstheme="majorBidi"/>
          <w:szCs w:val="24"/>
        </w:rPr>
        <w:endnoteReference w:id="43"/>
      </w:r>
      <w:r w:rsidR="000D0FC8" w:rsidRPr="006A73DD">
        <w:rPr>
          <w:rFonts w:asciiTheme="majorBidi" w:hAnsiTheme="majorBidi" w:cstheme="majorBidi"/>
          <w:szCs w:val="24"/>
        </w:rPr>
        <w:t xml:space="preserve">  Standing has argued that </w:t>
      </w:r>
      <w:r w:rsidR="00976AB4" w:rsidRPr="006A73DD">
        <w:rPr>
          <w:rFonts w:asciiTheme="majorBidi" w:hAnsiTheme="majorBidi" w:cstheme="majorBidi"/>
          <w:szCs w:val="24"/>
        </w:rPr>
        <w:t>thes</w:t>
      </w:r>
      <w:r w:rsidR="00272401" w:rsidRPr="006A73DD">
        <w:rPr>
          <w:rFonts w:asciiTheme="majorBidi" w:hAnsiTheme="majorBidi" w:cstheme="majorBidi"/>
          <w:szCs w:val="24"/>
        </w:rPr>
        <w:t>e developments brought an inade</w:t>
      </w:r>
      <w:r w:rsidR="00976AB4" w:rsidRPr="006A73DD">
        <w:rPr>
          <w:rFonts w:asciiTheme="majorBidi" w:hAnsiTheme="majorBidi" w:cstheme="majorBidi"/>
          <w:szCs w:val="24"/>
        </w:rPr>
        <w:t>q</w:t>
      </w:r>
      <w:r w:rsidR="00272401" w:rsidRPr="006A73DD">
        <w:rPr>
          <w:rFonts w:asciiTheme="majorBidi" w:hAnsiTheme="majorBidi" w:cstheme="majorBidi"/>
          <w:szCs w:val="24"/>
        </w:rPr>
        <w:t>ua</w:t>
      </w:r>
      <w:r w:rsidR="00976AB4" w:rsidRPr="006A73DD">
        <w:rPr>
          <w:rFonts w:asciiTheme="majorBidi" w:hAnsiTheme="majorBidi" w:cstheme="majorBidi"/>
          <w:szCs w:val="24"/>
        </w:rPr>
        <w:t xml:space="preserve">te response from the ILO, suggesting </w:t>
      </w:r>
      <w:r w:rsidR="000D0FC8" w:rsidRPr="006A73DD">
        <w:rPr>
          <w:rFonts w:asciiTheme="majorBidi" w:hAnsiTheme="majorBidi" w:cstheme="majorBidi"/>
          <w:szCs w:val="24"/>
        </w:rPr>
        <w:t>that</w:t>
      </w:r>
      <w:r w:rsidR="00474F86" w:rsidRPr="006A73DD">
        <w:rPr>
          <w:rFonts w:asciiTheme="majorBidi" w:hAnsiTheme="majorBidi" w:cstheme="majorBidi"/>
          <w:szCs w:val="24"/>
        </w:rPr>
        <w:t xml:space="preserve"> </w:t>
      </w:r>
      <w:r w:rsidR="00F660BD">
        <w:rPr>
          <w:rFonts w:asciiTheme="majorBidi" w:hAnsiTheme="majorBidi" w:cstheme="majorBidi"/>
          <w:szCs w:val="24"/>
        </w:rPr>
        <w:t>it</w:t>
      </w:r>
      <w:r w:rsidR="00AA1B6C" w:rsidRPr="006A73DD">
        <w:rPr>
          <w:rFonts w:asciiTheme="majorBidi" w:hAnsiTheme="majorBidi" w:cstheme="majorBidi"/>
          <w:szCs w:val="24"/>
        </w:rPr>
        <w:t xml:space="preserve"> lost influence in relation to the international financial bodies and essentially abandoned </w:t>
      </w:r>
      <w:proofErr w:type="spellStart"/>
      <w:r w:rsidR="00AA1B6C" w:rsidRPr="006A73DD">
        <w:rPr>
          <w:rFonts w:asciiTheme="majorBidi" w:hAnsiTheme="majorBidi" w:cstheme="majorBidi"/>
          <w:szCs w:val="24"/>
        </w:rPr>
        <w:t>tripartism</w:t>
      </w:r>
      <w:proofErr w:type="spellEnd"/>
      <w:r w:rsidR="00AA1B6C" w:rsidRPr="006A73DD">
        <w:rPr>
          <w:rFonts w:asciiTheme="majorBidi" w:hAnsiTheme="majorBidi" w:cstheme="majorBidi"/>
          <w:szCs w:val="24"/>
        </w:rPr>
        <w:t xml:space="preserve"> in </w:t>
      </w:r>
      <w:proofErr w:type="spellStart"/>
      <w:r w:rsidR="00AA1B6C" w:rsidRPr="006A73DD">
        <w:rPr>
          <w:rFonts w:asciiTheme="majorBidi" w:hAnsiTheme="majorBidi" w:cstheme="majorBidi"/>
          <w:szCs w:val="24"/>
        </w:rPr>
        <w:t>favour</w:t>
      </w:r>
      <w:proofErr w:type="spellEnd"/>
      <w:r w:rsidR="00AA1B6C" w:rsidRPr="006A73DD">
        <w:rPr>
          <w:rFonts w:asciiTheme="majorBidi" w:hAnsiTheme="majorBidi" w:cstheme="majorBidi"/>
          <w:szCs w:val="24"/>
        </w:rPr>
        <w:t xml:space="preserve"> of the</w:t>
      </w:r>
      <w:r w:rsidR="000D0FC8" w:rsidRPr="006A73DD">
        <w:rPr>
          <w:rFonts w:asciiTheme="majorBidi" w:hAnsiTheme="majorBidi" w:cstheme="majorBidi"/>
          <w:szCs w:val="24"/>
        </w:rPr>
        <w:t xml:space="preserve"> </w:t>
      </w:r>
      <w:r w:rsidR="00AA1B6C" w:rsidRPr="006A73DD">
        <w:rPr>
          <w:rFonts w:asciiTheme="majorBidi" w:hAnsiTheme="majorBidi" w:cstheme="majorBidi"/>
          <w:szCs w:val="24"/>
        </w:rPr>
        <w:t>‘Decent Work’ agenda</w:t>
      </w:r>
      <w:r w:rsidR="00976AB4" w:rsidRPr="006A73DD">
        <w:rPr>
          <w:rFonts w:asciiTheme="majorBidi" w:hAnsiTheme="majorBidi" w:cstheme="majorBidi"/>
          <w:szCs w:val="24"/>
        </w:rPr>
        <w:t>.</w:t>
      </w:r>
      <w:r w:rsidR="00800B13" w:rsidRPr="006A73DD">
        <w:rPr>
          <w:rStyle w:val="EndnoteReference"/>
          <w:rFonts w:asciiTheme="majorBidi" w:hAnsiTheme="majorBidi" w:cstheme="majorBidi"/>
          <w:szCs w:val="24"/>
        </w:rPr>
        <w:endnoteReference w:id="44"/>
      </w:r>
      <w:r w:rsidR="00976AB4" w:rsidRPr="006A73DD">
        <w:rPr>
          <w:rFonts w:asciiTheme="majorBidi" w:hAnsiTheme="majorBidi" w:cstheme="majorBidi"/>
          <w:szCs w:val="24"/>
        </w:rPr>
        <w:t xml:space="preserve"> </w:t>
      </w:r>
      <w:r w:rsidR="00AA1B6C" w:rsidRPr="006A73DD">
        <w:rPr>
          <w:rFonts w:asciiTheme="majorBidi" w:hAnsiTheme="majorBidi" w:cstheme="majorBidi"/>
          <w:szCs w:val="24"/>
        </w:rPr>
        <w:t xml:space="preserve"> </w:t>
      </w:r>
    </w:p>
    <w:p w:rsidR="000D0FC8" w:rsidRPr="006A73DD" w:rsidRDefault="00870AE3" w:rsidP="0096219D">
      <w:pPr>
        <w:spacing w:line="480" w:lineRule="auto"/>
        <w:rPr>
          <w:rFonts w:asciiTheme="majorBidi" w:hAnsiTheme="majorBidi" w:cstheme="majorBidi"/>
        </w:rPr>
      </w:pPr>
      <w:r w:rsidRPr="006A73DD">
        <w:rPr>
          <w:rFonts w:asciiTheme="majorBidi" w:hAnsiTheme="majorBidi" w:cstheme="majorBidi"/>
        </w:rPr>
        <w:tab/>
      </w:r>
      <w:r w:rsidR="000D0FC8" w:rsidRPr="006A73DD">
        <w:rPr>
          <w:rFonts w:asciiTheme="majorBidi" w:hAnsiTheme="majorBidi" w:cstheme="majorBidi"/>
        </w:rPr>
        <w:t xml:space="preserve">The view threatens to obscure important aspects of the ILO’s </w:t>
      </w:r>
      <w:r w:rsidR="002A5AB7" w:rsidRPr="006A73DD">
        <w:rPr>
          <w:rFonts w:asciiTheme="majorBidi" w:hAnsiTheme="majorBidi" w:cstheme="majorBidi"/>
        </w:rPr>
        <w:t xml:space="preserve">recent </w:t>
      </w:r>
      <w:r w:rsidR="00272401" w:rsidRPr="006A73DD">
        <w:rPr>
          <w:rFonts w:asciiTheme="majorBidi" w:hAnsiTheme="majorBidi" w:cstheme="majorBidi"/>
        </w:rPr>
        <w:t>work and thereby diminish interest in examination of</w:t>
      </w:r>
      <w:r w:rsidR="00976AB4" w:rsidRPr="006A73DD">
        <w:rPr>
          <w:rFonts w:asciiTheme="majorBidi" w:hAnsiTheme="majorBidi" w:cstheme="majorBidi"/>
        </w:rPr>
        <w:t xml:space="preserve"> its long-standing role in advocating and implementing </w:t>
      </w:r>
      <w:proofErr w:type="spellStart"/>
      <w:r w:rsidR="00976AB4" w:rsidRPr="006A73DD">
        <w:rPr>
          <w:rFonts w:asciiTheme="majorBidi" w:hAnsiTheme="majorBidi" w:cstheme="majorBidi"/>
        </w:rPr>
        <w:t>tripartism</w:t>
      </w:r>
      <w:proofErr w:type="spellEnd"/>
      <w:r w:rsidR="000D0FC8" w:rsidRPr="006A73DD">
        <w:rPr>
          <w:rFonts w:asciiTheme="majorBidi" w:hAnsiTheme="majorBidi" w:cstheme="majorBidi"/>
        </w:rPr>
        <w:t xml:space="preserve">. </w:t>
      </w:r>
      <w:r w:rsidR="002A5AB7" w:rsidRPr="006A73DD">
        <w:rPr>
          <w:rFonts w:asciiTheme="majorBidi" w:hAnsiTheme="majorBidi" w:cstheme="majorBidi"/>
        </w:rPr>
        <w:t xml:space="preserve"> T</w:t>
      </w:r>
      <w:r w:rsidR="000D0FC8" w:rsidRPr="006A73DD">
        <w:rPr>
          <w:rFonts w:asciiTheme="majorBidi" w:hAnsiTheme="majorBidi" w:cstheme="majorBidi"/>
        </w:rPr>
        <w:t xml:space="preserve">ripartite institutions </w:t>
      </w:r>
      <w:r w:rsidR="002A5AB7" w:rsidRPr="006A73DD">
        <w:rPr>
          <w:rFonts w:asciiTheme="majorBidi" w:hAnsiTheme="majorBidi" w:cstheme="majorBidi"/>
        </w:rPr>
        <w:t xml:space="preserve">were created </w:t>
      </w:r>
      <w:r w:rsidR="000D0FC8" w:rsidRPr="006A73DD">
        <w:rPr>
          <w:rFonts w:asciiTheme="majorBidi" w:hAnsiTheme="majorBidi" w:cstheme="majorBidi"/>
        </w:rPr>
        <w:t xml:space="preserve">at both micro- and macro-level in several </w:t>
      </w:r>
      <w:r w:rsidR="00796EEA" w:rsidRPr="006A73DD">
        <w:rPr>
          <w:rFonts w:asciiTheme="majorBidi" w:hAnsiTheme="majorBidi" w:cstheme="majorBidi"/>
        </w:rPr>
        <w:t xml:space="preserve">developing </w:t>
      </w:r>
      <w:r w:rsidR="000D0FC8" w:rsidRPr="006A73DD">
        <w:rPr>
          <w:rFonts w:asciiTheme="majorBidi" w:hAnsiTheme="majorBidi" w:cstheme="majorBidi"/>
        </w:rPr>
        <w:t>countries in the 21</w:t>
      </w:r>
      <w:r w:rsidR="000D0FC8" w:rsidRPr="006A73DD">
        <w:rPr>
          <w:rFonts w:asciiTheme="majorBidi" w:hAnsiTheme="majorBidi" w:cstheme="majorBidi"/>
          <w:vertAlign w:val="superscript"/>
        </w:rPr>
        <w:t>st</w:t>
      </w:r>
      <w:r w:rsidR="000D0FC8" w:rsidRPr="006A73DD">
        <w:rPr>
          <w:rFonts w:asciiTheme="majorBidi" w:hAnsiTheme="majorBidi" w:cstheme="majorBidi"/>
        </w:rPr>
        <w:t xml:space="preserve"> Century.</w:t>
      </w:r>
      <w:r w:rsidR="00800B13" w:rsidRPr="006A73DD">
        <w:rPr>
          <w:rStyle w:val="EndnoteReference"/>
          <w:rFonts w:asciiTheme="majorBidi" w:hAnsiTheme="majorBidi" w:cstheme="majorBidi"/>
        </w:rPr>
        <w:endnoteReference w:id="45"/>
      </w:r>
      <w:r w:rsidR="000D0FC8" w:rsidRPr="006A73DD">
        <w:rPr>
          <w:rFonts w:asciiTheme="majorBidi" w:hAnsiTheme="majorBidi" w:cstheme="majorBidi"/>
        </w:rPr>
        <w:t xml:space="preserve"> </w:t>
      </w:r>
      <w:r w:rsidR="002A5AB7" w:rsidRPr="006A73DD">
        <w:rPr>
          <w:rFonts w:asciiTheme="majorBidi" w:hAnsiTheme="majorBidi" w:cstheme="majorBidi"/>
        </w:rPr>
        <w:t xml:space="preserve"> As we have suggested above, s</w:t>
      </w:r>
      <w:r w:rsidR="000D0FC8" w:rsidRPr="006A73DD">
        <w:rPr>
          <w:rFonts w:asciiTheme="majorBidi" w:hAnsiTheme="majorBidi" w:cstheme="majorBidi"/>
        </w:rPr>
        <w:t xml:space="preserve">ome </w:t>
      </w:r>
      <w:r w:rsidR="00A434D4" w:rsidRPr="006A73DD">
        <w:rPr>
          <w:rFonts w:asciiTheme="majorBidi" w:hAnsiTheme="majorBidi" w:cstheme="majorBidi"/>
        </w:rPr>
        <w:t xml:space="preserve">function remained for </w:t>
      </w:r>
      <w:r w:rsidR="00B61CBB" w:rsidRPr="006A73DD">
        <w:rPr>
          <w:rFonts w:asciiTheme="majorBidi" w:hAnsiTheme="majorBidi" w:cstheme="majorBidi"/>
        </w:rPr>
        <w:t>many forms of the institution</w:t>
      </w:r>
      <w:r w:rsidR="000D0FC8" w:rsidRPr="006A73DD">
        <w:rPr>
          <w:rFonts w:asciiTheme="majorBidi" w:hAnsiTheme="majorBidi" w:cstheme="majorBidi"/>
        </w:rPr>
        <w:t>, fuelled by increased demand for regulation by some developed country companies seeking to reduce reputational risk in their supply chains</w:t>
      </w:r>
      <w:r w:rsidR="00796EEA" w:rsidRPr="006A73DD">
        <w:rPr>
          <w:rFonts w:asciiTheme="majorBidi" w:hAnsiTheme="majorBidi" w:cstheme="majorBidi"/>
        </w:rPr>
        <w:t>, a demand that has</w:t>
      </w:r>
      <w:r w:rsidR="002A5AB7" w:rsidRPr="006A73DD">
        <w:rPr>
          <w:rFonts w:asciiTheme="majorBidi" w:hAnsiTheme="majorBidi" w:cstheme="majorBidi"/>
        </w:rPr>
        <w:t xml:space="preserve"> increased since the </w:t>
      </w:r>
      <w:proofErr w:type="spellStart"/>
      <w:r w:rsidR="002A5AB7" w:rsidRPr="006A73DD">
        <w:rPr>
          <w:rFonts w:asciiTheme="majorBidi" w:hAnsiTheme="majorBidi" w:cstheme="majorBidi"/>
        </w:rPr>
        <w:t>Rana</w:t>
      </w:r>
      <w:proofErr w:type="spellEnd"/>
      <w:r w:rsidR="002A5AB7" w:rsidRPr="006A73DD">
        <w:rPr>
          <w:rFonts w:asciiTheme="majorBidi" w:hAnsiTheme="majorBidi" w:cstheme="majorBidi"/>
        </w:rPr>
        <w:t xml:space="preserve"> Plaza fire.</w:t>
      </w:r>
      <w:r w:rsidR="00800B13" w:rsidRPr="006A73DD">
        <w:rPr>
          <w:rStyle w:val="EndnoteReference"/>
          <w:rFonts w:asciiTheme="majorBidi" w:hAnsiTheme="majorBidi" w:cstheme="majorBidi"/>
        </w:rPr>
        <w:endnoteReference w:id="46"/>
      </w:r>
      <w:r w:rsidR="002A5AB7" w:rsidRPr="006A73DD">
        <w:rPr>
          <w:rFonts w:asciiTheme="majorBidi" w:hAnsiTheme="majorBidi" w:cstheme="majorBidi"/>
        </w:rPr>
        <w:t xml:space="preserve">  A higher contemporary profile for its activities seems likely to stimulate further investigation of its many-sided historic role.  </w:t>
      </w:r>
    </w:p>
    <w:p w:rsidR="00AB15C4" w:rsidRPr="006A73DD" w:rsidRDefault="00AB15C4" w:rsidP="0096219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ajorBidi" w:hAnsiTheme="majorBidi" w:cstheme="majorBidi"/>
          <w:szCs w:val="24"/>
        </w:rPr>
      </w:pPr>
    </w:p>
    <w:p w:rsidR="00AB15C4" w:rsidRPr="006A73DD" w:rsidRDefault="00000727" w:rsidP="0096219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ajorBidi" w:hAnsiTheme="majorBidi" w:cstheme="majorBidi"/>
          <w:b/>
          <w:szCs w:val="24"/>
        </w:rPr>
      </w:pPr>
      <w:r w:rsidRPr="006A73DD">
        <w:rPr>
          <w:rFonts w:asciiTheme="majorBidi" w:hAnsiTheme="majorBidi" w:cstheme="majorBidi"/>
          <w:b/>
          <w:szCs w:val="24"/>
        </w:rPr>
        <w:t xml:space="preserve">Conclusion: persistent and uneven </w:t>
      </w:r>
      <w:proofErr w:type="spellStart"/>
      <w:r w:rsidRPr="006A73DD">
        <w:rPr>
          <w:rFonts w:asciiTheme="majorBidi" w:hAnsiTheme="majorBidi" w:cstheme="majorBidi"/>
          <w:b/>
          <w:szCs w:val="24"/>
        </w:rPr>
        <w:t>t</w:t>
      </w:r>
      <w:r w:rsidR="00AB15C4" w:rsidRPr="006A73DD">
        <w:rPr>
          <w:rFonts w:asciiTheme="majorBidi" w:hAnsiTheme="majorBidi" w:cstheme="majorBidi"/>
          <w:b/>
          <w:szCs w:val="24"/>
        </w:rPr>
        <w:t>ripartism</w:t>
      </w:r>
      <w:proofErr w:type="spellEnd"/>
    </w:p>
    <w:p w:rsidR="00E173A1" w:rsidRPr="006A73DD" w:rsidRDefault="00AB15C4" w:rsidP="0096219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ajorBidi" w:hAnsiTheme="majorBidi" w:cstheme="majorBidi"/>
          <w:szCs w:val="24"/>
        </w:rPr>
      </w:pPr>
      <w:r w:rsidRPr="006A73DD">
        <w:rPr>
          <w:rFonts w:asciiTheme="majorBidi" w:hAnsiTheme="majorBidi" w:cstheme="majorBidi"/>
          <w:szCs w:val="24"/>
        </w:rPr>
        <w:t>A common theme across the pa</w:t>
      </w:r>
      <w:r w:rsidR="0019714B" w:rsidRPr="006A73DD">
        <w:rPr>
          <w:rFonts w:asciiTheme="majorBidi" w:hAnsiTheme="majorBidi" w:cstheme="majorBidi"/>
          <w:szCs w:val="24"/>
        </w:rPr>
        <w:t>pers in this collection is that</w:t>
      </w:r>
      <w:r w:rsidRPr="006A73DD">
        <w:rPr>
          <w:rFonts w:asciiTheme="majorBidi" w:hAnsiTheme="majorBidi" w:cstheme="majorBidi"/>
          <w:szCs w:val="24"/>
        </w:rPr>
        <w:t xml:space="preserve"> whilst ambitious neo-corporatist deal making may be difficult to replicat</w:t>
      </w:r>
      <w:r w:rsidR="0019714B" w:rsidRPr="006A73DD">
        <w:rPr>
          <w:rFonts w:asciiTheme="majorBidi" w:hAnsiTheme="majorBidi" w:cstheme="majorBidi"/>
          <w:szCs w:val="24"/>
        </w:rPr>
        <w:t xml:space="preserve">e, </w:t>
      </w:r>
      <w:proofErr w:type="spellStart"/>
      <w:r w:rsidR="0019714B" w:rsidRPr="006A73DD">
        <w:rPr>
          <w:rFonts w:asciiTheme="majorBidi" w:hAnsiTheme="majorBidi" w:cstheme="majorBidi"/>
          <w:szCs w:val="24"/>
        </w:rPr>
        <w:t>tripartism</w:t>
      </w:r>
      <w:proofErr w:type="spellEnd"/>
      <w:r w:rsidR="0019714B" w:rsidRPr="006A73DD">
        <w:rPr>
          <w:rFonts w:asciiTheme="majorBidi" w:hAnsiTheme="majorBidi" w:cstheme="majorBidi"/>
          <w:szCs w:val="24"/>
        </w:rPr>
        <w:t xml:space="preserve"> remain</w:t>
      </w:r>
      <w:r w:rsidRPr="006A73DD">
        <w:rPr>
          <w:rFonts w:asciiTheme="majorBidi" w:hAnsiTheme="majorBidi" w:cstheme="majorBidi"/>
          <w:szCs w:val="24"/>
        </w:rPr>
        <w:t xml:space="preserve">s possible and, indeed, tripartite experiments </w:t>
      </w:r>
      <w:r w:rsidR="00DC236A" w:rsidRPr="006A73DD">
        <w:rPr>
          <w:rFonts w:asciiTheme="majorBidi" w:hAnsiTheme="majorBidi" w:cstheme="majorBidi"/>
          <w:szCs w:val="24"/>
        </w:rPr>
        <w:t xml:space="preserve">continue </w:t>
      </w:r>
      <w:r w:rsidRPr="006A73DD">
        <w:rPr>
          <w:rFonts w:asciiTheme="majorBidi" w:hAnsiTheme="majorBidi" w:cstheme="majorBidi"/>
          <w:szCs w:val="24"/>
        </w:rPr>
        <w:t xml:space="preserve">regularly </w:t>
      </w:r>
      <w:r w:rsidR="00DC236A" w:rsidRPr="006A73DD">
        <w:rPr>
          <w:rFonts w:asciiTheme="majorBidi" w:hAnsiTheme="majorBidi" w:cstheme="majorBidi"/>
          <w:szCs w:val="24"/>
        </w:rPr>
        <w:t xml:space="preserve">to </w:t>
      </w:r>
      <w:r w:rsidRPr="006A73DD">
        <w:rPr>
          <w:rFonts w:asciiTheme="majorBidi" w:hAnsiTheme="majorBidi" w:cstheme="majorBidi"/>
          <w:szCs w:val="24"/>
        </w:rPr>
        <w:t>manifest themselves in a wide range of different settings</w:t>
      </w:r>
      <w:r w:rsidR="00DC236A" w:rsidRPr="006A73DD">
        <w:rPr>
          <w:rFonts w:asciiTheme="majorBidi" w:hAnsiTheme="majorBidi" w:cstheme="majorBidi"/>
          <w:szCs w:val="24"/>
        </w:rPr>
        <w:t xml:space="preserve">, a phenomenon that has been particularly evident outside of the better-known cases in European countries. </w:t>
      </w:r>
      <w:r w:rsidRPr="006A73DD">
        <w:rPr>
          <w:rFonts w:asciiTheme="majorBidi" w:hAnsiTheme="majorBidi" w:cstheme="majorBidi"/>
          <w:szCs w:val="24"/>
        </w:rPr>
        <w:t xml:space="preserve"> This reflects a second feature of </w:t>
      </w:r>
      <w:proofErr w:type="spellStart"/>
      <w:r w:rsidRPr="006A73DD">
        <w:rPr>
          <w:rFonts w:asciiTheme="majorBidi" w:hAnsiTheme="majorBidi" w:cstheme="majorBidi"/>
          <w:szCs w:val="24"/>
        </w:rPr>
        <w:t>tripartism</w:t>
      </w:r>
      <w:proofErr w:type="spellEnd"/>
      <w:r w:rsidRPr="006A73DD">
        <w:rPr>
          <w:rFonts w:asciiTheme="majorBidi" w:hAnsiTheme="majorBidi" w:cstheme="majorBidi"/>
          <w:szCs w:val="24"/>
        </w:rPr>
        <w:t xml:space="preserve"> highlighted in the collection: tripartite deals </w:t>
      </w:r>
      <w:r w:rsidR="00DC236A" w:rsidRPr="006A73DD">
        <w:rPr>
          <w:rFonts w:asciiTheme="majorBidi" w:hAnsiTheme="majorBidi" w:cstheme="majorBidi"/>
          <w:szCs w:val="24"/>
        </w:rPr>
        <w:t>have varied</w:t>
      </w:r>
      <w:r w:rsidRPr="006A73DD">
        <w:rPr>
          <w:rFonts w:asciiTheme="majorBidi" w:hAnsiTheme="majorBidi" w:cstheme="majorBidi"/>
          <w:szCs w:val="24"/>
        </w:rPr>
        <w:t xml:space="preserve"> greatly in content, scope and durability according to </w:t>
      </w:r>
      <w:r w:rsidR="00DC236A" w:rsidRPr="006A73DD">
        <w:rPr>
          <w:rFonts w:asciiTheme="majorBidi" w:hAnsiTheme="majorBidi" w:cstheme="majorBidi"/>
          <w:szCs w:val="24"/>
        </w:rPr>
        <w:t xml:space="preserve">historical </w:t>
      </w:r>
      <w:r w:rsidR="00CD7503" w:rsidRPr="006A73DD">
        <w:rPr>
          <w:rFonts w:asciiTheme="majorBidi" w:hAnsiTheme="majorBidi" w:cstheme="majorBidi"/>
          <w:szCs w:val="24"/>
        </w:rPr>
        <w:t xml:space="preserve">and indeed national </w:t>
      </w:r>
      <w:r w:rsidRPr="006A73DD">
        <w:rPr>
          <w:rFonts w:asciiTheme="majorBidi" w:hAnsiTheme="majorBidi" w:cstheme="majorBidi"/>
          <w:szCs w:val="24"/>
        </w:rPr>
        <w:t xml:space="preserve">circumstances. </w:t>
      </w:r>
      <w:r w:rsidR="00DC236A" w:rsidRPr="006A73DD">
        <w:rPr>
          <w:rFonts w:asciiTheme="majorBidi" w:hAnsiTheme="majorBidi" w:cstheme="majorBidi"/>
          <w:szCs w:val="24"/>
        </w:rPr>
        <w:t xml:space="preserve"> </w:t>
      </w:r>
      <w:r w:rsidRPr="006A73DD">
        <w:rPr>
          <w:rFonts w:asciiTheme="majorBidi" w:hAnsiTheme="majorBidi" w:cstheme="majorBidi"/>
          <w:szCs w:val="24"/>
        </w:rPr>
        <w:t>In the case of Singapore, the relative policy auton</w:t>
      </w:r>
      <w:r w:rsidR="00661793" w:rsidRPr="006A73DD">
        <w:rPr>
          <w:rFonts w:asciiTheme="majorBidi" w:hAnsiTheme="majorBidi" w:cstheme="majorBidi"/>
          <w:szCs w:val="24"/>
        </w:rPr>
        <w:t>omy of national government vis-à</w:t>
      </w:r>
      <w:r w:rsidRPr="006A73DD">
        <w:rPr>
          <w:rFonts w:asciiTheme="majorBidi" w:hAnsiTheme="majorBidi" w:cstheme="majorBidi"/>
          <w:szCs w:val="24"/>
        </w:rPr>
        <w:t>-vis ext</w:t>
      </w:r>
      <w:r w:rsidR="00E203BD" w:rsidRPr="006A73DD">
        <w:rPr>
          <w:rFonts w:asciiTheme="majorBidi" w:hAnsiTheme="majorBidi" w:cstheme="majorBidi"/>
          <w:szCs w:val="24"/>
        </w:rPr>
        <w:t xml:space="preserve">ernal players allowed some scope </w:t>
      </w:r>
      <w:r w:rsidRPr="006A73DD">
        <w:rPr>
          <w:rFonts w:asciiTheme="majorBidi" w:hAnsiTheme="majorBidi" w:cstheme="majorBidi"/>
          <w:szCs w:val="24"/>
        </w:rPr>
        <w:t>for deal</w:t>
      </w:r>
      <w:r w:rsidR="00CD7503" w:rsidRPr="006A73DD">
        <w:rPr>
          <w:rFonts w:asciiTheme="majorBidi" w:hAnsiTheme="majorBidi" w:cstheme="majorBidi"/>
          <w:szCs w:val="24"/>
        </w:rPr>
        <w:t>-</w:t>
      </w:r>
      <w:r w:rsidRPr="006A73DD">
        <w:rPr>
          <w:rFonts w:asciiTheme="majorBidi" w:hAnsiTheme="majorBidi" w:cstheme="majorBidi"/>
          <w:szCs w:val="24"/>
        </w:rPr>
        <w:t>making with the aim of helping secure</w:t>
      </w:r>
      <w:r w:rsidR="00E203BD" w:rsidRPr="006A73DD">
        <w:rPr>
          <w:rFonts w:asciiTheme="majorBidi" w:hAnsiTheme="majorBidi" w:cstheme="majorBidi"/>
          <w:szCs w:val="24"/>
        </w:rPr>
        <w:t xml:space="preserve"> the</w:t>
      </w:r>
      <w:r w:rsidRPr="006A73DD">
        <w:rPr>
          <w:rFonts w:asciiTheme="majorBidi" w:hAnsiTheme="majorBidi" w:cstheme="majorBidi"/>
          <w:szCs w:val="24"/>
        </w:rPr>
        <w:t xml:space="preserve"> national policy objectives </w:t>
      </w:r>
      <w:r w:rsidRPr="006A73DD">
        <w:rPr>
          <w:rFonts w:asciiTheme="majorBidi" w:hAnsiTheme="majorBidi" w:cstheme="majorBidi"/>
          <w:szCs w:val="24"/>
        </w:rPr>
        <w:lastRenderedPageBreak/>
        <w:t xml:space="preserve">of political and economic sustainability. In the case of </w:t>
      </w:r>
      <w:r w:rsidR="00661793" w:rsidRPr="006A73DD">
        <w:rPr>
          <w:rFonts w:asciiTheme="majorBidi" w:hAnsiTheme="majorBidi" w:cstheme="majorBidi"/>
          <w:szCs w:val="24"/>
        </w:rPr>
        <w:t xml:space="preserve">the countries of </w:t>
      </w:r>
      <w:r w:rsidRPr="006A73DD">
        <w:rPr>
          <w:rFonts w:asciiTheme="majorBidi" w:hAnsiTheme="majorBidi" w:cstheme="majorBidi"/>
          <w:szCs w:val="24"/>
        </w:rPr>
        <w:t>South</w:t>
      </w:r>
      <w:r w:rsidR="00661793" w:rsidRPr="006A73DD">
        <w:rPr>
          <w:rFonts w:asciiTheme="majorBidi" w:hAnsiTheme="majorBidi" w:cstheme="majorBidi"/>
          <w:szCs w:val="24"/>
        </w:rPr>
        <w:t>ern</w:t>
      </w:r>
      <w:r w:rsidR="00CD7503" w:rsidRPr="006A73DD">
        <w:rPr>
          <w:rFonts w:asciiTheme="majorBidi" w:hAnsiTheme="majorBidi" w:cstheme="majorBidi"/>
          <w:szCs w:val="24"/>
        </w:rPr>
        <w:t xml:space="preserve"> Africa,</w:t>
      </w:r>
      <w:r w:rsidRPr="006A73DD">
        <w:rPr>
          <w:rFonts w:asciiTheme="majorBidi" w:hAnsiTheme="majorBidi" w:cstheme="majorBidi"/>
          <w:szCs w:val="24"/>
        </w:rPr>
        <w:t xml:space="preserve"> strong pressures </w:t>
      </w:r>
      <w:r w:rsidR="00CD7503" w:rsidRPr="006A73DD">
        <w:rPr>
          <w:rFonts w:asciiTheme="majorBidi" w:hAnsiTheme="majorBidi" w:cstheme="majorBidi"/>
          <w:szCs w:val="24"/>
        </w:rPr>
        <w:t xml:space="preserve">militated </w:t>
      </w:r>
      <w:r w:rsidRPr="006A73DD">
        <w:rPr>
          <w:rFonts w:asciiTheme="majorBidi" w:hAnsiTheme="majorBidi" w:cstheme="majorBidi"/>
          <w:szCs w:val="24"/>
        </w:rPr>
        <w:t>towards deal making at a time when the transition to democracy was uncertain and fragile, but an aggressive counter-movement by employers and their alli</w:t>
      </w:r>
      <w:r w:rsidR="00CD7503" w:rsidRPr="006A73DD">
        <w:rPr>
          <w:rFonts w:asciiTheme="majorBidi" w:hAnsiTheme="majorBidi" w:cstheme="majorBidi"/>
          <w:szCs w:val="24"/>
        </w:rPr>
        <w:t>es in government</w:t>
      </w:r>
      <w:r w:rsidRPr="006A73DD">
        <w:rPr>
          <w:rFonts w:asciiTheme="majorBidi" w:hAnsiTheme="majorBidi" w:cstheme="majorBidi"/>
          <w:szCs w:val="24"/>
        </w:rPr>
        <w:t xml:space="preserve"> </w:t>
      </w:r>
      <w:r w:rsidR="00661793" w:rsidRPr="006A73DD">
        <w:rPr>
          <w:rFonts w:asciiTheme="majorBidi" w:hAnsiTheme="majorBidi" w:cstheme="majorBidi"/>
          <w:szCs w:val="24"/>
        </w:rPr>
        <w:t xml:space="preserve">occurred once </w:t>
      </w:r>
      <w:r w:rsidRPr="006A73DD">
        <w:rPr>
          <w:rFonts w:asciiTheme="majorBidi" w:hAnsiTheme="majorBidi" w:cstheme="majorBidi"/>
          <w:szCs w:val="24"/>
        </w:rPr>
        <w:t>stabi</w:t>
      </w:r>
      <w:r w:rsidR="00661793" w:rsidRPr="006A73DD">
        <w:rPr>
          <w:rFonts w:asciiTheme="majorBidi" w:hAnsiTheme="majorBidi" w:cstheme="majorBidi"/>
          <w:szCs w:val="24"/>
        </w:rPr>
        <w:t xml:space="preserve">lity had been secured.  </w:t>
      </w:r>
    </w:p>
    <w:p w:rsidR="006B26F9" w:rsidRPr="006A73DD" w:rsidRDefault="006B26F9" w:rsidP="0096219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ajorBidi" w:hAnsiTheme="majorBidi" w:cstheme="majorBidi"/>
          <w:szCs w:val="24"/>
        </w:rPr>
      </w:pPr>
    </w:p>
    <w:p w:rsidR="0019714B" w:rsidRPr="006A73DD" w:rsidRDefault="00661793" w:rsidP="0096219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ajorBidi" w:hAnsiTheme="majorBidi" w:cstheme="majorBidi"/>
          <w:szCs w:val="24"/>
        </w:rPr>
      </w:pPr>
      <w:r w:rsidRPr="006A73DD">
        <w:rPr>
          <w:rFonts w:asciiTheme="majorBidi" w:hAnsiTheme="majorBidi" w:cstheme="majorBidi"/>
          <w:szCs w:val="24"/>
        </w:rPr>
        <w:t>T</w:t>
      </w:r>
      <w:r w:rsidR="00AB15C4" w:rsidRPr="006A73DD">
        <w:rPr>
          <w:rFonts w:asciiTheme="majorBidi" w:hAnsiTheme="majorBidi" w:cstheme="majorBidi"/>
          <w:szCs w:val="24"/>
        </w:rPr>
        <w:t>he prospects of trip</w:t>
      </w:r>
      <w:r w:rsidR="006B26F9" w:rsidRPr="006A73DD">
        <w:rPr>
          <w:rFonts w:asciiTheme="majorBidi" w:hAnsiTheme="majorBidi" w:cstheme="majorBidi"/>
          <w:szCs w:val="24"/>
        </w:rPr>
        <w:t>artite deal-</w:t>
      </w:r>
      <w:r w:rsidR="00CD7503" w:rsidRPr="006A73DD">
        <w:rPr>
          <w:rFonts w:asciiTheme="majorBidi" w:hAnsiTheme="majorBidi" w:cstheme="majorBidi"/>
          <w:szCs w:val="24"/>
        </w:rPr>
        <w:t>making are</w:t>
      </w:r>
      <w:r w:rsidR="00B61CBB" w:rsidRPr="006A73DD">
        <w:rPr>
          <w:rFonts w:asciiTheme="majorBidi" w:hAnsiTheme="majorBidi" w:cstheme="majorBidi"/>
          <w:szCs w:val="24"/>
        </w:rPr>
        <w:t xml:space="preserve"> shaped by powerful international forces.   However, i</w:t>
      </w:r>
      <w:r w:rsidR="00AB15C4" w:rsidRPr="006A73DD">
        <w:rPr>
          <w:rFonts w:asciiTheme="majorBidi" w:hAnsiTheme="majorBidi" w:cstheme="majorBidi"/>
          <w:szCs w:val="24"/>
        </w:rPr>
        <w:t xml:space="preserve">t </w:t>
      </w:r>
      <w:r w:rsidR="0019714B" w:rsidRPr="006A73DD">
        <w:rPr>
          <w:rFonts w:asciiTheme="majorBidi" w:hAnsiTheme="majorBidi" w:cstheme="majorBidi"/>
          <w:szCs w:val="24"/>
        </w:rPr>
        <w:t>is possible to over-estimate</w:t>
      </w:r>
      <w:r w:rsidR="00AB15C4" w:rsidRPr="006A73DD">
        <w:rPr>
          <w:rFonts w:asciiTheme="majorBidi" w:hAnsiTheme="majorBidi" w:cstheme="majorBidi"/>
          <w:szCs w:val="24"/>
        </w:rPr>
        <w:t xml:space="preserve"> the power of international financial institutions and MNEs, and under-estimate the need for supra-national legitimacy and stability. Whilst by no means a rare feature of social life, the economically beneficial effects of social instab</w:t>
      </w:r>
      <w:r w:rsidRPr="006A73DD">
        <w:rPr>
          <w:rFonts w:asciiTheme="majorBidi" w:hAnsiTheme="majorBidi" w:cstheme="majorBidi"/>
          <w:szCs w:val="24"/>
        </w:rPr>
        <w:t xml:space="preserve">ility and war are </w:t>
      </w:r>
      <w:r w:rsidR="0019714B" w:rsidRPr="006A73DD">
        <w:rPr>
          <w:rFonts w:asciiTheme="majorBidi" w:hAnsiTheme="majorBidi" w:cstheme="majorBidi"/>
          <w:szCs w:val="24"/>
        </w:rPr>
        <w:t>restric</w:t>
      </w:r>
      <w:r w:rsidR="00AB15C4" w:rsidRPr="006A73DD">
        <w:rPr>
          <w:rFonts w:asciiTheme="majorBidi" w:hAnsiTheme="majorBidi" w:cstheme="majorBidi"/>
          <w:szCs w:val="24"/>
        </w:rPr>
        <w:t>ted</w:t>
      </w:r>
      <w:r w:rsidR="00F660BD">
        <w:rPr>
          <w:rFonts w:asciiTheme="majorBidi" w:hAnsiTheme="majorBidi" w:cstheme="majorBidi"/>
          <w:szCs w:val="24"/>
        </w:rPr>
        <w:t xml:space="preserve"> to tiny é</w:t>
      </w:r>
      <w:r w:rsidR="00CD7503" w:rsidRPr="006A73DD">
        <w:rPr>
          <w:rFonts w:asciiTheme="majorBidi" w:hAnsiTheme="majorBidi" w:cstheme="majorBidi"/>
          <w:szCs w:val="24"/>
        </w:rPr>
        <w:t xml:space="preserve">lite </w:t>
      </w:r>
      <w:r w:rsidR="00050FFA" w:rsidRPr="006A73DD">
        <w:rPr>
          <w:rFonts w:asciiTheme="majorBidi" w:hAnsiTheme="majorBidi" w:cstheme="majorBidi"/>
          <w:szCs w:val="24"/>
        </w:rPr>
        <w:t>factions</w:t>
      </w:r>
      <w:r w:rsidR="00AB15C4" w:rsidRPr="006A73DD">
        <w:rPr>
          <w:rFonts w:asciiTheme="majorBidi" w:hAnsiTheme="majorBidi" w:cstheme="majorBidi"/>
          <w:szCs w:val="24"/>
        </w:rPr>
        <w:t>, giving many business interests an</w:t>
      </w:r>
      <w:r w:rsidRPr="006A73DD">
        <w:rPr>
          <w:rFonts w:asciiTheme="majorBidi" w:hAnsiTheme="majorBidi" w:cstheme="majorBidi"/>
          <w:szCs w:val="24"/>
        </w:rPr>
        <w:t>d other societal actors a real</w:t>
      </w:r>
      <w:r w:rsidR="00AB15C4" w:rsidRPr="006A73DD">
        <w:rPr>
          <w:rFonts w:asciiTheme="majorBidi" w:hAnsiTheme="majorBidi" w:cstheme="majorBidi"/>
          <w:szCs w:val="24"/>
        </w:rPr>
        <w:t xml:space="preserve"> interest in alternatives.</w:t>
      </w:r>
    </w:p>
    <w:p w:rsidR="00AB15C4" w:rsidRPr="006A73DD" w:rsidRDefault="0019714B" w:rsidP="0096219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ajorBidi" w:hAnsiTheme="majorBidi" w:cstheme="majorBidi"/>
          <w:szCs w:val="24"/>
        </w:rPr>
      </w:pPr>
      <w:r w:rsidRPr="006A73DD">
        <w:rPr>
          <w:rFonts w:asciiTheme="majorBidi" w:hAnsiTheme="majorBidi" w:cstheme="majorBidi"/>
          <w:szCs w:val="24"/>
        </w:rPr>
        <w:t xml:space="preserve">Thus, we argue that although </w:t>
      </w:r>
      <w:proofErr w:type="spellStart"/>
      <w:r w:rsidRPr="006A73DD">
        <w:rPr>
          <w:rFonts w:asciiTheme="majorBidi" w:hAnsiTheme="majorBidi" w:cstheme="majorBidi"/>
          <w:szCs w:val="24"/>
        </w:rPr>
        <w:t>tripartism’s</w:t>
      </w:r>
      <w:proofErr w:type="spellEnd"/>
      <w:r w:rsidRPr="006A73DD">
        <w:rPr>
          <w:rFonts w:asciiTheme="majorBidi" w:hAnsiTheme="majorBidi" w:cstheme="majorBidi"/>
          <w:szCs w:val="24"/>
        </w:rPr>
        <w:t xml:space="preserve"> heyday is clearly past, it remains a viable option and its history is therefore relevant </w:t>
      </w:r>
      <w:r w:rsidR="00B61CBB" w:rsidRPr="006A73DD">
        <w:rPr>
          <w:rFonts w:asciiTheme="majorBidi" w:hAnsiTheme="majorBidi" w:cstheme="majorBidi"/>
          <w:szCs w:val="24"/>
        </w:rPr>
        <w:t xml:space="preserve">both as a significant historic manifestation of social compromise and </w:t>
      </w:r>
      <w:r w:rsidRPr="006A73DD">
        <w:rPr>
          <w:rFonts w:asciiTheme="majorBidi" w:hAnsiTheme="majorBidi" w:cstheme="majorBidi"/>
          <w:szCs w:val="24"/>
        </w:rPr>
        <w:t xml:space="preserve">as a massive </w:t>
      </w:r>
      <w:r w:rsidR="00B61CBB" w:rsidRPr="006A73DD">
        <w:rPr>
          <w:rFonts w:asciiTheme="majorBidi" w:hAnsiTheme="majorBidi" w:cstheme="majorBidi"/>
          <w:szCs w:val="24"/>
        </w:rPr>
        <w:t xml:space="preserve">and diverse </w:t>
      </w:r>
      <w:r w:rsidRPr="006A73DD">
        <w:rPr>
          <w:rFonts w:asciiTheme="majorBidi" w:hAnsiTheme="majorBidi" w:cstheme="majorBidi"/>
          <w:szCs w:val="24"/>
        </w:rPr>
        <w:t>repository of exp</w:t>
      </w:r>
      <w:r w:rsidR="00B61CBB" w:rsidRPr="006A73DD">
        <w:rPr>
          <w:rFonts w:asciiTheme="majorBidi" w:hAnsiTheme="majorBidi" w:cstheme="majorBidi"/>
          <w:szCs w:val="24"/>
        </w:rPr>
        <w:t>erience</w:t>
      </w:r>
      <w:r w:rsidRPr="006A73DD">
        <w:rPr>
          <w:rFonts w:asciiTheme="majorBidi" w:hAnsiTheme="majorBidi" w:cstheme="majorBidi"/>
          <w:szCs w:val="24"/>
        </w:rPr>
        <w:t xml:space="preserve">.  </w:t>
      </w:r>
      <w:r w:rsidR="00CD7503" w:rsidRPr="006A73DD">
        <w:rPr>
          <w:rFonts w:asciiTheme="majorBidi" w:hAnsiTheme="majorBidi" w:cstheme="majorBidi"/>
          <w:szCs w:val="24"/>
        </w:rPr>
        <w:t>Whilst, as we</w:t>
      </w:r>
      <w:r w:rsidR="00B61CBB" w:rsidRPr="006A73DD">
        <w:rPr>
          <w:rFonts w:asciiTheme="majorBidi" w:hAnsiTheme="majorBidi" w:cstheme="majorBidi"/>
          <w:szCs w:val="24"/>
        </w:rPr>
        <w:t xml:space="preserve"> </w:t>
      </w:r>
      <w:r w:rsidR="007316F4">
        <w:rPr>
          <w:rFonts w:asciiTheme="majorBidi" w:hAnsiTheme="majorBidi" w:cstheme="majorBidi"/>
          <w:szCs w:val="24"/>
        </w:rPr>
        <w:t xml:space="preserve">and </w:t>
      </w:r>
      <w:r w:rsidR="004C5993" w:rsidRPr="006A73DD">
        <w:rPr>
          <w:rFonts w:asciiTheme="majorBidi" w:hAnsiTheme="majorBidi" w:cstheme="majorBidi"/>
          <w:szCs w:val="24"/>
        </w:rPr>
        <w:t xml:space="preserve">our contributors have argued, lacunae </w:t>
      </w:r>
      <w:r w:rsidR="00B61CBB" w:rsidRPr="006A73DD">
        <w:rPr>
          <w:rFonts w:asciiTheme="majorBidi" w:hAnsiTheme="majorBidi" w:cstheme="majorBidi"/>
          <w:szCs w:val="24"/>
        </w:rPr>
        <w:t xml:space="preserve">undoubtedly </w:t>
      </w:r>
      <w:r w:rsidR="004C5993" w:rsidRPr="006A73DD">
        <w:rPr>
          <w:rFonts w:asciiTheme="majorBidi" w:hAnsiTheme="majorBidi" w:cstheme="majorBidi"/>
          <w:szCs w:val="24"/>
        </w:rPr>
        <w:t>remain, the contributions in this special edition constitute a considerable step forward in enlarging the stock of historical knowledge</w:t>
      </w:r>
      <w:r w:rsidR="00B61CBB" w:rsidRPr="006A73DD">
        <w:rPr>
          <w:rFonts w:asciiTheme="majorBidi" w:hAnsiTheme="majorBidi" w:cstheme="majorBidi"/>
          <w:szCs w:val="24"/>
        </w:rPr>
        <w:t xml:space="preserve"> on which actors may draw</w:t>
      </w:r>
      <w:r w:rsidR="004C5993" w:rsidRPr="006A73DD">
        <w:rPr>
          <w:rFonts w:asciiTheme="majorBidi" w:hAnsiTheme="majorBidi" w:cstheme="majorBidi"/>
          <w:szCs w:val="24"/>
        </w:rPr>
        <w:t xml:space="preserve">.  </w:t>
      </w:r>
      <w:r w:rsidRPr="006A73DD">
        <w:rPr>
          <w:rFonts w:asciiTheme="majorBidi" w:hAnsiTheme="majorBidi" w:cstheme="majorBidi"/>
          <w:szCs w:val="24"/>
        </w:rPr>
        <w:t xml:space="preserve">  </w:t>
      </w:r>
      <w:r w:rsidR="00CD7503" w:rsidRPr="006A73DD">
        <w:rPr>
          <w:rFonts w:asciiTheme="majorBidi" w:hAnsiTheme="majorBidi" w:cstheme="majorBidi"/>
          <w:szCs w:val="24"/>
        </w:rPr>
        <w:t xml:space="preserve">As in relation to previous epochs, </w:t>
      </w:r>
      <w:r w:rsidR="00DB139E" w:rsidRPr="006A73DD">
        <w:rPr>
          <w:rFonts w:asciiTheme="majorBidi" w:hAnsiTheme="majorBidi" w:cstheme="majorBidi"/>
          <w:szCs w:val="24"/>
        </w:rPr>
        <w:t xml:space="preserve">a very real risk </w:t>
      </w:r>
      <w:r w:rsidR="00CD7503" w:rsidRPr="006A73DD">
        <w:rPr>
          <w:rFonts w:asciiTheme="majorBidi" w:hAnsiTheme="majorBidi" w:cstheme="majorBidi"/>
          <w:szCs w:val="24"/>
        </w:rPr>
        <w:t>exists of imparting a</w:t>
      </w:r>
      <w:r w:rsidR="00DB139E" w:rsidRPr="006A73DD">
        <w:rPr>
          <w:rFonts w:asciiTheme="majorBidi" w:hAnsiTheme="majorBidi" w:cstheme="majorBidi"/>
          <w:szCs w:val="24"/>
        </w:rPr>
        <w:t xml:space="preserve"> determinist analysis to the present </w:t>
      </w:r>
      <w:r w:rsidR="00CD7503" w:rsidRPr="006A73DD">
        <w:rPr>
          <w:rFonts w:asciiTheme="majorBidi" w:hAnsiTheme="majorBidi" w:cstheme="majorBidi"/>
          <w:szCs w:val="24"/>
        </w:rPr>
        <w:t>and apparently endless</w:t>
      </w:r>
      <w:r w:rsidR="00DB139E" w:rsidRPr="006A73DD">
        <w:rPr>
          <w:rFonts w:asciiTheme="majorBidi" w:hAnsiTheme="majorBidi" w:cstheme="majorBidi"/>
          <w:szCs w:val="24"/>
        </w:rPr>
        <w:t xml:space="preserve"> economic crisis</w:t>
      </w:r>
      <w:r w:rsidR="00CD7503" w:rsidRPr="006A73DD">
        <w:rPr>
          <w:rFonts w:asciiTheme="majorBidi" w:hAnsiTheme="majorBidi" w:cstheme="majorBidi"/>
          <w:szCs w:val="24"/>
        </w:rPr>
        <w:t>.  Whilst neo-liberalism may have</w:t>
      </w:r>
      <w:r w:rsidR="00DB139E" w:rsidRPr="006A73DD">
        <w:rPr>
          <w:rFonts w:asciiTheme="majorBidi" w:hAnsiTheme="majorBidi" w:cstheme="majorBidi"/>
          <w:szCs w:val="24"/>
        </w:rPr>
        <w:t xml:space="preserve"> proved remarkably durable, its difficulties with economi</w:t>
      </w:r>
      <w:r w:rsidR="00E727E9" w:rsidRPr="006A73DD">
        <w:rPr>
          <w:rFonts w:asciiTheme="majorBidi" w:hAnsiTheme="majorBidi" w:cstheme="majorBidi"/>
          <w:szCs w:val="24"/>
        </w:rPr>
        <w:t>c realities notwithstanding (as</w:t>
      </w:r>
      <w:r w:rsidR="00DB139E" w:rsidRPr="006A73DD">
        <w:rPr>
          <w:rFonts w:asciiTheme="majorBidi" w:hAnsiTheme="majorBidi" w:cstheme="majorBidi"/>
          <w:szCs w:val="24"/>
        </w:rPr>
        <w:t xml:space="preserve"> it is</w:t>
      </w:r>
      <w:r w:rsidR="00E727E9" w:rsidRPr="006A73DD">
        <w:rPr>
          <w:rFonts w:asciiTheme="majorBidi" w:hAnsiTheme="majorBidi" w:cstheme="majorBidi"/>
          <w:szCs w:val="24"/>
        </w:rPr>
        <w:t>,</w:t>
      </w:r>
      <w:r w:rsidR="00A434D4" w:rsidRPr="006A73DD">
        <w:rPr>
          <w:rFonts w:asciiTheme="majorBidi" w:hAnsiTheme="majorBidi" w:cstheme="majorBidi"/>
          <w:szCs w:val="24"/>
        </w:rPr>
        <w:t xml:space="preserve"> after </w:t>
      </w:r>
      <w:r w:rsidR="00DB139E" w:rsidRPr="006A73DD">
        <w:rPr>
          <w:rFonts w:asciiTheme="majorBidi" w:hAnsiTheme="majorBidi" w:cstheme="majorBidi"/>
          <w:szCs w:val="24"/>
        </w:rPr>
        <w:t>all, primarily a vehicle for elite enrichment), this does not mean that the public space for debating new ideas, or the possibility for political action</w:t>
      </w:r>
      <w:r w:rsidR="00461C00" w:rsidRPr="006A73DD">
        <w:rPr>
          <w:rFonts w:asciiTheme="majorBidi" w:hAnsiTheme="majorBidi" w:cstheme="majorBidi"/>
          <w:szCs w:val="24"/>
        </w:rPr>
        <w:t xml:space="preserve"> and the adoption of meaningful alternatives</w:t>
      </w:r>
      <w:r w:rsidR="00CD7503" w:rsidRPr="006A73DD">
        <w:rPr>
          <w:rFonts w:asciiTheme="majorBidi" w:hAnsiTheme="majorBidi" w:cstheme="majorBidi"/>
          <w:szCs w:val="24"/>
        </w:rPr>
        <w:t>, is absent</w:t>
      </w:r>
      <w:r w:rsidR="00DB139E" w:rsidRPr="006A73DD">
        <w:rPr>
          <w:rFonts w:asciiTheme="majorBidi" w:hAnsiTheme="majorBidi" w:cstheme="majorBidi"/>
          <w:szCs w:val="24"/>
        </w:rPr>
        <w:t xml:space="preserve">. </w:t>
      </w:r>
      <w:r w:rsidR="00A434D4" w:rsidRPr="006A73DD">
        <w:rPr>
          <w:rFonts w:asciiTheme="majorBidi" w:hAnsiTheme="majorBidi" w:cstheme="majorBidi"/>
          <w:szCs w:val="24"/>
        </w:rPr>
        <w:t>A</w:t>
      </w:r>
      <w:r w:rsidR="00CA7BF9" w:rsidRPr="006A73DD">
        <w:rPr>
          <w:rFonts w:asciiTheme="majorBidi" w:hAnsiTheme="majorBidi" w:cstheme="majorBidi"/>
          <w:szCs w:val="24"/>
        </w:rPr>
        <w:t xml:space="preserve">s the experience of different forms of </w:t>
      </w:r>
      <w:proofErr w:type="spellStart"/>
      <w:r w:rsidR="00CD7503" w:rsidRPr="006A73DD">
        <w:rPr>
          <w:rFonts w:asciiTheme="majorBidi" w:hAnsiTheme="majorBidi" w:cstheme="majorBidi"/>
          <w:szCs w:val="24"/>
        </w:rPr>
        <w:t>tripartism</w:t>
      </w:r>
      <w:proofErr w:type="spellEnd"/>
      <w:r w:rsidR="00CD7503" w:rsidRPr="006A73DD">
        <w:rPr>
          <w:rFonts w:asciiTheme="majorBidi" w:hAnsiTheme="majorBidi" w:cstheme="majorBidi"/>
          <w:szCs w:val="24"/>
        </w:rPr>
        <w:t xml:space="preserve"> around the world </w:t>
      </w:r>
      <w:r w:rsidR="006B26F9" w:rsidRPr="006A73DD">
        <w:rPr>
          <w:rFonts w:asciiTheme="majorBidi" w:hAnsiTheme="majorBidi" w:cstheme="majorBidi"/>
          <w:szCs w:val="24"/>
        </w:rPr>
        <w:t>demonstrates</w:t>
      </w:r>
      <w:r w:rsidR="00CD7503" w:rsidRPr="006A73DD">
        <w:rPr>
          <w:rFonts w:asciiTheme="majorBidi" w:hAnsiTheme="majorBidi" w:cstheme="majorBidi"/>
          <w:szCs w:val="24"/>
        </w:rPr>
        <w:t>, it remains possible</w:t>
      </w:r>
      <w:r w:rsidR="00CA7BF9" w:rsidRPr="006A73DD">
        <w:rPr>
          <w:rFonts w:asciiTheme="majorBidi" w:hAnsiTheme="majorBidi" w:cstheme="majorBidi"/>
          <w:szCs w:val="24"/>
        </w:rPr>
        <w:t xml:space="preserve"> even in very difficult circumstances,</w:t>
      </w:r>
      <w:r w:rsidR="00CD7503" w:rsidRPr="006A73DD">
        <w:rPr>
          <w:rFonts w:asciiTheme="majorBidi" w:hAnsiTheme="majorBidi" w:cstheme="majorBidi"/>
          <w:szCs w:val="24"/>
        </w:rPr>
        <w:t xml:space="preserve"> to bring about</w:t>
      </w:r>
      <w:r w:rsidR="00CA7BF9" w:rsidRPr="006A73DD">
        <w:rPr>
          <w:rFonts w:asciiTheme="majorBidi" w:hAnsiTheme="majorBidi" w:cstheme="majorBidi"/>
          <w:szCs w:val="24"/>
        </w:rPr>
        <w:t xml:space="preserve"> compro</w:t>
      </w:r>
      <w:r w:rsidR="006325CB" w:rsidRPr="006A73DD">
        <w:rPr>
          <w:rFonts w:asciiTheme="majorBidi" w:hAnsiTheme="majorBidi" w:cstheme="majorBidi"/>
          <w:szCs w:val="24"/>
        </w:rPr>
        <w:t xml:space="preserve">mises that </w:t>
      </w:r>
      <w:r w:rsidR="00CA7BF9" w:rsidRPr="006A73DD">
        <w:rPr>
          <w:rFonts w:asciiTheme="majorBidi" w:hAnsiTheme="majorBidi" w:cstheme="majorBidi"/>
          <w:szCs w:val="24"/>
        </w:rPr>
        <w:t>help secure political and economic sustainability, greater social equity</w:t>
      </w:r>
      <w:r w:rsidR="006325CB" w:rsidRPr="006A73DD">
        <w:rPr>
          <w:rFonts w:asciiTheme="majorBidi" w:hAnsiTheme="majorBidi" w:cstheme="majorBidi"/>
          <w:szCs w:val="24"/>
        </w:rPr>
        <w:t>, and, higher productivity</w:t>
      </w:r>
      <w:r w:rsidR="00CA7BF9" w:rsidRPr="006A73DD">
        <w:rPr>
          <w:rFonts w:asciiTheme="majorBidi" w:hAnsiTheme="majorBidi" w:cstheme="majorBidi"/>
          <w:szCs w:val="24"/>
        </w:rPr>
        <w:t xml:space="preserve"> than might otherwise have seemed possible.</w:t>
      </w:r>
      <w:r w:rsidR="00461C00" w:rsidRPr="006A73DD">
        <w:rPr>
          <w:rFonts w:asciiTheme="majorBidi" w:hAnsiTheme="majorBidi" w:cstheme="majorBidi"/>
          <w:szCs w:val="24"/>
        </w:rPr>
        <w:t xml:space="preserve">  </w:t>
      </w:r>
    </w:p>
    <w:p w:rsidR="00CA7F95" w:rsidRPr="006A73DD" w:rsidRDefault="00CA7F95" w:rsidP="0096219D">
      <w:pPr>
        <w:spacing w:line="480" w:lineRule="auto"/>
        <w:rPr>
          <w:rFonts w:asciiTheme="majorBidi" w:hAnsiTheme="majorBidi" w:cstheme="majorBidi"/>
        </w:rPr>
      </w:pPr>
    </w:p>
    <w:p w:rsidR="00E228B5" w:rsidRPr="006A73DD" w:rsidRDefault="00000727" w:rsidP="00000727">
      <w:pPr>
        <w:rPr>
          <w:rFonts w:asciiTheme="majorBidi" w:hAnsiTheme="majorBidi" w:cstheme="majorBidi"/>
          <w:b/>
        </w:rPr>
      </w:pPr>
      <w:r w:rsidRPr="006A73DD">
        <w:rPr>
          <w:rFonts w:asciiTheme="majorBidi" w:hAnsiTheme="majorBidi" w:cstheme="majorBidi"/>
          <w:b/>
        </w:rPr>
        <w:br w:type="page"/>
      </w:r>
    </w:p>
    <w:p w:rsidR="00F92589" w:rsidRPr="006A73DD" w:rsidRDefault="00F92589" w:rsidP="00004D9A">
      <w:pPr>
        <w:suppressAutoHyphens/>
        <w:spacing w:after="240" w:line="480" w:lineRule="auto"/>
        <w:rPr>
          <w:rFonts w:asciiTheme="majorBidi" w:hAnsiTheme="majorBidi" w:cstheme="majorBidi"/>
          <w:spacing w:val="-3"/>
        </w:rPr>
        <w:sectPr w:rsidR="00F92589" w:rsidRPr="006A73DD" w:rsidSect="00FE0430">
          <w:footerReference w:type="even" r:id="rId9"/>
          <w:footerReference w:type="default" r:id="rId10"/>
          <w:endnotePr>
            <w:numFmt w:val="decimal"/>
          </w:endnotePr>
          <w:pgSz w:w="11900" w:h="16840"/>
          <w:pgMar w:top="1134" w:right="1134" w:bottom="1134" w:left="1134" w:header="709" w:footer="850" w:gutter="0"/>
          <w:cols w:space="720"/>
        </w:sectPr>
      </w:pPr>
    </w:p>
    <w:p w:rsidR="00800B13" w:rsidRPr="006A73DD" w:rsidRDefault="00800B13" w:rsidP="00004D9A">
      <w:pPr>
        <w:suppressAutoHyphens/>
        <w:spacing w:line="480" w:lineRule="auto"/>
        <w:rPr>
          <w:rFonts w:asciiTheme="majorBidi" w:hAnsiTheme="majorBidi" w:cstheme="majorBidi"/>
          <w:b/>
          <w:spacing w:val="-3"/>
        </w:rPr>
      </w:pPr>
      <w:r w:rsidRPr="006A73DD">
        <w:rPr>
          <w:rFonts w:asciiTheme="majorBidi" w:hAnsiTheme="majorBidi" w:cstheme="majorBidi"/>
          <w:b/>
          <w:spacing w:val="-3"/>
        </w:rPr>
        <w:lastRenderedPageBreak/>
        <w:t>Notes</w:t>
      </w:r>
    </w:p>
    <w:sectPr w:rsidR="00800B13" w:rsidRPr="006A73DD" w:rsidSect="00FE0430">
      <w:endnotePr>
        <w:numFmt w:val="decimal"/>
      </w:endnotePr>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312" w:rsidRDefault="002C4312">
      <w:r>
        <w:separator/>
      </w:r>
    </w:p>
  </w:endnote>
  <w:endnote w:type="continuationSeparator" w:id="0">
    <w:p w:rsidR="002C4312" w:rsidRDefault="002C4312">
      <w:r>
        <w:continuationSeparator/>
      </w:r>
    </w:p>
  </w:endnote>
  <w:endnote w:id="1">
    <w:p w:rsidR="001264CB" w:rsidRPr="00F92589" w:rsidRDefault="001264CB" w:rsidP="001652C4">
      <w:pPr>
        <w:pStyle w:val="EndnoteText"/>
        <w:spacing w:line="480" w:lineRule="auto"/>
        <w:rPr>
          <w:sz w:val="22"/>
          <w:szCs w:val="22"/>
        </w:rPr>
      </w:pPr>
    </w:p>
    <w:p w:rsidR="001264CB" w:rsidRPr="00F92589" w:rsidRDefault="001264CB" w:rsidP="001652C4">
      <w:pPr>
        <w:pStyle w:val="EndnoteText"/>
        <w:spacing w:line="480" w:lineRule="auto"/>
        <w:rPr>
          <w:sz w:val="22"/>
          <w:szCs w:val="22"/>
        </w:rPr>
      </w:pPr>
      <w:r w:rsidRPr="00F92589">
        <w:rPr>
          <w:sz w:val="22"/>
          <w:szCs w:val="22"/>
        </w:rPr>
        <w:t>1. Spiegel, “Revising the Past”.</w:t>
      </w:r>
    </w:p>
  </w:endnote>
  <w:endnote w:id="2">
    <w:p w:rsidR="001264CB" w:rsidRPr="00F92589" w:rsidRDefault="001264CB" w:rsidP="001652C4">
      <w:pPr>
        <w:pStyle w:val="EndnoteText"/>
        <w:spacing w:line="480" w:lineRule="auto"/>
        <w:rPr>
          <w:sz w:val="22"/>
          <w:szCs w:val="22"/>
        </w:rPr>
      </w:pPr>
      <w:r w:rsidRPr="00F92589">
        <w:rPr>
          <w:rStyle w:val="EndnoteReference"/>
          <w:sz w:val="22"/>
          <w:szCs w:val="22"/>
          <w:vertAlign w:val="baseline"/>
        </w:rPr>
        <w:endnoteRef/>
      </w:r>
      <w:r w:rsidRPr="00F92589">
        <w:rPr>
          <w:sz w:val="22"/>
          <w:szCs w:val="22"/>
        </w:rPr>
        <w:t xml:space="preserve">. </w:t>
      </w:r>
      <w:proofErr w:type="spellStart"/>
      <w:r w:rsidRPr="00F92589">
        <w:rPr>
          <w:sz w:val="22"/>
          <w:szCs w:val="22"/>
        </w:rPr>
        <w:t>Middlemas</w:t>
      </w:r>
      <w:proofErr w:type="spellEnd"/>
      <w:r w:rsidRPr="00F92589">
        <w:rPr>
          <w:sz w:val="22"/>
          <w:szCs w:val="22"/>
        </w:rPr>
        <w:t xml:space="preserve">, </w:t>
      </w:r>
      <w:r w:rsidRPr="00F92589">
        <w:rPr>
          <w:i/>
          <w:sz w:val="22"/>
          <w:szCs w:val="22"/>
        </w:rPr>
        <w:t>Politics in Industrial Society</w:t>
      </w:r>
      <w:r w:rsidRPr="00F92589">
        <w:rPr>
          <w:sz w:val="22"/>
          <w:szCs w:val="22"/>
        </w:rPr>
        <w:t>.</w:t>
      </w:r>
    </w:p>
  </w:endnote>
  <w:endnote w:id="3">
    <w:p w:rsidR="001264CB" w:rsidRPr="00F92589" w:rsidRDefault="001264CB" w:rsidP="001652C4">
      <w:pPr>
        <w:pStyle w:val="EndnoteText"/>
        <w:spacing w:line="480" w:lineRule="auto"/>
        <w:rPr>
          <w:sz w:val="22"/>
          <w:szCs w:val="22"/>
          <w:lang w:val="en-GB"/>
        </w:rPr>
      </w:pPr>
      <w:r w:rsidRPr="00F92589">
        <w:rPr>
          <w:rStyle w:val="EndnoteReference"/>
          <w:sz w:val="22"/>
          <w:szCs w:val="22"/>
          <w:vertAlign w:val="baseline"/>
        </w:rPr>
        <w:endnoteRef/>
      </w:r>
      <w:r w:rsidRPr="00F92589">
        <w:rPr>
          <w:sz w:val="22"/>
          <w:szCs w:val="22"/>
        </w:rPr>
        <w:t xml:space="preserve">. </w:t>
      </w:r>
      <w:proofErr w:type="gramStart"/>
      <w:r w:rsidRPr="00F92589">
        <w:rPr>
          <w:sz w:val="22"/>
          <w:szCs w:val="22"/>
        </w:rPr>
        <w:t>Harvey, “Neo-Liberalism”.</w:t>
      </w:r>
      <w:proofErr w:type="gramEnd"/>
    </w:p>
  </w:endnote>
  <w:endnote w:id="4">
    <w:p w:rsidR="001264CB" w:rsidRPr="00F92589" w:rsidRDefault="001264CB" w:rsidP="001652C4">
      <w:pPr>
        <w:pStyle w:val="EndnoteText"/>
        <w:spacing w:line="480" w:lineRule="auto"/>
        <w:rPr>
          <w:sz w:val="22"/>
          <w:szCs w:val="22"/>
        </w:rPr>
      </w:pPr>
      <w:r w:rsidRPr="00F92589">
        <w:rPr>
          <w:rStyle w:val="EndnoteReference"/>
          <w:sz w:val="22"/>
          <w:szCs w:val="22"/>
          <w:vertAlign w:val="baseline"/>
        </w:rPr>
        <w:endnoteRef/>
      </w:r>
      <w:r w:rsidRPr="00F92589">
        <w:rPr>
          <w:sz w:val="22"/>
          <w:szCs w:val="22"/>
        </w:rPr>
        <w:t xml:space="preserve">. </w:t>
      </w:r>
      <w:proofErr w:type="spellStart"/>
      <w:r w:rsidRPr="00F92589">
        <w:rPr>
          <w:sz w:val="22"/>
          <w:szCs w:val="22"/>
        </w:rPr>
        <w:t>Dryzek</w:t>
      </w:r>
      <w:proofErr w:type="spellEnd"/>
      <w:r w:rsidRPr="00F92589">
        <w:rPr>
          <w:sz w:val="22"/>
          <w:szCs w:val="22"/>
        </w:rPr>
        <w:t xml:space="preserve"> and </w:t>
      </w:r>
      <w:proofErr w:type="spellStart"/>
      <w:r w:rsidRPr="00F92589">
        <w:rPr>
          <w:sz w:val="22"/>
          <w:szCs w:val="22"/>
        </w:rPr>
        <w:t>Goodin</w:t>
      </w:r>
      <w:proofErr w:type="spellEnd"/>
      <w:r w:rsidRPr="00F92589">
        <w:rPr>
          <w:sz w:val="22"/>
          <w:szCs w:val="22"/>
        </w:rPr>
        <w:t xml:space="preserve">, “Risk-Sharing and Social Justice”; Baldwin, </w:t>
      </w:r>
      <w:r w:rsidRPr="00F92589">
        <w:rPr>
          <w:i/>
          <w:sz w:val="22"/>
          <w:szCs w:val="22"/>
        </w:rPr>
        <w:t>Politics of Social Solidarity</w:t>
      </w:r>
      <w:r w:rsidRPr="00F92589">
        <w:rPr>
          <w:sz w:val="22"/>
          <w:szCs w:val="22"/>
        </w:rPr>
        <w:t>, 3-4.</w:t>
      </w:r>
    </w:p>
  </w:endnote>
  <w:endnote w:id="5">
    <w:p w:rsidR="001264CB" w:rsidRPr="00F92589" w:rsidRDefault="001264CB" w:rsidP="001652C4">
      <w:pPr>
        <w:pStyle w:val="EndnoteText"/>
        <w:spacing w:line="480" w:lineRule="auto"/>
        <w:rPr>
          <w:sz w:val="22"/>
          <w:szCs w:val="22"/>
          <w:lang w:val="en-GB"/>
        </w:rPr>
      </w:pPr>
      <w:r w:rsidRPr="00F92589">
        <w:rPr>
          <w:rStyle w:val="EndnoteReference"/>
          <w:sz w:val="22"/>
          <w:szCs w:val="22"/>
          <w:vertAlign w:val="baseline"/>
        </w:rPr>
        <w:endnoteRef/>
      </w:r>
      <w:r w:rsidRPr="00F92589">
        <w:rPr>
          <w:sz w:val="22"/>
          <w:szCs w:val="22"/>
        </w:rPr>
        <w:t xml:space="preserve">. Boyer, “How </w:t>
      </w:r>
      <w:proofErr w:type="gramStart"/>
      <w:r w:rsidRPr="00F92589">
        <w:rPr>
          <w:sz w:val="22"/>
          <w:szCs w:val="22"/>
        </w:rPr>
        <w:t>do</w:t>
      </w:r>
      <w:proofErr w:type="gramEnd"/>
      <w:r w:rsidRPr="00F92589">
        <w:rPr>
          <w:sz w:val="22"/>
          <w:szCs w:val="22"/>
        </w:rPr>
        <w:t xml:space="preserve"> Institutions Cohere”.</w:t>
      </w:r>
    </w:p>
  </w:endnote>
  <w:endnote w:id="6">
    <w:p w:rsidR="001264CB" w:rsidRPr="00F92589" w:rsidRDefault="001264CB" w:rsidP="001652C4">
      <w:pPr>
        <w:pStyle w:val="EndnoteText"/>
        <w:spacing w:line="480" w:lineRule="auto"/>
        <w:rPr>
          <w:sz w:val="22"/>
          <w:szCs w:val="22"/>
          <w:lang w:val="en-GB"/>
        </w:rPr>
      </w:pPr>
      <w:r w:rsidRPr="00EA78C0">
        <w:rPr>
          <w:rStyle w:val="EndnoteReference"/>
          <w:sz w:val="22"/>
          <w:szCs w:val="22"/>
          <w:vertAlign w:val="baseline"/>
        </w:rPr>
        <w:endnoteRef/>
      </w:r>
      <w:r w:rsidRPr="00EA78C0">
        <w:rPr>
          <w:sz w:val="22"/>
          <w:szCs w:val="22"/>
        </w:rPr>
        <w:t xml:space="preserve">. </w:t>
      </w:r>
      <w:proofErr w:type="spellStart"/>
      <w:r w:rsidRPr="00EA78C0">
        <w:rPr>
          <w:sz w:val="22"/>
          <w:szCs w:val="22"/>
        </w:rPr>
        <w:t>Arrowsmith</w:t>
      </w:r>
      <w:proofErr w:type="spellEnd"/>
      <w:r w:rsidRPr="00EA78C0">
        <w:rPr>
          <w:sz w:val="22"/>
          <w:szCs w:val="22"/>
        </w:rPr>
        <w:t xml:space="preserve"> and </w:t>
      </w:r>
      <w:proofErr w:type="spellStart"/>
      <w:r w:rsidRPr="00EA78C0">
        <w:rPr>
          <w:sz w:val="22"/>
          <w:szCs w:val="22"/>
        </w:rPr>
        <w:t>Pulignano</w:t>
      </w:r>
      <w:proofErr w:type="spellEnd"/>
      <w:r w:rsidRPr="00EA78C0">
        <w:rPr>
          <w:sz w:val="22"/>
          <w:szCs w:val="22"/>
        </w:rPr>
        <w:t xml:space="preserve">, </w:t>
      </w:r>
      <w:r w:rsidRPr="00EA78C0">
        <w:rPr>
          <w:i/>
          <w:sz w:val="22"/>
          <w:szCs w:val="22"/>
        </w:rPr>
        <w:t>Transformation of Employment Relations in Europe</w:t>
      </w:r>
      <w:r w:rsidRPr="00EA78C0">
        <w:rPr>
          <w:sz w:val="22"/>
          <w:szCs w:val="22"/>
        </w:rPr>
        <w:t>.</w:t>
      </w:r>
    </w:p>
  </w:endnote>
  <w:endnote w:id="7">
    <w:p w:rsidR="001264CB" w:rsidRPr="00F92589" w:rsidRDefault="001264CB" w:rsidP="001652C4">
      <w:pPr>
        <w:pStyle w:val="EndnoteText"/>
        <w:spacing w:line="480" w:lineRule="auto"/>
        <w:rPr>
          <w:sz w:val="22"/>
          <w:szCs w:val="22"/>
          <w:lang w:val="en-GB"/>
        </w:rPr>
      </w:pPr>
      <w:r w:rsidRPr="00F92589">
        <w:rPr>
          <w:rStyle w:val="EndnoteReference"/>
          <w:sz w:val="22"/>
          <w:szCs w:val="22"/>
          <w:vertAlign w:val="baseline"/>
        </w:rPr>
        <w:endnoteRef/>
      </w:r>
      <w:r w:rsidRPr="00F92589">
        <w:rPr>
          <w:sz w:val="22"/>
          <w:szCs w:val="22"/>
        </w:rPr>
        <w:t xml:space="preserve">. </w:t>
      </w:r>
      <w:proofErr w:type="gramStart"/>
      <w:r w:rsidRPr="00F92589">
        <w:rPr>
          <w:sz w:val="22"/>
          <w:szCs w:val="22"/>
        </w:rPr>
        <w:t xml:space="preserve">Calhoun and </w:t>
      </w:r>
      <w:proofErr w:type="spellStart"/>
      <w:r w:rsidRPr="00F92589">
        <w:rPr>
          <w:sz w:val="22"/>
          <w:szCs w:val="22"/>
        </w:rPr>
        <w:t>Lence</w:t>
      </w:r>
      <w:proofErr w:type="spellEnd"/>
      <w:r w:rsidRPr="00F92589">
        <w:rPr>
          <w:sz w:val="22"/>
          <w:szCs w:val="22"/>
        </w:rPr>
        <w:t xml:space="preserve">, </w:t>
      </w:r>
      <w:r w:rsidRPr="00F92589">
        <w:rPr>
          <w:i/>
          <w:sz w:val="22"/>
          <w:szCs w:val="22"/>
        </w:rPr>
        <w:t>Union and Liberty</w:t>
      </w:r>
      <w:r w:rsidRPr="00F92589">
        <w:rPr>
          <w:sz w:val="22"/>
          <w:szCs w:val="22"/>
        </w:rPr>
        <w:t>.</w:t>
      </w:r>
      <w:proofErr w:type="gramEnd"/>
    </w:p>
  </w:endnote>
  <w:endnote w:id="8">
    <w:p w:rsidR="001264CB" w:rsidRPr="00F92589" w:rsidRDefault="001264CB" w:rsidP="001652C4">
      <w:pPr>
        <w:pStyle w:val="EndnoteText"/>
        <w:spacing w:line="480" w:lineRule="auto"/>
        <w:rPr>
          <w:sz w:val="22"/>
          <w:szCs w:val="22"/>
          <w:lang w:val="en-GB"/>
        </w:rPr>
      </w:pPr>
      <w:r w:rsidRPr="00F92589">
        <w:rPr>
          <w:rStyle w:val="EndnoteReference"/>
          <w:sz w:val="22"/>
          <w:szCs w:val="22"/>
          <w:vertAlign w:val="baseline"/>
        </w:rPr>
        <w:endnoteRef/>
      </w:r>
      <w:r w:rsidRPr="00F92589">
        <w:rPr>
          <w:sz w:val="22"/>
          <w:szCs w:val="22"/>
        </w:rPr>
        <w:t xml:space="preserve">. </w:t>
      </w:r>
      <w:proofErr w:type="spellStart"/>
      <w:proofErr w:type="gramStart"/>
      <w:r w:rsidRPr="00F92589">
        <w:rPr>
          <w:sz w:val="22"/>
          <w:szCs w:val="22"/>
        </w:rPr>
        <w:t>Hirschmann</w:t>
      </w:r>
      <w:proofErr w:type="spellEnd"/>
      <w:r w:rsidRPr="00F92589">
        <w:rPr>
          <w:sz w:val="22"/>
          <w:szCs w:val="22"/>
        </w:rPr>
        <w:t xml:space="preserve"> and Hill, “On human commodification”.</w:t>
      </w:r>
      <w:proofErr w:type="gramEnd"/>
    </w:p>
  </w:endnote>
  <w:endnote w:id="9">
    <w:p w:rsidR="001264CB" w:rsidRPr="00F92589" w:rsidRDefault="001264CB" w:rsidP="001652C4">
      <w:pPr>
        <w:pStyle w:val="EndnoteText"/>
        <w:spacing w:line="480" w:lineRule="auto"/>
        <w:rPr>
          <w:sz w:val="22"/>
          <w:szCs w:val="22"/>
          <w:lang w:val="en-GB"/>
        </w:rPr>
      </w:pPr>
      <w:r w:rsidRPr="00F92589">
        <w:rPr>
          <w:rStyle w:val="EndnoteReference"/>
          <w:sz w:val="22"/>
          <w:szCs w:val="22"/>
          <w:vertAlign w:val="baseline"/>
        </w:rPr>
        <w:endnoteRef/>
      </w:r>
      <w:r w:rsidRPr="00F92589">
        <w:rPr>
          <w:sz w:val="22"/>
          <w:szCs w:val="22"/>
        </w:rPr>
        <w:t xml:space="preserve">. </w:t>
      </w:r>
      <w:proofErr w:type="spellStart"/>
      <w:r w:rsidRPr="00F92589">
        <w:rPr>
          <w:sz w:val="22"/>
          <w:szCs w:val="22"/>
        </w:rPr>
        <w:t>Middlemas</w:t>
      </w:r>
      <w:proofErr w:type="spellEnd"/>
      <w:r w:rsidRPr="00F92589">
        <w:rPr>
          <w:sz w:val="22"/>
          <w:szCs w:val="22"/>
        </w:rPr>
        <w:t xml:space="preserve">, </w:t>
      </w:r>
      <w:r w:rsidRPr="00F92589">
        <w:rPr>
          <w:i/>
          <w:sz w:val="22"/>
          <w:szCs w:val="22"/>
        </w:rPr>
        <w:t>Politics in Industrial Society</w:t>
      </w:r>
      <w:r w:rsidRPr="00F92589">
        <w:rPr>
          <w:sz w:val="22"/>
          <w:szCs w:val="22"/>
        </w:rPr>
        <w:t>.</w:t>
      </w:r>
    </w:p>
  </w:endnote>
  <w:endnote w:id="10">
    <w:p w:rsidR="001264CB" w:rsidRPr="00F92589" w:rsidRDefault="001264CB" w:rsidP="001652C4">
      <w:pPr>
        <w:pStyle w:val="EndnoteText"/>
        <w:spacing w:line="480" w:lineRule="auto"/>
        <w:rPr>
          <w:sz w:val="22"/>
          <w:szCs w:val="22"/>
          <w:lang w:val="en-GB"/>
        </w:rPr>
      </w:pPr>
      <w:r w:rsidRPr="00F92589">
        <w:rPr>
          <w:rStyle w:val="EndnoteReference"/>
          <w:sz w:val="22"/>
          <w:szCs w:val="22"/>
          <w:vertAlign w:val="baseline"/>
        </w:rPr>
        <w:endnoteRef/>
      </w:r>
      <w:r w:rsidRPr="00F92589">
        <w:rPr>
          <w:sz w:val="22"/>
          <w:szCs w:val="22"/>
        </w:rPr>
        <w:t>. Ibid.</w:t>
      </w:r>
    </w:p>
  </w:endnote>
  <w:endnote w:id="11">
    <w:p w:rsidR="001264CB" w:rsidRPr="00F92589" w:rsidRDefault="001264CB" w:rsidP="001652C4">
      <w:pPr>
        <w:pStyle w:val="EndnoteText"/>
        <w:spacing w:line="480" w:lineRule="auto"/>
        <w:rPr>
          <w:sz w:val="22"/>
          <w:szCs w:val="22"/>
          <w:lang w:val="en-GB"/>
        </w:rPr>
      </w:pPr>
      <w:r w:rsidRPr="00F92589">
        <w:rPr>
          <w:rStyle w:val="EndnoteReference"/>
          <w:sz w:val="22"/>
          <w:szCs w:val="22"/>
          <w:vertAlign w:val="baseline"/>
        </w:rPr>
        <w:endnoteRef/>
      </w:r>
      <w:r w:rsidRPr="00F92589">
        <w:rPr>
          <w:sz w:val="22"/>
          <w:szCs w:val="22"/>
        </w:rPr>
        <w:t xml:space="preserve">. </w:t>
      </w:r>
      <w:proofErr w:type="gramStart"/>
      <w:r w:rsidRPr="00F92589">
        <w:rPr>
          <w:sz w:val="22"/>
          <w:szCs w:val="22"/>
          <w:lang w:val="en-GB"/>
        </w:rPr>
        <w:t>Campbell et al., “Post-war Compromise”.</w:t>
      </w:r>
      <w:proofErr w:type="gramEnd"/>
    </w:p>
  </w:endnote>
  <w:endnote w:id="12">
    <w:p w:rsidR="001264CB" w:rsidRPr="00F92589" w:rsidRDefault="001264CB" w:rsidP="001652C4">
      <w:pPr>
        <w:pStyle w:val="EndnoteText"/>
        <w:spacing w:line="480" w:lineRule="auto"/>
        <w:rPr>
          <w:sz w:val="22"/>
          <w:szCs w:val="22"/>
          <w:lang w:val="en-GB"/>
        </w:rPr>
      </w:pPr>
      <w:r w:rsidRPr="00F92589">
        <w:rPr>
          <w:rStyle w:val="EndnoteReference"/>
          <w:sz w:val="22"/>
          <w:szCs w:val="22"/>
          <w:vertAlign w:val="baseline"/>
        </w:rPr>
        <w:endnoteRef/>
      </w:r>
      <w:r w:rsidRPr="00F92589">
        <w:rPr>
          <w:sz w:val="22"/>
          <w:szCs w:val="22"/>
        </w:rPr>
        <w:t xml:space="preserve">. </w:t>
      </w:r>
      <w:proofErr w:type="gramStart"/>
      <w:r w:rsidRPr="00F92589">
        <w:rPr>
          <w:sz w:val="22"/>
          <w:szCs w:val="22"/>
        </w:rPr>
        <w:t>McIlroy and Croucher, “British Trade Unions”.</w:t>
      </w:r>
      <w:proofErr w:type="gramEnd"/>
    </w:p>
  </w:endnote>
  <w:endnote w:id="13">
    <w:p w:rsidR="001264CB" w:rsidRPr="00F92589" w:rsidRDefault="001264CB" w:rsidP="001652C4">
      <w:pPr>
        <w:pStyle w:val="EndnoteText"/>
        <w:spacing w:line="480" w:lineRule="auto"/>
        <w:rPr>
          <w:sz w:val="22"/>
          <w:szCs w:val="22"/>
          <w:lang w:val="en-GB"/>
        </w:rPr>
      </w:pPr>
      <w:r w:rsidRPr="00F92589">
        <w:rPr>
          <w:rStyle w:val="EndnoteReference"/>
          <w:sz w:val="22"/>
          <w:szCs w:val="22"/>
          <w:vertAlign w:val="baseline"/>
        </w:rPr>
        <w:endnoteRef/>
      </w:r>
      <w:r w:rsidRPr="00F92589">
        <w:rPr>
          <w:sz w:val="22"/>
          <w:szCs w:val="22"/>
        </w:rPr>
        <w:t xml:space="preserve">. </w:t>
      </w:r>
      <w:proofErr w:type="gramStart"/>
      <w:r w:rsidRPr="00F92589">
        <w:rPr>
          <w:sz w:val="22"/>
          <w:szCs w:val="22"/>
        </w:rPr>
        <w:t>Gospel, “Representing workers in Britain”.</w:t>
      </w:r>
      <w:proofErr w:type="gramEnd"/>
    </w:p>
  </w:endnote>
  <w:endnote w:id="14">
    <w:p w:rsidR="001264CB" w:rsidRPr="00F92589" w:rsidRDefault="001264CB" w:rsidP="001652C4">
      <w:pPr>
        <w:pStyle w:val="EndnoteText"/>
        <w:spacing w:line="480" w:lineRule="auto"/>
        <w:rPr>
          <w:sz w:val="22"/>
          <w:szCs w:val="22"/>
          <w:lang w:val="en-GB"/>
        </w:rPr>
      </w:pPr>
      <w:r w:rsidRPr="00F92589">
        <w:rPr>
          <w:rStyle w:val="EndnoteReference"/>
          <w:sz w:val="22"/>
          <w:szCs w:val="22"/>
          <w:vertAlign w:val="baseline"/>
        </w:rPr>
        <w:endnoteRef/>
      </w:r>
      <w:r w:rsidRPr="00F92589">
        <w:rPr>
          <w:sz w:val="22"/>
          <w:szCs w:val="22"/>
        </w:rPr>
        <w:t>. Sewell, “Temporalities of Capitalism”.</w:t>
      </w:r>
    </w:p>
  </w:endnote>
  <w:endnote w:id="15">
    <w:p w:rsidR="001264CB" w:rsidRPr="00F92589" w:rsidRDefault="001264CB" w:rsidP="001652C4">
      <w:pPr>
        <w:pStyle w:val="EndnoteText"/>
        <w:spacing w:line="480" w:lineRule="auto"/>
        <w:rPr>
          <w:sz w:val="22"/>
          <w:szCs w:val="22"/>
          <w:lang w:val="en-GB"/>
        </w:rPr>
      </w:pPr>
      <w:r w:rsidRPr="00F92589">
        <w:rPr>
          <w:rStyle w:val="EndnoteReference"/>
          <w:sz w:val="22"/>
          <w:szCs w:val="22"/>
          <w:vertAlign w:val="baseline"/>
        </w:rPr>
        <w:endnoteRef/>
      </w:r>
      <w:r w:rsidRPr="00F92589">
        <w:rPr>
          <w:sz w:val="22"/>
          <w:szCs w:val="22"/>
        </w:rPr>
        <w:t xml:space="preserve">. </w:t>
      </w:r>
      <w:proofErr w:type="spellStart"/>
      <w:proofErr w:type="gramStart"/>
      <w:r w:rsidRPr="00F92589">
        <w:rPr>
          <w:sz w:val="22"/>
          <w:szCs w:val="22"/>
        </w:rPr>
        <w:t>Priestland</w:t>
      </w:r>
      <w:proofErr w:type="spellEnd"/>
      <w:r w:rsidRPr="00F92589">
        <w:rPr>
          <w:sz w:val="22"/>
          <w:szCs w:val="22"/>
        </w:rPr>
        <w:t xml:space="preserve">, </w:t>
      </w:r>
      <w:r w:rsidRPr="00F92589">
        <w:rPr>
          <w:i/>
          <w:sz w:val="22"/>
          <w:szCs w:val="22"/>
        </w:rPr>
        <w:t>Merchant, Soldier, Sage</w:t>
      </w:r>
      <w:r w:rsidRPr="00F92589">
        <w:rPr>
          <w:sz w:val="22"/>
          <w:szCs w:val="22"/>
        </w:rPr>
        <w:t xml:space="preserve">; </w:t>
      </w:r>
      <w:proofErr w:type="spellStart"/>
      <w:r w:rsidRPr="00F92589">
        <w:rPr>
          <w:sz w:val="22"/>
          <w:szCs w:val="22"/>
        </w:rPr>
        <w:t>Engelen</w:t>
      </w:r>
      <w:proofErr w:type="spellEnd"/>
      <w:r w:rsidRPr="00F92589">
        <w:rPr>
          <w:sz w:val="22"/>
          <w:szCs w:val="22"/>
        </w:rPr>
        <w:t xml:space="preserve"> et al., </w:t>
      </w:r>
      <w:r w:rsidRPr="00F92589">
        <w:rPr>
          <w:i/>
          <w:sz w:val="22"/>
          <w:szCs w:val="22"/>
        </w:rPr>
        <w:t>After the Great Complacence</w:t>
      </w:r>
      <w:r w:rsidRPr="00F92589">
        <w:rPr>
          <w:sz w:val="22"/>
          <w:szCs w:val="22"/>
        </w:rPr>
        <w:t>.</w:t>
      </w:r>
      <w:proofErr w:type="gramEnd"/>
    </w:p>
  </w:endnote>
  <w:endnote w:id="16">
    <w:p w:rsidR="001264CB" w:rsidRPr="00F92589" w:rsidRDefault="001264CB" w:rsidP="001652C4">
      <w:pPr>
        <w:pStyle w:val="EndnoteText"/>
        <w:spacing w:line="480" w:lineRule="auto"/>
        <w:rPr>
          <w:sz w:val="22"/>
          <w:szCs w:val="22"/>
          <w:lang w:val="en-GB"/>
        </w:rPr>
      </w:pPr>
      <w:r w:rsidRPr="002115AD">
        <w:rPr>
          <w:rStyle w:val="EndnoteReference"/>
          <w:sz w:val="22"/>
          <w:szCs w:val="22"/>
          <w:vertAlign w:val="baseline"/>
        </w:rPr>
        <w:endnoteRef/>
      </w:r>
      <w:r w:rsidRPr="002115AD">
        <w:rPr>
          <w:sz w:val="22"/>
          <w:szCs w:val="22"/>
        </w:rPr>
        <w:t xml:space="preserve">. </w:t>
      </w:r>
      <w:proofErr w:type="gramStart"/>
      <w:r w:rsidRPr="002115AD">
        <w:rPr>
          <w:sz w:val="22"/>
          <w:szCs w:val="22"/>
        </w:rPr>
        <w:t xml:space="preserve">Barrington Moore Jr, </w:t>
      </w:r>
      <w:r w:rsidRPr="002115AD">
        <w:rPr>
          <w:i/>
          <w:sz w:val="22"/>
          <w:szCs w:val="22"/>
        </w:rPr>
        <w:t>Social Origins of Dictatorship and Democracy,</w:t>
      </w:r>
      <w:r w:rsidRPr="002115AD">
        <w:rPr>
          <w:sz w:val="22"/>
          <w:szCs w:val="22"/>
        </w:rPr>
        <w:t xml:space="preserve"> and </w:t>
      </w:r>
      <w:r w:rsidRPr="002115AD">
        <w:rPr>
          <w:i/>
          <w:sz w:val="22"/>
          <w:szCs w:val="22"/>
        </w:rPr>
        <w:t>Injustice</w:t>
      </w:r>
      <w:r w:rsidRPr="002115AD">
        <w:rPr>
          <w:sz w:val="22"/>
          <w:szCs w:val="22"/>
        </w:rPr>
        <w:t>.</w:t>
      </w:r>
      <w:proofErr w:type="gramEnd"/>
    </w:p>
  </w:endnote>
  <w:endnote w:id="17">
    <w:p w:rsidR="001264CB" w:rsidRPr="00F92589" w:rsidRDefault="001264CB" w:rsidP="001652C4">
      <w:pPr>
        <w:pStyle w:val="EndnoteText"/>
        <w:spacing w:line="480" w:lineRule="auto"/>
        <w:rPr>
          <w:sz w:val="22"/>
          <w:szCs w:val="22"/>
          <w:lang w:val="en-GB"/>
        </w:rPr>
      </w:pPr>
      <w:r w:rsidRPr="00F92589">
        <w:rPr>
          <w:rStyle w:val="EndnoteReference"/>
          <w:sz w:val="22"/>
          <w:szCs w:val="22"/>
          <w:vertAlign w:val="baseline"/>
        </w:rPr>
        <w:endnoteRef/>
      </w:r>
      <w:r w:rsidRPr="00F92589">
        <w:rPr>
          <w:sz w:val="22"/>
          <w:szCs w:val="22"/>
        </w:rPr>
        <w:t xml:space="preserve">. </w:t>
      </w:r>
      <w:proofErr w:type="spellStart"/>
      <w:r w:rsidRPr="00F92589">
        <w:rPr>
          <w:sz w:val="22"/>
          <w:szCs w:val="22"/>
        </w:rPr>
        <w:t>Priestland</w:t>
      </w:r>
      <w:proofErr w:type="spellEnd"/>
      <w:r w:rsidRPr="00F92589">
        <w:rPr>
          <w:sz w:val="22"/>
          <w:szCs w:val="22"/>
        </w:rPr>
        <w:t xml:space="preserve">, </w:t>
      </w:r>
      <w:r w:rsidRPr="00F92589">
        <w:rPr>
          <w:i/>
          <w:sz w:val="22"/>
          <w:szCs w:val="22"/>
        </w:rPr>
        <w:t>Merchant, Soldier, Sage</w:t>
      </w:r>
      <w:r w:rsidRPr="00F92589">
        <w:rPr>
          <w:sz w:val="22"/>
          <w:szCs w:val="22"/>
        </w:rPr>
        <w:t>.</w:t>
      </w:r>
    </w:p>
  </w:endnote>
  <w:endnote w:id="18">
    <w:p w:rsidR="001264CB" w:rsidRPr="00F92589" w:rsidRDefault="001264CB" w:rsidP="001652C4">
      <w:pPr>
        <w:pStyle w:val="EndnoteText"/>
        <w:spacing w:line="480" w:lineRule="auto"/>
        <w:rPr>
          <w:sz w:val="22"/>
          <w:szCs w:val="22"/>
          <w:lang w:val="en-GB"/>
        </w:rPr>
      </w:pPr>
      <w:r w:rsidRPr="00F92589">
        <w:rPr>
          <w:rStyle w:val="EndnoteReference"/>
          <w:sz w:val="22"/>
          <w:szCs w:val="22"/>
          <w:vertAlign w:val="baseline"/>
        </w:rPr>
        <w:endnoteRef/>
      </w:r>
      <w:r w:rsidRPr="00F92589">
        <w:rPr>
          <w:sz w:val="22"/>
          <w:szCs w:val="22"/>
        </w:rPr>
        <w:t xml:space="preserve">. </w:t>
      </w:r>
      <w:proofErr w:type="spellStart"/>
      <w:proofErr w:type="gramStart"/>
      <w:r w:rsidRPr="00F92589">
        <w:rPr>
          <w:sz w:val="22"/>
          <w:szCs w:val="22"/>
        </w:rPr>
        <w:t>Engelen</w:t>
      </w:r>
      <w:proofErr w:type="spellEnd"/>
      <w:r w:rsidRPr="00F92589">
        <w:rPr>
          <w:sz w:val="22"/>
          <w:szCs w:val="22"/>
        </w:rPr>
        <w:t xml:space="preserve"> et al., </w:t>
      </w:r>
      <w:r w:rsidRPr="00F92589">
        <w:rPr>
          <w:i/>
          <w:sz w:val="22"/>
          <w:szCs w:val="22"/>
        </w:rPr>
        <w:t>After the Great Complacence.</w:t>
      </w:r>
      <w:proofErr w:type="gramEnd"/>
    </w:p>
  </w:endnote>
  <w:endnote w:id="19">
    <w:p w:rsidR="001264CB" w:rsidRPr="00F92589" w:rsidRDefault="001264CB" w:rsidP="001652C4">
      <w:pPr>
        <w:pStyle w:val="EndnoteText"/>
        <w:spacing w:line="480" w:lineRule="auto"/>
        <w:rPr>
          <w:sz w:val="22"/>
          <w:szCs w:val="22"/>
          <w:lang w:val="en-GB"/>
        </w:rPr>
      </w:pPr>
      <w:r w:rsidRPr="00F92589">
        <w:rPr>
          <w:rStyle w:val="EndnoteReference"/>
          <w:sz w:val="22"/>
          <w:szCs w:val="22"/>
          <w:vertAlign w:val="baseline"/>
        </w:rPr>
        <w:endnoteRef/>
      </w:r>
      <w:r w:rsidRPr="00F92589">
        <w:rPr>
          <w:sz w:val="22"/>
          <w:szCs w:val="22"/>
        </w:rPr>
        <w:t>. Wood and Lane, “Institutions, Change and Diversity”, 20-21.</w:t>
      </w:r>
    </w:p>
  </w:endnote>
  <w:endnote w:id="20">
    <w:p w:rsidR="001264CB" w:rsidRPr="00F92589" w:rsidRDefault="001264CB" w:rsidP="001652C4">
      <w:pPr>
        <w:pStyle w:val="EndnoteText"/>
        <w:spacing w:line="480" w:lineRule="auto"/>
        <w:rPr>
          <w:sz w:val="22"/>
          <w:szCs w:val="22"/>
          <w:lang w:val="en-GB"/>
        </w:rPr>
      </w:pPr>
      <w:r w:rsidRPr="00F92589">
        <w:rPr>
          <w:rStyle w:val="EndnoteReference"/>
          <w:sz w:val="22"/>
          <w:szCs w:val="22"/>
          <w:vertAlign w:val="baseline"/>
        </w:rPr>
        <w:endnoteRef/>
      </w:r>
      <w:r w:rsidRPr="00F92589">
        <w:rPr>
          <w:sz w:val="22"/>
          <w:szCs w:val="22"/>
        </w:rPr>
        <w:t xml:space="preserve">. Braun, </w:t>
      </w:r>
      <w:r w:rsidRPr="00F92589">
        <w:rPr>
          <w:i/>
          <w:sz w:val="22"/>
          <w:szCs w:val="22"/>
        </w:rPr>
        <w:t>German Economy</w:t>
      </w:r>
      <w:r w:rsidRPr="00F92589">
        <w:rPr>
          <w:sz w:val="22"/>
          <w:szCs w:val="22"/>
        </w:rPr>
        <w:t>.</w:t>
      </w:r>
    </w:p>
  </w:endnote>
  <w:endnote w:id="21">
    <w:p w:rsidR="001264CB" w:rsidRPr="00F92589" w:rsidRDefault="001264CB" w:rsidP="001652C4">
      <w:pPr>
        <w:pStyle w:val="EndnoteText"/>
        <w:spacing w:line="480" w:lineRule="auto"/>
        <w:rPr>
          <w:sz w:val="22"/>
          <w:szCs w:val="22"/>
          <w:lang w:val="en-GB"/>
        </w:rPr>
      </w:pPr>
      <w:r w:rsidRPr="00F92589">
        <w:rPr>
          <w:rStyle w:val="EndnoteReference"/>
          <w:sz w:val="22"/>
          <w:szCs w:val="22"/>
          <w:vertAlign w:val="baseline"/>
        </w:rPr>
        <w:endnoteRef/>
      </w:r>
      <w:r w:rsidRPr="00F92589">
        <w:rPr>
          <w:sz w:val="22"/>
          <w:szCs w:val="22"/>
        </w:rPr>
        <w:t>. Ibid.</w:t>
      </w:r>
    </w:p>
  </w:endnote>
  <w:endnote w:id="22">
    <w:p w:rsidR="001264CB" w:rsidRPr="00F92589" w:rsidRDefault="001264CB" w:rsidP="001652C4">
      <w:pPr>
        <w:pStyle w:val="EndnoteText"/>
        <w:spacing w:line="480" w:lineRule="auto"/>
        <w:rPr>
          <w:sz w:val="22"/>
          <w:szCs w:val="22"/>
          <w:lang w:val="en-GB"/>
        </w:rPr>
      </w:pPr>
      <w:r w:rsidRPr="00F92589">
        <w:rPr>
          <w:rStyle w:val="EndnoteReference"/>
          <w:sz w:val="22"/>
          <w:szCs w:val="22"/>
          <w:vertAlign w:val="baseline"/>
        </w:rPr>
        <w:endnoteRef/>
      </w:r>
      <w:r w:rsidRPr="00F92589">
        <w:rPr>
          <w:sz w:val="22"/>
          <w:szCs w:val="22"/>
        </w:rPr>
        <w:t xml:space="preserve">. </w:t>
      </w:r>
      <w:proofErr w:type="gramStart"/>
      <w:r w:rsidRPr="00F92589">
        <w:rPr>
          <w:sz w:val="22"/>
          <w:szCs w:val="22"/>
        </w:rPr>
        <w:t>Agrawal, “Corporate Governance Objectives”.</w:t>
      </w:r>
      <w:proofErr w:type="gramEnd"/>
    </w:p>
  </w:endnote>
  <w:endnote w:id="23">
    <w:p w:rsidR="001264CB" w:rsidRPr="00F92589" w:rsidRDefault="001264CB" w:rsidP="001652C4">
      <w:pPr>
        <w:pStyle w:val="EndnoteText"/>
        <w:spacing w:line="480" w:lineRule="auto"/>
        <w:rPr>
          <w:sz w:val="22"/>
          <w:szCs w:val="22"/>
          <w:lang w:val="en-GB"/>
        </w:rPr>
      </w:pPr>
      <w:r w:rsidRPr="00F92589">
        <w:rPr>
          <w:rStyle w:val="EndnoteReference"/>
          <w:sz w:val="22"/>
          <w:szCs w:val="22"/>
          <w:vertAlign w:val="baseline"/>
        </w:rPr>
        <w:endnoteRef/>
      </w:r>
      <w:r w:rsidRPr="00F92589">
        <w:rPr>
          <w:sz w:val="22"/>
          <w:szCs w:val="22"/>
        </w:rPr>
        <w:t xml:space="preserve">. Piketty, </w:t>
      </w:r>
      <w:r w:rsidRPr="00F92589">
        <w:rPr>
          <w:i/>
          <w:sz w:val="22"/>
          <w:szCs w:val="22"/>
        </w:rPr>
        <w:t>Capital in the Twenty-First Century</w:t>
      </w:r>
      <w:r w:rsidRPr="00F92589">
        <w:rPr>
          <w:sz w:val="22"/>
          <w:szCs w:val="22"/>
        </w:rPr>
        <w:t>.</w:t>
      </w:r>
    </w:p>
  </w:endnote>
  <w:endnote w:id="24">
    <w:p w:rsidR="001264CB" w:rsidRPr="00F92589" w:rsidRDefault="001264CB" w:rsidP="001652C4">
      <w:pPr>
        <w:pStyle w:val="EndnoteText"/>
        <w:spacing w:line="480" w:lineRule="auto"/>
        <w:rPr>
          <w:sz w:val="22"/>
          <w:szCs w:val="22"/>
          <w:lang w:val="en-GB"/>
        </w:rPr>
      </w:pPr>
      <w:r w:rsidRPr="00F92589">
        <w:rPr>
          <w:rStyle w:val="EndnoteReference"/>
          <w:sz w:val="22"/>
          <w:szCs w:val="22"/>
          <w:vertAlign w:val="baseline"/>
        </w:rPr>
        <w:endnoteRef/>
      </w:r>
      <w:r w:rsidRPr="00F92589">
        <w:rPr>
          <w:sz w:val="22"/>
          <w:szCs w:val="22"/>
        </w:rPr>
        <w:t>. Ibid.</w:t>
      </w:r>
    </w:p>
  </w:endnote>
  <w:endnote w:id="25">
    <w:p w:rsidR="001264CB" w:rsidRPr="00F92589" w:rsidRDefault="001264CB" w:rsidP="001652C4">
      <w:pPr>
        <w:pStyle w:val="EndnoteText"/>
        <w:spacing w:line="480" w:lineRule="auto"/>
        <w:rPr>
          <w:sz w:val="22"/>
          <w:szCs w:val="22"/>
          <w:lang w:val="en-GB"/>
        </w:rPr>
      </w:pPr>
      <w:r w:rsidRPr="00F92589">
        <w:rPr>
          <w:rStyle w:val="EndnoteReference"/>
          <w:sz w:val="22"/>
          <w:szCs w:val="22"/>
          <w:vertAlign w:val="baseline"/>
        </w:rPr>
        <w:endnoteRef/>
      </w:r>
      <w:r w:rsidRPr="00F92589">
        <w:rPr>
          <w:sz w:val="22"/>
          <w:szCs w:val="22"/>
        </w:rPr>
        <w:t xml:space="preserve">. </w:t>
      </w:r>
      <w:proofErr w:type="spellStart"/>
      <w:r w:rsidRPr="00F92589">
        <w:rPr>
          <w:sz w:val="22"/>
          <w:szCs w:val="22"/>
        </w:rPr>
        <w:t>Deeg</w:t>
      </w:r>
      <w:proofErr w:type="spellEnd"/>
      <w:r w:rsidRPr="00F92589">
        <w:rPr>
          <w:sz w:val="22"/>
          <w:szCs w:val="22"/>
        </w:rPr>
        <w:t xml:space="preserve"> and Jackson, “Dynamic Theory of Capitalist Diversity”.</w:t>
      </w:r>
    </w:p>
  </w:endnote>
  <w:endnote w:id="26">
    <w:p w:rsidR="001264CB" w:rsidRPr="00F92589" w:rsidRDefault="001264CB" w:rsidP="001652C4">
      <w:pPr>
        <w:pStyle w:val="EndnoteText"/>
        <w:spacing w:line="480" w:lineRule="auto"/>
        <w:rPr>
          <w:sz w:val="22"/>
          <w:szCs w:val="22"/>
          <w:lang w:val="en-GB"/>
        </w:rPr>
      </w:pPr>
      <w:r w:rsidRPr="00885A2E">
        <w:rPr>
          <w:rStyle w:val="EndnoteReference"/>
          <w:sz w:val="22"/>
          <w:szCs w:val="22"/>
          <w:vertAlign w:val="baseline"/>
        </w:rPr>
        <w:endnoteRef/>
      </w:r>
      <w:r w:rsidRPr="00885A2E">
        <w:rPr>
          <w:sz w:val="22"/>
          <w:szCs w:val="22"/>
        </w:rPr>
        <w:t>. Wood and Lane, “Institutions, Change and Diversity”; Wood et al.</w:t>
      </w:r>
      <w:proofErr w:type="gramStart"/>
      <w:r w:rsidRPr="00885A2E">
        <w:rPr>
          <w:sz w:val="22"/>
          <w:szCs w:val="22"/>
        </w:rPr>
        <w:t>,</w:t>
      </w:r>
      <w:r w:rsidRPr="00885A2E">
        <w:rPr>
          <w:sz w:val="22"/>
          <w:szCs w:val="22"/>
          <w:lang w:val="en-GB"/>
        </w:rPr>
        <w:t>“</w:t>
      </w:r>
      <w:proofErr w:type="gramEnd"/>
      <w:r w:rsidRPr="00885A2E">
        <w:rPr>
          <w:sz w:val="22"/>
          <w:szCs w:val="22"/>
          <w:lang w:val="en-GB"/>
        </w:rPr>
        <w:t>Comparative Capitalism without</w:t>
      </w:r>
      <w:r w:rsidRPr="00EA78C0">
        <w:rPr>
          <w:sz w:val="22"/>
          <w:szCs w:val="22"/>
          <w:lang w:val="en-GB"/>
        </w:rPr>
        <w:t xml:space="preserve"> Capitalism</w:t>
      </w:r>
      <w:r>
        <w:rPr>
          <w:sz w:val="22"/>
          <w:szCs w:val="22"/>
          <w:lang w:val="en-GB"/>
        </w:rPr>
        <w:t>”.</w:t>
      </w:r>
    </w:p>
  </w:endnote>
  <w:endnote w:id="27">
    <w:p w:rsidR="001264CB" w:rsidRPr="00F92589" w:rsidRDefault="001264CB" w:rsidP="001652C4">
      <w:pPr>
        <w:pStyle w:val="EndnoteText"/>
        <w:spacing w:line="480" w:lineRule="auto"/>
        <w:rPr>
          <w:sz w:val="22"/>
          <w:szCs w:val="22"/>
          <w:lang w:val="en-GB"/>
        </w:rPr>
      </w:pPr>
      <w:r w:rsidRPr="00F92589">
        <w:rPr>
          <w:rStyle w:val="EndnoteReference"/>
          <w:sz w:val="22"/>
          <w:szCs w:val="22"/>
          <w:vertAlign w:val="baseline"/>
        </w:rPr>
        <w:endnoteRef/>
      </w:r>
      <w:r w:rsidRPr="00F92589">
        <w:rPr>
          <w:sz w:val="22"/>
          <w:szCs w:val="22"/>
        </w:rPr>
        <w:t xml:space="preserve">. </w:t>
      </w:r>
      <w:proofErr w:type="spellStart"/>
      <w:proofErr w:type="gramStart"/>
      <w:r w:rsidRPr="00F92589">
        <w:rPr>
          <w:sz w:val="22"/>
          <w:szCs w:val="22"/>
        </w:rPr>
        <w:t>Streeck</w:t>
      </w:r>
      <w:proofErr w:type="spellEnd"/>
      <w:r w:rsidRPr="00F92589">
        <w:rPr>
          <w:sz w:val="22"/>
          <w:szCs w:val="22"/>
        </w:rPr>
        <w:t xml:space="preserve">, </w:t>
      </w:r>
      <w:r w:rsidRPr="00F92589">
        <w:rPr>
          <w:i/>
          <w:sz w:val="22"/>
          <w:szCs w:val="22"/>
        </w:rPr>
        <w:t>Reforming Capitalism</w:t>
      </w:r>
      <w:r w:rsidRPr="00F92589">
        <w:rPr>
          <w:sz w:val="22"/>
          <w:szCs w:val="22"/>
        </w:rPr>
        <w:t>.</w:t>
      </w:r>
      <w:proofErr w:type="gramEnd"/>
    </w:p>
  </w:endnote>
  <w:endnote w:id="28">
    <w:p w:rsidR="001264CB" w:rsidRPr="00F92589" w:rsidRDefault="001264CB" w:rsidP="001652C4">
      <w:pPr>
        <w:pStyle w:val="EndnoteText"/>
        <w:spacing w:line="480" w:lineRule="auto"/>
        <w:rPr>
          <w:sz w:val="22"/>
          <w:szCs w:val="22"/>
          <w:lang w:val="en-GB"/>
        </w:rPr>
      </w:pPr>
      <w:r w:rsidRPr="00F92589">
        <w:rPr>
          <w:rStyle w:val="EndnoteReference"/>
          <w:sz w:val="22"/>
          <w:szCs w:val="22"/>
          <w:vertAlign w:val="baseline"/>
        </w:rPr>
        <w:endnoteRef/>
      </w:r>
      <w:r w:rsidRPr="00F92589">
        <w:rPr>
          <w:sz w:val="22"/>
          <w:szCs w:val="22"/>
        </w:rPr>
        <w:t xml:space="preserve">. </w:t>
      </w:r>
      <w:proofErr w:type="gramStart"/>
      <w:r w:rsidRPr="00F92589">
        <w:rPr>
          <w:sz w:val="22"/>
          <w:szCs w:val="22"/>
        </w:rPr>
        <w:t>Jessop, “Diversity and Variability of Capitalism”.</w:t>
      </w:r>
      <w:proofErr w:type="gramEnd"/>
    </w:p>
  </w:endnote>
  <w:endnote w:id="29">
    <w:p w:rsidR="001264CB" w:rsidRPr="00F92589" w:rsidRDefault="001264CB" w:rsidP="001652C4">
      <w:pPr>
        <w:pStyle w:val="EndnoteText"/>
        <w:spacing w:line="480" w:lineRule="auto"/>
        <w:rPr>
          <w:sz w:val="22"/>
          <w:szCs w:val="22"/>
          <w:lang w:val="en-GB"/>
        </w:rPr>
      </w:pPr>
      <w:r w:rsidRPr="00F92589">
        <w:rPr>
          <w:rStyle w:val="EndnoteReference"/>
          <w:sz w:val="22"/>
          <w:szCs w:val="22"/>
          <w:vertAlign w:val="baseline"/>
        </w:rPr>
        <w:endnoteRef/>
      </w:r>
      <w:r w:rsidRPr="00F92589">
        <w:rPr>
          <w:sz w:val="22"/>
          <w:szCs w:val="22"/>
        </w:rPr>
        <w:t xml:space="preserve">. </w:t>
      </w:r>
      <w:proofErr w:type="spellStart"/>
      <w:r w:rsidRPr="00F92589">
        <w:rPr>
          <w:sz w:val="22"/>
          <w:szCs w:val="22"/>
        </w:rPr>
        <w:t>Sandbrook</w:t>
      </w:r>
      <w:proofErr w:type="spellEnd"/>
      <w:r w:rsidRPr="00F92589">
        <w:rPr>
          <w:sz w:val="22"/>
          <w:szCs w:val="22"/>
        </w:rPr>
        <w:t xml:space="preserve"> et al., </w:t>
      </w:r>
      <w:r w:rsidRPr="00F92589">
        <w:rPr>
          <w:i/>
          <w:sz w:val="22"/>
          <w:szCs w:val="22"/>
        </w:rPr>
        <w:t>Social Democracy in the Global Periphery</w:t>
      </w:r>
      <w:r w:rsidRPr="00F92589">
        <w:rPr>
          <w:sz w:val="22"/>
          <w:szCs w:val="22"/>
        </w:rPr>
        <w:t xml:space="preserve">. </w:t>
      </w:r>
    </w:p>
  </w:endnote>
  <w:endnote w:id="30">
    <w:p w:rsidR="001264CB" w:rsidRPr="00F92589" w:rsidRDefault="001264CB" w:rsidP="001652C4">
      <w:pPr>
        <w:pStyle w:val="EndnoteText"/>
        <w:spacing w:line="480" w:lineRule="auto"/>
        <w:rPr>
          <w:sz w:val="22"/>
          <w:szCs w:val="22"/>
          <w:lang w:val="en-GB"/>
        </w:rPr>
      </w:pPr>
      <w:r w:rsidRPr="002115AD">
        <w:rPr>
          <w:rStyle w:val="EndnoteReference"/>
          <w:sz w:val="22"/>
          <w:szCs w:val="22"/>
          <w:vertAlign w:val="baseline"/>
        </w:rPr>
        <w:endnoteRef/>
      </w:r>
      <w:r w:rsidRPr="002115AD">
        <w:rPr>
          <w:sz w:val="22"/>
          <w:szCs w:val="22"/>
        </w:rPr>
        <w:t xml:space="preserve">. </w:t>
      </w:r>
      <w:proofErr w:type="gramStart"/>
      <w:r w:rsidRPr="002115AD">
        <w:rPr>
          <w:sz w:val="22"/>
          <w:szCs w:val="22"/>
          <w:lang w:val="en-GB"/>
        </w:rPr>
        <w:t>Schwartz and McCann, “Overlapping effects”.</w:t>
      </w:r>
      <w:proofErr w:type="gramEnd"/>
    </w:p>
  </w:endnote>
  <w:endnote w:id="31">
    <w:p w:rsidR="001264CB" w:rsidRPr="00F92589" w:rsidRDefault="001264CB" w:rsidP="001652C4">
      <w:pPr>
        <w:pStyle w:val="EndnoteText"/>
        <w:spacing w:line="480" w:lineRule="auto"/>
        <w:rPr>
          <w:sz w:val="22"/>
          <w:szCs w:val="22"/>
          <w:lang w:val="en-GB"/>
        </w:rPr>
      </w:pPr>
      <w:r w:rsidRPr="00F92589">
        <w:rPr>
          <w:rStyle w:val="EndnoteReference"/>
          <w:sz w:val="22"/>
          <w:szCs w:val="22"/>
          <w:vertAlign w:val="baseline"/>
        </w:rPr>
        <w:endnoteRef/>
      </w:r>
      <w:r w:rsidRPr="00F92589">
        <w:rPr>
          <w:sz w:val="22"/>
          <w:szCs w:val="22"/>
        </w:rPr>
        <w:t>. Morgan, “International Business”.</w:t>
      </w:r>
    </w:p>
  </w:endnote>
  <w:endnote w:id="32">
    <w:p w:rsidR="001264CB" w:rsidRPr="00F92589" w:rsidRDefault="001264CB" w:rsidP="001652C4">
      <w:pPr>
        <w:pStyle w:val="EndnoteText"/>
        <w:spacing w:line="480" w:lineRule="auto"/>
        <w:rPr>
          <w:sz w:val="22"/>
          <w:szCs w:val="22"/>
          <w:lang w:val="en-GB"/>
        </w:rPr>
      </w:pPr>
      <w:r w:rsidRPr="00F92589">
        <w:rPr>
          <w:rStyle w:val="EndnoteReference"/>
          <w:sz w:val="22"/>
          <w:szCs w:val="22"/>
          <w:vertAlign w:val="baseline"/>
        </w:rPr>
        <w:endnoteRef/>
      </w:r>
      <w:r w:rsidRPr="00F92589">
        <w:rPr>
          <w:sz w:val="22"/>
          <w:szCs w:val="22"/>
        </w:rPr>
        <w:t xml:space="preserve">. </w:t>
      </w:r>
      <w:proofErr w:type="gramStart"/>
      <w:r w:rsidRPr="00F92589">
        <w:rPr>
          <w:sz w:val="22"/>
          <w:szCs w:val="22"/>
        </w:rPr>
        <w:t xml:space="preserve">Chalmers et.al, </w:t>
      </w:r>
      <w:r w:rsidRPr="00F92589">
        <w:rPr>
          <w:i/>
          <w:sz w:val="22"/>
          <w:szCs w:val="22"/>
        </w:rPr>
        <w:t>New Politics of Inequality in Latin America</w:t>
      </w:r>
      <w:r w:rsidRPr="00F92589">
        <w:rPr>
          <w:sz w:val="22"/>
          <w:szCs w:val="22"/>
        </w:rPr>
        <w:t>.</w:t>
      </w:r>
      <w:proofErr w:type="gramEnd"/>
      <w:r w:rsidRPr="00F92589">
        <w:rPr>
          <w:sz w:val="22"/>
          <w:szCs w:val="22"/>
        </w:rPr>
        <w:t xml:space="preserve"> </w:t>
      </w:r>
    </w:p>
  </w:endnote>
  <w:endnote w:id="33">
    <w:p w:rsidR="001264CB" w:rsidRPr="00F92589" w:rsidRDefault="001264CB" w:rsidP="001652C4">
      <w:pPr>
        <w:pStyle w:val="EndnoteText"/>
        <w:spacing w:line="480" w:lineRule="auto"/>
        <w:rPr>
          <w:sz w:val="22"/>
          <w:szCs w:val="22"/>
          <w:lang w:val="en-GB"/>
        </w:rPr>
      </w:pPr>
      <w:r w:rsidRPr="00F92589">
        <w:rPr>
          <w:rStyle w:val="EndnoteReference"/>
          <w:sz w:val="22"/>
          <w:szCs w:val="22"/>
          <w:vertAlign w:val="baseline"/>
        </w:rPr>
        <w:endnoteRef/>
      </w:r>
      <w:r w:rsidRPr="00F92589">
        <w:rPr>
          <w:sz w:val="22"/>
          <w:szCs w:val="22"/>
        </w:rPr>
        <w:t xml:space="preserve">. </w:t>
      </w:r>
      <w:proofErr w:type="spellStart"/>
      <w:proofErr w:type="gramStart"/>
      <w:r w:rsidRPr="00F92589">
        <w:rPr>
          <w:sz w:val="22"/>
          <w:szCs w:val="22"/>
        </w:rPr>
        <w:t>Hancké</w:t>
      </w:r>
      <w:proofErr w:type="spellEnd"/>
      <w:r w:rsidRPr="00F92589">
        <w:rPr>
          <w:sz w:val="22"/>
          <w:szCs w:val="22"/>
        </w:rPr>
        <w:t xml:space="preserve"> et al., “Introduction”; Wood and Frynas, “Institutional Basis of Economic Failure”.</w:t>
      </w:r>
      <w:proofErr w:type="gramEnd"/>
    </w:p>
  </w:endnote>
  <w:endnote w:id="34">
    <w:p w:rsidR="001264CB" w:rsidRPr="00F92589" w:rsidRDefault="001264CB" w:rsidP="001652C4">
      <w:pPr>
        <w:pStyle w:val="EndnoteText"/>
        <w:spacing w:line="480" w:lineRule="auto"/>
        <w:rPr>
          <w:sz w:val="22"/>
          <w:szCs w:val="22"/>
          <w:lang w:val="en-GB"/>
        </w:rPr>
      </w:pPr>
      <w:r w:rsidRPr="00F92589">
        <w:rPr>
          <w:rStyle w:val="EndnoteReference"/>
          <w:sz w:val="22"/>
          <w:szCs w:val="22"/>
          <w:vertAlign w:val="baseline"/>
        </w:rPr>
        <w:endnoteRef/>
      </w:r>
      <w:r w:rsidRPr="00F92589">
        <w:rPr>
          <w:sz w:val="22"/>
          <w:szCs w:val="22"/>
        </w:rPr>
        <w:t xml:space="preserve">. </w:t>
      </w:r>
      <w:proofErr w:type="gramStart"/>
      <w:r w:rsidRPr="00F92589">
        <w:rPr>
          <w:sz w:val="22"/>
          <w:szCs w:val="22"/>
        </w:rPr>
        <w:t xml:space="preserve">Cook, “Towards Flexible Industrial Relations”; </w:t>
      </w:r>
      <w:proofErr w:type="spellStart"/>
      <w:r w:rsidRPr="00F92589">
        <w:rPr>
          <w:sz w:val="22"/>
          <w:szCs w:val="22"/>
        </w:rPr>
        <w:t>Sandbrook</w:t>
      </w:r>
      <w:proofErr w:type="spellEnd"/>
      <w:r w:rsidRPr="00F92589">
        <w:rPr>
          <w:sz w:val="22"/>
          <w:szCs w:val="22"/>
        </w:rPr>
        <w:t xml:space="preserve"> et al., </w:t>
      </w:r>
      <w:r w:rsidRPr="00F92589">
        <w:rPr>
          <w:i/>
          <w:sz w:val="22"/>
          <w:szCs w:val="22"/>
        </w:rPr>
        <w:t>Social Democracy in the Global Periphery.</w:t>
      </w:r>
      <w:proofErr w:type="gramEnd"/>
    </w:p>
  </w:endnote>
  <w:endnote w:id="35">
    <w:p w:rsidR="001264CB" w:rsidRPr="00F92589" w:rsidRDefault="001264CB" w:rsidP="001652C4">
      <w:pPr>
        <w:pStyle w:val="EndnoteText"/>
        <w:spacing w:line="480" w:lineRule="auto"/>
        <w:rPr>
          <w:sz w:val="22"/>
          <w:szCs w:val="22"/>
          <w:lang w:val="en-GB"/>
        </w:rPr>
      </w:pPr>
      <w:r w:rsidRPr="00F92589">
        <w:rPr>
          <w:rStyle w:val="EndnoteReference"/>
          <w:sz w:val="22"/>
          <w:szCs w:val="22"/>
          <w:vertAlign w:val="baseline"/>
        </w:rPr>
        <w:endnoteRef/>
      </w:r>
      <w:r w:rsidRPr="00F92589">
        <w:rPr>
          <w:sz w:val="22"/>
          <w:szCs w:val="22"/>
        </w:rPr>
        <w:t xml:space="preserve">. </w:t>
      </w:r>
      <w:proofErr w:type="spellStart"/>
      <w:r w:rsidRPr="00F92589">
        <w:rPr>
          <w:sz w:val="22"/>
          <w:szCs w:val="22"/>
        </w:rPr>
        <w:t>Arrowsmi</w:t>
      </w:r>
      <w:r>
        <w:rPr>
          <w:sz w:val="22"/>
          <w:szCs w:val="22"/>
        </w:rPr>
        <w:t>th</w:t>
      </w:r>
      <w:proofErr w:type="spellEnd"/>
      <w:r>
        <w:rPr>
          <w:sz w:val="22"/>
          <w:szCs w:val="22"/>
        </w:rPr>
        <w:t xml:space="preserve"> and </w:t>
      </w:r>
      <w:proofErr w:type="spellStart"/>
      <w:r>
        <w:rPr>
          <w:sz w:val="22"/>
          <w:szCs w:val="22"/>
        </w:rPr>
        <w:t>Pu</w:t>
      </w:r>
      <w:r w:rsidRPr="00F92589">
        <w:rPr>
          <w:sz w:val="22"/>
          <w:szCs w:val="22"/>
        </w:rPr>
        <w:t>lignano</w:t>
      </w:r>
      <w:proofErr w:type="spellEnd"/>
      <w:r w:rsidRPr="00F92589">
        <w:rPr>
          <w:sz w:val="22"/>
          <w:szCs w:val="22"/>
        </w:rPr>
        <w:t xml:space="preserve">, </w:t>
      </w:r>
      <w:r w:rsidRPr="00F92589">
        <w:rPr>
          <w:i/>
          <w:sz w:val="22"/>
          <w:szCs w:val="22"/>
        </w:rPr>
        <w:t>Transformation of Employment Relations in Europe</w:t>
      </w:r>
      <w:r w:rsidRPr="00F92589">
        <w:rPr>
          <w:sz w:val="22"/>
          <w:szCs w:val="22"/>
        </w:rPr>
        <w:t>.</w:t>
      </w:r>
    </w:p>
  </w:endnote>
  <w:endnote w:id="36">
    <w:p w:rsidR="001264CB" w:rsidRPr="00F92589" w:rsidRDefault="001264CB" w:rsidP="001652C4">
      <w:pPr>
        <w:pStyle w:val="EndnoteText"/>
        <w:spacing w:line="480" w:lineRule="auto"/>
        <w:rPr>
          <w:sz w:val="22"/>
          <w:szCs w:val="22"/>
          <w:lang w:val="en-GB"/>
        </w:rPr>
      </w:pPr>
      <w:r w:rsidRPr="00F92589">
        <w:rPr>
          <w:rStyle w:val="EndnoteReference"/>
          <w:sz w:val="22"/>
          <w:szCs w:val="22"/>
          <w:vertAlign w:val="baseline"/>
        </w:rPr>
        <w:endnoteRef/>
      </w:r>
      <w:r w:rsidRPr="00F92589">
        <w:rPr>
          <w:sz w:val="22"/>
          <w:szCs w:val="22"/>
        </w:rPr>
        <w:t>. Croucher and McIlroy, “Introduction: Beyond National History”.</w:t>
      </w:r>
    </w:p>
  </w:endnote>
  <w:endnote w:id="37">
    <w:p w:rsidR="001264CB" w:rsidRPr="00F92589" w:rsidRDefault="001264CB" w:rsidP="001652C4">
      <w:pPr>
        <w:pStyle w:val="EndnoteText"/>
        <w:spacing w:line="480" w:lineRule="auto"/>
        <w:rPr>
          <w:sz w:val="22"/>
          <w:szCs w:val="22"/>
          <w:lang w:val="en-GB"/>
        </w:rPr>
      </w:pPr>
      <w:r w:rsidRPr="00F92589">
        <w:rPr>
          <w:rStyle w:val="EndnoteReference"/>
          <w:sz w:val="22"/>
          <w:szCs w:val="22"/>
          <w:vertAlign w:val="baseline"/>
        </w:rPr>
        <w:endnoteRef/>
      </w:r>
      <w:r w:rsidRPr="00F92589">
        <w:rPr>
          <w:sz w:val="22"/>
          <w:szCs w:val="22"/>
        </w:rPr>
        <w:t xml:space="preserve">. See, for example, De Boer </w:t>
      </w:r>
      <w:proofErr w:type="gramStart"/>
      <w:r w:rsidRPr="00F92589">
        <w:rPr>
          <w:sz w:val="22"/>
          <w:szCs w:val="22"/>
        </w:rPr>
        <w:t>et.al.,</w:t>
      </w:r>
      <w:proofErr w:type="gramEnd"/>
      <w:r w:rsidRPr="00F92589">
        <w:rPr>
          <w:sz w:val="22"/>
          <w:szCs w:val="22"/>
        </w:rPr>
        <w:t xml:space="preserve"> “European Social and </w:t>
      </w:r>
      <w:proofErr w:type="spellStart"/>
      <w:r w:rsidRPr="00F92589">
        <w:rPr>
          <w:sz w:val="22"/>
          <w:szCs w:val="22"/>
        </w:rPr>
        <w:t>Sectoral</w:t>
      </w:r>
      <w:proofErr w:type="spellEnd"/>
      <w:r w:rsidRPr="00F92589">
        <w:rPr>
          <w:sz w:val="22"/>
          <w:szCs w:val="22"/>
        </w:rPr>
        <w:t xml:space="preserve"> Dialogue”; Keller and Weber, “</w:t>
      </w:r>
      <w:proofErr w:type="spellStart"/>
      <w:r w:rsidRPr="00F92589">
        <w:rPr>
          <w:sz w:val="22"/>
          <w:szCs w:val="22"/>
        </w:rPr>
        <w:t>Sectoral</w:t>
      </w:r>
      <w:proofErr w:type="spellEnd"/>
      <w:r w:rsidRPr="00F92589">
        <w:rPr>
          <w:sz w:val="22"/>
          <w:szCs w:val="22"/>
        </w:rPr>
        <w:t xml:space="preserve"> Social Dialogue”.</w:t>
      </w:r>
    </w:p>
  </w:endnote>
  <w:endnote w:id="38">
    <w:p w:rsidR="001264CB" w:rsidRPr="00F92589" w:rsidRDefault="001264CB" w:rsidP="001652C4">
      <w:pPr>
        <w:pStyle w:val="EndnoteText"/>
        <w:spacing w:line="480" w:lineRule="auto"/>
        <w:rPr>
          <w:sz w:val="22"/>
          <w:szCs w:val="22"/>
          <w:lang w:val="en-GB"/>
        </w:rPr>
      </w:pPr>
      <w:r w:rsidRPr="00F92589">
        <w:rPr>
          <w:rStyle w:val="EndnoteReference"/>
          <w:sz w:val="22"/>
          <w:szCs w:val="22"/>
          <w:vertAlign w:val="baseline"/>
        </w:rPr>
        <w:endnoteRef/>
      </w:r>
      <w:r w:rsidRPr="00F92589">
        <w:rPr>
          <w:sz w:val="22"/>
          <w:szCs w:val="22"/>
        </w:rPr>
        <w:t xml:space="preserve">. </w:t>
      </w:r>
      <w:proofErr w:type="gramStart"/>
      <w:r w:rsidRPr="00F92589">
        <w:rPr>
          <w:sz w:val="22"/>
          <w:szCs w:val="22"/>
        </w:rPr>
        <w:t>Hassel, “Policies and Politics in Social Pacts”.</w:t>
      </w:r>
      <w:proofErr w:type="gramEnd"/>
    </w:p>
  </w:endnote>
  <w:endnote w:id="39">
    <w:p w:rsidR="001264CB" w:rsidRPr="00F92589" w:rsidRDefault="001264CB" w:rsidP="001652C4">
      <w:pPr>
        <w:pStyle w:val="EndnoteText"/>
        <w:spacing w:line="480" w:lineRule="auto"/>
        <w:rPr>
          <w:sz w:val="22"/>
          <w:szCs w:val="22"/>
          <w:lang w:val="en-GB"/>
        </w:rPr>
      </w:pPr>
      <w:r w:rsidRPr="00F92589">
        <w:rPr>
          <w:rStyle w:val="EndnoteReference"/>
          <w:sz w:val="22"/>
          <w:szCs w:val="22"/>
          <w:vertAlign w:val="baseline"/>
        </w:rPr>
        <w:endnoteRef/>
      </w:r>
      <w:r w:rsidRPr="00F92589">
        <w:rPr>
          <w:sz w:val="22"/>
          <w:szCs w:val="22"/>
        </w:rPr>
        <w:t xml:space="preserve">. </w:t>
      </w:r>
      <w:proofErr w:type="gramStart"/>
      <w:r w:rsidRPr="00F92589">
        <w:rPr>
          <w:sz w:val="22"/>
          <w:szCs w:val="22"/>
        </w:rPr>
        <w:t>McIlroy and Croucher, “British Trade Unions”.</w:t>
      </w:r>
      <w:proofErr w:type="gramEnd"/>
    </w:p>
  </w:endnote>
  <w:endnote w:id="40">
    <w:p w:rsidR="001264CB" w:rsidRPr="00F92589" w:rsidRDefault="001264CB" w:rsidP="001652C4">
      <w:pPr>
        <w:pStyle w:val="EndnoteText"/>
        <w:spacing w:line="480" w:lineRule="auto"/>
        <w:rPr>
          <w:sz w:val="22"/>
          <w:szCs w:val="22"/>
          <w:lang w:val="en-GB"/>
        </w:rPr>
      </w:pPr>
      <w:r w:rsidRPr="00F92589">
        <w:rPr>
          <w:rStyle w:val="EndnoteReference"/>
          <w:sz w:val="22"/>
          <w:szCs w:val="22"/>
          <w:vertAlign w:val="baseline"/>
        </w:rPr>
        <w:endnoteRef/>
      </w:r>
      <w:r w:rsidRPr="00F92589">
        <w:rPr>
          <w:sz w:val="22"/>
          <w:szCs w:val="22"/>
        </w:rPr>
        <w:t xml:space="preserve">. Australian Government, </w:t>
      </w:r>
      <w:r w:rsidRPr="00F92589">
        <w:rPr>
          <w:i/>
          <w:sz w:val="22"/>
          <w:szCs w:val="22"/>
        </w:rPr>
        <w:t>Multilateral Assessment: ILO</w:t>
      </w:r>
      <w:r w:rsidRPr="00F92589">
        <w:rPr>
          <w:sz w:val="22"/>
          <w:szCs w:val="22"/>
        </w:rPr>
        <w:t>.</w:t>
      </w:r>
    </w:p>
  </w:endnote>
  <w:endnote w:id="41">
    <w:p w:rsidR="001264CB" w:rsidRPr="00F92589" w:rsidRDefault="001264CB" w:rsidP="001652C4">
      <w:pPr>
        <w:pStyle w:val="EndnoteText"/>
        <w:spacing w:line="480" w:lineRule="auto"/>
        <w:rPr>
          <w:sz w:val="22"/>
          <w:szCs w:val="22"/>
          <w:lang w:val="en-GB"/>
        </w:rPr>
      </w:pPr>
      <w:r w:rsidRPr="00F92589">
        <w:rPr>
          <w:rStyle w:val="EndnoteReference"/>
          <w:sz w:val="22"/>
          <w:szCs w:val="22"/>
          <w:vertAlign w:val="baseline"/>
        </w:rPr>
        <w:endnoteRef/>
      </w:r>
      <w:r w:rsidRPr="00F92589">
        <w:rPr>
          <w:sz w:val="22"/>
          <w:szCs w:val="22"/>
        </w:rPr>
        <w:t xml:space="preserve">. Van </w:t>
      </w:r>
      <w:proofErr w:type="spellStart"/>
      <w:r w:rsidRPr="00F92589">
        <w:rPr>
          <w:sz w:val="22"/>
          <w:szCs w:val="22"/>
        </w:rPr>
        <w:t>Daele</w:t>
      </w:r>
      <w:proofErr w:type="spellEnd"/>
      <w:r w:rsidRPr="00F92589">
        <w:rPr>
          <w:sz w:val="22"/>
          <w:szCs w:val="22"/>
        </w:rPr>
        <w:t xml:space="preserve">, “International </w:t>
      </w:r>
      <w:proofErr w:type="spellStart"/>
      <w:r w:rsidRPr="00F92589">
        <w:rPr>
          <w:sz w:val="22"/>
          <w:szCs w:val="22"/>
        </w:rPr>
        <w:t>Labour</w:t>
      </w:r>
      <w:proofErr w:type="spellEnd"/>
      <w:r w:rsidRPr="00F92589">
        <w:rPr>
          <w:sz w:val="22"/>
          <w:szCs w:val="22"/>
        </w:rPr>
        <w:t xml:space="preserve"> </w:t>
      </w:r>
      <w:proofErr w:type="spellStart"/>
      <w:r w:rsidRPr="00F92589">
        <w:rPr>
          <w:sz w:val="22"/>
          <w:szCs w:val="22"/>
        </w:rPr>
        <w:t>Organisation</w:t>
      </w:r>
      <w:proofErr w:type="spellEnd"/>
      <w:r w:rsidRPr="00F92589">
        <w:rPr>
          <w:sz w:val="22"/>
          <w:szCs w:val="22"/>
        </w:rPr>
        <w:t xml:space="preserve"> in Research”.</w:t>
      </w:r>
    </w:p>
  </w:endnote>
  <w:endnote w:id="42">
    <w:p w:rsidR="001264CB" w:rsidRPr="00F92589" w:rsidRDefault="001264CB" w:rsidP="001652C4">
      <w:pPr>
        <w:pStyle w:val="EndnoteText"/>
        <w:spacing w:line="480" w:lineRule="auto"/>
        <w:rPr>
          <w:sz w:val="22"/>
          <w:szCs w:val="22"/>
          <w:lang w:val="en-GB"/>
        </w:rPr>
      </w:pPr>
      <w:r w:rsidRPr="00F92589">
        <w:rPr>
          <w:rStyle w:val="EndnoteReference"/>
          <w:sz w:val="22"/>
          <w:szCs w:val="22"/>
          <w:vertAlign w:val="baseline"/>
        </w:rPr>
        <w:endnoteRef/>
      </w:r>
      <w:r w:rsidRPr="00F92589">
        <w:rPr>
          <w:sz w:val="22"/>
          <w:szCs w:val="22"/>
        </w:rPr>
        <w:t xml:space="preserve">. </w:t>
      </w:r>
      <w:proofErr w:type="gramStart"/>
      <w:r w:rsidRPr="00F92589">
        <w:rPr>
          <w:sz w:val="22"/>
          <w:szCs w:val="22"/>
        </w:rPr>
        <w:t xml:space="preserve">Haworth et al., “International </w:t>
      </w:r>
      <w:proofErr w:type="spellStart"/>
      <w:r w:rsidRPr="00F92589">
        <w:rPr>
          <w:sz w:val="22"/>
          <w:szCs w:val="22"/>
        </w:rPr>
        <w:t>Labour</w:t>
      </w:r>
      <w:proofErr w:type="spellEnd"/>
      <w:r w:rsidRPr="00F92589">
        <w:rPr>
          <w:sz w:val="22"/>
          <w:szCs w:val="22"/>
        </w:rPr>
        <w:t xml:space="preserve"> Standards Regime”.</w:t>
      </w:r>
      <w:proofErr w:type="gramEnd"/>
      <w:r w:rsidRPr="00F92589">
        <w:rPr>
          <w:sz w:val="22"/>
          <w:szCs w:val="22"/>
        </w:rPr>
        <w:t xml:space="preserve"> </w:t>
      </w:r>
    </w:p>
  </w:endnote>
  <w:endnote w:id="43">
    <w:p w:rsidR="001264CB" w:rsidRPr="00F92589" w:rsidRDefault="001264CB" w:rsidP="001652C4">
      <w:pPr>
        <w:pStyle w:val="EndnoteText"/>
        <w:spacing w:line="480" w:lineRule="auto"/>
        <w:rPr>
          <w:sz w:val="22"/>
          <w:szCs w:val="22"/>
          <w:lang w:val="en-GB"/>
        </w:rPr>
      </w:pPr>
      <w:r w:rsidRPr="00F92589">
        <w:rPr>
          <w:rStyle w:val="EndnoteReference"/>
          <w:sz w:val="22"/>
          <w:szCs w:val="22"/>
          <w:vertAlign w:val="baseline"/>
        </w:rPr>
        <w:endnoteRef/>
      </w:r>
      <w:r w:rsidRPr="00F92589">
        <w:rPr>
          <w:sz w:val="22"/>
          <w:szCs w:val="22"/>
        </w:rPr>
        <w:t xml:space="preserve">. </w:t>
      </w:r>
      <w:proofErr w:type="gramStart"/>
      <w:r w:rsidRPr="00F92589">
        <w:rPr>
          <w:sz w:val="22"/>
          <w:szCs w:val="22"/>
        </w:rPr>
        <w:t xml:space="preserve">Simpson, “ILO and </w:t>
      </w:r>
      <w:proofErr w:type="spellStart"/>
      <w:r w:rsidRPr="00F92589">
        <w:rPr>
          <w:sz w:val="22"/>
          <w:szCs w:val="22"/>
        </w:rPr>
        <w:t>Tripartism</w:t>
      </w:r>
      <w:proofErr w:type="spellEnd"/>
      <w:r w:rsidRPr="00F92589">
        <w:rPr>
          <w:sz w:val="22"/>
          <w:szCs w:val="22"/>
        </w:rPr>
        <w:t xml:space="preserve">”; Rodgers et al., “International </w:t>
      </w:r>
      <w:proofErr w:type="spellStart"/>
      <w:r w:rsidRPr="00F92589">
        <w:rPr>
          <w:sz w:val="22"/>
          <w:szCs w:val="22"/>
        </w:rPr>
        <w:t>Labour</w:t>
      </w:r>
      <w:proofErr w:type="spellEnd"/>
      <w:r w:rsidRPr="00F92589">
        <w:rPr>
          <w:sz w:val="22"/>
          <w:szCs w:val="22"/>
        </w:rPr>
        <w:t xml:space="preserve"> Organization”; Haworth et al., “International </w:t>
      </w:r>
      <w:proofErr w:type="spellStart"/>
      <w:r w:rsidRPr="00F92589">
        <w:rPr>
          <w:sz w:val="22"/>
          <w:szCs w:val="22"/>
        </w:rPr>
        <w:t>Labour</w:t>
      </w:r>
      <w:proofErr w:type="spellEnd"/>
      <w:r w:rsidRPr="00F92589">
        <w:rPr>
          <w:sz w:val="22"/>
          <w:szCs w:val="22"/>
        </w:rPr>
        <w:t xml:space="preserve"> Standards Regime”; </w:t>
      </w:r>
      <w:proofErr w:type="spellStart"/>
      <w:r w:rsidRPr="00F92589">
        <w:rPr>
          <w:sz w:val="22"/>
          <w:szCs w:val="22"/>
        </w:rPr>
        <w:t>Stiglitz</w:t>
      </w:r>
      <w:proofErr w:type="spellEnd"/>
      <w:r w:rsidRPr="00F92589">
        <w:rPr>
          <w:sz w:val="22"/>
          <w:szCs w:val="22"/>
        </w:rPr>
        <w:t xml:space="preserve">, </w:t>
      </w:r>
      <w:r w:rsidRPr="00F92589">
        <w:rPr>
          <w:i/>
          <w:sz w:val="22"/>
          <w:szCs w:val="22"/>
          <w:lang w:val="en-GB"/>
        </w:rPr>
        <w:t>Globalization and its Discontents</w:t>
      </w:r>
      <w:r w:rsidRPr="00F92589">
        <w:rPr>
          <w:sz w:val="22"/>
          <w:szCs w:val="22"/>
        </w:rPr>
        <w:t xml:space="preserve">; ILO, </w:t>
      </w:r>
      <w:r w:rsidRPr="00F92589">
        <w:rPr>
          <w:i/>
          <w:sz w:val="22"/>
          <w:szCs w:val="22"/>
        </w:rPr>
        <w:t>National Tripartite Social Dialogue</w:t>
      </w:r>
      <w:r w:rsidRPr="00F92589">
        <w:rPr>
          <w:sz w:val="22"/>
          <w:szCs w:val="22"/>
        </w:rPr>
        <w:t>.</w:t>
      </w:r>
      <w:proofErr w:type="gramEnd"/>
    </w:p>
  </w:endnote>
  <w:endnote w:id="44">
    <w:p w:rsidR="001264CB" w:rsidRPr="00F92589" w:rsidRDefault="001264CB" w:rsidP="001652C4">
      <w:pPr>
        <w:pStyle w:val="EndnoteText"/>
        <w:spacing w:line="480" w:lineRule="auto"/>
        <w:rPr>
          <w:sz w:val="22"/>
          <w:szCs w:val="22"/>
          <w:lang w:val="en-GB"/>
        </w:rPr>
      </w:pPr>
      <w:r w:rsidRPr="00E727E9">
        <w:rPr>
          <w:rStyle w:val="EndnoteReference"/>
          <w:sz w:val="22"/>
          <w:szCs w:val="22"/>
          <w:vertAlign w:val="baseline"/>
        </w:rPr>
        <w:endnoteRef/>
      </w:r>
      <w:r w:rsidRPr="00E727E9">
        <w:rPr>
          <w:sz w:val="22"/>
          <w:szCs w:val="22"/>
        </w:rPr>
        <w:t xml:space="preserve">. </w:t>
      </w:r>
      <w:proofErr w:type="gramStart"/>
      <w:r w:rsidRPr="00E727E9">
        <w:rPr>
          <w:sz w:val="22"/>
          <w:szCs w:val="22"/>
        </w:rPr>
        <w:t xml:space="preserve">Standing, </w:t>
      </w:r>
      <w:r w:rsidRPr="00E727E9">
        <w:rPr>
          <w:color w:val="222222"/>
          <w:sz w:val="22"/>
          <w:szCs w:val="22"/>
        </w:rPr>
        <w:t xml:space="preserve">“The International </w:t>
      </w:r>
      <w:proofErr w:type="spellStart"/>
      <w:r w:rsidRPr="00E727E9">
        <w:rPr>
          <w:color w:val="222222"/>
          <w:sz w:val="22"/>
          <w:szCs w:val="22"/>
        </w:rPr>
        <w:t>Labour</w:t>
      </w:r>
      <w:proofErr w:type="spellEnd"/>
      <w:r w:rsidRPr="00E727E9">
        <w:rPr>
          <w:color w:val="222222"/>
          <w:sz w:val="22"/>
          <w:szCs w:val="22"/>
        </w:rPr>
        <w:t xml:space="preserve"> Organization”.</w:t>
      </w:r>
      <w:proofErr w:type="gramEnd"/>
    </w:p>
  </w:endnote>
  <w:endnote w:id="45">
    <w:p w:rsidR="001264CB" w:rsidRPr="00F92589" w:rsidRDefault="001264CB" w:rsidP="001652C4">
      <w:pPr>
        <w:pStyle w:val="EndnoteText"/>
        <w:spacing w:line="480" w:lineRule="auto"/>
        <w:rPr>
          <w:sz w:val="22"/>
          <w:szCs w:val="22"/>
          <w:lang w:val="en-GB"/>
        </w:rPr>
      </w:pPr>
      <w:r w:rsidRPr="00F92589">
        <w:rPr>
          <w:rStyle w:val="EndnoteReference"/>
          <w:sz w:val="22"/>
          <w:szCs w:val="22"/>
          <w:vertAlign w:val="baseline"/>
        </w:rPr>
        <w:endnoteRef/>
      </w:r>
      <w:r w:rsidRPr="00F92589">
        <w:rPr>
          <w:sz w:val="22"/>
          <w:szCs w:val="22"/>
        </w:rPr>
        <w:t xml:space="preserve">. </w:t>
      </w:r>
      <w:r>
        <w:rPr>
          <w:sz w:val="22"/>
          <w:szCs w:val="22"/>
        </w:rPr>
        <w:t xml:space="preserve">See, for example, </w:t>
      </w:r>
      <w:r w:rsidRPr="00F92589">
        <w:rPr>
          <w:sz w:val="22"/>
          <w:szCs w:val="22"/>
        </w:rPr>
        <w:t xml:space="preserve">Adler </w:t>
      </w:r>
      <w:proofErr w:type="gramStart"/>
      <w:r w:rsidRPr="00F92589">
        <w:rPr>
          <w:sz w:val="22"/>
          <w:szCs w:val="22"/>
        </w:rPr>
        <w:t>et.al.,</w:t>
      </w:r>
      <w:proofErr w:type="gramEnd"/>
      <w:r w:rsidRPr="00F92589">
        <w:rPr>
          <w:sz w:val="22"/>
          <w:szCs w:val="22"/>
        </w:rPr>
        <w:t xml:space="preserve"> “Interim Institutions and the Development Process”; Di </w:t>
      </w:r>
      <w:proofErr w:type="spellStart"/>
      <w:r w:rsidRPr="00F92589">
        <w:rPr>
          <w:sz w:val="22"/>
          <w:szCs w:val="22"/>
        </w:rPr>
        <w:t>Caprio</w:t>
      </w:r>
      <w:proofErr w:type="spellEnd"/>
      <w:r w:rsidRPr="00F92589">
        <w:rPr>
          <w:sz w:val="22"/>
          <w:szCs w:val="22"/>
        </w:rPr>
        <w:t>, “Demand Side of Social Protection”.</w:t>
      </w:r>
    </w:p>
  </w:endnote>
  <w:endnote w:id="46">
    <w:p w:rsidR="001264CB" w:rsidRDefault="001264CB" w:rsidP="001652C4">
      <w:pPr>
        <w:pStyle w:val="EndnoteText"/>
        <w:spacing w:line="480" w:lineRule="auto"/>
        <w:rPr>
          <w:sz w:val="22"/>
          <w:szCs w:val="22"/>
        </w:rPr>
      </w:pPr>
      <w:r w:rsidRPr="00F92589">
        <w:rPr>
          <w:rStyle w:val="EndnoteReference"/>
          <w:sz w:val="22"/>
          <w:szCs w:val="22"/>
          <w:vertAlign w:val="baseline"/>
        </w:rPr>
        <w:endnoteRef/>
      </w:r>
      <w:r w:rsidRPr="00F92589">
        <w:rPr>
          <w:sz w:val="22"/>
          <w:szCs w:val="22"/>
        </w:rPr>
        <w:t xml:space="preserve">. </w:t>
      </w:r>
      <w:proofErr w:type="gramStart"/>
      <w:r w:rsidRPr="00F92589">
        <w:rPr>
          <w:sz w:val="22"/>
          <w:szCs w:val="22"/>
        </w:rPr>
        <w:t xml:space="preserve">Islam and McPhail, “Regulating for Corporate Human Rights Abuses”; Di </w:t>
      </w:r>
      <w:proofErr w:type="spellStart"/>
      <w:r w:rsidRPr="00F92589">
        <w:rPr>
          <w:sz w:val="22"/>
          <w:szCs w:val="22"/>
        </w:rPr>
        <w:t>Caprio</w:t>
      </w:r>
      <w:proofErr w:type="spellEnd"/>
      <w:r w:rsidRPr="00F92589">
        <w:rPr>
          <w:sz w:val="22"/>
          <w:szCs w:val="22"/>
        </w:rPr>
        <w:t>, “Demand Side of Social Protection”.</w:t>
      </w:r>
      <w:proofErr w:type="gramEnd"/>
    </w:p>
    <w:p w:rsidR="001264CB" w:rsidRDefault="001264CB">
      <w:pPr>
        <w:pStyle w:val="EndnoteText"/>
        <w:rPr>
          <w:sz w:val="22"/>
          <w:szCs w:val="22"/>
        </w:rPr>
      </w:pPr>
    </w:p>
    <w:p w:rsidR="001264CB" w:rsidRDefault="001264CB">
      <w:pPr>
        <w:pStyle w:val="EndnoteText"/>
        <w:rPr>
          <w:sz w:val="22"/>
          <w:szCs w:val="22"/>
        </w:rPr>
      </w:pPr>
    </w:p>
    <w:p w:rsidR="001264CB" w:rsidRDefault="001264CB">
      <w:pPr>
        <w:pStyle w:val="EndnoteText"/>
        <w:rPr>
          <w:sz w:val="22"/>
          <w:szCs w:val="22"/>
        </w:rPr>
      </w:pPr>
    </w:p>
    <w:p w:rsidR="001264CB" w:rsidRPr="00E228B5" w:rsidRDefault="001264CB" w:rsidP="00EA78C0">
      <w:pPr>
        <w:spacing w:line="480" w:lineRule="auto"/>
        <w:rPr>
          <w:b/>
          <w:sz w:val="22"/>
          <w:szCs w:val="22"/>
        </w:rPr>
      </w:pPr>
      <w:r w:rsidRPr="00E228B5">
        <w:rPr>
          <w:b/>
          <w:sz w:val="22"/>
          <w:szCs w:val="22"/>
        </w:rPr>
        <w:t>Bibliography</w:t>
      </w:r>
    </w:p>
    <w:p w:rsidR="001264CB" w:rsidRPr="00E228B5" w:rsidRDefault="001264CB" w:rsidP="00EA78C0">
      <w:pPr>
        <w:spacing w:after="240" w:line="480" w:lineRule="auto"/>
        <w:rPr>
          <w:sz w:val="22"/>
          <w:szCs w:val="22"/>
        </w:rPr>
      </w:pPr>
      <w:proofErr w:type="gramStart"/>
      <w:r w:rsidRPr="00E228B5">
        <w:rPr>
          <w:sz w:val="22"/>
          <w:szCs w:val="22"/>
        </w:rPr>
        <w:t xml:space="preserve">Adler, D., C. Sage, and M. </w:t>
      </w:r>
      <w:proofErr w:type="spellStart"/>
      <w:r w:rsidRPr="00E228B5">
        <w:rPr>
          <w:sz w:val="22"/>
          <w:szCs w:val="22"/>
        </w:rPr>
        <w:t>Woolcock</w:t>
      </w:r>
      <w:proofErr w:type="spellEnd"/>
      <w:r w:rsidRPr="00E228B5">
        <w:rPr>
          <w:sz w:val="22"/>
          <w:szCs w:val="22"/>
        </w:rPr>
        <w:t>.</w:t>
      </w:r>
      <w:proofErr w:type="gramEnd"/>
      <w:r w:rsidRPr="00E228B5">
        <w:rPr>
          <w:sz w:val="22"/>
          <w:szCs w:val="22"/>
        </w:rPr>
        <w:t xml:space="preserve"> “Interim institutions and the development process: opening spaces for reform in Cambodia and Indonesia.” </w:t>
      </w:r>
      <w:proofErr w:type="gramStart"/>
      <w:r w:rsidRPr="00E228B5">
        <w:rPr>
          <w:sz w:val="22"/>
          <w:szCs w:val="22"/>
        </w:rPr>
        <w:t>Brooks World Poverty Institute Working Paper.</w:t>
      </w:r>
      <w:proofErr w:type="gramEnd"/>
      <w:r w:rsidRPr="00E228B5">
        <w:rPr>
          <w:sz w:val="22"/>
          <w:szCs w:val="22"/>
        </w:rPr>
        <w:t xml:space="preserve"> </w:t>
      </w:r>
      <w:proofErr w:type="gramStart"/>
      <w:r w:rsidRPr="00E228B5">
        <w:rPr>
          <w:sz w:val="22"/>
          <w:szCs w:val="22"/>
        </w:rPr>
        <w:t xml:space="preserve">University of Manchester, </w:t>
      </w:r>
      <w:r>
        <w:rPr>
          <w:sz w:val="22"/>
          <w:szCs w:val="22"/>
        </w:rPr>
        <w:t>(</w:t>
      </w:r>
      <w:r w:rsidRPr="00E228B5">
        <w:rPr>
          <w:sz w:val="22"/>
          <w:szCs w:val="22"/>
        </w:rPr>
        <w:t>2009</w:t>
      </w:r>
      <w:r>
        <w:rPr>
          <w:sz w:val="22"/>
          <w:szCs w:val="22"/>
        </w:rPr>
        <w:t>)</w:t>
      </w:r>
      <w:r w:rsidRPr="00E228B5">
        <w:rPr>
          <w:sz w:val="22"/>
          <w:szCs w:val="22"/>
        </w:rPr>
        <w:t>.</w:t>
      </w:r>
      <w:proofErr w:type="gramEnd"/>
    </w:p>
    <w:p w:rsidR="001264CB" w:rsidRPr="00E228B5" w:rsidRDefault="001264CB" w:rsidP="00EA78C0">
      <w:pPr>
        <w:spacing w:after="240" w:line="480" w:lineRule="auto"/>
        <w:rPr>
          <w:sz w:val="22"/>
          <w:szCs w:val="22"/>
        </w:rPr>
      </w:pPr>
      <w:proofErr w:type="spellStart"/>
      <w:r w:rsidRPr="00E228B5">
        <w:rPr>
          <w:sz w:val="22"/>
          <w:szCs w:val="22"/>
        </w:rPr>
        <w:t>Agrarwal</w:t>
      </w:r>
      <w:proofErr w:type="spellEnd"/>
      <w:r w:rsidRPr="00E228B5">
        <w:rPr>
          <w:sz w:val="22"/>
          <w:szCs w:val="22"/>
        </w:rPr>
        <w:t xml:space="preserve">, A. K. “Corporate governance objectives of labor union shareholders: evidence from proxy voting.” </w:t>
      </w:r>
      <w:r w:rsidRPr="00E228B5">
        <w:rPr>
          <w:i/>
          <w:sz w:val="22"/>
          <w:szCs w:val="22"/>
        </w:rPr>
        <w:t>Review of Financial Studies</w:t>
      </w:r>
      <w:r w:rsidRPr="00E228B5">
        <w:rPr>
          <w:sz w:val="22"/>
          <w:szCs w:val="22"/>
        </w:rPr>
        <w:t xml:space="preserve"> 25, no. 1 (2012): 187-226. </w:t>
      </w:r>
    </w:p>
    <w:p w:rsidR="001264CB" w:rsidRPr="00E228B5" w:rsidRDefault="001264CB" w:rsidP="00EA78C0">
      <w:pPr>
        <w:spacing w:after="240" w:line="480" w:lineRule="auto"/>
        <w:rPr>
          <w:sz w:val="22"/>
          <w:szCs w:val="22"/>
        </w:rPr>
      </w:pPr>
      <w:proofErr w:type="spellStart"/>
      <w:proofErr w:type="gramStart"/>
      <w:r>
        <w:rPr>
          <w:sz w:val="22"/>
          <w:szCs w:val="22"/>
        </w:rPr>
        <w:t>Arrowsmith</w:t>
      </w:r>
      <w:proofErr w:type="spellEnd"/>
      <w:r>
        <w:rPr>
          <w:sz w:val="22"/>
          <w:szCs w:val="22"/>
        </w:rPr>
        <w:t xml:space="preserve">, J., and A. </w:t>
      </w:r>
      <w:proofErr w:type="spellStart"/>
      <w:r>
        <w:rPr>
          <w:sz w:val="22"/>
          <w:szCs w:val="22"/>
        </w:rPr>
        <w:t>Pu</w:t>
      </w:r>
      <w:r w:rsidRPr="00E228B5">
        <w:rPr>
          <w:sz w:val="22"/>
          <w:szCs w:val="22"/>
        </w:rPr>
        <w:t>lignano</w:t>
      </w:r>
      <w:proofErr w:type="spellEnd"/>
      <w:r w:rsidRPr="00E228B5">
        <w:rPr>
          <w:sz w:val="22"/>
          <w:szCs w:val="22"/>
        </w:rPr>
        <w:t>.</w:t>
      </w:r>
      <w:proofErr w:type="gramEnd"/>
      <w:r w:rsidRPr="00E228B5">
        <w:rPr>
          <w:sz w:val="22"/>
          <w:szCs w:val="22"/>
        </w:rPr>
        <w:t xml:space="preserve"> </w:t>
      </w:r>
      <w:r w:rsidRPr="00E228B5">
        <w:rPr>
          <w:i/>
          <w:sz w:val="22"/>
          <w:szCs w:val="22"/>
        </w:rPr>
        <w:t>The transformation of employment relations in Europe: institutions and outcomes in the era of globalization.</w:t>
      </w:r>
      <w:r w:rsidR="002F0CC1">
        <w:rPr>
          <w:sz w:val="22"/>
          <w:szCs w:val="22"/>
        </w:rPr>
        <w:t xml:space="preserve">  London: Routledge</w:t>
      </w:r>
      <w:r w:rsidRPr="00E228B5">
        <w:rPr>
          <w:sz w:val="22"/>
          <w:szCs w:val="22"/>
        </w:rPr>
        <w:t xml:space="preserve"> </w:t>
      </w:r>
      <w:r>
        <w:rPr>
          <w:sz w:val="22"/>
          <w:szCs w:val="22"/>
        </w:rPr>
        <w:t>(</w:t>
      </w:r>
      <w:r w:rsidRPr="00E228B5">
        <w:rPr>
          <w:sz w:val="22"/>
          <w:szCs w:val="22"/>
        </w:rPr>
        <w:t>2013</w:t>
      </w:r>
      <w:r>
        <w:rPr>
          <w:sz w:val="22"/>
          <w:szCs w:val="22"/>
        </w:rPr>
        <w:t>)</w:t>
      </w:r>
      <w:r w:rsidRPr="00E228B5">
        <w:rPr>
          <w:sz w:val="22"/>
          <w:szCs w:val="22"/>
        </w:rPr>
        <w:t>.</w:t>
      </w:r>
    </w:p>
    <w:p w:rsidR="001264CB" w:rsidRPr="00E228B5" w:rsidRDefault="001264CB" w:rsidP="00EA78C0">
      <w:pPr>
        <w:spacing w:after="240" w:line="480" w:lineRule="auto"/>
        <w:rPr>
          <w:sz w:val="22"/>
          <w:szCs w:val="22"/>
        </w:rPr>
      </w:pPr>
      <w:proofErr w:type="gramStart"/>
      <w:r w:rsidRPr="00E228B5">
        <w:rPr>
          <w:sz w:val="22"/>
          <w:szCs w:val="22"/>
        </w:rPr>
        <w:t>Australian Government.</w:t>
      </w:r>
      <w:proofErr w:type="gramEnd"/>
      <w:r w:rsidRPr="00E228B5">
        <w:rPr>
          <w:sz w:val="22"/>
          <w:szCs w:val="22"/>
        </w:rPr>
        <w:t xml:space="preserve"> </w:t>
      </w:r>
      <w:r w:rsidRPr="00E228B5">
        <w:rPr>
          <w:i/>
          <w:sz w:val="22"/>
          <w:szCs w:val="22"/>
        </w:rPr>
        <w:t xml:space="preserve">Australian Multilateral Assessment: ILO. </w:t>
      </w:r>
      <w:proofErr w:type="gramStart"/>
      <w:r>
        <w:rPr>
          <w:sz w:val="22"/>
          <w:szCs w:val="22"/>
        </w:rPr>
        <w:t>Commonwealth of Australia, (</w:t>
      </w:r>
      <w:r w:rsidRPr="00E228B5">
        <w:rPr>
          <w:sz w:val="22"/>
          <w:szCs w:val="22"/>
        </w:rPr>
        <w:t>2012</w:t>
      </w:r>
      <w:r>
        <w:rPr>
          <w:sz w:val="22"/>
          <w:szCs w:val="22"/>
        </w:rPr>
        <w:t>)</w:t>
      </w:r>
      <w:r w:rsidRPr="00E228B5">
        <w:rPr>
          <w:sz w:val="22"/>
          <w:szCs w:val="22"/>
        </w:rPr>
        <w:t>.</w:t>
      </w:r>
      <w:proofErr w:type="gramEnd"/>
    </w:p>
    <w:p w:rsidR="001264CB" w:rsidRDefault="001264CB" w:rsidP="00EA78C0">
      <w:pPr>
        <w:spacing w:after="240" w:line="480" w:lineRule="auto"/>
        <w:rPr>
          <w:sz w:val="22"/>
          <w:szCs w:val="22"/>
        </w:rPr>
      </w:pPr>
      <w:r w:rsidRPr="00E228B5">
        <w:rPr>
          <w:sz w:val="22"/>
          <w:szCs w:val="22"/>
        </w:rPr>
        <w:t xml:space="preserve">Baldwin, P. </w:t>
      </w:r>
      <w:proofErr w:type="gramStart"/>
      <w:r w:rsidRPr="00E228B5">
        <w:rPr>
          <w:i/>
          <w:sz w:val="22"/>
          <w:szCs w:val="22"/>
        </w:rPr>
        <w:t>The Politics of Social Solidarity</w:t>
      </w:r>
      <w:r w:rsidRPr="00E228B5">
        <w:rPr>
          <w:sz w:val="22"/>
          <w:szCs w:val="22"/>
        </w:rPr>
        <w:t>.</w:t>
      </w:r>
      <w:proofErr w:type="gramEnd"/>
      <w:r w:rsidRPr="00E228B5">
        <w:rPr>
          <w:sz w:val="22"/>
          <w:szCs w:val="22"/>
        </w:rPr>
        <w:t xml:space="preserve"> Cambridge: Cambridge University Press, </w:t>
      </w:r>
      <w:r>
        <w:rPr>
          <w:sz w:val="22"/>
          <w:szCs w:val="22"/>
        </w:rPr>
        <w:t>(</w:t>
      </w:r>
      <w:r w:rsidRPr="00E228B5">
        <w:rPr>
          <w:sz w:val="22"/>
          <w:szCs w:val="22"/>
        </w:rPr>
        <w:t>1990</w:t>
      </w:r>
      <w:r>
        <w:rPr>
          <w:sz w:val="22"/>
          <w:szCs w:val="22"/>
        </w:rPr>
        <w:t>)</w:t>
      </w:r>
      <w:r w:rsidRPr="00E228B5">
        <w:rPr>
          <w:sz w:val="22"/>
          <w:szCs w:val="22"/>
        </w:rPr>
        <w:t>.</w:t>
      </w:r>
    </w:p>
    <w:p w:rsidR="001264CB" w:rsidRPr="00E228B5" w:rsidRDefault="001264CB" w:rsidP="00EA78C0">
      <w:pPr>
        <w:spacing w:after="240" w:line="480" w:lineRule="auto"/>
        <w:jc w:val="both"/>
        <w:rPr>
          <w:color w:val="000000"/>
          <w:sz w:val="22"/>
          <w:szCs w:val="22"/>
        </w:rPr>
      </w:pPr>
      <w:r w:rsidRPr="00E228B5">
        <w:rPr>
          <w:color w:val="000000"/>
          <w:sz w:val="22"/>
          <w:szCs w:val="22"/>
        </w:rPr>
        <w:t xml:space="preserve">Boyer, R. “How do Institutions Cohere and Change.” </w:t>
      </w:r>
      <w:proofErr w:type="gramStart"/>
      <w:r w:rsidRPr="00E228B5">
        <w:rPr>
          <w:color w:val="000000"/>
          <w:sz w:val="22"/>
          <w:szCs w:val="22"/>
        </w:rPr>
        <w:t xml:space="preserve">In </w:t>
      </w:r>
      <w:r w:rsidRPr="00E228B5">
        <w:rPr>
          <w:i/>
          <w:color w:val="000000"/>
          <w:sz w:val="22"/>
          <w:szCs w:val="22"/>
        </w:rPr>
        <w:t>Institutions and Working Life</w:t>
      </w:r>
      <w:r w:rsidRPr="00E228B5">
        <w:rPr>
          <w:color w:val="000000"/>
          <w:sz w:val="22"/>
          <w:szCs w:val="22"/>
        </w:rPr>
        <w:t>, edited by G. Wood and P. James, 13-61.</w:t>
      </w:r>
      <w:proofErr w:type="gramEnd"/>
      <w:r w:rsidRPr="00E228B5">
        <w:rPr>
          <w:color w:val="000000"/>
          <w:sz w:val="22"/>
          <w:szCs w:val="22"/>
        </w:rPr>
        <w:t xml:space="preserve"> Oxford: Oxford University Press, </w:t>
      </w:r>
      <w:r>
        <w:rPr>
          <w:color w:val="000000"/>
          <w:sz w:val="22"/>
          <w:szCs w:val="22"/>
        </w:rPr>
        <w:t>(</w:t>
      </w:r>
      <w:r w:rsidRPr="00E228B5">
        <w:rPr>
          <w:color w:val="000000"/>
          <w:sz w:val="22"/>
          <w:szCs w:val="22"/>
        </w:rPr>
        <w:t>2006</w:t>
      </w:r>
      <w:r>
        <w:rPr>
          <w:color w:val="000000"/>
          <w:sz w:val="22"/>
          <w:szCs w:val="22"/>
        </w:rPr>
        <w:t>)</w:t>
      </w:r>
      <w:r w:rsidRPr="00E228B5">
        <w:rPr>
          <w:color w:val="000000"/>
          <w:sz w:val="22"/>
          <w:szCs w:val="22"/>
        </w:rPr>
        <w:t>.</w:t>
      </w:r>
    </w:p>
    <w:p w:rsidR="001264CB" w:rsidRPr="00E228B5" w:rsidRDefault="001264CB" w:rsidP="00EA78C0">
      <w:pPr>
        <w:spacing w:after="240" w:line="480" w:lineRule="auto"/>
        <w:rPr>
          <w:sz w:val="22"/>
          <w:szCs w:val="22"/>
        </w:rPr>
      </w:pPr>
      <w:r w:rsidRPr="00E228B5">
        <w:rPr>
          <w:sz w:val="22"/>
          <w:szCs w:val="22"/>
        </w:rPr>
        <w:t xml:space="preserve">Braun, H.J. </w:t>
      </w:r>
      <w:r w:rsidRPr="00E228B5">
        <w:rPr>
          <w:i/>
          <w:sz w:val="22"/>
          <w:szCs w:val="22"/>
        </w:rPr>
        <w:t>The German Economy in the Twentieth Century.</w:t>
      </w:r>
      <w:r w:rsidRPr="00E228B5">
        <w:rPr>
          <w:sz w:val="22"/>
          <w:szCs w:val="22"/>
        </w:rPr>
        <w:t xml:space="preserve">  London: Routledge, </w:t>
      </w:r>
      <w:r>
        <w:rPr>
          <w:sz w:val="22"/>
          <w:szCs w:val="22"/>
        </w:rPr>
        <w:t>(</w:t>
      </w:r>
      <w:r w:rsidRPr="00E228B5">
        <w:rPr>
          <w:sz w:val="22"/>
          <w:szCs w:val="22"/>
        </w:rPr>
        <w:t>1990</w:t>
      </w:r>
      <w:r>
        <w:rPr>
          <w:sz w:val="22"/>
          <w:szCs w:val="22"/>
        </w:rPr>
        <w:t>)</w:t>
      </w:r>
      <w:r w:rsidRPr="00E228B5">
        <w:rPr>
          <w:sz w:val="22"/>
          <w:szCs w:val="22"/>
        </w:rPr>
        <w:t>.</w:t>
      </w:r>
    </w:p>
    <w:p w:rsidR="001264CB" w:rsidRPr="00E228B5" w:rsidRDefault="001264CB" w:rsidP="00EA78C0">
      <w:pPr>
        <w:spacing w:after="240" w:line="480" w:lineRule="auto"/>
        <w:rPr>
          <w:sz w:val="22"/>
          <w:szCs w:val="22"/>
        </w:rPr>
      </w:pPr>
      <w:proofErr w:type="gramStart"/>
      <w:r w:rsidRPr="00E228B5">
        <w:rPr>
          <w:color w:val="1A1A1A"/>
          <w:sz w:val="22"/>
          <w:szCs w:val="22"/>
        </w:rPr>
        <w:t xml:space="preserve">Calhoun, J. C., and R. M. </w:t>
      </w:r>
      <w:proofErr w:type="spellStart"/>
      <w:r w:rsidRPr="00E228B5">
        <w:rPr>
          <w:color w:val="1A1A1A"/>
          <w:sz w:val="22"/>
          <w:szCs w:val="22"/>
        </w:rPr>
        <w:t>Lence</w:t>
      </w:r>
      <w:proofErr w:type="spellEnd"/>
      <w:r w:rsidRPr="00E228B5">
        <w:rPr>
          <w:color w:val="1A1A1A"/>
          <w:sz w:val="22"/>
          <w:szCs w:val="22"/>
        </w:rPr>
        <w:t>.</w:t>
      </w:r>
      <w:proofErr w:type="gramEnd"/>
      <w:r w:rsidRPr="00E228B5">
        <w:rPr>
          <w:color w:val="1A1A1A"/>
          <w:sz w:val="22"/>
          <w:szCs w:val="22"/>
        </w:rPr>
        <w:t xml:space="preserve"> </w:t>
      </w:r>
      <w:r w:rsidRPr="00E228B5">
        <w:rPr>
          <w:i/>
          <w:iCs/>
          <w:color w:val="1A1A1A"/>
          <w:sz w:val="22"/>
          <w:szCs w:val="22"/>
        </w:rPr>
        <w:t>Union and Liberty: The Political Philosophy of John C. Calhoun</w:t>
      </w:r>
      <w:r w:rsidRPr="00E228B5">
        <w:rPr>
          <w:color w:val="1A1A1A"/>
          <w:sz w:val="22"/>
          <w:szCs w:val="22"/>
        </w:rPr>
        <w:t xml:space="preserve">. Indianapolis: Liberty Fund Inc., </w:t>
      </w:r>
      <w:r>
        <w:rPr>
          <w:color w:val="1A1A1A"/>
          <w:sz w:val="22"/>
          <w:szCs w:val="22"/>
        </w:rPr>
        <w:t>(</w:t>
      </w:r>
      <w:r w:rsidRPr="00E228B5">
        <w:rPr>
          <w:color w:val="1A1A1A"/>
          <w:sz w:val="22"/>
          <w:szCs w:val="22"/>
        </w:rPr>
        <w:t>1992</w:t>
      </w:r>
      <w:r>
        <w:rPr>
          <w:color w:val="1A1A1A"/>
          <w:sz w:val="22"/>
          <w:szCs w:val="22"/>
        </w:rPr>
        <w:t>)</w:t>
      </w:r>
      <w:r w:rsidRPr="00E228B5">
        <w:rPr>
          <w:color w:val="1A1A1A"/>
          <w:sz w:val="22"/>
          <w:szCs w:val="22"/>
        </w:rPr>
        <w:t>.</w:t>
      </w:r>
    </w:p>
    <w:p w:rsidR="001264CB" w:rsidRPr="00E228B5" w:rsidRDefault="001264CB" w:rsidP="00EA78C0">
      <w:pPr>
        <w:spacing w:after="240" w:line="480" w:lineRule="auto"/>
        <w:rPr>
          <w:sz w:val="22"/>
          <w:szCs w:val="22"/>
        </w:rPr>
      </w:pPr>
      <w:proofErr w:type="gramStart"/>
      <w:r w:rsidRPr="00E228B5">
        <w:rPr>
          <w:sz w:val="22"/>
          <w:szCs w:val="22"/>
        </w:rPr>
        <w:t>Campbell, A., N. Fishman, and J. McIlroy.</w:t>
      </w:r>
      <w:proofErr w:type="gramEnd"/>
      <w:r w:rsidRPr="00E228B5">
        <w:rPr>
          <w:sz w:val="22"/>
          <w:szCs w:val="22"/>
        </w:rPr>
        <w:t xml:space="preserve"> “The post-war compromise: mapping industrial politics 1945-64.” </w:t>
      </w:r>
      <w:proofErr w:type="gramStart"/>
      <w:r w:rsidRPr="00E228B5">
        <w:rPr>
          <w:sz w:val="22"/>
          <w:szCs w:val="22"/>
        </w:rPr>
        <w:t xml:space="preserve">In </w:t>
      </w:r>
      <w:r w:rsidRPr="00E228B5">
        <w:rPr>
          <w:i/>
          <w:sz w:val="22"/>
          <w:szCs w:val="22"/>
        </w:rPr>
        <w:t>The Post-War Compromise.</w:t>
      </w:r>
      <w:proofErr w:type="gramEnd"/>
      <w:r w:rsidRPr="00E228B5">
        <w:rPr>
          <w:i/>
          <w:sz w:val="22"/>
          <w:szCs w:val="22"/>
        </w:rPr>
        <w:t xml:space="preserve">  British trade unions and industrial politics 1945-64, </w:t>
      </w:r>
      <w:r w:rsidRPr="00E228B5">
        <w:rPr>
          <w:sz w:val="22"/>
          <w:szCs w:val="22"/>
        </w:rPr>
        <w:t xml:space="preserve">edited by </w:t>
      </w:r>
      <w:proofErr w:type="spellStart"/>
      <w:r w:rsidRPr="00E228B5">
        <w:rPr>
          <w:sz w:val="22"/>
          <w:szCs w:val="22"/>
        </w:rPr>
        <w:t>by</w:t>
      </w:r>
      <w:proofErr w:type="spellEnd"/>
      <w:r w:rsidRPr="00E228B5">
        <w:rPr>
          <w:sz w:val="22"/>
          <w:szCs w:val="22"/>
        </w:rPr>
        <w:t xml:space="preserve"> A. Campbell, N. Fishman, and J. McIlroy, 69-113. London: Merlin Press, </w:t>
      </w:r>
      <w:r>
        <w:rPr>
          <w:sz w:val="22"/>
          <w:szCs w:val="22"/>
        </w:rPr>
        <w:t>(</w:t>
      </w:r>
      <w:r w:rsidRPr="00E228B5">
        <w:rPr>
          <w:sz w:val="22"/>
          <w:szCs w:val="22"/>
        </w:rPr>
        <w:t>2007</w:t>
      </w:r>
      <w:r>
        <w:rPr>
          <w:sz w:val="22"/>
          <w:szCs w:val="22"/>
        </w:rPr>
        <w:t>)</w:t>
      </w:r>
      <w:r w:rsidRPr="00E228B5">
        <w:rPr>
          <w:sz w:val="22"/>
          <w:szCs w:val="22"/>
        </w:rPr>
        <w:t>.</w:t>
      </w:r>
    </w:p>
    <w:p w:rsidR="001264CB" w:rsidRPr="00E228B5" w:rsidRDefault="001264CB" w:rsidP="00EA78C0">
      <w:pPr>
        <w:spacing w:after="240" w:line="480" w:lineRule="auto"/>
        <w:rPr>
          <w:sz w:val="22"/>
          <w:szCs w:val="22"/>
        </w:rPr>
      </w:pPr>
      <w:r w:rsidRPr="00E228B5">
        <w:rPr>
          <w:sz w:val="22"/>
          <w:szCs w:val="22"/>
        </w:rPr>
        <w:t xml:space="preserve">Chalmers, D.A., C.M. Vilas, and S.B. Martin, C. </w:t>
      </w:r>
      <w:proofErr w:type="spellStart"/>
      <w:r w:rsidRPr="00E228B5">
        <w:rPr>
          <w:sz w:val="22"/>
          <w:szCs w:val="22"/>
        </w:rPr>
        <w:t>Pinester</w:t>
      </w:r>
      <w:proofErr w:type="spellEnd"/>
      <w:r w:rsidRPr="00E228B5">
        <w:rPr>
          <w:sz w:val="22"/>
          <w:szCs w:val="22"/>
        </w:rPr>
        <w:t xml:space="preserve">, and M. </w:t>
      </w:r>
      <w:proofErr w:type="spellStart"/>
      <w:r w:rsidRPr="00E228B5">
        <w:rPr>
          <w:sz w:val="22"/>
          <w:szCs w:val="22"/>
        </w:rPr>
        <w:t>Segarra</w:t>
      </w:r>
      <w:proofErr w:type="spellEnd"/>
      <w:r w:rsidRPr="00E228B5">
        <w:rPr>
          <w:sz w:val="22"/>
          <w:szCs w:val="22"/>
        </w:rPr>
        <w:t xml:space="preserve">, </w:t>
      </w:r>
      <w:proofErr w:type="gramStart"/>
      <w:r w:rsidRPr="00E228B5">
        <w:rPr>
          <w:sz w:val="22"/>
          <w:szCs w:val="22"/>
        </w:rPr>
        <w:t>eds</w:t>
      </w:r>
      <w:proofErr w:type="gramEnd"/>
      <w:r w:rsidRPr="00E228B5">
        <w:rPr>
          <w:sz w:val="22"/>
          <w:szCs w:val="22"/>
        </w:rPr>
        <w:t xml:space="preserve">. </w:t>
      </w:r>
      <w:r w:rsidRPr="00E228B5">
        <w:rPr>
          <w:i/>
          <w:sz w:val="22"/>
          <w:szCs w:val="22"/>
        </w:rPr>
        <w:t xml:space="preserve">The new politics of inequality in Latin America: re-thinking participation and representation.  </w:t>
      </w:r>
      <w:r w:rsidRPr="00E228B5">
        <w:rPr>
          <w:sz w:val="22"/>
          <w:szCs w:val="22"/>
        </w:rPr>
        <w:t xml:space="preserve">Oxford: Oxford University Press, </w:t>
      </w:r>
      <w:r>
        <w:rPr>
          <w:sz w:val="22"/>
          <w:szCs w:val="22"/>
        </w:rPr>
        <w:t>(</w:t>
      </w:r>
      <w:r w:rsidRPr="00E228B5">
        <w:rPr>
          <w:sz w:val="22"/>
          <w:szCs w:val="22"/>
        </w:rPr>
        <w:t>1997</w:t>
      </w:r>
      <w:r>
        <w:rPr>
          <w:sz w:val="22"/>
          <w:szCs w:val="22"/>
        </w:rPr>
        <w:t>)</w:t>
      </w:r>
      <w:r w:rsidRPr="00E228B5">
        <w:rPr>
          <w:sz w:val="22"/>
          <w:szCs w:val="22"/>
        </w:rPr>
        <w:t>.</w:t>
      </w:r>
    </w:p>
    <w:p w:rsidR="001264CB" w:rsidRPr="00E228B5" w:rsidRDefault="001264CB" w:rsidP="00EA78C0">
      <w:pPr>
        <w:spacing w:after="240" w:line="480" w:lineRule="auto"/>
        <w:rPr>
          <w:sz w:val="22"/>
          <w:szCs w:val="22"/>
        </w:rPr>
      </w:pPr>
      <w:r w:rsidRPr="00E228B5">
        <w:rPr>
          <w:sz w:val="22"/>
          <w:szCs w:val="22"/>
        </w:rPr>
        <w:t xml:space="preserve">Cook, M. L. “Towards flexible industrial relations? </w:t>
      </w:r>
      <w:proofErr w:type="gramStart"/>
      <w:r w:rsidRPr="00E228B5">
        <w:rPr>
          <w:sz w:val="22"/>
          <w:szCs w:val="22"/>
        </w:rPr>
        <w:t xml:space="preserve">Neo-liberalism, democracy and </w:t>
      </w:r>
      <w:proofErr w:type="spellStart"/>
      <w:r w:rsidRPr="00E228B5">
        <w:rPr>
          <w:sz w:val="22"/>
          <w:szCs w:val="22"/>
        </w:rPr>
        <w:t>labour</w:t>
      </w:r>
      <w:proofErr w:type="spellEnd"/>
      <w:r w:rsidRPr="00E228B5">
        <w:rPr>
          <w:sz w:val="22"/>
          <w:szCs w:val="22"/>
        </w:rPr>
        <w:t xml:space="preserve"> reform in Latin America.”</w:t>
      </w:r>
      <w:proofErr w:type="gramEnd"/>
      <w:r w:rsidRPr="00E228B5">
        <w:rPr>
          <w:sz w:val="22"/>
          <w:szCs w:val="22"/>
        </w:rPr>
        <w:t xml:space="preserve"> </w:t>
      </w:r>
      <w:proofErr w:type="gramStart"/>
      <w:r w:rsidRPr="00E228B5">
        <w:rPr>
          <w:i/>
          <w:sz w:val="22"/>
          <w:szCs w:val="22"/>
        </w:rPr>
        <w:t>Industrial Relations.</w:t>
      </w:r>
      <w:proofErr w:type="gramEnd"/>
      <w:r w:rsidRPr="00E228B5">
        <w:rPr>
          <w:i/>
          <w:sz w:val="22"/>
          <w:szCs w:val="22"/>
        </w:rPr>
        <w:t xml:space="preserve"> A Journal of Economy and Society</w:t>
      </w:r>
      <w:r w:rsidRPr="00E228B5">
        <w:rPr>
          <w:sz w:val="22"/>
          <w:szCs w:val="22"/>
        </w:rPr>
        <w:t xml:space="preserve"> 37, no. 3 (1998): 311-336. </w:t>
      </w:r>
    </w:p>
    <w:p w:rsidR="001264CB" w:rsidRPr="00E228B5" w:rsidRDefault="001264CB" w:rsidP="00EA78C0">
      <w:pPr>
        <w:spacing w:after="240" w:line="480" w:lineRule="auto"/>
        <w:rPr>
          <w:sz w:val="22"/>
          <w:szCs w:val="22"/>
        </w:rPr>
      </w:pPr>
      <w:proofErr w:type="gramStart"/>
      <w:r w:rsidRPr="00E228B5">
        <w:rPr>
          <w:sz w:val="22"/>
          <w:szCs w:val="22"/>
        </w:rPr>
        <w:t>Croucher, R., and J. McIlroy.</w:t>
      </w:r>
      <w:proofErr w:type="gramEnd"/>
      <w:r w:rsidRPr="00E228B5">
        <w:rPr>
          <w:sz w:val="22"/>
          <w:szCs w:val="22"/>
        </w:rPr>
        <w:t xml:space="preserve"> “Introduction: beyond national history.” </w:t>
      </w:r>
      <w:r w:rsidRPr="00E228B5">
        <w:rPr>
          <w:i/>
          <w:sz w:val="22"/>
          <w:szCs w:val="22"/>
        </w:rPr>
        <w:t xml:space="preserve">Labor History </w:t>
      </w:r>
      <w:r w:rsidRPr="00E228B5">
        <w:rPr>
          <w:sz w:val="22"/>
          <w:szCs w:val="22"/>
        </w:rPr>
        <w:t xml:space="preserve">54, no. 5 (2013): 485-490. </w:t>
      </w:r>
    </w:p>
    <w:p w:rsidR="001264CB" w:rsidRPr="00E228B5" w:rsidRDefault="001264CB" w:rsidP="00EA78C0">
      <w:pPr>
        <w:spacing w:after="240" w:line="480" w:lineRule="auto"/>
        <w:rPr>
          <w:sz w:val="22"/>
          <w:szCs w:val="22"/>
          <w:lang w:val="en-GB"/>
        </w:rPr>
      </w:pPr>
      <w:proofErr w:type="gramStart"/>
      <w:r w:rsidRPr="00E228B5">
        <w:rPr>
          <w:sz w:val="22"/>
          <w:szCs w:val="22"/>
        </w:rPr>
        <w:t>De Boer, R., H. Benedictus, and M. van der Meer.</w:t>
      </w:r>
      <w:proofErr w:type="gramEnd"/>
      <w:r w:rsidRPr="00E228B5">
        <w:rPr>
          <w:sz w:val="22"/>
          <w:szCs w:val="22"/>
        </w:rPr>
        <w:t xml:space="preserve"> </w:t>
      </w:r>
      <w:proofErr w:type="gramStart"/>
      <w:r w:rsidRPr="00E228B5">
        <w:rPr>
          <w:sz w:val="22"/>
          <w:szCs w:val="22"/>
        </w:rPr>
        <w:t>“Broadening without intensification.</w:t>
      </w:r>
      <w:proofErr w:type="gramEnd"/>
      <w:r w:rsidRPr="00E228B5">
        <w:rPr>
          <w:sz w:val="22"/>
          <w:szCs w:val="22"/>
        </w:rPr>
        <w:t xml:space="preserve">  </w:t>
      </w:r>
      <w:proofErr w:type="gramStart"/>
      <w:r w:rsidRPr="00E228B5">
        <w:rPr>
          <w:sz w:val="22"/>
          <w:szCs w:val="22"/>
        </w:rPr>
        <w:t xml:space="preserve">The added value of the European social and </w:t>
      </w:r>
      <w:proofErr w:type="spellStart"/>
      <w:r w:rsidRPr="00E228B5">
        <w:rPr>
          <w:sz w:val="22"/>
          <w:szCs w:val="22"/>
        </w:rPr>
        <w:t>sectoral</w:t>
      </w:r>
      <w:proofErr w:type="spellEnd"/>
      <w:r w:rsidRPr="00E228B5">
        <w:rPr>
          <w:sz w:val="22"/>
          <w:szCs w:val="22"/>
        </w:rPr>
        <w:t xml:space="preserve"> dialogue.”</w:t>
      </w:r>
      <w:proofErr w:type="gramEnd"/>
      <w:r w:rsidRPr="00E228B5">
        <w:rPr>
          <w:sz w:val="22"/>
          <w:szCs w:val="22"/>
        </w:rPr>
        <w:t xml:space="preserve"> </w:t>
      </w:r>
      <w:r w:rsidRPr="00E228B5">
        <w:rPr>
          <w:i/>
          <w:sz w:val="22"/>
          <w:szCs w:val="22"/>
        </w:rPr>
        <w:t>European Journal of Industrial Relations</w:t>
      </w:r>
      <w:r w:rsidRPr="00E228B5">
        <w:rPr>
          <w:sz w:val="22"/>
          <w:szCs w:val="22"/>
        </w:rPr>
        <w:t xml:space="preserve"> 11, no. 1 (2005): 51-70. </w:t>
      </w:r>
    </w:p>
    <w:p w:rsidR="001264CB" w:rsidRPr="00E228B5" w:rsidRDefault="001264CB" w:rsidP="00EA78C0">
      <w:pPr>
        <w:spacing w:after="240" w:line="480" w:lineRule="auto"/>
        <w:rPr>
          <w:sz w:val="22"/>
          <w:szCs w:val="22"/>
        </w:rPr>
      </w:pPr>
      <w:proofErr w:type="spellStart"/>
      <w:proofErr w:type="gramStart"/>
      <w:r w:rsidRPr="00E228B5">
        <w:rPr>
          <w:sz w:val="22"/>
          <w:szCs w:val="22"/>
        </w:rPr>
        <w:t>Deeg</w:t>
      </w:r>
      <w:proofErr w:type="spellEnd"/>
      <w:r w:rsidRPr="00E228B5">
        <w:rPr>
          <w:sz w:val="22"/>
          <w:szCs w:val="22"/>
        </w:rPr>
        <w:t>, R., and G. Jackson.</w:t>
      </w:r>
      <w:proofErr w:type="gramEnd"/>
      <w:r w:rsidRPr="00E228B5">
        <w:rPr>
          <w:sz w:val="22"/>
          <w:szCs w:val="22"/>
        </w:rPr>
        <w:t xml:space="preserve"> </w:t>
      </w:r>
      <w:proofErr w:type="gramStart"/>
      <w:r w:rsidRPr="00E228B5">
        <w:rPr>
          <w:sz w:val="22"/>
          <w:szCs w:val="22"/>
        </w:rPr>
        <w:t>“Towards a more dynamic theory of capitalist diversity.”</w:t>
      </w:r>
      <w:proofErr w:type="gramEnd"/>
      <w:r w:rsidRPr="00E228B5">
        <w:rPr>
          <w:sz w:val="22"/>
          <w:szCs w:val="22"/>
        </w:rPr>
        <w:t xml:space="preserve"> </w:t>
      </w:r>
      <w:r w:rsidRPr="00E228B5">
        <w:rPr>
          <w:i/>
          <w:sz w:val="22"/>
          <w:szCs w:val="22"/>
        </w:rPr>
        <w:t>Socio-Economic Review</w:t>
      </w:r>
      <w:r w:rsidRPr="00E228B5">
        <w:rPr>
          <w:sz w:val="22"/>
          <w:szCs w:val="22"/>
        </w:rPr>
        <w:t xml:space="preserve"> 5, no. 1 (2007): 149-180. </w:t>
      </w:r>
    </w:p>
    <w:p w:rsidR="001264CB" w:rsidRPr="00E228B5" w:rsidRDefault="001264CB" w:rsidP="00EA78C0">
      <w:pPr>
        <w:spacing w:after="240" w:line="480" w:lineRule="auto"/>
        <w:rPr>
          <w:sz w:val="22"/>
          <w:szCs w:val="22"/>
        </w:rPr>
      </w:pPr>
      <w:r w:rsidRPr="00E228B5">
        <w:rPr>
          <w:sz w:val="22"/>
          <w:szCs w:val="22"/>
        </w:rPr>
        <w:t xml:space="preserve">Di </w:t>
      </w:r>
      <w:proofErr w:type="spellStart"/>
      <w:r w:rsidRPr="00E228B5">
        <w:rPr>
          <w:sz w:val="22"/>
          <w:szCs w:val="22"/>
        </w:rPr>
        <w:t>Caprio</w:t>
      </w:r>
      <w:proofErr w:type="spellEnd"/>
      <w:r w:rsidRPr="00E228B5">
        <w:rPr>
          <w:sz w:val="22"/>
          <w:szCs w:val="22"/>
        </w:rPr>
        <w:t xml:space="preserve">, A. “The demand side of social protection: lessons from Cambodia’s </w:t>
      </w:r>
      <w:proofErr w:type="spellStart"/>
      <w:r w:rsidRPr="00E228B5">
        <w:rPr>
          <w:sz w:val="22"/>
          <w:szCs w:val="22"/>
        </w:rPr>
        <w:t>labour</w:t>
      </w:r>
      <w:proofErr w:type="spellEnd"/>
      <w:r w:rsidRPr="00E228B5">
        <w:rPr>
          <w:sz w:val="22"/>
          <w:szCs w:val="22"/>
        </w:rPr>
        <w:t xml:space="preserve"> rights experience.” </w:t>
      </w:r>
      <w:r w:rsidRPr="00E228B5">
        <w:rPr>
          <w:i/>
          <w:sz w:val="22"/>
          <w:szCs w:val="22"/>
        </w:rPr>
        <w:t>World Development</w:t>
      </w:r>
      <w:r w:rsidRPr="00E228B5">
        <w:rPr>
          <w:sz w:val="22"/>
          <w:szCs w:val="22"/>
        </w:rPr>
        <w:t xml:space="preserve"> 48 (2013): 108-119. </w:t>
      </w:r>
    </w:p>
    <w:p w:rsidR="001264CB" w:rsidRPr="00E228B5" w:rsidRDefault="001264CB" w:rsidP="00EA78C0">
      <w:pPr>
        <w:spacing w:after="240" w:line="480" w:lineRule="auto"/>
        <w:rPr>
          <w:color w:val="222222"/>
          <w:sz w:val="22"/>
          <w:szCs w:val="22"/>
        </w:rPr>
      </w:pPr>
      <w:proofErr w:type="spellStart"/>
      <w:r w:rsidRPr="00E228B5">
        <w:rPr>
          <w:color w:val="222222"/>
          <w:sz w:val="22"/>
          <w:szCs w:val="22"/>
        </w:rPr>
        <w:t>Dryzek</w:t>
      </w:r>
      <w:proofErr w:type="spellEnd"/>
      <w:r w:rsidRPr="00E228B5">
        <w:rPr>
          <w:color w:val="222222"/>
          <w:sz w:val="22"/>
          <w:szCs w:val="22"/>
        </w:rPr>
        <w:t xml:space="preserve">, J. and </w:t>
      </w:r>
      <w:proofErr w:type="spellStart"/>
      <w:r w:rsidRPr="00E228B5">
        <w:rPr>
          <w:color w:val="222222"/>
          <w:sz w:val="22"/>
          <w:szCs w:val="22"/>
        </w:rPr>
        <w:t>Goodin</w:t>
      </w:r>
      <w:proofErr w:type="spellEnd"/>
      <w:r w:rsidRPr="00E228B5">
        <w:rPr>
          <w:color w:val="222222"/>
          <w:sz w:val="22"/>
          <w:szCs w:val="22"/>
        </w:rPr>
        <w:t xml:space="preserve">, R. “Risk-Sharing and Social Justice: The Motivational Foundations of the Post-War Welfare State.” </w:t>
      </w:r>
      <w:r w:rsidRPr="00E228B5">
        <w:rPr>
          <w:i/>
          <w:color w:val="222222"/>
          <w:sz w:val="22"/>
          <w:szCs w:val="22"/>
        </w:rPr>
        <w:t>British Journal of Political Science</w:t>
      </w:r>
      <w:r w:rsidRPr="00E228B5">
        <w:rPr>
          <w:color w:val="222222"/>
          <w:sz w:val="22"/>
          <w:szCs w:val="22"/>
        </w:rPr>
        <w:t xml:space="preserve"> 16, no. 1 (1986): 1-34. </w:t>
      </w:r>
    </w:p>
    <w:p w:rsidR="001264CB" w:rsidRPr="00E228B5" w:rsidRDefault="001264CB" w:rsidP="00EA78C0">
      <w:pPr>
        <w:pStyle w:val="FreeForm"/>
        <w:spacing w:after="240" w:line="480" w:lineRule="auto"/>
        <w:rPr>
          <w:rFonts w:ascii="Times New Roman" w:hAnsi="Times New Roman"/>
          <w:color w:val="262626"/>
          <w:sz w:val="22"/>
          <w:szCs w:val="22"/>
        </w:rPr>
      </w:pPr>
      <w:proofErr w:type="spellStart"/>
      <w:r w:rsidRPr="00E228B5">
        <w:rPr>
          <w:rFonts w:ascii="Times New Roman" w:hAnsi="Times New Roman"/>
          <w:color w:val="262626"/>
          <w:sz w:val="22"/>
          <w:szCs w:val="22"/>
        </w:rPr>
        <w:t>Engelen</w:t>
      </w:r>
      <w:proofErr w:type="spellEnd"/>
      <w:r w:rsidRPr="00E228B5">
        <w:rPr>
          <w:rFonts w:ascii="Times New Roman" w:hAnsi="Times New Roman"/>
          <w:color w:val="262626"/>
          <w:sz w:val="22"/>
          <w:szCs w:val="22"/>
        </w:rPr>
        <w:t xml:space="preserve">, E., I. </w:t>
      </w:r>
      <w:proofErr w:type="spellStart"/>
      <w:r w:rsidRPr="00E228B5">
        <w:rPr>
          <w:rFonts w:ascii="Times New Roman" w:hAnsi="Times New Roman"/>
          <w:color w:val="262626"/>
          <w:sz w:val="22"/>
          <w:szCs w:val="22"/>
        </w:rPr>
        <w:t>Ertürk</w:t>
      </w:r>
      <w:proofErr w:type="spellEnd"/>
      <w:r w:rsidRPr="00E228B5">
        <w:rPr>
          <w:rFonts w:ascii="Times New Roman" w:hAnsi="Times New Roman"/>
          <w:color w:val="262626"/>
          <w:sz w:val="22"/>
          <w:szCs w:val="22"/>
        </w:rPr>
        <w:t xml:space="preserve">, J. </w:t>
      </w:r>
      <w:proofErr w:type="spellStart"/>
      <w:r w:rsidRPr="00E228B5">
        <w:rPr>
          <w:rFonts w:ascii="Times New Roman" w:hAnsi="Times New Roman"/>
          <w:color w:val="262626"/>
          <w:sz w:val="22"/>
          <w:szCs w:val="22"/>
        </w:rPr>
        <w:t>Froud</w:t>
      </w:r>
      <w:proofErr w:type="spellEnd"/>
      <w:r w:rsidRPr="00E228B5">
        <w:rPr>
          <w:rFonts w:ascii="Times New Roman" w:hAnsi="Times New Roman"/>
          <w:color w:val="262626"/>
          <w:sz w:val="22"/>
          <w:szCs w:val="22"/>
        </w:rPr>
        <w:t xml:space="preserve">, S. </w:t>
      </w:r>
      <w:proofErr w:type="spellStart"/>
      <w:r w:rsidRPr="00E228B5">
        <w:rPr>
          <w:rFonts w:ascii="Times New Roman" w:hAnsi="Times New Roman"/>
          <w:color w:val="262626"/>
          <w:sz w:val="22"/>
          <w:szCs w:val="22"/>
        </w:rPr>
        <w:t>Johal</w:t>
      </w:r>
      <w:proofErr w:type="spellEnd"/>
      <w:r w:rsidRPr="00E228B5">
        <w:rPr>
          <w:rFonts w:ascii="Times New Roman" w:hAnsi="Times New Roman"/>
          <w:color w:val="262626"/>
          <w:sz w:val="22"/>
          <w:szCs w:val="22"/>
        </w:rPr>
        <w:t xml:space="preserve">, A. Leaver, M. Moran, A. Nilsson, and K. Williams. </w:t>
      </w:r>
      <w:proofErr w:type="gramStart"/>
      <w:r w:rsidRPr="00E228B5">
        <w:rPr>
          <w:rFonts w:ascii="Times New Roman" w:hAnsi="Times New Roman"/>
          <w:i/>
          <w:color w:val="262626"/>
          <w:sz w:val="22"/>
          <w:szCs w:val="22"/>
        </w:rPr>
        <w:t>After the Great Complacence</w:t>
      </w:r>
      <w:r w:rsidRPr="00E228B5">
        <w:rPr>
          <w:rFonts w:ascii="Times New Roman" w:hAnsi="Times New Roman"/>
          <w:color w:val="262626"/>
          <w:sz w:val="22"/>
          <w:szCs w:val="22"/>
        </w:rPr>
        <w:t>.</w:t>
      </w:r>
      <w:proofErr w:type="gramEnd"/>
      <w:r w:rsidRPr="00E228B5">
        <w:rPr>
          <w:rFonts w:ascii="Times New Roman" w:hAnsi="Times New Roman"/>
          <w:color w:val="262626"/>
          <w:sz w:val="22"/>
          <w:szCs w:val="22"/>
        </w:rPr>
        <w:t xml:space="preserve"> </w:t>
      </w:r>
      <w:r w:rsidR="002F0CC1">
        <w:rPr>
          <w:rFonts w:ascii="Times New Roman" w:hAnsi="Times New Roman"/>
          <w:color w:val="262626"/>
          <w:sz w:val="22"/>
          <w:szCs w:val="22"/>
        </w:rPr>
        <w:t>Oxford: Oxford University Press</w:t>
      </w:r>
      <w:r w:rsidRPr="00E228B5">
        <w:rPr>
          <w:rFonts w:ascii="Times New Roman" w:hAnsi="Times New Roman"/>
          <w:color w:val="262626"/>
          <w:sz w:val="22"/>
          <w:szCs w:val="22"/>
        </w:rPr>
        <w:t xml:space="preserve"> </w:t>
      </w:r>
      <w:r>
        <w:rPr>
          <w:rFonts w:ascii="Times New Roman" w:hAnsi="Times New Roman"/>
          <w:color w:val="262626"/>
          <w:sz w:val="22"/>
          <w:szCs w:val="22"/>
        </w:rPr>
        <w:t>(</w:t>
      </w:r>
      <w:r w:rsidRPr="00E228B5">
        <w:rPr>
          <w:rFonts w:ascii="Times New Roman" w:hAnsi="Times New Roman"/>
          <w:color w:val="262626"/>
          <w:sz w:val="22"/>
          <w:szCs w:val="22"/>
        </w:rPr>
        <w:t>2011</w:t>
      </w:r>
      <w:r>
        <w:rPr>
          <w:rFonts w:ascii="Times New Roman" w:hAnsi="Times New Roman"/>
          <w:color w:val="262626"/>
          <w:sz w:val="22"/>
          <w:szCs w:val="22"/>
        </w:rPr>
        <w:t>)</w:t>
      </w:r>
      <w:r w:rsidRPr="00E228B5">
        <w:rPr>
          <w:rFonts w:ascii="Times New Roman" w:hAnsi="Times New Roman"/>
          <w:color w:val="262626"/>
          <w:sz w:val="22"/>
          <w:szCs w:val="22"/>
        </w:rPr>
        <w:t xml:space="preserve">.  </w:t>
      </w:r>
    </w:p>
    <w:p w:rsidR="001264CB" w:rsidRPr="00E228B5" w:rsidRDefault="001264CB" w:rsidP="00EA78C0">
      <w:pPr>
        <w:pStyle w:val="Heading2"/>
        <w:spacing w:after="240" w:afterAutospacing="0" w:line="480" w:lineRule="auto"/>
        <w:rPr>
          <w:b w:val="0"/>
          <w:color w:val="222222"/>
          <w:sz w:val="22"/>
          <w:szCs w:val="22"/>
        </w:rPr>
      </w:pPr>
      <w:r w:rsidRPr="00E228B5">
        <w:rPr>
          <w:b w:val="0"/>
          <w:color w:val="222222"/>
          <w:sz w:val="22"/>
          <w:szCs w:val="22"/>
        </w:rPr>
        <w:t xml:space="preserve">Gospel, H. “Representing workers: trade union recognition and membership in Britain.” In </w:t>
      </w:r>
      <w:r w:rsidRPr="00E228B5">
        <w:rPr>
          <w:b w:val="0"/>
          <w:i/>
          <w:iCs/>
          <w:sz w:val="22"/>
          <w:szCs w:val="22"/>
        </w:rPr>
        <w:t xml:space="preserve">Representing workers: trade union recognition and membership in Britain, </w:t>
      </w:r>
      <w:r w:rsidRPr="00E228B5">
        <w:rPr>
          <w:b w:val="0"/>
          <w:iCs/>
          <w:sz w:val="22"/>
          <w:szCs w:val="22"/>
        </w:rPr>
        <w:t>edited by</w:t>
      </w:r>
      <w:r w:rsidRPr="00E228B5">
        <w:rPr>
          <w:b w:val="0"/>
          <w:color w:val="222222"/>
          <w:sz w:val="22"/>
          <w:szCs w:val="22"/>
        </w:rPr>
        <w:t xml:space="preserve"> H.F. Gospel, and S. Wood, </w:t>
      </w:r>
      <w:r w:rsidRPr="00E228B5">
        <w:rPr>
          <w:b w:val="0"/>
          <w:sz w:val="22"/>
          <w:szCs w:val="22"/>
        </w:rPr>
        <w:t>1-14</w:t>
      </w:r>
      <w:r w:rsidRPr="00E228B5">
        <w:rPr>
          <w:b w:val="0"/>
          <w:i/>
          <w:iCs/>
          <w:sz w:val="22"/>
          <w:szCs w:val="22"/>
        </w:rPr>
        <w:t>.</w:t>
      </w:r>
      <w:r w:rsidR="002F0CC1">
        <w:rPr>
          <w:b w:val="0"/>
          <w:sz w:val="22"/>
          <w:szCs w:val="22"/>
        </w:rPr>
        <w:t xml:space="preserve"> London: Routledge</w:t>
      </w:r>
      <w:r w:rsidRPr="00E228B5">
        <w:rPr>
          <w:b w:val="0"/>
          <w:sz w:val="22"/>
          <w:szCs w:val="22"/>
        </w:rPr>
        <w:t xml:space="preserve"> </w:t>
      </w:r>
      <w:r>
        <w:rPr>
          <w:b w:val="0"/>
          <w:sz w:val="22"/>
          <w:szCs w:val="22"/>
        </w:rPr>
        <w:t>(</w:t>
      </w:r>
      <w:r w:rsidRPr="00E228B5">
        <w:rPr>
          <w:b w:val="0"/>
          <w:color w:val="222222"/>
          <w:sz w:val="22"/>
          <w:szCs w:val="22"/>
        </w:rPr>
        <w:t>2003</w:t>
      </w:r>
      <w:r>
        <w:rPr>
          <w:b w:val="0"/>
          <w:color w:val="222222"/>
          <w:sz w:val="22"/>
          <w:szCs w:val="22"/>
        </w:rPr>
        <w:t>)</w:t>
      </w:r>
      <w:r w:rsidRPr="00E228B5">
        <w:rPr>
          <w:b w:val="0"/>
          <w:color w:val="222222"/>
          <w:sz w:val="22"/>
          <w:szCs w:val="22"/>
        </w:rPr>
        <w:t>.</w:t>
      </w:r>
    </w:p>
    <w:p w:rsidR="001264CB" w:rsidRPr="00E228B5" w:rsidRDefault="001264CB" w:rsidP="00EA78C0">
      <w:pPr>
        <w:spacing w:after="240" w:line="480" w:lineRule="auto"/>
        <w:rPr>
          <w:rStyle w:val="Subtitle1"/>
          <w:sz w:val="22"/>
          <w:szCs w:val="22"/>
        </w:rPr>
      </w:pPr>
      <w:proofErr w:type="spellStart"/>
      <w:proofErr w:type="gramStart"/>
      <w:r>
        <w:rPr>
          <w:sz w:val="22"/>
          <w:szCs w:val="22"/>
        </w:rPr>
        <w:t>Hancké</w:t>
      </w:r>
      <w:proofErr w:type="spellEnd"/>
      <w:r>
        <w:rPr>
          <w:sz w:val="22"/>
          <w:szCs w:val="22"/>
        </w:rPr>
        <w:t xml:space="preserve">, B, Rhodes, and </w:t>
      </w:r>
      <w:proofErr w:type="spellStart"/>
      <w:r w:rsidR="006F7FB5">
        <w:rPr>
          <w:sz w:val="22"/>
          <w:szCs w:val="22"/>
        </w:rPr>
        <w:t>M.</w:t>
      </w:r>
      <w:r w:rsidRPr="00E228B5">
        <w:rPr>
          <w:sz w:val="22"/>
          <w:szCs w:val="22"/>
        </w:rPr>
        <w:t>Thatcher</w:t>
      </w:r>
      <w:proofErr w:type="spellEnd"/>
      <w:r w:rsidRPr="00E228B5">
        <w:rPr>
          <w:sz w:val="22"/>
          <w:szCs w:val="22"/>
        </w:rPr>
        <w:t>.</w:t>
      </w:r>
      <w:proofErr w:type="gramEnd"/>
      <w:r w:rsidRPr="00E228B5">
        <w:rPr>
          <w:sz w:val="22"/>
          <w:szCs w:val="22"/>
        </w:rPr>
        <w:t xml:space="preserve"> </w:t>
      </w:r>
      <w:proofErr w:type="gramStart"/>
      <w:r w:rsidRPr="00E228B5">
        <w:rPr>
          <w:sz w:val="22"/>
          <w:szCs w:val="22"/>
        </w:rPr>
        <w:t>“Introduction.”</w:t>
      </w:r>
      <w:proofErr w:type="gramEnd"/>
      <w:r w:rsidRPr="00E228B5">
        <w:rPr>
          <w:sz w:val="22"/>
          <w:szCs w:val="22"/>
        </w:rPr>
        <w:t xml:space="preserve"> In </w:t>
      </w:r>
      <w:r w:rsidRPr="00E228B5">
        <w:rPr>
          <w:i/>
          <w:sz w:val="22"/>
          <w:szCs w:val="22"/>
        </w:rPr>
        <w:t xml:space="preserve">Beyond varieties of capitalism: </w:t>
      </w:r>
      <w:r w:rsidRPr="00E228B5">
        <w:rPr>
          <w:rStyle w:val="Subtitle1"/>
          <w:i/>
          <w:sz w:val="22"/>
          <w:szCs w:val="22"/>
        </w:rPr>
        <w:t xml:space="preserve">conflict, contradiction, and complementarities in the European economy, </w:t>
      </w:r>
      <w:r w:rsidRPr="00E228B5">
        <w:rPr>
          <w:rStyle w:val="Subtitle1"/>
          <w:sz w:val="22"/>
          <w:szCs w:val="22"/>
        </w:rPr>
        <w:t>edited by</w:t>
      </w:r>
      <w:r w:rsidRPr="00E228B5">
        <w:rPr>
          <w:sz w:val="22"/>
          <w:szCs w:val="22"/>
        </w:rPr>
        <w:t xml:space="preserve"> B. </w:t>
      </w:r>
      <w:proofErr w:type="spellStart"/>
      <w:r w:rsidRPr="00E228B5">
        <w:rPr>
          <w:sz w:val="22"/>
          <w:szCs w:val="22"/>
        </w:rPr>
        <w:t>Hancké</w:t>
      </w:r>
      <w:proofErr w:type="spellEnd"/>
      <w:r w:rsidRPr="00E228B5">
        <w:rPr>
          <w:sz w:val="22"/>
          <w:szCs w:val="22"/>
        </w:rPr>
        <w:t>, M. Rhodes and M. Thatcher,</w:t>
      </w:r>
      <w:r w:rsidRPr="00E228B5">
        <w:rPr>
          <w:rStyle w:val="Subtitle1"/>
          <w:i/>
          <w:sz w:val="22"/>
          <w:szCs w:val="22"/>
        </w:rPr>
        <w:t xml:space="preserve"> </w:t>
      </w:r>
      <w:r w:rsidRPr="00E228B5">
        <w:rPr>
          <w:rStyle w:val="Subtitle1"/>
          <w:sz w:val="22"/>
          <w:szCs w:val="22"/>
        </w:rPr>
        <w:t xml:space="preserve">3-38. </w:t>
      </w:r>
      <w:r w:rsidR="002F0CC1">
        <w:rPr>
          <w:rStyle w:val="Subtitle1"/>
          <w:sz w:val="22"/>
          <w:szCs w:val="22"/>
        </w:rPr>
        <w:t>Oxford: Oxford University Press</w:t>
      </w:r>
      <w:r w:rsidRPr="00E228B5">
        <w:rPr>
          <w:rStyle w:val="Subtitle1"/>
          <w:sz w:val="22"/>
          <w:szCs w:val="22"/>
        </w:rPr>
        <w:t xml:space="preserve"> </w:t>
      </w:r>
      <w:r>
        <w:rPr>
          <w:rStyle w:val="Subtitle1"/>
          <w:sz w:val="22"/>
          <w:szCs w:val="22"/>
        </w:rPr>
        <w:t>(</w:t>
      </w:r>
      <w:r w:rsidRPr="00E228B5">
        <w:rPr>
          <w:sz w:val="22"/>
          <w:szCs w:val="22"/>
        </w:rPr>
        <w:t>2007</w:t>
      </w:r>
      <w:r>
        <w:rPr>
          <w:sz w:val="22"/>
          <w:szCs w:val="22"/>
        </w:rPr>
        <w:t>)</w:t>
      </w:r>
      <w:r w:rsidRPr="00E228B5">
        <w:rPr>
          <w:sz w:val="22"/>
          <w:szCs w:val="22"/>
        </w:rPr>
        <w:t xml:space="preserve">.  </w:t>
      </w:r>
    </w:p>
    <w:p w:rsidR="001264CB" w:rsidRPr="00E228B5" w:rsidRDefault="001264CB" w:rsidP="00EA78C0">
      <w:pPr>
        <w:spacing w:after="240" w:line="480" w:lineRule="auto"/>
        <w:rPr>
          <w:rStyle w:val="Subtitle1"/>
          <w:sz w:val="22"/>
          <w:szCs w:val="22"/>
        </w:rPr>
      </w:pPr>
      <w:r w:rsidRPr="00E228B5">
        <w:rPr>
          <w:rStyle w:val="Subtitle1"/>
          <w:sz w:val="22"/>
          <w:szCs w:val="22"/>
        </w:rPr>
        <w:t xml:space="preserve">Harvey, D. “Neo-Liberalism as Creative Destruction.” </w:t>
      </w:r>
      <w:r w:rsidRPr="00E228B5">
        <w:rPr>
          <w:rStyle w:val="Subtitle1"/>
          <w:i/>
          <w:sz w:val="22"/>
          <w:szCs w:val="22"/>
        </w:rPr>
        <w:t>Annals of the American Academy of Political and Social Science</w:t>
      </w:r>
      <w:r w:rsidRPr="00E228B5">
        <w:rPr>
          <w:rStyle w:val="Subtitle1"/>
          <w:sz w:val="22"/>
          <w:szCs w:val="22"/>
        </w:rPr>
        <w:t xml:space="preserve"> 610, no. 1 (2007): 21-44.</w:t>
      </w:r>
    </w:p>
    <w:p w:rsidR="001264CB" w:rsidRPr="00E228B5" w:rsidRDefault="001264CB" w:rsidP="00EA78C0">
      <w:pPr>
        <w:spacing w:after="240" w:line="480" w:lineRule="auto"/>
        <w:rPr>
          <w:color w:val="222222"/>
          <w:sz w:val="22"/>
          <w:szCs w:val="22"/>
        </w:rPr>
      </w:pPr>
      <w:proofErr w:type="gramStart"/>
      <w:r w:rsidRPr="00E228B5">
        <w:rPr>
          <w:color w:val="222222"/>
          <w:sz w:val="22"/>
          <w:szCs w:val="22"/>
        </w:rPr>
        <w:t>Hassel, A. “Policies and politics in social pacts in Europe.”</w:t>
      </w:r>
      <w:proofErr w:type="gramEnd"/>
      <w:r w:rsidRPr="00E228B5">
        <w:rPr>
          <w:color w:val="222222"/>
          <w:sz w:val="22"/>
          <w:szCs w:val="22"/>
        </w:rPr>
        <w:t xml:space="preserve"> </w:t>
      </w:r>
      <w:r w:rsidRPr="00E228B5">
        <w:rPr>
          <w:i/>
          <w:color w:val="222222"/>
          <w:sz w:val="22"/>
          <w:szCs w:val="22"/>
        </w:rPr>
        <w:t>European Journal of Industrial Relations</w:t>
      </w:r>
      <w:r w:rsidRPr="00E228B5">
        <w:rPr>
          <w:color w:val="222222"/>
          <w:sz w:val="22"/>
          <w:szCs w:val="22"/>
        </w:rPr>
        <w:t xml:space="preserve"> 15, no. 1 (2009): 7-26. </w:t>
      </w:r>
    </w:p>
    <w:p w:rsidR="001264CB" w:rsidRPr="00E228B5" w:rsidRDefault="001264CB" w:rsidP="00EA78C0">
      <w:pPr>
        <w:spacing w:after="240" w:line="480" w:lineRule="auto"/>
        <w:rPr>
          <w:color w:val="222222"/>
          <w:sz w:val="22"/>
          <w:szCs w:val="22"/>
        </w:rPr>
      </w:pPr>
      <w:r>
        <w:rPr>
          <w:color w:val="222222"/>
          <w:sz w:val="22"/>
          <w:szCs w:val="22"/>
        </w:rPr>
        <w:t>Haworth, N., S. Hughes</w:t>
      </w:r>
      <w:r w:rsidRPr="00E228B5">
        <w:rPr>
          <w:color w:val="222222"/>
          <w:sz w:val="22"/>
          <w:szCs w:val="22"/>
        </w:rPr>
        <w:t xml:space="preserve"> and Wilkinson, R. “The international </w:t>
      </w:r>
      <w:proofErr w:type="spellStart"/>
      <w:r w:rsidRPr="00E228B5">
        <w:rPr>
          <w:color w:val="222222"/>
          <w:sz w:val="22"/>
          <w:szCs w:val="22"/>
        </w:rPr>
        <w:t>labour</w:t>
      </w:r>
      <w:proofErr w:type="spellEnd"/>
      <w:r w:rsidRPr="00E228B5">
        <w:rPr>
          <w:color w:val="222222"/>
          <w:sz w:val="22"/>
          <w:szCs w:val="22"/>
        </w:rPr>
        <w:t xml:space="preserve"> standards regime: a case study in global regulation.” </w:t>
      </w:r>
      <w:r w:rsidRPr="00E228B5">
        <w:rPr>
          <w:i/>
          <w:iCs/>
          <w:color w:val="222222"/>
          <w:sz w:val="22"/>
          <w:szCs w:val="22"/>
        </w:rPr>
        <w:t xml:space="preserve">Environment and Planning </w:t>
      </w:r>
      <w:proofErr w:type="gramStart"/>
      <w:r w:rsidRPr="00E228B5">
        <w:rPr>
          <w:i/>
          <w:iCs/>
          <w:color w:val="222222"/>
          <w:sz w:val="22"/>
          <w:szCs w:val="22"/>
        </w:rPr>
        <w:t>A</w:t>
      </w:r>
      <w:proofErr w:type="gramEnd"/>
      <w:r w:rsidRPr="00E228B5">
        <w:rPr>
          <w:color w:val="222222"/>
          <w:sz w:val="22"/>
          <w:szCs w:val="22"/>
        </w:rPr>
        <w:t xml:space="preserve"> </w:t>
      </w:r>
      <w:r w:rsidRPr="00935241">
        <w:rPr>
          <w:iCs/>
          <w:color w:val="222222"/>
          <w:sz w:val="22"/>
          <w:szCs w:val="22"/>
        </w:rPr>
        <w:t>37</w:t>
      </w:r>
      <w:r w:rsidRPr="00935241">
        <w:rPr>
          <w:color w:val="222222"/>
          <w:sz w:val="22"/>
          <w:szCs w:val="22"/>
        </w:rPr>
        <w:t>,</w:t>
      </w:r>
      <w:r w:rsidRPr="00E228B5">
        <w:rPr>
          <w:color w:val="222222"/>
          <w:sz w:val="22"/>
          <w:szCs w:val="22"/>
        </w:rPr>
        <w:t xml:space="preserve"> no. 11 (2005):1939-1953.</w:t>
      </w:r>
    </w:p>
    <w:p w:rsidR="001264CB" w:rsidRPr="00E228B5" w:rsidRDefault="001264CB" w:rsidP="00EA78C0">
      <w:pPr>
        <w:spacing w:after="240" w:line="480" w:lineRule="auto"/>
        <w:rPr>
          <w:sz w:val="22"/>
          <w:szCs w:val="22"/>
        </w:rPr>
      </w:pPr>
      <w:r w:rsidRPr="00E228B5">
        <w:rPr>
          <w:sz w:val="22"/>
          <w:szCs w:val="22"/>
        </w:rPr>
        <w:t xml:space="preserve">Hernández Alvarez, Oscar. “Latin America.” In </w:t>
      </w:r>
      <w:r w:rsidRPr="00E228B5">
        <w:rPr>
          <w:i/>
          <w:sz w:val="22"/>
          <w:szCs w:val="22"/>
        </w:rPr>
        <w:t xml:space="preserve">Towards Social Dialogue: Tripartite Cooperation in national economic and social policy-making, </w:t>
      </w:r>
      <w:r w:rsidRPr="00E228B5">
        <w:rPr>
          <w:sz w:val="22"/>
          <w:szCs w:val="22"/>
        </w:rPr>
        <w:t xml:space="preserve">edited by A. </w:t>
      </w:r>
      <w:proofErr w:type="spellStart"/>
      <w:r w:rsidRPr="00E228B5">
        <w:rPr>
          <w:sz w:val="22"/>
          <w:szCs w:val="22"/>
        </w:rPr>
        <w:t>Trebilcock</w:t>
      </w:r>
      <w:proofErr w:type="spellEnd"/>
      <w:r w:rsidRPr="00E228B5">
        <w:rPr>
          <w:sz w:val="22"/>
          <w:szCs w:val="22"/>
        </w:rPr>
        <w:t xml:space="preserve">, 335-370. Geneva: ILO, </w:t>
      </w:r>
      <w:r>
        <w:rPr>
          <w:sz w:val="22"/>
          <w:szCs w:val="22"/>
        </w:rPr>
        <w:t>(</w:t>
      </w:r>
      <w:r w:rsidRPr="00E228B5">
        <w:rPr>
          <w:sz w:val="22"/>
          <w:szCs w:val="22"/>
        </w:rPr>
        <w:t>1994</w:t>
      </w:r>
      <w:r>
        <w:rPr>
          <w:sz w:val="22"/>
          <w:szCs w:val="22"/>
        </w:rPr>
        <w:t>)</w:t>
      </w:r>
      <w:r w:rsidRPr="00E228B5">
        <w:rPr>
          <w:sz w:val="22"/>
          <w:szCs w:val="22"/>
        </w:rPr>
        <w:t>.</w:t>
      </w:r>
    </w:p>
    <w:p w:rsidR="001264CB" w:rsidRPr="00BC6B23" w:rsidRDefault="001264CB" w:rsidP="00EA78C0">
      <w:pPr>
        <w:spacing w:after="240" w:line="480" w:lineRule="auto"/>
        <w:rPr>
          <w:rFonts w:eastAsia="SimSun"/>
          <w:sz w:val="22"/>
          <w:szCs w:val="22"/>
        </w:rPr>
      </w:pPr>
      <w:r w:rsidRPr="00BC6B23">
        <w:rPr>
          <w:sz w:val="22"/>
          <w:szCs w:val="22"/>
        </w:rPr>
        <w:t xml:space="preserve">Hirschman, E.C., Hill, R.P. “On human commodification: a model for African-American slavery.” </w:t>
      </w:r>
      <w:r w:rsidRPr="00BC6B23">
        <w:rPr>
          <w:i/>
          <w:sz w:val="22"/>
          <w:szCs w:val="22"/>
        </w:rPr>
        <w:t>Advances in Consumer Research</w:t>
      </w:r>
      <w:r w:rsidRPr="00BC6B23">
        <w:rPr>
          <w:sz w:val="22"/>
          <w:szCs w:val="22"/>
        </w:rPr>
        <w:t xml:space="preserve"> 26, (1999): 394.</w:t>
      </w:r>
    </w:p>
    <w:p w:rsidR="001264CB" w:rsidRPr="00E228B5" w:rsidRDefault="001264CB" w:rsidP="00EA78C0">
      <w:pPr>
        <w:spacing w:after="240" w:line="480" w:lineRule="auto"/>
        <w:rPr>
          <w:sz w:val="22"/>
          <w:szCs w:val="22"/>
        </w:rPr>
      </w:pPr>
      <w:proofErr w:type="gramStart"/>
      <w:r w:rsidRPr="00E228B5">
        <w:rPr>
          <w:iCs/>
          <w:sz w:val="22"/>
          <w:szCs w:val="22"/>
        </w:rPr>
        <w:t>ILO.</w:t>
      </w:r>
      <w:proofErr w:type="gramEnd"/>
      <w:r w:rsidRPr="00E228B5">
        <w:rPr>
          <w:iCs/>
          <w:sz w:val="22"/>
          <w:szCs w:val="22"/>
        </w:rPr>
        <w:t xml:space="preserve"> </w:t>
      </w:r>
      <w:r w:rsidRPr="00E228B5">
        <w:rPr>
          <w:i/>
          <w:iCs/>
          <w:sz w:val="22"/>
          <w:szCs w:val="22"/>
        </w:rPr>
        <w:t xml:space="preserve">National tripartite social dialogue: an ILO guide for improved governance. </w:t>
      </w:r>
      <w:proofErr w:type="gramStart"/>
      <w:r w:rsidRPr="00E228B5">
        <w:rPr>
          <w:sz w:val="22"/>
          <w:szCs w:val="22"/>
        </w:rPr>
        <w:t xml:space="preserve">International </w:t>
      </w:r>
      <w:proofErr w:type="spellStart"/>
      <w:r w:rsidRPr="00E228B5">
        <w:rPr>
          <w:sz w:val="22"/>
          <w:szCs w:val="22"/>
        </w:rPr>
        <w:t>Labour</w:t>
      </w:r>
      <w:proofErr w:type="spellEnd"/>
      <w:r w:rsidRPr="00E228B5">
        <w:rPr>
          <w:sz w:val="22"/>
          <w:szCs w:val="22"/>
        </w:rPr>
        <w:t xml:space="preserve"> Office, Social Dialogue and </w:t>
      </w:r>
      <w:proofErr w:type="spellStart"/>
      <w:r w:rsidRPr="00E228B5">
        <w:rPr>
          <w:sz w:val="22"/>
          <w:szCs w:val="22"/>
        </w:rPr>
        <w:t>Tripartism</w:t>
      </w:r>
      <w:proofErr w:type="spellEnd"/>
      <w:r w:rsidRPr="00E228B5">
        <w:rPr>
          <w:sz w:val="22"/>
          <w:szCs w:val="22"/>
        </w:rPr>
        <w:t xml:space="preserve"> Unit, Governance and </w:t>
      </w:r>
      <w:proofErr w:type="spellStart"/>
      <w:r w:rsidRPr="00E228B5">
        <w:rPr>
          <w:sz w:val="22"/>
          <w:szCs w:val="22"/>
        </w:rPr>
        <w:t>Tripartism</w:t>
      </w:r>
      <w:proofErr w:type="spellEnd"/>
      <w:r w:rsidRPr="00E228B5">
        <w:rPr>
          <w:sz w:val="22"/>
          <w:szCs w:val="22"/>
        </w:rPr>
        <w:t xml:space="preserve"> Department.</w:t>
      </w:r>
      <w:proofErr w:type="gramEnd"/>
      <w:r w:rsidRPr="00E228B5">
        <w:rPr>
          <w:sz w:val="22"/>
          <w:szCs w:val="22"/>
        </w:rPr>
        <w:t xml:space="preserve"> Geneva: ILO, </w:t>
      </w:r>
      <w:r>
        <w:rPr>
          <w:sz w:val="22"/>
          <w:szCs w:val="22"/>
        </w:rPr>
        <w:t>(</w:t>
      </w:r>
      <w:r w:rsidRPr="00E228B5">
        <w:rPr>
          <w:iCs/>
          <w:sz w:val="22"/>
          <w:szCs w:val="22"/>
        </w:rPr>
        <w:t>2013</w:t>
      </w:r>
      <w:r>
        <w:rPr>
          <w:iCs/>
          <w:sz w:val="22"/>
          <w:szCs w:val="22"/>
        </w:rPr>
        <w:t>)</w:t>
      </w:r>
      <w:r w:rsidRPr="00E228B5">
        <w:rPr>
          <w:iCs/>
          <w:sz w:val="22"/>
          <w:szCs w:val="22"/>
        </w:rPr>
        <w:t>.</w:t>
      </w:r>
    </w:p>
    <w:p w:rsidR="001264CB" w:rsidRPr="00E228B5" w:rsidRDefault="001264CB" w:rsidP="00EA78C0">
      <w:pPr>
        <w:spacing w:after="240" w:line="480" w:lineRule="auto"/>
        <w:rPr>
          <w:color w:val="222222"/>
          <w:sz w:val="22"/>
          <w:szCs w:val="22"/>
        </w:rPr>
      </w:pPr>
      <w:proofErr w:type="gramStart"/>
      <w:r w:rsidRPr="00E228B5">
        <w:rPr>
          <w:color w:val="222222"/>
          <w:sz w:val="22"/>
          <w:szCs w:val="22"/>
        </w:rPr>
        <w:t>Islam, M.A., and K. McPhail.</w:t>
      </w:r>
      <w:proofErr w:type="gramEnd"/>
      <w:r w:rsidRPr="00E228B5">
        <w:rPr>
          <w:color w:val="222222"/>
          <w:sz w:val="22"/>
          <w:szCs w:val="22"/>
        </w:rPr>
        <w:t xml:space="preserve"> </w:t>
      </w:r>
      <w:proofErr w:type="gramStart"/>
      <w:r w:rsidRPr="00E228B5">
        <w:rPr>
          <w:color w:val="222222"/>
          <w:sz w:val="22"/>
          <w:szCs w:val="22"/>
        </w:rPr>
        <w:t>“Regulating for corporate human rights abuses: the emergence of corporate reporting on the ILO’s human rights standards within the global garment manufacturing and retail industries.”</w:t>
      </w:r>
      <w:proofErr w:type="gramEnd"/>
      <w:r w:rsidRPr="00E228B5">
        <w:rPr>
          <w:color w:val="222222"/>
          <w:sz w:val="22"/>
          <w:szCs w:val="22"/>
        </w:rPr>
        <w:t xml:space="preserve">  </w:t>
      </w:r>
      <w:r w:rsidRPr="00E228B5">
        <w:rPr>
          <w:i/>
          <w:color w:val="222222"/>
          <w:sz w:val="22"/>
          <w:szCs w:val="22"/>
        </w:rPr>
        <w:t>Critical Perspectives on Accounting</w:t>
      </w:r>
      <w:r w:rsidRPr="00E228B5">
        <w:rPr>
          <w:color w:val="222222"/>
          <w:sz w:val="22"/>
          <w:szCs w:val="22"/>
        </w:rPr>
        <w:t xml:space="preserve"> 22, no. 8 (2011): 790-810. </w:t>
      </w:r>
    </w:p>
    <w:p w:rsidR="001264CB" w:rsidRPr="00E228B5" w:rsidRDefault="001264CB" w:rsidP="00EA78C0">
      <w:pPr>
        <w:spacing w:after="240" w:line="480" w:lineRule="auto"/>
        <w:rPr>
          <w:spacing w:val="-3"/>
          <w:sz w:val="22"/>
          <w:szCs w:val="22"/>
        </w:rPr>
      </w:pPr>
      <w:r w:rsidRPr="00E228B5">
        <w:rPr>
          <w:spacing w:val="-3"/>
          <w:sz w:val="22"/>
          <w:szCs w:val="22"/>
        </w:rPr>
        <w:t>Jessop, B.  “</w:t>
      </w:r>
      <w:r w:rsidRPr="00E228B5">
        <w:rPr>
          <w:sz w:val="22"/>
          <w:szCs w:val="22"/>
        </w:rPr>
        <w:t xml:space="preserve">Rethinking the Diversity and Variability of Capitalism: on Variegated Capitalism in the World Market.” </w:t>
      </w:r>
      <w:proofErr w:type="gramStart"/>
      <w:r w:rsidRPr="00E228B5">
        <w:rPr>
          <w:sz w:val="22"/>
          <w:szCs w:val="22"/>
        </w:rPr>
        <w:t>In</w:t>
      </w:r>
      <w:r w:rsidRPr="00E228B5">
        <w:rPr>
          <w:spacing w:val="-3"/>
          <w:sz w:val="22"/>
          <w:szCs w:val="22"/>
        </w:rPr>
        <w:t xml:space="preserve"> </w:t>
      </w:r>
      <w:r w:rsidRPr="00E228B5">
        <w:rPr>
          <w:i/>
          <w:spacing w:val="-3"/>
          <w:sz w:val="22"/>
          <w:szCs w:val="22"/>
        </w:rPr>
        <w:t xml:space="preserve">Institutions, Internal Diversity and Change, </w:t>
      </w:r>
      <w:r w:rsidRPr="00E228B5">
        <w:rPr>
          <w:spacing w:val="-3"/>
          <w:sz w:val="22"/>
          <w:szCs w:val="22"/>
        </w:rPr>
        <w:t>edited by C. Lane and G. Wood, 209-237.</w:t>
      </w:r>
      <w:proofErr w:type="gramEnd"/>
      <w:r w:rsidRPr="00E228B5">
        <w:rPr>
          <w:spacing w:val="-3"/>
          <w:sz w:val="22"/>
          <w:szCs w:val="22"/>
        </w:rPr>
        <w:t xml:space="preserve"> London: Routledge, </w:t>
      </w:r>
      <w:r>
        <w:rPr>
          <w:spacing w:val="-3"/>
          <w:sz w:val="22"/>
          <w:szCs w:val="22"/>
        </w:rPr>
        <w:t>(</w:t>
      </w:r>
      <w:r w:rsidRPr="00E228B5">
        <w:rPr>
          <w:spacing w:val="-3"/>
          <w:sz w:val="22"/>
          <w:szCs w:val="22"/>
        </w:rPr>
        <w:t>2012</w:t>
      </w:r>
      <w:r>
        <w:rPr>
          <w:spacing w:val="-3"/>
          <w:sz w:val="22"/>
          <w:szCs w:val="22"/>
        </w:rPr>
        <w:t>)</w:t>
      </w:r>
      <w:r w:rsidRPr="00E228B5">
        <w:rPr>
          <w:spacing w:val="-3"/>
          <w:sz w:val="22"/>
          <w:szCs w:val="22"/>
        </w:rPr>
        <w:t>.</w:t>
      </w:r>
    </w:p>
    <w:p w:rsidR="001264CB" w:rsidRPr="00E228B5" w:rsidRDefault="001264CB" w:rsidP="00EA78C0">
      <w:pPr>
        <w:spacing w:after="240" w:line="480" w:lineRule="auto"/>
        <w:rPr>
          <w:color w:val="222222"/>
          <w:sz w:val="22"/>
          <w:szCs w:val="22"/>
        </w:rPr>
      </w:pPr>
      <w:proofErr w:type="gramStart"/>
      <w:r>
        <w:rPr>
          <w:color w:val="222222"/>
          <w:sz w:val="22"/>
          <w:szCs w:val="22"/>
        </w:rPr>
        <w:t>Keller, B.</w:t>
      </w:r>
      <w:r w:rsidRPr="00E228B5">
        <w:rPr>
          <w:color w:val="222222"/>
          <w:sz w:val="22"/>
          <w:szCs w:val="22"/>
        </w:rPr>
        <w:t xml:space="preserve"> and S. Weber.</w:t>
      </w:r>
      <w:proofErr w:type="gramEnd"/>
      <w:r w:rsidRPr="00E228B5">
        <w:rPr>
          <w:color w:val="222222"/>
          <w:sz w:val="22"/>
          <w:szCs w:val="22"/>
        </w:rPr>
        <w:t xml:space="preserve"> “</w:t>
      </w:r>
      <w:proofErr w:type="spellStart"/>
      <w:r w:rsidRPr="00E228B5">
        <w:rPr>
          <w:color w:val="222222"/>
          <w:sz w:val="22"/>
          <w:szCs w:val="22"/>
        </w:rPr>
        <w:t>Sectoral</w:t>
      </w:r>
      <w:proofErr w:type="spellEnd"/>
      <w:r w:rsidRPr="00E228B5">
        <w:rPr>
          <w:color w:val="222222"/>
          <w:sz w:val="22"/>
          <w:szCs w:val="22"/>
        </w:rPr>
        <w:t xml:space="preserve"> social dialogue at European level: problems and prospects of implementation.” </w:t>
      </w:r>
      <w:r w:rsidRPr="00E228B5">
        <w:rPr>
          <w:i/>
          <w:color w:val="222222"/>
          <w:sz w:val="22"/>
          <w:szCs w:val="22"/>
        </w:rPr>
        <w:t>European Journal of Industrial Relations</w:t>
      </w:r>
      <w:r w:rsidRPr="00E228B5">
        <w:rPr>
          <w:color w:val="222222"/>
          <w:sz w:val="22"/>
          <w:szCs w:val="22"/>
        </w:rPr>
        <w:t xml:space="preserve"> 17, no. 3 (2011): 227-243.  </w:t>
      </w:r>
    </w:p>
    <w:p w:rsidR="001264CB" w:rsidRPr="00E228B5" w:rsidRDefault="001264CB" w:rsidP="00EA78C0">
      <w:pPr>
        <w:spacing w:after="240" w:line="480" w:lineRule="auto"/>
        <w:rPr>
          <w:color w:val="222222"/>
          <w:sz w:val="22"/>
          <w:szCs w:val="22"/>
        </w:rPr>
      </w:pPr>
      <w:proofErr w:type="gramStart"/>
      <w:r w:rsidRPr="00E228B5">
        <w:rPr>
          <w:color w:val="222222"/>
          <w:sz w:val="22"/>
          <w:szCs w:val="22"/>
        </w:rPr>
        <w:t>McIlroy, J. and R. Croucher.</w:t>
      </w:r>
      <w:proofErr w:type="gramEnd"/>
      <w:r w:rsidRPr="00E228B5">
        <w:rPr>
          <w:color w:val="222222"/>
          <w:sz w:val="22"/>
          <w:szCs w:val="22"/>
        </w:rPr>
        <w:t xml:space="preserve"> “British trade unions and the academics: the case of </w:t>
      </w:r>
      <w:proofErr w:type="spellStart"/>
      <w:r w:rsidRPr="00E228B5">
        <w:rPr>
          <w:color w:val="222222"/>
          <w:sz w:val="22"/>
          <w:szCs w:val="22"/>
        </w:rPr>
        <w:t>Unionlearn</w:t>
      </w:r>
      <w:proofErr w:type="spellEnd"/>
      <w:r w:rsidRPr="00E228B5">
        <w:rPr>
          <w:color w:val="222222"/>
          <w:sz w:val="22"/>
          <w:szCs w:val="22"/>
        </w:rPr>
        <w:t xml:space="preserve">.” </w:t>
      </w:r>
      <w:r w:rsidRPr="00E228B5">
        <w:rPr>
          <w:i/>
          <w:color w:val="222222"/>
          <w:sz w:val="22"/>
          <w:szCs w:val="22"/>
        </w:rPr>
        <w:t>Capital and Class</w:t>
      </w:r>
      <w:r w:rsidRPr="00E228B5">
        <w:rPr>
          <w:color w:val="222222"/>
          <w:sz w:val="22"/>
          <w:szCs w:val="22"/>
        </w:rPr>
        <w:t xml:space="preserve"> 37, no. 2 (2013): 263-284. </w:t>
      </w:r>
    </w:p>
    <w:p w:rsidR="001264CB" w:rsidRPr="00E228B5" w:rsidRDefault="001264CB" w:rsidP="00EA78C0">
      <w:pPr>
        <w:spacing w:after="240" w:line="480" w:lineRule="auto"/>
        <w:rPr>
          <w:color w:val="222222"/>
          <w:sz w:val="22"/>
          <w:szCs w:val="22"/>
        </w:rPr>
      </w:pPr>
      <w:proofErr w:type="spellStart"/>
      <w:r w:rsidRPr="00E228B5">
        <w:rPr>
          <w:color w:val="222222"/>
          <w:sz w:val="22"/>
          <w:szCs w:val="22"/>
        </w:rPr>
        <w:t>Middlemas</w:t>
      </w:r>
      <w:proofErr w:type="spellEnd"/>
      <w:r w:rsidRPr="00E228B5">
        <w:rPr>
          <w:color w:val="222222"/>
          <w:sz w:val="22"/>
          <w:szCs w:val="22"/>
        </w:rPr>
        <w:t xml:space="preserve">, K. </w:t>
      </w:r>
      <w:r w:rsidRPr="00E228B5">
        <w:rPr>
          <w:i/>
          <w:color w:val="222222"/>
          <w:sz w:val="22"/>
          <w:szCs w:val="22"/>
        </w:rPr>
        <w:t>Politics in Industrial Society</w:t>
      </w:r>
      <w:r w:rsidRPr="00E228B5">
        <w:rPr>
          <w:color w:val="222222"/>
          <w:sz w:val="22"/>
          <w:szCs w:val="22"/>
        </w:rPr>
        <w:t xml:space="preserve">. London: André Deutsch, </w:t>
      </w:r>
      <w:r>
        <w:rPr>
          <w:color w:val="222222"/>
          <w:sz w:val="22"/>
          <w:szCs w:val="22"/>
        </w:rPr>
        <w:t>(</w:t>
      </w:r>
      <w:r w:rsidRPr="00E228B5">
        <w:rPr>
          <w:color w:val="222222"/>
          <w:sz w:val="22"/>
          <w:szCs w:val="22"/>
        </w:rPr>
        <w:t>1979</w:t>
      </w:r>
      <w:r>
        <w:rPr>
          <w:color w:val="222222"/>
          <w:sz w:val="22"/>
          <w:szCs w:val="22"/>
        </w:rPr>
        <w:t>)</w:t>
      </w:r>
      <w:r w:rsidRPr="00E228B5">
        <w:rPr>
          <w:color w:val="222222"/>
          <w:sz w:val="22"/>
          <w:szCs w:val="22"/>
        </w:rPr>
        <w:t>.</w:t>
      </w:r>
    </w:p>
    <w:p w:rsidR="001264CB" w:rsidRPr="00E228B5" w:rsidRDefault="001264CB" w:rsidP="00EA78C0">
      <w:pPr>
        <w:spacing w:after="240" w:line="480" w:lineRule="auto"/>
        <w:rPr>
          <w:color w:val="222222"/>
          <w:sz w:val="22"/>
          <w:szCs w:val="22"/>
        </w:rPr>
      </w:pPr>
      <w:r w:rsidRPr="00E228B5">
        <w:rPr>
          <w:color w:val="222222"/>
          <w:sz w:val="22"/>
          <w:szCs w:val="22"/>
        </w:rPr>
        <w:t xml:space="preserve">Moore, B. Jr. </w:t>
      </w:r>
      <w:r w:rsidRPr="00E228B5">
        <w:rPr>
          <w:i/>
          <w:color w:val="222222"/>
          <w:sz w:val="22"/>
          <w:szCs w:val="22"/>
        </w:rPr>
        <w:t>Injustice: the social basis of obedience and revolt.</w:t>
      </w:r>
      <w:r w:rsidRPr="00E228B5">
        <w:rPr>
          <w:color w:val="222222"/>
          <w:sz w:val="22"/>
          <w:szCs w:val="22"/>
        </w:rPr>
        <w:t xml:space="preserve"> White Plains, New York: M.E. Sharpe, </w:t>
      </w:r>
      <w:r>
        <w:rPr>
          <w:color w:val="222222"/>
          <w:sz w:val="22"/>
          <w:szCs w:val="22"/>
        </w:rPr>
        <w:t>(</w:t>
      </w:r>
      <w:r w:rsidRPr="00E228B5">
        <w:rPr>
          <w:color w:val="222222"/>
          <w:sz w:val="22"/>
          <w:szCs w:val="22"/>
        </w:rPr>
        <w:t>1978</w:t>
      </w:r>
      <w:r>
        <w:rPr>
          <w:color w:val="222222"/>
          <w:sz w:val="22"/>
          <w:szCs w:val="22"/>
        </w:rPr>
        <w:t>)</w:t>
      </w:r>
      <w:r w:rsidRPr="00E228B5">
        <w:rPr>
          <w:color w:val="222222"/>
          <w:sz w:val="22"/>
          <w:szCs w:val="22"/>
        </w:rPr>
        <w:t>.</w:t>
      </w:r>
    </w:p>
    <w:p w:rsidR="001264CB" w:rsidRPr="00567890" w:rsidRDefault="001264CB" w:rsidP="00EA78C0">
      <w:pPr>
        <w:spacing w:after="240" w:line="480" w:lineRule="auto"/>
        <w:rPr>
          <w:sz w:val="22"/>
          <w:szCs w:val="22"/>
          <w:lang w:val="en-GB"/>
        </w:rPr>
      </w:pPr>
      <w:r w:rsidRPr="006E02F4">
        <w:rPr>
          <w:sz w:val="22"/>
          <w:szCs w:val="22"/>
          <w:lang w:val="en-GB"/>
        </w:rPr>
        <w:t xml:space="preserve">Moore, </w:t>
      </w:r>
      <w:r>
        <w:rPr>
          <w:sz w:val="22"/>
          <w:szCs w:val="22"/>
          <w:lang w:val="en-GB"/>
        </w:rPr>
        <w:t xml:space="preserve">B. </w:t>
      </w:r>
      <w:r w:rsidRPr="006E02F4">
        <w:rPr>
          <w:sz w:val="22"/>
          <w:szCs w:val="22"/>
          <w:lang w:val="en-GB"/>
        </w:rPr>
        <w:t>Jr</w:t>
      </w:r>
      <w:r>
        <w:rPr>
          <w:sz w:val="22"/>
          <w:szCs w:val="22"/>
          <w:lang w:val="en-GB"/>
        </w:rPr>
        <w:t>.</w:t>
      </w:r>
      <w:r w:rsidRPr="006E02F4">
        <w:rPr>
          <w:sz w:val="22"/>
          <w:szCs w:val="22"/>
          <w:lang w:val="en-GB"/>
        </w:rPr>
        <w:t xml:space="preserve"> </w:t>
      </w:r>
      <w:r w:rsidRPr="006E02F4">
        <w:rPr>
          <w:i/>
          <w:sz w:val="22"/>
          <w:szCs w:val="22"/>
          <w:lang w:val="en-GB"/>
        </w:rPr>
        <w:t>Social Origins of Dictatorship and Democracy: Lord and Peasant in the Making of the Modern World</w:t>
      </w:r>
      <w:r>
        <w:rPr>
          <w:sz w:val="22"/>
          <w:szCs w:val="22"/>
          <w:lang w:val="en-GB"/>
        </w:rPr>
        <w:t>.  Boston: Beacon Press, (1966).</w:t>
      </w:r>
    </w:p>
    <w:p w:rsidR="001264CB" w:rsidRPr="00E228B5" w:rsidRDefault="001264CB" w:rsidP="00EA78C0">
      <w:pPr>
        <w:suppressAutoHyphens/>
        <w:spacing w:after="240" w:line="480" w:lineRule="auto"/>
        <w:jc w:val="both"/>
        <w:rPr>
          <w:spacing w:val="-3"/>
          <w:sz w:val="22"/>
          <w:szCs w:val="22"/>
          <w:lang w:val="en-GB"/>
        </w:rPr>
      </w:pPr>
      <w:proofErr w:type="gramStart"/>
      <w:r w:rsidRPr="00E228B5">
        <w:rPr>
          <w:spacing w:val="-3"/>
          <w:sz w:val="22"/>
          <w:szCs w:val="22"/>
          <w:lang w:val="en-GB"/>
        </w:rPr>
        <w:t>Morgan, G. “International Business, Multinationals and National Business Systems.”</w:t>
      </w:r>
      <w:proofErr w:type="gramEnd"/>
      <w:r w:rsidRPr="00E228B5">
        <w:rPr>
          <w:spacing w:val="-3"/>
          <w:sz w:val="22"/>
          <w:szCs w:val="22"/>
          <w:lang w:val="en-GB"/>
        </w:rPr>
        <w:t xml:space="preserve"> </w:t>
      </w:r>
      <w:proofErr w:type="gramStart"/>
      <w:r w:rsidRPr="00E228B5">
        <w:rPr>
          <w:spacing w:val="-3"/>
          <w:sz w:val="22"/>
          <w:szCs w:val="22"/>
          <w:lang w:val="en-GB"/>
        </w:rPr>
        <w:t xml:space="preserve">In </w:t>
      </w:r>
      <w:r w:rsidRPr="00E228B5">
        <w:rPr>
          <w:i/>
          <w:spacing w:val="-3"/>
          <w:sz w:val="22"/>
          <w:szCs w:val="22"/>
          <w:lang w:val="en-GB"/>
        </w:rPr>
        <w:t xml:space="preserve">Handbook of Institutional Approaches to International Business, </w:t>
      </w:r>
      <w:r w:rsidRPr="00E228B5">
        <w:rPr>
          <w:spacing w:val="-3"/>
          <w:sz w:val="22"/>
          <w:szCs w:val="22"/>
          <w:lang w:val="en-GB"/>
        </w:rPr>
        <w:t xml:space="preserve">edited by G. Wood, and M. </w:t>
      </w:r>
      <w:proofErr w:type="spellStart"/>
      <w:r w:rsidRPr="00E228B5">
        <w:rPr>
          <w:spacing w:val="-3"/>
          <w:sz w:val="22"/>
          <w:szCs w:val="22"/>
          <w:lang w:val="en-GB"/>
        </w:rPr>
        <w:t>Demirbag</w:t>
      </w:r>
      <w:proofErr w:type="spellEnd"/>
      <w:r w:rsidRPr="00E228B5">
        <w:rPr>
          <w:spacing w:val="-3"/>
          <w:sz w:val="22"/>
          <w:szCs w:val="22"/>
          <w:lang w:val="en-GB"/>
        </w:rPr>
        <w:t>, 18-40.</w:t>
      </w:r>
      <w:proofErr w:type="gramEnd"/>
      <w:r w:rsidRPr="00E228B5">
        <w:rPr>
          <w:spacing w:val="-3"/>
          <w:sz w:val="22"/>
          <w:szCs w:val="22"/>
          <w:lang w:val="en-GB"/>
        </w:rPr>
        <w:t xml:space="preserve"> Cheltenham: Elgar, </w:t>
      </w:r>
      <w:r>
        <w:rPr>
          <w:spacing w:val="-3"/>
          <w:sz w:val="22"/>
          <w:szCs w:val="22"/>
          <w:lang w:val="en-GB"/>
        </w:rPr>
        <w:t>(</w:t>
      </w:r>
      <w:r w:rsidRPr="00E228B5">
        <w:rPr>
          <w:spacing w:val="-3"/>
          <w:sz w:val="22"/>
          <w:szCs w:val="22"/>
          <w:lang w:val="en-GB"/>
        </w:rPr>
        <w:t>2012</w:t>
      </w:r>
      <w:r>
        <w:rPr>
          <w:spacing w:val="-3"/>
          <w:sz w:val="22"/>
          <w:szCs w:val="22"/>
          <w:lang w:val="en-GB"/>
        </w:rPr>
        <w:t>)</w:t>
      </w:r>
      <w:r w:rsidRPr="00E228B5">
        <w:rPr>
          <w:spacing w:val="-3"/>
          <w:sz w:val="22"/>
          <w:szCs w:val="22"/>
          <w:lang w:val="en-GB"/>
        </w:rPr>
        <w:t xml:space="preserve">. </w:t>
      </w:r>
    </w:p>
    <w:p w:rsidR="001264CB" w:rsidRPr="00E228B5" w:rsidRDefault="001264CB" w:rsidP="00EA78C0">
      <w:pPr>
        <w:spacing w:after="240" w:line="480" w:lineRule="auto"/>
        <w:rPr>
          <w:color w:val="222222"/>
          <w:sz w:val="22"/>
          <w:szCs w:val="22"/>
        </w:rPr>
      </w:pPr>
      <w:r w:rsidRPr="00E228B5">
        <w:rPr>
          <w:color w:val="222222"/>
          <w:sz w:val="22"/>
          <w:szCs w:val="22"/>
        </w:rPr>
        <w:t xml:space="preserve">Piketty, P. </w:t>
      </w:r>
      <w:r w:rsidRPr="00E228B5">
        <w:rPr>
          <w:i/>
          <w:color w:val="222222"/>
          <w:sz w:val="22"/>
          <w:szCs w:val="22"/>
        </w:rPr>
        <w:t>Capital in the Twenty-First Century</w:t>
      </w:r>
      <w:r w:rsidRPr="00E228B5">
        <w:rPr>
          <w:color w:val="222222"/>
          <w:sz w:val="22"/>
          <w:szCs w:val="22"/>
        </w:rPr>
        <w:t xml:space="preserve">.  </w:t>
      </w:r>
      <w:r w:rsidR="002F0CC1">
        <w:rPr>
          <w:color w:val="222222"/>
          <w:sz w:val="22"/>
          <w:szCs w:val="22"/>
        </w:rPr>
        <w:t xml:space="preserve">Cambridge, Mass: </w:t>
      </w:r>
      <w:proofErr w:type="spellStart"/>
      <w:r w:rsidR="002F0CC1">
        <w:rPr>
          <w:color w:val="222222"/>
          <w:sz w:val="22"/>
          <w:szCs w:val="22"/>
        </w:rPr>
        <w:t>Belknapp</w:t>
      </w:r>
      <w:proofErr w:type="spellEnd"/>
      <w:r w:rsidR="002F0CC1">
        <w:rPr>
          <w:color w:val="222222"/>
          <w:sz w:val="22"/>
          <w:szCs w:val="22"/>
        </w:rPr>
        <w:t xml:space="preserve"> Press</w:t>
      </w:r>
      <w:r w:rsidRPr="00E228B5">
        <w:rPr>
          <w:color w:val="222222"/>
          <w:sz w:val="22"/>
          <w:szCs w:val="22"/>
        </w:rPr>
        <w:t xml:space="preserve"> </w:t>
      </w:r>
      <w:r>
        <w:rPr>
          <w:color w:val="222222"/>
          <w:sz w:val="22"/>
          <w:szCs w:val="22"/>
        </w:rPr>
        <w:t>(</w:t>
      </w:r>
      <w:r w:rsidRPr="00E228B5">
        <w:rPr>
          <w:color w:val="222222"/>
          <w:sz w:val="22"/>
          <w:szCs w:val="22"/>
        </w:rPr>
        <w:t>2014</w:t>
      </w:r>
      <w:r>
        <w:rPr>
          <w:color w:val="222222"/>
          <w:sz w:val="22"/>
          <w:szCs w:val="22"/>
        </w:rPr>
        <w:t>)</w:t>
      </w:r>
      <w:r w:rsidRPr="00E228B5">
        <w:rPr>
          <w:color w:val="222222"/>
          <w:sz w:val="22"/>
          <w:szCs w:val="22"/>
        </w:rPr>
        <w:t>.</w:t>
      </w:r>
    </w:p>
    <w:p w:rsidR="001264CB" w:rsidRPr="00E228B5" w:rsidRDefault="001264CB" w:rsidP="00EA78C0">
      <w:pPr>
        <w:pStyle w:val="FreeForm"/>
        <w:spacing w:after="240" w:line="480" w:lineRule="auto"/>
        <w:rPr>
          <w:rFonts w:ascii="Times New Roman" w:hAnsi="Times New Roman"/>
          <w:sz w:val="22"/>
          <w:szCs w:val="22"/>
        </w:rPr>
      </w:pPr>
      <w:proofErr w:type="spellStart"/>
      <w:r w:rsidRPr="00E228B5">
        <w:rPr>
          <w:rFonts w:ascii="Times New Roman" w:hAnsi="Times New Roman"/>
          <w:sz w:val="22"/>
          <w:szCs w:val="22"/>
        </w:rPr>
        <w:t>Priestland</w:t>
      </w:r>
      <w:proofErr w:type="spellEnd"/>
      <w:r w:rsidRPr="00E228B5">
        <w:rPr>
          <w:rFonts w:ascii="Times New Roman" w:hAnsi="Times New Roman"/>
          <w:sz w:val="22"/>
          <w:szCs w:val="22"/>
        </w:rPr>
        <w:t xml:space="preserve">, D. </w:t>
      </w:r>
      <w:r w:rsidRPr="00E228B5">
        <w:rPr>
          <w:rFonts w:ascii="Times New Roman" w:hAnsi="Times New Roman"/>
          <w:i/>
          <w:color w:val="1A1A1A"/>
          <w:sz w:val="22"/>
          <w:szCs w:val="22"/>
        </w:rPr>
        <w:t>Merchant, Soldier, Sage: A New History of Power</w:t>
      </w:r>
      <w:r w:rsidR="002F0CC1">
        <w:rPr>
          <w:rFonts w:ascii="Times New Roman" w:hAnsi="Times New Roman"/>
          <w:color w:val="1A1A1A"/>
          <w:sz w:val="22"/>
          <w:szCs w:val="22"/>
        </w:rPr>
        <w:t>. London: Fontana</w:t>
      </w:r>
      <w:r w:rsidRPr="00E228B5">
        <w:rPr>
          <w:rFonts w:ascii="Times New Roman" w:hAnsi="Times New Roman"/>
          <w:sz w:val="22"/>
          <w:szCs w:val="22"/>
        </w:rPr>
        <w:t xml:space="preserve"> </w:t>
      </w:r>
      <w:r>
        <w:rPr>
          <w:rFonts w:ascii="Times New Roman" w:hAnsi="Times New Roman"/>
          <w:sz w:val="22"/>
          <w:szCs w:val="22"/>
        </w:rPr>
        <w:t>(</w:t>
      </w:r>
      <w:r w:rsidRPr="00E228B5">
        <w:rPr>
          <w:rFonts w:ascii="Times New Roman" w:hAnsi="Times New Roman"/>
          <w:sz w:val="22"/>
          <w:szCs w:val="22"/>
        </w:rPr>
        <w:t>2012</w:t>
      </w:r>
      <w:r>
        <w:rPr>
          <w:rFonts w:ascii="Times New Roman" w:hAnsi="Times New Roman"/>
          <w:sz w:val="22"/>
          <w:szCs w:val="22"/>
        </w:rPr>
        <w:t>)</w:t>
      </w:r>
      <w:r w:rsidRPr="00E228B5">
        <w:rPr>
          <w:rFonts w:ascii="Times New Roman" w:hAnsi="Times New Roman"/>
          <w:sz w:val="22"/>
          <w:szCs w:val="22"/>
        </w:rPr>
        <w:t>.</w:t>
      </w:r>
    </w:p>
    <w:p w:rsidR="001264CB" w:rsidRPr="00E228B5" w:rsidRDefault="001264CB" w:rsidP="00EA78C0">
      <w:pPr>
        <w:spacing w:after="240" w:line="480" w:lineRule="auto"/>
        <w:rPr>
          <w:color w:val="222222"/>
          <w:sz w:val="22"/>
          <w:szCs w:val="22"/>
        </w:rPr>
      </w:pPr>
      <w:r w:rsidRPr="00E228B5">
        <w:rPr>
          <w:color w:val="222222"/>
          <w:sz w:val="22"/>
          <w:szCs w:val="22"/>
        </w:rPr>
        <w:t xml:space="preserve">Rodgers, G., E. Lee, </w:t>
      </w:r>
      <w:proofErr w:type="spellStart"/>
      <w:r w:rsidRPr="00E228B5">
        <w:rPr>
          <w:color w:val="222222"/>
          <w:sz w:val="22"/>
          <w:szCs w:val="22"/>
        </w:rPr>
        <w:t>Swepston</w:t>
      </w:r>
      <w:proofErr w:type="spellEnd"/>
      <w:r w:rsidRPr="00E228B5">
        <w:rPr>
          <w:color w:val="222222"/>
          <w:sz w:val="22"/>
          <w:szCs w:val="22"/>
        </w:rPr>
        <w:t xml:space="preserve">, L., and Van </w:t>
      </w:r>
      <w:proofErr w:type="spellStart"/>
      <w:r w:rsidRPr="00E228B5">
        <w:rPr>
          <w:color w:val="222222"/>
          <w:sz w:val="22"/>
          <w:szCs w:val="22"/>
        </w:rPr>
        <w:t>Daele</w:t>
      </w:r>
      <w:proofErr w:type="spellEnd"/>
      <w:r w:rsidRPr="00E228B5">
        <w:rPr>
          <w:color w:val="222222"/>
          <w:sz w:val="22"/>
          <w:szCs w:val="22"/>
        </w:rPr>
        <w:t xml:space="preserve">, J. </w:t>
      </w:r>
      <w:proofErr w:type="gramStart"/>
      <w:r w:rsidRPr="00E228B5">
        <w:rPr>
          <w:i/>
          <w:color w:val="222222"/>
          <w:sz w:val="22"/>
          <w:szCs w:val="22"/>
        </w:rPr>
        <w:t xml:space="preserve">The International </w:t>
      </w:r>
      <w:proofErr w:type="spellStart"/>
      <w:r w:rsidRPr="00E228B5">
        <w:rPr>
          <w:i/>
          <w:color w:val="222222"/>
          <w:sz w:val="22"/>
          <w:szCs w:val="22"/>
        </w:rPr>
        <w:t>Labour</w:t>
      </w:r>
      <w:proofErr w:type="spellEnd"/>
      <w:r w:rsidRPr="00E228B5">
        <w:rPr>
          <w:i/>
          <w:color w:val="222222"/>
          <w:sz w:val="22"/>
          <w:szCs w:val="22"/>
        </w:rPr>
        <w:t xml:space="preserve"> Organization and the quest for social justice, 1919-2009</w:t>
      </w:r>
      <w:r w:rsidR="002F0CC1">
        <w:rPr>
          <w:color w:val="222222"/>
          <w:sz w:val="22"/>
          <w:szCs w:val="22"/>
        </w:rPr>
        <w:t>.</w:t>
      </w:r>
      <w:proofErr w:type="gramEnd"/>
      <w:r w:rsidR="002F0CC1">
        <w:rPr>
          <w:color w:val="222222"/>
          <w:sz w:val="22"/>
          <w:szCs w:val="22"/>
        </w:rPr>
        <w:t xml:space="preserve"> Geneva: ILO </w:t>
      </w:r>
      <w:r>
        <w:rPr>
          <w:color w:val="222222"/>
          <w:sz w:val="22"/>
          <w:szCs w:val="22"/>
        </w:rPr>
        <w:t>(</w:t>
      </w:r>
      <w:r w:rsidRPr="00E228B5">
        <w:rPr>
          <w:color w:val="222222"/>
          <w:sz w:val="22"/>
          <w:szCs w:val="22"/>
        </w:rPr>
        <w:t>2009</w:t>
      </w:r>
      <w:r>
        <w:rPr>
          <w:color w:val="222222"/>
          <w:sz w:val="22"/>
          <w:szCs w:val="22"/>
        </w:rPr>
        <w:t>)</w:t>
      </w:r>
      <w:r w:rsidRPr="00E228B5">
        <w:rPr>
          <w:color w:val="222222"/>
          <w:sz w:val="22"/>
          <w:szCs w:val="22"/>
        </w:rPr>
        <w:t>.</w:t>
      </w:r>
    </w:p>
    <w:p w:rsidR="001264CB" w:rsidRPr="00E228B5" w:rsidRDefault="001264CB" w:rsidP="00EA78C0">
      <w:pPr>
        <w:spacing w:after="240" w:line="480" w:lineRule="auto"/>
        <w:rPr>
          <w:iCs/>
          <w:color w:val="222222"/>
          <w:sz w:val="22"/>
          <w:szCs w:val="22"/>
        </w:rPr>
      </w:pPr>
      <w:proofErr w:type="spellStart"/>
      <w:proofErr w:type="gramStart"/>
      <w:r w:rsidRPr="00E228B5">
        <w:rPr>
          <w:sz w:val="22"/>
          <w:szCs w:val="22"/>
        </w:rPr>
        <w:t>Sandbrook</w:t>
      </w:r>
      <w:proofErr w:type="spellEnd"/>
      <w:r w:rsidRPr="00E228B5">
        <w:rPr>
          <w:sz w:val="22"/>
          <w:szCs w:val="22"/>
        </w:rPr>
        <w:t>, R</w:t>
      </w:r>
      <w:r>
        <w:rPr>
          <w:sz w:val="22"/>
          <w:szCs w:val="22"/>
        </w:rPr>
        <w:t>.</w:t>
      </w:r>
      <w:r w:rsidRPr="00E228B5">
        <w:rPr>
          <w:sz w:val="22"/>
          <w:szCs w:val="22"/>
        </w:rPr>
        <w:t>, M</w:t>
      </w:r>
      <w:r>
        <w:rPr>
          <w:sz w:val="22"/>
          <w:szCs w:val="22"/>
        </w:rPr>
        <w:t>.</w:t>
      </w:r>
      <w:r w:rsidRPr="00E228B5">
        <w:rPr>
          <w:sz w:val="22"/>
          <w:szCs w:val="22"/>
        </w:rPr>
        <w:t xml:space="preserve"> Edelman, P</w:t>
      </w:r>
      <w:r>
        <w:rPr>
          <w:sz w:val="22"/>
          <w:szCs w:val="22"/>
        </w:rPr>
        <w:t>.</w:t>
      </w:r>
      <w:r w:rsidRPr="00E228B5">
        <w:rPr>
          <w:sz w:val="22"/>
          <w:szCs w:val="22"/>
        </w:rPr>
        <w:t xml:space="preserve"> Heller, and J</w:t>
      </w:r>
      <w:r>
        <w:rPr>
          <w:sz w:val="22"/>
          <w:szCs w:val="22"/>
        </w:rPr>
        <w:t>.</w:t>
      </w:r>
      <w:r w:rsidRPr="00E228B5">
        <w:rPr>
          <w:sz w:val="22"/>
          <w:szCs w:val="22"/>
        </w:rPr>
        <w:t xml:space="preserve"> </w:t>
      </w:r>
      <w:proofErr w:type="spellStart"/>
      <w:r w:rsidRPr="00E228B5">
        <w:rPr>
          <w:sz w:val="22"/>
          <w:szCs w:val="22"/>
        </w:rPr>
        <w:t>Teichman</w:t>
      </w:r>
      <w:proofErr w:type="spellEnd"/>
      <w:r w:rsidRPr="00E228B5">
        <w:rPr>
          <w:sz w:val="22"/>
          <w:szCs w:val="22"/>
        </w:rPr>
        <w:t xml:space="preserve">, eds. </w:t>
      </w:r>
      <w:r w:rsidRPr="00E228B5">
        <w:rPr>
          <w:i/>
          <w:iCs/>
          <w:sz w:val="22"/>
          <w:szCs w:val="22"/>
        </w:rPr>
        <w:t>Social Democracy in the Global Periphery.</w:t>
      </w:r>
      <w:proofErr w:type="gramEnd"/>
      <w:r w:rsidRPr="00E228B5">
        <w:rPr>
          <w:i/>
          <w:iCs/>
          <w:sz w:val="22"/>
          <w:szCs w:val="22"/>
        </w:rPr>
        <w:t xml:space="preserve"> </w:t>
      </w:r>
      <w:proofErr w:type="gramStart"/>
      <w:r w:rsidRPr="00E228B5">
        <w:rPr>
          <w:i/>
          <w:iCs/>
          <w:sz w:val="22"/>
          <w:szCs w:val="22"/>
        </w:rPr>
        <w:t>Origins, Challenges, Prospects.</w:t>
      </w:r>
      <w:proofErr w:type="gramEnd"/>
      <w:r w:rsidRPr="00E228B5">
        <w:rPr>
          <w:sz w:val="22"/>
          <w:szCs w:val="22"/>
        </w:rPr>
        <w:t xml:space="preserve"> Cambri</w:t>
      </w:r>
      <w:r w:rsidR="002F0CC1">
        <w:rPr>
          <w:sz w:val="22"/>
          <w:szCs w:val="22"/>
        </w:rPr>
        <w:t>dge: Cambridge University Press</w:t>
      </w:r>
      <w:r w:rsidRPr="00E228B5">
        <w:rPr>
          <w:sz w:val="22"/>
          <w:szCs w:val="22"/>
        </w:rPr>
        <w:t xml:space="preserve"> </w:t>
      </w:r>
      <w:r>
        <w:rPr>
          <w:sz w:val="22"/>
          <w:szCs w:val="22"/>
        </w:rPr>
        <w:t>(</w:t>
      </w:r>
      <w:r w:rsidRPr="00E228B5">
        <w:rPr>
          <w:sz w:val="22"/>
          <w:szCs w:val="22"/>
        </w:rPr>
        <w:t>2007</w:t>
      </w:r>
      <w:r>
        <w:rPr>
          <w:sz w:val="22"/>
          <w:szCs w:val="22"/>
        </w:rPr>
        <w:t>)</w:t>
      </w:r>
      <w:r w:rsidRPr="00E228B5">
        <w:rPr>
          <w:sz w:val="22"/>
          <w:szCs w:val="22"/>
        </w:rPr>
        <w:t>.</w:t>
      </w:r>
    </w:p>
    <w:p w:rsidR="001264CB" w:rsidRPr="002115AD" w:rsidRDefault="001264CB" w:rsidP="00EA78C0">
      <w:pPr>
        <w:spacing w:after="240" w:line="480" w:lineRule="auto"/>
        <w:rPr>
          <w:sz w:val="22"/>
          <w:szCs w:val="22"/>
          <w:lang w:val="en-GB"/>
        </w:rPr>
      </w:pPr>
      <w:proofErr w:type="gramStart"/>
      <w:r w:rsidRPr="002115AD">
        <w:rPr>
          <w:sz w:val="22"/>
          <w:szCs w:val="22"/>
          <w:lang w:val="en-GB"/>
        </w:rPr>
        <w:t>Schwartz</w:t>
      </w:r>
      <w:r>
        <w:rPr>
          <w:sz w:val="22"/>
          <w:szCs w:val="22"/>
          <w:lang w:val="en-GB"/>
        </w:rPr>
        <w:t>,</w:t>
      </w:r>
      <w:r w:rsidRPr="002115AD">
        <w:rPr>
          <w:sz w:val="22"/>
          <w:szCs w:val="22"/>
          <w:lang w:val="en-GB"/>
        </w:rPr>
        <w:t xml:space="preserve"> G</w:t>
      </w:r>
      <w:r>
        <w:rPr>
          <w:sz w:val="22"/>
          <w:szCs w:val="22"/>
          <w:lang w:val="en-GB"/>
        </w:rPr>
        <w:t>., and</w:t>
      </w:r>
      <w:r w:rsidRPr="002115AD">
        <w:rPr>
          <w:sz w:val="22"/>
          <w:szCs w:val="22"/>
          <w:lang w:val="en-GB"/>
        </w:rPr>
        <w:t xml:space="preserve"> L.</w:t>
      </w:r>
      <w:r>
        <w:rPr>
          <w:sz w:val="22"/>
          <w:szCs w:val="22"/>
          <w:lang w:val="en-GB"/>
        </w:rPr>
        <w:t xml:space="preserve"> </w:t>
      </w:r>
      <w:r w:rsidRPr="002115AD">
        <w:rPr>
          <w:sz w:val="22"/>
          <w:szCs w:val="22"/>
          <w:lang w:val="en-GB"/>
        </w:rPr>
        <w:t>McCann</w:t>
      </w:r>
      <w:r>
        <w:rPr>
          <w:sz w:val="22"/>
          <w:szCs w:val="22"/>
          <w:lang w:val="en-GB"/>
        </w:rPr>
        <w:t>.</w:t>
      </w:r>
      <w:proofErr w:type="gramEnd"/>
      <w:r w:rsidRPr="002115AD">
        <w:rPr>
          <w:sz w:val="22"/>
          <w:szCs w:val="22"/>
          <w:lang w:val="en-GB"/>
        </w:rPr>
        <w:t xml:space="preserve"> </w:t>
      </w:r>
      <w:proofErr w:type="gramStart"/>
      <w:r>
        <w:rPr>
          <w:sz w:val="22"/>
          <w:szCs w:val="22"/>
          <w:lang w:val="en-GB"/>
        </w:rPr>
        <w:t>“</w:t>
      </w:r>
      <w:r w:rsidRPr="002115AD">
        <w:rPr>
          <w:sz w:val="22"/>
          <w:szCs w:val="22"/>
          <w:lang w:val="en-GB"/>
        </w:rPr>
        <w:t>Overlapping effects: Path dependence and path generation in management and organization in Russia</w:t>
      </w:r>
      <w:r>
        <w:rPr>
          <w:sz w:val="22"/>
          <w:szCs w:val="22"/>
          <w:lang w:val="en-GB"/>
        </w:rPr>
        <w:t>.”</w:t>
      </w:r>
      <w:proofErr w:type="gramEnd"/>
      <w:r w:rsidRPr="002115AD">
        <w:rPr>
          <w:sz w:val="22"/>
          <w:szCs w:val="22"/>
          <w:lang w:val="en-GB"/>
        </w:rPr>
        <w:t xml:space="preserve"> </w:t>
      </w:r>
      <w:r w:rsidRPr="002115AD">
        <w:rPr>
          <w:bCs/>
          <w:i/>
          <w:iCs/>
          <w:sz w:val="22"/>
          <w:szCs w:val="22"/>
          <w:lang w:val="en-GB"/>
        </w:rPr>
        <w:t>Human Relations</w:t>
      </w:r>
      <w:r w:rsidRPr="002115AD">
        <w:rPr>
          <w:sz w:val="22"/>
          <w:szCs w:val="22"/>
          <w:lang w:val="en-GB"/>
        </w:rPr>
        <w:t xml:space="preserve"> 60</w:t>
      </w:r>
      <w:r>
        <w:rPr>
          <w:sz w:val="22"/>
          <w:szCs w:val="22"/>
          <w:lang w:val="en-GB"/>
        </w:rPr>
        <w:t xml:space="preserve">, no. 10 (2007): </w:t>
      </w:r>
      <w:r w:rsidRPr="002115AD">
        <w:rPr>
          <w:sz w:val="22"/>
          <w:szCs w:val="22"/>
          <w:lang w:val="en-GB"/>
        </w:rPr>
        <w:t>1525-1550.</w:t>
      </w:r>
    </w:p>
    <w:p w:rsidR="001264CB" w:rsidRPr="00E228B5" w:rsidRDefault="001264CB" w:rsidP="00EA78C0">
      <w:pPr>
        <w:spacing w:after="240" w:line="480" w:lineRule="auto"/>
        <w:rPr>
          <w:sz w:val="22"/>
          <w:szCs w:val="22"/>
        </w:rPr>
      </w:pPr>
      <w:proofErr w:type="gramStart"/>
      <w:r w:rsidRPr="00E228B5">
        <w:rPr>
          <w:sz w:val="22"/>
          <w:szCs w:val="22"/>
        </w:rPr>
        <w:t>Sewell, W. “The Temporalities of Capitalism.”</w:t>
      </w:r>
      <w:proofErr w:type="gramEnd"/>
      <w:r w:rsidRPr="00E228B5">
        <w:rPr>
          <w:sz w:val="22"/>
          <w:szCs w:val="22"/>
        </w:rPr>
        <w:t xml:space="preserve"> </w:t>
      </w:r>
      <w:r w:rsidRPr="00E228B5">
        <w:rPr>
          <w:i/>
          <w:sz w:val="22"/>
          <w:szCs w:val="22"/>
        </w:rPr>
        <w:t>Socio-Economic Review</w:t>
      </w:r>
      <w:r w:rsidRPr="00E228B5">
        <w:rPr>
          <w:sz w:val="22"/>
          <w:szCs w:val="22"/>
        </w:rPr>
        <w:t xml:space="preserve"> 6, no. 3 (2008): 517-537.</w:t>
      </w:r>
    </w:p>
    <w:p w:rsidR="001264CB" w:rsidRPr="00E228B5" w:rsidRDefault="001264CB" w:rsidP="00EA78C0">
      <w:pPr>
        <w:spacing w:after="240" w:line="480" w:lineRule="auto"/>
        <w:rPr>
          <w:rFonts w:eastAsia="SimSun"/>
          <w:sz w:val="22"/>
          <w:szCs w:val="22"/>
        </w:rPr>
      </w:pPr>
      <w:r w:rsidRPr="00E228B5">
        <w:rPr>
          <w:sz w:val="22"/>
          <w:szCs w:val="22"/>
        </w:rPr>
        <w:t xml:space="preserve">Simpson, W. R. “ILO and </w:t>
      </w:r>
      <w:proofErr w:type="spellStart"/>
      <w:r w:rsidRPr="00E228B5">
        <w:rPr>
          <w:sz w:val="22"/>
          <w:szCs w:val="22"/>
        </w:rPr>
        <w:t>Tripartism</w:t>
      </w:r>
      <w:proofErr w:type="spellEnd"/>
      <w:r w:rsidRPr="00E228B5">
        <w:rPr>
          <w:sz w:val="22"/>
          <w:szCs w:val="22"/>
        </w:rPr>
        <w:t xml:space="preserve">: Some Reflections.” </w:t>
      </w:r>
      <w:r w:rsidRPr="00E228B5">
        <w:rPr>
          <w:i/>
          <w:iCs/>
          <w:sz w:val="22"/>
          <w:szCs w:val="22"/>
        </w:rPr>
        <w:t xml:space="preserve">Monthly </w:t>
      </w:r>
      <w:proofErr w:type="spellStart"/>
      <w:r w:rsidRPr="00E228B5">
        <w:rPr>
          <w:i/>
          <w:iCs/>
          <w:sz w:val="22"/>
          <w:szCs w:val="22"/>
        </w:rPr>
        <w:t>Labour</w:t>
      </w:r>
      <w:proofErr w:type="spellEnd"/>
      <w:r w:rsidRPr="00E228B5">
        <w:rPr>
          <w:i/>
          <w:iCs/>
          <w:sz w:val="22"/>
          <w:szCs w:val="22"/>
        </w:rPr>
        <w:t xml:space="preserve"> Review</w:t>
      </w:r>
      <w:r w:rsidRPr="00E228B5">
        <w:rPr>
          <w:sz w:val="22"/>
          <w:szCs w:val="22"/>
        </w:rPr>
        <w:t xml:space="preserve"> </w:t>
      </w:r>
      <w:r w:rsidRPr="00E228B5">
        <w:rPr>
          <w:iCs/>
          <w:sz w:val="22"/>
          <w:szCs w:val="22"/>
        </w:rPr>
        <w:t xml:space="preserve">117 </w:t>
      </w:r>
      <w:r w:rsidRPr="00E228B5">
        <w:rPr>
          <w:sz w:val="22"/>
          <w:szCs w:val="22"/>
        </w:rPr>
        <w:t xml:space="preserve">(1994): 40-46. </w:t>
      </w:r>
    </w:p>
    <w:p w:rsidR="001264CB" w:rsidRPr="00E228B5" w:rsidRDefault="001264CB" w:rsidP="00EA78C0">
      <w:pPr>
        <w:spacing w:after="240" w:line="480" w:lineRule="auto"/>
        <w:rPr>
          <w:color w:val="222222"/>
          <w:sz w:val="22"/>
          <w:szCs w:val="22"/>
        </w:rPr>
      </w:pPr>
      <w:r w:rsidRPr="00E228B5">
        <w:rPr>
          <w:color w:val="222222"/>
          <w:sz w:val="22"/>
          <w:szCs w:val="22"/>
        </w:rPr>
        <w:t xml:space="preserve">Spiegel, G.M. “Revising the past/revisiting the present: how change happens in historiography.” </w:t>
      </w:r>
      <w:r w:rsidRPr="00E228B5">
        <w:rPr>
          <w:i/>
          <w:color w:val="222222"/>
          <w:sz w:val="22"/>
          <w:szCs w:val="22"/>
        </w:rPr>
        <w:t>History and Theory</w:t>
      </w:r>
      <w:r w:rsidRPr="00E228B5">
        <w:rPr>
          <w:color w:val="222222"/>
          <w:sz w:val="22"/>
          <w:szCs w:val="22"/>
        </w:rPr>
        <w:t xml:space="preserve"> 46, no. 4 (2007): 1-19.  </w:t>
      </w:r>
    </w:p>
    <w:p w:rsidR="001264CB" w:rsidRPr="00E228B5" w:rsidRDefault="001264CB" w:rsidP="00EA78C0">
      <w:pPr>
        <w:spacing w:after="240" w:line="480" w:lineRule="auto"/>
        <w:rPr>
          <w:color w:val="222222"/>
          <w:sz w:val="22"/>
          <w:szCs w:val="22"/>
        </w:rPr>
      </w:pPr>
      <w:proofErr w:type="gramStart"/>
      <w:r w:rsidRPr="00E228B5">
        <w:rPr>
          <w:color w:val="222222"/>
          <w:sz w:val="22"/>
          <w:szCs w:val="22"/>
        </w:rPr>
        <w:t xml:space="preserve">Standing, G. “The International </w:t>
      </w:r>
      <w:proofErr w:type="spellStart"/>
      <w:r w:rsidRPr="00E228B5">
        <w:rPr>
          <w:color w:val="222222"/>
          <w:sz w:val="22"/>
          <w:szCs w:val="22"/>
        </w:rPr>
        <w:t>Labour</w:t>
      </w:r>
      <w:proofErr w:type="spellEnd"/>
      <w:r w:rsidRPr="00E228B5">
        <w:rPr>
          <w:color w:val="222222"/>
          <w:sz w:val="22"/>
          <w:szCs w:val="22"/>
        </w:rPr>
        <w:t xml:space="preserve"> Organization.”</w:t>
      </w:r>
      <w:proofErr w:type="gramEnd"/>
      <w:r w:rsidRPr="00E228B5">
        <w:rPr>
          <w:color w:val="222222"/>
          <w:sz w:val="22"/>
          <w:szCs w:val="22"/>
        </w:rPr>
        <w:t xml:space="preserve"> </w:t>
      </w:r>
      <w:r w:rsidRPr="00E228B5">
        <w:rPr>
          <w:i/>
          <w:iCs/>
          <w:color w:val="222222"/>
          <w:sz w:val="22"/>
          <w:szCs w:val="22"/>
        </w:rPr>
        <w:t>New Political Economy</w:t>
      </w:r>
      <w:r w:rsidRPr="00E228B5">
        <w:rPr>
          <w:color w:val="222222"/>
          <w:sz w:val="22"/>
          <w:szCs w:val="22"/>
        </w:rPr>
        <w:t xml:space="preserve"> </w:t>
      </w:r>
      <w:r w:rsidRPr="00E228B5">
        <w:rPr>
          <w:i/>
          <w:iCs/>
          <w:color w:val="222222"/>
          <w:sz w:val="22"/>
          <w:szCs w:val="22"/>
        </w:rPr>
        <w:t>15</w:t>
      </w:r>
      <w:r w:rsidRPr="00E228B5">
        <w:rPr>
          <w:color w:val="222222"/>
          <w:sz w:val="22"/>
          <w:szCs w:val="22"/>
        </w:rPr>
        <w:t>, no. 2 (2010): 307-318.</w:t>
      </w:r>
    </w:p>
    <w:p w:rsidR="001264CB" w:rsidRPr="00E228B5" w:rsidRDefault="001264CB" w:rsidP="00EA78C0">
      <w:pPr>
        <w:spacing w:after="240" w:line="480" w:lineRule="auto"/>
        <w:rPr>
          <w:color w:val="222222"/>
          <w:sz w:val="22"/>
          <w:szCs w:val="22"/>
        </w:rPr>
      </w:pPr>
      <w:proofErr w:type="spellStart"/>
      <w:proofErr w:type="gramStart"/>
      <w:r w:rsidRPr="00E228B5">
        <w:rPr>
          <w:color w:val="222222"/>
          <w:sz w:val="22"/>
          <w:szCs w:val="22"/>
        </w:rPr>
        <w:t>Stiglitz</w:t>
      </w:r>
      <w:proofErr w:type="spellEnd"/>
      <w:r w:rsidRPr="00E228B5">
        <w:rPr>
          <w:color w:val="222222"/>
          <w:sz w:val="22"/>
          <w:szCs w:val="22"/>
        </w:rPr>
        <w:t xml:space="preserve">, J. </w:t>
      </w:r>
      <w:r w:rsidRPr="00E228B5">
        <w:rPr>
          <w:i/>
          <w:color w:val="222222"/>
          <w:sz w:val="22"/>
          <w:szCs w:val="22"/>
        </w:rPr>
        <w:t>Globalization and its Discontents</w:t>
      </w:r>
      <w:r w:rsidR="002F0CC1">
        <w:rPr>
          <w:color w:val="222222"/>
          <w:sz w:val="22"/>
          <w:szCs w:val="22"/>
        </w:rPr>
        <w:t>.</w:t>
      </w:r>
      <w:proofErr w:type="gramEnd"/>
      <w:r w:rsidR="002F0CC1">
        <w:rPr>
          <w:color w:val="222222"/>
          <w:sz w:val="22"/>
          <w:szCs w:val="22"/>
        </w:rPr>
        <w:t xml:space="preserve"> Norton: New York</w:t>
      </w:r>
      <w:r w:rsidRPr="00E228B5">
        <w:rPr>
          <w:color w:val="222222"/>
          <w:sz w:val="22"/>
          <w:szCs w:val="22"/>
        </w:rPr>
        <w:t xml:space="preserve"> </w:t>
      </w:r>
      <w:r>
        <w:rPr>
          <w:color w:val="222222"/>
          <w:sz w:val="22"/>
          <w:szCs w:val="22"/>
        </w:rPr>
        <w:t>(</w:t>
      </w:r>
      <w:r w:rsidRPr="00E228B5">
        <w:rPr>
          <w:color w:val="222222"/>
          <w:sz w:val="22"/>
          <w:szCs w:val="22"/>
        </w:rPr>
        <w:t>2002</w:t>
      </w:r>
      <w:r>
        <w:rPr>
          <w:color w:val="222222"/>
          <w:sz w:val="22"/>
          <w:szCs w:val="22"/>
        </w:rPr>
        <w:t>)</w:t>
      </w:r>
      <w:r w:rsidRPr="00E228B5">
        <w:rPr>
          <w:color w:val="222222"/>
          <w:sz w:val="22"/>
          <w:szCs w:val="22"/>
        </w:rPr>
        <w:t>.</w:t>
      </w:r>
    </w:p>
    <w:p w:rsidR="001264CB" w:rsidRPr="00E228B5" w:rsidRDefault="001264CB" w:rsidP="00EA78C0">
      <w:pPr>
        <w:spacing w:after="240" w:line="480" w:lineRule="auto"/>
        <w:rPr>
          <w:sz w:val="22"/>
          <w:szCs w:val="22"/>
        </w:rPr>
      </w:pPr>
      <w:proofErr w:type="spellStart"/>
      <w:r w:rsidRPr="00E228B5">
        <w:rPr>
          <w:sz w:val="22"/>
          <w:szCs w:val="22"/>
        </w:rPr>
        <w:t>Streeck</w:t>
      </w:r>
      <w:proofErr w:type="spellEnd"/>
      <w:r w:rsidRPr="00E228B5">
        <w:rPr>
          <w:sz w:val="22"/>
          <w:szCs w:val="22"/>
        </w:rPr>
        <w:t xml:space="preserve">, W. </w:t>
      </w:r>
      <w:r w:rsidRPr="00E228B5">
        <w:rPr>
          <w:i/>
          <w:sz w:val="22"/>
          <w:szCs w:val="22"/>
        </w:rPr>
        <w:t>Reforming Capitalism: Institutional Change in the German Political Economy</w:t>
      </w:r>
      <w:r w:rsidRPr="00E228B5">
        <w:rPr>
          <w:sz w:val="22"/>
          <w:szCs w:val="22"/>
        </w:rPr>
        <w:t>. Oxford: O</w:t>
      </w:r>
      <w:r w:rsidR="002F0CC1">
        <w:rPr>
          <w:sz w:val="22"/>
          <w:szCs w:val="22"/>
        </w:rPr>
        <w:t>xford University Press</w:t>
      </w:r>
      <w:r w:rsidRPr="00E228B5">
        <w:rPr>
          <w:sz w:val="22"/>
          <w:szCs w:val="22"/>
        </w:rPr>
        <w:t xml:space="preserve"> </w:t>
      </w:r>
      <w:r>
        <w:rPr>
          <w:sz w:val="22"/>
          <w:szCs w:val="22"/>
        </w:rPr>
        <w:t>(</w:t>
      </w:r>
      <w:r w:rsidRPr="00E228B5">
        <w:rPr>
          <w:sz w:val="22"/>
          <w:szCs w:val="22"/>
        </w:rPr>
        <w:t>2009</w:t>
      </w:r>
      <w:r>
        <w:rPr>
          <w:sz w:val="22"/>
          <w:szCs w:val="22"/>
        </w:rPr>
        <w:t>)</w:t>
      </w:r>
      <w:r w:rsidRPr="00E228B5">
        <w:rPr>
          <w:sz w:val="22"/>
          <w:szCs w:val="22"/>
        </w:rPr>
        <w:t>.</w:t>
      </w:r>
    </w:p>
    <w:p w:rsidR="001264CB" w:rsidRPr="00E228B5" w:rsidRDefault="001264CB" w:rsidP="00EA78C0">
      <w:pPr>
        <w:spacing w:after="240" w:line="480" w:lineRule="auto"/>
        <w:rPr>
          <w:sz w:val="22"/>
          <w:szCs w:val="22"/>
        </w:rPr>
      </w:pPr>
      <w:proofErr w:type="gramStart"/>
      <w:r w:rsidRPr="00E228B5">
        <w:rPr>
          <w:sz w:val="22"/>
          <w:szCs w:val="22"/>
        </w:rPr>
        <w:t xml:space="preserve">Van </w:t>
      </w:r>
      <w:proofErr w:type="spellStart"/>
      <w:r w:rsidRPr="00E228B5">
        <w:rPr>
          <w:sz w:val="22"/>
          <w:szCs w:val="22"/>
        </w:rPr>
        <w:t>Daele</w:t>
      </w:r>
      <w:proofErr w:type="spellEnd"/>
      <w:r w:rsidRPr="00E228B5">
        <w:rPr>
          <w:sz w:val="22"/>
          <w:szCs w:val="22"/>
        </w:rPr>
        <w:t xml:space="preserve">, J. “The International </w:t>
      </w:r>
      <w:proofErr w:type="spellStart"/>
      <w:r w:rsidRPr="00E228B5">
        <w:rPr>
          <w:sz w:val="22"/>
          <w:szCs w:val="22"/>
        </w:rPr>
        <w:t>Labour</w:t>
      </w:r>
      <w:proofErr w:type="spellEnd"/>
      <w:r w:rsidRPr="00E228B5">
        <w:rPr>
          <w:sz w:val="22"/>
          <w:szCs w:val="22"/>
        </w:rPr>
        <w:t xml:space="preserve"> </w:t>
      </w:r>
      <w:proofErr w:type="spellStart"/>
      <w:r w:rsidRPr="00E228B5">
        <w:rPr>
          <w:sz w:val="22"/>
          <w:szCs w:val="22"/>
        </w:rPr>
        <w:t>Organisation</w:t>
      </w:r>
      <w:proofErr w:type="spellEnd"/>
      <w:r w:rsidRPr="00E228B5">
        <w:rPr>
          <w:sz w:val="22"/>
          <w:szCs w:val="22"/>
        </w:rPr>
        <w:t xml:space="preserve"> in Past and Present Research.”</w:t>
      </w:r>
      <w:proofErr w:type="gramEnd"/>
      <w:r w:rsidRPr="00E228B5">
        <w:rPr>
          <w:sz w:val="22"/>
          <w:szCs w:val="22"/>
        </w:rPr>
        <w:t xml:space="preserve"> </w:t>
      </w:r>
      <w:r w:rsidRPr="00E228B5">
        <w:rPr>
          <w:i/>
          <w:iCs/>
          <w:sz w:val="22"/>
          <w:szCs w:val="22"/>
        </w:rPr>
        <w:t>International Review of Social History</w:t>
      </w:r>
      <w:r w:rsidRPr="00E228B5">
        <w:rPr>
          <w:sz w:val="22"/>
          <w:szCs w:val="22"/>
        </w:rPr>
        <w:t xml:space="preserve"> 53, no. 3 (2008): 485-511. </w:t>
      </w:r>
    </w:p>
    <w:p w:rsidR="001264CB" w:rsidRPr="00F92589" w:rsidRDefault="001264CB" w:rsidP="00EA78C0">
      <w:pPr>
        <w:pStyle w:val="EndnoteText"/>
        <w:spacing w:after="240" w:line="480" w:lineRule="auto"/>
        <w:rPr>
          <w:sz w:val="22"/>
          <w:szCs w:val="22"/>
          <w:lang w:val="en-GB"/>
        </w:rPr>
      </w:pPr>
      <w:proofErr w:type="gramStart"/>
      <w:r w:rsidRPr="00EA78C0">
        <w:rPr>
          <w:sz w:val="22"/>
          <w:szCs w:val="22"/>
          <w:lang w:val="en-GB"/>
        </w:rPr>
        <w:t xml:space="preserve">Wood, G., </w:t>
      </w:r>
      <w:r>
        <w:rPr>
          <w:sz w:val="22"/>
          <w:szCs w:val="22"/>
          <w:lang w:val="en-GB"/>
        </w:rPr>
        <w:t xml:space="preserve">P. </w:t>
      </w:r>
      <w:proofErr w:type="spellStart"/>
      <w:r w:rsidRPr="00EA78C0">
        <w:rPr>
          <w:sz w:val="22"/>
          <w:szCs w:val="22"/>
          <w:lang w:val="en-GB"/>
        </w:rPr>
        <w:t>Dibben</w:t>
      </w:r>
      <w:proofErr w:type="spellEnd"/>
      <w:r w:rsidRPr="00EA78C0">
        <w:rPr>
          <w:sz w:val="22"/>
          <w:szCs w:val="22"/>
          <w:lang w:val="en-GB"/>
        </w:rPr>
        <w:t xml:space="preserve">, and S. Ogden, </w:t>
      </w:r>
      <w:r>
        <w:rPr>
          <w:sz w:val="22"/>
          <w:szCs w:val="22"/>
          <w:lang w:val="en-GB"/>
        </w:rPr>
        <w:t>(2014).</w:t>
      </w:r>
      <w:proofErr w:type="gramEnd"/>
      <w:r>
        <w:rPr>
          <w:sz w:val="22"/>
          <w:szCs w:val="22"/>
          <w:lang w:val="en-GB"/>
        </w:rPr>
        <w:t xml:space="preserve"> </w:t>
      </w:r>
      <w:r w:rsidRPr="00EA78C0">
        <w:rPr>
          <w:sz w:val="22"/>
          <w:szCs w:val="22"/>
          <w:lang w:val="en-GB"/>
        </w:rPr>
        <w:t>“Comparative Capitalism without Capitalism, and Production without Workers: The Limits and Possibilities of Contemporary Institutional Analysis</w:t>
      </w:r>
      <w:r>
        <w:rPr>
          <w:sz w:val="22"/>
          <w:szCs w:val="22"/>
          <w:lang w:val="en-GB"/>
        </w:rPr>
        <w:t>.”</w:t>
      </w:r>
      <w:r w:rsidRPr="00EA78C0">
        <w:rPr>
          <w:sz w:val="22"/>
          <w:szCs w:val="22"/>
          <w:lang w:val="en-GB"/>
        </w:rPr>
        <w:t xml:space="preserve"> </w:t>
      </w:r>
      <w:proofErr w:type="gramStart"/>
      <w:r w:rsidRPr="00EA78C0">
        <w:rPr>
          <w:i/>
          <w:sz w:val="22"/>
          <w:szCs w:val="22"/>
          <w:lang w:val="en-GB"/>
        </w:rPr>
        <w:t>International Journal of Management Reviews</w:t>
      </w:r>
      <w:r>
        <w:rPr>
          <w:sz w:val="22"/>
          <w:szCs w:val="22"/>
          <w:lang w:val="en-GB"/>
        </w:rPr>
        <w:t>.</w:t>
      </w:r>
      <w:proofErr w:type="gramEnd"/>
      <w:r w:rsidRPr="00EA78C0">
        <w:rPr>
          <w:sz w:val="22"/>
          <w:szCs w:val="22"/>
          <w:lang w:val="en-GB"/>
        </w:rPr>
        <w:t xml:space="preserve"> DOI: 10.1111/ijmr.12025, early</w:t>
      </w:r>
      <w:r>
        <w:rPr>
          <w:sz w:val="22"/>
          <w:szCs w:val="22"/>
          <w:lang w:val="en-GB"/>
        </w:rPr>
        <w:t xml:space="preserve"> version </w:t>
      </w:r>
      <w:r w:rsidRPr="00EA78C0">
        <w:rPr>
          <w:sz w:val="22"/>
          <w:szCs w:val="22"/>
          <w:lang w:val="en-GB"/>
        </w:rPr>
        <w:t xml:space="preserve">online at </w:t>
      </w:r>
      <w:hyperlink r:id="rId1" w:history="1">
        <w:r w:rsidRPr="00EA78C0">
          <w:rPr>
            <w:rStyle w:val="Hyperlink"/>
            <w:sz w:val="22"/>
            <w:szCs w:val="22"/>
            <w:lang w:val="en-GB"/>
          </w:rPr>
          <w:t>http://onlinelibrary.wiley.com/doi/10.1111/ijmr.12025/abstract</w:t>
        </w:r>
      </w:hyperlink>
      <w:r>
        <w:rPr>
          <w:sz w:val="22"/>
          <w:szCs w:val="22"/>
          <w:lang w:val="en-GB"/>
        </w:rPr>
        <w:t>.</w:t>
      </w:r>
    </w:p>
    <w:p w:rsidR="001264CB" w:rsidRPr="00E228B5" w:rsidRDefault="001264CB" w:rsidP="00EA78C0">
      <w:pPr>
        <w:spacing w:after="240" w:line="480" w:lineRule="auto"/>
        <w:rPr>
          <w:sz w:val="22"/>
          <w:szCs w:val="22"/>
          <w:lang w:val="en-AU"/>
        </w:rPr>
      </w:pPr>
      <w:proofErr w:type="gramStart"/>
      <w:r w:rsidRPr="00E228B5">
        <w:rPr>
          <w:sz w:val="22"/>
          <w:szCs w:val="22"/>
          <w:lang w:val="en-AU"/>
        </w:rPr>
        <w:t>Wood, G., and G. Frynas.</w:t>
      </w:r>
      <w:proofErr w:type="gramEnd"/>
      <w:r w:rsidRPr="00E228B5">
        <w:rPr>
          <w:sz w:val="22"/>
          <w:szCs w:val="22"/>
          <w:lang w:val="en-AU"/>
        </w:rPr>
        <w:t xml:space="preserve"> “The Institutional Basis of Economic Failure: Anatomy of the Segmented Business System.” </w:t>
      </w:r>
      <w:r w:rsidRPr="00E228B5">
        <w:rPr>
          <w:i/>
          <w:sz w:val="22"/>
          <w:szCs w:val="22"/>
          <w:lang w:val="en-AU"/>
        </w:rPr>
        <w:t>Socio-Economic Review</w:t>
      </w:r>
      <w:r w:rsidRPr="00E228B5">
        <w:rPr>
          <w:sz w:val="22"/>
          <w:szCs w:val="22"/>
          <w:lang w:val="en-AU"/>
        </w:rPr>
        <w:t xml:space="preserve"> 4, no. 2 (2006): 239-277.</w:t>
      </w:r>
    </w:p>
    <w:p w:rsidR="001264CB" w:rsidRPr="00EA78C0" w:rsidRDefault="001264CB" w:rsidP="00EA78C0">
      <w:pPr>
        <w:suppressAutoHyphens/>
        <w:spacing w:after="240" w:line="480" w:lineRule="auto"/>
        <w:rPr>
          <w:spacing w:val="-3"/>
          <w:sz w:val="22"/>
          <w:szCs w:val="22"/>
        </w:rPr>
      </w:pPr>
      <w:proofErr w:type="gramStart"/>
      <w:r w:rsidRPr="00EA78C0">
        <w:rPr>
          <w:spacing w:val="-3"/>
          <w:sz w:val="22"/>
          <w:szCs w:val="22"/>
        </w:rPr>
        <w:t xml:space="preserve">Wood, G. and C. </w:t>
      </w:r>
      <w:r>
        <w:rPr>
          <w:spacing w:val="-3"/>
          <w:sz w:val="22"/>
          <w:szCs w:val="22"/>
        </w:rPr>
        <w:t>Lane.</w:t>
      </w:r>
      <w:proofErr w:type="gramEnd"/>
      <w:r w:rsidRPr="00EA78C0">
        <w:rPr>
          <w:spacing w:val="-3"/>
          <w:sz w:val="22"/>
          <w:szCs w:val="22"/>
        </w:rPr>
        <w:t xml:space="preserve"> </w:t>
      </w:r>
      <w:proofErr w:type="gramStart"/>
      <w:r w:rsidRPr="00EA78C0">
        <w:rPr>
          <w:spacing w:val="-3"/>
          <w:sz w:val="22"/>
          <w:szCs w:val="22"/>
        </w:rPr>
        <w:t>“</w:t>
      </w:r>
      <w:r w:rsidRPr="00EA78C0">
        <w:rPr>
          <w:sz w:val="22"/>
          <w:szCs w:val="22"/>
        </w:rPr>
        <w:t>Institutions, Change and Diversity.”</w:t>
      </w:r>
      <w:proofErr w:type="gramEnd"/>
      <w:r w:rsidRPr="00EA78C0">
        <w:rPr>
          <w:sz w:val="22"/>
          <w:szCs w:val="22"/>
        </w:rPr>
        <w:t xml:space="preserve"> </w:t>
      </w:r>
      <w:proofErr w:type="gramStart"/>
      <w:r w:rsidRPr="00EA78C0">
        <w:rPr>
          <w:sz w:val="22"/>
          <w:szCs w:val="22"/>
        </w:rPr>
        <w:t>In</w:t>
      </w:r>
      <w:r w:rsidRPr="00EA78C0">
        <w:rPr>
          <w:spacing w:val="-3"/>
          <w:sz w:val="22"/>
          <w:szCs w:val="22"/>
        </w:rPr>
        <w:t xml:space="preserve"> </w:t>
      </w:r>
      <w:r w:rsidRPr="00EA78C0">
        <w:rPr>
          <w:i/>
          <w:spacing w:val="-3"/>
          <w:sz w:val="22"/>
          <w:szCs w:val="22"/>
        </w:rPr>
        <w:t>Capitalist Diversity and Diversity within Capitalism</w:t>
      </w:r>
      <w:r w:rsidRPr="00EA78C0">
        <w:rPr>
          <w:spacing w:val="-3"/>
          <w:sz w:val="22"/>
          <w:szCs w:val="22"/>
        </w:rPr>
        <w:t>, edited by Lane, C. and Wo</w:t>
      </w:r>
      <w:r w:rsidR="002F0CC1">
        <w:rPr>
          <w:spacing w:val="-3"/>
          <w:sz w:val="22"/>
          <w:szCs w:val="22"/>
        </w:rPr>
        <w:t>od, G., 1-31.</w:t>
      </w:r>
      <w:proofErr w:type="gramEnd"/>
      <w:r w:rsidR="002F0CC1">
        <w:rPr>
          <w:spacing w:val="-3"/>
          <w:sz w:val="22"/>
          <w:szCs w:val="22"/>
        </w:rPr>
        <w:t xml:space="preserve"> London: Routledge </w:t>
      </w:r>
      <w:r>
        <w:rPr>
          <w:spacing w:val="-3"/>
          <w:sz w:val="22"/>
          <w:szCs w:val="22"/>
        </w:rPr>
        <w:t>(</w:t>
      </w:r>
      <w:r w:rsidRPr="00EA78C0">
        <w:rPr>
          <w:spacing w:val="-3"/>
          <w:sz w:val="22"/>
          <w:szCs w:val="22"/>
        </w:rPr>
        <w:t>2012</w:t>
      </w:r>
      <w:r>
        <w:rPr>
          <w:spacing w:val="-3"/>
          <w:sz w:val="22"/>
          <w:szCs w:val="22"/>
        </w:rPr>
        <w:t>)</w:t>
      </w:r>
      <w:r w:rsidRPr="00EA78C0">
        <w:rPr>
          <w:spacing w:val="-3"/>
          <w:sz w:val="22"/>
          <w:szCs w:val="22"/>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4E"/>
    <w:family w:val="auto"/>
    <w:pitch w:val="variable"/>
    <w:sig w:usb0="00000000"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11314"/>
      <w:docPartObj>
        <w:docPartGallery w:val="Page Numbers (Bottom of Page)"/>
        <w:docPartUnique/>
      </w:docPartObj>
    </w:sdtPr>
    <w:sdtEndPr/>
    <w:sdtContent>
      <w:p w:rsidR="001264CB" w:rsidRDefault="00B300AF">
        <w:pPr>
          <w:pStyle w:val="Footer"/>
          <w:jc w:val="center"/>
        </w:pPr>
        <w:r>
          <w:fldChar w:fldCharType="begin"/>
        </w:r>
        <w:r>
          <w:instrText xml:space="preserve"> PAGE   \* MERGEFORMAT </w:instrText>
        </w:r>
        <w:r>
          <w:fldChar w:fldCharType="separate"/>
        </w:r>
        <w:r w:rsidR="00E6740A">
          <w:rPr>
            <w:noProof/>
          </w:rPr>
          <w:t>20</w:t>
        </w:r>
        <w:r>
          <w:rPr>
            <w:noProof/>
          </w:rPr>
          <w:fldChar w:fldCharType="end"/>
        </w:r>
      </w:p>
    </w:sdtContent>
  </w:sdt>
  <w:p w:rsidR="001264CB" w:rsidRDefault="001264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15610"/>
      <w:docPartObj>
        <w:docPartGallery w:val="Page Numbers (Bottom of Page)"/>
        <w:docPartUnique/>
      </w:docPartObj>
    </w:sdtPr>
    <w:sdtEndPr/>
    <w:sdtContent>
      <w:p w:rsidR="001264CB" w:rsidRDefault="00B300AF">
        <w:pPr>
          <w:pStyle w:val="Footer"/>
          <w:jc w:val="center"/>
        </w:pPr>
        <w:r>
          <w:fldChar w:fldCharType="begin"/>
        </w:r>
        <w:r>
          <w:instrText xml:space="preserve"> PAGE   \* MERGEFORMAT </w:instrText>
        </w:r>
        <w:r>
          <w:fldChar w:fldCharType="separate"/>
        </w:r>
        <w:r w:rsidR="00E6740A">
          <w:rPr>
            <w:noProof/>
          </w:rPr>
          <w:t>1</w:t>
        </w:r>
        <w:r>
          <w:rPr>
            <w:noProof/>
          </w:rPr>
          <w:fldChar w:fldCharType="end"/>
        </w:r>
      </w:p>
    </w:sdtContent>
  </w:sdt>
  <w:p w:rsidR="001264CB" w:rsidRDefault="001264CB">
    <w:pPr>
      <w:pStyle w:val="HeaderFooter"/>
      <w:rPr>
        <w:rFonts w:ascii="Times New Roman" w:eastAsia="Times New Roman" w:hAnsi="Times New Roman"/>
        <w:color w:val="auto"/>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312" w:rsidRDefault="002C4312">
      <w:r>
        <w:separator/>
      </w:r>
    </w:p>
  </w:footnote>
  <w:footnote w:type="continuationSeparator" w:id="0">
    <w:p w:rsidR="002C4312" w:rsidRDefault="002C4312">
      <w:r>
        <w:continuationSeparator/>
      </w:r>
    </w:p>
  </w:footnote>
  <w:footnote w:id="1">
    <w:p w:rsidR="001264CB" w:rsidRPr="00CB364B" w:rsidRDefault="001264CB" w:rsidP="00E228B5">
      <w:pPr>
        <w:pStyle w:val="FootnoteText"/>
        <w:rPr>
          <w:lang w:val="en-GB"/>
        </w:rPr>
      </w:pPr>
      <w:r w:rsidRPr="00CB364B">
        <w:rPr>
          <w:rStyle w:val="FootnoteReference"/>
        </w:rPr>
        <w:sym w:font="Symbol" w:char="F02A"/>
      </w:r>
      <w:r>
        <w:t xml:space="preserve"> </w:t>
      </w:r>
      <w:proofErr w:type="gramStart"/>
      <w:r w:rsidRPr="00D36C60">
        <w:rPr>
          <w:lang w:val="en-GB"/>
        </w:rPr>
        <w:t>Corresponding author.</w:t>
      </w:r>
      <w:proofErr w:type="gramEnd"/>
      <w:r w:rsidRPr="00D36C60">
        <w:rPr>
          <w:lang w:val="en-GB"/>
        </w:rPr>
        <w:t xml:space="preserve"> Email: </w:t>
      </w:r>
      <w:r>
        <w:rPr>
          <w:lang w:val="en-AU"/>
        </w:rPr>
        <w:t>R. Croucher@mdx.ac.uk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B08AA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95C"/>
    <w:rsid w:val="00000727"/>
    <w:rsid w:val="000043DA"/>
    <w:rsid w:val="00004B88"/>
    <w:rsid w:val="00004D9A"/>
    <w:rsid w:val="00010EDE"/>
    <w:rsid w:val="00017FF6"/>
    <w:rsid w:val="00024C48"/>
    <w:rsid w:val="00050FFA"/>
    <w:rsid w:val="000511AD"/>
    <w:rsid w:val="00051F80"/>
    <w:rsid w:val="00053A89"/>
    <w:rsid w:val="00062C79"/>
    <w:rsid w:val="000717D7"/>
    <w:rsid w:val="00077C11"/>
    <w:rsid w:val="000816A0"/>
    <w:rsid w:val="00085AF2"/>
    <w:rsid w:val="00087DBE"/>
    <w:rsid w:val="00094463"/>
    <w:rsid w:val="000A3C7B"/>
    <w:rsid w:val="000A42AB"/>
    <w:rsid w:val="000C18CF"/>
    <w:rsid w:val="000C3B32"/>
    <w:rsid w:val="000C3D09"/>
    <w:rsid w:val="000D0FC8"/>
    <w:rsid w:val="000E0C3F"/>
    <w:rsid w:val="000E4C64"/>
    <w:rsid w:val="000F1758"/>
    <w:rsid w:val="000F4ED7"/>
    <w:rsid w:val="00103568"/>
    <w:rsid w:val="00117D22"/>
    <w:rsid w:val="001264CB"/>
    <w:rsid w:val="00141E31"/>
    <w:rsid w:val="00152BED"/>
    <w:rsid w:val="00155128"/>
    <w:rsid w:val="00164BCD"/>
    <w:rsid w:val="001652C4"/>
    <w:rsid w:val="00184482"/>
    <w:rsid w:val="0019714B"/>
    <w:rsid w:val="001D295F"/>
    <w:rsid w:val="001D4543"/>
    <w:rsid w:val="001D733C"/>
    <w:rsid w:val="001D76E4"/>
    <w:rsid w:val="001E1FD7"/>
    <w:rsid w:val="001E34E7"/>
    <w:rsid w:val="001E5826"/>
    <w:rsid w:val="001F4848"/>
    <w:rsid w:val="002036DD"/>
    <w:rsid w:val="00204455"/>
    <w:rsid w:val="002115AD"/>
    <w:rsid w:val="0021450B"/>
    <w:rsid w:val="00251ECB"/>
    <w:rsid w:val="00272401"/>
    <w:rsid w:val="0027766C"/>
    <w:rsid w:val="00281B91"/>
    <w:rsid w:val="00290551"/>
    <w:rsid w:val="002A0D0E"/>
    <w:rsid w:val="002A5AB7"/>
    <w:rsid w:val="002A753E"/>
    <w:rsid w:val="002B2949"/>
    <w:rsid w:val="002B7E20"/>
    <w:rsid w:val="002C12AC"/>
    <w:rsid w:val="002C4312"/>
    <w:rsid w:val="002D3F48"/>
    <w:rsid w:val="002F0CC1"/>
    <w:rsid w:val="003005AD"/>
    <w:rsid w:val="00305C42"/>
    <w:rsid w:val="00316CCA"/>
    <w:rsid w:val="003256ED"/>
    <w:rsid w:val="00336BDC"/>
    <w:rsid w:val="003437F4"/>
    <w:rsid w:val="00355A15"/>
    <w:rsid w:val="00371C40"/>
    <w:rsid w:val="00384AB6"/>
    <w:rsid w:val="003D0C7D"/>
    <w:rsid w:val="003D1C7B"/>
    <w:rsid w:val="003F4B0E"/>
    <w:rsid w:val="003F7700"/>
    <w:rsid w:val="00400BDF"/>
    <w:rsid w:val="00403005"/>
    <w:rsid w:val="004176F7"/>
    <w:rsid w:val="00417C79"/>
    <w:rsid w:val="00444FF5"/>
    <w:rsid w:val="004525B0"/>
    <w:rsid w:val="00452AF2"/>
    <w:rsid w:val="00461684"/>
    <w:rsid w:val="00461C00"/>
    <w:rsid w:val="00461F43"/>
    <w:rsid w:val="0046547D"/>
    <w:rsid w:val="00474F86"/>
    <w:rsid w:val="004753BE"/>
    <w:rsid w:val="00482652"/>
    <w:rsid w:val="004862D0"/>
    <w:rsid w:val="00494537"/>
    <w:rsid w:val="004A20FB"/>
    <w:rsid w:val="004B5677"/>
    <w:rsid w:val="004C2579"/>
    <w:rsid w:val="004C25B7"/>
    <w:rsid w:val="004C264C"/>
    <w:rsid w:val="004C38E9"/>
    <w:rsid w:val="004C5993"/>
    <w:rsid w:val="004E43B8"/>
    <w:rsid w:val="004F171D"/>
    <w:rsid w:val="004F3793"/>
    <w:rsid w:val="00502629"/>
    <w:rsid w:val="00515E52"/>
    <w:rsid w:val="0051755F"/>
    <w:rsid w:val="00521FF6"/>
    <w:rsid w:val="00530B7A"/>
    <w:rsid w:val="00537CFC"/>
    <w:rsid w:val="00541698"/>
    <w:rsid w:val="00546C7A"/>
    <w:rsid w:val="00547E96"/>
    <w:rsid w:val="00552BFB"/>
    <w:rsid w:val="0055387C"/>
    <w:rsid w:val="00554E22"/>
    <w:rsid w:val="00566B53"/>
    <w:rsid w:val="00567890"/>
    <w:rsid w:val="005724FD"/>
    <w:rsid w:val="0058331E"/>
    <w:rsid w:val="00594550"/>
    <w:rsid w:val="005B41EA"/>
    <w:rsid w:val="005B6455"/>
    <w:rsid w:val="005C3F01"/>
    <w:rsid w:val="005E1AF5"/>
    <w:rsid w:val="005E2410"/>
    <w:rsid w:val="005F3748"/>
    <w:rsid w:val="005F6121"/>
    <w:rsid w:val="006079D5"/>
    <w:rsid w:val="00610ACF"/>
    <w:rsid w:val="00612418"/>
    <w:rsid w:val="00621A92"/>
    <w:rsid w:val="00625247"/>
    <w:rsid w:val="006277DF"/>
    <w:rsid w:val="00631E3C"/>
    <w:rsid w:val="006325CB"/>
    <w:rsid w:val="00650892"/>
    <w:rsid w:val="00661793"/>
    <w:rsid w:val="00672E7C"/>
    <w:rsid w:val="00687D80"/>
    <w:rsid w:val="00691D65"/>
    <w:rsid w:val="006949A5"/>
    <w:rsid w:val="006A73DD"/>
    <w:rsid w:val="006B26F9"/>
    <w:rsid w:val="006B2E3D"/>
    <w:rsid w:val="006C21AF"/>
    <w:rsid w:val="006D1960"/>
    <w:rsid w:val="006E02F4"/>
    <w:rsid w:val="006F7FB5"/>
    <w:rsid w:val="00721801"/>
    <w:rsid w:val="007316F4"/>
    <w:rsid w:val="00735D11"/>
    <w:rsid w:val="00737149"/>
    <w:rsid w:val="007371AB"/>
    <w:rsid w:val="00744A79"/>
    <w:rsid w:val="00763B82"/>
    <w:rsid w:val="00764905"/>
    <w:rsid w:val="00764A1B"/>
    <w:rsid w:val="00774DBC"/>
    <w:rsid w:val="00784EEE"/>
    <w:rsid w:val="0079187B"/>
    <w:rsid w:val="00791BC3"/>
    <w:rsid w:val="007942B9"/>
    <w:rsid w:val="00796EEA"/>
    <w:rsid w:val="007A4E33"/>
    <w:rsid w:val="007A7E15"/>
    <w:rsid w:val="007B2A8C"/>
    <w:rsid w:val="007C0933"/>
    <w:rsid w:val="007C582C"/>
    <w:rsid w:val="007D2355"/>
    <w:rsid w:val="007F5723"/>
    <w:rsid w:val="007F720B"/>
    <w:rsid w:val="007F7DF5"/>
    <w:rsid w:val="00800B13"/>
    <w:rsid w:val="00801765"/>
    <w:rsid w:val="00801D89"/>
    <w:rsid w:val="00831C04"/>
    <w:rsid w:val="008349EA"/>
    <w:rsid w:val="00835B6D"/>
    <w:rsid w:val="00841852"/>
    <w:rsid w:val="00851F0E"/>
    <w:rsid w:val="00853E70"/>
    <w:rsid w:val="0085711D"/>
    <w:rsid w:val="00866552"/>
    <w:rsid w:val="00870A0D"/>
    <w:rsid w:val="00870AE3"/>
    <w:rsid w:val="00877EB3"/>
    <w:rsid w:val="00880560"/>
    <w:rsid w:val="00882208"/>
    <w:rsid w:val="00884EEA"/>
    <w:rsid w:val="00885A2E"/>
    <w:rsid w:val="008929C8"/>
    <w:rsid w:val="0089587C"/>
    <w:rsid w:val="008A5AFC"/>
    <w:rsid w:val="008B16A5"/>
    <w:rsid w:val="008B16EE"/>
    <w:rsid w:val="008B7D1A"/>
    <w:rsid w:val="008C28F9"/>
    <w:rsid w:val="008E3365"/>
    <w:rsid w:val="008E4536"/>
    <w:rsid w:val="008F6497"/>
    <w:rsid w:val="00910195"/>
    <w:rsid w:val="00914B41"/>
    <w:rsid w:val="00930FBC"/>
    <w:rsid w:val="009321F0"/>
    <w:rsid w:val="00935241"/>
    <w:rsid w:val="0093692A"/>
    <w:rsid w:val="0093719C"/>
    <w:rsid w:val="009464E2"/>
    <w:rsid w:val="00951548"/>
    <w:rsid w:val="00960B2E"/>
    <w:rsid w:val="0096219D"/>
    <w:rsid w:val="0096316D"/>
    <w:rsid w:val="00964D93"/>
    <w:rsid w:val="00967480"/>
    <w:rsid w:val="00975EE0"/>
    <w:rsid w:val="009769C3"/>
    <w:rsid w:val="00976AB4"/>
    <w:rsid w:val="009860A3"/>
    <w:rsid w:val="009A21F0"/>
    <w:rsid w:val="009B1739"/>
    <w:rsid w:val="009B31F9"/>
    <w:rsid w:val="009B44BB"/>
    <w:rsid w:val="009B6AF7"/>
    <w:rsid w:val="009C0655"/>
    <w:rsid w:val="009D4491"/>
    <w:rsid w:val="009D6389"/>
    <w:rsid w:val="009E23C1"/>
    <w:rsid w:val="009F659A"/>
    <w:rsid w:val="00A00530"/>
    <w:rsid w:val="00A05747"/>
    <w:rsid w:val="00A05881"/>
    <w:rsid w:val="00A05A52"/>
    <w:rsid w:val="00A16AC7"/>
    <w:rsid w:val="00A20D85"/>
    <w:rsid w:val="00A434D4"/>
    <w:rsid w:val="00A47B5E"/>
    <w:rsid w:val="00A53B68"/>
    <w:rsid w:val="00A62110"/>
    <w:rsid w:val="00A6442C"/>
    <w:rsid w:val="00A82960"/>
    <w:rsid w:val="00A84665"/>
    <w:rsid w:val="00AA1B6C"/>
    <w:rsid w:val="00AA3173"/>
    <w:rsid w:val="00AB15C4"/>
    <w:rsid w:val="00AC40E8"/>
    <w:rsid w:val="00AC450D"/>
    <w:rsid w:val="00AD1D0E"/>
    <w:rsid w:val="00AD3587"/>
    <w:rsid w:val="00AD4725"/>
    <w:rsid w:val="00AE7FEC"/>
    <w:rsid w:val="00AF0079"/>
    <w:rsid w:val="00AF4B99"/>
    <w:rsid w:val="00AF730F"/>
    <w:rsid w:val="00AF7BA7"/>
    <w:rsid w:val="00B11C4B"/>
    <w:rsid w:val="00B16867"/>
    <w:rsid w:val="00B300AF"/>
    <w:rsid w:val="00B33DB1"/>
    <w:rsid w:val="00B61CBB"/>
    <w:rsid w:val="00B643C0"/>
    <w:rsid w:val="00B811E2"/>
    <w:rsid w:val="00B8194E"/>
    <w:rsid w:val="00B94F64"/>
    <w:rsid w:val="00B97005"/>
    <w:rsid w:val="00BA2766"/>
    <w:rsid w:val="00BC6B23"/>
    <w:rsid w:val="00C02409"/>
    <w:rsid w:val="00C30E9A"/>
    <w:rsid w:val="00C337E1"/>
    <w:rsid w:val="00C45FB9"/>
    <w:rsid w:val="00C5369F"/>
    <w:rsid w:val="00C658FC"/>
    <w:rsid w:val="00C8307B"/>
    <w:rsid w:val="00C96D24"/>
    <w:rsid w:val="00CA7BF9"/>
    <w:rsid w:val="00CA7F95"/>
    <w:rsid w:val="00CB609B"/>
    <w:rsid w:val="00CC23B7"/>
    <w:rsid w:val="00CD7503"/>
    <w:rsid w:val="00CD76B8"/>
    <w:rsid w:val="00CF5D36"/>
    <w:rsid w:val="00D06991"/>
    <w:rsid w:val="00D14606"/>
    <w:rsid w:val="00D229E3"/>
    <w:rsid w:val="00D2774D"/>
    <w:rsid w:val="00D30971"/>
    <w:rsid w:val="00D423BB"/>
    <w:rsid w:val="00D4415B"/>
    <w:rsid w:val="00D46663"/>
    <w:rsid w:val="00D519C4"/>
    <w:rsid w:val="00D61EBE"/>
    <w:rsid w:val="00D730E7"/>
    <w:rsid w:val="00D752D7"/>
    <w:rsid w:val="00D84119"/>
    <w:rsid w:val="00D93DA3"/>
    <w:rsid w:val="00DA70B0"/>
    <w:rsid w:val="00DA775F"/>
    <w:rsid w:val="00DB139E"/>
    <w:rsid w:val="00DB70F9"/>
    <w:rsid w:val="00DC236A"/>
    <w:rsid w:val="00DC6AA7"/>
    <w:rsid w:val="00DD1CC4"/>
    <w:rsid w:val="00DD2C52"/>
    <w:rsid w:val="00DF7459"/>
    <w:rsid w:val="00E173A1"/>
    <w:rsid w:val="00E203BD"/>
    <w:rsid w:val="00E20490"/>
    <w:rsid w:val="00E228B5"/>
    <w:rsid w:val="00E33CFD"/>
    <w:rsid w:val="00E4568B"/>
    <w:rsid w:val="00E65645"/>
    <w:rsid w:val="00E6740A"/>
    <w:rsid w:val="00E727E9"/>
    <w:rsid w:val="00E96261"/>
    <w:rsid w:val="00EA78C0"/>
    <w:rsid w:val="00EC27D7"/>
    <w:rsid w:val="00ED71C9"/>
    <w:rsid w:val="00ED7B7F"/>
    <w:rsid w:val="00EE1326"/>
    <w:rsid w:val="00EE395C"/>
    <w:rsid w:val="00EF070F"/>
    <w:rsid w:val="00EF59DD"/>
    <w:rsid w:val="00F20E01"/>
    <w:rsid w:val="00F20EAA"/>
    <w:rsid w:val="00F22884"/>
    <w:rsid w:val="00F257A8"/>
    <w:rsid w:val="00F50129"/>
    <w:rsid w:val="00F51508"/>
    <w:rsid w:val="00F660BD"/>
    <w:rsid w:val="00F6652C"/>
    <w:rsid w:val="00F7188E"/>
    <w:rsid w:val="00F92589"/>
    <w:rsid w:val="00FA24FC"/>
    <w:rsid w:val="00FA64B9"/>
    <w:rsid w:val="00FC2BB6"/>
    <w:rsid w:val="00FD05B9"/>
    <w:rsid w:val="00FE0430"/>
    <w:rsid w:val="00FE2F37"/>
    <w:rsid w:val="00FE6AE8"/>
    <w:rsid w:val="00FF443A"/>
    <w:rsid w:val="00FF56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1"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Balloon Tex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FE0430"/>
    <w:rPr>
      <w:sz w:val="24"/>
      <w:szCs w:val="24"/>
      <w:lang w:val="en-US" w:eastAsia="en-US"/>
    </w:rPr>
  </w:style>
  <w:style w:type="paragraph" w:styleId="Heading2">
    <w:name w:val="heading 2"/>
    <w:basedOn w:val="Normal"/>
    <w:link w:val="Heading2Char"/>
    <w:uiPriority w:val="9"/>
    <w:qFormat/>
    <w:locked/>
    <w:rsid w:val="00D3097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E0430"/>
    <w:pPr>
      <w:tabs>
        <w:tab w:val="right" w:pos="9632"/>
      </w:tabs>
    </w:pPr>
    <w:rPr>
      <w:rFonts w:ascii="Helvetica" w:eastAsia="ヒラギノ角ゴ Pro W3" w:hAnsi="Helvetica"/>
      <w:color w:val="000000"/>
      <w:lang w:val="en-US"/>
    </w:rPr>
  </w:style>
  <w:style w:type="paragraph" w:customStyle="1" w:styleId="Body">
    <w:name w:val="Body"/>
    <w:rsid w:val="00FE0430"/>
    <w:rPr>
      <w:rFonts w:ascii="Helvetica" w:eastAsia="ヒラギノ角ゴ Pro W3" w:hAnsi="Helvetica"/>
      <w:color w:val="000000"/>
      <w:sz w:val="24"/>
      <w:lang w:val="en-US"/>
    </w:rPr>
  </w:style>
  <w:style w:type="paragraph" w:customStyle="1" w:styleId="CitaviLiteraturverzeichnis">
    <w:name w:val="Citavi Literaturverzeichnis"/>
    <w:basedOn w:val="Normal"/>
    <w:rsid w:val="00EF070F"/>
    <w:pPr>
      <w:spacing w:after="60"/>
      <w:ind w:left="283" w:hanging="283"/>
    </w:pPr>
    <w:rPr>
      <w:rFonts w:ascii="Segoe UI" w:hAnsi="Segoe UI" w:cs="Segoe UI"/>
      <w:sz w:val="18"/>
      <w:szCs w:val="18"/>
      <w:lang w:val="de-AT" w:eastAsia="de-AT"/>
    </w:rPr>
  </w:style>
  <w:style w:type="paragraph" w:customStyle="1" w:styleId="MediumGrid1-Accent21">
    <w:name w:val="Medium Grid 1 - Accent 21"/>
    <w:basedOn w:val="Normal"/>
    <w:uiPriority w:val="34"/>
    <w:qFormat/>
    <w:rsid w:val="00CA7F95"/>
    <w:pPr>
      <w:spacing w:after="200" w:line="276" w:lineRule="auto"/>
      <w:ind w:left="720"/>
      <w:contextualSpacing/>
      <w:jc w:val="both"/>
    </w:pPr>
    <w:rPr>
      <w:rFonts w:ascii="Calibri" w:eastAsia="SimSun" w:hAnsi="Calibri"/>
      <w:sz w:val="22"/>
      <w:szCs w:val="22"/>
      <w:lang w:val="en-GB" w:eastAsia="zh-CN"/>
    </w:rPr>
  </w:style>
  <w:style w:type="character" w:customStyle="1" w:styleId="personname">
    <w:name w:val="person_name"/>
    <w:basedOn w:val="DefaultParagraphFont"/>
    <w:rsid w:val="00CA7F95"/>
  </w:style>
  <w:style w:type="character" w:styleId="Emphasis">
    <w:name w:val="Emphasis"/>
    <w:uiPriority w:val="20"/>
    <w:qFormat/>
    <w:locked/>
    <w:rsid w:val="00CA7F95"/>
    <w:rPr>
      <w:i/>
      <w:iCs/>
    </w:rPr>
  </w:style>
  <w:style w:type="character" w:customStyle="1" w:styleId="Heading2Char">
    <w:name w:val="Heading 2 Char"/>
    <w:link w:val="Heading2"/>
    <w:uiPriority w:val="9"/>
    <w:rsid w:val="00D30971"/>
    <w:rPr>
      <w:b/>
      <w:bCs/>
      <w:sz w:val="36"/>
      <w:szCs w:val="36"/>
    </w:rPr>
  </w:style>
  <w:style w:type="character" w:styleId="Hyperlink">
    <w:name w:val="Hyperlink"/>
    <w:uiPriority w:val="99"/>
    <w:unhideWhenUsed/>
    <w:locked/>
    <w:rsid w:val="00D30971"/>
    <w:rPr>
      <w:color w:val="0000FF"/>
      <w:u w:val="single"/>
    </w:rPr>
  </w:style>
  <w:style w:type="character" w:customStyle="1" w:styleId="Date1">
    <w:name w:val="Date1"/>
    <w:basedOn w:val="DefaultParagraphFont"/>
    <w:rsid w:val="00D30971"/>
  </w:style>
  <w:style w:type="character" w:customStyle="1" w:styleId="pages">
    <w:name w:val="pages"/>
    <w:basedOn w:val="DefaultParagraphFont"/>
    <w:rsid w:val="00D30971"/>
  </w:style>
  <w:style w:type="paragraph" w:customStyle="1" w:styleId="NoSpacing1">
    <w:name w:val="No Spacing1"/>
    <w:uiPriority w:val="1"/>
    <w:qFormat/>
    <w:rsid w:val="00E33CFD"/>
    <w:rPr>
      <w:sz w:val="24"/>
      <w:szCs w:val="24"/>
      <w:lang w:eastAsia="en-GB"/>
    </w:rPr>
  </w:style>
  <w:style w:type="paragraph" w:styleId="BalloonText">
    <w:name w:val="Balloon Text"/>
    <w:basedOn w:val="Normal"/>
    <w:link w:val="BalloonTextChar"/>
    <w:uiPriority w:val="99"/>
    <w:unhideWhenUsed/>
    <w:locked/>
    <w:rsid w:val="001E1FD7"/>
    <w:rPr>
      <w:rFonts w:ascii="Tahoma" w:eastAsia="SimSun" w:hAnsi="Tahoma"/>
      <w:sz w:val="16"/>
      <w:szCs w:val="16"/>
      <w:lang w:eastAsia="en-GB"/>
    </w:rPr>
  </w:style>
  <w:style w:type="character" w:customStyle="1" w:styleId="BalloonTextChar">
    <w:name w:val="Balloon Text Char"/>
    <w:link w:val="BalloonText"/>
    <w:uiPriority w:val="99"/>
    <w:rsid w:val="001E1FD7"/>
    <w:rPr>
      <w:rFonts w:ascii="Tahoma" w:eastAsia="SimSun" w:hAnsi="Tahoma" w:cs="Tahoma"/>
      <w:sz w:val="16"/>
      <w:szCs w:val="16"/>
      <w:lang w:eastAsia="en-GB"/>
    </w:rPr>
  </w:style>
  <w:style w:type="paragraph" w:customStyle="1" w:styleId="Abstract">
    <w:name w:val="Abstract"/>
    <w:basedOn w:val="Normal"/>
    <w:next w:val="Normal"/>
    <w:qFormat/>
    <w:rsid w:val="001E1FD7"/>
    <w:pPr>
      <w:spacing w:before="360" w:after="300" w:line="360" w:lineRule="auto"/>
      <w:ind w:left="720" w:right="567"/>
    </w:pPr>
    <w:rPr>
      <w:sz w:val="22"/>
      <w:lang w:val="en-GB" w:eastAsia="en-GB"/>
    </w:rPr>
  </w:style>
  <w:style w:type="character" w:styleId="FollowedHyperlink">
    <w:name w:val="FollowedHyperlink"/>
    <w:locked/>
    <w:rsid w:val="009D4491"/>
    <w:rPr>
      <w:color w:val="800080"/>
      <w:u w:val="single"/>
    </w:rPr>
  </w:style>
  <w:style w:type="character" w:customStyle="1" w:styleId="Subtitle1">
    <w:name w:val="Subtitle1"/>
    <w:rsid w:val="009D4491"/>
  </w:style>
  <w:style w:type="paragraph" w:customStyle="1" w:styleId="FreeForm">
    <w:name w:val="Free Form"/>
    <w:rsid w:val="000C3D09"/>
    <w:rPr>
      <w:rFonts w:ascii="Helvetica" w:eastAsia="ヒラギノ角ゴ Pro W3" w:hAnsi="Helvetica"/>
      <w:color w:val="000000"/>
      <w:sz w:val="24"/>
      <w:lang w:val="en-US" w:eastAsia="en-US"/>
    </w:rPr>
  </w:style>
  <w:style w:type="character" w:styleId="CommentReference">
    <w:name w:val="annotation reference"/>
    <w:locked/>
    <w:rsid w:val="000F4ED7"/>
    <w:rPr>
      <w:sz w:val="18"/>
      <w:szCs w:val="18"/>
    </w:rPr>
  </w:style>
  <w:style w:type="paragraph" w:styleId="CommentText">
    <w:name w:val="annotation text"/>
    <w:basedOn w:val="Normal"/>
    <w:link w:val="CommentTextChar"/>
    <w:locked/>
    <w:rsid w:val="000F4ED7"/>
  </w:style>
  <w:style w:type="character" w:customStyle="1" w:styleId="CommentTextChar">
    <w:name w:val="Comment Text Char"/>
    <w:link w:val="CommentText"/>
    <w:rsid w:val="000F4ED7"/>
    <w:rPr>
      <w:sz w:val="24"/>
      <w:szCs w:val="24"/>
      <w:lang w:val="en-US"/>
    </w:rPr>
  </w:style>
  <w:style w:type="paragraph" w:styleId="CommentSubject">
    <w:name w:val="annotation subject"/>
    <w:basedOn w:val="CommentText"/>
    <w:next w:val="CommentText"/>
    <w:link w:val="CommentSubjectChar"/>
    <w:locked/>
    <w:rsid w:val="000F4ED7"/>
    <w:rPr>
      <w:b/>
      <w:bCs/>
    </w:rPr>
  </w:style>
  <w:style w:type="character" w:customStyle="1" w:styleId="CommentSubjectChar">
    <w:name w:val="Comment Subject Char"/>
    <w:link w:val="CommentSubject"/>
    <w:rsid w:val="000F4ED7"/>
    <w:rPr>
      <w:b/>
      <w:bCs/>
      <w:sz w:val="24"/>
      <w:szCs w:val="24"/>
      <w:lang w:val="en-US"/>
    </w:rPr>
  </w:style>
  <w:style w:type="paragraph" w:styleId="NormalWeb">
    <w:name w:val="Normal (Web)"/>
    <w:basedOn w:val="Normal"/>
    <w:locked/>
    <w:rsid w:val="00515E52"/>
  </w:style>
  <w:style w:type="paragraph" w:styleId="EndnoteText">
    <w:name w:val="endnote text"/>
    <w:basedOn w:val="Normal"/>
    <w:link w:val="EndnoteTextChar"/>
    <w:locked/>
    <w:rsid w:val="00305C42"/>
    <w:rPr>
      <w:sz w:val="20"/>
      <w:szCs w:val="20"/>
    </w:rPr>
  </w:style>
  <w:style w:type="character" w:customStyle="1" w:styleId="EndnoteTextChar">
    <w:name w:val="Endnote Text Char"/>
    <w:basedOn w:val="DefaultParagraphFont"/>
    <w:link w:val="EndnoteText"/>
    <w:rsid w:val="00305C42"/>
    <w:rPr>
      <w:lang w:val="en-US" w:eastAsia="en-US"/>
    </w:rPr>
  </w:style>
  <w:style w:type="character" w:styleId="EndnoteReference">
    <w:name w:val="endnote reference"/>
    <w:basedOn w:val="DefaultParagraphFont"/>
    <w:locked/>
    <w:rsid w:val="00305C42"/>
    <w:rPr>
      <w:vertAlign w:val="superscript"/>
    </w:rPr>
  </w:style>
  <w:style w:type="paragraph" w:styleId="FootnoteText">
    <w:name w:val="footnote text"/>
    <w:basedOn w:val="Normal"/>
    <w:link w:val="FootnoteTextChar"/>
    <w:uiPriority w:val="99"/>
    <w:locked/>
    <w:rsid w:val="00A05747"/>
    <w:rPr>
      <w:sz w:val="20"/>
      <w:szCs w:val="20"/>
    </w:rPr>
  </w:style>
  <w:style w:type="character" w:customStyle="1" w:styleId="FootnoteTextChar">
    <w:name w:val="Footnote Text Char"/>
    <w:basedOn w:val="DefaultParagraphFont"/>
    <w:link w:val="FootnoteText"/>
    <w:uiPriority w:val="99"/>
    <w:rsid w:val="00A05747"/>
    <w:rPr>
      <w:lang w:val="en-US" w:eastAsia="en-US"/>
    </w:rPr>
  </w:style>
  <w:style w:type="character" w:styleId="FootnoteReference">
    <w:name w:val="footnote reference"/>
    <w:basedOn w:val="DefaultParagraphFont"/>
    <w:uiPriority w:val="99"/>
    <w:locked/>
    <w:rsid w:val="00A05747"/>
    <w:rPr>
      <w:vertAlign w:val="superscript"/>
    </w:rPr>
  </w:style>
  <w:style w:type="paragraph" w:styleId="Header">
    <w:name w:val="header"/>
    <w:basedOn w:val="Normal"/>
    <w:link w:val="HeaderChar"/>
    <w:locked/>
    <w:rsid w:val="001E5826"/>
    <w:pPr>
      <w:tabs>
        <w:tab w:val="center" w:pos="4513"/>
        <w:tab w:val="right" w:pos="9026"/>
      </w:tabs>
    </w:pPr>
  </w:style>
  <w:style w:type="character" w:customStyle="1" w:styleId="HeaderChar">
    <w:name w:val="Header Char"/>
    <w:basedOn w:val="DefaultParagraphFont"/>
    <w:link w:val="Header"/>
    <w:rsid w:val="001E5826"/>
    <w:rPr>
      <w:sz w:val="24"/>
      <w:szCs w:val="24"/>
      <w:lang w:val="en-US" w:eastAsia="en-US"/>
    </w:rPr>
  </w:style>
  <w:style w:type="paragraph" w:styleId="Footer">
    <w:name w:val="footer"/>
    <w:basedOn w:val="Normal"/>
    <w:link w:val="FooterChar"/>
    <w:uiPriority w:val="99"/>
    <w:locked/>
    <w:rsid w:val="001E5826"/>
    <w:pPr>
      <w:tabs>
        <w:tab w:val="center" w:pos="4513"/>
        <w:tab w:val="right" w:pos="9026"/>
      </w:tabs>
    </w:pPr>
  </w:style>
  <w:style w:type="character" w:customStyle="1" w:styleId="FooterChar">
    <w:name w:val="Footer Char"/>
    <w:basedOn w:val="DefaultParagraphFont"/>
    <w:link w:val="Footer"/>
    <w:uiPriority w:val="99"/>
    <w:rsid w:val="001E5826"/>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1"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Balloon Tex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FE0430"/>
    <w:rPr>
      <w:sz w:val="24"/>
      <w:szCs w:val="24"/>
      <w:lang w:val="en-US" w:eastAsia="en-US"/>
    </w:rPr>
  </w:style>
  <w:style w:type="paragraph" w:styleId="Heading2">
    <w:name w:val="heading 2"/>
    <w:basedOn w:val="Normal"/>
    <w:link w:val="Heading2Char"/>
    <w:uiPriority w:val="9"/>
    <w:qFormat/>
    <w:locked/>
    <w:rsid w:val="00D3097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E0430"/>
    <w:pPr>
      <w:tabs>
        <w:tab w:val="right" w:pos="9632"/>
      </w:tabs>
    </w:pPr>
    <w:rPr>
      <w:rFonts w:ascii="Helvetica" w:eastAsia="ヒラギノ角ゴ Pro W3" w:hAnsi="Helvetica"/>
      <w:color w:val="000000"/>
      <w:lang w:val="en-US"/>
    </w:rPr>
  </w:style>
  <w:style w:type="paragraph" w:customStyle="1" w:styleId="Body">
    <w:name w:val="Body"/>
    <w:rsid w:val="00FE0430"/>
    <w:rPr>
      <w:rFonts w:ascii="Helvetica" w:eastAsia="ヒラギノ角ゴ Pro W3" w:hAnsi="Helvetica"/>
      <w:color w:val="000000"/>
      <w:sz w:val="24"/>
      <w:lang w:val="en-US"/>
    </w:rPr>
  </w:style>
  <w:style w:type="paragraph" w:customStyle="1" w:styleId="CitaviLiteraturverzeichnis">
    <w:name w:val="Citavi Literaturverzeichnis"/>
    <w:basedOn w:val="Normal"/>
    <w:rsid w:val="00EF070F"/>
    <w:pPr>
      <w:spacing w:after="60"/>
      <w:ind w:left="283" w:hanging="283"/>
    </w:pPr>
    <w:rPr>
      <w:rFonts w:ascii="Segoe UI" w:hAnsi="Segoe UI" w:cs="Segoe UI"/>
      <w:sz w:val="18"/>
      <w:szCs w:val="18"/>
      <w:lang w:val="de-AT" w:eastAsia="de-AT"/>
    </w:rPr>
  </w:style>
  <w:style w:type="paragraph" w:customStyle="1" w:styleId="MediumGrid1-Accent21">
    <w:name w:val="Medium Grid 1 - Accent 21"/>
    <w:basedOn w:val="Normal"/>
    <w:uiPriority w:val="34"/>
    <w:qFormat/>
    <w:rsid w:val="00CA7F95"/>
    <w:pPr>
      <w:spacing w:after="200" w:line="276" w:lineRule="auto"/>
      <w:ind w:left="720"/>
      <w:contextualSpacing/>
      <w:jc w:val="both"/>
    </w:pPr>
    <w:rPr>
      <w:rFonts w:ascii="Calibri" w:eastAsia="SimSun" w:hAnsi="Calibri"/>
      <w:sz w:val="22"/>
      <w:szCs w:val="22"/>
      <w:lang w:val="en-GB" w:eastAsia="zh-CN"/>
    </w:rPr>
  </w:style>
  <w:style w:type="character" w:customStyle="1" w:styleId="personname">
    <w:name w:val="person_name"/>
    <w:basedOn w:val="DefaultParagraphFont"/>
    <w:rsid w:val="00CA7F95"/>
  </w:style>
  <w:style w:type="character" w:styleId="Emphasis">
    <w:name w:val="Emphasis"/>
    <w:uiPriority w:val="20"/>
    <w:qFormat/>
    <w:locked/>
    <w:rsid w:val="00CA7F95"/>
    <w:rPr>
      <w:i/>
      <w:iCs/>
    </w:rPr>
  </w:style>
  <w:style w:type="character" w:customStyle="1" w:styleId="Heading2Char">
    <w:name w:val="Heading 2 Char"/>
    <w:link w:val="Heading2"/>
    <w:uiPriority w:val="9"/>
    <w:rsid w:val="00D30971"/>
    <w:rPr>
      <w:b/>
      <w:bCs/>
      <w:sz w:val="36"/>
      <w:szCs w:val="36"/>
    </w:rPr>
  </w:style>
  <w:style w:type="character" w:styleId="Hyperlink">
    <w:name w:val="Hyperlink"/>
    <w:uiPriority w:val="99"/>
    <w:unhideWhenUsed/>
    <w:locked/>
    <w:rsid w:val="00D30971"/>
    <w:rPr>
      <w:color w:val="0000FF"/>
      <w:u w:val="single"/>
    </w:rPr>
  </w:style>
  <w:style w:type="character" w:customStyle="1" w:styleId="Date1">
    <w:name w:val="Date1"/>
    <w:basedOn w:val="DefaultParagraphFont"/>
    <w:rsid w:val="00D30971"/>
  </w:style>
  <w:style w:type="character" w:customStyle="1" w:styleId="pages">
    <w:name w:val="pages"/>
    <w:basedOn w:val="DefaultParagraphFont"/>
    <w:rsid w:val="00D30971"/>
  </w:style>
  <w:style w:type="paragraph" w:customStyle="1" w:styleId="NoSpacing1">
    <w:name w:val="No Spacing1"/>
    <w:uiPriority w:val="1"/>
    <w:qFormat/>
    <w:rsid w:val="00E33CFD"/>
    <w:rPr>
      <w:sz w:val="24"/>
      <w:szCs w:val="24"/>
      <w:lang w:eastAsia="en-GB"/>
    </w:rPr>
  </w:style>
  <w:style w:type="paragraph" w:styleId="BalloonText">
    <w:name w:val="Balloon Text"/>
    <w:basedOn w:val="Normal"/>
    <w:link w:val="BalloonTextChar"/>
    <w:uiPriority w:val="99"/>
    <w:unhideWhenUsed/>
    <w:locked/>
    <w:rsid w:val="001E1FD7"/>
    <w:rPr>
      <w:rFonts w:ascii="Tahoma" w:eastAsia="SimSun" w:hAnsi="Tahoma"/>
      <w:sz w:val="16"/>
      <w:szCs w:val="16"/>
      <w:lang w:eastAsia="en-GB"/>
    </w:rPr>
  </w:style>
  <w:style w:type="character" w:customStyle="1" w:styleId="BalloonTextChar">
    <w:name w:val="Balloon Text Char"/>
    <w:link w:val="BalloonText"/>
    <w:uiPriority w:val="99"/>
    <w:rsid w:val="001E1FD7"/>
    <w:rPr>
      <w:rFonts w:ascii="Tahoma" w:eastAsia="SimSun" w:hAnsi="Tahoma" w:cs="Tahoma"/>
      <w:sz w:val="16"/>
      <w:szCs w:val="16"/>
      <w:lang w:eastAsia="en-GB"/>
    </w:rPr>
  </w:style>
  <w:style w:type="paragraph" w:customStyle="1" w:styleId="Abstract">
    <w:name w:val="Abstract"/>
    <w:basedOn w:val="Normal"/>
    <w:next w:val="Normal"/>
    <w:qFormat/>
    <w:rsid w:val="001E1FD7"/>
    <w:pPr>
      <w:spacing w:before="360" w:after="300" w:line="360" w:lineRule="auto"/>
      <w:ind w:left="720" w:right="567"/>
    </w:pPr>
    <w:rPr>
      <w:sz w:val="22"/>
      <w:lang w:val="en-GB" w:eastAsia="en-GB"/>
    </w:rPr>
  </w:style>
  <w:style w:type="character" w:styleId="FollowedHyperlink">
    <w:name w:val="FollowedHyperlink"/>
    <w:locked/>
    <w:rsid w:val="009D4491"/>
    <w:rPr>
      <w:color w:val="800080"/>
      <w:u w:val="single"/>
    </w:rPr>
  </w:style>
  <w:style w:type="character" w:customStyle="1" w:styleId="Subtitle1">
    <w:name w:val="Subtitle1"/>
    <w:rsid w:val="009D4491"/>
  </w:style>
  <w:style w:type="paragraph" w:customStyle="1" w:styleId="FreeForm">
    <w:name w:val="Free Form"/>
    <w:rsid w:val="000C3D09"/>
    <w:rPr>
      <w:rFonts w:ascii="Helvetica" w:eastAsia="ヒラギノ角ゴ Pro W3" w:hAnsi="Helvetica"/>
      <w:color w:val="000000"/>
      <w:sz w:val="24"/>
      <w:lang w:val="en-US" w:eastAsia="en-US"/>
    </w:rPr>
  </w:style>
  <w:style w:type="character" w:styleId="CommentReference">
    <w:name w:val="annotation reference"/>
    <w:locked/>
    <w:rsid w:val="000F4ED7"/>
    <w:rPr>
      <w:sz w:val="18"/>
      <w:szCs w:val="18"/>
    </w:rPr>
  </w:style>
  <w:style w:type="paragraph" w:styleId="CommentText">
    <w:name w:val="annotation text"/>
    <w:basedOn w:val="Normal"/>
    <w:link w:val="CommentTextChar"/>
    <w:locked/>
    <w:rsid w:val="000F4ED7"/>
  </w:style>
  <w:style w:type="character" w:customStyle="1" w:styleId="CommentTextChar">
    <w:name w:val="Comment Text Char"/>
    <w:link w:val="CommentText"/>
    <w:rsid w:val="000F4ED7"/>
    <w:rPr>
      <w:sz w:val="24"/>
      <w:szCs w:val="24"/>
      <w:lang w:val="en-US"/>
    </w:rPr>
  </w:style>
  <w:style w:type="paragraph" w:styleId="CommentSubject">
    <w:name w:val="annotation subject"/>
    <w:basedOn w:val="CommentText"/>
    <w:next w:val="CommentText"/>
    <w:link w:val="CommentSubjectChar"/>
    <w:locked/>
    <w:rsid w:val="000F4ED7"/>
    <w:rPr>
      <w:b/>
      <w:bCs/>
    </w:rPr>
  </w:style>
  <w:style w:type="character" w:customStyle="1" w:styleId="CommentSubjectChar">
    <w:name w:val="Comment Subject Char"/>
    <w:link w:val="CommentSubject"/>
    <w:rsid w:val="000F4ED7"/>
    <w:rPr>
      <w:b/>
      <w:bCs/>
      <w:sz w:val="24"/>
      <w:szCs w:val="24"/>
      <w:lang w:val="en-US"/>
    </w:rPr>
  </w:style>
  <w:style w:type="paragraph" w:styleId="NormalWeb">
    <w:name w:val="Normal (Web)"/>
    <w:basedOn w:val="Normal"/>
    <w:locked/>
    <w:rsid w:val="00515E52"/>
  </w:style>
  <w:style w:type="paragraph" w:styleId="EndnoteText">
    <w:name w:val="endnote text"/>
    <w:basedOn w:val="Normal"/>
    <w:link w:val="EndnoteTextChar"/>
    <w:locked/>
    <w:rsid w:val="00305C42"/>
    <w:rPr>
      <w:sz w:val="20"/>
      <w:szCs w:val="20"/>
    </w:rPr>
  </w:style>
  <w:style w:type="character" w:customStyle="1" w:styleId="EndnoteTextChar">
    <w:name w:val="Endnote Text Char"/>
    <w:basedOn w:val="DefaultParagraphFont"/>
    <w:link w:val="EndnoteText"/>
    <w:rsid w:val="00305C42"/>
    <w:rPr>
      <w:lang w:val="en-US" w:eastAsia="en-US"/>
    </w:rPr>
  </w:style>
  <w:style w:type="character" w:styleId="EndnoteReference">
    <w:name w:val="endnote reference"/>
    <w:basedOn w:val="DefaultParagraphFont"/>
    <w:locked/>
    <w:rsid w:val="00305C42"/>
    <w:rPr>
      <w:vertAlign w:val="superscript"/>
    </w:rPr>
  </w:style>
  <w:style w:type="paragraph" w:styleId="FootnoteText">
    <w:name w:val="footnote text"/>
    <w:basedOn w:val="Normal"/>
    <w:link w:val="FootnoteTextChar"/>
    <w:uiPriority w:val="99"/>
    <w:locked/>
    <w:rsid w:val="00A05747"/>
    <w:rPr>
      <w:sz w:val="20"/>
      <w:szCs w:val="20"/>
    </w:rPr>
  </w:style>
  <w:style w:type="character" w:customStyle="1" w:styleId="FootnoteTextChar">
    <w:name w:val="Footnote Text Char"/>
    <w:basedOn w:val="DefaultParagraphFont"/>
    <w:link w:val="FootnoteText"/>
    <w:uiPriority w:val="99"/>
    <w:rsid w:val="00A05747"/>
    <w:rPr>
      <w:lang w:val="en-US" w:eastAsia="en-US"/>
    </w:rPr>
  </w:style>
  <w:style w:type="character" w:styleId="FootnoteReference">
    <w:name w:val="footnote reference"/>
    <w:basedOn w:val="DefaultParagraphFont"/>
    <w:uiPriority w:val="99"/>
    <w:locked/>
    <w:rsid w:val="00A05747"/>
    <w:rPr>
      <w:vertAlign w:val="superscript"/>
    </w:rPr>
  </w:style>
  <w:style w:type="paragraph" w:styleId="Header">
    <w:name w:val="header"/>
    <w:basedOn w:val="Normal"/>
    <w:link w:val="HeaderChar"/>
    <w:locked/>
    <w:rsid w:val="001E5826"/>
    <w:pPr>
      <w:tabs>
        <w:tab w:val="center" w:pos="4513"/>
        <w:tab w:val="right" w:pos="9026"/>
      </w:tabs>
    </w:pPr>
  </w:style>
  <w:style w:type="character" w:customStyle="1" w:styleId="HeaderChar">
    <w:name w:val="Header Char"/>
    <w:basedOn w:val="DefaultParagraphFont"/>
    <w:link w:val="Header"/>
    <w:rsid w:val="001E5826"/>
    <w:rPr>
      <w:sz w:val="24"/>
      <w:szCs w:val="24"/>
      <w:lang w:val="en-US" w:eastAsia="en-US"/>
    </w:rPr>
  </w:style>
  <w:style w:type="paragraph" w:styleId="Footer">
    <w:name w:val="footer"/>
    <w:basedOn w:val="Normal"/>
    <w:link w:val="FooterChar"/>
    <w:uiPriority w:val="99"/>
    <w:locked/>
    <w:rsid w:val="001E5826"/>
    <w:pPr>
      <w:tabs>
        <w:tab w:val="center" w:pos="4513"/>
        <w:tab w:val="right" w:pos="9026"/>
      </w:tabs>
    </w:pPr>
  </w:style>
  <w:style w:type="character" w:customStyle="1" w:styleId="FooterChar">
    <w:name w:val="Footer Char"/>
    <w:basedOn w:val="DefaultParagraphFont"/>
    <w:link w:val="Footer"/>
    <w:uiPriority w:val="99"/>
    <w:rsid w:val="001E582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1892">
      <w:bodyDiv w:val="1"/>
      <w:marLeft w:val="0"/>
      <w:marRight w:val="0"/>
      <w:marTop w:val="0"/>
      <w:marBottom w:val="0"/>
      <w:divBdr>
        <w:top w:val="none" w:sz="0" w:space="0" w:color="auto"/>
        <w:left w:val="none" w:sz="0" w:space="0" w:color="auto"/>
        <w:bottom w:val="none" w:sz="0" w:space="0" w:color="auto"/>
        <w:right w:val="none" w:sz="0" w:space="0" w:color="auto"/>
      </w:divBdr>
    </w:div>
    <w:div w:id="173227499">
      <w:bodyDiv w:val="1"/>
      <w:marLeft w:val="0"/>
      <w:marRight w:val="0"/>
      <w:marTop w:val="0"/>
      <w:marBottom w:val="0"/>
      <w:divBdr>
        <w:top w:val="none" w:sz="0" w:space="0" w:color="auto"/>
        <w:left w:val="none" w:sz="0" w:space="0" w:color="auto"/>
        <w:bottom w:val="none" w:sz="0" w:space="0" w:color="auto"/>
        <w:right w:val="none" w:sz="0" w:space="0" w:color="auto"/>
      </w:divBdr>
      <w:divsChild>
        <w:div w:id="400297702">
          <w:marLeft w:val="0"/>
          <w:marRight w:val="0"/>
          <w:marTop w:val="0"/>
          <w:marBottom w:val="0"/>
          <w:divBdr>
            <w:top w:val="none" w:sz="0" w:space="0" w:color="auto"/>
            <w:left w:val="none" w:sz="0" w:space="0" w:color="auto"/>
            <w:bottom w:val="none" w:sz="0" w:space="0" w:color="auto"/>
            <w:right w:val="none" w:sz="0" w:space="0" w:color="auto"/>
          </w:divBdr>
          <w:divsChild>
            <w:div w:id="580065779">
              <w:marLeft w:val="0"/>
              <w:marRight w:val="0"/>
              <w:marTop w:val="0"/>
              <w:marBottom w:val="0"/>
              <w:divBdr>
                <w:top w:val="none" w:sz="0" w:space="0" w:color="auto"/>
                <w:left w:val="none" w:sz="0" w:space="0" w:color="auto"/>
                <w:bottom w:val="none" w:sz="0" w:space="0" w:color="auto"/>
                <w:right w:val="none" w:sz="0" w:space="0" w:color="auto"/>
              </w:divBdr>
              <w:divsChild>
                <w:div w:id="703942899">
                  <w:marLeft w:val="0"/>
                  <w:marRight w:val="0"/>
                  <w:marTop w:val="0"/>
                  <w:marBottom w:val="0"/>
                  <w:divBdr>
                    <w:top w:val="none" w:sz="0" w:space="0" w:color="auto"/>
                    <w:left w:val="none" w:sz="0" w:space="0" w:color="auto"/>
                    <w:bottom w:val="none" w:sz="0" w:space="0" w:color="auto"/>
                    <w:right w:val="none" w:sz="0" w:space="0" w:color="auto"/>
                  </w:divBdr>
                  <w:divsChild>
                    <w:div w:id="1124614410">
                      <w:marLeft w:val="0"/>
                      <w:marRight w:val="0"/>
                      <w:marTop w:val="0"/>
                      <w:marBottom w:val="0"/>
                      <w:divBdr>
                        <w:top w:val="none" w:sz="0" w:space="0" w:color="auto"/>
                        <w:left w:val="none" w:sz="0" w:space="0" w:color="auto"/>
                        <w:bottom w:val="none" w:sz="0" w:space="0" w:color="auto"/>
                        <w:right w:val="none" w:sz="0" w:space="0" w:color="auto"/>
                      </w:divBdr>
                      <w:divsChild>
                        <w:div w:id="810097654">
                          <w:marLeft w:val="0"/>
                          <w:marRight w:val="0"/>
                          <w:marTop w:val="0"/>
                          <w:marBottom w:val="0"/>
                          <w:divBdr>
                            <w:top w:val="none" w:sz="0" w:space="0" w:color="auto"/>
                            <w:left w:val="none" w:sz="0" w:space="0" w:color="auto"/>
                            <w:bottom w:val="none" w:sz="0" w:space="0" w:color="auto"/>
                            <w:right w:val="none" w:sz="0" w:space="0" w:color="auto"/>
                          </w:divBdr>
                          <w:divsChild>
                            <w:div w:id="1669285704">
                              <w:marLeft w:val="0"/>
                              <w:marRight w:val="0"/>
                              <w:marTop w:val="0"/>
                              <w:marBottom w:val="0"/>
                              <w:divBdr>
                                <w:top w:val="none" w:sz="0" w:space="0" w:color="auto"/>
                                <w:left w:val="none" w:sz="0" w:space="0" w:color="auto"/>
                                <w:bottom w:val="none" w:sz="0" w:space="0" w:color="auto"/>
                                <w:right w:val="none" w:sz="0" w:space="0" w:color="auto"/>
                              </w:divBdr>
                              <w:divsChild>
                                <w:div w:id="643049430">
                                  <w:marLeft w:val="0"/>
                                  <w:marRight w:val="0"/>
                                  <w:marTop w:val="0"/>
                                  <w:marBottom w:val="0"/>
                                  <w:divBdr>
                                    <w:top w:val="none" w:sz="0" w:space="0" w:color="auto"/>
                                    <w:left w:val="none" w:sz="0" w:space="0" w:color="auto"/>
                                    <w:bottom w:val="none" w:sz="0" w:space="0" w:color="auto"/>
                                    <w:right w:val="none" w:sz="0" w:space="0" w:color="auto"/>
                                  </w:divBdr>
                                  <w:divsChild>
                                    <w:div w:id="1466197610">
                                      <w:marLeft w:val="0"/>
                                      <w:marRight w:val="0"/>
                                      <w:marTop w:val="0"/>
                                      <w:marBottom w:val="0"/>
                                      <w:divBdr>
                                        <w:top w:val="none" w:sz="0" w:space="0" w:color="auto"/>
                                        <w:left w:val="none" w:sz="0" w:space="0" w:color="auto"/>
                                        <w:bottom w:val="none" w:sz="0" w:space="0" w:color="auto"/>
                                        <w:right w:val="none" w:sz="0" w:space="0" w:color="auto"/>
                                      </w:divBdr>
                                      <w:divsChild>
                                        <w:div w:id="1681203495">
                                          <w:marLeft w:val="0"/>
                                          <w:marRight w:val="0"/>
                                          <w:marTop w:val="0"/>
                                          <w:marBottom w:val="0"/>
                                          <w:divBdr>
                                            <w:top w:val="none" w:sz="0" w:space="0" w:color="auto"/>
                                            <w:left w:val="none" w:sz="0" w:space="0" w:color="auto"/>
                                            <w:bottom w:val="none" w:sz="0" w:space="0" w:color="auto"/>
                                            <w:right w:val="none" w:sz="0" w:space="0" w:color="auto"/>
                                          </w:divBdr>
                                          <w:divsChild>
                                            <w:div w:id="563489043">
                                              <w:marLeft w:val="0"/>
                                              <w:marRight w:val="0"/>
                                              <w:marTop w:val="0"/>
                                              <w:marBottom w:val="0"/>
                                              <w:divBdr>
                                                <w:top w:val="none" w:sz="0" w:space="0" w:color="auto"/>
                                                <w:left w:val="none" w:sz="0" w:space="0" w:color="auto"/>
                                                <w:bottom w:val="none" w:sz="0" w:space="0" w:color="auto"/>
                                                <w:right w:val="none" w:sz="0" w:space="0" w:color="auto"/>
                                              </w:divBdr>
                                              <w:divsChild>
                                                <w:div w:id="2635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2890647">
      <w:bodyDiv w:val="1"/>
      <w:marLeft w:val="0"/>
      <w:marRight w:val="0"/>
      <w:marTop w:val="0"/>
      <w:marBottom w:val="0"/>
      <w:divBdr>
        <w:top w:val="none" w:sz="0" w:space="0" w:color="auto"/>
        <w:left w:val="none" w:sz="0" w:space="0" w:color="auto"/>
        <w:bottom w:val="none" w:sz="0" w:space="0" w:color="auto"/>
        <w:right w:val="none" w:sz="0" w:space="0" w:color="auto"/>
      </w:divBdr>
    </w:div>
    <w:div w:id="793330839">
      <w:bodyDiv w:val="1"/>
      <w:marLeft w:val="0"/>
      <w:marRight w:val="0"/>
      <w:marTop w:val="0"/>
      <w:marBottom w:val="0"/>
      <w:divBdr>
        <w:top w:val="none" w:sz="0" w:space="0" w:color="auto"/>
        <w:left w:val="none" w:sz="0" w:space="0" w:color="auto"/>
        <w:bottom w:val="none" w:sz="0" w:space="0" w:color="auto"/>
        <w:right w:val="none" w:sz="0" w:space="0" w:color="auto"/>
      </w:divBdr>
    </w:div>
    <w:div w:id="938099504">
      <w:bodyDiv w:val="1"/>
      <w:marLeft w:val="0"/>
      <w:marRight w:val="0"/>
      <w:marTop w:val="0"/>
      <w:marBottom w:val="0"/>
      <w:divBdr>
        <w:top w:val="none" w:sz="0" w:space="0" w:color="auto"/>
        <w:left w:val="none" w:sz="0" w:space="0" w:color="auto"/>
        <w:bottom w:val="none" w:sz="0" w:space="0" w:color="auto"/>
        <w:right w:val="none" w:sz="0" w:space="0" w:color="auto"/>
      </w:divBdr>
    </w:div>
    <w:div w:id="1024288536">
      <w:bodyDiv w:val="1"/>
      <w:marLeft w:val="0"/>
      <w:marRight w:val="0"/>
      <w:marTop w:val="0"/>
      <w:marBottom w:val="0"/>
      <w:divBdr>
        <w:top w:val="none" w:sz="0" w:space="0" w:color="auto"/>
        <w:left w:val="none" w:sz="0" w:space="0" w:color="auto"/>
        <w:bottom w:val="none" w:sz="0" w:space="0" w:color="auto"/>
        <w:right w:val="none" w:sz="0" w:space="0" w:color="auto"/>
      </w:divBdr>
      <w:divsChild>
        <w:div w:id="1681738729">
          <w:marLeft w:val="0"/>
          <w:marRight w:val="0"/>
          <w:marTop w:val="0"/>
          <w:marBottom w:val="0"/>
          <w:divBdr>
            <w:top w:val="none" w:sz="0" w:space="0" w:color="auto"/>
            <w:left w:val="none" w:sz="0" w:space="0" w:color="auto"/>
            <w:bottom w:val="none" w:sz="0" w:space="0" w:color="auto"/>
            <w:right w:val="none" w:sz="0" w:space="0" w:color="auto"/>
          </w:divBdr>
          <w:divsChild>
            <w:div w:id="1910459864">
              <w:marLeft w:val="0"/>
              <w:marRight w:val="0"/>
              <w:marTop w:val="0"/>
              <w:marBottom w:val="0"/>
              <w:divBdr>
                <w:top w:val="none" w:sz="0" w:space="0" w:color="auto"/>
                <w:left w:val="none" w:sz="0" w:space="0" w:color="auto"/>
                <w:bottom w:val="none" w:sz="0" w:space="0" w:color="auto"/>
                <w:right w:val="none" w:sz="0" w:space="0" w:color="auto"/>
              </w:divBdr>
              <w:divsChild>
                <w:div w:id="352147735">
                  <w:marLeft w:val="0"/>
                  <w:marRight w:val="0"/>
                  <w:marTop w:val="0"/>
                  <w:marBottom w:val="0"/>
                  <w:divBdr>
                    <w:top w:val="none" w:sz="0" w:space="0" w:color="auto"/>
                    <w:left w:val="none" w:sz="0" w:space="0" w:color="auto"/>
                    <w:bottom w:val="none" w:sz="0" w:space="0" w:color="auto"/>
                    <w:right w:val="none" w:sz="0" w:space="0" w:color="auto"/>
                  </w:divBdr>
                  <w:divsChild>
                    <w:div w:id="1184858015">
                      <w:marLeft w:val="0"/>
                      <w:marRight w:val="0"/>
                      <w:marTop w:val="0"/>
                      <w:marBottom w:val="0"/>
                      <w:divBdr>
                        <w:top w:val="none" w:sz="0" w:space="0" w:color="auto"/>
                        <w:left w:val="none" w:sz="0" w:space="0" w:color="auto"/>
                        <w:bottom w:val="none" w:sz="0" w:space="0" w:color="auto"/>
                        <w:right w:val="none" w:sz="0" w:space="0" w:color="auto"/>
                      </w:divBdr>
                      <w:divsChild>
                        <w:div w:id="320471165">
                          <w:marLeft w:val="0"/>
                          <w:marRight w:val="0"/>
                          <w:marTop w:val="0"/>
                          <w:marBottom w:val="0"/>
                          <w:divBdr>
                            <w:top w:val="none" w:sz="0" w:space="0" w:color="auto"/>
                            <w:left w:val="none" w:sz="0" w:space="0" w:color="auto"/>
                            <w:bottom w:val="none" w:sz="0" w:space="0" w:color="auto"/>
                            <w:right w:val="none" w:sz="0" w:space="0" w:color="auto"/>
                          </w:divBdr>
                          <w:divsChild>
                            <w:div w:id="650330290">
                              <w:marLeft w:val="0"/>
                              <w:marRight w:val="0"/>
                              <w:marTop w:val="0"/>
                              <w:marBottom w:val="0"/>
                              <w:divBdr>
                                <w:top w:val="none" w:sz="0" w:space="0" w:color="auto"/>
                                <w:left w:val="none" w:sz="0" w:space="0" w:color="auto"/>
                                <w:bottom w:val="none" w:sz="0" w:space="0" w:color="auto"/>
                                <w:right w:val="none" w:sz="0" w:space="0" w:color="auto"/>
                              </w:divBdr>
                              <w:divsChild>
                                <w:div w:id="843788919">
                                  <w:marLeft w:val="0"/>
                                  <w:marRight w:val="0"/>
                                  <w:marTop w:val="0"/>
                                  <w:marBottom w:val="0"/>
                                  <w:divBdr>
                                    <w:top w:val="none" w:sz="0" w:space="0" w:color="auto"/>
                                    <w:left w:val="none" w:sz="0" w:space="0" w:color="auto"/>
                                    <w:bottom w:val="none" w:sz="0" w:space="0" w:color="auto"/>
                                    <w:right w:val="none" w:sz="0" w:space="0" w:color="auto"/>
                                  </w:divBdr>
                                  <w:divsChild>
                                    <w:div w:id="357392562">
                                      <w:marLeft w:val="0"/>
                                      <w:marRight w:val="0"/>
                                      <w:marTop w:val="0"/>
                                      <w:marBottom w:val="0"/>
                                      <w:divBdr>
                                        <w:top w:val="none" w:sz="0" w:space="0" w:color="auto"/>
                                        <w:left w:val="none" w:sz="0" w:space="0" w:color="auto"/>
                                        <w:bottom w:val="none" w:sz="0" w:space="0" w:color="auto"/>
                                        <w:right w:val="none" w:sz="0" w:space="0" w:color="auto"/>
                                      </w:divBdr>
                                      <w:divsChild>
                                        <w:div w:id="1112211893">
                                          <w:marLeft w:val="0"/>
                                          <w:marRight w:val="0"/>
                                          <w:marTop w:val="0"/>
                                          <w:marBottom w:val="0"/>
                                          <w:divBdr>
                                            <w:top w:val="none" w:sz="0" w:space="0" w:color="auto"/>
                                            <w:left w:val="none" w:sz="0" w:space="0" w:color="auto"/>
                                            <w:bottom w:val="none" w:sz="0" w:space="0" w:color="auto"/>
                                            <w:right w:val="none" w:sz="0" w:space="0" w:color="auto"/>
                                          </w:divBdr>
                                          <w:divsChild>
                                            <w:div w:id="1707947380">
                                              <w:marLeft w:val="0"/>
                                              <w:marRight w:val="0"/>
                                              <w:marTop w:val="0"/>
                                              <w:marBottom w:val="0"/>
                                              <w:divBdr>
                                                <w:top w:val="none" w:sz="0" w:space="0" w:color="auto"/>
                                                <w:left w:val="none" w:sz="0" w:space="0" w:color="auto"/>
                                                <w:bottom w:val="none" w:sz="0" w:space="0" w:color="auto"/>
                                                <w:right w:val="none" w:sz="0" w:space="0" w:color="auto"/>
                                              </w:divBdr>
                                              <w:divsChild>
                                                <w:div w:id="59351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8697644">
      <w:bodyDiv w:val="1"/>
      <w:marLeft w:val="0"/>
      <w:marRight w:val="0"/>
      <w:marTop w:val="0"/>
      <w:marBottom w:val="0"/>
      <w:divBdr>
        <w:top w:val="none" w:sz="0" w:space="0" w:color="auto"/>
        <w:left w:val="none" w:sz="0" w:space="0" w:color="auto"/>
        <w:bottom w:val="none" w:sz="0" w:space="0" w:color="auto"/>
        <w:right w:val="none" w:sz="0" w:space="0" w:color="auto"/>
      </w:divBdr>
      <w:divsChild>
        <w:div w:id="2131238896">
          <w:marLeft w:val="0"/>
          <w:marRight w:val="0"/>
          <w:marTop w:val="0"/>
          <w:marBottom w:val="0"/>
          <w:divBdr>
            <w:top w:val="none" w:sz="0" w:space="0" w:color="auto"/>
            <w:left w:val="none" w:sz="0" w:space="0" w:color="auto"/>
            <w:bottom w:val="none" w:sz="0" w:space="0" w:color="auto"/>
            <w:right w:val="none" w:sz="0" w:space="0" w:color="auto"/>
          </w:divBdr>
          <w:divsChild>
            <w:div w:id="1594048883">
              <w:marLeft w:val="0"/>
              <w:marRight w:val="0"/>
              <w:marTop w:val="0"/>
              <w:marBottom w:val="0"/>
              <w:divBdr>
                <w:top w:val="none" w:sz="0" w:space="0" w:color="auto"/>
                <w:left w:val="none" w:sz="0" w:space="0" w:color="auto"/>
                <w:bottom w:val="none" w:sz="0" w:space="0" w:color="auto"/>
                <w:right w:val="none" w:sz="0" w:space="0" w:color="auto"/>
              </w:divBdr>
              <w:divsChild>
                <w:div w:id="1570074334">
                  <w:marLeft w:val="0"/>
                  <w:marRight w:val="0"/>
                  <w:marTop w:val="0"/>
                  <w:marBottom w:val="0"/>
                  <w:divBdr>
                    <w:top w:val="none" w:sz="0" w:space="0" w:color="auto"/>
                    <w:left w:val="none" w:sz="0" w:space="0" w:color="auto"/>
                    <w:bottom w:val="none" w:sz="0" w:space="0" w:color="auto"/>
                    <w:right w:val="none" w:sz="0" w:space="0" w:color="auto"/>
                  </w:divBdr>
                  <w:divsChild>
                    <w:div w:id="1513253364">
                      <w:marLeft w:val="0"/>
                      <w:marRight w:val="0"/>
                      <w:marTop w:val="0"/>
                      <w:marBottom w:val="0"/>
                      <w:divBdr>
                        <w:top w:val="none" w:sz="0" w:space="0" w:color="auto"/>
                        <w:left w:val="none" w:sz="0" w:space="0" w:color="auto"/>
                        <w:bottom w:val="none" w:sz="0" w:space="0" w:color="auto"/>
                        <w:right w:val="none" w:sz="0" w:space="0" w:color="auto"/>
                      </w:divBdr>
                      <w:divsChild>
                        <w:div w:id="381055426">
                          <w:marLeft w:val="0"/>
                          <w:marRight w:val="0"/>
                          <w:marTop w:val="0"/>
                          <w:marBottom w:val="0"/>
                          <w:divBdr>
                            <w:top w:val="none" w:sz="0" w:space="0" w:color="auto"/>
                            <w:left w:val="none" w:sz="0" w:space="0" w:color="auto"/>
                            <w:bottom w:val="none" w:sz="0" w:space="0" w:color="auto"/>
                            <w:right w:val="none" w:sz="0" w:space="0" w:color="auto"/>
                          </w:divBdr>
                          <w:divsChild>
                            <w:div w:id="1521554444">
                              <w:marLeft w:val="0"/>
                              <w:marRight w:val="0"/>
                              <w:marTop w:val="0"/>
                              <w:marBottom w:val="0"/>
                              <w:divBdr>
                                <w:top w:val="none" w:sz="0" w:space="0" w:color="auto"/>
                                <w:left w:val="none" w:sz="0" w:space="0" w:color="auto"/>
                                <w:bottom w:val="none" w:sz="0" w:space="0" w:color="auto"/>
                                <w:right w:val="none" w:sz="0" w:space="0" w:color="auto"/>
                              </w:divBdr>
                              <w:divsChild>
                                <w:div w:id="1963220907">
                                  <w:marLeft w:val="0"/>
                                  <w:marRight w:val="0"/>
                                  <w:marTop w:val="0"/>
                                  <w:marBottom w:val="0"/>
                                  <w:divBdr>
                                    <w:top w:val="none" w:sz="0" w:space="0" w:color="auto"/>
                                    <w:left w:val="none" w:sz="0" w:space="0" w:color="auto"/>
                                    <w:bottom w:val="none" w:sz="0" w:space="0" w:color="auto"/>
                                    <w:right w:val="none" w:sz="0" w:space="0" w:color="auto"/>
                                  </w:divBdr>
                                  <w:divsChild>
                                    <w:div w:id="7485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128878">
      <w:bodyDiv w:val="1"/>
      <w:marLeft w:val="0"/>
      <w:marRight w:val="0"/>
      <w:marTop w:val="0"/>
      <w:marBottom w:val="0"/>
      <w:divBdr>
        <w:top w:val="none" w:sz="0" w:space="0" w:color="auto"/>
        <w:left w:val="none" w:sz="0" w:space="0" w:color="auto"/>
        <w:bottom w:val="none" w:sz="0" w:space="0" w:color="auto"/>
        <w:right w:val="none" w:sz="0" w:space="0" w:color="auto"/>
      </w:divBdr>
      <w:divsChild>
        <w:div w:id="676612901">
          <w:marLeft w:val="0"/>
          <w:marRight w:val="0"/>
          <w:marTop w:val="0"/>
          <w:marBottom w:val="0"/>
          <w:divBdr>
            <w:top w:val="none" w:sz="0" w:space="0" w:color="auto"/>
            <w:left w:val="none" w:sz="0" w:space="0" w:color="auto"/>
            <w:bottom w:val="none" w:sz="0" w:space="0" w:color="auto"/>
            <w:right w:val="none" w:sz="0" w:space="0" w:color="auto"/>
          </w:divBdr>
          <w:divsChild>
            <w:div w:id="1326470985">
              <w:marLeft w:val="0"/>
              <w:marRight w:val="0"/>
              <w:marTop w:val="0"/>
              <w:marBottom w:val="0"/>
              <w:divBdr>
                <w:top w:val="none" w:sz="0" w:space="0" w:color="auto"/>
                <w:left w:val="none" w:sz="0" w:space="0" w:color="auto"/>
                <w:bottom w:val="none" w:sz="0" w:space="0" w:color="auto"/>
                <w:right w:val="none" w:sz="0" w:space="0" w:color="auto"/>
              </w:divBdr>
              <w:divsChild>
                <w:div w:id="530537927">
                  <w:marLeft w:val="0"/>
                  <w:marRight w:val="0"/>
                  <w:marTop w:val="0"/>
                  <w:marBottom w:val="0"/>
                  <w:divBdr>
                    <w:top w:val="none" w:sz="0" w:space="0" w:color="auto"/>
                    <w:left w:val="none" w:sz="0" w:space="0" w:color="auto"/>
                    <w:bottom w:val="none" w:sz="0" w:space="0" w:color="auto"/>
                    <w:right w:val="none" w:sz="0" w:space="0" w:color="auto"/>
                  </w:divBdr>
                  <w:divsChild>
                    <w:div w:id="2060744173">
                      <w:marLeft w:val="0"/>
                      <w:marRight w:val="0"/>
                      <w:marTop w:val="0"/>
                      <w:marBottom w:val="0"/>
                      <w:divBdr>
                        <w:top w:val="none" w:sz="0" w:space="0" w:color="auto"/>
                        <w:left w:val="none" w:sz="0" w:space="0" w:color="auto"/>
                        <w:bottom w:val="none" w:sz="0" w:space="0" w:color="auto"/>
                        <w:right w:val="none" w:sz="0" w:space="0" w:color="auto"/>
                      </w:divBdr>
                      <w:divsChild>
                        <w:div w:id="879560054">
                          <w:marLeft w:val="0"/>
                          <w:marRight w:val="0"/>
                          <w:marTop w:val="0"/>
                          <w:marBottom w:val="0"/>
                          <w:divBdr>
                            <w:top w:val="none" w:sz="0" w:space="0" w:color="auto"/>
                            <w:left w:val="none" w:sz="0" w:space="0" w:color="auto"/>
                            <w:bottom w:val="none" w:sz="0" w:space="0" w:color="auto"/>
                            <w:right w:val="none" w:sz="0" w:space="0" w:color="auto"/>
                          </w:divBdr>
                          <w:divsChild>
                            <w:div w:id="1142844582">
                              <w:marLeft w:val="0"/>
                              <w:marRight w:val="0"/>
                              <w:marTop w:val="0"/>
                              <w:marBottom w:val="0"/>
                              <w:divBdr>
                                <w:top w:val="none" w:sz="0" w:space="0" w:color="auto"/>
                                <w:left w:val="none" w:sz="0" w:space="0" w:color="auto"/>
                                <w:bottom w:val="none" w:sz="0" w:space="0" w:color="auto"/>
                                <w:right w:val="none" w:sz="0" w:space="0" w:color="auto"/>
                              </w:divBdr>
                              <w:divsChild>
                                <w:div w:id="492185201">
                                  <w:marLeft w:val="0"/>
                                  <w:marRight w:val="0"/>
                                  <w:marTop w:val="0"/>
                                  <w:marBottom w:val="0"/>
                                  <w:divBdr>
                                    <w:top w:val="none" w:sz="0" w:space="0" w:color="auto"/>
                                    <w:left w:val="none" w:sz="0" w:space="0" w:color="auto"/>
                                    <w:bottom w:val="none" w:sz="0" w:space="0" w:color="auto"/>
                                    <w:right w:val="none" w:sz="0" w:space="0" w:color="auto"/>
                                  </w:divBdr>
                                  <w:divsChild>
                                    <w:div w:id="11322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2423153">
      <w:bodyDiv w:val="1"/>
      <w:marLeft w:val="0"/>
      <w:marRight w:val="0"/>
      <w:marTop w:val="0"/>
      <w:marBottom w:val="0"/>
      <w:divBdr>
        <w:top w:val="none" w:sz="0" w:space="0" w:color="auto"/>
        <w:left w:val="none" w:sz="0" w:space="0" w:color="auto"/>
        <w:bottom w:val="none" w:sz="0" w:space="0" w:color="auto"/>
        <w:right w:val="none" w:sz="0" w:space="0" w:color="auto"/>
      </w:divBdr>
    </w:div>
    <w:div w:id="2027055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onlinelibrary.wiley.com/doi/10.1111/ijmr.12025/abs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142B65-0798-4A1E-8B8F-E20EE3C16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4432</Words>
  <Characters>25263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29636</CharactersWithSpaces>
  <SharedDoc>false</SharedDoc>
  <HLinks>
    <vt:vector size="12" baseType="variant">
      <vt:variant>
        <vt:i4>3866686</vt:i4>
      </vt:variant>
      <vt:variant>
        <vt:i4>3</vt:i4>
      </vt:variant>
      <vt:variant>
        <vt:i4>0</vt:i4>
      </vt:variant>
      <vt:variant>
        <vt:i4>5</vt:i4>
      </vt:variant>
      <vt:variant>
        <vt:lpwstr>http://eprints.mdx.ac.uk/1453/</vt:lpwstr>
      </vt:variant>
      <vt:variant>
        <vt:lpwstr/>
      </vt:variant>
      <vt:variant>
        <vt:i4>655363</vt:i4>
      </vt:variant>
      <vt:variant>
        <vt:i4>0</vt:i4>
      </vt:variant>
      <vt:variant>
        <vt:i4>0</vt:i4>
      </vt:variant>
      <vt:variant>
        <vt:i4>5</vt:i4>
      </vt:variant>
      <vt:variant>
        <vt:lpwstr>http://onlinelibrary.wiley.com/doi/10.1002/hrm.21552/pdf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Richard24</dc:creator>
  <cp:lastModifiedBy>Bernadett Dunn</cp:lastModifiedBy>
  <cp:revision>2</cp:revision>
  <cp:lastPrinted>2014-06-13T13:59:00Z</cp:lastPrinted>
  <dcterms:created xsi:type="dcterms:W3CDTF">2015-05-28T12:56:00Z</dcterms:created>
  <dcterms:modified xsi:type="dcterms:W3CDTF">2015-05-28T12:56:00Z</dcterms:modified>
</cp:coreProperties>
</file>