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8CAEA" w14:textId="77777777" w:rsidR="007779B6" w:rsidRPr="004D0A20" w:rsidRDefault="0078761D" w:rsidP="005152CF">
      <w:pPr>
        <w:spacing w:beforeLines="1" w:before="2" w:afterLines="1" w:after="2"/>
        <w:jc w:val="center"/>
        <w:rPr>
          <w:rFonts w:cs="Times New Roman"/>
          <w:szCs w:val="20"/>
        </w:rPr>
      </w:pPr>
      <w:r w:rsidRPr="004D0A20">
        <w:rPr>
          <w:b/>
        </w:rPr>
        <w:t xml:space="preserve">Monitoring and Enforcement of the </w:t>
      </w:r>
      <w:bookmarkStart w:id="0" w:name="_GoBack"/>
      <w:bookmarkEnd w:id="0"/>
      <w:r w:rsidRPr="004D0A20">
        <w:rPr>
          <w:b/>
        </w:rPr>
        <w:t>Rule of Law in the EU: Rhetoric and Reality</w:t>
      </w:r>
    </w:p>
    <w:p w14:paraId="346D4CFF" w14:textId="77777777" w:rsidR="0078761D" w:rsidRPr="004D0A20" w:rsidRDefault="0078761D" w:rsidP="007779B6">
      <w:pPr>
        <w:jc w:val="both"/>
      </w:pPr>
    </w:p>
    <w:p w14:paraId="602FB23E" w14:textId="77777777" w:rsidR="0078761D" w:rsidRPr="004D0A20" w:rsidRDefault="0078761D" w:rsidP="0078761D">
      <w:pPr>
        <w:jc w:val="center"/>
        <w:rPr>
          <w:i/>
        </w:rPr>
      </w:pPr>
      <w:proofErr w:type="spellStart"/>
      <w:r w:rsidRPr="004D0A20">
        <w:rPr>
          <w:i/>
        </w:rPr>
        <w:t>Dimitry</w:t>
      </w:r>
      <w:proofErr w:type="spellEnd"/>
      <w:r w:rsidRPr="004D0A20">
        <w:rPr>
          <w:i/>
        </w:rPr>
        <w:t xml:space="preserve"> </w:t>
      </w:r>
      <w:proofErr w:type="spellStart"/>
      <w:r w:rsidRPr="004D0A20">
        <w:rPr>
          <w:i/>
        </w:rPr>
        <w:t>Kochenov</w:t>
      </w:r>
      <w:proofErr w:type="spellEnd"/>
      <w:r w:rsidRPr="004D0A20">
        <w:rPr>
          <w:rStyle w:val="FootnoteReference"/>
          <w:i/>
          <w:sz w:val="24"/>
        </w:rPr>
        <w:footnoteReference w:customMarkFollows="1" w:id="1"/>
        <w:t>*</w:t>
      </w:r>
      <w:r w:rsidRPr="004D0A20">
        <w:rPr>
          <w:i/>
        </w:rPr>
        <w:t xml:space="preserve"> and Laurent Pech</w:t>
      </w:r>
      <w:r w:rsidRPr="004D0A20">
        <w:rPr>
          <w:rStyle w:val="FootnoteReference"/>
          <w:i/>
          <w:sz w:val="24"/>
        </w:rPr>
        <w:footnoteReference w:customMarkFollows="1" w:id="2"/>
        <w:t>**</w:t>
      </w:r>
    </w:p>
    <w:p w14:paraId="20D5EC09" w14:textId="77777777" w:rsidR="0078761D" w:rsidRPr="004D0A20" w:rsidRDefault="0078761D" w:rsidP="007779B6">
      <w:pPr>
        <w:jc w:val="both"/>
      </w:pPr>
    </w:p>
    <w:p w14:paraId="49CCE43E" w14:textId="77777777" w:rsidR="00E11C29" w:rsidRDefault="00E11C29" w:rsidP="00D1110A">
      <w:pPr>
        <w:jc w:val="both"/>
        <w:rPr>
          <w:rFonts w:cs="Arial"/>
          <w:sz w:val="20"/>
          <w:szCs w:val="42"/>
        </w:rPr>
      </w:pPr>
    </w:p>
    <w:p w14:paraId="545D0998" w14:textId="77777777" w:rsidR="00983D47" w:rsidRPr="00983D47" w:rsidRDefault="00983D47" w:rsidP="00983D47">
      <w:pPr>
        <w:jc w:val="both"/>
        <w:rPr>
          <w:sz w:val="22"/>
          <w:szCs w:val="20"/>
        </w:rPr>
      </w:pPr>
      <w:r>
        <w:rPr>
          <w:rFonts w:cs="Arial"/>
          <w:sz w:val="22"/>
          <w:szCs w:val="42"/>
        </w:rPr>
        <w:t>Abstract:</w:t>
      </w:r>
      <w:r w:rsidRPr="00983D47">
        <w:rPr>
          <w:sz w:val="22"/>
          <w:szCs w:val="20"/>
        </w:rPr>
        <w:t xml:space="preserve"> This article first offers an examination of</w:t>
      </w:r>
      <w:r>
        <w:rPr>
          <w:sz w:val="22"/>
          <w:szCs w:val="20"/>
        </w:rPr>
        <w:t xml:space="preserve"> the rationale underlying the</w:t>
      </w:r>
      <w:r w:rsidRPr="00983D47">
        <w:rPr>
          <w:sz w:val="22"/>
          <w:szCs w:val="20"/>
        </w:rPr>
        <w:t xml:space="preserve"> rule of law framework </w:t>
      </w:r>
      <w:r>
        <w:rPr>
          <w:sz w:val="22"/>
          <w:szCs w:val="20"/>
        </w:rPr>
        <w:t xml:space="preserve">adopted by the Commission in March 2014 </w:t>
      </w:r>
      <w:r w:rsidRPr="00983D47">
        <w:rPr>
          <w:sz w:val="22"/>
          <w:szCs w:val="20"/>
        </w:rPr>
        <w:t xml:space="preserve">before outlining its main features. It is argued that while the Commission’s ‘light-touch’ proposal falls short of what is required to effectively address internal threats to EU values, it remains preferable to the Council’s alternative proposal to hold an annual rule of law dialogue. To make the Commission’s framework more workable and effective, which should in turn increase its ‘dissuasive potential’, a number of modest recommendations are also offered. </w:t>
      </w:r>
    </w:p>
    <w:p w14:paraId="1045FBB7" w14:textId="77777777" w:rsidR="00E11C29" w:rsidRPr="00983D47" w:rsidRDefault="00E11C29" w:rsidP="00D1110A">
      <w:pPr>
        <w:jc w:val="both"/>
        <w:rPr>
          <w:rFonts w:cs="Arial"/>
          <w:sz w:val="22"/>
          <w:szCs w:val="42"/>
        </w:rPr>
      </w:pPr>
    </w:p>
    <w:p w14:paraId="67D659BE" w14:textId="77777777" w:rsidR="00983D47" w:rsidRPr="00983D47" w:rsidRDefault="00E11C29" w:rsidP="00983D47">
      <w:pPr>
        <w:widowControl w:val="0"/>
        <w:autoSpaceDE w:val="0"/>
        <w:autoSpaceDN w:val="0"/>
        <w:adjustRightInd w:val="0"/>
        <w:rPr>
          <w:rFonts w:cs="Arial"/>
          <w:sz w:val="22"/>
          <w:szCs w:val="42"/>
        </w:rPr>
      </w:pPr>
      <w:r w:rsidRPr="00983D47">
        <w:rPr>
          <w:rFonts w:cs="Times New Roman"/>
          <w:sz w:val="22"/>
          <w:szCs w:val="21"/>
          <w:lang w:val="en-US"/>
        </w:rPr>
        <w:t xml:space="preserve">Keywords: Rule of law – </w:t>
      </w:r>
      <w:r w:rsidR="00983D47">
        <w:rPr>
          <w:rFonts w:cs="Times New Roman"/>
          <w:sz w:val="22"/>
          <w:szCs w:val="21"/>
          <w:lang w:val="en-US"/>
        </w:rPr>
        <w:t>EU Values</w:t>
      </w:r>
      <w:r w:rsidRPr="00983D47">
        <w:rPr>
          <w:rFonts w:cs="Times New Roman"/>
          <w:sz w:val="22"/>
          <w:szCs w:val="21"/>
          <w:lang w:val="en-US"/>
        </w:rPr>
        <w:t xml:space="preserve"> – </w:t>
      </w:r>
      <w:r w:rsidR="00983D47">
        <w:rPr>
          <w:rFonts w:cs="Times New Roman"/>
          <w:sz w:val="22"/>
          <w:szCs w:val="21"/>
          <w:lang w:val="en-US"/>
        </w:rPr>
        <w:t>Systemic Threats – Enforcement</w:t>
      </w:r>
    </w:p>
    <w:p w14:paraId="253DCC0E" w14:textId="77777777" w:rsidR="00E11C29" w:rsidRPr="00983D47" w:rsidRDefault="00E11C29" w:rsidP="00E11C29">
      <w:pPr>
        <w:jc w:val="both"/>
        <w:rPr>
          <w:rFonts w:cs="Arial"/>
          <w:sz w:val="22"/>
          <w:szCs w:val="42"/>
        </w:rPr>
      </w:pPr>
    </w:p>
    <w:p w14:paraId="4EC9FC7E" w14:textId="77777777" w:rsidR="00E11C29" w:rsidRDefault="00E11C29" w:rsidP="00D1110A">
      <w:pPr>
        <w:jc w:val="both"/>
        <w:rPr>
          <w:rFonts w:cs="Arial"/>
          <w:sz w:val="20"/>
          <w:szCs w:val="42"/>
        </w:rPr>
      </w:pPr>
    </w:p>
    <w:p w14:paraId="35E84B96" w14:textId="77777777" w:rsidR="0078761D" w:rsidRPr="00E30CC1" w:rsidRDefault="0078761D" w:rsidP="00D1110A">
      <w:pPr>
        <w:jc w:val="both"/>
        <w:rPr>
          <w:rFonts w:cs="Arial"/>
          <w:sz w:val="20"/>
          <w:szCs w:val="42"/>
        </w:rPr>
      </w:pPr>
    </w:p>
    <w:p w14:paraId="2BA87CDB" w14:textId="77777777" w:rsidR="0078761D" w:rsidRPr="00E30CC1" w:rsidRDefault="0078761D" w:rsidP="0078761D">
      <w:pPr>
        <w:ind w:left="2880"/>
        <w:jc w:val="both"/>
        <w:rPr>
          <w:rFonts w:cs="Times New Roman"/>
          <w:sz w:val="20"/>
          <w:szCs w:val="20"/>
        </w:rPr>
      </w:pPr>
      <w:r w:rsidRPr="00E30CC1">
        <w:rPr>
          <w:rFonts w:cs="Times New Roman"/>
          <w:sz w:val="20"/>
          <w:szCs w:val="20"/>
        </w:rPr>
        <w:t xml:space="preserve">‘[The EU’s] legal structure is based on the fundamental </w:t>
      </w:r>
      <w:proofErr w:type="spellStart"/>
      <w:r w:rsidRPr="00E30CC1">
        <w:rPr>
          <w:rFonts w:cs="Times New Roman"/>
          <w:sz w:val="20"/>
          <w:szCs w:val="20"/>
        </w:rPr>
        <w:t>premiss</w:t>
      </w:r>
      <w:proofErr w:type="spellEnd"/>
      <w:r w:rsidRPr="00E30CC1">
        <w:rPr>
          <w:rFonts w:cs="Times New Roman"/>
          <w:sz w:val="20"/>
          <w:szCs w:val="20"/>
        </w:rPr>
        <w:t xml:space="preserve"> that each Member State shares with all the other Member States, and recognises that they share with it, a set of common values on which the EU is founded, as stated in Article 2 TEU.’</w:t>
      </w:r>
    </w:p>
    <w:p w14:paraId="79CA9C58" w14:textId="77777777" w:rsidR="0078761D" w:rsidRPr="00E30CC1" w:rsidRDefault="0078761D" w:rsidP="0078761D">
      <w:pPr>
        <w:ind w:left="2880"/>
        <w:jc w:val="both"/>
        <w:rPr>
          <w:rFonts w:cs="Times New Roman"/>
          <w:sz w:val="20"/>
          <w:szCs w:val="20"/>
        </w:rPr>
      </w:pPr>
    </w:p>
    <w:p w14:paraId="6CDCE469" w14:textId="77777777" w:rsidR="00D1110A" w:rsidRDefault="0078761D" w:rsidP="00D1110A">
      <w:pPr>
        <w:jc w:val="right"/>
      </w:pPr>
      <w:r w:rsidRPr="00E30CC1">
        <w:rPr>
          <w:rFonts w:cs="Times New Roman"/>
          <w:sz w:val="20"/>
          <w:szCs w:val="20"/>
        </w:rPr>
        <w:t>European Court of Justice, 18 December 2014</w:t>
      </w:r>
      <w:r w:rsidRPr="00E30CC1">
        <w:rPr>
          <w:rStyle w:val="FootnoteReference"/>
          <w:rFonts w:cs="Times New Roman"/>
          <w:sz w:val="20"/>
          <w:szCs w:val="20"/>
        </w:rPr>
        <w:footnoteReference w:id="3"/>
      </w:r>
    </w:p>
    <w:p w14:paraId="71338781" w14:textId="77777777" w:rsidR="00D1110A" w:rsidRDefault="00D1110A" w:rsidP="007779B6">
      <w:pPr>
        <w:jc w:val="both"/>
      </w:pPr>
    </w:p>
    <w:p w14:paraId="60E24756" w14:textId="77777777" w:rsidR="00D1110A" w:rsidRDefault="00D1110A" w:rsidP="00D1110A">
      <w:pPr>
        <w:ind w:left="2880"/>
        <w:jc w:val="both"/>
        <w:rPr>
          <w:rFonts w:ascii="Times" w:hAnsi="Times" w:cs="Times"/>
          <w:color w:val="262626"/>
          <w:sz w:val="20"/>
          <w:szCs w:val="32"/>
          <w:lang w:val="en-US"/>
        </w:rPr>
      </w:pPr>
      <w:r w:rsidRPr="00D1110A">
        <w:rPr>
          <w:rFonts w:ascii="Times" w:hAnsi="Times" w:cs="Times"/>
          <w:color w:val="262626"/>
          <w:sz w:val="20"/>
          <w:szCs w:val="32"/>
          <w:lang w:val="en-US"/>
        </w:rPr>
        <w:t>‘The death penalty question should be put on the agenda in Hungary … Hungary will stop at nothing when it co</w:t>
      </w:r>
      <w:r>
        <w:rPr>
          <w:rFonts w:ascii="Times" w:hAnsi="Times" w:cs="Times"/>
          <w:color w:val="262626"/>
          <w:sz w:val="20"/>
          <w:szCs w:val="32"/>
          <w:lang w:val="en-US"/>
        </w:rPr>
        <w:t>mes to protecting its citizens.’</w:t>
      </w:r>
    </w:p>
    <w:p w14:paraId="63D7A899" w14:textId="77777777" w:rsidR="00D1110A" w:rsidRDefault="00D1110A" w:rsidP="00D1110A">
      <w:pPr>
        <w:ind w:left="2880"/>
        <w:jc w:val="both"/>
        <w:rPr>
          <w:rFonts w:ascii="Times" w:hAnsi="Times" w:cs="Times"/>
          <w:color w:val="262626"/>
          <w:sz w:val="20"/>
          <w:szCs w:val="32"/>
          <w:lang w:val="en-US"/>
        </w:rPr>
      </w:pPr>
    </w:p>
    <w:p w14:paraId="636BE72C" w14:textId="77777777" w:rsidR="00D1110A" w:rsidRPr="00D1110A" w:rsidRDefault="00D1110A" w:rsidP="00D1110A">
      <w:pPr>
        <w:ind w:left="2880"/>
        <w:jc w:val="right"/>
        <w:rPr>
          <w:rFonts w:cs="Arial"/>
          <w:sz w:val="20"/>
          <w:szCs w:val="42"/>
        </w:rPr>
      </w:pPr>
      <w:r w:rsidRPr="00D1110A">
        <w:rPr>
          <w:rFonts w:cs="Arial"/>
          <w:sz w:val="20"/>
          <w:szCs w:val="42"/>
        </w:rPr>
        <w:t xml:space="preserve">Viktor </w:t>
      </w:r>
      <w:proofErr w:type="spellStart"/>
      <w:r w:rsidRPr="00D1110A">
        <w:rPr>
          <w:rFonts w:cs="Arial"/>
          <w:sz w:val="20"/>
          <w:szCs w:val="42"/>
        </w:rPr>
        <w:t>Orbán</w:t>
      </w:r>
      <w:proofErr w:type="spellEnd"/>
      <w:r w:rsidRPr="00D1110A">
        <w:rPr>
          <w:rFonts w:cs="Arial"/>
          <w:sz w:val="20"/>
          <w:szCs w:val="42"/>
        </w:rPr>
        <w:t>, Prime Minister of Hungary, 28 April 201</w:t>
      </w:r>
      <w:r w:rsidR="00FE6A6D">
        <w:rPr>
          <w:rFonts w:cs="Arial"/>
          <w:sz w:val="20"/>
          <w:szCs w:val="42"/>
        </w:rPr>
        <w:t>5</w:t>
      </w:r>
      <w:r w:rsidRPr="00D1110A">
        <w:rPr>
          <w:rStyle w:val="FootnoteReference"/>
          <w:rFonts w:cs="Arial"/>
          <w:sz w:val="20"/>
          <w:szCs w:val="42"/>
        </w:rPr>
        <w:footnoteReference w:id="4"/>
      </w:r>
      <w:r w:rsidRPr="00D1110A">
        <w:rPr>
          <w:rFonts w:cs="Arial"/>
          <w:sz w:val="20"/>
          <w:szCs w:val="42"/>
        </w:rPr>
        <w:t xml:space="preserve"> </w:t>
      </w:r>
    </w:p>
    <w:p w14:paraId="3D906AE9" w14:textId="77777777" w:rsidR="0078761D" w:rsidRPr="004D0A20" w:rsidRDefault="0078761D" w:rsidP="007779B6">
      <w:pPr>
        <w:jc w:val="both"/>
      </w:pPr>
    </w:p>
    <w:p w14:paraId="68624402" w14:textId="77777777" w:rsidR="007779B6" w:rsidRPr="004D0A20" w:rsidRDefault="007779B6" w:rsidP="00D956C8">
      <w:pPr>
        <w:jc w:val="both"/>
        <w:rPr>
          <w:rFonts w:cs="Times New Roman"/>
          <w:szCs w:val="15"/>
        </w:rPr>
      </w:pPr>
    </w:p>
    <w:p w14:paraId="1CD7F8FD" w14:textId="77777777" w:rsidR="00FF51B8" w:rsidRPr="004D0A20" w:rsidRDefault="007779B6" w:rsidP="00FD3836">
      <w:pPr>
        <w:jc w:val="both"/>
        <w:rPr>
          <w:rFonts w:cs="Times New Roman"/>
        </w:rPr>
      </w:pPr>
      <w:r w:rsidRPr="004D0A20">
        <w:t xml:space="preserve">The rule of law is one of </w:t>
      </w:r>
      <w:r w:rsidR="001B626A" w:rsidRPr="004D0A20">
        <w:t xml:space="preserve">the fundamental values </w:t>
      </w:r>
      <w:r w:rsidR="00A42661" w:rsidRPr="004D0A20">
        <w:t>on which the EU is based according to Article 2 of the Treaty on European Union</w:t>
      </w:r>
      <w:r w:rsidRPr="004D0A20">
        <w:t>.</w:t>
      </w:r>
      <w:r w:rsidRPr="004D0A20">
        <w:rPr>
          <w:rStyle w:val="FootnoteReference"/>
          <w:sz w:val="24"/>
        </w:rPr>
        <w:footnoteReference w:id="5"/>
      </w:r>
      <w:r w:rsidRPr="004D0A20">
        <w:t xml:space="preserve"> Faced with what has been described as an increasing number of ‘rule of law crises’</w:t>
      </w:r>
      <w:r w:rsidR="00A42661" w:rsidRPr="004D0A20">
        <w:t>,</w:t>
      </w:r>
      <w:r w:rsidRPr="004D0A20">
        <w:rPr>
          <w:rStyle w:val="FootnoteReference"/>
          <w:sz w:val="24"/>
        </w:rPr>
        <w:footnoteReference w:id="6"/>
      </w:r>
      <w:r w:rsidR="004F1365" w:rsidRPr="004D0A20">
        <w:t xml:space="preserve"> </w:t>
      </w:r>
      <w:r w:rsidR="00A42661" w:rsidRPr="004D0A20">
        <w:t xml:space="preserve">a </w:t>
      </w:r>
      <w:r w:rsidR="00950A7E" w:rsidRPr="004D0A20">
        <w:t xml:space="preserve">new </w:t>
      </w:r>
      <w:r w:rsidRPr="004D0A20">
        <w:t>framework to strengthen the rule of law was</w:t>
      </w:r>
      <w:r w:rsidR="00662EDF" w:rsidRPr="004D0A20">
        <w:t xml:space="preserve"> put forward by the </w:t>
      </w:r>
      <w:r w:rsidR="00950A7E" w:rsidRPr="004D0A20">
        <w:t xml:space="preserve">European </w:t>
      </w:r>
      <w:r w:rsidR="00662EDF" w:rsidRPr="004D0A20">
        <w:t>Commission in</w:t>
      </w:r>
      <w:r w:rsidRPr="004D0A20">
        <w:t xml:space="preserve"> March</w:t>
      </w:r>
      <w:r w:rsidR="00662EDF" w:rsidRPr="004D0A20">
        <w:t xml:space="preserve"> 2014</w:t>
      </w:r>
      <w:r w:rsidRPr="004D0A20">
        <w:t>.</w:t>
      </w:r>
      <w:r w:rsidRPr="004D0A20">
        <w:rPr>
          <w:rStyle w:val="FootnoteReference"/>
          <w:rFonts w:cs="Times New Roman"/>
          <w:sz w:val="24"/>
          <w:szCs w:val="20"/>
        </w:rPr>
        <w:footnoteReference w:id="7"/>
      </w:r>
      <w:r w:rsidRPr="004D0A20">
        <w:t xml:space="preserve"> In doing so, the Commission aimed to </w:t>
      </w:r>
      <w:r w:rsidR="004F1365" w:rsidRPr="004D0A20">
        <w:t>address</w:t>
      </w:r>
      <w:r w:rsidRPr="004D0A20">
        <w:t xml:space="preserve"> situation</w:t>
      </w:r>
      <w:r w:rsidR="004F1365" w:rsidRPr="004D0A20">
        <w:t>s</w:t>
      </w:r>
      <w:r w:rsidRPr="004D0A20">
        <w:t xml:space="preserve"> where ‘</w:t>
      </w:r>
      <w:r w:rsidRPr="004D0A20">
        <w:rPr>
          <w:rFonts w:cs="Times New Roman"/>
        </w:rPr>
        <w:t>a systemic</w:t>
      </w:r>
      <w:r w:rsidRPr="004D0A20">
        <w:t xml:space="preserve"> </w:t>
      </w:r>
      <w:r w:rsidRPr="004D0A20">
        <w:rPr>
          <w:rFonts w:cs="Times New Roman"/>
        </w:rPr>
        <w:t>threat to the rule of law’</w:t>
      </w:r>
      <w:r w:rsidRPr="004D0A20">
        <w:rPr>
          <w:rStyle w:val="FootnoteReference"/>
          <w:rFonts w:cs="Times New Roman"/>
          <w:sz w:val="24"/>
        </w:rPr>
        <w:footnoteReference w:id="8"/>
      </w:r>
      <w:r w:rsidRPr="004D0A20">
        <w:rPr>
          <w:rFonts w:cs="Times New Roman"/>
        </w:rPr>
        <w:t xml:space="preserve"> </w:t>
      </w:r>
      <w:r w:rsidR="00662EDF" w:rsidRPr="004D0A20">
        <w:rPr>
          <w:rFonts w:cs="Times New Roman"/>
        </w:rPr>
        <w:t xml:space="preserve">may be detected </w:t>
      </w:r>
      <w:r w:rsidRPr="004D0A20">
        <w:rPr>
          <w:rFonts w:cs="Times New Roman"/>
        </w:rPr>
        <w:t>within any Member State.</w:t>
      </w:r>
      <w:r w:rsidR="00E34D40" w:rsidRPr="004D0A20">
        <w:rPr>
          <w:rStyle w:val="FootnoteReference"/>
          <w:rFonts w:cs="Times New Roman"/>
          <w:sz w:val="24"/>
        </w:rPr>
        <w:footnoteReference w:id="9"/>
      </w:r>
      <w:r w:rsidR="004F1365" w:rsidRPr="004D0A20">
        <w:rPr>
          <w:rFonts w:cs="Times New Roman"/>
        </w:rPr>
        <w:t xml:space="preserve"> </w:t>
      </w:r>
      <w:r w:rsidR="00FF51B8" w:rsidRPr="004D0A20">
        <w:rPr>
          <w:rFonts w:cs="Times New Roman"/>
        </w:rPr>
        <w:t xml:space="preserve">The publication of the Commission’s rule of law </w:t>
      </w:r>
      <w:r w:rsidR="00FF51B8" w:rsidRPr="004D0A20">
        <w:rPr>
          <w:rFonts w:cs="Times New Roman"/>
        </w:rPr>
        <w:lastRenderedPageBreak/>
        <w:t xml:space="preserve">communication was </w:t>
      </w:r>
      <w:r w:rsidR="00FD3836" w:rsidRPr="004D0A20">
        <w:rPr>
          <w:rFonts w:cs="Times New Roman"/>
        </w:rPr>
        <w:t xml:space="preserve">soon </w:t>
      </w:r>
      <w:r w:rsidR="00FF51B8" w:rsidRPr="004D0A20">
        <w:rPr>
          <w:rFonts w:cs="Times New Roman"/>
        </w:rPr>
        <w:t xml:space="preserve">followed by the appointment </w:t>
      </w:r>
      <w:r w:rsidR="00FD3836" w:rsidRPr="004D0A20">
        <w:rPr>
          <w:rFonts w:cs="Times New Roman"/>
        </w:rPr>
        <w:t xml:space="preserve">in November 2014 </w:t>
      </w:r>
      <w:r w:rsidR="00FF51B8" w:rsidRPr="004D0A20">
        <w:rPr>
          <w:rFonts w:cs="Times New Roman"/>
        </w:rPr>
        <w:t xml:space="preserve">of the </w:t>
      </w:r>
      <w:r w:rsidR="00FF51B8" w:rsidRPr="004D0A20">
        <w:t>First Vice-President of the European Commission in charge inter alia of the Rule of Law</w:t>
      </w:r>
      <w:r w:rsidR="00FD3836" w:rsidRPr="004D0A20">
        <w:t xml:space="preserve"> – a position held by </w:t>
      </w:r>
      <w:proofErr w:type="spellStart"/>
      <w:r w:rsidR="00FD3836" w:rsidRPr="004D0A20">
        <w:rPr>
          <w:szCs w:val="32"/>
        </w:rPr>
        <w:t>Frans</w:t>
      </w:r>
      <w:proofErr w:type="spellEnd"/>
      <w:r w:rsidR="00FD3836" w:rsidRPr="004D0A20">
        <w:rPr>
          <w:szCs w:val="32"/>
        </w:rPr>
        <w:t xml:space="preserve"> Timmermans. This development may be</w:t>
      </w:r>
      <w:r w:rsidR="00FF51B8" w:rsidRPr="004D0A20">
        <w:t xml:space="preserve"> understo</w:t>
      </w:r>
      <w:r w:rsidR="00FD3836" w:rsidRPr="004D0A20">
        <w:t>od as further evidence that the issue of EU countries’ compliance with the rule of law has</w:t>
      </w:r>
      <w:r w:rsidR="00FF51B8" w:rsidRPr="004D0A20">
        <w:t xml:space="preserve"> both gained salience and </w:t>
      </w:r>
      <w:r w:rsidR="00FD3836" w:rsidRPr="004D0A20">
        <w:t xml:space="preserve">will firmly remain on the </w:t>
      </w:r>
      <w:r w:rsidR="00FF51B8" w:rsidRPr="004D0A20">
        <w:t>Commission’s agenda for the foreseeable future. This is indeed the first time that a Commissioner has been explicitly tasked to coordinate the Commission’s work in the area of the rule of law. It is also worth noting that prior to his appointment, Timmermans had welcomed the Commission’s framework on the ground that a more systematic approach was required to avoid any ‘rule of law backsliding’ post EU accession</w:t>
      </w:r>
      <w:r w:rsidRPr="004D0A20">
        <w:rPr>
          <w:szCs w:val="20"/>
        </w:rPr>
        <w:t>.</w:t>
      </w:r>
      <w:r w:rsidRPr="004D0A20">
        <w:rPr>
          <w:rStyle w:val="FootnoteReference"/>
          <w:sz w:val="24"/>
          <w:szCs w:val="20"/>
        </w:rPr>
        <w:footnoteReference w:id="10"/>
      </w:r>
      <w:r w:rsidRPr="004D0A20">
        <w:rPr>
          <w:szCs w:val="20"/>
        </w:rPr>
        <w:t xml:space="preserve"> </w:t>
      </w:r>
      <w:r w:rsidR="0096604F" w:rsidRPr="004D0A20">
        <w:rPr>
          <w:szCs w:val="20"/>
        </w:rPr>
        <w:t xml:space="preserve">Soon after </w:t>
      </w:r>
      <w:r w:rsidR="0096604F" w:rsidRPr="004D0A20">
        <w:t>Timmermans</w:t>
      </w:r>
      <w:r w:rsidR="0096604F" w:rsidRPr="004D0A20">
        <w:rPr>
          <w:szCs w:val="20"/>
        </w:rPr>
        <w:t>’ appointment</w:t>
      </w:r>
      <w:r w:rsidR="00FD3836" w:rsidRPr="004D0A20">
        <w:rPr>
          <w:szCs w:val="20"/>
        </w:rPr>
        <w:t xml:space="preserve">, the Council of the EU decided </w:t>
      </w:r>
      <w:r w:rsidR="0096604F" w:rsidRPr="004D0A20">
        <w:rPr>
          <w:szCs w:val="20"/>
        </w:rPr>
        <w:t>to adopt its own rule of law initiative and committed itself to establishing a political dialogue among EU Member States to promote and safeguard the rule of law within the EU.</w:t>
      </w:r>
      <w:r w:rsidR="0096604F" w:rsidRPr="004D0A20">
        <w:rPr>
          <w:rStyle w:val="FootnoteReference"/>
          <w:sz w:val="24"/>
          <w:szCs w:val="20"/>
        </w:rPr>
        <w:footnoteReference w:id="11"/>
      </w:r>
    </w:p>
    <w:p w14:paraId="2477C9D8" w14:textId="77777777" w:rsidR="007779B6" w:rsidRPr="004D0A20" w:rsidRDefault="0096604F" w:rsidP="00027376">
      <w:pPr>
        <w:ind w:firstLine="720"/>
        <w:jc w:val="both"/>
        <w:rPr>
          <w:szCs w:val="20"/>
        </w:rPr>
      </w:pPr>
      <w:r w:rsidRPr="004D0A20">
        <w:rPr>
          <w:szCs w:val="20"/>
        </w:rPr>
        <w:t>This flurry of initiatives on the rule of law front is yet to lead however to concrete actions.</w:t>
      </w:r>
      <w:r w:rsidR="00072B98">
        <w:rPr>
          <w:rStyle w:val="FootnoteReference"/>
          <w:szCs w:val="20"/>
        </w:rPr>
        <w:footnoteReference w:id="12"/>
      </w:r>
      <w:r w:rsidRPr="004D0A20">
        <w:rPr>
          <w:szCs w:val="20"/>
        </w:rPr>
        <w:t xml:space="preserve"> Indeed, d</w:t>
      </w:r>
      <w:r w:rsidR="00DE75AB" w:rsidRPr="004D0A20">
        <w:rPr>
          <w:szCs w:val="20"/>
        </w:rPr>
        <w:t>espite a succession of distressing developments in at least one EU Member State,</w:t>
      </w:r>
      <w:r w:rsidR="00DE75AB" w:rsidRPr="004D0A20">
        <w:rPr>
          <w:rStyle w:val="FootnoteReference"/>
          <w:sz w:val="24"/>
          <w:szCs w:val="20"/>
        </w:rPr>
        <w:footnoteReference w:id="13"/>
      </w:r>
      <w:r w:rsidR="00DF3661" w:rsidRPr="004D0A20">
        <w:rPr>
          <w:szCs w:val="20"/>
        </w:rPr>
        <w:t xml:space="preserve"> the Commission</w:t>
      </w:r>
      <w:r w:rsidR="007779B6" w:rsidRPr="004D0A20">
        <w:rPr>
          <w:szCs w:val="20"/>
        </w:rPr>
        <w:t xml:space="preserve"> </w:t>
      </w:r>
      <w:r w:rsidR="00DE75AB" w:rsidRPr="004D0A20">
        <w:rPr>
          <w:szCs w:val="20"/>
        </w:rPr>
        <w:t>is yet to activate</w:t>
      </w:r>
      <w:r w:rsidR="00950A7E" w:rsidRPr="004D0A20">
        <w:rPr>
          <w:szCs w:val="20"/>
        </w:rPr>
        <w:t xml:space="preserve"> its</w:t>
      </w:r>
      <w:r w:rsidRPr="004D0A20">
        <w:rPr>
          <w:szCs w:val="20"/>
        </w:rPr>
        <w:t xml:space="preserve"> new rule of law</w:t>
      </w:r>
      <w:r w:rsidR="007779B6" w:rsidRPr="004D0A20">
        <w:rPr>
          <w:szCs w:val="20"/>
        </w:rPr>
        <w:t xml:space="preserve"> framework whose rationale (Section 1) and main features (Section 2) are analyse</w:t>
      </w:r>
      <w:r w:rsidR="001B626A" w:rsidRPr="004D0A20">
        <w:rPr>
          <w:szCs w:val="20"/>
        </w:rPr>
        <w:t xml:space="preserve">d below. </w:t>
      </w:r>
      <w:r w:rsidRPr="004D0A20">
        <w:rPr>
          <w:szCs w:val="20"/>
        </w:rPr>
        <w:t>This article</w:t>
      </w:r>
      <w:r w:rsidR="003C1B6B" w:rsidRPr="004D0A20">
        <w:rPr>
          <w:szCs w:val="20"/>
        </w:rPr>
        <w:t>’s main argument is as follows:</w:t>
      </w:r>
      <w:r w:rsidRPr="004D0A20">
        <w:rPr>
          <w:szCs w:val="20"/>
        </w:rPr>
        <w:t xml:space="preserve"> </w:t>
      </w:r>
      <w:r w:rsidR="003C1B6B" w:rsidRPr="004D0A20">
        <w:rPr>
          <w:szCs w:val="20"/>
        </w:rPr>
        <w:t xml:space="preserve">While </w:t>
      </w:r>
      <w:r w:rsidR="007779B6" w:rsidRPr="004D0A20">
        <w:rPr>
          <w:szCs w:val="20"/>
        </w:rPr>
        <w:t>the Com</w:t>
      </w:r>
      <w:r w:rsidR="00C27942">
        <w:rPr>
          <w:szCs w:val="20"/>
        </w:rPr>
        <w:t>mission’s ‘light-touch’ framework</w:t>
      </w:r>
      <w:r w:rsidR="007779B6" w:rsidRPr="004D0A20">
        <w:rPr>
          <w:szCs w:val="20"/>
        </w:rPr>
        <w:t xml:space="preserve"> falls short of what is required to effectively address </w:t>
      </w:r>
      <w:r w:rsidR="00D355EE" w:rsidRPr="004D0A20">
        <w:rPr>
          <w:szCs w:val="20"/>
        </w:rPr>
        <w:t xml:space="preserve">internal </w:t>
      </w:r>
      <w:r w:rsidR="007779B6" w:rsidRPr="004D0A20">
        <w:rPr>
          <w:szCs w:val="20"/>
        </w:rPr>
        <w:t xml:space="preserve">threats </w:t>
      </w:r>
      <w:r w:rsidR="00D355EE" w:rsidRPr="004D0A20">
        <w:rPr>
          <w:szCs w:val="20"/>
        </w:rPr>
        <w:t>to EU values</w:t>
      </w:r>
      <w:r w:rsidR="007779B6" w:rsidRPr="004D0A20">
        <w:rPr>
          <w:szCs w:val="20"/>
        </w:rPr>
        <w:t xml:space="preserve"> (Section 3)</w:t>
      </w:r>
      <w:r w:rsidR="003C1B6B" w:rsidRPr="004D0A20">
        <w:rPr>
          <w:szCs w:val="20"/>
        </w:rPr>
        <w:t>, it</w:t>
      </w:r>
      <w:r w:rsidR="007779B6" w:rsidRPr="004D0A20">
        <w:rPr>
          <w:szCs w:val="20"/>
        </w:rPr>
        <w:t xml:space="preserve"> </w:t>
      </w:r>
      <w:r w:rsidR="003C1B6B" w:rsidRPr="004D0A20">
        <w:rPr>
          <w:szCs w:val="20"/>
        </w:rPr>
        <w:t xml:space="preserve">remains </w:t>
      </w:r>
      <w:r w:rsidR="00D355EE" w:rsidRPr="004D0A20">
        <w:rPr>
          <w:szCs w:val="20"/>
        </w:rPr>
        <w:t>however</w:t>
      </w:r>
      <w:r w:rsidR="007779B6" w:rsidRPr="004D0A20">
        <w:rPr>
          <w:szCs w:val="20"/>
        </w:rPr>
        <w:t xml:space="preserve"> </w:t>
      </w:r>
      <w:r w:rsidR="00ED0025" w:rsidRPr="004D0A20">
        <w:rPr>
          <w:szCs w:val="20"/>
        </w:rPr>
        <w:t xml:space="preserve">eminently </w:t>
      </w:r>
      <w:r w:rsidR="007779B6" w:rsidRPr="004D0A20">
        <w:rPr>
          <w:szCs w:val="20"/>
        </w:rPr>
        <w:t xml:space="preserve">preferable to the Council’s alternative proposal to hold an annual rule of law dialogue (Section 4). </w:t>
      </w:r>
      <w:r w:rsidR="007F50DA" w:rsidRPr="004D0A20">
        <w:rPr>
          <w:szCs w:val="20"/>
        </w:rPr>
        <w:t>To ma</w:t>
      </w:r>
      <w:r w:rsidR="00A93335" w:rsidRPr="004D0A20">
        <w:rPr>
          <w:szCs w:val="20"/>
        </w:rPr>
        <w:t xml:space="preserve">ke </w:t>
      </w:r>
      <w:r w:rsidR="007F50DA" w:rsidRPr="004D0A20">
        <w:rPr>
          <w:szCs w:val="20"/>
        </w:rPr>
        <w:t>the Commission’s rule of law framework</w:t>
      </w:r>
      <w:r w:rsidR="00A93335" w:rsidRPr="004D0A20">
        <w:rPr>
          <w:szCs w:val="20"/>
        </w:rPr>
        <w:t xml:space="preserve"> more workable and effective, which should in turn increase its ‘dissuasive potential’</w:t>
      </w:r>
      <w:r w:rsidR="007F50DA" w:rsidRPr="004D0A20">
        <w:rPr>
          <w:szCs w:val="20"/>
        </w:rPr>
        <w:t>, a number of modest recommendations</w:t>
      </w:r>
      <w:r w:rsidR="009C369B">
        <w:rPr>
          <w:szCs w:val="20"/>
        </w:rPr>
        <w:t xml:space="preserve"> are</w:t>
      </w:r>
      <w:r w:rsidR="00A93335" w:rsidRPr="004D0A20">
        <w:rPr>
          <w:szCs w:val="20"/>
        </w:rPr>
        <w:t xml:space="preserve"> </w:t>
      </w:r>
      <w:r w:rsidR="00824705" w:rsidRPr="004D0A20">
        <w:rPr>
          <w:szCs w:val="20"/>
        </w:rPr>
        <w:t xml:space="preserve">finally </w:t>
      </w:r>
      <w:r w:rsidR="00A93335" w:rsidRPr="004D0A20">
        <w:rPr>
          <w:szCs w:val="20"/>
        </w:rPr>
        <w:t xml:space="preserve">offered </w:t>
      </w:r>
      <w:r w:rsidR="001B626A" w:rsidRPr="004D0A20">
        <w:rPr>
          <w:szCs w:val="20"/>
        </w:rPr>
        <w:t xml:space="preserve">(Section 5). </w:t>
      </w:r>
    </w:p>
    <w:p w14:paraId="22872555" w14:textId="77777777" w:rsidR="00027376" w:rsidRPr="004D0A20" w:rsidRDefault="00027376" w:rsidP="007779B6">
      <w:pPr>
        <w:jc w:val="both"/>
        <w:rPr>
          <w:b/>
        </w:rPr>
      </w:pPr>
    </w:p>
    <w:p w14:paraId="35AFFAC2" w14:textId="77777777" w:rsidR="007779B6" w:rsidRPr="004D0A20" w:rsidRDefault="007779B6" w:rsidP="007779B6">
      <w:pPr>
        <w:jc w:val="both"/>
        <w:rPr>
          <w:b/>
        </w:rPr>
      </w:pPr>
      <w:r w:rsidRPr="004D0A20">
        <w:rPr>
          <w:b/>
        </w:rPr>
        <w:t xml:space="preserve">1. The Commission’s Diagnosis </w:t>
      </w:r>
    </w:p>
    <w:p w14:paraId="3B33A5E4" w14:textId="77777777" w:rsidR="007779B6" w:rsidRPr="004D0A20" w:rsidRDefault="007779B6" w:rsidP="007779B6">
      <w:pPr>
        <w:jc w:val="both"/>
      </w:pPr>
    </w:p>
    <w:p w14:paraId="476FE542" w14:textId="77777777" w:rsidR="00824705" w:rsidRPr="004D0A20" w:rsidRDefault="00824705" w:rsidP="00824705">
      <w:pPr>
        <w:jc w:val="both"/>
        <w:rPr>
          <w:rFonts w:cs="Times New Roman"/>
          <w:szCs w:val="20"/>
        </w:rPr>
      </w:pPr>
      <w:r w:rsidRPr="004D0A20">
        <w:rPr>
          <w:rFonts w:cs="Times New Roman"/>
          <w:szCs w:val="20"/>
        </w:rPr>
        <w:t>The rationale underlying the Commission’s new mechanism is that the current EU legal framework is ill designed when it comes to addressing internal, systemic threats to the rule of law and more generally, EU values, a</w:t>
      </w:r>
      <w:r w:rsidR="00076A2E" w:rsidRPr="004D0A20">
        <w:rPr>
          <w:rFonts w:cs="Times New Roman"/>
          <w:szCs w:val="20"/>
        </w:rPr>
        <w:t>s set out in Article 2 TEU</w:t>
      </w:r>
      <w:r w:rsidRPr="004D0A20">
        <w:rPr>
          <w:rFonts w:cs="Times New Roman"/>
          <w:szCs w:val="20"/>
        </w:rPr>
        <w:t xml:space="preserve">. This has become a significant issue to the extent that rule of law deviance within the EU appears to have gained both on intensity and regularity in the past decade. </w:t>
      </w:r>
    </w:p>
    <w:p w14:paraId="2ABAEF1E" w14:textId="77777777" w:rsidR="003E78F1" w:rsidRPr="004D0A20" w:rsidRDefault="003E78F1" w:rsidP="007779B6">
      <w:pPr>
        <w:jc w:val="both"/>
      </w:pPr>
    </w:p>
    <w:p w14:paraId="60741914" w14:textId="77777777" w:rsidR="007779B6" w:rsidRPr="004D0A20" w:rsidRDefault="007779B6" w:rsidP="007A1917">
      <w:pPr>
        <w:pStyle w:val="ListParagraph"/>
        <w:numPr>
          <w:ilvl w:val="1"/>
          <w:numId w:val="29"/>
        </w:numPr>
        <w:jc w:val="both"/>
        <w:rPr>
          <w:i/>
        </w:rPr>
      </w:pPr>
      <w:r w:rsidRPr="004D0A20">
        <w:rPr>
          <w:i/>
        </w:rPr>
        <w:t xml:space="preserve">An increasing number of challenges to the rule of law </w:t>
      </w:r>
    </w:p>
    <w:p w14:paraId="60F30388" w14:textId="77777777" w:rsidR="007779B6" w:rsidRPr="004D0A20" w:rsidRDefault="007779B6" w:rsidP="007779B6">
      <w:pPr>
        <w:jc w:val="both"/>
      </w:pPr>
    </w:p>
    <w:p w14:paraId="65DB6E7E" w14:textId="77777777" w:rsidR="00824705" w:rsidRPr="004D0A20" w:rsidRDefault="00824705" w:rsidP="00824705">
      <w:pPr>
        <w:pStyle w:val="2Nom"/>
        <w:rPr>
          <w:rFonts w:ascii="Times New Roman" w:hAnsi="Times New Roman"/>
          <w:b w:val="0"/>
        </w:rPr>
      </w:pPr>
      <w:r w:rsidRPr="004D0A20">
        <w:rPr>
          <w:rFonts w:ascii="Times New Roman" w:hAnsi="Times New Roman"/>
          <w:b w:val="0"/>
        </w:rPr>
        <w:t xml:space="preserve">In a well-noted speech on 4 September 2013, Viviane </w:t>
      </w:r>
      <w:proofErr w:type="spellStart"/>
      <w:r w:rsidRPr="004D0A20">
        <w:rPr>
          <w:rFonts w:ascii="Times New Roman" w:hAnsi="Times New Roman"/>
          <w:b w:val="0"/>
        </w:rPr>
        <w:t>Reding</w:t>
      </w:r>
      <w:proofErr w:type="spellEnd"/>
      <w:r w:rsidRPr="004D0A20">
        <w:rPr>
          <w:rFonts w:ascii="Times New Roman" w:hAnsi="Times New Roman"/>
          <w:b w:val="0"/>
        </w:rPr>
        <w:t>, former EU Justice Commissioner, drew an interesting parallel between Europe’s economic and financial crisis and what she viewed as an increasing number of ‘rule of law crises’ revealing problems of a systemic nature</w:t>
      </w:r>
      <w:r w:rsidR="007779B6" w:rsidRPr="004D0A20">
        <w:rPr>
          <w:rFonts w:ascii="Times New Roman" w:hAnsi="Times New Roman"/>
          <w:b w:val="0"/>
        </w:rPr>
        <w:t>.</w:t>
      </w:r>
      <w:r w:rsidR="007779B6" w:rsidRPr="004D0A20">
        <w:rPr>
          <w:rStyle w:val="FootnoteReference"/>
          <w:rFonts w:ascii="Times New Roman" w:hAnsi="Times New Roman"/>
          <w:b w:val="0"/>
          <w:sz w:val="24"/>
        </w:rPr>
        <w:footnoteReference w:id="14"/>
      </w:r>
      <w:r w:rsidR="007779B6" w:rsidRPr="004D0A20">
        <w:rPr>
          <w:rFonts w:ascii="Times New Roman" w:hAnsi="Times New Roman"/>
          <w:b w:val="0"/>
        </w:rPr>
        <w:t xml:space="preserve"> </w:t>
      </w:r>
      <w:r w:rsidRPr="004D0A20">
        <w:rPr>
          <w:rFonts w:ascii="Times New Roman" w:hAnsi="Times New Roman"/>
          <w:b w:val="0"/>
        </w:rPr>
        <w:t xml:space="preserve">Three concrete examples were mentioned in her speech: </w:t>
      </w:r>
    </w:p>
    <w:p w14:paraId="2E2ABBCE" w14:textId="77777777" w:rsidR="00824705" w:rsidRPr="004D0A20" w:rsidRDefault="00824705" w:rsidP="00824705">
      <w:pPr>
        <w:pStyle w:val="2Nom"/>
        <w:rPr>
          <w:rFonts w:ascii="Times New Roman" w:hAnsi="Times New Roman"/>
          <w:b w:val="0"/>
        </w:rPr>
      </w:pPr>
    </w:p>
    <w:p w14:paraId="3873941F" w14:textId="77777777" w:rsidR="00824705" w:rsidRPr="00A05C1C" w:rsidRDefault="00824705" w:rsidP="00824705">
      <w:pPr>
        <w:pStyle w:val="2Nom"/>
        <w:numPr>
          <w:ilvl w:val="0"/>
          <w:numId w:val="9"/>
        </w:numPr>
        <w:rPr>
          <w:rFonts w:ascii="Times New Roman" w:hAnsi="Times New Roman"/>
          <w:b w:val="0"/>
          <w:sz w:val="20"/>
        </w:rPr>
      </w:pPr>
      <w:r w:rsidRPr="00A05C1C">
        <w:rPr>
          <w:rFonts w:ascii="Times New Roman" w:hAnsi="Times New Roman"/>
          <w:b w:val="0"/>
          <w:sz w:val="20"/>
        </w:rPr>
        <w:t xml:space="preserve">The French government’s attempt in summer 2010 to secretly implement a </w:t>
      </w:r>
      <w:r w:rsidRPr="00A05C1C">
        <w:rPr>
          <w:rFonts w:ascii="Times New Roman" w:hAnsi="Times New Roman" w:cstheme="minorBidi"/>
          <w:b w:val="0"/>
          <w:sz w:val="20"/>
        </w:rPr>
        <w:t xml:space="preserve">collective deportation policy aimed at </w:t>
      </w:r>
      <w:r w:rsidRPr="00A05C1C">
        <w:rPr>
          <w:rFonts w:ascii="Times New Roman" w:hAnsi="Times New Roman"/>
          <w:b w:val="0"/>
          <w:sz w:val="20"/>
        </w:rPr>
        <w:t>EU citizens of Romani ethnicity</w:t>
      </w:r>
      <w:r w:rsidRPr="00A05C1C">
        <w:rPr>
          <w:rFonts w:ascii="Times New Roman" w:hAnsi="Times New Roman" w:cstheme="minorBidi"/>
          <w:b w:val="0"/>
          <w:sz w:val="20"/>
        </w:rPr>
        <w:t xml:space="preserve"> despite contrary assurances given to the Commission that</w:t>
      </w:r>
      <w:r w:rsidRPr="00A05C1C">
        <w:rPr>
          <w:rFonts w:ascii="Times New Roman" w:hAnsi="Times New Roman"/>
          <w:b w:val="0"/>
          <w:sz w:val="20"/>
        </w:rPr>
        <w:t xml:space="preserve"> Roma people were not being singled out; </w:t>
      </w:r>
    </w:p>
    <w:p w14:paraId="45062B46" w14:textId="77777777" w:rsidR="00824705" w:rsidRPr="00A05C1C" w:rsidRDefault="00824705" w:rsidP="00824705">
      <w:pPr>
        <w:pStyle w:val="2Nom"/>
        <w:numPr>
          <w:ilvl w:val="0"/>
          <w:numId w:val="9"/>
        </w:numPr>
        <w:rPr>
          <w:rFonts w:ascii="Times New Roman" w:hAnsi="Times New Roman"/>
          <w:b w:val="0"/>
          <w:sz w:val="20"/>
        </w:rPr>
      </w:pPr>
      <w:r w:rsidRPr="00A05C1C">
        <w:rPr>
          <w:rFonts w:ascii="Times New Roman" w:hAnsi="Times New Roman"/>
          <w:b w:val="0"/>
          <w:sz w:val="20"/>
        </w:rPr>
        <w:t xml:space="preserve">The Hungarian government’s attempt in 2011 to undermine the independence of the judiciary by implementing an early mandatory retirement policy; and </w:t>
      </w:r>
    </w:p>
    <w:p w14:paraId="18B6F73F" w14:textId="77777777" w:rsidR="00824705" w:rsidRPr="00A05C1C" w:rsidRDefault="00824705" w:rsidP="003E78F1">
      <w:pPr>
        <w:pStyle w:val="2Nom"/>
        <w:numPr>
          <w:ilvl w:val="0"/>
          <w:numId w:val="9"/>
        </w:numPr>
        <w:rPr>
          <w:rFonts w:ascii="Times New Roman" w:hAnsi="Times New Roman"/>
          <w:b w:val="0"/>
          <w:sz w:val="20"/>
        </w:rPr>
      </w:pPr>
      <w:r w:rsidRPr="00A05C1C">
        <w:rPr>
          <w:rFonts w:ascii="Times New Roman" w:hAnsi="Times New Roman"/>
          <w:b w:val="0"/>
          <w:sz w:val="20"/>
        </w:rPr>
        <w:t>The Romanian government’s failure to comply with key judgments of the national constitutional court in 2012</w:t>
      </w:r>
      <w:r w:rsidR="003643F0" w:rsidRPr="00A05C1C">
        <w:rPr>
          <w:rFonts w:ascii="Times New Roman" w:hAnsi="Times New Roman"/>
          <w:b w:val="0"/>
          <w:sz w:val="20"/>
        </w:rPr>
        <w:t>.</w:t>
      </w:r>
      <w:r w:rsidR="003643F0" w:rsidRPr="00A05C1C">
        <w:rPr>
          <w:rStyle w:val="FootnoteReference"/>
          <w:rFonts w:ascii="Times New Roman" w:hAnsi="Times New Roman"/>
          <w:b w:val="0"/>
          <w:sz w:val="20"/>
        </w:rPr>
        <w:footnoteReference w:id="15"/>
      </w:r>
      <w:r w:rsidR="0092280F" w:rsidRPr="00A05C1C">
        <w:rPr>
          <w:rFonts w:ascii="Times New Roman" w:hAnsi="Times New Roman"/>
          <w:b w:val="0"/>
          <w:sz w:val="20"/>
        </w:rPr>
        <w:t xml:space="preserve"> </w:t>
      </w:r>
    </w:p>
    <w:p w14:paraId="3E37E50F" w14:textId="77777777" w:rsidR="00824705" w:rsidRPr="004D0A20" w:rsidRDefault="00824705" w:rsidP="003E78F1">
      <w:pPr>
        <w:pStyle w:val="2Nom"/>
        <w:rPr>
          <w:rFonts w:ascii="Times New Roman" w:hAnsi="Times New Roman"/>
          <w:b w:val="0"/>
        </w:rPr>
      </w:pPr>
    </w:p>
    <w:p w14:paraId="015B3AA2" w14:textId="77777777" w:rsidR="007779B6" w:rsidRPr="004D0A20" w:rsidRDefault="00B95A6F" w:rsidP="00EC45CA">
      <w:pPr>
        <w:pStyle w:val="2Nom"/>
        <w:rPr>
          <w:rFonts w:ascii="Times New Roman" w:hAnsi="Times New Roman"/>
          <w:b w:val="0"/>
        </w:rPr>
      </w:pPr>
      <w:r w:rsidRPr="004D0A20">
        <w:rPr>
          <w:rFonts w:ascii="Times New Roman" w:hAnsi="Times New Roman"/>
          <w:b w:val="0"/>
        </w:rPr>
        <w:t xml:space="preserve">Taken together, these episodes have been often understood as demonstrating the increasing number of instances where national authorities consciously </w:t>
      </w:r>
      <w:r w:rsidR="009644D1">
        <w:rPr>
          <w:rFonts w:ascii="Times New Roman" w:hAnsi="Times New Roman"/>
          <w:b w:val="0"/>
        </w:rPr>
        <w:t xml:space="preserve">sought to systematically </w:t>
      </w:r>
      <w:r w:rsidRPr="004D0A20">
        <w:rPr>
          <w:rFonts w:ascii="Times New Roman" w:hAnsi="Times New Roman"/>
          <w:b w:val="0"/>
        </w:rPr>
        <w:t>unde</w:t>
      </w:r>
      <w:r w:rsidR="009644D1">
        <w:rPr>
          <w:rFonts w:ascii="Times New Roman" w:hAnsi="Times New Roman"/>
          <w:b w:val="0"/>
        </w:rPr>
        <w:t>rmine</w:t>
      </w:r>
      <w:r w:rsidRPr="004D0A20">
        <w:rPr>
          <w:rFonts w:ascii="Times New Roman" w:hAnsi="Times New Roman"/>
          <w:b w:val="0"/>
        </w:rPr>
        <w:t xml:space="preserve"> key EU values such as the rule of law.</w:t>
      </w:r>
      <w:r w:rsidR="00EC45CA" w:rsidRPr="004D0A20">
        <w:rPr>
          <w:rStyle w:val="FootnoteReference"/>
          <w:rFonts w:ascii="Times New Roman" w:hAnsi="Times New Roman"/>
          <w:b w:val="0"/>
          <w:sz w:val="24"/>
        </w:rPr>
        <w:footnoteReference w:id="16"/>
      </w:r>
      <w:r w:rsidRPr="004D0A20">
        <w:rPr>
          <w:rFonts w:ascii="Times New Roman" w:hAnsi="Times New Roman"/>
          <w:b w:val="0"/>
        </w:rPr>
        <w:t xml:space="preserve"> It is indeed clear to us that n</w:t>
      </w:r>
      <w:r w:rsidR="0092280F" w:rsidRPr="004D0A20">
        <w:rPr>
          <w:rFonts w:ascii="Times New Roman" w:hAnsi="Times New Roman"/>
          <w:b w:val="0"/>
        </w:rPr>
        <w:t>umerous examples</w:t>
      </w:r>
      <w:r w:rsidR="003E78F1" w:rsidRPr="004D0A20">
        <w:rPr>
          <w:rFonts w:ascii="Times New Roman" w:hAnsi="Times New Roman"/>
          <w:b w:val="0"/>
        </w:rPr>
        <w:t xml:space="preserve"> of rule of law malfunctioning in the EU</w:t>
      </w:r>
      <w:r w:rsidRPr="004D0A20">
        <w:rPr>
          <w:rFonts w:ascii="Times New Roman" w:hAnsi="Times New Roman"/>
          <w:b w:val="0"/>
        </w:rPr>
        <w:t>,</w:t>
      </w:r>
      <w:r w:rsidR="003E78F1" w:rsidRPr="004D0A20">
        <w:rPr>
          <w:rFonts w:ascii="Times New Roman" w:hAnsi="Times New Roman"/>
          <w:b w:val="0"/>
        </w:rPr>
        <w:t xml:space="preserve"> both</w:t>
      </w:r>
      <w:r w:rsidR="0092280F" w:rsidRPr="004D0A20">
        <w:rPr>
          <w:rFonts w:ascii="Times New Roman" w:hAnsi="Times New Roman"/>
          <w:b w:val="0"/>
        </w:rPr>
        <w:t xml:space="preserve"> past</w:t>
      </w:r>
      <w:r w:rsidR="0092280F" w:rsidRPr="004D0A20">
        <w:rPr>
          <w:rStyle w:val="FootnoteReference"/>
          <w:rFonts w:ascii="Times New Roman" w:hAnsi="Times New Roman"/>
          <w:b w:val="0"/>
          <w:sz w:val="24"/>
        </w:rPr>
        <w:footnoteReference w:id="17"/>
      </w:r>
      <w:r w:rsidR="0092280F" w:rsidRPr="004D0A20">
        <w:rPr>
          <w:rFonts w:ascii="Times New Roman" w:hAnsi="Times New Roman"/>
          <w:b w:val="0"/>
        </w:rPr>
        <w:t xml:space="preserve"> and present</w:t>
      </w:r>
      <w:r w:rsidRPr="004D0A20">
        <w:rPr>
          <w:rFonts w:ascii="Times New Roman" w:hAnsi="Times New Roman"/>
          <w:b w:val="0"/>
        </w:rPr>
        <w:t>,</w:t>
      </w:r>
      <w:r w:rsidR="0092280F" w:rsidRPr="004D0A20">
        <w:rPr>
          <w:rStyle w:val="FootnoteReference"/>
          <w:rFonts w:ascii="Times New Roman" w:hAnsi="Times New Roman"/>
          <w:b w:val="0"/>
          <w:sz w:val="24"/>
        </w:rPr>
        <w:footnoteReference w:id="18"/>
      </w:r>
      <w:r w:rsidR="0092280F" w:rsidRPr="004D0A20">
        <w:rPr>
          <w:rFonts w:ascii="Times New Roman" w:hAnsi="Times New Roman"/>
          <w:b w:val="0"/>
        </w:rPr>
        <w:t xml:space="preserve"> c</w:t>
      </w:r>
      <w:r w:rsidRPr="004D0A20">
        <w:rPr>
          <w:rFonts w:ascii="Times New Roman" w:hAnsi="Times New Roman"/>
          <w:b w:val="0"/>
        </w:rPr>
        <w:t>ould be easily added to this</w:t>
      </w:r>
      <w:r w:rsidR="003E78F1" w:rsidRPr="004D0A20">
        <w:rPr>
          <w:rFonts w:ascii="Times New Roman" w:hAnsi="Times New Roman"/>
          <w:b w:val="0"/>
        </w:rPr>
        <w:t xml:space="preserve"> list, making </w:t>
      </w:r>
      <w:proofErr w:type="spellStart"/>
      <w:r w:rsidR="003E78F1" w:rsidRPr="004D0A20">
        <w:rPr>
          <w:rFonts w:ascii="Times New Roman" w:hAnsi="Times New Roman"/>
          <w:b w:val="0"/>
        </w:rPr>
        <w:t>Reding’s</w:t>
      </w:r>
      <w:proofErr w:type="spellEnd"/>
      <w:r w:rsidR="003E78F1" w:rsidRPr="004D0A20">
        <w:rPr>
          <w:rFonts w:ascii="Times New Roman" w:hAnsi="Times New Roman"/>
          <w:b w:val="0"/>
        </w:rPr>
        <w:t xml:space="preserve"> case</w:t>
      </w:r>
      <w:r w:rsidR="0092280F" w:rsidRPr="004D0A20">
        <w:rPr>
          <w:rFonts w:ascii="Times New Roman" w:hAnsi="Times New Roman"/>
          <w:b w:val="0"/>
        </w:rPr>
        <w:t xml:space="preserve"> even more compelling.</w:t>
      </w:r>
      <w:r w:rsidR="003E78F1" w:rsidRPr="004D0A20">
        <w:rPr>
          <w:rFonts w:ascii="Times New Roman" w:hAnsi="Times New Roman"/>
          <w:b w:val="0"/>
        </w:rPr>
        <w:t xml:space="preserve"> </w:t>
      </w:r>
      <w:r w:rsidR="005D47E8" w:rsidRPr="004D0A20">
        <w:rPr>
          <w:rFonts w:ascii="Times New Roman" w:hAnsi="Times New Roman"/>
          <w:b w:val="0"/>
        </w:rPr>
        <w:t>The C</w:t>
      </w:r>
      <w:r w:rsidR="003E78F1" w:rsidRPr="004D0A20">
        <w:rPr>
          <w:rFonts w:ascii="Times New Roman" w:hAnsi="Times New Roman"/>
          <w:b w:val="0"/>
        </w:rPr>
        <w:t xml:space="preserve">ommission </w:t>
      </w:r>
      <w:r w:rsidR="00EC45CA" w:rsidRPr="004D0A20">
        <w:rPr>
          <w:rFonts w:ascii="Times New Roman" w:hAnsi="Times New Roman"/>
          <w:b w:val="0"/>
        </w:rPr>
        <w:t>was therefore legitimately right to worry</w:t>
      </w:r>
      <w:r w:rsidR="003E78F1" w:rsidRPr="004D0A20">
        <w:rPr>
          <w:rFonts w:ascii="Times New Roman" w:hAnsi="Times New Roman"/>
          <w:b w:val="0"/>
        </w:rPr>
        <w:t xml:space="preserve"> about the </w:t>
      </w:r>
      <w:r w:rsidR="007779B6" w:rsidRPr="004D0A20">
        <w:rPr>
          <w:rFonts w:ascii="Times New Roman" w:hAnsi="Times New Roman"/>
          <w:b w:val="0"/>
        </w:rPr>
        <w:t>‘</w:t>
      </w:r>
      <w:r w:rsidR="007779B6" w:rsidRPr="004D0A20">
        <w:rPr>
          <w:rFonts w:ascii="Times New Roman" w:hAnsi="Times New Roman"/>
          <w:b w:val="0"/>
          <w:szCs w:val="20"/>
          <w:lang w:eastAsia="en-US"/>
        </w:rPr>
        <w:t>threats to the legal and democratic fabric in some of our European states’</w:t>
      </w:r>
      <w:r w:rsidR="003E78F1" w:rsidRPr="004D0A20">
        <w:rPr>
          <w:rFonts w:ascii="Times New Roman" w:hAnsi="Times New Roman"/>
          <w:b w:val="0"/>
          <w:szCs w:val="20"/>
          <w:lang w:eastAsia="en-US"/>
        </w:rPr>
        <w:t>.</w:t>
      </w:r>
      <w:r w:rsidR="00CB1307" w:rsidRPr="004D0A20">
        <w:rPr>
          <w:rStyle w:val="FootnoteReference"/>
          <w:rFonts w:ascii="Times New Roman" w:hAnsi="Times New Roman"/>
          <w:b w:val="0"/>
          <w:sz w:val="24"/>
          <w:szCs w:val="20"/>
          <w:lang w:eastAsia="en-US"/>
        </w:rPr>
        <w:footnoteReference w:id="19"/>
      </w:r>
      <w:r w:rsidR="00EC45CA" w:rsidRPr="004D0A20">
        <w:rPr>
          <w:rFonts w:ascii="Times New Roman" w:hAnsi="Times New Roman"/>
          <w:b w:val="0"/>
          <w:szCs w:val="20"/>
          <w:lang w:eastAsia="en-US"/>
        </w:rPr>
        <w:t xml:space="preserve"> </w:t>
      </w:r>
      <w:r w:rsidR="007779B6" w:rsidRPr="004D0A20">
        <w:rPr>
          <w:rFonts w:ascii="Times New Roman" w:hAnsi="Times New Roman"/>
          <w:b w:val="0"/>
          <w:szCs w:val="20"/>
        </w:rPr>
        <w:t>I</w:t>
      </w:r>
      <w:r w:rsidR="00EC45CA" w:rsidRPr="004D0A20">
        <w:rPr>
          <w:rFonts w:ascii="Times New Roman" w:hAnsi="Times New Roman"/>
          <w:b w:val="0"/>
          <w:szCs w:val="20"/>
        </w:rPr>
        <w:t>ndeed, a</w:t>
      </w:r>
      <w:r w:rsidR="007779B6" w:rsidRPr="004D0A20">
        <w:rPr>
          <w:rFonts w:ascii="Times New Roman" w:hAnsi="Times New Roman"/>
          <w:b w:val="0"/>
          <w:szCs w:val="20"/>
        </w:rPr>
        <w:t xml:space="preserve"> number of European governments also </w:t>
      </w:r>
      <w:r w:rsidR="00CB1307" w:rsidRPr="004D0A20">
        <w:rPr>
          <w:rFonts w:ascii="Times New Roman" w:hAnsi="Times New Roman"/>
          <w:b w:val="0"/>
          <w:szCs w:val="20"/>
        </w:rPr>
        <w:t xml:space="preserve">expressed </w:t>
      </w:r>
      <w:r w:rsidR="007779B6" w:rsidRPr="004D0A20">
        <w:rPr>
          <w:rFonts w:ascii="Times New Roman" w:hAnsi="Times New Roman"/>
          <w:b w:val="0"/>
          <w:szCs w:val="20"/>
        </w:rPr>
        <w:t>co</w:t>
      </w:r>
      <w:r w:rsidR="00CB1307" w:rsidRPr="004D0A20">
        <w:rPr>
          <w:rFonts w:ascii="Times New Roman" w:hAnsi="Times New Roman"/>
          <w:b w:val="0"/>
          <w:szCs w:val="20"/>
        </w:rPr>
        <w:t>ncerns</w:t>
      </w:r>
      <w:r w:rsidR="007779B6" w:rsidRPr="004D0A20">
        <w:rPr>
          <w:rFonts w:ascii="Times New Roman" w:hAnsi="Times New Roman"/>
          <w:b w:val="0"/>
          <w:szCs w:val="20"/>
        </w:rPr>
        <w:t xml:space="preserve"> </w:t>
      </w:r>
      <w:r w:rsidR="00CB1307" w:rsidRPr="004D0A20">
        <w:rPr>
          <w:rFonts w:ascii="Times New Roman" w:hAnsi="Times New Roman"/>
          <w:b w:val="0"/>
          <w:szCs w:val="20"/>
        </w:rPr>
        <w:t>regarding</w:t>
      </w:r>
      <w:r w:rsidR="007779B6" w:rsidRPr="004D0A20">
        <w:rPr>
          <w:rFonts w:ascii="Times New Roman" w:hAnsi="Times New Roman"/>
          <w:b w:val="0"/>
          <w:szCs w:val="20"/>
        </w:rPr>
        <w:t xml:space="preserve"> what may be more generally labelled rule of law backsliding.</w:t>
      </w:r>
      <w:r w:rsidR="007A1917" w:rsidRPr="004D0A20">
        <w:rPr>
          <w:rStyle w:val="FootnoteReference"/>
          <w:rFonts w:ascii="Times New Roman" w:hAnsi="Times New Roman"/>
          <w:b w:val="0"/>
          <w:sz w:val="24"/>
          <w:szCs w:val="20"/>
        </w:rPr>
        <w:footnoteReference w:id="20"/>
      </w:r>
      <w:r w:rsidR="001B626A" w:rsidRPr="004D0A20">
        <w:rPr>
          <w:rFonts w:ascii="Times New Roman" w:hAnsi="Times New Roman"/>
          <w:b w:val="0"/>
          <w:szCs w:val="20"/>
        </w:rPr>
        <w:t xml:space="preserve"> Among many other initiatives, t</w:t>
      </w:r>
      <w:r w:rsidR="007779B6" w:rsidRPr="004D0A20">
        <w:rPr>
          <w:rFonts w:ascii="Times New Roman" w:hAnsi="Times New Roman"/>
          <w:b w:val="0"/>
          <w:szCs w:val="20"/>
        </w:rPr>
        <w:t>his led</w:t>
      </w:r>
      <w:r w:rsidR="00EC45CA" w:rsidRPr="004D0A20">
        <w:rPr>
          <w:rFonts w:ascii="Times New Roman" w:hAnsi="Times New Roman"/>
          <w:b w:val="0"/>
          <w:szCs w:val="20"/>
        </w:rPr>
        <w:t xml:space="preserve"> eleven Foreign Ministers </w:t>
      </w:r>
      <w:r w:rsidR="00EC45CA" w:rsidRPr="004D0A20">
        <w:rPr>
          <w:rFonts w:ascii="Times New Roman" w:hAnsi="Times New Roman"/>
          <w:b w:val="0"/>
        </w:rPr>
        <w:t>to advocate the introduction of</w:t>
      </w:r>
      <w:r w:rsidR="007779B6" w:rsidRPr="004D0A20">
        <w:rPr>
          <w:rFonts w:ascii="Times New Roman" w:hAnsi="Times New Roman"/>
          <w:b w:val="0"/>
        </w:rPr>
        <w:t xml:space="preserve"> a new, ‘light’ mechanism which would enable the Commission to make recommendations or report back to the Council in cases of concrete and serious violations of fundamental values or principles such as the rule of law.</w:t>
      </w:r>
      <w:r w:rsidR="007779B6" w:rsidRPr="004D0A20">
        <w:rPr>
          <w:rStyle w:val="FootnoteReference"/>
          <w:rFonts w:ascii="Times New Roman" w:hAnsi="Times New Roman"/>
          <w:b w:val="0"/>
          <w:sz w:val="24"/>
        </w:rPr>
        <w:footnoteReference w:id="21"/>
      </w:r>
      <w:r w:rsidR="007779B6" w:rsidRPr="004D0A20">
        <w:rPr>
          <w:rFonts w:ascii="Times New Roman" w:hAnsi="Times New Roman"/>
          <w:b w:val="0"/>
        </w:rPr>
        <w:t xml:space="preserve"> </w:t>
      </w:r>
    </w:p>
    <w:p w14:paraId="23E50596" w14:textId="77777777" w:rsidR="007779B6" w:rsidRPr="004D0A20" w:rsidRDefault="007779B6" w:rsidP="007779B6">
      <w:pPr>
        <w:jc w:val="both"/>
      </w:pPr>
    </w:p>
    <w:p w14:paraId="24140FD4" w14:textId="77777777" w:rsidR="007779B6" w:rsidRPr="004D0A20" w:rsidRDefault="007779B6" w:rsidP="007779B6">
      <w:pPr>
        <w:jc w:val="both"/>
        <w:rPr>
          <w:i/>
        </w:rPr>
      </w:pPr>
      <w:r w:rsidRPr="004D0A20">
        <w:rPr>
          <w:i/>
        </w:rPr>
        <w:t xml:space="preserve">1.2 An inadequate </w:t>
      </w:r>
      <w:r w:rsidR="00CB1307" w:rsidRPr="004D0A20">
        <w:rPr>
          <w:i/>
        </w:rPr>
        <w:t>framework to address the</w:t>
      </w:r>
      <w:r w:rsidRPr="004D0A20">
        <w:rPr>
          <w:i/>
        </w:rPr>
        <w:t xml:space="preserve"> challenges to the rule of law</w:t>
      </w:r>
    </w:p>
    <w:p w14:paraId="30B0102C" w14:textId="77777777" w:rsidR="007779B6" w:rsidRPr="004D0A20" w:rsidRDefault="007779B6" w:rsidP="007779B6">
      <w:pPr>
        <w:jc w:val="both"/>
      </w:pPr>
    </w:p>
    <w:p w14:paraId="6D692323" w14:textId="77777777" w:rsidR="007779B6" w:rsidRPr="004D0A20" w:rsidRDefault="007779B6" w:rsidP="007779B6">
      <w:pPr>
        <w:jc w:val="both"/>
      </w:pPr>
      <w:r w:rsidRPr="004D0A20">
        <w:t>T</w:t>
      </w:r>
      <w:r w:rsidR="00CB1307" w:rsidRPr="004D0A20">
        <w:t>he suggestion to introduce</w:t>
      </w:r>
      <w:r w:rsidRPr="004D0A20">
        <w:t xml:space="preserve"> a new mechanism implicitly assumes that the EU’s current ‘toolbox’ is not adequate to address the p</w:t>
      </w:r>
      <w:r w:rsidR="0003082C" w:rsidRPr="004D0A20">
        <w:t>reviously described challenges.</w:t>
      </w:r>
      <w:r w:rsidR="004A7FA2" w:rsidRPr="004D0A20">
        <w:rPr>
          <w:rStyle w:val="FootnoteReference"/>
          <w:sz w:val="24"/>
        </w:rPr>
        <w:footnoteReference w:id="22"/>
      </w:r>
      <w:r w:rsidR="0003082C" w:rsidRPr="004D0A20">
        <w:t xml:space="preserve"> I</w:t>
      </w:r>
      <w:r w:rsidRPr="004D0A20">
        <w:t>ndeed, the former President of the European Commission himself called for a ‘better developed set of instruments’</w:t>
      </w:r>
      <w:r w:rsidR="00EC45CA" w:rsidRPr="004D0A20">
        <w:t>,</w:t>
      </w:r>
      <w:r w:rsidRPr="004D0A20">
        <w:rPr>
          <w:rStyle w:val="FootnoteReference"/>
          <w:sz w:val="24"/>
        </w:rPr>
        <w:footnoteReference w:id="23"/>
      </w:r>
      <w:r w:rsidRPr="004D0A20">
        <w:t xml:space="preserve"> </w:t>
      </w:r>
      <w:r w:rsidR="00EC45CA" w:rsidRPr="004D0A20">
        <w:t>which</w:t>
      </w:r>
      <w:r w:rsidRPr="004D0A20">
        <w:t xml:space="preserve"> would fill the space that exists at present between the Commission’s infringement powers laid down in Articles 25</w:t>
      </w:r>
      <w:r w:rsidR="004A7FA2" w:rsidRPr="004D0A20">
        <w:t xml:space="preserve">8 and </w:t>
      </w:r>
      <w:r w:rsidRPr="004D0A20">
        <w:t>260 TFEU, and the so-called ‘nuclear option’</w:t>
      </w:r>
      <w:r w:rsidRPr="004D0A20">
        <w:rPr>
          <w:rStyle w:val="FootnoteReference"/>
          <w:sz w:val="24"/>
        </w:rPr>
        <w:footnoteReference w:id="24"/>
      </w:r>
      <w:r w:rsidRPr="004D0A20">
        <w:t xml:space="preserve"> laid down in Article 7 TEU. </w:t>
      </w:r>
      <w:r w:rsidR="0003082C" w:rsidRPr="004D0A20">
        <w:t xml:space="preserve">This diagnosis is, in our view, warranted as </w:t>
      </w:r>
      <w:r w:rsidRPr="004D0A20">
        <w:t xml:space="preserve">both procedures suffer from a number of shortcomings, with the consequence that Article 7 </w:t>
      </w:r>
      <w:r w:rsidRPr="004D0A20">
        <w:lastRenderedPageBreak/>
        <w:t xml:space="preserve">TEU has never been used whereas the Commission’s infringement powers have proved ineffective to remedy systemic violations of EU values. </w:t>
      </w:r>
    </w:p>
    <w:p w14:paraId="7575F248" w14:textId="77777777" w:rsidR="007779B6" w:rsidRPr="004D0A20" w:rsidRDefault="007779B6" w:rsidP="007779B6">
      <w:pPr>
        <w:jc w:val="both"/>
      </w:pPr>
    </w:p>
    <w:p w14:paraId="48DCA06D" w14:textId="77777777" w:rsidR="007779B6" w:rsidRPr="004D0A20" w:rsidRDefault="007779B6" w:rsidP="007779B6">
      <w:pPr>
        <w:jc w:val="both"/>
      </w:pPr>
      <w:r w:rsidRPr="004D0A20">
        <w:t>1.2.1 The ‘Nuclear Option’</w:t>
      </w:r>
    </w:p>
    <w:p w14:paraId="53036192" w14:textId="77777777" w:rsidR="007779B6" w:rsidRPr="004D0A20" w:rsidRDefault="007779B6" w:rsidP="007779B6">
      <w:pPr>
        <w:pStyle w:val="3Fonction"/>
        <w:rPr>
          <w:rFonts w:ascii="Times New Roman" w:hAnsi="Times New Roman"/>
        </w:rPr>
      </w:pPr>
    </w:p>
    <w:p w14:paraId="43C2EE10" w14:textId="77777777" w:rsidR="007779B6" w:rsidRPr="004D0A20" w:rsidRDefault="007779B6" w:rsidP="007779B6">
      <w:pPr>
        <w:widowControl w:val="0"/>
        <w:autoSpaceDE w:val="0"/>
        <w:autoSpaceDN w:val="0"/>
        <w:adjustRightInd w:val="0"/>
        <w:jc w:val="both"/>
      </w:pPr>
      <w:r w:rsidRPr="004D0A20">
        <w:t>The so-called ‘nuclear option’ is to be found in Article 7 TEU.</w:t>
      </w:r>
      <w:r w:rsidR="004A7FA2" w:rsidRPr="004D0A20">
        <w:rPr>
          <w:rStyle w:val="FootnoteReference"/>
          <w:sz w:val="24"/>
        </w:rPr>
        <w:footnoteReference w:id="25"/>
      </w:r>
      <w:r w:rsidRPr="004D0A20">
        <w:t xml:space="preserve"> This provision, which was first i</w:t>
      </w:r>
      <w:r w:rsidR="001B626A" w:rsidRPr="004D0A20">
        <w:t>ntroduced</w:t>
      </w:r>
      <w:r w:rsidRPr="004D0A20">
        <w:t xml:space="preserve"> into the EU Treaties by the Amsterdam Treaty, gives the Council of the EU the power </w:t>
      </w:r>
      <w:r w:rsidRPr="004D0A20">
        <w:rPr>
          <w:rFonts w:cs="Arial"/>
          <w:szCs w:val="20"/>
        </w:rPr>
        <w:t xml:space="preserve">to sanction any Member State found ‘guilty’ of a </w:t>
      </w:r>
      <w:r w:rsidRPr="004D0A20">
        <w:rPr>
          <w:rFonts w:cs="Arial"/>
          <w:i/>
          <w:szCs w:val="20"/>
        </w:rPr>
        <w:t>serious</w:t>
      </w:r>
      <w:r w:rsidRPr="004D0A20">
        <w:rPr>
          <w:rFonts w:cs="Arial"/>
          <w:szCs w:val="20"/>
        </w:rPr>
        <w:t xml:space="preserve"> and </w:t>
      </w:r>
      <w:r w:rsidRPr="004D0A20">
        <w:rPr>
          <w:rFonts w:cs="Arial"/>
          <w:i/>
          <w:szCs w:val="20"/>
        </w:rPr>
        <w:t>persistent</w:t>
      </w:r>
      <w:r w:rsidRPr="004D0A20">
        <w:rPr>
          <w:rFonts w:cs="Arial"/>
          <w:szCs w:val="20"/>
        </w:rPr>
        <w:t xml:space="preserve"> breach of the EU values laid down in Article 2 TEU. For instance, the Council could deprive the relevant Member State of </w:t>
      </w:r>
      <w:r w:rsidRPr="004D0A20">
        <w:rPr>
          <w:rFonts w:cs="Times New Roman"/>
          <w:szCs w:val="25"/>
        </w:rPr>
        <w:t xml:space="preserve">certain of the rights </w:t>
      </w:r>
      <w:r w:rsidRPr="004D0A20">
        <w:rPr>
          <w:szCs w:val="25"/>
        </w:rPr>
        <w:t xml:space="preserve">it derives from the EU Treaties, including </w:t>
      </w:r>
      <w:r w:rsidRPr="004D0A20">
        <w:rPr>
          <w:rFonts w:cs="Times New Roman"/>
          <w:szCs w:val="25"/>
        </w:rPr>
        <w:t xml:space="preserve">the right to vote on EU legal acts submitted to the Council for adoption. With the Nice Treaty, Article 7 TEU was revised to further enable the EU to adopt preventive </w:t>
      </w:r>
      <w:r w:rsidRPr="004D0A20">
        <w:t>sanctions in the situation where there is ‘a clear risk of a serious breach’ of the EU values by a Member State.</w:t>
      </w:r>
    </w:p>
    <w:p w14:paraId="2833B55B" w14:textId="77777777" w:rsidR="005B7940" w:rsidRPr="004D0A20" w:rsidRDefault="007779B6" w:rsidP="00027376">
      <w:pPr>
        <w:widowControl w:val="0"/>
        <w:autoSpaceDE w:val="0"/>
        <w:autoSpaceDN w:val="0"/>
        <w:adjustRightInd w:val="0"/>
        <w:ind w:firstLine="720"/>
        <w:jc w:val="both"/>
      </w:pPr>
      <w:r w:rsidRPr="004D0A20">
        <w:t xml:space="preserve">The two scenarios envisioned by Article 7 TEU are not formally linked with each other: preventive sanctions do not necessarily have to come first and the same Member State could be theoretically sanctioned for a clear risk of a serious breach and/or a serious and persistent breach. Furthermore, different procedural requirements govern the two scenarios. In both situations, however, these procedural requirements are particularly demanding. </w:t>
      </w:r>
      <w:r w:rsidR="005B7940" w:rsidRPr="004D0A20">
        <w:rPr>
          <w:szCs w:val="20"/>
        </w:rPr>
        <w:t>The determination of whether there is a clear risk of a serious breach requires (1) a proposal by one third of the Member States, by the Parliament or the Commission; (2) the assent of the Parliament (i.e.</w:t>
      </w:r>
      <w:r w:rsidR="00EC45CA" w:rsidRPr="004D0A20">
        <w:rPr>
          <w:szCs w:val="20"/>
        </w:rPr>
        <w:t>,</w:t>
      </w:r>
      <w:r w:rsidR="005B7940" w:rsidRPr="004D0A20">
        <w:rPr>
          <w:szCs w:val="20"/>
        </w:rPr>
        <w:t xml:space="preserve"> a two-thirds majority of the votes cast, representing a majority of its members); (3) a majority of four fifths </w:t>
      </w:r>
      <w:r w:rsidR="005B7940" w:rsidRPr="004D0A20">
        <w:rPr>
          <w:rFonts w:cs="Times New Roman"/>
          <w:szCs w:val="25"/>
        </w:rPr>
        <w:t>of the Council’s members</w:t>
      </w:r>
      <w:r w:rsidR="005B7940" w:rsidRPr="004D0A20">
        <w:rPr>
          <w:szCs w:val="20"/>
        </w:rPr>
        <w:t xml:space="preserve">. As for the determination of an existing serious and persistent violation, the same conditions apply with two differences: It is for the European Council to act and it must do so by unanimity. Even though abstentions do not prevent unanimity to be reached – the </w:t>
      </w:r>
      <w:r w:rsidR="00EC45CA" w:rsidRPr="004D0A20">
        <w:rPr>
          <w:szCs w:val="20"/>
        </w:rPr>
        <w:t>country under scrutiny cannot for obvious reasons block the decision-making process</w:t>
      </w:r>
      <w:r w:rsidR="005B7940" w:rsidRPr="004D0A20">
        <w:rPr>
          <w:szCs w:val="20"/>
        </w:rPr>
        <w:t xml:space="preserve"> – the procedural requirements make it virtually impossible that the Council would ever be in a position to adopt sanctions (e.g. to suspend the voting rights of the Member State in the Council). Furthermore, the Council is actually under no legal obligation to do so even in a situation where it concludes that a Member State</w:t>
      </w:r>
      <w:r w:rsidR="005B7940" w:rsidRPr="00347CBE">
        <w:rPr>
          <w:szCs w:val="20"/>
          <w:highlight w:val="red"/>
        </w:rPr>
        <w:t>s</w:t>
      </w:r>
      <w:r w:rsidR="005B7940" w:rsidRPr="004D0A20">
        <w:rPr>
          <w:szCs w:val="20"/>
        </w:rPr>
        <w:t xml:space="preserve"> is in breach of Article 2 TEU values. This aspect clearly shows the predominant political nature of Article 7 TEU.</w:t>
      </w:r>
      <w:r w:rsidR="0048180D" w:rsidRPr="004D0A20">
        <w:rPr>
          <w:szCs w:val="20"/>
        </w:rPr>
        <w:t xml:space="preserve"> The case law of the Court of Justice has further made clear that no private applicant could force the EU to trigger the application of Article 7 TEU.</w:t>
      </w:r>
      <w:r w:rsidR="0048180D" w:rsidRPr="004D0A20">
        <w:rPr>
          <w:rStyle w:val="FootnoteReference"/>
          <w:sz w:val="24"/>
          <w:szCs w:val="20"/>
        </w:rPr>
        <w:footnoteReference w:id="26"/>
      </w:r>
      <w:r w:rsidR="0048180D" w:rsidRPr="004D0A20">
        <w:rPr>
          <w:szCs w:val="20"/>
        </w:rPr>
        <w:t xml:space="preserve"> </w:t>
      </w:r>
    </w:p>
    <w:p w14:paraId="62C119DB" w14:textId="77777777" w:rsidR="007779B6" w:rsidRPr="004D0A20" w:rsidRDefault="007779B6" w:rsidP="00EE52F4">
      <w:pPr>
        <w:widowControl w:val="0"/>
        <w:autoSpaceDE w:val="0"/>
        <w:autoSpaceDN w:val="0"/>
        <w:adjustRightInd w:val="0"/>
        <w:ind w:firstLine="720"/>
        <w:jc w:val="both"/>
        <w:rPr>
          <w:rFonts w:cs="Times New Roman"/>
          <w:szCs w:val="25"/>
        </w:rPr>
      </w:pPr>
      <w:r w:rsidRPr="004D0A20">
        <w:rPr>
          <w:szCs w:val="20"/>
        </w:rPr>
        <w:t xml:space="preserve">Unsurprisingly, </w:t>
      </w:r>
      <w:r w:rsidRPr="004D0A20">
        <w:rPr>
          <w:rFonts w:cs="Arial"/>
          <w:szCs w:val="20"/>
        </w:rPr>
        <w:t>w</w:t>
      </w:r>
      <w:r w:rsidRPr="004D0A20">
        <w:t>hile there have been many calls for activating Article 7 TEU, not least when it was revealed that several EU Member States and some candidate countries colluded in the running of secret CIA prisons after 9/11,</w:t>
      </w:r>
      <w:r w:rsidRPr="004D0A20">
        <w:rPr>
          <w:rStyle w:val="FootnoteReference"/>
          <w:sz w:val="24"/>
        </w:rPr>
        <w:footnoteReference w:id="27"/>
      </w:r>
      <w:r w:rsidRPr="004D0A20">
        <w:t xml:space="preserve"> this provision has never been used for essentially two reasons: the thresholds for activating it</w:t>
      </w:r>
      <w:r w:rsidR="005B7940" w:rsidRPr="004D0A20">
        <w:t>, as shown above,</w:t>
      </w:r>
      <w:r w:rsidRPr="004D0A20">
        <w:t xml:space="preserve"> are virtually impossible to </w:t>
      </w:r>
      <w:r w:rsidR="005B7940" w:rsidRPr="004D0A20">
        <w:t>meet</w:t>
      </w:r>
      <w:r w:rsidR="00EE52F4" w:rsidRPr="004D0A20">
        <w:t>,</w:t>
      </w:r>
      <w:r w:rsidRPr="004D0A20">
        <w:t xml:space="preserve"> and the existence of a political convention whereby it would </w:t>
      </w:r>
      <w:r w:rsidRPr="004D0A20">
        <w:lastRenderedPageBreak/>
        <w:t>be politically counterproductive to do so.</w:t>
      </w:r>
      <w:r w:rsidR="005B7940" w:rsidRPr="004D0A20">
        <w:rPr>
          <w:rStyle w:val="FootnoteReference"/>
          <w:sz w:val="24"/>
        </w:rPr>
        <w:footnoteReference w:id="28"/>
      </w:r>
      <w:r w:rsidR="00EE52F4" w:rsidRPr="004D0A20">
        <w:t xml:space="preserve"> This means that w</w:t>
      </w:r>
      <w:r w:rsidRPr="004D0A20">
        <w:t>ith the sole exception of the</w:t>
      </w:r>
      <w:r w:rsidR="004A7FA2" w:rsidRPr="004D0A20">
        <w:t xml:space="preserve"> Cooperation and Verification Mechanism</w:t>
      </w:r>
      <w:r w:rsidR="001B626A" w:rsidRPr="004D0A20">
        <w:t xml:space="preserve"> (CVM)</w:t>
      </w:r>
      <w:r w:rsidR="004A7FA2" w:rsidRPr="004D0A20">
        <w:t xml:space="preserve"> – an</w:t>
      </w:r>
      <w:r w:rsidR="00EE52F4" w:rsidRPr="004D0A20">
        <w:t xml:space="preserve"> unprecedented </w:t>
      </w:r>
      <w:r w:rsidRPr="004D0A20">
        <w:t xml:space="preserve">rule of law </w:t>
      </w:r>
      <w:r w:rsidR="00EE52F4" w:rsidRPr="004D0A20">
        <w:t xml:space="preserve">monitoring </w:t>
      </w:r>
      <w:r w:rsidRPr="004D0A20">
        <w:t>mechanism put in</w:t>
      </w:r>
      <w:r w:rsidR="004A7FA2" w:rsidRPr="004D0A20">
        <w:t xml:space="preserve"> place for Romania and Bulgaria</w:t>
      </w:r>
      <w:r w:rsidR="00EE52F4" w:rsidRPr="004D0A20">
        <w:t xml:space="preserve"> at the time of their accession to the EU</w:t>
      </w:r>
      <w:r w:rsidRPr="004D0A20">
        <w:rPr>
          <w:rStyle w:val="FootnoteReference"/>
          <w:sz w:val="24"/>
        </w:rPr>
        <w:footnoteReference w:id="29"/>
      </w:r>
      <w:r w:rsidR="004A7FA2" w:rsidRPr="004D0A20">
        <w:t xml:space="preserve"> – </w:t>
      </w:r>
      <w:r w:rsidRPr="004D0A20">
        <w:t xml:space="preserve">the European Commission has for the most part relied on political pressure and its well-established power to bring infringement actions before the EU Court of Justice, to seek changes in the countries </w:t>
      </w:r>
      <w:r w:rsidR="00EA369F" w:rsidRPr="004D0A20">
        <w:t xml:space="preserve">which have been found wanting as far as respect for </w:t>
      </w:r>
      <w:r w:rsidRPr="004D0A20">
        <w:t>EU values</w:t>
      </w:r>
      <w:r w:rsidR="00EA369F" w:rsidRPr="004D0A20">
        <w:t xml:space="preserve"> is concerned</w:t>
      </w:r>
      <w:r w:rsidRPr="004D0A20">
        <w:t xml:space="preserve">. </w:t>
      </w:r>
    </w:p>
    <w:p w14:paraId="2509D06F" w14:textId="77777777" w:rsidR="007779B6" w:rsidRPr="004D0A20" w:rsidRDefault="007779B6" w:rsidP="007779B6">
      <w:pPr>
        <w:pStyle w:val="3Fonction"/>
        <w:rPr>
          <w:rFonts w:ascii="Times New Roman" w:hAnsi="Times New Roman"/>
        </w:rPr>
      </w:pPr>
    </w:p>
    <w:p w14:paraId="048DFF0E" w14:textId="77777777" w:rsidR="007779B6" w:rsidRPr="004D0A20" w:rsidRDefault="007779B6" w:rsidP="007779B6">
      <w:pPr>
        <w:jc w:val="both"/>
      </w:pPr>
      <w:r w:rsidRPr="004D0A20">
        <w:t xml:space="preserve">1.2.2 The infringement procedure’s limited effectiveness </w:t>
      </w:r>
      <w:r w:rsidR="007949BF" w:rsidRPr="004D0A20">
        <w:t>with respect to EU values</w:t>
      </w:r>
    </w:p>
    <w:p w14:paraId="567E6F90" w14:textId="77777777" w:rsidR="007779B6" w:rsidRPr="004D0A20" w:rsidRDefault="007779B6" w:rsidP="007779B6">
      <w:pPr>
        <w:pStyle w:val="3Fonction"/>
        <w:rPr>
          <w:rFonts w:ascii="Times New Roman" w:hAnsi="Times New Roman"/>
        </w:rPr>
      </w:pPr>
    </w:p>
    <w:p w14:paraId="4B8AB8FC" w14:textId="77777777" w:rsidR="007779B6" w:rsidRPr="004D0A20" w:rsidRDefault="007779B6" w:rsidP="007779B6">
      <w:pPr>
        <w:pStyle w:val="3Fonction"/>
        <w:rPr>
          <w:rFonts w:ascii="Times New Roman" w:hAnsi="Times New Roman"/>
        </w:rPr>
      </w:pPr>
      <w:r w:rsidRPr="004D0A20">
        <w:rPr>
          <w:rFonts w:ascii="Times New Roman" w:hAnsi="Times New Roman"/>
        </w:rPr>
        <w:t>Under the rules laid down in Article 258 TFEU, the Commission may initiate an infringement action against any Member State, which has failed to comply with its EU obligations, and may bring the matter before the Court of Justice should the relevant Member State fail to comply with the Commission’s recommendation(s). Any Member State failing to comply with the Court’s judgment may</w:t>
      </w:r>
      <w:r w:rsidR="009471B8" w:rsidRPr="004D0A20">
        <w:rPr>
          <w:rFonts w:ascii="Times New Roman" w:hAnsi="Times New Roman"/>
        </w:rPr>
        <w:t>, under Artic</w:t>
      </w:r>
      <w:r w:rsidR="00F668B7" w:rsidRPr="004D0A20">
        <w:rPr>
          <w:rFonts w:ascii="Times New Roman" w:hAnsi="Times New Roman"/>
        </w:rPr>
        <w:t>le 2</w:t>
      </w:r>
      <w:r w:rsidR="009471B8" w:rsidRPr="004D0A20">
        <w:rPr>
          <w:rFonts w:ascii="Times New Roman" w:hAnsi="Times New Roman"/>
        </w:rPr>
        <w:t>60 TFEU,</w:t>
      </w:r>
      <w:r w:rsidRPr="004D0A20">
        <w:rPr>
          <w:rFonts w:ascii="Times New Roman" w:hAnsi="Times New Roman"/>
        </w:rPr>
        <w:t xml:space="preserve"> be brought again before the Court of Justice, which, in this instance, has the additional power of imposing financial sanctions on it.</w:t>
      </w:r>
      <w:r w:rsidR="00F668B7" w:rsidRPr="004D0A20">
        <w:rPr>
          <w:rStyle w:val="FootnoteReference"/>
          <w:rFonts w:ascii="Times New Roman" w:hAnsi="Times New Roman"/>
          <w:sz w:val="24"/>
        </w:rPr>
        <w:footnoteReference w:id="30"/>
      </w:r>
      <w:r w:rsidRPr="004D0A20">
        <w:rPr>
          <w:rFonts w:ascii="Times New Roman" w:hAnsi="Times New Roman"/>
        </w:rPr>
        <w:t xml:space="preserve"> </w:t>
      </w:r>
    </w:p>
    <w:p w14:paraId="23E774F0" w14:textId="77777777" w:rsidR="00062AA1" w:rsidRPr="004D0A20" w:rsidRDefault="00F668B7" w:rsidP="00027376">
      <w:pPr>
        <w:pStyle w:val="3Fonction"/>
        <w:ind w:firstLine="720"/>
        <w:rPr>
          <w:rFonts w:ascii="Times New Roman" w:hAnsi="Times New Roman"/>
        </w:rPr>
      </w:pPr>
      <w:r w:rsidRPr="004D0A20">
        <w:rPr>
          <w:rFonts w:ascii="Times New Roman" w:hAnsi="Times New Roman"/>
        </w:rPr>
        <w:t>The Commission has traditionally</w:t>
      </w:r>
      <w:r w:rsidR="00C61876" w:rsidRPr="004D0A20">
        <w:rPr>
          <w:rFonts w:ascii="Times New Roman" w:hAnsi="Times New Roman"/>
        </w:rPr>
        <w:t xml:space="preserve"> claimed that t</w:t>
      </w:r>
      <w:r w:rsidR="007779B6" w:rsidRPr="004D0A20">
        <w:rPr>
          <w:rFonts w:ascii="Times New Roman" w:hAnsi="Times New Roman"/>
        </w:rPr>
        <w:t>he infringement procedure</w:t>
      </w:r>
      <w:r w:rsidR="00416416" w:rsidRPr="004D0A20">
        <w:rPr>
          <w:rFonts w:ascii="Times New Roman" w:hAnsi="Times New Roman"/>
        </w:rPr>
        <w:t xml:space="preserve"> – and at times, the mere threat of using it –</w:t>
      </w:r>
      <w:r w:rsidRPr="004D0A20">
        <w:rPr>
          <w:rFonts w:ascii="Times New Roman" w:hAnsi="Times New Roman"/>
        </w:rPr>
        <w:t xml:space="preserve"> has enabled it</w:t>
      </w:r>
      <w:r w:rsidR="007779B6" w:rsidRPr="004D0A20">
        <w:rPr>
          <w:rFonts w:ascii="Times New Roman" w:hAnsi="Times New Roman"/>
        </w:rPr>
        <w:t xml:space="preserve"> to score a number of</w:t>
      </w:r>
      <w:r w:rsidR="00416416" w:rsidRPr="004D0A20">
        <w:rPr>
          <w:rFonts w:ascii="Times New Roman" w:hAnsi="Times New Roman"/>
        </w:rPr>
        <w:t xml:space="preserve"> </w:t>
      </w:r>
      <w:r w:rsidR="002E12C1" w:rsidRPr="004D0A20">
        <w:rPr>
          <w:rFonts w:ascii="Times New Roman" w:hAnsi="Times New Roman"/>
        </w:rPr>
        <w:t xml:space="preserve">swift </w:t>
      </w:r>
      <w:r w:rsidR="00C61876" w:rsidRPr="004D0A20">
        <w:rPr>
          <w:rFonts w:ascii="Times New Roman" w:hAnsi="Times New Roman"/>
        </w:rPr>
        <w:t>successes,</w:t>
      </w:r>
      <w:r w:rsidR="00C61876" w:rsidRPr="004D0A20">
        <w:rPr>
          <w:rStyle w:val="FootnoteReference"/>
          <w:rFonts w:ascii="Times New Roman" w:hAnsi="Times New Roman"/>
          <w:sz w:val="24"/>
        </w:rPr>
        <w:footnoteReference w:id="31"/>
      </w:r>
      <w:r w:rsidR="00C61876" w:rsidRPr="004D0A20">
        <w:rPr>
          <w:rFonts w:ascii="Times New Roman" w:hAnsi="Times New Roman"/>
        </w:rPr>
        <w:t xml:space="preserve"> which</w:t>
      </w:r>
      <w:r w:rsidR="00416416" w:rsidRPr="004D0A20">
        <w:rPr>
          <w:rFonts w:ascii="Times New Roman" w:hAnsi="Times New Roman"/>
        </w:rPr>
        <w:t xml:space="preserve"> however may be </w:t>
      </w:r>
      <w:r w:rsidR="001B626A" w:rsidRPr="004D0A20">
        <w:rPr>
          <w:rFonts w:ascii="Times New Roman" w:hAnsi="Times New Roman"/>
        </w:rPr>
        <w:t>quite legitimately regarded</w:t>
      </w:r>
      <w:r w:rsidR="00416416" w:rsidRPr="004D0A20">
        <w:rPr>
          <w:rFonts w:ascii="Times New Roman" w:hAnsi="Times New Roman"/>
        </w:rPr>
        <w:t xml:space="preserve"> as Pyrrhic victories.</w:t>
      </w:r>
      <w:r w:rsidR="007779B6" w:rsidRPr="004D0A20">
        <w:rPr>
          <w:rFonts w:ascii="Times New Roman" w:hAnsi="Times New Roman"/>
        </w:rPr>
        <w:t xml:space="preserve"> </w:t>
      </w:r>
      <w:r w:rsidR="00416416" w:rsidRPr="004D0A20">
        <w:rPr>
          <w:rFonts w:ascii="Times New Roman" w:hAnsi="Times New Roman"/>
        </w:rPr>
        <w:t xml:space="preserve">Firstly, </w:t>
      </w:r>
      <w:r w:rsidR="002E12C1" w:rsidRPr="004D0A20">
        <w:rPr>
          <w:rFonts w:ascii="Times New Roman" w:hAnsi="Times New Roman"/>
        </w:rPr>
        <w:t xml:space="preserve">if </w:t>
      </w:r>
      <w:r w:rsidR="00416416" w:rsidRPr="004D0A20">
        <w:rPr>
          <w:rFonts w:ascii="Times New Roman" w:hAnsi="Times New Roman"/>
        </w:rPr>
        <w:t xml:space="preserve">the </w:t>
      </w:r>
      <w:r w:rsidR="007779B6" w:rsidRPr="004D0A20">
        <w:rPr>
          <w:rFonts w:ascii="Times New Roman" w:hAnsi="Times New Roman"/>
        </w:rPr>
        <w:t xml:space="preserve">French policy regarding the deportation of Roma people was </w:t>
      </w:r>
      <w:r w:rsidR="002E12C1" w:rsidRPr="004D0A20">
        <w:rPr>
          <w:rFonts w:ascii="Times New Roman" w:hAnsi="Times New Roman"/>
        </w:rPr>
        <w:t xml:space="preserve">indeed </w:t>
      </w:r>
      <w:r w:rsidR="007779B6" w:rsidRPr="004D0A20">
        <w:rPr>
          <w:rFonts w:ascii="Times New Roman" w:hAnsi="Times New Roman"/>
        </w:rPr>
        <w:t>amended after the Commission threatened to initiate infringement proceedings</w:t>
      </w:r>
      <w:r w:rsidR="002E12C1" w:rsidRPr="004D0A20">
        <w:rPr>
          <w:rFonts w:ascii="Times New Roman" w:hAnsi="Times New Roman"/>
        </w:rPr>
        <w:t>,</w:t>
      </w:r>
      <w:r w:rsidR="00416416" w:rsidRPr="004D0A20">
        <w:rPr>
          <w:rStyle w:val="FootnoteReference"/>
          <w:rFonts w:ascii="Times New Roman" w:hAnsi="Times New Roman"/>
          <w:sz w:val="24"/>
        </w:rPr>
        <w:footnoteReference w:id="32"/>
      </w:r>
      <w:r w:rsidR="00416416" w:rsidRPr="004D0A20">
        <w:rPr>
          <w:rFonts w:ascii="Times New Roman" w:hAnsi="Times New Roman"/>
        </w:rPr>
        <w:t xml:space="preserve"> it has </w:t>
      </w:r>
      <w:r w:rsidR="002E12C1" w:rsidRPr="004D0A20">
        <w:rPr>
          <w:rFonts w:ascii="Times New Roman" w:hAnsi="Times New Roman"/>
        </w:rPr>
        <w:t xml:space="preserve">since </w:t>
      </w:r>
      <w:r w:rsidR="00416416" w:rsidRPr="004D0A20">
        <w:rPr>
          <w:rFonts w:ascii="Times New Roman" w:hAnsi="Times New Roman"/>
        </w:rPr>
        <w:t xml:space="preserve">been shown that the legal measures adopted by France to address the Commission concerns </w:t>
      </w:r>
      <w:r w:rsidR="00041AAE" w:rsidRPr="004D0A20">
        <w:rPr>
          <w:rFonts w:ascii="Times New Roman" w:hAnsi="Times New Roman"/>
        </w:rPr>
        <w:t>in 2010</w:t>
      </w:r>
      <w:r w:rsidR="00416416" w:rsidRPr="004D0A20">
        <w:rPr>
          <w:rFonts w:ascii="Times New Roman" w:hAnsi="Times New Roman"/>
        </w:rPr>
        <w:t xml:space="preserve"> fell short of what is required under EU Law.</w:t>
      </w:r>
      <w:r w:rsidR="00416416" w:rsidRPr="004D0A20">
        <w:rPr>
          <w:rStyle w:val="FootnoteReference"/>
          <w:rFonts w:ascii="Times New Roman" w:hAnsi="Times New Roman"/>
          <w:sz w:val="24"/>
        </w:rPr>
        <w:footnoteReference w:id="33"/>
      </w:r>
      <w:r w:rsidR="007779B6" w:rsidRPr="004D0A20">
        <w:rPr>
          <w:rFonts w:ascii="Times New Roman" w:hAnsi="Times New Roman"/>
        </w:rPr>
        <w:t xml:space="preserve"> </w:t>
      </w:r>
      <w:r w:rsidR="00416416" w:rsidRPr="004D0A20">
        <w:rPr>
          <w:rFonts w:ascii="Times New Roman" w:hAnsi="Times New Roman"/>
        </w:rPr>
        <w:t>S</w:t>
      </w:r>
      <w:r w:rsidR="002E12C1" w:rsidRPr="004D0A20">
        <w:rPr>
          <w:rFonts w:ascii="Times New Roman" w:hAnsi="Times New Roman"/>
        </w:rPr>
        <w:t>imilarly</w:t>
      </w:r>
      <w:r w:rsidR="00416416" w:rsidRPr="004D0A20">
        <w:rPr>
          <w:rFonts w:ascii="Times New Roman" w:hAnsi="Times New Roman"/>
        </w:rPr>
        <w:t xml:space="preserve">, while </w:t>
      </w:r>
      <w:r w:rsidR="007779B6" w:rsidRPr="004D0A20">
        <w:rPr>
          <w:rFonts w:ascii="Times New Roman" w:hAnsi="Times New Roman"/>
        </w:rPr>
        <w:t>Hungary reviewed its legislation following its defeat before the Court of Justice, the Hungarian judges affected by the controversial le</w:t>
      </w:r>
      <w:r w:rsidR="00416416" w:rsidRPr="004D0A20">
        <w:rPr>
          <w:rFonts w:ascii="Times New Roman" w:hAnsi="Times New Roman"/>
        </w:rPr>
        <w:t>gislation were never reinstated.</w:t>
      </w:r>
      <w:r w:rsidR="007779B6" w:rsidRPr="004D0A20">
        <w:rPr>
          <w:rStyle w:val="FootnoteReference"/>
          <w:rFonts w:ascii="Times New Roman" w:hAnsi="Times New Roman"/>
          <w:sz w:val="24"/>
        </w:rPr>
        <w:footnoteReference w:id="34"/>
      </w:r>
      <w:r w:rsidR="00416416" w:rsidRPr="004D0A20">
        <w:rPr>
          <w:rFonts w:ascii="Times New Roman" w:hAnsi="Times New Roman"/>
        </w:rPr>
        <w:t xml:space="preserve"> Finally, </w:t>
      </w:r>
      <w:r w:rsidR="002E12C1" w:rsidRPr="004D0A20">
        <w:rPr>
          <w:rFonts w:ascii="Times New Roman" w:hAnsi="Times New Roman"/>
        </w:rPr>
        <w:t xml:space="preserve">there are no indications that </w:t>
      </w:r>
      <w:r w:rsidR="007779B6" w:rsidRPr="004D0A20">
        <w:rPr>
          <w:rFonts w:ascii="Times New Roman" w:hAnsi="Times New Roman"/>
        </w:rPr>
        <w:t xml:space="preserve">the Romanian constitutional conflict mentioned in </w:t>
      </w:r>
      <w:proofErr w:type="spellStart"/>
      <w:r w:rsidR="007779B6" w:rsidRPr="004D0A20">
        <w:rPr>
          <w:rFonts w:ascii="Times New Roman" w:hAnsi="Times New Roman"/>
        </w:rPr>
        <w:t>Reding’s</w:t>
      </w:r>
      <w:proofErr w:type="spellEnd"/>
      <w:r w:rsidR="007779B6" w:rsidRPr="004D0A20">
        <w:rPr>
          <w:rFonts w:ascii="Times New Roman" w:hAnsi="Times New Roman"/>
        </w:rPr>
        <w:t xml:space="preserve"> speech</w:t>
      </w:r>
      <w:r w:rsidR="002E12C1" w:rsidRPr="004D0A20">
        <w:rPr>
          <w:rFonts w:ascii="Times New Roman" w:hAnsi="Times New Roman"/>
        </w:rPr>
        <w:t>, which</w:t>
      </w:r>
      <w:r w:rsidR="007779B6" w:rsidRPr="004D0A20">
        <w:rPr>
          <w:rFonts w:ascii="Times New Roman" w:hAnsi="Times New Roman"/>
        </w:rPr>
        <w:t xml:space="preserve"> came to an </w:t>
      </w:r>
      <w:r w:rsidR="007779B6" w:rsidRPr="004D0A20">
        <w:rPr>
          <w:rFonts w:ascii="Times New Roman" w:hAnsi="Times New Roman"/>
        </w:rPr>
        <w:lastRenderedPageBreak/>
        <w:t>apparent end</w:t>
      </w:r>
      <w:r w:rsidR="00C61D47">
        <w:rPr>
          <w:rFonts w:ascii="Times New Roman" w:hAnsi="Times New Roman"/>
        </w:rPr>
        <w:t xml:space="preserve"> in December 2012 when an agreement was reached between the President and the Prime Minister</w:t>
      </w:r>
      <w:r w:rsidR="002E12C1" w:rsidRPr="004D0A20">
        <w:rPr>
          <w:rFonts w:ascii="Times New Roman" w:hAnsi="Times New Roman"/>
        </w:rPr>
        <w:t>,</w:t>
      </w:r>
      <w:r w:rsidR="003E54C8" w:rsidRPr="004D0A20">
        <w:rPr>
          <w:rStyle w:val="FootnoteReference"/>
          <w:rFonts w:ascii="Times New Roman" w:hAnsi="Times New Roman"/>
          <w:sz w:val="24"/>
        </w:rPr>
        <w:footnoteReference w:id="35"/>
      </w:r>
      <w:r w:rsidR="00416416" w:rsidRPr="004D0A20">
        <w:rPr>
          <w:rFonts w:ascii="Times New Roman" w:hAnsi="Times New Roman"/>
        </w:rPr>
        <w:t xml:space="preserve"> </w:t>
      </w:r>
      <w:r w:rsidR="002E12C1" w:rsidRPr="004D0A20">
        <w:rPr>
          <w:rFonts w:ascii="Times New Roman" w:hAnsi="Times New Roman"/>
        </w:rPr>
        <w:t>would not have ended in a similar manner regardless of the pressure put on Romanian authorities by the Commission</w:t>
      </w:r>
      <w:r w:rsidR="001B626A" w:rsidRPr="004D0A20">
        <w:rPr>
          <w:rFonts w:ascii="Times New Roman" w:hAnsi="Times New Roman"/>
        </w:rPr>
        <w:t>.</w:t>
      </w:r>
      <w:r w:rsidR="007779B6" w:rsidRPr="004D0A20">
        <w:rPr>
          <w:rFonts w:ascii="Times New Roman" w:hAnsi="Times New Roman"/>
        </w:rPr>
        <w:t xml:space="preserve"> </w:t>
      </w:r>
      <w:r w:rsidR="00926055" w:rsidRPr="004D0A20">
        <w:rPr>
          <w:rFonts w:ascii="Times New Roman" w:hAnsi="Times New Roman"/>
        </w:rPr>
        <w:t xml:space="preserve">The fact that Romania continues to be subject to the specific monitoring mechanism put in place at the time of its EU accession also </w:t>
      </w:r>
      <w:r w:rsidR="00926055" w:rsidRPr="00BB5476">
        <w:rPr>
          <w:rFonts w:ascii="Times New Roman" w:hAnsi="Times New Roman"/>
        </w:rPr>
        <w:t>appears to indicate the limits of the Commission’s influence over Romanian authorities.</w:t>
      </w:r>
      <w:r w:rsidR="00BB5476" w:rsidRPr="00BB5476">
        <w:rPr>
          <w:rStyle w:val="FootnoteReference"/>
          <w:rFonts w:ascii="Times New Roman" w:hAnsi="Times New Roman"/>
          <w:sz w:val="24"/>
        </w:rPr>
        <w:footnoteReference w:id="36"/>
      </w:r>
      <w:r w:rsidR="00926055" w:rsidRPr="00BB5476">
        <w:rPr>
          <w:rFonts w:ascii="Times New Roman" w:hAnsi="Times New Roman"/>
        </w:rPr>
        <w:t xml:space="preserve"> In any</w:t>
      </w:r>
      <w:r w:rsidR="00926055" w:rsidRPr="004D0A20">
        <w:rPr>
          <w:rFonts w:ascii="Times New Roman" w:hAnsi="Times New Roman"/>
        </w:rPr>
        <w:t xml:space="preserve"> event, it is clear that b</w:t>
      </w:r>
      <w:r w:rsidR="001B626A" w:rsidRPr="004D0A20">
        <w:rPr>
          <w:rFonts w:ascii="Times New Roman" w:hAnsi="Times New Roman"/>
        </w:rPr>
        <w:t xml:space="preserve">attles over Article 2 TEU are far from being a story of days past. </w:t>
      </w:r>
      <w:r w:rsidR="007779B6" w:rsidRPr="004D0A20">
        <w:rPr>
          <w:rFonts w:ascii="Times New Roman" w:hAnsi="Times New Roman"/>
        </w:rPr>
        <w:t>To give one but worrying exampl</w:t>
      </w:r>
      <w:r w:rsidR="00926055" w:rsidRPr="004D0A20">
        <w:rPr>
          <w:rFonts w:ascii="Times New Roman" w:hAnsi="Times New Roman"/>
        </w:rPr>
        <w:t xml:space="preserve">e, Hungary’s Prime Minister </w:t>
      </w:r>
      <w:r w:rsidR="007779B6" w:rsidRPr="004D0A20">
        <w:rPr>
          <w:rFonts w:ascii="Times New Roman" w:hAnsi="Times New Roman"/>
        </w:rPr>
        <w:t>recently advocated the establishment of an ‘illiberal state’ and referred to Putin’s Russia and Communist China as two possible models to follow.</w:t>
      </w:r>
      <w:r w:rsidR="007779B6" w:rsidRPr="004D0A20">
        <w:rPr>
          <w:rStyle w:val="FootnoteReference"/>
          <w:rFonts w:ascii="Times New Roman" w:hAnsi="Times New Roman"/>
          <w:sz w:val="24"/>
        </w:rPr>
        <w:footnoteReference w:id="37"/>
      </w:r>
      <w:r w:rsidR="007779B6" w:rsidRPr="004D0A20">
        <w:rPr>
          <w:rFonts w:ascii="Times New Roman" w:hAnsi="Times New Roman"/>
        </w:rPr>
        <w:t xml:space="preserve"> </w:t>
      </w:r>
    </w:p>
    <w:p w14:paraId="017DE96B" w14:textId="77777777" w:rsidR="007779B6" w:rsidRPr="004D0A20" w:rsidRDefault="007779B6" w:rsidP="003E68C8">
      <w:pPr>
        <w:ind w:firstLine="720"/>
        <w:jc w:val="both"/>
      </w:pPr>
      <w:r w:rsidRPr="004D0A20">
        <w:t>The call for an illiberal regime</w:t>
      </w:r>
      <w:r w:rsidR="00926055" w:rsidRPr="004D0A20">
        <w:t xml:space="preserve">, </w:t>
      </w:r>
      <w:r w:rsidRPr="004D0A20">
        <w:t>which is not pure rhetoric in the context of the contemporary Hungarian state</w:t>
      </w:r>
      <w:r w:rsidR="00926055" w:rsidRPr="004D0A20">
        <w:t>,</w:t>
      </w:r>
      <w:r w:rsidRPr="004D0A20">
        <w:rPr>
          <w:rStyle w:val="FootnoteReference"/>
          <w:sz w:val="24"/>
        </w:rPr>
        <w:footnoteReference w:id="38"/>
      </w:r>
      <w:r w:rsidRPr="004D0A20">
        <w:t xml:space="preserve"> plainly flies in the face of Article 2 TEU and yet the Commission </w:t>
      </w:r>
      <w:r w:rsidRPr="004D0A20">
        <w:rPr>
          <w:i/>
        </w:rPr>
        <w:t>cannot</w:t>
      </w:r>
      <w:r w:rsidRPr="004D0A20">
        <w:t xml:space="preserve"> initiate any infringement action against Hungary on this sole basis. </w:t>
      </w:r>
      <w:r w:rsidR="00062AA1" w:rsidRPr="004D0A20">
        <w:t>Indeed, and s</w:t>
      </w:r>
      <w:r w:rsidR="00325FF0" w:rsidRPr="004D0A20">
        <w:t xml:space="preserve">trictly speaking, </w:t>
      </w:r>
      <w:r w:rsidRPr="004D0A20">
        <w:t xml:space="preserve">the Commission may only initiate an infringement action against a Member State for a </w:t>
      </w:r>
      <w:r w:rsidRPr="004D0A20">
        <w:rPr>
          <w:i/>
        </w:rPr>
        <w:t>specific</w:t>
      </w:r>
      <w:r w:rsidRPr="004D0A20">
        <w:t xml:space="preserve"> violation of EU law. </w:t>
      </w:r>
      <w:r w:rsidR="00062AA1" w:rsidRPr="004D0A20">
        <w:t xml:space="preserve">This is not to say that </w:t>
      </w:r>
      <w:r w:rsidRPr="004D0A20">
        <w:t xml:space="preserve">Article 2 </w:t>
      </w:r>
      <w:r w:rsidR="00325FF0" w:rsidRPr="004D0A20">
        <w:t xml:space="preserve">TEU </w:t>
      </w:r>
      <w:r w:rsidR="00062AA1" w:rsidRPr="004D0A20">
        <w:t xml:space="preserve">should be viewed </w:t>
      </w:r>
      <w:r w:rsidRPr="004D0A20">
        <w:t>as a mere</w:t>
      </w:r>
      <w:r w:rsidR="001B626A" w:rsidRPr="004D0A20">
        <w:t xml:space="preserve"> political declaration – the </w:t>
      </w:r>
      <w:r w:rsidRPr="004D0A20">
        <w:t xml:space="preserve">Treaties make clear that EU institutions </w:t>
      </w:r>
      <w:r w:rsidR="00062AA1" w:rsidRPr="004D0A20">
        <w:t xml:space="preserve">as well as EU </w:t>
      </w:r>
      <w:r w:rsidRPr="004D0A20">
        <w:t>Member States ought to respect and promote the Union’s values</w:t>
      </w:r>
      <w:r w:rsidR="00062AA1" w:rsidRPr="004D0A20">
        <w:t>.</w:t>
      </w:r>
      <w:r w:rsidRPr="004D0A20">
        <w:rPr>
          <w:rStyle w:val="FootnoteReference"/>
          <w:sz w:val="24"/>
        </w:rPr>
        <w:footnoteReference w:id="39"/>
      </w:r>
      <w:r w:rsidRPr="004D0A20">
        <w:t xml:space="preserve"> </w:t>
      </w:r>
      <w:r w:rsidR="002F5EF4" w:rsidRPr="004D0A20">
        <w:t xml:space="preserve">It would also be misguided to consider that EU values cannot constitute legal principles or that they </w:t>
      </w:r>
      <w:r w:rsidR="002F5EF4" w:rsidRPr="004D0A20">
        <w:rPr>
          <w:rFonts w:eastAsia="Cambria" w:cs="Times New Roman"/>
        </w:rPr>
        <w:t>completely lack legal effect</w:t>
      </w:r>
      <w:r w:rsidR="002F5EF4" w:rsidRPr="004D0A20">
        <w:rPr>
          <w:rFonts w:eastAsia="Cambria"/>
        </w:rPr>
        <w:t xml:space="preserve">. </w:t>
      </w:r>
      <w:r w:rsidR="002F5EF4" w:rsidRPr="004D0A20">
        <w:rPr>
          <w:rFonts w:eastAsia="Cambria" w:cs="Times New Roman"/>
        </w:rPr>
        <w:t xml:space="preserve">For instance, the rule of law, as a fundamental principle which underlies the </w:t>
      </w:r>
      <w:r w:rsidR="00926055" w:rsidRPr="004D0A20">
        <w:rPr>
          <w:rFonts w:eastAsia="Cambria" w:cs="Times New Roman"/>
        </w:rPr>
        <w:t xml:space="preserve">whole </w:t>
      </w:r>
      <w:r w:rsidR="002F5EF4" w:rsidRPr="004D0A20">
        <w:rPr>
          <w:rFonts w:eastAsia="Cambria" w:cs="Times New Roman"/>
        </w:rPr>
        <w:t>European legal order, has already been used by the European Court of Justice both as a source from which directly actionable legal principles can be derived, and as a constitutional norm which should guide the interpretation of other legal norms.</w:t>
      </w:r>
      <w:r w:rsidR="001B626A" w:rsidRPr="004D0A20">
        <w:rPr>
          <w:rStyle w:val="FootnoteReference"/>
          <w:rFonts w:eastAsia="Cambria" w:cs="Times New Roman"/>
          <w:sz w:val="24"/>
        </w:rPr>
        <w:footnoteReference w:id="40"/>
      </w:r>
      <w:r w:rsidR="002F5EF4" w:rsidRPr="004D0A20">
        <w:rPr>
          <w:rFonts w:eastAsia="Cambria" w:cs="Times New Roman"/>
        </w:rPr>
        <w:t xml:space="preserve"> </w:t>
      </w:r>
      <w:r w:rsidR="00F1508B" w:rsidRPr="004D0A20">
        <w:rPr>
          <w:rFonts w:eastAsia="Cambria" w:cs="Times New Roman"/>
        </w:rPr>
        <w:t xml:space="preserve">The rule of law, however, is not </w:t>
      </w:r>
      <w:r w:rsidR="00F1508B" w:rsidRPr="004D0A20">
        <w:rPr>
          <w:rFonts w:eastAsia="Cambria" w:cs="Times New Roman"/>
          <w:i/>
        </w:rPr>
        <w:t>a</w:t>
      </w:r>
      <w:r w:rsidR="00F1508B" w:rsidRPr="004D0A20">
        <w:rPr>
          <w:rFonts w:eastAsia="Cambria" w:cs="Times New Roman"/>
        </w:rPr>
        <w:t xml:space="preserve"> rule of law actionable before a court. For instance, </w:t>
      </w:r>
      <w:r w:rsidR="00926055" w:rsidRPr="004D0A20">
        <w:rPr>
          <w:rFonts w:eastAsia="Cambria" w:cs="Times New Roman"/>
        </w:rPr>
        <w:t xml:space="preserve">one </w:t>
      </w:r>
      <w:r w:rsidR="00F1508B" w:rsidRPr="004D0A20">
        <w:rPr>
          <w:rFonts w:eastAsia="Cambria" w:cs="Times New Roman"/>
        </w:rPr>
        <w:t xml:space="preserve">cannot </w:t>
      </w:r>
      <w:r w:rsidR="00F1508B" w:rsidRPr="004D0A20">
        <w:rPr>
          <w:rFonts w:eastAsia="Cambria" w:cs="Times New Roman"/>
          <w:i/>
        </w:rPr>
        <w:t>directly</w:t>
      </w:r>
      <w:r w:rsidR="00F1508B" w:rsidRPr="004D0A20">
        <w:rPr>
          <w:rFonts w:eastAsia="Cambria" w:cs="Times New Roman"/>
        </w:rPr>
        <w:t xml:space="preserve"> rely on the EU value of the rule of law to seek annulment of the acts of EU institutions.</w:t>
      </w:r>
      <w:r w:rsidR="00F1508B" w:rsidRPr="004D0A20">
        <w:rPr>
          <w:rStyle w:val="FootnoteReference"/>
          <w:rFonts w:eastAsia="Cambria"/>
          <w:sz w:val="24"/>
        </w:rPr>
        <w:footnoteReference w:id="41"/>
      </w:r>
      <w:r w:rsidR="00F1508B" w:rsidRPr="004D0A20">
        <w:rPr>
          <w:rFonts w:eastAsia="Cambria" w:cs="Times New Roman"/>
        </w:rPr>
        <w:t xml:space="preserve"> More generally speaking, </w:t>
      </w:r>
      <w:r w:rsidR="00062AA1" w:rsidRPr="004D0A20">
        <w:t xml:space="preserve">Article 2 TEU </w:t>
      </w:r>
      <w:r w:rsidRPr="004D0A20">
        <w:t xml:space="preserve">cannot be a cause of judicial action in </w:t>
      </w:r>
      <w:r w:rsidR="00CE5F2A" w:rsidRPr="004D0A20">
        <w:t>and of itself. In other words, because of t</w:t>
      </w:r>
      <w:r w:rsidRPr="004D0A20">
        <w:t>he relatively open-ended nature of the values laid down in Article 2 TEU</w:t>
      </w:r>
      <w:r w:rsidR="00CE5F2A" w:rsidRPr="004D0A20">
        <w:t xml:space="preserve">, this provision </w:t>
      </w:r>
      <w:r w:rsidR="00926055" w:rsidRPr="004D0A20">
        <w:t>lacks justiciability. In procedural terms, t</w:t>
      </w:r>
      <w:r w:rsidR="0070169C" w:rsidRPr="004D0A20">
        <w:t xml:space="preserve">his means that </w:t>
      </w:r>
      <w:r w:rsidR="00926055" w:rsidRPr="004D0A20">
        <w:t xml:space="preserve">no </w:t>
      </w:r>
      <w:r w:rsidRPr="004D0A20">
        <w:t>legal proceedings against a</w:t>
      </w:r>
      <w:r w:rsidR="00CE5F2A" w:rsidRPr="004D0A20">
        <w:t>n</w:t>
      </w:r>
      <w:r w:rsidR="00926055" w:rsidRPr="004D0A20">
        <w:t>y</w:t>
      </w:r>
      <w:r w:rsidR="00CE5F2A" w:rsidRPr="004D0A20">
        <w:t xml:space="preserve"> EU country</w:t>
      </w:r>
      <w:r w:rsidRPr="004D0A20">
        <w:t xml:space="preserve"> </w:t>
      </w:r>
      <w:r w:rsidR="0070169C" w:rsidRPr="004D0A20">
        <w:t xml:space="preserve">can be brought </w:t>
      </w:r>
      <w:r w:rsidRPr="004D0A20">
        <w:t xml:space="preserve">on this sole </w:t>
      </w:r>
      <w:r w:rsidR="00CE5F2A" w:rsidRPr="004D0A20">
        <w:t xml:space="preserve">legal </w:t>
      </w:r>
      <w:r w:rsidRPr="004D0A20">
        <w:t>basis</w:t>
      </w:r>
      <w:r w:rsidR="00926055" w:rsidRPr="004D0A20">
        <w:t>,</w:t>
      </w:r>
      <w:r w:rsidRPr="004D0A20">
        <w:t xml:space="preserve"> either before national or EU courts. </w:t>
      </w:r>
      <w:r w:rsidR="003E68C8" w:rsidRPr="004D0A20">
        <w:t>As far as internal threats to or breach of EU values are concerned, Article 2 TEU may instead be said to rather complement the so-called ‘nuclear option’ previously analysed. Indeed</w:t>
      </w:r>
      <w:r w:rsidR="00041AAE" w:rsidRPr="004D0A20">
        <w:t xml:space="preserve"> Article 7 TEU </w:t>
      </w:r>
      <w:r w:rsidR="003E68C8" w:rsidRPr="004D0A20">
        <w:t xml:space="preserve">does refer explicitly to the values laid down in Article 2 TEU and to that extent, it may be argued that Article 2 TEU comes within the </w:t>
      </w:r>
      <w:proofErr w:type="spellStart"/>
      <w:r w:rsidR="003E68C8" w:rsidRPr="004D0A20">
        <w:t>lex</w:t>
      </w:r>
      <w:proofErr w:type="spellEnd"/>
      <w:r w:rsidR="003E68C8" w:rsidRPr="004D0A20">
        <w:t xml:space="preserve"> </w:t>
      </w:r>
      <w:proofErr w:type="spellStart"/>
      <w:r w:rsidR="003E68C8" w:rsidRPr="004D0A20">
        <w:t>specialis</w:t>
      </w:r>
      <w:proofErr w:type="spellEnd"/>
      <w:r w:rsidR="003E68C8" w:rsidRPr="004D0A20">
        <w:t xml:space="preserve"> of Article 7 </w:t>
      </w:r>
      <w:r w:rsidR="003E68C8" w:rsidRPr="004D0A20">
        <w:lastRenderedPageBreak/>
        <w:t>TEU and as such, cannot be used to trigger legal actions outside of this framework. In other words, Article 2 TEU cannot be relied upon by the Commission to initiate an infringement action</w:t>
      </w:r>
      <w:r w:rsidR="005447A5" w:rsidRPr="004D0A20">
        <w:t xml:space="preserve"> under Article 258 TFEU</w:t>
      </w:r>
      <w:r w:rsidR="00041AAE" w:rsidRPr="004D0A20">
        <w:t>.</w:t>
      </w:r>
      <w:r w:rsidR="0070169C" w:rsidRPr="004D0A20">
        <w:t xml:space="preserve"> </w:t>
      </w:r>
    </w:p>
    <w:p w14:paraId="56705342" w14:textId="77777777" w:rsidR="007779B6" w:rsidRPr="004D0A20" w:rsidRDefault="007779B6" w:rsidP="00027376">
      <w:pPr>
        <w:ind w:firstLine="720"/>
        <w:jc w:val="both"/>
      </w:pPr>
      <w:r w:rsidRPr="004D0A20">
        <w:t xml:space="preserve">The Commission is thus left with </w:t>
      </w:r>
      <w:r w:rsidR="00A617CE" w:rsidRPr="004D0A20">
        <w:t xml:space="preserve">one </w:t>
      </w:r>
      <w:r w:rsidR="0070169C" w:rsidRPr="004D0A20">
        <w:t xml:space="preserve">legal </w:t>
      </w:r>
      <w:r w:rsidR="00A617CE" w:rsidRPr="004D0A20">
        <w:t>option</w:t>
      </w:r>
      <w:r w:rsidR="0070169C" w:rsidRPr="004D0A20">
        <w:t xml:space="preserve"> when it comes to dealing with what may be viewed as national breaches of EU values</w:t>
      </w:r>
      <w:r w:rsidR="00A617CE" w:rsidRPr="004D0A20">
        <w:t xml:space="preserve">: </w:t>
      </w:r>
      <w:r w:rsidRPr="004D0A20">
        <w:t xml:space="preserve">pursuing </w:t>
      </w:r>
      <w:r w:rsidRPr="004D0A20">
        <w:rPr>
          <w:i/>
        </w:rPr>
        <w:t>individual</w:t>
      </w:r>
      <w:r w:rsidRPr="004D0A20">
        <w:t xml:space="preserve"> instances where national authorities do not implement or correctly apply </w:t>
      </w:r>
      <w:r w:rsidRPr="004D0A20">
        <w:rPr>
          <w:i/>
        </w:rPr>
        <w:t>specific</w:t>
      </w:r>
      <w:r w:rsidRPr="004D0A20">
        <w:t xml:space="preserve"> provisions of EU law. No infringement action would however be possible regarding areas not governed by EU law</w:t>
      </w:r>
      <w:r w:rsidR="00C919D7" w:rsidRPr="004D0A20">
        <w:t xml:space="preserve"> or in </w:t>
      </w:r>
      <w:r w:rsidR="003E68C8" w:rsidRPr="004D0A20">
        <w:t xml:space="preserve">the situation where </w:t>
      </w:r>
      <w:r w:rsidR="0070169C" w:rsidRPr="004D0A20">
        <w:t>the national violation of EU values is of a political and diffuse nature</w:t>
      </w:r>
      <w:r w:rsidRPr="004D0A20">
        <w:t xml:space="preserve">. </w:t>
      </w:r>
      <w:r w:rsidR="00A617CE" w:rsidRPr="004D0A20">
        <w:t>This meant, for instance, that i</w:t>
      </w:r>
      <w:r w:rsidRPr="004D0A20">
        <w:t>n the absence of any general EU legislative competence over the independence and impartiality of national judiciarie</w:t>
      </w:r>
      <w:r w:rsidR="00A617CE" w:rsidRPr="004D0A20">
        <w:t xml:space="preserve">s, the Commission had </w:t>
      </w:r>
      <w:r w:rsidRPr="004D0A20">
        <w:t>no choice but to rely on the EU principle of non-discrimination on the ground of age to challenge Hungary’s legislation regarding the compu</w:t>
      </w:r>
      <w:r w:rsidR="00A617CE" w:rsidRPr="004D0A20">
        <w:t xml:space="preserve">lsory retirement of judges. The limited scope of the Commission’s legal challenge </w:t>
      </w:r>
      <w:r w:rsidRPr="004D0A20">
        <w:t xml:space="preserve">did not </w:t>
      </w:r>
      <w:r w:rsidR="00A617CE" w:rsidRPr="004D0A20">
        <w:t xml:space="preserve">unfortunately </w:t>
      </w:r>
      <w:r w:rsidRPr="004D0A20">
        <w:t xml:space="preserve">allow </w:t>
      </w:r>
      <w:r w:rsidR="00A617CE" w:rsidRPr="004D0A20">
        <w:t xml:space="preserve">it </w:t>
      </w:r>
      <w:r w:rsidRPr="004D0A20">
        <w:t>to impose effective remedies that would have prevented the undermining of the independence and impartiality of Hungarian’s judicial system by the national government.</w:t>
      </w:r>
      <w:r w:rsidRPr="004D0A20">
        <w:rPr>
          <w:rStyle w:val="FootnoteReference"/>
          <w:sz w:val="24"/>
        </w:rPr>
        <w:footnoteReference w:id="42"/>
      </w:r>
      <w:r w:rsidRPr="004D0A20">
        <w:t xml:space="preserve"> And while the scope of Article 7 TEU is not confined to the areas regulated by EU law but also allows the Union to act in the event of a breach in which Member States act autonomously, </w:t>
      </w:r>
      <w:r w:rsidR="00A617CE" w:rsidRPr="004D0A20">
        <w:t xml:space="preserve">i.e., </w:t>
      </w:r>
      <w:r w:rsidRPr="004D0A20">
        <w:t>in their own exclusive area</w:t>
      </w:r>
      <w:r w:rsidR="00A617CE" w:rsidRPr="004D0A20">
        <w:t>s</w:t>
      </w:r>
      <w:r w:rsidRPr="004D0A20">
        <w:t xml:space="preserve"> of competence, this provision, as previously noted, has been understood as a ‘nuclear option’ which is there to deter and not to be used, save an extreme situation such as a </w:t>
      </w:r>
      <w:r w:rsidRPr="004D0A20">
        <w:rPr>
          <w:i/>
        </w:rPr>
        <w:t xml:space="preserve">coup </w:t>
      </w:r>
      <w:proofErr w:type="spellStart"/>
      <w:r w:rsidRPr="004D0A20">
        <w:rPr>
          <w:i/>
        </w:rPr>
        <w:t>d’Etat</w:t>
      </w:r>
      <w:proofErr w:type="spellEnd"/>
      <w:r w:rsidRPr="004D0A20">
        <w:t xml:space="preserve">. </w:t>
      </w:r>
    </w:p>
    <w:p w14:paraId="2E36FD52" w14:textId="77777777" w:rsidR="007779B6" w:rsidRPr="004D0A20" w:rsidRDefault="007779B6" w:rsidP="00027376">
      <w:pPr>
        <w:ind w:firstLine="720"/>
        <w:jc w:val="both"/>
      </w:pPr>
      <w:r w:rsidRPr="004D0A20">
        <w:t xml:space="preserve">This leaves the EU with an extremely limited set of legal tools to address </w:t>
      </w:r>
      <w:r w:rsidRPr="004D0A20">
        <w:rPr>
          <w:i/>
        </w:rPr>
        <w:t>systemic</w:t>
      </w:r>
      <w:r w:rsidRPr="004D0A20">
        <w:t xml:space="preserve"> violations of EU values at national level. This is a particularly problematic for a number of important reasons, which one may summarise as follows: Where a country experiences ‘constitutional capture’ by illiberal forces,</w:t>
      </w:r>
      <w:r w:rsidRPr="004D0A20">
        <w:rPr>
          <w:rStyle w:val="FootnoteReference"/>
          <w:sz w:val="24"/>
        </w:rPr>
        <w:footnoteReference w:id="43"/>
      </w:r>
      <w:r w:rsidRPr="004D0A20">
        <w:t xml:space="preserve"> i.e. a government’s systematic weakening of checks and balances, or is governed by elected officials whose official programme is the dismantlement of the liberal democratic state, these violations of EU values do not simply affect the citizens of the relevant Member State.</w:t>
      </w:r>
      <w:r w:rsidRPr="004D0A20">
        <w:rPr>
          <w:rStyle w:val="FootnoteReference"/>
          <w:sz w:val="24"/>
        </w:rPr>
        <w:footnoteReference w:id="44"/>
      </w:r>
      <w:r w:rsidRPr="004D0A20">
        <w:t xml:space="preserve"> They also affect EU citizens residing in that country </w:t>
      </w:r>
      <w:r w:rsidR="006B4341" w:rsidRPr="004D0A20">
        <w:t>as well as</w:t>
      </w:r>
      <w:r w:rsidRPr="004D0A20">
        <w:t xml:space="preserve"> all EU citizens through this country’s participation in the EU’s decision-making process and the adoption of norms t</w:t>
      </w:r>
      <w:r w:rsidR="006B4341" w:rsidRPr="004D0A20">
        <w:t>hat bind all in the EU. Europe</w:t>
      </w:r>
      <w:r w:rsidRPr="004D0A20">
        <w:t>’s regulatory and judicial interconnected space is also built on the principle of mutual trust</w:t>
      </w:r>
      <w:r w:rsidR="007C76E1" w:rsidRPr="004D0A20">
        <w:rPr>
          <w:rStyle w:val="FootnoteReference"/>
          <w:sz w:val="24"/>
        </w:rPr>
        <w:footnoteReference w:id="45"/>
      </w:r>
      <w:r w:rsidRPr="004D0A20">
        <w:t xml:space="preserve"> and an absolute requirement of mutual recognition of judicial decisions,</w:t>
      </w:r>
      <w:r w:rsidR="007C76E1" w:rsidRPr="004D0A20">
        <w:rPr>
          <w:rStyle w:val="FootnoteReference"/>
          <w:sz w:val="24"/>
        </w:rPr>
        <w:footnoteReference w:id="46"/>
      </w:r>
      <w:r w:rsidRPr="004D0A20">
        <w:t xml:space="preserve"> which can hardly survive when one national system ceases to be governed by the rule of law. In addition to these negative externalities, any country disregarding the rule of law threatens the exercise of the rights granted to all EU citizens regardless of where they reside in the EU.</w:t>
      </w:r>
      <w:r w:rsidR="001B626A" w:rsidRPr="004D0A20">
        <w:rPr>
          <w:rStyle w:val="FootnoteReference"/>
          <w:sz w:val="24"/>
        </w:rPr>
        <w:footnoteReference w:id="47"/>
      </w:r>
      <w:r w:rsidRPr="004D0A20">
        <w:t xml:space="preserve"> Finally, the legitimacy and credibility of the EU are both undermined when it ceases to be able to </w:t>
      </w:r>
      <w:r w:rsidRPr="004D0A20">
        <w:lastRenderedPageBreak/>
        <w:t xml:space="preserve">guarantee internal compliance with the values it has sought </w:t>
      </w:r>
      <w:r w:rsidR="00146CE7" w:rsidRPr="004D0A20">
        <w:t>– with relative success</w:t>
      </w:r>
      <w:r w:rsidR="00146CE7" w:rsidRPr="004D0A20">
        <w:rPr>
          <w:rStyle w:val="FootnoteReference"/>
          <w:sz w:val="24"/>
        </w:rPr>
        <w:footnoteReference w:id="48"/>
      </w:r>
      <w:r w:rsidR="00146CE7" w:rsidRPr="004D0A20">
        <w:t xml:space="preserve"> – </w:t>
      </w:r>
      <w:r w:rsidRPr="004D0A20">
        <w:t>to uphold and promote in its external relations.</w:t>
      </w:r>
    </w:p>
    <w:p w14:paraId="0EA0F8C7" w14:textId="77777777" w:rsidR="00027376" w:rsidRPr="004D0A20" w:rsidRDefault="007779B6" w:rsidP="00127D5B">
      <w:pPr>
        <w:pStyle w:val="BodyText2"/>
        <w:spacing w:before="0" w:line="240" w:lineRule="auto"/>
        <w:ind w:firstLine="720"/>
        <w:rPr>
          <w:sz w:val="24"/>
          <w:szCs w:val="24"/>
        </w:rPr>
      </w:pPr>
      <w:r w:rsidRPr="004D0A20">
        <w:rPr>
          <w:sz w:val="24"/>
          <w:szCs w:val="24"/>
        </w:rPr>
        <w:t xml:space="preserve">The Commission </w:t>
      </w:r>
      <w:r w:rsidR="00F33745" w:rsidRPr="004D0A20">
        <w:rPr>
          <w:sz w:val="24"/>
          <w:szCs w:val="24"/>
        </w:rPr>
        <w:t xml:space="preserve">therefore </w:t>
      </w:r>
      <w:r w:rsidRPr="004D0A20">
        <w:rPr>
          <w:sz w:val="24"/>
          <w:szCs w:val="24"/>
        </w:rPr>
        <w:t>had a point when it noted that ‘</w:t>
      </w:r>
      <w:r w:rsidRPr="004D0A20">
        <w:rPr>
          <w:sz w:val="24"/>
          <w:szCs w:val="20"/>
        </w:rPr>
        <w:t>the confidence of all EU citizens and national authorities in the legal systems of all other Member States is vital for the functioning of the whole EU’.</w:t>
      </w:r>
      <w:r w:rsidRPr="004D0A20">
        <w:rPr>
          <w:rStyle w:val="FootnoteReference"/>
          <w:sz w:val="24"/>
          <w:szCs w:val="20"/>
        </w:rPr>
        <w:footnoteReference w:id="49"/>
      </w:r>
      <w:r w:rsidRPr="004D0A20">
        <w:rPr>
          <w:sz w:val="24"/>
          <w:szCs w:val="20"/>
        </w:rPr>
        <w:t xml:space="preserve"> This</w:t>
      </w:r>
      <w:r w:rsidR="00127D5B" w:rsidRPr="004D0A20">
        <w:rPr>
          <w:sz w:val="24"/>
          <w:szCs w:val="20"/>
        </w:rPr>
        <w:t>, in turn,</w:t>
      </w:r>
      <w:r w:rsidRPr="004D0A20">
        <w:rPr>
          <w:sz w:val="24"/>
          <w:szCs w:val="20"/>
        </w:rPr>
        <w:t xml:space="preserve"> </w:t>
      </w:r>
      <w:r w:rsidR="00C02F16" w:rsidRPr="004D0A20">
        <w:rPr>
          <w:sz w:val="24"/>
          <w:szCs w:val="20"/>
        </w:rPr>
        <w:t xml:space="preserve">plainly </w:t>
      </w:r>
      <w:r w:rsidR="00127D5B" w:rsidRPr="004D0A20">
        <w:rPr>
          <w:sz w:val="24"/>
          <w:szCs w:val="20"/>
        </w:rPr>
        <w:t>justifies</w:t>
      </w:r>
      <w:r w:rsidRPr="004D0A20">
        <w:rPr>
          <w:sz w:val="24"/>
          <w:szCs w:val="20"/>
        </w:rPr>
        <w:t xml:space="preserve"> </w:t>
      </w:r>
      <w:r w:rsidRPr="004D0A20">
        <w:rPr>
          <w:sz w:val="24"/>
          <w:szCs w:val="24"/>
        </w:rPr>
        <w:t>an increa</w:t>
      </w:r>
      <w:r w:rsidR="00762D04" w:rsidRPr="004D0A20">
        <w:rPr>
          <w:sz w:val="24"/>
          <w:szCs w:val="24"/>
        </w:rPr>
        <w:t>sed</w:t>
      </w:r>
      <w:r w:rsidR="00127D5B" w:rsidRPr="004D0A20">
        <w:rPr>
          <w:sz w:val="24"/>
          <w:szCs w:val="24"/>
        </w:rPr>
        <w:t xml:space="preserve"> monitoring and policing of </w:t>
      </w:r>
      <w:r w:rsidR="00762D04" w:rsidRPr="004D0A20">
        <w:rPr>
          <w:sz w:val="24"/>
          <w:szCs w:val="24"/>
        </w:rPr>
        <w:t>EU</w:t>
      </w:r>
      <w:r w:rsidRPr="004D0A20">
        <w:rPr>
          <w:sz w:val="24"/>
          <w:szCs w:val="24"/>
        </w:rPr>
        <w:t xml:space="preserve"> Member States</w:t>
      </w:r>
      <w:r w:rsidR="00762D04" w:rsidRPr="004D0A20">
        <w:rPr>
          <w:sz w:val="24"/>
          <w:szCs w:val="24"/>
        </w:rPr>
        <w:t xml:space="preserve"> by the EU itself and this was </w:t>
      </w:r>
      <w:r w:rsidR="00127D5B" w:rsidRPr="004D0A20">
        <w:rPr>
          <w:sz w:val="24"/>
          <w:szCs w:val="24"/>
        </w:rPr>
        <w:t xml:space="preserve">indeed precisely </w:t>
      </w:r>
      <w:r w:rsidR="00762D04" w:rsidRPr="004D0A20">
        <w:rPr>
          <w:sz w:val="24"/>
          <w:szCs w:val="24"/>
        </w:rPr>
        <w:t xml:space="preserve">the aim of the </w:t>
      </w:r>
      <w:r w:rsidRPr="004D0A20">
        <w:rPr>
          <w:sz w:val="24"/>
          <w:szCs w:val="24"/>
        </w:rPr>
        <w:t xml:space="preserve">new framework </w:t>
      </w:r>
      <w:r w:rsidR="00127D5B" w:rsidRPr="004D0A20">
        <w:rPr>
          <w:sz w:val="24"/>
          <w:szCs w:val="24"/>
        </w:rPr>
        <w:t xml:space="preserve">adopted </w:t>
      </w:r>
      <w:r w:rsidR="00762D04" w:rsidRPr="004D0A20">
        <w:rPr>
          <w:sz w:val="24"/>
          <w:szCs w:val="24"/>
        </w:rPr>
        <w:t xml:space="preserve">by the Commission in March 2014. </w:t>
      </w:r>
    </w:p>
    <w:p w14:paraId="5074906E" w14:textId="77777777" w:rsidR="007779B6" w:rsidRPr="004D0A20" w:rsidRDefault="007779B6" w:rsidP="007779B6">
      <w:pPr>
        <w:pStyle w:val="BodyText2"/>
        <w:spacing w:before="0" w:line="240" w:lineRule="auto"/>
        <w:ind w:firstLine="0"/>
        <w:rPr>
          <w:b/>
          <w:sz w:val="24"/>
          <w:szCs w:val="24"/>
        </w:rPr>
      </w:pPr>
    </w:p>
    <w:p w14:paraId="22D5B743" w14:textId="77777777" w:rsidR="007779B6" w:rsidRPr="004D0A20" w:rsidRDefault="007779B6" w:rsidP="007779B6">
      <w:pPr>
        <w:jc w:val="both"/>
        <w:rPr>
          <w:b/>
        </w:rPr>
      </w:pPr>
      <w:r w:rsidRPr="004D0A20">
        <w:rPr>
          <w:b/>
        </w:rPr>
        <w:t xml:space="preserve">2. The Commission’s </w:t>
      </w:r>
      <w:r w:rsidR="00762D04" w:rsidRPr="004D0A20">
        <w:rPr>
          <w:b/>
        </w:rPr>
        <w:t xml:space="preserve">new framework to strengthen the rule of law </w:t>
      </w:r>
    </w:p>
    <w:p w14:paraId="7BE43D02" w14:textId="77777777" w:rsidR="007779B6" w:rsidRPr="004D0A20" w:rsidRDefault="007779B6" w:rsidP="007779B6">
      <w:pPr>
        <w:jc w:val="both"/>
      </w:pPr>
    </w:p>
    <w:p w14:paraId="7E05745A" w14:textId="77777777" w:rsidR="007779B6" w:rsidRPr="004D0A20" w:rsidRDefault="007779B6" w:rsidP="007779B6">
      <w:pPr>
        <w:jc w:val="both"/>
      </w:pPr>
      <w:r w:rsidRPr="004D0A20">
        <w:t xml:space="preserve">In a nutshell, the Commission’s </w:t>
      </w:r>
      <w:r w:rsidR="00762D04" w:rsidRPr="004D0A20">
        <w:t xml:space="preserve">so-called </w:t>
      </w:r>
      <w:r w:rsidRPr="004D0A20">
        <w:t xml:space="preserve">new framework to strengthen the rule of law takes the form of an early warning tool whose primary </w:t>
      </w:r>
      <w:r w:rsidR="00762D04" w:rsidRPr="004D0A20">
        <w:t xml:space="preserve">purpose </w:t>
      </w:r>
      <w:r w:rsidRPr="004D0A20">
        <w:t>is to enable the Commission to enter into a structured dialogue with the Member State concerned to prevent the escalation of systemic threats to the rule of law. This procedure is supposed to precede the even</w:t>
      </w:r>
      <w:r w:rsidR="00762D04" w:rsidRPr="004D0A20">
        <w:t>tual triggering of the</w:t>
      </w:r>
      <w:r w:rsidRPr="004D0A20">
        <w:t xml:space="preserve"> </w:t>
      </w:r>
      <w:r w:rsidR="00762D04" w:rsidRPr="004D0A20">
        <w:t>‘</w:t>
      </w:r>
      <w:r w:rsidRPr="004D0A20">
        <w:t>nuclear option</w:t>
      </w:r>
      <w:r w:rsidR="00762D04" w:rsidRPr="004D0A20">
        <w:t>’</w:t>
      </w:r>
      <w:r w:rsidRPr="004D0A20">
        <w:t xml:space="preserve"> laid down in Article 7 TEU. The Commission has a</w:t>
      </w:r>
      <w:r w:rsidR="00762D04" w:rsidRPr="004D0A20">
        <w:t>lso made clear that its</w:t>
      </w:r>
      <w:r w:rsidRPr="004D0A20">
        <w:t xml:space="preserve"> framework should not be understood as preventing the concurrent launch of infringement actions against the relevant Member State where specific violations of EU law can be identified. </w:t>
      </w:r>
    </w:p>
    <w:p w14:paraId="324DA000" w14:textId="77777777" w:rsidR="007779B6" w:rsidRPr="004D0A20" w:rsidRDefault="007779B6" w:rsidP="007779B6">
      <w:pPr>
        <w:pStyle w:val="NormalWeb"/>
        <w:spacing w:beforeLines="0" w:afterLines="0"/>
        <w:jc w:val="both"/>
        <w:rPr>
          <w:rFonts w:ascii="Times New Roman" w:hAnsi="Times New Roman"/>
          <w:sz w:val="24"/>
          <w:szCs w:val="24"/>
          <w:lang w:val="en-GB"/>
        </w:rPr>
      </w:pPr>
    </w:p>
    <w:p w14:paraId="66FFEADA" w14:textId="77777777" w:rsidR="007779B6" w:rsidRPr="004D0A20" w:rsidRDefault="007779B6" w:rsidP="007779B6">
      <w:pPr>
        <w:pStyle w:val="NormalWeb"/>
        <w:spacing w:beforeLines="0" w:afterLines="0"/>
        <w:jc w:val="both"/>
        <w:rPr>
          <w:rFonts w:ascii="Times New Roman" w:hAnsi="Times New Roman"/>
          <w:i/>
          <w:sz w:val="24"/>
          <w:szCs w:val="24"/>
          <w:lang w:val="en-GB"/>
        </w:rPr>
      </w:pPr>
      <w:r w:rsidRPr="004D0A20">
        <w:rPr>
          <w:rFonts w:ascii="Times New Roman" w:hAnsi="Times New Roman"/>
          <w:i/>
          <w:sz w:val="24"/>
          <w:szCs w:val="24"/>
          <w:lang w:val="en-GB"/>
        </w:rPr>
        <w:t>2.1 Triggering factors</w:t>
      </w:r>
    </w:p>
    <w:p w14:paraId="02E198A6" w14:textId="77777777" w:rsidR="007779B6" w:rsidRPr="004D0A20" w:rsidRDefault="007779B6" w:rsidP="007779B6">
      <w:pPr>
        <w:pStyle w:val="NormalWeb"/>
        <w:spacing w:beforeLines="0" w:afterLines="0"/>
        <w:jc w:val="both"/>
        <w:rPr>
          <w:rFonts w:ascii="Times New Roman" w:hAnsi="Times New Roman"/>
          <w:sz w:val="24"/>
          <w:szCs w:val="24"/>
          <w:lang w:val="en-GB"/>
        </w:rPr>
      </w:pPr>
    </w:p>
    <w:p w14:paraId="23A9B78D" w14:textId="77777777" w:rsidR="007779B6" w:rsidRPr="004D0A20" w:rsidRDefault="007779B6" w:rsidP="007779B6">
      <w:pPr>
        <w:pStyle w:val="NormalWeb"/>
        <w:spacing w:beforeLines="0" w:afterLines="0"/>
        <w:jc w:val="both"/>
        <w:rPr>
          <w:rFonts w:ascii="Times New Roman" w:hAnsi="Times New Roman"/>
          <w:sz w:val="24"/>
          <w:szCs w:val="16"/>
          <w:lang w:val="en-GB"/>
        </w:rPr>
      </w:pPr>
      <w:r w:rsidRPr="004D0A20">
        <w:rPr>
          <w:rFonts w:ascii="Times New Roman" w:hAnsi="Times New Roman"/>
          <w:sz w:val="24"/>
          <w:szCs w:val="24"/>
          <w:lang w:val="en-GB"/>
        </w:rPr>
        <w:t xml:space="preserve">Before describing how the new ‘rule of law dialogue’ is supposed to work </w:t>
      </w:r>
      <w:r w:rsidR="008C20D6" w:rsidRPr="004D0A20">
        <w:rPr>
          <w:rFonts w:ascii="Times New Roman" w:hAnsi="Times New Roman"/>
          <w:sz w:val="24"/>
          <w:szCs w:val="24"/>
          <w:lang w:val="en-GB"/>
        </w:rPr>
        <w:t>in practice, one must note the C</w:t>
      </w:r>
      <w:r w:rsidRPr="004D0A20">
        <w:rPr>
          <w:rFonts w:ascii="Times New Roman" w:hAnsi="Times New Roman"/>
          <w:sz w:val="24"/>
          <w:szCs w:val="24"/>
          <w:lang w:val="en-GB"/>
        </w:rPr>
        <w:t xml:space="preserve">ommunication’s emphasis on the notion of ‘systemic threat’. </w:t>
      </w:r>
      <w:r w:rsidR="00502077" w:rsidRPr="004D0A20">
        <w:rPr>
          <w:rFonts w:ascii="Times New Roman" w:hAnsi="Times New Roman"/>
          <w:sz w:val="24"/>
          <w:szCs w:val="24"/>
          <w:lang w:val="en-GB"/>
        </w:rPr>
        <w:t xml:space="preserve">It would be wrong therefore to assume that the Commission </w:t>
      </w:r>
      <w:r w:rsidR="008C20D6" w:rsidRPr="004D0A20">
        <w:rPr>
          <w:rFonts w:ascii="Times New Roman" w:hAnsi="Times New Roman"/>
          <w:sz w:val="24"/>
          <w:szCs w:val="24"/>
          <w:lang w:val="en-GB"/>
        </w:rPr>
        <w:t xml:space="preserve">sought </w:t>
      </w:r>
      <w:r w:rsidRPr="004D0A20">
        <w:rPr>
          <w:rFonts w:ascii="Times New Roman" w:hAnsi="Times New Roman"/>
          <w:sz w:val="24"/>
          <w:szCs w:val="24"/>
          <w:lang w:val="en-GB"/>
        </w:rPr>
        <w:t>to gain a new power to examine individual breaches of fundamental rights or routine miscarriages of justice</w:t>
      </w:r>
      <w:r w:rsidR="008C20D6" w:rsidRPr="004D0A20">
        <w:rPr>
          <w:rFonts w:ascii="Times New Roman" w:hAnsi="Times New Roman"/>
          <w:sz w:val="24"/>
          <w:szCs w:val="24"/>
          <w:lang w:val="en-GB"/>
        </w:rPr>
        <w:t xml:space="preserve"> via its new rule of law framework. Rather, the Commission</w:t>
      </w:r>
      <w:r w:rsidR="00502077" w:rsidRPr="004D0A20">
        <w:rPr>
          <w:rFonts w:ascii="Times New Roman" w:hAnsi="Times New Roman"/>
          <w:sz w:val="24"/>
          <w:szCs w:val="24"/>
          <w:lang w:val="en-GB"/>
        </w:rPr>
        <w:t xml:space="preserve"> merely </w:t>
      </w:r>
      <w:r w:rsidR="008C20D6" w:rsidRPr="004D0A20">
        <w:rPr>
          <w:rFonts w:ascii="Times New Roman" w:hAnsi="Times New Roman"/>
          <w:sz w:val="24"/>
          <w:szCs w:val="24"/>
          <w:lang w:val="en-GB"/>
        </w:rPr>
        <w:t xml:space="preserve">sought to gain </w:t>
      </w:r>
      <w:r w:rsidRPr="004D0A20">
        <w:rPr>
          <w:rFonts w:ascii="Times New Roman" w:hAnsi="Times New Roman"/>
          <w:sz w:val="24"/>
          <w:szCs w:val="24"/>
          <w:lang w:val="en-GB"/>
        </w:rPr>
        <w:t>a new</w:t>
      </w:r>
      <w:r w:rsidR="00502077" w:rsidRPr="004D0A20">
        <w:rPr>
          <w:rFonts w:ascii="Times New Roman" w:hAnsi="Times New Roman"/>
          <w:sz w:val="24"/>
          <w:szCs w:val="24"/>
          <w:lang w:val="en-GB"/>
        </w:rPr>
        <w:t>, additional</w:t>
      </w:r>
      <w:r w:rsidRPr="004D0A20">
        <w:rPr>
          <w:rFonts w:ascii="Times New Roman" w:hAnsi="Times New Roman"/>
          <w:sz w:val="24"/>
          <w:szCs w:val="24"/>
          <w:lang w:val="en-GB"/>
        </w:rPr>
        <w:t xml:space="preserve"> tool to address</w:t>
      </w:r>
      <w:r w:rsidRPr="004D0A20">
        <w:rPr>
          <w:rFonts w:ascii="Times New Roman" w:hAnsi="Times New Roman"/>
          <w:sz w:val="24"/>
          <w:lang w:val="en-GB"/>
        </w:rPr>
        <w:t xml:space="preserve"> threats to the rule of law ‘which are of a systemic nature’</w:t>
      </w:r>
      <w:r w:rsidRPr="004D0A20">
        <w:rPr>
          <w:rFonts w:ascii="Times New Roman" w:hAnsi="Times New Roman"/>
          <w:sz w:val="24"/>
          <w:szCs w:val="16"/>
          <w:lang w:val="en-GB"/>
        </w:rPr>
        <w:t>.</w:t>
      </w:r>
      <w:r w:rsidRPr="004D0A20">
        <w:rPr>
          <w:rStyle w:val="FootnoteReference"/>
          <w:rFonts w:ascii="Times New Roman" w:hAnsi="Times New Roman"/>
          <w:sz w:val="24"/>
          <w:szCs w:val="16"/>
          <w:lang w:val="en-GB"/>
        </w:rPr>
        <w:footnoteReference w:id="50"/>
      </w:r>
      <w:r w:rsidRPr="004D0A20">
        <w:rPr>
          <w:rFonts w:ascii="Times New Roman" w:hAnsi="Times New Roman"/>
          <w:sz w:val="24"/>
          <w:szCs w:val="16"/>
          <w:lang w:val="en-GB"/>
        </w:rPr>
        <w:t xml:space="preserve"> </w:t>
      </w:r>
    </w:p>
    <w:p w14:paraId="40F36C40" w14:textId="77777777" w:rsidR="007779B6" w:rsidRPr="004D0A20" w:rsidRDefault="007779B6" w:rsidP="00027376">
      <w:pPr>
        <w:pStyle w:val="NormalWeb"/>
        <w:spacing w:beforeLines="0" w:afterLines="0"/>
        <w:ind w:firstLine="720"/>
        <w:jc w:val="both"/>
        <w:rPr>
          <w:rFonts w:ascii="Times New Roman" w:hAnsi="Times New Roman"/>
          <w:sz w:val="24"/>
          <w:szCs w:val="16"/>
          <w:lang w:val="en-GB"/>
        </w:rPr>
      </w:pPr>
      <w:r w:rsidRPr="004D0A20">
        <w:rPr>
          <w:rFonts w:ascii="Times New Roman" w:hAnsi="Times New Roman"/>
          <w:sz w:val="24"/>
          <w:szCs w:val="16"/>
          <w:lang w:val="en-GB"/>
        </w:rPr>
        <w:t xml:space="preserve">As a preliminary point, the Commission sensibly attempts to offer a working definition of the notion of the rule of law. </w:t>
      </w:r>
      <w:r w:rsidRPr="004D0A20">
        <w:rPr>
          <w:rFonts w:ascii="Times New Roman" w:hAnsi="Times New Roman"/>
          <w:sz w:val="24"/>
          <w:lang w:val="en-GB"/>
        </w:rPr>
        <w:t>In a similar fashion to a study previously adopted by the Venice Commission,</w:t>
      </w:r>
      <w:r w:rsidRPr="004D0A20">
        <w:rPr>
          <w:rStyle w:val="FootnoteReference"/>
          <w:rFonts w:ascii="Times New Roman" w:hAnsi="Times New Roman"/>
          <w:color w:val="000000"/>
          <w:sz w:val="24"/>
          <w:lang w:val="en-GB"/>
        </w:rPr>
        <w:footnoteReference w:id="51"/>
      </w:r>
      <w:r w:rsidRPr="004D0A20">
        <w:rPr>
          <w:rFonts w:ascii="Times New Roman" w:hAnsi="Times New Roman"/>
          <w:sz w:val="24"/>
          <w:lang w:val="en-GB"/>
        </w:rPr>
        <w:t xml:space="preserve"> </w:t>
      </w:r>
      <w:r w:rsidRPr="004D0A20">
        <w:rPr>
          <w:rFonts w:ascii="Times New Roman" w:hAnsi="Times New Roman"/>
          <w:color w:val="000000"/>
          <w:sz w:val="24"/>
          <w:lang w:val="en-GB"/>
        </w:rPr>
        <w:t>the European Commission’s Communication reflects the view that there is now a consensus on the core meaning of the rule of law and that this concept essentially entails compliance with the following six legal principles</w:t>
      </w:r>
      <w:r w:rsidRPr="004D0A20">
        <w:rPr>
          <w:rFonts w:ascii="Times New Roman" w:hAnsi="Times New Roman"/>
          <w:sz w:val="24"/>
          <w:lang w:val="en-GB"/>
        </w:rPr>
        <w:t>:</w:t>
      </w:r>
      <w:r w:rsidRPr="004D0A20">
        <w:rPr>
          <w:rStyle w:val="FootnoteReference"/>
          <w:rFonts w:ascii="Times New Roman" w:hAnsi="Times New Roman"/>
          <w:sz w:val="24"/>
          <w:lang w:val="en-GB"/>
        </w:rPr>
        <w:footnoteReference w:id="52"/>
      </w:r>
      <w:r w:rsidRPr="004D0A20">
        <w:rPr>
          <w:rFonts w:ascii="Times New Roman" w:hAnsi="Times New Roman"/>
          <w:sz w:val="24"/>
          <w:lang w:val="en-GB"/>
        </w:rPr>
        <w:t xml:space="preserve"> </w:t>
      </w:r>
    </w:p>
    <w:p w14:paraId="558C9D6E" w14:textId="77777777" w:rsidR="007779B6" w:rsidRPr="004D0A20" w:rsidRDefault="007779B6" w:rsidP="007779B6">
      <w:pPr>
        <w:jc w:val="both"/>
        <w:rPr>
          <w:rFonts w:cs="Times New Roman"/>
        </w:rPr>
      </w:pPr>
    </w:p>
    <w:tbl>
      <w:tblPr>
        <w:tblW w:w="3505" w:type="pct"/>
        <w:jc w:val="center"/>
        <w:tblCellSpacing w:w="15" w:type="dxa"/>
        <w:tblCellMar>
          <w:top w:w="60" w:type="dxa"/>
          <w:left w:w="60" w:type="dxa"/>
          <w:bottom w:w="60" w:type="dxa"/>
          <w:right w:w="60" w:type="dxa"/>
        </w:tblCellMar>
        <w:tblLook w:val="0000" w:firstRow="0" w:lastRow="0" w:firstColumn="0" w:lastColumn="0" w:noHBand="0" w:noVBand="0"/>
      </w:tblPr>
      <w:tblGrid>
        <w:gridCol w:w="407"/>
        <w:gridCol w:w="5880"/>
      </w:tblGrid>
      <w:tr w:rsidR="007779B6" w:rsidRPr="001A2C93" w14:paraId="75CE1AAB" w14:textId="77777777">
        <w:trPr>
          <w:tblCellSpacing w:w="15" w:type="dxa"/>
          <w:jc w:val="center"/>
        </w:trPr>
        <w:tc>
          <w:tcPr>
            <w:tcW w:w="288" w:type="pct"/>
            <w:shd w:val="clear" w:color="auto" w:fill="auto"/>
            <w:vAlign w:val="center"/>
          </w:tcPr>
          <w:p w14:paraId="0E80580F" w14:textId="77777777" w:rsidR="007779B6" w:rsidRPr="001A2C93" w:rsidRDefault="007779B6" w:rsidP="008B3CF5">
            <w:pPr>
              <w:contextualSpacing/>
              <w:jc w:val="both"/>
              <w:rPr>
                <w:sz w:val="20"/>
                <w:szCs w:val="20"/>
              </w:rPr>
            </w:pPr>
            <w:r w:rsidRPr="001A2C93">
              <w:rPr>
                <w:sz w:val="20"/>
                <w:szCs w:val="20"/>
              </w:rPr>
              <w:t>1)</w:t>
            </w:r>
          </w:p>
        </w:tc>
        <w:tc>
          <w:tcPr>
            <w:tcW w:w="4636" w:type="pct"/>
            <w:shd w:val="clear" w:color="auto" w:fill="auto"/>
            <w:vAlign w:val="center"/>
          </w:tcPr>
          <w:p w14:paraId="6CBEFBC8" w14:textId="77777777" w:rsidR="007779B6" w:rsidRPr="001A2C93" w:rsidRDefault="007779B6" w:rsidP="008B3CF5">
            <w:pPr>
              <w:jc w:val="both"/>
              <w:rPr>
                <w:sz w:val="20"/>
                <w:szCs w:val="20"/>
              </w:rPr>
            </w:pPr>
            <w:r w:rsidRPr="001A2C93">
              <w:rPr>
                <w:sz w:val="20"/>
              </w:rPr>
              <w:t>Legality,</w:t>
            </w:r>
            <w:r w:rsidRPr="001A2C93">
              <w:rPr>
                <w:rFonts w:cs="Times New Roman"/>
                <w:sz w:val="20"/>
              </w:rPr>
              <w:t xml:space="preserve"> which implies a transparent, accountable, democratic and pluralistic process for enacting laws</w:t>
            </w:r>
            <w:r w:rsidRPr="001A2C93">
              <w:rPr>
                <w:sz w:val="20"/>
              </w:rPr>
              <w:t>;</w:t>
            </w:r>
          </w:p>
        </w:tc>
      </w:tr>
      <w:tr w:rsidR="007779B6" w:rsidRPr="001A2C93" w14:paraId="067E090D" w14:textId="77777777">
        <w:trPr>
          <w:tblCellSpacing w:w="15" w:type="dxa"/>
          <w:jc w:val="center"/>
        </w:trPr>
        <w:tc>
          <w:tcPr>
            <w:tcW w:w="288" w:type="pct"/>
            <w:shd w:val="clear" w:color="auto" w:fill="auto"/>
            <w:vAlign w:val="center"/>
          </w:tcPr>
          <w:p w14:paraId="7EE20B6D" w14:textId="77777777" w:rsidR="007779B6" w:rsidRPr="001A2C93" w:rsidRDefault="007779B6" w:rsidP="008B3CF5">
            <w:pPr>
              <w:contextualSpacing/>
              <w:jc w:val="both"/>
              <w:rPr>
                <w:sz w:val="20"/>
                <w:szCs w:val="20"/>
              </w:rPr>
            </w:pPr>
            <w:r w:rsidRPr="001A2C93">
              <w:rPr>
                <w:sz w:val="20"/>
                <w:szCs w:val="20"/>
              </w:rPr>
              <w:t>2)</w:t>
            </w:r>
          </w:p>
        </w:tc>
        <w:tc>
          <w:tcPr>
            <w:tcW w:w="4636" w:type="pct"/>
            <w:shd w:val="clear" w:color="auto" w:fill="auto"/>
            <w:vAlign w:val="center"/>
          </w:tcPr>
          <w:p w14:paraId="40DD57CC" w14:textId="77777777" w:rsidR="007779B6" w:rsidRPr="001A2C93" w:rsidRDefault="007779B6" w:rsidP="008B3CF5">
            <w:pPr>
              <w:jc w:val="both"/>
              <w:rPr>
                <w:sz w:val="20"/>
                <w:szCs w:val="20"/>
              </w:rPr>
            </w:pPr>
            <w:r w:rsidRPr="001A2C93">
              <w:rPr>
                <w:rFonts w:cs="Helvetica"/>
                <w:color w:val="090A0A"/>
                <w:sz w:val="20"/>
                <w:szCs w:val="18"/>
              </w:rPr>
              <w:t>Legal certainty;</w:t>
            </w:r>
          </w:p>
        </w:tc>
      </w:tr>
      <w:tr w:rsidR="007779B6" w:rsidRPr="001A2C93" w14:paraId="66B2FC06" w14:textId="77777777">
        <w:trPr>
          <w:tblCellSpacing w:w="15" w:type="dxa"/>
          <w:jc w:val="center"/>
        </w:trPr>
        <w:tc>
          <w:tcPr>
            <w:tcW w:w="288" w:type="pct"/>
            <w:shd w:val="clear" w:color="auto" w:fill="auto"/>
            <w:vAlign w:val="center"/>
          </w:tcPr>
          <w:p w14:paraId="2C2DE654" w14:textId="77777777" w:rsidR="007779B6" w:rsidRPr="001A2C93" w:rsidRDefault="007779B6" w:rsidP="008B3CF5">
            <w:pPr>
              <w:contextualSpacing/>
              <w:jc w:val="both"/>
              <w:rPr>
                <w:sz w:val="20"/>
                <w:szCs w:val="20"/>
              </w:rPr>
            </w:pPr>
            <w:r w:rsidRPr="001A2C93">
              <w:rPr>
                <w:sz w:val="20"/>
                <w:szCs w:val="20"/>
              </w:rPr>
              <w:t>3)</w:t>
            </w:r>
          </w:p>
        </w:tc>
        <w:tc>
          <w:tcPr>
            <w:tcW w:w="4636" w:type="pct"/>
            <w:shd w:val="clear" w:color="auto" w:fill="auto"/>
            <w:vAlign w:val="center"/>
          </w:tcPr>
          <w:p w14:paraId="77E9FD9A" w14:textId="77777777" w:rsidR="007779B6" w:rsidRPr="001A2C93" w:rsidRDefault="007779B6" w:rsidP="008B3CF5">
            <w:pPr>
              <w:jc w:val="both"/>
              <w:rPr>
                <w:sz w:val="20"/>
              </w:rPr>
            </w:pPr>
            <w:r w:rsidRPr="001A2C93">
              <w:rPr>
                <w:sz w:val="20"/>
              </w:rPr>
              <w:t>Prohibition of arbitrariness of the executive powers;</w:t>
            </w:r>
          </w:p>
        </w:tc>
      </w:tr>
      <w:tr w:rsidR="007779B6" w:rsidRPr="001A2C93" w14:paraId="6A4B2A73" w14:textId="77777777">
        <w:trPr>
          <w:tblCellSpacing w:w="15" w:type="dxa"/>
          <w:jc w:val="center"/>
        </w:trPr>
        <w:tc>
          <w:tcPr>
            <w:tcW w:w="288" w:type="pct"/>
            <w:shd w:val="clear" w:color="auto" w:fill="auto"/>
            <w:vAlign w:val="center"/>
          </w:tcPr>
          <w:p w14:paraId="7B7B4E6A" w14:textId="77777777" w:rsidR="007779B6" w:rsidRPr="001A2C93" w:rsidRDefault="007779B6" w:rsidP="008B3CF5">
            <w:pPr>
              <w:contextualSpacing/>
              <w:jc w:val="both"/>
              <w:rPr>
                <w:sz w:val="20"/>
                <w:szCs w:val="20"/>
              </w:rPr>
            </w:pPr>
            <w:r w:rsidRPr="001A2C93">
              <w:rPr>
                <w:sz w:val="20"/>
                <w:szCs w:val="20"/>
              </w:rPr>
              <w:t>4)</w:t>
            </w:r>
          </w:p>
        </w:tc>
        <w:tc>
          <w:tcPr>
            <w:tcW w:w="4636" w:type="pct"/>
            <w:shd w:val="clear" w:color="auto" w:fill="auto"/>
            <w:vAlign w:val="center"/>
          </w:tcPr>
          <w:p w14:paraId="447C295A" w14:textId="77777777" w:rsidR="007779B6" w:rsidRPr="001A2C93" w:rsidRDefault="007779B6" w:rsidP="008B3CF5">
            <w:pPr>
              <w:jc w:val="both"/>
              <w:rPr>
                <w:sz w:val="20"/>
                <w:szCs w:val="20"/>
              </w:rPr>
            </w:pPr>
            <w:r w:rsidRPr="001A2C93">
              <w:rPr>
                <w:sz w:val="20"/>
              </w:rPr>
              <w:t>Independent and impartial courts;</w:t>
            </w:r>
          </w:p>
        </w:tc>
      </w:tr>
      <w:tr w:rsidR="007779B6" w:rsidRPr="001A2C93" w14:paraId="3E1BFF0C" w14:textId="77777777">
        <w:trPr>
          <w:tblCellSpacing w:w="15" w:type="dxa"/>
          <w:jc w:val="center"/>
        </w:trPr>
        <w:tc>
          <w:tcPr>
            <w:tcW w:w="288" w:type="pct"/>
            <w:shd w:val="clear" w:color="auto" w:fill="auto"/>
            <w:vAlign w:val="center"/>
          </w:tcPr>
          <w:p w14:paraId="60A865ED" w14:textId="77777777" w:rsidR="007779B6" w:rsidRPr="001A2C93" w:rsidRDefault="007779B6" w:rsidP="008B3CF5">
            <w:pPr>
              <w:contextualSpacing/>
              <w:jc w:val="both"/>
              <w:rPr>
                <w:sz w:val="20"/>
                <w:szCs w:val="20"/>
              </w:rPr>
            </w:pPr>
            <w:r w:rsidRPr="001A2C93">
              <w:rPr>
                <w:sz w:val="20"/>
                <w:szCs w:val="20"/>
              </w:rPr>
              <w:t>5)</w:t>
            </w:r>
          </w:p>
        </w:tc>
        <w:tc>
          <w:tcPr>
            <w:tcW w:w="4636" w:type="pct"/>
            <w:shd w:val="clear" w:color="auto" w:fill="auto"/>
            <w:vAlign w:val="center"/>
          </w:tcPr>
          <w:p w14:paraId="375B215F" w14:textId="77777777" w:rsidR="007779B6" w:rsidRPr="001A2C93" w:rsidRDefault="007779B6" w:rsidP="008B3CF5">
            <w:pPr>
              <w:jc w:val="both"/>
              <w:rPr>
                <w:sz w:val="20"/>
                <w:szCs w:val="20"/>
              </w:rPr>
            </w:pPr>
            <w:r w:rsidRPr="001A2C93">
              <w:rPr>
                <w:rFonts w:cs="Times New Roman"/>
                <w:sz w:val="20"/>
              </w:rPr>
              <w:t>Effective judicial review including respect for fundamental rights</w:t>
            </w:r>
            <w:r w:rsidRPr="001A2C93">
              <w:rPr>
                <w:sz w:val="20"/>
              </w:rPr>
              <w:t>;</w:t>
            </w:r>
          </w:p>
        </w:tc>
      </w:tr>
      <w:tr w:rsidR="007779B6" w:rsidRPr="001A2C93" w14:paraId="293D0569" w14:textId="77777777">
        <w:trPr>
          <w:tblCellSpacing w:w="15" w:type="dxa"/>
          <w:jc w:val="center"/>
        </w:trPr>
        <w:tc>
          <w:tcPr>
            <w:tcW w:w="288" w:type="pct"/>
            <w:shd w:val="clear" w:color="auto" w:fill="auto"/>
            <w:vAlign w:val="center"/>
          </w:tcPr>
          <w:p w14:paraId="5314386A" w14:textId="77777777" w:rsidR="007779B6" w:rsidRPr="001A2C93" w:rsidRDefault="007779B6" w:rsidP="008B3CF5">
            <w:pPr>
              <w:contextualSpacing/>
              <w:jc w:val="both"/>
              <w:rPr>
                <w:sz w:val="20"/>
                <w:szCs w:val="20"/>
              </w:rPr>
            </w:pPr>
            <w:r w:rsidRPr="001A2C93">
              <w:rPr>
                <w:sz w:val="20"/>
                <w:szCs w:val="20"/>
              </w:rPr>
              <w:t>6)</w:t>
            </w:r>
          </w:p>
        </w:tc>
        <w:tc>
          <w:tcPr>
            <w:tcW w:w="4636" w:type="pct"/>
            <w:shd w:val="clear" w:color="auto" w:fill="auto"/>
            <w:vAlign w:val="center"/>
          </w:tcPr>
          <w:p w14:paraId="49C5182B" w14:textId="77777777" w:rsidR="007779B6" w:rsidRPr="001A2C93" w:rsidRDefault="007779B6" w:rsidP="008B3CF5">
            <w:pPr>
              <w:jc w:val="both"/>
              <w:rPr>
                <w:color w:val="000000"/>
                <w:sz w:val="20"/>
              </w:rPr>
            </w:pPr>
            <w:r w:rsidRPr="001A2C93">
              <w:rPr>
                <w:sz w:val="20"/>
              </w:rPr>
              <w:t>Equality before the law.</w:t>
            </w:r>
          </w:p>
        </w:tc>
      </w:tr>
    </w:tbl>
    <w:p w14:paraId="2505542E" w14:textId="77777777" w:rsidR="007779B6" w:rsidRPr="004D0A20" w:rsidRDefault="007779B6" w:rsidP="007779B6">
      <w:pPr>
        <w:jc w:val="both"/>
        <w:rPr>
          <w:rFonts w:cs="Times New Roman"/>
        </w:rPr>
      </w:pPr>
    </w:p>
    <w:p w14:paraId="587B23AE" w14:textId="77777777" w:rsidR="007779B6" w:rsidRPr="004D0A20" w:rsidRDefault="007779B6" w:rsidP="007779B6">
      <w:pPr>
        <w:jc w:val="both"/>
        <w:rPr>
          <w:rFonts w:cs="Times New Roman"/>
        </w:rPr>
      </w:pPr>
      <w:r w:rsidRPr="004D0A20">
        <w:rPr>
          <w:rFonts w:cs="Times New Roman"/>
        </w:rPr>
        <w:t>While the European Commission did accept that ‘the precise content of the principles and standards stemming from the rule of law may vary at national level, depending on each Member State’s constitutional system’,</w:t>
      </w:r>
      <w:r w:rsidRPr="004D0A20">
        <w:rPr>
          <w:rStyle w:val="FootnoteReference"/>
          <w:rFonts w:cs="Times New Roman"/>
          <w:sz w:val="24"/>
        </w:rPr>
        <w:footnoteReference w:id="53"/>
      </w:r>
      <w:r w:rsidRPr="004D0A20">
        <w:rPr>
          <w:rFonts w:cs="Times New Roman"/>
        </w:rPr>
        <w:t xml:space="preserve"> it also suggested, rightly in our view, that the six elements previously listed stem from the constitutional traditions common to most European legal systems and may be said to define the core meaning of the rule of law within the context of the EU legal order. This is not to say that some minor criticism is not warranted. For instance, it is difficult to understand why the principle of equality before the law is distinguished from the broader notion of fundamental rights, which may be thought to necessarily include it. </w:t>
      </w:r>
      <w:r w:rsidRPr="004D0A20">
        <w:t xml:space="preserve">Three </w:t>
      </w:r>
      <w:r w:rsidRPr="004D0A20">
        <w:rPr>
          <w:rFonts w:cs="Times New Roman"/>
        </w:rPr>
        <w:t xml:space="preserve">additional sub-components are also arguably missing from the Commission’s list: The principle of accessibility of the law, which requires that the law must be </w:t>
      </w:r>
      <w:r w:rsidRPr="004D0A20">
        <w:rPr>
          <w:rFonts w:eastAsia="Cambria" w:cs="Times New Roman"/>
        </w:rPr>
        <w:t xml:space="preserve">intelligible, clear, predictable and published, the principle of the protection of legitimate expectations and the principle of proportionality. The principle of legality may however be understood as encompassing the requirement that the law must be accessible and the protection of legitimate expectations is closely linked to the principle of legal certainty. As for the principle of proportionality, its limited use in English administrative law may have led to its exclusion from what has been presented as a consensual list. </w:t>
      </w:r>
    </w:p>
    <w:p w14:paraId="0714A22E" w14:textId="77777777" w:rsidR="007779B6" w:rsidRPr="004D0A20" w:rsidRDefault="007779B6" w:rsidP="00027376">
      <w:pPr>
        <w:pStyle w:val="5Normal"/>
        <w:spacing w:after="0"/>
        <w:ind w:firstLine="720"/>
        <w:rPr>
          <w:rFonts w:ascii="Times New Roman" w:hAnsi="Times New Roman"/>
          <w:lang w:val="en-GB"/>
        </w:rPr>
      </w:pPr>
      <w:r w:rsidRPr="004D0A20">
        <w:rPr>
          <w:rFonts w:ascii="Times New Roman" w:hAnsi="Times New Roman" w:cs="Times New Roman"/>
          <w:lang w:val="en-GB"/>
        </w:rPr>
        <w:t>Be that as it may, two additional important points are made by the European Commission: the rule of law must be understood as a ‘constitutional principle with both formal and substantive compo</w:t>
      </w:r>
      <w:r w:rsidR="007835E8">
        <w:rPr>
          <w:rFonts w:ascii="Times New Roman" w:hAnsi="Times New Roman" w:cs="Times New Roman"/>
          <w:lang w:val="en-GB"/>
        </w:rPr>
        <w:t>nents’ and it is also one</w:t>
      </w:r>
      <w:r w:rsidRPr="004D0A20">
        <w:rPr>
          <w:rFonts w:ascii="Times New Roman" w:hAnsi="Times New Roman" w:cs="Times New Roman"/>
          <w:lang w:val="en-GB"/>
        </w:rPr>
        <w:t xml:space="preserve"> which ‘is intrinsically linked to respect for democracy and for fundamental rights.’</w:t>
      </w:r>
      <w:r w:rsidRPr="004D0A20">
        <w:rPr>
          <w:rStyle w:val="FootnoteReference"/>
          <w:rFonts w:ascii="Times New Roman" w:hAnsi="Times New Roman" w:cs="Times New Roman"/>
          <w:sz w:val="24"/>
          <w:lang w:val="en-GB"/>
        </w:rPr>
        <w:footnoteReference w:id="54"/>
      </w:r>
      <w:r w:rsidRPr="004D0A20">
        <w:rPr>
          <w:rFonts w:ascii="Times New Roman" w:hAnsi="Times New Roman" w:cs="Times New Roman"/>
          <w:lang w:val="en-GB"/>
        </w:rPr>
        <w:t xml:space="preserve"> </w:t>
      </w:r>
      <w:r w:rsidRPr="004D0A20">
        <w:rPr>
          <w:rFonts w:ascii="Times New Roman" w:hAnsi="Times New Roman"/>
          <w:lang w:val="en-GB"/>
        </w:rPr>
        <w:t>It is submitted that the Commission’s assessment accurately reflects the dominant understanding of the rule of law in Europe and that these two aspects could be viewed as th</w:t>
      </w:r>
      <w:r w:rsidR="00762719">
        <w:rPr>
          <w:rFonts w:ascii="Times New Roman" w:hAnsi="Times New Roman"/>
          <w:lang w:val="en-GB"/>
        </w:rPr>
        <w:t>e essential characteristics of what may be termed Europe’s rule of law approach</w:t>
      </w:r>
      <w:r w:rsidRPr="004D0A20">
        <w:rPr>
          <w:rFonts w:ascii="Times New Roman" w:hAnsi="Times New Roman"/>
          <w:lang w:val="en-GB"/>
        </w:rPr>
        <w:t>.</w:t>
      </w:r>
      <w:r w:rsidR="008C20D6" w:rsidRPr="004D0A20">
        <w:rPr>
          <w:rStyle w:val="FootnoteReference"/>
          <w:rFonts w:ascii="Times New Roman" w:hAnsi="Times New Roman"/>
          <w:color w:val="000000" w:themeColor="text1"/>
          <w:sz w:val="24"/>
          <w:lang w:val="en-GB"/>
        </w:rPr>
        <w:footnoteReference w:id="55"/>
      </w:r>
      <w:r w:rsidRPr="004D0A20">
        <w:rPr>
          <w:rFonts w:ascii="Times New Roman" w:hAnsi="Times New Roman"/>
          <w:lang w:val="en-GB"/>
        </w:rPr>
        <w:t xml:space="preserve"> In other words, </w:t>
      </w:r>
      <w:r w:rsidRPr="004D0A20">
        <w:rPr>
          <w:rFonts w:ascii="Times New Roman" w:hAnsi="Times New Roman"/>
          <w:color w:val="000000" w:themeColor="text1"/>
          <w:lang w:val="en-GB"/>
        </w:rPr>
        <w:t xml:space="preserve">most national legal systems in Europe do reveal a broad conception of the rule of law, which requires compliance with formal/procedural as well as substantive/material standards. The EU and the Council of Europe similarly promote </w:t>
      </w:r>
      <w:r w:rsidRPr="004D0A20">
        <w:rPr>
          <w:rFonts w:ascii="Times New Roman" w:hAnsi="Times New Roman"/>
          <w:lang w:val="en-GB"/>
        </w:rPr>
        <w:t>a conception that is not indifferent to the content or the substantive aims of the law and which encompasses elements of political morality such as democracy and substantive individual rights.</w:t>
      </w:r>
      <w:r w:rsidRPr="004D0A20">
        <w:rPr>
          <w:rStyle w:val="FootnoteReference"/>
          <w:rFonts w:ascii="Times New Roman" w:hAnsi="Times New Roman"/>
          <w:sz w:val="24"/>
          <w:lang w:val="en-GB"/>
        </w:rPr>
        <w:footnoteReference w:id="56"/>
      </w:r>
      <w:r w:rsidRPr="004D0A20">
        <w:rPr>
          <w:rFonts w:ascii="Times New Roman" w:hAnsi="Times New Roman"/>
          <w:lang w:val="en-GB"/>
        </w:rPr>
        <w:t xml:space="preserve"> </w:t>
      </w:r>
    </w:p>
    <w:p w14:paraId="3D9E7BA1" w14:textId="77777777" w:rsidR="007779B6" w:rsidRPr="004D0A20" w:rsidRDefault="007779B6" w:rsidP="00027376">
      <w:pPr>
        <w:pStyle w:val="5Normal"/>
        <w:spacing w:after="0"/>
        <w:ind w:firstLine="720"/>
        <w:rPr>
          <w:rFonts w:ascii="Times New Roman" w:hAnsi="Times New Roman"/>
          <w:lang w:val="en-GB"/>
        </w:rPr>
      </w:pPr>
      <w:r w:rsidRPr="004D0A20">
        <w:rPr>
          <w:rFonts w:ascii="Times New Roman" w:hAnsi="Times New Roman"/>
          <w:lang w:val="en-GB"/>
        </w:rPr>
        <w:t>While the Commission’s</w:t>
      </w:r>
      <w:r w:rsidR="008C20D6" w:rsidRPr="004D0A20">
        <w:rPr>
          <w:rFonts w:ascii="Times New Roman" w:hAnsi="Times New Roman"/>
          <w:lang w:val="en-GB"/>
        </w:rPr>
        <w:t xml:space="preserve"> understanding of the</w:t>
      </w:r>
      <w:r w:rsidRPr="004D0A20">
        <w:rPr>
          <w:rFonts w:ascii="Times New Roman" w:hAnsi="Times New Roman"/>
          <w:lang w:val="en-GB"/>
        </w:rPr>
        <w:t xml:space="preserve"> rule of law is clearly outlined</w:t>
      </w:r>
      <w:r w:rsidR="001C18DC" w:rsidRPr="004D0A20">
        <w:rPr>
          <w:rFonts w:ascii="Times New Roman" w:hAnsi="Times New Roman"/>
          <w:lang w:val="en-GB"/>
        </w:rPr>
        <w:t xml:space="preserve">, which </w:t>
      </w:r>
      <w:r w:rsidRPr="004D0A20">
        <w:rPr>
          <w:rFonts w:ascii="Times New Roman" w:hAnsi="Times New Roman"/>
          <w:lang w:val="en-GB"/>
        </w:rPr>
        <w:t xml:space="preserve">should help </w:t>
      </w:r>
      <w:r w:rsidR="001C18DC" w:rsidRPr="004D0A20">
        <w:rPr>
          <w:rFonts w:ascii="Times New Roman" w:hAnsi="Times New Roman"/>
          <w:lang w:val="en-GB"/>
        </w:rPr>
        <w:t xml:space="preserve">in turn </w:t>
      </w:r>
      <w:r w:rsidRPr="004D0A20">
        <w:rPr>
          <w:rFonts w:ascii="Times New Roman" w:hAnsi="Times New Roman"/>
          <w:lang w:val="en-GB"/>
        </w:rPr>
        <w:t>other EU institutions when and if they have to decide on the materiality of a national breach in this area, the notion of threat of a ‘systemic nature’</w:t>
      </w:r>
      <w:r w:rsidRPr="004D0A20">
        <w:rPr>
          <w:rStyle w:val="FootnoteReference"/>
          <w:rFonts w:ascii="Times New Roman" w:hAnsi="Times New Roman"/>
          <w:sz w:val="24"/>
          <w:szCs w:val="16"/>
          <w:lang w:val="en-GB"/>
        </w:rPr>
        <w:footnoteReference w:id="57"/>
      </w:r>
      <w:r w:rsidRPr="004D0A20">
        <w:rPr>
          <w:rFonts w:ascii="Times New Roman" w:hAnsi="Times New Roman"/>
          <w:lang w:val="en-GB"/>
        </w:rPr>
        <w:t xml:space="preserve"> is </w:t>
      </w:r>
      <w:r w:rsidR="001C18DC" w:rsidRPr="004D0A20">
        <w:rPr>
          <w:rFonts w:ascii="Times New Roman" w:hAnsi="Times New Roman"/>
          <w:lang w:val="en-GB"/>
        </w:rPr>
        <w:t xml:space="preserve">by contrast </w:t>
      </w:r>
      <w:r w:rsidRPr="004D0A20">
        <w:rPr>
          <w:rFonts w:ascii="Times New Roman" w:hAnsi="Times New Roman"/>
          <w:lang w:val="en-GB"/>
        </w:rPr>
        <w:t>not made particularly clear.</w:t>
      </w:r>
      <w:r w:rsidR="008C20D6" w:rsidRPr="004D0A20">
        <w:rPr>
          <w:rStyle w:val="FootnoteReference"/>
          <w:rFonts w:ascii="Times New Roman" w:hAnsi="Times New Roman"/>
          <w:sz w:val="24"/>
          <w:lang w:val="en-GB"/>
        </w:rPr>
        <w:footnoteReference w:id="58"/>
      </w:r>
      <w:r w:rsidRPr="004D0A20">
        <w:rPr>
          <w:rFonts w:ascii="Times New Roman" w:hAnsi="Times New Roman"/>
          <w:lang w:val="en-GB"/>
        </w:rPr>
        <w:t xml:space="preserve"> It is only stated that this type of threat may</w:t>
      </w:r>
      <w:r w:rsidRPr="004D0A20">
        <w:rPr>
          <w:rFonts w:ascii="Times New Roman" w:hAnsi="Times New Roman" w:cs="Times New Roman"/>
          <w:lang w:val="en-GB"/>
        </w:rPr>
        <w:t xml:space="preserve"> result from ‘the adoption of new measures </w:t>
      </w:r>
      <w:r w:rsidRPr="004D0A20">
        <w:rPr>
          <w:rFonts w:ascii="Times New Roman" w:hAnsi="Times New Roman"/>
          <w:lang w:val="en-GB"/>
        </w:rPr>
        <w:t>or of widespread practices of public authorities and the lack of domestic redress.’</w:t>
      </w:r>
      <w:r w:rsidRPr="004D0A20">
        <w:rPr>
          <w:rStyle w:val="FootnoteReference"/>
          <w:rFonts w:ascii="Times New Roman" w:hAnsi="Times New Roman"/>
          <w:sz w:val="24"/>
          <w:szCs w:val="16"/>
          <w:lang w:val="en-GB"/>
        </w:rPr>
        <w:footnoteReference w:id="59"/>
      </w:r>
      <w:r w:rsidRPr="004D0A20">
        <w:rPr>
          <w:rFonts w:ascii="Times New Roman" w:hAnsi="Times New Roman"/>
          <w:lang w:val="en-GB"/>
        </w:rPr>
        <w:t xml:space="preserve"> In this context, the Commission Communication’s references to the case law of the Court of Justice and of the European Court of Human Rights are unhelpful and largely off-point.</w:t>
      </w:r>
      <w:r w:rsidRPr="004D0A20">
        <w:rPr>
          <w:rStyle w:val="FootnoteReference"/>
          <w:rFonts w:ascii="Times New Roman" w:hAnsi="Times New Roman"/>
          <w:sz w:val="24"/>
          <w:lang w:val="en-GB"/>
        </w:rPr>
        <w:footnoteReference w:id="60"/>
      </w:r>
      <w:r w:rsidRPr="004D0A20">
        <w:rPr>
          <w:rFonts w:ascii="Times New Roman" w:hAnsi="Times New Roman"/>
          <w:lang w:val="en-GB"/>
        </w:rPr>
        <w:t xml:space="preserve"> There is also a degree of confusion between </w:t>
      </w:r>
      <w:r w:rsidRPr="004D0A20">
        <w:rPr>
          <w:rFonts w:ascii="Times New Roman" w:hAnsi="Times New Roman"/>
          <w:lang w:val="en-GB"/>
        </w:rPr>
        <w:lastRenderedPageBreak/>
        <w:t xml:space="preserve">the notions of systemic threat and systemic violation, which is crucial in the context of the proposal. It is </w:t>
      </w:r>
      <w:r w:rsidR="001C18DC" w:rsidRPr="004D0A20">
        <w:rPr>
          <w:rFonts w:ascii="Times New Roman" w:hAnsi="Times New Roman"/>
          <w:lang w:val="en-GB"/>
        </w:rPr>
        <w:t xml:space="preserve">for instance </w:t>
      </w:r>
      <w:r w:rsidRPr="004D0A20">
        <w:rPr>
          <w:rFonts w:ascii="Times New Roman" w:hAnsi="Times New Roman"/>
          <w:lang w:val="en-GB"/>
        </w:rPr>
        <w:t>difficult to understand if this new recourse to the notion of systemic threat is meant to signal a different substantive test or whether it should simply be understood as broadly synonymous with the notion of ‘serious and persistent breach’ currently mentioned by Article 7 TEU. This is an important issue as the Commission’s proposed mechanism has been described as a new pre-Article 7 TEU procedure as will be shown below. One m</w:t>
      </w:r>
      <w:r w:rsidRPr="004D0A20">
        <w:rPr>
          <w:rFonts w:ascii="Times New Roman" w:hAnsi="Times New Roman"/>
          <w:szCs w:val="16"/>
          <w:lang w:val="en-GB"/>
        </w:rPr>
        <w:t xml:space="preserve">ay finally note that despite Barroso’s call to address </w:t>
      </w:r>
      <w:r w:rsidRPr="004D0A20">
        <w:rPr>
          <w:rFonts w:ascii="Times New Roman" w:hAnsi="Times New Roman"/>
          <w:i/>
          <w:szCs w:val="16"/>
          <w:lang w:val="en-GB"/>
        </w:rPr>
        <w:t xml:space="preserve">serious </w:t>
      </w:r>
      <w:r w:rsidRPr="004D0A20">
        <w:rPr>
          <w:rFonts w:ascii="Times New Roman" w:hAnsi="Times New Roman"/>
          <w:szCs w:val="16"/>
          <w:lang w:val="en-GB"/>
        </w:rPr>
        <w:t xml:space="preserve">and </w:t>
      </w:r>
      <w:r w:rsidRPr="004D0A20">
        <w:rPr>
          <w:rFonts w:ascii="Times New Roman" w:hAnsi="Times New Roman"/>
          <w:i/>
          <w:szCs w:val="16"/>
          <w:lang w:val="en-GB"/>
        </w:rPr>
        <w:t>systemic</w:t>
      </w:r>
      <w:r w:rsidRPr="004D0A20">
        <w:rPr>
          <w:rFonts w:ascii="Times New Roman" w:hAnsi="Times New Roman"/>
          <w:szCs w:val="16"/>
          <w:lang w:val="en-GB"/>
        </w:rPr>
        <w:t xml:space="preserve"> threats to the rule of law,</w:t>
      </w:r>
      <w:r w:rsidRPr="004D0A20">
        <w:rPr>
          <w:rStyle w:val="FootnoteReference"/>
          <w:rFonts w:ascii="Times New Roman" w:hAnsi="Times New Roman"/>
          <w:sz w:val="24"/>
          <w:szCs w:val="16"/>
          <w:lang w:val="en-GB"/>
        </w:rPr>
        <w:footnoteReference w:id="61"/>
      </w:r>
      <w:r w:rsidRPr="004D0A20">
        <w:rPr>
          <w:rFonts w:ascii="Times New Roman" w:hAnsi="Times New Roman"/>
          <w:szCs w:val="16"/>
          <w:lang w:val="en-GB"/>
        </w:rPr>
        <w:t xml:space="preserve"> the Commission’s communication does not explicitly mention ‘serious’ as a criterion to trigger the new proposed mechanism.</w:t>
      </w:r>
      <w:r w:rsidRPr="004D0A20">
        <w:rPr>
          <w:rFonts w:ascii="Times New Roman" w:hAnsi="Times New Roman"/>
          <w:lang w:val="en-GB"/>
        </w:rPr>
        <w:t xml:space="preserve"> </w:t>
      </w:r>
      <w:r w:rsidRPr="004D0A20">
        <w:rPr>
          <w:rFonts w:ascii="Times New Roman" w:hAnsi="Times New Roman"/>
          <w:szCs w:val="16"/>
          <w:lang w:val="en-GB"/>
        </w:rPr>
        <w:t>Similarly, there are no signs of the pre-defined benchmarks promised by Barroso</w:t>
      </w:r>
      <w:r w:rsidR="001C18DC" w:rsidRPr="004D0A20">
        <w:rPr>
          <w:rFonts w:ascii="Times New Roman" w:hAnsi="Times New Roman"/>
          <w:szCs w:val="16"/>
          <w:lang w:val="en-GB"/>
        </w:rPr>
        <w:t>,</w:t>
      </w:r>
      <w:r w:rsidRPr="004D0A20">
        <w:rPr>
          <w:rFonts w:ascii="Times New Roman" w:hAnsi="Times New Roman"/>
          <w:szCs w:val="16"/>
          <w:lang w:val="en-GB"/>
        </w:rPr>
        <w:t xml:space="preserve"> prior to the publication of the Commission’s Communication and on the basis of which this new mechanism was supposed to be triggered.</w:t>
      </w:r>
      <w:r w:rsidRPr="004D0A20">
        <w:rPr>
          <w:rStyle w:val="FootnoteReference"/>
          <w:rFonts w:ascii="Times New Roman" w:hAnsi="Times New Roman"/>
          <w:sz w:val="24"/>
          <w:szCs w:val="16"/>
          <w:lang w:val="en-GB"/>
        </w:rPr>
        <w:footnoteReference w:id="62"/>
      </w:r>
      <w:r w:rsidRPr="004D0A20">
        <w:rPr>
          <w:rFonts w:ascii="Times New Roman" w:hAnsi="Times New Roman"/>
          <w:szCs w:val="16"/>
          <w:lang w:val="en-GB"/>
        </w:rPr>
        <w:t xml:space="preserve"> </w:t>
      </w:r>
    </w:p>
    <w:p w14:paraId="03F99CD1" w14:textId="77777777" w:rsidR="007779B6" w:rsidRPr="004D0A20" w:rsidRDefault="007779B6" w:rsidP="007779B6">
      <w:pPr>
        <w:widowControl w:val="0"/>
        <w:autoSpaceDE w:val="0"/>
        <w:autoSpaceDN w:val="0"/>
        <w:adjustRightInd w:val="0"/>
        <w:jc w:val="both"/>
      </w:pPr>
    </w:p>
    <w:p w14:paraId="1A01C2CA" w14:textId="77777777" w:rsidR="007779B6" w:rsidRPr="004D0A20" w:rsidRDefault="007779B6" w:rsidP="007779B6">
      <w:pPr>
        <w:pStyle w:val="NormalWeb"/>
        <w:spacing w:beforeLines="0" w:afterLines="0"/>
        <w:jc w:val="both"/>
        <w:rPr>
          <w:rFonts w:ascii="Times New Roman" w:hAnsi="Times New Roman"/>
          <w:i/>
          <w:sz w:val="24"/>
          <w:szCs w:val="24"/>
          <w:lang w:val="en-GB"/>
        </w:rPr>
      </w:pPr>
      <w:r w:rsidRPr="004D0A20">
        <w:rPr>
          <w:rFonts w:ascii="Times New Roman" w:hAnsi="Times New Roman"/>
          <w:i/>
          <w:sz w:val="24"/>
          <w:szCs w:val="24"/>
          <w:lang w:val="en-GB"/>
        </w:rPr>
        <w:t>2.2 A new pre-Article 7 TEU procedure</w:t>
      </w:r>
    </w:p>
    <w:p w14:paraId="509A7016" w14:textId="77777777" w:rsidR="007779B6" w:rsidRPr="004D0A20" w:rsidRDefault="007779B6" w:rsidP="007779B6">
      <w:pPr>
        <w:pStyle w:val="NormalWeb"/>
        <w:spacing w:beforeLines="0" w:afterLines="0"/>
        <w:jc w:val="both"/>
        <w:rPr>
          <w:rFonts w:ascii="Times New Roman" w:hAnsi="Times New Roman"/>
          <w:sz w:val="24"/>
          <w:szCs w:val="24"/>
          <w:lang w:val="en-GB"/>
        </w:rPr>
      </w:pPr>
    </w:p>
    <w:p w14:paraId="4FCAD861" w14:textId="77777777" w:rsidR="007779B6" w:rsidRPr="004D0A20" w:rsidRDefault="007779B6" w:rsidP="007779B6">
      <w:pPr>
        <w:pStyle w:val="NormalWeb"/>
        <w:spacing w:beforeLines="0" w:afterLines="0"/>
        <w:jc w:val="both"/>
        <w:rPr>
          <w:rFonts w:ascii="Times New Roman" w:hAnsi="Times New Roman"/>
          <w:sz w:val="24"/>
          <w:szCs w:val="24"/>
          <w:lang w:val="en-GB"/>
        </w:rPr>
      </w:pPr>
      <w:r w:rsidRPr="004D0A20">
        <w:rPr>
          <w:rFonts w:ascii="Times New Roman" w:hAnsi="Times New Roman"/>
          <w:sz w:val="24"/>
          <w:szCs w:val="24"/>
          <w:lang w:val="en-GB"/>
        </w:rPr>
        <w:t>With respect the mechanics of what the EU Justice Commissioner has described as a new ‘pre-Article 7 procedure’,</w:t>
      </w:r>
      <w:r w:rsidRPr="004D0A20">
        <w:rPr>
          <w:rStyle w:val="FootnoteReference"/>
          <w:rFonts w:ascii="Times New Roman" w:hAnsi="Times New Roman"/>
          <w:sz w:val="24"/>
          <w:szCs w:val="24"/>
          <w:lang w:val="en-GB"/>
        </w:rPr>
        <w:footnoteReference w:id="63"/>
      </w:r>
      <w:r w:rsidRPr="004D0A20">
        <w:rPr>
          <w:rFonts w:ascii="Times New Roman" w:hAnsi="Times New Roman"/>
          <w:sz w:val="24"/>
          <w:szCs w:val="24"/>
          <w:lang w:val="en-GB"/>
        </w:rPr>
        <w:t xml:space="preserve"> it is important to distinguish between three main procedural stages, which are supposed to be governed themselves by three key principles. </w:t>
      </w:r>
    </w:p>
    <w:p w14:paraId="33DBD9A8" w14:textId="77777777" w:rsidR="007779B6" w:rsidRPr="004D0A20" w:rsidRDefault="007779B6" w:rsidP="00027376">
      <w:pPr>
        <w:pStyle w:val="NormalWeb"/>
        <w:spacing w:beforeLines="0" w:afterLines="0"/>
        <w:ind w:firstLine="709"/>
        <w:jc w:val="both"/>
        <w:rPr>
          <w:sz w:val="24"/>
          <w:szCs w:val="24"/>
          <w:lang w:val="en-GB" w:eastAsia="en-GB"/>
        </w:rPr>
      </w:pPr>
      <w:r w:rsidRPr="004D0A20">
        <w:rPr>
          <w:rFonts w:ascii="Times New Roman" w:hAnsi="Times New Roman"/>
          <w:sz w:val="24"/>
          <w:szCs w:val="24"/>
          <w:lang w:val="en-GB"/>
        </w:rPr>
        <w:t xml:space="preserve">The three procedural stages </w:t>
      </w:r>
      <w:r w:rsidR="00027376" w:rsidRPr="004D0A20">
        <w:rPr>
          <w:rFonts w:ascii="Times New Roman" w:hAnsi="Times New Roman"/>
          <w:sz w:val="24"/>
          <w:szCs w:val="24"/>
          <w:lang w:val="en-GB"/>
        </w:rPr>
        <w:t xml:space="preserve">involve </w:t>
      </w:r>
      <w:r w:rsidR="00027376" w:rsidRPr="004D0A20">
        <w:rPr>
          <w:rFonts w:ascii="Times New Roman" w:hAnsi="Times New Roman"/>
          <w:i/>
          <w:sz w:val="24"/>
          <w:szCs w:val="24"/>
          <w:lang w:val="en-GB"/>
        </w:rPr>
        <w:t>assessment</w:t>
      </w:r>
      <w:r w:rsidR="00027376" w:rsidRPr="004D0A20">
        <w:rPr>
          <w:rFonts w:ascii="Times New Roman" w:hAnsi="Times New Roman"/>
          <w:sz w:val="24"/>
          <w:szCs w:val="24"/>
          <w:lang w:val="en-GB"/>
        </w:rPr>
        <w:t xml:space="preserve">, </w:t>
      </w:r>
      <w:r w:rsidR="00027376" w:rsidRPr="004D0A20">
        <w:rPr>
          <w:rFonts w:ascii="Times New Roman" w:hAnsi="Times New Roman"/>
          <w:i/>
          <w:sz w:val="24"/>
          <w:szCs w:val="24"/>
          <w:lang w:val="en-GB"/>
        </w:rPr>
        <w:t>recommendation</w:t>
      </w:r>
      <w:r w:rsidR="00027376" w:rsidRPr="004D0A20">
        <w:rPr>
          <w:rFonts w:ascii="Times New Roman" w:hAnsi="Times New Roman"/>
          <w:sz w:val="24"/>
          <w:szCs w:val="24"/>
          <w:lang w:val="en-GB"/>
        </w:rPr>
        <w:t xml:space="preserve">, and </w:t>
      </w:r>
      <w:r w:rsidR="00027376" w:rsidRPr="004D0A20">
        <w:rPr>
          <w:rFonts w:ascii="Times New Roman" w:hAnsi="Times New Roman"/>
          <w:i/>
          <w:sz w:val="24"/>
          <w:szCs w:val="24"/>
          <w:lang w:val="en-GB"/>
        </w:rPr>
        <w:t>follow-up</w:t>
      </w:r>
      <w:r w:rsidR="00027376" w:rsidRPr="004D0A20">
        <w:rPr>
          <w:rFonts w:ascii="Times New Roman" w:hAnsi="Times New Roman"/>
          <w:sz w:val="24"/>
          <w:szCs w:val="24"/>
          <w:lang w:val="en-GB"/>
        </w:rPr>
        <w:t xml:space="preserve"> by the Commission. They</w:t>
      </w:r>
      <w:r w:rsidR="00027376" w:rsidRPr="004D0A20">
        <w:rPr>
          <w:rFonts w:ascii="Times New Roman" w:hAnsi="Times New Roman"/>
          <w:i/>
          <w:sz w:val="24"/>
          <w:szCs w:val="24"/>
          <w:lang w:val="en-GB"/>
        </w:rPr>
        <w:t xml:space="preserve"> </w:t>
      </w:r>
      <w:r w:rsidR="00027376" w:rsidRPr="004D0A20">
        <w:rPr>
          <w:rFonts w:ascii="Times New Roman" w:hAnsi="Times New Roman"/>
          <w:sz w:val="24"/>
          <w:szCs w:val="24"/>
          <w:lang w:val="en-GB"/>
        </w:rPr>
        <w:t xml:space="preserve">may be described as follows. In the </w:t>
      </w:r>
      <w:r w:rsidRPr="004D0A20">
        <w:rPr>
          <w:rFonts w:ascii="Times New Roman" w:hAnsi="Times New Roman"/>
          <w:i/>
          <w:sz w:val="24"/>
          <w:szCs w:val="24"/>
          <w:lang w:val="en-GB"/>
        </w:rPr>
        <w:t>assessment</w:t>
      </w:r>
      <w:r w:rsidR="00027376" w:rsidRPr="004D0A20">
        <w:rPr>
          <w:rFonts w:ascii="Times New Roman" w:hAnsi="Times New Roman"/>
          <w:i/>
          <w:sz w:val="24"/>
          <w:szCs w:val="24"/>
          <w:lang w:val="en-GB"/>
        </w:rPr>
        <w:t xml:space="preserve"> </w:t>
      </w:r>
      <w:r w:rsidR="00A764BC" w:rsidRPr="004D0A20">
        <w:rPr>
          <w:rFonts w:ascii="Times New Roman" w:hAnsi="Times New Roman"/>
          <w:sz w:val="24"/>
          <w:szCs w:val="24"/>
          <w:lang w:val="en-GB"/>
        </w:rPr>
        <w:t>phase,</w:t>
      </w:r>
      <w:r w:rsidR="00027376" w:rsidRPr="004D0A20">
        <w:rPr>
          <w:rFonts w:ascii="Times New Roman" w:hAnsi="Times New Roman"/>
          <w:sz w:val="24"/>
          <w:szCs w:val="24"/>
          <w:lang w:val="en-GB"/>
        </w:rPr>
        <w:t xml:space="preserve"> t</w:t>
      </w:r>
      <w:r w:rsidRPr="004D0A20">
        <w:rPr>
          <w:rFonts w:ascii="Times New Roman" w:hAnsi="Times New Roman"/>
          <w:sz w:val="24"/>
          <w:szCs w:val="24"/>
          <w:lang w:val="en-GB"/>
        </w:rPr>
        <w:t>h</w:t>
      </w:r>
      <w:r w:rsidR="008E1B23" w:rsidRPr="004D0A20">
        <w:rPr>
          <w:rFonts w:ascii="Times New Roman" w:hAnsi="Times New Roman"/>
          <w:sz w:val="24"/>
          <w:szCs w:val="24"/>
          <w:lang w:val="en-GB"/>
        </w:rPr>
        <w:t xml:space="preserve">e Commission </w:t>
      </w:r>
      <w:r w:rsidRPr="004D0A20">
        <w:rPr>
          <w:rFonts w:ascii="Times New Roman" w:hAnsi="Times New Roman"/>
          <w:sz w:val="24"/>
          <w:szCs w:val="24"/>
          <w:lang w:val="en-GB"/>
        </w:rPr>
        <w:t>assess</w:t>
      </w:r>
      <w:r w:rsidR="008E1B23" w:rsidRPr="004D0A20">
        <w:rPr>
          <w:rFonts w:ascii="Times New Roman" w:hAnsi="Times New Roman"/>
          <w:sz w:val="24"/>
          <w:szCs w:val="24"/>
          <w:lang w:val="en-GB"/>
        </w:rPr>
        <w:t>es whether there are clear</w:t>
      </w:r>
      <w:r w:rsidRPr="004D0A20">
        <w:rPr>
          <w:rFonts w:ascii="Times New Roman" w:hAnsi="Times New Roman"/>
          <w:sz w:val="24"/>
          <w:szCs w:val="24"/>
          <w:lang w:val="en-GB"/>
        </w:rPr>
        <w:t xml:space="preserve"> preliminary indications of a systemic threat to the rule of law in a particular Member State and send a ‘rule of law opinion’ to the government of this Member State should it be of the opinion that there are</w:t>
      </w:r>
      <w:r w:rsidR="00027376" w:rsidRPr="004D0A20">
        <w:rPr>
          <w:rFonts w:ascii="Times New Roman" w:hAnsi="Times New Roman"/>
          <w:sz w:val="24"/>
          <w:szCs w:val="24"/>
          <w:lang w:val="en-GB"/>
        </w:rPr>
        <w:t xml:space="preserve">. </w:t>
      </w:r>
      <w:r w:rsidRPr="004D0A20">
        <w:rPr>
          <w:sz w:val="24"/>
          <w:szCs w:val="24"/>
          <w:lang w:val="en-GB"/>
        </w:rPr>
        <w:t>In a situation where no appropriate actions are taken,</w:t>
      </w:r>
      <w:r w:rsidR="00027376" w:rsidRPr="004D0A20">
        <w:rPr>
          <w:sz w:val="24"/>
          <w:szCs w:val="24"/>
          <w:lang w:val="en-GB"/>
        </w:rPr>
        <w:t xml:space="preserve"> the </w:t>
      </w:r>
      <w:r w:rsidR="00027376" w:rsidRPr="004D0A20">
        <w:rPr>
          <w:i/>
          <w:sz w:val="24"/>
          <w:szCs w:val="24"/>
          <w:lang w:val="en-GB"/>
        </w:rPr>
        <w:t xml:space="preserve">recommendation </w:t>
      </w:r>
      <w:r w:rsidR="00027376" w:rsidRPr="004D0A20">
        <w:rPr>
          <w:sz w:val="24"/>
          <w:szCs w:val="24"/>
          <w:lang w:val="en-GB"/>
        </w:rPr>
        <w:t xml:space="preserve">phase </w:t>
      </w:r>
      <w:r w:rsidR="00A764BC" w:rsidRPr="004D0A20">
        <w:rPr>
          <w:sz w:val="24"/>
          <w:szCs w:val="24"/>
          <w:lang w:val="en-GB"/>
        </w:rPr>
        <w:t>is supposed to commence</w:t>
      </w:r>
      <w:r w:rsidR="00027376" w:rsidRPr="004D0A20">
        <w:rPr>
          <w:sz w:val="24"/>
          <w:szCs w:val="24"/>
          <w:lang w:val="en-GB"/>
        </w:rPr>
        <w:t>:</w:t>
      </w:r>
      <w:r w:rsidRPr="004D0A20">
        <w:rPr>
          <w:sz w:val="24"/>
          <w:szCs w:val="24"/>
          <w:lang w:val="en-GB"/>
        </w:rPr>
        <w:t xml:space="preserve"> a ‘rule of law recommendation’ may be addressed to the authorities of this country, with the option of including specific indications on ways and measures to resolve the situatio</w:t>
      </w:r>
      <w:r w:rsidR="00027376" w:rsidRPr="004D0A20">
        <w:rPr>
          <w:sz w:val="24"/>
          <w:szCs w:val="24"/>
          <w:lang w:val="en-GB"/>
        </w:rPr>
        <w:t xml:space="preserve">n within a prescribed deadline. </w:t>
      </w:r>
      <w:r w:rsidR="003832CD">
        <w:rPr>
          <w:sz w:val="24"/>
          <w:szCs w:val="24"/>
          <w:lang w:val="en-GB"/>
        </w:rPr>
        <w:t xml:space="preserve">The </w:t>
      </w:r>
      <w:r w:rsidR="00027376" w:rsidRPr="004D0A20">
        <w:rPr>
          <w:sz w:val="24"/>
          <w:szCs w:val="24"/>
          <w:lang w:val="en-GB"/>
        </w:rPr>
        <w:t>C</w:t>
      </w:r>
      <w:r w:rsidR="001C18DC" w:rsidRPr="004D0A20">
        <w:rPr>
          <w:rStyle w:val="at4"/>
          <w:sz w:val="24"/>
          <w:szCs w:val="24"/>
          <w:lang w:val="en-GB"/>
        </w:rPr>
        <w:t xml:space="preserve">ommission’s </w:t>
      </w:r>
      <w:r w:rsidR="00981578" w:rsidRPr="004D0A20">
        <w:rPr>
          <w:rStyle w:val="at4"/>
          <w:i/>
          <w:sz w:val="24"/>
          <w:szCs w:val="24"/>
          <w:lang w:val="en-GB"/>
        </w:rPr>
        <w:t>f</w:t>
      </w:r>
      <w:r w:rsidRPr="004D0A20">
        <w:rPr>
          <w:rStyle w:val="at4"/>
          <w:i/>
          <w:sz w:val="24"/>
          <w:szCs w:val="24"/>
          <w:lang w:val="en-GB"/>
        </w:rPr>
        <w:t>ollow-up</w:t>
      </w:r>
      <w:r w:rsidR="00027376" w:rsidRPr="004D0A20">
        <w:rPr>
          <w:rStyle w:val="at4"/>
          <w:sz w:val="24"/>
          <w:szCs w:val="24"/>
          <w:lang w:val="en-GB"/>
        </w:rPr>
        <w:t xml:space="preserve"> consists of </w:t>
      </w:r>
      <w:r w:rsidR="003832CD">
        <w:rPr>
          <w:rStyle w:val="at4"/>
          <w:sz w:val="24"/>
          <w:szCs w:val="24"/>
          <w:lang w:val="en-GB"/>
        </w:rPr>
        <w:t xml:space="preserve">the </w:t>
      </w:r>
      <w:r w:rsidR="00027376" w:rsidRPr="004D0A20">
        <w:rPr>
          <w:rStyle w:val="at4"/>
          <w:sz w:val="24"/>
          <w:szCs w:val="24"/>
          <w:lang w:val="en-GB"/>
        </w:rPr>
        <w:t>Commission’s</w:t>
      </w:r>
      <w:r w:rsidRPr="004D0A20">
        <w:rPr>
          <w:sz w:val="24"/>
          <w:szCs w:val="24"/>
          <w:lang w:val="en-GB"/>
        </w:rPr>
        <w:t xml:space="preserve"> monitor</w:t>
      </w:r>
      <w:r w:rsidR="00027376" w:rsidRPr="004D0A20">
        <w:rPr>
          <w:sz w:val="24"/>
          <w:szCs w:val="24"/>
          <w:lang w:val="en-GB"/>
        </w:rPr>
        <w:t xml:space="preserve">ing of </w:t>
      </w:r>
      <w:r w:rsidRPr="004D0A20">
        <w:rPr>
          <w:sz w:val="24"/>
          <w:szCs w:val="24"/>
          <w:lang w:val="en-GB"/>
        </w:rPr>
        <w:t>how the relevant Member State is implementing the recommendation mentioned above. Should there be no satisfactory implementation, the Commission would then have the possibility</w:t>
      </w:r>
      <w:r w:rsidR="00A764BC" w:rsidRPr="004D0A20">
        <w:rPr>
          <w:sz w:val="24"/>
          <w:szCs w:val="24"/>
          <w:lang w:val="en-GB"/>
        </w:rPr>
        <w:t xml:space="preserve"> – not the obligation –</w:t>
      </w:r>
      <w:r w:rsidRPr="004D0A20">
        <w:rPr>
          <w:sz w:val="24"/>
          <w:szCs w:val="24"/>
          <w:lang w:val="en-GB"/>
        </w:rPr>
        <w:t xml:space="preserve"> to trigger the application of Article 7 TEU. </w:t>
      </w:r>
    </w:p>
    <w:p w14:paraId="1439C266" w14:textId="77777777" w:rsidR="007779B6" w:rsidRPr="004D0A20" w:rsidRDefault="00027376" w:rsidP="00027376">
      <w:pPr>
        <w:pStyle w:val="5Normal"/>
        <w:spacing w:after="0"/>
        <w:ind w:firstLine="709"/>
        <w:rPr>
          <w:rFonts w:ascii="Times New Roman" w:hAnsi="Times New Roman"/>
          <w:lang w:val="en-GB"/>
        </w:rPr>
      </w:pPr>
      <w:r w:rsidRPr="004D0A20">
        <w:rPr>
          <w:rFonts w:ascii="Times New Roman" w:hAnsi="Times New Roman"/>
          <w:lang w:val="en-GB"/>
        </w:rPr>
        <w:t>Throughout the whole process, three fundamental principles are in play. Firstly, o</w:t>
      </w:r>
      <w:r w:rsidR="007779B6" w:rsidRPr="004D0A20">
        <w:rPr>
          <w:rFonts w:ascii="Times New Roman" w:hAnsi="Times New Roman"/>
          <w:lang w:val="en-GB"/>
        </w:rPr>
        <w:t>nly systemic threats or violations of the rule of law may trigger the activation of this new mechanism, no</w:t>
      </w:r>
      <w:r w:rsidRPr="004D0A20">
        <w:rPr>
          <w:rFonts w:ascii="Times New Roman" w:hAnsi="Times New Roman"/>
          <w:lang w:val="en-GB"/>
        </w:rPr>
        <w:t>t minor or individual breaches. Secondly, u</w:t>
      </w:r>
      <w:r w:rsidR="007779B6" w:rsidRPr="004D0A20">
        <w:rPr>
          <w:rFonts w:ascii="Times New Roman" w:hAnsi="Times New Roman"/>
          <w:lang w:val="en-GB"/>
        </w:rPr>
        <w:t>nlike</w:t>
      </w:r>
      <w:r w:rsidR="00A764BC" w:rsidRPr="004D0A20">
        <w:rPr>
          <w:rFonts w:ascii="Times New Roman" w:hAnsi="Times New Roman"/>
          <w:lang w:val="en-GB"/>
        </w:rPr>
        <w:t xml:space="preserve"> the current rule of law monitoring tool specifically developed for Romania and Bulgaria</w:t>
      </w:r>
      <w:r w:rsidR="008E1B23" w:rsidRPr="004D0A20">
        <w:rPr>
          <w:rFonts w:ascii="Times New Roman" w:hAnsi="Times New Roman"/>
          <w:lang w:val="en-GB"/>
        </w:rPr>
        <w:t xml:space="preserve">, </w:t>
      </w:r>
      <w:r w:rsidR="00A764BC" w:rsidRPr="004D0A20">
        <w:rPr>
          <w:rFonts w:ascii="Times New Roman" w:hAnsi="Times New Roman"/>
          <w:lang w:val="en-GB"/>
        </w:rPr>
        <w:t xml:space="preserve">this new procedure is supposed to </w:t>
      </w:r>
      <w:r w:rsidR="007779B6" w:rsidRPr="004D0A20">
        <w:rPr>
          <w:rFonts w:ascii="Times New Roman" w:hAnsi="Times New Roman"/>
          <w:lang w:val="en-GB"/>
        </w:rPr>
        <w:t>apply equally to all Member States, regardless of the date o</w:t>
      </w:r>
      <w:r w:rsidRPr="004D0A20">
        <w:rPr>
          <w:rFonts w:ascii="Times New Roman" w:hAnsi="Times New Roman"/>
          <w:lang w:val="en-GB"/>
        </w:rPr>
        <w:t>f entry into the EU, size, and so forth. Thirdly, w</w:t>
      </w:r>
      <w:r w:rsidR="00A764BC" w:rsidRPr="004D0A20">
        <w:rPr>
          <w:rFonts w:ascii="Times New Roman" w:hAnsi="Times New Roman"/>
          <w:lang w:val="en-GB"/>
        </w:rPr>
        <w:t>hile the Commission</w:t>
      </w:r>
      <w:r w:rsidR="007779B6" w:rsidRPr="004D0A20">
        <w:rPr>
          <w:rFonts w:ascii="Times New Roman" w:hAnsi="Times New Roman"/>
          <w:lang w:val="en-GB"/>
        </w:rPr>
        <w:t xml:space="preserve"> continue</w:t>
      </w:r>
      <w:r w:rsidR="00A764BC" w:rsidRPr="004D0A20">
        <w:rPr>
          <w:rFonts w:ascii="Times New Roman" w:hAnsi="Times New Roman"/>
          <w:lang w:val="en-GB"/>
        </w:rPr>
        <w:t>s</w:t>
      </w:r>
      <w:r w:rsidR="007779B6" w:rsidRPr="004D0A20">
        <w:rPr>
          <w:rFonts w:ascii="Times New Roman" w:hAnsi="Times New Roman"/>
          <w:lang w:val="en-GB"/>
        </w:rPr>
        <w:t xml:space="preserve"> to remain the guardian of EU values, third party and/or external expertise may be sought when necessary. The EU Fundamental Rights Agency</w:t>
      </w:r>
      <w:r w:rsidR="008E1B23" w:rsidRPr="004D0A20">
        <w:rPr>
          <w:rFonts w:ascii="Times New Roman" w:hAnsi="Times New Roman"/>
          <w:lang w:val="en-GB"/>
        </w:rPr>
        <w:t xml:space="preserve"> (FRA)</w:t>
      </w:r>
      <w:r w:rsidR="007779B6" w:rsidRPr="004D0A20">
        <w:rPr>
          <w:rFonts w:ascii="Times New Roman" w:hAnsi="Times New Roman"/>
          <w:lang w:val="en-GB"/>
        </w:rPr>
        <w:t>, the Council of Europe (in particular, the</w:t>
      </w:r>
      <w:r w:rsidR="0023058D" w:rsidRPr="004D0A20">
        <w:rPr>
          <w:rFonts w:ascii="Times New Roman" w:hAnsi="Times New Roman"/>
          <w:lang w:val="en-GB"/>
        </w:rPr>
        <w:t xml:space="preserve"> European Co</w:t>
      </w:r>
      <w:r w:rsidR="008E1B23" w:rsidRPr="004D0A20">
        <w:rPr>
          <w:rFonts w:ascii="Times New Roman" w:hAnsi="Times New Roman"/>
          <w:lang w:val="en-GB"/>
        </w:rPr>
        <w:t>mmission for Democracy through L</w:t>
      </w:r>
      <w:r w:rsidR="0023058D" w:rsidRPr="004D0A20">
        <w:rPr>
          <w:rFonts w:ascii="Times New Roman" w:hAnsi="Times New Roman"/>
          <w:lang w:val="en-GB"/>
        </w:rPr>
        <w:t xml:space="preserve">aw also known as the </w:t>
      </w:r>
      <w:r w:rsidR="007779B6" w:rsidRPr="004D0A20">
        <w:rPr>
          <w:rFonts w:ascii="Times New Roman" w:hAnsi="Times New Roman"/>
          <w:lang w:val="en-GB"/>
        </w:rPr>
        <w:t>Venice Commission) and judicial networks such as the</w:t>
      </w:r>
      <w:r w:rsidR="007779B6" w:rsidRPr="004D0A20">
        <w:rPr>
          <w:rFonts w:ascii="Times New Roman" w:hAnsi="Times New Roman" w:cs="Times New Roman"/>
          <w:szCs w:val="20"/>
          <w:lang w:val="en-GB"/>
        </w:rPr>
        <w:t xml:space="preserve"> Network of the Presidents of the Supreme Judicial Courts of the EU </w:t>
      </w:r>
      <w:r w:rsidR="00A764BC" w:rsidRPr="004D0A20">
        <w:rPr>
          <w:rFonts w:ascii="Times New Roman" w:hAnsi="Times New Roman" w:cs="Times New Roman"/>
          <w:szCs w:val="20"/>
          <w:lang w:val="en-GB"/>
        </w:rPr>
        <w:t>may</w:t>
      </w:r>
      <w:r w:rsidR="007779B6" w:rsidRPr="004D0A20">
        <w:rPr>
          <w:rFonts w:ascii="Times New Roman" w:hAnsi="Times New Roman" w:cs="Times New Roman"/>
          <w:szCs w:val="20"/>
          <w:lang w:val="en-GB"/>
        </w:rPr>
        <w:t xml:space="preserve"> therefore be asked to provide </w:t>
      </w:r>
      <w:r w:rsidR="007779B6" w:rsidRPr="004D0A20">
        <w:rPr>
          <w:rFonts w:ascii="Times New Roman" w:hAnsi="Times New Roman" w:cs="Times New Roman"/>
          <w:lang w:val="en-GB"/>
        </w:rPr>
        <w:t xml:space="preserve">expert knowledge, notably during the assessment phase. </w:t>
      </w:r>
    </w:p>
    <w:p w14:paraId="06E377A8" w14:textId="77777777" w:rsidR="007779B6" w:rsidRPr="004D0A20" w:rsidRDefault="007779B6" w:rsidP="00027376">
      <w:pPr>
        <w:pStyle w:val="5Normal"/>
        <w:spacing w:after="0"/>
        <w:ind w:firstLine="709"/>
        <w:rPr>
          <w:rFonts w:ascii="Times New Roman" w:hAnsi="Times New Roman"/>
          <w:lang w:val="en-GB"/>
        </w:rPr>
      </w:pPr>
      <w:r w:rsidRPr="004D0A20">
        <w:rPr>
          <w:rFonts w:ascii="Times New Roman" w:hAnsi="Times New Roman"/>
          <w:lang w:val="en-GB"/>
        </w:rPr>
        <w:lastRenderedPageBreak/>
        <w:t>According to the Commission itself, this new framework is based on its current powers as provided for by existing EU Treaties,</w:t>
      </w:r>
      <w:r w:rsidRPr="004D0A20">
        <w:rPr>
          <w:rStyle w:val="FootnoteReference"/>
          <w:rFonts w:ascii="Times New Roman" w:hAnsi="Times New Roman"/>
          <w:sz w:val="24"/>
          <w:lang w:val="en-GB"/>
        </w:rPr>
        <w:footnoteReference w:id="64"/>
      </w:r>
      <w:r w:rsidR="0023058D" w:rsidRPr="004D0A20">
        <w:rPr>
          <w:rFonts w:ascii="Times New Roman" w:hAnsi="Times New Roman"/>
          <w:lang w:val="en-GB"/>
        </w:rPr>
        <w:t xml:space="preserve"> and would merely complement</w:t>
      </w:r>
      <w:r w:rsidRPr="004D0A20">
        <w:rPr>
          <w:rFonts w:ascii="Times New Roman" w:hAnsi="Times New Roman"/>
          <w:lang w:val="en-GB"/>
        </w:rPr>
        <w:t xml:space="preserve"> existing instruments, notably the Article 7 procedure and the infringement </w:t>
      </w:r>
      <w:r w:rsidRPr="004D0A20">
        <w:rPr>
          <w:rFonts w:ascii="Times New Roman" w:hAnsi="Times New Roman" w:cs="Times New Roman"/>
          <w:lang w:val="en-GB"/>
        </w:rPr>
        <w:t>procedure laid down in Article 258 TF</w:t>
      </w:r>
      <w:r w:rsidR="00A764BC" w:rsidRPr="004D0A20">
        <w:rPr>
          <w:rFonts w:ascii="Times New Roman" w:hAnsi="Times New Roman" w:cs="Times New Roman"/>
          <w:lang w:val="en-GB"/>
        </w:rPr>
        <w:t>EU. However, this assessment is not</w:t>
      </w:r>
      <w:r w:rsidRPr="004D0A20">
        <w:rPr>
          <w:rFonts w:ascii="Times New Roman" w:hAnsi="Times New Roman" w:cs="Times New Roman"/>
          <w:lang w:val="en-GB"/>
        </w:rPr>
        <w:t xml:space="preserve"> unanimously shared</w:t>
      </w:r>
      <w:r w:rsidRPr="004D0A20">
        <w:rPr>
          <w:rFonts w:ascii="Times New Roman" w:hAnsi="Times New Roman"/>
          <w:lang w:val="en-GB"/>
        </w:rPr>
        <w:t>. To give a single example, the Council’s legal service has expressed its opposition to the Commission’s proposal, alleging, to oversimplify, an unlawful power-grab by the Commission.</w:t>
      </w:r>
      <w:r w:rsidRPr="004D0A20">
        <w:rPr>
          <w:rStyle w:val="FootnoteReference"/>
          <w:rFonts w:ascii="Times New Roman" w:hAnsi="Times New Roman"/>
          <w:sz w:val="24"/>
          <w:lang w:val="en-GB"/>
        </w:rPr>
        <w:footnoteReference w:id="65"/>
      </w:r>
      <w:r w:rsidRPr="004D0A20">
        <w:rPr>
          <w:rFonts w:ascii="Times New Roman" w:hAnsi="Times New Roman"/>
          <w:lang w:val="en-GB"/>
        </w:rPr>
        <w:t xml:space="preserve"> As will be shown b</w:t>
      </w:r>
      <w:r w:rsidR="00A764BC" w:rsidRPr="004D0A20">
        <w:rPr>
          <w:rFonts w:ascii="Times New Roman" w:hAnsi="Times New Roman"/>
          <w:lang w:val="en-GB"/>
        </w:rPr>
        <w:t xml:space="preserve">elow, while this </w:t>
      </w:r>
      <w:r w:rsidR="00076A2E" w:rsidRPr="004D0A20">
        <w:rPr>
          <w:rFonts w:ascii="Times New Roman" w:hAnsi="Times New Roman"/>
          <w:lang w:val="en-GB"/>
        </w:rPr>
        <w:t xml:space="preserve">may well be considered an extremely significant and highly damaging assertion, it is </w:t>
      </w:r>
      <w:r w:rsidRPr="004D0A20">
        <w:rPr>
          <w:rFonts w:ascii="Times New Roman" w:hAnsi="Times New Roman"/>
          <w:lang w:val="en-GB"/>
        </w:rPr>
        <w:t>only one of the arguments that have been raised ag</w:t>
      </w:r>
      <w:r w:rsidR="0023058D" w:rsidRPr="004D0A20">
        <w:rPr>
          <w:rFonts w:ascii="Times New Roman" w:hAnsi="Times New Roman"/>
          <w:lang w:val="en-GB"/>
        </w:rPr>
        <w:t>ainst the Commissions’</w:t>
      </w:r>
      <w:r w:rsidRPr="004D0A20">
        <w:rPr>
          <w:rFonts w:ascii="Times New Roman" w:hAnsi="Times New Roman"/>
          <w:lang w:val="en-GB"/>
        </w:rPr>
        <w:t xml:space="preserve"> rule of law framework, the most significant of which will be reviewed below.</w:t>
      </w:r>
    </w:p>
    <w:p w14:paraId="5F722F23" w14:textId="77777777" w:rsidR="00027376" w:rsidRPr="004D0A20" w:rsidRDefault="00027376" w:rsidP="007779B6">
      <w:pPr>
        <w:jc w:val="both"/>
        <w:rPr>
          <w:b/>
        </w:rPr>
      </w:pPr>
    </w:p>
    <w:p w14:paraId="3A873A04" w14:textId="77777777" w:rsidR="007779B6" w:rsidRPr="004D0A20" w:rsidRDefault="00FA0FE1" w:rsidP="007779B6">
      <w:pPr>
        <w:jc w:val="both"/>
        <w:rPr>
          <w:b/>
        </w:rPr>
      </w:pPr>
      <w:r w:rsidRPr="004D0A20">
        <w:rPr>
          <w:b/>
        </w:rPr>
        <w:t>3. Strong and weak features of the Commission’s proposal</w:t>
      </w:r>
    </w:p>
    <w:p w14:paraId="70C97F4C" w14:textId="77777777" w:rsidR="007779B6" w:rsidRPr="004D0A20" w:rsidRDefault="007779B6" w:rsidP="007779B6">
      <w:pPr>
        <w:pStyle w:val="5Normal"/>
        <w:spacing w:after="0"/>
        <w:rPr>
          <w:rFonts w:ascii="Times New Roman" w:hAnsi="Times New Roman"/>
          <w:lang w:val="en-GB"/>
        </w:rPr>
      </w:pPr>
    </w:p>
    <w:p w14:paraId="7D256A43" w14:textId="77777777" w:rsidR="007779B6" w:rsidRPr="004D0A20" w:rsidRDefault="007779B6" w:rsidP="007779B6">
      <w:pPr>
        <w:pStyle w:val="5Normal"/>
        <w:spacing w:after="0"/>
        <w:rPr>
          <w:rFonts w:ascii="Times New Roman" w:hAnsi="Times New Roman"/>
          <w:lang w:val="en-GB"/>
        </w:rPr>
      </w:pPr>
      <w:r w:rsidRPr="004D0A20">
        <w:rPr>
          <w:rFonts w:ascii="Times New Roman" w:hAnsi="Times New Roman"/>
          <w:lang w:val="en-GB"/>
        </w:rPr>
        <w:t>Before offering a critical overview of Commission’s proposal, a number of positi</w:t>
      </w:r>
      <w:r w:rsidR="00DF6BC6" w:rsidRPr="004D0A20">
        <w:rPr>
          <w:rFonts w:ascii="Times New Roman" w:hAnsi="Times New Roman"/>
          <w:lang w:val="en-GB"/>
        </w:rPr>
        <w:t>ve features will be highlig</w:t>
      </w:r>
      <w:r w:rsidR="00FA0FE1" w:rsidRPr="004D0A20">
        <w:rPr>
          <w:rFonts w:ascii="Times New Roman" w:hAnsi="Times New Roman"/>
          <w:lang w:val="en-GB"/>
        </w:rPr>
        <w:t>h</w:t>
      </w:r>
      <w:r w:rsidR="00011420" w:rsidRPr="004D0A20">
        <w:rPr>
          <w:rFonts w:ascii="Times New Roman" w:hAnsi="Times New Roman"/>
          <w:lang w:val="en-GB"/>
        </w:rPr>
        <w:t>ted, focusing on points relating to substance, competence, and procedure</w:t>
      </w:r>
      <w:r w:rsidR="00DF6BC6" w:rsidRPr="004D0A20">
        <w:rPr>
          <w:rFonts w:ascii="Times New Roman" w:hAnsi="Times New Roman"/>
          <w:lang w:val="en-GB"/>
        </w:rPr>
        <w:t xml:space="preserve">. </w:t>
      </w:r>
    </w:p>
    <w:p w14:paraId="1F6A7CA9" w14:textId="77777777" w:rsidR="00124C7A" w:rsidRPr="004D0A20" w:rsidRDefault="00124C7A" w:rsidP="007779B6">
      <w:pPr>
        <w:jc w:val="both"/>
        <w:rPr>
          <w:rFonts w:cs="Times New Roman"/>
        </w:rPr>
      </w:pPr>
    </w:p>
    <w:p w14:paraId="533D1DA9" w14:textId="77777777" w:rsidR="00124C7A" w:rsidRPr="004D0A20" w:rsidRDefault="00DF6BC6" w:rsidP="007779B6">
      <w:pPr>
        <w:jc w:val="both"/>
        <w:rPr>
          <w:rFonts w:cs="Times New Roman"/>
          <w:i/>
        </w:rPr>
      </w:pPr>
      <w:r w:rsidRPr="004D0A20">
        <w:rPr>
          <w:rFonts w:cs="Times New Roman"/>
          <w:i/>
        </w:rPr>
        <w:t xml:space="preserve">3.1. </w:t>
      </w:r>
      <w:r w:rsidR="009C7459" w:rsidRPr="004D0A20">
        <w:rPr>
          <w:rFonts w:cs="Times New Roman"/>
          <w:i/>
        </w:rPr>
        <w:t xml:space="preserve">Positive substantive features </w:t>
      </w:r>
    </w:p>
    <w:p w14:paraId="6AA7B40F" w14:textId="77777777" w:rsidR="007779B6" w:rsidRPr="004D0A20" w:rsidRDefault="007779B6" w:rsidP="007779B6">
      <w:pPr>
        <w:jc w:val="both"/>
        <w:rPr>
          <w:rFonts w:cs="Times New Roman"/>
        </w:rPr>
      </w:pPr>
    </w:p>
    <w:p w14:paraId="3EB39138" w14:textId="77777777" w:rsidR="00801FA0" w:rsidRPr="004D0A20" w:rsidRDefault="00622D7D" w:rsidP="007779B6">
      <w:pPr>
        <w:jc w:val="both"/>
        <w:rPr>
          <w:rFonts w:cs="Times New Roman"/>
        </w:rPr>
      </w:pPr>
      <w:r w:rsidRPr="004D0A20">
        <w:rPr>
          <w:rFonts w:cs="Times New Roman"/>
        </w:rPr>
        <w:t>T</w:t>
      </w:r>
      <w:r w:rsidR="007779B6" w:rsidRPr="004D0A20">
        <w:rPr>
          <w:rFonts w:cs="Times New Roman"/>
        </w:rPr>
        <w:t xml:space="preserve">he Commission should </w:t>
      </w:r>
      <w:r w:rsidR="00B15282" w:rsidRPr="004D0A20">
        <w:rPr>
          <w:rFonts w:cs="Times New Roman"/>
        </w:rPr>
        <w:t xml:space="preserve">first </w:t>
      </w:r>
      <w:r w:rsidR="007779B6" w:rsidRPr="004D0A20">
        <w:rPr>
          <w:rFonts w:cs="Times New Roman"/>
        </w:rPr>
        <w:t>be commended for adopting</w:t>
      </w:r>
      <w:r w:rsidR="00801FA0" w:rsidRPr="004D0A20">
        <w:rPr>
          <w:rFonts w:cs="Times New Roman"/>
        </w:rPr>
        <w:t>, as discussed above,</w:t>
      </w:r>
      <w:r w:rsidR="007779B6" w:rsidRPr="004D0A20">
        <w:rPr>
          <w:rFonts w:cs="Times New Roman"/>
        </w:rPr>
        <w:t xml:space="preserve"> a reliable sketch of the core meaning of the rule of law and the main elements contained within it. This was by no means an easy task considering the multiple and at times, conflicting and problematic definitions of the rule of law which one may easily enc</w:t>
      </w:r>
      <w:r w:rsidR="00801FA0" w:rsidRPr="004D0A20">
        <w:rPr>
          <w:rFonts w:cs="Times New Roman"/>
        </w:rPr>
        <w:t>ounter in academic scholarship.</w:t>
      </w:r>
      <w:r w:rsidR="00801FA0" w:rsidRPr="004D0A20">
        <w:rPr>
          <w:rStyle w:val="FootnoteReference"/>
          <w:rFonts w:cs="Times New Roman"/>
          <w:sz w:val="24"/>
        </w:rPr>
        <w:footnoteReference w:id="66"/>
      </w:r>
      <w:r w:rsidR="007779B6" w:rsidRPr="004D0A20">
        <w:rPr>
          <w:rFonts w:cs="Times New Roman"/>
        </w:rPr>
        <w:t xml:space="preserve"> The Commission’s main concrete proposition also departs from the most widely discussed proposals that have been made prior to the publication of its communication</w:t>
      </w:r>
      <w:r w:rsidR="00801FA0" w:rsidRPr="004D0A20">
        <w:rPr>
          <w:rFonts w:cs="Times New Roman"/>
        </w:rPr>
        <w:t>, mostly by EU scholars</w:t>
      </w:r>
      <w:r w:rsidR="007779B6" w:rsidRPr="004D0A20">
        <w:rPr>
          <w:rFonts w:cs="Times New Roman"/>
        </w:rPr>
        <w:t xml:space="preserve">. Before briefly explaining why the Commission was for the most part wise to do so, a succinct overview of these proposals </w:t>
      </w:r>
      <w:r w:rsidR="00A47028" w:rsidRPr="004D0A20">
        <w:rPr>
          <w:rFonts w:cs="Times New Roman"/>
        </w:rPr>
        <w:t>is in order. In a nutshell, the proposals in question come down to the following key features:</w:t>
      </w:r>
      <w:r w:rsidR="007779B6" w:rsidRPr="004D0A20">
        <w:rPr>
          <w:rFonts w:cs="Times New Roman"/>
        </w:rPr>
        <w:t xml:space="preserve"> </w:t>
      </w:r>
    </w:p>
    <w:p w14:paraId="09D6EF28" w14:textId="77777777" w:rsidR="007779B6" w:rsidRPr="004D0A20" w:rsidRDefault="007779B6" w:rsidP="007779B6">
      <w:pPr>
        <w:jc w:val="both"/>
        <w:rPr>
          <w:rFonts w:cs="Times New Roman"/>
        </w:rPr>
      </w:pPr>
    </w:p>
    <w:p w14:paraId="15A194E5" w14:textId="77777777" w:rsidR="00801FA0" w:rsidRPr="004D0A20" w:rsidRDefault="007779B6" w:rsidP="00A47028">
      <w:pPr>
        <w:pStyle w:val="ListParagraph"/>
        <w:numPr>
          <w:ilvl w:val="0"/>
          <w:numId w:val="23"/>
        </w:numPr>
        <w:ind w:left="0" w:firstLine="360"/>
        <w:jc w:val="both"/>
        <w:rPr>
          <w:rFonts w:cs="Times New Roman"/>
        </w:rPr>
      </w:pPr>
      <w:r w:rsidRPr="004D0A20">
        <w:rPr>
          <w:rFonts w:cs="Times New Roman"/>
          <w:i/>
        </w:rPr>
        <w:t>Compulsory exit</w:t>
      </w:r>
      <w:r w:rsidRPr="004D0A20">
        <w:rPr>
          <w:rFonts w:cs="Times New Roman"/>
        </w:rPr>
        <w:t>: It has been suggested that the EU Treaties should be amended to give the EU the power to force a chronically non-compliant EU Member State out whereas the EU Treaties only currently foresee voluntary withdrawal from the Union;</w:t>
      </w:r>
      <w:r w:rsidRPr="004D0A20">
        <w:rPr>
          <w:rStyle w:val="FootnoteReference"/>
          <w:rFonts w:cs="Times New Roman"/>
          <w:sz w:val="24"/>
        </w:rPr>
        <w:footnoteReference w:id="67"/>
      </w:r>
    </w:p>
    <w:p w14:paraId="72D9D3FB" w14:textId="77777777" w:rsidR="007779B6" w:rsidRPr="004D0A20" w:rsidRDefault="007779B6" w:rsidP="00801FA0">
      <w:pPr>
        <w:pStyle w:val="ListParagraph"/>
        <w:ind w:left="360"/>
        <w:jc w:val="both"/>
        <w:rPr>
          <w:rFonts w:cs="Times New Roman"/>
        </w:rPr>
      </w:pPr>
    </w:p>
    <w:p w14:paraId="29A62644" w14:textId="77777777" w:rsidR="00801FA0" w:rsidRPr="004D0A20" w:rsidRDefault="007779B6" w:rsidP="00A47028">
      <w:pPr>
        <w:pStyle w:val="ListParagraph"/>
        <w:numPr>
          <w:ilvl w:val="0"/>
          <w:numId w:val="23"/>
        </w:numPr>
        <w:ind w:left="0" w:firstLine="360"/>
        <w:jc w:val="both"/>
        <w:rPr>
          <w:rFonts w:cs="Times New Roman"/>
        </w:rPr>
      </w:pPr>
      <w:r w:rsidRPr="004D0A20">
        <w:rPr>
          <w:rFonts w:cs="Times New Roman"/>
          <w:i/>
        </w:rPr>
        <w:t>The EU Charter</w:t>
      </w:r>
      <w:r w:rsidR="004F30EE" w:rsidRPr="004D0A20">
        <w:rPr>
          <w:rFonts w:cs="Times New Roman"/>
          <w:i/>
        </w:rPr>
        <w:t xml:space="preserve"> of Fundamental Rights</w:t>
      </w:r>
      <w:r w:rsidRPr="004D0A20">
        <w:rPr>
          <w:rFonts w:cs="Times New Roman"/>
          <w:i/>
        </w:rPr>
        <w:t xml:space="preserve"> as a federal standard</w:t>
      </w:r>
      <w:r w:rsidRPr="004D0A20">
        <w:rPr>
          <w:rFonts w:cs="Times New Roman"/>
        </w:rPr>
        <w:t xml:space="preserve">: According to this proposal defended by the former EU Justice Commissioner, </w:t>
      </w:r>
      <w:r w:rsidR="00801FA0" w:rsidRPr="004D0A20">
        <w:rPr>
          <w:rFonts w:cs="Times New Roman"/>
        </w:rPr>
        <w:t xml:space="preserve">Article 51(1) of </w:t>
      </w:r>
      <w:r w:rsidRPr="004D0A20">
        <w:rPr>
          <w:rFonts w:cs="Times New Roman"/>
        </w:rPr>
        <w:t xml:space="preserve">the </w:t>
      </w:r>
      <w:r w:rsidRPr="004D0A20">
        <w:t xml:space="preserve">EU Charter of Fundamental Rights, </w:t>
      </w:r>
      <w:r w:rsidR="00B15282" w:rsidRPr="004D0A20">
        <w:rPr>
          <w:noProof/>
        </w:rPr>
        <w:t>which provides</w:t>
      </w:r>
      <w:r w:rsidRPr="004D0A20">
        <w:rPr>
          <w:noProof/>
        </w:rPr>
        <w:t xml:space="preserve"> that its provisions only bind national authorities when they are implementing EU law,</w:t>
      </w:r>
      <w:r w:rsidR="00B15282" w:rsidRPr="004D0A20">
        <w:rPr>
          <w:rStyle w:val="FootnoteReference"/>
          <w:noProof/>
          <w:sz w:val="24"/>
        </w:rPr>
        <w:footnoteReference w:id="68"/>
      </w:r>
      <w:r w:rsidRPr="004D0A20">
        <w:rPr>
          <w:noProof/>
        </w:rPr>
        <w:t xml:space="preserve"> should be repealed </w:t>
      </w:r>
      <w:r w:rsidRPr="004D0A20">
        <w:t>so as to make all EU fundamental rights ‘directly applicable in the Member States, including the right to effective judicial review’;</w:t>
      </w:r>
      <w:r w:rsidRPr="004D0A20">
        <w:rPr>
          <w:rStyle w:val="FootnoteReference"/>
          <w:sz w:val="24"/>
        </w:rPr>
        <w:footnoteReference w:id="69"/>
      </w:r>
    </w:p>
    <w:p w14:paraId="6616CFB3" w14:textId="77777777" w:rsidR="007779B6" w:rsidRPr="004D0A20" w:rsidRDefault="007779B6" w:rsidP="00801FA0">
      <w:pPr>
        <w:jc w:val="both"/>
        <w:rPr>
          <w:rFonts w:cs="Times New Roman"/>
        </w:rPr>
      </w:pPr>
    </w:p>
    <w:p w14:paraId="142AED6E" w14:textId="77777777" w:rsidR="00801FA0" w:rsidRPr="004D0A20" w:rsidRDefault="00A47028" w:rsidP="00A47028">
      <w:pPr>
        <w:pStyle w:val="ListParagraph"/>
        <w:numPr>
          <w:ilvl w:val="0"/>
          <w:numId w:val="23"/>
        </w:numPr>
        <w:ind w:left="0" w:firstLine="360"/>
        <w:jc w:val="both"/>
        <w:rPr>
          <w:rFonts w:cs="Times New Roman"/>
        </w:rPr>
      </w:pPr>
      <w:r w:rsidRPr="004D0A20">
        <w:rPr>
          <w:rFonts w:cs="Times New Roman"/>
          <w:i/>
        </w:rPr>
        <w:lastRenderedPageBreak/>
        <w:t xml:space="preserve">Enabling </w:t>
      </w:r>
      <w:r w:rsidR="00276E5C" w:rsidRPr="004D0A20">
        <w:rPr>
          <w:rFonts w:cs="Times New Roman"/>
          <w:i/>
        </w:rPr>
        <w:t>EU jurisdiction</w:t>
      </w:r>
      <w:r w:rsidRPr="004D0A20">
        <w:rPr>
          <w:rFonts w:cs="Times New Roman"/>
          <w:i/>
        </w:rPr>
        <w:t xml:space="preserve"> via EU citizenship rights</w:t>
      </w:r>
      <w:r w:rsidR="007779B6" w:rsidRPr="004D0A20">
        <w:rPr>
          <w:rFonts w:cs="Times New Roman"/>
        </w:rPr>
        <w:t>:</w:t>
      </w:r>
      <w:r w:rsidR="00215158" w:rsidRPr="004D0A20">
        <w:rPr>
          <w:rFonts w:cs="Times New Roman"/>
        </w:rPr>
        <w:t xml:space="preserve"> </w:t>
      </w:r>
      <w:r w:rsidR="00276E5C" w:rsidRPr="004D0A20">
        <w:rPr>
          <w:rFonts w:cs="Times New Roman"/>
        </w:rPr>
        <w:t>F</w:t>
      </w:r>
      <w:r w:rsidR="00215158" w:rsidRPr="004D0A20">
        <w:rPr>
          <w:rFonts w:cs="Times New Roman"/>
        </w:rPr>
        <w:t xml:space="preserve">irst hinted at by </w:t>
      </w:r>
      <w:r w:rsidR="00276E5C" w:rsidRPr="004D0A20">
        <w:rPr>
          <w:rFonts w:cs="Times New Roman"/>
        </w:rPr>
        <w:t>Advocate General</w:t>
      </w:r>
      <w:r w:rsidR="00215158" w:rsidRPr="004D0A20">
        <w:rPr>
          <w:rFonts w:cs="Times New Roman"/>
        </w:rPr>
        <w:t xml:space="preserve"> </w:t>
      </w:r>
      <w:proofErr w:type="spellStart"/>
      <w:r w:rsidR="00215158" w:rsidRPr="004D0A20">
        <w:rPr>
          <w:rFonts w:cs="Times New Roman"/>
        </w:rPr>
        <w:t>Poiares</w:t>
      </w:r>
      <w:proofErr w:type="spellEnd"/>
      <w:r w:rsidR="00215158" w:rsidRPr="004D0A20">
        <w:rPr>
          <w:rFonts w:cs="Times New Roman"/>
        </w:rPr>
        <w:t xml:space="preserve"> Maduro in </w:t>
      </w:r>
      <w:r w:rsidR="00215158" w:rsidRPr="004D0A20">
        <w:rPr>
          <w:rFonts w:cs="Times New Roman"/>
          <w:i/>
        </w:rPr>
        <w:t>Centro Europa</w:t>
      </w:r>
      <w:r w:rsidR="00276E5C" w:rsidRPr="004D0A20">
        <w:rPr>
          <w:rFonts w:cs="Times New Roman"/>
        </w:rPr>
        <w:t>,</w:t>
      </w:r>
      <w:r w:rsidR="00215158" w:rsidRPr="004D0A20">
        <w:rPr>
          <w:rStyle w:val="FootnoteReference"/>
          <w:rFonts w:cs="Times New Roman"/>
          <w:sz w:val="24"/>
        </w:rPr>
        <w:footnoteReference w:id="70"/>
      </w:r>
      <w:r w:rsidR="007779B6" w:rsidRPr="004D0A20">
        <w:rPr>
          <w:rFonts w:cs="Times New Roman"/>
        </w:rPr>
        <w:t xml:space="preserve"> </w:t>
      </w:r>
      <w:r w:rsidR="00276E5C" w:rsidRPr="004D0A20">
        <w:rPr>
          <w:rFonts w:cs="Times New Roman"/>
        </w:rPr>
        <w:t xml:space="preserve">this proposal essentially </w:t>
      </w:r>
      <w:r w:rsidR="007779B6" w:rsidRPr="004D0A20">
        <w:rPr>
          <w:rFonts w:cs="Times New Roman"/>
        </w:rPr>
        <w:t>suggested to allow national co</w:t>
      </w:r>
      <w:r w:rsidRPr="004D0A20">
        <w:rPr>
          <w:rFonts w:cs="Times New Roman"/>
        </w:rPr>
        <w:t>urts, in a situation where fundamental</w:t>
      </w:r>
      <w:r w:rsidR="007779B6" w:rsidRPr="004D0A20">
        <w:rPr>
          <w:rFonts w:cs="Times New Roman"/>
        </w:rPr>
        <w:t xml:space="preserve"> rights </w:t>
      </w:r>
      <w:r w:rsidRPr="004D0A20">
        <w:rPr>
          <w:rFonts w:cs="Times New Roman"/>
        </w:rPr>
        <w:t xml:space="preserve">of EU citizens </w:t>
      </w:r>
      <w:r w:rsidR="007779B6" w:rsidRPr="004D0A20">
        <w:rPr>
          <w:rFonts w:cs="Times New Roman"/>
        </w:rPr>
        <w:t xml:space="preserve">would be systemically violated, to invite the </w:t>
      </w:r>
      <w:r w:rsidR="009440C3" w:rsidRPr="004D0A20">
        <w:rPr>
          <w:rFonts w:cs="Times New Roman"/>
        </w:rPr>
        <w:t>Court of Justice</w:t>
      </w:r>
      <w:r w:rsidR="007779B6" w:rsidRPr="004D0A20">
        <w:rPr>
          <w:rFonts w:cs="Times New Roman"/>
        </w:rPr>
        <w:t xml:space="preserve"> to </w:t>
      </w:r>
      <w:r w:rsidR="00276E5C" w:rsidRPr="004D0A20">
        <w:rPr>
          <w:rFonts w:cs="Times New Roman"/>
        </w:rPr>
        <w:t>review</w:t>
      </w:r>
      <w:r w:rsidR="007779B6" w:rsidRPr="004D0A20">
        <w:rPr>
          <w:rFonts w:cs="Times New Roman"/>
        </w:rPr>
        <w:t xml:space="preserve"> the legality of national action</w:t>
      </w:r>
      <w:r w:rsidR="00215158" w:rsidRPr="004D0A20">
        <w:rPr>
          <w:rFonts w:cs="Times New Roman"/>
        </w:rPr>
        <w:t>s in the light of Article 2 TEU</w:t>
      </w:r>
      <w:r w:rsidR="00276E5C" w:rsidRPr="004D0A20">
        <w:rPr>
          <w:rFonts w:cs="Times New Roman"/>
        </w:rPr>
        <w:t xml:space="preserve"> notwithstanding the fa</w:t>
      </w:r>
      <w:r w:rsidR="003832CD">
        <w:rPr>
          <w:rFonts w:cs="Times New Roman"/>
        </w:rPr>
        <w:t>ct that</w:t>
      </w:r>
      <w:r w:rsidR="00276E5C" w:rsidRPr="004D0A20">
        <w:rPr>
          <w:rFonts w:cs="Times New Roman"/>
        </w:rPr>
        <w:t xml:space="preserve"> these violations may occur in wholly internal situations from a legal point of view, that is, outside the scope of application of EU law</w:t>
      </w:r>
      <w:r w:rsidR="007779B6" w:rsidRPr="004D0A20">
        <w:rPr>
          <w:rFonts w:cs="Times New Roman"/>
        </w:rPr>
        <w:t>;</w:t>
      </w:r>
      <w:r w:rsidR="007779B6" w:rsidRPr="004D0A20">
        <w:rPr>
          <w:rStyle w:val="FootnoteReference"/>
          <w:rFonts w:cs="Times New Roman"/>
          <w:sz w:val="24"/>
        </w:rPr>
        <w:footnoteReference w:id="71"/>
      </w:r>
    </w:p>
    <w:p w14:paraId="4DE361E9" w14:textId="77777777" w:rsidR="007779B6" w:rsidRPr="004D0A20" w:rsidRDefault="007779B6" w:rsidP="00801FA0">
      <w:pPr>
        <w:jc w:val="both"/>
        <w:rPr>
          <w:rFonts w:cs="Times New Roman"/>
        </w:rPr>
      </w:pPr>
    </w:p>
    <w:p w14:paraId="27301664" w14:textId="77777777" w:rsidR="00276E5C" w:rsidRPr="004D0A20" w:rsidRDefault="00B15282" w:rsidP="00A47028">
      <w:pPr>
        <w:pStyle w:val="ListParagraph"/>
        <w:numPr>
          <w:ilvl w:val="0"/>
          <w:numId w:val="23"/>
        </w:numPr>
        <w:ind w:left="0" w:firstLine="360"/>
        <w:jc w:val="both"/>
        <w:rPr>
          <w:rFonts w:cs="Times New Roman"/>
        </w:rPr>
      </w:pPr>
      <w:r w:rsidRPr="004D0A20">
        <w:rPr>
          <w:rFonts w:cs="Times New Roman"/>
        </w:rPr>
        <w:t xml:space="preserve"> </w:t>
      </w:r>
      <w:r w:rsidR="007779B6" w:rsidRPr="004D0A20">
        <w:rPr>
          <w:rFonts w:cs="Times New Roman"/>
          <w:i/>
        </w:rPr>
        <w:t>‘Outsourcing’ of EU values</w:t>
      </w:r>
      <w:r w:rsidR="00A47028" w:rsidRPr="004D0A20">
        <w:rPr>
          <w:rFonts w:cs="Times New Roman"/>
          <w:i/>
        </w:rPr>
        <w:t>’</w:t>
      </w:r>
      <w:r w:rsidR="007779B6" w:rsidRPr="004D0A20">
        <w:rPr>
          <w:rFonts w:cs="Times New Roman"/>
          <w:i/>
        </w:rPr>
        <w:t xml:space="preserve"> monitoring</w:t>
      </w:r>
      <w:r w:rsidR="007779B6" w:rsidRPr="004D0A20">
        <w:rPr>
          <w:rFonts w:cs="Times New Roman"/>
        </w:rPr>
        <w:t xml:space="preserve">: The President of the Venice Commission </w:t>
      </w:r>
      <w:r w:rsidR="00276E5C" w:rsidRPr="004D0A20">
        <w:rPr>
          <w:rFonts w:cs="Times New Roman"/>
        </w:rPr>
        <w:t xml:space="preserve">has </w:t>
      </w:r>
      <w:r w:rsidR="007779B6" w:rsidRPr="004D0A20">
        <w:rPr>
          <w:rFonts w:cs="Times New Roman"/>
        </w:rPr>
        <w:t>proposed to delegate the task of monitoring of EU countries’ adherence to the rule of law to his organisation on the ground that it has a solid-track record when it comes to assessing and offering solutions to rule of law related problems in the 47 contracting parties to the Council of Europe;</w:t>
      </w:r>
      <w:r w:rsidR="007779B6" w:rsidRPr="004D0A20">
        <w:rPr>
          <w:rStyle w:val="FootnoteReference"/>
          <w:rFonts w:cs="Times New Roman"/>
          <w:sz w:val="24"/>
        </w:rPr>
        <w:footnoteReference w:id="72"/>
      </w:r>
    </w:p>
    <w:p w14:paraId="7AD7BFA2" w14:textId="77777777" w:rsidR="007779B6" w:rsidRPr="004D0A20" w:rsidRDefault="007779B6" w:rsidP="00276E5C">
      <w:pPr>
        <w:jc w:val="both"/>
        <w:rPr>
          <w:rFonts w:cs="Times New Roman"/>
        </w:rPr>
      </w:pPr>
    </w:p>
    <w:p w14:paraId="41DFAABA" w14:textId="77777777" w:rsidR="00276E5C" w:rsidRPr="004D0A20" w:rsidRDefault="00A47028" w:rsidP="00A47028">
      <w:pPr>
        <w:pStyle w:val="ListParagraph"/>
        <w:numPr>
          <w:ilvl w:val="0"/>
          <w:numId w:val="23"/>
        </w:numPr>
        <w:ind w:left="0" w:firstLine="360"/>
        <w:jc w:val="both"/>
        <w:rPr>
          <w:rFonts w:cs="Times New Roman"/>
        </w:rPr>
      </w:pPr>
      <w:r w:rsidRPr="004D0A20">
        <w:rPr>
          <w:rFonts w:cs="Times New Roman"/>
          <w:i/>
        </w:rPr>
        <w:t>Creation of a new EU institution</w:t>
      </w:r>
      <w:r w:rsidR="00276E5C" w:rsidRPr="004D0A20">
        <w:rPr>
          <w:rFonts w:cs="Times New Roman"/>
        </w:rPr>
        <w:t>:</w:t>
      </w:r>
      <w:r w:rsidRPr="004D0A20">
        <w:rPr>
          <w:rFonts w:cs="Times New Roman"/>
        </w:rPr>
        <w:t xml:space="preserve"> </w:t>
      </w:r>
      <w:r w:rsidR="007779B6" w:rsidRPr="004D0A20">
        <w:rPr>
          <w:rFonts w:cs="Times New Roman"/>
        </w:rPr>
        <w:t>Closely related to the previous proposal</w:t>
      </w:r>
      <w:r w:rsidR="009440C3" w:rsidRPr="004D0A20">
        <w:rPr>
          <w:rFonts w:cs="Times New Roman"/>
        </w:rPr>
        <w:t xml:space="preserve"> but in opposition to the idea of externalising any monitoring tasks and/or sanctioning powers</w:t>
      </w:r>
      <w:r w:rsidR="007779B6" w:rsidRPr="004D0A20">
        <w:rPr>
          <w:rFonts w:cs="Times New Roman"/>
        </w:rPr>
        <w:t>, the setting up of a ‘Copenhagen Commission’</w:t>
      </w:r>
      <w:r w:rsidR="007779B6" w:rsidRPr="004D0A20">
        <w:rPr>
          <w:rStyle w:val="FootnoteReference"/>
          <w:rFonts w:cs="Times New Roman"/>
          <w:sz w:val="24"/>
        </w:rPr>
        <w:footnoteReference w:id="73"/>
      </w:r>
      <w:r w:rsidR="007779B6" w:rsidRPr="004D0A20">
        <w:rPr>
          <w:rFonts w:cs="Times New Roman"/>
        </w:rPr>
        <w:t xml:space="preserve"> has been suggested with the view of subjecting current EU Member States to a similar level of monitoring than EU candidates countries while removing this task from the European Commission as it would have failed in this endeavour; </w:t>
      </w:r>
    </w:p>
    <w:p w14:paraId="3CA58B98" w14:textId="77777777" w:rsidR="007779B6" w:rsidRPr="004D0A20" w:rsidRDefault="007779B6" w:rsidP="00276E5C">
      <w:pPr>
        <w:jc w:val="both"/>
        <w:rPr>
          <w:rFonts w:cs="Times New Roman"/>
        </w:rPr>
      </w:pPr>
    </w:p>
    <w:p w14:paraId="35E920E2" w14:textId="77777777" w:rsidR="00276E5C" w:rsidRPr="004D0A20" w:rsidRDefault="00124C7A" w:rsidP="00A47028">
      <w:pPr>
        <w:pStyle w:val="ListParagraph"/>
        <w:numPr>
          <w:ilvl w:val="0"/>
          <w:numId w:val="23"/>
        </w:numPr>
        <w:ind w:left="0" w:firstLine="360"/>
        <w:jc w:val="both"/>
        <w:rPr>
          <w:rFonts w:cs="Times New Roman"/>
        </w:rPr>
      </w:pPr>
      <w:r w:rsidRPr="004D0A20">
        <w:rPr>
          <w:rFonts w:cs="Times New Roman"/>
        </w:rPr>
        <w:t xml:space="preserve"> </w:t>
      </w:r>
      <w:r w:rsidR="007779B6" w:rsidRPr="004D0A20">
        <w:rPr>
          <w:rFonts w:cs="Times New Roman"/>
          <w:i/>
        </w:rPr>
        <w:t>New</w:t>
      </w:r>
      <w:r w:rsidR="0003430E" w:rsidRPr="004D0A20">
        <w:rPr>
          <w:rFonts w:cs="Times New Roman"/>
          <w:i/>
        </w:rPr>
        <w:t xml:space="preserve"> </w:t>
      </w:r>
      <w:r w:rsidR="00276E5C" w:rsidRPr="004D0A20">
        <w:rPr>
          <w:rFonts w:cs="Times New Roman"/>
          <w:i/>
        </w:rPr>
        <w:t xml:space="preserve">application </w:t>
      </w:r>
      <w:r w:rsidR="0003430E" w:rsidRPr="004D0A20">
        <w:rPr>
          <w:rFonts w:cs="Times New Roman"/>
          <w:i/>
        </w:rPr>
        <w:t xml:space="preserve">of the </w:t>
      </w:r>
      <w:r w:rsidR="00276E5C" w:rsidRPr="004D0A20">
        <w:rPr>
          <w:rFonts w:cs="Times New Roman"/>
          <w:i/>
        </w:rPr>
        <w:t>existing</w:t>
      </w:r>
      <w:r w:rsidR="007779B6" w:rsidRPr="004D0A20">
        <w:rPr>
          <w:rFonts w:cs="Times New Roman"/>
          <w:i/>
        </w:rPr>
        <w:t xml:space="preserve"> infringement procedure</w:t>
      </w:r>
      <w:r w:rsidR="007779B6" w:rsidRPr="004D0A20">
        <w:rPr>
          <w:rFonts w:cs="Times New Roman"/>
        </w:rPr>
        <w:t>: Under this proposal, the Commission should aim to present a ‘bundle’ of infringement cases to the Court of Justice in order to present a clear picture of systemic non-compliance as regards Article 2 TEU and gain the additional power to subtract any EU funds that the relevant Member State may</w:t>
      </w:r>
      <w:r w:rsidR="003832CD">
        <w:rPr>
          <w:rFonts w:cs="Times New Roman"/>
        </w:rPr>
        <w:t xml:space="preserve"> have been</w:t>
      </w:r>
      <w:r w:rsidR="007779B6" w:rsidRPr="004D0A20">
        <w:rPr>
          <w:rFonts w:cs="Times New Roman"/>
        </w:rPr>
        <w:t xml:space="preserve"> be entitled to receive;</w:t>
      </w:r>
      <w:r w:rsidR="007779B6" w:rsidRPr="004D0A20">
        <w:rPr>
          <w:rStyle w:val="FootnoteReference"/>
          <w:rFonts w:cs="Times New Roman"/>
          <w:sz w:val="24"/>
        </w:rPr>
        <w:footnoteReference w:id="74"/>
      </w:r>
    </w:p>
    <w:p w14:paraId="4B9F4FB3" w14:textId="77777777" w:rsidR="00124C7A" w:rsidRPr="004D0A20" w:rsidRDefault="00124C7A" w:rsidP="00276E5C">
      <w:pPr>
        <w:jc w:val="both"/>
        <w:rPr>
          <w:rFonts w:cs="Times New Roman"/>
        </w:rPr>
      </w:pPr>
    </w:p>
    <w:p w14:paraId="39C15873" w14:textId="77777777" w:rsidR="00276E5C" w:rsidRPr="004D0A20" w:rsidRDefault="007779B6" w:rsidP="00A47028">
      <w:pPr>
        <w:pStyle w:val="ListParagraph"/>
        <w:numPr>
          <w:ilvl w:val="0"/>
          <w:numId w:val="23"/>
        </w:numPr>
        <w:ind w:left="0" w:firstLine="360"/>
        <w:jc w:val="both"/>
        <w:rPr>
          <w:rFonts w:cs="Times New Roman"/>
        </w:rPr>
      </w:pPr>
      <w:r w:rsidRPr="004D0A20">
        <w:rPr>
          <w:rFonts w:cs="Times New Roman"/>
          <w:i/>
        </w:rPr>
        <w:t>Peer-review</w:t>
      </w:r>
      <w:r w:rsidRPr="004D0A20">
        <w:rPr>
          <w:rFonts w:cs="Times New Roman"/>
        </w:rPr>
        <w:t xml:space="preserve">: </w:t>
      </w:r>
      <w:r w:rsidR="00276E5C" w:rsidRPr="004D0A20">
        <w:rPr>
          <w:rFonts w:cs="Times New Roman"/>
        </w:rPr>
        <w:t>Finally, m</w:t>
      </w:r>
      <w:r w:rsidRPr="004D0A20">
        <w:rPr>
          <w:rFonts w:cs="Times New Roman"/>
        </w:rPr>
        <w:t>utual peer-review of each EU country’s adherence to the rule of law on the basis of periodic reports to be assessed by national governmental representatives has also been suggested.</w:t>
      </w:r>
      <w:r w:rsidRPr="004D0A20">
        <w:rPr>
          <w:rStyle w:val="FootnoteReference"/>
          <w:rFonts w:cs="Times New Roman"/>
          <w:sz w:val="24"/>
        </w:rPr>
        <w:footnoteReference w:id="75"/>
      </w:r>
      <w:r w:rsidRPr="004D0A20">
        <w:rPr>
          <w:rFonts w:cs="Times New Roman"/>
        </w:rPr>
        <w:t xml:space="preserve"> </w:t>
      </w:r>
    </w:p>
    <w:p w14:paraId="496B0620" w14:textId="77777777" w:rsidR="007779B6" w:rsidRPr="004D0A20" w:rsidRDefault="007779B6" w:rsidP="00276E5C">
      <w:pPr>
        <w:jc w:val="both"/>
        <w:rPr>
          <w:rFonts w:cs="Times New Roman"/>
        </w:rPr>
      </w:pPr>
    </w:p>
    <w:p w14:paraId="29D6C501" w14:textId="77777777" w:rsidR="00764FAA" w:rsidRPr="004D0A20" w:rsidRDefault="00A47028" w:rsidP="00631D85">
      <w:pPr>
        <w:widowControl w:val="0"/>
        <w:autoSpaceDE w:val="0"/>
        <w:autoSpaceDN w:val="0"/>
        <w:adjustRightInd w:val="0"/>
        <w:jc w:val="both"/>
        <w:rPr>
          <w:rFonts w:cs="Times New Roman"/>
        </w:rPr>
      </w:pPr>
      <w:r w:rsidRPr="004D0A20">
        <w:rPr>
          <w:rFonts w:cs="Times New Roman"/>
        </w:rPr>
        <w:t>N</w:t>
      </w:r>
      <w:r w:rsidR="00764FAA" w:rsidRPr="004D0A20">
        <w:rPr>
          <w:rFonts w:cs="Times New Roman"/>
        </w:rPr>
        <w:t xml:space="preserve">one </w:t>
      </w:r>
      <w:r w:rsidR="007779B6" w:rsidRPr="004D0A20">
        <w:rPr>
          <w:rFonts w:cs="Times New Roman"/>
        </w:rPr>
        <w:t>of the above-mentioned proposals is flawless.</w:t>
      </w:r>
      <w:r w:rsidR="004F30EE" w:rsidRPr="004D0A20">
        <w:rPr>
          <w:rStyle w:val="FootnoteReference"/>
          <w:rFonts w:cs="Times New Roman"/>
          <w:sz w:val="24"/>
        </w:rPr>
        <w:footnoteReference w:id="76"/>
      </w:r>
      <w:r w:rsidR="007779B6" w:rsidRPr="004D0A20">
        <w:rPr>
          <w:rFonts w:cs="Times New Roman"/>
        </w:rPr>
        <w:t xml:space="preserve"> Those requiring Treaty change</w:t>
      </w:r>
      <w:r w:rsidR="00B64CFF" w:rsidRPr="004D0A20">
        <w:rPr>
          <w:rFonts w:cs="Times New Roman"/>
        </w:rPr>
        <w:t>, like the compulsory exit</w:t>
      </w:r>
      <w:r w:rsidR="00631D85" w:rsidRPr="004D0A20">
        <w:rPr>
          <w:rFonts w:cs="Times New Roman"/>
        </w:rPr>
        <w:t xml:space="preserve"> one</w:t>
      </w:r>
      <w:r w:rsidR="00B64CFF" w:rsidRPr="004D0A20">
        <w:rPr>
          <w:rFonts w:cs="Times New Roman"/>
        </w:rPr>
        <w:t>, are not politically realistic</w:t>
      </w:r>
      <w:r w:rsidR="00631D85" w:rsidRPr="004D0A20">
        <w:rPr>
          <w:rFonts w:cs="Times New Roman"/>
        </w:rPr>
        <w:t xml:space="preserve">. Similarly, enabling litigants to rely on the EU Charter of Fundamental Rights in any situation would be difficult to reconcile with </w:t>
      </w:r>
      <w:r w:rsidR="00631D85" w:rsidRPr="004D0A20">
        <w:rPr>
          <w:rFonts w:cs="Times New Roman"/>
        </w:rPr>
        <w:lastRenderedPageBreak/>
        <w:t>the principle whereby the EU is</w:t>
      </w:r>
      <w:r w:rsidR="00B64CFF" w:rsidRPr="004D0A20">
        <w:rPr>
          <w:rFonts w:cs="Times New Roman"/>
        </w:rPr>
        <w:t xml:space="preserve"> a</w:t>
      </w:r>
      <w:r w:rsidR="00631D85" w:rsidRPr="004D0A20">
        <w:rPr>
          <w:rFonts w:cs="Times New Roman"/>
        </w:rPr>
        <w:t>n organisation</w:t>
      </w:r>
      <w:r w:rsidR="00B64CFF" w:rsidRPr="004D0A20">
        <w:rPr>
          <w:rFonts w:cs="Times New Roman"/>
        </w:rPr>
        <w:t xml:space="preserve"> </w:t>
      </w:r>
      <w:r w:rsidR="00631D85" w:rsidRPr="004D0A20">
        <w:rPr>
          <w:rFonts w:cs="Times New Roman"/>
        </w:rPr>
        <w:t>‘</w:t>
      </w:r>
      <w:r w:rsidR="00631D85" w:rsidRPr="004D0A20">
        <w:rPr>
          <w:rFonts w:cs="Times New Roman"/>
          <w:szCs w:val="25"/>
          <w:lang w:val="en-US"/>
        </w:rPr>
        <w:t>on which the Member States confer competences to attain objectives they have in common</w:t>
      </w:r>
      <w:r w:rsidR="00631D85" w:rsidRPr="004D0A20">
        <w:rPr>
          <w:rFonts w:cs="Times New Roman"/>
        </w:rPr>
        <w:t xml:space="preserve"> </w:t>
      </w:r>
      <w:r w:rsidR="00B64CFF" w:rsidRPr="004D0A20">
        <w:rPr>
          <w:rFonts w:cs="Times New Roman"/>
        </w:rPr>
        <w:t>based on conferred powers</w:t>
      </w:r>
      <w:r w:rsidR="00631D85" w:rsidRPr="004D0A20">
        <w:rPr>
          <w:rFonts w:cs="Times New Roman"/>
        </w:rPr>
        <w:t>’.</w:t>
      </w:r>
      <w:r w:rsidR="00631D85" w:rsidRPr="004D0A20">
        <w:rPr>
          <w:rStyle w:val="FootnoteReference"/>
          <w:rFonts w:cs="Times New Roman"/>
          <w:sz w:val="24"/>
        </w:rPr>
        <w:footnoteReference w:id="77"/>
      </w:r>
      <w:r w:rsidR="00B64CFF" w:rsidRPr="004D0A20">
        <w:rPr>
          <w:rFonts w:cs="Times New Roman"/>
        </w:rPr>
        <w:t xml:space="preserve"> </w:t>
      </w:r>
      <w:r w:rsidR="00631D85" w:rsidRPr="004D0A20">
        <w:rPr>
          <w:rFonts w:cs="Times New Roman"/>
        </w:rPr>
        <w:t xml:space="preserve">Allowing </w:t>
      </w:r>
      <w:r w:rsidR="00B64CFF" w:rsidRPr="004D0A20">
        <w:rPr>
          <w:rFonts w:cs="Times New Roman"/>
        </w:rPr>
        <w:t>the Commission and the Court to exercise broad discretion in bundli</w:t>
      </w:r>
      <w:r w:rsidR="00631D85" w:rsidRPr="004D0A20">
        <w:rPr>
          <w:rFonts w:cs="Times New Roman"/>
        </w:rPr>
        <w:t>ng violations to demonstrate a</w:t>
      </w:r>
      <w:r w:rsidR="00B64CFF" w:rsidRPr="004D0A20">
        <w:rPr>
          <w:rFonts w:cs="Times New Roman"/>
        </w:rPr>
        <w:t xml:space="preserve"> breach of Article 2 TEU (even if such </w:t>
      </w:r>
      <w:r w:rsidR="00631D85" w:rsidRPr="004D0A20">
        <w:rPr>
          <w:rFonts w:cs="Times New Roman"/>
        </w:rPr>
        <w:t xml:space="preserve">a </w:t>
      </w:r>
      <w:r w:rsidR="00B64CFF" w:rsidRPr="004D0A20">
        <w:rPr>
          <w:rFonts w:cs="Times New Roman"/>
        </w:rPr>
        <w:t xml:space="preserve">breach is found to </w:t>
      </w:r>
      <w:r w:rsidR="00631D85" w:rsidRPr="004D0A20">
        <w:rPr>
          <w:rFonts w:cs="Times New Roman"/>
        </w:rPr>
        <w:t xml:space="preserve">exist </w:t>
      </w:r>
      <w:r w:rsidR="00B64CFF" w:rsidRPr="004D0A20">
        <w:rPr>
          <w:rFonts w:cs="Times New Roman"/>
        </w:rPr>
        <w:t>in conjunction with other provisions)</w:t>
      </w:r>
      <w:r w:rsidR="00631D85" w:rsidRPr="004D0A20">
        <w:rPr>
          <w:rFonts w:cs="Times New Roman"/>
        </w:rPr>
        <w:t xml:space="preserve"> would also most likely </w:t>
      </w:r>
      <w:r w:rsidR="003832CD">
        <w:rPr>
          <w:rFonts w:cs="Times New Roman"/>
        </w:rPr>
        <w:t xml:space="preserve">be </w:t>
      </w:r>
      <w:r w:rsidR="00631D85" w:rsidRPr="004D0A20">
        <w:rPr>
          <w:rFonts w:cs="Times New Roman"/>
        </w:rPr>
        <w:t>seen as legally threatening and politically unacceptable by national governments</w:t>
      </w:r>
      <w:r w:rsidR="00B64CFF" w:rsidRPr="004D0A20">
        <w:rPr>
          <w:rFonts w:cs="Times New Roman"/>
        </w:rPr>
        <w:t>.</w:t>
      </w:r>
    </w:p>
    <w:p w14:paraId="2F5086DD" w14:textId="77777777" w:rsidR="00764FAA" w:rsidRPr="004D0A20" w:rsidRDefault="00631D85" w:rsidP="00A47028">
      <w:pPr>
        <w:ind w:firstLine="709"/>
        <w:jc w:val="both"/>
        <w:rPr>
          <w:rFonts w:cs="Times New Roman"/>
        </w:rPr>
      </w:pPr>
      <w:r w:rsidRPr="004D0A20">
        <w:rPr>
          <w:rFonts w:cs="Times New Roman"/>
        </w:rPr>
        <w:t>L</w:t>
      </w:r>
      <w:r w:rsidR="00B64CFF" w:rsidRPr="004D0A20">
        <w:rPr>
          <w:rFonts w:cs="Times New Roman"/>
        </w:rPr>
        <w:t>ess intrusive proposals are</w:t>
      </w:r>
      <w:r w:rsidRPr="004D0A20">
        <w:rPr>
          <w:rFonts w:cs="Times New Roman"/>
        </w:rPr>
        <w:t xml:space="preserve"> also</w:t>
      </w:r>
      <w:r w:rsidR="00B64CFF" w:rsidRPr="004D0A20">
        <w:rPr>
          <w:rFonts w:cs="Times New Roman"/>
        </w:rPr>
        <w:t xml:space="preserve"> potentially problematic. </w:t>
      </w:r>
      <w:r w:rsidR="007779B6" w:rsidRPr="004D0A20">
        <w:rPr>
          <w:rFonts w:cs="Times New Roman"/>
        </w:rPr>
        <w:t>The creation of a new EU monitoring body would add another layer of bureaucracy whereas the Comm</w:t>
      </w:r>
      <w:r w:rsidR="008E1B23" w:rsidRPr="004D0A20">
        <w:rPr>
          <w:rFonts w:cs="Times New Roman"/>
        </w:rPr>
        <w:t>ission and/or the FRA</w:t>
      </w:r>
      <w:r w:rsidR="00B64CFF" w:rsidRPr="004D0A20">
        <w:rPr>
          <w:rFonts w:cs="Times New Roman"/>
        </w:rPr>
        <w:t xml:space="preserve"> could potentially</w:t>
      </w:r>
      <w:r w:rsidR="007779B6" w:rsidRPr="004D0A20">
        <w:rPr>
          <w:rFonts w:cs="Times New Roman"/>
        </w:rPr>
        <w:t xml:space="preserve"> improve their monitoring capacities provided that they are given the resourc</w:t>
      </w:r>
      <w:r w:rsidR="002E0F47" w:rsidRPr="004D0A20">
        <w:rPr>
          <w:rFonts w:cs="Times New Roman"/>
        </w:rPr>
        <w:t>es</w:t>
      </w:r>
      <w:r w:rsidR="00BB38CD">
        <w:rPr>
          <w:rFonts w:cs="Times New Roman"/>
        </w:rPr>
        <w:t>,</w:t>
      </w:r>
      <w:r w:rsidR="002E0F47" w:rsidRPr="004D0A20">
        <w:rPr>
          <w:rFonts w:cs="Times New Roman"/>
        </w:rPr>
        <w:t xml:space="preserve"> and in the case of the FRA</w:t>
      </w:r>
      <w:r w:rsidR="007779B6" w:rsidRPr="004D0A20">
        <w:rPr>
          <w:rFonts w:cs="Times New Roman"/>
        </w:rPr>
        <w:t>, a clear mand</w:t>
      </w:r>
      <w:r w:rsidR="00B64CFF" w:rsidRPr="004D0A20">
        <w:rPr>
          <w:rFonts w:cs="Times New Roman"/>
        </w:rPr>
        <w:t>ate to do so.</w:t>
      </w:r>
      <w:r w:rsidR="00B64CFF" w:rsidRPr="004D0A20">
        <w:rPr>
          <w:rStyle w:val="FootnoteReference"/>
          <w:rFonts w:cs="Times New Roman"/>
          <w:sz w:val="24"/>
        </w:rPr>
        <w:footnoteReference w:id="78"/>
      </w:r>
      <w:r w:rsidR="00B64CFF" w:rsidRPr="004D0A20">
        <w:rPr>
          <w:rFonts w:cs="Times New Roman"/>
        </w:rPr>
        <w:t xml:space="preserve"> By the same token, those who believe that the Commission and the FRA </w:t>
      </w:r>
      <w:r w:rsidR="002E0F47" w:rsidRPr="004D0A20">
        <w:rPr>
          <w:rFonts w:cs="Times New Roman"/>
        </w:rPr>
        <w:t>may</w:t>
      </w:r>
      <w:r w:rsidR="00B64CFF" w:rsidRPr="004D0A20">
        <w:rPr>
          <w:rFonts w:cs="Times New Roman"/>
        </w:rPr>
        <w:t xml:space="preserve"> not be in the position to deliver</w:t>
      </w:r>
      <w:r w:rsidR="00B709DC" w:rsidRPr="004D0A20">
        <w:rPr>
          <w:rFonts w:cs="Times New Roman"/>
        </w:rPr>
        <w:t xml:space="preserve"> could be too optimistic to assume that a </w:t>
      </w:r>
      <w:r w:rsidR="002E0F47" w:rsidRPr="004D0A20">
        <w:rPr>
          <w:rFonts w:cs="Times New Roman"/>
        </w:rPr>
        <w:t>newly created EU body would necessarily be</w:t>
      </w:r>
      <w:r w:rsidR="00B709DC" w:rsidRPr="004D0A20">
        <w:rPr>
          <w:rFonts w:cs="Times New Roman"/>
        </w:rPr>
        <w:t xml:space="preserve"> more capable. As far as </w:t>
      </w:r>
      <w:r w:rsidR="002E0F47" w:rsidRPr="004D0A20">
        <w:rPr>
          <w:rFonts w:cs="Times New Roman"/>
        </w:rPr>
        <w:t xml:space="preserve">the </w:t>
      </w:r>
      <w:r w:rsidR="0016452B">
        <w:rPr>
          <w:rFonts w:cs="Times New Roman"/>
        </w:rPr>
        <w:t xml:space="preserve">outsourcing of </w:t>
      </w:r>
      <w:r w:rsidR="00B709DC" w:rsidRPr="004D0A20">
        <w:rPr>
          <w:rFonts w:cs="Times New Roman"/>
        </w:rPr>
        <w:t>rule of law monitoring is concerned</w:t>
      </w:r>
      <w:r w:rsidR="002E0F47" w:rsidRPr="004D0A20">
        <w:rPr>
          <w:rFonts w:cs="Times New Roman"/>
        </w:rPr>
        <w:t>,</w:t>
      </w:r>
      <w:r w:rsidR="00B709DC" w:rsidRPr="004D0A20">
        <w:rPr>
          <w:rFonts w:cs="Times New Roman"/>
        </w:rPr>
        <w:t xml:space="preserve"> </w:t>
      </w:r>
      <w:r w:rsidR="002E0F47" w:rsidRPr="004D0A20">
        <w:rPr>
          <w:rFonts w:cs="Times New Roman"/>
        </w:rPr>
        <w:t xml:space="preserve">this avenue may seriously undermine </w:t>
      </w:r>
      <w:r w:rsidR="00B709DC" w:rsidRPr="004D0A20">
        <w:rPr>
          <w:rFonts w:cs="Times New Roman"/>
        </w:rPr>
        <w:t>the</w:t>
      </w:r>
      <w:r w:rsidR="002E0F47" w:rsidRPr="004D0A20">
        <w:rPr>
          <w:rFonts w:cs="Times New Roman"/>
        </w:rPr>
        <w:t xml:space="preserve"> EU’s understanding of itself as </w:t>
      </w:r>
      <w:r w:rsidR="00B709DC" w:rsidRPr="004D0A20">
        <w:rPr>
          <w:rFonts w:cs="Times New Roman"/>
        </w:rPr>
        <w:t xml:space="preserve">a mature autonomous constitutional system if the very </w:t>
      </w:r>
      <w:r w:rsidR="00B709DC" w:rsidRPr="004D0A20">
        <w:rPr>
          <w:rFonts w:cs="Times New Roman"/>
          <w:i/>
        </w:rPr>
        <w:t xml:space="preserve">heart </w:t>
      </w:r>
      <w:r w:rsidR="00B709DC" w:rsidRPr="004D0A20">
        <w:rPr>
          <w:rFonts w:cs="Times New Roman"/>
        </w:rPr>
        <w:t>of what it is about – the key values it adheres to, promotes, and is based on – is ou</w:t>
      </w:r>
      <w:r w:rsidR="00B709DC" w:rsidRPr="00734B8D">
        <w:rPr>
          <w:rFonts w:cs="Times New Roman"/>
        </w:rPr>
        <w:t>tsourced to a different organisation</w:t>
      </w:r>
      <w:r w:rsidR="002E0F47" w:rsidRPr="00734B8D">
        <w:rPr>
          <w:rFonts w:cs="Times New Roman"/>
        </w:rPr>
        <w:t xml:space="preserve"> such as the Venice Commission</w:t>
      </w:r>
      <w:r w:rsidR="009A2FE2" w:rsidRPr="00734B8D">
        <w:rPr>
          <w:rFonts w:cs="Times New Roman"/>
        </w:rPr>
        <w:t>, however</w:t>
      </w:r>
      <w:r w:rsidR="00B709DC" w:rsidRPr="00734B8D">
        <w:rPr>
          <w:rFonts w:cs="Times New Roman"/>
        </w:rPr>
        <w:t xml:space="preserve"> attractive </w:t>
      </w:r>
      <w:r w:rsidR="00734B8D" w:rsidRPr="00734B8D">
        <w:rPr>
          <w:rFonts w:cs="Times New Roman"/>
        </w:rPr>
        <w:t>this solution may sound considering the good reputation of th</w:t>
      </w:r>
      <w:r w:rsidR="00734B8D">
        <w:rPr>
          <w:rFonts w:cs="Times New Roman"/>
        </w:rPr>
        <w:t>e Council of Europe’s advisory body</w:t>
      </w:r>
      <w:r w:rsidR="00B709DC" w:rsidRPr="004D0A20">
        <w:rPr>
          <w:rFonts w:cs="Times New Roman"/>
        </w:rPr>
        <w:t>.</w:t>
      </w:r>
      <w:r w:rsidR="002E0F47" w:rsidRPr="004D0A20">
        <w:rPr>
          <w:rStyle w:val="FootnoteReference"/>
          <w:rFonts w:cs="Times New Roman"/>
          <w:sz w:val="24"/>
        </w:rPr>
        <w:footnoteReference w:id="79"/>
      </w:r>
    </w:p>
    <w:p w14:paraId="3F529B69" w14:textId="77777777" w:rsidR="00764FAA" w:rsidRPr="004D0A20" w:rsidRDefault="007779B6" w:rsidP="00A47028">
      <w:pPr>
        <w:ind w:firstLine="709"/>
        <w:jc w:val="both"/>
        <w:rPr>
          <w:rFonts w:cs="Times New Roman"/>
        </w:rPr>
      </w:pPr>
      <w:r w:rsidRPr="004D0A20">
        <w:rPr>
          <w:rFonts w:cs="Times New Roman"/>
        </w:rPr>
        <w:t xml:space="preserve">The key issue in any event is less monitoring than enforcement. This is why the externalisation of EU </w:t>
      </w:r>
      <w:r w:rsidR="008E1B23" w:rsidRPr="004D0A20">
        <w:rPr>
          <w:rFonts w:cs="Times New Roman"/>
        </w:rPr>
        <w:t>Member States</w:t>
      </w:r>
      <w:r w:rsidRPr="004D0A20">
        <w:rPr>
          <w:rFonts w:cs="Times New Roman"/>
        </w:rPr>
        <w:t xml:space="preserve">’ adherence to the rule of law to Council of Europe’s bodies is not a </w:t>
      </w:r>
      <w:r w:rsidR="00B709DC" w:rsidRPr="004D0A20">
        <w:rPr>
          <w:rFonts w:cs="Times New Roman"/>
        </w:rPr>
        <w:t xml:space="preserve">particularly promising avenue. In fact, enforcement is the weak spot of </w:t>
      </w:r>
      <w:r w:rsidR="00B709DC" w:rsidRPr="004D0A20">
        <w:rPr>
          <w:rFonts w:cs="Times New Roman"/>
          <w:i/>
        </w:rPr>
        <w:t xml:space="preserve">all </w:t>
      </w:r>
      <w:r w:rsidR="00B709DC" w:rsidRPr="004D0A20">
        <w:rPr>
          <w:rFonts w:cs="Times New Roman"/>
        </w:rPr>
        <w:t>the academic proposals on the table</w:t>
      </w:r>
      <w:r w:rsidR="002E0F47" w:rsidRPr="004D0A20">
        <w:rPr>
          <w:rFonts w:cs="Times New Roman"/>
        </w:rPr>
        <w:t>. To put it in a rather informal manner,</w:t>
      </w:r>
      <w:r w:rsidR="00B709DC" w:rsidRPr="004D0A20">
        <w:rPr>
          <w:rFonts w:cs="Times New Roman"/>
        </w:rPr>
        <w:t xml:space="preserve"> one does not bring about </w:t>
      </w:r>
      <w:r w:rsidR="00A17753">
        <w:rPr>
          <w:rFonts w:cs="Times New Roman"/>
        </w:rPr>
        <w:t xml:space="preserve">the </w:t>
      </w:r>
      <w:r w:rsidR="00B709DC" w:rsidRPr="004D0A20">
        <w:rPr>
          <w:rFonts w:cs="Times New Roman"/>
        </w:rPr>
        <w:t>rule of law by ki</w:t>
      </w:r>
      <w:r w:rsidR="008E1B23" w:rsidRPr="004D0A20">
        <w:rPr>
          <w:rFonts w:cs="Times New Roman"/>
        </w:rPr>
        <w:t>cking out</w:t>
      </w:r>
      <w:r w:rsidR="002E0F47" w:rsidRPr="004D0A20">
        <w:rPr>
          <w:rFonts w:cs="Times New Roman"/>
        </w:rPr>
        <w:t xml:space="preserve"> a Member State that seems to follow a dangerous path irreconcilable with its EU membership</w:t>
      </w:r>
      <w:r w:rsidR="00B709DC" w:rsidRPr="004D0A20">
        <w:rPr>
          <w:rFonts w:cs="Times New Roman"/>
        </w:rPr>
        <w:t xml:space="preserve">. The same applies to allowing the courts of that Member State to send more questions to the </w:t>
      </w:r>
      <w:r w:rsidR="002E0F47" w:rsidRPr="004D0A20">
        <w:rPr>
          <w:rFonts w:cs="Times New Roman"/>
        </w:rPr>
        <w:t>Court of Justice or merely enabling the Commission to impose financial sanctions on the ‘rogue</w:t>
      </w:r>
      <w:r w:rsidR="00F81FE4" w:rsidRPr="004D0A20">
        <w:rPr>
          <w:rFonts w:cs="Times New Roman"/>
        </w:rPr>
        <w:t xml:space="preserve"> state</w:t>
      </w:r>
      <w:r w:rsidR="002E0F47" w:rsidRPr="004D0A20">
        <w:rPr>
          <w:rFonts w:cs="Times New Roman"/>
        </w:rPr>
        <w:t>’</w:t>
      </w:r>
      <w:r w:rsidR="00B709DC" w:rsidRPr="004D0A20">
        <w:rPr>
          <w:rFonts w:cs="Times New Roman"/>
        </w:rPr>
        <w:t>, which is part of what the system infringement proposal is about. In a situation where some states are by definition non-complian</w:t>
      </w:r>
      <w:r w:rsidR="002E0F47" w:rsidRPr="004D0A20">
        <w:rPr>
          <w:rFonts w:cs="Times New Roman"/>
        </w:rPr>
        <w:t xml:space="preserve">t, </w:t>
      </w:r>
      <w:r w:rsidR="00B709DC" w:rsidRPr="004D0A20">
        <w:rPr>
          <w:rFonts w:cs="Times New Roman"/>
        </w:rPr>
        <w:t xml:space="preserve">new avenues of safeguarding </w:t>
      </w:r>
      <w:r w:rsidR="002E0F47" w:rsidRPr="004D0A20">
        <w:rPr>
          <w:rFonts w:cs="Times New Roman"/>
        </w:rPr>
        <w:t xml:space="preserve">EU </w:t>
      </w:r>
      <w:r w:rsidR="00B709DC" w:rsidRPr="004D0A20">
        <w:rPr>
          <w:rFonts w:cs="Times New Roman"/>
        </w:rPr>
        <w:t>values are indispensable.</w:t>
      </w:r>
    </w:p>
    <w:p w14:paraId="5F20DDCA" w14:textId="77777777" w:rsidR="007779B6" w:rsidRPr="004D0A20" w:rsidRDefault="00B709DC" w:rsidP="00A47028">
      <w:pPr>
        <w:ind w:firstLine="709"/>
        <w:jc w:val="both"/>
        <w:rPr>
          <w:rFonts w:cs="Times New Roman"/>
        </w:rPr>
      </w:pPr>
      <w:r w:rsidRPr="004D0A20">
        <w:rPr>
          <w:rFonts w:cs="Times New Roman"/>
        </w:rPr>
        <w:t>In this context, t</w:t>
      </w:r>
      <w:r w:rsidR="007779B6" w:rsidRPr="004D0A20">
        <w:rPr>
          <w:rFonts w:cs="Times New Roman"/>
        </w:rPr>
        <w:t xml:space="preserve">he refinement of the EU’s current infringement proceedings and </w:t>
      </w:r>
      <w:r w:rsidR="00842A93">
        <w:rPr>
          <w:rFonts w:cs="Times New Roman"/>
        </w:rPr>
        <w:t xml:space="preserve">enhancement of the Commission’s </w:t>
      </w:r>
      <w:r w:rsidR="007779B6" w:rsidRPr="004D0A20">
        <w:rPr>
          <w:rFonts w:cs="Times New Roman"/>
        </w:rPr>
        <w:t>sanc</w:t>
      </w:r>
      <w:r w:rsidR="00842A93">
        <w:rPr>
          <w:rFonts w:cs="Times New Roman"/>
        </w:rPr>
        <w:t>tioning powers</w:t>
      </w:r>
      <w:r w:rsidR="007779B6" w:rsidRPr="004D0A20">
        <w:rPr>
          <w:rFonts w:cs="Times New Roman"/>
        </w:rPr>
        <w:t xml:space="preserve"> may be viewed as the most seducing proposal</w:t>
      </w:r>
      <w:r w:rsidR="0016452B">
        <w:rPr>
          <w:rFonts w:cs="Times New Roman"/>
        </w:rPr>
        <w:t>. Undertaking a change of this nature</w:t>
      </w:r>
      <w:r w:rsidR="007779B6" w:rsidRPr="004D0A20">
        <w:rPr>
          <w:rFonts w:cs="Times New Roman"/>
        </w:rPr>
        <w:t xml:space="preserve"> without first amending t</w:t>
      </w:r>
      <w:r w:rsidR="002E0F47" w:rsidRPr="004D0A20">
        <w:rPr>
          <w:rFonts w:cs="Times New Roman"/>
        </w:rPr>
        <w:t>he Treaties</w:t>
      </w:r>
      <w:r w:rsidR="0016452B">
        <w:rPr>
          <w:rFonts w:cs="Times New Roman"/>
        </w:rPr>
        <w:t xml:space="preserve"> would however be controversial and possibly unlawful</w:t>
      </w:r>
      <w:r w:rsidR="002E0F47" w:rsidRPr="004D0A20">
        <w:rPr>
          <w:rFonts w:cs="Times New Roman"/>
        </w:rPr>
        <w:t xml:space="preserve">. </w:t>
      </w:r>
      <w:r w:rsidR="007779B6" w:rsidRPr="004D0A20">
        <w:rPr>
          <w:rFonts w:cs="Times New Roman"/>
        </w:rPr>
        <w:t>Viewed in this light, one may understand better why the Commission decided to put forward an eminently ‘light touch’ mechanism which builds on and complements an already existing – albeit never used – procedure. By avoiding Treaty change, the Commission sensibly avoided a situation akin to asking turkeys to v</w:t>
      </w:r>
      <w:r w:rsidR="00AF4A8E" w:rsidRPr="004D0A20">
        <w:rPr>
          <w:rFonts w:cs="Times New Roman"/>
        </w:rPr>
        <w:t xml:space="preserve">ote for Christmas. The Commission’s </w:t>
      </w:r>
      <w:r w:rsidR="007779B6" w:rsidRPr="004D0A20">
        <w:rPr>
          <w:rFonts w:cs="Times New Roman"/>
        </w:rPr>
        <w:t xml:space="preserve">pre-Article 7 procedure also </w:t>
      </w:r>
      <w:r w:rsidR="00A41E1F" w:rsidRPr="004D0A20">
        <w:rPr>
          <w:rFonts w:cs="Times New Roman"/>
        </w:rPr>
        <w:t xml:space="preserve">suggests that the Commission is well aware of the need to tread carefully in this area since </w:t>
      </w:r>
      <w:r w:rsidR="007779B6" w:rsidRPr="004D0A20">
        <w:rPr>
          <w:rFonts w:cs="Times New Roman"/>
        </w:rPr>
        <w:t>the Union</w:t>
      </w:r>
      <w:r w:rsidR="00146CE7" w:rsidRPr="004D0A20">
        <w:rPr>
          <w:rFonts w:cs="Times New Roman"/>
        </w:rPr>
        <w:t>, as a democratic constitutional system,</w:t>
      </w:r>
      <w:r w:rsidR="007779B6" w:rsidRPr="004D0A20">
        <w:rPr>
          <w:rFonts w:cs="Times New Roman"/>
        </w:rPr>
        <w:t xml:space="preserve"> is currently not mature enough to move into the highly sensitive business of enforcing relatively op</w:t>
      </w:r>
      <w:r w:rsidR="00146CE7" w:rsidRPr="004D0A20">
        <w:rPr>
          <w:rFonts w:cs="Times New Roman"/>
        </w:rPr>
        <w:t>en-ended and contested</w:t>
      </w:r>
      <w:r w:rsidR="007779B6" w:rsidRPr="004D0A20">
        <w:rPr>
          <w:rFonts w:cs="Times New Roman"/>
        </w:rPr>
        <w:t xml:space="preserve"> values against reluctant national authorities. </w:t>
      </w:r>
    </w:p>
    <w:p w14:paraId="0AE975A3" w14:textId="77777777" w:rsidR="007779B6" w:rsidRPr="004D0A20" w:rsidRDefault="007779B6" w:rsidP="007779B6">
      <w:pPr>
        <w:jc w:val="both"/>
        <w:rPr>
          <w:rFonts w:cs="Times New Roman"/>
        </w:rPr>
      </w:pPr>
    </w:p>
    <w:p w14:paraId="3952AD3B" w14:textId="77777777" w:rsidR="00622D7D" w:rsidRPr="004D0A20" w:rsidRDefault="00FA0FE1" w:rsidP="007779B6">
      <w:pPr>
        <w:widowControl w:val="0"/>
        <w:autoSpaceDE w:val="0"/>
        <w:autoSpaceDN w:val="0"/>
        <w:adjustRightInd w:val="0"/>
        <w:jc w:val="both"/>
        <w:rPr>
          <w:rFonts w:cs="Times New Roman"/>
          <w:i/>
        </w:rPr>
      </w:pPr>
      <w:r w:rsidRPr="004D0A20">
        <w:rPr>
          <w:rFonts w:cs="Times New Roman"/>
          <w:i/>
        </w:rPr>
        <w:t>3.</w:t>
      </w:r>
      <w:r w:rsidR="00622D7D" w:rsidRPr="004D0A20">
        <w:rPr>
          <w:rFonts w:cs="Times New Roman"/>
          <w:i/>
        </w:rPr>
        <w:t xml:space="preserve">2 </w:t>
      </w:r>
      <w:r w:rsidR="00146CE7" w:rsidRPr="004D0A20">
        <w:rPr>
          <w:rFonts w:cs="Times New Roman"/>
          <w:i/>
        </w:rPr>
        <w:t>Positive features from a c</w:t>
      </w:r>
      <w:r w:rsidR="00B15282" w:rsidRPr="004D0A20">
        <w:rPr>
          <w:rFonts w:cs="Times New Roman"/>
          <w:i/>
        </w:rPr>
        <w:t>ompetence</w:t>
      </w:r>
      <w:r w:rsidR="00146CE7" w:rsidRPr="004D0A20">
        <w:rPr>
          <w:rFonts w:cs="Times New Roman"/>
          <w:i/>
        </w:rPr>
        <w:t xml:space="preserve"> point of view</w:t>
      </w:r>
    </w:p>
    <w:p w14:paraId="33CC810F" w14:textId="77777777" w:rsidR="00622D7D" w:rsidRPr="004D0A20" w:rsidRDefault="00622D7D" w:rsidP="007779B6">
      <w:pPr>
        <w:widowControl w:val="0"/>
        <w:autoSpaceDE w:val="0"/>
        <w:autoSpaceDN w:val="0"/>
        <w:adjustRightInd w:val="0"/>
        <w:jc w:val="both"/>
        <w:rPr>
          <w:rFonts w:cs="Times New Roman"/>
        </w:rPr>
      </w:pPr>
    </w:p>
    <w:p w14:paraId="477FE102" w14:textId="77777777" w:rsidR="009133C0" w:rsidRPr="004D0A20" w:rsidRDefault="007779B6" w:rsidP="007779B6">
      <w:pPr>
        <w:widowControl w:val="0"/>
        <w:autoSpaceDE w:val="0"/>
        <w:autoSpaceDN w:val="0"/>
        <w:adjustRightInd w:val="0"/>
        <w:jc w:val="both"/>
        <w:rPr>
          <w:rFonts w:cs="Times New Roman"/>
        </w:rPr>
      </w:pPr>
      <w:r w:rsidRPr="004D0A20">
        <w:rPr>
          <w:rFonts w:cs="Times New Roman"/>
        </w:rPr>
        <w:lastRenderedPageBreak/>
        <w:t xml:space="preserve">The Commission’s </w:t>
      </w:r>
      <w:r w:rsidR="00146CE7" w:rsidRPr="004D0A20">
        <w:rPr>
          <w:rFonts w:cs="Times New Roman"/>
        </w:rPr>
        <w:t xml:space="preserve">new procedure </w:t>
      </w:r>
      <w:r w:rsidRPr="004D0A20">
        <w:rPr>
          <w:rFonts w:cs="Times New Roman"/>
        </w:rPr>
        <w:t xml:space="preserve">may therefore be reasonably described as anything but revolutionary. In essence it merely requires any ‘suspected’ Member State to engage in a </w:t>
      </w:r>
      <w:r w:rsidR="00AF4A8E" w:rsidRPr="004D0A20">
        <w:rPr>
          <w:rFonts w:cs="Times New Roman"/>
        </w:rPr>
        <w:t xml:space="preserve">mere </w:t>
      </w:r>
      <w:r w:rsidRPr="004D0A20">
        <w:rPr>
          <w:rFonts w:cs="Times New Roman"/>
        </w:rPr>
        <w:t>dialogue with no new</w:t>
      </w:r>
      <w:r w:rsidR="007818C6" w:rsidRPr="004D0A20">
        <w:rPr>
          <w:rFonts w:cs="Times New Roman"/>
        </w:rPr>
        <w:t>,</w:t>
      </w:r>
      <w:r w:rsidRPr="004D0A20">
        <w:rPr>
          <w:rFonts w:cs="Times New Roman"/>
        </w:rPr>
        <w:t xml:space="preserve"> automatic or direct legal consequences should the Member State fail to a</w:t>
      </w:r>
      <w:r w:rsidR="00146CE7" w:rsidRPr="004D0A20">
        <w:rPr>
          <w:rFonts w:cs="Times New Roman"/>
        </w:rPr>
        <w:t>gree with any of the</w:t>
      </w:r>
      <w:r w:rsidRPr="004D0A20">
        <w:rPr>
          <w:rFonts w:cs="Times New Roman"/>
        </w:rPr>
        <w:t xml:space="preserve"> recommendations </w:t>
      </w:r>
      <w:r w:rsidR="007818C6" w:rsidRPr="004D0A20">
        <w:rPr>
          <w:rFonts w:cs="Times New Roman"/>
        </w:rPr>
        <w:t xml:space="preserve">previously </w:t>
      </w:r>
      <w:r w:rsidRPr="004D0A20">
        <w:rPr>
          <w:rFonts w:cs="Times New Roman"/>
        </w:rPr>
        <w:t xml:space="preserve">adopted by the Commission. It is difficult therefore to understand the criticism whereby the Commission’s </w:t>
      </w:r>
      <w:r w:rsidR="008131CF">
        <w:rPr>
          <w:rFonts w:cs="Times New Roman"/>
        </w:rPr>
        <w:t xml:space="preserve">pre-Article 7 </w:t>
      </w:r>
      <w:r w:rsidRPr="004D0A20">
        <w:rPr>
          <w:rFonts w:cs="Times New Roman"/>
        </w:rPr>
        <w:t>framework would not be ‘compatible with the principle of conferral which governs the competences of the institutions of the Union’</w:t>
      </w:r>
      <w:r w:rsidR="004F5EB6">
        <w:rPr>
          <w:rFonts w:cs="Times New Roman"/>
        </w:rPr>
        <w:t>.</w:t>
      </w:r>
      <w:r w:rsidR="009133C0" w:rsidRPr="004D0A20">
        <w:rPr>
          <w:rStyle w:val="FootnoteReference"/>
          <w:rFonts w:cs="Times New Roman"/>
          <w:sz w:val="24"/>
        </w:rPr>
        <w:footnoteReference w:id="80"/>
      </w:r>
      <w:r w:rsidR="009133C0" w:rsidRPr="004D0A20">
        <w:rPr>
          <w:rFonts w:cs="Times New Roman"/>
        </w:rPr>
        <w:t xml:space="preserve"> </w:t>
      </w:r>
      <w:r w:rsidR="004F5EB6">
        <w:rPr>
          <w:rFonts w:cs="Times New Roman"/>
        </w:rPr>
        <w:t xml:space="preserve">Similarly, one may remain unconvinced by </w:t>
      </w:r>
      <w:r w:rsidR="009133C0" w:rsidRPr="004D0A20">
        <w:rPr>
          <w:rFonts w:cs="Times New Roman"/>
        </w:rPr>
        <w:t>the additional argument that only t</w:t>
      </w:r>
      <w:r w:rsidR="004F5EB6">
        <w:rPr>
          <w:rFonts w:cs="Times New Roman"/>
        </w:rPr>
        <w:t>he Member States – and not even</w:t>
      </w:r>
      <w:r w:rsidR="009133C0" w:rsidRPr="004D0A20">
        <w:rPr>
          <w:rFonts w:cs="Times New Roman"/>
        </w:rPr>
        <w:t xml:space="preserve"> the Council – could establish</w:t>
      </w:r>
      <w:r w:rsidR="006F2499" w:rsidRPr="004D0A20">
        <w:rPr>
          <w:rFonts w:cs="Times New Roman"/>
        </w:rPr>
        <w:t>, via an intergovernmental agreement supplementing the EU Treaties,</w:t>
      </w:r>
      <w:r w:rsidR="009133C0" w:rsidRPr="004D0A20">
        <w:rPr>
          <w:rFonts w:cs="Times New Roman"/>
        </w:rPr>
        <w:t xml:space="preserve"> ‘a review system of the functioning of the rule of law in the Member States’,</w:t>
      </w:r>
      <w:r w:rsidR="009133C0" w:rsidRPr="004D0A20">
        <w:rPr>
          <w:rStyle w:val="FootnoteReference"/>
          <w:rFonts w:cs="Times New Roman"/>
          <w:sz w:val="24"/>
        </w:rPr>
        <w:footnoteReference w:id="81"/>
      </w:r>
      <w:r w:rsidR="009133C0" w:rsidRPr="004D0A20">
        <w:rPr>
          <w:rFonts w:cs="Times New Roman"/>
        </w:rPr>
        <w:t xml:space="preserve"> which would reflect a ‘peer review approach’ without any compulsory involvement of the EU institutions</w:t>
      </w:r>
      <w:r w:rsidR="00EA3ACD" w:rsidRPr="004D0A20">
        <w:rPr>
          <w:rFonts w:cs="Times New Roman"/>
        </w:rPr>
        <w:t xml:space="preserve"> unless the Council, </w:t>
      </w:r>
      <w:r w:rsidR="00F81FE4" w:rsidRPr="004D0A20">
        <w:rPr>
          <w:rFonts w:cs="Times New Roman"/>
        </w:rPr>
        <w:t>i.e., the national governments,</w:t>
      </w:r>
      <w:r w:rsidR="00EA3ACD" w:rsidRPr="004D0A20">
        <w:rPr>
          <w:rFonts w:cs="Times New Roman"/>
        </w:rPr>
        <w:t xml:space="preserve"> decide otherwise</w:t>
      </w:r>
      <w:r w:rsidR="009133C0" w:rsidRPr="004D0A20">
        <w:rPr>
          <w:rFonts w:cs="Times New Roman"/>
        </w:rPr>
        <w:t xml:space="preserve">. </w:t>
      </w:r>
      <w:r w:rsidRPr="004D0A20">
        <w:rPr>
          <w:rFonts w:cs="Times New Roman"/>
        </w:rPr>
        <w:t xml:space="preserve"> </w:t>
      </w:r>
    </w:p>
    <w:p w14:paraId="0FE7EB49" w14:textId="77777777" w:rsidR="002E5246" w:rsidRPr="004D0A20" w:rsidRDefault="006F2499" w:rsidP="00A47028">
      <w:pPr>
        <w:widowControl w:val="0"/>
        <w:autoSpaceDE w:val="0"/>
        <w:autoSpaceDN w:val="0"/>
        <w:adjustRightInd w:val="0"/>
        <w:ind w:firstLine="720"/>
        <w:jc w:val="both"/>
        <w:rPr>
          <w:rFonts w:cs="Times New Roman"/>
        </w:rPr>
      </w:pPr>
      <w:r w:rsidRPr="004D0A20">
        <w:rPr>
          <w:rFonts w:cs="Times New Roman"/>
        </w:rPr>
        <w:t xml:space="preserve">One may be forgiven for finding the </w:t>
      </w:r>
      <w:r w:rsidR="00EA3ACD" w:rsidRPr="004D0A20">
        <w:rPr>
          <w:rFonts w:cs="Times New Roman"/>
        </w:rPr>
        <w:t xml:space="preserve">opinion of </w:t>
      </w:r>
      <w:r w:rsidRPr="004D0A20">
        <w:rPr>
          <w:rFonts w:cs="Times New Roman"/>
        </w:rPr>
        <w:t xml:space="preserve">Council’s legal </w:t>
      </w:r>
      <w:r w:rsidR="00EA3ACD" w:rsidRPr="004D0A20">
        <w:rPr>
          <w:rFonts w:cs="Times New Roman"/>
        </w:rPr>
        <w:t>service</w:t>
      </w:r>
      <w:r w:rsidRPr="004D0A20">
        <w:rPr>
          <w:rFonts w:cs="Times New Roman"/>
        </w:rPr>
        <w:t xml:space="preserve"> both unpersuasive and </w:t>
      </w:r>
      <w:r w:rsidR="00EA3ACD" w:rsidRPr="004D0A20">
        <w:rPr>
          <w:rFonts w:cs="Times New Roman"/>
        </w:rPr>
        <w:t>ill reasoned</w:t>
      </w:r>
      <w:r w:rsidRPr="004D0A20">
        <w:rPr>
          <w:rFonts w:cs="Times New Roman"/>
        </w:rPr>
        <w:t xml:space="preserve">. As a preliminary point, we believe that </w:t>
      </w:r>
      <w:r w:rsidR="007779B6" w:rsidRPr="004D0A20">
        <w:rPr>
          <w:rFonts w:cs="Times New Roman"/>
        </w:rPr>
        <w:t>the Commission</w:t>
      </w:r>
      <w:r w:rsidR="007818C6" w:rsidRPr="004D0A20">
        <w:rPr>
          <w:rFonts w:cs="Times New Roman"/>
        </w:rPr>
        <w:t>, being</w:t>
      </w:r>
      <w:r w:rsidR="007779B6" w:rsidRPr="004D0A20">
        <w:rPr>
          <w:rFonts w:cs="Times New Roman"/>
        </w:rPr>
        <w:t xml:space="preserve"> one of the institutions empowered, under Article 7 TEU, to trigger the </w:t>
      </w:r>
      <w:r w:rsidR="007818C6" w:rsidRPr="004D0A20">
        <w:rPr>
          <w:rFonts w:cs="Times New Roman"/>
        </w:rPr>
        <w:t xml:space="preserve">procedure contained therein, </w:t>
      </w:r>
      <w:r w:rsidR="007779B6" w:rsidRPr="004D0A20">
        <w:rPr>
          <w:rFonts w:cs="Times New Roman"/>
        </w:rPr>
        <w:t xml:space="preserve">should in fact be commended for </w:t>
      </w:r>
      <w:r w:rsidR="00EA3ACD" w:rsidRPr="004D0A20">
        <w:rPr>
          <w:rFonts w:cs="Times New Roman"/>
        </w:rPr>
        <w:t>having established</w:t>
      </w:r>
      <w:r w:rsidR="007779B6" w:rsidRPr="004D0A20">
        <w:rPr>
          <w:rFonts w:cs="Times New Roman"/>
        </w:rPr>
        <w:t xml:space="preserve"> clear guidelines on how such triggeri</w:t>
      </w:r>
      <w:r w:rsidR="002E5246" w:rsidRPr="004D0A20">
        <w:rPr>
          <w:rFonts w:cs="Times New Roman"/>
        </w:rPr>
        <w:t>ng is to function in practice. Furthermore</w:t>
      </w:r>
      <w:r w:rsidR="007779B6" w:rsidRPr="004D0A20">
        <w:rPr>
          <w:rFonts w:cs="Times New Roman"/>
        </w:rPr>
        <w:t xml:space="preserve">, a strong and </w:t>
      </w:r>
      <w:r w:rsidR="00F81FE4" w:rsidRPr="004D0A20">
        <w:rPr>
          <w:rFonts w:cs="Times New Roman"/>
        </w:rPr>
        <w:t>convincing argument can</w:t>
      </w:r>
      <w:r w:rsidR="007779B6" w:rsidRPr="004D0A20">
        <w:rPr>
          <w:rFonts w:cs="Times New Roman"/>
        </w:rPr>
        <w:t xml:space="preserve"> be made that Article 7(1) TEU already </w:t>
      </w:r>
      <w:r w:rsidR="007779B6" w:rsidRPr="004D0A20">
        <w:rPr>
          <w:rFonts w:cs="Times New Roman"/>
          <w:i/>
        </w:rPr>
        <w:t xml:space="preserve">implicitly </w:t>
      </w:r>
      <w:r w:rsidR="007779B6" w:rsidRPr="004D0A20">
        <w:rPr>
          <w:rFonts w:cs="Times New Roman"/>
        </w:rPr>
        <w:t>empowers the Commission to investigate any potential risk of a serious breach of the EU’s values by giving it the competence to submit a reasoned proposal to the Council should the Commission be of the view that Article 7 TEU ought to be triggered on this basis.</w:t>
      </w:r>
      <w:r w:rsidR="007779B6" w:rsidRPr="004D0A20">
        <w:rPr>
          <w:rStyle w:val="FootnoteReference"/>
          <w:rFonts w:cs="Times New Roman"/>
          <w:sz w:val="24"/>
        </w:rPr>
        <w:footnoteReference w:id="82"/>
      </w:r>
      <w:r w:rsidR="007779B6" w:rsidRPr="004D0A20">
        <w:rPr>
          <w:rFonts w:cs="Times New Roman"/>
        </w:rPr>
        <w:t xml:space="preserve"> </w:t>
      </w:r>
      <w:r w:rsidR="00AE29D7" w:rsidRPr="004D0A20">
        <w:rPr>
          <w:rFonts w:cs="Times New Roman"/>
        </w:rPr>
        <w:t>It may therefore be</w:t>
      </w:r>
      <w:r w:rsidR="00F81FE4" w:rsidRPr="004D0A20">
        <w:rPr>
          <w:rFonts w:cs="Times New Roman"/>
        </w:rPr>
        <w:t xml:space="preserve"> compellingly argued</w:t>
      </w:r>
      <w:r w:rsidR="00AE29D7" w:rsidRPr="004D0A20">
        <w:rPr>
          <w:rFonts w:cs="Times New Roman"/>
        </w:rPr>
        <w:t xml:space="preserve"> that Article 7 TEU </w:t>
      </w:r>
      <w:r w:rsidR="00AE29D7" w:rsidRPr="004D0A20">
        <w:rPr>
          <w:rFonts w:cs="Times New Roman"/>
          <w:i/>
        </w:rPr>
        <w:t>already</w:t>
      </w:r>
      <w:r w:rsidR="00AE29D7" w:rsidRPr="004D0A20">
        <w:rPr>
          <w:rFonts w:cs="Times New Roman"/>
        </w:rPr>
        <w:t xml:space="preserve"> allows the monitoring of EU Member States </w:t>
      </w:r>
      <w:r w:rsidR="00AE29D7" w:rsidRPr="004D0A20">
        <w:rPr>
          <w:rFonts w:cs="Times New Roman"/>
          <w:i/>
        </w:rPr>
        <w:t>prior</w:t>
      </w:r>
      <w:r w:rsidR="00AE29D7" w:rsidRPr="004D0A20">
        <w:rPr>
          <w:rFonts w:cs="Times New Roman"/>
        </w:rPr>
        <w:t xml:space="preserve"> to the determination of a serious breach of EU values given the obvious need for the Council to be able to rely on solid factual evidence before eventually finding against a ‘rogue state’. I</w:t>
      </w:r>
      <w:r w:rsidR="00F221FB" w:rsidRPr="004D0A20">
        <w:rPr>
          <w:rFonts w:cs="Times New Roman"/>
        </w:rPr>
        <w:t xml:space="preserve">n other words, it may be submitted that </w:t>
      </w:r>
      <w:r w:rsidR="00AE29D7" w:rsidRPr="004D0A20">
        <w:rPr>
          <w:rFonts w:cs="Times New Roman"/>
        </w:rPr>
        <w:t>the powers of monitoring Member States</w:t>
      </w:r>
      <w:r w:rsidR="002E5246" w:rsidRPr="004D0A20">
        <w:rPr>
          <w:rFonts w:cs="Times New Roman"/>
        </w:rPr>
        <w:t xml:space="preserve"> with respect to Article 2 TEU values</w:t>
      </w:r>
      <w:r w:rsidR="00AE29D7" w:rsidRPr="004D0A20">
        <w:rPr>
          <w:rFonts w:cs="Times New Roman"/>
        </w:rPr>
        <w:t xml:space="preserve"> are </w:t>
      </w:r>
      <w:r w:rsidR="00AE29D7" w:rsidRPr="004D0A20">
        <w:rPr>
          <w:rFonts w:cs="Times New Roman"/>
          <w:i/>
        </w:rPr>
        <w:t>inherent</w:t>
      </w:r>
      <w:r w:rsidR="00AE29D7" w:rsidRPr="004D0A20">
        <w:rPr>
          <w:rFonts w:cs="Times New Roman"/>
        </w:rPr>
        <w:t xml:space="preserve"> in the powers of the Council and the right of initiative of the Parliament, Commission and Member States under Article 7 TEU.</w:t>
      </w:r>
      <w:r w:rsidR="008B45BD" w:rsidRPr="004D0A20">
        <w:rPr>
          <w:rStyle w:val="FootnoteReference"/>
          <w:rFonts w:cs="Times New Roman"/>
          <w:sz w:val="24"/>
        </w:rPr>
        <w:footnoteReference w:id="83"/>
      </w:r>
      <w:r w:rsidR="00AE29D7" w:rsidRPr="004D0A20">
        <w:rPr>
          <w:rFonts w:cs="Times New Roman"/>
        </w:rPr>
        <w:t xml:space="preserve"> </w:t>
      </w:r>
      <w:r w:rsidR="008B45BD" w:rsidRPr="004D0A20">
        <w:rPr>
          <w:rFonts w:cs="Times New Roman"/>
        </w:rPr>
        <w:t>One should finally recall that the European Commission said as much in 2003 in its Communication on Article 7 TEU without the Council expressing any objection then.</w:t>
      </w:r>
      <w:r w:rsidR="008B45BD" w:rsidRPr="004D0A20">
        <w:rPr>
          <w:rStyle w:val="FootnoteReference"/>
          <w:rFonts w:cs="Times New Roman"/>
          <w:sz w:val="24"/>
        </w:rPr>
        <w:footnoteReference w:id="84"/>
      </w:r>
      <w:r w:rsidR="008B45BD" w:rsidRPr="004D0A20">
        <w:rPr>
          <w:rFonts w:cs="Times New Roman"/>
        </w:rPr>
        <w:t xml:space="preserve"> </w:t>
      </w:r>
    </w:p>
    <w:p w14:paraId="4F3A1607" w14:textId="77777777" w:rsidR="003E31A8" w:rsidRPr="004D0A20" w:rsidRDefault="00A47028" w:rsidP="007779B6">
      <w:pPr>
        <w:widowControl w:val="0"/>
        <w:autoSpaceDE w:val="0"/>
        <w:autoSpaceDN w:val="0"/>
        <w:adjustRightInd w:val="0"/>
        <w:jc w:val="both"/>
        <w:rPr>
          <w:rFonts w:cs="Times New Roman"/>
        </w:rPr>
      </w:pPr>
      <w:r w:rsidRPr="004D0A20">
        <w:rPr>
          <w:rFonts w:cs="Times New Roman"/>
        </w:rPr>
        <w:tab/>
      </w:r>
      <w:r w:rsidR="00BD5E88" w:rsidRPr="004D0A20">
        <w:rPr>
          <w:rFonts w:cs="Times New Roman"/>
        </w:rPr>
        <w:t>To the extent that the new pre-Article 7 procedure ex</w:t>
      </w:r>
      <w:r w:rsidR="00D128C1" w:rsidRPr="004D0A20">
        <w:rPr>
          <w:rFonts w:cs="Times New Roman"/>
        </w:rPr>
        <w:t>ists to make possible the activ</w:t>
      </w:r>
      <w:r w:rsidR="00BD5E88" w:rsidRPr="004D0A20">
        <w:rPr>
          <w:rFonts w:cs="Times New Roman"/>
        </w:rPr>
        <w:t>ation of Article 7 TEU</w:t>
      </w:r>
      <w:r w:rsidR="00D128C1" w:rsidRPr="004D0A20">
        <w:rPr>
          <w:rFonts w:cs="Times New Roman"/>
        </w:rPr>
        <w:t xml:space="preserve"> – and it would not have been called pre-Article 7 procedure otherwise – and </w:t>
      </w:r>
      <w:r w:rsidR="00D11654" w:rsidRPr="004D0A20">
        <w:rPr>
          <w:rFonts w:cs="Times New Roman"/>
        </w:rPr>
        <w:t xml:space="preserve">that </w:t>
      </w:r>
      <w:r w:rsidR="00D128C1" w:rsidRPr="004D0A20">
        <w:rPr>
          <w:rFonts w:cs="Times New Roman"/>
        </w:rPr>
        <w:t>Artic</w:t>
      </w:r>
      <w:r w:rsidR="002A0E53" w:rsidRPr="004D0A20">
        <w:rPr>
          <w:rFonts w:cs="Times New Roman"/>
        </w:rPr>
        <w:t>le 7 makes clear that</w:t>
      </w:r>
      <w:r w:rsidR="00D128C1" w:rsidRPr="004D0A20">
        <w:rPr>
          <w:rFonts w:cs="Times New Roman"/>
        </w:rPr>
        <w:t xml:space="preserve"> the Commission may submit a reasoned proposal to the Council to enable it </w:t>
      </w:r>
      <w:r w:rsidR="002A0E53" w:rsidRPr="004D0A20">
        <w:rPr>
          <w:rFonts w:cs="Times New Roman"/>
        </w:rPr>
        <w:t xml:space="preserve">to adopt recommendations </w:t>
      </w:r>
      <w:r w:rsidR="002A0E53" w:rsidRPr="004D0A20">
        <w:rPr>
          <w:rFonts w:cs="Times New Roman"/>
          <w:i/>
        </w:rPr>
        <w:t>prior</w:t>
      </w:r>
      <w:r w:rsidR="002A0E53" w:rsidRPr="004D0A20">
        <w:rPr>
          <w:rFonts w:cs="Times New Roman"/>
        </w:rPr>
        <w:t xml:space="preserve"> to the determination of a clear risk of a serious breach of EU values</w:t>
      </w:r>
      <w:r w:rsidR="0018698A" w:rsidRPr="004D0A20">
        <w:rPr>
          <w:rFonts w:cs="Times New Roman"/>
        </w:rPr>
        <w:t xml:space="preserve"> – a task which could hardly be fulfilled without some monitoring framework –</w:t>
      </w:r>
      <w:r w:rsidR="00D128C1" w:rsidRPr="004D0A20">
        <w:rPr>
          <w:rFonts w:cs="Times New Roman"/>
        </w:rPr>
        <w:t xml:space="preserve"> it may</w:t>
      </w:r>
      <w:r w:rsidR="00BD5E88" w:rsidRPr="004D0A20">
        <w:rPr>
          <w:rFonts w:cs="Times New Roman"/>
        </w:rPr>
        <w:t xml:space="preserve"> therefore </w:t>
      </w:r>
      <w:r w:rsidR="00D128C1" w:rsidRPr="004D0A20">
        <w:rPr>
          <w:rFonts w:cs="Times New Roman"/>
        </w:rPr>
        <w:t xml:space="preserve">be </w:t>
      </w:r>
      <w:r w:rsidR="0018698A" w:rsidRPr="004D0A20">
        <w:rPr>
          <w:rFonts w:cs="Times New Roman"/>
        </w:rPr>
        <w:t xml:space="preserve">reasonably </w:t>
      </w:r>
      <w:r w:rsidR="00BD5E88" w:rsidRPr="004D0A20">
        <w:rPr>
          <w:rFonts w:cs="Times New Roman"/>
        </w:rPr>
        <w:t xml:space="preserve">concluded </w:t>
      </w:r>
      <w:r w:rsidR="00D128C1" w:rsidRPr="004D0A20">
        <w:rPr>
          <w:rFonts w:cs="Times New Roman"/>
        </w:rPr>
        <w:t xml:space="preserve">that the Commission did not breach the principle of conferred powers when it adopted this new </w:t>
      </w:r>
      <w:r w:rsidR="00D128C1" w:rsidRPr="004D0A20">
        <w:rPr>
          <w:rFonts w:cs="Times New Roman"/>
        </w:rPr>
        <w:lastRenderedPageBreak/>
        <w:t>procedure in March 2014</w:t>
      </w:r>
      <w:r w:rsidR="00D11654" w:rsidRPr="004D0A20">
        <w:rPr>
          <w:rFonts w:cs="Times New Roman"/>
        </w:rPr>
        <w:t xml:space="preserve"> as it had</w:t>
      </w:r>
      <w:r w:rsidR="002A0E53" w:rsidRPr="004D0A20">
        <w:rPr>
          <w:rFonts w:cs="Times New Roman"/>
        </w:rPr>
        <w:t xml:space="preserve"> already implicitly </w:t>
      </w:r>
      <w:r w:rsidR="00595031" w:rsidRPr="004D0A20">
        <w:rPr>
          <w:rFonts w:cs="Times New Roman"/>
        </w:rPr>
        <w:t xml:space="preserve">but necessarily be empowered to </w:t>
      </w:r>
      <w:r w:rsidR="002A0E53" w:rsidRPr="004D0A20">
        <w:rPr>
          <w:rFonts w:cs="Times New Roman"/>
        </w:rPr>
        <w:t>monitor national compliance with the rule of law under Article 7 TEU</w:t>
      </w:r>
      <w:r w:rsidR="00D128C1" w:rsidRPr="004D0A20">
        <w:rPr>
          <w:rFonts w:cs="Times New Roman"/>
        </w:rPr>
        <w:t xml:space="preserve">. </w:t>
      </w:r>
      <w:r w:rsidR="002A0E53" w:rsidRPr="004D0A20">
        <w:rPr>
          <w:rFonts w:cs="Times New Roman"/>
        </w:rPr>
        <w:t>This interpretation is further confirmed by the repeated requests made by the Council to the Commission to develop assessment tools as regards national compliance with Article 2 TEU values.</w:t>
      </w:r>
      <w:r w:rsidR="002A0E53" w:rsidRPr="004D0A20">
        <w:rPr>
          <w:rStyle w:val="FootnoteReference"/>
          <w:rFonts w:cs="Times New Roman"/>
          <w:sz w:val="24"/>
        </w:rPr>
        <w:footnoteReference w:id="85"/>
      </w:r>
      <w:r w:rsidR="002A0E53" w:rsidRPr="004D0A20">
        <w:rPr>
          <w:rFonts w:cs="Times New Roman"/>
        </w:rPr>
        <w:t xml:space="preserve"> </w:t>
      </w:r>
    </w:p>
    <w:p w14:paraId="026BE177" w14:textId="77777777" w:rsidR="00622D7D" w:rsidRPr="004D0A20" w:rsidRDefault="007779B6" w:rsidP="00A47028">
      <w:pPr>
        <w:widowControl w:val="0"/>
        <w:autoSpaceDE w:val="0"/>
        <w:autoSpaceDN w:val="0"/>
        <w:adjustRightInd w:val="0"/>
        <w:ind w:firstLine="720"/>
        <w:jc w:val="both"/>
        <w:rPr>
          <w:rFonts w:cs="Times New Roman"/>
        </w:rPr>
      </w:pPr>
      <w:r w:rsidRPr="004D0A20">
        <w:rPr>
          <w:rFonts w:cs="Times New Roman"/>
        </w:rPr>
        <w:t xml:space="preserve">Moreover, given the overwhelming level of </w:t>
      </w:r>
      <w:r w:rsidR="003E31A8" w:rsidRPr="004D0A20">
        <w:rPr>
          <w:rFonts w:cs="Times New Roman"/>
        </w:rPr>
        <w:t xml:space="preserve">political, legal and economic </w:t>
      </w:r>
      <w:r w:rsidRPr="004D0A20">
        <w:rPr>
          <w:rFonts w:cs="Times New Roman"/>
        </w:rPr>
        <w:t>interdependence between the EU Member States</w:t>
      </w:r>
      <w:r w:rsidR="004B5FE0" w:rsidRPr="004D0A20">
        <w:rPr>
          <w:rFonts w:cs="Times New Roman"/>
        </w:rPr>
        <w:t>, the principle</w:t>
      </w:r>
      <w:r w:rsidR="005366C8" w:rsidRPr="004D0A20">
        <w:rPr>
          <w:rFonts w:cs="Times New Roman"/>
        </w:rPr>
        <w:t>s</w:t>
      </w:r>
      <w:r w:rsidR="004B5FE0" w:rsidRPr="004D0A20">
        <w:rPr>
          <w:rFonts w:cs="Times New Roman"/>
        </w:rPr>
        <w:t xml:space="preserve"> of mutual trust</w:t>
      </w:r>
      <w:r w:rsidR="005366C8" w:rsidRPr="004D0A20">
        <w:rPr>
          <w:rFonts w:cs="Times New Roman"/>
        </w:rPr>
        <w:t xml:space="preserve"> and mutual recognition of judgments which underlie</w:t>
      </w:r>
      <w:r w:rsidR="004B5FE0" w:rsidRPr="004D0A20">
        <w:rPr>
          <w:rFonts w:cs="Times New Roman"/>
        </w:rPr>
        <w:t xml:space="preserve"> the EU’s Area of Freedom, Security and Justice</w:t>
      </w:r>
      <w:r w:rsidR="00E60C51" w:rsidRPr="004D0A20">
        <w:rPr>
          <w:rFonts w:cs="Times New Roman"/>
        </w:rPr>
        <w:t xml:space="preserve"> as a whole</w:t>
      </w:r>
      <w:r w:rsidR="004B5FE0" w:rsidRPr="004D0A20">
        <w:rPr>
          <w:rFonts w:cs="Times New Roman"/>
        </w:rPr>
        <w:t xml:space="preserve"> – not </w:t>
      </w:r>
      <w:r w:rsidR="004F5EB6">
        <w:rPr>
          <w:rFonts w:cs="Times New Roman"/>
        </w:rPr>
        <w:t>to mention</w:t>
      </w:r>
      <w:r w:rsidR="004B5FE0" w:rsidRPr="004D0A20">
        <w:rPr>
          <w:rFonts w:cs="Times New Roman"/>
        </w:rPr>
        <w:t xml:space="preserve"> </w:t>
      </w:r>
      <w:r w:rsidRPr="004D0A20">
        <w:rPr>
          <w:rFonts w:cs="Times New Roman"/>
        </w:rPr>
        <w:t>the blatant</w:t>
      </w:r>
      <w:r w:rsidR="003E31A8" w:rsidRPr="004D0A20">
        <w:rPr>
          <w:rFonts w:cs="Times New Roman"/>
        </w:rPr>
        <w:t>, continuing</w:t>
      </w:r>
      <w:r w:rsidRPr="004D0A20">
        <w:rPr>
          <w:rFonts w:cs="Times New Roman"/>
        </w:rPr>
        <w:t xml:space="preserve"> disregard for EU values in at least one EU country</w:t>
      </w:r>
      <w:r w:rsidR="004B5FE0" w:rsidRPr="004D0A20">
        <w:rPr>
          <w:rFonts w:cs="Times New Roman"/>
        </w:rPr>
        <w:t xml:space="preserve"> –</w:t>
      </w:r>
      <w:r w:rsidRPr="004D0A20">
        <w:rPr>
          <w:rFonts w:cs="Times New Roman"/>
        </w:rPr>
        <w:t xml:space="preserve"> the Commission</w:t>
      </w:r>
      <w:r w:rsidR="003E31A8" w:rsidRPr="004D0A20">
        <w:rPr>
          <w:rFonts w:cs="Times New Roman"/>
        </w:rPr>
        <w:t>, if anything,</w:t>
      </w:r>
      <w:r w:rsidRPr="004D0A20">
        <w:rPr>
          <w:rFonts w:cs="Times New Roman"/>
        </w:rPr>
        <w:t xml:space="preserve"> fulfilled </w:t>
      </w:r>
      <w:r w:rsidR="008E1B23" w:rsidRPr="004D0A20">
        <w:rPr>
          <w:rFonts w:cs="Times New Roman"/>
        </w:rPr>
        <w:t xml:space="preserve">(or at least attempted to </w:t>
      </w:r>
      <w:r w:rsidR="00595031" w:rsidRPr="004D0A20">
        <w:rPr>
          <w:rFonts w:cs="Times New Roman"/>
        </w:rPr>
        <w:t>fulfil</w:t>
      </w:r>
      <w:r w:rsidR="008E1B23" w:rsidRPr="004D0A20">
        <w:rPr>
          <w:rFonts w:cs="Times New Roman"/>
        </w:rPr>
        <w:t xml:space="preserve">) </w:t>
      </w:r>
      <w:r w:rsidRPr="004D0A20">
        <w:rPr>
          <w:rFonts w:cs="Times New Roman"/>
        </w:rPr>
        <w:t>its duty as Guardian of the Treaties</w:t>
      </w:r>
      <w:r w:rsidR="007818C6" w:rsidRPr="004D0A20">
        <w:rPr>
          <w:rStyle w:val="FootnoteReference"/>
          <w:rFonts w:cs="Times New Roman"/>
          <w:sz w:val="24"/>
        </w:rPr>
        <w:footnoteReference w:id="86"/>
      </w:r>
      <w:r w:rsidRPr="004D0A20">
        <w:rPr>
          <w:rFonts w:cs="Times New Roman"/>
        </w:rPr>
        <w:t xml:space="preserve"> by putting forward a framework that would make Article 2 TEU </w:t>
      </w:r>
      <w:r w:rsidR="00AE29D7" w:rsidRPr="004D0A20">
        <w:rPr>
          <w:rFonts w:cs="Times New Roman"/>
        </w:rPr>
        <w:t xml:space="preserve">more </w:t>
      </w:r>
      <w:r w:rsidRPr="004D0A20">
        <w:rPr>
          <w:rFonts w:cs="Times New Roman"/>
        </w:rPr>
        <w:t>operational in practice.</w:t>
      </w:r>
      <w:r w:rsidR="003E31A8" w:rsidRPr="004D0A20">
        <w:rPr>
          <w:rFonts w:cs="Times New Roman"/>
        </w:rPr>
        <w:t xml:space="preserve"> As noted previously, the </w:t>
      </w:r>
      <w:r w:rsidR="003E31A8" w:rsidRPr="004D0A20">
        <w:t xml:space="preserve">Court of Justice recently reaffirmed, in the strongest possible terms, that the EU’s ‘legal structure is based on the fundamental </w:t>
      </w:r>
      <w:proofErr w:type="spellStart"/>
      <w:r w:rsidR="003E31A8" w:rsidRPr="004D0A20">
        <w:t>premiss</w:t>
      </w:r>
      <w:proofErr w:type="spellEnd"/>
      <w:r w:rsidR="003E31A8" w:rsidRPr="004D0A20">
        <w:t xml:space="preserve"> that each Member State shares with all the other Member States, and recognises that they share with it, a set of common values on which the EU is founded, as stated in Article 2 TEU.’</w:t>
      </w:r>
      <w:r w:rsidR="003E31A8" w:rsidRPr="004D0A20">
        <w:rPr>
          <w:rStyle w:val="FootnoteReference"/>
          <w:sz w:val="24"/>
        </w:rPr>
        <w:footnoteReference w:id="87"/>
      </w:r>
      <w:r w:rsidR="003E31A8" w:rsidRPr="004D0A20">
        <w:t xml:space="preserve"> This could be </w:t>
      </w:r>
      <w:r w:rsidR="000C43C6" w:rsidRPr="004D0A20">
        <w:t>logically</w:t>
      </w:r>
      <w:r w:rsidR="003E31A8" w:rsidRPr="004D0A20">
        <w:t xml:space="preserve"> construed as necessarily implying not only the right but also a duty</w:t>
      </w:r>
      <w:r w:rsidR="004B5FE0" w:rsidRPr="004D0A20">
        <w:t xml:space="preserve"> on EU institutions, in the absence of any possibility to force a Member State out of the Union,</w:t>
      </w:r>
      <w:r w:rsidR="003E31A8" w:rsidRPr="004D0A20">
        <w:t xml:space="preserve"> to safeguard the EU’s </w:t>
      </w:r>
      <w:r w:rsidR="004B5FE0" w:rsidRPr="004D0A20">
        <w:t>‘constitutional settlement through intervention within Member States.’</w:t>
      </w:r>
      <w:r w:rsidR="004B5FE0" w:rsidRPr="004D0A20">
        <w:rPr>
          <w:rStyle w:val="FootnoteReference"/>
          <w:sz w:val="24"/>
        </w:rPr>
        <w:footnoteReference w:id="88"/>
      </w:r>
      <w:r w:rsidR="00622D7D" w:rsidRPr="004D0A20">
        <w:rPr>
          <w:rFonts w:cs="Times New Roman"/>
        </w:rPr>
        <w:t xml:space="preserve"> </w:t>
      </w:r>
    </w:p>
    <w:p w14:paraId="7FB53A50" w14:textId="77777777" w:rsidR="00622D7D" w:rsidRPr="004D0A20" w:rsidRDefault="00622D7D" w:rsidP="007779B6">
      <w:pPr>
        <w:jc w:val="both"/>
        <w:rPr>
          <w:rFonts w:cs="Times New Roman"/>
        </w:rPr>
      </w:pPr>
    </w:p>
    <w:p w14:paraId="668B1615" w14:textId="77777777" w:rsidR="00622D7D" w:rsidRPr="004D0A20" w:rsidRDefault="00FA0FE1" w:rsidP="007779B6">
      <w:pPr>
        <w:jc w:val="both"/>
        <w:rPr>
          <w:rFonts w:cs="Times New Roman"/>
          <w:i/>
        </w:rPr>
      </w:pPr>
      <w:r w:rsidRPr="004D0A20">
        <w:rPr>
          <w:rFonts w:cs="Times New Roman"/>
          <w:i/>
        </w:rPr>
        <w:t>3.</w:t>
      </w:r>
      <w:r w:rsidR="00622D7D" w:rsidRPr="004D0A20">
        <w:rPr>
          <w:rFonts w:cs="Times New Roman"/>
          <w:i/>
        </w:rPr>
        <w:t xml:space="preserve">3 </w:t>
      </w:r>
      <w:r w:rsidR="00B15282" w:rsidRPr="004D0A20">
        <w:rPr>
          <w:rFonts w:cs="Times New Roman"/>
          <w:i/>
        </w:rPr>
        <w:t>Positive procedural features</w:t>
      </w:r>
    </w:p>
    <w:p w14:paraId="00DB20B0" w14:textId="77777777" w:rsidR="007779B6" w:rsidRPr="004D0A20" w:rsidRDefault="007779B6" w:rsidP="007779B6">
      <w:pPr>
        <w:jc w:val="both"/>
        <w:rPr>
          <w:rFonts w:cs="Times New Roman"/>
        </w:rPr>
      </w:pPr>
    </w:p>
    <w:p w14:paraId="7181B97B" w14:textId="77777777" w:rsidR="007779B6" w:rsidRPr="004D0A20" w:rsidRDefault="007779B6" w:rsidP="007779B6">
      <w:pPr>
        <w:jc w:val="both"/>
        <w:rPr>
          <w:rFonts w:cs="Times New Roman"/>
        </w:rPr>
      </w:pPr>
      <w:r w:rsidRPr="004D0A20">
        <w:rPr>
          <w:rFonts w:cs="Times New Roman"/>
        </w:rPr>
        <w:t xml:space="preserve">On the procedural plane, the key strength of the </w:t>
      </w:r>
      <w:r w:rsidR="00FC7C77" w:rsidRPr="004D0A20">
        <w:rPr>
          <w:rFonts w:cs="Times New Roman"/>
        </w:rPr>
        <w:t xml:space="preserve">Commission’s framework </w:t>
      </w:r>
      <w:r w:rsidRPr="004D0A20">
        <w:rPr>
          <w:rFonts w:cs="Times New Roman"/>
        </w:rPr>
        <w:t>is that it could be easily deployed alongside other well-established procedures such as the infringement proc</w:t>
      </w:r>
      <w:r w:rsidR="00A47028" w:rsidRPr="004D0A20">
        <w:rPr>
          <w:rFonts w:cs="Times New Roman"/>
        </w:rPr>
        <w:t xml:space="preserve">edure laid down in Articles 258 and </w:t>
      </w:r>
      <w:r w:rsidRPr="004D0A20">
        <w:rPr>
          <w:rFonts w:cs="Times New Roman"/>
        </w:rPr>
        <w:t>260 TFEU</w:t>
      </w:r>
      <w:r w:rsidR="004F5EB6">
        <w:rPr>
          <w:rFonts w:cs="Times New Roman"/>
        </w:rPr>
        <w:t xml:space="preserve">. The Commission’s pre-Article 7 procedure may indeed be understood as an </w:t>
      </w:r>
      <w:r w:rsidRPr="004D0A20">
        <w:rPr>
          <w:rFonts w:cs="Times New Roman"/>
        </w:rPr>
        <w:t xml:space="preserve">attempt to bridge – albeit rather rudimentarily – </w:t>
      </w:r>
      <w:r w:rsidR="00FC7C77" w:rsidRPr="004D0A20">
        <w:rPr>
          <w:rFonts w:cs="Times New Roman"/>
        </w:rPr>
        <w:t xml:space="preserve">the gap currently existing between </w:t>
      </w:r>
      <w:r w:rsidRPr="004D0A20">
        <w:rPr>
          <w:rFonts w:cs="Times New Roman"/>
        </w:rPr>
        <w:t xml:space="preserve">the main form of action for ‘standard’ and specific violations of EU law </w:t>
      </w:r>
      <w:r w:rsidR="004B3B6D" w:rsidRPr="004D0A20">
        <w:rPr>
          <w:rFonts w:cs="Times New Roman"/>
        </w:rPr>
        <w:t xml:space="preserve">and </w:t>
      </w:r>
      <w:r w:rsidRPr="004D0A20">
        <w:rPr>
          <w:rFonts w:cs="Times New Roman"/>
        </w:rPr>
        <w:t xml:space="preserve">the main procedure dedicated to ‘exceptional’ and systemic violations of EU values laid down in Article 7 TEU. In this sense, the Commission’s proposal is reminiscent of </w:t>
      </w:r>
      <w:r w:rsidR="004B3B6D" w:rsidRPr="004D0A20">
        <w:rPr>
          <w:rFonts w:cs="Times New Roman"/>
        </w:rPr>
        <w:t>some of the academic proposals l</w:t>
      </w:r>
      <w:r w:rsidRPr="004D0A20">
        <w:rPr>
          <w:rFonts w:cs="Times New Roman"/>
        </w:rPr>
        <w:t>isted above, as it attempts to build a new soft system of enforcing EU values on recalcitrant national authorities alongside the long-established procedure de</w:t>
      </w:r>
      <w:r w:rsidR="004B3B6D" w:rsidRPr="004D0A20">
        <w:rPr>
          <w:rFonts w:cs="Times New Roman"/>
        </w:rPr>
        <w:t>dicated to guaranteeing the</w:t>
      </w:r>
      <w:r w:rsidRPr="004D0A20">
        <w:rPr>
          <w:rFonts w:cs="Times New Roman"/>
        </w:rPr>
        <w:t xml:space="preserve"> </w:t>
      </w:r>
      <w:r w:rsidR="004B3B6D" w:rsidRPr="004D0A20">
        <w:rPr>
          <w:rFonts w:cs="Times New Roman"/>
        </w:rPr>
        <w:t xml:space="preserve">application </w:t>
      </w:r>
      <w:r w:rsidRPr="004D0A20">
        <w:rPr>
          <w:rFonts w:cs="Times New Roman"/>
        </w:rPr>
        <w:t xml:space="preserve">of EU law </w:t>
      </w:r>
      <w:proofErr w:type="spellStart"/>
      <w:r w:rsidRPr="004D0A20">
        <w:rPr>
          <w:rFonts w:cs="Times New Roman"/>
          <w:i/>
        </w:rPr>
        <w:t>sensu</w:t>
      </w:r>
      <w:proofErr w:type="spellEnd"/>
      <w:r w:rsidRPr="004D0A20">
        <w:rPr>
          <w:rFonts w:cs="Times New Roman"/>
          <w:i/>
        </w:rPr>
        <w:t xml:space="preserve"> </w:t>
      </w:r>
      <w:proofErr w:type="spellStart"/>
      <w:r w:rsidRPr="004D0A20">
        <w:rPr>
          <w:rFonts w:cs="Times New Roman"/>
          <w:i/>
        </w:rPr>
        <w:t>stricto</w:t>
      </w:r>
      <w:proofErr w:type="spellEnd"/>
      <w:r w:rsidRPr="004D0A20">
        <w:rPr>
          <w:rFonts w:cs="Times New Roman"/>
        </w:rPr>
        <w:t xml:space="preserve">. </w:t>
      </w:r>
    </w:p>
    <w:p w14:paraId="18B590B5" w14:textId="77777777" w:rsidR="007779B6" w:rsidRPr="004D0A20" w:rsidRDefault="007779B6" w:rsidP="00A47028">
      <w:pPr>
        <w:ind w:firstLine="720"/>
        <w:jc w:val="both"/>
        <w:rPr>
          <w:rFonts w:cs="Times New Roman"/>
        </w:rPr>
      </w:pPr>
      <w:r w:rsidRPr="004D0A20">
        <w:rPr>
          <w:rFonts w:cs="Times New Roman"/>
        </w:rPr>
        <w:t>Procedurally speaking, another positive aspect of the Commission’s proposal lies in the obvious readiness of the Commission to consult a wide range of expe</w:t>
      </w:r>
      <w:r w:rsidR="00A47028" w:rsidRPr="004D0A20">
        <w:rPr>
          <w:rFonts w:cs="Times New Roman"/>
        </w:rPr>
        <w:t xml:space="preserve">rt bodies. The </w:t>
      </w:r>
      <w:r w:rsidRPr="004D0A20">
        <w:rPr>
          <w:rFonts w:cs="Times New Roman"/>
        </w:rPr>
        <w:t xml:space="preserve">FRA, the Venice Commission and other bodies as well as NGOs and think tanks are all explicitly mentioned. This is to be welcomed. It was indeed important to avoid duplication by taking into account the work already done by EU bodies such as </w:t>
      </w:r>
      <w:r w:rsidR="00A47028" w:rsidRPr="004D0A20">
        <w:rPr>
          <w:rFonts w:cs="Times New Roman"/>
        </w:rPr>
        <w:t xml:space="preserve">the </w:t>
      </w:r>
      <w:r w:rsidRPr="004D0A20">
        <w:rPr>
          <w:rFonts w:cs="Times New Roman"/>
        </w:rPr>
        <w:t>FRA as well as bodies from the Council of Europe and the UN.</w:t>
      </w:r>
      <w:r w:rsidRPr="004D0A20">
        <w:rPr>
          <w:rStyle w:val="FootnoteReference"/>
          <w:rFonts w:cs="Times New Roman"/>
          <w:sz w:val="24"/>
        </w:rPr>
        <w:footnoteReference w:id="89"/>
      </w:r>
      <w:r w:rsidRPr="004D0A20">
        <w:rPr>
          <w:rFonts w:cs="Times New Roman"/>
        </w:rPr>
        <w:t xml:space="preserve"> The Commission’s clear willingness to rely on third parties’ expertise should not only enhance the proposal’s likely effectiveness but also avoids the potential shortcomings of any outright outsourcing of EU problems which would in all likelihood further undermine the authority of EU institutions and </w:t>
      </w:r>
      <w:r w:rsidRPr="004D0A20">
        <w:rPr>
          <w:rFonts w:cs="Times New Roman"/>
        </w:rPr>
        <w:lastRenderedPageBreak/>
        <w:t>citizens’ confidence in them. This is why it would seem more appropriate to rely, for instance, on the expertise of the Venice Commission to assess</w:t>
      </w:r>
      <w:r w:rsidR="004B3B6D" w:rsidRPr="004D0A20">
        <w:rPr>
          <w:rFonts w:cs="Times New Roman"/>
        </w:rPr>
        <w:t>,</w:t>
      </w:r>
      <w:r w:rsidRPr="004D0A20">
        <w:rPr>
          <w:rFonts w:cs="Times New Roman"/>
        </w:rPr>
        <w:t xml:space="preserve"> on a case-by-case basis</w:t>
      </w:r>
      <w:r w:rsidR="004B3B6D" w:rsidRPr="004D0A20">
        <w:rPr>
          <w:rFonts w:cs="Times New Roman"/>
        </w:rPr>
        <w:t>,</w:t>
      </w:r>
      <w:r w:rsidRPr="004D0A20">
        <w:rPr>
          <w:rFonts w:cs="Times New Roman"/>
        </w:rPr>
        <w:t xml:space="preserve"> the reality of any potential breach of the rule of law in any EU Member State while maintaining any enforcement-related procedure ‘in-house’. While consultation is welcome, the task of guaranteeing compliance with the core values of EU constitutionalism shou</w:t>
      </w:r>
      <w:r w:rsidR="004B3B6D" w:rsidRPr="004D0A20">
        <w:rPr>
          <w:rFonts w:cs="Times New Roman"/>
        </w:rPr>
        <w:t xml:space="preserve">ld not depend on non-EU bodies and </w:t>
      </w:r>
      <w:r w:rsidRPr="004D0A20">
        <w:rPr>
          <w:rFonts w:cs="Times New Roman"/>
        </w:rPr>
        <w:t>the proposal of the Commission</w:t>
      </w:r>
      <w:r w:rsidR="004B3B6D" w:rsidRPr="004D0A20">
        <w:rPr>
          <w:rFonts w:cs="Times New Roman"/>
        </w:rPr>
        <w:t>, in this regard,</w:t>
      </w:r>
      <w:r w:rsidRPr="004D0A20">
        <w:rPr>
          <w:rFonts w:cs="Times New Roman"/>
        </w:rPr>
        <w:t xml:space="preserve"> is well thought and sensibly designed.</w:t>
      </w:r>
    </w:p>
    <w:p w14:paraId="087D39DD" w14:textId="77777777" w:rsidR="007779B6" w:rsidRPr="004D0A20" w:rsidRDefault="007779B6" w:rsidP="00A47028">
      <w:pPr>
        <w:ind w:firstLine="720"/>
        <w:jc w:val="both"/>
        <w:rPr>
          <w:rFonts w:cs="Times New Roman"/>
        </w:rPr>
      </w:pPr>
      <w:r w:rsidRPr="004D0A20">
        <w:rPr>
          <w:rFonts w:cs="Times New Roman"/>
        </w:rPr>
        <w:t>To conclude on the positive aspects of the Commission’s</w:t>
      </w:r>
      <w:r w:rsidR="009133C0" w:rsidRPr="004D0A20">
        <w:rPr>
          <w:rFonts w:cs="Times New Roman"/>
        </w:rPr>
        <w:t xml:space="preserve"> rule of law framework</w:t>
      </w:r>
      <w:r w:rsidRPr="004D0A20">
        <w:rPr>
          <w:rFonts w:cs="Times New Roman"/>
        </w:rPr>
        <w:t>, the suggested ‘pre-Article 7 procedure’ wisely navigates the potential traps related to the substance of the concept of the rule of law. It is further designed in such a way that it can be implemented without going through an extremely time consuming Treaty amendment process with no guarantee of any ‘happy</w:t>
      </w:r>
      <w:r w:rsidR="00FD2D82" w:rsidRPr="004D0A20">
        <w:rPr>
          <w:rFonts w:cs="Times New Roman"/>
        </w:rPr>
        <w:t xml:space="preserve"> ending’</w:t>
      </w:r>
      <w:r w:rsidRPr="004D0A20">
        <w:rPr>
          <w:rFonts w:cs="Times New Roman"/>
        </w:rPr>
        <w:t xml:space="preserve">. Finally, it enables the Commission to avail of other EU and non-EU bodies’ expertise to build a case against any EU Member State while allowing the Commission to complement its well-established power to initiate infringement actions against national authorities with a new procedure that should allow it to simultaneously investigate systemic violations of EU law.   </w:t>
      </w:r>
    </w:p>
    <w:p w14:paraId="4721790D" w14:textId="77777777" w:rsidR="007779B6" w:rsidRPr="004D0A20" w:rsidRDefault="007779B6" w:rsidP="007779B6">
      <w:pPr>
        <w:jc w:val="both"/>
        <w:rPr>
          <w:rFonts w:cs="Times New Roman"/>
        </w:rPr>
      </w:pPr>
    </w:p>
    <w:p w14:paraId="6A2DB02D" w14:textId="77777777" w:rsidR="007779B6" w:rsidRPr="004D0A20" w:rsidRDefault="00FA0FE1" w:rsidP="007779B6">
      <w:pPr>
        <w:jc w:val="both"/>
        <w:rPr>
          <w:rFonts w:cs="Times New Roman"/>
          <w:i/>
        </w:rPr>
      </w:pPr>
      <w:r w:rsidRPr="004D0A20">
        <w:rPr>
          <w:rFonts w:cs="Times New Roman"/>
          <w:i/>
        </w:rPr>
        <w:t>3.4</w:t>
      </w:r>
      <w:r w:rsidR="007779B6" w:rsidRPr="004D0A20">
        <w:rPr>
          <w:rFonts w:cs="Times New Roman"/>
          <w:i/>
        </w:rPr>
        <w:t xml:space="preserve"> Weak features </w:t>
      </w:r>
    </w:p>
    <w:p w14:paraId="75CCA0FC" w14:textId="77777777" w:rsidR="007779B6" w:rsidRPr="004D0A20" w:rsidRDefault="007779B6" w:rsidP="007779B6">
      <w:pPr>
        <w:jc w:val="both"/>
        <w:rPr>
          <w:rFonts w:cs="Times New Roman"/>
        </w:rPr>
      </w:pPr>
    </w:p>
    <w:p w14:paraId="4648E04D" w14:textId="77777777" w:rsidR="007779B6" w:rsidRPr="004D0A20" w:rsidRDefault="007779B6" w:rsidP="007779B6">
      <w:pPr>
        <w:jc w:val="both"/>
        <w:rPr>
          <w:rFonts w:cs="Times New Roman"/>
        </w:rPr>
      </w:pPr>
      <w:r w:rsidRPr="004D0A20">
        <w:rPr>
          <w:rFonts w:cs="Times New Roman"/>
        </w:rPr>
        <w:t>The C</w:t>
      </w:r>
      <w:r w:rsidR="00547626" w:rsidRPr="004D0A20">
        <w:rPr>
          <w:rFonts w:cs="Times New Roman"/>
        </w:rPr>
        <w:t xml:space="preserve">ommission’s pre-Article 7 procedure </w:t>
      </w:r>
      <w:r w:rsidRPr="004D0A20">
        <w:rPr>
          <w:rFonts w:cs="Times New Roman"/>
        </w:rPr>
        <w:t>seems to be well designed until one begins examining how effective it would be</w:t>
      </w:r>
      <w:r w:rsidR="00DF6DD2" w:rsidRPr="004D0A20">
        <w:rPr>
          <w:rFonts w:cs="Times New Roman"/>
        </w:rPr>
        <w:t xml:space="preserve"> at remedying the diagnosis it reflects</w:t>
      </w:r>
      <w:r w:rsidRPr="004D0A20">
        <w:rPr>
          <w:rFonts w:cs="Times New Roman"/>
        </w:rPr>
        <w:t xml:space="preserve">. It is in the context of the proposal’s effectiveness that the main weakness of the proposal lies, potentially annihilating all </w:t>
      </w:r>
      <w:r w:rsidR="00DF6DD2" w:rsidRPr="004D0A20">
        <w:rPr>
          <w:rFonts w:cs="Times New Roman"/>
        </w:rPr>
        <w:t xml:space="preserve">of </w:t>
      </w:r>
      <w:r w:rsidRPr="004D0A20">
        <w:rPr>
          <w:rFonts w:cs="Times New Roman"/>
        </w:rPr>
        <w:t xml:space="preserve">the positive points </w:t>
      </w:r>
      <w:r w:rsidR="00DF6DD2" w:rsidRPr="004D0A20">
        <w:rPr>
          <w:rFonts w:cs="Times New Roman"/>
        </w:rPr>
        <w:t>previously highlighted</w:t>
      </w:r>
      <w:r w:rsidRPr="004D0A20">
        <w:rPr>
          <w:rFonts w:cs="Times New Roman"/>
        </w:rPr>
        <w:t xml:space="preserve">.  </w:t>
      </w:r>
    </w:p>
    <w:p w14:paraId="74D1D471" w14:textId="77777777" w:rsidR="007779B6" w:rsidRPr="004D0A20" w:rsidRDefault="00DE5B47" w:rsidP="00A47028">
      <w:pPr>
        <w:ind w:firstLine="720"/>
        <w:jc w:val="both"/>
        <w:rPr>
          <w:rFonts w:cs="Times New Roman"/>
        </w:rPr>
      </w:pPr>
      <w:r>
        <w:rPr>
          <w:rFonts w:cs="Times New Roman"/>
        </w:rPr>
        <w:t>To begin with, the framework</w:t>
      </w:r>
      <w:r w:rsidR="007779B6" w:rsidRPr="004D0A20">
        <w:rPr>
          <w:rFonts w:cs="Times New Roman"/>
        </w:rPr>
        <w:t xml:space="preserve"> is based on the presumption that a</w:t>
      </w:r>
      <w:r w:rsidR="00922D58" w:rsidRPr="004D0A20">
        <w:rPr>
          <w:rFonts w:cs="Times New Roman"/>
        </w:rPr>
        <w:t xml:space="preserve"> discursive approach, that is, a</w:t>
      </w:r>
      <w:r w:rsidR="007779B6" w:rsidRPr="004D0A20">
        <w:rPr>
          <w:rFonts w:cs="Times New Roman"/>
        </w:rPr>
        <w:t xml:space="preserve"> dialogue between the Commission and the Member State possibly in breach of Article 2 TEU is bound to produce positive results. The validity of this presumption is questionable. Indeed, once we move towards really problematic cases, i.e. the countries where the ruling élite has made a </w:t>
      </w:r>
      <w:r w:rsidR="007779B6" w:rsidRPr="004D0A20">
        <w:rPr>
          <w:rFonts w:cs="Times New Roman"/>
          <w:i/>
        </w:rPr>
        <w:t>conscious choice</w:t>
      </w:r>
      <w:r w:rsidR="007779B6" w:rsidRPr="004D0A20">
        <w:rPr>
          <w:rFonts w:cs="Times New Roman"/>
        </w:rPr>
        <w:t xml:space="preserve"> not to comply with EU values, then a totally different picture emerges. If such a conscious choice has been made, socialisation in the framework of a new pre-Article 7 TEU procedure is unlikely to bring about any meaningful change and an end to </w:t>
      </w:r>
      <w:r w:rsidR="00922D58" w:rsidRPr="004D0A20">
        <w:rPr>
          <w:rFonts w:cs="Times New Roman"/>
        </w:rPr>
        <w:t>any systemic attempt to breach</w:t>
      </w:r>
      <w:r w:rsidR="007779B6" w:rsidRPr="004D0A20">
        <w:rPr>
          <w:rFonts w:cs="Times New Roman"/>
        </w:rPr>
        <w:t xml:space="preserve"> EU values in the relevant Member State. </w:t>
      </w:r>
    </w:p>
    <w:p w14:paraId="30CFF786" w14:textId="77777777" w:rsidR="007779B6" w:rsidRPr="004D0A20" w:rsidRDefault="007779B6" w:rsidP="00A47028">
      <w:pPr>
        <w:ind w:firstLine="720"/>
        <w:jc w:val="both"/>
        <w:rPr>
          <w:rFonts w:cs="Times New Roman"/>
        </w:rPr>
      </w:pPr>
      <w:r w:rsidRPr="004D0A20">
        <w:rPr>
          <w:rFonts w:cs="Times New Roman"/>
        </w:rPr>
        <w:t xml:space="preserve">A number of additional shortcomings can be highlighted. First of all, the Commission has failed to clarify how it understands the notion of ‘systemic threat’. This is however </w:t>
      </w:r>
      <w:r w:rsidR="00922D58" w:rsidRPr="004D0A20">
        <w:rPr>
          <w:rFonts w:cs="Times New Roman"/>
        </w:rPr>
        <w:t xml:space="preserve">a </w:t>
      </w:r>
      <w:r w:rsidRPr="004D0A20">
        <w:rPr>
          <w:rFonts w:cs="Times New Roman"/>
        </w:rPr>
        <w:t xml:space="preserve">crucial </w:t>
      </w:r>
      <w:r w:rsidR="00922D58" w:rsidRPr="004D0A20">
        <w:rPr>
          <w:rFonts w:cs="Times New Roman"/>
        </w:rPr>
        <w:t xml:space="preserve">point </w:t>
      </w:r>
      <w:r w:rsidRPr="004D0A20">
        <w:rPr>
          <w:rFonts w:cs="Times New Roman"/>
        </w:rPr>
        <w:t>as the tri</w:t>
      </w:r>
      <w:r w:rsidR="00922D58" w:rsidRPr="004D0A20">
        <w:rPr>
          <w:rFonts w:cs="Times New Roman"/>
        </w:rPr>
        <w:t xml:space="preserve">ggering of the </w:t>
      </w:r>
      <w:r w:rsidR="00FD2D82" w:rsidRPr="004D0A20">
        <w:rPr>
          <w:rFonts w:cs="Times New Roman"/>
        </w:rPr>
        <w:t>new</w:t>
      </w:r>
      <w:r w:rsidR="00922D58" w:rsidRPr="004D0A20">
        <w:rPr>
          <w:rFonts w:cs="Times New Roman"/>
        </w:rPr>
        <w:t xml:space="preserve"> procedure </w:t>
      </w:r>
      <w:r w:rsidRPr="004D0A20">
        <w:rPr>
          <w:rFonts w:cs="Times New Roman"/>
        </w:rPr>
        <w:t xml:space="preserve">depends on the presence of </w:t>
      </w:r>
      <w:r w:rsidRPr="004D0A20">
        <w:t>syst</w:t>
      </w:r>
      <w:r w:rsidR="00922D58" w:rsidRPr="004D0A20">
        <w:t>emic threats of the rule of law</w:t>
      </w:r>
      <w:r w:rsidRPr="004D0A20">
        <w:t xml:space="preserve"> rather than minor or </w:t>
      </w:r>
      <w:r w:rsidR="00922D58" w:rsidRPr="004D0A20">
        <w:t xml:space="preserve">individual breaches. The Commission should therefore </w:t>
      </w:r>
      <w:r w:rsidRPr="004D0A20">
        <w:t>‘</w:t>
      </w:r>
      <w:r w:rsidRPr="004D0A20">
        <w:rPr>
          <w:rFonts w:cs="Times New Roman"/>
        </w:rPr>
        <w:t xml:space="preserve">clearly define the concept of “systemic threat” </w:t>
      </w:r>
      <w:r w:rsidRPr="004D0A20">
        <w:rPr>
          <w:rFonts w:cs="Times New Roman"/>
          <w:i/>
        </w:rPr>
        <w:t>vis-à-vis</w:t>
      </w:r>
      <w:r w:rsidRPr="004D0A20">
        <w:rPr>
          <w:rFonts w:cs="Times New Roman"/>
        </w:rPr>
        <w:t xml:space="preserve"> both isolated violations on the one end of the scale and systemic violations on the other end, and to be prepared to take action at an early stage.’</w:t>
      </w:r>
      <w:r w:rsidRPr="004D0A20">
        <w:rPr>
          <w:rStyle w:val="FootnoteReference"/>
          <w:rFonts w:cs="Times New Roman"/>
          <w:sz w:val="24"/>
        </w:rPr>
        <w:footnoteReference w:id="90"/>
      </w:r>
      <w:r w:rsidRPr="004D0A20">
        <w:rPr>
          <w:rFonts w:cs="Times New Roman"/>
        </w:rPr>
        <w:t xml:space="preserve"> In this context, yet another possible point of criticism comes to light: the Commission’s </w:t>
      </w:r>
      <w:r w:rsidR="00922D58" w:rsidRPr="004D0A20">
        <w:rPr>
          <w:rFonts w:cs="Times New Roman"/>
        </w:rPr>
        <w:t xml:space="preserve">failure to </w:t>
      </w:r>
      <w:r w:rsidRPr="004D0A20">
        <w:rPr>
          <w:rFonts w:cs="Times New Roman"/>
        </w:rPr>
        <w:t xml:space="preserve">offer any clear distinction between a systemic </w:t>
      </w:r>
      <w:r w:rsidRPr="004D0A20">
        <w:rPr>
          <w:rFonts w:cs="Times New Roman"/>
          <w:i/>
        </w:rPr>
        <w:t xml:space="preserve">threat </w:t>
      </w:r>
      <w:r w:rsidRPr="004D0A20">
        <w:rPr>
          <w:rFonts w:cs="Times New Roman"/>
        </w:rPr>
        <w:t xml:space="preserve">and a systemic </w:t>
      </w:r>
      <w:r w:rsidRPr="004D0A20">
        <w:rPr>
          <w:rFonts w:cs="Times New Roman"/>
          <w:i/>
        </w:rPr>
        <w:t>violation</w:t>
      </w:r>
      <w:r w:rsidRPr="004D0A20">
        <w:rPr>
          <w:rFonts w:cs="Times New Roman"/>
        </w:rPr>
        <w:t xml:space="preserve">. One would however hope that systemic violations of the rule of law should more easily trigger the </w:t>
      </w:r>
      <w:r w:rsidR="00922D58" w:rsidRPr="004D0A20">
        <w:rPr>
          <w:rFonts w:cs="Times New Roman"/>
        </w:rPr>
        <w:t xml:space="preserve">new procedure </w:t>
      </w:r>
      <w:r w:rsidRPr="004D0A20">
        <w:rPr>
          <w:rFonts w:cs="Times New Roman"/>
        </w:rPr>
        <w:t xml:space="preserve">than systemic threats, which could be more diffuse and harder to quantify in practice. When one adds to the picture the absence of any </w:t>
      </w:r>
      <w:r w:rsidR="00922D58" w:rsidRPr="004D0A20">
        <w:rPr>
          <w:rFonts w:cs="Times New Roman"/>
        </w:rPr>
        <w:t xml:space="preserve">clearly pre-defined benchmarks – </w:t>
      </w:r>
      <w:r w:rsidRPr="004D0A20">
        <w:rPr>
          <w:rFonts w:cs="Times New Roman"/>
        </w:rPr>
        <w:t>despite contrary assurances by form</w:t>
      </w:r>
      <w:r w:rsidR="00922D58" w:rsidRPr="004D0A20">
        <w:rPr>
          <w:rFonts w:cs="Times New Roman"/>
        </w:rPr>
        <w:t>er Commission President Barroso –</w:t>
      </w:r>
      <w:r w:rsidRPr="004D0A20">
        <w:rPr>
          <w:rFonts w:cs="Times New Roman"/>
        </w:rPr>
        <w:t xml:space="preserve"> it becomes clear that the Commission’s </w:t>
      </w:r>
      <w:r w:rsidR="00922D58" w:rsidRPr="004D0A20">
        <w:rPr>
          <w:rFonts w:cs="Times New Roman"/>
        </w:rPr>
        <w:t>new procedure</w:t>
      </w:r>
      <w:r w:rsidRPr="004D0A20">
        <w:rPr>
          <w:rFonts w:cs="Times New Roman"/>
        </w:rPr>
        <w:t xml:space="preserve"> </w:t>
      </w:r>
      <w:r w:rsidR="00FD2D82" w:rsidRPr="004D0A20">
        <w:rPr>
          <w:rFonts w:cs="Times New Roman"/>
        </w:rPr>
        <w:t xml:space="preserve">may </w:t>
      </w:r>
      <w:r w:rsidRPr="004D0A20">
        <w:rPr>
          <w:rFonts w:cs="Times New Roman"/>
        </w:rPr>
        <w:t>end up as unworkable as Article 7 TEU with which it is intimately connected. The Commission’</w:t>
      </w:r>
      <w:r w:rsidR="008E1B23" w:rsidRPr="004D0A20">
        <w:rPr>
          <w:rFonts w:cs="Times New Roman"/>
        </w:rPr>
        <w:t>s</w:t>
      </w:r>
      <w:r w:rsidRPr="004D0A20">
        <w:rPr>
          <w:rFonts w:cs="Times New Roman"/>
        </w:rPr>
        <w:t xml:space="preserve"> decision to reserve for itself the power to </w:t>
      </w:r>
      <w:r w:rsidR="00FD2D82" w:rsidRPr="004D0A20">
        <w:rPr>
          <w:rFonts w:cs="Times New Roman"/>
        </w:rPr>
        <w:t xml:space="preserve">trigger </w:t>
      </w:r>
      <w:r w:rsidRPr="004D0A20">
        <w:rPr>
          <w:rFonts w:cs="Times New Roman"/>
        </w:rPr>
        <w:lastRenderedPageBreak/>
        <w:t xml:space="preserve">the pre-Article 7 TEU procedure further sends a mixed message, especially given the flexible and not strictly legal character of the procedure. Indeed, it suggests that </w:t>
      </w:r>
      <w:r w:rsidR="00922D58" w:rsidRPr="004D0A20">
        <w:rPr>
          <w:rFonts w:cs="Times New Roman"/>
        </w:rPr>
        <w:t xml:space="preserve">the Commission is keen to </w:t>
      </w:r>
      <w:r w:rsidR="00D05B55" w:rsidRPr="004D0A20">
        <w:rPr>
          <w:rFonts w:cs="Times New Roman"/>
        </w:rPr>
        <w:t xml:space="preserve">preserve an absolute discretionary power to decide when any </w:t>
      </w:r>
      <w:r w:rsidRPr="004D0A20">
        <w:rPr>
          <w:rFonts w:cs="Times New Roman"/>
        </w:rPr>
        <w:t>particular Member State</w:t>
      </w:r>
      <w:r w:rsidR="00D05B55" w:rsidRPr="004D0A20">
        <w:rPr>
          <w:rFonts w:cs="Times New Roman"/>
        </w:rPr>
        <w:t xml:space="preserve"> ought to be assessed</w:t>
      </w:r>
      <w:r w:rsidR="00922D58" w:rsidRPr="004D0A20">
        <w:rPr>
          <w:rFonts w:cs="Times New Roman"/>
        </w:rPr>
        <w:t>. It would h</w:t>
      </w:r>
      <w:r w:rsidR="00FD2D82" w:rsidRPr="004D0A20">
        <w:rPr>
          <w:rFonts w:cs="Times New Roman"/>
        </w:rPr>
        <w:t>ave</w:t>
      </w:r>
      <w:r w:rsidR="00922D58" w:rsidRPr="004D0A20">
        <w:rPr>
          <w:rFonts w:cs="Times New Roman"/>
        </w:rPr>
        <w:t xml:space="preserve"> been </w:t>
      </w:r>
      <w:r w:rsidRPr="004D0A20">
        <w:rPr>
          <w:rFonts w:cs="Times New Roman"/>
        </w:rPr>
        <w:t>more</w:t>
      </w:r>
      <w:r w:rsidR="00D05B55" w:rsidRPr="004D0A20">
        <w:rPr>
          <w:rFonts w:cs="Times New Roman"/>
        </w:rPr>
        <w:t xml:space="preserve"> politically astute and more </w:t>
      </w:r>
      <w:r w:rsidRPr="004D0A20">
        <w:rPr>
          <w:rFonts w:cs="Times New Roman"/>
        </w:rPr>
        <w:t xml:space="preserve">effective to </w:t>
      </w:r>
      <w:r w:rsidR="00D05B55" w:rsidRPr="004D0A20">
        <w:rPr>
          <w:rFonts w:cs="Times New Roman"/>
        </w:rPr>
        <w:t xml:space="preserve">grant </w:t>
      </w:r>
      <w:r w:rsidRPr="004D0A20">
        <w:rPr>
          <w:rFonts w:cs="Times New Roman"/>
        </w:rPr>
        <w:t xml:space="preserve">other EU institutions or national governments and/or national parliaments the </w:t>
      </w:r>
      <w:r w:rsidR="00D05B55" w:rsidRPr="004D0A20">
        <w:rPr>
          <w:rFonts w:cs="Times New Roman"/>
        </w:rPr>
        <w:t xml:space="preserve">right to oblige </w:t>
      </w:r>
      <w:r w:rsidRPr="004D0A20">
        <w:rPr>
          <w:rFonts w:cs="Times New Roman"/>
        </w:rPr>
        <w:t>the Commission to investigate any EU Member State</w:t>
      </w:r>
      <w:r w:rsidR="00D05B55" w:rsidRPr="004D0A20">
        <w:rPr>
          <w:rFonts w:cs="Times New Roman"/>
        </w:rPr>
        <w:t xml:space="preserve">, which would still </w:t>
      </w:r>
      <w:r w:rsidR="00FD2D82" w:rsidRPr="004D0A20">
        <w:rPr>
          <w:rFonts w:cs="Times New Roman"/>
        </w:rPr>
        <w:t>have left</w:t>
      </w:r>
      <w:r w:rsidR="00D05B55" w:rsidRPr="004D0A20">
        <w:rPr>
          <w:rFonts w:cs="Times New Roman"/>
        </w:rPr>
        <w:t xml:space="preserve"> the Commission with the complete discretion to decide whether there is or not a risk of a systemic breach of the rule of law</w:t>
      </w:r>
      <w:r w:rsidRPr="004D0A20">
        <w:rPr>
          <w:rFonts w:cs="Times New Roman"/>
        </w:rPr>
        <w:t xml:space="preserve">. </w:t>
      </w:r>
    </w:p>
    <w:p w14:paraId="3557AEEA" w14:textId="77777777" w:rsidR="007779B6" w:rsidRPr="004D0A20" w:rsidRDefault="007779B6" w:rsidP="00A47028">
      <w:pPr>
        <w:ind w:firstLine="720"/>
        <w:jc w:val="both"/>
        <w:rPr>
          <w:rFonts w:cs="Times New Roman"/>
        </w:rPr>
      </w:pPr>
      <w:r w:rsidRPr="004D0A20">
        <w:rPr>
          <w:rFonts w:cs="Times New Roman"/>
        </w:rPr>
        <w:t>Leaving aside the uncertaintie</w:t>
      </w:r>
      <w:r w:rsidR="00A47028" w:rsidRPr="004D0A20">
        <w:rPr>
          <w:rFonts w:cs="Times New Roman"/>
        </w:rPr>
        <w:t xml:space="preserve">s surrounding the triggering </w:t>
      </w:r>
      <w:r w:rsidRPr="004D0A20">
        <w:rPr>
          <w:rFonts w:cs="Times New Roman"/>
        </w:rPr>
        <w:t xml:space="preserve">the Commission’s </w:t>
      </w:r>
      <w:r w:rsidR="00D05B55" w:rsidRPr="004D0A20">
        <w:rPr>
          <w:rFonts w:cs="Times New Roman"/>
        </w:rPr>
        <w:t>procedure</w:t>
      </w:r>
      <w:r w:rsidRPr="004D0A20">
        <w:rPr>
          <w:rFonts w:cs="Times New Roman"/>
        </w:rPr>
        <w:t>, one may furthermore regret some key procedural elements that are likely to further prevent a meaningful and effective enforcement of EU values. The confidential nature of the whole discussion to be held between the Commission and the Member State under investigation will prevent a ‘name-and-shame’ environment from crystallising</w:t>
      </w:r>
      <w:r w:rsidR="00D05B55" w:rsidRPr="004D0A20">
        <w:rPr>
          <w:rFonts w:cs="Times New Roman"/>
        </w:rPr>
        <w:t>, a feature which would most likely add significantly to the effectiveness of the procedure</w:t>
      </w:r>
      <w:r w:rsidRPr="004D0A20">
        <w:rPr>
          <w:rFonts w:cs="Times New Roman"/>
        </w:rPr>
        <w:t>. The non-legally binding nature of the ‘rule of law recommendation’ to be addressed to the authorities of any country where sys</w:t>
      </w:r>
      <w:r w:rsidR="00D224F5" w:rsidRPr="004D0A20">
        <w:rPr>
          <w:rFonts w:cs="Times New Roman"/>
        </w:rPr>
        <w:t>temic threats</w:t>
      </w:r>
      <w:r w:rsidRPr="004D0A20">
        <w:rPr>
          <w:rFonts w:cs="Times New Roman"/>
        </w:rPr>
        <w:t xml:space="preserve"> have been identified, and the non-automatic recourse to Article 7 TEU should the recalcitrant Member State fail to comply, further increase</w:t>
      </w:r>
      <w:r w:rsidR="00F56112">
        <w:rPr>
          <w:rFonts w:cs="Times New Roman"/>
        </w:rPr>
        <w:t>s</w:t>
      </w:r>
      <w:r w:rsidRPr="004D0A20">
        <w:rPr>
          <w:rFonts w:cs="Times New Roman"/>
        </w:rPr>
        <w:t xml:space="preserve"> the likelihood of </w:t>
      </w:r>
      <w:r w:rsidR="00D224F5" w:rsidRPr="004D0A20">
        <w:rPr>
          <w:rFonts w:cs="Times New Roman"/>
        </w:rPr>
        <w:t xml:space="preserve">protracted discussions and </w:t>
      </w:r>
      <w:r w:rsidRPr="004D0A20">
        <w:rPr>
          <w:rFonts w:cs="Times New Roman"/>
        </w:rPr>
        <w:t xml:space="preserve">ineffective outcomes. </w:t>
      </w:r>
    </w:p>
    <w:p w14:paraId="7FDE1BAC" w14:textId="77777777" w:rsidR="007779B6" w:rsidRPr="004D0A20" w:rsidRDefault="007779B6" w:rsidP="007779B6">
      <w:pPr>
        <w:jc w:val="both"/>
        <w:rPr>
          <w:rFonts w:cs="Times New Roman"/>
        </w:rPr>
      </w:pPr>
    </w:p>
    <w:p w14:paraId="06D89F6E" w14:textId="77777777" w:rsidR="007779B6" w:rsidRPr="004D0A20" w:rsidRDefault="007779B6" w:rsidP="007779B6">
      <w:pPr>
        <w:jc w:val="both"/>
        <w:rPr>
          <w:rFonts w:cs="Times New Roman"/>
          <w:b/>
        </w:rPr>
      </w:pPr>
      <w:r w:rsidRPr="004D0A20">
        <w:rPr>
          <w:rFonts w:cs="Times New Roman"/>
          <w:b/>
        </w:rPr>
        <w:t xml:space="preserve">4. The </w:t>
      </w:r>
      <w:r w:rsidR="0083578B" w:rsidRPr="004D0A20">
        <w:rPr>
          <w:rFonts w:cs="Times New Roman"/>
          <w:b/>
        </w:rPr>
        <w:t xml:space="preserve">Council’s </w:t>
      </w:r>
      <w:r w:rsidR="00C34AC1" w:rsidRPr="004D0A20">
        <w:rPr>
          <w:rFonts w:cs="Times New Roman"/>
          <w:b/>
        </w:rPr>
        <w:t xml:space="preserve">annual rule of law dialogue process </w:t>
      </w:r>
    </w:p>
    <w:p w14:paraId="3F6901DF" w14:textId="77777777" w:rsidR="007779B6" w:rsidRPr="004D0A20" w:rsidRDefault="007779B6" w:rsidP="007779B6">
      <w:pPr>
        <w:jc w:val="both"/>
        <w:rPr>
          <w:rFonts w:cs="Times New Roman"/>
        </w:rPr>
      </w:pPr>
    </w:p>
    <w:p w14:paraId="3A79A9B8" w14:textId="77777777" w:rsidR="00C34AC1" w:rsidRPr="004D0A20" w:rsidRDefault="007779B6" w:rsidP="007779B6">
      <w:pPr>
        <w:jc w:val="both"/>
        <w:rPr>
          <w:rFonts w:cs="Times New Roman"/>
        </w:rPr>
      </w:pPr>
      <w:r w:rsidRPr="004D0A20">
        <w:rPr>
          <w:rFonts w:cs="Times New Roman"/>
        </w:rPr>
        <w:t xml:space="preserve">Notwithstanding the shortcomings identified above, the Commission should be commended for taking compliance with </w:t>
      </w:r>
      <w:r w:rsidR="00DD4CBF" w:rsidRPr="004D0A20">
        <w:rPr>
          <w:rFonts w:cs="Times New Roman"/>
        </w:rPr>
        <w:t>EU values</w:t>
      </w:r>
      <w:r w:rsidRPr="004D0A20">
        <w:rPr>
          <w:rFonts w:cs="Times New Roman"/>
        </w:rPr>
        <w:t xml:space="preserve"> seriously. The emphasis on the rule of law, while at first perhaps surprising considering the other values mentioned in Article 2 TEU, is convincingly justified on the ground </w:t>
      </w:r>
      <w:r w:rsidRPr="004D0A20">
        <w:t xml:space="preserve">that respect for the rule of law is a prerequisite for the protection of all other fundamental values upon which the EU is founded. The Commission’s prominent role in this context is also logical considering its well-established role as Guardian of the </w:t>
      </w:r>
      <w:r w:rsidR="00DD4CBF" w:rsidRPr="004D0A20">
        <w:t xml:space="preserve">EU </w:t>
      </w:r>
      <w:r w:rsidRPr="004D0A20">
        <w:t>Treaties. The case for a</w:t>
      </w:r>
      <w:r w:rsidR="00DD4CBF" w:rsidRPr="004D0A20">
        <w:t>llowing an early</w:t>
      </w:r>
      <w:r w:rsidRPr="004D0A20">
        <w:t xml:space="preserve"> intervention of the Commission in cases of systemic threats to the rul</w:t>
      </w:r>
      <w:r w:rsidR="00DD4CBF" w:rsidRPr="004D0A20">
        <w:t xml:space="preserve">e of law in any Member State is, </w:t>
      </w:r>
      <w:r w:rsidRPr="004D0A20">
        <w:t>in our view</w:t>
      </w:r>
      <w:r w:rsidR="00DD4CBF" w:rsidRPr="004D0A20">
        <w:t>,</w:t>
      </w:r>
      <w:r w:rsidRPr="004D0A20">
        <w:t xml:space="preserve"> compelling. </w:t>
      </w:r>
      <w:r w:rsidRPr="004D0A20">
        <w:rPr>
          <w:rFonts w:cs="Times New Roman"/>
        </w:rPr>
        <w:t>However, th</w:t>
      </w:r>
      <w:r w:rsidR="00DD4CBF" w:rsidRPr="004D0A20">
        <w:rPr>
          <w:rFonts w:cs="Times New Roman"/>
        </w:rPr>
        <w:t xml:space="preserve">e proposed framework </w:t>
      </w:r>
      <w:r w:rsidR="00850C36" w:rsidRPr="004D0A20">
        <w:rPr>
          <w:rFonts w:cs="Times New Roman"/>
        </w:rPr>
        <w:t>may be seen as</w:t>
      </w:r>
      <w:r w:rsidR="00DD4CBF" w:rsidRPr="004D0A20">
        <w:rPr>
          <w:rFonts w:cs="Times New Roman"/>
        </w:rPr>
        <w:t xml:space="preserve"> </w:t>
      </w:r>
      <w:r w:rsidR="00850C36" w:rsidRPr="004D0A20">
        <w:rPr>
          <w:rFonts w:cs="Times New Roman"/>
        </w:rPr>
        <w:t>excessively ‘soft’ in nature</w:t>
      </w:r>
      <w:r w:rsidRPr="004D0A20">
        <w:rPr>
          <w:rFonts w:cs="Times New Roman"/>
        </w:rPr>
        <w:t>. Not that it would be necessarily positive to transform the EU into a fully-fledged militant democracy as first suggested in the 1950s</w:t>
      </w:r>
      <w:r w:rsidR="00DD4CBF" w:rsidRPr="004D0A20">
        <w:rPr>
          <w:rFonts w:cs="Times New Roman"/>
        </w:rPr>
        <w:t>,</w:t>
      </w:r>
      <w:r w:rsidRPr="004D0A20">
        <w:rPr>
          <w:rStyle w:val="FootnoteReference"/>
          <w:rFonts w:cs="Times New Roman"/>
          <w:sz w:val="24"/>
        </w:rPr>
        <w:footnoteReference w:id="91"/>
      </w:r>
      <w:r w:rsidR="00DD4CBF" w:rsidRPr="004D0A20">
        <w:rPr>
          <w:rFonts w:cs="Times New Roman"/>
        </w:rPr>
        <w:t xml:space="preserve"> but as noted above, it is highly unlikely </w:t>
      </w:r>
      <w:r w:rsidRPr="004D0A20">
        <w:rPr>
          <w:rFonts w:cs="Times New Roman"/>
        </w:rPr>
        <w:t xml:space="preserve">that a </w:t>
      </w:r>
      <w:r w:rsidRPr="004D0A20">
        <w:rPr>
          <w:rFonts w:cs="Times New Roman"/>
          <w:i/>
        </w:rPr>
        <w:t>confidential</w:t>
      </w:r>
      <w:r w:rsidRPr="004D0A20">
        <w:rPr>
          <w:rFonts w:cs="Times New Roman"/>
        </w:rPr>
        <w:t xml:space="preserve"> </w:t>
      </w:r>
      <w:r w:rsidR="00850C36" w:rsidRPr="004D0A20">
        <w:rPr>
          <w:rFonts w:cs="Times New Roman"/>
        </w:rPr>
        <w:t>dialogue</w:t>
      </w:r>
      <w:r w:rsidRPr="004D0A20">
        <w:rPr>
          <w:rFonts w:cs="Times New Roman"/>
        </w:rPr>
        <w:t xml:space="preserve"> coupled with the possibility of adopting </w:t>
      </w:r>
      <w:r w:rsidRPr="004D0A20">
        <w:rPr>
          <w:rFonts w:cs="Times New Roman"/>
          <w:i/>
        </w:rPr>
        <w:t>non-binding</w:t>
      </w:r>
      <w:r w:rsidRPr="004D0A20">
        <w:rPr>
          <w:rFonts w:cs="Times New Roman"/>
        </w:rPr>
        <w:t xml:space="preserve"> recommendations </w:t>
      </w:r>
      <w:r w:rsidR="00F56112">
        <w:rPr>
          <w:rFonts w:cs="Times New Roman"/>
        </w:rPr>
        <w:t>could</w:t>
      </w:r>
      <w:r w:rsidRPr="004D0A20">
        <w:rPr>
          <w:rFonts w:cs="Times New Roman"/>
        </w:rPr>
        <w:t xml:space="preserve"> enable the EU to successfully address the current phenomenon of ‘rule of law backsliding’, which is affecting a number of EU Member States</w:t>
      </w:r>
      <w:r w:rsidR="007C0980" w:rsidRPr="004D0A20">
        <w:rPr>
          <w:rFonts w:cs="Times New Roman"/>
        </w:rPr>
        <w:t>,</w:t>
      </w:r>
      <w:r w:rsidR="00DD4CBF" w:rsidRPr="004D0A20">
        <w:rPr>
          <w:rFonts w:cs="Times New Roman"/>
        </w:rPr>
        <w:t xml:space="preserve"> with exhib</w:t>
      </w:r>
      <w:r w:rsidR="007C0980" w:rsidRPr="004D0A20">
        <w:rPr>
          <w:rFonts w:cs="Times New Roman"/>
        </w:rPr>
        <w:t>it A being Hungary</w:t>
      </w:r>
      <w:r w:rsidR="00DF253A" w:rsidRPr="004D0A20">
        <w:rPr>
          <w:rFonts w:cs="Times New Roman"/>
        </w:rPr>
        <w:t>.</w:t>
      </w:r>
      <w:r w:rsidRPr="004D0A20">
        <w:rPr>
          <w:rFonts w:cs="Times New Roman"/>
        </w:rPr>
        <w:t xml:space="preserve"> </w:t>
      </w:r>
      <w:r w:rsidR="00DF253A" w:rsidRPr="004D0A20">
        <w:rPr>
          <w:rFonts w:cs="Times New Roman"/>
        </w:rPr>
        <w:t xml:space="preserve">These weak features, however, did not stop the Council from attempting to </w:t>
      </w:r>
      <w:r w:rsidR="00850C36" w:rsidRPr="004D0A20">
        <w:rPr>
          <w:rFonts w:cs="Times New Roman"/>
        </w:rPr>
        <w:t xml:space="preserve">‘kill off’ </w:t>
      </w:r>
      <w:r w:rsidR="00DF253A" w:rsidRPr="004D0A20">
        <w:rPr>
          <w:rFonts w:cs="Times New Roman"/>
        </w:rPr>
        <w:t>the Commission</w:t>
      </w:r>
      <w:r w:rsidR="00850C36" w:rsidRPr="004D0A20">
        <w:rPr>
          <w:rFonts w:cs="Times New Roman"/>
        </w:rPr>
        <w:t xml:space="preserve">’s </w:t>
      </w:r>
      <w:r w:rsidRPr="004D0A20">
        <w:rPr>
          <w:rFonts w:cs="Times"/>
        </w:rPr>
        <w:t xml:space="preserve">new rule of law framework. Indeed, rather then supporting the Commission’s </w:t>
      </w:r>
      <w:r w:rsidR="00850C36" w:rsidRPr="004D0A20">
        <w:rPr>
          <w:rFonts w:cs="Times"/>
        </w:rPr>
        <w:t>initiative</w:t>
      </w:r>
      <w:r w:rsidRPr="004D0A20">
        <w:rPr>
          <w:rFonts w:cs="Times"/>
        </w:rPr>
        <w:t>, the Council decided instead to establish an annual rule of law ‘</w:t>
      </w:r>
      <w:r w:rsidRPr="004D0A20">
        <w:rPr>
          <w:rFonts w:cs="Times New Roman"/>
          <w:color w:val="000000"/>
        </w:rPr>
        <w:t>dialogue among all Member States within the Council’, based ‘on the principles of objectivity, non discrimination and equal treatment of all Member States’ and to be ‘conducted on a non partisan and evidence-based approach’.</w:t>
      </w:r>
      <w:r w:rsidRPr="004D0A20">
        <w:rPr>
          <w:rStyle w:val="FootnoteReference"/>
          <w:rFonts w:cs="Times"/>
          <w:sz w:val="24"/>
        </w:rPr>
        <w:footnoteReference w:id="92"/>
      </w:r>
      <w:r w:rsidRPr="004D0A20">
        <w:rPr>
          <w:rFonts w:cs="Times New Roman"/>
          <w:color w:val="000000"/>
        </w:rPr>
        <w:t xml:space="preserve"> The Council’s </w:t>
      </w:r>
      <w:r w:rsidR="00C742E9" w:rsidRPr="004D0A20">
        <w:rPr>
          <w:rFonts w:cs="Times New Roman"/>
          <w:color w:val="000000"/>
        </w:rPr>
        <w:t xml:space="preserve">not so disguised </w:t>
      </w:r>
      <w:r w:rsidRPr="004D0A20">
        <w:rPr>
          <w:rFonts w:cs="Times New Roman"/>
          <w:color w:val="000000"/>
        </w:rPr>
        <w:t>attempt to</w:t>
      </w:r>
      <w:r w:rsidR="00C742E9" w:rsidRPr="004D0A20">
        <w:rPr>
          <w:rFonts w:cs="Times New Roman"/>
          <w:color w:val="000000"/>
        </w:rPr>
        <w:t xml:space="preserve"> pre-empt any activation of </w:t>
      </w:r>
      <w:r w:rsidR="00850C36" w:rsidRPr="004D0A20">
        <w:rPr>
          <w:rFonts w:cs="Times New Roman"/>
          <w:color w:val="000000"/>
        </w:rPr>
        <w:t>the Commission</w:t>
      </w:r>
      <w:r w:rsidR="00C742E9" w:rsidRPr="004D0A20">
        <w:rPr>
          <w:rFonts w:cs="Times New Roman"/>
          <w:color w:val="000000"/>
        </w:rPr>
        <w:t xml:space="preserve">’s </w:t>
      </w:r>
      <w:r w:rsidR="00C742E9" w:rsidRPr="004D0A20">
        <w:rPr>
          <w:rFonts w:cs="Times New Roman"/>
          <w:color w:val="000000"/>
        </w:rPr>
        <w:lastRenderedPageBreak/>
        <w:t>pre-Article 7 procedure</w:t>
      </w:r>
      <w:r w:rsidRPr="004D0A20">
        <w:rPr>
          <w:rFonts w:cs="Times New Roman"/>
          <w:color w:val="000000"/>
        </w:rPr>
        <w:t xml:space="preserve"> is hardly surprising considering the reluctance and unease of several national governments at the idea of giving to the Commission</w:t>
      </w:r>
      <w:r w:rsidR="00DF253A" w:rsidRPr="004D0A20">
        <w:rPr>
          <w:rFonts w:cs="Times New Roman"/>
          <w:color w:val="000000"/>
        </w:rPr>
        <w:t>,</w:t>
      </w:r>
      <w:r w:rsidRPr="004D0A20">
        <w:rPr>
          <w:rFonts w:cs="Times New Roman"/>
          <w:color w:val="000000"/>
        </w:rPr>
        <w:t xml:space="preserve"> or any new EU supranational body</w:t>
      </w:r>
      <w:r w:rsidR="00DF253A" w:rsidRPr="004D0A20">
        <w:rPr>
          <w:rFonts w:cs="Times New Roman"/>
          <w:color w:val="000000"/>
        </w:rPr>
        <w:t xml:space="preserve"> for that matter,</w:t>
      </w:r>
      <w:r w:rsidRPr="004D0A20">
        <w:rPr>
          <w:rFonts w:cs="Times New Roman"/>
          <w:color w:val="000000"/>
        </w:rPr>
        <w:t xml:space="preserve"> the power </w:t>
      </w:r>
      <w:r w:rsidR="00DF253A" w:rsidRPr="004D0A20">
        <w:rPr>
          <w:rFonts w:cs="Times New Roman"/>
          <w:color w:val="000000"/>
        </w:rPr>
        <w:t>to look into rule of law issues</w:t>
      </w:r>
      <w:r w:rsidRPr="004D0A20">
        <w:rPr>
          <w:rFonts w:cs="Times New Roman"/>
          <w:color w:val="000000"/>
        </w:rPr>
        <w:t xml:space="preserve"> beyond the area</w:t>
      </w:r>
      <w:r w:rsidR="00DF253A" w:rsidRPr="004D0A20">
        <w:rPr>
          <w:rFonts w:cs="Times New Roman"/>
          <w:color w:val="000000"/>
        </w:rPr>
        <w:t>s</w:t>
      </w:r>
      <w:r w:rsidRPr="004D0A20">
        <w:rPr>
          <w:rFonts w:cs="Times New Roman"/>
          <w:color w:val="000000"/>
        </w:rPr>
        <w:t xml:space="preserve"> governed by EU law.</w:t>
      </w:r>
      <w:r w:rsidRPr="004D0A20">
        <w:rPr>
          <w:rStyle w:val="FootnoteReference"/>
          <w:rFonts w:cs="Times New Roman"/>
          <w:sz w:val="24"/>
        </w:rPr>
        <w:footnoteReference w:id="93"/>
      </w:r>
      <w:r w:rsidRPr="004D0A20">
        <w:rPr>
          <w:rFonts w:cs="Times"/>
        </w:rPr>
        <w:t xml:space="preserve"> </w:t>
      </w:r>
    </w:p>
    <w:p w14:paraId="6870CC49" w14:textId="77777777" w:rsidR="00C34AC1" w:rsidRPr="004D0A20" w:rsidRDefault="007779B6" w:rsidP="00A47028">
      <w:pPr>
        <w:ind w:firstLine="720"/>
        <w:jc w:val="both"/>
        <w:rPr>
          <w:rFonts w:cs="Times New Roman"/>
          <w:color w:val="000000"/>
        </w:rPr>
      </w:pPr>
      <w:r w:rsidRPr="004D0A20">
        <w:rPr>
          <w:rFonts w:cs="Times New Roman"/>
          <w:color w:val="000000"/>
        </w:rPr>
        <w:t>From a legal point of view, yet without explicitly stating as much, the Council’s dialogue proposal seems to reflect th</w:t>
      </w:r>
      <w:r w:rsidR="00A81E25" w:rsidRPr="004D0A20">
        <w:rPr>
          <w:rFonts w:cs="Times New Roman"/>
          <w:color w:val="000000"/>
        </w:rPr>
        <w:t>e view that the Commission’s</w:t>
      </w:r>
      <w:r w:rsidRPr="004D0A20">
        <w:rPr>
          <w:rFonts w:cs="Times New Roman"/>
          <w:color w:val="000000"/>
        </w:rPr>
        <w:t xml:space="preserve"> </w:t>
      </w:r>
      <w:r w:rsidR="00A81E25" w:rsidRPr="004D0A20">
        <w:rPr>
          <w:rFonts w:cs="Times New Roman"/>
          <w:color w:val="000000"/>
        </w:rPr>
        <w:t>pre-Article 7 procedure</w:t>
      </w:r>
      <w:r w:rsidRPr="004D0A20">
        <w:rPr>
          <w:rFonts w:cs="Times New Roman"/>
          <w:color w:val="000000"/>
        </w:rPr>
        <w:t xml:space="preserve"> is not compatible with the principle of conferred competences</w:t>
      </w:r>
      <w:r w:rsidR="008F4CE3" w:rsidRPr="004D0A20">
        <w:rPr>
          <w:rStyle w:val="FootnoteReference"/>
          <w:rFonts w:cs="Times New Roman"/>
          <w:color w:val="000000"/>
          <w:sz w:val="24"/>
        </w:rPr>
        <w:footnoteReference w:id="94"/>
      </w:r>
      <w:r w:rsidRPr="004D0A20">
        <w:rPr>
          <w:rFonts w:cs="Times New Roman"/>
          <w:color w:val="000000"/>
        </w:rPr>
        <w:t xml:space="preserve"> as well as the Treaty provision providing for the respect of national identities of Member States inherent in their fundamental political and constitut</w:t>
      </w:r>
      <w:r w:rsidR="008F4CE3" w:rsidRPr="004D0A20">
        <w:rPr>
          <w:rFonts w:cs="Times New Roman"/>
          <w:color w:val="000000"/>
        </w:rPr>
        <w:t>ional structures</w:t>
      </w:r>
      <w:r w:rsidRPr="004D0A20">
        <w:rPr>
          <w:rFonts w:cs="Times New Roman"/>
          <w:color w:val="000000"/>
        </w:rPr>
        <w:t>.</w:t>
      </w:r>
      <w:r w:rsidR="008F4CE3" w:rsidRPr="004D0A20">
        <w:rPr>
          <w:rStyle w:val="FootnoteReference"/>
          <w:rFonts w:cs="Times New Roman"/>
          <w:color w:val="000000"/>
          <w:sz w:val="24"/>
        </w:rPr>
        <w:footnoteReference w:id="95"/>
      </w:r>
      <w:r w:rsidRPr="004D0A20">
        <w:rPr>
          <w:rFonts w:cs="Times New Roman"/>
          <w:color w:val="000000"/>
        </w:rPr>
        <w:t xml:space="preserve"> As noted above, we believe these arguments to be based on a superficial and selective reading of the EU Treaties. </w:t>
      </w:r>
      <w:r w:rsidR="00C34AC1" w:rsidRPr="004D0A20">
        <w:rPr>
          <w:rFonts w:cs="Times New Roman"/>
          <w:color w:val="000000"/>
        </w:rPr>
        <w:t xml:space="preserve">The Council’s understanding of Article 7 TEU </w:t>
      </w:r>
      <w:r w:rsidR="00217FC8" w:rsidRPr="004D0A20">
        <w:rPr>
          <w:rFonts w:cs="Times New Roman"/>
          <w:color w:val="000000"/>
        </w:rPr>
        <w:t>also proved at ti</w:t>
      </w:r>
      <w:r w:rsidR="00F56112">
        <w:rPr>
          <w:rFonts w:cs="Times New Roman"/>
          <w:color w:val="000000"/>
        </w:rPr>
        <w:t>mes to be quite confused</w:t>
      </w:r>
      <w:r w:rsidR="00CC549F" w:rsidRPr="004D0A20">
        <w:rPr>
          <w:rFonts w:cs="Times New Roman"/>
          <w:color w:val="000000"/>
        </w:rPr>
        <w:t xml:space="preserve">: </w:t>
      </w:r>
      <w:r w:rsidR="00A350E0">
        <w:rPr>
          <w:rFonts w:cs="Times New Roman"/>
          <w:color w:val="000000"/>
        </w:rPr>
        <w:t>It is for instance incorrect</w:t>
      </w:r>
      <w:r w:rsidR="00217FC8" w:rsidRPr="004D0A20">
        <w:rPr>
          <w:rFonts w:cs="Times New Roman"/>
          <w:color w:val="000000"/>
        </w:rPr>
        <w:t xml:space="preserve"> to hold that ‘</w:t>
      </w:r>
      <w:r w:rsidR="00217FC8" w:rsidRPr="004D0A20">
        <w:rPr>
          <w:szCs w:val="23"/>
        </w:rPr>
        <w:t>the rule of law applies as a value of the EU in the areas in which the EU has competence and EU monitoring mechanisms are possible to this extent.’</w:t>
      </w:r>
      <w:r w:rsidR="00217FC8" w:rsidRPr="004D0A20">
        <w:rPr>
          <w:rStyle w:val="FootnoteReference"/>
          <w:sz w:val="24"/>
          <w:szCs w:val="23"/>
        </w:rPr>
        <w:footnoteReference w:id="96"/>
      </w:r>
      <w:r w:rsidR="00217FC8" w:rsidRPr="004D0A20">
        <w:rPr>
          <w:szCs w:val="23"/>
        </w:rPr>
        <w:t xml:space="preserve"> On the contrary, it is well established that the raison d’être of Article 7 TEU is to enable t</w:t>
      </w:r>
      <w:r w:rsidR="00A81E25" w:rsidRPr="004D0A20">
        <w:rPr>
          <w:szCs w:val="23"/>
        </w:rPr>
        <w:t>he EU to</w:t>
      </w:r>
      <w:r w:rsidR="00217FC8" w:rsidRPr="004D0A20">
        <w:rPr>
          <w:szCs w:val="23"/>
        </w:rPr>
        <w:t xml:space="preserve"> </w:t>
      </w:r>
      <w:r w:rsidR="00A81E25" w:rsidRPr="004D0A20">
        <w:rPr>
          <w:szCs w:val="23"/>
        </w:rPr>
        <w:t>remedy</w:t>
      </w:r>
      <w:r w:rsidR="00217FC8" w:rsidRPr="004D0A20">
        <w:rPr>
          <w:szCs w:val="23"/>
        </w:rPr>
        <w:t xml:space="preserve"> breaches of EU values </w:t>
      </w:r>
      <w:r w:rsidR="00423C1F" w:rsidRPr="004D0A20">
        <w:rPr>
          <w:szCs w:val="23"/>
        </w:rPr>
        <w:t xml:space="preserve">in areas which are not connected to the exercise of an EU power or more generally, which fall outside the scope of EU law. </w:t>
      </w:r>
      <w:r w:rsidR="00DF253A" w:rsidRPr="004D0A20">
        <w:rPr>
          <w:szCs w:val="23"/>
        </w:rPr>
        <w:t xml:space="preserve">The </w:t>
      </w:r>
      <w:r w:rsidR="00DF253A" w:rsidRPr="004D0A20">
        <w:rPr>
          <w:rFonts w:cs="Arial"/>
          <w:szCs w:val="28"/>
        </w:rPr>
        <w:t xml:space="preserve">EU Commission </w:t>
      </w:r>
      <w:r w:rsidR="00C26FA7" w:rsidRPr="004D0A20">
        <w:rPr>
          <w:rFonts w:cs="Arial"/>
          <w:szCs w:val="28"/>
        </w:rPr>
        <w:t xml:space="preserve">should therefore be commended for confirming </w:t>
      </w:r>
      <w:r w:rsidR="00A81E25" w:rsidRPr="004D0A20">
        <w:rPr>
          <w:rFonts w:cs="Arial"/>
          <w:szCs w:val="28"/>
        </w:rPr>
        <w:t>that its</w:t>
      </w:r>
      <w:r w:rsidR="00DF253A" w:rsidRPr="004D0A20">
        <w:rPr>
          <w:rFonts w:cs="Arial"/>
          <w:szCs w:val="28"/>
        </w:rPr>
        <w:t xml:space="preserve"> rule of law framework </w:t>
      </w:r>
      <w:r w:rsidR="00A81E25" w:rsidRPr="004D0A20">
        <w:rPr>
          <w:rFonts w:cs="Arial"/>
          <w:szCs w:val="28"/>
        </w:rPr>
        <w:t xml:space="preserve">adopted in March 2014 </w:t>
      </w:r>
      <w:r w:rsidR="00DF253A" w:rsidRPr="004D0A20">
        <w:rPr>
          <w:rFonts w:cs="Arial"/>
          <w:szCs w:val="28"/>
        </w:rPr>
        <w:t>remains in place and that it can be activated at any t</w:t>
      </w:r>
      <w:r w:rsidR="00C26FA7" w:rsidRPr="004D0A20">
        <w:rPr>
          <w:rFonts w:cs="Arial"/>
          <w:szCs w:val="28"/>
        </w:rPr>
        <w:t xml:space="preserve">ime, despite the negative </w:t>
      </w:r>
      <w:r w:rsidR="00DF253A" w:rsidRPr="004D0A20">
        <w:rPr>
          <w:rFonts w:cs="Arial"/>
          <w:szCs w:val="28"/>
        </w:rPr>
        <w:t>opinion of the Council</w:t>
      </w:r>
      <w:r w:rsidR="00C26FA7" w:rsidRPr="004D0A20">
        <w:rPr>
          <w:rFonts w:cs="Arial"/>
          <w:szCs w:val="28"/>
        </w:rPr>
        <w:t>’s legal service</w:t>
      </w:r>
      <w:r w:rsidR="00DF253A" w:rsidRPr="004D0A20">
        <w:rPr>
          <w:rFonts w:cs="Arial"/>
          <w:szCs w:val="28"/>
        </w:rPr>
        <w:t xml:space="preserve"> previously cited.</w:t>
      </w:r>
      <w:r w:rsidR="00DF253A" w:rsidRPr="004D0A20">
        <w:rPr>
          <w:rStyle w:val="FootnoteReference"/>
          <w:rFonts w:cs="Times"/>
          <w:sz w:val="24"/>
        </w:rPr>
        <w:footnoteReference w:id="97"/>
      </w:r>
    </w:p>
    <w:p w14:paraId="4A5A018F" w14:textId="77777777" w:rsidR="007779B6" w:rsidRPr="004D0A20" w:rsidRDefault="00C26FA7" w:rsidP="00A47028">
      <w:pPr>
        <w:ind w:firstLine="720"/>
        <w:jc w:val="both"/>
        <w:rPr>
          <w:rFonts w:cs="Times New Roman"/>
          <w:color w:val="000000"/>
        </w:rPr>
      </w:pPr>
      <w:r w:rsidRPr="004D0A20">
        <w:rPr>
          <w:rFonts w:cs="Times"/>
        </w:rPr>
        <w:t xml:space="preserve">This is not to say that </w:t>
      </w:r>
      <w:r w:rsidR="007779B6" w:rsidRPr="004D0A20">
        <w:rPr>
          <w:rFonts w:cs="Times"/>
        </w:rPr>
        <w:t xml:space="preserve">the Commission’s </w:t>
      </w:r>
      <w:r w:rsidRPr="004D0A20">
        <w:rPr>
          <w:rFonts w:cs="Times"/>
        </w:rPr>
        <w:t>new procedure does not suffer from a number of flaws. By comparison, however,</w:t>
      </w:r>
      <w:r w:rsidR="007779B6" w:rsidRPr="004D0A20">
        <w:rPr>
          <w:rFonts w:cs="Times"/>
        </w:rPr>
        <w:t xml:space="preserve"> the Council’s rule of law dialogue </w:t>
      </w:r>
      <w:r w:rsidR="00F64D9C" w:rsidRPr="004D0A20">
        <w:rPr>
          <w:rFonts w:cs="Times"/>
        </w:rPr>
        <w:t>looks anaemic and</w:t>
      </w:r>
      <w:r w:rsidRPr="004D0A20">
        <w:rPr>
          <w:rFonts w:cs="Times"/>
        </w:rPr>
        <w:t xml:space="preserve"> </w:t>
      </w:r>
      <w:r w:rsidR="007779B6" w:rsidRPr="004D0A20">
        <w:rPr>
          <w:rFonts w:cs="Times"/>
        </w:rPr>
        <w:t xml:space="preserve">goes nowhere near enough </w:t>
      </w:r>
      <w:r w:rsidR="00A350E0">
        <w:rPr>
          <w:rFonts w:cs="Times"/>
        </w:rPr>
        <w:t xml:space="preserve">to </w:t>
      </w:r>
      <w:r w:rsidR="007779B6" w:rsidRPr="004D0A20">
        <w:rPr>
          <w:rFonts w:cs="Times"/>
        </w:rPr>
        <w:t>what is required to address the challenges highlighted in this paper. For instance, the Council calls for an evidence-based approach but what does this mean in practice</w:t>
      </w:r>
      <w:r w:rsidR="00423C1F" w:rsidRPr="004D0A20">
        <w:rPr>
          <w:rFonts w:cs="Times"/>
        </w:rPr>
        <w:t xml:space="preserve"> and is there anyone to argue in favour of an evidence free-based approach</w:t>
      </w:r>
      <w:r w:rsidR="007779B6" w:rsidRPr="004D0A20">
        <w:rPr>
          <w:rFonts w:cs="Times"/>
        </w:rPr>
        <w:t>? Similarly, the dialogue is supposed to take place</w:t>
      </w:r>
      <w:r w:rsidR="007779B6" w:rsidRPr="004D0A20">
        <w:rPr>
          <w:rFonts w:cs="Times New Roman"/>
          <w:color w:val="222222"/>
        </w:rPr>
        <w:t xml:space="preserve"> in the Council and be prepared by the COREPER, ‘following an inclusive approach’</w:t>
      </w:r>
      <w:r w:rsidR="007779B6" w:rsidRPr="004D0A20">
        <w:rPr>
          <w:rStyle w:val="FootnoteReference"/>
          <w:rFonts w:cs="Times New Roman"/>
          <w:color w:val="222222"/>
          <w:sz w:val="24"/>
        </w:rPr>
        <w:footnoteReference w:id="98"/>
      </w:r>
      <w:r w:rsidR="007779B6" w:rsidRPr="004D0A20">
        <w:rPr>
          <w:rFonts w:cs="Times New Roman"/>
          <w:color w:val="222222"/>
        </w:rPr>
        <w:t xml:space="preserve"> but one is again left wondering about what would this </w:t>
      </w:r>
      <w:r w:rsidR="00F67E47" w:rsidRPr="004D0A20">
        <w:rPr>
          <w:rFonts w:cs="Times New Roman"/>
          <w:color w:val="222222"/>
        </w:rPr>
        <w:t xml:space="preserve">exactly </w:t>
      </w:r>
      <w:r w:rsidR="007779B6" w:rsidRPr="004D0A20">
        <w:rPr>
          <w:rFonts w:cs="Times New Roman"/>
          <w:color w:val="222222"/>
        </w:rPr>
        <w:t xml:space="preserve">entail in practice. </w:t>
      </w:r>
      <w:r w:rsidR="007779B6" w:rsidRPr="004D0A20">
        <w:rPr>
          <w:rFonts w:cs="Times"/>
        </w:rPr>
        <w:t>More fundamentally, the Co</w:t>
      </w:r>
      <w:r w:rsidR="00F67E47" w:rsidRPr="004D0A20">
        <w:rPr>
          <w:rFonts w:cs="Times"/>
        </w:rPr>
        <w:t>uncil is seeking to use a soft mechanism</w:t>
      </w:r>
      <w:r w:rsidR="007779B6" w:rsidRPr="004D0A20">
        <w:rPr>
          <w:rFonts w:cs="Times"/>
        </w:rPr>
        <w:t xml:space="preserve">, which has </w:t>
      </w:r>
      <w:r w:rsidR="00F67E47" w:rsidRPr="004D0A20">
        <w:rPr>
          <w:rFonts w:cs="Times"/>
        </w:rPr>
        <w:t xml:space="preserve">been </w:t>
      </w:r>
      <w:r w:rsidR="007779B6" w:rsidRPr="004D0A20">
        <w:rPr>
          <w:rFonts w:cs="Times"/>
        </w:rPr>
        <w:t>regularly criticised for its ineffective nature in the context of its use with no</w:t>
      </w:r>
      <w:r w:rsidR="00F67E47" w:rsidRPr="004D0A20">
        <w:rPr>
          <w:rFonts w:cs="Times"/>
        </w:rPr>
        <w:t xml:space="preserve">n-EU countries. One may for instance refer to the multiple </w:t>
      </w:r>
      <w:r w:rsidR="007779B6" w:rsidRPr="004D0A20">
        <w:rPr>
          <w:rFonts w:cs="Times"/>
        </w:rPr>
        <w:t xml:space="preserve">‘human rights </w:t>
      </w:r>
      <w:r w:rsidR="00F67E47" w:rsidRPr="004D0A20">
        <w:rPr>
          <w:rFonts w:cs="Times"/>
        </w:rPr>
        <w:t xml:space="preserve">dialogues’, which the EU has set up </w:t>
      </w:r>
      <w:r w:rsidR="007779B6" w:rsidRPr="004D0A20">
        <w:rPr>
          <w:rFonts w:cs="Times"/>
        </w:rPr>
        <w:t>with third countri</w:t>
      </w:r>
      <w:r w:rsidR="00F67E47" w:rsidRPr="004D0A20">
        <w:rPr>
          <w:rFonts w:cs="Times"/>
        </w:rPr>
        <w:t>es to promote its values abroad. T</w:t>
      </w:r>
      <w:r w:rsidR="007779B6" w:rsidRPr="004D0A20">
        <w:rPr>
          <w:rFonts w:cs="Times"/>
        </w:rPr>
        <w:t>he EU</w:t>
      </w:r>
      <w:r w:rsidR="00F67E47" w:rsidRPr="004D0A20">
        <w:rPr>
          <w:rFonts w:cs="Times"/>
        </w:rPr>
        <w:t>’s</w:t>
      </w:r>
      <w:r w:rsidR="007779B6" w:rsidRPr="004D0A20">
        <w:rPr>
          <w:rFonts w:cs="Times"/>
        </w:rPr>
        <w:t xml:space="preserve"> infatuation for this discursive method has </w:t>
      </w:r>
      <w:r w:rsidR="00F67E47" w:rsidRPr="004D0A20">
        <w:rPr>
          <w:rFonts w:cs="Times"/>
        </w:rPr>
        <w:t xml:space="preserve">however </w:t>
      </w:r>
      <w:r w:rsidR="007779B6" w:rsidRPr="004D0A20">
        <w:rPr>
          <w:rFonts w:cs="Times"/>
        </w:rPr>
        <w:t>been rightly questioned, as evidence of</w:t>
      </w:r>
      <w:r w:rsidR="007779B6" w:rsidRPr="004D0A20">
        <w:t xml:space="preserve"> substantial and concrete achievements is thin on the ground.</w:t>
      </w:r>
      <w:r w:rsidR="007779B6" w:rsidRPr="004D0A20">
        <w:rPr>
          <w:rStyle w:val="FootnoteReference"/>
          <w:sz w:val="24"/>
        </w:rPr>
        <w:footnoteReference w:id="99"/>
      </w:r>
      <w:r w:rsidR="007779B6" w:rsidRPr="004D0A20">
        <w:t xml:space="preserve"> </w:t>
      </w:r>
    </w:p>
    <w:p w14:paraId="79FA9A25" w14:textId="77777777" w:rsidR="007779B6" w:rsidRPr="004D0A20" w:rsidRDefault="007779B6" w:rsidP="00A47028">
      <w:pPr>
        <w:ind w:firstLine="720"/>
        <w:jc w:val="both"/>
        <w:rPr>
          <w:rFonts w:cs="Times New Roman"/>
        </w:rPr>
      </w:pPr>
      <w:r w:rsidRPr="004D0A20">
        <w:rPr>
          <w:rFonts w:cs="Times"/>
        </w:rPr>
        <w:t>It is therefore tempting</w:t>
      </w:r>
      <w:r w:rsidR="00677149" w:rsidRPr="004D0A20">
        <w:rPr>
          <w:rFonts w:cs="Times"/>
        </w:rPr>
        <w:t xml:space="preserve"> to conclude that the Council has</w:t>
      </w:r>
      <w:r w:rsidRPr="004D0A20">
        <w:rPr>
          <w:rFonts w:cs="Times"/>
        </w:rPr>
        <w:t xml:space="preserve"> only </w:t>
      </w:r>
      <w:r w:rsidR="00677149" w:rsidRPr="004D0A20">
        <w:rPr>
          <w:rFonts w:cs="Times"/>
        </w:rPr>
        <w:t xml:space="preserve">been </w:t>
      </w:r>
      <w:r w:rsidRPr="004D0A20">
        <w:rPr>
          <w:rFonts w:cs="Times"/>
        </w:rPr>
        <w:t>looking for a ‘façade of action’</w:t>
      </w:r>
      <w:r w:rsidR="00D94B03" w:rsidRPr="004D0A20">
        <w:rPr>
          <w:rFonts w:cs="Times"/>
        </w:rPr>
        <w:t>,</w:t>
      </w:r>
      <w:r w:rsidRPr="004D0A20">
        <w:rPr>
          <w:rStyle w:val="FootnoteReference"/>
          <w:rFonts w:cs="Times"/>
          <w:sz w:val="24"/>
        </w:rPr>
        <w:footnoteReference w:id="100"/>
      </w:r>
      <w:r w:rsidR="00FA0FE1" w:rsidRPr="004D0A20">
        <w:rPr>
          <w:rFonts w:cs="Times"/>
        </w:rPr>
        <w:t xml:space="preserve"> </w:t>
      </w:r>
      <w:r w:rsidR="00D94B03" w:rsidRPr="004D0A20">
        <w:rPr>
          <w:rFonts w:cs="Times"/>
        </w:rPr>
        <w:t>by rejecting any solution</w:t>
      </w:r>
      <w:r w:rsidR="004D0A20" w:rsidRPr="004D0A20">
        <w:rPr>
          <w:rFonts w:cs="Times"/>
        </w:rPr>
        <w:t>, even the most modest ones such</w:t>
      </w:r>
      <w:r w:rsidR="00D94B03" w:rsidRPr="004D0A20">
        <w:rPr>
          <w:rFonts w:cs="Times"/>
        </w:rPr>
        <w:t xml:space="preserve"> as a peer-review mechanism</w:t>
      </w:r>
      <w:r w:rsidR="004D0A20" w:rsidRPr="004D0A20">
        <w:rPr>
          <w:rFonts w:cs="Times"/>
        </w:rPr>
        <w:t>, which would have led to an actual examination of EU countries’ adherence to EU</w:t>
      </w:r>
      <w:r w:rsidR="00A350E0">
        <w:rPr>
          <w:rFonts w:cs="Times"/>
        </w:rPr>
        <w:t xml:space="preserve"> values</w:t>
      </w:r>
      <w:r w:rsidR="004D0A20" w:rsidRPr="004D0A20">
        <w:rPr>
          <w:rFonts w:cs="Times"/>
        </w:rPr>
        <w:t>.</w:t>
      </w:r>
      <w:r w:rsidRPr="004D0A20">
        <w:rPr>
          <w:rFonts w:cs="Times"/>
        </w:rPr>
        <w:t xml:space="preserve"> Two potential explanations come to mind: The Council is either in </w:t>
      </w:r>
      <w:r w:rsidRPr="004D0A20">
        <w:rPr>
          <w:rFonts w:cs="Times"/>
        </w:rPr>
        <w:lastRenderedPageBreak/>
        <w:t xml:space="preserve">denial about the internal challenges faced by the </w:t>
      </w:r>
      <w:r w:rsidR="00677149" w:rsidRPr="004D0A20">
        <w:rPr>
          <w:rFonts w:cs="Times"/>
        </w:rPr>
        <w:t xml:space="preserve">EU or no other compromise could </w:t>
      </w:r>
      <w:r w:rsidRPr="004D0A20">
        <w:rPr>
          <w:rFonts w:cs="Times"/>
        </w:rPr>
        <w:t xml:space="preserve">be found within an institution which welcomes representatives of </w:t>
      </w:r>
      <w:r w:rsidR="00677149" w:rsidRPr="004D0A20">
        <w:rPr>
          <w:rFonts w:cs="Times"/>
        </w:rPr>
        <w:t xml:space="preserve">some </w:t>
      </w:r>
      <w:r w:rsidRPr="004D0A20">
        <w:rPr>
          <w:rFonts w:cs="Times"/>
        </w:rPr>
        <w:t>national governments whose rule of law records are highly questionable</w:t>
      </w:r>
      <w:r w:rsidR="004D0A20">
        <w:rPr>
          <w:rFonts w:cs="Times"/>
        </w:rPr>
        <w:t>,</w:t>
      </w:r>
      <w:r w:rsidRPr="004D0A20">
        <w:rPr>
          <w:rFonts w:cs="Times"/>
        </w:rPr>
        <w:t xml:space="preserve"> if not abysmal.</w:t>
      </w:r>
      <w:r w:rsidR="008E1B23" w:rsidRPr="004D0A20">
        <w:rPr>
          <w:rStyle w:val="FootnoteReference"/>
          <w:rFonts w:cs="Times"/>
          <w:sz w:val="24"/>
        </w:rPr>
        <w:footnoteReference w:id="101"/>
      </w:r>
      <w:r w:rsidRPr="004D0A20">
        <w:rPr>
          <w:rFonts w:cs="Times"/>
        </w:rPr>
        <w:t xml:space="preserve"> </w:t>
      </w:r>
      <w:r w:rsidR="00677149" w:rsidRPr="004D0A20">
        <w:rPr>
          <w:rFonts w:cs="Times"/>
        </w:rPr>
        <w:t>It is</w:t>
      </w:r>
      <w:r w:rsidR="004D0A20">
        <w:rPr>
          <w:rFonts w:cs="Times"/>
        </w:rPr>
        <w:t>,</w:t>
      </w:r>
      <w:r w:rsidR="00677149" w:rsidRPr="004D0A20">
        <w:rPr>
          <w:rFonts w:cs="Times"/>
        </w:rPr>
        <w:t xml:space="preserve"> in any event</w:t>
      </w:r>
      <w:r w:rsidR="004D0A20">
        <w:rPr>
          <w:rFonts w:cs="Times"/>
        </w:rPr>
        <w:t>,</w:t>
      </w:r>
      <w:r w:rsidRPr="004D0A20">
        <w:rPr>
          <w:rFonts w:cs="Times"/>
        </w:rPr>
        <w:t xml:space="preserve"> particularly ironic that the Council adopted its </w:t>
      </w:r>
      <w:r w:rsidR="00677149" w:rsidRPr="004D0A20">
        <w:rPr>
          <w:rFonts w:cs="Times"/>
        </w:rPr>
        <w:t xml:space="preserve">annual dialogue </w:t>
      </w:r>
      <w:r w:rsidRPr="004D0A20">
        <w:rPr>
          <w:rFonts w:cs="Times"/>
        </w:rPr>
        <w:t xml:space="preserve">proposal on the same day it adopted </w:t>
      </w:r>
      <w:r w:rsidRPr="004D0A20">
        <w:rPr>
          <w:rFonts w:cs="Times New Roman"/>
        </w:rPr>
        <w:t xml:space="preserve">conclusions on the enlargement process which contain multiple references to the central importance of the rule of law and the need for candidate countries to focus on and tackle related issues with determination, a determination which is however clearly lacking when it comes to the </w:t>
      </w:r>
      <w:r w:rsidR="008B0F2E">
        <w:rPr>
          <w:rFonts w:cs="Times New Roman"/>
        </w:rPr>
        <w:t xml:space="preserve">current </w:t>
      </w:r>
      <w:r w:rsidRPr="004D0A20">
        <w:rPr>
          <w:rFonts w:cs="Times New Roman"/>
        </w:rPr>
        <w:t xml:space="preserve">EU </w:t>
      </w:r>
      <w:r w:rsidR="008B0F2E">
        <w:rPr>
          <w:rFonts w:cs="Times New Roman"/>
        </w:rPr>
        <w:t>Member States</w:t>
      </w:r>
      <w:r w:rsidRPr="004D0A20">
        <w:rPr>
          <w:rFonts w:cs="Times New Roman"/>
        </w:rPr>
        <w:t xml:space="preserve"> themselves. </w:t>
      </w:r>
    </w:p>
    <w:p w14:paraId="1DF87D6C" w14:textId="77777777" w:rsidR="00F64D9C" w:rsidRPr="004D0A20" w:rsidRDefault="00F64D9C" w:rsidP="007779B6">
      <w:pPr>
        <w:jc w:val="both"/>
        <w:rPr>
          <w:rFonts w:cs="Times New Roman"/>
        </w:rPr>
      </w:pPr>
    </w:p>
    <w:p w14:paraId="60F05500" w14:textId="77777777" w:rsidR="00F64D9C" w:rsidRPr="004D0A20" w:rsidRDefault="00F64D9C" w:rsidP="007779B6">
      <w:pPr>
        <w:jc w:val="both"/>
        <w:rPr>
          <w:rFonts w:cs="Times New Roman"/>
          <w:b/>
        </w:rPr>
      </w:pPr>
      <w:r w:rsidRPr="004D0A20">
        <w:rPr>
          <w:rFonts w:cs="Times New Roman"/>
          <w:b/>
        </w:rPr>
        <w:t>5. The way forward</w:t>
      </w:r>
    </w:p>
    <w:p w14:paraId="7EF9C6C0" w14:textId="77777777" w:rsidR="007779B6" w:rsidRPr="004D0A20" w:rsidRDefault="007779B6" w:rsidP="007779B6">
      <w:pPr>
        <w:jc w:val="both"/>
        <w:rPr>
          <w:rFonts w:cs="Times New Roman"/>
        </w:rPr>
      </w:pPr>
    </w:p>
    <w:p w14:paraId="4F4AA737" w14:textId="77777777" w:rsidR="003205AF" w:rsidRPr="004D0A20" w:rsidRDefault="007779B6" w:rsidP="007779B6">
      <w:pPr>
        <w:jc w:val="both"/>
      </w:pPr>
      <w:r w:rsidRPr="004D0A20">
        <w:rPr>
          <w:rFonts w:cs="Times New Roman"/>
        </w:rPr>
        <w:t xml:space="preserve">In the absence of any realistic prospect of getting the national governments of EU Member States to agree on a fundamental revision of how the EU Treaties organise the internal policing of EU values, we would encourage the European Parliament to endorse the Commission’s </w:t>
      </w:r>
      <w:r w:rsidR="00015542" w:rsidRPr="004D0A20">
        <w:t xml:space="preserve">rule of law framework and </w:t>
      </w:r>
      <w:r w:rsidR="003C1B6B" w:rsidRPr="004D0A20">
        <w:t xml:space="preserve">lend its support to any additional reforms which could </w:t>
      </w:r>
      <w:r w:rsidR="00015542" w:rsidRPr="004D0A20">
        <w:t>make the</w:t>
      </w:r>
      <w:r w:rsidRPr="004D0A20">
        <w:t xml:space="preserve"> ‘pre-Article 7 procedure’ more workable and effective</w:t>
      </w:r>
      <w:r w:rsidR="003C1B6B" w:rsidRPr="004D0A20">
        <w:t>. This would</w:t>
      </w:r>
      <w:r w:rsidR="00015542" w:rsidRPr="004D0A20">
        <w:t xml:space="preserve"> in turn increase its ‘dissuasive’ potential</w:t>
      </w:r>
      <w:r w:rsidR="004D0775">
        <w:t>, a dissuasive effect Article 7 TEU no longer has if it ever had it</w:t>
      </w:r>
      <w:r w:rsidRPr="004D0A20">
        <w:t xml:space="preserve">. </w:t>
      </w:r>
      <w:r w:rsidR="00C72780" w:rsidRPr="004D0A20">
        <w:t>A number of proposals could be made in this regard. I</w:t>
      </w:r>
      <w:r w:rsidRPr="004D0A20">
        <w:t>t is submitted that the Commission should</w:t>
      </w:r>
      <w:r w:rsidR="004D0775">
        <w:t xml:space="preserve"> in particular undertake the following actions</w:t>
      </w:r>
      <w:r w:rsidR="003205AF" w:rsidRPr="004D0A20">
        <w:t>:</w:t>
      </w:r>
    </w:p>
    <w:p w14:paraId="7DFDBF5F" w14:textId="77777777" w:rsidR="003205AF" w:rsidRPr="004D0A20" w:rsidRDefault="003205AF" w:rsidP="007779B6">
      <w:pPr>
        <w:jc w:val="both"/>
      </w:pPr>
    </w:p>
    <w:p w14:paraId="0AA389EA" w14:textId="77777777" w:rsidR="003205AF" w:rsidRPr="004D0A20" w:rsidRDefault="00905CEB" w:rsidP="003205AF">
      <w:pPr>
        <w:pStyle w:val="ListParagraph"/>
        <w:numPr>
          <w:ilvl w:val="0"/>
          <w:numId w:val="28"/>
        </w:numPr>
        <w:jc w:val="both"/>
        <w:rPr>
          <w:rFonts w:cs="Times New Roman"/>
        </w:rPr>
      </w:pPr>
      <w:r w:rsidRPr="004D0A20">
        <w:t>Clarify</w:t>
      </w:r>
      <w:r w:rsidR="007779B6" w:rsidRPr="004D0A20">
        <w:rPr>
          <w:rFonts w:cs="Times New Roman"/>
        </w:rPr>
        <w:t xml:space="preserve"> the concept of ‘systemic threat’ and its relationship with the closely linked but not identical notions of serious threats, systemic violations and systemic deficiencies; </w:t>
      </w:r>
    </w:p>
    <w:p w14:paraId="3EEE86C9" w14:textId="77777777" w:rsidR="003205AF" w:rsidRPr="004D0A20" w:rsidRDefault="00905CEB" w:rsidP="003205AF">
      <w:pPr>
        <w:pStyle w:val="ListParagraph"/>
        <w:numPr>
          <w:ilvl w:val="0"/>
          <w:numId w:val="28"/>
        </w:numPr>
        <w:jc w:val="both"/>
        <w:rPr>
          <w:rFonts w:cs="Times New Roman"/>
        </w:rPr>
      </w:pPr>
      <w:r w:rsidRPr="004D0A20">
        <w:rPr>
          <w:rFonts w:cs="Times New Roman"/>
        </w:rPr>
        <w:t>Adopt</w:t>
      </w:r>
      <w:r w:rsidR="007779B6" w:rsidRPr="004D0A20">
        <w:rPr>
          <w:rFonts w:cs="Times New Roman"/>
        </w:rPr>
        <w:t xml:space="preserve"> pre-define</w:t>
      </w:r>
      <w:r w:rsidR="00C72780" w:rsidRPr="004D0A20">
        <w:rPr>
          <w:rFonts w:cs="Times New Roman"/>
        </w:rPr>
        <w:t xml:space="preserve">d triggering benchmarks; </w:t>
      </w:r>
    </w:p>
    <w:p w14:paraId="5FB5B05F" w14:textId="77777777" w:rsidR="003205AF" w:rsidRPr="004D0A20" w:rsidRDefault="00905CEB" w:rsidP="003205AF">
      <w:pPr>
        <w:pStyle w:val="ListParagraph"/>
        <w:numPr>
          <w:ilvl w:val="0"/>
          <w:numId w:val="28"/>
        </w:numPr>
        <w:jc w:val="both"/>
        <w:rPr>
          <w:rFonts w:cs="Times New Roman"/>
        </w:rPr>
      </w:pPr>
      <w:r w:rsidRPr="004D0A20">
        <w:rPr>
          <w:rFonts w:cs="Times New Roman"/>
        </w:rPr>
        <w:t>Commit</w:t>
      </w:r>
      <w:r w:rsidR="00C72780" w:rsidRPr="004D0A20">
        <w:rPr>
          <w:rFonts w:cs="Times New Roman"/>
        </w:rPr>
        <w:t xml:space="preserve"> itself </w:t>
      </w:r>
      <w:r w:rsidR="007779B6" w:rsidRPr="004D0A20">
        <w:rPr>
          <w:rFonts w:cs="Times New Roman"/>
        </w:rPr>
        <w:t>to systematically investigat</w:t>
      </w:r>
      <w:r w:rsidRPr="004D0A20">
        <w:rPr>
          <w:rFonts w:cs="Times New Roman"/>
        </w:rPr>
        <w:t>ing</w:t>
      </w:r>
      <w:r w:rsidR="007779B6" w:rsidRPr="004D0A20">
        <w:rPr>
          <w:rFonts w:cs="Times New Roman"/>
        </w:rPr>
        <w:t xml:space="preserve"> any Member State refe</w:t>
      </w:r>
      <w:r w:rsidR="00C72780" w:rsidRPr="004D0A20">
        <w:rPr>
          <w:rFonts w:cs="Times New Roman"/>
        </w:rPr>
        <w:t xml:space="preserve">rred to it under the new pre-Article 7 procedure </w:t>
      </w:r>
      <w:r w:rsidR="007779B6" w:rsidRPr="004D0A20">
        <w:rPr>
          <w:rFonts w:cs="Times New Roman"/>
        </w:rPr>
        <w:t xml:space="preserve">by </w:t>
      </w:r>
      <w:r w:rsidR="008E1B23" w:rsidRPr="004D0A20">
        <w:rPr>
          <w:rFonts w:cs="Times New Roman"/>
        </w:rPr>
        <w:t xml:space="preserve">the European Parliament, the </w:t>
      </w:r>
      <w:r w:rsidR="007779B6" w:rsidRPr="004D0A20">
        <w:rPr>
          <w:rFonts w:cs="Times New Roman"/>
        </w:rPr>
        <w:t>FRA</w:t>
      </w:r>
      <w:r w:rsidR="00C72780" w:rsidRPr="004D0A20">
        <w:rPr>
          <w:rFonts w:cs="Times New Roman"/>
        </w:rPr>
        <w:t>, the Venice Commission</w:t>
      </w:r>
      <w:r w:rsidR="007779B6" w:rsidRPr="004D0A20">
        <w:rPr>
          <w:rFonts w:cs="Times New Roman"/>
        </w:rPr>
        <w:t xml:space="preserve"> or any nat</w:t>
      </w:r>
      <w:r w:rsidR="00C72780" w:rsidRPr="004D0A20">
        <w:rPr>
          <w:rFonts w:cs="Times New Roman"/>
        </w:rPr>
        <w:t>ional government or parliament of any EU country</w:t>
      </w:r>
      <w:r w:rsidR="007779B6" w:rsidRPr="004D0A20">
        <w:rPr>
          <w:rFonts w:cs="Times New Roman"/>
        </w:rPr>
        <w:t xml:space="preserve">; </w:t>
      </w:r>
    </w:p>
    <w:p w14:paraId="583C272B" w14:textId="77777777" w:rsidR="003205AF" w:rsidRPr="004D0A20" w:rsidRDefault="00905CEB" w:rsidP="003205AF">
      <w:pPr>
        <w:pStyle w:val="ListParagraph"/>
        <w:numPr>
          <w:ilvl w:val="0"/>
          <w:numId w:val="28"/>
        </w:numPr>
        <w:jc w:val="both"/>
        <w:rPr>
          <w:rFonts w:cs="Times New Roman"/>
        </w:rPr>
      </w:pPr>
      <w:r w:rsidRPr="004D0A20">
        <w:rPr>
          <w:rFonts w:cs="Times New Roman"/>
        </w:rPr>
        <w:t>Justify</w:t>
      </w:r>
      <w:r w:rsidR="007779B6" w:rsidRPr="004D0A20">
        <w:rPr>
          <w:rFonts w:cs="Times New Roman"/>
        </w:rPr>
        <w:t xml:space="preserve"> any decision not to initiate a ‘rule of law dialogue’ when any of the bodies previously mentioned has referred a Member State to its attention; </w:t>
      </w:r>
    </w:p>
    <w:p w14:paraId="16B783BA" w14:textId="77777777" w:rsidR="003205AF" w:rsidRPr="004D0A20" w:rsidRDefault="00905CEB" w:rsidP="00905CEB">
      <w:pPr>
        <w:pStyle w:val="ListParagraph"/>
        <w:numPr>
          <w:ilvl w:val="0"/>
          <w:numId w:val="28"/>
        </w:numPr>
        <w:jc w:val="both"/>
        <w:rPr>
          <w:u w:color="000000"/>
          <w:bdr w:val="nil"/>
        </w:rPr>
      </w:pPr>
      <w:r w:rsidRPr="004D0A20">
        <w:rPr>
          <w:rFonts w:cs="Times New Roman"/>
        </w:rPr>
        <w:t>Publish</w:t>
      </w:r>
      <w:r w:rsidR="007779B6" w:rsidRPr="004D0A20">
        <w:rPr>
          <w:rFonts w:cs="Times New Roman"/>
        </w:rPr>
        <w:t xml:space="preserve"> any ‘rule </w:t>
      </w:r>
      <w:r w:rsidR="004D0775">
        <w:rPr>
          <w:rFonts w:cs="Times New Roman"/>
        </w:rPr>
        <w:t>of law opinion’ it may adopt when the Commission</w:t>
      </w:r>
      <w:r w:rsidR="007779B6" w:rsidRPr="004D0A20">
        <w:rPr>
          <w:rFonts w:cs="Times New Roman"/>
        </w:rPr>
        <w:t xml:space="preserve"> is of the view that </w:t>
      </w:r>
      <w:r w:rsidR="007779B6" w:rsidRPr="004D0A20">
        <w:rPr>
          <w:u w:color="000000"/>
          <w:bdr w:val="nil"/>
        </w:rPr>
        <w:t>there is indeed a situation of systemic threat to the rule of law</w:t>
      </w:r>
      <w:r w:rsidRPr="004D0A20">
        <w:rPr>
          <w:u w:color="000000"/>
          <w:bdr w:val="nil"/>
        </w:rPr>
        <w:t xml:space="preserve"> and </w:t>
      </w:r>
      <w:r w:rsidR="007779B6" w:rsidRPr="004D0A20">
        <w:rPr>
          <w:u w:color="000000"/>
          <w:bdr w:val="nil"/>
        </w:rPr>
        <w:t>any response received from the Member State under investigation;</w:t>
      </w:r>
    </w:p>
    <w:p w14:paraId="194527A7" w14:textId="77777777" w:rsidR="003205AF" w:rsidRPr="004D0A20" w:rsidRDefault="004D0775" w:rsidP="003205AF">
      <w:pPr>
        <w:pStyle w:val="ListParagraph"/>
        <w:numPr>
          <w:ilvl w:val="0"/>
          <w:numId w:val="28"/>
        </w:numPr>
        <w:jc w:val="both"/>
        <w:rPr>
          <w:rStyle w:val="at4"/>
        </w:rPr>
      </w:pPr>
      <w:r>
        <w:rPr>
          <w:u w:color="000000"/>
          <w:bdr w:val="nil"/>
        </w:rPr>
        <w:t xml:space="preserve">Commit itself to triggering </w:t>
      </w:r>
      <w:r w:rsidR="007779B6" w:rsidRPr="004D0A20">
        <w:rPr>
          <w:rStyle w:val="at4"/>
        </w:rPr>
        <w:t>Article 7 TEU in the si</w:t>
      </w:r>
      <w:r w:rsidR="00734B8D">
        <w:rPr>
          <w:rStyle w:val="at4"/>
        </w:rPr>
        <w:t>tuation where its rule of law recommendations</w:t>
      </w:r>
      <w:r w:rsidR="007779B6" w:rsidRPr="004D0A20">
        <w:rPr>
          <w:rStyle w:val="at4"/>
        </w:rPr>
        <w:t xml:space="preserve"> are not satisfactorily implemented within the time limit set</w:t>
      </w:r>
      <w:r w:rsidR="00C72780" w:rsidRPr="004D0A20">
        <w:rPr>
          <w:rStyle w:val="at4"/>
        </w:rPr>
        <w:t>, which should never exceed a period of twelve months</w:t>
      </w:r>
      <w:r w:rsidR="007779B6" w:rsidRPr="004D0A20">
        <w:rPr>
          <w:rStyle w:val="at4"/>
        </w:rPr>
        <w:t xml:space="preserve">. </w:t>
      </w:r>
    </w:p>
    <w:p w14:paraId="0D0EE42C" w14:textId="77777777" w:rsidR="007779B6" w:rsidRPr="004D0A20" w:rsidRDefault="00E7595A" w:rsidP="003205AF">
      <w:pPr>
        <w:pStyle w:val="ListParagraph"/>
        <w:numPr>
          <w:ilvl w:val="0"/>
          <w:numId w:val="28"/>
        </w:numPr>
        <w:jc w:val="both"/>
        <w:rPr>
          <w:rFonts w:cs="Times New Roman"/>
        </w:rPr>
      </w:pPr>
      <w:r w:rsidRPr="004D0A20">
        <w:rPr>
          <w:rStyle w:val="at4"/>
        </w:rPr>
        <w:t xml:space="preserve">Provided that it is indeed possible to work with the Council </w:t>
      </w:r>
      <w:r w:rsidR="00A350E0">
        <w:rPr>
          <w:rStyle w:val="at4"/>
        </w:rPr>
        <w:t>(</w:t>
      </w:r>
      <w:r w:rsidRPr="004D0A20">
        <w:rPr>
          <w:rStyle w:val="at4"/>
        </w:rPr>
        <w:t xml:space="preserve">when all of the evidence currently available points toward a Council </w:t>
      </w:r>
      <w:r w:rsidR="00FC7C77" w:rsidRPr="004D0A20">
        <w:rPr>
          <w:rStyle w:val="at4"/>
        </w:rPr>
        <w:t xml:space="preserve">primarily </w:t>
      </w:r>
      <w:r w:rsidRPr="004D0A20">
        <w:rPr>
          <w:rStyle w:val="at4"/>
        </w:rPr>
        <w:t xml:space="preserve">interested in paying lip service to the need to safeguard </w:t>
      </w:r>
      <w:r w:rsidR="004D0775">
        <w:rPr>
          <w:rStyle w:val="at4"/>
        </w:rPr>
        <w:t>EU values</w:t>
      </w:r>
      <w:r w:rsidR="00A350E0">
        <w:rPr>
          <w:rStyle w:val="at4"/>
        </w:rPr>
        <w:t>)</w:t>
      </w:r>
      <w:r w:rsidRPr="004D0A20">
        <w:rPr>
          <w:rStyle w:val="at4"/>
        </w:rPr>
        <w:t xml:space="preserve">, an inter-institutional </w:t>
      </w:r>
      <w:r w:rsidRPr="004D0A20">
        <w:rPr>
          <w:rStyle w:val="at4"/>
        </w:rPr>
        <w:lastRenderedPageBreak/>
        <w:t xml:space="preserve">agreement should be negotiated to avoid </w:t>
      </w:r>
      <w:r w:rsidR="008C2247" w:rsidRPr="004D0A20">
        <w:rPr>
          <w:rStyle w:val="at4"/>
        </w:rPr>
        <w:t xml:space="preserve">any duplication of efforts and institutional inertia following the adoption of </w:t>
      </w:r>
      <w:r w:rsidR="00FC7C77" w:rsidRPr="004D0A20">
        <w:rPr>
          <w:rStyle w:val="at4"/>
        </w:rPr>
        <w:t>conflicting understandings of what EU institutions may do under the EU Treaties</w:t>
      </w:r>
      <w:r w:rsidR="008C2247" w:rsidRPr="004D0A20">
        <w:rPr>
          <w:rStyle w:val="at4"/>
        </w:rPr>
        <w:t xml:space="preserve">. </w:t>
      </w:r>
    </w:p>
    <w:p w14:paraId="0F542FCC" w14:textId="77777777" w:rsidR="007779B6" w:rsidRPr="004D0A20" w:rsidRDefault="007779B6" w:rsidP="007779B6">
      <w:pPr>
        <w:jc w:val="both"/>
        <w:rPr>
          <w:highlight w:val="yellow"/>
        </w:rPr>
      </w:pPr>
    </w:p>
    <w:p w14:paraId="2BBA6759" w14:textId="77777777" w:rsidR="00146CE7" w:rsidRPr="004D0A20" w:rsidRDefault="007779B6" w:rsidP="007779B6">
      <w:pPr>
        <w:jc w:val="both"/>
      </w:pPr>
      <w:r w:rsidRPr="004D0A20">
        <w:t>In parallel or indeed, regardless of the lack of consensus amongst national governments on the C</w:t>
      </w:r>
      <w:r w:rsidR="00C72780" w:rsidRPr="004D0A20">
        <w:t>ommission’s rule of law framework</w:t>
      </w:r>
      <w:r w:rsidRPr="004D0A20">
        <w:t xml:space="preserve">, a number of </w:t>
      </w:r>
      <w:r w:rsidR="00C72780" w:rsidRPr="004D0A20">
        <w:t xml:space="preserve">additional, more </w:t>
      </w:r>
      <w:r w:rsidRPr="004D0A20">
        <w:t xml:space="preserve">practical reforms could also be </w:t>
      </w:r>
      <w:r w:rsidR="003205AF" w:rsidRPr="004D0A20">
        <w:t>implemented</w:t>
      </w:r>
      <w:r w:rsidR="001F4A5F">
        <w:t xml:space="preserve"> in the short term</w:t>
      </w:r>
      <w:r w:rsidRPr="004D0A20">
        <w:t xml:space="preserve">. </w:t>
      </w:r>
      <w:r w:rsidR="00C72780" w:rsidRPr="004D0A20">
        <w:t>It would be pa</w:t>
      </w:r>
      <w:r w:rsidR="003205AF" w:rsidRPr="004D0A20">
        <w:t xml:space="preserve">rticularly helpful </w:t>
      </w:r>
      <w:r w:rsidR="00C72780" w:rsidRPr="004D0A20">
        <w:t xml:space="preserve">for the </w:t>
      </w:r>
      <w:r w:rsidRPr="004D0A20">
        <w:t>Com</w:t>
      </w:r>
      <w:r w:rsidR="00C72780" w:rsidRPr="004D0A20">
        <w:t xml:space="preserve">mission </w:t>
      </w:r>
      <w:r w:rsidRPr="004D0A20">
        <w:t xml:space="preserve">to centralise and make public any rule of law related report published by EU </w:t>
      </w:r>
      <w:r w:rsidR="00D8292E">
        <w:t xml:space="preserve">and non-EU bodies on a dedicated page of its </w:t>
      </w:r>
      <w:r w:rsidRPr="004D0A20">
        <w:t xml:space="preserve">website, and seek to publish a rule of law </w:t>
      </w:r>
      <w:r w:rsidR="00D8292E">
        <w:t xml:space="preserve">ranking of </w:t>
      </w:r>
      <w:r w:rsidRPr="004D0A20">
        <w:t xml:space="preserve">EU </w:t>
      </w:r>
      <w:r w:rsidR="00D8292E">
        <w:t>countries</w:t>
      </w:r>
      <w:r w:rsidRPr="004D0A20">
        <w:t xml:space="preserve"> which could reflect and bring together the many indexes and other scoreboards which have developed by governmental and non-governmenta</w:t>
      </w:r>
      <w:r w:rsidR="003205AF" w:rsidRPr="004D0A20">
        <w:t xml:space="preserve">l organisations over the years. </w:t>
      </w:r>
      <w:r w:rsidRPr="004D0A20">
        <w:t xml:space="preserve">Additional resources should </w:t>
      </w:r>
      <w:r w:rsidR="003205AF" w:rsidRPr="004D0A20">
        <w:t xml:space="preserve">also </w:t>
      </w:r>
      <w:r w:rsidRPr="004D0A20">
        <w:t xml:space="preserve">be allocated to ‘infringement teams’ and we would finally advise setting up special ‘infringement task forces’ with respect to any Member State whose compliance with Article 2 TEU is being questioned by any of the institutions and networks mentioned in the Commission’s Communication. </w:t>
      </w:r>
    </w:p>
    <w:p w14:paraId="291B8AB0" w14:textId="77777777" w:rsidR="00F64D9C" w:rsidRPr="004D0A20" w:rsidRDefault="00F64D9C" w:rsidP="00A47028">
      <w:pPr>
        <w:widowControl w:val="0"/>
        <w:autoSpaceDE w:val="0"/>
        <w:autoSpaceDN w:val="0"/>
        <w:adjustRightInd w:val="0"/>
        <w:ind w:firstLine="720"/>
        <w:jc w:val="both"/>
        <w:rPr>
          <w:rFonts w:cs="∑~E'D8ˇølæ—"/>
        </w:rPr>
      </w:pPr>
      <w:r w:rsidRPr="004D0A20">
        <w:t xml:space="preserve">Last but not least, the Commission would remain faithful to its raison d’être by lending its unqualified support to many of the useful suggestions made by the European Parliament these past few years. Let us briefly recall for instance that in </w:t>
      </w:r>
      <w:r w:rsidRPr="004D0A20">
        <w:rPr>
          <w:rFonts w:cs="Times New Roman"/>
          <w:szCs w:val="23"/>
        </w:rPr>
        <w:t xml:space="preserve">2012, it was the European Parliament which first suggested the monitoring of EU countries within the framework of </w:t>
      </w:r>
      <w:r w:rsidR="00B070B4">
        <w:rPr>
          <w:rFonts w:cs="∑~E'D8ˇølæ—"/>
        </w:rPr>
        <w:t>a new ‘</w:t>
      </w:r>
      <w:r w:rsidRPr="004D0A20">
        <w:rPr>
          <w:rFonts w:cs="∑~E'D8ˇølæ—"/>
        </w:rPr>
        <w:t xml:space="preserve">fundamental rights policy cycle’, which would involve </w:t>
      </w:r>
      <w:r w:rsidR="00B070B4">
        <w:rPr>
          <w:rFonts w:cs="∑~E'D8ˇølæ—"/>
        </w:rPr>
        <w:t xml:space="preserve">every year </w:t>
      </w:r>
      <w:r w:rsidRPr="004D0A20">
        <w:rPr>
          <w:rFonts w:cs="∑~E'D8ˇølæ—"/>
        </w:rPr>
        <w:t>‘</w:t>
      </w:r>
      <w:r w:rsidRPr="004D0A20">
        <w:t>the various fundamental rights actors within the EU structure’, i.e.,</w:t>
      </w:r>
      <w:r w:rsidR="00A47028" w:rsidRPr="004D0A20">
        <w:rPr>
          <w:rFonts w:cs="∑~E'D8ˇølæ—"/>
        </w:rPr>
        <w:t xml:space="preserve"> EU institutions, the </w:t>
      </w:r>
      <w:r w:rsidRPr="004D0A20">
        <w:rPr>
          <w:rFonts w:cs="∑~E'D8ˇølæ—"/>
        </w:rPr>
        <w:t>FRA and EU Member States</w:t>
      </w:r>
      <w:r w:rsidR="00A350E0">
        <w:rPr>
          <w:rFonts w:cs="∑~E'D8ˇølæ—"/>
        </w:rPr>
        <w:t>,</w:t>
      </w:r>
      <w:r w:rsidRPr="004D0A20">
        <w:rPr>
          <w:rFonts w:cs="∑~E'D8ˇølæ—"/>
        </w:rPr>
        <w:t xml:space="preserve"> with joint </w:t>
      </w:r>
      <w:r w:rsidRPr="004D0A20">
        <w:t xml:space="preserve">measures and events </w:t>
      </w:r>
      <w:r w:rsidR="00B070B4">
        <w:t xml:space="preserve">to be organised with </w:t>
      </w:r>
      <w:r w:rsidRPr="004D0A20">
        <w:t>NGOs, citizens and national parliaments</w:t>
      </w:r>
      <w:r w:rsidRPr="004D0A20">
        <w:rPr>
          <w:rFonts w:cs="∑~E'D8ˇølæ—"/>
        </w:rPr>
        <w:t>.</w:t>
      </w:r>
      <w:r w:rsidRPr="004D0A20">
        <w:rPr>
          <w:rStyle w:val="FootnoteReference"/>
          <w:rFonts w:cs="∑~E'D8ˇølæ—"/>
          <w:sz w:val="24"/>
        </w:rPr>
        <w:footnoteReference w:id="102"/>
      </w:r>
      <w:r w:rsidRPr="004D0A20">
        <w:rPr>
          <w:rFonts w:cs="∑~E'D8ˇølæ—"/>
        </w:rPr>
        <w:t xml:space="preserve"> </w:t>
      </w:r>
      <w:r w:rsidRPr="004D0A20">
        <w:t xml:space="preserve">The enhancement of the mandate of </w:t>
      </w:r>
      <w:r w:rsidR="00A47028" w:rsidRPr="004D0A20">
        <w:t xml:space="preserve">the </w:t>
      </w:r>
      <w:r w:rsidRPr="004D0A20">
        <w:t>FRA</w:t>
      </w:r>
      <w:r w:rsidR="00B070B4">
        <w:t xml:space="preserve">, with the view of enabling it to conduct </w:t>
      </w:r>
      <w:r w:rsidRPr="004D0A20">
        <w:t>regular monitoring of Member States’ compliance with Article 2 TEU</w:t>
      </w:r>
      <w:r w:rsidR="00B070B4">
        <w:t>,</w:t>
      </w:r>
      <w:r w:rsidRPr="004D0A20">
        <w:t xml:space="preserve"> has also been regularly called for.</w:t>
      </w:r>
      <w:r w:rsidRPr="004D0A20">
        <w:rPr>
          <w:rStyle w:val="FootnoteReference"/>
          <w:sz w:val="24"/>
        </w:rPr>
        <w:footnoteReference w:id="103"/>
      </w:r>
      <w:r w:rsidR="00905CEB" w:rsidRPr="004D0A20">
        <w:rPr>
          <w:rFonts w:cs="∑~E'D8ˇølæ—"/>
        </w:rPr>
        <w:t xml:space="preserve"> </w:t>
      </w:r>
      <w:r w:rsidRPr="004D0A20">
        <w:rPr>
          <w:rFonts w:cs="˜}E'68ﬁˇølæ—"/>
        </w:rPr>
        <w:t xml:space="preserve">In 2014, the European Parliament went further and called for the urgent establishment of </w:t>
      </w:r>
      <w:r w:rsidRPr="004D0A20">
        <w:rPr>
          <w:rFonts w:cs="Arial"/>
          <w:szCs w:val="23"/>
        </w:rPr>
        <w:t>a ‘new Copenhagen mechanis</w:t>
      </w:r>
      <w:r w:rsidR="00B070B4">
        <w:rPr>
          <w:rFonts w:cs="Arial"/>
          <w:szCs w:val="23"/>
        </w:rPr>
        <w:t xml:space="preserve">m’ with the aim of ensuring </w:t>
      </w:r>
      <w:r w:rsidRPr="004D0A20">
        <w:rPr>
          <w:rFonts w:cs="Arial"/>
          <w:szCs w:val="23"/>
        </w:rPr>
        <w:t xml:space="preserve">that </w:t>
      </w:r>
      <w:r w:rsidR="00B070B4">
        <w:rPr>
          <w:rFonts w:cs="Arial"/>
          <w:szCs w:val="23"/>
        </w:rPr>
        <w:t>EU values as well as the fundamental rights laid down in the EU Charter ‘</w:t>
      </w:r>
      <w:r w:rsidRPr="004D0A20">
        <w:rPr>
          <w:rFonts w:cs="Arial"/>
          <w:szCs w:val="23"/>
        </w:rPr>
        <w:t>are respected, protected and promoted.’</w:t>
      </w:r>
      <w:r w:rsidRPr="004D0A20">
        <w:rPr>
          <w:rStyle w:val="FootnoteReference"/>
          <w:rFonts w:cs="˜}E'68ﬁˇølæ—"/>
          <w:sz w:val="24"/>
        </w:rPr>
        <w:footnoteReference w:id="104"/>
      </w:r>
      <w:r w:rsidRPr="004D0A20">
        <w:rPr>
          <w:rFonts w:cs="Arial"/>
          <w:szCs w:val="23"/>
        </w:rPr>
        <w:t xml:space="preserve"> It was further</w:t>
      </w:r>
      <w:r w:rsidR="00905CEB" w:rsidRPr="004D0A20">
        <w:rPr>
          <w:rFonts w:cs="Arial"/>
          <w:szCs w:val="23"/>
        </w:rPr>
        <w:t xml:space="preserve"> suggested that this mechanism</w:t>
      </w:r>
      <w:r w:rsidRPr="004D0A20">
        <w:rPr>
          <w:rFonts w:cs="Arial"/>
          <w:szCs w:val="23"/>
        </w:rPr>
        <w:t xml:space="preserve"> should complement the policy cycle on the application of Article 2 TEU in the indivi</w:t>
      </w:r>
      <w:r w:rsidR="00905CEB" w:rsidRPr="004D0A20">
        <w:rPr>
          <w:rFonts w:cs="Arial"/>
          <w:szCs w:val="23"/>
        </w:rPr>
        <w:t>dual EU Member States</w:t>
      </w:r>
      <w:r w:rsidRPr="004D0A20">
        <w:rPr>
          <w:rFonts w:cs="Arial"/>
          <w:szCs w:val="23"/>
        </w:rPr>
        <w:t xml:space="preserve"> mentioned above. A ‘Copenhagen commission’, to be composed of independent high-level experts on fundamental rights</w:t>
      </w:r>
      <w:r w:rsidR="00905CEB" w:rsidRPr="004D0A20">
        <w:rPr>
          <w:rFonts w:cs="Arial"/>
          <w:szCs w:val="23"/>
        </w:rPr>
        <w:t xml:space="preserve">, was also </w:t>
      </w:r>
      <w:r w:rsidRPr="004D0A20">
        <w:rPr>
          <w:rFonts w:cs="Arial"/>
          <w:szCs w:val="23"/>
        </w:rPr>
        <w:t xml:space="preserve">suggested. </w:t>
      </w:r>
    </w:p>
    <w:p w14:paraId="20A4551C" w14:textId="77777777" w:rsidR="00146CE7" w:rsidRPr="004D0A20" w:rsidRDefault="00F64D9C" w:rsidP="00A47028">
      <w:pPr>
        <w:widowControl w:val="0"/>
        <w:autoSpaceDE w:val="0"/>
        <w:autoSpaceDN w:val="0"/>
        <w:adjustRightInd w:val="0"/>
        <w:ind w:firstLine="720"/>
        <w:jc w:val="both"/>
        <w:rPr>
          <w:rFonts w:cs="Times New Roman"/>
        </w:rPr>
      </w:pPr>
      <w:r w:rsidRPr="004D0A20">
        <w:t>Most recently, the</w:t>
      </w:r>
      <w:r w:rsidRPr="004D0A20">
        <w:rPr>
          <w:rFonts w:cs="Arial"/>
          <w:szCs w:val="28"/>
        </w:rPr>
        <w:t xml:space="preserve"> Liberal group in the European Parliament (ALDE) mad</w:t>
      </w:r>
      <w:r w:rsidR="00905CEB" w:rsidRPr="004D0A20">
        <w:rPr>
          <w:rFonts w:cs="Arial"/>
          <w:szCs w:val="28"/>
        </w:rPr>
        <w:t>e a welcome contribution to the</w:t>
      </w:r>
      <w:r w:rsidRPr="004D0A20">
        <w:rPr>
          <w:rFonts w:cs="Arial"/>
          <w:szCs w:val="28"/>
        </w:rPr>
        <w:t xml:space="preserve"> debate by putting forward an ‘EU Democratic Governance Pact’</w:t>
      </w:r>
      <w:r w:rsidRPr="004D0A20">
        <w:t xml:space="preserve"> modelled on the Stability and Growth Pact</w:t>
      </w:r>
      <w:r w:rsidR="00B070B4">
        <w:t xml:space="preserve"> (SGP)</w:t>
      </w:r>
      <w:r w:rsidRPr="004D0A20">
        <w:t xml:space="preserve"> for the Euro area</w:t>
      </w:r>
      <w:r w:rsidR="00B070B4">
        <w:rPr>
          <w:rFonts w:cs="Arial"/>
          <w:szCs w:val="28"/>
        </w:rPr>
        <w:t>,</w:t>
      </w:r>
      <w:r w:rsidRPr="004D0A20">
        <w:rPr>
          <w:rStyle w:val="FootnoteReference"/>
          <w:rFonts w:cs="Arial"/>
          <w:sz w:val="24"/>
          <w:szCs w:val="28"/>
        </w:rPr>
        <w:footnoteReference w:id="105"/>
      </w:r>
      <w:r w:rsidRPr="004D0A20">
        <w:rPr>
          <w:rFonts w:cs="Arial"/>
          <w:szCs w:val="28"/>
        </w:rPr>
        <w:t xml:space="preserve"> </w:t>
      </w:r>
      <w:r w:rsidR="00B070B4">
        <w:rPr>
          <w:rFonts w:cs="Arial"/>
          <w:szCs w:val="28"/>
        </w:rPr>
        <w:t xml:space="preserve">which, considering the SGP’s poor record when it comes to sanctioning countries having breached its terms, may </w:t>
      </w:r>
      <w:r w:rsidR="00B070B4" w:rsidRPr="004D0A20">
        <w:rPr>
          <w:rFonts w:cs="Arial"/>
          <w:szCs w:val="28"/>
        </w:rPr>
        <w:t xml:space="preserve">perhaps not </w:t>
      </w:r>
      <w:r w:rsidR="00B070B4">
        <w:rPr>
          <w:rFonts w:cs="Arial"/>
          <w:szCs w:val="28"/>
        </w:rPr>
        <w:t xml:space="preserve">be </w:t>
      </w:r>
      <w:r w:rsidR="00B070B4" w:rsidRPr="004D0A20">
        <w:rPr>
          <w:rFonts w:cs="Arial"/>
          <w:szCs w:val="28"/>
        </w:rPr>
        <w:t>the best model to follow</w:t>
      </w:r>
      <w:r w:rsidRPr="004D0A20">
        <w:rPr>
          <w:rFonts w:cs="Arial"/>
          <w:szCs w:val="28"/>
        </w:rPr>
        <w:t xml:space="preserve">. </w:t>
      </w:r>
      <w:r w:rsidRPr="004D0A20">
        <w:rPr>
          <w:rFonts w:cs="Times New Roman"/>
        </w:rPr>
        <w:t>In any event, rightly noting that the EU cannot be credible or have moral authority if it is unable to uphold its own standards</w:t>
      </w:r>
      <w:r w:rsidR="00C1748C">
        <w:rPr>
          <w:rFonts w:cs="Times New Roman"/>
        </w:rPr>
        <w:t xml:space="preserve"> ‘at home’</w:t>
      </w:r>
      <w:r w:rsidRPr="004D0A20">
        <w:rPr>
          <w:rFonts w:cs="Times New Roman"/>
        </w:rPr>
        <w:t>, the</w:t>
      </w:r>
      <w:r w:rsidR="00905CEB" w:rsidRPr="004D0A20">
        <w:rPr>
          <w:rFonts w:cs="Times New Roman"/>
        </w:rPr>
        <w:t xml:space="preserve"> proposal put forward by ALDE contains </w:t>
      </w:r>
      <w:r w:rsidRPr="004D0A20">
        <w:rPr>
          <w:rFonts w:cs="Times New Roman"/>
        </w:rPr>
        <w:t xml:space="preserve">a useful set of suggestions, most of which would </w:t>
      </w:r>
      <w:r w:rsidR="00C1748C">
        <w:rPr>
          <w:rFonts w:cs="Times New Roman"/>
        </w:rPr>
        <w:t>having the additional advantage of requiring</w:t>
      </w:r>
      <w:r w:rsidRPr="004D0A20">
        <w:rPr>
          <w:rFonts w:cs="Times New Roman"/>
        </w:rPr>
        <w:t xml:space="preserve"> legislative but not Treaty change</w:t>
      </w:r>
      <w:r w:rsidR="00C1748C">
        <w:rPr>
          <w:rFonts w:cs="Times New Roman"/>
        </w:rPr>
        <w:t>. One may for instance mention the idea of a European</w:t>
      </w:r>
      <w:r w:rsidRPr="004D0A20">
        <w:rPr>
          <w:rFonts w:cs="Times New Roman"/>
          <w:szCs w:val="32"/>
        </w:rPr>
        <w:t xml:space="preserve"> Scoreboard for Democracy, Rule of Law and Fundamental Rights</w:t>
      </w:r>
      <w:r w:rsidR="00C1748C">
        <w:rPr>
          <w:rFonts w:cs="Times New Roman"/>
          <w:szCs w:val="32"/>
        </w:rPr>
        <w:t>. This new monitoring tool</w:t>
      </w:r>
      <w:r w:rsidRPr="004D0A20">
        <w:rPr>
          <w:rFonts w:cs="Times New Roman"/>
          <w:szCs w:val="32"/>
        </w:rPr>
        <w:t xml:space="preserve"> would regularly measure concrete adherence to EU’s values on the basis of a series of indicators </w:t>
      </w:r>
      <w:r w:rsidR="00C1748C">
        <w:rPr>
          <w:rFonts w:cs="Times New Roman"/>
          <w:szCs w:val="32"/>
        </w:rPr>
        <w:t xml:space="preserve">developed and </w:t>
      </w:r>
      <w:r w:rsidR="00C1748C">
        <w:rPr>
          <w:rFonts w:cs="Times New Roman"/>
          <w:szCs w:val="32"/>
        </w:rPr>
        <w:lastRenderedPageBreak/>
        <w:t>measures by the</w:t>
      </w:r>
      <w:r w:rsidRPr="004D0A20">
        <w:rPr>
          <w:rFonts w:cs="Times New Roman"/>
          <w:szCs w:val="32"/>
        </w:rPr>
        <w:t xml:space="preserve"> FRA, within the framework of a new ‘European Semester’</w:t>
      </w:r>
      <w:r w:rsidRPr="004D0A20">
        <w:rPr>
          <w:rStyle w:val="FootnoteReference"/>
          <w:rFonts w:cs="Verdana"/>
          <w:sz w:val="24"/>
        </w:rPr>
        <w:footnoteReference w:id="106"/>
      </w:r>
      <w:r w:rsidRPr="004D0A20">
        <w:rPr>
          <w:rFonts w:cs="Times New Roman"/>
          <w:szCs w:val="32"/>
        </w:rPr>
        <w:t xml:space="preserve"> </w:t>
      </w:r>
      <w:r w:rsidR="003C1B6B" w:rsidRPr="004D0A20">
        <w:rPr>
          <w:rFonts w:cs="Times New Roman"/>
          <w:szCs w:val="32"/>
        </w:rPr>
        <w:t>modelled</w:t>
      </w:r>
      <w:r w:rsidRPr="004D0A20">
        <w:rPr>
          <w:rFonts w:cs="Times New Roman"/>
          <w:szCs w:val="32"/>
        </w:rPr>
        <w:t xml:space="preserve"> on the</w:t>
      </w:r>
      <w:r w:rsidRPr="004D0A20">
        <w:rPr>
          <w:rFonts w:cs="Times New Roman"/>
        </w:rPr>
        <w:t xml:space="preserve"> existing </w:t>
      </w:r>
      <w:r w:rsidR="00C1748C" w:rsidRPr="004D0A20">
        <w:rPr>
          <w:rFonts w:cs="Times New Roman"/>
        </w:rPr>
        <w:t>mechanism that</w:t>
      </w:r>
      <w:r w:rsidRPr="004D0A20">
        <w:rPr>
          <w:rFonts w:cs="Times New Roman"/>
        </w:rPr>
        <w:t xml:space="preserve"> has been developed to measure economic governance in the EU.</w:t>
      </w:r>
      <w:r w:rsidRPr="004D0A20">
        <w:rPr>
          <w:rFonts w:cs="Arial"/>
          <w:szCs w:val="28"/>
        </w:rPr>
        <w:t xml:space="preserve"> </w:t>
      </w:r>
      <w:r w:rsidRPr="004D0A20">
        <w:t>A number of valua</w:t>
      </w:r>
      <w:r w:rsidR="003C1B6B" w:rsidRPr="004D0A20">
        <w:t>ble</w:t>
      </w:r>
      <w:r w:rsidR="00A350E0">
        <w:t xml:space="preserve"> </w:t>
      </w:r>
      <w:r w:rsidRPr="004D0A20">
        <w:t xml:space="preserve">proposals to amend the European Treaties </w:t>
      </w:r>
      <w:r w:rsidR="00957DBC">
        <w:t>have also been made</w:t>
      </w:r>
      <w:r w:rsidRPr="004D0A20">
        <w:t>: (</w:t>
      </w:r>
      <w:proofErr w:type="spellStart"/>
      <w:r w:rsidRPr="004D0A20">
        <w:t>i</w:t>
      </w:r>
      <w:proofErr w:type="spellEnd"/>
      <w:r w:rsidRPr="004D0A20">
        <w:t xml:space="preserve">) the creation of a new judicial remedy which would allow the Commission to bring an enforcement action against any relevant EU country on the sole basis of Article 2 TEU; (ii) a revision of the text of Article 7 TEU with lower voting thresholds and a set of </w:t>
      </w:r>
      <w:r w:rsidRPr="004D0A20">
        <w:rPr>
          <w:rFonts w:cs="Times New Roman"/>
        </w:rPr>
        <w:t>clearer and wider range of penalties; (iii) the inclusion of a reference to the FRA in the Treaties, to make it possible to amend the</w:t>
      </w:r>
      <w:r w:rsidR="00905CEB" w:rsidRPr="004D0A20">
        <w:rPr>
          <w:rFonts w:cs="Times New Roman"/>
        </w:rPr>
        <w:t xml:space="preserve"> </w:t>
      </w:r>
      <w:r w:rsidRPr="004D0A20">
        <w:rPr>
          <w:rFonts w:cs="Times New Roman"/>
        </w:rPr>
        <w:t>Agency’s founding regulation not by unanimity as is currently the case but via the ordinary legislative procedure</w:t>
      </w:r>
      <w:r w:rsidR="00957DBC">
        <w:rPr>
          <w:rFonts w:cs="Times New Roman"/>
        </w:rPr>
        <w:t>;</w:t>
      </w:r>
      <w:r w:rsidRPr="004D0A20">
        <w:rPr>
          <w:rFonts w:cs="Times New Roman"/>
        </w:rPr>
        <w:t xml:space="preserve"> and (iv), to offer each national parliament t</w:t>
      </w:r>
      <w:r w:rsidR="00957DBC">
        <w:rPr>
          <w:rFonts w:cs="Times New Roman"/>
        </w:rPr>
        <w:t>he right t</w:t>
      </w:r>
      <w:r w:rsidRPr="004D0A20">
        <w:rPr>
          <w:rFonts w:cs="Times New Roman"/>
        </w:rPr>
        <w:t>o refer a draft national law to the C</w:t>
      </w:r>
      <w:r w:rsidR="00957DBC">
        <w:rPr>
          <w:rFonts w:cs="Times New Roman"/>
        </w:rPr>
        <w:t>ourt of Justice</w:t>
      </w:r>
      <w:r w:rsidRPr="004D0A20">
        <w:rPr>
          <w:rFonts w:cs="Times New Roman"/>
        </w:rPr>
        <w:t xml:space="preserve"> for an opinion on its compliance with the Treaties and the Charter of Fundamental Rights.</w:t>
      </w:r>
      <w:r w:rsidR="00905CEB" w:rsidRPr="004D0A20">
        <w:rPr>
          <w:rFonts w:cs="Times New Roman"/>
        </w:rPr>
        <w:t xml:space="preserve"> We fully support each and every</w:t>
      </w:r>
      <w:r w:rsidR="003C1B6B" w:rsidRPr="004D0A20">
        <w:rPr>
          <w:rFonts w:cs="Times New Roman"/>
        </w:rPr>
        <w:t xml:space="preserve"> </w:t>
      </w:r>
      <w:r w:rsidR="00905CEB" w:rsidRPr="004D0A20">
        <w:rPr>
          <w:rFonts w:cs="Times New Roman"/>
        </w:rPr>
        <w:t>one of</w:t>
      </w:r>
      <w:r w:rsidR="00957DBC">
        <w:rPr>
          <w:rFonts w:cs="Times New Roman"/>
        </w:rPr>
        <w:t xml:space="preserve"> these proposals</w:t>
      </w:r>
      <w:r w:rsidR="00905CEB" w:rsidRPr="004D0A20">
        <w:rPr>
          <w:rFonts w:cs="Times New Roman"/>
        </w:rPr>
        <w:t xml:space="preserve">. </w:t>
      </w:r>
    </w:p>
    <w:p w14:paraId="5B61DE79" w14:textId="77777777" w:rsidR="007779B6" w:rsidRPr="004D0A20" w:rsidRDefault="007779B6" w:rsidP="007779B6">
      <w:pPr>
        <w:jc w:val="both"/>
      </w:pPr>
    </w:p>
    <w:p w14:paraId="54A0B6DA" w14:textId="77777777" w:rsidR="007779B6" w:rsidRPr="004D0A20" w:rsidRDefault="008F4CE3" w:rsidP="007779B6">
      <w:pPr>
        <w:jc w:val="both"/>
        <w:rPr>
          <w:b/>
        </w:rPr>
      </w:pPr>
      <w:r w:rsidRPr="004D0A20">
        <w:rPr>
          <w:b/>
        </w:rPr>
        <w:t>6. Conclusion</w:t>
      </w:r>
    </w:p>
    <w:p w14:paraId="34939C71" w14:textId="77777777" w:rsidR="007779B6" w:rsidRPr="004D0A20" w:rsidRDefault="007779B6" w:rsidP="007779B6">
      <w:pPr>
        <w:jc w:val="both"/>
      </w:pPr>
    </w:p>
    <w:p w14:paraId="1DE56D53" w14:textId="77777777" w:rsidR="003C1B6B" w:rsidRPr="004D0A20" w:rsidRDefault="00967D76" w:rsidP="008E5C2B">
      <w:pPr>
        <w:jc w:val="both"/>
      </w:pPr>
      <w:r w:rsidRPr="004D0A20">
        <w:t xml:space="preserve">This article first submitted that the Commission was correct when it </w:t>
      </w:r>
      <w:r w:rsidR="002A28DC" w:rsidRPr="004D0A20">
        <w:t>noted</w:t>
      </w:r>
      <w:r w:rsidR="00C24288">
        <w:t xml:space="preserve"> in its rule of law C</w:t>
      </w:r>
      <w:r w:rsidRPr="004D0A20">
        <w:t xml:space="preserve">ommunication from March 2014 that it </w:t>
      </w:r>
      <w:r w:rsidR="002A28DC" w:rsidRPr="004D0A20">
        <w:t xml:space="preserve">lacked effective enforcement instruments when it came to monitoring and eventually sanctioning individual EU </w:t>
      </w:r>
      <w:r w:rsidR="00C24288">
        <w:t>countries</w:t>
      </w:r>
      <w:r w:rsidR="008D5E6A" w:rsidRPr="004D0A20">
        <w:t>’</w:t>
      </w:r>
      <w:r w:rsidR="002A28DC" w:rsidRPr="004D0A20">
        <w:t xml:space="preserve"> adherence to EU values. </w:t>
      </w:r>
      <w:r w:rsidR="008339E3" w:rsidRPr="004D0A20">
        <w:t xml:space="preserve">It was further submitted that </w:t>
      </w:r>
      <w:r w:rsidR="008339E3" w:rsidRPr="004D0A20">
        <w:rPr>
          <w:rFonts w:cs="Times New Roman"/>
        </w:rPr>
        <w:t>given the overwhelming level of political, legal and economic interdependence between the EU Member States, the principles of mutual trust and mutual recognition of judgments which under</w:t>
      </w:r>
      <w:r w:rsidR="007C3D60">
        <w:rPr>
          <w:rFonts w:cs="Times New Roman"/>
        </w:rPr>
        <w:t>lie</w:t>
      </w:r>
      <w:r w:rsidR="008339E3" w:rsidRPr="004D0A20">
        <w:rPr>
          <w:rFonts w:cs="Times New Roman"/>
        </w:rPr>
        <w:t xml:space="preserve"> the EU’s Area of Freedom, Security and Jus</w:t>
      </w:r>
      <w:r w:rsidR="007C3D60">
        <w:rPr>
          <w:rFonts w:cs="Times New Roman"/>
        </w:rPr>
        <w:t>tice as a whole, the Commission has</w:t>
      </w:r>
      <w:r w:rsidR="008339E3" w:rsidRPr="004D0A20">
        <w:rPr>
          <w:rFonts w:cs="Times New Roman"/>
        </w:rPr>
        <w:t xml:space="preserve"> fulfilled its duty as Guardian of the Treaties by putting forward a new framework that would make Article 2 TEU more operational in practice.</w:t>
      </w:r>
      <w:r w:rsidR="00563444" w:rsidRPr="004D0A20">
        <w:rPr>
          <w:rFonts w:cs="Times New Roman"/>
        </w:rPr>
        <w:t xml:space="preserve"> What has been described as a ‘pre-Article 7 TEU procedure’ </w:t>
      </w:r>
      <w:r w:rsidR="00C24288">
        <w:rPr>
          <w:rFonts w:cs="Times New Roman"/>
        </w:rPr>
        <w:t xml:space="preserve">also </w:t>
      </w:r>
      <w:r w:rsidR="00563444" w:rsidRPr="004D0A20">
        <w:rPr>
          <w:rFonts w:cs="Times New Roman"/>
        </w:rPr>
        <w:t xml:space="preserve">offers a number of positive </w:t>
      </w:r>
      <w:r w:rsidR="005A3526" w:rsidRPr="004D0A20">
        <w:rPr>
          <w:rFonts w:cs="Times New Roman"/>
        </w:rPr>
        <w:t xml:space="preserve">features: </w:t>
      </w:r>
      <w:r w:rsidR="005A3526" w:rsidRPr="004D0A20">
        <w:t xml:space="preserve">it provides a satisfactory and workable definition of the rule of law and partially addresses the innate limitations of Article 7 TEU. </w:t>
      </w:r>
      <w:r w:rsidR="005A3526" w:rsidRPr="004D0A20">
        <w:rPr>
          <w:rFonts w:cs="Times New Roman"/>
        </w:rPr>
        <w:t xml:space="preserve">It is however unlikely to effectively address the diagnosis it aimed to remedy mostly because of the soft and diplomatic nature of the procedure </w:t>
      </w:r>
      <w:r w:rsidR="00C24288">
        <w:rPr>
          <w:rFonts w:cs="Times New Roman"/>
        </w:rPr>
        <w:t>adopted by the Commission</w:t>
      </w:r>
      <w:r w:rsidR="005A3526" w:rsidRPr="004D0A20">
        <w:rPr>
          <w:rFonts w:cs="Times New Roman"/>
        </w:rPr>
        <w:t xml:space="preserve">. </w:t>
      </w:r>
      <w:r w:rsidR="00F12514" w:rsidRPr="004D0A20">
        <w:t xml:space="preserve">In other words, </w:t>
      </w:r>
      <w:r w:rsidR="00C24288">
        <w:t xml:space="preserve">one may reasonably expect any </w:t>
      </w:r>
      <w:r w:rsidR="00F12514" w:rsidRPr="004D0A20">
        <w:t xml:space="preserve">ideologically illiberal </w:t>
      </w:r>
      <w:r w:rsidR="00C24288">
        <w:t xml:space="preserve">national government to </w:t>
      </w:r>
      <w:r w:rsidR="00F12514" w:rsidRPr="004D0A20">
        <w:t xml:space="preserve">misuse the new procedure to delay the possible recourse to the parts of Article 7 </w:t>
      </w:r>
      <w:r w:rsidR="007C3D60" w:rsidRPr="004D0A20">
        <w:t>TEU that</w:t>
      </w:r>
      <w:r w:rsidR="00F12514" w:rsidRPr="004D0A20">
        <w:t xml:space="preserve"> bite. Thus, instead of being solved, the pro</w:t>
      </w:r>
      <w:r w:rsidR="00C24288">
        <w:t xml:space="preserve">blem of non-compliance with the EU </w:t>
      </w:r>
      <w:r w:rsidR="00F12514" w:rsidRPr="004D0A20">
        <w:t xml:space="preserve">values </w:t>
      </w:r>
      <w:r w:rsidR="00C24288">
        <w:t>laid down in</w:t>
      </w:r>
      <w:r w:rsidR="00F12514" w:rsidRPr="004D0A20">
        <w:t xml:space="preserve"> Article 2 TEU could even be exacerbated as a result. </w:t>
      </w:r>
    </w:p>
    <w:p w14:paraId="059FCD91" w14:textId="77777777" w:rsidR="008E5C2B" w:rsidRPr="004D0A20" w:rsidRDefault="005A3526" w:rsidP="003C1B6B">
      <w:pPr>
        <w:ind w:firstLine="720"/>
        <w:jc w:val="both"/>
      </w:pPr>
      <w:r w:rsidRPr="004D0A20">
        <w:rPr>
          <w:rFonts w:cs="Times New Roman"/>
        </w:rPr>
        <w:t>Notwithstanding its doubtful effectiveness</w:t>
      </w:r>
      <w:r w:rsidR="00C24288">
        <w:rPr>
          <w:rFonts w:cs="Times New Roman"/>
        </w:rPr>
        <w:t xml:space="preserve"> and the Commission’s questionable resolve in making use of its rule of law framework</w:t>
      </w:r>
      <w:r w:rsidRPr="004D0A20">
        <w:rPr>
          <w:rFonts w:cs="Times New Roman"/>
        </w:rPr>
        <w:t xml:space="preserve">, the Commission’s solution is far more preferable </w:t>
      </w:r>
      <w:r w:rsidR="00326253">
        <w:rPr>
          <w:rFonts w:cs="Times New Roman"/>
        </w:rPr>
        <w:t xml:space="preserve">to </w:t>
      </w:r>
      <w:r w:rsidRPr="004D0A20">
        <w:rPr>
          <w:rFonts w:cs="Times New Roman"/>
        </w:rPr>
        <w:t xml:space="preserve">the Council’s alternative </w:t>
      </w:r>
      <w:r w:rsidR="00326253" w:rsidRPr="004D0A20">
        <w:rPr>
          <w:rFonts w:cs="Times New Roman"/>
        </w:rPr>
        <w:t>answer</w:t>
      </w:r>
      <w:r w:rsidRPr="004D0A20">
        <w:rPr>
          <w:rFonts w:cs="Times New Roman"/>
        </w:rPr>
        <w:t xml:space="preserve"> </w:t>
      </w:r>
      <w:r w:rsidR="00326253">
        <w:rPr>
          <w:rFonts w:cs="Times New Roman"/>
        </w:rPr>
        <w:t xml:space="preserve">to organise an annual rule of law dialogue, </w:t>
      </w:r>
      <w:r w:rsidRPr="004D0A20">
        <w:rPr>
          <w:rFonts w:cs="Times New Roman"/>
        </w:rPr>
        <w:t xml:space="preserve">which demonstrates the Council’s continuing preference for rhetoric over action. As for the arguments raised against the Commission’s pre-Article 7 procedure, </w:t>
      </w:r>
      <w:r w:rsidR="008339E3" w:rsidRPr="004D0A20">
        <w:rPr>
          <w:rFonts w:cs="Times New Roman"/>
        </w:rPr>
        <w:t>and in particular the allegation that the Commission in doing so breached the principle of conferred powers</w:t>
      </w:r>
      <w:r w:rsidRPr="004D0A20">
        <w:rPr>
          <w:rFonts w:cs="Times New Roman"/>
        </w:rPr>
        <w:t>, they are</w:t>
      </w:r>
      <w:r w:rsidR="008339E3" w:rsidRPr="004D0A20">
        <w:rPr>
          <w:rFonts w:cs="Times New Roman"/>
        </w:rPr>
        <w:t xml:space="preserve"> not persuasive</w:t>
      </w:r>
      <w:r w:rsidR="007C3D60">
        <w:rPr>
          <w:rFonts w:cs="Times New Roman"/>
        </w:rPr>
        <w:t>.</w:t>
      </w:r>
      <w:r w:rsidRPr="004D0A20">
        <w:rPr>
          <w:rFonts w:cs="Times New Roman"/>
        </w:rPr>
        <w:t xml:space="preserve"> </w:t>
      </w:r>
      <w:r w:rsidR="007C3D60">
        <w:rPr>
          <w:rFonts w:cs="Times New Roman"/>
        </w:rPr>
        <w:t xml:space="preserve">Any criticism coming from an institution such as the Council which has proved clearly unable </w:t>
      </w:r>
      <w:r w:rsidR="00326253">
        <w:rPr>
          <w:rFonts w:cs="Times New Roman"/>
        </w:rPr>
        <w:t xml:space="preserve">to confront its members’ obvious </w:t>
      </w:r>
      <w:r w:rsidRPr="004D0A20">
        <w:rPr>
          <w:rFonts w:cs="Times New Roman"/>
        </w:rPr>
        <w:t xml:space="preserve">failings </w:t>
      </w:r>
      <w:r w:rsidR="00F12514" w:rsidRPr="004D0A20">
        <w:rPr>
          <w:rFonts w:cs="Times New Roman"/>
        </w:rPr>
        <w:t xml:space="preserve">when it comes to </w:t>
      </w:r>
      <w:r w:rsidR="00326253">
        <w:rPr>
          <w:rFonts w:cs="Times New Roman"/>
        </w:rPr>
        <w:t xml:space="preserve">respect with </w:t>
      </w:r>
      <w:r w:rsidR="00F12514" w:rsidRPr="004D0A20">
        <w:rPr>
          <w:rFonts w:cs="Times New Roman"/>
        </w:rPr>
        <w:t>EU values</w:t>
      </w:r>
      <w:r w:rsidR="007C3D60">
        <w:rPr>
          <w:rFonts w:cs="Times New Roman"/>
        </w:rPr>
        <w:t xml:space="preserve"> should be taken with a pinch of salt</w:t>
      </w:r>
      <w:r w:rsidR="00601AC4">
        <w:rPr>
          <w:rFonts w:cs="Times New Roman"/>
        </w:rPr>
        <w:t xml:space="preserve">. This is not to say that the Commission itself should </w:t>
      </w:r>
      <w:r w:rsidR="00F12514" w:rsidRPr="004D0A20">
        <w:rPr>
          <w:rFonts w:cs="Times New Roman"/>
        </w:rPr>
        <w:t xml:space="preserve">be spared </w:t>
      </w:r>
      <w:r w:rsidR="00601AC4">
        <w:rPr>
          <w:rFonts w:cs="Times New Roman"/>
        </w:rPr>
        <w:t xml:space="preserve">from any </w:t>
      </w:r>
      <w:r w:rsidR="008E5C2B" w:rsidRPr="004D0A20">
        <w:rPr>
          <w:rFonts w:cs="Times New Roman"/>
        </w:rPr>
        <w:t xml:space="preserve">criticism </w:t>
      </w:r>
      <w:r w:rsidR="00F12514" w:rsidRPr="004D0A20">
        <w:rPr>
          <w:rFonts w:cs="Times New Roman"/>
        </w:rPr>
        <w:t xml:space="preserve">in this regard. </w:t>
      </w:r>
      <w:r w:rsidR="00326253">
        <w:rPr>
          <w:rFonts w:cs="Times New Roman"/>
        </w:rPr>
        <w:t xml:space="preserve">Indeed, while we </w:t>
      </w:r>
      <w:r w:rsidR="00601AC4">
        <w:rPr>
          <w:rFonts w:cs="Times New Roman"/>
        </w:rPr>
        <w:t xml:space="preserve">wholeheartedly welcome </w:t>
      </w:r>
      <w:proofErr w:type="spellStart"/>
      <w:r w:rsidR="008E5C2B" w:rsidRPr="004D0A20">
        <w:rPr>
          <w:rFonts w:cs="Times New Roman"/>
        </w:rPr>
        <w:t>Frans</w:t>
      </w:r>
      <w:proofErr w:type="spellEnd"/>
      <w:r w:rsidR="008E5C2B" w:rsidRPr="004D0A20">
        <w:rPr>
          <w:rFonts w:cs="Times New Roman"/>
        </w:rPr>
        <w:t xml:space="preserve"> Timmermans’ </w:t>
      </w:r>
      <w:r w:rsidR="00326253">
        <w:rPr>
          <w:rFonts w:cs="Times New Roman"/>
        </w:rPr>
        <w:t xml:space="preserve">clarification that </w:t>
      </w:r>
      <w:r w:rsidR="008E5C2B" w:rsidRPr="004D0A20">
        <w:rPr>
          <w:rFonts w:cs="Times New Roman"/>
        </w:rPr>
        <w:t>‘t</w:t>
      </w:r>
      <w:r w:rsidR="008E5C2B" w:rsidRPr="004D0A20">
        <w:rPr>
          <w:rFonts w:cs="Verdana"/>
          <w:szCs w:val="26"/>
        </w:rPr>
        <w:t>here is no such thing as an illiberal democrac</w:t>
      </w:r>
      <w:r w:rsidR="00067820" w:rsidRPr="004D0A20">
        <w:rPr>
          <w:rFonts w:cs="Verdana"/>
          <w:szCs w:val="26"/>
        </w:rPr>
        <w:t xml:space="preserve">y’ and </w:t>
      </w:r>
      <w:r w:rsidR="00601AC4">
        <w:rPr>
          <w:rFonts w:cs="Verdana"/>
          <w:szCs w:val="26"/>
        </w:rPr>
        <w:t xml:space="preserve">his renewed </w:t>
      </w:r>
      <w:r w:rsidR="002D3244">
        <w:rPr>
          <w:rFonts w:cs="Verdana"/>
          <w:szCs w:val="26"/>
        </w:rPr>
        <w:t xml:space="preserve">commitment </w:t>
      </w:r>
      <w:r w:rsidR="008E5C2B" w:rsidRPr="004D0A20">
        <w:rPr>
          <w:rFonts w:cs="Verdana"/>
          <w:szCs w:val="26"/>
        </w:rPr>
        <w:t>‘to use the [pre-Article 7 TEU] Framework</w:t>
      </w:r>
      <w:r w:rsidR="00067820" w:rsidRPr="004D0A20">
        <w:rPr>
          <w:rFonts w:cs="Verdana"/>
          <w:szCs w:val="26"/>
        </w:rPr>
        <w:t>’</w:t>
      </w:r>
      <w:r w:rsidR="00067820" w:rsidRPr="004D0A20">
        <w:rPr>
          <w:rStyle w:val="FootnoteReference"/>
          <w:rFonts w:cs="Verdana"/>
          <w:bCs/>
          <w:sz w:val="24"/>
          <w:szCs w:val="32"/>
        </w:rPr>
        <w:footnoteReference w:id="107"/>
      </w:r>
      <w:r w:rsidR="008E5C2B" w:rsidRPr="004D0A20">
        <w:rPr>
          <w:rFonts w:cs="Verdana"/>
          <w:szCs w:val="26"/>
        </w:rPr>
        <w:t xml:space="preserve"> </w:t>
      </w:r>
      <w:r w:rsidR="00067820" w:rsidRPr="004D0A20">
        <w:rPr>
          <w:rFonts w:cs="Verdana"/>
          <w:szCs w:val="26"/>
        </w:rPr>
        <w:t xml:space="preserve">should the situation </w:t>
      </w:r>
      <w:r w:rsidR="008E5C2B" w:rsidRPr="004D0A20">
        <w:rPr>
          <w:rFonts w:cs="Verdana"/>
          <w:szCs w:val="26"/>
        </w:rPr>
        <w:t>in a</w:t>
      </w:r>
      <w:r w:rsidR="002D3244">
        <w:rPr>
          <w:rFonts w:cs="Verdana"/>
          <w:szCs w:val="26"/>
        </w:rPr>
        <w:t>ny</w:t>
      </w:r>
      <w:r w:rsidR="008E5C2B" w:rsidRPr="004D0A20">
        <w:rPr>
          <w:rFonts w:cs="Verdana"/>
          <w:szCs w:val="26"/>
        </w:rPr>
        <w:t xml:space="preserve"> Member State</w:t>
      </w:r>
      <w:r w:rsidR="00067820" w:rsidRPr="004D0A20">
        <w:rPr>
          <w:rFonts w:cs="Verdana"/>
          <w:szCs w:val="26"/>
        </w:rPr>
        <w:t xml:space="preserve"> require it</w:t>
      </w:r>
      <w:r w:rsidR="00326253">
        <w:rPr>
          <w:rFonts w:cs="Verdana"/>
          <w:szCs w:val="26"/>
        </w:rPr>
        <w:t>, t</w:t>
      </w:r>
      <w:r w:rsidR="00F02A65" w:rsidRPr="004D0A20">
        <w:rPr>
          <w:rFonts w:cs="Verdana"/>
          <w:szCs w:val="26"/>
        </w:rPr>
        <w:t xml:space="preserve">he time has come </w:t>
      </w:r>
      <w:r w:rsidR="008E5C2B" w:rsidRPr="004D0A20">
        <w:rPr>
          <w:rFonts w:cs="Verdana"/>
          <w:szCs w:val="26"/>
        </w:rPr>
        <w:t xml:space="preserve">for </w:t>
      </w:r>
      <w:r w:rsidR="008E5C2B" w:rsidRPr="004D0A20">
        <w:rPr>
          <w:rFonts w:cs="Verdana"/>
          <w:szCs w:val="26"/>
        </w:rPr>
        <w:lastRenderedPageBreak/>
        <w:t xml:space="preserve">the Commissioner </w:t>
      </w:r>
      <w:r w:rsidR="008E5C2B" w:rsidRPr="004D0A20">
        <w:t xml:space="preserve">in charge of the Rule of Law to stop talking the talk and start walking the walk. </w:t>
      </w:r>
    </w:p>
    <w:p w14:paraId="5E9DE0EE" w14:textId="77777777" w:rsidR="007779B6" w:rsidRPr="004D0A20" w:rsidRDefault="007779B6" w:rsidP="007779B6">
      <w:pPr>
        <w:jc w:val="both"/>
      </w:pPr>
    </w:p>
    <w:p w14:paraId="69CAFF92" w14:textId="77777777" w:rsidR="007779B6" w:rsidRPr="004D0A20" w:rsidRDefault="007779B6" w:rsidP="007779B6">
      <w:pPr>
        <w:pStyle w:val="5Normal"/>
        <w:spacing w:after="0"/>
        <w:rPr>
          <w:rFonts w:ascii="Times New Roman" w:hAnsi="Times New Roman"/>
          <w:lang w:val="en-GB"/>
        </w:rPr>
      </w:pPr>
    </w:p>
    <w:p w14:paraId="2BBB8092" w14:textId="77777777" w:rsidR="007779B6" w:rsidRPr="004D0A20" w:rsidRDefault="007779B6" w:rsidP="007779B6"/>
    <w:p w14:paraId="53403688" w14:textId="77777777" w:rsidR="008B3CF5" w:rsidRPr="004D0A20" w:rsidRDefault="008B3CF5"/>
    <w:sectPr w:rsidR="008B3CF5" w:rsidRPr="004D0A20" w:rsidSect="00203B40">
      <w:headerReference w:type="even" r:id="rId8"/>
      <w:headerReference w:type="default" r:id="rId9"/>
      <w:pgSz w:w="11900" w:h="16840"/>
      <w:pgMar w:top="1440" w:right="1552" w:bottom="1440" w:left="156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48C15" w14:textId="77777777" w:rsidR="00D81AEA" w:rsidRDefault="00D81AEA" w:rsidP="001B5A84">
      <w:r>
        <w:separator/>
      </w:r>
    </w:p>
  </w:endnote>
  <w:endnote w:type="continuationSeparator" w:id="0">
    <w:p w14:paraId="73794089" w14:textId="77777777" w:rsidR="00D81AEA" w:rsidRDefault="00D81AEA" w:rsidP="001B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EC Square Sans Pro Medium">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Geneva">
    <w:panose1 w:val="020B0503030404040204"/>
    <w:charset w:val="00"/>
    <w:family w:val="auto"/>
    <w:pitch w:val="variable"/>
    <w:sig w:usb0="E00002FF" w:usb1="5200205F" w:usb2="00A0C000" w:usb3="00000000" w:csb0="0000019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E'D8ˇølæ—">
    <w:altName w:val="Cambria"/>
    <w:panose1 w:val="00000000000000000000"/>
    <w:charset w:val="4D"/>
    <w:family w:val="auto"/>
    <w:notTrueType/>
    <w:pitch w:val="default"/>
    <w:sig w:usb0="00000003" w:usb1="00000000" w:usb2="00000000" w:usb3="00000000" w:csb0="00000001" w:csb1="00000000"/>
  </w:font>
  <w:font w:name="˜}E'68ﬁˇølæ—">
    <w:altName w:val="Cambria"/>
    <w:panose1 w:val="00000000000000000000"/>
    <w:charset w:val="4D"/>
    <w:family w:val="auto"/>
    <w:notTrueType/>
    <w:pitch w:val="default"/>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5F484" w14:textId="77777777" w:rsidR="00D81AEA" w:rsidRDefault="00D81AEA" w:rsidP="001B5A84">
      <w:r>
        <w:separator/>
      </w:r>
    </w:p>
  </w:footnote>
  <w:footnote w:type="continuationSeparator" w:id="0">
    <w:p w14:paraId="3539FB7B" w14:textId="77777777" w:rsidR="00D81AEA" w:rsidRDefault="00D81AEA" w:rsidP="001B5A84">
      <w:r>
        <w:continuationSeparator/>
      </w:r>
    </w:p>
  </w:footnote>
  <w:footnote w:id="1">
    <w:p w14:paraId="26677CD6"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t>*</w:t>
      </w:r>
      <w:r w:rsidRPr="00DA7DAC">
        <w:rPr>
          <w:sz w:val="20"/>
        </w:rPr>
        <w:t xml:space="preserve"> Professor of EU Constitutional Law, Groningen; Visiting Professor and LAPA Fellow (2015-2016), Princeton University.</w:t>
      </w:r>
    </w:p>
  </w:footnote>
  <w:footnote w:id="2">
    <w:p w14:paraId="6B2CE5AC"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t>**</w:t>
      </w:r>
      <w:r w:rsidRPr="00DA7DAC">
        <w:rPr>
          <w:sz w:val="20"/>
        </w:rPr>
        <w:t xml:space="preserve"> </w:t>
      </w:r>
      <w:r w:rsidRPr="00DA7DAC">
        <w:rPr>
          <w:i/>
          <w:sz w:val="20"/>
        </w:rPr>
        <w:t>Jean Monnet</w:t>
      </w:r>
      <w:r w:rsidRPr="00DA7DAC">
        <w:rPr>
          <w:sz w:val="20"/>
        </w:rPr>
        <w:t xml:space="preserve"> Professor of EU Public Law, Middlesex University London.</w:t>
      </w:r>
    </w:p>
  </w:footnote>
  <w:footnote w:id="3">
    <w:p w14:paraId="3473DFB6" w14:textId="77777777" w:rsidR="00DE5B47" w:rsidRPr="00DA7DAC" w:rsidRDefault="00DE5B47" w:rsidP="0041419C">
      <w:pPr>
        <w:jc w:val="both"/>
        <w:rPr>
          <w:sz w:val="20"/>
        </w:rPr>
      </w:pPr>
      <w:r w:rsidRPr="00DA7DAC">
        <w:rPr>
          <w:rStyle w:val="FootnoteReference"/>
          <w:sz w:val="20"/>
        </w:rPr>
        <w:footnoteRef/>
      </w:r>
      <w:r w:rsidRPr="00DA7DAC">
        <w:rPr>
          <w:sz w:val="20"/>
        </w:rPr>
        <w:t xml:space="preserve"> Opinion 2/13, </w:t>
      </w:r>
      <w:r w:rsidRPr="00DA7DAC">
        <w:rPr>
          <w:i/>
          <w:sz w:val="20"/>
        </w:rPr>
        <w:t>Accession of the EU to the European Convention for the Protection of Human Rights and Fundamental Freedoms</w:t>
      </w:r>
      <w:r w:rsidRPr="00DA7DAC">
        <w:rPr>
          <w:sz w:val="20"/>
        </w:rPr>
        <w:t xml:space="preserve">, para. 168. </w:t>
      </w:r>
    </w:p>
  </w:footnote>
  <w:footnote w:id="4">
    <w:p w14:paraId="5C5A1611" w14:textId="77777777" w:rsidR="00DE5B47" w:rsidRPr="00DA7DAC" w:rsidRDefault="00DE5B47" w:rsidP="00400F3A">
      <w:pPr>
        <w:jc w:val="both"/>
        <w:rPr>
          <w:sz w:val="20"/>
        </w:rPr>
      </w:pPr>
      <w:r w:rsidRPr="00DA7DAC">
        <w:rPr>
          <w:rStyle w:val="FootnoteReference"/>
          <w:sz w:val="20"/>
        </w:rPr>
        <w:footnoteRef/>
      </w:r>
      <w:r w:rsidRPr="00DA7DAC">
        <w:rPr>
          <w:rFonts w:cs="Georgia"/>
          <w:sz w:val="20"/>
        </w:rPr>
        <w:t xml:space="preserve"> </w:t>
      </w:r>
      <w:r w:rsidRPr="00DA7DAC">
        <w:rPr>
          <w:rFonts w:cs="Times"/>
          <w:color w:val="262626"/>
          <w:sz w:val="20"/>
          <w:szCs w:val="72"/>
          <w:lang w:val="en-US"/>
        </w:rPr>
        <w:t xml:space="preserve">I. </w:t>
      </w:r>
      <w:proofErr w:type="spellStart"/>
      <w:r w:rsidRPr="00DA7DAC">
        <w:rPr>
          <w:rFonts w:cs="Times"/>
          <w:color w:val="262626"/>
          <w:sz w:val="20"/>
          <w:szCs w:val="72"/>
          <w:lang w:val="en-US"/>
        </w:rPr>
        <w:t>Traynor</w:t>
      </w:r>
      <w:proofErr w:type="spellEnd"/>
      <w:r w:rsidRPr="00DA7DAC">
        <w:rPr>
          <w:rFonts w:cs="Times"/>
          <w:color w:val="262626"/>
          <w:sz w:val="20"/>
          <w:szCs w:val="72"/>
          <w:lang w:val="en-US"/>
        </w:rPr>
        <w:t xml:space="preserve">, ‘Hungary PM: bring back death penalty and build work camps for immigrants’, </w:t>
      </w:r>
      <w:r w:rsidRPr="00DA7DAC">
        <w:rPr>
          <w:rFonts w:cs="Times"/>
          <w:i/>
          <w:color w:val="262626"/>
          <w:sz w:val="20"/>
          <w:szCs w:val="72"/>
          <w:lang w:val="en-US"/>
        </w:rPr>
        <w:t>The Guardian</w:t>
      </w:r>
      <w:r w:rsidRPr="00DA7DAC">
        <w:rPr>
          <w:rFonts w:cs="Times"/>
          <w:color w:val="262626"/>
          <w:sz w:val="20"/>
          <w:szCs w:val="72"/>
          <w:lang w:val="en-US"/>
        </w:rPr>
        <w:t>, 29 April 2015</w:t>
      </w:r>
      <w:r w:rsidRPr="00DA7DAC">
        <w:rPr>
          <w:rFonts w:cs="Georgia"/>
          <w:sz w:val="20"/>
        </w:rPr>
        <w:t>.</w:t>
      </w:r>
    </w:p>
  </w:footnote>
  <w:footnote w:id="5">
    <w:p w14:paraId="070D78EC"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Art. 2 TEU: ‘The Union is founded on the values of respect for human dignity, freedom, democracy, equality, the rule of law and respect for human rights …’</w:t>
      </w:r>
    </w:p>
  </w:footnote>
  <w:footnote w:id="6">
    <w:p w14:paraId="2AE4BB0B"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See e.g. J</w:t>
      </w:r>
      <w:r w:rsidRPr="00DA7DAC">
        <w:rPr>
          <w:rFonts w:cs="Times New Roman"/>
          <w:sz w:val="20"/>
          <w:szCs w:val="20"/>
        </w:rPr>
        <w:t>.</w:t>
      </w:r>
      <w:r w:rsidRPr="00DA7DAC">
        <w:rPr>
          <w:rStyle w:val="FootnoteReference"/>
          <w:rFonts w:cs="Times New Roman"/>
          <w:sz w:val="20"/>
          <w:szCs w:val="20"/>
          <w:vertAlign w:val="baseline"/>
        </w:rPr>
        <w:t>M. Barroso, State of the Union 2012 Address, European Parliament, 12 September 2012, Speech/12/596</w:t>
      </w:r>
      <w:r w:rsidRPr="00DA7DAC">
        <w:rPr>
          <w:rFonts w:cs="Times New Roman"/>
          <w:sz w:val="20"/>
          <w:szCs w:val="20"/>
        </w:rPr>
        <w:t>.</w:t>
      </w:r>
    </w:p>
  </w:footnote>
  <w:footnote w:id="7">
    <w:p w14:paraId="23E86F83"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European Commission Communication, </w:t>
      </w:r>
      <w:r w:rsidRPr="00DA7DAC">
        <w:rPr>
          <w:rStyle w:val="FootnoteReference"/>
          <w:rFonts w:cs="Times New Roman"/>
          <w:i/>
          <w:sz w:val="20"/>
          <w:szCs w:val="20"/>
          <w:vertAlign w:val="baseline"/>
        </w:rPr>
        <w:t>A new EU Framework to strengthen the Rule of Law</w:t>
      </w:r>
      <w:r w:rsidRPr="00DA7DAC">
        <w:rPr>
          <w:rStyle w:val="FootnoteReference"/>
          <w:rFonts w:cs="Times New Roman"/>
          <w:sz w:val="20"/>
          <w:szCs w:val="20"/>
          <w:vertAlign w:val="baseline"/>
        </w:rPr>
        <w:t xml:space="preserve">, COM(2014) 158 Final, 11 March 2014. </w:t>
      </w:r>
    </w:p>
  </w:footnote>
  <w:footnote w:id="8">
    <w:p w14:paraId="270AB840"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Ibid</w:t>
      </w:r>
      <w:r w:rsidRPr="00DA7DAC">
        <w:rPr>
          <w:rFonts w:cs="Times New Roman"/>
          <w:sz w:val="20"/>
          <w:szCs w:val="20"/>
        </w:rPr>
        <w:t>., p.</w:t>
      </w:r>
      <w:r w:rsidRPr="00DA7DAC">
        <w:rPr>
          <w:rStyle w:val="FootnoteReference"/>
          <w:rFonts w:cs="Times New Roman"/>
          <w:sz w:val="20"/>
          <w:szCs w:val="20"/>
          <w:vertAlign w:val="baseline"/>
        </w:rPr>
        <w:t xml:space="preserve"> 3.</w:t>
      </w:r>
    </w:p>
  </w:footnote>
  <w:footnote w:id="9">
    <w:p w14:paraId="614B49E9"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One should note in passing that the Commission does not </w:t>
      </w:r>
      <w:r>
        <w:rPr>
          <w:sz w:val="20"/>
        </w:rPr>
        <w:t xml:space="preserve">address </w:t>
      </w:r>
      <w:r w:rsidRPr="00DA7DAC">
        <w:rPr>
          <w:sz w:val="20"/>
        </w:rPr>
        <w:t xml:space="preserve">the situation of the Union itself </w:t>
      </w:r>
      <w:r w:rsidRPr="00DA7DAC">
        <w:rPr>
          <w:i/>
          <w:sz w:val="20"/>
        </w:rPr>
        <w:t xml:space="preserve">vis-à-vis </w:t>
      </w:r>
      <w:r>
        <w:rPr>
          <w:sz w:val="20"/>
        </w:rPr>
        <w:t>the rule of law</w:t>
      </w:r>
      <w:r w:rsidRPr="00DA7DAC">
        <w:rPr>
          <w:sz w:val="20"/>
        </w:rPr>
        <w:t>. This is not to say that all is well in the best of all possible worlds as far as the EU is concerned. For a</w:t>
      </w:r>
      <w:r>
        <w:rPr>
          <w:sz w:val="20"/>
        </w:rPr>
        <w:t xml:space="preserve"> ‘rule of law audit’ of its</w:t>
      </w:r>
      <w:r w:rsidRPr="00DA7DAC">
        <w:rPr>
          <w:sz w:val="20"/>
        </w:rPr>
        <w:t xml:space="preserve"> constitutional framework, see L. Pech, ‘‘A Union Founded on the Rule of Law’: Meaning and Reality of the Rule of Law as a Constitutional Principle of EU Law’, 6 </w:t>
      </w:r>
      <w:r w:rsidRPr="00DA7DAC">
        <w:rPr>
          <w:i/>
          <w:sz w:val="20"/>
        </w:rPr>
        <w:t>EUConst</w:t>
      </w:r>
      <w:r w:rsidRPr="00DA7DAC">
        <w:rPr>
          <w:sz w:val="20"/>
        </w:rPr>
        <w:t xml:space="preserve"> (2010) p. 359. Some of the EU’s most important policies can also be sharply criticised on this ground. See e.g. </w:t>
      </w:r>
      <w:r w:rsidRPr="00DA7DAC">
        <w:rPr>
          <w:sz w:val="20"/>
          <w:lang w:val="en-US"/>
        </w:rPr>
        <w:t>C. Kilpatrick</w:t>
      </w:r>
      <w:r w:rsidRPr="00DA7DAC">
        <w:rPr>
          <w:sz w:val="20"/>
          <w:szCs w:val="40"/>
          <w:lang w:val="en-US"/>
        </w:rPr>
        <w:t>, ‘On the Rule of Law and Economic Emergency: The Degradation of Basic Legal Values in Europe’s Bailouts’</w:t>
      </w:r>
      <w:r w:rsidRPr="00DA7DAC">
        <w:rPr>
          <w:sz w:val="20"/>
          <w:lang w:val="en-US"/>
        </w:rPr>
        <w:t xml:space="preserve">, 35(2) </w:t>
      </w:r>
      <w:r w:rsidRPr="00DA7DAC">
        <w:rPr>
          <w:i/>
          <w:sz w:val="20"/>
          <w:szCs w:val="18"/>
          <w:lang w:val="en-US"/>
        </w:rPr>
        <w:t>OJLS</w:t>
      </w:r>
      <w:r w:rsidRPr="00DA7DAC">
        <w:rPr>
          <w:sz w:val="20"/>
          <w:szCs w:val="18"/>
          <w:lang w:val="en-US"/>
        </w:rPr>
        <w:t xml:space="preserve"> </w:t>
      </w:r>
      <w:r w:rsidRPr="00DA7DAC">
        <w:rPr>
          <w:sz w:val="20"/>
          <w:lang w:val="en-US"/>
        </w:rPr>
        <w:t>(2015)</w:t>
      </w:r>
      <w:r>
        <w:rPr>
          <w:sz w:val="20"/>
          <w:lang w:val="en-US"/>
        </w:rPr>
        <w:t xml:space="preserve"> </w:t>
      </w:r>
      <w:r w:rsidRPr="00DA7DAC">
        <w:rPr>
          <w:sz w:val="20"/>
          <w:szCs w:val="18"/>
          <w:lang w:val="en-US"/>
        </w:rPr>
        <w:t xml:space="preserve">325. </w:t>
      </w:r>
      <w:r w:rsidRPr="00DA7DAC">
        <w:rPr>
          <w:sz w:val="20"/>
        </w:rPr>
        <w:t>The EU’s own adherence to the rule of law will be one of the main themes covered by a forthcoming book edited by C. Closa and D. Kochenov</w:t>
      </w:r>
      <w:r>
        <w:rPr>
          <w:sz w:val="20"/>
        </w:rPr>
        <w:t xml:space="preserve"> (eds.)</w:t>
      </w:r>
      <w:r w:rsidRPr="00DA7DAC">
        <w:rPr>
          <w:sz w:val="20"/>
        </w:rPr>
        <w:t xml:space="preserve">, </w:t>
      </w:r>
      <w:r w:rsidRPr="00DA7DAC">
        <w:rPr>
          <w:i/>
          <w:sz w:val="20"/>
        </w:rPr>
        <w:t>Reinforcing Rule of Law Oversight in the European Union</w:t>
      </w:r>
      <w:r w:rsidRPr="00DA7DAC">
        <w:rPr>
          <w:sz w:val="20"/>
        </w:rPr>
        <w:t xml:space="preserve"> (Cambridge University Press 2015).</w:t>
      </w:r>
    </w:p>
  </w:footnote>
  <w:footnote w:id="10">
    <w:p w14:paraId="205F679B"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Answers to the European Parliament, Questionnaire to the Commissioner-Designate </w:t>
      </w:r>
      <w:proofErr w:type="spellStart"/>
      <w:r w:rsidRPr="00DA7DAC">
        <w:rPr>
          <w:rStyle w:val="FootnoteReference"/>
          <w:rFonts w:cs="Times New Roman"/>
          <w:sz w:val="20"/>
          <w:szCs w:val="20"/>
          <w:vertAlign w:val="baseline"/>
        </w:rPr>
        <w:t>Frans</w:t>
      </w:r>
      <w:proofErr w:type="spellEnd"/>
      <w:r w:rsidRPr="00DA7DAC">
        <w:rPr>
          <w:rStyle w:val="FootnoteReference"/>
          <w:rFonts w:cs="Times New Roman"/>
          <w:sz w:val="20"/>
          <w:szCs w:val="20"/>
          <w:vertAlign w:val="baseline"/>
        </w:rPr>
        <w:t xml:space="preserve"> Timmermans, Question 6: &lt;</w:t>
      </w:r>
      <w:hyperlink r:id="rId1" w:history="1">
        <w:r w:rsidRPr="00DA7DAC">
          <w:rPr>
            <w:rStyle w:val="FootnoteReference"/>
            <w:rFonts w:cs="Times New Roman"/>
            <w:sz w:val="20"/>
            <w:szCs w:val="20"/>
            <w:vertAlign w:val="baseline"/>
          </w:rPr>
          <w:t>ec.europa.eu/about/juncker-commission/docs/2014-ep-hearings-reply-timmermans_en.pdf</w:t>
        </w:r>
      </w:hyperlink>
      <w:r w:rsidRPr="00DA7DAC">
        <w:rPr>
          <w:sz w:val="20"/>
        </w:rPr>
        <w:t>&gt;</w:t>
      </w:r>
      <w:r w:rsidRPr="00DA7DAC">
        <w:rPr>
          <w:rFonts w:cs="Times New Roman"/>
          <w:sz w:val="20"/>
          <w:szCs w:val="20"/>
        </w:rPr>
        <w:t xml:space="preserve">. </w:t>
      </w:r>
    </w:p>
  </w:footnote>
  <w:footnote w:id="11">
    <w:p w14:paraId="071677BC" w14:textId="77777777" w:rsidR="00DE5B47" w:rsidRPr="00DA7DAC" w:rsidRDefault="00DE5B47" w:rsidP="0041419C">
      <w:pPr>
        <w:pStyle w:val="FootnoteText"/>
        <w:spacing w:before="0" w:line="240" w:lineRule="auto"/>
        <w:ind w:left="0" w:firstLine="0"/>
        <w:rPr>
          <w:sz w:val="20"/>
        </w:rPr>
      </w:pPr>
      <w:r w:rsidRPr="00DA7DAC">
        <w:rPr>
          <w:rStyle w:val="FootnoteReference"/>
          <w:sz w:val="20"/>
        </w:rPr>
        <w:footnoteRef/>
      </w:r>
      <w:r w:rsidRPr="00DA7DAC">
        <w:rPr>
          <w:sz w:val="20"/>
        </w:rPr>
        <w:t xml:space="preserve"> </w:t>
      </w:r>
      <w:r w:rsidRPr="00DA7DAC">
        <w:rPr>
          <w:rFonts w:cs="Times"/>
          <w:sz w:val="20"/>
          <w:szCs w:val="26"/>
          <w:u w:color="262626"/>
        </w:rPr>
        <w:t xml:space="preserve">Council of the EU, Press release no. </w:t>
      </w:r>
      <w:r w:rsidRPr="00DA7DAC">
        <w:rPr>
          <w:sz w:val="20"/>
          <w:szCs w:val="23"/>
        </w:rPr>
        <w:t>16936/14</w:t>
      </w:r>
      <w:r w:rsidRPr="00DA7DAC">
        <w:rPr>
          <w:rFonts w:cs="Times"/>
          <w:sz w:val="20"/>
          <w:szCs w:val="26"/>
          <w:u w:color="262626"/>
        </w:rPr>
        <w:t>, 3362</w:t>
      </w:r>
      <w:r w:rsidRPr="00DA7DAC">
        <w:rPr>
          <w:rFonts w:cs="Times"/>
          <w:sz w:val="20"/>
          <w:szCs w:val="26"/>
          <w:u w:color="262626"/>
          <w:vertAlign w:val="superscript"/>
        </w:rPr>
        <w:t>nd</w:t>
      </w:r>
      <w:r w:rsidRPr="00DA7DAC">
        <w:rPr>
          <w:rFonts w:cs="Times"/>
          <w:sz w:val="20"/>
          <w:szCs w:val="26"/>
          <w:u w:color="262626"/>
        </w:rPr>
        <w:t xml:space="preserve"> Council meeting, General Affairs, Brussels, 16 December 2014, pp. 20-21</w:t>
      </w:r>
    </w:p>
  </w:footnote>
  <w:footnote w:id="12">
    <w:p w14:paraId="03FC1349" w14:textId="77777777" w:rsidR="00DE5B47" w:rsidRPr="00DA7DAC" w:rsidRDefault="00DE5B47" w:rsidP="0041419C">
      <w:pPr>
        <w:pStyle w:val="FootnoteText"/>
        <w:spacing w:before="0" w:line="240" w:lineRule="auto"/>
        <w:ind w:left="0" w:firstLine="0"/>
        <w:rPr>
          <w:sz w:val="20"/>
        </w:rPr>
      </w:pPr>
      <w:r w:rsidRPr="00DA7DAC">
        <w:rPr>
          <w:rStyle w:val="FootnoteReference"/>
          <w:sz w:val="20"/>
        </w:rPr>
        <w:footnoteRef/>
      </w:r>
      <w:r w:rsidRPr="00DA7DAC">
        <w:rPr>
          <w:sz w:val="20"/>
        </w:rPr>
        <w:t xml:space="preserve"> For a critical overview, which usefully complements the present article, see ‘Editorial Comments: Safeguarding EU values in the Member States – Is something finally happening’, 52 </w:t>
      </w:r>
      <w:r w:rsidRPr="00DA7DAC">
        <w:rPr>
          <w:i/>
          <w:sz w:val="20"/>
        </w:rPr>
        <w:t>CMLRev</w:t>
      </w:r>
      <w:r w:rsidRPr="00DA7DAC">
        <w:rPr>
          <w:sz w:val="20"/>
        </w:rPr>
        <w:t xml:space="preserve"> (2015) p. 619.</w:t>
      </w:r>
    </w:p>
  </w:footnote>
  <w:footnote w:id="13">
    <w:p w14:paraId="787C7C88" w14:textId="77777777" w:rsidR="00DE5B47" w:rsidRPr="00DA7DAC" w:rsidRDefault="00DE5B47" w:rsidP="0041419C">
      <w:pPr>
        <w:jc w:val="both"/>
        <w:outlineLvl w:val="0"/>
        <w:rPr>
          <w:kern w:val="36"/>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See most recently, Human Rights Watch, ‘Hungary: Little EU Action on Rights Concerns’, Press Release, 18 February 2015: &lt;</w:t>
      </w:r>
      <w:hyperlink r:id="rId2" w:history="1">
        <w:r w:rsidRPr="00DA7DAC">
          <w:rPr>
            <w:rStyle w:val="Hyperlink"/>
            <w:rFonts w:cs="Times New Roman"/>
            <w:color w:val="auto"/>
            <w:sz w:val="20"/>
            <w:szCs w:val="20"/>
          </w:rPr>
          <w:t>http://www.hrw.org/node/132910</w:t>
        </w:r>
      </w:hyperlink>
      <w:r w:rsidRPr="00DA7DAC">
        <w:rPr>
          <w:rFonts w:cs="Times New Roman"/>
          <w:sz w:val="20"/>
          <w:szCs w:val="20"/>
        </w:rPr>
        <w:t xml:space="preserve">&gt;; </w:t>
      </w:r>
      <w:r w:rsidRPr="00DA7DAC">
        <w:rPr>
          <w:kern w:val="36"/>
          <w:sz w:val="20"/>
          <w:szCs w:val="20"/>
        </w:rPr>
        <w:t xml:space="preserve">European Parliament Plenary – Commission statement on the situation in Hungary by First Vice-President Timmermans, </w:t>
      </w:r>
      <w:r w:rsidRPr="00DA7DAC">
        <w:rPr>
          <w:rFonts w:cs="Times New Roman"/>
          <w:sz w:val="20"/>
          <w:szCs w:val="20"/>
        </w:rPr>
        <w:t>Strasbourg, 19 May 2015</w:t>
      </w:r>
      <w:r w:rsidRPr="00DA7DAC">
        <w:rPr>
          <w:kern w:val="36"/>
          <w:sz w:val="20"/>
          <w:szCs w:val="20"/>
        </w:rPr>
        <w:t xml:space="preserve">, Press release </w:t>
      </w:r>
      <w:r w:rsidRPr="00DA7DAC">
        <w:rPr>
          <w:sz w:val="20"/>
        </w:rPr>
        <w:t>IP/15/5007.</w:t>
      </w:r>
    </w:p>
  </w:footnote>
  <w:footnote w:id="14">
    <w:p w14:paraId="5AC26344" w14:textId="77777777" w:rsidR="00DE5B47" w:rsidRPr="00DA7DAC" w:rsidRDefault="00DE5B47" w:rsidP="0041419C">
      <w:pPr>
        <w:pStyle w:val="Footer"/>
        <w:ind w:right="0"/>
        <w:jc w:val="both"/>
        <w:rPr>
          <w:rStyle w:val="FootnoteReference"/>
          <w:rFonts w:ascii="Times New Roman" w:eastAsiaTheme="minorHAnsi" w:hAnsi="Times New Roman" w:cstheme="minorBidi"/>
          <w:lang w:eastAsia="en-US"/>
        </w:rPr>
      </w:pPr>
      <w:r w:rsidRPr="00DA7DAC">
        <w:rPr>
          <w:rStyle w:val="FootnoteReference"/>
          <w:rFonts w:ascii="Times New Roman" w:hAnsi="Times New Roman"/>
          <w:sz w:val="20"/>
          <w:szCs w:val="20"/>
          <w:vertAlign w:val="baseline"/>
        </w:rPr>
        <w:footnoteRef/>
      </w:r>
      <w:r w:rsidRPr="00DA7DAC">
        <w:rPr>
          <w:rStyle w:val="FootnoteReference"/>
          <w:rFonts w:ascii="Times New Roman" w:hAnsi="Times New Roman"/>
          <w:sz w:val="20"/>
          <w:szCs w:val="20"/>
          <w:vertAlign w:val="baseline"/>
        </w:rPr>
        <w:t xml:space="preserve"> V </w:t>
      </w:r>
      <w:proofErr w:type="spellStart"/>
      <w:r w:rsidRPr="00DA7DAC">
        <w:rPr>
          <w:rStyle w:val="FootnoteReference"/>
          <w:rFonts w:ascii="Times New Roman" w:hAnsi="Times New Roman"/>
          <w:sz w:val="20"/>
          <w:szCs w:val="20"/>
          <w:vertAlign w:val="baseline"/>
        </w:rPr>
        <w:t>Reding</w:t>
      </w:r>
      <w:proofErr w:type="spellEnd"/>
      <w:r w:rsidRPr="00DA7DAC">
        <w:rPr>
          <w:rStyle w:val="FootnoteReference"/>
          <w:rFonts w:ascii="Times New Roman" w:hAnsi="Times New Roman"/>
          <w:sz w:val="20"/>
          <w:szCs w:val="20"/>
          <w:vertAlign w:val="baseline"/>
        </w:rPr>
        <w:t>, ‘The EU and the Rule of Law – What next?’, Speech/13/677, 4 September 2013.</w:t>
      </w:r>
    </w:p>
  </w:footnote>
  <w:footnote w:id="15">
    <w:p w14:paraId="6E671D43"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For further analysis, see respectively, O. Parker, ‘Roma and the Politics of EU Citizenship in France’, 50 </w:t>
      </w:r>
      <w:r w:rsidRPr="00DA7DAC">
        <w:rPr>
          <w:i/>
          <w:sz w:val="20"/>
        </w:rPr>
        <w:t>JCMS</w:t>
      </w:r>
      <w:r w:rsidRPr="00DA7DAC">
        <w:rPr>
          <w:sz w:val="20"/>
        </w:rPr>
        <w:t xml:space="preserve"> (2012) p. 475;</w:t>
      </w:r>
      <w:r w:rsidRPr="00DA7DAC">
        <w:rPr>
          <w:color w:val="000000"/>
          <w:sz w:val="20"/>
        </w:rPr>
        <w:t xml:space="preserve"> F. Casolari, ‘Respect for the Rule of Law in a Time of Economic and Financial Crisis: The Role of Regional International Organizations in the Hungarian Affaire’, XXIII</w:t>
      </w:r>
      <w:r w:rsidRPr="00DA7DAC">
        <w:rPr>
          <w:i/>
          <w:color w:val="000000"/>
          <w:sz w:val="20"/>
        </w:rPr>
        <w:t xml:space="preserve"> Italian Yearbook of International Law</w:t>
      </w:r>
      <w:r w:rsidRPr="00DA7DAC">
        <w:rPr>
          <w:color w:val="000000"/>
          <w:sz w:val="20"/>
        </w:rPr>
        <w:t xml:space="preserve"> (2013) p. 219; V. Perju, ‘The Romanian Double Executive and the 2012 Constitutional Crisis’, 13 </w:t>
      </w:r>
      <w:r w:rsidRPr="00DA7DAC">
        <w:rPr>
          <w:i/>
          <w:color w:val="000000"/>
          <w:sz w:val="20"/>
        </w:rPr>
        <w:t>I-CON</w:t>
      </w:r>
      <w:r w:rsidRPr="00DA7DAC">
        <w:rPr>
          <w:color w:val="000000"/>
          <w:sz w:val="20"/>
        </w:rPr>
        <w:t xml:space="preserve"> (2015) p. 246.</w:t>
      </w:r>
    </w:p>
  </w:footnote>
  <w:footnote w:id="16">
    <w:p w14:paraId="04DA9352"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See generally A. von Bogdandy and M. Ioannidis, ‘Systemic Deficiency in the Rule of Law: What It Is, What Has Been Done, What Can Be Done’, 51 </w:t>
      </w:r>
      <w:r w:rsidRPr="00DA7DAC">
        <w:rPr>
          <w:i/>
          <w:sz w:val="20"/>
        </w:rPr>
        <w:t>CMLRev</w:t>
      </w:r>
      <w:r w:rsidRPr="00DA7DAC">
        <w:rPr>
          <w:sz w:val="20"/>
        </w:rPr>
        <w:t xml:space="preserve"> (2014) p. 59.</w:t>
      </w:r>
    </w:p>
  </w:footnote>
  <w:footnote w:id="17">
    <w:p w14:paraId="50526D8E"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G</w:t>
      </w:r>
      <w:r w:rsidRPr="00DA7DAC">
        <w:rPr>
          <w:sz w:val="20"/>
          <w:lang w:eastAsia="nl-NL"/>
        </w:rPr>
        <w:t xml:space="preserve">N Toggenburg, ‘La crisi austriaca: delicate equilibrismi sospesi tra molte dimensioni’, </w:t>
      </w:r>
      <w:r w:rsidRPr="00DA7DAC">
        <w:rPr>
          <w:i/>
          <w:sz w:val="20"/>
          <w:lang w:eastAsia="nl-NL"/>
        </w:rPr>
        <w:t>Diritto pubblico comparato ed europeo</w:t>
      </w:r>
      <w:r w:rsidRPr="00DA7DAC">
        <w:rPr>
          <w:sz w:val="20"/>
          <w:lang w:eastAsia="nl-NL"/>
        </w:rPr>
        <w:t xml:space="preserve">, 2001, 735; K Lachmayer, ‘The Austrian Crisis’, in </w:t>
      </w:r>
      <w:r w:rsidRPr="00DA7DAC">
        <w:rPr>
          <w:sz w:val="20"/>
        </w:rPr>
        <w:t xml:space="preserve">A. Jakab and D. Kochenov (eds.), </w:t>
      </w:r>
      <w:r w:rsidRPr="00DA7DAC">
        <w:rPr>
          <w:i/>
          <w:sz w:val="20"/>
        </w:rPr>
        <w:t>The Enforcement of EU Law and Values: Ensuring Member State Compliance</w:t>
      </w:r>
      <w:r w:rsidRPr="00DA7DAC">
        <w:rPr>
          <w:sz w:val="20"/>
        </w:rPr>
        <w:t xml:space="preserve"> (Oxford University Press, forthcoming).</w:t>
      </w:r>
    </w:p>
  </w:footnote>
  <w:footnote w:id="18">
    <w:p w14:paraId="0541C658"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See e.g. M Avbelj, ‘Failed Democracy: The Slovenian Patria Case – (Non)Law in Context’ (</w:t>
      </w:r>
      <w:r w:rsidRPr="00DA7DAC">
        <w:rPr>
          <w:rFonts w:cs="Tahoma"/>
          <w:sz w:val="20"/>
          <w:szCs w:val="28"/>
        </w:rPr>
        <w:t>originally publis</w:t>
      </w:r>
      <w:r>
        <w:rPr>
          <w:rFonts w:cs="Tahoma"/>
          <w:sz w:val="20"/>
          <w:szCs w:val="28"/>
        </w:rPr>
        <w:t>hed in Slovenian), available</w:t>
      </w:r>
      <w:r w:rsidRPr="00DA7DAC">
        <w:rPr>
          <w:rFonts w:cs="Tahoma"/>
          <w:sz w:val="20"/>
          <w:szCs w:val="28"/>
        </w:rPr>
        <w:t xml:space="preserve"> at: &lt;http://papers.ssrn.com/sol3/papers.cfm?abstract_id=2462613&gt;</w:t>
      </w:r>
      <w:r w:rsidRPr="00DA7DAC">
        <w:rPr>
          <w:sz w:val="20"/>
        </w:rPr>
        <w:t xml:space="preserve">; B. Bugarič, ‘A Crisis of Constitutional Democracy in post-Communist Europe: “Lands in-between” Democracy and Authoritarianism’, 12 </w:t>
      </w:r>
      <w:r w:rsidRPr="00DA7DAC">
        <w:rPr>
          <w:i/>
          <w:sz w:val="20"/>
        </w:rPr>
        <w:t>I-CON</w:t>
      </w:r>
      <w:r w:rsidRPr="00DA7DAC">
        <w:rPr>
          <w:sz w:val="20"/>
        </w:rPr>
        <w:t xml:space="preserve"> (2015) p. 219.</w:t>
      </w:r>
    </w:p>
  </w:footnote>
  <w:footnote w:id="19">
    <w:p w14:paraId="4762C4B5"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J</w:t>
      </w:r>
      <w:r w:rsidRPr="00DA7DAC">
        <w:rPr>
          <w:rFonts w:cs="Times New Roman"/>
          <w:sz w:val="20"/>
          <w:szCs w:val="20"/>
        </w:rPr>
        <w:t>.</w:t>
      </w:r>
      <w:r w:rsidRPr="00DA7DAC">
        <w:rPr>
          <w:rStyle w:val="FootnoteReference"/>
          <w:rFonts w:cs="Times New Roman"/>
          <w:sz w:val="20"/>
          <w:szCs w:val="20"/>
          <w:vertAlign w:val="baseline"/>
        </w:rPr>
        <w:t>M. Barroso, State of the Union address 2013, E</w:t>
      </w:r>
      <w:r w:rsidRPr="00DA7DAC">
        <w:rPr>
          <w:rFonts w:cs="Times New Roman"/>
          <w:sz w:val="20"/>
          <w:szCs w:val="20"/>
        </w:rPr>
        <w:t xml:space="preserve">uropean </w:t>
      </w:r>
      <w:r w:rsidRPr="00DA7DAC">
        <w:rPr>
          <w:rStyle w:val="FootnoteReference"/>
          <w:rFonts w:cs="Times New Roman"/>
          <w:sz w:val="20"/>
          <w:szCs w:val="20"/>
          <w:vertAlign w:val="baseline"/>
        </w:rPr>
        <w:t>Parliament, 11 September 2013, Speech/13/684.</w:t>
      </w:r>
    </w:p>
  </w:footnote>
  <w:footnote w:id="20">
    <w:p w14:paraId="33212A13" w14:textId="77777777" w:rsidR="00DE5B47" w:rsidRPr="00DA7DAC" w:rsidRDefault="00DE5B47" w:rsidP="0041419C">
      <w:pPr>
        <w:pStyle w:val="Footer"/>
        <w:ind w:right="0"/>
        <w:jc w:val="both"/>
        <w:rPr>
          <w:rFonts w:ascii="Times New Roman" w:hAnsi="Times New Roman"/>
          <w:szCs w:val="20"/>
        </w:rPr>
      </w:pPr>
      <w:r w:rsidRPr="00DA7DAC">
        <w:rPr>
          <w:rStyle w:val="FootnoteReference"/>
          <w:rFonts w:ascii="Times New Roman" w:hAnsi="Times New Roman"/>
          <w:sz w:val="20"/>
          <w:szCs w:val="20"/>
          <w:vertAlign w:val="baseline"/>
        </w:rPr>
        <w:footnoteRef/>
      </w:r>
      <w:r w:rsidRPr="00DA7DAC">
        <w:rPr>
          <w:rFonts w:ascii="Times New Roman" w:hAnsi="Times New Roman"/>
          <w:szCs w:val="20"/>
        </w:rPr>
        <w:t xml:space="preserve"> J-W. Müller, </w:t>
      </w:r>
      <w:r w:rsidRPr="00DA7DAC">
        <w:rPr>
          <w:rFonts w:ascii="Times New Roman" w:hAnsi="Times New Roman"/>
          <w:i/>
          <w:szCs w:val="20"/>
        </w:rPr>
        <w:t>Safeguarding Democracy inside the EU. Brussels and the Future of the Liberal Order</w:t>
      </w:r>
      <w:r w:rsidRPr="00DA7DAC">
        <w:rPr>
          <w:rFonts w:ascii="Times New Roman" w:hAnsi="Times New Roman"/>
          <w:szCs w:val="20"/>
        </w:rPr>
        <w:t xml:space="preserve"> </w:t>
      </w:r>
      <w:r>
        <w:rPr>
          <w:rFonts w:ascii="Times New Roman" w:hAnsi="Times New Roman"/>
          <w:szCs w:val="20"/>
        </w:rPr>
        <w:t>(</w:t>
      </w:r>
      <w:r w:rsidRPr="00DA7DAC">
        <w:rPr>
          <w:rFonts w:ascii="Times New Roman" w:hAnsi="Times New Roman"/>
          <w:szCs w:val="20"/>
        </w:rPr>
        <w:t>Tra</w:t>
      </w:r>
      <w:r>
        <w:rPr>
          <w:rFonts w:ascii="Times New Roman" w:hAnsi="Times New Roman"/>
          <w:szCs w:val="20"/>
        </w:rPr>
        <w:t>nsatlantic Academy Paper Series</w:t>
      </w:r>
      <w:r w:rsidRPr="00DA7DAC">
        <w:rPr>
          <w:rFonts w:ascii="Times New Roman" w:hAnsi="Times New Roman"/>
          <w:szCs w:val="20"/>
        </w:rPr>
        <w:t xml:space="preserve"> 2013</w:t>
      </w:r>
      <w:r>
        <w:rPr>
          <w:rFonts w:ascii="Times New Roman" w:hAnsi="Times New Roman"/>
          <w:szCs w:val="20"/>
        </w:rPr>
        <w:t>)</w:t>
      </w:r>
      <w:r w:rsidRPr="00DA7DAC">
        <w:rPr>
          <w:rFonts w:ascii="Times New Roman" w:hAnsi="Times New Roman"/>
          <w:szCs w:val="20"/>
        </w:rPr>
        <w:t>.</w:t>
      </w:r>
    </w:p>
  </w:footnote>
  <w:footnote w:id="21">
    <w:p w14:paraId="1A57D7F9"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See final report of the Future of Europe Group (‘</w:t>
      </w:r>
      <w:proofErr w:type="spellStart"/>
      <w:r w:rsidRPr="00DA7DAC">
        <w:rPr>
          <w:rStyle w:val="FootnoteReference"/>
          <w:rFonts w:cs="Times New Roman"/>
          <w:sz w:val="20"/>
          <w:szCs w:val="20"/>
          <w:vertAlign w:val="baseline"/>
        </w:rPr>
        <w:t>Westerwelle</w:t>
      </w:r>
      <w:proofErr w:type="spellEnd"/>
      <w:r w:rsidRPr="00DA7DAC">
        <w:rPr>
          <w:rStyle w:val="FootnoteReference"/>
          <w:rFonts w:cs="Times New Roman"/>
          <w:sz w:val="20"/>
          <w:szCs w:val="20"/>
          <w:vertAlign w:val="baseline"/>
        </w:rPr>
        <w:t xml:space="preserve"> report’), 17 September 2012, para. II(d). </w:t>
      </w:r>
    </w:p>
  </w:footnote>
  <w:footnote w:id="22">
    <w:p w14:paraId="3705205B"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For a comprehensive study, see C. Hillion, ‘Overseeing the Rule of Law in the EU: Legal Mandate and Means’, in Closa and Kochenov 2015, </w:t>
      </w:r>
      <w:r w:rsidRPr="00DA7DAC">
        <w:rPr>
          <w:i/>
          <w:sz w:val="20"/>
        </w:rPr>
        <w:t>supra</w:t>
      </w:r>
      <w:r w:rsidRPr="00DA7DAC">
        <w:rPr>
          <w:sz w:val="20"/>
        </w:rPr>
        <w:t xml:space="preserve"> n. 7. </w:t>
      </w:r>
    </w:p>
  </w:footnote>
  <w:footnote w:id="23">
    <w:p w14:paraId="5AB7260A"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Barroso, </w:t>
      </w:r>
      <w:r w:rsidRPr="00DA7DAC">
        <w:rPr>
          <w:rStyle w:val="FootnoteReference"/>
          <w:rFonts w:cs="Times New Roman"/>
          <w:i/>
          <w:sz w:val="20"/>
          <w:szCs w:val="20"/>
          <w:vertAlign w:val="baseline"/>
        </w:rPr>
        <w:t>supra</w:t>
      </w:r>
      <w:r w:rsidRPr="00DA7DAC">
        <w:rPr>
          <w:rStyle w:val="FootnoteReference"/>
          <w:rFonts w:cs="Times New Roman"/>
          <w:sz w:val="20"/>
          <w:szCs w:val="20"/>
          <w:vertAlign w:val="baseline"/>
        </w:rPr>
        <w:t xml:space="preserve"> n. 17.</w:t>
      </w:r>
    </w:p>
  </w:footnote>
  <w:footnote w:id="24">
    <w:p w14:paraId="3F3B2573"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Ibid. </w:t>
      </w:r>
    </w:p>
  </w:footnote>
  <w:footnote w:id="25">
    <w:p w14:paraId="5B18821F"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For a general ‘official’ introduction, see</w:t>
      </w:r>
      <w:r w:rsidRPr="00DA7DAC">
        <w:rPr>
          <w:rStyle w:val="FootnoteReference"/>
          <w:sz w:val="20"/>
          <w:vertAlign w:val="baseline"/>
        </w:rPr>
        <w:t xml:space="preserve"> Euro</w:t>
      </w:r>
      <w:r>
        <w:rPr>
          <w:rStyle w:val="FootnoteReference"/>
          <w:sz w:val="20"/>
          <w:vertAlign w:val="baseline"/>
        </w:rPr>
        <w:t>pean Commission Communication,</w:t>
      </w:r>
      <w:r w:rsidRPr="00DA7DAC">
        <w:rPr>
          <w:rStyle w:val="FootnoteReference"/>
          <w:sz w:val="20"/>
          <w:vertAlign w:val="baseline"/>
        </w:rPr>
        <w:t xml:space="preserve"> Article 7 of the Treaty on European Union. Respect for and promotion of the values on which the Union is founded, COM(2003) 606 final, 15 October 2003</w:t>
      </w:r>
      <w:r w:rsidRPr="00DA7DAC">
        <w:rPr>
          <w:sz w:val="20"/>
        </w:rPr>
        <w:t>. For a</w:t>
      </w:r>
      <w:r>
        <w:rPr>
          <w:sz w:val="20"/>
        </w:rPr>
        <w:t xml:space="preserve"> more critical</w:t>
      </w:r>
      <w:r w:rsidRPr="00DA7DAC">
        <w:rPr>
          <w:sz w:val="20"/>
        </w:rPr>
        <w:t xml:space="preserve"> study, see W. Sadurski, ‘Adding Bite to a Bark: The Story of Article 7, EU Enlargement, and Jörg Haider’, 16</w:t>
      </w:r>
      <w:r w:rsidRPr="00DA7DAC">
        <w:rPr>
          <w:iCs/>
          <w:sz w:val="20"/>
        </w:rPr>
        <w:t xml:space="preserve"> </w:t>
      </w:r>
      <w:r w:rsidRPr="00DA7DAC">
        <w:rPr>
          <w:i/>
          <w:iCs/>
          <w:sz w:val="20"/>
        </w:rPr>
        <w:t>CJEL</w:t>
      </w:r>
      <w:r w:rsidRPr="00DA7DAC">
        <w:rPr>
          <w:sz w:val="20"/>
        </w:rPr>
        <w:t xml:space="preserve"> (2010) p. 385.</w:t>
      </w:r>
    </w:p>
  </w:footnote>
  <w:footnote w:id="26">
    <w:p w14:paraId="5644B4D4"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See Case T-337/03, </w:t>
      </w:r>
      <w:proofErr w:type="spellStart"/>
      <w:r w:rsidRPr="00DA7DAC">
        <w:rPr>
          <w:rFonts w:cs="Times New Roman"/>
          <w:i/>
          <w:sz w:val="20"/>
          <w:szCs w:val="20"/>
        </w:rPr>
        <w:t>Bertelli</w:t>
      </w:r>
      <w:proofErr w:type="spellEnd"/>
      <w:r w:rsidRPr="00DA7DAC">
        <w:rPr>
          <w:rFonts w:cs="Times New Roman"/>
          <w:i/>
          <w:sz w:val="20"/>
          <w:szCs w:val="20"/>
        </w:rPr>
        <w:t xml:space="preserve"> </w:t>
      </w:r>
      <w:proofErr w:type="spellStart"/>
      <w:r w:rsidRPr="00DA7DAC">
        <w:rPr>
          <w:rFonts w:cs="Times New Roman"/>
          <w:bCs/>
          <w:i/>
          <w:sz w:val="20"/>
          <w:szCs w:val="20"/>
        </w:rPr>
        <w:t>Gálvez</w:t>
      </w:r>
      <w:proofErr w:type="spellEnd"/>
      <w:r w:rsidRPr="00DA7DAC">
        <w:rPr>
          <w:rFonts w:cs="Times New Roman"/>
          <w:bCs/>
          <w:i/>
          <w:sz w:val="20"/>
          <w:szCs w:val="20"/>
        </w:rPr>
        <w:t xml:space="preserve"> v Commission</w:t>
      </w:r>
      <w:r w:rsidRPr="00DA7DAC">
        <w:rPr>
          <w:rFonts w:cs="Times New Roman"/>
          <w:bCs/>
          <w:sz w:val="20"/>
          <w:szCs w:val="20"/>
        </w:rPr>
        <w:t xml:space="preserve"> [2004] ECR II-1041, para. 15, where the Court of Justice held that the EU Treaties – the entry into force of Lisbon does not invalidate this conclusion – did not give it </w:t>
      </w:r>
      <w:r w:rsidRPr="00DA7DAC">
        <w:rPr>
          <w:rFonts w:cs="Times New Roman"/>
          <w:sz w:val="20"/>
          <w:szCs w:val="20"/>
        </w:rPr>
        <w:t>jurisdiction to determine whether the EU institutions have acted lawfully to ensure the respect by the Member States of the principles laid down under what is now Article 2 TEU or to adjudicate on the lawfulness of acts adopted on the basis of what is now Article 7 TEU, save in relation to questions concerning the procedural stipulations contained in that article, which the Court may address only at the request of the Member State concerned.</w:t>
      </w:r>
    </w:p>
  </w:footnote>
  <w:footnote w:id="27">
    <w:p w14:paraId="24DA137E"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Fonts w:cs="Times New Roman"/>
          <w:sz w:val="20"/>
          <w:szCs w:val="20"/>
        </w:rPr>
        <w:t xml:space="preserve">ECtHR, 24 July 2014, </w:t>
      </w:r>
      <w:r w:rsidRPr="00DA7DAC">
        <w:rPr>
          <w:rStyle w:val="FootnoteReference"/>
          <w:rFonts w:cs="Times New Roman"/>
          <w:sz w:val="20"/>
          <w:szCs w:val="20"/>
          <w:vertAlign w:val="baseline"/>
        </w:rPr>
        <w:t>App</w:t>
      </w:r>
      <w:r w:rsidRPr="00DA7DAC">
        <w:rPr>
          <w:rFonts w:cs="Times New Roman"/>
          <w:sz w:val="20"/>
          <w:szCs w:val="20"/>
        </w:rPr>
        <w:t>.</w:t>
      </w:r>
      <w:r w:rsidRPr="00DA7DAC">
        <w:rPr>
          <w:rStyle w:val="FootnoteReference"/>
          <w:rFonts w:cs="Times New Roman"/>
          <w:sz w:val="20"/>
          <w:szCs w:val="20"/>
          <w:vertAlign w:val="baseline"/>
        </w:rPr>
        <w:t xml:space="preserve"> no 28761/11</w:t>
      </w:r>
      <w:r w:rsidRPr="00DA7DAC">
        <w:rPr>
          <w:rFonts w:cs="Times New Roman"/>
          <w:sz w:val="20"/>
          <w:szCs w:val="20"/>
        </w:rPr>
        <w:t xml:space="preserve">, </w:t>
      </w:r>
      <w:r w:rsidRPr="00DA7DAC">
        <w:rPr>
          <w:rStyle w:val="FootnoteReference"/>
          <w:rFonts w:cs="Times New Roman"/>
          <w:i/>
          <w:sz w:val="20"/>
          <w:szCs w:val="20"/>
          <w:vertAlign w:val="baseline"/>
        </w:rPr>
        <w:t xml:space="preserve">Al </w:t>
      </w:r>
      <w:proofErr w:type="spellStart"/>
      <w:r w:rsidRPr="00DA7DAC">
        <w:rPr>
          <w:rStyle w:val="FootnoteReference"/>
          <w:rFonts w:cs="Times New Roman"/>
          <w:i/>
          <w:sz w:val="20"/>
          <w:szCs w:val="20"/>
          <w:vertAlign w:val="baseline"/>
        </w:rPr>
        <w:t>Nashiri</w:t>
      </w:r>
      <w:proofErr w:type="spellEnd"/>
      <w:r w:rsidRPr="00DA7DAC">
        <w:rPr>
          <w:rStyle w:val="FootnoteReference"/>
          <w:rFonts w:cs="Times New Roman"/>
          <w:i/>
          <w:sz w:val="20"/>
          <w:szCs w:val="20"/>
          <w:vertAlign w:val="baseline"/>
        </w:rPr>
        <w:t xml:space="preserve"> v Poland</w:t>
      </w:r>
      <w:r w:rsidRPr="00DA7DAC">
        <w:rPr>
          <w:rStyle w:val="FootnoteReference"/>
          <w:rFonts w:cs="Times New Roman"/>
          <w:sz w:val="20"/>
          <w:szCs w:val="20"/>
          <w:vertAlign w:val="baseline"/>
        </w:rPr>
        <w:t>.</w:t>
      </w:r>
    </w:p>
  </w:footnote>
  <w:footnote w:id="28">
    <w:p w14:paraId="5D2A8085"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It must however be noted that Vice-President Timmermans recently indicated that any</w:t>
      </w:r>
      <w:r w:rsidRPr="00DA7DAC">
        <w:rPr>
          <w:sz w:val="20"/>
          <w:szCs w:val="20"/>
        </w:rPr>
        <w:t xml:space="preserve"> reintroduction of the death penalty by any Member State, an idea mooted by the Hungarian Prime Minister </w:t>
      </w:r>
      <w:proofErr w:type="spellStart"/>
      <w:r w:rsidRPr="00DA7DAC">
        <w:rPr>
          <w:sz w:val="20"/>
          <w:szCs w:val="20"/>
        </w:rPr>
        <w:t>Orbán</w:t>
      </w:r>
      <w:proofErr w:type="spellEnd"/>
      <w:r w:rsidRPr="00DA7DAC">
        <w:rPr>
          <w:sz w:val="20"/>
          <w:szCs w:val="20"/>
        </w:rPr>
        <w:t xml:space="preserve">, would ‘lead to the application of Article 7 TEU’. </w:t>
      </w:r>
      <w:r w:rsidRPr="00DA7DAC">
        <w:rPr>
          <w:rFonts w:cs="Times New Roman"/>
          <w:sz w:val="20"/>
          <w:szCs w:val="20"/>
        </w:rPr>
        <w:t xml:space="preserve">See </w:t>
      </w:r>
      <w:r w:rsidRPr="00DA7DAC">
        <w:rPr>
          <w:kern w:val="36"/>
          <w:sz w:val="20"/>
          <w:szCs w:val="20"/>
        </w:rPr>
        <w:t xml:space="preserve">Commission statement on the situation in Hungary, </w:t>
      </w:r>
      <w:r w:rsidRPr="00DA7DAC">
        <w:rPr>
          <w:rFonts w:cs="Times New Roman"/>
          <w:sz w:val="20"/>
          <w:szCs w:val="20"/>
        </w:rPr>
        <w:t>Strasbourg, 19 May 2015</w:t>
      </w:r>
      <w:r w:rsidRPr="00DA7DAC">
        <w:rPr>
          <w:kern w:val="36"/>
          <w:sz w:val="20"/>
          <w:szCs w:val="20"/>
        </w:rPr>
        <w:t xml:space="preserve">, Press release </w:t>
      </w:r>
      <w:r w:rsidRPr="00DA7DAC">
        <w:rPr>
          <w:sz w:val="20"/>
        </w:rPr>
        <w:t>IP/15/5007.</w:t>
      </w:r>
    </w:p>
  </w:footnote>
  <w:footnote w:id="29">
    <w:p w14:paraId="42914D8D"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Fonts w:cs="Times New Roman"/>
          <w:sz w:val="20"/>
          <w:szCs w:val="20"/>
        </w:rPr>
        <w:t xml:space="preserve">For further analysis, </w:t>
      </w:r>
      <w:r w:rsidRPr="00DA7DAC">
        <w:rPr>
          <w:rStyle w:val="FootnoteReference"/>
          <w:rFonts w:cs="Times New Roman"/>
          <w:sz w:val="20"/>
          <w:szCs w:val="20"/>
          <w:vertAlign w:val="baseline"/>
        </w:rPr>
        <w:t xml:space="preserve">see </w:t>
      </w:r>
      <w:r w:rsidRPr="00DA7DAC">
        <w:rPr>
          <w:rFonts w:cs="Times New Roman"/>
          <w:sz w:val="20"/>
          <w:szCs w:val="20"/>
        </w:rPr>
        <w:t xml:space="preserve">M.A. </w:t>
      </w:r>
      <w:proofErr w:type="spellStart"/>
      <w:r w:rsidRPr="00DA7DAC">
        <w:rPr>
          <w:rFonts w:cs="Times New Roman"/>
          <w:sz w:val="20"/>
          <w:szCs w:val="20"/>
        </w:rPr>
        <w:t>Vachudova</w:t>
      </w:r>
      <w:proofErr w:type="spellEnd"/>
      <w:r w:rsidRPr="00DA7DAC">
        <w:rPr>
          <w:rFonts w:cs="Times New Roman"/>
          <w:sz w:val="20"/>
          <w:szCs w:val="20"/>
        </w:rPr>
        <w:t xml:space="preserve"> and A. </w:t>
      </w:r>
      <w:proofErr w:type="spellStart"/>
      <w:r w:rsidRPr="00DA7DAC">
        <w:rPr>
          <w:rFonts w:cs="Times New Roman"/>
          <w:sz w:val="20"/>
          <w:szCs w:val="20"/>
        </w:rPr>
        <w:t>Spendzharova</w:t>
      </w:r>
      <w:proofErr w:type="spellEnd"/>
      <w:r w:rsidRPr="00DA7DAC">
        <w:rPr>
          <w:rFonts w:cs="Times New Roman"/>
          <w:sz w:val="20"/>
          <w:szCs w:val="20"/>
        </w:rPr>
        <w:t xml:space="preserve">, ‘The EU’s Cooperation and Verification Mechanism: Fighting Corruption in Bulgaria and Romania after EU Accession’, </w:t>
      </w:r>
      <w:r w:rsidRPr="00DA7DAC">
        <w:rPr>
          <w:rFonts w:cs="Times New Roman"/>
          <w:i/>
          <w:sz w:val="20"/>
          <w:szCs w:val="20"/>
        </w:rPr>
        <w:t>SIEPS European Policy Analysis</w:t>
      </w:r>
      <w:r w:rsidRPr="00DA7DAC">
        <w:rPr>
          <w:rFonts w:cs="Times New Roman"/>
          <w:sz w:val="20"/>
          <w:szCs w:val="20"/>
        </w:rPr>
        <w:t xml:space="preserve">, 2012, 1; </w:t>
      </w:r>
      <w:r w:rsidRPr="00DA7DAC">
        <w:rPr>
          <w:rStyle w:val="FootnoteReference"/>
          <w:rFonts w:cs="Times New Roman"/>
          <w:sz w:val="20"/>
          <w:szCs w:val="20"/>
          <w:vertAlign w:val="baseline"/>
        </w:rPr>
        <w:t>L.</w:t>
      </w:r>
      <w:r w:rsidRPr="00DA7DAC">
        <w:rPr>
          <w:rFonts w:cs="Times New Roman"/>
          <w:sz w:val="20"/>
          <w:szCs w:val="20"/>
        </w:rPr>
        <w:t xml:space="preserve"> </w:t>
      </w:r>
      <w:r w:rsidRPr="00DA7DAC">
        <w:rPr>
          <w:rStyle w:val="FootnoteReference"/>
          <w:rFonts w:cs="Times New Roman"/>
          <w:sz w:val="20"/>
          <w:szCs w:val="20"/>
          <w:vertAlign w:val="baseline"/>
        </w:rPr>
        <w:t xml:space="preserve">Pech, ‘The Rule of Law as a Guiding Principle of EU’s External Action’, </w:t>
      </w:r>
      <w:r w:rsidRPr="00DA7DAC">
        <w:rPr>
          <w:rStyle w:val="FootnoteReference"/>
          <w:rFonts w:cs="Times New Roman"/>
          <w:i/>
          <w:sz w:val="20"/>
          <w:szCs w:val="20"/>
          <w:vertAlign w:val="baseline"/>
        </w:rPr>
        <w:t>CLEER Working Paper</w:t>
      </w:r>
      <w:r w:rsidRPr="00DA7DAC">
        <w:rPr>
          <w:rStyle w:val="FootnoteReference"/>
          <w:rFonts w:cs="Times New Roman"/>
          <w:sz w:val="20"/>
          <w:szCs w:val="20"/>
          <w:vertAlign w:val="baseline"/>
        </w:rPr>
        <w:t xml:space="preserve"> 2012/3.</w:t>
      </w:r>
    </w:p>
  </w:footnote>
  <w:footnote w:id="30">
    <w:p w14:paraId="5B58EEE4" w14:textId="77777777" w:rsidR="00DE5B47" w:rsidRPr="00DA7DAC" w:rsidRDefault="00DE5B47" w:rsidP="0041419C">
      <w:pPr>
        <w:pStyle w:val="Footer"/>
        <w:ind w:right="0"/>
        <w:jc w:val="both"/>
        <w:rPr>
          <w:rFonts w:ascii="Times New Roman" w:hAnsi="Times New Roman"/>
          <w:szCs w:val="20"/>
        </w:rPr>
      </w:pPr>
      <w:r w:rsidRPr="00DA7DAC">
        <w:rPr>
          <w:rStyle w:val="FootnoteReference"/>
          <w:rFonts w:ascii="Times New Roman" w:hAnsi="Times New Roman"/>
          <w:sz w:val="20"/>
          <w:szCs w:val="20"/>
          <w:vertAlign w:val="baseline"/>
        </w:rPr>
        <w:footnoteRef/>
      </w:r>
      <w:r w:rsidRPr="00DA7DAC">
        <w:rPr>
          <w:rFonts w:ascii="Times New Roman" w:hAnsi="Times New Roman"/>
          <w:szCs w:val="20"/>
        </w:rPr>
        <w:t xml:space="preserve"> For some sobering thoughts on the effectiveness of this mechanism, see </w:t>
      </w:r>
      <w:r w:rsidRPr="00DA7DAC">
        <w:rPr>
          <w:rFonts w:ascii="Times New Roman" w:eastAsiaTheme="minorHAnsi" w:hAnsi="Times New Roman"/>
          <w:szCs w:val="20"/>
          <w:lang w:eastAsia="en-US"/>
        </w:rPr>
        <w:t xml:space="preserve">P </w:t>
      </w:r>
      <w:proofErr w:type="spellStart"/>
      <w:r w:rsidRPr="00DA7DAC">
        <w:rPr>
          <w:rFonts w:ascii="Times New Roman" w:eastAsiaTheme="minorHAnsi" w:hAnsi="Times New Roman"/>
          <w:iCs/>
          <w:szCs w:val="20"/>
          <w:lang w:eastAsia="en-US"/>
        </w:rPr>
        <w:t>Wennerås</w:t>
      </w:r>
      <w:proofErr w:type="spellEnd"/>
      <w:r w:rsidRPr="00DA7DAC">
        <w:rPr>
          <w:rFonts w:ascii="Times New Roman" w:eastAsiaTheme="minorHAnsi" w:hAnsi="Times New Roman"/>
          <w:szCs w:val="20"/>
          <w:lang w:eastAsia="en-US"/>
        </w:rPr>
        <w:t xml:space="preserve">, ‘Sanctions against Member States under Article 260 TFEU: Alive, but not kicking?’, 49 </w:t>
      </w:r>
      <w:proofErr w:type="spellStart"/>
      <w:r w:rsidRPr="00DA7DAC">
        <w:rPr>
          <w:rFonts w:ascii="Times New Roman" w:eastAsiaTheme="minorHAnsi" w:hAnsi="Times New Roman"/>
          <w:i/>
          <w:szCs w:val="20"/>
          <w:lang w:eastAsia="en-US"/>
        </w:rPr>
        <w:t>CMLRev</w:t>
      </w:r>
      <w:proofErr w:type="spellEnd"/>
      <w:r w:rsidRPr="00DA7DAC">
        <w:rPr>
          <w:rFonts w:ascii="Times New Roman" w:eastAsiaTheme="minorHAnsi" w:hAnsi="Times New Roman"/>
          <w:szCs w:val="20"/>
          <w:lang w:eastAsia="en-US"/>
        </w:rPr>
        <w:t xml:space="preserve"> (2012) p. 145; </w:t>
      </w:r>
      <w:r w:rsidRPr="00DA7DAC">
        <w:rPr>
          <w:rFonts w:ascii="Times New Roman" w:hAnsi="Times New Roman"/>
          <w:szCs w:val="20"/>
        </w:rPr>
        <w:t xml:space="preserve">B. Jack, ‘Article 260(2) TFEU: An Effective Judicial Procedure for the Enforcement of Judgments?’, 19 </w:t>
      </w:r>
      <w:r w:rsidRPr="00DA7DAC">
        <w:rPr>
          <w:rFonts w:ascii="Times New Roman" w:hAnsi="Times New Roman"/>
          <w:i/>
          <w:szCs w:val="20"/>
        </w:rPr>
        <w:t>ELJ</w:t>
      </w:r>
      <w:r w:rsidRPr="00DA7DAC">
        <w:rPr>
          <w:rFonts w:ascii="Times New Roman" w:hAnsi="Times New Roman"/>
          <w:szCs w:val="20"/>
        </w:rPr>
        <w:t xml:space="preserve"> (2013) p. 420</w:t>
      </w:r>
      <w:r w:rsidRPr="00DA7DAC">
        <w:rPr>
          <w:rFonts w:ascii="Times New Roman" w:eastAsiaTheme="minorHAnsi" w:hAnsi="Times New Roman"/>
          <w:szCs w:val="20"/>
          <w:lang w:eastAsia="en-US"/>
        </w:rPr>
        <w:t>.</w:t>
      </w:r>
    </w:p>
  </w:footnote>
  <w:footnote w:id="31">
    <w:p w14:paraId="7DD18468"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In Reding’s self-congratulatory language, </w:t>
      </w:r>
      <w:r w:rsidRPr="00DA7DAC">
        <w:rPr>
          <w:i/>
          <w:sz w:val="20"/>
        </w:rPr>
        <w:t>supra</w:t>
      </w:r>
      <w:r w:rsidRPr="00DA7DAC">
        <w:rPr>
          <w:sz w:val="20"/>
        </w:rPr>
        <w:t xml:space="preserve"> n. 12, section 2: ‘[M]easured against the background of the role and duty the Commission has been given so far by the Treaties, I consider that the Commission has been rather successful in dealing with these often very difficult and complex cases.’</w:t>
      </w:r>
    </w:p>
  </w:footnote>
  <w:footnote w:id="32">
    <w:p w14:paraId="69D172FA"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See European Commission, ‘European Commission assesses recent development in France, discusses overall situation of the Roma and EU law on free movement of EU citizens’, Press Release IP/10/1207, 29 September 2010.</w:t>
      </w:r>
    </w:p>
  </w:footnote>
  <w:footnote w:id="33">
    <w:p w14:paraId="2334E1ED"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See French Law No. 2011-672 on Immigration, Integration and Nationality enacted on June 17, 2011 and the analysis of it by Human Rights Watch, </w:t>
      </w:r>
      <w:r w:rsidRPr="00DA7DAC">
        <w:rPr>
          <w:i/>
          <w:sz w:val="20"/>
        </w:rPr>
        <w:t>France’s Compliance with the European Free Movement Directive and the Removal of Ethnic Roma EU Citizens</w:t>
      </w:r>
      <w:r w:rsidRPr="00DA7DAC">
        <w:rPr>
          <w:sz w:val="20"/>
        </w:rPr>
        <w:t xml:space="preserve">, 28 September 2011, available at: </w:t>
      </w:r>
      <w:hyperlink r:id="rId3" w:history="1">
        <w:r w:rsidRPr="00DA7DAC">
          <w:rPr>
            <w:rStyle w:val="Hyperlink"/>
            <w:sz w:val="20"/>
          </w:rPr>
          <w:t>&lt;www.hrw.org/news/2011/09/28/france-s-compliance-european-free-movement-directive-and-removal-ethnic-roma-eu-citi</w:t>
        </w:r>
      </w:hyperlink>
      <w:r w:rsidRPr="00DA7DAC">
        <w:rPr>
          <w:sz w:val="20"/>
        </w:rPr>
        <w:t>&gt;</w:t>
      </w:r>
    </w:p>
  </w:footnote>
  <w:footnote w:id="34">
    <w:p w14:paraId="3ECBF34D"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Case C-286/12</w:t>
      </w:r>
      <w:r w:rsidRPr="00DA7DAC">
        <w:rPr>
          <w:rFonts w:cs="Times New Roman"/>
          <w:sz w:val="20"/>
          <w:szCs w:val="20"/>
        </w:rPr>
        <w:t>,</w:t>
      </w:r>
      <w:r w:rsidRPr="00DA7DAC">
        <w:rPr>
          <w:rStyle w:val="FootnoteReference"/>
          <w:rFonts w:cs="Times New Roman"/>
          <w:sz w:val="20"/>
          <w:szCs w:val="20"/>
          <w:vertAlign w:val="baseline"/>
        </w:rPr>
        <w:t xml:space="preserve"> </w:t>
      </w:r>
      <w:r w:rsidRPr="00DA7DAC">
        <w:rPr>
          <w:rStyle w:val="FootnoteReference"/>
          <w:rFonts w:cs="Times New Roman"/>
          <w:i/>
          <w:sz w:val="20"/>
          <w:szCs w:val="20"/>
          <w:vertAlign w:val="baseline"/>
        </w:rPr>
        <w:t>Commission v Hungary</w:t>
      </w:r>
      <w:r w:rsidRPr="00DA7DAC">
        <w:rPr>
          <w:rStyle w:val="FootnoteReference"/>
          <w:rFonts w:cs="Times New Roman"/>
          <w:sz w:val="20"/>
          <w:szCs w:val="20"/>
          <w:vertAlign w:val="baseline"/>
        </w:rPr>
        <w:t xml:space="preserve"> [2012] (The radical lowering of the retirement age for Hungarian judges constitutes unjustified discrimination on grounds of age). More recently, Hungary was found to have violated EU law by prematurely bringing to an end the term served by its Data Protection Supervisor: Case C</w:t>
      </w:r>
      <w:r w:rsidRPr="00DA7DAC">
        <w:rPr>
          <w:rStyle w:val="FootnoteReference"/>
          <w:rFonts w:cs="Times New Roman"/>
          <w:sz w:val="20"/>
          <w:szCs w:val="20"/>
          <w:vertAlign w:val="baseline"/>
        </w:rPr>
        <w:noBreakHyphen/>
        <w:t>288/12</w:t>
      </w:r>
      <w:r w:rsidRPr="00DA7DAC">
        <w:rPr>
          <w:rFonts w:cs="Times New Roman"/>
          <w:sz w:val="20"/>
          <w:szCs w:val="20"/>
        </w:rPr>
        <w:t>,</w:t>
      </w:r>
      <w:r w:rsidRPr="00DA7DAC">
        <w:rPr>
          <w:rStyle w:val="FootnoteReference"/>
          <w:rFonts w:cs="Times New Roman"/>
          <w:sz w:val="20"/>
          <w:szCs w:val="20"/>
          <w:vertAlign w:val="baseline"/>
        </w:rPr>
        <w:t xml:space="preserve"> </w:t>
      </w:r>
      <w:r w:rsidRPr="00DA7DAC">
        <w:rPr>
          <w:rStyle w:val="FootnoteReference"/>
          <w:rFonts w:cs="Times New Roman"/>
          <w:i/>
          <w:sz w:val="20"/>
          <w:szCs w:val="20"/>
          <w:vertAlign w:val="baseline"/>
        </w:rPr>
        <w:t>Commission v Hungary</w:t>
      </w:r>
      <w:r w:rsidRPr="00DA7DAC">
        <w:rPr>
          <w:rStyle w:val="FootnoteReference"/>
          <w:rFonts w:cs="Times New Roman"/>
          <w:sz w:val="20"/>
          <w:szCs w:val="20"/>
          <w:vertAlign w:val="baseline"/>
        </w:rPr>
        <w:t xml:space="preserve"> [2014].</w:t>
      </w:r>
    </w:p>
  </w:footnote>
  <w:footnote w:id="35">
    <w:p w14:paraId="31419F46"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For some recent studies, see chapters 5 and 6 in A. von </w:t>
      </w:r>
      <w:proofErr w:type="spellStart"/>
      <w:r w:rsidRPr="00DA7DAC">
        <w:rPr>
          <w:rFonts w:cs="Times New Roman"/>
          <w:sz w:val="20"/>
          <w:szCs w:val="20"/>
        </w:rPr>
        <w:t>Bogdandy</w:t>
      </w:r>
      <w:proofErr w:type="spellEnd"/>
      <w:r w:rsidRPr="00DA7DAC">
        <w:rPr>
          <w:rFonts w:cs="Times New Roman"/>
          <w:sz w:val="20"/>
          <w:szCs w:val="20"/>
        </w:rPr>
        <w:t xml:space="preserve"> and P. </w:t>
      </w:r>
      <w:proofErr w:type="spellStart"/>
      <w:r w:rsidRPr="00DA7DAC">
        <w:rPr>
          <w:rFonts w:cs="Times New Roman"/>
          <w:sz w:val="20"/>
          <w:szCs w:val="20"/>
        </w:rPr>
        <w:t>Sonnevend</w:t>
      </w:r>
      <w:proofErr w:type="spellEnd"/>
      <w:r w:rsidRPr="00DA7DAC">
        <w:rPr>
          <w:rFonts w:cs="Times New Roman"/>
          <w:sz w:val="20"/>
          <w:szCs w:val="20"/>
        </w:rPr>
        <w:t xml:space="preserve"> (eds.), </w:t>
      </w:r>
      <w:r w:rsidRPr="00DA7DAC">
        <w:rPr>
          <w:rFonts w:cs="Times New Roman"/>
          <w:i/>
          <w:sz w:val="20"/>
          <w:szCs w:val="20"/>
        </w:rPr>
        <w:t>Constitutional Crisis in the European Constitutional Area. Theory, Law and Politics in Hungary and Romania</w:t>
      </w:r>
      <w:r w:rsidRPr="00DA7DAC">
        <w:rPr>
          <w:rFonts w:cs="Times New Roman"/>
          <w:sz w:val="20"/>
          <w:szCs w:val="20"/>
        </w:rPr>
        <w:t xml:space="preserve"> (Hart, 2015).</w:t>
      </w:r>
    </w:p>
  </w:footnote>
  <w:footnote w:id="36">
    <w:p w14:paraId="3D881327" w14:textId="77777777" w:rsidR="00DE5B47" w:rsidRPr="00DA7DAC" w:rsidRDefault="00DE5B47" w:rsidP="0041419C">
      <w:pPr>
        <w:jc w:val="both"/>
        <w:rPr>
          <w:rFonts w:eastAsia="Times New Roman" w:cs="Times New Roman"/>
          <w:sz w:val="20"/>
        </w:rPr>
      </w:pPr>
      <w:r w:rsidRPr="00DA7DAC">
        <w:rPr>
          <w:rStyle w:val="FootnoteReference"/>
          <w:sz w:val="20"/>
        </w:rPr>
        <w:footnoteRef/>
      </w:r>
      <w:r w:rsidRPr="00DA7DAC">
        <w:rPr>
          <w:sz w:val="20"/>
        </w:rPr>
        <w:t xml:space="preserve"> For the argument that the EU is not necessarily powerless against democratic backsliding in Romania provided that the right constellation of conditions for both social and material pressure exists, see </w:t>
      </w:r>
      <w:r w:rsidRPr="00DA7DAC">
        <w:rPr>
          <w:rFonts w:eastAsia="Times New Roman" w:cs="Times New Roman"/>
          <w:sz w:val="20"/>
        </w:rPr>
        <w:t xml:space="preserve">U. </w:t>
      </w:r>
      <w:proofErr w:type="spellStart"/>
      <w:r w:rsidRPr="00DA7DAC">
        <w:rPr>
          <w:rFonts w:eastAsia="Times New Roman" w:cs="Times New Roman"/>
          <w:sz w:val="20"/>
        </w:rPr>
        <w:t>Sedelmeier</w:t>
      </w:r>
      <w:proofErr w:type="spellEnd"/>
      <w:r w:rsidRPr="00DA7DAC">
        <w:rPr>
          <w:rFonts w:eastAsia="Times New Roman" w:cs="Times New Roman"/>
          <w:sz w:val="20"/>
        </w:rPr>
        <w:t>, ‘</w:t>
      </w:r>
      <w:r w:rsidRPr="00DA7DAC">
        <w:rPr>
          <w:rStyle w:val="maintitle"/>
          <w:sz w:val="20"/>
        </w:rPr>
        <w:t xml:space="preserve">Anchoring Democracy from Above? The European Union and Democratic Backsliding in Hungary and Romania after Accession’, 52 </w:t>
      </w:r>
      <w:r w:rsidRPr="00DA7DAC">
        <w:rPr>
          <w:rStyle w:val="maintitle"/>
          <w:i/>
          <w:sz w:val="20"/>
        </w:rPr>
        <w:t>JCMS</w:t>
      </w:r>
      <w:r w:rsidRPr="00DA7DAC">
        <w:rPr>
          <w:rStyle w:val="maintitle"/>
          <w:sz w:val="20"/>
        </w:rPr>
        <w:t xml:space="preserve"> (2014) p. 105.  </w:t>
      </w:r>
      <w:r w:rsidRPr="00DA7DAC">
        <w:rPr>
          <w:rFonts w:eastAsia="Times New Roman" w:cs="Times New Roman"/>
          <w:sz w:val="20"/>
          <w:vertAlign w:val="superscript"/>
        </w:rPr>
        <w:t xml:space="preserve"> </w:t>
      </w:r>
    </w:p>
  </w:footnote>
  <w:footnote w:id="37">
    <w:p w14:paraId="28538707" w14:textId="77777777" w:rsidR="00DE5B47" w:rsidRPr="00DA7DAC" w:rsidRDefault="00DE5B47" w:rsidP="00400F3A">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Fonts w:cs="Arial"/>
          <w:sz w:val="20"/>
          <w:szCs w:val="28"/>
        </w:rPr>
        <w:t>‘We are parting ways with western European dogmas, making ourselves independent from them … We have to abandon liberal methods and principles of organising a society. The new state that we are building is an illiberal state, a non-liberal state,’ c</w:t>
      </w:r>
      <w:r w:rsidRPr="00DA7DAC">
        <w:rPr>
          <w:rFonts w:cs="Arial"/>
          <w:sz w:val="20"/>
          <w:szCs w:val="42"/>
        </w:rPr>
        <w:t xml:space="preserve">ited in </w:t>
      </w:r>
      <w:hyperlink r:id="rId4" w:history="1">
        <w:r w:rsidRPr="00DA7DAC">
          <w:rPr>
            <w:rFonts w:cs="Georgia"/>
            <w:bCs/>
            <w:sz w:val="20"/>
          </w:rPr>
          <w:t xml:space="preserve">I. </w:t>
        </w:r>
        <w:proofErr w:type="spellStart"/>
        <w:r w:rsidRPr="00DA7DAC">
          <w:rPr>
            <w:rFonts w:cs="Georgia"/>
            <w:bCs/>
            <w:sz w:val="20"/>
          </w:rPr>
          <w:t>Traynor</w:t>
        </w:r>
        <w:proofErr w:type="spellEnd"/>
      </w:hyperlink>
      <w:r w:rsidRPr="00DA7DAC">
        <w:rPr>
          <w:rFonts w:cs="Georgia"/>
          <w:sz w:val="20"/>
        </w:rPr>
        <w:t>, ‘</w:t>
      </w:r>
      <w:r w:rsidRPr="00DA7DAC">
        <w:rPr>
          <w:rFonts w:cs="Georgia"/>
          <w:sz w:val="20"/>
          <w:szCs w:val="70"/>
        </w:rPr>
        <w:t>Budapest autumn: hollowing out democracy on the edge of Europe’</w:t>
      </w:r>
      <w:r w:rsidRPr="00DA7DAC">
        <w:rPr>
          <w:rFonts w:cs="Georgia"/>
          <w:sz w:val="20"/>
        </w:rPr>
        <w:t xml:space="preserve">, </w:t>
      </w:r>
      <w:hyperlink r:id="rId5" w:history="1">
        <w:r w:rsidRPr="00DA7DAC">
          <w:rPr>
            <w:rFonts w:cs="Georgia"/>
            <w:i/>
            <w:sz w:val="20"/>
          </w:rPr>
          <w:t>The Guardian</w:t>
        </w:r>
      </w:hyperlink>
      <w:r w:rsidRPr="00DA7DAC">
        <w:rPr>
          <w:rFonts w:cs="Georgia"/>
          <w:sz w:val="20"/>
        </w:rPr>
        <w:t>, 29 October 2014</w:t>
      </w:r>
      <w:r w:rsidRPr="00DA7DAC">
        <w:rPr>
          <w:rStyle w:val="FootnoteReference"/>
          <w:rFonts w:cs="Times New Roman"/>
          <w:sz w:val="20"/>
          <w:szCs w:val="20"/>
          <w:vertAlign w:val="baseline"/>
        </w:rPr>
        <w:t>.</w:t>
      </w:r>
    </w:p>
  </w:footnote>
  <w:footnote w:id="38">
    <w:p w14:paraId="276FD270"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See K</w:t>
      </w:r>
      <w:r w:rsidRPr="00DA7DAC">
        <w:rPr>
          <w:rFonts w:cs="Times New Roman"/>
          <w:sz w:val="20"/>
          <w:szCs w:val="20"/>
        </w:rPr>
        <w:t>.</w:t>
      </w:r>
      <w:r w:rsidRPr="00DA7DAC">
        <w:rPr>
          <w:rStyle w:val="FootnoteReference"/>
          <w:rFonts w:cs="Times New Roman"/>
          <w:sz w:val="20"/>
          <w:szCs w:val="20"/>
          <w:vertAlign w:val="baseline"/>
        </w:rPr>
        <w:t xml:space="preserve">L. </w:t>
      </w:r>
      <w:proofErr w:type="spellStart"/>
      <w:r w:rsidRPr="00DA7DAC">
        <w:rPr>
          <w:rStyle w:val="FootnoteReference"/>
          <w:rFonts w:cs="Times New Roman"/>
          <w:sz w:val="20"/>
          <w:szCs w:val="20"/>
          <w:vertAlign w:val="baseline"/>
        </w:rPr>
        <w:t>Scheppele</w:t>
      </w:r>
      <w:proofErr w:type="spellEnd"/>
      <w:r w:rsidRPr="00DA7DAC">
        <w:rPr>
          <w:rStyle w:val="FootnoteReference"/>
          <w:rFonts w:cs="Times New Roman"/>
          <w:sz w:val="20"/>
          <w:szCs w:val="20"/>
          <w:vertAlign w:val="baseline"/>
        </w:rPr>
        <w:t xml:space="preserve">, ‘The Unconstitutional Constitution’, </w:t>
      </w:r>
      <w:r w:rsidRPr="00DA7DAC">
        <w:rPr>
          <w:rStyle w:val="FootnoteReference"/>
          <w:rFonts w:cs="Times New Roman"/>
          <w:i/>
          <w:sz w:val="20"/>
          <w:szCs w:val="20"/>
          <w:vertAlign w:val="baseline"/>
        </w:rPr>
        <w:t>New York Times</w:t>
      </w:r>
      <w:r w:rsidRPr="00DA7DAC">
        <w:rPr>
          <w:rStyle w:val="FootnoteReference"/>
          <w:rFonts w:cs="Times New Roman"/>
          <w:sz w:val="20"/>
          <w:szCs w:val="20"/>
          <w:vertAlign w:val="baseline"/>
        </w:rPr>
        <w:t>, 2 January 2012</w:t>
      </w:r>
      <w:r w:rsidRPr="00DA7DAC">
        <w:rPr>
          <w:rFonts w:cs="Times New Roman"/>
          <w:sz w:val="20"/>
          <w:szCs w:val="20"/>
        </w:rPr>
        <w:t>.</w:t>
      </w:r>
      <w:r w:rsidRPr="00DA7DAC">
        <w:rPr>
          <w:rStyle w:val="FootnoteReference"/>
          <w:rFonts w:cs="Times New Roman"/>
          <w:sz w:val="20"/>
          <w:szCs w:val="20"/>
          <w:vertAlign w:val="baseline"/>
        </w:rPr>
        <w:t xml:space="preserve"> For an article looking beyond Hungary, see </w:t>
      </w:r>
      <w:hyperlink r:id="rId6" w:history="1">
        <w:r w:rsidRPr="00DA7DAC">
          <w:rPr>
            <w:rStyle w:val="FootnoteReference"/>
            <w:rFonts w:cs="Times New Roman"/>
            <w:sz w:val="20"/>
            <w:szCs w:val="20"/>
            <w:vertAlign w:val="baseline"/>
          </w:rPr>
          <w:t>J.-W. Müller</w:t>
        </w:r>
      </w:hyperlink>
      <w:r w:rsidRPr="00DA7DAC">
        <w:rPr>
          <w:rStyle w:val="FootnoteReference"/>
          <w:rFonts w:cs="Times New Roman"/>
          <w:sz w:val="20"/>
          <w:szCs w:val="20"/>
          <w:vertAlign w:val="baseline"/>
        </w:rPr>
        <w:t xml:space="preserve">, ‘Eastern Europe Goes South. Disappearing Democracy in the EU’s Newest Members’, </w:t>
      </w:r>
      <w:r w:rsidRPr="00DA7DAC">
        <w:rPr>
          <w:rStyle w:val="FootnoteReference"/>
          <w:rFonts w:cs="Times New Roman"/>
          <w:i/>
          <w:sz w:val="20"/>
          <w:szCs w:val="20"/>
          <w:vertAlign w:val="baseline"/>
        </w:rPr>
        <w:t>Foreign Affairs</w:t>
      </w:r>
      <w:r w:rsidRPr="00DA7DAC">
        <w:rPr>
          <w:rStyle w:val="FootnoteReference"/>
          <w:rFonts w:cs="Times New Roman"/>
          <w:sz w:val="20"/>
          <w:szCs w:val="20"/>
          <w:vertAlign w:val="baseline"/>
        </w:rPr>
        <w:t>, March-April 2014.</w:t>
      </w:r>
    </w:p>
  </w:footnote>
  <w:footnote w:id="39">
    <w:p w14:paraId="07E8E3B0"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See Articles 3(1) and 13 TEU as far as the EU is concerned and Articles 4(3) and 7 TEU as far as the Member States are concerned.</w:t>
      </w:r>
      <w:r w:rsidRPr="00DA7DAC">
        <w:rPr>
          <w:rFonts w:cs="Times New Roman"/>
          <w:sz w:val="20"/>
          <w:szCs w:val="20"/>
        </w:rPr>
        <w:t xml:space="preserve"> For the argument that the EU values entail more obligations and guidance for the exercise of EU powers post Lisbon Treaty, see J. </w:t>
      </w:r>
      <w:proofErr w:type="spellStart"/>
      <w:r w:rsidRPr="00DA7DAC">
        <w:rPr>
          <w:rFonts w:cs="Times New Roman"/>
          <w:sz w:val="20"/>
          <w:szCs w:val="20"/>
        </w:rPr>
        <w:t>Larik</w:t>
      </w:r>
      <w:proofErr w:type="spellEnd"/>
      <w:r w:rsidRPr="00DA7DAC">
        <w:rPr>
          <w:rFonts w:cs="Times New Roman"/>
          <w:sz w:val="20"/>
          <w:szCs w:val="20"/>
        </w:rPr>
        <w:t xml:space="preserve">, ‘From Speciality to a Constitutional Sense of Purpose: On the Changing Role of the Objectives of the EU’, 62 </w:t>
      </w:r>
      <w:r w:rsidRPr="00DA7DAC">
        <w:rPr>
          <w:rFonts w:cs="Times New Roman"/>
          <w:i/>
          <w:sz w:val="20"/>
          <w:szCs w:val="20"/>
        </w:rPr>
        <w:t>ICLQ</w:t>
      </w:r>
      <w:r w:rsidRPr="00DA7DAC">
        <w:rPr>
          <w:rFonts w:cs="Times New Roman"/>
          <w:sz w:val="20"/>
          <w:szCs w:val="20"/>
        </w:rPr>
        <w:t xml:space="preserve"> (2014) p. 935. </w:t>
      </w:r>
    </w:p>
  </w:footnote>
  <w:footnote w:id="40">
    <w:p w14:paraId="0C7397FB" w14:textId="77777777" w:rsidR="00DE5B47" w:rsidRPr="00DA7DAC" w:rsidRDefault="00DE5B47" w:rsidP="0041419C">
      <w:pPr>
        <w:pStyle w:val="FootnoteText"/>
        <w:spacing w:before="0" w:line="240" w:lineRule="auto"/>
        <w:ind w:left="0" w:firstLine="0"/>
        <w:rPr>
          <w:sz w:val="20"/>
        </w:rPr>
      </w:pPr>
      <w:r w:rsidRPr="00DA7DAC">
        <w:rPr>
          <w:rStyle w:val="FootnoteReference"/>
          <w:sz w:val="20"/>
        </w:rPr>
        <w:footnoteRef/>
      </w:r>
      <w:r w:rsidRPr="00DA7DAC">
        <w:rPr>
          <w:sz w:val="20"/>
        </w:rPr>
        <w:t xml:space="preserve"> For extensive references, see L. Pech, ‘The Rule of Law as a Constitutional Principle of the European Union’, </w:t>
      </w:r>
      <w:r w:rsidRPr="00DA7DAC">
        <w:rPr>
          <w:i/>
          <w:sz w:val="20"/>
        </w:rPr>
        <w:t>Jean Monnet Working Paper</w:t>
      </w:r>
      <w:r w:rsidRPr="00DA7DAC">
        <w:rPr>
          <w:sz w:val="20"/>
        </w:rPr>
        <w:t xml:space="preserve"> No. 04/09.</w:t>
      </w:r>
    </w:p>
  </w:footnote>
  <w:footnote w:id="41">
    <w:p w14:paraId="499A1EC5"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Art. 263 TFEU.</w:t>
      </w:r>
    </w:p>
  </w:footnote>
  <w:footnote w:id="42">
    <w:p w14:paraId="389B5A50"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Only a handful of retired judges were restored in office, none to acquire the administrative position within the court structure previously held, and most were simply offered financial compensation. See K</w:t>
      </w:r>
      <w:r w:rsidRPr="00DA7DAC">
        <w:rPr>
          <w:rFonts w:cs="Times New Roman"/>
          <w:sz w:val="20"/>
          <w:szCs w:val="20"/>
        </w:rPr>
        <w:t>.</w:t>
      </w:r>
      <w:r w:rsidRPr="00DA7DAC">
        <w:rPr>
          <w:rStyle w:val="FootnoteReference"/>
          <w:rFonts w:cs="Times New Roman"/>
          <w:sz w:val="20"/>
          <w:szCs w:val="20"/>
          <w:vertAlign w:val="baseline"/>
        </w:rPr>
        <w:t xml:space="preserve">L. </w:t>
      </w:r>
      <w:proofErr w:type="spellStart"/>
      <w:r w:rsidRPr="00DA7DAC">
        <w:rPr>
          <w:rStyle w:val="FootnoteReference"/>
          <w:rFonts w:cs="Times New Roman"/>
          <w:sz w:val="20"/>
          <w:szCs w:val="20"/>
          <w:vertAlign w:val="baseline"/>
        </w:rPr>
        <w:t>Scheppele</w:t>
      </w:r>
      <w:proofErr w:type="spellEnd"/>
      <w:r w:rsidRPr="00DA7DAC">
        <w:rPr>
          <w:rStyle w:val="FootnoteReference"/>
          <w:rFonts w:cs="Times New Roman"/>
          <w:sz w:val="20"/>
          <w:szCs w:val="20"/>
          <w:vertAlign w:val="baseline"/>
        </w:rPr>
        <w:t xml:space="preserve">, ‘Making Infringement Procedures More Effective’, </w:t>
      </w:r>
      <w:proofErr w:type="spellStart"/>
      <w:r w:rsidRPr="00DA7DAC">
        <w:rPr>
          <w:rStyle w:val="FootnoteReference"/>
          <w:rFonts w:cs="Times New Roman"/>
          <w:i/>
          <w:sz w:val="20"/>
          <w:szCs w:val="20"/>
          <w:vertAlign w:val="baseline"/>
        </w:rPr>
        <w:t>EUTopia</w:t>
      </w:r>
      <w:proofErr w:type="spellEnd"/>
      <w:r w:rsidRPr="00DA7DAC">
        <w:rPr>
          <w:rStyle w:val="FootnoteReference"/>
          <w:rFonts w:cs="Times New Roman"/>
          <w:i/>
          <w:sz w:val="20"/>
          <w:szCs w:val="20"/>
          <w:vertAlign w:val="baseline"/>
        </w:rPr>
        <w:t xml:space="preserve"> Law</w:t>
      </w:r>
      <w:r w:rsidRPr="00DA7DAC">
        <w:rPr>
          <w:rStyle w:val="FootnoteReference"/>
          <w:rFonts w:cs="Times New Roman"/>
          <w:sz w:val="20"/>
          <w:szCs w:val="20"/>
          <w:vertAlign w:val="baseline"/>
        </w:rPr>
        <w:t>, 29 April 2014, available at</w:t>
      </w:r>
      <w:r w:rsidRPr="00DA7DAC">
        <w:rPr>
          <w:rFonts w:cs="Times New Roman"/>
          <w:sz w:val="20"/>
          <w:szCs w:val="20"/>
        </w:rPr>
        <w:t>:</w:t>
      </w:r>
      <w:r w:rsidRPr="00DA7DAC">
        <w:rPr>
          <w:rStyle w:val="FootnoteReference"/>
          <w:rFonts w:cs="Times New Roman"/>
          <w:sz w:val="20"/>
          <w:szCs w:val="20"/>
          <w:vertAlign w:val="baseline"/>
        </w:rPr>
        <w:t xml:space="preserve"> &lt;www.eutopialaw.com&gt;.</w:t>
      </w:r>
    </w:p>
  </w:footnote>
  <w:footnote w:id="43">
    <w:p w14:paraId="3AE4745F"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Müller, </w:t>
      </w:r>
      <w:r w:rsidRPr="00DA7DAC">
        <w:rPr>
          <w:rStyle w:val="FootnoteReference"/>
          <w:rFonts w:cs="Times New Roman"/>
          <w:i/>
          <w:sz w:val="20"/>
          <w:szCs w:val="20"/>
          <w:vertAlign w:val="baseline"/>
        </w:rPr>
        <w:t>supra</w:t>
      </w:r>
      <w:r w:rsidRPr="00DA7DAC">
        <w:rPr>
          <w:rStyle w:val="FootnoteReference"/>
          <w:rFonts w:cs="Times New Roman"/>
          <w:sz w:val="20"/>
          <w:szCs w:val="20"/>
          <w:vertAlign w:val="baseline"/>
        </w:rPr>
        <w:t xml:space="preserve"> n.</w:t>
      </w:r>
      <w:r w:rsidRPr="00DA7DAC">
        <w:rPr>
          <w:rFonts w:cs="Times New Roman"/>
          <w:sz w:val="20"/>
          <w:szCs w:val="20"/>
        </w:rPr>
        <w:t xml:space="preserve"> 18.</w:t>
      </w:r>
    </w:p>
  </w:footnote>
  <w:footnote w:id="44">
    <w:p w14:paraId="69513B06"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C</w:t>
      </w:r>
      <w:r w:rsidRPr="00DA7DAC">
        <w:rPr>
          <w:rFonts w:cs="Times New Roman"/>
          <w:sz w:val="20"/>
          <w:szCs w:val="20"/>
        </w:rPr>
        <w:t>.</w:t>
      </w:r>
      <w:r w:rsidRPr="00DA7DAC">
        <w:rPr>
          <w:rStyle w:val="FootnoteReference"/>
          <w:rFonts w:cs="Times New Roman"/>
          <w:sz w:val="20"/>
          <w:szCs w:val="20"/>
          <w:vertAlign w:val="baseline"/>
        </w:rPr>
        <w:t xml:space="preserve"> </w:t>
      </w:r>
      <w:proofErr w:type="spellStart"/>
      <w:r w:rsidRPr="00DA7DAC">
        <w:rPr>
          <w:rStyle w:val="FootnoteReference"/>
          <w:rFonts w:cs="Times New Roman"/>
          <w:sz w:val="20"/>
          <w:szCs w:val="20"/>
          <w:vertAlign w:val="baseline"/>
        </w:rPr>
        <w:t>Closa</w:t>
      </w:r>
      <w:proofErr w:type="spellEnd"/>
      <w:r w:rsidRPr="00DA7DAC">
        <w:rPr>
          <w:rStyle w:val="FootnoteReference"/>
          <w:rFonts w:cs="Times New Roman"/>
          <w:sz w:val="20"/>
          <w:szCs w:val="20"/>
          <w:vertAlign w:val="baseline"/>
        </w:rPr>
        <w:t>, D</w:t>
      </w:r>
      <w:r w:rsidRPr="00DA7DAC">
        <w:rPr>
          <w:rFonts w:cs="Times New Roman"/>
          <w:sz w:val="20"/>
          <w:szCs w:val="20"/>
        </w:rPr>
        <w:t>.</w:t>
      </w:r>
      <w:r w:rsidRPr="00DA7DAC">
        <w:rPr>
          <w:rStyle w:val="FootnoteReference"/>
          <w:rFonts w:cs="Times New Roman"/>
          <w:sz w:val="20"/>
          <w:szCs w:val="20"/>
          <w:vertAlign w:val="baseline"/>
        </w:rPr>
        <w:t xml:space="preserve"> </w:t>
      </w:r>
      <w:proofErr w:type="spellStart"/>
      <w:r w:rsidRPr="00DA7DAC">
        <w:rPr>
          <w:rStyle w:val="FootnoteReference"/>
          <w:rFonts w:cs="Times New Roman"/>
          <w:sz w:val="20"/>
          <w:szCs w:val="20"/>
          <w:vertAlign w:val="baseline"/>
        </w:rPr>
        <w:t>Kochenov</w:t>
      </w:r>
      <w:proofErr w:type="spellEnd"/>
      <w:r w:rsidRPr="00DA7DAC">
        <w:rPr>
          <w:rStyle w:val="FootnoteReference"/>
          <w:rFonts w:cs="Times New Roman"/>
          <w:sz w:val="20"/>
          <w:szCs w:val="20"/>
          <w:vertAlign w:val="baseline"/>
        </w:rPr>
        <w:t>, J</w:t>
      </w:r>
      <w:r w:rsidRPr="00DA7DAC">
        <w:rPr>
          <w:rFonts w:cs="Times New Roman"/>
          <w:sz w:val="20"/>
          <w:szCs w:val="20"/>
        </w:rPr>
        <w:t>.</w:t>
      </w:r>
      <w:r w:rsidRPr="00DA7DAC">
        <w:rPr>
          <w:rStyle w:val="FootnoteReference"/>
          <w:rFonts w:cs="Times New Roman"/>
          <w:sz w:val="20"/>
          <w:szCs w:val="20"/>
          <w:vertAlign w:val="baseline"/>
        </w:rPr>
        <w:t>H</w:t>
      </w:r>
      <w:r w:rsidRPr="00DA7DAC">
        <w:rPr>
          <w:rFonts w:cs="Times New Roman"/>
          <w:sz w:val="20"/>
          <w:szCs w:val="20"/>
        </w:rPr>
        <w:t>.</w:t>
      </w:r>
      <w:r w:rsidRPr="00DA7DAC">
        <w:rPr>
          <w:rStyle w:val="FootnoteReference"/>
          <w:rFonts w:cs="Times New Roman"/>
          <w:sz w:val="20"/>
          <w:szCs w:val="20"/>
          <w:vertAlign w:val="baseline"/>
        </w:rPr>
        <w:t>H</w:t>
      </w:r>
      <w:r w:rsidRPr="00DA7DAC">
        <w:rPr>
          <w:rFonts w:cs="Times New Roman"/>
          <w:sz w:val="20"/>
          <w:szCs w:val="20"/>
        </w:rPr>
        <w:t>.</w:t>
      </w:r>
      <w:r w:rsidRPr="00DA7DAC">
        <w:rPr>
          <w:rStyle w:val="FootnoteReference"/>
          <w:rFonts w:cs="Times New Roman"/>
          <w:sz w:val="20"/>
          <w:szCs w:val="20"/>
          <w:vertAlign w:val="baseline"/>
        </w:rPr>
        <w:t xml:space="preserve"> </w:t>
      </w:r>
      <w:proofErr w:type="spellStart"/>
      <w:r w:rsidRPr="00DA7DAC">
        <w:rPr>
          <w:rStyle w:val="FootnoteReference"/>
          <w:rFonts w:cs="Times New Roman"/>
          <w:sz w:val="20"/>
          <w:szCs w:val="20"/>
          <w:vertAlign w:val="baseline"/>
        </w:rPr>
        <w:t>Weiler</w:t>
      </w:r>
      <w:proofErr w:type="spellEnd"/>
      <w:r w:rsidRPr="00DA7DAC">
        <w:rPr>
          <w:rStyle w:val="FootnoteReference"/>
          <w:rFonts w:cs="Times New Roman"/>
          <w:sz w:val="20"/>
          <w:szCs w:val="20"/>
          <w:vertAlign w:val="baseline"/>
        </w:rPr>
        <w:t xml:space="preserve">, ‘Reinforcing Rule of Law Oversight in the European Union’, </w:t>
      </w:r>
      <w:r w:rsidRPr="00DA7DAC">
        <w:rPr>
          <w:rStyle w:val="FootnoteReference"/>
          <w:rFonts w:cs="Times New Roman"/>
          <w:i/>
          <w:sz w:val="20"/>
          <w:szCs w:val="20"/>
          <w:vertAlign w:val="baseline"/>
        </w:rPr>
        <w:t>EUI Working Papers RSCAS</w:t>
      </w:r>
      <w:r w:rsidRPr="00DA7DAC">
        <w:rPr>
          <w:rStyle w:val="FootnoteReference"/>
          <w:rFonts w:cs="Times New Roman"/>
          <w:sz w:val="20"/>
          <w:szCs w:val="20"/>
          <w:vertAlign w:val="baseline"/>
        </w:rPr>
        <w:t xml:space="preserve"> 2014/25.</w:t>
      </w:r>
    </w:p>
  </w:footnote>
  <w:footnote w:id="45">
    <w:p w14:paraId="6C523F33"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According to the Court of Justice, the EU’s ‘legal structure is based on the fundamental </w:t>
      </w:r>
      <w:proofErr w:type="spellStart"/>
      <w:r w:rsidRPr="00DA7DAC">
        <w:rPr>
          <w:rFonts w:cs="Times New Roman"/>
          <w:sz w:val="20"/>
          <w:szCs w:val="20"/>
        </w:rPr>
        <w:t>premiss</w:t>
      </w:r>
      <w:proofErr w:type="spellEnd"/>
      <w:r w:rsidRPr="00DA7DAC">
        <w:rPr>
          <w:rFonts w:cs="Times New Roman"/>
          <w:sz w:val="20"/>
          <w:szCs w:val="20"/>
        </w:rPr>
        <w:t xml:space="preserve"> that each Member State shares with all the other Member States, and recognises that they share with it, a set of common values on which the EU is founded, as stated in Article 2 TEU. That </w:t>
      </w:r>
      <w:proofErr w:type="spellStart"/>
      <w:r w:rsidRPr="00DA7DAC">
        <w:rPr>
          <w:rFonts w:cs="Times New Roman"/>
          <w:sz w:val="20"/>
          <w:szCs w:val="20"/>
        </w:rPr>
        <w:t>premiss</w:t>
      </w:r>
      <w:proofErr w:type="spellEnd"/>
      <w:r w:rsidRPr="00DA7DAC">
        <w:rPr>
          <w:rFonts w:cs="Times New Roman"/>
          <w:sz w:val="20"/>
          <w:szCs w:val="20"/>
        </w:rPr>
        <w:t xml:space="preserve"> implies and justifies the existence of mutual trust between the Member States that those values will be recognised and, therefore, that the law of the EU that implements them will be respected’, Opinion 2/13, </w:t>
      </w:r>
      <w:r w:rsidRPr="00DA7DAC">
        <w:rPr>
          <w:rFonts w:cs="Times New Roman"/>
          <w:i/>
          <w:sz w:val="20"/>
          <w:szCs w:val="20"/>
        </w:rPr>
        <w:t xml:space="preserve">Accession to the ECHR </w:t>
      </w:r>
      <w:r w:rsidRPr="00DA7DAC">
        <w:rPr>
          <w:rFonts w:cs="Times New Roman"/>
          <w:sz w:val="20"/>
          <w:szCs w:val="20"/>
        </w:rPr>
        <w:t xml:space="preserve">(II), 18 December 2014, para. 168. </w:t>
      </w:r>
    </w:p>
  </w:footnote>
  <w:footnote w:id="46">
    <w:p w14:paraId="2A4F888E"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Art. 67 TFEU. </w:t>
      </w:r>
    </w:p>
  </w:footnote>
  <w:footnote w:id="47">
    <w:p w14:paraId="48368155" w14:textId="77777777" w:rsidR="00DE5B47" w:rsidRPr="00DA7DAC" w:rsidRDefault="00DE5B47" w:rsidP="0041419C">
      <w:pPr>
        <w:pStyle w:val="FootnoteText"/>
        <w:spacing w:before="0" w:line="240" w:lineRule="auto"/>
        <w:ind w:left="0" w:firstLine="0"/>
        <w:rPr>
          <w:sz w:val="20"/>
        </w:rPr>
      </w:pPr>
      <w:r w:rsidRPr="00DA7DAC">
        <w:rPr>
          <w:rStyle w:val="FootnoteReference"/>
          <w:sz w:val="20"/>
        </w:rPr>
        <w:footnoteRef/>
      </w:r>
      <w:r w:rsidRPr="00DA7DAC">
        <w:rPr>
          <w:sz w:val="20"/>
        </w:rPr>
        <w:t xml:space="preserve"> For further analysis, see C. Closa, ‘Reinforcing EU Monitoring of the Rule of Law: Normative Arguments, Institutional Proposals, and Procedural Limitations’, in Closa and Kochenov, </w:t>
      </w:r>
      <w:r w:rsidRPr="00DA7DAC">
        <w:rPr>
          <w:i/>
          <w:sz w:val="20"/>
        </w:rPr>
        <w:t>supra</w:t>
      </w:r>
      <w:r w:rsidRPr="00DA7DAC">
        <w:rPr>
          <w:sz w:val="20"/>
        </w:rPr>
        <w:t xml:space="preserve"> n. 7</w:t>
      </w:r>
      <w:r w:rsidRPr="00DA7DAC">
        <w:rPr>
          <w:i/>
          <w:sz w:val="20"/>
        </w:rPr>
        <w:t>.</w:t>
      </w:r>
    </w:p>
  </w:footnote>
  <w:footnote w:id="48">
    <w:p w14:paraId="6E0C7A3C" w14:textId="77777777" w:rsidR="00DE5B47" w:rsidRPr="00DA7DAC" w:rsidRDefault="00DE5B47" w:rsidP="0041419C">
      <w:pPr>
        <w:pStyle w:val="FootnoteText"/>
        <w:tabs>
          <w:tab w:val="left" w:pos="5954"/>
        </w:tabs>
        <w:spacing w:before="0" w:line="240" w:lineRule="auto"/>
        <w:ind w:left="0" w:firstLine="0"/>
        <w:rPr>
          <w:sz w:val="20"/>
        </w:rPr>
      </w:pPr>
      <w:r w:rsidRPr="00DA7DAC">
        <w:rPr>
          <w:rStyle w:val="FootnoteReference"/>
          <w:sz w:val="20"/>
          <w:vertAlign w:val="baseline"/>
        </w:rPr>
        <w:footnoteRef/>
      </w:r>
      <w:r w:rsidRPr="00DA7DAC">
        <w:rPr>
          <w:sz w:val="20"/>
        </w:rPr>
        <w:t xml:space="preserve"> For a skeptical and recent account, see D. Kochenov, ‘Law Perspective: Praise Undeserved? The EU as a Democracy Promoter: A Sceptical Account’, in A. Wetzel and J. Orbie (eds.), </w:t>
      </w:r>
      <w:r w:rsidRPr="00DA7DAC">
        <w:rPr>
          <w:i/>
          <w:sz w:val="20"/>
        </w:rPr>
        <w:t>The Substance of EU Democracy Promotion: Concepts and Cases</w:t>
      </w:r>
      <w:r w:rsidRPr="00DA7DAC">
        <w:rPr>
          <w:sz w:val="20"/>
        </w:rPr>
        <w:t xml:space="preserve"> (Palgrave Macmillan, 2015) p. 27.</w:t>
      </w:r>
    </w:p>
  </w:footnote>
  <w:footnote w:id="49">
    <w:p w14:paraId="6FBA4043"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Commission Communication</w:t>
      </w:r>
      <w:r w:rsidRPr="00DA7DAC">
        <w:rPr>
          <w:rFonts w:cs="Times New Roman"/>
          <w:sz w:val="20"/>
          <w:szCs w:val="20"/>
        </w:rPr>
        <w:t xml:space="preserve">, </w:t>
      </w:r>
      <w:r w:rsidRPr="00DA7DAC">
        <w:rPr>
          <w:rFonts w:cs="Times New Roman"/>
          <w:i/>
          <w:sz w:val="20"/>
          <w:szCs w:val="20"/>
        </w:rPr>
        <w:t xml:space="preserve">supra </w:t>
      </w:r>
      <w:r w:rsidRPr="00DA7DAC">
        <w:rPr>
          <w:rFonts w:cs="Times New Roman"/>
          <w:sz w:val="20"/>
          <w:szCs w:val="20"/>
        </w:rPr>
        <w:t>n. 5,</w:t>
      </w:r>
      <w:r w:rsidRPr="00DA7DAC">
        <w:rPr>
          <w:rStyle w:val="FootnoteReference"/>
          <w:rFonts w:cs="Times New Roman"/>
          <w:sz w:val="20"/>
          <w:szCs w:val="20"/>
          <w:vertAlign w:val="baseline"/>
        </w:rPr>
        <w:t xml:space="preserve"> p. 4. </w:t>
      </w:r>
    </w:p>
  </w:footnote>
  <w:footnote w:id="50">
    <w:p w14:paraId="57403CE7"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Fonts w:cs="Times New Roman"/>
          <w:sz w:val="20"/>
          <w:szCs w:val="20"/>
        </w:rPr>
        <w:t>Ibid., p. 7.</w:t>
      </w:r>
    </w:p>
  </w:footnote>
  <w:footnote w:id="51">
    <w:p w14:paraId="566D5FC7"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Style w:val="FootnoteReference"/>
          <w:rFonts w:cs="Times New Roman"/>
          <w:i/>
          <w:sz w:val="20"/>
          <w:szCs w:val="20"/>
          <w:vertAlign w:val="baseline"/>
        </w:rPr>
        <w:t>Report on the Rule of Law</w:t>
      </w:r>
      <w:r w:rsidRPr="00DA7DAC">
        <w:rPr>
          <w:rStyle w:val="FootnoteReference"/>
          <w:rFonts w:cs="Times New Roman"/>
          <w:sz w:val="20"/>
          <w:szCs w:val="20"/>
          <w:vertAlign w:val="baseline"/>
        </w:rPr>
        <w:t>, Study No. 512/2009, CDL-AD(2011)003rev, Strasbourg, 4 April 2011, para</w:t>
      </w:r>
      <w:r w:rsidRPr="00DA7DAC">
        <w:rPr>
          <w:rFonts w:cs="Times New Roman"/>
          <w:sz w:val="20"/>
          <w:szCs w:val="20"/>
        </w:rPr>
        <w:t>.</w:t>
      </w:r>
      <w:r w:rsidRPr="00DA7DAC">
        <w:rPr>
          <w:rStyle w:val="FootnoteReference"/>
          <w:rFonts w:cs="Times New Roman"/>
          <w:sz w:val="20"/>
          <w:szCs w:val="20"/>
          <w:vertAlign w:val="baseline"/>
        </w:rPr>
        <w:t xml:space="preserve"> 35.</w:t>
      </w:r>
    </w:p>
  </w:footnote>
  <w:footnote w:id="52">
    <w:p w14:paraId="3D004AC8"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Commission Communication</w:t>
      </w:r>
      <w:r w:rsidRPr="00DA7DAC">
        <w:rPr>
          <w:rFonts w:cs="Times New Roman"/>
          <w:sz w:val="20"/>
          <w:szCs w:val="20"/>
        </w:rPr>
        <w:t xml:space="preserve">, </w:t>
      </w:r>
      <w:r w:rsidRPr="00DA7DAC">
        <w:rPr>
          <w:rFonts w:cs="Times New Roman"/>
          <w:i/>
          <w:sz w:val="20"/>
          <w:szCs w:val="20"/>
        </w:rPr>
        <w:t>supra</w:t>
      </w:r>
      <w:r w:rsidRPr="00DA7DAC">
        <w:rPr>
          <w:rFonts w:cs="Times New Roman"/>
          <w:sz w:val="20"/>
          <w:szCs w:val="20"/>
        </w:rPr>
        <w:t xml:space="preserve"> n. 5,</w:t>
      </w:r>
      <w:r w:rsidRPr="00DA7DAC">
        <w:rPr>
          <w:rStyle w:val="FootnoteReference"/>
          <w:rFonts w:cs="Times New Roman"/>
          <w:sz w:val="20"/>
          <w:szCs w:val="20"/>
          <w:vertAlign w:val="baseline"/>
        </w:rPr>
        <w:t xml:space="preserve"> p. 4. </w:t>
      </w:r>
    </w:p>
  </w:footnote>
  <w:footnote w:id="53">
    <w:p w14:paraId="4F41AD4D"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Ibid. </w:t>
      </w:r>
    </w:p>
  </w:footnote>
  <w:footnote w:id="54">
    <w:p w14:paraId="25A24A3A"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Fonts w:cs="Times New Roman"/>
          <w:sz w:val="20"/>
          <w:szCs w:val="20"/>
        </w:rPr>
        <w:t>Ibid.</w:t>
      </w:r>
      <w:r w:rsidRPr="00DA7DAC">
        <w:rPr>
          <w:rStyle w:val="FootnoteReference"/>
          <w:rFonts w:cs="Times New Roman"/>
          <w:sz w:val="20"/>
          <w:szCs w:val="20"/>
          <w:vertAlign w:val="baseline"/>
        </w:rPr>
        <w:t xml:space="preserve"> </w:t>
      </w:r>
    </w:p>
  </w:footnote>
  <w:footnote w:id="55">
    <w:p w14:paraId="5E065215"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Fonts w:cs="Times New Roman"/>
          <w:sz w:val="20"/>
          <w:szCs w:val="20"/>
        </w:rPr>
        <w:t xml:space="preserve">See generally </w:t>
      </w:r>
      <w:r w:rsidRPr="00DA7DAC">
        <w:rPr>
          <w:rStyle w:val="FootnoteReference"/>
          <w:rFonts w:cs="Times New Roman"/>
          <w:sz w:val="20"/>
          <w:szCs w:val="20"/>
          <w:vertAlign w:val="baseline"/>
        </w:rPr>
        <w:t>Pech (2009)</w:t>
      </w:r>
      <w:r w:rsidRPr="00DA7DAC">
        <w:rPr>
          <w:rFonts w:cs="Times New Roman"/>
          <w:sz w:val="20"/>
          <w:szCs w:val="20"/>
        </w:rPr>
        <w:t xml:space="preserve">, </w:t>
      </w:r>
      <w:r w:rsidRPr="00DA7DAC">
        <w:rPr>
          <w:rFonts w:cs="Times New Roman"/>
          <w:i/>
          <w:sz w:val="20"/>
          <w:szCs w:val="20"/>
        </w:rPr>
        <w:t>supra</w:t>
      </w:r>
      <w:r w:rsidRPr="00DA7DAC">
        <w:rPr>
          <w:rFonts w:cs="Times New Roman"/>
          <w:sz w:val="20"/>
          <w:szCs w:val="20"/>
        </w:rPr>
        <w:t xml:space="preserve"> n. 38.</w:t>
      </w:r>
    </w:p>
  </w:footnote>
  <w:footnote w:id="56">
    <w:p w14:paraId="3387E69E"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L. Pech, ‘Promoting The Rule of Law Abroad: On the EU’s limited contribution to the shaping of an international understanding of the rule of law’ in D. </w:t>
      </w:r>
      <w:proofErr w:type="spellStart"/>
      <w:r w:rsidRPr="00DA7DAC">
        <w:rPr>
          <w:rStyle w:val="FootnoteReference"/>
          <w:rFonts w:cs="Times New Roman"/>
          <w:sz w:val="20"/>
          <w:szCs w:val="20"/>
          <w:vertAlign w:val="baseline"/>
        </w:rPr>
        <w:t>Kochenov</w:t>
      </w:r>
      <w:proofErr w:type="spellEnd"/>
      <w:r w:rsidRPr="00DA7DAC">
        <w:rPr>
          <w:rStyle w:val="FootnoteReference"/>
          <w:rFonts w:cs="Times New Roman"/>
          <w:sz w:val="20"/>
          <w:szCs w:val="20"/>
          <w:vertAlign w:val="baseline"/>
        </w:rPr>
        <w:t xml:space="preserve"> </w:t>
      </w:r>
      <w:r w:rsidRPr="00DA7DAC">
        <w:rPr>
          <w:rFonts w:cs="Times New Roman"/>
          <w:sz w:val="20"/>
          <w:szCs w:val="20"/>
        </w:rPr>
        <w:t xml:space="preserve">and </w:t>
      </w:r>
      <w:r w:rsidRPr="00DA7DAC">
        <w:rPr>
          <w:rStyle w:val="FootnoteReference"/>
          <w:rFonts w:cs="Times New Roman"/>
          <w:sz w:val="20"/>
          <w:szCs w:val="20"/>
          <w:vertAlign w:val="baseline"/>
        </w:rPr>
        <w:t xml:space="preserve">F. </w:t>
      </w:r>
      <w:proofErr w:type="spellStart"/>
      <w:r w:rsidRPr="00DA7DAC">
        <w:rPr>
          <w:rStyle w:val="FootnoteReference"/>
          <w:rFonts w:cs="Times New Roman"/>
          <w:sz w:val="20"/>
          <w:szCs w:val="20"/>
          <w:vertAlign w:val="baseline"/>
        </w:rPr>
        <w:t>Amtenbrink</w:t>
      </w:r>
      <w:proofErr w:type="spellEnd"/>
      <w:r w:rsidRPr="00DA7DAC">
        <w:rPr>
          <w:rStyle w:val="FootnoteReference"/>
          <w:rFonts w:cs="Times New Roman"/>
          <w:sz w:val="20"/>
          <w:szCs w:val="20"/>
          <w:vertAlign w:val="baseline"/>
        </w:rPr>
        <w:t xml:space="preserve"> (eds</w:t>
      </w:r>
      <w:r>
        <w:rPr>
          <w:rFonts w:cs="Times New Roman"/>
          <w:sz w:val="20"/>
          <w:szCs w:val="20"/>
        </w:rPr>
        <w:t>.</w:t>
      </w:r>
      <w:r w:rsidRPr="00DA7DAC">
        <w:rPr>
          <w:rStyle w:val="FootnoteReference"/>
          <w:rFonts w:cs="Times New Roman"/>
          <w:sz w:val="20"/>
          <w:szCs w:val="20"/>
          <w:vertAlign w:val="baseline"/>
        </w:rPr>
        <w:t xml:space="preserve">), </w:t>
      </w:r>
      <w:r w:rsidRPr="00DA7DAC">
        <w:rPr>
          <w:rStyle w:val="FootnoteReference"/>
          <w:rFonts w:cs="Times New Roman"/>
          <w:i/>
          <w:sz w:val="20"/>
          <w:szCs w:val="20"/>
          <w:vertAlign w:val="baseline"/>
        </w:rPr>
        <w:t>The EU’s Shaping of the International Legal Order</w:t>
      </w:r>
      <w:r>
        <w:rPr>
          <w:rStyle w:val="FootnoteReference"/>
          <w:rFonts w:cs="Times New Roman"/>
          <w:sz w:val="20"/>
          <w:szCs w:val="20"/>
          <w:vertAlign w:val="baseline"/>
        </w:rPr>
        <w:t xml:space="preserve"> (Cambridge University Press</w:t>
      </w:r>
      <w:r w:rsidRPr="00DA7DAC">
        <w:rPr>
          <w:rStyle w:val="FootnoteReference"/>
          <w:rFonts w:cs="Times New Roman"/>
          <w:sz w:val="20"/>
          <w:szCs w:val="20"/>
          <w:vertAlign w:val="baseline"/>
        </w:rPr>
        <w:t xml:space="preserve"> 2013) p. 108.</w:t>
      </w:r>
    </w:p>
  </w:footnote>
  <w:footnote w:id="57">
    <w:p w14:paraId="7FA6FFF4"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Commission Communication</w:t>
      </w:r>
      <w:r w:rsidRPr="00DA7DAC">
        <w:rPr>
          <w:rFonts w:cs="Times New Roman"/>
          <w:sz w:val="20"/>
          <w:szCs w:val="20"/>
        </w:rPr>
        <w:t xml:space="preserve">, </w:t>
      </w:r>
      <w:r w:rsidRPr="00DA7DAC">
        <w:rPr>
          <w:rFonts w:cs="Times New Roman"/>
          <w:i/>
          <w:sz w:val="20"/>
          <w:szCs w:val="20"/>
        </w:rPr>
        <w:t>supra</w:t>
      </w:r>
      <w:r w:rsidRPr="00DA7DAC">
        <w:rPr>
          <w:rFonts w:cs="Times New Roman"/>
          <w:sz w:val="20"/>
          <w:szCs w:val="20"/>
        </w:rPr>
        <w:t xml:space="preserve"> n. 5, p.</w:t>
      </w:r>
      <w:r w:rsidRPr="00DA7DAC">
        <w:rPr>
          <w:rStyle w:val="FootnoteReference"/>
          <w:rFonts w:cs="Times New Roman"/>
          <w:sz w:val="20"/>
          <w:szCs w:val="20"/>
          <w:vertAlign w:val="baseline"/>
        </w:rPr>
        <w:t xml:space="preserve"> 7. </w:t>
      </w:r>
    </w:p>
  </w:footnote>
  <w:footnote w:id="58">
    <w:p w14:paraId="44B63B90" w14:textId="77777777" w:rsidR="00DE5B47" w:rsidRPr="00DA7DAC" w:rsidRDefault="00DE5B47" w:rsidP="0041419C">
      <w:pPr>
        <w:pStyle w:val="FootnoteText"/>
        <w:spacing w:before="0" w:line="240" w:lineRule="auto"/>
        <w:ind w:left="0" w:firstLine="0"/>
        <w:rPr>
          <w:sz w:val="20"/>
        </w:rPr>
      </w:pPr>
      <w:r w:rsidRPr="00DA7DAC">
        <w:rPr>
          <w:rStyle w:val="FootnoteReference"/>
          <w:sz w:val="20"/>
        </w:rPr>
        <w:footnoteRef/>
      </w:r>
      <w:r w:rsidRPr="00DA7DAC">
        <w:rPr>
          <w:sz w:val="20"/>
        </w:rPr>
        <w:t xml:space="preserve"> For an attempt to clarify what a ‘systemic deficiency’ in the rule of law may entail, see von Bogdandy and M. Ioannidis, </w:t>
      </w:r>
      <w:r w:rsidRPr="00DA7DAC">
        <w:rPr>
          <w:i/>
          <w:sz w:val="20"/>
        </w:rPr>
        <w:t>supra</w:t>
      </w:r>
      <w:r w:rsidRPr="00DA7DAC">
        <w:rPr>
          <w:sz w:val="20"/>
        </w:rPr>
        <w:t xml:space="preserve"> n. 14, p. 65.</w:t>
      </w:r>
    </w:p>
  </w:footnote>
  <w:footnote w:id="59">
    <w:p w14:paraId="1E17C9F9"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Commission Communication</w:t>
      </w:r>
      <w:r w:rsidRPr="00DA7DAC">
        <w:rPr>
          <w:rFonts w:cs="Times New Roman"/>
          <w:sz w:val="20"/>
          <w:szCs w:val="20"/>
        </w:rPr>
        <w:t xml:space="preserve">, </w:t>
      </w:r>
      <w:r w:rsidRPr="00DA7DAC">
        <w:rPr>
          <w:rFonts w:cs="Times New Roman"/>
          <w:i/>
          <w:sz w:val="20"/>
          <w:szCs w:val="20"/>
        </w:rPr>
        <w:t>supra</w:t>
      </w:r>
      <w:r w:rsidRPr="00DA7DAC">
        <w:rPr>
          <w:rFonts w:cs="Times New Roman"/>
          <w:sz w:val="20"/>
          <w:szCs w:val="20"/>
        </w:rPr>
        <w:t xml:space="preserve"> n. 5, p.</w:t>
      </w:r>
      <w:r w:rsidRPr="00DA7DAC">
        <w:rPr>
          <w:rStyle w:val="FootnoteReference"/>
          <w:rFonts w:cs="Times New Roman"/>
          <w:sz w:val="20"/>
          <w:szCs w:val="20"/>
          <w:vertAlign w:val="baseline"/>
        </w:rPr>
        <w:t xml:space="preserve"> 7.</w:t>
      </w:r>
    </w:p>
  </w:footnote>
  <w:footnote w:id="60">
    <w:p w14:paraId="11AC13F3"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For instance, the ECHR concept of systemic or structural problem seems broader and different in nature than the concept of systemic threat. To take a single example, Greece’s asylum system may reveal a systemic problem but this does not make it a systemic threat in the absence of any deliberate attempt to undermine the rule of law and may more prosaically reflect a general state failure to properly manage its resources and enforce national and EU policies. </w:t>
      </w:r>
    </w:p>
  </w:footnote>
  <w:footnote w:id="61">
    <w:p w14:paraId="1186177D"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Barroso</w:t>
      </w:r>
      <w:r w:rsidRPr="00DA7DAC">
        <w:rPr>
          <w:rFonts w:cs="Times New Roman"/>
          <w:sz w:val="20"/>
          <w:szCs w:val="20"/>
        </w:rPr>
        <w:t xml:space="preserve">, </w:t>
      </w:r>
      <w:r w:rsidRPr="00DA7DAC">
        <w:rPr>
          <w:rFonts w:cs="Times New Roman"/>
          <w:i/>
          <w:sz w:val="20"/>
          <w:szCs w:val="20"/>
        </w:rPr>
        <w:t>supra</w:t>
      </w:r>
      <w:r w:rsidRPr="00DA7DAC">
        <w:rPr>
          <w:rFonts w:cs="Times New Roman"/>
          <w:sz w:val="20"/>
          <w:szCs w:val="20"/>
        </w:rPr>
        <w:t xml:space="preserve"> n. 17</w:t>
      </w:r>
      <w:r w:rsidRPr="00DA7DAC">
        <w:rPr>
          <w:rStyle w:val="FootnoteReference"/>
          <w:rFonts w:cs="Times New Roman"/>
          <w:sz w:val="20"/>
          <w:szCs w:val="20"/>
          <w:vertAlign w:val="baseline"/>
        </w:rPr>
        <w:t>. The new framework ‘should be based on the principle of equality between member states, activated only in situations where there is a serious, systemic risk to the rule of law, and triggered by pre-defined benchmarks’.</w:t>
      </w:r>
    </w:p>
  </w:footnote>
  <w:footnote w:id="62">
    <w:p w14:paraId="603FD174"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Ibid.</w:t>
      </w:r>
    </w:p>
  </w:footnote>
  <w:footnote w:id="63">
    <w:p w14:paraId="0B532E14"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V. </w:t>
      </w:r>
      <w:proofErr w:type="spellStart"/>
      <w:r w:rsidRPr="00DA7DAC">
        <w:rPr>
          <w:rStyle w:val="FootnoteReference"/>
          <w:rFonts w:cs="Times New Roman"/>
          <w:sz w:val="20"/>
          <w:szCs w:val="20"/>
          <w:vertAlign w:val="baseline"/>
        </w:rPr>
        <w:t>Reding</w:t>
      </w:r>
      <w:proofErr w:type="spellEnd"/>
      <w:r w:rsidRPr="00DA7DAC">
        <w:rPr>
          <w:rStyle w:val="FootnoteReference"/>
          <w:rFonts w:cs="Times New Roman"/>
          <w:sz w:val="20"/>
          <w:szCs w:val="20"/>
          <w:vertAlign w:val="baseline"/>
        </w:rPr>
        <w:t>, ‘A new Rule of Law initiative’, Press Conference, European Parliament, Strasbourg, 11 March 2014.</w:t>
      </w:r>
    </w:p>
  </w:footnote>
  <w:footnote w:id="64">
    <w:p w14:paraId="111B6E11"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Commission Communication</w:t>
      </w:r>
      <w:r w:rsidRPr="00DA7DAC">
        <w:rPr>
          <w:rFonts w:cs="Times New Roman"/>
          <w:sz w:val="20"/>
          <w:szCs w:val="20"/>
        </w:rPr>
        <w:t xml:space="preserve">, </w:t>
      </w:r>
      <w:r w:rsidRPr="00DA7DAC">
        <w:rPr>
          <w:rFonts w:cs="Times New Roman"/>
          <w:i/>
          <w:sz w:val="20"/>
          <w:szCs w:val="20"/>
        </w:rPr>
        <w:t>supra</w:t>
      </w:r>
      <w:r w:rsidRPr="00DA7DAC">
        <w:rPr>
          <w:rFonts w:cs="Times New Roman"/>
          <w:sz w:val="20"/>
          <w:szCs w:val="20"/>
        </w:rPr>
        <w:t xml:space="preserve"> n. 5, p.</w:t>
      </w:r>
      <w:r w:rsidRPr="00DA7DAC">
        <w:rPr>
          <w:rStyle w:val="FootnoteReference"/>
          <w:rFonts w:cs="Times New Roman"/>
          <w:sz w:val="20"/>
          <w:szCs w:val="20"/>
          <w:vertAlign w:val="baseline"/>
        </w:rPr>
        <w:t xml:space="preserve"> 9. </w:t>
      </w:r>
    </w:p>
  </w:footnote>
  <w:footnote w:id="65">
    <w:p w14:paraId="645A2983"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Council of the European Union, Opinion of the Legal Service 10296/14, 14 May 2014.</w:t>
      </w:r>
    </w:p>
  </w:footnote>
  <w:footnote w:id="66">
    <w:p w14:paraId="71F76E4A" w14:textId="77777777" w:rsidR="00DE5B47" w:rsidRPr="00DA7DAC" w:rsidRDefault="00DE5B47" w:rsidP="0041419C">
      <w:pPr>
        <w:pStyle w:val="FootnoteText"/>
        <w:spacing w:before="0" w:line="240" w:lineRule="auto"/>
        <w:ind w:left="0" w:firstLine="0"/>
        <w:rPr>
          <w:sz w:val="20"/>
        </w:rPr>
      </w:pPr>
      <w:r w:rsidRPr="00DA7DAC">
        <w:rPr>
          <w:rStyle w:val="FootnoteReference"/>
          <w:sz w:val="20"/>
        </w:rPr>
        <w:footnoteRef/>
      </w:r>
      <w:r w:rsidRPr="00DA7DAC">
        <w:rPr>
          <w:sz w:val="20"/>
        </w:rPr>
        <w:t xml:space="preserve"> For further analysis and references, see Pech (2009), </w:t>
      </w:r>
      <w:r w:rsidRPr="00DA7DAC">
        <w:rPr>
          <w:i/>
          <w:sz w:val="20"/>
        </w:rPr>
        <w:t>supra</w:t>
      </w:r>
      <w:r w:rsidRPr="00DA7DAC">
        <w:rPr>
          <w:sz w:val="20"/>
        </w:rPr>
        <w:t xml:space="preserve"> n. 38. </w:t>
      </w:r>
    </w:p>
  </w:footnote>
  <w:footnote w:id="67">
    <w:p w14:paraId="3C4EF5B5"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proofErr w:type="spellStart"/>
      <w:r w:rsidRPr="00DA7DAC">
        <w:rPr>
          <w:rStyle w:val="FootnoteReference"/>
          <w:rFonts w:cs="Times New Roman"/>
          <w:sz w:val="20"/>
          <w:szCs w:val="20"/>
          <w:vertAlign w:val="baseline"/>
        </w:rPr>
        <w:t>Closa</w:t>
      </w:r>
      <w:proofErr w:type="spellEnd"/>
      <w:r w:rsidRPr="00DA7DAC">
        <w:rPr>
          <w:rFonts w:cs="Times New Roman"/>
          <w:sz w:val="20"/>
          <w:szCs w:val="20"/>
        </w:rPr>
        <w:t xml:space="preserve"> et al.</w:t>
      </w:r>
      <w:r w:rsidRPr="00DA7DAC">
        <w:rPr>
          <w:rStyle w:val="FootnoteReference"/>
          <w:rFonts w:cs="Times New Roman"/>
          <w:sz w:val="20"/>
          <w:szCs w:val="20"/>
          <w:vertAlign w:val="baseline"/>
        </w:rPr>
        <w:t xml:space="preserve">, </w:t>
      </w:r>
      <w:r w:rsidRPr="00DA7DAC">
        <w:rPr>
          <w:rFonts w:cs="Times New Roman"/>
          <w:i/>
          <w:sz w:val="20"/>
          <w:szCs w:val="20"/>
        </w:rPr>
        <w:t>supra</w:t>
      </w:r>
      <w:r w:rsidRPr="00DA7DAC">
        <w:rPr>
          <w:rFonts w:cs="Times New Roman"/>
          <w:sz w:val="20"/>
          <w:szCs w:val="20"/>
        </w:rPr>
        <w:t xml:space="preserve"> n. 42</w:t>
      </w:r>
      <w:r w:rsidRPr="00DA7DAC">
        <w:rPr>
          <w:rStyle w:val="FootnoteReference"/>
          <w:rFonts w:cs="Times New Roman"/>
          <w:sz w:val="20"/>
          <w:szCs w:val="20"/>
          <w:vertAlign w:val="baseline"/>
        </w:rPr>
        <w:t xml:space="preserve">, p. 30. </w:t>
      </w:r>
    </w:p>
  </w:footnote>
  <w:footnote w:id="68">
    <w:p w14:paraId="3C34FF17"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For a critique of this provision, see X. </w:t>
      </w:r>
      <w:proofErr w:type="spellStart"/>
      <w:r w:rsidRPr="00DA7DAC">
        <w:rPr>
          <w:rFonts w:cs="Times New Roman"/>
          <w:sz w:val="20"/>
          <w:szCs w:val="20"/>
        </w:rPr>
        <w:t>Groussot</w:t>
      </w:r>
      <w:proofErr w:type="spellEnd"/>
      <w:r w:rsidRPr="00DA7DAC">
        <w:rPr>
          <w:rFonts w:cs="Times New Roman"/>
          <w:sz w:val="20"/>
          <w:szCs w:val="20"/>
        </w:rPr>
        <w:t xml:space="preserve">, L. Pech, and G. </w:t>
      </w:r>
      <w:proofErr w:type="spellStart"/>
      <w:r w:rsidRPr="00DA7DAC">
        <w:rPr>
          <w:rFonts w:cs="Times New Roman"/>
          <w:sz w:val="20"/>
          <w:szCs w:val="20"/>
        </w:rPr>
        <w:t>Petursson</w:t>
      </w:r>
      <w:proofErr w:type="spellEnd"/>
      <w:r w:rsidRPr="00DA7DAC">
        <w:rPr>
          <w:rFonts w:cs="Times New Roman"/>
          <w:sz w:val="20"/>
          <w:szCs w:val="20"/>
        </w:rPr>
        <w:t>, ‘</w:t>
      </w:r>
      <w:r w:rsidRPr="00DA7DAC">
        <w:rPr>
          <w:rFonts w:eastAsia="Cambria" w:cs="Times New Roman"/>
          <w:sz w:val="20"/>
          <w:szCs w:val="20"/>
        </w:rPr>
        <w:t>The Reach of EU Fundamental Rights on M</w:t>
      </w:r>
      <w:r w:rsidRPr="00DA7DAC">
        <w:rPr>
          <w:rFonts w:cs="Times New Roman"/>
          <w:sz w:val="20"/>
          <w:szCs w:val="20"/>
        </w:rPr>
        <w:t>ember State Action after Lisbon’</w:t>
      </w:r>
      <w:r w:rsidRPr="00DA7DAC">
        <w:rPr>
          <w:rFonts w:eastAsia="Cambria" w:cs="Times New Roman"/>
          <w:sz w:val="20"/>
          <w:szCs w:val="20"/>
        </w:rPr>
        <w:t xml:space="preserve"> in de </w:t>
      </w:r>
      <w:proofErr w:type="spellStart"/>
      <w:r w:rsidRPr="00DA7DAC">
        <w:rPr>
          <w:rFonts w:eastAsia="Cambria" w:cs="Times New Roman"/>
          <w:sz w:val="20"/>
          <w:szCs w:val="20"/>
        </w:rPr>
        <w:t>Vries</w:t>
      </w:r>
      <w:proofErr w:type="spellEnd"/>
      <w:r w:rsidRPr="00DA7DAC">
        <w:rPr>
          <w:rFonts w:eastAsia="Cambria" w:cs="Times New Roman"/>
          <w:sz w:val="20"/>
          <w:szCs w:val="20"/>
        </w:rPr>
        <w:t xml:space="preserve">, </w:t>
      </w:r>
      <w:proofErr w:type="spellStart"/>
      <w:r w:rsidRPr="00DA7DAC">
        <w:rPr>
          <w:rFonts w:eastAsia="Cambria" w:cs="Times New Roman"/>
          <w:sz w:val="20"/>
          <w:szCs w:val="20"/>
        </w:rPr>
        <w:t>Bernitz</w:t>
      </w:r>
      <w:proofErr w:type="spellEnd"/>
      <w:r w:rsidRPr="00DA7DAC">
        <w:rPr>
          <w:rFonts w:eastAsia="Cambria" w:cs="Times New Roman"/>
          <w:sz w:val="20"/>
          <w:szCs w:val="20"/>
        </w:rPr>
        <w:t xml:space="preserve"> and </w:t>
      </w:r>
      <w:proofErr w:type="spellStart"/>
      <w:r w:rsidRPr="00DA7DAC">
        <w:rPr>
          <w:rFonts w:eastAsia="Cambria" w:cs="Times New Roman"/>
          <w:sz w:val="20"/>
          <w:szCs w:val="20"/>
        </w:rPr>
        <w:t>Weatherhill</w:t>
      </w:r>
      <w:proofErr w:type="spellEnd"/>
      <w:r w:rsidRPr="00DA7DAC">
        <w:rPr>
          <w:rFonts w:eastAsia="Cambria" w:cs="Times New Roman"/>
          <w:sz w:val="20"/>
          <w:szCs w:val="20"/>
        </w:rPr>
        <w:t xml:space="preserve"> (eds.), </w:t>
      </w:r>
      <w:r w:rsidRPr="00DA7DAC">
        <w:rPr>
          <w:rFonts w:eastAsia="Cambria" w:cs="Times New Roman"/>
          <w:i/>
          <w:sz w:val="20"/>
          <w:szCs w:val="20"/>
        </w:rPr>
        <w:t>The Protection of Fundamental Rights in the EU after Lisbon</w:t>
      </w:r>
      <w:r w:rsidRPr="00DA7DAC">
        <w:rPr>
          <w:rFonts w:cs="Times New Roman"/>
          <w:sz w:val="20"/>
          <w:szCs w:val="20"/>
        </w:rPr>
        <w:t xml:space="preserve"> (Hart 2013) p. 97</w:t>
      </w:r>
      <w:r w:rsidRPr="00DA7DAC">
        <w:rPr>
          <w:rFonts w:eastAsia="Cambria" w:cs="Times New Roman"/>
          <w:sz w:val="20"/>
          <w:szCs w:val="20"/>
        </w:rPr>
        <w:t>.</w:t>
      </w:r>
    </w:p>
  </w:footnote>
  <w:footnote w:id="69">
    <w:p w14:paraId="582AE321"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proofErr w:type="spellStart"/>
      <w:r w:rsidRPr="00DA7DAC">
        <w:rPr>
          <w:rFonts w:cs="Times New Roman"/>
          <w:sz w:val="20"/>
          <w:szCs w:val="20"/>
        </w:rPr>
        <w:t>Reding</w:t>
      </w:r>
      <w:proofErr w:type="spellEnd"/>
      <w:r w:rsidRPr="00DA7DAC">
        <w:rPr>
          <w:rFonts w:cs="Times New Roman"/>
          <w:sz w:val="20"/>
          <w:szCs w:val="20"/>
        </w:rPr>
        <w:t xml:space="preserve">, </w:t>
      </w:r>
      <w:r w:rsidRPr="00DA7DAC">
        <w:rPr>
          <w:rFonts w:cs="Times New Roman"/>
          <w:i/>
          <w:sz w:val="20"/>
          <w:szCs w:val="20"/>
        </w:rPr>
        <w:t>supra</w:t>
      </w:r>
      <w:r w:rsidRPr="00DA7DAC">
        <w:rPr>
          <w:rFonts w:cs="Times New Roman"/>
          <w:sz w:val="20"/>
          <w:szCs w:val="20"/>
        </w:rPr>
        <w:t xml:space="preserve"> n. 12. On the controversial possibility of relying on the EU Charter in national disputes falling outside the scope of EU Law, see A. </w:t>
      </w:r>
      <w:proofErr w:type="spellStart"/>
      <w:r w:rsidRPr="00DA7DAC">
        <w:rPr>
          <w:rFonts w:cs="Times New Roman"/>
          <w:sz w:val="20"/>
          <w:szCs w:val="20"/>
        </w:rPr>
        <w:t>Jakab</w:t>
      </w:r>
      <w:proofErr w:type="spellEnd"/>
      <w:r w:rsidRPr="00DA7DAC">
        <w:rPr>
          <w:rFonts w:cs="Times New Roman"/>
          <w:sz w:val="20"/>
          <w:szCs w:val="20"/>
        </w:rPr>
        <w:t xml:space="preserve"> ‘Supremacy of the EU Charter in National Courts in Purely Domestic Cases’ in </w:t>
      </w:r>
      <w:proofErr w:type="spellStart"/>
      <w:r w:rsidRPr="00DA7DAC">
        <w:rPr>
          <w:rFonts w:cs="Times New Roman"/>
          <w:sz w:val="20"/>
          <w:szCs w:val="20"/>
        </w:rPr>
        <w:t>Jakab</w:t>
      </w:r>
      <w:proofErr w:type="spellEnd"/>
      <w:r w:rsidRPr="00DA7DAC">
        <w:rPr>
          <w:rFonts w:cs="Times New Roman"/>
          <w:sz w:val="20"/>
          <w:szCs w:val="20"/>
        </w:rPr>
        <w:t xml:space="preserve"> and </w:t>
      </w:r>
      <w:proofErr w:type="spellStart"/>
      <w:r w:rsidRPr="00DA7DAC">
        <w:rPr>
          <w:rFonts w:cs="Times New Roman"/>
          <w:sz w:val="20"/>
          <w:szCs w:val="20"/>
        </w:rPr>
        <w:t>Kochenov</w:t>
      </w:r>
      <w:proofErr w:type="spellEnd"/>
      <w:r w:rsidRPr="00DA7DAC">
        <w:rPr>
          <w:rFonts w:cs="Times New Roman"/>
          <w:sz w:val="20"/>
          <w:szCs w:val="20"/>
        </w:rPr>
        <w:t xml:space="preserve">, </w:t>
      </w:r>
      <w:r w:rsidRPr="00DA7DAC">
        <w:rPr>
          <w:rFonts w:cs="Times New Roman"/>
          <w:i/>
          <w:sz w:val="20"/>
          <w:szCs w:val="20"/>
        </w:rPr>
        <w:t>supra</w:t>
      </w:r>
      <w:r w:rsidRPr="00DA7DAC">
        <w:rPr>
          <w:rFonts w:cs="Times New Roman"/>
          <w:sz w:val="20"/>
          <w:szCs w:val="20"/>
        </w:rPr>
        <w:t xml:space="preserve"> n. 15.</w:t>
      </w:r>
    </w:p>
  </w:footnote>
  <w:footnote w:id="70">
    <w:p w14:paraId="005857A9" w14:textId="77777777" w:rsidR="00DE5B47" w:rsidRPr="00DA7DAC" w:rsidRDefault="00DE5B47" w:rsidP="0041419C">
      <w:pPr>
        <w:pStyle w:val="FootnoteText"/>
        <w:spacing w:before="0" w:line="240" w:lineRule="auto"/>
        <w:rPr>
          <w:sz w:val="20"/>
        </w:rPr>
      </w:pPr>
      <w:r w:rsidRPr="00DA7DAC">
        <w:rPr>
          <w:rStyle w:val="FootnoteReference"/>
          <w:rFonts w:eastAsiaTheme="majorEastAsia"/>
          <w:sz w:val="20"/>
          <w:vertAlign w:val="baseline"/>
        </w:rPr>
        <w:footnoteRef/>
      </w:r>
      <w:r w:rsidRPr="00DA7DAC">
        <w:rPr>
          <w:sz w:val="20"/>
        </w:rPr>
        <w:t xml:space="preserve"> Case C-380/05, </w:t>
      </w:r>
      <w:r w:rsidRPr="00DA7DAC">
        <w:rPr>
          <w:i/>
          <w:sz w:val="20"/>
        </w:rPr>
        <w:t xml:space="preserve">Centro Europa </w:t>
      </w:r>
      <w:r w:rsidRPr="00DA7DAC">
        <w:rPr>
          <w:sz w:val="20"/>
        </w:rPr>
        <w:t>[2008] ECR I-349, Opinion of AG Maduro.</w:t>
      </w:r>
    </w:p>
  </w:footnote>
  <w:footnote w:id="71">
    <w:p w14:paraId="5827ACBC"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A. von </w:t>
      </w:r>
      <w:proofErr w:type="spellStart"/>
      <w:r w:rsidRPr="00DA7DAC">
        <w:rPr>
          <w:rStyle w:val="FootnoteReference"/>
          <w:rFonts w:cs="Times New Roman"/>
          <w:sz w:val="20"/>
          <w:szCs w:val="20"/>
          <w:vertAlign w:val="baseline"/>
        </w:rPr>
        <w:t>Bogdandy</w:t>
      </w:r>
      <w:proofErr w:type="spellEnd"/>
      <w:r w:rsidRPr="00DA7DAC">
        <w:rPr>
          <w:rStyle w:val="FootnoteReference"/>
          <w:rFonts w:cs="Times New Roman"/>
          <w:sz w:val="20"/>
          <w:szCs w:val="20"/>
          <w:vertAlign w:val="baseline"/>
        </w:rPr>
        <w:t xml:space="preserve"> et al., ‘Reverse Solange – Protecting the Essence of Fundamental Rights against EU Member States’, 49 </w:t>
      </w:r>
      <w:proofErr w:type="spellStart"/>
      <w:r w:rsidRPr="00DA7DAC">
        <w:rPr>
          <w:rStyle w:val="FootnoteReference"/>
          <w:rFonts w:cs="Times New Roman"/>
          <w:i/>
          <w:sz w:val="20"/>
          <w:szCs w:val="20"/>
          <w:vertAlign w:val="baseline"/>
        </w:rPr>
        <w:t>CMLRev</w:t>
      </w:r>
      <w:proofErr w:type="spellEnd"/>
      <w:r w:rsidRPr="00DA7DAC">
        <w:rPr>
          <w:rStyle w:val="FootnoteReference"/>
          <w:rFonts w:cs="Times New Roman"/>
          <w:sz w:val="20"/>
          <w:szCs w:val="20"/>
          <w:vertAlign w:val="baseline"/>
        </w:rPr>
        <w:t xml:space="preserve"> (2012) p. 489.</w:t>
      </w:r>
    </w:p>
  </w:footnote>
  <w:footnote w:id="72">
    <w:p w14:paraId="051A86F0"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G. </w:t>
      </w:r>
      <w:proofErr w:type="spellStart"/>
      <w:r w:rsidRPr="00DA7DAC">
        <w:rPr>
          <w:rStyle w:val="FootnoteReference"/>
          <w:rFonts w:cs="Times New Roman"/>
          <w:sz w:val="20"/>
          <w:szCs w:val="20"/>
          <w:vertAlign w:val="baseline"/>
        </w:rPr>
        <w:t>Buquicchio</w:t>
      </w:r>
      <w:proofErr w:type="spellEnd"/>
      <w:r w:rsidRPr="00DA7DAC">
        <w:rPr>
          <w:rStyle w:val="FootnoteReference"/>
          <w:rFonts w:cs="Times New Roman"/>
          <w:sz w:val="20"/>
          <w:szCs w:val="20"/>
          <w:vertAlign w:val="baseline"/>
        </w:rPr>
        <w:t xml:space="preserve">, </w:t>
      </w:r>
      <w:r w:rsidRPr="00DA7DAC">
        <w:rPr>
          <w:rFonts w:cs="Times New Roman"/>
          <w:sz w:val="20"/>
          <w:szCs w:val="20"/>
        </w:rPr>
        <w:t xml:space="preserve">President of the Venice Commission, Speech at the </w:t>
      </w:r>
      <w:proofErr w:type="spellStart"/>
      <w:r w:rsidRPr="00DA7DAC">
        <w:rPr>
          <w:rFonts w:cs="Times New Roman"/>
          <w:sz w:val="20"/>
          <w:szCs w:val="20"/>
        </w:rPr>
        <w:t>Assises</w:t>
      </w:r>
      <w:proofErr w:type="spellEnd"/>
      <w:r w:rsidRPr="00DA7DAC">
        <w:rPr>
          <w:rFonts w:cs="Times New Roman"/>
          <w:sz w:val="20"/>
          <w:szCs w:val="20"/>
        </w:rPr>
        <w:t xml:space="preserve"> de la justice, 21 November 2013. For a contribution by the Finnish representative at the Venice Commission on this topic, see K. </w:t>
      </w:r>
      <w:proofErr w:type="spellStart"/>
      <w:r w:rsidRPr="00DA7DAC">
        <w:rPr>
          <w:rFonts w:cs="Times New Roman"/>
          <w:sz w:val="20"/>
          <w:szCs w:val="20"/>
        </w:rPr>
        <w:t>Tuori</w:t>
      </w:r>
      <w:proofErr w:type="spellEnd"/>
      <w:r w:rsidRPr="00DA7DAC">
        <w:rPr>
          <w:rFonts w:cs="Times New Roman"/>
          <w:sz w:val="20"/>
          <w:szCs w:val="20"/>
        </w:rPr>
        <w:t xml:space="preserve">, ‘From Copenhagen to Venice’, in </w:t>
      </w:r>
      <w:proofErr w:type="spellStart"/>
      <w:r w:rsidRPr="00DA7DAC">
        <w:rPr>
          <w:rFonts w:cs="Times New Roman"/>
          <w:sz w:val="20"/>
          <w:szCs w:val="20"/>
        </w:rPr>
        <w:t>Closa</w:t>
      </w:r>
      <w:proofErr w:type="spellEnd"/>
      <w:r w:rsidRPr="00DA7DAC">
        <w:rPr>
          <w:rFonts w:cs="Times New Roman"/>
          <w:sz w:val="20"/>
          <w:szCs w:val="20"/>
        </w:rPr>
        <w:t xml:space="preserve"> and </w:t>
      </w:r>
      <w:proofErr w:type="spellStart"/>
      <w:r w:rsidRPr="00DA7DAC">
        <w:rPr>
          <w:rFonts w:cs="Times New Roman"/>
          <w:sz w:val="20"/>
          <w:szCs w:val="20"/>
        </w:rPr>
        <w:t>Kochenov</w:t>
      </w:r>
      <w:proofErr w:type="spellEnd"/>
      <w:r w:rsidRPr="00DA7DAC">
        <w:rPr>
          <w:rFonts w:cs="Times New Roman"/>
          <w:sz w:val="20"/>
          <w:szCs w:val="20"/>
        </w:rPr>
        <w:t xml:space="preserve">, </w:t>
      </w:r>
      <w:r w:rsidRPr="00DA7DAC">
        <w:rPr>
          <w:rFonts w:cs="Times New Roman"/>
          <w:i/>
          <w:sz w:val="20"/>
          <w:szCs w:val="20"/>
        </w:rPr>
        <w:t>supra</w:t>
      </w:r>
      <w:r w:rsidRPr="00DA7DAC">
        <w:rPr>
          <w:rFonts w:cs="Times New Roman"/>
          <w:sz w:val="20"/>
          <w:szCs w:val="20"/>
        </w:rPr>
        <w:t xml:space="preserve"> n. 7.</w:t>
      </w:r>
    </w:p>
  </w:footnote>
  <w:footnote w:id="73">
    <w:p w14:paraId="65B7507E"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Fonts w:cs="Times New Roman"/>
          <w:sz w:val="20"/>
          <w:szCs w:val="20"/>
        </w:rPr>
        <w:t xml:space="preserve">J.-W. Müller, ‘Should the EU protect democracy and the rule of law inside Member States?’, 21(2) </w:t>
      </w:r>
      <w:r w:rsidRPr="00DA7DAC">
        <w:rPr>
          <w:rFonts w:cs="Times New Roman"/>
          <w:i/>
          <w:sz w:val="20"/>
          <w:szCs w:val="20"/>
        </w:rPr>
        <w:t>ELJ</w:t>
      </w:r>
      <w:r w:rsidRPr="00DA7DAC">
        <w:rPr>
          <w:rFonts w:cs="Times New Roman"/>
          <w:sz w:val="20"/>
          <w:szCs w:val="20"/>
        </w:rPr>
        <w:t xml:space="preserve"> (2015) p. 141.</w:t>
      </w:r>
    </w:p>
  </w:footnote>
  <w:footnote w:id="74">
    <w:p w14:paraId="4497F187"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Fonts w:cs="Times New Roman"/>
          <w:sz w:val="20"/>
          <w:szCs w:val="20"/>
        </w:rPr>
        <w:t xml:space="preserve">K.L. </w:t>
      </w:r>
      <w:proofErr w:type="spellStart"/>
      <w:r w:rsidRPr="00DA7DAC">
        <w:rPr>
          <w:rStyle w:val="FootnoteReference"/>
          <w:rFonts w:cs="Times New Roman"/>
          <w:sz w:val="20"/>
          <w:szCs w:val="20"/>
          <w:vertAlign w:val="baseline"/>
        </w:rPr>
        <w:t>Scheppele</w:t>
      </w:r>
      <w:proofErr w:type="spellEnd"/>
      <w:r w:rsidRPr="00DA7DAC">
        <w:rPr>
          <w:rStyle w:val="FootnoteReference"/>
          <w:rFonts w:cs="Times New Roman"/>
          <w:sz w:val="20"/>
          <w:szCs w:val="20"/>
          <w:vertAlign w:val="baseline"/>
        </w:rPr>
        <w:t xml:space="preserve">, ‘What Can the European Commission Do When Member States Violate Basic Principles of the </w:t>
      </w:r>
      <w:proofErr w:type="spellStart"/>
      <w:r w:rsidRPr="00DA7DAC">
        <w:rPr>
          <w:rStyle w:val="FootnoteReference"/>
          <w:rFonts w:cs="Times New Roman"/>
          <w:sz w:val="20"/>
          <w:szCs w:val="20"/>
          <w:vertAlign w:val="baseline"/>
        </w:rPr>
        <w:t>E</w:t>
      </w:r>
      <w:r w:rsidRPr="00DA7DAC">
        <w:rPr>
          <w:rFonts w:cs="Times New Roman"/>
          <w:sz w:val="20"/>
          <w:szCs w:val="20"/>
        </w:rPr>
        <w:t>U</w:t>
      </w:r>
      <w:r w:rsidRPr="00DA7DAC">
        <w:rPr>
          <w:rStyle w:val="FootnoteReference"/>
          <w:rFonts w:cs="Times New Roman"/>
          <w:sz w:val="20"/>
          <w:szCs w:val="20"/>
          <w:vertAlign w:val="baseline"/>
        </w:rPr>
        <w:t>uropean</w:t>
      </w:r>
      <w:proofErr w:type="spellEnd"/>
      <w:r w:rsidRPr="00DA7DAC">
        <w:rPr>
          <w:rStyle w:val="FootnoteReference"/>
          <w:rFonts w:cs="Times New Roman"/>
          <w:sz w:val="20"/>
          <w:szCs w:val="20"/>
          <w:vertAlign w:val="baseline"/>
        </w:rPr>
        <w:t xml:space="preserve"> Union? The Case for Systematic Infringement Actions’, contribution no. 45 at the </w:t>
      </w:r>
      <w:proofErr w:type="spellStart"/>
      <w:r w:rsidRPr="00DA7DAC">
        <w:rPr>
          <w:rStyle w:val="FootnoteReference"/>
          <w:rFonts w:cs="Times New Roman"/>
          <w:sz w:val="20"/>
          <w:szCs w:val="20"/>
          <w:vertAlign w:val="baseline"/>
        </w:rPr>
        <w:t>Assises</w:t>
      </w:r>
      <w:proofErr w:type="spellEnd"/>
      <w:r w:rsidRPr="00DA7DAC">
        <w:rPr>
          <w:rStyle w:val="FootnoteReference"/>
          <w:rFonts w:cs="Times New Roman"/>
          <w:sz w:val="20"/>
          <w:szCs w:val="20"/>
          <w:vertAlign w:val="baseline"/>
        </w:rPr>
        <w:t xml:space="preserve"> </w:t>
      </w:r>
      <w:r>
        <w:rPr>
          <w:rStyle w:val="FootnoteReference"/>
          <w:rFonts w:cs="Times New Roman"/>
          <w:sz w:val="20"/>
          <w:szCs w:val="20"/>
          <w:vertAlign w:val="baseline"/>
        </w:rPr>
        <w:t>de la Justice 2013</w:t>
      </w:r>
      <w:r w:rsidRPr="00DA7DAC">
        <w:rPr>
          <w:rFonts w:cs="Times New Roman"/>
          <w:sz w:val="20"/>
          <w:szCs w:val="20"/>
        </w:rPr>
        <w:t>: &lt;</w:t>
      </w:r>
      <w:hyperlink r:id="rId7" w:history="1">
        <w:r w:rsidRPr="00DA7DAC">
          <w:rPr>
            <w:rStyle w:val="Hyperlink"/>
            <w:rFonts w:cs="Times New Roman"/>
            <w:sz w:val="20"/>
            <w:szCs w:val="20"/>
          </w:rPr>
          <w:t>ec.europa.eu/justice/events/assises-justice-2013/contributions_en.htm</w:t>
        </w:r>
      </w:hyperlink>
      <w:r w:rsidRPr="00DA7DAC">
        <w:rPr>
          <w:rFonts w:cs="Times New Roman"/>
          <w:sz w:val="20"/>
          <w:szCs w:val="20"/>
        </w:rPr>
        <w:t xml:space="preserve">&gt;, </w:t>
      </w:r>
      <w:r w:rsidRPr="00DA7DAC">
        <w:rPr>
          <w:sz w:val="20"/>
        </w:rPr>
        <w:t>visited 1 June 2015</w:t>
      </w:r>
      <w:r w:rsidRPr="00DA7DAC">
        <w:rPr>
          <w:rFonts w:cs="Times New Roman"/>
          <w:sz w:val="20"/>
          <w:szCs w:val="20"/>
        </w:rPr>
        <w:t>.</w:t>
      </w:r>
    </w:p>
  </w:footnote>
  <w:footnote w:id="75">
    <w:p w14:paraId="14199645" w14:textId="77777777" w:rsidR="00DE5B47" w:rsidRPr="00DA7DAC" w:rsidRDefault="00DE5B47" w:rsidP="0041419C">
      <w:pPr>
        <w:pStyle w:val="FootnoteText"/>
        <w:spacing w:before="0" w:line="240" w:lineRule="auto"/>
        <w:ind w:left="0" w:firstLine="0"/>
        <w:rPr>
          <w:rStyle w:val="FootnoteReference"/>
          <w:rFonts w:eastAsiaTheme="minorHAnsi" w:cstheme="minorBidi"/>
          <w:noProof w:val="0"/>
          <w:szCs w:val="24"/>
          <w:lang w:eastAsia="en-US"/>
        </w:rPr>
      </w:pPr>
      <w:r w:rsidRPr="00DA7DAC">
        <w:rPr>
          <w:rStyle w:val="FootnoteReference"/>
          <w:sz w:val="20"/>
          <w:vertAlign w:val="baseline"/>
        </w:rPr>
        <w:footnoteRef/>
      </w:r>
      <w:r w:rsidRPr="00DA7DAC">
        <w:rPr>
          <w:rStyle w:val="FootnoteReference"/>
          <w:sz w:val="20"/>
          <w:vertAlign w:val="baseline"/>
        </w:rPr>
        <w:t xml:space="preserve"> See the Report prepared by E. Hirsch Ballin et al. for the Adviesraad Internationale Vragstukken (AIV), ‘The Rule of Law: Safeguard for European Citizens and Foundation for European Cooperation’, Report No. 87, 2014, 35. From the same author, see </w:t>
      </w:r>
      <w:r w:rsidRPr="00DA7DAC">
        <w:rPr>
          <w:sz w:val="20"/>
        </w:rPr>
        <w:t xml:space="preserve">also ‘Mutual Trust: The Virtue of Reciprocity. Strengthening the Acceptance of the Rule of Law through Peer Review’, in Closa and Kochenov, </w:t>
      </w:r>
      <w:r w:rsidRPr="00DA7DAC">
        <w:rPr>
          <w:i/>
          <w:sz w:val="20"/>
        </w:rPr>
        <w:t>supra</w:t>
      </w:r>
      <w:r w:rsidRPr="00DA7DAC">
        <w:rPr>
          <w:sz w:val="20"/>
        </w:rPr>
        <w:t xml:space="preserve"> n. 7.</w:t>
      </w:r>
    </w:p>
  </w:footnote>
  <w:footnote w:id="76">
    <w:p w14:paraId="34A6A0D2"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For further analysis, see Closa, Kochenov, Weiler, </w:t>
      </w:r>
      <w:r w:rsidRPr="00DA7DAC">
        <w:rPr>
          <w:i/>
          <w:sz w:val="20"/>
        </w:rPr>
        <w:t>supra</w:t>
      </w:r>
      <w:r w:rsidRPr="00DA7DAC">
        <w:rPr>
          <w:sz w:val="20"/>
        </w:rPr>
        <w:t xml:space="preserve"> n. 42. See also D. Kochenov, ‘On Policing Article 2 TEU Compliance’, XXXIII</w:t>
      </w:r>
      <w:r w:rsidRPr="00DA7DAC">
        <w:rPr>
          <w:i/>
          <w:sz w:val="20"/>
        </w:rPr>
        <w:t xml:space="preserve"> Polish Yearbook of International Law</w:t>
      </w:r>
      <w:r w:rsidRPr="00DA7DAC">
        <w:rPr>
          <w:sz w:val="20"/>
        </w:rPr>
        <w:t xml:space="preserve"> (2014) p. 145.</w:t>
      </w:r>
    </w:p>
  </w:footnote>
  <w:footnote w:id="77">
    <w:p w14:paraId="77746443" w14:textId="77777777" w:rsidR="00DE5B47" w:rsidRPr="00DA7DAC" w:rsidRDefault="00DE5B47" w:rsidP="0041419C">
      <w:pPr>
        <w:pStyle w:val="FootnoteText"/>
        <w:spacing w:before="0" w:line="240" w:lineRule="auto"/>
        <w:ind w:left="0" w:firstLine="0"/>
        <w:rPr>
          <w:sz w:val="20"/>
        </w:rPr>
      </w:pPr>
      <w:r w:rsidRPr="00DA7DAC">
        <w:rPr>
          <w:rStyle w:val="FootnoteReference"/>
          <w:sz w:val="20"/>
        </w:rPr>
        <w:footnoteRef/>
      </w:r>
      <w:r w:rsidRPr="00DA7DAC">
        <w:rPr>
          <w:sz w:val="20"/>
        </w:rPr>
        <w:t xml:space="preserve"> Art. 1 TEU. </w:t>
      </w:r>
    </w:p>
  </w:footnote>
  <w:footnote w:id="78">
    <w:p w14:paraId="47376596"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G.N. Toggenburg and J. Grimheden, ‘The Rule of Law and the Role of Fundamental Rights: Seven Practical Pointers’, in Closa and Kochenov, </w:t>
      </w:r>
      <w:r w:rsidRPr="00DA7DAC">
        <w:rPr>
          <w:i/>
          <w:sz w:val="20"/>
        </w:rPr>
        <w:t>supra</w:t>
      </w:r>
      <w:r w:rsidRPr="00DA7DAC">
        <w:rPr>
          <w:sz w:val="20"/>
        </w:rPr>
        <w:t xml:space="preserve"> n</w:t>
      </w:r>
      <w:r w:rsidRPr="00DA7DAC">
        <w:rPr>
          <w:i/>
          <w:sz w:val="20"/>
        </w:rPr>
        <w:t>.</w:t>
      </w:r>
      <w:r w:rsidRPr="00DA7DAC">
        <w:rPr>
          <w:sz w:val="20"/>
        </w:rPr>
        <w:t xml:space="preserve"> 7.</w:t>
      </w:r>
    </w:p>
  </w:footnote>
  <w:footnote w:id="79">
    <w:p w14:paraId="33410016" w14:textId="77777777" w:rsidR="00DE5B47" w:rsidRPr="00DA7DAC" w:rsidRDefault="00DE5B47" w:rsidP="0041419C">
      <w:pPr>
        <w:pStyle w:val="FootnoteText"/>
        <w:spacing w:before="0" w:line="240" w:lineRule="auto"/>
        <w:ind w:left="0" w:firstLine="0"/>
        <w:rPr>
          <w:sz w:val="20"/>
        </w:rPr>
      </w:pPr>
      <w:r w:rsidRPr="00DA7DAC">
        <w:rPr>
          <w:rStyle w:val="FootnoteReference"/>
          <w:sz w:val="20"/>
        </w:rPr>
        <w:footnoteRef/>
      </w:r>
      <w:r w:rsidRPr="00DA7DAC">
        <w:rPr>
          <w:sz w:val="20"/>
        </w:rPr>
        <w:t xml:space="preserve"> </w:t>
      </w:r>
      <w:r>
        <w:rPr>
          <w:sz w:val="20"/>
        </w:rPr>
        <w:t>T</w:t>
      </w:r>
      <w:r w:rsidRPr="00DA7DAC">
        <w:rPr>
          <w:sz w:val="20"/>
        </w:rPr>
        <w:t xml:space="preserve">he </w:t>
      </w:r>
      <w:r>
        <w:rPr>
          <w:sz w:val="20"/>
        </w:rPr>
        <w:t xml:space="preserve">effectiveness of the </w:t>
      </w:r>
      <w:r w:rsidRPr="00DA7DAC">
        <w:rPr>
          <w:sz w:val="20"/>
        </w:rPr>
        <w:t>Venice Commission’s working methods and its ability to identify and review countries’ adherence to miminum European constitutional standards</w:t>
      </w:r>
      <w:r>
        <w:rPr>
          <w:sz w:val="20"/>
        </w:rPr>
        <w:t xml:space="preserve"> may however be questioned</w:t>
      </w:r>
      <w:r w:rsidRPr="00DA7DAC">
        <w:rPr>
          <w:sz w:val="20"/>
        </w:rPr>
        <w:t xml:space="preserve">. See M. de Visser, ‘A Critical Assessment of the Role of the Venice Commission in Processes of Domestic Legal Reform’, </w:t>
      </w:r>
      <w:r w:rsidRPr="00DA7DAC">
        <w:rPr>
          <w:i/>
          <w:sz w:val="20"/>
        </w:rPr>
        <w:t>American Journal of Comparative Law</w:t>
      </w:r>
      <w:r w:rsidRPr="00DA7DAC">
        <w:rPr>
          <w:sz w:val="20"/>
        </w:rPr>
        <w:t xml:space="preserve"> (2015, forthcoming). </w:t>
      </w:r>
    </w:p>
  </w:footnote>
  <w:footnote w:id="80">
    <w:p w14:paraId="5FAD289A"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Council of the European Union, Opinion of the Legal Service 10296/14, 14 May 2014, para. 28.</w:t>
      </w:r>
      <w:r w:rsidRPr="00DA7DAC">
        <w:rPr>
          <w:rFonts w:cs="Times New Roman"/>
          <w:sz w:val="20"/>
          <w:szCs w:val="20"/>
        </w:rPr>
        <w:t xml:space="preserve"> </w:t>
      </w:r>
      <w:r w:rsidRPr="00DA7DAC">
        <w:rPr>
          <w:rStyle w:val="FootnoteReference"/>
          <w:rFonts w:cs="Times New Roman"/>
          <w:sz w:val="20"/>
          <w:szCs w:val="20"/>
          <w:vertAlign w:val="baseline"/>
        </w:rPr>
        <w:t>According to the principle of conferred powers, which is laid down in Article 5(2) TEU, ‘the Union shall act only within the limits of the competences conferred upon it by the Member States in the Treaties to attain the objectives set out therein. Competences not conferred upon the Union in the Treaties remain with the Member States.’</w:t>
      </w:r>
    </w:p>
  </w:footnote>
  <w:footnote w:id="81">
    <w:p w14:paraId="10FB8945"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w:t>
      </w:r>
      <w:r w:rsidRPr="00DA7DAC">
        <w:rPr>
          <w:rStyle w:val="FootnoteReference"/>
          <w:sz w:val="20"/>
          <w:vertAlign w:val="baseline"/>
        </w:rPr>
        <w:t xml:space="preserve">Opinion of the Legal Service, </w:t>
      </w:r>
      <w:r w:rsidRPr="00DA7DAC">
        <w:rPr>
          <w:sz w:val="20"/>
        </w:rPr>
        <w:t xml:space="preserve">ibid., para. 26. </w:t>
      </w:r>
    </w:p>
  </w:footnote>
  <w:footnote w:id="82">
    <w:p w14:paraId="1CCDD012"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Fonts w:cs="Times New Roman"/>
          <w:sz w:val="20"/>
          <w:szCs w:val="20"/>
        </w:rPr>
        <w:t xml:space="preserve">Such a reading is fully in line with the Commission’s practice with respect to Article 49 TEU, which governs accession to the EU. In this context, the Commission regularly adopts ‘monitoring’ reports in which EU candidate countries’ progress and alignment with the EU acquis, including compliance with EU values, are reviewed. See D. </w:t>
      </w:r>
      <w:proofErr w:type="spellStart"/>
      <w:r w:rsidRPr="00DA7DAC">
        <w:rPr>
          <w:rFonts w:cs="Times New Roman"/>
          <w:sz w:val="20"/>
          <w:szCs w:val="20"/>
        </w:rPr>
        <w:t>Kochenov</w:t>
      </w:r>
      <w:proofErr w:type="spellEnd"/>
      <w:r w:rsidRPr="00DA7DAC">
        <w:rPr>
          <w:rFonts w:cs="Times New Roman"/>
          <w:sz w:val="20"/>
          <w:szCs w:val="20"/>
        </w:rPr>
        <w:t xml:space="preserve">, </w:t>
      </w:r>
      <w:r w:rsidRPr="00DA7DAC">
        <w:rPr>
          <w:rFonts w:cs="Times New Roman"/>
          <w:i/>
          <w:sz w:val="20"/>
          <w:szCs w:val="20"/>
        </w:rPr>
        <w:t>EU Enlargement and the Failure of Conditionality</w:t>
      </w:r>
      <w:r w:rsidRPr="00DA7DAC">
        <w:rPr>
          <w:rFonts w:cs="Times New Roman"/>
          <w:sz w:val="20"/>
          <w:szCs w:val="20"/>
        </w:rPr>
        <w:t xml:space="preserve"> (Kluwer 2008) </w:t>
      </w:r>
      <w:proofErr w:type="spellStart"/>
      <w:r w:rsidRPr="00DA7DAC">
        <w:rPr>
          <w:rFonts w:cs="Times New Roman"/>
          <w:sz w:val="20"/>
          <w:szCs w:val="20"/>
        </w:rPr>
        <w:t>Ch</w:t>
      </w:r>
      <w:proofErr w:type="spellEnd"/>
      <w:r w:rsidRPr="00DA7DAC">
        <w:rPr>
          <w:rFonts w:cs="Times New Roman"/>
          <w:sz w:val="20"/>
          <w:szCs w:val="20"/>
        </w:rPr>
        <w:t xml:space="preserve"> 2.</w:t>
      </w:r>
    </w:p>
  </w:footnote>
  <w:footnote w:id="83">
    <w:p w14:paraId="1EB3F844"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This argument is borrowed from L. Besselink, ‘The Bite, the Bark and the Howl: Article 7 TEU and the Rule of Law Initiatives’, in Closa and Kochenov, </w:t>
      </w:r>
      <w:r w:rsidRPr="00DA7DAC">
        <w:rPr>
          <w:i/>
          <w:sz w:val="20"/>
        </w:rPr>
        <w:t>supra</w:t>
      </w:r>
      <w:r w:rsidRPr="00DA7DAC">
        <w:rPr>
          <w:sz w:val="20"/>
        </w:rPr>
        <w:t xml:space="preserve"> n. 7. </w:t>
      </w:r>
    </w:p>
  </w:footnote>
  <w:footnote w:id="84">
    <w:p w14:paraId="7948053E" w14:textId="77777777" w:rsidR="00DE5B47" w:rsidRPr="00DA7DAC" w:rsidRDefault="00DE5B47" w:rsidP="0041419C">
      <w:pPr>
        <w:jc w:val="both"/>
        <w:rPr>
          <w:rFonts w:eastAsia="Times New Roman"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w:t>
      </w:r>
      <w:proofErr w:type="gramStart"/>
      <w:r w:rsidRPr="00DA7DAC">
        <w:rPr>
          <w:rFonts w:cs="Times New Roman"/>
          <w:sz w:val="20"/>
          <w:szCs w:val="20"/>
        </w:rPr>
        <w:t>COM(</w:t>
      </w:r>
      <w:proofErr w:type="gramEnd"/>
      <w:r w:rsidRPr="00DA7DAC">
        <w:rPr>
          <w:rFonts w:cs="Times New Roman"/>
          <w:sz w:val="20"/>
          <w:szCs w:val="20"/>
        </w:rPr>
        <w:t xml:space="preserve">2003) 606 final, pp. 7-8: </w:t>
      </w:r>
      <w:r w:rsidRPr="00DA7DAC">
        <w:rPr>
          <w:rFonts w:eastAsia="Times New Roman" w:cs="Times New Roman"/>
          <w:sz w:val="20"/>
          <w:szCs w:val="20"/>
        </w:rPr>
        <w:t xml:space="preserve">Article 7 TEU ‘places the institutions under an obligation to maintain constant surveillance’ and ‘requires practical operational measures to ensure thorough and effective monitoring of respect for and promotion of common values’. </w:t>
      </w:r>
    </w:p>
  </w:footnote>
  <w:footnote w:id="85">
    <w:p w14:paraId="5AFE12BC"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See e.g. Council conclusions on fundamental rights and the rule of law, Justice and Home Affairs Council meeting, 6 and 7 June 2013, para. 9, where the Council called on the Commission among other things to make full use of existing mechanisms to better safeguard EU values.  </w:t>
      </w:r>
    </w:p>
  </w:footnote>
  <w:footnote w:id="86">
    <w:p w14:paraId="60218FD6" w14:textId="77777777" w:rsidR="00DE5B47" w:rsidRPr="00DA7DAC" w:rsidRDefault="00DE5B47" w:rsidP="0041419C">
      <w:pPr>
        <w:widowControl w:val="0"/>
        <w:autoSpaceDE w:val="0"/>
        <w:autoSpaceDN w:val="0"/>
        <w:adjustRightInd w:val="0"/>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See Art. 17(1) TEU: ‘The Commission shall promote the general interest of the Union and take appropriate initiatives to that end. It shall ensure the application of the Treaties…’</w:t>
      </w:r>
    </w:p>
  </w:footnote>
  <w:footnote w:id="87">
    <w:p w14:paraId="0297E0E8"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Opinion 2/13, </w:t>
      </w:r>
      <w:r w:rsidRPr="00DA7DAC">
        <w:rPr>
          <w:rFonts w:cs="Times New Roman"/>
          <w:i/>
          <w:sz w:val="20"/>
          <w:szCs w:val="20"/>
        </w:rPr>
        <w:t xml:space="preserve">Accession to the ECHR </w:t>
      </w:r>
      <w:r w:rsidRPr="00DA7DAC">
        <w:rPr>
          <w:rFonts w:cs="Times New Roman"/>
          <w:sz w:val="20"/>
          <w:szCs w:val="20"/>
        </w:rPr>
        <w:t xml:space="preserve">(II), 18 December 2014, para. 168. </w:t>
      </w:r>
    </w:p>
  </w:footnote>
  <w:footnote w:id="88">
    <w:p w14:paraId="179BE7CB"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Müller 2015, </w:t>
      </w:r>
      <w:r w:rsidRPr="00DA7DAC">
        <w:rPr>
          <w:i/>
          <w:sz w:val="20"/>
        </w:rPr>
        <w:t>supra</w:t>
      </w:r>
      <w:r w:rsidRPr="00DA7DAC">
        <w:rPr>
          <w:sz w:val="20"/>
        </w:rPr>
        <w:t xml:space="preserve"> n. 71, p. 145. </w:t>
      </w:r>
    </w:p>
  </w:footnote>
  <w:footnote w:id="89">
    <w:p w14:paraId="53182379"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This was one of the many sensible recommendations contained in a report published by the Bingham Centre for the Rule of Law, </w:t>
      </w:r>
      <w:r w:rsidRPr="00DA7DAC">
        <w:rPr>
          <w:rStyle w:val="FootnoteReference"/>
          <w:rFonts w:cs="Times New Roman"/>
          <w:i/>
          <w:sz w:val="20"/>
          <w:szCs w:val="20"/>
          <w:vertAlign w:val="baseline"/>
        </w:rPr>
        <w:t>Safeguarding the Rule of Law, Democracy and Fundamental Rights: A Monitoring Model for the European Union</w:t>
      </w:r>
      <w:r w:rsidRPr="00DA7DAC">
        <w:rPr>
          <w:rStyle w:val="FootnoteReference"/>
          <w:rFonts w:cs="Times New Roman"/>
          <w:sz w:val="20"/>
          <w:szCs w:val="20"/>
          <w:vertAlign w:val="baseline"/>
        </w:rPr>
        <w:t xml:space="preserve">, 15 November 2013. </w:t>
      </w:r>
    </w:p>
  </w:footnote>
  <w:footnote w:id="90">
    <w:p w14:paraId="6015C9CC"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proofErr w:type="spellStart"/>
      <w:r w:rsidRPr="00DA7DAC">
        <w:rPr>
          <w:rStyle w:val="FootnoteReference"/>
          <w:rFonts w:cs="Times New Roman"/>
          <w:sz w:val="20"/>
          <w:szCs w:val="20"/>
          <w:vertAlign w:val="baseline"/>
        </w:rPr>
        <w:t>Meijers</w:t>
      </w:r>
      <w:proofErr w:type="spellEnd"/>
      <w:r w:rsidRPr="00DA7DAC">
        <w:rPr>
          <w:rStyle w:val="FootnoteReference"/>
          <w:rFonts w:cs="Times New Roman"/>
          <w:sz w:val="20"/>
          <w:szCs w:val="20"/>
          <w:vertAlign w:val="baseline"/>
        </w:rPr>
        <w:t xml:space="preserve"> Committee, Letter to Commissioner </w:t>
      </w:r>
      <w:proofErr w:type="spellStart"/>
      <w:r w:rsidRPr="00DA7DAC">
        <w:rPr>
          <w:rStyle w:val="FootnoteReference"/>
          <w:rFonts w:cs="Times New Roman"/>
          <w:sz w:val="20"/>
          <w:szCs w:val="20"/>
          <w:vertAlign w:val="baseline"/>
        </w:rPr>
        <w:t>Reding</w:t>
      </w:r>
      <w:proofErr w:type="spellEnd"/>
      <w:r w:rsidRPr="00DA7DAC">
        <w:rPr>
          <w:rStyle w:val="FootnoteReference"/>
          <w:rFonts w:cs="Times New Roman"/>
          <w:sz w:val="20"/>
          <w:szCs w:val="20"/>
          <w:vertAlign w:val="baseline"/>
        </w:rPr>
        <w:t xml:space="preserve">: Note on the Commission Communication “A new EU Framework to strengthen the Rule of Law”, Ref. CM1406, 15 June 2014, available at: </w:t>
      </w:r>
      <w:hyperlink r:id="rId8" w:history="1">
        <w:r w:rsidRPr="00DA7DAC">
          <w:rPr>
            <w:rStyle w:val="FootnoteReference"/>
            <w:rFonts w:cs="Times New Roman"/>
            <w:sz w:val="20"/>
            <w:szCs w:val="20"/>
            <w:vertAlign w:val="baseline"/>
          </w:rPr>
          <w:t>http://www.statewatch.org/news/2014/jun/eu-meijers-cttee-letter-reding-rule-of-law.pdf</w:t>
        </w:r>
      </w:hyperlink>
      <w:r w:rsidRPr="00DA7DAC">
        <w:rPr>
          <w:rStyle w:val="FootnoteReference"/>
          <w:rFonts w:cs="Times New Roman"/>
          <w:sz w:val="20"/>
          <w:szCs w:val="20"/>
          <w:vertAlign w:val="baseline"/>
        </w:rPr>
        <w:t xml:space="preserve">  </w:t>
      </w:r>
    </w:p>
  </w:footnote>
  <w:footnote w:id="91">
    <w:p w14:paraId="3EEB8614" w14:textId="77777777" w:rsidR="00DE5B47" w:rsidRPr="00DA7DAC" w:rsidRDefault="00DE5B47" w:rsidP="0041419C">
      <w:pPr>
        <w:jc w:val="both"/>
        <w:rPr>
          <w:rStyle w:val="FootnoteReference"/>
        </w:rPr>
      </w:pPr>
      <w:r w:rsidRPr="00DA7DAC">
        <w:rPr>
          <w:rStyle w:val="FootnoteReference"/>
          <w:rFonts w:cs="Times New Roman"/>
          <w:sz w:val="20"/>
          <w:szCs w:val="20"/>
          <w:vertAlign w:val="baseline"/>
        </w:rPr>
        <w:footnoteRef/>
      </w:r>
      <w:r w:rsidRPr="00DA7DAC">
        <w:rPr>
          <w:rStyle w:val="FootnoteReference"/>
          <w:rFonts w:cs="Times New Roman"/>
          <w:sz w:val="20"/>
          <w:szCs w:val="20"/>
          <w:vertAlign w:val="baseline"/>
        </w:rPr>
        <w:t xml:space="preserve"> </w:t>
      </w:r>
      <w:r w:rsidRPr="00DA7DAC">
        <w:rPr>
          <w:rFonts w:cs="Times New Roman"/>
          <w:sz w:val="20"/>
          <w:szCs w:val="20"/>
        </w:rPr>
        <w:t xml:space="preserve">While this is </w:t>
      </w:r>
      <w:r w:rsidRPr="00DA7DAC">
        <w:rPr>
          <w:rStyle w:val="FootnoteReference"/>
          <w:rFonts w:cs="Times New Roman"/>
          <w:sz w:val="20"/>
          <w:szCs w:val="20"/>
          <w:vertAlign w:val="baseline"/>
        </w:rPr>
        <w:t xml:space="preserve">relatively unknown, the possibility of European intervention in a situation of systemic threat to the democratic and liberal constitutional order of a Member State is not an entirely new debate. Indeed, the European Political Community Treaty of 1953, which however never entered into force, </w:t>
      </w:r>
      <w:r w:rsidRPr="00DA7DAC">
        <w:rPr>
          <w:rFonts w:cs="Times New Roman"/>
          <w:sz w:val="20"/>
          <w:szCs w:val="20"/>
        </w:rPr>
        <w:t>provided for the rather extraordinary possibility of European intervention to maintain ‘constitutional order and democratic institutions’ within the territory of a Member State.</w:t>
      </w:r>
      <w:r w:rsidRPr="00DA7DAC">
        <w:rPr>
          <w:rStyle w:val="FootnoteReference"/>
          <w:rFonts w:cs="Times New Roman"/>
          <w:sz w:val="20"/>
          <w:szCs w:val="20"/>
          <w:vertAlign w:val="baseline"/>
        </w:rPr>
        <w:t xml:space="preserve"> See G</w:t>
      </w:r>
      <w:r w:rsidRPr="00DA7DAC">
        <w:rPr>
          <w:rFonts w:cs="Times New Roman"/>
          <w:sz w:val="20"/>
          <w:szCs w:val="20"/>
        </w:rPr>
        <w:t>.</w:t>
      </w:r>
      <w:r w:rsidRPr="00DA7DAC">
        <w:rPr>
          <w:rStyle w:val="FootnoteReference"/>
          <w:rFonts w:cs="Times New Roman"/>
          <w:sz w:val="20"/>
          <w:szCs w:val="20"/>
          <w:vertAlign w:val="baseline"/>
        </w:rPr>
        <w:t xml:space="preserve"> de </w:t>
      </w:r>
      <w:proofErr w:type="spellStart"/>
      <w:r w:rsidRPr="00DA7DAC">
        <w:rPr>
          <w:rStyle w:val="FootnoteReference"/>
          <w:rFonts w:cs="Times New Roman"/>
          <w:sz w:val="20"/>
          <w:szCs w:val="20"/>
          <w:vertAlign w:val="baseline"/>
        </w:rPr>
        <w:t>Búrca</w:t>
      </w:r>
      <w:proofErr w:type="spellEnd"/>
      <w:r w:rsidRPr="00DA7DAC">
        <w:rPr>
          <w:rStyle w:val="FootnoteReference"/>
          <w:rFonts w:cs="Times New Roman"/>
          <w:sz w:val="20"/>
          <w:szCs w:val="20"/>
          <w:vertAlign w:val="baseline"/>
        </w:rPr>
        <w:t xml:space="preserve">, ‘The Road Not Taken: The EU as a Global Human Rights Actor’, 105 </w:t>
      </w:r>
      <w:r w:rsidRPr="00DA7DAC">
        <w:rPr>
          <w:rStyle w:val="FootnoteReference"/>
          <w:rFonts w:cs="Times New Roman"/>
          <w:i/>
          <w:sz w:val="20"/>
          <w:szCs w:val="20"/>
          <w:vertAlign w:val="baseline"/>
        </w:rPr>
        <w:t>AJIL</w:t>
      </w:r>
      <w:r w:rsidRPr="00DA7DAC">
        <w:rPr>
          <w:rStyle w:val="FootnoteReference"/>
          <w:rFonts w:cs="Times New Roman"/>
          <w:sz w:val="20"/>
          <w:szCs w:val="20"/>
          <w:vertAlign w:val="baseline"/>
        </w:rPr>
        <w:t xml:space="preserve"> (2011)</w:t>
      </w:r>
      <w:r w:rsidRPr="00DA7DAC">
        <w:rPr>
          <w:rFonts w:cs="Times New Roman"/>
          <w:sz w:val="20"/>
          <w:szCs w:val="20"/>
        </w:rPr>
        <w:t xml:space="preserve"> </w:t>
      </w:r>
      <w:r w:rsidRPr="00DA7DAC">
        <w:rPr>
          <w:rStyle w:val="FootnoteReference"/>
          <w:rFonts w:cs="Times New Roman"/>
          <w:sz w:val="20"/>
          <w:szCs w:val="20"/>
          <w:vertAlign w:val="baseline"/>
        </w:rPr>
        <w:t>649.</w:t>
      </w:r>
    </w:p>
  </w:footnote>
  <w:footnote w:id="92">
    <w:p w14:paraId="6C83877A"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w:t>
      </w:r>
      <w:r w:rsidRPr="00DA7DAC">
        <w:rPr>
          <w:rFonts w:cs="Times New Roman"/>
          <w:sz w:val="20"/>
          <w:szCs w:val="20"/>
          <w:u w:color="262626"/>
        </w:rPr>
        <w:t xml:space="preserve">Council of the EU, press release no. </w:t>
      </w:r>
      <w:r w:rsidRPr="00DA7DAC">
        <w:rPr>
          <w:rFonts w:cs="Times New Roman"/>
          <w:sz w:val="20"/>
          <w:szCs w:val="20"/>
        </w:rPr>
        <w:t>16936/14</w:t>
      </w:r>
      <w:r w:rsidRPr="00DA7DAC">
        <w:rPr>
          <w:rFonts w:cs="Times New Roman"/>
          <w:sz w:val="20"/>
          <w:szCs w:val="20"/>
          <w:u w:color="262626"/>
        </w:rPr>
        <w:t xml:space="preserve">, 3362nd Council meeting, General Affairs, Brussels, 16 December 2014, pp. 20-21. </w:t>
      </w:r>
    </w:p>
  </w:footnote>
  <w:footnote w:id="93">
    <w:p w14:paraId="0CF147D6"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See e.g. UK Government, </w:t>
      </w:r>
      <w:r w:rsidRPr="00DA7DAC">
        <w:rPr>
          <w:rFonts w:cs="Times New Roman"/>
          <w:i/>
          <w:sz w:val="20"/>
          <w:szCs w:val="20"/>
        </w:rPr>
        <w:t xml:space="preserve">Review of the Balance of Competences between the UK and the EU – </w:t>
      </w:r>
      <w:proofErr w:type="spellStart"/>
      <w:r w:rsidRPr="00DA7DAC">
        <w:rPr>
          <w:rFonts w:cs="Times New Roman"/>
          <w:i/>
          <w:sz w:val="20"/>
          <w:szCs w:val="20"/>
        </w:rPr>
        <w:t>EU</w:t>
      </w:r>
      <w:proofErr w:type="spellEnd"/>
      <w:r w:rsidRPr="00DA7DAC">
        <w:rPr>
          <w:rFonts w:cs="Times New Roman"/>
          <w:i/>
          <w:sz w:val="20"/>
          <w:szCs w:val="20"/>
        </w:rPr>
        <w:t xml:space="preserve"> Enlargement</w:t>
      </w:r>
      <w:r w:rsidRPr="00DA7DAC">
        <w:rPr>
          <w:rFonts w:cs="Times New Roman"/>
          <w:sz w:val="20"/>
          <w:szCs w:val="20"/>
        </w:rPr>
        <w:t xml:space="preserve"> (December 2014), para. 2.116: ‘However the Government does not accept the need for a new EU rule of law framework applying to all Member States. There are already mechanisms in place to protect EU common values and a further EU mechanism would risk undermining the clear roles for the Council and the European Council in this area.’</w:t>
      </w:r>
    </w:p>
  </w:footnote>
  <w:footnote w:id="94">
    <w:p w14:paraId="1F5DA19B" w14:textId="77777777" w:rsidR="00DE5B47" w:rsidRPr="00DA7DAC" w:rsidRDefault="00DE5B47" w:rsidP="0041419C">
      <w:pPr>
        <w:pStyle w:val="FootnoteText"/>
        <w:spacing w:before="0" w:line="240" w:lineRule="auto"/>
        <w:rPr>
          <w:sz w:val="20"/>
        </w:rPr>
      </w:pPr>
      <w:r w:rsidRPr="00DA7DAC">
        <w:rPr>
          <w:rStyle w:val="FootnoteReference"/>
          <w:sz w:val="20"/>
          <w:vertAlign w:val="baseline"/>
        </w:rPr>
        <w:footnoteRef/>
      </w:r>
      <w:r w:rsidRPr="00DA7DAC">
        <w:rPr>
          <w:sz w:val="20"/>
        </w:rPr>
        <w:t xml:space="preserve"> Art. 5 TEU.</w:t>
      </w:r>
    </w:p>
  </w:footnote>
  <w:footnote w:id="95">
    <w:p w14:paraId="660D6803" w14:textId="77777777" w:rsidR="00DE5B47" w:rsidRPr="00DA7DAC" w:rsidRDefault="00DE5B47" w:rsidP="0041419C">
      <w:pPr>
        <w:pStyle w:val="FootnoteText"/>
        <w:spacing w:before="0" w:line="240" w:lineRule="auto"/>
        <w:rPr>
          <w:sz w:val="20"/>
        </w:rPr>
      </w:pPr>
      <w:r w:rsidRPr="00DA7DAC">
        <w:rPr>
          <w:rStyle w:val="FootnoteReference"/>
          <w:sz w:val="20"/>
          <w:vertAlign w:val="baseline"/>
        </w:rPr>
        <w:footnoteRef/>
      </w:r>
      <w:r w:rsidRPr="00DA7DAC">
        <w:rPr>
          <w:sz w:val="20"/>
        </w:rPr>
        <w:t xml:space="preserve"> Art. 4(2) TEU.</w:t>
      </w:r>
    </w:p>
  </w:footnote>
  <w:footnote w:id="96">
    <w:p w14:paraId="2B5C177A"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Italian Presidency Note to the Council of the EU, Ensuring respect for the rule of law in the EU, Doc. 15206/14, Brussels, 14 November 2014, para. 12.</w:t>
      </w:r>
    </w:p>
  </w:footnote>
  <w:footnote w:id="97">
    <w:p w14:paraId="06FD7BBD"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See V. Pop, ‘Hungary triggers rule of law ‘debates’ in EU Council, </w:t>
      </w:r>
      <w:proofErr w:type="spellStart"/>
      <w:r w:rsidRPr="00DA7DAC">
        <w:rPr>
          <w:rFonts w:cs="Times New Roman"/>
          <w:i/>
          <w:sz w:val="20"/>
          <w:szCs w:val="20"/>
        </w:rPr>
        <w:t>EUobserver</w:t>
      </w:r>
      <w:proofErr w:type="spellEnd"/>
      <w:r w:rsidRPr="00DA7DAC">
        <w:rPr>
          <w:rFonts w:cs="Times New Roman"/>
          <w:sz w:val="20"/>
          <w:szCs w:val="20"/>
        </w:rPr>
        <w:t>, 20 November 2014.</w:t>
      </w:r>
    </w:p>
  </w:footnote>
  <w:footnote w:id="98">
    <w:p w14:paraId="4580C206"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w:t>
      </w:r>
      <w:r w:rsidRPr="00DA7DAC">
        <w:rPr>
          <w:rFonts w:cs="Times New Roman"/>
          <w:sz w:val="20"/>
          <w:szCs w:val="20"/>
          <w:u w:color="262626"/>
        </w:rPr>
        <w:t xml:space="preserve">Council of the EU, press release no. </w:t>
      </w:r>
      <w:r w:rsidRPr="00DA7DAC">
        <w:rPr>
          <w:rFonts w:cs="Times New Roman"/>
          <w:sz w:val="20"/>
          <w:szCs w:val="20"/>
        </w:rPr>
        <w:t>16936/14</w:t>
      </w:r>
      <w:r w:rsidRPr="00DA7DAC">
        <w:rPr>
          <w:rFonts w:cs="Times New Roman"/>
          <w:sz w:val="20"/>
          <w:szCs w:val="20"/>
          <w:u w:color="262626"/>
        </w:rPr>
        <w:t xml:space="preserve">, </w:t>
      </w:r>
      <w:r w:rsidRPr="00DA7DAC">
        <w:rPr>
          <w:rFonts w:cs="Times New Roman"/>
          <w:i/>
          <w:sz w:val="20"/>
          <w:szCs w:val="20"/>
          <w:u w:color="262626"/>
        </w:rPr>
        <w:t>supra</w:t>
      </w:r>
      <w:r w:rsidRPr="00DA7DAC">
        <w:rPr>
          <w:rFonts w:cs="Times New Roman"/>
          <w:sz w:val="20"/>
          <w:szCs w:val="20"/>
          <w:u w:color="262626"/>
        </w:rPr>
        <w:t xml:space="preserve"> n. 90, </w:t>
      </w:r>
      <w:r w:rsidRPr="00DA7DAC">
        <w:rPr>
          <w:rFonts w:cs="Times New Roman"/>
          <w:sz w:val="20"/>
          <w:szCs w:val="20"/>
        </w:rPr>
        <w:t xml:space="preserve">p. 21. </w:t>
      </w:r>
    </w:p>
  </w:footnote>
  <w:footnote w:id="99">
    <w:p w14:paraId="77A03B24"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European Parliament resolution of 16 December 2010 on the Annual Report on Human Rights in the World 2009 and the European Union’s policy on the matter (2010/2202(INI)), para. 157. </w:t>
      </w:r>
    </w:p>
  </w:footnote>
  <w:footnote w:id="100">
    <w:p w14:paraId="5909C18C" w14:textId="77777777" w:rsidR="00DE5B47" w:rsidRPr="00DA7DAC" w:rsidRDefault="00DE5B47" w:rsidP="0041419C">
      <w:pPr>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To paraphrase K. Roth, ‘A Facade of Action: The Misuse of Dialogue and Cooperation with Rights Abusers’, in Human Rights Watch</w:t>
      </w:r>
      <w:r w:rsidRPr="00DA7DAC">
        <w:rPr>
          <w:rFonts w:cs="Times New Roman"/>
          <w:i/>
          <w:sz w:val="20"/>
          <w:szCs w:val="20"/>
        </w:rPr>
        <w:t>, World Report 2011. Events of 2010</w:t>
      </w:r>
      <w:r w:rsidRPr="00DA7DAC">
        <w:rPr>
          <w:rFonts w:cs="Times New Roman"/>
          <w:sz w:val="20"/>
          <w:szCs w:val="20"/>
        </w:rPr>
        <w:t xml:space="preserve"> (Seven Stories Press 2011), p. 1. </w:t>
      </w:r>
    </w:p>
  </w:footnote>
  <w:footnote w:id="101">
    <w:p w14:paraId="6653003C" w14:textId="77777777" w:rsidR="00DE5B47" w:rsidRPr="00DA7DAC" w:rsidRDefault="00DE5B47" w:rsidP="0041419C">
      <w:pPr>
        <w:pStyle w:val="FootnoteText"/>
        <w:spacing w:before="0" w:line="240" w:lineRule="auto"/>
        <w:ind w:left="0" w:firstLine="0"/>
        <w:rPr>
          <w:sz w:val="20"/>
        </w:rPr>
      </w:pPr>
      <w:r w:rsidRPr="00DA7DAC">
        <w:rPr>
          <w:rStyle w:val="FootnoteReference"/>
          <w:sz w:val="20"/>
        </w:rPr>
        <w:footnoteRef/>
      </w:r>
      <w:r w:rsidRPr="00DA7DAC">
        <w:rPr>
          <w:sz w:val="20"/>
        </w:rPr>
        <w:t xml:space="preserve"> To give one example, the Latvian Presidency (first half of 2015) has done absolutely nothing to address the issue of national breaches of EU values. Indeed, the Presidency was rightly condemned by the Alliance of Liberals and Democrats for Europe (ALDE) in the European Parliament for refusing to participate in the parliamentary debate on the situation on Hungary at the European Parliament last May. </w:t>
      </w:r>
      <w:r w:rsidRPr="00DA7DAC">
        <w:rPr>
          <w:rFonts w:cs="Arial"/>
          <w:color w:val="292929"/>
          <w:sz w:val="20"/>
          <w:szCs w:val="28"/>
        </w:rPr>
        <w:t>Speaking for the Council Presidency, Latvian State Secretary for European Affairs Zanda Kalniņa-Lukaševica did welcome the Parliament’s concern for the ‘preservation of democratic values’, but as the Council had not discussed the situation in Hungary, she argued not to be ‘in a position to comment’: European Parliament News, ‘Views on Hungary, fundamental rights and EU values’, Press release 20150513IPR55481, 21 May 2015.</w:t>
      </w:r>
      <w:r w:rsidRPr="00DA7DAC">
        <w:rPr>
          <w:sz w:val="20"/>
        </w:rPr>
        <w:t xml:space="preserve"> One could be forgiven to think that Latvia’s questionable human rights record when it comes to ethnic discrimination may well explain their lack of urgency with respect to Hungary. On Latvia’s record regarding minority rights, see e.g. D. Kochenov, V. Poleshchuk and A. Dimitrovs, ‘Do Professional Linguistic Requirements Discriminate?’, 10 </w:t>
      </w:r>
      <w:r w:rsidRPr="00DA7DAC">
        <w:rPr>
          <w:i/>
          <w:sz w:val="20"/>
        </w:rPr>
        <w:t>European Yearbook of Minority Issues</w:t>
      </w:r>
      <w:r w:rsidRPr="00DA7DAC">
        <w:rPr>
          <w:sz w:val="20"/>
        </w:rPr>
        <w:t xml:space="preserve"> (2013), p. 137.</w:t>
      </w:r>
    </w:p>
  </w:footnote>
  <w:footnote w:id="102">
    <w:p w14:paraId="193CD89D"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w:t>
      </w:r>
      <w:r w:rsidRPr="00DA7DAC">
        <w:rPr>
          <w:bCs/>
          <w:sz w:val="20"/>
        </w:rPr>
        <w:t>European Parliament resolution of 12 December 2012 on the situation of fundamental rights in the European Union (2010 - 2011) (</w:t>
      </w:r>
      <w:hyperlink r:id="rId9" w:history="1">
        <w:r w:rsidRPr="00DA7DAC">
          <w:rPr>
            <w:bCs/>
            <w:sz w:val="20"/>
          </w:rPr>
          <w:t>2011/2069(INI)</w:t>
        </w:r>
      </w:hyperlink>
      <w:r w:rsidRPr="00DA7DAC">
        <w:rPr>
          <w:bCs/>
          <w:sz w:val="20"/>
        </w:rPr>
        <w:t>), para. 20.</w:t>
      </w:r>
    </w:p>
  </w:footnote>
  <w:footnote w:id="103">
    <w:p w14:paraId="4E4EB834"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Ibid., para. 44. </w:t>
      </w:r>
    </w:p>
  </w:footnote>
  <w:footnote w:id="104">
    <w:p w14:paraId="3CFD936F"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w:t>
      </w:r>
      <w:r w:rsidRPr="00DA7DAC">
        <w:rPr>
          <w:bCs/>
          <w:sz w:val="20"/>
        </w:rPr>
        <w:t>European Parliament resolution of 27 February 2014 on the situation of fundamental rights in the European Union (2012) (</w:t>
      </w:r>
      <w:hyperlink r:id="rId10" w:history="1">
        <w:r w:rsidRPr="00DA7DAC">
          <w:rPr>
            <w:bCs/>
            <w:sz w:val="20"/>
          </w:rPr>
          <w:t>2013/2078(INI)</w:t>
        </w:r>
      </w:hyperlink>
      <w:r w:rsidRPr="00DA7DAC">
        <w:rPr>
          <w:bCs/>
          <w:sz w:val="20"/>
        </w:rPr>
        <w:t>), para. 8(o).</w:t>
      </w:r>
    </w:p>
  </w:footnote>
  <w:footnote w:id="105">
    <w:p w14:paraId="670DDC6B" w14:textId="77777777" w:rsidR="00DE5B47" w:rsidRPr="00DA7DAC" w:rsidRDefault="00DE5B47" w:rsidP="0041419C">
      <w:pPr>
        <w:pStyle w:val="FootnoteText"/>
        <w:spacing w:before="0" w:line="240" w:lineRule="auto"/>
        <w:ind w:left="0" w:firstLine="0"/>
        <w:rPr>
          <w:sz w:val="20"/>
        </w:rPr>
      </w:pPr>
      <w:r w:rsidRPr="00DA7DAC">
        <w:rPr>
          <w:rStyle w:val="FootnoteReference"/>
          <w:sz w:val="20"/>
          <w:vertAlign w:val="baseline"/>
        </w:rPr>
        <w:footnoteRef/>
      </w:r>
      <w:r w:rsidRPr="00DA7DAC">
        <w:rPr>
          <w:sz w:val="20"/>
        </w:rPr>
        <w:t xml:space="preserve"> ALDE Initiative Outline, </w:t>
      </w:r>
      <w:r w:rsidRPr="00DA7DAC">
        <w:rPr>
          <w:i/>
          <w:sz w:val="20"/>
        </w:rPr>
        <w:t>The EU Democratic Governance Pact. Upholding the Rule of Law and Fundamental Rights</w:t>
      </w:r>
      <w:r w:rsidRPr="00DA7DAC">
        <w:rPr>
          <w:sz w:val="20"/>
        </w:rPr>
        <w:t xml:space="preserve"> (13 January 2015). The full text of the proposed pact is available at: &lt;</w:t>
      </w:r>
      <w:hyperlink r:id="rId11" w:history="1">
        <w:r w:rsidRPr="00DA7DAC">
          <w:rPr>
            <w:rStyle w:val="Hyperlink"/>
            <w:sz w:val="20"/>
          </w:rPr>
          <w:t>http://www.alde.eu/documents/publications</w:t>
        </w:r>
      </w:hyperlink>
      <w:r w:rsidRPr="00DA7DAC">
        <w:rPr>
          <w:sz w:val="20"/>
        </w:rPr>
        <w:t xml:space="preserve">&gt;. </w:t>
      </w:r>
    </w:p>
  </w:footnote>
  <w:footnote w:id="106">
    <w:p w14:paraId="19CDDF92" w14:textId="77777777" w:rsidR="00DE5B47" w:rsidRPr="00DA7DAC" w:rsidRDefault="00DE5B47" w:rsidP="0041419C">
      <w:pPr>
        <w:pStyle w:val="FootnoteText"/>
        <w:spacing w:before="0" w:line="240" w:lineRule="auto"/>
        <w:ind w:left="0" w:firstLine="0"/>
        <w:rPr>
          <w:sz w:val="20"/>
        </w:rPr>
      </w:pPr>
      <w:r w:rsidRPr="00DA7DAC">
        <w:rPr>
          <w:rStyle w:val="FootnoteReference"/>
          <w:rFonts w:eastAsiaTheme="majorEastAsia"/>
          <w:sz w:val="20"/>
          <w:vertAlign w:val="baseline"/>
        </w:rPr>
        <w:footnoteRef/>
      </w:r>
      <w:r w:rsidRPr="00DA7DAC">
        <w:rPr>
          <w:sz w:val="20"/>
        </w:rPr>
        <w:t xml:space="preserve"> ‘European Semester’ is the name given to the EU’s annual economic policy coordination process. Within this framework the Commission can adopt country-specific recommendations with the view of boosting growth and jobs. </w:t>
      </w:r>
    </w:p>
  </w:footnote>
  <w:footnote w:id="107">
    <w:p w14:paraId="0A06B0B2" w14:textId="77777777" w:rsidR="00DE5B47" w:rsidRPr="00DA7DAC" w:rsidRDefault="00DE5B47" w:rsidP="0041419C">
      <w:pPr>
        <w:widowControl w:val="0"/>
        <w:autoSpaceDE w:val="0"/>
        <w:autoSpaceDN w:val="0"/>
        <w:adjustRightInd w:val="0"/>
        <w:jc w:val="both"/>
        <w:rPr>
          <w:rFonts w:cs="Times New Roman"/>
          <w:sz w:val="20"/>
          <w:szCs w:val="20"/>
        </w:rPr>
      </w:pPr>
      <w:r w:rsidRPr="00DA7DAC">
        <w:rPr>
          <w:rStyle w:val="FootnoteReference"/>
          <w:rFonts w:cs="Times New Roman"/>
          <w:sz w:val="20"/>
          <w:szCs w:val="20"/>
          <w:vertAlign w:val="baseline"/>
        </w:rPr>
        <w:footnoteRef/>
      </w:r>
      <w:r w:rsidRPr="00DA7DAC">
        <w:rPr>
          <w:rFonts w:cs="Times New Roman"/>
          <w:sz w:val="20"/>
          <w:szCs w:val="20"/>
        </w:rPr>
        <w:t xml:space="preserve"> </w:t>
      </w:r>
      <w:r w:rsidRPr="00DA7DAC">
        <w:rPr>
          <w:rFonts w:cs="Times New Roman"/>
          <w:bCs/>
          <w:sz w:val="20"/>
          <w:szCs w:val="20"/>
        </w:rPr>
        <w:t xml:space="preserve">F. Timmermans, ‘EU framework for democracy, rule of law and fundamental rights’, Speech to the European Parliament, Strasbourg, </w:t>
      </w:r>
      <w:r w:rsidRPr="00DA7DAC">
        <w:rPr>
          <w:rFonts w:cs="Times New Roman"/>
          <w:sz w:val="20"/>
          <w:szCs w:val="20"/>
        </w:rPr>
        <w:t xml:space="preserve">Speech/15/4402, </w:t>
      </w:r>
      <w:r w:rsidRPr="00DA7DAC">
        <w:rPr>
          <w:rFonts w:cs="Times New Roman"/>
          <w:bCs/>
          <w:sz w:val="20"/>
          <w:szCs w:val="20"/>
        </w:rPr>
        <w:t>12 February 2015.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633E" w14:textId="77777777" w:rsidR="00DE5B47" w:rsidRDefault="00DE5B47" w:rsidP="008B3CF5">
    <w:pPr>
      <w:pStyle w:val="Header"/>
      <w:framePr w:wrap="around" w:vAnchor="text" w:hAnchor="margin" w:xAlign="right" w:y="1"/>
      <w:rPr>
        <w:rStyle w:val="PageNumber"/>
        <w:rFonts w:eastAsiaTheme="minorHAnsi" w:cstheme="minorBidi"/>
        <w:lang w:eastAsia="en-US"/>
      </w:rPr>
    </w:pPr>
    <w:r>
      <w:rPr>
        <w:rStyle w:val="PageNumber"/>
      </w:rPr>
      <w:fldChar w:fldCharType="begin"/>
    </w:r>
    <w:r>
      <w:rPr>
        <w:rStyle w:val="PageNumber"/>
      </w:rPr>
      <w:instrText xml:space="preserve">PAGE  </w:instrText>
    </w:r>
    <w:r>
      <w:rPr>
        <w:rStyle w:val="PageNumber"/>
      </w:rPr>
      <w:fldChar w:fldCharType="end"/>
    </w:r>
  </w:p>
  <w:p w14:paraId="07AE17B2" w14:textId="77777777" w:rsidR="00DE5B47" w:rsidRDefault="00DE5B47" w:rsidP="008B3CF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6D41" w14:textId="77777777" w:rsidR="00DE5B47" w:rsidRPr="002651C2" w:rsidRDefault="00DE5B47" w:rsidP="008B3CF5">
    <w:pPr>
      <w:pStyle w:val="Header"/>
      <w:framePr w:wrap="around" w:vAnchor="text" w:hAnchor="margin" w:xAlign="right" w:y="1"/>
      <w:rPr>
        <w:rStyle w:val="PageNumber"/>
        <w:rFonts w:ascii="Adobe Garamond Pro" w:eastAsiaTheme="minorHAnsi" w:hAnsi="Adobe Garamond Pro" w:cstheme="minorBidi"/>
        <w:szCs w:val="20"/>
        <w:lang w:eastAsia="en-US"/>
      </w:rPr>
    </w:pPr>
    <w:r w:rsidRPr="002651C2">
      <w:rPr>
        <w:rStyle w:val="PageNumber"/>
        <w:rFonts w:ascii="Adobe Garamond Pro" w:hAnsi="Adobe Garamond Pro"/>
        <w:szCs w:val="20"/>
      </w:rPr>
      <w:fldChar w:fldCharType="begin"/>
    </w:r>
    <w:r w:rsidRPr="002651C2">
      <w:rPr>
        <w:rStyle w:val="PageNumber"/>
        <w:rFonts w:ascii="Adobe Garamond Pro" w:hAnsi="Adobe Garamond Pro"/>
        <w:szCs w:val="20"/>
      </w:rPr>
      <w:instrText xml:space="preserve">PAGE  </w:instrText>
    </w:r>
    <w:r w:rsidRPr="002651C2">
      <w:rPr>
        <w:rStyle w:val="PageNumber"/>
        <w:rFonts w:ascii="Adobe Garamond Pro" w:hAnsi="Adobe Garamond Pro"/>
        <w:szCs w:val="20"/>
      </w:rPr>
      <w:fldChar w:fldCharType="separate"/>
    </w:r>
    <w:r w:rsidR="002651C2">
      <w:rPr>
        <w:rStyle w:val="PageNumber"/>
        <w:rFonts w:ascii="Adobe Garamond Pro" w:hAnsi="Adobe Garamond Pro"/>
        <w:noProof/>
        <w:szCs w:val="20"/>
      </w:rPr>
      <w:t>1</w:t>
    </w:r>
    <w:r w:rsidRPr="002651C2">
      <w:rPr>
        <w:rStyle w:val="PageNumber"/>
        <w:rFonts w:ascii="Adobe Garamond Pro" w:hAnsi="Adobe Garamond Pro"/>
        <w:szCs w:val="20"/>
      </w:rPr>
      <w:fldChar w:fldCharType="end"/>
    </w:r>
  </w:p>
  <w:p w14:paraId="4A00127B" w14:textId="77777777" w:rsidR="00DE5B47" w:rsidRPr="002651C2" w:rsidRDefault="002651C2" w:rsidP="00981578">
    <w:pPr>
      <w:pStyle w:val="Header"/>
      <w:ind w:right="360"/>
      <w:jc w:val="center"/>
      <w:rPr>
        <w:rFonts w:ascii="Adobe Garamond Pro" w:hAnsi="Adobe Garamond Pro"/>
        <w:szCs w:val="20"/>
      </w:rPr>
    </w:pPr>
    <w:r w:rsidRPr="002651C2">
      <w:rPr>
        <w:rFonts w:ascii="Adobe Garamond Pro" w:hAnsi="Adobe Garamond Pro"/>
        <w:szCs w:val="20"/>
      </w:rPr>
      <w:t>T</w:t>
    </w:r>
    <w:r w:rsidR="00DE5B47" w:rsidRPr="002651C2">
      <w:rPr>
        <w:rFonts w:ascii="Adobe Garamond Pro" w:hAnsi="Adobe Garamond Pro"/>
        <w:szCs w:val="20"/>
      </w:rPr>
      <w:t xml:space="preserve">o </w:t>
    </w:r>
    <w:r w:rsidRPr="002651C2">
      <w:rPr>
        <w:rFonts w:ascii="Adobe Garamond Pro" w:hAnsi="Adobe Garamond Pro"/>
        <w:szCs w:val="20"/>
      </w:rPr>
      <w:t xml:space="preserve">be published in the </w:t>
    </w:r>
    <w:r w:rsidRPr="002651C2">
      <w:rPr>
        <w:rFonts w:ascii="Adobe Garamond Pro" w:hAnsi="Adobe Garamond Pro" w:cstheme="minorBidi"/>
        <w:i/>
        <w:iCs/>
        <w:szCs w:val="20"/>
        <w:lang w:val="en-US" w:eastAsia="en-US"/>
      </w:rPr>
      <w:t>European Constitutional Law Review</w:t>
    </w:r>
    <w:r w:rsidR="00DE5B47" w:rsidRPr="002651C2">
      <w:rPr>
        <w:rFonts w:ascii="Adobe Garamond Pro" w:hAnsi="Adobe Garamond Pro"/>
        <w:szCs w:val="20"/>
      </w:rPr>
      <w:t xml:space="preserve"> </w:t>
    </w:r>
    <w:r w:rsidRPr="002651C2">
      <w:rPr>
        <w:rFonts w:ascii="Adobe Garamond Pro" w:hAnsi="Adobe Garamond Pro"/>
        <w:szCs w:val="20"/>
      </w:rPr>
      <w:t>Vol 11(3)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D0FF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C5E9230"/>
    <w:lvl w:ilvl="0">
      <w:start w:val="1"/>
      <w:numFmt w:val="decimal"/>
      <w:lvlText w:val="%1."/>
      <w:lvlJc w:val="left"/>
      <w:pPr>
        <w:tabs>
          <w:tab w:val="num" w:pos="1492"/>
        </w:tabs>
        <w:ind w:left="1492" w:hanging="360"/>
      </w:pPr>
    </w:lvl>
  </w:abstractNum>
  <w:abstractNum w:abstractNumId="2">
    <w:nsid w:val="FFFFFF7D"/>
    <w:multiLevelType w:val="singleLevel"/>
    <w:tmpl w:val="7AE8B20C"/>
    <w:lvl w:ilvl="0">
      <w:start w:val="1"/>
      <w:numFmt w:val="decimal"/>
      <w:lvlText w:val="%1."/>
      <w:lvlJc w:val="left"/>
      <w:pPr>
        <w:tabs>
          <w:tab w:val="num" w:pos="1209"/>
        </w:tabs>
        <w:ind w:left="1209" w:hanging="360"/>
      </w:pPr>
    </w:lvl>
  </w:abstractNum>
  <w:abstractNum w:abstractNumId="3">
    <w:nsid w:val="FFFFFF7E"/>
    <w:multiLevelType w:val="singleLevel"/>
    <w:tmpl w:val="B010DF48"/>
    <w:lvl w:ilvl="0">
      <w:start w:val="1"/>
      <w:numFmt w:val="decimal"/>
      <w:lvlText w:val="%1."/>
      <w:lvlJc w:val="left"/>
      <w:pPr>
        <w:tabs>
          <w:tab w:val="num" w:pos="926"/>
        </w:tabs>
        <w:ind w:left="926" w:hanging="360"/>
      </w:pPr>
    </w:lvl>
  </w:abstractNum>
  <w:abstractNum w:abstractNumId="4">
    <w:nsid w:val="FFFFFF7F"/>
    <w:multiLevelType w:val="singleLevel"/>
    <w:tmpl w:val="6E402902"/>
    <w:lvl w:ilvl="0">
      <w:start w:val="1"/>
      <w:numFmt w:val="decimal"/>
      <w:lvlText w:val="%1."/>
      <w:lvlJc w:val="left"/>
      <w:pPr>
        <w:tabs>
          <w:tab w:val="num" w:pos="643"/>
        </w:tabs>
        <w:ind w:left="643" w:hanging="360"/>
      </w:pPr>
    </w:lvl>
  </w:abstractNum>
  <w:abstractNum w:abstractNumId="5">
    <w:nsid w:val="FFFFFF80"/>
    <w:multiLevelType w:val="singleLevel"/>
    <w:tmpl w:val="D52C7D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A0E9F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1FC950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26E4272"/>
    <w:lvl w:ilvl="0">
      <w:start w:val="1"/>
      <w:numFmt w:val="bullet"/>
      <w:lvlText w:val=""/>
      <w:lvlJc w:val="left"/>
      <w:pPr>
        <w:tabs>
          <w:tab w:val="num" w:pos="643"/>
        </w:tabs>
        <w:ind w:left="643" w:hanging="360"/>
      </w:pPr>
      <w:rPr>
        <w:rFonts w:ascii="Symbol" w:hAnsi="Symbol" w:hint="default"/>
      </w:rPr>
    </w:lvl>
  </w:abstractNum>
  <w:abstractNum w:abstractNumId="9">
    <w:nsid w:val="FFFFFF89"/>
    <w:multiLevelType w:val="singleLevel"/>
    <w:tmpl w:val="153611D0"/>
    <w:lvl w:ilvl="0">
      <w:start w:val="1"/>
      <w:numFmt w:val="bullet"/>
      <w:lvlText w:val=""/>
      <w:lvlJc w:val="left"/>
      <w:pPr>
        <w:tabs>
          <w:tab w:val="num" w:pos="360"/>
        </w:tabs>
        <w:ind w:left="360" w:hanging="360"/>
      </w:pPr>
      <w:rPr>
        <w:rFonts w:ascii="Symbol" w:hAnsi="Symbol" w:hint="default"/>
      </w:rPr>
    </w:lvl>
  </w:abstractNum>
  <w:abstractNum w:abstractNumId="10">
    <w:nsid w:val="02BB7C31"/>
    <w:multiLevelType w:val="hybridMultilevel"/>
    <w:tmpl w:val="DD409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D074B76"/>
    <w:multiLevelType w:val="multilevel"/>
    <w:tmpl w:val="5DE48ABC"/>
    <w:lvl w:ilvl="0">
      <w:start w:val="1"/>
      <w:numFmt w:val="lowerRoman"/>
      <w:lvlText w:val="(%1)"/>
      <w:lvlJc w:val="left"/>
      <w:pPr>
        <w:ind w:left="1571"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5DB7F0C"/>
    <w:multiLevelType w:val="hybridMultilevel"/>
    <w:tmpl w:val="02888508"/>
    <w:lvl w:ilvl="0" w:tplc="05B2B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8D0EA0"/>
    <w:multiLevelType w:val="hybridMultilevel"/>
    <w:tmpl w:val="718A14AE"/>
    <w:lvl w:ilvl="0" w:tplc="1BCA59CC">
      <w:start w:val="1"/>
      <w:numFmt w:val="lowerRoman"/>
      <w:lvlText w:val="(%1)"/>
      <w:lvlJc w:val="left"/>
      <w:pPr>
        <w:tabs>
          <w:tab w:val="num" w:pos="567"/>
        </w:tabs>
        <w:ind w:left="454" w:hanging="3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CC7972"/>
    <w:multiLevelType w:val="hybridMultilevel"/>
    <w:tmpl w:val="41747DF8"/>
    <w:lvl w:ilvl="0" w:tplc="6458DED6">
      <w:start w:val="1"/>
      <w:numFmt w:val="low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31D45"/>
    <w:multiLevelType w:val="multilevel"/>
    <w:tmpl w:val="4A40D3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E54998"/>
    <w:multiLevelType w:val="hybridMultilevel"/>
    <w:tmpl w:val="2562A5BE"/>
    <w:lvl w:ilvl="0" w:tplc="5C2A27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DB78B6"/>
    <w:multiLevelType w:val="hybridMultilevel"/>
    <w:tmpl w:val="6C160712"/>
    <w:lvl w:ilvl="0" w:tplc="1BCA59CC">
      <w:start w:val="1"/>
      <w:numFmt w:val="lowerRoman"/>
      <w:lvlText w:val="(%1)"/>
      <w:lvlJc w:val="left"/>
      <w:pPr>
        <w:tabs>
          <w:tab w:val="num" w:pos="567"/>
        </w:tabs>
        <w:ind w:left="454" w:hanging="3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D4F6F"/>
    <w:multiLevelType w:val="hybridMultilevel"/>
    <w:tmpl w:val="B506342C"/>
    <w:lvl w:ilvl="0" w:tplc="63181958">
      <w:start w:val="1"/>
      <w:numFmt w:val="lowerRoman"/>
      <w:lvlText w:val="(%1)"/>
      <w:lvlJc w:val="left"/>
      <w:pPr>
        <w:tabs>
          <w:tab w:val="num" w:pos="851"/>
        </w:tabs>
        <w:ind w:left="851"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A547AF"/>
    <w:multiLevelType w:val="multilevel"/>
    <w:tmpl w:val="6818F8C0"/>
    <w:lvl w:ilvl="0">
      <w:start w:val="1"/>
      <w:numFmt w:val="lowerRoman"/>
      <w:lvlText w:val="(%1)"/>
      <w:lvlJc w:val="left"/>
      <w:pPr>
        <w:tabs>
          <w:tab w:val="num" w:pos="1134"/>
        </w:tabs>
        <w:ind w:left="1134"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19768B"/>
    <w:multiLevelType w:val="multilevel"/>
    <w:tmpl w:val="1966E7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3B08BD"/>
    <w:multiLevelType w:val="hybridMultilevel"/>
    <w:tmpl w:val="E6AA8DEA"/>
    <w:lvl w:ilvl="0" w:tplc="1F24F9C6">
      <w:start w:val="1"/>
      <w:numFmt w:val="bullet"/>
      <w:pStyle w:val="Tiret3"/>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23">
    <w:nsid w:val="520F51B5"/>
    <w:multiLevelType w:val="hybridMultilevel"/>
    <w:tmpl w:val="9654A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EE0DC9"/>
    <w:multiLevelType w:val="hybridMultilevel"/>
    <w:tmpl w:val="D69EE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423694"/>
    <w:multiLevelType w:val="hybridMultilevel"/>
    <w:tmpl w:val="1B921116"/>
    <w:lvl w:ilvl="0" w:tplc="BA8C46C6">
      <w:start w:val="1"/>
      <w:numFmt w:val="lowerRoman"/>
      <w:lvlText w:val="(%1)"/>
      <w:lvlJc w:val="left"/>
      <w:pPr>
        <w:tabs>
          <w:tab w:val="num" w:pos="284"/>
        </w:tabs>
        <w:ind w:left="340"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1F1029"/>
    <w:multiLevelType w:val="multilevel"/>
    <w:tmpl w:val="4B5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E25D25"/>
    <w:multiLevelType w:val="hybridMultilevel"/>
    <w:tmpl w:val="CCD47524"/>
    <w:lvl w:ilvl="0" w:tplc="FFFFFFFF">
      <w:start w:val="1"/>
      <w:numFmt w:val="bullet"/>
      <w:pStyle w:val="Tiret2"/>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8">
    <w:nsid w:val="6E091E31"/>
    <w:multiLevelType w:val="hybridMultilevel"/>
    <w:tmpl w:val="487044C4"/>
    <w:lvl w:ilvl="0" w:tplc="20747D2A">
      <w:start w:val="4"/>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22"/>
  </w:num>
  <w:num w:numId="4">
    <w:abstractNumId w:val="14"/>
  </w:num>
  <w:num w:numId="5">
    <w:abstractNumId w:val="18"/>
  </w:num>
  <w:num w:numId="6">
    <w:abstractNumId w:val="28"/>
  </w:num>
  <w:num w:numId="7">
    <w:abstractNumId w:val="23"/>
  </w:num>
  <w:num w:numId="8">
    <w:abstractNumId w:val="24"/>
  </w:num>
  <w:num w:numId="9">
    <w:abstractNumId w:val="13"/>
  </w:num>
  <w:num w:numId="10">
    <w:abstractNumId w:val="16"/>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25"/>
  </w:num>
  <w:num w:numId="23">
    <w:abstractNumId w:val="19"/>
  </w:num>
  <w:num w:numId="24">
    <w:abstractNumId w:val="10"/>
  </w:num>
  <w:num w:numId="25">
    <w:abstractNumId w:val="26"/>
  </w:num>
  <w:num w:numId="26">
    <w:abstractNumId w:val="12"/>
  </w:num>
  <w:num w:numId="27">
    <w:abstractNumId w:val="20"/>
  </w:num>
  <w:num w:numId="28">
    <w:abstractNumId w:val="1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7779B6"/>
    <w:rsid w:val="00011420"/>
    <w:rsid w:val="00015542"/>
    <w:rsid w:val="00027376"/>
    <w:rsid w:val="0003082C"/>
    <w:rsid w:val="0003430E"/>
    <w:rsid w:val="00041AAE"/>
    <w:rsid w:val="00054F10"/>
    <w:rsid w:val="00062AA1"/>
    <w:rsid w:val="00067820"/>
    <w:rsid w:val="00072B98"/>
    <w:rsid w:val="00073D55"/>
    <w:rsid w:val="00076A2E"/>
    <w:rsid w:val="00085392"/>
    <w:rsid w:val="000B4BEF"/>
    <w:rsid w:val="000C43C6"/>
    <w:rsid w:val="000E795D"/>
    <w:rsid w:val="000F7FF7"/>
    <w:rsid w:val="00124C7A"/>
    <w:rsid w:val="00127D5B"/>
    <w:rsid w:val="00133BEF"/>
    <w:rsid w:val="001441A6"/>
    <w:rsid w:val="00146CE7"/>
    <w:rsid w:val="0016452B"/>
    <w:rsid w:val="0018698A"/>
    <w:rsid w:val="001A2C93"/>
    <w:rsid w:val="001A721E"/>
    <w:rsid w:val="001B5A84"/>
    <w:rsid w:val="001B626A"/>
    <w:rsid w:val="001C18DC"/>
    <w:rsid w:val="001E3C22"/>
    <w:rsid w:val="001E4E3E"/>
    <w:rsid w:val="001F4A5F"/>
    <w:rsid w:val="00203B40"/>
    <w:rsid w:val="00210816"/>
    <w:rsid w:val="00215158"/>
    <w:rsid w:val="00217FC8"/>
    <w:rsid w:val="0023058D"/>
    <w:rsid w:val="002413E2"/>
    <w:rsid w:val="002651C2"/>
    <w:rsid w:val="00273133"/>
    <w:rsid w:val="00276E5C"/>
    <w:rsid w:val="002A0E53"/>
    <w:rsid w:val="002A28DC"/>
    <w:rsid w:val="002A771A"/>
    <w:rsid w:val="002C68AB"/>
    <w:rsid w:val="002C7DCC"/>
    <w:rsid w:val="002D3244"/>
    <w:rsid w:val="002E0F47"/>
    <w:rsid w:val="002E12C1"/>
    <w:rsid w:val="002E5246"/>
    <w:rsid w:val="002F5EF4"/>
    <w:rsid w:val="002F700F"/>
    <w:rsid w:val="003139D5"/>
    <w:rsid w:val="003205AF"/>
    <w:rsid w:val="00325FF0"/>
    <w:rsid w:val="00326253"/>
    <w:rsid w:val="003415C3"/>
    <w:rsid w:val="00347CBE"/>
    <w:rsid w:val="00352B07"/>
    <w:rsid w:val="003643F0"/>
    <w:rsid w:val="003832CD"/>
    <w:rsid w:val="003C103A"/>
    <w:rsid w:val="003C1B6B"/>
    <w:rsid w:val="003E31A8"/>
    <w:rsid w:val="003E54C8"/>
    <w:rsid w:val="003E68C8"/>
    <w:rsid w:val="003E78F1"/>
    <w:rsid w:val="00400F3A"/>
    <w:rsid w:val="00411C63"/>
    <w:rsid w:val="0041419C"/>
    <w:rsid w:val="0041434F"/>
    <w:rsid w:val="00416416"/>
    <w:rsid w:val="00421B42"/>
    <w:rsid w:val="00423C1F"/>
    <w:rsid w:val="00435441"/>
    <w:rsid w:val="00467401"/>
    <w:rsid w:val="00475586"/>
    <w:rsid w:val="004776DD"/>
    <w:rsid w:val="0048180D"/>
    <w:rsid w:val="00483AFE"/>
    <w:rsid w:val="004A7FA2"/>
    <w:rsid w:val="004B3B6D"/>
    <w:rsid w:val="004B5FE0"/>
    <w:rsid w:val="004C2F54"/>
    <w:rsid w:val="004D0775"/>
    <w:rsid w:val="004D0A20"/>
    <w:rsid w:val="004D4A90"/>
    <w:rsid w:val="004F1365"/>
    <w:rsid w:val="004F24E6"/>
    <w:rsid w:val="004F30EE"/>
    <w:rsid w:val="004F5EB6"/>
    <w:rsid w:val="00502077"/>
    <w:rsid w:val="00507726"/>
    <w:rsid w:val="005152CF"/>
    <w:rsid w:val="005210E2"/>
    <w:rsid w:val="005366C8"/>
    <w:rsid w:val="005447A5"/>
    <w:rsid w:val="00547626"/>
    <w:rsid w:val="00563444"/>
    <w:rsid w:val="0056578A"/>
    <w:rsid w:val="00570CF1"/>
    <w:rsid w:val="005839C5"/>
    <w:rsid w:val="00595031"/>
    <w:rsid w:val="005A3526"/>
    <w:rsid w:val="005B00BD"/>
    <w:rsid w:val="005B7940"/>
    <w:rsid w:val="005D47E8"/>
    <w:rsid w:val="005F3BD3"/>
    <w:rsid w:val="00601AC4"/>
    <w:rsid w:val="00614B66"/>
    <w:rsid w:val="00622D7D"/>
    <w:rsid w:val="00631D85"/>
    <w:rsid w:val="006470F3"/>
    <w:rsid w:val="00662EDF"/>
    <w:rsid w:val="00663803"/>
    <w:rsid w:val="00664F7A"/>
    <w:rsid w:val="00665873"/>
    <w:rsid w:val="00667131"/>
    <w:rsid w:val="00677149"/>
    <w:rsid w:val="006A57E0"/>
    <w:rsid w:val="006B4341"/>
    <w:rsid w:val="006E1E3A"/>
    <w:rsid w:val="006F2499"/>
    <w:rsid w:val="006F5787"/>
    <w:rsid w:val="0070169C"/>
    <w:rsid w:val="00734B8D"/>
    <w:rsid w:val="007439C0"/>
    <w:rsid w:val="0075428C"/>
    <w:rsid w:val="00762719"/>
    <w:rsid w:val="00762D04"/>
    <w:rsid w:val="00764FAA"/>
    <w:rsid w:val="00774244"/>
    <w:rsid w:val="007779B6"/>
    <w:rsid w:val="007818C6"/>
    <w:rsid w:val="007835E8"/>
    <w:rsid w:val="0078761D"/>
    <w:rsid w:val="007930D9"/>
    <w:rsid w:val="007949BF"/>
    <w:rsid w:val="007A1917"/>
    <w:rsid w:val="007C0980"/>
    <w:rsid w:val="007C3D60"/>
    <w:rsid w:val="007C76E1"/>
    <w:rsid w:val="007F4F40"/>
    <w:rsid w:val="007F50DA"/>
    <w:rsid w:val="007F6D01"/>
    <w:rsid w:val="00801FA0"/>
    <w:rsid w:val="008131CF"/>
    <w:rsid w:val="008156E2"/>
    <w:rsid w:val="00824705"/>
    <w:rsid w:val="00826B74"/>
    <w:rsid w:val="008339E3"/>
    <w:rsid w:val="0083578B"/>
    <w:rsid w:val="00842A93"/>
    <w:rsid w:val="00847048"/>
    <w:rsid w:val="00850C36"/>
    <w:rsid w:val="00872A07"/>
    <w:rsid w:val="00880A07"/>
    <w:rsid w:val="008A113F"/>
    <w:rsid w:val="008B0F2E"/>
    <w:rsid w:val="008B1F94"/>
    <w:rsid w:val="008B3CF5"/>
    <w:rsid w:val="008B3FDD"/>
    <w:rsid w:val="008B45BD"/>
    <w:rsid w:val="008B645C"/>
    <w:rsid w:val="008C20D6"/>
    <w:rsid w:val="008C2247"/>
    <w:rsid w:val="008D5E6A"/>
    <w:rsid w:val="008E1B23"/>
    <w:rsid w:val="008E5C2B"/>
    <w:rsid w:val="008F4CE3"/>
    <w:rsid w:val="00904279"/>
    <w:rsid w:val="00905CEB"/>
    <w:rsid w:val="00910EB4"/>
    <w:rsid w:val="009133C0"/>
    <w:rsid w:val="0092280F"/>
    <w:rsid w:val="00922D58"/>
    <w:rsid w:val="00924464"/>
    <w:rsid w:val="00926055"/>
    <w:rsid w:val="009440C3"/>
    <w:rsid w:val="009471B8"/>
    <w:rsid w:val="00950A7E"/>
    <w:rsid w:val="00957DBC"/>
    <w:rsid w:val="009620BE"/>
    <w:rsid w:val="009644D1"/>
    <w:rsid w:val="0096604F"/>
    <w:rsid w:val="00967D76"/>
    <w:rsid w:val="00981578"/>
    <w:rsid w:val="00983D47"/>
    <w:rsid w:val="0098526D"/>
    <w:rsid w:val="009A2FE2"/>
    <w:rsid w:val="009A452D"/>
    <w:rsid w:val="009B69FC"/>
    <w:rsid w:val="009C2E36"/>
    <w:rsid w:val="009C369B"/>
    <w:rsid w:val="009C7459"/>
    <w:rsid w:val="009D696B"/>
    <w:rsid w:val="00A05C1C"/>
    <w:rsid w:val="00A17753"/>
    <w:rsid w:val="00A20B2C"/>
    <w:rsid w:val="00A350E0"/>
    <w:rsid w:val="00A41E1F"/>
    <w:rsid w:val="00A42661"/>
    <w:rsid w:val="00A47028"/>
    <w:rsid w:val="00A55513"/>
    <w:rsid w:val="00A617CE"/>
    <w:rsid w:val="00A764BC"/>
    <w:rsid w:val="00A81E25"/>
    <w:rsid w:val="00A93335"/>
    <w:rsid w:val="00A97CDF"/>
    <w:rsid w:val="00AC4B88"/>
    <w:rsid w:val="00AE29D7"/>
    <w:rsid w:val="00AF4A8E"/>
    <w:rsid w:val="00B01F40"/>
    <w:rsid w:val="00B070B4"/>
    <w:rsid w:val="00B14A85"/>
    <w:rsid w:val="00B15282"/>
    <w:rsid w:val="00B4006F"/>
    <w:rsid w:val="00B43C36"/>
    <w:rsid w:val="00B52DA3"/>
    <w:rsid w:val="00B64CFF"/>
    <w:rsid w:val="00B65FDD"/>
    <w:rsid w:val="00B709DC"/>
    <w:rsid w:val="00B76647"/>
    <w:rsid w:val="00B95A6F"/>
    <w:rsid w:val="00BA24EA"/>
    <w:rsid w:val="00BA38DC"/>
    <w:rsid w:val="00BB38CD"/>
    <w:rsid w:val="00BB4C25"/>
    <w:rsid w:val="00BB5476"/>
    <w:rsid w:val="00BB7FE3"/>
    <w:rsid w:val="00BC1928"/>
    <w:rsid w:val="00BD5E88"/>
    <w:rsid w:val="00C02F16"/>
    <w:rsid w:val="00C1748C"/>
    <w:rsid w:val="00C17821"/>
    <w:rsid w:val="00C24288"/>
    <w:rsid w:val="00C26FA7"/>
    <w:rsid w:val="00C27942"/>
    <w:rsid w:val="00C34AC1"/>
    <w:rsid w:val="00C423D5"/>
    <w:rsid w:val="00C61876"/>
    <w:rsid w:val="00C61D47"/>
    <w:rsid w:val="00C72780"/>
    <w:rsid w:val="00C742E9"/>
    <w:rsid w:val="00C74BA7"/>
    <w:rsid w:val="00C75762"/>
    <w:rsid w:val="00C8544D"/>
    <w:rsid w:val="00C919D7"/>
    <w:rsid w:val="00CB1307"/>
    <w:rsid w:val="00CC549F"/>
    <w:rsid w:val="00CC701C"/>
    <w:rsid w:val="00CE5F2A"/>
    <w:rsid w:val="00D05B55"/>
    <w:rsid w:val="00D1110A"/>
    <w:rsid w:val="00D11654"/>
    <w:rsid w:val="00D128C1"/>
    <w:rsid w:val="00D224F5"/>
    <w:rsid w:val="00D355EE"/>
    <w:rsid w:val="00D81AEA"/>
    <w:rsid w:val="00D8292E"/>
    <w:rsid w:val="00D87ABB"/>
    <w:rsid w:val="00D94B03"/>
    <w:rsid w:val="00D956C8"/>
    <w:rsid w:val="00DA7DAC"/>
    <w:rsid w:val="00DB0795"/>
    <w:rsid w:val="00DD4CBF"/>
    <w:rsid w:val="00DD659C"/>
    <w:rsid w:val="00DE5B47"/>
    <w:rsid w:val="00DE75AB"/>
    <w:rsid w:val="00DF253A"/>
    <w:rsid w:val="00DF3661"/>
    <w:rsid w:val="00DF6BC6"/>
    <w:rsid w:val="00DF6DD2"/>
    <w:rsid w:val="00E02198"/>
    <w:rsid w:val="00E11C29"/>
    <w:rsid w:val="00E30CC1"/>
    <w:rsid w:val="00E34D40"/>
    <w:rsid w:val="00E41821"/>
    <w:rsid w:val="00E60C51"/>
    <w:rsid w:val="00E6134C"/>
    <w:rsid w:val="00E7595A"/>
    <w:rsid w:val="00EA0D08"/>
    <w:rsid w:val="00EA369F"/>
    <w:rsid w:val="00EA3ACD"/>
    <w:rsid w:val="00EB2ECA"/>
    <w:rsid w:val="00EC45CA"/>
    <w:rsid w:val="00ED0025"/>
    <w:rsid w:val="00EE52F4"/>
    <w:rsid w:val="00EE5D04"/>
    <w:rsid w:val="00F02A65"/>
    <w:rsid w:val="00F12514"/>
    <w:rsid w:val="00F1508B"/>
    <w:rsid w:val="00F221FB"/>
    <w:rsid w:val="00F33745"/>
    <w:rsid w:val="00F475EB"/>
    <w:rsid w:val="00F513C2"/>
    <w:rsid w:val="00F56112"/>
    <w:rsid w:val="00F64D9C"/>
    <w:rsid w:val="00F668B7"/>
    <w:rsid w:val="00F67E47"/>
    <w:rsid w:val="00F81FE4"/>
    <w:rsid w:val="00F85A7C"/>
    <w:rsid w:val="00FA0FE1"/>
    <w:rsid w:val="00FC2A57"/>
    <w:rsid w:val="00FC7C77"/>
    <w:rsid w:val="00FD0300"/>
    <w:rsid w:val="00FD2D82"/>
    <w:rsid w:val="00FD3836"/>
    <w:rsid w:val="00FE313D"/>
    <w:rsid w:val="00FE6A6D"/>
    <w:rsid w:val="00FF51B8"/>
  </w:rsids>
  <m:mathPr>
    <m:mathFont m:val="Cambria Math"/>
    <m:brkBin m:val="before"/>
    <m:brkBinSub m:val="--"/>
    <m:smallFrac m:val="0"/>
    <m:dispDef m:val="0"/>
    <m:lMargin m:val="0"/>
    <m:rMargin m:val="0"/>
    <m:defJc m:val="centerGroup"/>
    <m:wrapRight/>
    <m:intLim m:val="subSup"/>
    <m:naryLim m:val="subSup"/>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95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779B6"/>
    <w:rPr>
      <w:rFonts w:ascii="Times New Roman" w:hAnsi="Times New Roman"/>
      <w:lang w:val="en-GB"/>
    </w:rPr>
  </w:style>
  <w:style w:type="paragraph" w:styleId="Heading1">
    <w:name w:val="heading 1"/>
    <w:aliases w:val="RSC_WP (first level)"/>
    <w:basedOn w:val="Normal"/>
    <w:next w:val="Normal"/>
    <w:link w:val="Heading1Char"/>
    <w:qFormat/>
    <w:rsid w:val="007779B6"/>
    <w:pPr>
      <w:keepNext/>
      <w:suppressAutoHyphens/>
      <w:spacing w:before="480"/>
      <w:outlineLvl w:val="0"/>
    </w:pPr>
    <w:rPr>
      <w:rFonts w:eastAsia="Times New Roman" w:cs="Times New Roman"/>
      <w:b/>
      <w:szCs w:val="28"/>
      <w:lang w:val="it-IT" w:eastAsia="zh-CN"/>
    </w:rPr>
  </w:style>
  <w:style w:type="paragraph" w:styleId="Heading2">
    <w:name w:val="heading 2"/>
    <w:aliases w:val="RSC_WP (second level)"/>
    <w:basedOn w:val="Normal"/>
    <w:next w:val="Normal"/>
    <w:link w:val="Heading2Char"/>
    <w:qFormat/>
    <w:rsid w:val="007779B6"/>
    <w:pPr>
      <w:keepNext/>
      <w:suppressAutoHyphens/>
      <w:spacing w:before="420"/>
      <w:outlineLvl w:val="1"/>
    </w:pPr>
    <w:rPr>
      <w:rFonts w:eastAsia="Times New Roman" w:cs="Times New Roman"/>
      <w:b/>
      <w:i/>
      <w:sz w:val="22"/>
      <w:szCs w:val="28"/>
      <w:lang w:eastAsia="zh-CN"/>
    </w:rPr>
  </w:style>
  <w:style w:type="paragraph" w:styleId="Heading3">
    <w:name w:val="heading 3"/>
    <w:basedOn w:val="Normal"/>
    <w:next w:val="Normal"/>
    <w:link w:val="Heading3Char"/>
    <w:qFormat/>
    <w:rsid w:val="007779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SC_WP (fourth level)"/>
    <w:basedOn w:val="Normal"/>
    <w:next w:val="Normal"/>
    <w:link w:val="Heading4Char"/>
    <w:uiPriority w:val="9"/>
    <w:qFormat/>
    <w:rsid w:val="007779B6"/>
    <w:pPr>
      <w:keepNext/>
      <w:suppressAutoHyphens/>
      <w:spacing w:before="280"/>
      <w:outlineLvl w:val="3"/>
    </w:pPr>
    <w:rPr>
      <w:rFonts w:eastAsia="Times New Roman" w:cs="Times New Roman"/>
      <w:i/>
      <w:sz w:val="2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_WP (first level) Char"/>
    <w:basedOn w:val="DefaultParagraphFont"/>
    <w:link w:val="Heading1"/>
    <w:rsid w:val="007779B6"/>
    <w:rPr>
      <w:rFonts w:ascii="Times New Roman" w:eastAsia="Times New Roman" w:hAnsi="Times New Roman" w:cs="Times New Roman"/>
      <w:b/>
      <w:szCs w:val="28"/>
      <w:lang w:val="it-IT" w:eastAsia="zh-CN"/>
    </w:rPr>
  </w:style>
  <w:style w:type="character" w:customStyle="1" w:styleId="Heading2Char">
    <w:name w:val="Heading 2 Char"/>
    <w:aliases w:val="RSC_WP (second level) Char"/>
    <w:basedOn w:val="DefaultParagraphFont"/>
    <w:link w:val="Heading2"/>
    <w:rsid w:val="007779B6"/>
    <w:rPr>
      <w:rFonts w:ascii="Times New Roman" w:eastAsia="Times New Roman" w:hAnsi="Times New Roman" w:cs="Times New Roman"/>
      <w:b/>
      <w:i/>
      <w:sz w:val="22"/>
      <w:szCs w:val="28"/>
      <w:lang w:val="en-GB" w:eastAsia="zh-CN"/>
    </w:rPr>
  </w:style>
  <w:style w:type="character" w:customStyle="1" w:styleId="Heading3Char">
    <w:name w:val="Heading 3 Char"/>
    <w:basedOn w:val="DefaultParagraphFont"/>
    <w:link w:val="Heading3"/>
    <w:rsid w:val="007779B6"/>
    <w:rPr>
      <w:rFonts w:asciiTheme="majorHAnsi" w:eastAsiaTheme="majorEastAsia" w:hAnsiTheme="majorHAnsi" w:cstheme="majorBidi"/>
      <w:b/>
      <w:bCs/>
      <w:color w:val="4F81BD" w:themeColor="accent1"/>
      <w:lang w:val="en-GB"/>
    </w:rPr>
  </w:style>
  <w:style w:type="character" w:customStyle="1" w:styleId="Heading4Char">
    <w:name w:val="Heading 4 Char"/>
    <w:aliases w:val="RSC_WP (fourth level) Char"/>
    <w:basedOn w:val="DefaultParagraphFont"/>
    <w:link w:val="Heading4"/>
    <w:uiPriority w:val="9"/>
    <w:rsid w:val="007779B6"/>
    <w:rPr>
      <w:rFonts w:ascii="Times New Roman" w:eastAsia="Times New Roman" w:hAnsi="Times New Roman" w:cs="Times New Roman"/>
      <w:i/>
      <w:sz w:val="22"/>
      <w:szCs w:val="28"/>
      <w:lang w:val="en-GB" w:eastAsia="zh-CN"/>
    </w:rPr>
  </w:style>
  <w:style w:type="paragraph" w:styleId="BalloonText">
    <w:name w:val="Balloon Text"/>
    <w:basedOn w:val="Normal"/>
    <w:link w:val="BalloonTextChar1"/>
    <w:uiPriority w:val="99"/>
    <w:unhideWhenUsed/>
    <w:rsid w:val="007779B6"/>
    <w:pPr>
      <w:jc w:val="both"/>
    </w:pPr>
    <w:rPr>
      <w:rFonts w:ascii="Tahoma" w:eastAsia="Calibri" w:hAnsi="Tahoma" w:cs="Tahoma"/>
      <w:sz w:val="16"/>
      <w:szCs w:val="16"/>
      <w:lang w:eastAsia="en-GB"/>
    </w:rPr>
  </w:style>
  <w:style w:type="character" w:customStyle="1" w:styleId="BalloonTextChar">
    <w:name w:val="Balloon Text Char"/>
    <w:basedOn w:val="DefaultParagraphFont"/>
    <w:uiPriority w:val="99"/>
    <w:semiHidden/>
    <w:rsid w:val="007779B6"/>
    <w:rPr>
      <w:rFonts w:ascii="Lucida Grande" w:hAnsi="Lucida Grande" w:cs="Lucida Grande"/>
      <w:sz w:val="18"/>
      <w:szCs w:val="18"/>
      <w:lang w:val="en-GB"/>
    </w:rPr>
  </w:style>
  <w:style w:type="paragraph" w:styleId="FootnoteText">
    <w:name w:val="footnote text"/>
    <w:aliases w:val="RSC_WP (footnotes),fn,Footnote ak,Footnotes,ft,Footnote Text Char1,Footnote Text Char Char,fn Char Char,footnote text Char Char,Footnotes Char Char,Footnote ak Char Char,fn Char1,footnote text Char1,Footnotes Char1,fn ca,Footnote ak Char1"/>
    <w:link w:val="FootnoteTextChar"/>
    <w:uiPriority w:val="99"/>
    <w:rsid w:val="007779B6"/>
    <w:pPr>
      <w:spacing w:before="80" w:line="220" w:lineRule="exact"/>
      <w:ind w:left="284" w:hanging="284"/>
      <w:jc w:val="both"/>
    </w:pPr>
    <w:rPr>
      <w:rFonts w:ascii="Times New Roman" w:eastAsia="Times New Roman" w:hAnsi="Times New Roman" w:cs="Times New Roman"/>
      <w:noProof/>
      <w:sz w:val="18"/>
      <w:szCs w:val="20"/>
      <w:lang w:val="en-GB" w:eastAsia="zh-CN"/>
    </w:rPr>
  </w:style>
  <w:style w:type="character" w:customStyle="1" w:styleId="FootnoteTextChar">
    <w:name w:val="Footnote Text Char"/>
    <w:aliases w:val="RSC_WP (footnotes) Char,fn Char,Footnote ak Char,Footnotes Char,ft Char,Footnote Text Char1 Char,Footnote Text Char Char Char,fn Char Char Char,footnote text Char Char Char,Footnotes Char Char Char,Footnote ak Char Char Char"/>
    <w:basedOn w:val="DefaultParagraphFont"/>
    <w:link w:val="FootnoteText"/>
    <w:uiPriority w:val="99"/>
    <w:rsid w:val="007779B6"/>
    <w:rPr>
      <w:rFonts w:ascii="Times New Roman" w:eastAsia="Times New Roman" w:hAnsi="Times New Roman" w:cs="Times New Roman"/>
      <w:noProof/>
      <w:sz w:val="18"/>
      <w:szCs w:val="20"/>
      <w:lang w:val="en-GB" w:eastAsia="zh-CN"/>
    </w:rPr>
  </w:style>
  <w:style w:type="character" w:styleId="FootnoteReference">
    <w:name w:val="footnote reference"/>
    <w:aliases w:val="RSC_WP (footnote reference),Ref,de nota al pie,註腳內容,de nota al pie + (Asian) MS Mincho,11 pt,Footnote Reference1,Ref1,de nota al pie1,ftref,Footnote Reference Superscript,BVI fnr,Footnote symbol,Footnote,richiamo note eggsi,footnote"/>
    <w:rsid w:val="007779B6"/>
    <w:rPr>
      <w:sz w:val="22"/>
      <w:vertAlign w:val="superscript"/>
    </w:rPr>
  </w:style>
  <w:style w:type="paragraph" w:styleId="BodyText">
    <w:name w:val="Body Text"/>
    <w:aliases w:val="RSC_WP (first paragraph)"/>
    <w:basedOn w:val="Normal"/>
    <w:link w:val="BodyTextChar"/>
    <w:rsid w:val="007779B6"/>
    <w:pPr>
      <w:suppressAutoHyphens/>
      <w:spacing w:before="140" w:line="260" w:lineRule="exact"/>
      <w:jc w:val="both"/>
    </w:pPr>
    <w:rPr>
      <w:rFonts w:eastAsia="Times New Roman" w:cs="Times New Roman"/>
      <w:sz w:val="22"/>
      <w:szCs w:val="28"/>
      <w:lang w:eastAsia="zh-CN"/>
    </w:rPr>
  </w:style>
  <w:style w:type="character" w:customStyle="1" w:styleId="BodyTextChar">
    <w:name w:val="Body Text Char"/>
    <w:aliases w:val="RSC_WP (first paragraph) Char"/>
    <w:basedOn w:val="DefaultParagraphFont"/>
    <w:link w:val="BodyText"/>
    <w:rsid w:val="007779B6"/>
    <w:rPr>
      <w:rFonts w:ascii="Times New Roman" w:eastAsia="Times New Roman" w:hAnsi="Times New Roman" w:cs="Times New Roman"/>
      <w:sz w:val="22"/>
      <w:szCs w:val="28"/>
      <w:lang w:val="en-GB" w:eastAsia="zh-CN"/>
    </w:rPr>
  </w:style>
  <w:style w:type="paragraph" w:styleId="BodyText2">
    <w:name w:val="Body Text 2"/>
    <w:aliases w:val="RSC_WP (following paragraph)"/>
    <w:basedOn w:val="Normal"/>
    <w:link w:val="BodyText2Char"/>
    <w:rsid w:val="007779B6"/>
    <w:pPr>
      <w:suppressAutoHyphens/>
      <w:spacing w:before="140" w:line="260" w:lineRule="exact"/>
      <w:ind w:firstLine="284"/>
      <w:jc w:val="both"/>
    </w:pPr>
    <w:rPr>
      <w:rFonts w:eastAsia="Times New Roman" w:cs="Times New Roman"/>
      <w:sz w:val="22"/>
      <w:szCs w:val="28"/>
      <w:lang w:eastAsia="zh-CN"/>
    </w:rPr>
  </w:style>
  <w:style w:type="character" w:customStyle="1" w:styleId="BodyText2Char">
    <w:name w:val="Body Text 2 Char"/>
    <w:aliases w:val="RSC_WP (following paragraph) Char"/>
    <w:basedOn w:val="DefaultParagraphFont"/>
    <w:link w:val="BodyText2"/>
    <w:rsid w:val="007779B6"/>
    <w:rPr>
      <w:rFonts w:ascii="Times New Roman" w:eastAsia="Times New Roman" w:hAnsi="Times New Roman" w:cs="Times New Roman"/>
      <w:sz w:val="22"/>
      <w:szCs w:val="28"/>
      <w:lang w:val="en-GB" w:eastAsia="zh-CN"/>
    </w:rPr>
  </w:style>
  <w:style w:type="character" w:styleId="Hyperlink">
    <w:name w:val="Hyperlink"/>
    <w:basedOn w:val="DefaultParagraphFont"/>
    <w:uiPriority w:val="99"/>
    <w:rsid w:val="007779B6"/>
    <w:rPr>
      <w:color w:val="000000"/>
      <w:u w:val="none"/>
    </w:rPr>
  </w:style>
  <w:style w:type="paragraph" w:styleId="ListParagraph">
    <w:name w:val="List Paragraph"/>
    <w:basedOn w:val="Normal"/>
    <w:uiPriority w:val="34"/>
    <w:qFormat/>
    <w:rsid w:val="007779B6"/>
    <w:pPr>
      <w:ind w:left="720"/>
      <w:contextualSpacing/>
    </w:pPr>
  </w:style>
  <w:style w:type="paragraph" w:styleId="ListNumber">
    <w:name w:val="List Number"/>
    <w:aliases w:val="RSC_WP (numbered list)"/>
    <w:basedOn w:val="Normal"/>
    <w:rsid w:val="007779B6"/>
    <w:pPr>
      <w:tabs>
        <w:tab w:val="num" w:pos="360"/>
      </w:tabs>
      <w:suppressAutoHyphens/>
      <w:spacing w:before="80" w:line="260" w:lineRule="exact"/>
      <w:ind w:left="360" w:hanging="360"/>
      <w:jc w:val="both"/>
    </w:pPr>
    <w:rPr>
      <w:rFonts w:eastAsia="Times New Roman" w:cs="Times New Roman"/>
      <w:sz w:val="22"/>
      <w:szCs w:val="28"/>
      <w:lang w:eastAsia="zh-CN"/>
    </w:rPr>
  </w:style>
  <w:style w:type="paragraph" w:styleId="TOC4">
    <w:name w:val="toc 4"/>
    <w:basedOn w:val="Normal"/>
    <w:next w:val="Normal"/>
    <w:uiPriority w:val="39"/>
    <w:rsid w:val="007779B6"/>
    <w:pPr>
      <w:tabs>
        <w:tab w:val="right" w:leader="dot" w:pos="9017"/>
      </w:tabs>
      <w:spacing w:after="60"/>
      <w:ind w:left="1361" w:right="340" w:hanging="340"/>
      <w:jc w:val="both"/>
    </w:pPr>
    <w:rPr>
      <w:rFonts w:asciiTheme="minorHAnsi" w:eastAsiaTheme="minorEastAsia" w:hAnsiTheme="minorHAnsi"/>
      <w:szCs w:val="22"/>
    </w:rPr>
  </w:style>
  <w:style w:type="paragraph" w:customStyle="1" w:styleId="2Nom">
    <w:name w:val="2 Nom"/>
    <w:basedOn w:val="Normal"/>
    <w:next w:val="3Fonction"/>
    <w:rsid w:val="007779B6"/>
    <w:pPr>
      <w:ind w:right="57"/>
      <w:jc w:val="both"/>
    </w:pPr>
    <w:rPr>
      <w:rFonts w:ascii="Verdana" w:eastAsia="Times New Roman" w:hAnsi="Verdana" w:cs="Times New Roman"/>
      <w:b/>
      <w:lang w:eastAsia="en-GB"/>
    </w:rPr>
  </w:style>
  <w:style w:type="paragraph" w:customStyle="1" w:styleId="3Fonction">
    <w:name w:val="3 Fonction"/>
    <w:basedOn w:val="Normal"/>
    <w:rsid w:val="007779B6"/>
    <w:pPr>
      <w:ind w:right="57"/>
      <w:jc w:val="both"/>
    </w:pPr>
    <w:rPr>
      <w:rFonts w:ascii="Verdana" w:eastAsia="Times New Roman" w:hAnsi="Verdana" w:cs="Times New Roman"/>
      <w:lang w:eastAsia="en-GB"/>
    </w:rPr>
  </w:style>
  <w:style w:type="character" w:customStyle="1" w:styleId="5NormalChar">
    <w:name w:val="5 Normal Char"/>
    <w:link w:val="5Normal"/>
    <w:rsid w:val="007779B6"/>
    <w:rPr>
      <w:rFonts w:ascii="Verdana" w:hAnsi="Verdana"/>
      <w:lang w:val="en-IE" w:eastAsia="en-GB"/>
    </w:rPr>
  </w:style>
  <w:style w:type="paragraph" w:customStyle="1" w:styleId="5Normal">
    <w:name w:val="5 Normal"/>
    <w:basedOn w:val="Normal"/>
    <w:link w:val="5NormalChar"/>
    <w:rsid w:val="007779B6"/>
    <w:pPr>
      <w:spacing w:after="120"/>
      <w:ind w:right="57"/>
      <w:jc w:val="both"/>
    </w:pPr>
    <w:rPr>
      <w:rFonts w:ascii="Verdana" w:hAnsi="Verdana"/>
      <w:lang w:val="en-IE" w:eastAsia="en-GB"/>
    </w:rPr>
  </w:style>
  <w:style w:type="paragraph" w:styleId="NormalWeb">
    <w:name w:val="Normal (Web)"/>
    <w:aliases w:val=" webb"/>
    <w:basedOn w:val="Normal"/>
    <w:uiPriority w:val="99"/>
    <w:rsid w:val="007779B6"/>
    <w:pPr>
      <w:spacing w:beforeLines="1" w:afterLines="1"/>
    </w:pPr>
    <w:rPr>
      <w:rFonts w:ascii="Times" w:hAnsi="Times" w:cs="Times New Roman"/>
      <w:sz w:val="20"/>
      <w:szCs w:val="20"/>
      <w:lang w:val="en-US"/>
    </w:rPr>
  </w:style>
  <w:style w:type="character" w:styleId="FollowedHyperlink">
    <w:name w:val="FollowedHyperlink"/>
    <w:rsid w:val="007779B6"/>
    <w:rPr>
      <w:color w:val="800080"/>
      <w:u w:val="single"/>
    </w:rPr>
  </w:style>
  <w:style w:type="paragraph" w:customStyle="1" w:styleId="3Titre">
    <w:name w:val="3 Titre"/>
    <w:basedOn w:val="Normal"/>
    <w:next w:val="Normal"/>
    <w:rsid w:val="007779B6"/>
    <w:pPr>
      <w:keepNext/>
      <w:spacing w:before="240" w:after="240"/>
      <w:ind w:right="57"/>
      <w:jc w:val="both"/>
    </w:pPr>
    <w:rPr>
      <w:rFonts w:ascii="Verdana" w:eastAsia="Times New Roman" w:hAnsi="Verdana" w:cs="Times New Roman"/>
      <w:b/>
      <w:sz w:val="28"/>
      <w:szCs w:val="28"/>
      <w:lang w:eastAsia="en-GB"/>
    </w:rPr>
  </w:style>
  <w:style w:type="paragraph" w:customStyle="1" w:styleId="Default">
    <w:name w:val="Default"/>
    <w:rsid w:val="007779B6"/>
    <w:pPr>
      <w:widowControl w:val="0"/>
      <w:autoSpaceDE w:val="0"/>
      <w:autoSpaceDN w:val="0"/>
      <w:adjustRightInd w:val="0"/>
    </w:pPr>
    <w:rPr>
      <w:rFonts w:ascii="EC Square Sans Pro Medium" w:hAnsi="EC Square Sans Pro Medium" w:cs="EC Square Sans Pro Medium"/>
      <w:color w:val="000000"/>
    </w:rPr>
  </w:style>
  <w:style w:type="paragraph" w:styleId="Header">
    <w:name w:val="header"/>
    <w:basedOn w:val="Normal"/>
    <w:link w:val="HeaderChar"/>
    <w:uiPriority w:val="99"/>
    <w:rsid w:val="007779B6"/>
    <w:pPr>
      <w:tabs>
        <w:tab w:val="center" w:pos="4153"/>
        <w:tab w:val="right" w:pos="8306"/>
      </w:tabs>
      <w:ind w:right="57"/>
    </w:pPr>
    <w:rPr>
      <w:rFonts w:ascii="Verdana" w:eastAsia="Times New Roman" w:hAnsi="Verdana" w:cs="Times New Roman"/>
      <w:sz w:val="20"/>
      <w:lang w:eastAsia="en-GB"/>
    </w:rPr>
  </w:style>
  <w:style w:type="character" w:customStyle="1" w:styleId="HeaderChar">
    <w:name w:val="Header Char"/>
    <w:basedOn w:val="DefaultParagraphFont"/>
    <w:link w:val="Header"/>
    <w:uiPriority w:val="99"/>
    <w:rsid w:val="007779B6"/>
    <w:rPr>
      <w:rFonts w:ascii="Verdana" w:eastAsia="Times New Roman" w:hAnsi="Verdana" w:cs="Times New Roman"/>
      <w:sz w:val="20"/>
      <w:lang w:val="en-GB" w:eastAsia="en-GB"/>
    </w:rPr>
  </w:style>
  <w:style w:type="paragraph" w:styleId="Footer">
    <w:name w:val="footer"/>
    <w:basedOn w:val="Normal"/>
    <w:link w:val="FooterChar"/>
    <w:uiPriority w:val="99"/>
    <w:rsid w:val="007779B6"/>
    <w:pPr>
      <w:tabs>
        <w:tab w:val="center" w:pos="4153"/>
        <w:tab w:val="right" w:pos="8306"/>
      </w:tabs>
      <w:ind w:right="57"/>
    </w:pPr>
    <w:rPr>
      <w:rFonts w:ascii="Verdana" w:eastAsia="Times New Roman" w:hAnsi="Verdana" w:cs="Times New Roman"/>
      <w:sz w:val="20"/>
      <w:lang w:eastAsia="en-GB"/>
    </w:rPr>
  </w:style>
  <w:style w:type="character" w:customStyle="1" w:styleId="FooterChar">
    <w:name w:val="Footer Char"/>
    <w:basedOn w:val="DefaultParagraphFont"/>
    <w:link w:val="Footer"/>
    <w:uiPriority w:val="99"/>
    <w:rsid w:val="007779B6"/>
    <w:rPr>
      <w:rFonts w:ascii="Verdana" w:eastAsia="Times New Roman" w:hAnsi="Verdana" w:cs="Times New Roman"/>
      <w:sz w:val="20"/>
      <w:lang w:val="en-GB" w:eastAsia="en-GB"/>
    </w:rPr>
  </w:style>
  <w:style w:type="paragraph" w:customStyle="1" w:styleId="2Date">
    <w:name w:val="2 Date"/>
    <w:basedOn w:val="Normal"/>
    <w:next w:val="3Titre"/>
    <w:link w:val="2DateCharChar"/>
    <w:uiPriority w:val="99"/>
    <w:rsid w:val="007779B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ind w:right="57"/>
      <w:jc w:val="right"/>
    </w:pPr>
    <w:rPr>
      <w:rFonts w:ascii="Verdana" w:eastAsia="Times New Roman" w:hAnsi="Verdana" w:cs="Times New Roman"/>
      <w:sz w:val="20"/>
      <w:szCs w:val="20"/>
      <w:lang w:eastAsia="en-GB"/>
    </w:rPr>
  </w:style>
  <w:style w:type="character" w:customStyle="1" w:styleId="2DateCharChar">
    <w:name w:val="2 Date Char Char"/>
    <w:link w:val="2Date"/>
    <w:uiPriority w:val="99"/>
    <w:locked/>
    <w:rsid w:val="007779B6"/>
    <w:rPr>
      <w:rFonts w:ascii="Verdana" w:eastAsia="Times New Roman" w:hAnsi="Verdana" w:cs="Times New Roman"/>
      <w:sz w:val="20"/>
      <w:szCs w:val="20"/>
      <w:lang w:val="en-GB" w:eastAsia="en-GB"/>
    </w:rPr>
  </w:style>
  <w:style w:type="paragraph" w:customStyle="1" w:styleId="EuropeanCommissionPR">
    <w:name w:val="EuropeanCommissionPR"/>
    <w:basedOn w:val="Normal"/>
    <w:link w:val="EuropeanCommissionPRCharChar"/>
    <w:uiPriority w:val="99"/>
    <w:rsid w:val="007779B6"/>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ind w:right="57"/>
      <w:jc w:val="center"/>
      <w:outlineLvl w:val="2"/>
    </w:pPr>
    <w:rPr>
      <w:rFonts w:ascii="Verdana" w:eastAsia="Times New Roman" w:hAnsi="Verdana" w:cs="Arial"/>
      <w:b/>
      <w:bCs/>
      <w:smallCaps/>
      <w:lang w:eastAsia="en-GB"/>
    </w:rPr>
  </w:style>
  <w:style w:type="character" w:customStyle="1" w:styleId="EuropeanCommissionPRCharChar">
    <w:name w:val="EuropeanCommissionPR Char Char"/>
    <w:link w:val="EuropeanCommissionPR"/>
    <w:uiPriority w:val="99"/>
    <w:locked/>
    <w:rsid w:val="007779B6"/>
    <w:rPr>
      <w:rFonts w:ascii="Verdana" w:eastAsia="Times New Roman" w:hAnsi="Verdana" w:cs="Arial"/>
      <w:b/>
      <w:bCs/>
      <w:smallCaps/>
      <w:lang w:val="en-GB" w:eastAsia="en-GB"/>
    </w:rPr>
  </w:style>
  <w:style w:type="paragraph" w:customStyle="1" w:styleId="Sous-titre1">
    <w:name w:val="Sous-titre 1"/>
    <w:basedOn w:val="Normal"/>
    <w:next w:val="5Normal"/>
    <w:autoRedefine/>
    <w:rsid w:val="007779B6"/>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80"/>
      <w:ind w:right="57"/>
    </w:pPr>
    <w:rPr>
      <w:rFonts w:ascii="Verdana" w:eastAsia="Times New Roman" w:hAnsi="Verdana" w:cs="Times New Roman"/>
      <w:b/>
      <w:szCs w:val="20"/>
      <w:lang w:eastAsia="en-GB"/>
    </w:rPr>
  </w:style>
  <w:style w:type="table" w:styleId="TableGrid">
    <w:name w:val="Table Grid"/>
    <w:basedOn w:val="TableNormal"/>
    <w:uiPriority w:val="59"/>
    <w:rsid w:val="007779B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rPr>
      <w:rFonts w:ascii="Times New Roman" w:eastAsia="Times New Roman" w:hAnsi="Times New Roman" w:cs="Times New Roman"/>
      <w:sz w:val="20"/>
      <w:szCs w:val="20"/>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NNote">
    <w:name w:val="1 N° Note"/>
    <w:basedOn w:val="Normal"/>
    <w:uiPriority w:val="99"/>
    <w:rsid w:val="007779B6"/>
    <w:pPr>
      <w:spacing w:before="920"/>
      <w:ind w:right="57"/>
      <w:jc w:val="right"/>
    </w:pPr>
    <w:rPr>
      <w:rFonts w:ascii="Verdana" w:eastAsia="Times New Roman" w:hAnsi="Verdana" w:cs="Times New Roman"/>
      <w:b/>
      <w:caps/>
      <w:sz w:val="20"/>
      <w:lang w:eastAsia="en-GB"/>
    </w:rPr>
  </w:style>
  <w:style w:type="paragraph" w:customStyle="1" w:styleId="4Chapeau">
    <w:name w:val="4 Chapeau"/>
    <w:basedOn w:val="Normal"/>
    <w:next w:val="5Normal"/>
    <w:uiPriority w:val="99"/>
    <w:rsid w:val="007779B6"/>
    <w:pPr>
      <w:spacing w:before="600" w:after="240"/>
      <w:ind w:right="57"/>
    </w:pPr>
    <w:rPr>
      <w:rFonts w:ascii="Verdana" w:eastAsia="Times New Roman" w:hAnsi="Verdana" w:cs="Times New Roman"/>
      <w:b/>
      <w:i/>
      <w:sz w:val="20"/>
      <w:lang w:eastAsia="en-GB"/>
    </w:rPr>
  </w:style>
  <w:style w:type="paragraph" w:customStyle="1" w:styleId="ECHeadings">
    <w:name w:val="EC Headings"/>
    <w:basedOn w:val="EuropeanCommissionPR"/>
    <w:rsid w:val="007779B6"/>
    <w:rPr>
      <w:sz w:val="20"/>
    </w:rPr>
  </w:style>
  <w:style w:type="paragraph" w:customStyle="1" w:styleId="Tiret1">
    <w:name w:val="Tiret 1"/>
    <w:basedOn w:val="5Normal"/>
    <w:next w:val="5Normal"/>
    <w:uiPriority w:val="99"/>
    <w:rsid w:val="007779B6"/>
    <w:pPr>
      <w:numPr>
        <w:numId w:val="1"/>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40"/>
    </w:pPr>
    <w:rPr>
      <w:rFonts w:eastAsia="Times New Roman" w:cs="Times New Roman"/>
      <w:spacing w:val="-2"/>
      <w:sz w:val="20"/>
      <w:lang w:val="en-GB"/>
    </w:rPr>
  </w:style>
  <w:style w:type="paragraph" w:customStyle="1" w:styleId="Tiret2">
    <w:name w:val="Tiret 2"/>
    <w:basedOn w:val="Normal"/>
    <w:next w:val="Texte2"/>
    <w:uiPriority w:val="99"/>
    <w:rsid w:val="007779B6"/>
    <w:pPr>
      <w:numPr>
        <w:numId w:val="2"/>
      </w:numPr>
      <w:spacing w:after="40"/>
      <w:ind w:right="57"/>
    </w:pPr>
    <w:rPr>
      <w:rFonts w:ascii="Verdana" w:eastAsia="Times New Roman" w:hAnsi="Verdana" w:cs="Times New Roman"/>
      <w:sz w:val="20"/>
      <w:lang w:eastAsia="en-GB"/>
    </w:rPr>
  </w:style>
  <w:style w:type="paragraph" w:customStyle="1" w:styleId="Texte2">
    <w:name w:val="Texte 2"/>
    <w:basedOn w:val="5Normal"/>
    <w:uiPriority w:val="99"/>
    <w:rsid w:val="007779B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left="646"/>
    </w:pPr>
    <w:rPr>
      <w:rFonts w:eastAsia="Times New Roman" w:cs="Times New Roman"/>
      <w:spacing w:val="-2"/>
      <w:sz w:val="20"/>
      <w:lang w:val="en-GB"/>
    </w:rPr>
  </w:style>
  <w:style w:type="paragraph" w:customStyle="1" w:styleId="Tiret3">
    <w:name w:val="Tiret 3"/>
    <w:basedOn w:val="5Normal"/>
    <w:next w:val="Texte3"/>
    <w:rsid w:val="007779B6"/>
    <w:pPr>
      <w:numPr>
        <w:numId w:val="3"/>
      </w:numPr>
      <w:tabs>
        <w:tab w:val="left" w:pos="284"/>
        <w:tab w:val="left" w:pos="567"/>
        <w:tab w:val="left" w:pos="851"/>
        <w:tab w:val="left" w:pos="1134"/>
        <w:tab w:val="left" w:pos="1701"/>
        <w:tab w:val="left" w:pos="1985"/>
        <w:tab w:val="left" w:pos="2268"/>
        <w:tab w:val="left" w:pos="2552"/>
        <w:tab w:val="left" w:pos="3119"/>
        <w:tab w:val="left" w:pos="4253"/>
        <w:tab w:val="left" w:pos="5954"/>
        <w:tab w:val="left" w:pos="8222"/>
        <w:tab w:val="right" w:pos="11057"/>
      </w:tabs>
      <w:suppressAutoHyphens/>
      <w:spacing w:after="40"/>
    </w:pPr>
    <w:rPr>
      <w:rFonts w:eastAsia="Times New Roman" w:cs="Times New Roman"/>
      <w:spacing w:val="-2"/>
      <w:sz w:val="20"/>
      <w:lang w:val="en-GB"/>
    </w:rPr>
  </w:style>
  <w:style w:type="paragraph" w:customStyle="1" w:styleId="Texte3">
    <w:name w:val="Texte 3"/>
    <w:basedOn w:val="5Normal"/>
    <w:uiPriority w:val="99"/>
    <w:rsid w:val="007779B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left="1072"/>
    </w:pPr>
    <w:rPr>
      <w:rFonts w:eastAsia="Times New Roman" w:cs="Times New Roman"/>
      <w:spacing w:val="-2"/>
      <w:sz w:val="20"/>
      <w:lang w:val="en-GB"/>
    </w:rPr>
  </w:style>
  <w:style w:type="paragraph" w:customStyle="1" w:styleId="Texte1">
    <w:name w:val="Texte 1"/>
    <w:basedOn w:val="5Normal"/>
    <w:uiPriority w:val="99"/>
    <w:rsid w:val="007779B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left="357"/>
    </w:pPr>
    <w:rPr>
      <w:rFonts w:eastAsia="Times New Roman" w:cs="Times New Roman"/>
      <w:spacing w:val="-2"/>
      <w:sz w:val="20"/>
      <w:lang w:val="en-GB"/>
    </w:rPr>
  </w:style>
  <w:style w:type="paragraph" w:customStyle="1" w:styleId="Sous-titre2">
    <w:name w:val="Sous-titre 2"/>
    <w:basedOn w:val="Sous-titre1"/>
    <w:next w:val="Texte2"/>
    <w:rsid w:val="007779B6"/>
    <w:pPr>
      <w:spacing w:before="120"/>
      <w:ind w:left="284"/>
    </w:pPr>
  </w:style>
  <w:style w:type="paragraph" w:customStyle="1" w:styleId="Sous-titre3">
    <w:name w:val="Sous-titre 3"/>
    <w:basedOn w:val="Sous-titre1"/>
    <w:next w:val="Texte3"/>
    <w:uiPriority w:val="99"/>
    <w:rsid w:val="007779B6"/>
    <w:pPr>
      <w:spacing w:before="120"/>
      <w:ind w:left="567"/>
    </w:pPr>
  </w:style>
  <w:style w:type="paragraph" w:customStyle="1" w:styleId="DocumentFooter">
    <w:name w:val="Document Footer"/>
    <w:basedOn w:val="Normal"/>
    <w:link w:val="DocumentFooterChar"/>
    <w:autoRedefine/>
    <w:uiPriority w:val="99"/>
    <w:rsid w:val="007779B6"/>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ind w:right="57"/>
      <w:jc w:val="right"/>
    </w:pPr>
    <w:rPr>
      <w:rFonts w:ascii="Verdana" w:eastAsia="Times New Roman" w:hAnsi="Verdana" w:cs="Arial"/>
      <w:b/>
      <w:bCs/>
      <w:caps/>
      <w:sz w:val="20"/>
      <w:szCs w:val="20"/>
      <w:lang w:eastAsia="en-GB"/>
    </w:rPr>
  </w:style>
  <w:style w:type="character" w:customStyle="1" w:styleId="DocumentFooterChar">
    <w:name w:val="Document Footer Char"/>
    <w:link w:val="DocumentFooter"/>
    <w:uiPriority w:val="99"/>
    <w:locked/>
    <w:rsid w:val="007779B6"/>
    <w:rPr>
      <w:rFonts w:ascii="Verdana" w:eastAsia="Times New Roman" w:hAnsi="Verdana" w:cs="Arial"/>
      <w:b/>
      <w:bCs/>
      <w:caps/>
      <w:sz w:val="20"/>
      <w:szCs w:val="20"/>
      <w:lang w:val="en-GB" w:eastAsia="en-GB"/>
    </w:rPr>
  </w:style>
  <w:style w:type="character" w:styleId="PageNumber">
    <w:name w:val="page number"/>
    <w:uiPriority w:val="99"/>
    <w:rsid w:val="007779B6"/>
    <w:rPr>
      <w:rFonts w:ascii="Verdana" w:hAnsi="Verdana"/>
      <w:sz w:val="20"/>
    </w:rPr>
  </w:style>
  <w:style w:type="character" w:customStyle="1" w:styleId="at4">
    <w:name w:val="a__t4"/>
    <w:rsid w:val="007779B6"/>
  </w:style>
  <w:style w:type="character" w:customStyle="1" w:styleId="at91">
    <w:name w:val="a__t91"/>
    <w:rsid w:val="007779B6"/>
    <w:rPr>
      <w:b/>
      <w:bCs/>
    </w:rPr>
  </w:style>
  <w:style w:type="character" w:customStyle="1" w:styleId="BalloonTextChar1">
    <w:name w:val="Balloon Text Char1"/>
    <w:basedOn w:val="DefaultParagraphFont"/>
    <w:link w:val="BalloonText"/>
    <w:uiPriority w:val="99"/>
    <w:rsid w:val="007779B6"/>
    <w:rPr>
      <w:rFonts w:ascii="Tahoma" w:eastAsia="Calibri" w:hAnsi="Tahoma" w:cs="Tahoma"/>
      <w:sz w:val="16"/>
      <w:szCs w:val="16"/>
      <w:lang w:val="en-GB" w:eastAsia="en-GB"/>
    </w:rPr>
  </w:style>
  <w:style w:type="character" w:customStyle="1" w:styleId="at71">
    <w:name w:val="a__t71"/>
    <w:rsid w:val="007779B6"/>
    <w:rPr>
      <w:b w:val="0"/>
      <w:bCs w:val="0"/>
      <w:i/>
      <w:iCs/>
    </w:rPr>
  </w:style>
  <w:style w:type="character" w:customStyle="1" w:styleId="at13">
    <w:name w:val="a__t13"/>
    <w:rsid w:val="007779B6"/>
    <w:rPr>
      <w:b w:val="0"/>
      <w:bCs w:val="0"/>
    </w:rPr>
  </w:style>
  <w:style w:type="paragraph" w:customStyle="1" w:styleId="astandard3520normal">
    <w:name w:val="a_standard__35__20_normal"/>
    <w:basedOn w:val="Normal"/>
    <w:rsid w:val="007779B6"/>
    <w:pPr>
      <w:spacing w:after="120"/>
      <w:ind w:right="57"/>
      <w:jc w:val="both"/>
    </w:pPr>
    <w:rPr>
      <w:rFonts w:eastAsia="Times New Roman" w:cs="Times New Roman"/>
      <w:b/>
      <w:bCs/>
      <w:lang w:eastAsia="en-GB"/>
    </w:rPr>
  </w:style>
  <w:style w:type="character" w:customStyle="1" w:styleId="at121">
    <w:name w:val="a__t121"/>
    <w:rsid w:val="007779B6"/>
    <w:rPr>
      <w:b w:val="0"/>
      <w:bCs w:val="0"/>
      <w:color w:val="000000"/>
    </w:rPr>
  </w:style>
  <w:style w:type="character" w:customStyle="1" w:styleId="at31">
    <w:name w:val="a__t31"/>
    <w:rsid w:val="007779B6"/>
    <w:rPr>
      <w:b/>
      <w:bCs/>
    </w:rPr>
  </w:style>
  <w:style w:type="paragraph" w:styleId="Revision">
    <w:name w:val="Revision"/>
    <w:hidden/>
    <w:rsid w:val="007779B6"/>
    <w:rPr>
      <w:rFonts w:ascii="Verdana" w:eastAsia="Times New Roman" w:hAnsi="Verdana" w:cs="Times New Roman"/>
      <w:spacing w:val="-2"/>
      <w:sz w:val="20"/>
      <w:lang w:val="en-GB" w:eastAsia="en-GB"/>
    </w:rPr>
  </w:style>
  <w:style w:type="character" w:customStyle="1" w:styleId="Text1Char">
    <w:name w:val="Text 1 Char"/>
    <w:link w:val="Text1"/>
    <w:uiPriority w:val="99"/>
    <w:locked/>
    <w:rsid w:val="007779B6"/>
  </w:style>
  <w:style w:type="paragraph" w:customStyle="1" w:styleId="Text1">
    <w:name w:val="Text 1"/>
    <w:basedOn w:val="Normal"/>
    <w:link w:val="Text1Char"/>
    <w:uiPriority w:val="99"/>
    <w:rsid w:val="007779B6"/>
    <w:pPr>
      <w:spacing w:before="120" w:after="120"/>
      <w:ind w:left="850"/>
      <w:jc w:val="both"/>
    </w:pPr>
    <w:rPr>
      <w:rFonts w:asciiTheme="minorHAnsi" w:hAnsiTheme="minorHAnsi"/>
      <w:lang w:val="en-US"/>
    </w:rPr>
  </w:style>
  <w:style w:type="character" w:styleId="CommentReference">
    <w:name w:val="annotation reference"/>
    <w:unhideWhenUsed/>
    <w:rsid w:val="007779B6"/>
    <w:rPr>
      <w:sz w:val="16"/>
      <w:szCs w:val="16"/>
    </w:rPr>
  </w:style>
  <w:style w:type="paragraph" w:styleId="CommentText">
    <w:name w:val="annotation text"/>
    <w:basedOn w:val="Normal"/>
    <w:link w:val="CommentTextChar"/>
    <w:unhideWhenUsed/>
    <w:rsid w:val="007779B6"/>
    <w:pPr>
      <w:spacing w:after="120"/>
      <w:ind w:right="57"/>
      <w:jc w:val="both"/>
    </w:pPr>
    <w:rPr>
      <w:rFonts w:ascii="Verdana" w:eastAsia="Times New Roman" w:hAnsi="Verdana" w:cs="Times New Roman"/>
      <w:spacing w:val="-2"/>
      <w:sz w:val="20"/>
      <w:szCs w:val="20"/>
      <w:lang w:eastAsia="en-GB"/>
    </w:rPr>
  </w:style>
  <w:style w:type="character" w:customStyle="1" w:styleId="CommentTextChar">
    <w:name w:val="Comment Text Char"/>
    <w:basedOn w:val="DefaultParagraphFont"/>
    <w:link w:val="CommentText"/>
    <w:rsid w:val="007779B6"/>
    <w:rPr>
      <w:rFonts w:ascii="Verdana" w:eastAsia="Times New Roman" w:hAnsi="Verdana" w:cs="Times New Roman"/>
      <w:spacing w:val="-2"/>
      <w:sz w:val="20"/>
      <w:szCs w:val="20"/>
      <w:lang w:val="en-GB" w:eastAsia="en-GB"/>
    </w:rPr>
  </w:style>
  <w:style w:type="paragraph" w:styleId="CommentSubject">
    <w:name w:val="annotation subject"/>
    <w:basedOn w:val="CommentText"/>
    <w:next w:val="CommentText"/>
    <w:link w:val="CommentSubjectChar"/>
    <w:unhideWhenUsed/>
    <w:rsid w:val="007779B6"/>
    <w:rPr>
      <w:b/>
      <w:bCs/>
    </w:rPr>
  </w:style>
  <w:style w:type="character" w:customStyle="1" w:styleId="CommentSubjectChar">
    <w:name w:val="Comment Subject Char"/>
    <w:basedOn w:val="CommentTextChar"/>
    <w:link w:val="CommentSubject"/>
    <w:rsid w:val="007779B6"/>
    <w:rPr>
      <w:rFonts w:ascii="Verdana" w:eastAsia="Times New Roman" w:hAnsi="Verdana" w:cs="Times New Roman"/>
      <w:b/>
      <w:bCs/>
      <w:spacing w:val="-2"/>
      <w:sz w:val="20"/>
      <w:szCs w:val="20"/>
      <w:lang w:val="en-GB" w:eastAsia="en-GB"/>
    </w:rPr>
  </w:style>
  <w:style w:type="character" w:customStyle="1" w:styleId="at21">
    <w:name w:val="a__t21"/>
    <w:rsid w:val="007779B6"/>
    <w:rPr>
      <w:b/>
      <w:bCs/>
    </w:rPr>
  </w:style>
  <w:style w:type="paragraph" w:customStyle="1" w:styleId="Text4">
    <w:name w:val="Text 4"/>
    <w:basedOn w:val="Normal"/>
    <w:rsid w:val="007779B6"/>
    <w:pPr>
      <w:spacing w:before="120" w:after="120"/>
      <w:ind w:left="2551"/>
      <w:jc w:val="both"/>
    </w:pPr>
    <w:rPr>
      <w:rFonts w:eastAsia="Calibri" w:cs="Times New Roman"/>
      <w:szCs w:val="20"/>
      <w:lang w:eastAsia="en-GB"/>
    </w:rPr>
  </w:style>
  <w:style w:type="paragraph" w:customStyle="1" w:styleId="4Contexte">
    <w:name w:val="4 Contexte"/>
    <w:basedOn w:val="Normal"/>
    <w:next w:val="5Normal"/>
    <w:rsid w:val="007779B6"/>
    <w:pPr>
      <w:ind w:right="57"/>
      <w:jc w:val="both"/>
    </w:pPr>
    <w:rPr>
      <w:rFonts w:ascii="Verdana" w:eastAsia="Times New Roman" w:hAnsi="Verdana" w:cs="Times New Roman"/>
      <w:sz w:val="22"/>
      <w:lang w:eastAsia="en-GB"/>
    </w:rPr>
  </w:style>
  <w:style w:type="paragraph" w:customStyle="1" w:styleId="5LieuDate">
    <w:name w:val="5 Lieu_Date"/>
    <w:basedOn w:val="Normal"/>
    <w:next w:val="5Normal"/>
    <w:rsid w:val="007779B6"/>
    <w:pPr>
      <w:spacing w:after="240"/>
      <w:ind w:right="57"/>
      <w:jc w:val="both"/>
    </w:pPr>
    <w:rPr>
      <w:rFonts w:ascii="Verdana" w:eastAsia="Times New Roman" w:hAnsi="Verdana" w:cs="Times New Roman"/>
      <w:b/>
      <w:sz w:val="22"/>
      <w:lang w:eastAsia="en-GB"/>
    </w:rPr>
  </w:style>
  <w:style w:type="paragraph" w:customStyle="1" w:styleId="6CAD">
    <w:name w:val="6 CAD"/>
    <w:basedOn w:val="Normal"/>
    <w:qFormat/>
    <w:rsid w:val="007779B6"/>
    <w:pPr>
      <w:spacing w:after="240"/>
      <w:ind w:right="57"/>
      <w:jc w:val="center"/>
    </w:pPr>
    <w:rPr>
      <w:rFonts w:ascii="Verdana" w:eastAsia="Times New Roman" w:hAnsi="Verdana" w:cs="Times New Roman"/>
      <w:b/>
      <w:smallCaps/>
      <w:color w:val="808080"/>
      <w:lang w:eastAsia="en-GB"/>
    </w:rPr>
  </w:style>
  <w:style w:type="character" w:styleId="Emphasis">
    <w:name w:val="Emphasis"/>
    <w:basedOn w:val="DefaultParagraphFont"/>
    <w:qFormat/>
    <w:rsid w:val="007779B6"/>
    <w:rPr>
      <w:i/>
    </w:rPr>
  </w:style>
  <w:style w:type="character" w:styleId="HTMLCite">
    <w:name w:val="HTML Cite"/>
    <w:basedOn w:val="DefaultParagraphFont"/>
    <w:uiPriority w:val="99"/>
    <w:rsid w:val="007779B6"/>
    <w:rPr>
      <w:i/>
      <w:iCs/>
    </w:rPr>
  </w:style>
  <w:style w:type="paragraph" w:customStyle="1" w:styleId="ar00n">
    <w:name w:val="ar00n"/>
    <w:basedOn w:val="Normal"/>
    <w:rsid w:val="007779B6"/>
    <w:pPr>
      <w:spacing w:before="100" w:beforeAutospacing="1" w:after="100" w:afterAutospacing="1"/>
    </w:pPr>
    <w:rPr>
      <w:rFonts w:eastAsia="Times New Roman" w:cs="Times New Roman"/>
      <w:lang w:val="en-US"/>
    </w:rPr>
  </w:style>
  <w:style w:type="character" w:customStyle="1" w:styleId="amend">
    <w:name w:val="amend"/>
    <w:basedOn w:val="DefaultParagraphFont"/>
    <w:rsid w:val="007779B6"/>
  </w:style>
  <w:style w:type="paragraph" w:styleId="BodyTextIndent2">
    <w:name w:val="Body Text Indent 2"/>
    <w:basedOn w:val="Normal"/>
    <w:link w:val="BodyTextIndent2Char"/>
    <w:rsid w:val="007779B6"/>
    <w:pPr>
      <w:spacing w:after="120" w:line="480" w:lineRule="auto"/>
      <w:ind w:left="360"/>
    </w:pPr>
    <w:rPr>
      <w:rFonts w:eastAsia="Times New Roman" w:cs="Times New Roman"/>
      <w:lang w:val="fr-FR" w:eastAsia="fr-FR"/>
    </w:rPr>
  </w:style>
  <w:style w:type="character" w:customStyle="1" w:styleId="BodyTextIndent2Char">
    <w:name w:val="Body Text Indent 2 Char"/>
    <w:basedOn w:val="DefaultParagraphFont"/>
    <w:link w:val="BodyTextIndent2"/>
    <w:rsid w:val="007779B6"/>
    <w:rPr>
      <w:rFonts w:ascii="Times New Roman" w:eastAsia="Times New Roman" w:hAnsi="Times New Roman" w:cs="Times New Roman"/>
      <w:lang w:val="fr-FR" w:eastAsia="fr-FR"/>
    </w:rPr>
  </w:style>
  <w:style w:type="character" w:customStyle="1" w:styleId="citationbook">
    <w:name w:val="citation book"/>
    <w:basedOn w:val="DefaultParagraphFont"/>
    <w:rsid w:val="007779B6"/>
  </w:style>
  <w:style w:type="character" w:customStyle="1" w:styleId="documentbody">
    <w:name w:val="documentbody"/>
    <w:basedOn w:val="DefaultParagraphFont"/>
    <w:rsid w:val="007779B6"/>
  </w:style>
  <w:style w:type="character" w:customStyle="1" w:styleId="st">
    <w:name w:val="st"/>
    <w:basedOn w:val="DefaultParagraphFont"/>
    <w:rsid w:val="007779B6"/>
  </w:style>
  <w:style w:type="character" w:customStyle="1" w:styleId="bold1">
    <w:name w:val="bold1"/>
    <w:basedOn w:val="DefaultParagraphFont"/>
    <w:rsid w:val="007779B6"/>
    <w:rPr>
      <w:rFonts w:ascii="Geneva" w:hAnsi="Geneva" w:hint="default"/>
      <w:b/>
      <w:bCs/>
      <w:color w:val="000066"/>
      <w:spacing w:val="264"/>
      <w:sz w:val="22"/>
      <w:szCs w:val="22"/>
    </w:rPr>
  </w:style>
  <w:style w:type="paragraph" w:customStyle="1" w:styleId="JuPara">
    <w:name w:val="Ju_Para"/>
    <w:basedOn w:val="Normal"/>
    <w:rsid w:val="007779B6"/>
    <w:pPr>
      <w:suppressAutoHyphens/>
      <w:ind w:firstLine="284"/>
      <w:jc w:val="both"/>
    </w:pPr>
    <w:rPr>
      <w:rFonts w:eastAsia="Times New Roman" w:cs="Times New Roman"/>
      <w:szCs w:val="20"/>
    </w:rPr>
  </w:style>
  <w:style w:type="character" w:customStyle="1" w:styleId="contenttext">
    <w:name w:val="contenttext"/>
    <w:basedOn w:val="DefaultParagraphFont"/>
    <w:rsid w:val="007779B6"/>
  </w:style>
  <w:style w:type="character" w:styleId="Strong">
    <w:name w:val="Strong"/>
    <w:basedOn w:val="DefaultParagraphFont"/>
    <w:uiPriority w:val="22"/>
    <w:qFormat/>
    <w:rsid w:val="007779B6"/>
    <w:rPr>
      <w:b/>
      <w:bCs/>
    </w:rPr>
  </w:style>
  <w:style w:type="paragraph" w:customStyle="1" w:styleId="c01pointnumerotealtn">
    <w:name w:val="c01pointnumerotealtn"/>
    <w:basedOn w:val="Normal"/>
    <w:rsid w:val="007779B6"/>
    <w:pPr>
      <w:spacing w:before="100" w:beforeAutospacing="1" w:after="100" w:afterAutospacing="1"/>
    </w:pPr>
    <w:rPr>
      <w:rFonts w:eastAsia="Times New Roman" w:cs="Times New Roman"/>
      <w:lang w:val="en-US"/>
    </w:rPr>
  </w:style>
  <w:style w:type="paragraph" w:styleId="HTMLPreformatted">
    <w:name w:val="HTML Preformatted"/>
    <w:basedOn w:val="Normal"/>
    <w:link w:val="HTMLPreformattedChar"/>
    <w:rsid w:val="00777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779B6"/>
    <w:rPr>
      <w:rFonts w:ascii="Courier New" w:eastAsia="Times New Roman" w:hAnsi="Courier New" w:cs="Courier New"/>
      <w:sz w:val="20"/>
      <w:szCs w:val="20"/>
    </w:rPr>
  </w:style>
  <w:style w:type="character" w:customStyle="1" w:styleId="searchterm">
    <w:name w:val="searchterm"/>
    <w:basedOn w:val="DefaultParagraphFont"/>
    <w:rsid w:val="007779B6"/>
  </w:style>
  <w:style w:type="paragraph" w:customStyle="1" w:styleId="pt00n">
    <w:name w:val="pt00n"/>
    <w:basedOn w:val="Normal"/>
    <w:rsid w:val="007779B6"/>
    <w:pPr>
      <w:spacing w:before="100" w:beforeAutospacing="1" w:after="100" w:afterAutospacing="1"/>
    </w:pPr>
    <w:rPr>
      <w:rFonts w:eastAsia="Times New Roman" w:cs="Times New Roman"/>
      <w:lang w:val="en-US"/>
    </w:rPr>
  </w:style>
  <w:style w:type="character" w:customStyle="1" w:styleId="headertext">
    <w:name w:val="headertext"/>
    <w:basedOn w:val="DefaultParagraphFont"/>
    <w:rsid w:val="007779B6"/>
  </w:style>
  <w:style w:type="paragraph" w:customStyle="1" w:styleId="c02alineaalta">
    <w:name w:val="c02alineaalta"/>
    <w:basedOn w:val="Normal"/>
    <w:rsid w:val="007779B6"/>
    <w:pPr>
      <w:spacing w:before="100" w:beforeAutospacing="1" w:after="100" w:afterAutospacing="1"/>
    </w:pPr>
    <w:rPr>
      <w:rFonts w:eastAsia="Times New Roman" w:cs="Times New Roman"/>
      <w:lang w:val="en-US"/>
    </w:rPr>
  </w:style>
  <w:style w:type="paragraph" w:customStyle="1" w:styleId="c72alineadroite">
    <w:name w:val="c72alineadroite"/>
    <w:basedOn w:val="Normal"/>
    <w:rsid w:val="007779B6"/>
    <w:pPr>
      <w:spacing w:before="100" w:beforeAutospacing="1" w:after="100" w:afterAutospacing="1"/>
    </w:pPr>
    <w:rPr>
      <w:rFonts w:eastAsia="Times New Roman" w:cs="Times New Roman"/>
      <w:lang w:val="en-US"/>
    </w:rPr>
  </w:style>
  <w:style w:type="paragraph" w:customStyle="1" w:styleId="c19centre">
    <w:name w:val="c19centre"/>
    <w:basedOn w:val="Normal"/>
    <w:rsid w:val="007779B6"/>
    <w:pPr>
      <w:spacing w:before="100" w:beforeAutospacing="1" w:after="100" w:afterAutospacing="1"/>
    </w:pPr>
    <w:rPr>
      <w:rFonts w:eastAsia="Times New Roman" w:cs="Times New Roman"/>
      <w:lang w:val="en-US"/>
    </w:rPr>
  </w:style>
  <w:style w:type="paragraph" w:styleId="BodyText3">
    <w:name w:val="Body Text 3"/>
    <w:basedOn w:val="Normal"/>
    <w:link w:val="BodyText3Char"/>
    <w:rsid w:val="007779B6"/>
    <w:pPr>
      <w:autoSpaceDE w:val="0"/>
      <w:autoSpaceDN w:val="0"/>
      <w:adjustRightInd w:val="0"/>
      <w:jc w:val="both"/>
    </w:pPr>
    <w:rPr>
      <w:rFonts w:eastAsia="Times New Roman" w:cs="Times New Roman"/>
      <w:szCs w:val="20"/>
      <w:lang w:val="en-US"/>
    </w:rPr>
  </w:style>
  <w:style w:type="character" w:customStyle="1" w:styleId="BodyText3Char">
    <w:name w:val="Body Text 3 Char"/>
    <w:basedOn w:val="DefaultParagraphFont"/>
    <w:link w:val="BodyText3"/>
    <w:rsid w:val="007779B6"/>
    <w:rPr>
      <w:rFonts w:ascii="Times New Roman" w:eastAsia="Times New Roman" w:hAnsi="Times New Roman" w:cs="Times New Roman"/>
      <w:szCs w:val="20"/>
    </w:rPr>
  </w:style>
  <w:style w:type="character" w:customStyle="1" w:styleId="scaps">
    <w:name w:val="scaps"/>
    <w:basedOn w:val="DefaultParagraphFont"/>
    <w:rsid w:val="007779B6"/>
  </w:style>
  <w:style w:type="character" w:customStyle="1" w:styleId="fat">
    <w:name w:val="fat"/>
    <w:basedOn w:val="DefaultParagraphFont"/>
    <w:rsid w:val="007779B6"/>
  </w:style>
  <w:style w:type="character" w:customStyle="1" w:styleId="searchword">
    <w:name w:val="searchword"/>
    <w:basedOn w:val="DefaultParagraphFont"/>
    <w:rsid w:val="007779B6"/>
  </w:style>
  <w:style w:type="character" w:customStyle="1" w:styleId="getittextexlgetitlinktext">
    <w:name w:val="getittext exlgetitlinktext"/>
    <w:basedOn w:val="DefaultParagraphFont"/>
    <w:rsid w:val="007779B6"/>
  </w:style>
  <w:style w:type="character" w:customStyle="1" w:styleId="exladdtoeshelf">
    <w:name w:val="exladdtoeshelf"/>
    <w:basedOn w:val="DefaultParagraphFont"/>
    <w:rsid w:val="007779B6"/>
  </w:style>
  <w:style w:type="paragraph" w:styleId="DocumentMap">
    <w:name w:val="Document Map"/>
    <w:basedOn w:val="Normal"/>
    <w:link w:val="DocumentMapChar"/>
    <w:rsid w:val="007779B6"/>
    <w:pPr>
      <w:shd w:val="clear" w:color="auto" w:fill="000080"/>
    </w:pPr>
    <w:rPr>
      <w:rFonts w:ascii="Tahoma" w:eastAsia="Times New Roman" w:hAnsi="Tahoma" w:cs="Times New Roman"/>
      <w:sz w:val="20"/>
      <w:szCs w:val="22"/>
      <w:lang w:eastAsia="es-ES"/>
    </w:rPr>
  </w:style>
  <w:style w:type="character" w:customStyle="1" w:styleId="DocumentMapChar">
    <w:name w:val="Document Map Char"/>
    <w:basedOn w:val="DefaultParagraphFont"/>
    <w:link w:val="DocumentMap"/>
    <w:rsid w:val="007779B6"/>
    <w:rPr>
      <w:rFonts w:ascii="Tahoma" w:eastAsia="Times New Roman" w:hAnsi="Tahoma" w:cs="Times New Roman"/>
      <w:sz w:val="20"/>
      <w:szCs w:val="22"/>
      <w:shd w:val="clear" w:color="auto" w:fill="000080"/>
      <w:lang w:val="en-GB" w:eastAsia="es-ES"/>
    </w:rPr>
  </w:style>
  <w:style w:type="character" w:customStyle="1" w:styleId="ClinHeadNote">
    <w:name w:val="ClinHeadNote"/>
    <w:basedOn w:val="DefaultParagraphFont"/>
    <w:rsid w:val="007779B6"/>
    <w:rPr>
      <w:rFonts w:cs="Times New Roman"/>
    </w:rPr>
  </w:style>
  <w:style w:type="character" w:customStyle="1" w:styleId="citationinfo">
    <w:name w:val="citationinfo"/>
    <w:basedOn w:val="DefaultParagraphFont"/>
    <w:rsid w:val="007779B6"/>
  </w:style>
  <w:style w:type="character" w:customStyle="1" w:styleId="maintitle">
    <w:name w:val="maintitle"/>
    <w:basedOn w:val="DefaultParagraphFont"/>
    <w:rsid w:val="005F3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24007">
      <w:bodyDiv w:val="1"/>
      <w:marLeft w:val="0"/>
      <w:marRight w:val="0"/>
      <w:marTop w:val="0"/>
      <w:marBottom w:val="0"/>
      <w:divBdr>
        <w:top w:val="none" w:sz="0" w:space="0" w:color="auto"/>
        <w:left w:val="none" w:sz="0" w:space="0" w:color="auto"/>
        <w:bottom w:val="none" w:sz="0" w:space="0" w:color="auto"/>
        <w:right w:val="none" w:sz="0" w:space="0" w:color="auto"/>
      </w:divBdr>
      <w:divsChild>
        <w:div w:id="2093165169">
          <w:marLeft w:val="0"/>
          <w:marRight w:val="0"/>
          <w:marTop w:val="0"/>
          <w:marBottom w:val="0"/>
          <w:divBdr>
            <w:top w:val="none" w:sz="0" w:space="0" w:color="auto"/>
            <w:left w:val="none" w:sz="0" w:space="0" w:color="auto"/>
            <w:bottom w:val="none" w:sz="0" w:space="0" w:color="auto"/>
            <w:right w:val="none" w:sz="0" w:space="0" w:color="auto"/>
          </w:divBdr>
          <w:divsChild>
            <w:div w:id="1899316455">
              <w:marLeft w:val="0"/>
              <w:marRight w:val="0"/>
              <w:marTop w:val="0"/>
              <w:marBottom w:val="0"/>
              <w:divBdr>
                <w:top w:val="none" w:sz="0" w:space="0" w:color="auto"/>
                <w:left w:val="none" w:sz="0" w:space="0" w:color="auto"/>
                <w:bottom w:val="none" w:sz="0" w:space="0" w:color="auto"/>
                <w:right w:val="none" w:sz="0" w:space="0" w:color="auto"/>
              </w:divBdr>
              <w:divsChild>
                <w:div w:id="894195691">
                  <w:marLeft w:val="0"/>
                  <w:marRight w:val="0"/>
                  <w:marTop w:val="0"/>
                  <w:marBottom w:val="0"/>
                  <w:divBdr>
                    <w:top w:val="none" w:sz="0" w:space="0" w:color="auto"/>
                    <w:left w:val="none" w:sz="0" w:space="0" w:color="auto"/>
                    <w:bottom w:val="none" w:sz="0" w:space="0" w:color="auto"/>
                    <w:right w:val="none" w:sz="0" w:space="0" w:color="auto"/>
                  </w:divBdr>
                  <w:divsChild>
                    <w:div w:id="2096126670">
                      <w:marLeft w:val="0"/>
                      <w:marRight w:val="0"/>
                      <w:marTop w:val="0"/>
                      <w:marBottom w:val="0"/>
                      <w:divBdr>
                        <w:top w:val="none" w:sz="0" w:space="0" w:color="auto"/>
                        <w:left w:val="none" w:sz="0" w:space="0" w:color="auto"/>
                        <w:bottom w:val="none" w:sz="0" w:space="0" w:color="auto"/>
                        <w:right w:val="none" w:sz="0" w:space="0" w:color="auto"/>
                      </w:divBdr>
                      <w:divsChild>
                        <w:div w:id="1142582523">
                          <w:marLeft w:val="0"/>
                          <w:marRight w:val="0"/>
                          <w:marTop w:val="0"/>
                          <w:marBottom w:val="0"/>
                          <w:divBdr>
                            <w:top w:val="none" w:sz="0" w:space="0" w:color="auto"/>
                            <w:left w:val="none" w:sz="0" w:space="0" w:color="auto"/>
                            <w:bottom w:val="none" w:sz="0" w:space="0" w:color="auto"/>
                            <w:right w:val="none" w:sz="0" w:space="0" w:color="auto"/>
                          </w:divBdr>
                          <w:divsChild>
                            <w:div w:id="194664092">
                              <w:marLeft w:val="0"/>
                              <w:marRight w:val="0"/>
                              <w:marTop w:val="0"/>
                              <w:marBottom w:val="0"/>
                              <w:divBdr>
                                <w:top w:val="none" w:sz="0" w:space="0" w:color="auto"/>
                                <w:left w:val="none" w:sz="0" w:space="0" w:color="auto"/>
                                <w:bottom w:val="none" w:sz="0" w:space="0" w:color="auto"/>
                                <w:right w:val="none" w:sz="0" w:space="0" w:color="auto"/>
                              </w:divBdr>
                              <w:divsChild>
                                <w:div w:id="802386982">
                                  <w:marLeft w:val="0"/>
                                  <w:marRight w:val="0"/>
                                  <w:marTop w:val="0"/>
                                  <w:marBottom w:val="0"/>
                                  <w:divBdr>
                                    <w:top w:val="none" w:sz="0" w:space="0" w:color="auto"/>
                                    <w:left w:val="none" w:sz="0" w:space="0" w:color="auto"/>
                                    <w:bottom w:val="none" w:sz="0" w:space="0" w:color="auto"/>
                                    <w:right w:val="none" w:sz="0" w:space="0" w:color="auto"/>
                                  </w:divBdr>
                                  <w:divsChild>
                                    <w:div w:id="113331219">
                                      <w:marLeft w:val="0"/>
                                      <w:marRight w:val="0"/>
                                      <w:marTop w:val="0"/>
                                      <w:marBottom w:val="0"/>
                                      <w:divBdr>
                                        <w:top w:val="none" w:sz="0" w:space="0" w:color="auto"/>
                                        <w:left w:val="none" w:sz="0" w:space="0" w:color="auto"/>
                                        <w:bottom w:val="none" w:sz="0" w:space="0" w:color="auto"/>
                                        <w:right w:val="none" w:sz="0" w:space="0" w:color="auto"/>
                                      </w:divBdr>
                                      <w:divsChild>
                                        <w:div w:id="959729126">
                                          <w:marLeft w:val="0"/>
                                          <w:marRight w:val="0"/>
                                          <w:marTop w:val="0"/>
                                          <w:marBottom w:val="0"/>
                                          <w:divBdr>
                                            <w:top w:val="none" w:sz="0" w:space="0" w:color="auto"/>
                                            <w:left w:val="none" w:sz="0" w:space="0" w:color="auto"/>
                                            <w:bottom w:val="none" w:sz="0" w:space="0" w:color="auto"/>
                                            <w:right w:val="none" w:sz="0" w:space="0" w:color="auto"/>
                                          </w:divBdr>
                                          <w:divsChild>
                                            <w:div w:id="1962881706">
                                              <w:marLeft w:val="0"/>
                                              <w:marRight w:val="0"/>
                                              <w:marTop w:val="0"/>
                                              <w:marBottom w:val="0"/>
                                              <w:divBdr>
                                                <w:top w:val="none" w:sz="0" w:space="0" w:color="auto"/>
                                                <w:left w:val="none" w:sz="0" w:space="0" w:color="auto"/>
                                                <w:bottom w:val="none" w:sz="0" w:space="0" w:color="auto"/>
                                                <w:right w:val="none" w:sz="0" w:space="0" w:color="auto"/>
                                              </w:divBdr>
                                              <w:divsChild>
                                                <w:div w:id="1399591472">
                                                  <w:marLeft w:val="0"/>
                                                  <w:marRight w:val="0"/>
                                                  <w:marTop w:val="0"/>
                                                  <w:marBottom w:val="0"/>
                                                  <w:divBdr>
                                                    <w:top w:val="none" w:sz="0" w:space="0" w:color="auto"/>
                                                    <w:left w:val="none" w:sz="0" w:space="0" w:color="auto"/>
                                                    <w:bottom w:val="none" w:sz="0" w:space="0" w:color="auto"/>
                                                    <w:right w:val="none" w:sz="0" w:space="0" w:color="auto"/>
                                                  </w:divBdr>
                                                </w:div>
                                                <w:div w:id="306518808">
                                                  <w:marLeft w:val="178"/>
                                                  <w:marRight w:val="0"/>
                                                  <w:marTop w:val="0"/>
                                                  <w:marBottom w:val="0"/>
                                                  <w:divBdr>
                                                    <w:top w:val="none" w:sz="0" w:space="0" w:color="auto"/>
                                                    <w:left w:val="none" w:sz="0" w:space="0" w:color="auto"/>
                                                    <w:bottom w:val="none" w:sz="0" w:space="0" w:color="auto"/>
                                                    <w:right w:val="none" w:sz="0" w:space="0" w:color="auto"/>
                                                  </w:divBdr>
                                                  <w:divsChild>
                                                    <w:div w:id="1349986695">
                                                      <w:marLeft w:val="0"/>
                                                      <w:marRight w:val="0"/>
                                                      <w:marTop w:val="0"/>
                                                      <w:marBottom w:val="0"/>
                                                      <w:divBdr>
                                                        <w:top w:val="none" w:sz="0" w:space="0" w:color="auto"/>
                                                        <w:left w:val="none" w:sz="0" w:space="0" w:color="auto"/>
                                                        <w:bottom w:val="none" w:sz="0" w:space="0" w:color="auto"/>
                                                        <w:right w:val="none" w:sz="0" w:space="0" w:color="auto"/>
                                                      </w:divBdr>
                                                    </w:div>
                                                    <w:div w:id="10666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83604">
                                      <w:marLeft w:val="0"/>
                                      <w:marRight w:val="0"/>
                                      <w:marTop w:val="0"/>
                                      <w:marBottom w:val="0"/>
                                      <w:divBdr>
                                        <w:top w:val="none" w:sz="0" w:space="0" w:color="auto"/>
                                        <w:left w:val="none" w:sz="0" w:space="0" w:color="auto"/>
                                        <w:bottom w:val="none" w:sz="0" w:space="0" w:color="auto"/>
                                        <w:right w:val="none" w:sz="0" w:space="0" w:color="auto"/>
                                      </w:divBdr>
                                      <w:divsChild>
                                        <w:div w:id="1265190672">
                                          <w:marLeft w:val="0"/>
                                          <w:marRight w:val="0"/>
                                          <w:marTop w:val="0"/>
                                          <w:marBottom w:val="0"/>
                                          <w:divBdr>
                                            <w:top w:val="none" w:sz="0" w:space="0" w:color="auto"/>
                                            <w:left w:val="none" w:sz="0" w:space="0" w:color="auto"/>
                                            <w:bottom w:val="none" w:sz="0" w:space="0" w:color="auto"/>
                                            <w:right w:val="none" w:sz="0" w:space="0" w:color="auto"/>
                                          </w:divBdr>
                                          <w:divsChild>
                                            <w:div w:id="1050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218768">
          <w:marLeft w:val="0"/>
          <w:marRight w:val="0"/>
          <w:marTop w:val="0"/>
          <w:marBottom w:val="0"/>
          <w:divBdr>
            <w:top w:val="none" w:sz="0" w:space="0" w:color="auto"/>
            <w:left w:val="none" w:sz="0" w:space="0" w:color="auto"/>
            <w:bottom w:val="none" w:sz="0" w:space="0" w:color="auto"/>
            <w:right w:val="none" w:sz="0" w:space="0" w:color="auto"/>
          </w:divBdr>
          <w:divsChild>
            <w:div w:id="1057164017">
              <w:marLeft w:val="0"/>
              <w:marRight w:val="0"/>
              <w:marTop w:val="0"/>
              <w:marBottom w:val="0"/>
              <w:divBdr>
                <w:top w:val="none" w:sz="0" w:space="0" w:color="auto"/>
                <w:left w:val="none" w:sz="0" w:space="0" w:color="auto"/>
                <w:bottom w:val="none" w:sz="0" w:space="0" w:color="auto"/>
                <w:right w:val="none" w:sz="0" w:space="0" w:color="auto"/>
              </w:divBdr>
              <w:divsChild>
                <w:div w:id="736324430">
                  <w:marLeft w:val="0"/>
                  <w:marRight w:val="0"/>
                  <w:marTop w:val="0"/>
                  <w:marBottom w:val="0"/>
                  <w:divBdr>
                    <w:top w:val="none" w:sz="0" w:space="0" w:color="auto"/>
                    <w:left w:val="none" w:sz="0" w:space="0" w:color="auto"/>
                    <w:bottom w:val="none" w:sz="0" w:space="0" w:color="auto"/>
                    <w:right w:val="none" w:sz="0" w:space="0" w:color="auto"/>
                  </w:divBdr>
                  <w:divsChild>
                    <w:div w:id="727922633">
                      <w:marLeft w:val="0"/>
                      <w:marRight w:val="0"/>
                      <w:marTop w:val="0"/>
                      <w:marBottom w:val="0"/>
                      <w:divBdr>
                        <w:top w:val="none" w:sz="0" w:space="0" w:color="auto"/>
                        <w:left w:val="none" w:sz="0" w:space="0" w:color="auto"/>
                        <w:bottom w:val="none" w:sz="0" w:space="0" w:color="auto"/>
                        <w:right w:val="none" w:sz="0" w:space="0" w:color="auto"/>
                      </w:divBdr>
                      <w:divsChild>
                        <w:div w:id="1382632691">
                          <w:marLeft w:val="0"/>
                          <w:marRight w:val="0"/>
                          <w:marTop w:val="0"/>
                          <w:marBottom w:val="0"/>
                          <w:divBdr>
                            <w:top w:val="none" w:sz="0" w:space="0" w:color="auto"/>
                            <w:left w:val="none" w:sz="0" w:space="0" w:color="auto"/>
                            <w:bottom w:val="none" w:sz="0" w:space="0" w:color="auto"/>
                            <w:right w:val="none" w:sz="0" w:space="0" w:color="auto"/>
                          </w:divBdr>
                          <w:divsChild>
                            <w:div w:id="1101991932">
                              <w:marLeft w:val="0"/>
                              <w:marRight w:val="0"/>
                              <w:marTop w:val="0"/>
                              <w:marBottom w:val="0"/>
                              <w:divBdr>
                                <w:top w:val="none" w:sz="0" w:space="0" w:color="auto"/>
                                <w:left w:val="none" w:sz="0" w:space="0" w:color="auto"/>
                                <w:bottom w:val="none" w:sz="0" w:space="0" w:color="auto"/>
                                <w:right w:val="none" w:sz="0" w:space="0" w:color="auto"/>
                              </w:divBdr>
                              <w:divsChild>
                                <w:div w:id="857238064">
                                  <w:marLeft w:val="0"/>
                                  <w:marRight w:val="0"/>
                                  <w:marTop w:val="0"/>
                                  <w:marBottom w:val="0"/>
                                  <w:divBdr>
                                    <w:top w:val="none" w:sz="0" w:space="0" w:color="auto"/>
                                    <w:left w:val="none" w:sz="0" w:space="0" w:color="auto"/>
                                    <w:bottom w:val="none" w:sz="0" w:space="0" w:color="auto"/>
                                    <w:right w:val="none" w:sz="0" w:space="0" w:color="auto"/>
                                  </w:divBdr>
                                  <w:divsChild>
                                    <w:div w:id="1317680964">
                                      <w:marLeft w:val="0"/>
                                      <w:marRight w:val="0"/>
                                      <w:marTop w:val="0"/>
                                      <w:marBottom w:val="0"/>
                                      <w:divBdr>
                                        <w:top w:val="none" w:sz="0" w:space="0" w:color="auto"/>
                                        <w:left w:val="none" w:sz="0" w:space="0" w:color="auto"/>
                                        <w:bottom w:val="none" w:sz="0" w:space="0" w:color="auto"/>
                                        <w:right w:val="none" w:sz="0" w:space="0" w:color="auto"/>
                                      </w:divBdr>
                                      <w:divsChild>
                                        <w:div w:id="11566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9170">
                                  <w:marLeft w:val="0"/>
                                  <w:marRight w:val="0"/>
                                  <w:marTop w:val="0"/>
                                  <w:marBottom w:val="0"/>
                                  <w:divBdr>
                                    <w:top w:val="none" w:sz="0" w:space="0" w:color="auto"/>
                                    <w:left w:val="none" w:sz="0" w:space="0" w:color="auto"/>
                                    <w:bottom w:val="none" w:sz="0" w:space="0" w:color="auto"/>
                                    <w:right w:val="none" w:sz="0" w:space="0" w:color="auto"/>
                                  </w:divBdr>
                                  <w:divsChild>
                                    <w:div w:id="642931753">
                                      <w:marLeft w:val="0"/>
                                      <w:marRight w:val="0"/>
                                      <w:marTop w:val="0"/>
                                      <w:marBottom w:val="0"/>
                                      <w:divBdr>
                                        <w:top w:val="none" w:sz="0" w:space="0" w:color="auto"/>
                                        <w:left w:val="none" w:sz="0" w:space="0" w:color="auto"/>
                                        <w:bottom w:val="none" w:sz="0" w:space="0" w:color="auto"/>
                                        <w:right w:val="none" w:sz="0" w:space="0" w:color="auto"/>
                                      </w:divBdr>
                                      <w:divsChild>
                                        <w:div w:id="1675035819">
                                          <w:marLeft w:val="0"/>
                                          <w:marRight w:val="0"/>
                                          <w:marTop w:val="0"/>
                                          <w:marBottom w:val="0"/>
                                          <w:divBdr>
                                            <w:top w:val="none" w:sz="0" w:space="0" w:color="auto"/>
                                            <w:left w:val="none" w:sz="0" w:space="0" w:color="auto"/>
                                            <w:bottom w:val="none" w:sz="0" w:space="0" w:color="auto"/>
                                            <w:right w:val="none" w:sz="0" w:space="0" w:color="auto"/>
                                          </w:divBdr>
                                          <w:divsChild>
                                            <w:div w:id="16635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136088">
              <w:marLeft w:val="0"/>
              <w:marRight w:val="0"/>
              <w:marTop w:val="0"/>
              <w:marBottom w:val="0"/>
              <w:divBdr>
                <w:top w:val="none" w:sz="0" w:space="0" w:color="auto"/>
                <w:left w:val="none" w:sz="0" w:space="0" w:color="auto"/>
                <w:bottom w:val="none" w:sz="0" w:space="0" w:color="auto"/>
                <w:right w:val="none" w:sz="0" w:space="0" w:color="auto"/>
              </w:divBdr>
              <w:divsChild>
                <w:div w:id="1149325772">
                  <w:marLeft w:val="0"/>
                  <w:marRight w:val="0"/>
                  <w:marTop w:val="0"/>
                  <w:marBottom w:val="0"/>
                  <w:divBdr>
                    <w:top w:val="none" w:sz="0" w:space="0" w:color="auto"/>
                    <w:left w:val="none" w:sz="0" w:space="0" w:color="auto"/>
                    <w:bottom w:val="none" w:sz="0" w:space="0" w:color="auto"/>
                    <w:right w:val="none" w:sz="0" w:space="0" w:color="auto"/>
                  </w:divBdr>
                  <w:divsChild>
                    <w:div w:id="1111440977">
                      <w:marLeft w:val="0"/>
                      <w:marRight w:val="0"/>
                      <w:marTop w:val="0"/>
                      <w:marBottom w:val="0"/>
                      <w:divBdr>
                        <w:top w:val="none" w:sz="0" w:space="0" w:color="auto"/>
                        <w:left w:val="none" w:sz="0" w:space="0" w:color="auto"/>
                        <w:bottom w:val="none" w:sz="0" w:space="0" w:color="auto"/>
                        <w:right w:val="none" w:sz="0" w:space="0" w:color="auto"/>
                      </w:divBdr>
                      <w:divsChild>
                        <w:div w:id="1734304676">
                          <w:marLeft w:val="0"/>
                          <w:marRight w:val="0"/>
                          <w:marTop w:val="0"/>
                          <w:marBottom w:val="0"/>
                          <w:divBdr>
                            <w:top w:val="none" w:sz="0" w:space="0" w:color="auto"/>
                            <w:left w:val="none" w:sz="0" w:space="0" w:color="auto"/>
                            <w:bottom w:val="none" w:sz="0" w:space="0" w:color="auto"/>
                            <w:right w:val="none" w:sz="0" w:space="0" w:color="auto"/>
                          </w:divBdr>
                          <w:divsChild>
                            <w:div w:id="1556505016">
                              <w:marLeft w:val="0"/>
                              <w:marRight w:val="0"/>
                              <w:marTop w:val="0"/>
                              <w:marBottom w:val="0"/>
                              <w:divBdr>
                                <w:top w:val="none" w:sz="0" w:space="0" w:color="auto"/>
                                <w:left w:val="none" w:sz="0" w:space="0" w:color="auto"/>
                                <w:bottom w:val="none" w:sz="0" w:space="0" w:color="auto"/>
                                <w:right w:val="none" w:sz="0" w:space="0" w:color="auto"/>
                              </w:divBdr>
                              <w:divsChild>
                                <w:div w:id="677925062">
                                  <w:marLeft w:val="0"/>
                                  <w:marRight w:val="0"/>
                                  <w:marTop w:val="0"/>
                                  <w:marBottom w:val="0"/>
                                  <w:divBdr>
                                    <w:top w:val="none" w:sz="0" w:space="0" w:color="auto"/>
                                    <w:left w:val="none" w:sz="0" w:space="0" w:color="auto"/>
                                    <w:bottom w:val="none" w:sz="0" w:space="0" w:color="auto"/>
                                    <w:right w:val="none" w:sz="0" w:space="0" w:color="auto"/>
                                  </w:divBdr>
                                </w:div>
                                <w:div w:id="1371490296">
                                  <w:marLeft w:val="0"/>
                                  <w:marRight w:val="0"/>
                                  <w:marTop w:val="0"/>
                                  <w:marBottom w:val="0"/>
                                  <w:divBdr>
                                    <w:top w:val="none" w:sz="0" w:space="0" w:color="auto"/>
                                    <w:left w:val="none" w:sz="0" w:space="0" w:color="auto"/>
                                    <w:bottom w:val="none" w:sz="0" w:space="0" w:color="auto"/>
                                    <w:right w:val="none" w:sz="0" w:space="0" w:color="auto"/>
                                  </w:divBdr>
                                </w:div>
                                <w:div w:id="99030980">
                                  <w:marLeft w:val="0"/>
                                  <w:marRight w:val="0"/>
                                  <w:marTop w:val="0"/>
                                  <w:marBottom w:val="0"/>
                                  <w:divBdr>
                                    <w:top w:val="none" w:sz="0" w:space="0" w:color="auto"/>
                                    <w:left w:val="none" w:sz="0" w:space="0" w:color="auto"/>
                                    <w:bottom w:val="none" w:sz="0" w:space="0" w:color="auto"/>
                                    <w:right w:val="none" w:sz="0" w:space="0" w:color="auto"/>
                                  </w:divBdr>
                                </w:div>
                                <w:div w:id="1463619887">
                                  <w:marLeft w:val="0"/>
                                  <w:marRight w:val="0"/>
                                  <w:marTop w:val="0"/>
                                  <w:marBottom w:val="0"/>
                                  <w:divBdr>
                                    <w:top w:val="none" w:sz="0" w:space="0" w:color="auto"/>
                                    <w:left w:val="none" w:sz="0" w:space="0" w:color="auto"/>
                                    <w:bottom w:val="none" w:sz="0" w:space="0" w:color="auto"/>
                                    <w:right w:val="none" w:sz="0" w:space="0" w:color="auto"/>
                                  </w:divBdr>
                                </w:div>
                                <w:div w:id="1126854187">
                                  <w:marLeft w:val="0"/>
                                  <w:marRight w:val="0"/>
                                  <w:marTop w:val="0"/>
                                  <w:marBottom w:val="0"/>
                                  <w:divBdr>
                                    <w:top w:val="none" w:sz="0" w:space="0" w:color="auto"/>
                                    <w:left w:val="none" w:sz="0" w:space="0" w:color="auto"/>
                                    <w:bottom w:val="none" w:sz="0" w:space="0" w:color="auto"/>
                                    <w:right w:val="none" w:sz="0" w:space="0" w:color="auto"/>
                                  </w:divBdr>
                                </w:div>
                                <w:div w:id="579875272">
                                  <w:marLeft w:val="0"/>
                                  <w:marRight w:val="0"/>
                                  <w:marTop w:val="0"/>
                                  <w:marBottom w:val="0"/>
                                  <w:divBdr>
                                    <w:top w:val="none" w:sz="0" w:space="0" w:color="auto"/>
                                    <w:left w:val="none" w:sz="0" w:space="0" w:color="auto"/>
                                    <w:bottom w:val="none" w:sz="0" w:space="0" w:color="auto"/>
                                    <w:right w:val="none" w:sz="0" w:space="0" w:color="auto"/>
                                  </w:divBdr>
                                </w:div>
                                <w:div w:id="1312902682">
                                  <w:marLeft w:val="0"/>
                                  <w:marRight w:val="0"/>
                                  <w:marTop w:val="0"/>
                                  <w:marBottom w:val="0"/>
                                  <w:divBdr>
                                    <w:top w:val="none" w:sz="0" w:space="0" w:color="auto"/>
                                    <w:left w:val="none" w:sz="0" w:space="0" w:color="auto"/>
                                    <w:bottom w:val="none" w:sz="0" w:space="0" w:color="auto"/>
                                    <w:right w:val="none" w:sz="0" w:space="0" w:color="auto"/>
                                  </w:divBdr>
                                </w:div>
                                <w:div w:id="1242181879">
                                  <w:marLeft w:val="0"/>
                                  <w:marRight w:val="0"/>
                                  <w:marTop w:val="0"/>
                                  <w:marBottom w:val="0"/>
                                  <w:divBdr>
                                    <w:top w:val="none" w:sz="0" w:space="0" w:color="auto"/>
                                    <w:left w:val="none" w:sz="0" w:space="0" w:color="auto"/>
                                    <w:bottom w:val="none" w:sz="0" w:space="0" w:color="auto"/>
                                    <w:right w:val="none" w:sz="0" w:space="0" w:color="auto"/>
                                  </w:divBdr>
                                </w:div>
                                <w:div w:id="302541557">
                                  <w:marLeft w:val="0"/>
                                  <w:marRight w:val="0"/>
                                  <w:marTop w:val="0"/>
                                  <w:marBottom w:val="0"/>
                                  <w:divBdr>
                                    <w:top w:val="none" w:sz="0" w:space="0" w:color="auto"/>
                                    <w:left w:val="none" w:sz="0" w:space="0" w:color="auto"/>
                                    <w:bottom w:val="none" w:sz="0" w:space="0" w:color="auto"/>
                                    <w:right w:val="none" w:sz="0" w:space="0" w:color="auto"/>
                                  </w:divBdr>
                                </w:div>
                                <w:div w:id="1477717199">
                                  <w:marLeft w:val="0"/>
                                  <w:marRight w:val="0"/>
                                  <w:marTop w:val="0"/>
                                  <w:marBottom w:val="0"/>
                                  <w:divBdr>
                                    <w:top w:val="none" w:sz="0" w:space="0" w:color="auto"/>
                                    <w:left w:val="none" w:sz="0" w:space="0" w:color="auto"/>
                                    <w:bottom w:val="none" w:sz="0" w:space="0" w:color="auto"/>
                                    <w:right w:val="none" w:sz="0" w:space="0" w:color="auto"/>
                                  </w:divBdr>
                                </w:div>
                                <w:div w:id="326859908">
                                  <w:marLeft w:val="0"/>
                                  <w:marRight w:val="0"/>
                                  <w:marTop w:val="0"/>
                                  <w:marBottom w:val="0"/>
                                  <w:divBdr>
                                    <w:top w:val="none" w:sz="0" w:space="0" w:color="auto"/>
                                    <w:left w:val="none" w:sz="0" w:space="0" w:color="auto"/>
                                    <w:bottom w:val="none" w:sz="0" w:space="0" w:color="auto"/>
                                    <w:right w:val="none" w:sz="0" w:space="0" w:color="auto"/>
                                  </w:divBdr>
                                </w:div>
                                <w:div w:id="79914468">
                                  <w:marLeft w:val="0"/>
                                  <w:marRight w:val="0"/>
                                  <w:marTop w:val="0"/>
                                  <w:marBottom w:val="0"/>
                                  <w:divBdr>
                                    <w:top w:val="none" w:sz="0" w:space="0" w:color="auto"/>
                                    <w:left w:val="none" w:sz="0" w:space="0" w:color="auto"/>
                                    <w:bottom w:val="none" w:sz="0" w:space="0" w:color="auto"/>
                                    <w:right w:val="none" w:sz="0" w:space="0" w:color="auto"/>
                                  </w:divBdr>
                                </w:div>
                                <w:div w:id="1894122821">
                                  <w:marLeft w:val="0"/>
                                  <w:marRight w:val="0"/>
                                  <w:marTop w:val="0"/>
                                  <w:marBottom w:val="0"/>
                                  <w:divBdr>
                                    <w:top w:val="none" w:sz="0" w:space="0" w:color="auto"/>
                                    <w:left w:val="none" w:sz="0" w:space="0" w:color="auto"/>
                                    <w:bottom w:val="none" w:sz="0" w:space="0" w:color="auto"/>
                                    <w:right w:val="none" w:sz="0" w:space="0" w:color="auto"/>
                                  </w:divBdr>
                                </w:div>
                                <w:div w:id="635330012">
                                  <w:marLeft w:val="0"/>
                                  <w:marRight w:val="0"/>
                                  <w:marTop w:val="0"/>
                                  <w:marBottom w:val="0"/>
                                  <w:divBdr>
                                    <w:top w:val="none" w:sz="0" w:space="0" w:color="auto"/>
                                    <w:left w:val="none" w:sz="0" w:space="0" w:color="auto"/>
                                    <w:bottom w:val="none" w:sz="0" w:space="0" w:color="auto"/>
                                    <w:right w:val="none" w:sz="0" w:space="0" w:color="auto"/>
                                  </w:divBdr>
                                </w:div>
                                <w:div w:id="1558276042">
                                  <w:marLeft w:val="0"/>
                                  <w:marRight w:val="0"/>
                                  <w:marTop w:val="0"/>
                                  <w:marBottom w:val="0"/>
                                  <w:divBdr>
                                    <w:top w:val="none" w:sz="0" w:space="0" w:color="auto"/>
                                    <w:left w:val="none" w:sz="0" w:space="0" w:color="auto"/>
                                    <w:bottom w:val="none" w:sz="0" w:space="0" w:color="auto"/>
                                    <w:right w:val="none" w:sz="0" w:space="0" w:color="auto"/>
                                  </w:divBdr>
                                </w:div>
                                <w:div w:id="1160849698">
                                  <w:marLeft w:val="0"/>
                                  <w:marRight w:val="0"/>
                                  <w:marTop w:val="0"/>
                                  <w:marBottom w:val="0"/>
                                  <w:divBdr>
                                    <w:top w:val="none" w:sz="0" w:space="0" w:color="auto"/>
                                    <w:left w:val="none" w:sz="0" w:space="0" w:color="auto"/>
                                    <w:bottom w:val="none" w:sz="0" w:space="0" w:color="auto"/>
                                    <w:right w:val="none" w:sz="0" w:space="0" w:color="auto"/>
                                  </w:divBdr>
                                </w:div>
                                <w:div w:id="2123112219">
                                  <w:marLeft w:val="0"/>
                                  <w:marRight w:val="0"/>
                                  <w:marTop w:val="0"/>
                                  <w:marBottom w:val="0"/>
                                  <w:divBdr>
                                    <w:top w:val="none" w:sz="0" w:space="0" w:color="auto"/>
                                    <w:left w:val="none" w:sz="0" w:space="0" w:color="auto"/>
                                    <w:bottom w:val="none" w:sz="0" w:space="0" w:color="auto"/>
                                    <w:right w:val="none" w:sz="0" w:space="0" w:color="auto"/>
                                  </w:divBdr>
                                </w:div>
                                <w:div w:id="1745495493">
                                  <w:marLeft w:val="0"/>
                                  <w:marRight w:val="0"/>
                                  <w:marTop w:val="0"/>
                                  <w:marBottom w:val="0"/>
                                  <w:divBdr>
                                    <w:top w:val="none" w:sz="0" w:space="0" w:color="auto"/>
                                    <w:left w:val="none" w:sz="0" w:space="0" w:color="auto"/>
                                    <w:bottom w:val="none" w:sz="0" w:space="0" w:color="auto"/>
                                    <w:right w:val="none" w:sz="0" w:space="0" w:color="auto"/>
                                  </w:divBdr>
                                </w:div>
                                <w:div w:id="2062288106">
                                  <w:marLeft w:val="0"/>
                                  <w:marRight w:val="0"/>
                                  <w:marTop w:val="0"/>
                                  <w:marBottom w:val="0"/>
                                  <w:divBdr>
                                    <w:top w:val="none" w:sz="0" w:space="0" w:color="auto"/>
                                    <w:left w:val="none" w:sz="0" w:space="0" w:color="auto"/>
                                    <w:bottom w:val="none" w:sz="0" w:space="0" w:color="auto"/>
                                    <w:right w:val="none" w:sz="0" w:space="0" w:color="auto"/>
                                  </w:divBdr>
                                </w:div>
                                <w:div w:id="74784505">
                                  <w:marLeft w:val="0"/>
                                  <w:marRight w:val="0"/>
                                  <w:marTop w:val="0"/>
                                  <w:marBottom w:val="0"/>
                                  <w:divBdr>
                                    <w:top w:val="none" w:sz="0" w:space="0" w:color="auto"/>
                                    <w:left w:val="none" w:sz="0" w:space="0" w:color="auto"/>
                                    <w:bottom w:val="none" w:sz="0" w:space="0" w:color="auto"/>
                                    <w:right w:val="none" w:sz="0" w:space="0" w:color="auto"/>
                                  </w:divBdr>
                                </w:div>
                                <w:div w:id="1471707776">
                                  <w:marLeft w:val="0"/>
                                  <w:marRight w:val="0"/>
                                  <w:marTop w:val="0"/>
                                  <w:marBottom w:val="0"/>
                                  <w:divBdr>
                                    <w:top w:val="none" w:sz="0" w:space="0" w:color="auto"/>
                                    <w:left w:val="none" w:sz="0" w:space="0" w:color="auto"/>
                                    <w:bottom w:val="none" w:sz="0" w:space="0" w:color="auto"/>
                                    <w:right w:val="none" w:sz="0" w:space="0" w:color="auto"/>
                                  </w:divBdr>
                                </w:div>
                                <w:div w:id="976034114">
                                  <w:marLeft w:val="0"/>
                                  <w:marRight w:val="0"/>
                                  <w:marTop w:val="0"/>
                                  <w:marBottom w:val="0"/>
                                  <w:divBdr>
                                    <w:top w:val="none" w:sz="0" w:space="0" w:color="auto"/>
                                    <w:left w:val="none" w:sz="0" w:space="0" w:color="auto"/>
                                    <w:bottom w:val="none" w:sz="0" w:space="0" w:color="auto"/>
                                    <w:right w:val="none" w:sz="0" w:space="0" w:color="auto"/>
                                  </w:divBdr>
                                </w:div>
                                <w:div w:id="1998611447">
                                  <w:marLeft w:val="0"/>
                                  <w:marRight w:val="0"/>
                                  <w:marTop w:val="0"/>
                                  <w:marBottom w:val="0"/>
                                  <w:divBdr>
                                    <w:top w:val="none" w:sz="0" w:space="0" w:color="auto"/>
                                    <w:left w:val="none" w:sz="0" w:space="0" w:color="auto"/>
                                    <w:bottom w:val="none" w:sz="0" w:space="0" w:color="auto"/>
                                    <w:right w:val="none" w:sz="0" w:space="0" w:color="auto"/>
                                  </w:divBdr>
                                </w:div>
                                <w:div w:id="297760497">
                                  <w:marLeft w:val="0"/>
                                  <w:marRight w:val="0"/>
                                  <w:marTop w:val="0"/>
                                  <w:marBottom w:val="0"/>
                                  <w:divBdr>
                                    <w:top w:val="none" w:sz="0" w:space="0" w:color="auto"/>
                                    <w:left w:val="none" w:sz="0" w:space="0" w:color="auto"/>
                                    <w:bottom w:val="none" w:sz="0" w:space="0" w:color="auto"/>
                                    <w:right w:val="none" w:sz="0" w:space="0" w:color="auto"/>
                                  </w:divBdr>
                                </w:div>
                                <w:div w:id="455414909">
                                  <w:marLeft w:val="0"/>
                                  <w:marRight w:val="0"/>
                                  <w:marTop w:val="0"/>
                                  <w:marBottom w:val="0"/>
                                  <w:divBdr>
                                    <w:top w:val="none" w:sz="0" w:space="0" w:color="auto"/>
                                    <w:left w:val="none" w:sz="0" w:space="0" w:color="auto"/>
                                    <w:bottom w:val="none" w:sz="0" w:space="0" w:color="auto"/>
                                    <w:right w:val="none" w:sz="0" w:space="0" w:color="auto"/>
                                  </w:divBdr>
                                </w:div>
                                <w:div w:id="370614270">
                                  <w:marLeft w:val="0"/>
                                  <w:marRight w:val="0"/>
                                  <w:marTop w:val="0"/>
                                  <w:marBottom w:val="0"/>
                                  <w:divBdr>
                                    <w:top w:val="none" w:sz="0" w:space="0" w:color="auto"/>
                                    <w:left w:val="none" w:sz="0" w:space="0" w:color="auto"/>
                                    <w:bottom w:val="none" w:sz="0" w:space="0" w:color="auto"/>
                                    <w:right w:val="none" w:sz="0" w:space="0" w:color="auto"/>
                                  </w:divBdr>
                                </w:div>
                                <w:div w:id="1979842599">
                                  <w:marLeft w:val="0"/>
                                  <w:marRight w:val="0"/>
                                  <w:marTop w:val="0"/>
                                  <w:marBottom w:val="0"/>
                                  <w:divBdr>
                                    <w:top w:val="none" w:sz="0" w:space="0" w:color="auto"/>
                                    <w:left w:val="none" w:sz="0" w:space="0" w:color="auto"/>
                                    <w:bottom w:val="none" w:sz="0" w:space="0" w:color="auto"/>
                                    <w:right w:val="none" w:sz="0" w:space="0" w:color="auto"/>
                                  </w:divBdr>
                                </w:div>
                                <w:div w:id="1822773172">
                                  <w:marLeft w:val="0"/>
                                  <w:marRight w:val="0"/>
                                  <w:marTop w:val="0"/>
                                  <w:marBottom w:val="0"/>
                                  <w:divBdr>
                                    <w:top w:val="none" w:sz="0" w:space="0" w:color="auto"/>
                                    <w:left w:val="none" w:sz="0" w:space="0" w:color="auto"/>
                                    <w:bottom w:val="none" w:sz="0" w:space="0" w:color="auto"/>
                                    <w:right w:val="none" w:sz="0" w:space="0" w:color="auto"/>
                                  </w:divBdr>
                                </w:div>
                                <w:div w:id="12896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7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7383">
              <w:marLeft w:val="0"/>
              <w:marRight w:val="0"/>
              <w:marTop w:val="0"/>
              <w:marBottom w:val="0"/>
              <w:divBdr>
                <w:top w:val="none" w:sz="0" w:space="0" w:color="auto"/>
                <w:left w:val="none" w:sz="0" w:space="0" w:color="auto"/>
                <w:bottom w:val="none" w:sz="0" w:space="0" w:color="auto"/>
                <w:right w:val="none" w:sz="0" w:space="0" w:color="auto"/>
              </w:divBdr>
              <w:divsChild>
                <w:div w:id="1552614882">
                  <w:marLeft w:val="0"/>
                  <w:marRight w:val="0"/>
                  <w:marTop w:val="0"/>
                  <w:marBottom w:val="0"/>
                  <w:divBdr>
                    <w:top w:val="none" w:sz="0" w:space="0" w:color="auto"/>
                    <w:left w:val="none" w:sz="0" w:space="0" w:color="auto"/>
                    <w:bottom w:val="none" w:sz="0" w:space="0" w:color="auto"/>
                    <w:right w:val="none" w:sz="0" w:space="0" w:color="auto"/>
                  </w:divBdr>
                  <w:divsChild>
                    <w:div w:id="952371350">
                      <w:marLeft w:val="0"/>
                      <w:marRight w:val="0"/>
                      <w:marTop w:val="0"/>
                      <w:marBottom w:val="0"/>
                      <w:divBdr>
                        <w:top w:val="none" w:sz="0" w:space="0" w:color="auto"/>
                        <w:left w:val="none" w:sz="0" w:space="0" w:color="auto"/>
                        <w:bottom w:val="none" w:sz="0" w:space="0" w:color="auto"/>
                        <w:right w:val="none" w:sz="0" w:space="0" w:color="auto"/>
                      </w:divBdr>
                      <w:divsChild>
                        <w:div w:id="468015425">
                          <w:marLeft w:val="0"/>
                          <w:marRight w:val="0"/>
                          <w:marTop w:val="0"/>
                          <w:marBottom w:val="0"/>
                          <w:divBdr>
                            <w:top w:val="none" w:sz="0" w:space="0" w:color="auto"/>
                            <w:left w:val="none" w:sz="0" w:space="0" w:color="auto"/>
                            <w:bottom w:val="none" w:sz="0" w:space="0" w:color="auto"/>
                            <w:right w:val="none" w:sz="0" w:space="0" w:color="auto"/>
                          </w:divBdr>
                          <w:divsChild>
                            <w:div w:id="21087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32575">
          <w:marLeft w:val="0"/>
          <w:marRight w:val="0"/>
          <w:marTop w:val="0"/>
          <w:marBottom w:val="0"/>
          <w:divBdr>
            <w:top w:val="none" w:sz="0" w:space="0" w:color="auto"/>
            <w:left w:val="none" w:sz="0" w:space="0" w:color="auto"/>
            <w:bottom w:val="none" w:sz="0" w:space="0" w:color="auto"/>
            <w:right w:val="none" w:sz="0" w:space="0" w:color="auto"/>
          </w:divBdr>
          <w:divsChild>
            <w:div w:id="790562090">
              <w:marLeft w:val="0"/>
              <w:marRight w:val="0"/>
              <w:marTop w:val="0"/>
              <w:marBottom w:val="0"/>
              <w:divBdr>
                <w:top w:val="none" w:sz="0" w:space="0" w:color="auto"/>
                <w:left w:val="none" w:sz="0" w:space="0" w:color="auto"/>
                <w:bottom w:val="none" w:sz="0" w:space="0" w:color="auto"/>
                <w:right w:val="none" w:sz="0" w:space="0" w:color="auto"/>
              </w:divBdr>
              <w:divsChild>
                <w:div w:id="974677070">
                  <w:marLeft w:val="0"/>
                  <w:marRight w:val="0"/>
                  <w:marTop w:val="0"/>
                  <w:marBottom w:val="0"/>
                  <w:divBdr>
                    <w:top w:val="none" w:sz="0" w:space="0" w:color="auto"/>
                    <w:left w:val="none" w:sz="0" w:space="0" w:color="auto"/>
                    <w:bottom w:val="none" w:sz="0" w:space="0" w:color="auto"/>
                    <w:right w:val="none" w:sz="0" w:space="0" w:color="auto"/>
                  </w:divBdr>
                  <w:divsChild>
                    <w:div w:id="1205676945">
                      <w:marLeft w:val="0"/>
                      <w:marRight w:val="0"/>
                      <w:marTop w:val="0"/>
                      <w:marBottom w:val="0"/>
                      <w:divBdr>
                        <w:top w:val="none" w:sz="0" w:space="0" w:color="auto"/>
                        <w:left w:val="none" w:sz="0" w:space="0" w:color="auto"/>
                        <w:bottom w:val="none" w:sz="0" w:space="0" w:color="auto"/>
                        <w:right w:val="none" w:sz="0" w:space="0" w:color="auto"/>
                      </w:divBdr>
                    </w:div>
                    <w:div w:id="21034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6231">
              <w:marLeft w:val="0"/>
              <w:marRight w:val="0"/>
              <w:marTop w:val="0"/>
              <w:marBottom w:val="0"/>
              <w:divBdr>
                <w:top w:val="none" w:sz="0" w:space="0" w:color="auto"/>
                <w:left w:val="none" w:sz="0" w:space="0" w:color="auto"/>
                <w:bottom w:val="none" w:sz="0" w:space="0" w:color="auto"/>
                <w:right w:val="none" w:sz="0" w:space="0" w:color="auto"/>
              </w:divBdr>
              <w:divsChild>
                <w:div w:id="1485732076">
                  <w:marLeft w:val="0"/>
                  <w:marRight w:val="0"/>
                  <w:marTop w:val="0"/>
                  <w:marBottom w:val="0"/>
                  <w:divBdr>
                    <w:top w:val="none" w:sz="0" w:space="0" w:color="auto"/>
                    <w:left w:val="none" w:sz="0" w:space="0" w:color="auto"/>
                    <w:bottom w:val="none" w:sz="0" w:space="0" w:color="auto"/>
                    <w:right w:val="none" w:sz="0" w:space="0" w:color="auto"/>
                  </w:divBdr>
                  <w:divsChild>
                    <w:div w:id="4039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hrw.org/news/2011/09/28/france-s-compliance-european-free-movement-directive-and-removal-ethnic-roma-eu-citi" TargetMode="External"/><Relationship Id="rId4" Type="http://schemas.openxmlformats.org/officeDocument/2006/relationships/hyperlink" Target="http://www.theguardian.com/profile/iantraynor" TargetMode="External"/><Relationship Id="rId5" Type="http://schemas.openxmlformats.org/officeDocument/2006/relationships/hyperlink" Target="http://www.guardian.co.uk/theguardian" TargetMode="External"/><Relationship Id="rId6" Type="http://schemas.openxmlformats.org/officeDocument/2006/relationships/hyperlink" Target="http://www.foreignaffairs.com/author/jan-werner-m%C3%83%C2%BCller" TargetMode="External"/><Relationship Id="rId7" Type="http://schemas.openxmlformats.org/officeDocument/2006/relationships/hyperlink" Target="http://ec.europa.eu/justice/events/assises-justice-2013/contributions_en.htm" TargetMode="External"/><Relationship Id="rId8" Type="http://schemas.openxmlformats.org/officeDocument/2006/relationships/hyperlink" Target="http://www.statewatch.org/news/2014/jun/eu-meijers-cttee-letter-reding-rule-of-law.pdf" TargetMode="External"/><Relationship Id="rId9" Type="http://schemas.openxmlformats.org/officeDocument/2006/relationships/hyperlink" Target="http://www.europarl.europa.eu/oeil/popups/ficheprocedure.do?lang=en&amp;reference=2011/2069(INI)" TargetMode="External"/><Relationship Id="rId10" Type="http://schemas.openxmlformats.org/officeDocument/2006/relationships/hyperlink" Target="http://www.europarl.europa.eu/oeil/popups/ficheprocedure.do?lang=en&amp;reference=2013/2078(INI)" TargetMode="External"/><Relationship Id="rId11" Type="http://schemas.openxmlformats.org/officeDocument/2006/relationships/hyperlink" Target="http://www.alde.eu/documents/publications" TargetMode="External"/><Relationship Id="rId1" Type="http://schemas.openxmlformats.org/officeDocument/2006/relationships/hyperlink" Target="http://ec.europa.eu/about/juncker-commission/docs/2014-ep-hearings-reply-timmermans_en.pdf" TargetMode="External"/><Relationship Id="rId2" Type="http://schemas.openxmlformats.org/officeDocument/2006/relationships/hyperlink" Target="http://www.hrw.org/node/1329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78588-2E64-904E-9665-BF142C61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22</Pages>
  <Words>9135</Words>
  <Characters>52070</Characters>
  <Application>Microsoft Macintosh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Pech</dc:creator>
  <cp:lastModifiedBy>Laurent Pech</cp:lastModifiedBy>
  <cp:revision>75</cp:revision>
  <cp:lastPrinted>2015-06-21T09:20:00Z</cp:lastPrinted>
  <dcterms:created xsi:type="dcterms:W3CDTF">2015-05-25T10:18:00Z</dcterms:created>
  <dcterms:modified xsi:type="dcterms:W3CDTF">2018-03-16T15:49:00Z</dcterms:modified>
</cp:coreProperties>
</file>