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95D" w:rsidRPr="00C26F73" w:rsidRDefault="007E495D" w:rsidP="007E495D">
      <w:pPr>
        <w:spacing w:line="240" w:lineRule="auto"/>
        <w:contextualSpacing/>
        <w:jc w:val="both"/>
        <w:rPr>
          <w:bCs/>
        </w:rPr>
      </w:pPr>
      <w:bookmarkStart w:id="0" w:name="_Hlk510354582"/>
      <w:r w:rsidRPr="00C26F73">
        <w:rPr>
          <w:bCs/>
        </w:rPr>
        <w:t>How do older people discuss their own sexuality? A systematic review of qualitative research studies</w:t>
      </w:r>
    </w:p>
    <w:p w:rsidR="007E495D" w:rsidRPr="00C26F73" w:rsidRDefault="007E495D" w:rsidP="007E495D">
      <w:pPr>
        <w:spacing w:line="240" w:lineRule="auto"/>
        <w:contextualSpacing/>
        <w:jc w:val="both"/>
        <w:rPr>
          <w:bCs/>
        </w:rPr>
      </w:pPr>
    </w:p>
    <w:p w:rsidR="007E495D" w:rsidRPr="00C26F73" w:rsidRDefault="007E495D" w:rsidP="007E495D">
      <w:pPr>
        <w:jc w:val="both"/>
        <w:rPr>
          <w:b w:val="0"/>
          <w:bCs/>
          <w:vertAlign w:val="superscript"/>
        </w:rPr>
      </w:pPr>
      <w:r w:rsidRPr="00C26F73">
        <w:rPr>
          <w:b w:val="0"/>
          <w:bCs/>
        </w:rPr>
        <w:t>Ateret Gewirtz-Meydan*</w:t>
      </w:r>
      <w:r w:rsidRPr="00C26F73">
        <w:rPr>
          <w:b w:val="0"/>
          <w:bCs/>
          <w:vertAlign w:val="superscript"/>
        </w:rPr>
        <w:t>a</w:t>
      </w:r>
      <w:r w:rsidRPr="00C26F73">
        <w:rPr>
          <w:b w:val="0"/>
          <w:bCs/>
        </w:rPr>
        <w:t>, Trish Hafford-</w:t>
      </w:r>
      <w:proofErr w:type="spellStart"/>
      <w:r w:rsidRPr="00C26F73">
        <w:rPr>
          <w:b w:val="0"/>
          <w:bCs/>
        </w:rPr>
        <w:t>Letchfield</w:t>
      </w:r>
      <w:r w:rsidRPr="00C26F73">
        <w:rPr>
          <w:b w:val="0"/>
          <w:bCs/>
          <w:vertAlign w:val="superscript"/>
        </w:rPr>
        <w:t>b</w:t>
      </w:r>
      <w:proofErr w:type="spellEnd"/>
      <w:r w:rsidRPr="00C26F73">
        <w:rPr>
          <w:b w:val="0"/>
          <w:bCs/>
        </w:rPr>
        <w:t xml:space="preserve">, Liat </w:t>
      </w:r>
      <w:proofErr w:type="spellStart"/>
      <w:r w:rsidRPr="00C26F73">
        <w:rPr>
          <w:b w:val="0"/>
          <w:bCs/>
        </w:rPr>
        <w:t>Ayalon</w:t>
      </w:r>
      <w:r w:rsidRPr="00C26F73">
        <w:rPr>
          <w:b w:val="0"/>
          <w:bCs/>
          <w:vertAlign w:val="superscript"/>
        </w:rPr>
        <w:t>a</w:t>
      </w:r>
      <w:proofErr w:type="spellEnd"/>
      <w:r w:rsidRPr="00C26F73">
        <w:rPr>
          <w:b w:val="0"/>
          <w:bCs/>
        </w:rPr>
        <w:t xml:space="preserve">, Yael </w:t>
      </w:r>
      <w:proofErr w:type="spellStart"/>
      <w:r w:rsidRPr="00C26F73">
        <w:rPr>
          <w:b w:val="0"/>
          <w:bCs/>
        </w:rPr>
        <w:t>Benyamini</w:t>
      </w:r>
      <w:r w:rsidRPr="00C26F73">
        <w:rPr>
          <w:b w:val="0"/>
          <w:bCs/>
          <w:vertAlign w:val="superscript"/>
        </w:rPr>
        <w:t>c</w:t>
      </w:r>
      <w:proofErr w:type="spellEnd"/>
      <w:r w:rsidRPr="00C26F73">
        <w:rPr>
          <w:b w:val="0"/>
          <w:bCs/>
        </w:rPr>
        <w:t xml:space="preserve">, </w:t>
      </w:r>
      <w:proofErr w:type="spellStart"/>
      <w:r w:rsidRPr="00C26F73">
        <w:rPr>
          <w:b w:val="0"/>
          <w:bCs/>
        </w:rPr>
        <w:t>Violetta</w:t>
      </w:r>
      <w:proofErr w:type="spellEnd"/>
      <w:r w:rsidRPr="00C26F73">
        <w:rPr>
          <w:b w:val="0"/>
          <w:bCs/>
        </w:rPr>
        <w:t xml:space="preserve"> </w:t>
      </w:r>
      <w:proofErr w:type="spellStart"/>
      <w:r w:rsidRPr="00C26F73">
        <w:rPr>
          <w:b w:val="0"/>
          <w:bCs/>
        </w:rPr>
        <w:t>Biermann</w:t>
      </w:r>
      <w:r w:rsidRPr="00C26F73">
        <w:rPr>
          <w:b w:val="0"/>
          <w:bCs/>
          <w:vertAlign w:val="superscript"/>
        </w:rPr>
        <w:t>d</w:t>
      </w:r>
      <w:proofErr w:type="spellEnd"/>
      <w:r w:rsidRPr="00C26F73">
        <w:rPr>
          <w:b w:val="0"/>
          <w:bCs/>
        </w:rPr>
        <w:t xml:space="preserve">, Alice </w:t>
      </w:r>
      <w:proofErr w:type="spellStart"/>
      <w:r w:rsidRPr="00C26F73">
        <w:rPr>
          <w:b w:val="0"/>
          <w:bCs/>
        </w:rPr>
        <w:t>Coffey</w:t>
      </w:r>
      <w:r w:rsidRPr="00C26F73">
        <w:rPr>
          <w:b w:val="0"/>
          <w:bCs/>
          <w:vertAlign w:val="superscript"/>
        </w:rPr>
        <w:t>e</w:t>
      </w:r>
      <w:proofErr w:type="spellEnd"/>
      <w:r w:rsidRPr="00C26F73">
        <w:rPr>
          <w:b w:val="0"/>
          <w:bCs/>
        </w:rPr>
        <w:t xml:space="preserve">, Jeanne </w:t>
      </w:r>
      <w:proofErr w:type="spellStart"/>
      <w:r w:rsidRPr="00C26F73">
        <w:rPr>
          <w:b w:val="0"/>
          <w:bCs/>
        </w:rPr>
        <w:t>Jackson</w:t>
      </w:r>
      <w:r w:rsidRPr="00C26F73">
        <w:rPr>
          <w:b w:val="0"/>
          <w:bCs/>
          <w:vertAlign w:val="superscript"/>
        </w:rPr>
        <w:t>f</w:t>
      </w:r>
      <w:proofErr w:type="spellEnd"/>
      <w:r w:rsidRPr="00C26F73">
        <w:rPr>
          <w:b w:val="0"/>
          <w:bCs/>
        </w:rPr>
        <w:t xml:space="preserve">, Amanda </w:t>
      </w:r>
      <w:proofErr w:type="spellStart"/>
      <w:r w:rsidRPr="00C26F73">
        <w:rPr>
          <w:b w:val="0"/>
          <w:bCs/>
        </w:rPr>
        <w:t>Phelan</w:t>
      </w:r>
      <w:r w:rsidRPr="00C26F73">
        <w:rPr>
          <w:b w:val="0"/>
          <w:bCs/>
          <w:vertAlign w:val="superscript"/>
        </w:rPr>
        <w:t>g</w:t>
      </w:r>
      <w:proofErr w:type="spellEnd"/>
      <w:r w:rsidRPr="00C26F73">
        <w:rPr>
          <w:b w:val="0"/>
          <w:bCs/>
        </w:rPr>
        <w:t xml:space="preserve">, Peggy </w:t>
      </w:r>
      <w:proofErr w:type="spellStart"/>
      <w:r w:rsidRPr="00C26F73">
        <w:rPr>
          <w:b w:val="0"/>
          <w:bCs/>
        </w:rPr>
        <w:t>Voß</w:t>
      </w:r>
      <w:r w:rsidRPr="00C26F73">
        <w:rPr>
          <w:b w:val="0"/>
          <w:bCs/>
          <w:vertAlign w:val="superscript"/>
        </w:rPr>
        <w:t>h</w:t>
      </w:r>
      <w:proofErr w:type="spellEnd"/>
      <w:r w:rsidRPr="00C26F73">
        <w:rPr>
          <w:b w:val="0"/>
          <w:bCs/>
        </w:rPr>
        <w:t xml:space="preserve">, Marija Geiger </w:t>
      </w:r>
      <w:proofErr w:type="spellStart"/>
      <w:r w:rsidRPr="00C26F73">
        <w:rPr>
          <w:b w:val="0"/>
          <w:bCs/>
        </w:rPr>
        <w:t>Zeman</w:t>
      </w:r>
      <w:r w:rsidR="00005B26" w:rsidRPr="00C26F73">
        <w:rPr>
          <w:b w:val="0"/>
          <w:bCs/>
          <w:vertAlign w:val="superscript"/>
        </w:rPr>
        <w:t>i</w:t>
      </w:r>
      <w:proofErr w:type="spellEnd"/>
      <w:r w:rsidRPr="00C26F73">
        <w:rPr>
          <w:b w:val="0"/>
          <w:bCs/>
        </w:rPr>
        <w:t xml:space="preserve">, Zdenko </w:t>
      </w:r>
      <w:proofErr w:type="spellStart"/>
      <w:r w:rsidRPr="00C26F73">
        <w:rPr>
          <w:b w:val="0"/>
          <w:bCs/>
        </w:rPr>
        <w:t>Zeman</w:t>
      </w:r>
      <w:r w:rsidR="00005B26" w:rsidRPr="00C26F73">
        <w:rPr>
          <w:b w:val="0"/>
          <w:bCs/>
          <w:vertAlign w:val="superscript"/>
        </w:rPr>
        <w:t>i</w:t>
      </w:r>
      <w:proofErr w:type="spellEnd"/>
    </w:p>
    <w:p w:rsidR="00005B26" w:rsidRPr="00C26F73" w:rsidRDefault="007E495D" w:rsidP="00A92BCE">
      <w:pPr>
        <w:jc w:val="both"/>
        <w:rPr>
          <w:b w:val="0"/>
          <w:bCs/>
          <w:i/>
          <w:vertAlign w:val="superscript"/>
        </w:rPr>
      </w:pPr>
      <w:r w:rsidRPr="00C26F73">
        <w:rPr>
          <w:b w:val="0"/>
          <w:bCs/>
          <w:i/>
        </w:rPr>
        <w:t xml:space="preserve">Louis and Gabi </w:t>
      </w:r>
      <w:proofErr w:type="spellStart"/>
      <w:r w:rsidRPr="00C26F73">
        <w:rPr>
          <w:b w:val="0"/>
          <w:bCs/>
          <w:i/>
        </w:rPr>
        <w:t>Weisfeld</w:t>
      </w:r>
      <w:proofErr w:type="spellEnd"/>
      <w:r w:rsidRPr="00C26F73">
        <w:rPr>
          <w:b w:val="0"/>
          <w:bCs/>
          <w:i/>
        </w:rPr>
        <w:t xml:space="preserve"> School of Social Work, Bar Ilan University, </w:t>
      </w:r>
      <w:proofErr w:type="spellStart"/>
      <w:r w:rsidRPr="00C26F73">
        <w:rPr>
          <w:b w:val="0"/>
          <w:bCs/>
          <w:i/>
        </w:rPr>
        <w:t>Israel</w:t>
      </w:r>
      <w:r w:rsidR="00BB004D" w:rsidRPr="00C26F73">
        <w:rPr>
          <w:b w:val="0"/>
          <w:bCs/>
          <w:i/>
          <w:vertAlign w:val="superscript"/>
        </w:rPr>
        <w:t>a</w:t>
      </w:r>
      <w:proofErr w:type="spellEnd"/>
      <w:r w:rsidRPr="00C26F73">
        <w:rPr>
          <w:b w:val="0"/>
          <w:bCs/>
          <w:i/>
        </w:rPr>
        <w:t xml:space="preserve">; School of Health and Education, Middlesex University, London, </w:t>
      </w:r>
      <w:proofErr w:type="spellStart"/>
      <w:r w:rsidRPr="00C26F73">
        <w:rPr>
          <w:b w:val="0"/>
          <w:bCs/>
          <w:i/>
        </w:rPr>
        <w:t>UK</w:t>
      </w:r>
      <w:r w:rsidRPr="00C26F73">
        <w:rPr>
          <w:b w:val="0"/>
          <w:bCs/>
          <w:i/>
          <w:vertAlign w:val="superscript"/>
        </w:rPr>
        <w:t>b</w:t>
      </w:r>
      <w:proofErr w:type="spellEnd"/>
      <w:r w:rsidRPr="00C26F73">
        <w:rPr>
          <w:b w:val="0"/>
          <w:bCs/>
          <w:i/>
        </w:rPr>
        <w:t xml:space="preserve">; Bob </w:t>
      </w:r>
      <w:proofErr w:type="spellStart"/>
      <w:r w:rsidRPr="00C26F73">
        <w:rPr>
          <w:b w:val="0"/>
          <w:bCs/>
          <w:i/>
        </w:rPr>
        <w:t>Shapell</w:t>
      </w:r>
      <w:proofErr w:type="spellEnd"/>
      <w:r w:rsidRPr="00C26F73">
        <w:rPr>
          <w:b w:val="0"/>
          <w:bCs/>
          <w:i/>
        </w:rPr>
        <w:t xml:space="preserve"> School of Social Work, Tel Aviv University, </w:t>
      </w:r>
      <w:proofErr w:type="spellStart"/>
      <w:r w:rsidRPr="00C26F73">
        <w:rPr>
          <w:b w:val="0"/>
          <w:bCs/>
          <w:i/>
        </w:rPr>
        <w:t>Israel</w:t>
      </w:r>
      <w:r w:rsidRPr="00C26F73">
        <w:rPr>
          <w:b w:val="0"/>
          <w:bCs/>
          <w:i/>
          <w:vertAlign w:val="superscript"/>
        </w:rPr>
        <w:t>c</w:t>
      </w:r>
      <w:proofErr w:type="spellEnd"/>
      <w:r w:rsidRPr="00C26F73">
        <w:rPr>
          <w:b w:val="0"/>
          <w:bCs/>
          <w:i/>
        </w:rPr>
        <w:t xml:space="preserve">; Psychology Institute, Friedrich-Schiller-University Jena, </w:t>
      </w:r>
      <w:proofErr w:type="spellStart"/>
      <w:r w:rsidRPr="00C26F73">
        <w:rPr>
          <w:b w:val="0"/>
          <w:bCs/>
          <w:i/>
        </w:rPr>
        <w:t>Germany</w:t>
      </w:r>
      <w:r w:rsidRPr="00C26F73">
        <w:rPr>
          <w:b w:val="0"/>
          <w:bCs/>
          <w:i/>
          <w:vertAlign w:val="superscript"/>
        </w:rPr>
        <w:t>d</w:t>
      </w:r>
      <w:proofErr w:type="spellEnd"/>
      <w:r w:rsidRPr="00C26F73">
        <w:rPr>
          <w:b w:val="0"/>
          <w:bCs/>
          <w:i/>
        </w:rPr>
        <w:t xml:space="preserve">; </w:t>
      </w:r>
      <w:r w:rsidR="00A92BCE" w:rsidRPr="00155022">
        <w:rPr>
          <w:b w:val="0"/>
          <w:i/>
        </w:rPr>
        <w:t xml:space="preserve">Department of Nursing and Midwifery, University of Limerick, </w:t>
      </w:r>
      <w:proofErr w:type="spellStart"/>
      <w:r w:rsidRPr="00155022">
        <w:rPr>
          <w:b w:val="0"/>
          <w:i/>
        </w:rPr>
        <w:t>Ireland</w:t>
      </w:r>
      <w:r w:rsidRPr="00155022">
        <w:rPr>
          <w:b w:val="0"/>
          <w:i/>
          <w:vertAlign w:val="superscript"/>
        </w:rPr>
        <w:t>e</w:t>
      </w:r>
      <w:proofErr w:type="spellEnd"/>
      <w:r w:rsidRPr="00155022">
        <w:rPr>
          <w:b w:val="0"/>
          <w:i/>
        </w:rPr>
        <w:t>; School</w:t>
      </w:r>
      <w:r w:rsidRPr="00C26F73">
        <w:rPr>
          <w:b w:val="0"/>
          <w:bCs/>
          <w:i/>
        </w:rPr>
        <w:t xml:space="preserve"> of Clinical Therapies and Department of Occupational Science &amp; Occupational Therapy, University College Cork, </w:t>
      </w:r>
      <w:proofErr w:type="spellStart"/>
      <w:r w:rsidRPr="00C26F73">
        <w:rPr>
          <w:b w:val="0"/>
          <w:bCs/>
          <w:i/>
        </w:rPr>
        <w:t>Ireland</w:t>
      </w:r>
      <w:r w:rsidRPr="00C26F73">
        <w:rPr>
          <w:b w:val="0"/>
          <w:bCs/>
          <w:i/>
          <w:vertAlign w:val="superscript"/>
        </w:rPr>
        <w:t>f</w:t>
      </w:r>
      <w:proofErr w:type="spellEnd"/>
      <w:r w:rsidRPr="00C26F73">
        <w:rPr>
          <w:b w:val="0"/>
          <w:bCs/>
          <w:i/>
        </w:rPr>
        <w:t xml:space="preserve">; School of Nursing, Midwifery &amp; Health Systems, University College Dublin, </w:t>
      </w:r>
      <w:proofErr w:type="spellStart"/>
      <w:r w:rsidRPr="00C26F73">
        <w:rPr>
          <w:b w:val="0"/>
          <w:bCs/>
          <w:i/>
        </w:rPr>
        <w:t>Ireland</w:t>
      </w:r>
      <w:r w:rsidRPr="00C26F73">
        <w:rPr>
          <w:b w:val="0"/>
          <w:bCs/>
          <w:i/>
          <w:vertAlign w:val="superscript"/>
        </w:rPr>
        <w:t>g</w:t>
      </w:r>
      <w:proofErr w:type="spellEnd"/>
      <w:r w:rsidRPr="00C26F73">
        <w:rPr>
          <w:b w:val="0"/>
          <w:bCs/>
          <w:i/>
        </w:rPr>
        <w:t xml:space="preserve">; Friedrich-Schiller-University Jena, </w:t>
      </w:r>
      <w:proofErr w:type="spellStart"/>
      <w:r w:rsidRPr="00C26F73">
        <w:rPr>
          <w:b w:val="0"/>
          <w:bCs/>
          <w:i/>
        </w:rPr>
        <w:t>Germany</w:t>
      </w:r>
      <w:r w:rsidRPr="00C26F73">
        <w:rPr>
          <w:b w:val="0"/>
          <w:bCs/>
          <w:i/>
          <w:vertAlign w:val="superscript"/>
        </w:rPr>
        <w:t>h</w:t>
      </w:r>
      <w:proofErr w:type="spellEnd"/>
      <w:r w:rsidRPr="00C26F73">
        <w:rPr>
          <w:b w:val="0"/>
          <w:bCs/>
          <w:i/>
        </w:rPr>
        <w:t>;</w:t>
      </w:r>
      <w:r w:rsidRPr="00C26F73">
        <w:rPr>
          <w:i/>
          <w:color w:val="222222"/>
          <w:shd w:val="clear" w:color="auto" w:fill="FFFFFF"/>
        </w:rPr>
        <w:t xml:space="preserve"> </w:t>
      </w:r>
      <w:r w:rsidR="00005B26" w:rsidRPr="00C26F73">
        <w:rPr>
          <w:b w:val="0"/>
          <w:bCs/>
          <w:i/>
        </w:rPr>
        <w:t xml:space="preserve">Institute of Social Sciences Ivo Pilar, </w:t>
      </w:r>
      <w:proofErr w:type="spellStart"/>
      <w:r w:rsidR="00005B26" w:rsidRPr="00C26F73">
        <w:rPr>
          <w:b w:val="0"/>
          <w:bCs/>
          <w:i/>
        </w:rPr>
        <w:t>Zagreb</w:t>
      </w:r>
      <w:r w:rsidR="00005B26" w:rsidRPr="00C26F73">
        <w:rPr>
          <w:b w:val="0"/>
          <w:bCs/>
          <w:i/>
          <w:vertAlign w:val="superscript"/>
        </w:rPr>
        <w:t>i</w:t>
      </w:r>
      <w:proofErr w:type="spellEnd"/>
    </w:p>
    <w:p w:rsidR="00005B26" w:rsidRPr="00C26F73" w:rsidRDefault="00005B26" w:rsidP="00005B26">
      <w:pPr>
        <w:jc w:val="both"/>
        <w:rPr>
          <w:b w:val="0"/>
          <w:bCs/>
        </w:rPr>
      </w:pPr>
      <w:r w:rsidRPr="00C26F73">
        <w:rPr>
          <w:b w:val="0"/>
          <w:bCs/>
        </w:rPr>
        <w:t xml:space="preserve">*Corresponding Author: Ateret Gewirtz-Meydan   Email: </w:t>
      </w:r>
      <w:hyperlink r:id="rId9" w:history="1">
        <w:r w:rsidRPr="00C26F73">
          <w:rPr>
            <w:rStyle w:val="Hyperlink"/>
            <w:b w:val="0"/>
            <w:bCs/>
          </w:rPr>
          <w:t>ateret.meydan@gmail.com</w:t>
        </w:r>
      </w:hyperlink>
    </w:p>
    <w:p w:rsidR="007E495D" w:rsidRPr="00C26F73" w:rsidRDefault="007E495D" w:rsidP="007E495D">
      <w:pPr>
        <w:jc w:val="both"/>
        <w:rPr>
          <w:color w:val="000000"/>
          <w:highlight w:val="yellow"/>
        </w:rPr>
      </w:pPr>
    </w:p>
    <w:p w:rsidR="008A5D25" w:rsidRPr="00C26F73" w:rsidRDefault="008A5D25" w:rsidP="007E495D">
      <w:pPr>
        <w:jc w:val="both"/>
      </w:pPr>
    </w:p>
    <w:p w:rsidR="008A5D25" w:rsidRPr="00C26F73" w:rsidRDefault="008A5D25" w:rsidP="007E495D">
      <w:pPr>
        <w:jc w:val="both"/>
      </w:pPr>
    </w:p>
    <w:p w:rsidR="008A5D25" w:rsidRPr="00C26F73" w:rsidRDefault="008A5D25" w:rsidP="007E495D">
      <w:pPr>
        <w:jc w:val="both"/>
      </w:pPr>
    </w:p>
    <w:p w:rsidR="008A5D25" w:rsidRPr="00C26F73" w:rsidRDefault="008A5D25" w:rsidP="007E495D">
      <w:pPr>
        <w:jc w:val="both"/>
      </w:pPr>
    </w:p>
    <w:p w:rsidR="008A5D25" w:rsidRPr="00C26F73" w:rsidRDefault="008A5D25" w:rsidP="007E495D">
      <w:pPr>
        <w:jc w:val="both"/>
      </w:pPr>
    </w:p>
    <w:p w:rsidR="008A5D25" w:rsidRPr="00C26F73" w:rsidRDefault="008A5D25" w:rsidP="007E495D">
      <w:pPr>
        <w:jc w:val="both"/>
      </w:pPr>
    </w:p>
    <w:p w:rsidR="007E495D" w:rsidRPr="00C26F73" w:rsidRDefault="007E495D" w:rsidP="007E495D">
      <w:pPr>
        <w:jc w:val="both"/>
      </w:pPr>
    </w:p>
    <w:p w:rsidR="007E495D" w:rsidRPr="00C26F73" w:rsidRDefault="007E495D" w:rsidP="007E495D">
      <w:pPr>
        <w:jc w:val="both"/>
      </w:pPr>
    </w:p>
    <w:p w:rsidR="007E495D" w:rsidRPr="00C26F73" w:rsidRDefault="007E495D" w:rsidP="007E495D">
      <w:pPr>
        <w:jc w:val="both"/>
        <w:rPr>
          <w:b w:val="0"/>
          <w:bCs/>
        </w:rPr>
      </w:pPr>
    </w:p>
    <w:p w:rsidR="007E495D" w:rsidRPr="00C26F73" w:rsidRDefault="007E495D" w:rsidP="007E495D">
      <w:pPr>
        <w:spacing w:line="240" w:lineRule="auto"/>
        <w:contextualSpacing/>
        <w:jc w:val="both"/>
        <w:rPr>
          <w:b w:val="0"/>
          <w:bCs/>
        </w:rPr>
      </w:pPr>
    </w:p>
    <w:p w:rsidR="007E495D" w:rsidRPr="00C26F73" w:rsidRDefault="007E495D" w:rsidP="007E495D">
      <w:pPr>
        <w:jc w:val="both"/>
        <w:rPr>
          <w:b w:val="0"/>
          <w:bCs/>
        </w:rPr>
      </w:pPr>
    </w:p>
    <w:p w:rsidR="007E495D" w:rsidRPr="00C26F73" w:rsidRDefault="007E495D" w:rsidP="007E495D">
      <w:pPr>
        <w:spacing w:line="240" w:lineRule="auto"/>
        <w:contextualSpacing/>
        <w:jc w:val="both"/>
        <w:rPr>
          <w:bCs/>
        </w:rPr>
      </w:pPr>
    </w:p>
    <w:p w:rsidR="009B0522" w:rsidRPr="00C26F73" w:rsidRDefault="009B0522" w:rsidP="007E495D">
      <w:pPr>
        <w:spacing w:line="240" w:lineRule="auto"/>
        <w:contextualSpacing/>
        <w:jc w:val="both"/>
        <w:rPr>
          <w:bCs/>
        </w:rPr>
      </w:pPr>
    </w:p>
    <w:p w:rsidR="009B0522" w:rsidRPr="00C26F73" w:rsidRDefault="009B0522" w:rsidP="007E495D">
      <w:pPr>
        <w:spacing w:line="240" w:lineRule="auto"/>
        <w:contextualSpacing/>
        <w:jc w:val="both"/>
        <w:rPr>
          <w:bCs/>
        </w:rPr>
      </w:pPr>
    </w:p>
    <w:p w:rsidR="009B0522" w:rsidRPr="00C26F73" w:rsidRDefault="009B0522" w:rsidP="007E495D">
      <w:pPr>
        <w:spacing w:line="240" w:lineRule="auto"/>
        <w:contextualSpacing/>
        <w:jc w:val="both"/>
        <w:rPr>
          <w:bCs/>
        </w:rPr>
      </w:pPr>
    </w:p>
    <w:p w:rsidR="009B0522" w:rsidRPr="00C26F73" w:rsidRDefault="009B0522" w:rsidP="007E495D">
      <w:pPr>
        <w:spacing w:line="240" w:lineRule="auto"/>
        <w:contextualSpacing/>
        <w:jc w:val="both"/>
        <w:rPr>
          <w:bCs/>
        </w:rPr>
      </w:pPr>
    </w:p>
    <w:p w:rsidR="007E495D" w:rsidRPr="00C26F73" w:rsidRDefault="007E495D" w:rsidP="007E495D">
      <w:pPr>
        <w:spacing w:line="240" w:lineRule="auto"/>
        <w:contextualSpacing/>
        <w:jc w:val="both"/>
        <w:rPr>
          <w:bCs/>
        </w:rPr>
      </w:pPr>
    </w:p>
    <w:p w:rsidR="007E495D" w:rsidRPr="00C26F73" w:rsidRDefault="007E495D" w:rsidP="007E495D">
      <w:pPr>
        <w:spacing w:line="240" w:lineRule="auto"/>
        <w:contextualSpacing/>
        <w:jc w:val="both"/>
        <w:rPr>
          <w:bCs/>
        </w:rPr>
      </w:pPr>
    </w:p>
    <w:p w:rsidR="007E495D" w:rsidRPr="00C26F73" w:rsidRDefault="007E495D" w:rsidP="007E495D">
      <w:pPr>
        <w:spacing w:line="240" w:lineRule="auto"/>
        <w:contextualSpacing/>
        <w:jc w:val="both"/>
        <w:rPr>
          <w:bCs/>
        </w:rPr>
      </w:pPr>
    </w:p>
    <w:p w:rsidR="007E495D" w:rsidRPr="00C26F73" w:rsidRDefault="007E495D" w:rsidP="007E495D">
      <w:pPr>
        <w:spacing w:line="240" w:lineRule="auto"/>
        <w:contextualSpacing/>
        <w:jc w:val="both"/>
        <w:rPr>
          <w:bCs/>
        </w:rPr>
      </w:pPr>
    </w:p>
    <w:p w:rsidR="007E495D" w:rsidRPr="00C26F73" w:rsidRDefault="007E495D" w:rsidP="007E495D">
      <w:pPr>
        <w:spacing w:line="240" w:lineRule="auto"/>
        <w:contextualSpacing/>
        <w:jc w:val="both"/>
        <w:rPr>
          <w:bCs/>
        </w:rPr>
      </w:pPr>
    </w:p>
    <w:bookmarkEnd w:id="0"/>
    <w:p w:rsidR="001467CF" w:rsidRPr="00C26F73" w:rsidRDefault="001467CF" w:rsidP="007E495D">
      <w:pPr>
        <w:spacing w:line="240" w:lineRule="auto"/>
        <w:contextualSpacing/>
        <w:jc w:val="both"/>
        <w:rPr>
          <w:bCs/>
        </w:rPr>
      </w:pPr>
    </w:p>
    <w:p w:rsidR="007E495D" w:rsidRPr="00C26F73" w:rsidRDefault="007E495D" w:rsidP="007E495D">
      <w:pPr>
        <w:spacing w:line="240" w:lineRule="auto"/>
        <w:contextualSpacing/>
        <w:jc w:val="both"/>
        <w:rPr>
          <w:bCs/>
        </w:rPr>
      </w:pPr>
      <w:r w:rsidRPr="00C26F73">
        <w:rPr>
          <w:bCs/>
        </w:rPr>
        <w:t>Abstract</w:t>
      </w:r>
    </w:p>
    <w:p w:rsidR="001467CF" w:rsidRPr="00C26F73" w:rsidRDefault="001467CF" w:rsidP="007E495D">
      <w:pPr>
        <w:spacing w:line="240" w:lineRule="auto"/>
        <w:contextualSpacing/>
        <w:jc w:val="both"/>
        <w:rPr>
          <w:b w:val="0"/>
          <w:bCs/>
        </w:rPr>
      </w:pPr>
    </w:p>
    <w:p w:rsidR="007E495D" w:rsidRPr="00C26F73" w:rsidRDefault="007E495D" w:rsidP="007E495D">
      <w:pPr>
        <w:spacing w:line="240" w:lineRule="auto"/>
        <w:contextualSpacing/>
        <w:jc w:val="both"/>
        <w:rPr>
          <w:b w:val="0"/>
        </w:rPr>
      </w:pPr>
      <w:r w:rsidRPr="00C26F73">
        <w:rPr>
          <w:b w:val="0"/>
        </w:rPr>
        <w:t xml:space="preserve">This study captured older people’s attitudes and concerns about sex and sexuality in later life by synthesising the qualitative research published on this issue. The systematic review was conducted between November 2015 and June 2016 based on a pre-determined protocol. Key words were used to ensure a precise search strategy. Empirically-based, qualitative literature from 18 databases was found. Twenty studies met the inclusion criteria. Thomas and Harden’s thematic synthesis was used to generate ‘analytical themes’ which summarise this body of literature. Three main themes were identified: a) social legitimacy for sexuality in later life; b) health, not age, is what truly impacts </w:t>
      </w:r>
      <w:proofErr w:type="gramStart"/>
      <w:r w:rsidRPr="00C26F73">
        <w:rPr>
          <w:b w:val="0"/>
        </w:rPr>
        <w:t>sexuality,</w:t>
      </w:r>
      <w:proofErr w:type="gramEnd"/>
      <w:r w:rsidRPr="00C26F73">
        <w:rPr>
          <w:b w:val="0"/>
        </w:rPr>
        <w:t xml:space="preserve"> and c) the hegemony</w:t>
      </w:r>
      <w:r w:rsidRPr="00C26F73" w:rsidDel="00A57CF4">
        <w:rPr>
          <w:b w:val="0"/>
        </w:rPr>
        <w:t xml:space="preserve"> </w:t>
      </w:r>
      <w:r w:rsidRPr="00C26F73">
        <w:rPr>
          <w:b w:val="0"/>
        </w:rPr>
        <w:t xml:space="preserve">of penetrative sex. The themes illustrate the complex and delicate relation between aging and sexuality. Older adults facing health issues that affect sexual function adopt broader definitions of sexuality and sexual activity. </w:t>
      </w:r>
    </w:p>
    <w:p w:rsidR="001467CF" w:rsidRPr="00C26F73" w:rsidRDefault="001467CF" w:rsidP="007E495D">
      <w:pPr>
        <w:spacing w:line="240" w:lineRule="auto"/>
        <w:contextualSpacing/>
        <w:jc w:val="both"/>
        <w:rPr>
          <w:b w:val="0"/>
          <w:bCs/>
        </w:rPr>
      </w:pPr>
    </w:p>
    <w:p w:rsidR="007E495D" w:rsidRPr="00C26F73" w:rsidRDefault="007E495D" w:rsidP="007E495D">
      <w:pPr>
        <w:spacing w:line="240" w:lineRule="auto"/>
        <w:contextualSpacing/>
        <w:jc w:val="both"/>
        <w:rPr>
          <w:b w:val="0"/>
          <w:bCs/>
        </w:rPr>
      </w:pPr>
      <w:r w:rsidRPr="00C26F73">
        <w:rPr>
          <w:bCs/>
        </w:rPr>
        <w:t>Keywords</w:t>
      </w:r>
      <w:r w:rsidRPr="00C26F73">
        <w:rPr>
          <w:b w:val="0"/>
          <w:bCs/>
        </w:rPr>
        <w:t xml:space="preserve">: </w:t>
      </w:r>
      <w:r w:rsidR="001467CF" w:rsidRPr="00C26F73">
        <w:rPr>
          <w:b w:val="0"/>
          <w:bCs/>
        </w:rPr>
        <w:t>s</w:t>
      </w:r>
      <w:r w:rsidRPr="00C26F73">
        <w:rPr>
          <w:b w:val="0"/>
          <w:bCs/>
        </w:rPr>
        <w:t>ex; intimacy; aging; thematic synthesis</w:t>
      </w:r>
    </w:p>
    <w:p w:rsidR="007E495D" w:rsidRPr="00C26F73" w:rsidRDefault="007E495D" w:rsidP="007E495D">
      <w:pPr>
        <w:spacing w:line="240" w:lineRule="auto"/>
        <w:contextualSpacing/>
        <w:jc w:val="both"/>
        <w:rPr>
          <w:b w:val="0"/>
          <w:bCs/>
        </w:rPr>
      </w:pPr>
    </w:p>
    <w:p w:rsidR="007E495D" w:rsidRPr="00C26F73" w:rsidRDefault="007E495D" w:rsidP="007E495D">
      <w:pPr>
        <w:spacing w:line="240" w:lineRule="auto"/>
        <w:contextualSpacing/>
        <w:jc w:val="both"/>
        <w:rPr>
          <w:b w:val="0"/>
          <w:bCs/>
        </w:rPr>
      </w:pPr>
    </w:p>
    <w:p w:rsidR="007E495D" w:rsidRPr="00C26F73" w:rsidRDefault="007E495D" w:rsidP="007E495D">
      <w:pPr>
        <w:spacing w:line="240" w:lineRule="auto"/>
        <w:contextualSpacing/>
        <w:jc w:val="both"/>
        <w:rPr>
          <w:b w:val="0"/>
          <w:bCs/>
        </w:rPr>
      </w:pPr>
    </w:p>
    <w:p w:rsidR="007E495D" w:rsidRPr="00C26F73" w:rsidRDefault="007E495D" w:rsidP="007E495D">
      <w:pPr>
        <w:spacing w:line="240" w:lineRule="auto"/>
        <w:contextualSpacing/>
        <w:jc w:val="both"/>
        <w:rPr>
          <w:b w:val="0"/>
          <w:bCs/>
        </w:rPr>
      </w:pPr>
    </w:p>
    <w:p w:rsidR="007E495D" w:rsidRPr="00C26F73" w:rsidRDefault="007E495D" w:rsidP="007E495D">
      <w:pPr>
        <w:spacing w:line="240" w:lineRule="auto"/>
        <w:contextualSpacing/>
        <w:jc w:val="both"/>
        <w:rPr>
          <w:b w:val="0"/>
          <w:bCs/>
        </w:rPr>
      </w:pPr>
    </w:p>
    <w:p w:rsidR="007E495D" w:rsidRPr="00C26F73" w:rsidRDefault="007E495D"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1467CF" w:rsidRPr="00C26F73" w:rsidRDefault="001467CF" w:rsidP="007E495D">
      <w:pPr>
        <w:spacing w:line="240" w:lineRule="auto"/>
        <w:contextualSpacing/>
        <w:jc w:val="both"/>
        <w:rPr>
          <w:b w:val="0"/>
          <w:bCs/>
        </w:rPr>
      </w:pPr>
    </w:p>
    <w:p w:rsidR="007E495D" w:rsidRPr="00C26F73" w:rsidRDefault="007E495D" w:rsidP="007E495D">
      <w:pPr>
        <w:spacing w:line="240" w:lineRule="auto"/>
        <w:contextualSpacing/>
        <w:jc w:val="both"/>
        <w:rPr>
          <w:b w:val="0"/>
          <w:bCs/>
        </w:rPr>
      </w:pPr>
    </w:p>
    <w:p w:rsidR="007E495D" w:rsidRPr="00C26F73" w:rsidRDefault="007E495D" w:rsidP="007E495D">
      <w:pPr>
        <w:spacing w:line="240" w:lineRule="auto"/>
        <w:contextualSpacing/>
        <w:jc w:val="both"/>
        <w:rPr>
          <w:bCs/>
        </w:rPr>
      </w:pPr>
      <w:r w:rsidRPr="00C26F73">
        <w:rPr>
          <w:bCs/>
        </w:rPr>
        <w:t>Introduction</w:t>
      </w:r>
    </w:p>
    <w:p w:rsidR="001467CF" w:rsidRPr="00C26F73" w:rsidRDefault="001467CF" w:rsidP="007E495D">
      <w:pPr>
        <w:spacing w:line="240" w:lineRule="auto"/>
        <w:contextualSpacing/>
        <w:jc w:val="both"/>
        <w:rPr>
          <w:b w:val="0"/>
        </w:rPr>
      </w:pPr>
    </w:p>
    <w:p w:rsidR="007E495D" w:rsidRPr="00C26F73" w:rsidRDefault="007E495D" w:rsidP="007E495D">
      <w:pPr>
        <w:spacing w:line="240" w:lineRule="auto"/>
        <w:contextualSpacing/>
        <w:jc w:val="both"/>
        <w:rPr>
          <w:b w:val="0"/>
        </w:rPr>
      </w:pPr>
      <w:r w:rsidRPr="00C26F73">
        <w:rPr>
          <w:b w:val="0"/>
        </w:rPr>
        <w:t>Sexuality is a broad concept. The World Health Organization's, (</w:t>
      </w:r>
      <w:r w:rsidR="0098364A" w:rsidRPr="00C26F73">
        <w:rPr>
          <w:b w:val="0"/>
          <w:noProof/>
        </w:rPr>
        <w:t>2006, p.5)</w:t>
      </w:r>
      <w:r w:rsidRPr="00C26F73">
        <w:rPr>
          <w:b w:val="0"/>
        </w:rPr>
        <w:t xml:space="preserve"> definition encompasses sex, gender identities and roles, sexual orientation, eroticism, pleasure, intimacy and reproduction. It stresses the importance of how sexuality is experienced, expressed and influenced through the interaction of biological, psychological, social, economic, political, cultural, ethical, legal, historical, religious and spiritual factors. </w:t>
      </w:r>
    </w:p>
    <w:p w:rsidR="007E495D" w:rsidRPr="00C26F73" w:rsidRDefault="004867BB" w:rsidP="007E495D">
      <w:pPr>
        <w:spacing w:line="240" w:lineRule="auto"/>
        <w:contextualSpacing/>
        <w:jc w:val="both"/>
        <w:rPr>
          <w:b w:val="0"/>
        </w:rPr>
      </w:pPr>
      <w:r w:rsidRPr="00C26F73">
        <w:rPr>
          <w:b w:val="0"/>
        </w:rPr>
        <w:tab/>
      </w:r>
      <w:r w:rsidR="007E495D" w:rsidRPr="00C26F73">
        <w:rPr>
          <w:b w:val="0"/>
        </w:rPr>
        <w:t xml:space="preserve">Research </w:t>
      </w:r>
      <w:r w:rsidRPr="00C26F73">
        <w:rPr>
          <w:b w:val="0"/>
        </w:rPr>
        <w:t>into the contribution</w:t>
      </w:r>
      <w:r w:rsidR="007E495D" w:rsidRPr="00C26F73">
        <w:rPr>
          <w:b w:val="0"/>
        </w:rPr>
        <w:t xml:space="preserve"> of sexuality and remaining sexually active to the quality of life and wellbeing of older people is increasing </w:t>
      </w:r>
      <w:r w:rsidR="0098364A" w:rsidRPr="00C26F73">
        <w:rPr>
          <w:b w:val="0"/>
          <w:noProof/>
        </w:rPr>
        <w:t>(Kontula and Haavio-Mannila 2009; Katz and Marshall 2003; Hinchliff and Gott 2011)</w:t>
      </w:r>
      <w:r w:rsidR="007E495D" w:rsidRPr="00C26F73">
        <w:rPr>
          <w:b w:val="0"/>
        </w:rPr>
        <w:t xml:space="preserve">. Some studies have focused on biological aspects, such as hormonal and other physical changes </w:t>
      </w:r>
      <w:r w:rsidR="0098364A" w:rsidRPr="00C26F73">
        <w:rPr>
          <w:b w:val="0"/>
          <w:noProof/>
        </w:rPr>
        <w:t>(e.g., Dennerstein</w:t>
      </w:r>
      <w:r w:rsidR="00655E80" w:rsidRPr="00C26F73">
        <w:rPr>
          <w:b w:val="0"/>
          <w:noProof/>
        </w:rPr>
        <w:t>, Randolph,</w:t>
      </w:r>
      <w:r w:rsidR="0098364A" w:rsidRPr="00C26F73">
        <w:rPr>
          <w:b w:val="0"/>
          <w:noProof/>
        </w:rPr>
        <w:t xml:space="preserve"> et al. 2002)</w:t>
      </w:r>
      <w:r w:rsidR="007E495D" w:rsidRPr="00C26F73">
        <w:rPr>
          <w:b w:val="0"/>
        </w:rPr>
        <w:t xml:space="preserve"> </w:t>
      </w:r>
      <w:r w:rsidRPr="00C26F73">
        <w:rPr>
          <w:b w:val="0"/>
        </w:rPr>
        <w:t>or</w:t>
      </w:r>
      <w:r w:rsidR="007E495D" w:rsidRPr="00C26F73">
        <w:rPr>
          <w:b w:val="0"/>
        </w:rPr>
        <w:t xml:space="preserve"> through the lens of difficulties and dysfunctions </w:t>
      </w:r>
      <w:r w:rsidR="0098364A" w:rsidRPr="00C26F73">
        <w:rPr>
          <w:b w:val="0"/>
          <w:noProof/>
        </w:rPr>
        <w:t>(Lindau</w:t>
      </w:r>
      <w:r w:rsidR="00655E80" w:rsidRPr="00C26F73">
        <w:rPr>
          <w:b w:val="0"/>
          <w:noProof/>
        </w:rPr>
        <w:t>, Schumm,</w:t>
      </w:r>
      <w:r w:rsidR="0098364A" w:rsidRPr="00C26F73">
        <w:rPr>
          <w:b w:val="0"/>
          <w:noProof/>
        </w:rPr>
        <w:t xml:space="preserve"> et al. 2007)</w:t>
      </w:r>
      <w:r w:rsidR="007E495D" w:rsidRPr="00C26F73">
        <w:rPr>
          <w:b w:val="0"/>
        </w:rPr>
        <w:t xml:space="preserve">. The knowledge and attitudes of healthcare professionals towards sexuality in later life </w:t>
      </w:r>
      <w:r w:rsidR="0098364A" w:rsidRPr="00C26F73">
        <w:rPr>
          <w:b w:val="0"/>
          <w:noProof/>
        </w:rPr>
        <w:t>(Haesler, Bauer and Fetherstonhaugh 2016)</w:t>
      </w:r>
      <w:r w:rsidR="007E495D" w:rsidRPr="00C26F73">
        <w:rPr>
          <w:b w:val="0"/>
        </w:rPr>
        <w:t xml:space="preserve"> has also been examined, with a focus on physicians </w:t>
      </w:r>
      <w:r w:rsidR="0098364A" w:rsidRPr="00C26F73">
        <w:rPr>
          <w:b w:val="0"/>
          <w:noProof/>
        </w:rPr>
        <w:t>(Dogan</w:t>
      </w:r>
      <w:r w:rsidR="00655E80" w:rsidRPr="00C26F73">
        <w:rPr>
          <w:b w:val="0"/>
          <w:noProof/>
        </w:rPr>
        <w:t>, Demir,</w:t>
      </w:r>
      <w:r w:rsidR="0098364A" w:rsidRPr="00C26F73">
        <w:rPr>
          <w:b w:val="0"/>
          <w:noProof/>
        </w:rPr>
        <w:t xml:space="preserve"> et al. 2008; Langer-Most and Langer 2010; Gott, Hinchliff, and Galena 2004)</w:t>
      </w:r>
      <w:r w:rsidR="007E495D" w:rsidRPr="00C26F73">
        <w:rPr>
          <w:b w:val="0"/>
        </w:rPr>
        <w:t xml:space="preserve"> and residential care </w:t>
      </w:r>
      <w:r w:rsidR="0098364A" w:rsidRPr="00C26F73">
        <w:rPr>
          <w:b w:val="0"/>
          <w:noProof/>
        </w:rPr>
        <w:t>(Bauer, McAuliffe, et al. 2013; Di Napoli, Breland, and Allen 2013)</w:t>
      </w:r>
      <w:r w:rsidR="007E495D" w:rsidRPr="00C26F73">
        <w:rPr>
          <w:b w:val="0"/>
        </w:rPr>
        <w:t xml:space="preserve">. </w:t>
      </w:r>
    </w:p>
    <w:p w:rsidR="001467CF" w:rsidRPr="00C26F73" w:rsidRDefault="007E495D" w:rsidP="001467CF">
      <w:pPr>
        <w:spacing w:line="240" w:lineRule="auto"/>
        <w:ind w:firstLine="720"/>
        <w:contextualSpacing/>
        <w:jc w:val="both"/>
        <w:rPr>
          <w:b w:val="0"/>
          <w:bCs/>
        </w:rPr>
      </w:pPr>
      <w:r w:rsidRPr="00C26F73">
        <w:rPr>
          <w:b w:val="0"/>
        </w:rPr>
        <w:t xml:space="preserve">Our initial review of empirical literature identified that </w:t>
      </w:r>
      <w:r w:rsidR="00BA2944" w:rsidRPr="00C26F73">
        <w:rPr>
          <w:b w:val="0"/>
        </w:rPr>
        <w:t xml:space="preserve">rather </w:t>
      </w:r>
      <w:r w:rsidRPr="00C26F73">
        <w:rPr>
          <w:b w:val="0"/>
        </w:rPr>
        <w:t>less research about sexuality and aging from the subjective perspectives of older people was available. Studies examining older adults’ sexuality have mainly focused on sexual behaviour, sexua</w:t>
      </w:r>
      <w:r w:rsidR="00BA2944" w:rsidRPr="00C26F73">
        <w:rPr>
          <w:b w:val="0"/>
        </w:rPr>
        <w:t>l health and sexual dysfunction,</w:t>
      </w:r>
      <w:r w:rsidRPr="00C26F73">
        <w:rPr>
          <w:b w:val="0"/>
        </w:rPr>
        <w:t xml:space="preserve"> through quantitative analyses (e.g. </w:t>
      </w:r>
      <w:r w:rsidR="0098364A" w:rsidRPr="00C26F73">
        <w:rPr>
          <w:b w:val="0"/>
          <w:noProof/>
        </w:rPr>
        <w:t>Twenge, Sherman and Wells 2015; Laumann</w:t>
      </w:r>
      <w:r w:rsidR="00655E80" w:rsidRPr="00C26F73">
        <w:rPr>
          <w:b w:val="0"/>
          <w:noProof/>
        </w:rPr>
        <w:t>, Nicolosi,</w:t>
      </w:r>
      <w:r w:rsidR="0098364A" w:rsidRPr="00C26F73">
        <w:rPr>
          <w:b w:val="0"/>
          <w:noProof/>
        </w:rPr>
        <w:t xml:space="preserve"> et al. 2005; Lee</w:t>
      </w:r>
      <w:r w:rsidR="00655E80" w:rsidRPr="00C26F73">
        <w:rPr>
          <w:b w:val="0"/>
          <w:noProof/>
        </w:rPr>
        <w:t>, Nazroo,</w:t>
      </w:r>
      <w:r w:rsidR="0098364A" w:rsidRPr="00C26F73">
        <w:rPr>
          <w:b w:val="0"/>
          <w:noProof/>
        </w:rPr>
        <w:t xml:space="preserve"> et al. 2016; </w:t>
      </w:r>
      <w:r w:rsidR="0098364A" w:rsidRPr="00155022">
        <w:rPr>
          <w:b w:val="0"/>
          <w:noProof/>
        </w:rPr>
        <w:t>Lindau</w:t>
      </w:r>
      <w:r w:rsidR="00655E80" w:rsidRPr="00155022">
        <w:rPr>
          <w:b w:val="0"/>
          <w:noProof/>
        </w:rPr>
        <w:t xml:space="preserve">, Schumm, </w:t>
      </w:r>
      <w:r w:rsidR="0098364A" w:rsidRPr="00155022">
        <w:rPr>
          <w:b w:val="0"/>
          <w:noProof/>
        </w:rPr>
        <w:t xml:space="preserve"> et al. 2007)</w:t>
      </w:r>
      <w:r w:rsidRPr="00155022">
        <w:rPr>
          <w:b w:val="0"/>
        </w:rPr>
        <w:t>. Other research</w:t>
      </w:r>
      <w:r w:rsidR="00BA2944" w:rsidRPr="00155022">
        <w:rPr>
          <w:b w:val="0"/>
        </w:rPr>
        <w:t xml:space="preserve"> has</w:t>
      </w:r>
      <w:r w:rsidRPr="00155022">
        <w:rPr>
          <w:b w:val="0"/>
        </w:rPr>
        <w:t xml:space="preserve"> tended to focus on the perspectives of </w:t>
      </w:r>
      <w:r w:rsidR="001C5553" w:rsidRPr="00155022">
        <w:rPr>
          <w:b w:val="0"/>
        </w:rPr>
        <w:t xml:space="preserve">health professionals </w:t>
      </w:r>
      <w:r w:rsidRPr="00155022">
        <w:rPr>
          <w:b w:val="0"/>
        </w:rPr>
        <w:t>and family members regarding later life sexuality, rather than those of older people</w:t>
      </w:r>
      <w:r w:rsidR="0098364A" w:rsidRPr="00155022">
        <w:rPr>
          <w:b w:val="0"/>
          <w:noProof/>
        </w:rPr>
        <w:t xml:space="preserve"> (e.g. Villar and Serrat 2016; Roach 2004; Bauer</w:t>
      </w:r>
      <w:r w:rsidR="00655E80" w:rsidRPr="00155022">
        <w:rPr>
          <w:b w:val="0"/>
          <w:noProof/>
        </w:rPr>
        <w:t>, Nay,</w:t>
      </w:r>
      <w:r w:rsidR="0098364A" w:rsidRPr="00155022">
        <w:rPr>
          <w:b w:val="0"/>
          <w:noProof/>
        </w:rPr>
        <w:t xml:space="preserve"> et al. 2014)</w:t>
      </w:r>
      <w:r w:rsidRPr="00155022">
        <w:rPr>
          <w:b w:val="0"/>
        </w:rPr>
        <w:t xml:space="preserve">. Given that there is less research about sexuality and aging from the </w:t>
      </w:r>
      <w:r w:rsidR="00BA2944" w:rsidRPr="00155022">
        <w:rPr>
          <w:b w:val="0"/>
        </w:rPr>
        <w:t>perspective</w:t>
      </w:r>
      <w:r w:rsidRPr="00155022">
        <w:rPr>
          <w:b w:val="0"/>
        </w:rPr>
        <w:t xml:space="preserve"> of older people</w:t>
      </w:r>
      <w:r w:rsidR="00BA2944" w:rsidRPr="00155022">
        <w:rPr>
          <w:b w:val="0"/>
        </w:rPr>
        <w:t xml:space="preserve"> themselves</w:t>
      </w:r>
      <w:r w:rsidRPr="00155022">
        <w:rPr>
          <w:b w:val="0"/>
        </w:rPr>
        <w:t xml:space="preserve">, placing older people's voices at the centre of any analysis provides an opportunity to understand their views about their own sexuality and how these perspectives might meet their needs and shape services and support </w:t>
      </w:r>
      <w:r w:rsidR="0098364A" w:rsidRPr="00155022">
        <w:rPr>
          <w:b w:val="0"/>
          <w:noProof/>
        </w:rPr>
        <w:t>(Gott and Hinchliff 2003)</w:t>
      </w:r>
      <w:r w:rsidRPr="00155022">
        <w:rPr>
          <w:b w:val="0"/>
        </w:rPr>
        <w:t xml:space="preserve">. Our aim in this study was to review and synthesise </w:t>
      </w:r>
      <w:r w:rsidR="001C5553" w:rsidRPr="00155022">
        <w:rPr>
          <w:b w:val="0"/>
        </w:rPr>
        <w:t xml:space="preserve">qualitative </w:t>
      </w:r>
      <w:r w:rsidRPr="00155022">
        <w:rPr>
          <w:b w:val="0"/>
        </w:rPr>
        <w:t>research on older people’s sexuality from their own perspectives</w:t>
      </w:r>
      <w:r w:rsidR="001C5553" w:rsidRPr="00155022">
        <w:rPr>
          <w:b w:val="0"/>
        </w:rPr>
        <w:t xml:space="preserve">, </w:t>
      </w:r>
      <w:bookmarkStart w:id="1" w:name="_Hlk504116107"/>
      <w:r w:rsidRPr="00155022">
        <w:rPr>
          <w:b w:val="0"/>
        </w:rPr>
        <w:t>attitudes</w:t>
      </w:r>
      <w:r w:rsidR="001C5553" w:rsidRPr="00155022">
        <w:rPr>
          <w:b w:val="0"/>
        </w:rPr>
        <w:t xml:space="preserve">, </w:t>
      </w:r>
      <w:r w:rsidRPr="00155022">
        <w:rPr>
          <w:b w:val="0"/>
        </w:rPr>
        <w:t>perceptions and personal sexual experiences</w:t>
      </w:r>
      <w:bookmarkEnd w:id="1"/>
      <w:r w:rsidR="001C5553" w:rsidRPr="00155022">
        <w:rPr>
          <w:b w:val="0"/>
        </w:rPr>
        <w:t>.</w:t>
      </w:r>
    </w:p>
    <w:p w:rsidR="000678DA" w:rsidRDefault="000678DA" w:rsidP="000678DA">
      <w:pPr>
        <w:spacing w:line="240" w:lineRule="auto"/>
        <w:contextualSpacing/>
        <w:jc w:val="both"/>
        <w:rPr>
          <w:bCs/>
        </w:rPr>
      </w:pPr>
    </w:p>
    <w:p w:rsidR="007E495D" w:rsidRPr="00C26F73" w:rsidRDefault="007E495D" w:rsidP="000678DA">
      <w:pPr>
        <w:spacing w:line="240" w:lineRule="auto"/>
        <w:contextualSpacing/>
        <w:jc w:val="both"/>
        <w:rPr>
          <w:bCs/>
        </w:rPr>
      </w:pPr>
      <w:r w:rsidRPr="00C26F73">
        <w:rPr>
          <w:bCs/>
        </w:rPr>
        <w:t>Methods</w:t>
      </w:r>
    </w:p>
    <w:p w:rsidR="001467CF" w:rsidRPr="00C26F73" w:rsidRDefault="001467CF" w:rsidP="007E495D">
      <w:pPr>
        <w:spacing w:line="240" w:lineRule="auto"/>
        <w:contextualSpacing/>
        <w:jc w:val="both"/>
        <w:rPr>
          <w:b w:val="0"/>
          <w:bCs/>
        </w:rPr>
      </w:pPr>
    </w:p>
    <w:p w:rsidR="007E495D" w:rsidRPr="00C26F73" w:rsidRDefault="007E495D" w:rsidP="007E495D">
      <w:pPr>
        <w:spacing w:line="240" w:lineRule="auto"/>
        <w:contextualSpacing/>
        <w:jc w:val="both"/>
        <w:rPr>
          <w:bCs/>
          <w:i/>
          <w:iCs/>
        </w:rPr>
      </w:pPr>
      <w:r w:rsidRPr="00C26F73">
        <w:rPr>
          <w:bCs/>
          <w:i/>
          <w:iCs/>
        </w:rPr>
        <w:t>Conducting the search</w:t>
      </w:r>
    </w:p>
    <w:p w:rsidR="001467CF" w:rsidRPr="00C26F73" w:rsidRDefault="001467CF" w:rsidP="007E495D">
      <w:pPr>
        <w:spacing w:line="240" w:lineRule="auto"/>
        <w:contextualSpacing/>
        <w:jc w:val="both"/>
        <w:rPr>
          <w:bCs/>
          <w:i/>
          <w:iCs/>
        </w:rPr>
      </w:pPr>
    </w:p>
    <w:p w:rsidR="007E495D" w:rsidRPr="00C26F73" w:rsidRDefault="007E495D" w:rsidP="007E495D">
      <w:pPr>
        <w:spacing w:line="240" w:lineRule="auto"/>
        <w:contextualSpacing/>
        <w:jc w:val="both"/>
        <w:rPr>
          <w:b w:val="0"/>
        </w:rPr>
      </w:pPr>
      <w:r w:rsidRPr="00C26F73">
        <w:rPr>
          <w:b w:val="0"/>
        </w:rPr>
        <w:t xml:space="preserve">The review was based on </w:t>
      </w:r>
      <w:r w:rsidR="00BA2944" w:rsidRPr="00C26F73">
        <w:rPr>
          <w:b w:val="0"/>
        </w:rPr>
        <w:t xml:space="preserve">the </w:t>
      </w:r>
      <w:r w:rsidR="00BA2944" w:rsidRPr="00C26F73">
        <w:rPr>
          <w:b w:val="0"/>
          <w:i/>
          <w:iCs/>
        </w:rPr>
        <w:t>SCIE Systematic Research Reviews: Guidelines</w:t>
      </w:r>
      <w:r w:rsidRPr="00C26F73">
        <w:rPr>
          <w:b w:val="0"/>
        </w:rPr>
        <w:t xml:space="preserve"> </w:t>
      </w:r>
      <w:r w:rsidR="0098364A" w:rsidRPr="00C26F73">
        <w:rPr>
          <w:b w:val="0"/>
          <w:bCs/>
          <w:noProof/>
          <w:lang w:bidi="he-IL"/>
        </w:rPr>
        <w:t>(Rutter</w:t>
      </w:r>
      <w:r w:rsidR="00655E80" w:rsidRPr="00C26F73">
        <w:rPr>
          <w:b w:val="0"/>
          <w:bCs/>
          <w:noProof/>
          <w:lang w:bidi="he-IL"/>
        </w:rPr>
        <w:t>, Francis,</w:t>
      </w:r>
      <w:r w:rsidR="0098364A" w:rsidRPr="00C26F73">
        <w:rPr>
          <w:b w:val="0"/>
          <w:bCs/>
          <w:noProof/>
          <w:lang w:bidi="he-IL"/>
        </w:rPr>
        <w:t xml:space="preserve"> et al. 2010)</w:t>
      </w:r>
      <w:r w:rsidRPr="00C26F73">
        <w:rPr>
          <w:b w:val="0"/>
        </w:rPr>
        <w:t xml:space="preserve"> Key words were: ("older adult*" OR senior* OR elder*) AND (sex OR sexual* OR intimacy) AND (image* OR perception* OR attitude* OR expectation* OR stigma OR belief* OR knowledge* OR stereotype* OR desire* OR need*). The following databases were searched, given the cross-disciplinary topic: CINAHL, SCOPUS, PsycINFO, PsychARTICLES, Web of Knowledge, Open Grey, PubMed, Web of Science, Sociological Abstracts and </w:t>
      </w:r>
      <w:r w:rsidRPr="00C26F73">
        <w:rPr>
          <w:b w:val="0"/>
        </w:rPr>
        <w:lastRenderedPageBreak/>
        <w:t xml:space="preserve">German datasets (PubPsych, which includes PSYNDEX; PASCAL; ISOC-Psicología; MEDLINE®; ERIC; NARCIS; NORART; PsychOpen; and PsychData). A snowball search was subsequently conducted via Google Scholar using the function </w:t>
      </w:r>
      <w:r w:rsidRPr="00C26F73">
        <w:rPr>
          <w:b w:val="0"/>
          <w:bCs/>
        </w:rPr>
        <w:t>‘</w:t>
      </w:r>
      <w:r w:rsidRPr="00C26F73">
        <w:rPr>
          <w:b w:val="0"/>
        </w:rPr>
        <w:t>cited by</w:t>
      </w:r>
      <w:r w:rsidRPr="00C26F73">
        <w:rPr>
          <w:b w:val="0"/>
          <w:bCs/>
        </w:rPr>
        <w:t xml:space="preserve">’ </w:t>
      </w:r>
      <w:r w:rsidRPr="00C26F73">
        <w:rPr>
          <w:b w:val="0"/>
        </w:rPr>
        <w:t xml:space="preserve">and </w:t>
      </w:r>
      <w:r w:rsidRPr="00C26F73">
        <w:rPr>
          <w:b w:val="0"/>
          <w:bCs/>
        </w:rPr>
        <w:t>‘</w:t>
      </w:r>
      <w:r w:rsidRPr="00C26F73">
        <w:rPr>
          <w:b w:val="0"/>
        </w:rPr>
        <w:t>related articles</w:t>
      </w:r>
      <w:r w:rsidRPr="00C26F73">
        <w:rPr>
          <w:b w:val="0"/>
          <w:bCs/>
        </w:rPr>
        <w:t>’</w:t>
      </w:r>
      <w:r w:rsidRPr="00C26F73">
        <w:rPr>
          <w:b w:val="0"/>
        </w:rPr>
        <w:t xml:space="preserve"> to capture any further studies not initially identified. The search in databases was conducted </w:t>
      </w:r>
      <w:r w:rsidR="00BA2944" w:rsidRPr="00C26F73">
        <w:rPr>
          <w:b w:val="0"/>
        </w:rPr>
        <w:t>in</w:t>
      </w:r>
      <w:r w:rsidRPr="00C26F73">
        <w:rPr>
          <w:b w:val="0"/>
        </w:rPr>
        <w:t xml:space="preserve"> November 2015. </w:t>
      </w:r>
    </w:p>
    <w:p w:rsidR="001467CF" w:rsidRPr="00C26F73" w:rsidRDefault="001467CF" w:rsidP="007E495D">
      <w:pPr>
        <w:spacing w:line="240" w:lineRule="auto"/>
        <w:contextualSpacing/>
        <w:jc w:val="both"/>
        <w:rPr>
          <w:b w:val="0"/>
          <w:i/>
        </w:rPr>
      </w:pPr>
    </w:p>
    <w:p w:rsidR="007E495D" w:rsidRPr="00C26F73" w:rsidRDefault="007E495D" w:rsidP="007E495D">
      <w:pPr>
        <w:spacing w:line="240" w:lineRule="auto"/>
        <w:contextualSpacing/>
        <w:jc w:val="both"/>
        <w:rPr>
          <w:i/>
        </w:rPr>
      </w:pPr>
      <w:r w:rsidRPr="00C26F73">
        <w:rPr>
          <w:i/>
        </w:rPr>
        <w:t>Inclusion and exclusion criteria</w:t>
      </w:r>
    </w:p>
    <w:p w:rsidR="001467CF" w:rsidRPr="00C26F73" w:rsidRDefault="001467CF" w:rsidP="007E495D">
      <w:pPr>
        <w:spacing w:line="240" w:lineRule="auto"/>
        <w:contextualSpacing/>
        <w:jc w:val="both"/>
        <w:rPr>
          <w:i/>
        </w:rPr>
      </w:pPr>
    </w:p>
    <w:p w:rsidR="007E495D" w:rsidRPr="00C26F73" w:rsidRDefault="00BA2944" w:rsidP="007E495D">
      <w:pPr>
        <w:spacing w:line="240" w:lineRule="auto"/>
        <w:contextualSpacing/>
        <w:jc w:val="both"/>
        <w:rPr>
          <w:b w:val="0"/>
        </w:rPr>
      </w:pPr>
      <w:r w:rsidRPr="00C26F73">
        <w:rPr>
          <w:b w:val="0"/>
        </w:rPr>
        <w:t>Inclusion criteria were</w:t>
      </w:r>
      <w:r w:rsidR="007E495D" w:rsidRPr="00C26F73">
        <w:rPr>
          <w:b w:val="0"/>
        </w:rPr>
        <w:t xml:space="preserve"> 1) articles written in English, German, or Hebrew (languages of study co-authors), 2) </w:t>
      </w:r>
      <w:bookmarkStart w:id="2" w:name="_Hlk504037303"/>
      <w:r w:rsidR="007E495D" w:rsidRPr="00C26F73">
        <w:rPr>
          <w:b w:val="0"/>
        </w:rPr>
        <w:t>qualitative research design with findings based on empirical data, 3) samples with individuals 60 years and older</w:t>
      </w:r>
      <w:bookmarkEnd w:id="2"/>
      <w:r w:rsidR="007E495D" w:rsidRPr="00C26F73">
        <w:rPr>
          <w:b w:val="0"/>
        </w:rPr>
        <w:t>, and 4) studies based on older people’s own attitudes or perceptions about their sexuality and personal sexual experi</w:t>
      </w:r>
      <w:r w:rsidRPr="00C26F73">
        <w:rPr>
          <w:b w:val="0"/>
        </w:rPr>
        <w:t>ences. We excluded studies that</w:t>
      </w:r>
      <w:r w:rsidR="007E495D" w:rsidRPr="00C26F73">
        <w:rPr>
          <w:b w:val="0"/>
        </w:rPr>
        <w:t xml:space="preserve"> 1) focused exclusively on sexual behaviours or practices (as we were particularly interested in capturing older people’s voices and perceptions about their sexuality, rather than sexual behaviours, 2) included participants younger than 60 years, 3) were based on quantitative methods, 4) were opinion or review studies and those where the full texts were not obtainable, </w:t>
      </w:r>
      <w:r w:rsidRPr="00C26F73">
        <w:rPr>
          <w:b w:val="0"/>
        </w:rPr>
        <w:t>a</w:t>
      </w:r>
      <w:r w:rsidR="007E495D" w:rsidRPr="00C26F73">
        <w:rPr>
          <w:b w:val="0"/>
        </w:rPr>
        <w:t>nd 5) studies not</w:t>
      </w:r>
      <w:r w:rsidRPr="00C26F73">
        <w:rPr>
          <w:b w:val="0"/>
        </w:rPr>
        <w:t xml:space="preserve"> written in </w:t>
      </w:r>
      <w:r w:rsidR="007E495D" w:rsidRPr="00C26F73">
        <w:rPr>
          <w:b w:val="0"/>
        </w:rPr>
        <w:t xml:space="preserve">English, German or Hebrew. There were no restrictions related to the location or date of the study. The search process complied with the Preferred Reporting Items for Systematic Reviews and Meta-Analyses (PRISMA) flow diagram </w:t>
      </w:r>
      <w:r w:rsidR="0098364A" w:rsidRPr="00C26F73">
        <w:rPr>
          <w:b w:val="0"/>
          <w:noProof/>
        </w:rPr>
        <w:t>(Moher</w:t>
      </w:r>
      <w:r w:rsidR="00002BEB" w:rsidRPr="00C26F73">
        <w:rPr>
          <w:b w:val="0"/>
          <w:noProof/>
        </w:rPr>
        <w:t>, Liberati,</w:t>
      </w:r>
      <w:r w:rsidR="0098364A" w:rsidRPr="00C26F73">
        <w:rPr>
          <w:b w:val="0"/>
          <w:noProof/>
        </w:rPr>
        <w:t xml:space="preserve"> et al. 2010)</w:t>
      </w:r>
      <w:r w:rsidR="007E495D" w:rsidRPr="00C26F73">
        <w:rPr>
          <w:b w:val="0"/>
        </w:rPr>
        <w:t>, as illustrated in Figure 1.</w:t>
      </w:r>
    </w:p>
    <w:p w:rsidR="007E495D" w:rsidRPr="00C26F73" w:rsidRDefault="007E495D" w:rsidP="001467CF">
      <w:pPr>
        <w:spacing w:line="240" w:lineRule="auto"/>
        <w:ind w:firstLine="720"/>
        <w:contextualSpacing/>
        <w:jc w:val="both"/>
        <w:rPr>
          <w:b w:val="0"/>
        </w:rPr>
      </w:pPr>
      <w:r w:rsidRPr="00C26F73">
        <w:rPr>
          <w:b w:val="0"/>
        </w:rPr>
        <w:t>The initial search yielded 19,548 records, further screening of titles, abstracts and removal of duplicates resulted in a total of 181 full texts, of which 15 met the study criteria. The Google Scholar snowball search resulted in 24 studies, of which 5 wer</w:t>
      </w:r>
      <w:r w:rsidR="00BA2944" w:rsidRPr="00C26F73">
        <w:rPr>
          <w:b w:val="0"/>
        </w:rPr>
        <w:t>e included (see Figure 1).</w:t>
      </w:r>
      <w:r w:rsidRPr="00C26F73">
        <w:rPr>
          <w:b w:val="0"/>
        </w:rPr>
        <w:t xml:space="preserve"> A total of 20 papers met all the inclusion criteria. </w:t>
      </w:r>
    </w:p>
    <w:p w:rsidR="00BA2944" w:rsidRPr="00C26F73" w:rsidRDefault="00BA2944" w:rsidP="001467CF">
      <w:pPr>
        <w:spacing w:line="240" w:lineRule="auto"/>
        <w:ind w:firstLine="720"/>
        <w:contextualSpacing/>
        <w:jc w:val="both"/>
        <w:rPr>
          <w:b w:val="0"/>
        </w:rPr>
      </w:pPr>
    </w:p>
    <w:p w:rsidR="00BA2944" w:rsidRPr="00C26F73" w:rsidRDefault="00BA2944" w:rsidP="001467CF">
      <w:pPr>
        <w:spacing w:line="240" w:lineRule="auto"/>
        <w:ind w:firstLine="720"/>
        <w:contextualSpacing/>
        <w:jc w:val="both"/>
        <w:rPr>
          <w:b w:val="0"/>
        </w:rPr>
      </w:pPr>
      <w:r w:rsidRPr="00C26F73">
        <w:rPr>
          <w:b w:val="0"/>
        </w:rPr>
        <w:t>Figure 1 about here</w:t>
      </w:r>
    </w:p>
    <w:p w:rsidR="001467CF" w:rsidRPr="00C26F73" w:rsidRDefault="001467CF" w:rsidP="007E495D">
      <w:pPr>
        <w:spacing w:line="240" w:lineRule="auto"/>
        <w:contextualSpacing/>
        <w:jc w:val="both"/>
        <w:rPr>
          <w:b w:val="0"/>
          <w:i/>
        </w:rPr>
      </w:pPr>
    </w:p>
    <w:p w:rsidR="007E495D" w:rsidRPr="00C26F73" w:rsidRDefault="007E495D" w:rsidP="007E495D">
      <w:pPr>
        <w:spacing w:line="240" w:lineRule="auto"/>
        <w:contextualSpacing/>
        <w:jc w:val="both"/>
        <w:rPr>
          <w:i/>
        </w:rPr>
      </w:pPr>
      <w:r w:rsidRPr="00C26F73">
        <w:rPr>
          <w:i/>
        </w:rPr>
        <w:t>Review process</w:t>
      </w:r>
    </w:p>
    <w:p w:rsidR="001467CF" w:rsidRPr="00C26F73" w:rsidRDefault="001467CF" w:rsidP="007E495D">
      <w:pPr>
        <w:spacing w:line="240" w:lineRule="auto"/>
        <w:contextualSpacing/>
        <w:jc w:val="both"/>
        <w:rPr>
          <w:i/>
        </w:rPr>
      </w:pPr>
    </w:p>
    <w:p w:rsidR="007E495D" w:rsidRPr="00C26F73" w:rsidRDefault="007E495D" w:rsidP="007E495D">
      <w:pPr>
        <w:spacing w:line="240" w:lineRule="auto"/>
        <w:contextualSpacing/>
        <w:jc w:val="both"/>
        <w:rPr>
          <w:b w:val="0"/>
        </w:rPr>
      </w:pPr>
      <w:r w:rsidRPr="00C26F73">
        <w:rPr>
          <w:b w:val="0"/>
        </w:rPr>
        <w:t xml:space="preserve">All titles and abstracts were reviewed independently for relevance by at least two reviewers and disagreements were resolved through consensus or by involving a third reviewer. Each full-text study (n=205) was read </w:t>
      </w:r>
      <w:r w:rsidR="00BA2944" w:rsidRPr="00C26F73">
        <w:rPr>
          <w:b w:val="0"/>
        </w:rPr>
        <w:t xml:space="preserve">first </w:t>
      </w:r>
      <w:r w:rsidRPr="00C26F73">
        <w:rPr>
          <w:b w:val="0"/>
        </w:rPr>
        <w:t xml:space="preserve">by one reviewer and </w:t>
      </w:r>
      <w:r w:rsidR="00BA2944" w:rsidRPr="00C26F73">
        <w:rPr>
          <w:b w:val="0"/>
        </w:rPr>
        <w:t>an</w:t>
      </w:r>
      <w:r w:rsidRPr="00C26F73">
        <w:rPr>
          <w:b w:val="0"/>
        </w:rPr>
        <w:t xml:space="preserve">other reviewer </w:t>
      </w:r>
      <w:r w:rsidR="00BA2944" w:rsidRPr="00C26F73">
        <w:rPr>
          <w:b w:val="0"/>
        </w:rPr>
        <w:t>then</w:t>
      </w:r>
      <w:r w:rsidRPr="00C26F73">
        <w:rPr>
          <w:b w:val="0"/>
        </w:rPr>
        <w:t xml:space="preserve"> reread, filtered and re-evaluated the papers for inclusion. The Critical Appraisal Skills Programme tool, developed for screening and appraising qualitative research (www.casp-uk.net), was adapted to inform a protocol for systematically assessing studies based on the inclusion criteria. </w:t>
      </w:r>
    </w:p>
    <w:p w:rsidR="001467CF" w:rsidRPr="00C26F73" w:rsidRDefault="001467CF" w:rsidP="007E495D">
      <w:pPr>
        <w:spacing w:line="240" w:lineRule="auto"/>
        <w:contextualSpacing/>
        <w:jc w:val="both"/>
        <w:rPr>
          <w:b w:val="0"/>
          <w:bCs/>
        </w:rPr>
      </w:pPr>
    </w:p>
    <w:p w:rsidR="007E495D" w:rsidRPr="00C26F73" w:rsidRDefault="007E495D" w:rsidP="007E495D">
      <w:pPr>
        <w:spacing w:line="240" w:lineRule="auto"/>
        <w:contextualSpacing/>
        <w:jc w:val="both"/>
        <w:rPr>
          <w:bCs/>
          <w:i/>
        </w:rPr>
      </w:pPr>
      <w:r w:rsidRPr="00C26F73">
        <w:rPr>
          <w:bCs/>
          <w:i/>
        </w:rPr>
        <w:t>Data analysis</w:t>
      </w:r>
    </w:p>
    <w:p w:rsidR="001467CF" w:rsidRPr="00C26F73" w:rsidRDefault="001467CF" w:rsidP="007E495D">
      <w:pPr>
        <w:spacing w:line="240" w:lineRule="auto"/>
        <w:contextualSpacing/>
        <w:jc w:val="both"/>
        <w:rPr>
          <w:bCs/>
        </w:rPr>
      </w:pPr>
    </w:p>
    <w:p w:rsidR="007E495D" w:rsidRPr="00C26F73" w:rsidRDefault="007E495D" w:rsidP="007E495D">
      <w:pPr>
        <w:spacing w:line="240" w:lineRule="auto"/>
        <w:contextualSpacing/>
        <w:jc w:val="both"/>
        <w:rPr>
          <w:b w:val="0"/>
        </w:rPr>
      </w:pPr>
      <w:r w:rsidRPr="00C26F73">
        <w:rPr>
          <w:b w:val="0"/>
        </w:rPr>
        <w:t xml:space="preserve">Thematic synthesis </w:t>
      </w:r>
      <w:r w:rsidR="00BA2944" w:rsidRPr="00C26F73">
        <w:rPr>
          <w:b w:val="0"/>
        </w:rPr>
        <w:t>was</w:t>
      </w:r>
      <w:r w:rsidRPr="00C26F73">
        <w:rPr>
          <w:b w:val="0"/>
        </w:rPr>
        <w:t xml:space="preserve"> used to analyse data in primary qualitative research to bring together and integrate the findings of multiple qualitative studies </w:t>
      </w:r>
      <w:r w:rsidR="0098364A" w:rsidRPr="00C26F73">
        <w:rPr>
          <w:b w:val="0"/>
          <w:noProof/>
        </w:rPr>
        <w:t>(Thomas and Harden 2008)</w:t>
      </w:r>
      <w:r w:rsidR="00BA2944" w:rsidRPr="00C26F73">
        <w:rPr>
          <w:b w:val="0"/>
        </w:rPr>
        <w:t>. It followed</w:t>
      </w:r>
      <w:r w:rsidR="008F6F5C" w:rsidRPr="00C26F73">
        <w:rPr>
          <w:b w:val="0"/>
        </w:rPr>
        <w:t xml:space="preserve"> three stages. First, </w:t>
      </w:r>
      <w:r w:rsidRPr="00C26F73">
        <w:rPr>
          <w:b w:val="0"/>
        </w:rPr>
        <w:t xml:space="preserve">open coding of </w:t>
      </w:r>
      <w:r w:rsidR="008F6F5C" w:rsidRPr="00C26F73">
        <w:rPr>
          <w:b w:val="0"/>
        </w:rPr>
        <w:t xml:space="preserve">the </w:t>
      </w:r>
      <w:r w:rsidRPr="00C26F73">
        <w:rPr>
          <w:b w:val="0"/>
        </w:rPr>
        <w:t xml:space="preserve">text 'line-by-line' </w:t>
      </w:r>
      <w:r w:rsidR="008F6F5C" w:rsidRPr="00C26F73">
        <w:rPr>
          <w:b w:val="0"/>
        </w:rPr>
        <w:t>was undertaken</w:t>
      </w:r>
      <w:r w:rsidRPr="00C26F73">
        <w:rPr>
          <w:b w:val="0"/>
        </w:rPr>
        <w:t xml:space="preserve"> by two reviewers independently in order to generate 'descriptive themes' about what older people said about their </w:t>
      </w:r>
      <w:r w:rsidR="00BA2944" w:rsidRPr="00C26F73">
        <w:rPr>
          <w:b w:val="0"/>
        </w:rPr>
        <w:t>sexuality</w:t>
      </w:r>
      <w:r w:rsidR="008F6F5C" w:rsidRPr="00C26F73">
        <w:rPr>
          <w:b w:val="0"/>
        </w:rPr>
        <w:t xml:space="preserve">. This was followed by </w:t>
      </w:r>
      <w:r w:rsidRPr="00C26F73">
        <w:rPr>
          <w:b w:val="0"/>
        </w:rPr>
        <w:t>the generation of 'analytical themes'. Whilst the descriptive themes (see Table 2</w:t>
      </w:r>
      <w:r w:rsidR="00BA2944" w:rsidRPr="00C26F73">
        <w:rPr>
          <w:b w:val="0"/>
        </w:rPr>
        <w:t xml:space="preserve"> </w:t>
      </w:r>
      <w:r w:rsidRPr="00C26F73">
        <w:rPr>
          <w:b w:val="0"/>
        </w:rPr>
        <w:t xml:space="preserve">for more detail of how the eight descriptive </w:t>
      </w:r>
      <w:r w:rsidRPr="00C26F73">
        <w:rPr>
          <w:b w:val="0"/>
        </w:rPr>
        <w:lastRenderedPageBreak/>
        <w:t xml:space="preserve">themes (A-H) were generated from the data) remained close to those of the primary studies, the analytical themes </w:t>
      </w:r>
      <w:r w:rsidR="008F6F5C" w:rsidRPr="00C26F73">
        <w:rPr>
          <w:b w:val="0"/>
        </w:rPr>
        <w:t>were initially developed by</w:t>
      </w:r>
      <w:r w:rsidRPr="00C26F73">
        <w:rPr>
          <w:b w:val="0"/>
        </w:rPr>
        <w:t xml:space="preserve"> the first two authors </w:t>
      </w:r>
      <w:r w:rsidR="008F6F5C" w:rsidRPr="00C26F73">
        <w:rPr>
          <w:b w:val="0"/>
        </w:rPr>
        <w:t xml:space="preserve">who </w:t>
      </w:r>
      <w:r w:rsidRPr="00C26F73">
        <w:rPr>
          <w:b w:val="0"/>
        </w:rPr>
        <w:t xml:space="preserve">examined the descriptive themes in order to </w:t>
      </w:r>
      <w:bookmarkStart w:id="3" w:name="_Hlk509216347"/>
      <w:r w:rsidRPr="00C26F73">
        <w:rPr>
          <w:b w:val="0"/>
        </w:rPr>
        <w:t>synthesise</w:t>
      </w:r>
      <w:bookmarkEnd w:id="3"/>
      <w:r w:rsidRPr="00C26F73">
        <w:rPr>
          <w:b w:val="0"/>
        </w:rPr>
        <w:t xml:space="preserve"> primary studies and findings across the studies</w:t>
      </w:r>
      <w:r w:rsidR="00EF60A4" w:rsidRPr="00C26F73">
        <w:rPr>
          <w:b w:val="0"/>
          <w:strike/>
        </w:rPr>
        <w:t>.</w:t>
      </w:r>
      <w:r w:rsidRPr="00C26F73">
        <w:rPr>
          <w:b w:val="0"/>
        </w:rPr>
        <w:t xml:space="preserve"> All authors</w:t>
      </w:r>
      <w:r w:rsidR="008F6F5C" w:rsidRPr="00C26F73">
        <w:rPr>
          <w:b w:val="0"/>
        </w:rPr>
        <w:t xml:space="preserve"> then</w:t>
      </w:r>
      <w:r w:rsidRPr="00C26F73">
        <w:rPr>
          <w:b w:val="0"/>
        </w:rPr>
        <w:t xml:space="preserve"> commented on </w:t>
      </w:r>
      <w:r w:rsidR="008F6F5C" w:rsidRPr="00C26F73">
        <w:rPr>
          <w:b w:val="0"/>
        </w:rPr>
        <w:t>these themes</w:t>
      </w:r>
      <w:r w:rsidRPr="00C26F73">
        <w:rPr>
          <w:b w:val="0"/>
        </w:rPr>
        <w:t xml:space="preserve"> until </w:t>
      </w:r>
      <w:r w:rsidR="008F6F5C" w:rsidRPr="00C26F73">
        <w:rPr>
          <w:b w:val="0"/>
        </w:rPr>
        <w:t>a</w:t>
      </w:r>
      <w:r w:rsidRPr="00C26F73">
        <w:rPr>
          <w:b w:val="0"/>
        </w:rPr>
        <w:t xml:space="preserve"> fi</w:t>
      </w:r>
      <w:r w:rsidR="008F6F5C" w:rsidRPr="00C26F73">
        <w:rPr>
          <w:b w:val="0"/>
        </w:rPr>
        <w:t xml:space="preserve">nal version was agreed upon. </w:t>
      </w:r>
      <w:r w:rsidRPr="00C26F73">
        <w:rPr>
          <w:b w:val="0"/>
        </w:rPr>
        <w:t>This detailed process enabled us to produce new concepts and hypotheses about older people’s attitudes towards their own sexuality transparently and facilitated the production of three main themes, as presented below.</w:t>
      </w:r>
    </w:p>
    <w:p w:rsidR="008F6F5C" w:rsidRPr="00C26F73" w:rsidRDefault="008F6F5C" w:rsidP="007E495D">
      <w:pPr>
        <w:spacing w:line="240" w:lineRule="auto"/>
        <w:contextualSpacing/>
        <w:jc w:val="both"/>
        <w:rPr>
          <w:b w:val="0"/>
        </w:rPr>
      </w:pPr>
    </w:p>
    <w:p w:rsidR="008F6F5C" w:rsidRPr="00C26F73" w:rsidRDefault="008F6F5C" w:rsidP="007E495D">
      <w:pPr>
        <w:spacing w:line="240" w:lineRule="auto"/>
        <w:contextualSpacing/>
        <w:jc w:val="both"/>
        <w:rPr>
          <w:b w:val="0"/>
        </w:rPr>
      </w:pPr>
      <w:r w:rsidRPr="00C26F73">
        <w:rPr>
          <w:b w:val="0"/>
        </w:rPr>
        <w:t>Table 2 about here</w:t>
      </w:r>
    </w:p>
    <w:p w:rsidR="008F6F5C" w:rsidRPr="00C26F73" w:rsidRDefault="008F6F5C" w:rsidP="007E495D">
      <w:pPr>
        <w:spacing w:line="240" w:lineRule="auto"/>
        <w:contextualSpacing/>
        <w:jc w:val="both"/>
        <w:rPr>
          <w:b w:val="0"/>
        </w:rPr>
      </w:pPr>
    </w:p>
    <w:p w:rsidR="001467CF" w:rsidRPr="00C26F73" w:rsidRDefault="007E495D" w:rsidP="00EF60A4">
      <w:pPr>
        <w:spacing w:line="240" w:lineRule="auto"/>
        <w:ind w:firstLine="720"/>
        <w:contextualSpacing/>
        <w:jc w:val="both"/>
        <w:rPr>
          <w:b w:val="0"/>
          <w:i/>
        </w:rPr>
      </w:pPr>
      <w:r w:rsidRPr="00C26F73">
        <w:rPr>
          <w:b w:val="0"/>
        </w:rPr>
        <w:t>Context was preserved by providing aims, methods, settings and samples as outlined in Table 1 and by checking during synthesis whether emerging findings were transferable across different study contexts.</w:t>
      </w:r>
    </w:p>
    <w:p w:rsidR="000678DA" w:rsidRDefault="000678DA" w:rsidP="007E495D">
      <w:pPr>
        <w:spacing w:line="240" w:lineRule="auto"/>
        <w:contextualSpacing/>
        <w:jc w:val="both"/>
      </w:pPr>
    </w:p>
    <w:p w:rsidR="008F6F5C" w:rsidRPr="00C26F73" w:rsidRDefault="008F6F5C" w:rsidP="007E495D">
      <w:pPr>
        <w:spacing w:line="240" w:lineRule="auto"/>
        <w:contextualSpacing/>
        <w:jc w:val="both"/>
      </w:pPr>
      <w:r w:rsidRPr="00C26F73">
        <w:t>Findings</w:t>
      </w:r>
    </w:p>
    <w:p w:rsidR="008F6F5C" w:rsidRPr="00C26F73" w:rsidRDefault="008F6F5C" w:rsidP="007E495D">
      <w:pPr>
        <w:spacing w:line="240" w:lineRule="auto"/>
        <w:contextualSpacing/>
        <w:jc w:val="both"/>
        <w:rPr>
          <w:i/>
        </w:rPr>
      </w:pPr>
    </w:p>
    <w:p w:rsidR="007E495D" w:rsidRPr="00C26F73" w:rsidRDefault="007E495D" w:rsidP="007E495D">
      <w:pPr>
        <w:spacing w:line="240" w:lineRule="auto"/>
        <w:contextualSpacing/>
        <w:jc w:val="both"/>
        <w:rPr>
          <w:i/>
        </w:rPr>
      </w:pPr>
      <w:r w:rsidRPr="00C26F73">
        <w:rPr>
          <w:i/>
        </w:rPr>
        <w:t>Overview of the studies</w:t>
      </w:r>
    </w:p>
    <w:p w:rsidR="001467CF" w:rsidRPr="00C26F73" w:rsidRDefault="001467CF" w:rsidP="007E495D">
      <w:pPr>
        <w:spacing w:line="240" w:lineRule="auto"/>
        <w:contextualSpacing/>
        <w:jc w:val="both"/>
        <w:rPr>
          <w:i/>
        </w:rPr>
      </w:pPr>
    </w:p>
    <w:p w:rsidR="007E495D" w:rsidRPr="00C26F73" w:rsidRDefault="007E495D" w:rsidP="007E495D">
      <w:pPr>
        <w:spacing w:line="240" w:lineRule="auto"/>
        <w:contextualSpacing/>
        <w:jc w:val="both"/>
        <w:rPr>
          <w:b w:val="0"/>
        </w:rPr>
      </w:pPr>
      <w:r w:rsidRPr="00C26F73">
        <w:rPr>
          <w:b w:val="0"/>
        </w:rPr>
        <w:t xml:space="preserve">Table 1 summarises the 20 studies included in the review. They </w:t>
      </w:r>
      <w:r w:rsidR="008F6F5C" w:rsidRPr="00C26F73">
        <w:rPr>
          <w:b w:val="0"/>
        </w:rPr>
        <w:t>utilised</w:t>
      </w:r>
      <w:r w:rsidRPr="00C26F73">
        <w:rPr>
          <w:b w:val="0"/>
        </w:rPr>
        <w:t xml:space="preserve"> a range of qualitative research methodologies, illustrating</w:t>
      </w:r>
      <w:r w:rsidR="008F6F5C" w:rsidRPr="00C26F73">
        <w:rPr>
          <w:b w:val="0"/>
        </w:rPr>
        <w:t xml:space="preserve"> that there is no single way of engaging</w:t>
      </w:r>
      <w:r w:rsidRPr="00C26F73">
        <w:rPr>
          <w:b w:val="0"/>
        </w:rPr>
        <w:t xml:space="preserve"> older people in discussing their own sexuality. Most papers noted the challenges of data collection and difficulties participants had </w:t>
      </w:r>
      <w:r w:rsidR="008F6F5C" w:rsidRPr="00C26F73">
        <w:rPr>
          <w:b w:val="0"/>
        </w:rPr>
        <w:t xml:space="preserve">had </w:t>
      </w:r>
      <w:r w:rsidRPr="00C26F73">
        <w:rPr>
          <w:b w:val="0"/>
        </w:rPr>
        <w:t>discussing the topic. The studies spanned 27 years (</w:t>
      </w:r>
      <w:bookmarkStart w:id="4" w:name="_Hlk504044751"/>
      <w:r w:rsidRPr="00C26F73">
        <w:rPr>
          <w:b w:val="0"/>
        </w:rPr>
        <w:t>1987-2015</w:t>
      </w:r>
      <w:bookmarkEnd w:id="4"/>
      <w:r w:rsidRPr="00C26F73">
        <w:rPr>
          <w:b w:val="0"/>
        </w:rPr>
        <w:t>); most were published in the last 10. The views of 437 older adults were captured from ten countries: Australia 3 (n=31), Brazil 2 (n=30), Canada 2 (n=36), China 1 (n=20), Germany 3 (n=125), Iran 1 (n=15), Ko</w:t>
      </w:r>
      <w:r w:rsidR="008F6F5C" w:rsidRPr="00C26F73">
        <w:rPr>
          <w:b w:val="0"/>
        </w:rPr>
        <w:t>rea 2 (n=34), Sweden 1 (n=22), t</w:t>
      </w:r>
      <w:r w:rsidRPr="00C26F73">
        <w:rPr>
          <w:b w:val="0"/>
        </w:rPr>
        <w:t xml:space="preserve">he </w:t>
      </w:r>
      <w:r w:rsidR="008F6F5C" w:rsidRPr="00C26F73">
        <w:rPr>
          <w:b w:val="0"/>
        </w:rPr>
        <w:t>USA</w:t>
      </w:r>
      <w:r w:rsidRPr="00C26F73">
        <w:rPr>
          <w:b w:val="0"/>
        </w:rPr>
        <w:t xml:space="preserve"> 4 (n=80) and Uganda 1 (n=44). </w:t>
      </w:r>
    </w:p>
    <w:p w:rsidR="001467CF" w:rsidRPr="00C26F73" w:rsidRDefault="001467CF" w:rsidP="007E495D">
      <w:pPr>
        <w:spacing w:line="240" w:lineRule="auto"/>
        <w:contextualSpacing/>
        <w:jc w:val="both"/>
        <w:rPr>
          <w:b w:val="0"/>
          <w:bCs/>
        </w:rPr>
      </w:pPr>
    </w:p>
    <w:p w:rsidR="007E495D" w:rsidRPr="00C26F73" w:rsidRDefault="008F6F5C" w:rsidP="007E495D">
      <w:pPr>
        <w:spacing w:line="240" w:lineRule="auto"/>
        <w:contextualSpacing/>
        <w:jc w:val="both"/>
        <w:rPr>
          <w:bCs/>
          <w:i/>
        </w:rPr>
      </w:pPr>
      <w:r w:rsidRPr="00C26F73">
        <w:rPr>
          <w:bCs/>
          <w:i/>
        </w:rPr>
        <w:t>Themes</w:t>
      </w:r>
    </w:p>
    <w:p w:rsidR="001467CF" w:rsidRPr="00C26F73" w:rsidRDefault="001467CF" w:rsidP="007E495D">
      <w:pPr>
        <w:spacing w:line="240" w:lineRule="auto"/>
        <w:contextualSpacing/>
        <w:jc w:val="both"/>
        <w:rPr>
          <w:bCs/>
        </w:rPr>
      </w:pPr>
    </w:p>
    <w:p w:rsidR="001467CF" w:rsidRPr="00C26F73" w:rsidRDefault="007E495D" w:rsidP="007E495D">
      <w:pPr>
        <w:spacing w:line="240" w:lineRule="auto"/>
        <w:contextualSpacing/>
        <w:jc w:val="both"/>
        <w:rPr>
          <w:b w:val="0"/>
        </w:rPr>
      </w:pPr>
      <w:r w:rsidRPr="00C26F73">
        <w:rPr>
          <w:b w:val="0"/>
        </w:rPr>
        <w:t xml:space="preserve">The first theme generated was the social legitimacy for sexuality in later life, which addressed the feelings of older people about the tensions experienced between the desire to express their sexuality and social conventions that inhibited them from doing so. The second theme involved health issues affecting sexuality that challenged expression and desires. The third theme addressed the </w:t>
      </w:r>
      <w:r w:rsidRPr="00C26F73">
        <w:rPr>
          <w:b w:val="0"/>
          <w:bCs/>
        </w:rPr>
        <w:t>hegemony</w:t>
      </w:r>
      <w:r w:rsidRPr="00C26F73">
        <w:rPr>
          <w:b w:val="0"/>
        </w:rPr>
        <w:t xml:space="preserve"> of penetrative sex and how this narrow perception minimi</w:t>
      </w:r>
      <w:r w:rsidR="002C5485" w:rsidRPr="00C26F73">
        <w:rPr>
          <w:b w:val="0"/>
        </w:rPr>
        <w:t>s</w:t>
      </w:r>
      <w:r w:rsidRPr="00C26F73">
        <w:rPr>
          <w:b w:val="0"/>
        </w:rPr>
        <w:t>es the diversity of sexual activities and the sense of meaning sexuality has for people who are growing older.</w:t>
      </w:r>
    </w:p>
    <w:p w:rsidR="001467CF" w:rsidRPr="00C26F73" w:rsidRDefault="001467CF" w:rsidP="007E495D">
      <w:pPr>
        <w:spacing w:line="240" w:lineRule="auto"/>
        <w:contextualSpacing/>
        <w:jc w:val="both"/>
        <w:rPr>
          <w:b w:val="0"/>
        </w:rPr>
      </w:pPr>
    </w:p>
    <w:p w:rsidR="001467CF" w:rsidRPr="00C26F73" w:rsidRDefault="008F6F5C" w:rsidP="007E495D">
      <w:pPr>
        <w:spacing w:line="240" w:lineRule="auto"/>
        <w:contextualSpacing/>
        <w:jc w:val="both"/>
        <w:rPr>
          <w:b w:val="0"/>
          <w:i/>
        </w:rPr>
      </w:pPr>
      <w:r w:rsidRPr="00C26F73">
        <w:rPr>
          <w:b w:val="0"/>
          <w:i/>
        </w:rPr>
        <w:t>Social legitimacy of sexuality in later life</w:t>
      </w:r>
    </w:p>
    <w:p w:rsidR="001467CF" w:rsidRPr="00C26F73" w:rsidRDefault="007E495D" w:rsidP="007E495D">
      <w:pPr>
        <w:spacing w:line="240" w:lineRule="auto"/>
        <w:contextualSpacing/>
        <w:jc w:val="both"/>
        <w:rPr>
          <w:b w:val="0"/>
        </w:rPr>
      </w:pPr>
      <w:r w:rsidRPr="00C26F73">
        <w:rPr>
          <w:b w:val="0"/>
        </w:rPr>
        <w:t>This theme concerned the impact of sociali</w:t>
      </w:r>
      <w:r w:rsidR="002C5485" w:rsidRPr="00C26F73">
        <w:rPr>
          <w:b w:val="0"/>
        </w:rPr>
        <w:t>s</w:t>
      </w:r>
      <w:r w:rsidR="00193319" w:rsidRPr="00C26F73">
        <w:rPr>
          <w:b w:val="0"/>
        </w:rPr>
        <w:t>ation and social legitimacy on</w:t>
      </w:r>
      <w:r w:rsidRPr="00C26F73">
        <w:rPr>
          <w:b w:val="0"/>
        </w:rPr>
        <w:t xml:space="preserve"> how people viewed their sexual selves in later life. Across studies, older individuals reported that other people presumed that they were asexual </w:t>
      </w:r>
      <w:r w:rsidR="0098364A" w:rsidRPr="00C26F73">
        <w:rPr>
          <w:b w:val="0"/>
          <w:noProof/>
        </w:rPr>
        <w:t>(de Oliveira Silva et al. 2015)</w:t>
      </w:r>
      <w:r w:rsidRPr="00C26F73">
        <w:rPr>
          <w:b w:val="0"/>
        </w:rPr>
        <w:t xml:space="preserve"> and were sexually invisible </w:t>
      </w:r>
      <w:r w:rsidR="0098364A" w:rsidRPr="00C26F73">
        <w:rPr>
          <w:b w:val="0"/>
          <w:noProof/>
        </w:rPr>
        <w:t>(Bayler-Levaro 2011)</w:t>
      </w:r>
      <w:r w:rsidRPr="00C26F73">
        <w:rPr>
          <w:b w:val="0"/>
        </w:rPr>
        <w:t>. Women discussed the social silence regarding their sexuality and intimacy, which made raising th</w:t>
      </w:r>
      <w:r w:rsidR="0016158D" w:rsidRPr="00C26F73">
        <w:rPr>
          <w:b w:val="0"/>
        </w:rPr>
        <w:t>ese issues with friends, family</w:t>
      </w:r>
      <w:r w:rsidRPr="00C26F73">
        <w:rPr>
          <w:b w:val="0"/>
        </w:rPr>
        <w:t xml:space="preserve"> or service </w:t>
      </w:r>
      <w:proofErr w:type="gramStart"/>
      <w:r w:rsidRPr="00C26F73">
        <w:rPr>
          <w:b w:val="0"/>
        </w:rPr>
        <w:t>providers</w:t>
      </w:r>
      <w:proofErr w:type="gramEnd"/>
      <w:r w:rsidRPr="00C26F73">
        <w:rPr>
          <w:b w:val="0"/>
        </w:rPr>
        <w:t xml:space="preserve"> uncomfortable </w:t>
      </w:r>
      <w:r w:rsidR="0098364A" w:rsidRPr="00C26F73">
        <w:rPr>
          <w:b w:val="0"/>
          <w:noProof/>
        </w:rPr>
        <w:t>(Drummond</w:t>
      </w:r>
      <w:r w:rsidR="000678DA">
        <w:rPr>
          <w:b w:val="0"/>
          <w:noProof/>
        </w:rPr>
        <w:t xml:space="preserve"> </w:t>
      </w:r>
      <w:r w:rsidR="0098364A" w:rsidRPr="00C26F73">
        <w:rPr>
          <w:b w:val="0"/>
          <w:noProof/>
        </w:rPr>
        <w:t>et al. 2013)</w:t>
      </w:r>
      <w:r w:rsidRPr="00C26F73">
        <w:rPr>
          <w:b w:val="0"/>
        </w:rPr>
        <w:t>. The invisibility of older people as sexual beings re</w:t>
      </w:r>
      <w:r w:rsidR="0016158D" w:rsidRPr="00C26F73">
        <w:rPr>
          <w:b w:val="0"/>
        </w:rPr>
        <w:t>flects the W</w:t>
      </w:r>
      <w:r w:rsidRPr="00C26F73">
        <w:rPr>
          <w:b w:val="0"/>
        </w:rPr>
        <w:t xml:space="preserve">estern orientation toward youthfulness and beauty </w:t>
      </w:r>
      <w:r w:rsidR="0098364A" w:rsidRPr="00C26F73">
        <w:rPr>
          <w:b w:val="0"/>
          <w:noProof/>
        </w:rPr>
        <w:t>(Rowntree 2014)</w:t>
      </w:r>
      <w:r w:rsidRPr="00C26F73">
        <w:rPr>
          <w:b w:val="0"/>
        </w:rPr>
        <w:t xml:space="preserve">. </w:t>
      </w:r>
      <w:r w:rsidRPr="00C26F73">
        <w:rPr>
          <w:b w:val="0"/>
        </w:rPr>
        <w:lastRenderedPageBreak/>
        <w:t>Internali</w:t>
      </w:r>
      <w:r w:rsidR="002C5485" w:rsidRPr="00C26F73">
        <w:rPr>
          <w:b w:val="0"/>
        </w:rPr>
        <w:t>s</w:t>
      </w:r>
      <w:r w:rsidRPr="00C26F73">
        <w:rPr>
          <w:b w:val="0"/>
        </w:rPr>
        <w:t xml:space="preserve">ing this orientation made people feel less inhibited by personal sexual expression and more inhibited by social norms and perceived social legitimacy </w:t>
      </w:r>
      <w:r w:rsidR="0098364A" w:rsidRPr="00C26F73">
        <w:rPr>
          <w:b w:val="0"/>
          <w:noProof/>
        </w:rPr>
        <w:t>(Rowntree 2014)</w:t>
      </w:r>
      <w:r w:rsidRPr="00C26F73">
        <w:rPr>
          <w:b w:val="0"/>
        </w:rPr>
        <w:t xml:space="preserve">. Negative attitudes toward expressing sexuality in later life compelled people to conceal their sexuality. These attitudes were reinforced by expectations of more modest sexual dress and by insulting terms such as </w:t>
      </w:r>
      <w:r w:rsidRPr="00C26F73">
        <w:rPr>
          <w:b w:val="0"/>
          <w:i/>
          <w:iCs/>
        </w:rPr>
        <w:t xml:space="preserve">cougar </w:t>
      </w:r>
      <w:r w:rsidR="0098364A" w:rsidRPr="00C26F73">
        <w:rPr>
          <w:b w:val="0"/>
          <w:noProof/>
        </w:rPr>
        <w:t>(Rowntree 2014, 151)</w:t>
      </w:r>
      <w:r w:rsidRPr="00C26F73">
        <w:rPr>
          <w:b w:val="0"/>
        </w:rPr>
        <w:t xml:space="preserve"> to describe “older” women who assertively pursue</w:t>
      </w:r>
      <w:r w:rsidR="0016158D" w:rsidRPr="00C26F73">
        <w:rPr>
          <w:b w:val="0"/>
        </w:rPr>
        <w:t>d</w:t>
      </w:r>
      <w:r w:rsidRPr="00C26F73">
        <w:rPr>
          <w:b w:val="0"/>
        </w:rPr>
        <w:t xml:space="preserve"> younger sexual partners </w:t>
      </w:r>
      <w:r w:rsidR="0098364A" w:rsidRPr="00C26F73">
        <w:rPr>
          <w:b w:val="0"/>
          <w:noProof/>
        </w:rPr>
        <w:t>(Montemurro and Siefken 2014; Alarie and Carmichael 2015)</w:t>
      </w:r>
      <w:r w:rsidRPr="00C26F73">
        <w:rPr>
          <w:b w:val="0"/>
        </w:rPr>
        <w:t xml:space="preserve">. Social norms and </w:t>
      </w:r>
      <w:proofErr w:type="spellStart"/>
      <w:r w:rsidRPr="00C26F73">
        <w:rPr>
          <w:b w:val="0"/>
        </w:rPr>
        <w:t>delegitimi</w:t>
      </w:r>
      <w:r w:rsidR="002C5485" w:rsidRPr="00C26F73">
        <w:rPr>
          <w:b w:val="0"/>
        </w:rPr>
        <w:t>s</w:t>
      </w:r>
      <w:r w:rsidRPr="00C26F73">
        <w:rPr>
          <w:b w:val="0"/>
        </w:rPr>
        <w:t>ation</w:t>
      </w:r>
      <w:proofErr w:type="spellEnd"/>
      <w:r w:rsidRPr="00C26F73" w:rsidDel="005E64A7">
        <w:rPr>
          <w:b w:val="0"/>
        </w:rPr>
        <w:t xml:space="preserve"> </w:t>
      </w:r>
      <w:r w:rsidRPr="00C26F73">
        <w:rPr>
          <w:b w:val="0"/>
        </w:rPr>
        <w:t>were not direct barriers to sexual expression in later life but accepting these norms tended to inhibit older people’s sexual expression. Yun, Kim and Chung (2014) found that sexual desire in later life was mediated by concerns of societal opinions of older people engaging in sexual activities or new romantic relationships. However, it is m</w:t>
      </w:r>
      <w:r w:rsidR="0016158D" w:rsidRPr="00C26F73">
        <w:rPr>
          <w:b w:val="0"/>
        </w:rPr>
        <w:t>ore socially accepted that men sh</w:t>
      </w:r>
      <w:r w:rsidRPr="00C26F73">
        <w:rPr>
          <w:b w:val="0"/>
        </w:rPr>
        <w:t>ould still engage i</w:t>
      </w:r>
      <w:r w:rsidR="0016158D" w:rsidRPr="00C26F73">
        <w:rPr>
          <w:b w:val="0"/>
        </w:rPr>
        <w:t>n penetrative sex, while women sh</w:t>
      </w:r>
      <w:r w:rsidRPr="00C26F73">
        <w:rPr>
          <w:b w:val="0"/>
        </w:rPr>
        <w:t xml:space="preserve">ould be satisfied with “cuddling” (Fournier 2000, 100). </w:t>
      </w:r>
    </w:p>
    <w:p w:rsidR="007E495D" w:rsidRPr="00C26F73" w:rsidRDefault="007E495D" w:rsidP="001467CF">
      <w:pPr>
        <w:spacing w:line="240" w:lineRule="auto"/>
        <w:ind w:firstLine="720"/>
        <w:contextualSpacing/>
        <w:jc w:val="both"/>
        <w:rPr>
          <w:b w:val="0"/>
        </w:rPr>
      </w:pPr>
      <w:r w:rsidRPr="00C26F73">
        <w:rPr>
          <w:b w:val="0"/>
        </w:rPr>
        <w:t xml:space="preserve">Older men attributed this difference to the availability of </w:t>
      </w:r>
      <w:r w:rsidR="0016158D" w:rsidRPr="00C26F73">
        <w:rPr>
          <w:b w:val="0"/>
        </w:rPr>
        <w:t>phosphodiesterase type 5 inhibitor </w:t>
      </w:r>
      <w:r w:rsidRPr="00C26F73">
        <w:rPr>
          <w:b w:val="0"/>
        </w:rPr>
        <w:t>drugs such</w:t>
      </w:r>
      <w:r w:rsidR="0016158D" w:rsidRPr="00C26F73">
        <w:rPr>
          <w:b w:val="0"/>
        </w:rPr>
        <w:t xml:space="preserve"> as, Viagra™, Cialis™, Levitra™</w:t>
      </w:r>
      <w:r w:rsidRPr="00C26F73">
        <w:rPr>
          <w:b w:val="0"/>
        </w:rPr>
        <w:t>, which made their sexual</w:t>
      </w:r>
      <w:r w:rsidR="0016158D" w:rsidRPr="00C26F73">
        <w:rPr>
          <w:b w:val="0"/>
        </w:rPr>
        <w:t xml:space="preserve"> lives more visible, legitimate</w:t>
      </w:r>
      <w:r w:rsidRPr="00C26F73">
        <w:rPr>
          <w:b w:val="0"/>
        </w:rPr>
        <w:t xml:space="preserve"> and accepted by society </w:t>
      </w:r>
      <w:r w:rsidR="0098364A" w:rsidRPr="00C26F73">
        <w:rPr>
          <w:b w:val="0"/>
          <w:noProof/>
        </w:rPr>
        <w:t>(Loe 2004)</w:t>
      </w:r>
      <w:r w:rsidRPr="00C26F73">
        <w:rPr>
          <w:b w:val="0"/>
        </w:rPr>
        <w:t xml:space="preserve">. Older women tended to observe how manifestations of female sexuality are closely </w:t>
      </w:r>
      <w:r w:rsidR="0016158D" w:rsidRPr="00C26F73">
        <w:rPr>
          <w:b w:val="0"/>
        </w:rPr>
        <w:t>monitored</w:t>
      </w:r>
      <w:r w:rsidRPr="00C26F73">
        <w:rPr>
          <w:b w:val="0"/>
        </w:rPr>
        <w:t xml:space="preserve"> by society and thus, controlled by it. To prevent social exclusion, they adopted sexual attitudes and behaviours that co</w:t>
      </w:r>
      <w:r w:rsidR="0016158D" w:rsidRPr="00C26F73">
        <w:rPr>
          <w:b w:val="0"/>
        </w:rPr>
        <w:t>mplied with social expectations</w:t>
      </w:r>
      <w:r w:rsidRPr="00C26F73">
        <w:rPr>
          <w:b w:val="0"/>
        </w:rPr>
        <w:t xml:space="preserve"> and avoided some situations to avert judgmental comments such as ‘nasty old woman’ </w:t>
      </w:r>
      <w:r w:rsidR="0098364A" w:rsidRPr="00C26F73">
        <w:rPr>
          <w:b w:val="0"/>
          <w:noProof/>
        </w:rPr>
        <w:t>(Baldissera, Bueno and Hoga 2012, 965; Nyanzi 2011)</w:t>
      </w:r>
      <w:r w:rsidRPr="00C26F73">
        <w:rPr>
          <w:b w:val="0"/>
        </w:rPr>
        <w:t xml:space="preserve">. Yet, other women saw expectations of diminished sexual interest with age as a welcome relief and as a legitimate means of escaping this ‘oppressive’ aspect of their lives </w:t>
      </w:r>
      <w:r w:rsidR="0098364A" w:rsidRPr="00C26F73">
        <w:rPr>
          <w:b w:val="0"/>
          <w:noProof/>
        </w:rPr>
        <w:t>(Rowntree 2014)</w:t>
      </w:r>
      <w:r w:rsidRPr="00C26F73">
        <w:rPr>
          <w:b w:val="0"/>
        </w:rPr>
        <w:t xml:space="preserve">. </w:t>
      </w:r>
    </w:p>
    <w:p w:rsidR="007E495D" w:rsidRPr="00C26F73" w:rsidRDefault="007E495D" w:rsidP="001467CF">
      <w:pPr>
        <w:spacing w:line="240" w:lineRule="auto"/>
        <w:ind w:firstLine="720"/>
        <w:contextualSpacing/>
        <w:jc w:val="both"/>
        <w:rPr>
          <w:b w:val="0"/>
        </w:rPr>
      </w:pPr>
      <w:r w:rsidRPr="00C26F73">
        <w:rPr>
          <w:b w:val="0"/>
        </w:rPr>
        <w:t xml:space="preserve">Despite these constraining messages, some did not view age as a factor that prevented them from enjoying satisfying sexual experiences </w:t>
      </w:r>
      <w:r w:rsidR="0098364A" w:rsidRPr="00C26F73">
        <w:rPr>
          <w:b w:val="0"/>
          <w:noProof/>
        </w:rPr>
        <w:t>(de Oliveira Silva et al. 2015)</w:t>
      </w:r>
      <w:r w:rsidRPr="00C26F73">
        <w:rPr>
          <w:b w:val="0"/>
        </w:rPr>
        <w:t>. Older people noted that social norms inhibit younger adults’ sexual expression as well, as they are sociali</w:t>
      </w:r>
      <w:r w:rsidR="002C5485" w:rsidRPr="00C26F73">
        <w:rPr>
          <w:b w:val="0"/>
        </w:rPr>
        <w:t>s</w:t>
      </w:r>
      <w:r w:rsidRPr="00C26F73">
        <w:rPr>
          <w:b w:val="0"/>
        </w:rPr>
        <w:t xml:space="preserve">ed to meet expectations that are sometimes very difficult </w:t>
      </w:r>
      <w:r w:rsidR="0098364A" w:rsidRPr="00C26F73">
        <w:rPr>
          <w:b w:val="0"/>
          <w:noProof/>
        </w:rPr>
        <w:t>(Menard</w:t>
      </w:r>
      <w:r w:rsidR="000678DA">
        <w:rPr>
          <w:b w:val="0"/>
          <w:noProof/>
        </w:rPr>
        <w:t xml:space="preserve"> </w:t>
      </w:r>
      <w:r w:rsidR="0098364A" w:rsidRPr="00C26F73">
        <w:rPr>
          <w:b w:val="0"/>
          <w:noProof/>
        </w:rPr>
        <w:t>et al. 2015)</w:t>
      </w:r>
      <w:r w:rsidRPr="00C26F73">
        <w:rPr>
          <w:b w:val="0"/>
        </w:rPr>
        <w:t xml:space="preserve">. In a way, freedom from </w:t>
      </w:r>
      <w:r w:rsidRPr="00C26F73">
        <w:rPr>
          <w:b w:val="0"/>
          <w:i/>
          <w:iCs/>
        </w:rPr>
        <w:t>these</w:t>
      </w:r>
      <w:r w:rsidRPr="00C26F73">
        <w:rPr>
          <w:b w:val="0"/>
        </w:rPr>
        <w:t xml:space="preserve"> expectations in later life allowed </w:t>
      </w:r>
      <w:r w:rsidR="0016158D" w:rsidRPr="00C26F73">
        <w:rPr>
          <w:b w:val="0"/>
        </w:rPr>
        <w:t xml:space="preserve">some </w:t>
      </w:r>
      <w:r w:rsidRPr="00C26F73">
        <w:rPr>
          <w:b w:val="0"/>
        </w:rPr>
        <w:t xml:space="preserve">older people to re-evaluate their understanding of sex and sexuality, to attempt new sexual techniques and to enjoy a better sex life than was experienced when they were younger </w:t>
      </w:r>
      <w:r w:rsidR="0098364A" w:rsidRPr="00C26F73">
        <w:rPr>
          <w:b w:val="0"/>
          <w:noProof/>
        </w:rPr>
        <w:t>(Menard et al. 2015)</w:t>
      </w:r>
      <w:r w:rsidRPr="00C26F73">
        <w:rPr>
          <w:b w:val="0"/>
        </w:rPr>
        <w:t xml:space="preserve">. Yet, engaging in sexual activities or expressing sexuality still caused many to feel shame and guilt </w:t>
      </w:r>
      <w:r w:rsidR="0098364A" w:rsidRPr="00C26F73">
        <w:rPr>
          <w:b w:val="0"/>
          <w:noProof/>
        </w:rPr>
        <w:t>(Menard et al. 2015)</w:t>
      </w:r>
      <w:r w:rsidR="006F2D0D" w:rsidRPr="00C26F73">
        <w:rPr>
          <w:b w:val="0"/>
        </w:rPr>
        <w:t xml:space="preserve">. </w:t>
      </w:r>
      <w:r w:rsidRPr="00C26F73">
        <w:rPr>
          <w:b w:val="0"/>
        </w:rPr>
        <w:t xml:space="preserve">These social norms perceived to demand secrecy between generations about sexual matters, made sex a very private matter </w:t>
      </w:r>
      <w:r w:rsidR="0098364A" w:rsidRPr="00C26F73">
        <w:rPr>
          <w:b w:val="0"/>
          <w:noProof/>
        </w:rPr>
        <w:t>(Nyanzi 2011)</w:t>
      </w:r>
      <w:r w:rsidRPr="00C26F73">
        <w:rPr>
          <w:b w:val="0"/>
        </w:rPr>
        <w:t xml:space="preserve"> requiring modest behaviour </w:t>
      </w:r>
      <w:r w:rsidR="0098364A" w:rsidRPr="00C26F73">
        <w:rPr>
          <w:b w:val="0"/>
          <w:noProof/>
        </w:rPr>
        <w:t>(Yan et al. 2011)</w:t>
      </w:r>
      <w:r w:rsidRPr="00C26F73">
        <w:rPr>
          <w:b w:val="0"/>
        </w:rPr>
        <w:t xml:space="preserve">. Hence, some older people turned to online communication (e.g. cybersex) to express their sexuality </w:t>
      </w:r>
      <w:r w:rsidR="0098364A" w:rsidRPr="00C26F73">
        <w:rPr>
          <w:b w:val="0"/>
          <w:noProof/>
        </w:rPr>
        <w:t>(Malta 2007)</w:t>
      </w:r>
      <w:r w:rsidRPr="00C26F73">
        <w:rPr>
          <w:b w:val="0"/>
        </w:rPr>
        <w:t>. Other studies revealed that older people who wanted to establish new romantic relationships would try to adapt to social norms by acting younger and distancing themselves from the</w:t>
      </w:r>
      <w:r w:rsidR="0016158D" w:rsidRPr="00C26F73">
        <w:rPr>
          <w:b w:val="0"/>
        </w:rPr>
        <w:t xml:space="preserve"> use of the</w:t>
      </w:r>
      <w:r w:rsidRPr="00C26F73">
        <w:rPr>
          <w:b w:val="0"/>
        </w:rPr>
        <w:t xml:space="preserve"> term </w:t>
      </w:r>
      <w:r w:rsidRPr="00C26F73">
        <w:rPr>
          <w:b w:val="0"/>
          <w:i/>
          <w:iCs/>
        </w:rPr>
        <w:t>old</w:t>
      </w:r>
      <w:r w:rsidRPr="00C26F73">
        <w:rPr>
          <w:b w:val="0"/>
        </w:rPr>
        <w:t xml:space="preserve"> </w:t>
      </w:r>
      <w:r w:rsidR="0098364A" w:rsidRPr="00C26F73">
        <w:rPr>
          <w:b w:val="0"/>
          <w:noProof/>
        </w:rPr>
        <w:t>(Bayler-Levaro 2011)</w:t>
      </w:r>
      <w:r w:rsidRPr="00C26F73">
        <w:rPr>
          <w:b w:val="0"/>
        </w:rPr>
        <w:t xml:space="preserve"> or by finding a partner younger than themselves (Loe 2004). These actions facilitated greater social legitimacy for expressions of sexuality. </w:t>
      </w:r>
    </w:p>
    <w:p w:rsidR="001467CF" w:rsidRPr="00C26F73" w:rsidRDefault="001467CF" w:rsidP="007E495D">
      <w:pPr>
        <w:spacing w:line="240" w:lineRule="auto"/>
        <w:contextualSpacing/>
        <w:jc w:val="both"/>
        <w:rPr>
          <w:b w:val="0"/>
          <w:bCs/>
        </w:rPr>
      </w:pPr>
    </w:p>
    <w:p w:rsidR="001467CF" w:rsidRPr="00C26F73" w:rsidRDefault="007E495D" w:rsidP="007E495D">
      <w:pPr>
        <w:spacing w:line="240" w:lineRule="auto"/>
        <w:contextualSpacing/>
        <w:jc w:val="both"/>
        <w:rPr>
          <w:b w:val="0"/>
          <w:bCs/>
          <w:i/>
        </w:rPr>
      </w:pPr>
      <w:r w:rsidRPr="00C26F73">
        <w:rPr>
          <w:b w:val="0"/>
          <w:bCs/>
          <w:i/>
        </w:rPr>
        <w:t xml:space="preserve">Health, not age, </w:t>
      </w:r>
      <w:r w:rsidR="0016158D" w:rsidRPr="00C26F73">
        <w:rPr>
          <w:b w:val="0"/>
          <w:bCs/>
          <w:i/>
        </w:rPr>
        <w:t>is what truly affects sexuality</w:t>
      </w:r>
    </w:p>
    <w:p w:rsidR="007E495D" w:rsidRPr="00C26F73" w:rsidRDefault="007E495D" w:rsidP="007E495D">
      <w:pPr>
        <w:spacing w:line="240" w:lineRule="auto"/>
        <w:contextualSpacing/>
        <w:jc w:val="both"/>
        <w:rPr>
          <w:b w:val="0"/>
        </w:rPr>
      </w:pPr>
      <w:r w:rsidRPr="00C26F73">
        <w:rPr>
          <w:b w:val="0"/>
        </w:rPr>
        <w:t>Older people also emphasi</w:t>
      </w:r>
      <w:r w:rsidR="002C5485" w:rsidRPr="00C26F73">
        <w:rPr>
          <w:b w:val="0"/>
        </w:rPr>
        <w:t>s</w:t>
      </w:r>
      <w:r w:rsidRPr="00C26F73">
        <w:rPr>
          <w:b w:val="0"/>
        </w:rPr>
        <w:t>ed how the ag</w:t>
      </w:r>
      <w:r w:rsidR="0016158D" w:rsidRPr="00C26F73">
        <w:rPr>
          <w:b w:val="0"/>
        </w:rPr>
        <w:t>e</w:t>
      </w:r>
      <w:r w:rsidRPr="00C26F73">
        <w:rPr>
          <w:b w:val="0"/>
        </w:rPr>
        <w:t>ing process affected their sexual lives</w:t>
      </w:r>
      <w:r w:rsidRPr="00C26F73">
        <w:rPr>
          <w:b w:val="0"/>
          <w:bCs/>
        </w:rPr>
        <w:t xml:space="preserve">. Maintaining a sex life was seen as an integral part of healthy and positive aging </w:t>
      </w:r>
      <w:r w:rsidR="00E3426F" w:rsidRPr="00C26F73">
        <w:rPr>
          <w:b w:val="0"/>
          <w:bCs/>
          <w:noProof/>
        </w:rPr>
        <w:t>(Bayler-Levaro 2011; Gledhill and Schweitzer 2014; Loe 2004; Yan et al. 2011; Menard et al. 2015)</w:t>
      </w:r>
      <w:r w:rsidRPr="00C26F73">
        <w:rPr>
          <w:b w:val="0"/>
          <w:bCs/>
        </w:rPr>
        <w:t xml:space="preserve"> and perceived as a symbol of vitality and longevity (Yan</w:t>
      </w:r>
      <w:r w:rsidR="0016158D" w:rsidRPr="00C26F73">
        <w:rPr>
          <w:b w:val="0"/>
          <w:bCs/>
        </w:rPr>
        <w:t xml:space="preserve"> et al. 2011), but</w:t>
      </w:r>
      <w:r w:rsidRPr="00C26F73">
        <w:rPr>
          <w:b w:val="0"/>
          <w:bCs/>
        </w:rPr>
        <w:t xml:space="preserve"> was dependent on physical health and well-being </w:t>
      </w:r>
      <w:r w:rsidR="0098364A" w:rsidRPr="00C26F73">
        <w:rPr>
          <w:b w:val="0"/>
          <w:bCs/>
          <w:noProof/>
        </w:rPr>
        <w:t>(Sandberg 2013; de Oliveira Silva et al. 2015)</w:t>
      </w:r>
      <w:r w:rsidRPr="00C26F73">
        <w:rPr>
          <w:b w:val="0"/>
          <w:bCs/>
        </w:rPr>
        <w:t xml:space="preserve">. Older people </w:t>
      </w:r>
      <w:r w:rsidRPr="00C26F73">
        <w:rPr>
          <w:b w:val="0"/>
          <w:bCs/>
        </w:rPr>
        <w:lastRenderedPageBreak/>
        <w:t xml:space="preserve">described how </w:t>
      </w:r>
      <w:r w:rsidR="0016158D" w:rsidRPr="00C26F73">
        <w:rPr>
          <w:b w:val="0"/>
          <w:bCs/>
        </w:rPr>
        <w:t>remaining sexually active promoted</w:t>
      </w:r>
      <w:r w:rsidRPr="00C26F73">
        <w:rPr>
          <w:b w:val="0"/>
          <w:bCs/>
        </w:rPr>
        <w:t xml:space="preserve"> psychological health </w:t>
      </w:r>
      <w:r w:rsidR="0098364A" w:rsidRPr="00C26F73">
        <w:rPr>
          <w:b w:val="0"/>
          <w:bCs/>
          <w:noProof/>
        </w:rPr>
        <w:t>(Ravanipour, Gharibi and Gharibi 2013)</w:t>
      </w:r>
      <w:r w:rsidRPr="00C26F73">
        <w:rPr>
          <w:b w:val="0"/>
          <w:bCs/>
        </w:rPr>
        <w:t>. Higher levels of sexual desire were reported among women who were physically active, reporte</w:t>
      </w:r>
      <w:r w:rsidR="0016158D" w:rsidRPr="00C26F73">
        <w:rPr>
          <w:b w:val="0"/>
          <w:bCs/>
        </w:rPr>
        <w:t>d the fewest medical conditions</w:t>
      </w:r>
      <w:r w:rsidRPr="00C26F73">
        <w:rPr>
          <w:b w:val="0"/>
          <w:bCs/>
        </w:rPr>
        <w:t xml:space="preserve"> and took little or no medication (Malta 2007). </w:t>
      </w:r>
    </w:p>
    <w:p w:rsidR="007E495D" w:rsidRPr="00C26F73" w:rsidRDefault="007E495D" w:rsidP="001467CF">
      <w:pPr>
        <w:spacing w:line="240" w:lineRule="auto"/>
        <w:ind w:firstLine="720"/>
        <w:contextualSpacing/>
        <w:jc w:val="both"/>
        <w:rPr>
          <w:b w:val="0"/>
        </w:rPr>
      </w:pPr>
      <w:r w:rsidRPr="00C26F73">
        <w:rPr>
          <w:b w:val="0"/>
        </w:rPr>
        <w:t xml:space="preserve">Across studies, participants identified various health conditions, physical limitations, or illnesses that limited their ability or willingness to engage in sex </w:t>
      </w:r>
      <w:r w:rsidR="0098364A" w:rsidRPr="00C26F73">
        <w:rPr>
          <w:b w:val="0"/>
          <w:noProof/>
        </w:rPr>
        <w:t>(Bauer, Fetherstonhaugh et al. 2013; Roney and Kazer 2015)</w:t>
      </w:r>
      <w:r w:rsidRPr="00C26F73">
        <w:rPr>
          <w:b w:val="0"/>
        </w:rPr>
        <w:t xml:space="preserve">. Poor physical health accounted for low levels of sexual activity, sexual intimacy and sexual desire </w:t>
      </w:r>
      <w:r w:rsidR="0098364A" w:rsidRPr="00C26F73">
        <w:rPr>
          <w:b w:val="0"/>
          <w:noProof/>
        </w:rPr>
        <w:t>(Roney and Kazer 2015; Yan et al. 2011)</w:t>
      </w:r>
      <w:r w:rsidRPr="00C26F73">
        <w:rPr>
          <w:b w:val="0"/>
        </w:rPr>
        <w:t xml:space="preserve">. Declining physical functioning of a partner or concerns over their partner’s medical condition constituted a primary reason to stop having sex </w:t>
      </w:r>
      <w:r w:rsidR="0098364A" w:rsidRPr="00C26F73">
        <w:rPr>
          <w:b w:val="0"/>
          <w:noProof/>
        </w:rPr>
        <w:t>(Roney and Kazer 2015; Drummond et al. 2013)</w:t>
      </w:r>
      <w:r w:rsidRPr="00C26F73">
        <w:rPr>
          <w:b w:val="0"/>
        </w:rPr>
        <w:t xml:space="preserve">. </w:t>
      </w:r>
    </w:p>
    <w:p w:rsidR="007E495D" w:rsidRPr="00C26F73" w:rsidRDefault="007E495D" w:rsidP="001467CF">
      <w:pPr>
        <w:spacing w:line="240" w:lineRule="auto"/>
        <w:ind w:firstLine="720"/>
        <w:contextualSpacing/>
        <w:jc w:val="both"/>
        <w:rPr>
          <w:b w:val="0"/>
        </w:rPr>
      </w:pPr>
      <w:r w:rsidRPr="00C26F73">
        <w:rPr>
          <w:b w:val="0"/>
        </w:rPr>
        <w:t xml:space="preserve">One study explored the intersecting realities of caregiving and </w:t>
      </w:r>
      <w:r w:rsidR="007253C7" w:rsidRPr="00C26F73">
        <w:rPr>
          <w:b w:val="0"/>
        </w:rPr>
        <w:t>gender</w:t>
      </w:r>
      <w:r w:rsidRPr="00C26F73">
        <w:rPr>
          <w:b w:val="0"/>
        </w:rPr>
        <w:t xml:space="preserve">, </w:t>
      </w:r>
      <w:r w:rsidR="007253C7" w:rsidRPr="00C26F73">
        <w:rPr>
          <w:b w:val="0"/>
        </w:rPr>
        <w:t xml:space="preserve">in </w:t>
      </w:r>
      <w:r w:rsidRPr="00C26F73">
        <w:rPr>
          <w:b w:val="0"/>
        </w:rPr>
        <w:t>which women’s role as caregivers challenge</w:t>
      </w:r>
      <w:r w:rsidR="007253C7" w:rsidRPr="00C26F73">
        <w:rPr>
          <w:b w:val="0"/>
        </w:rPr>
        <w:t>s</w:t>
      </w:r>
      <w:r w:rsidRPr="00C26F73">
        <w:rPr>
          <w:b w:val="0"/>
        </w:rPr>
        <w:t xml:space="preserve"> </w:t>
      </w:r>
      <w:r w:rsidR="007253C7" w:rsidRPr="00C26F73">
        <w:rPr>
          <w:b w:val="0"/>
        </w:rPr>
        <w:t xml:space="preserve">their </w:t>
      </w:r>
      <w:r w:rsidRPr="00C26F73">
        <w:rPr>
          <w:b w:val="0"/>
        </w:rPr>
        <w:t>self-perceptions of being sexual or desirable (Drummond</w:t>
      </w:r>
      <w:r w:rsidR="00522360" w:rsidRPr="00C26F73">
        <w:rPr>
          <w:b w:val="0"/>
        </w:rPr>
        <w:t xml:space="preserve"> et al.</w:t>
      </w:r>
      <w:r w:rsidRPr="00C26F73">
        <w:rPr>
          <w:b w:val="0"/>
        </w:rPr>
        <w:t xml:space="preserve"> 2013). Losing control over bodily functions, such as </w:t>
      </w:r>
      <w:r w:rsidR="000966CA" w:rsidRPr="00C26F73">
        <w:rPr>
          <w:b w:val="0"/>
        </w:rPr>
        <w:t xml:space="preserve">the </w:t>
      </w:r>
      <w:r w:rsidRPr="00C26F73">
        <w:rPr>
          <w:b w:val="0"/>
        </w:rPr>
        <w:t xml:space="preserve">incontinence </w:t>
      </w:r>
      <w:r w:rsidR="000966CA" w:rsidRPr="00C26F73">
        <w:rPr>
          <w:b w:val="0"/>
        </w:rPr>
        <w:t xml:space="preserve">that can be </w:t>
      </w:r>
      <w:r w:rsidRPr="00C26F73">
        <w:rPr>
          <w:b w:val="0"/>
        </w:rPr>
        <w:t>associated with prostate surgery</w:t>
      </w:r>
      <w:r w:rsidR="000966CA" w:rsidRPr="00C26F73">
        <w:rPr>
          <w:b w:val="0"/>
        </w:rPr>
        <w:t>,</w:t>
      </w:r>
      <w:r w:rsidRPr="00C26F73">
        <w:rPr>
          <w:b w:val="0"/>
        </w:rPr>
        <w:t xml:space="preserve"> can alter relationships and day-to-day functioning (Loe 2004). Among women, declining oestrogen levels can result in lower levels of sexual desire, vaginal dryness and atrophy, and painful intercourse (Fournier 2000; Ravanipour</w:t>
      </w:r>
      <w:r w:rsidR="00002BEB" w:rsidRPr="00C26F73">
        <w:rPr>
          <w:b w:val="0"/>
        </w:rPr>
        <w:t xml:space="preserve">, </w:t>
      </w:r>
      <w:proofErr w:type="spellStart"/>
      <w:r w:rsidR="00002BEB" w:rsidRPr="00C26F73">
        <w:rPr>
          <w:b w:val="0"/>
        </w:rPr>
        <w:t>Gharibi</w:t>
      </w:r>
      <w:proofErr w:type="spellEnd"/>
      <w:r w:rsidRPr="00C26F73">
        <w:rPr>
          <w:b w:val="0"/>
        </w:rPr>
        <w:t xml:space="preserve"> et al. 2013). Among men, prostatic hypertrophy, peripheral vascular disease or medication for blood pressure can</w:t>
      </w:r>
      <w:r w:rsidR="000966CA" w:rsidRPr="00C26F73">
        <w:rPr>
          <w:b w:val="0"/>
        </w:rPr>
        <w:t xml:space="preserve"> also</w:t>
      </w:r>
      <w:r w:rsidRPr="00C26F73">
        <w:rPr>
          <w:b w:val="0"/>
        </w:rPr>
        <w:t xml:space="preserve"> contribute to erectile dysfunction (Fournier 2000). </w:t>
      </w:r>
    </w:p>
    <w:p w:rsidR="007E495D" w:rsidRPr="00155022" w:rsidRDefault="007E495D" w:rsidP="001467CF">
      <w:pPr>
        <w:spacing w:line="240" w:lineRule="auto"/>
        <w:ind w:firstLine="720"/>
        <w:contextualSpacing/>
        <w:jc w:val="both"/>
        <w:rPr>
          <w:b w:val="0"/>
          <w:bCs/>
        </w:rPr>
      </w:pPr>
      <w:r w:rsidRPr="00C26F73">
        <w:rPr>
          <w:b w:val="0"/>
        </w:rPr>
        <w:t xml:space="preserve">Many of the sexual issues and physical changes associated with age and/or deteriorating health are treatable and older people wanted their </w:t>
      </w:r>
      <w:r w:rsidR="000966CA" w:rsidRPr="00C26F73">
        <w:rPr>
          <w:b w:val="0"/>
        </w:rPr>
        <w:t>own or partner’s physicians to e</w:t>
      </w:r>
      <w:r w:rsidRPr="00C26F73">
        <w:rPr>
          <w:b w:val="0"/>
        </w:rPr>
        <w:t xml:space="preserve">nquire about or discuss their sexual needs with them </w:t>
      </w:r>
      <w:r w:rsidR="0098364A" w:rsidRPr="00C26F73">
        <w:rPr>
          <w:b w:val="0"/>
          <w:noProof/>
        </w:rPr>
        <w:t>(Roney and Kazer 2015; Drummond et al. 2013)</w:t>
      </w:r>
      <w:r w:rsidRPr="00C26F73">
        <w:rPr>
          <w:b w:val="0"/>
        </w:rPr>
        <w:t xml:space="preserve">. </w:t>
      </w:r>
      <w:r w:rsidRPr="00C26F73">
        <w:rPr>
          <w:b w:val="0"/>
          <w:bCs/>
        </w:rPr>
        <w:t>However, healthcare providers were shown to have stereotypical views of older people as asexual (Baue</w:t>
      </w:r>
      <w:r w:rsidR="00A04D21" w:rsidRPr="00C26F73">
        <w:rPr>
          <w:b w:val="0"/>
          <w:bCs/>
        </w:rPr>
        <w:t>r, McAuliffe</w:t>
      </w:r>
      <w:r w:rsidRPr="00C26F73">
        <w:rPr>
          <w:b w:val="0"/>
          <w:bCs/>
        </w:rPr>
        <w:t xml:space="preserve"> et al</w:t>
      </w:r>
      <w:r w:rsidR="00AE6E56" w:rsidRPr="00C26F73">
        <w:rPr>
          <w:b w:val="0"/>
          <w:bCs/>
        </w:rPr>
        <w:t>.</w:t>
      </w:r>
      <w:r w:rsidRPr="00C26F73">
        <w:rPr>
          <w:b w:val="0"/>
          <w:bCs/>
        </w:rPr>
        <w:t xml:space="preserve"> 2013), which limited their ability to respond appropriately to older people's sexual needs and realities (Drummond</w:t>
      </w:r>
      <w:r w:rsidR="00522360" w:rsidRPr="00C26F73">
        <w:rPr>
          <w:b w:val="0"/>
          <w:bCs/>
        </w:rPr>
        <w:t xml:space="preserve"> et al.</w:t>
      </w:r>
      <w:r w:rsidRPr="00C26F73">
        <w:rPr>
          <w:b w:val="0"/>
          <w:bCs/>
        </w:rPr>
        <w:t xml:space="preserve"> 2013). Older people reported that this lack of discussion about health-related sexual issues negatively affected their ability to have a satisfying sex life, to cope with changes in sexual function and identity, and their expectations for a diminished sexual life (</w:t>
      </w:r>
      <w:r w:rsidRPr="00155022">
        <w:rPr>
          <w:b w:val="0"/>
          <w:bCs/>
        </w:rPr>
        <w:t>Bauer</w:t>
      </w:r>
      <w:r w:rsidR="00A04D21" w:rsidRPr="00155022">
        <w:rPr>
          <w:b w:val="0"/>
          <w:bCs/>
        </w:rPr>
        <w:t>, McAuliffe</w:t>
      </w:r>
      <w:r w:rsidRPr="00155022">
        <w:rPr>
          <w:b w:val="0"/>
          <w:bCs/>
        </w:rPr>
        <w:t xml:space="preserve"> et al. 2013; Drummond </w:t>
      </w:r>
      <w:r w:rsidR="00522360" w:rsidRPr="00155022">
        <w:rPr>
          <w:b w:val="0"/>
          <w:bCs/>
        </w:rPr>
        <w:t xml:space="preserve">et al. </w:t>
      </w:r>
      <w:r w:rsidRPr="00155022">
        <w:rPr>
          <w:b w:val="0"/>
          <w:bCs/>
        </w:rPr>
        <w:t xml:space="preserve">2013). </w:t>
      </w:r>
    </w:p>
    <w:p w:rsidR="007E495D" w:rsidRPr="00155022" w:rsidRDefault="007E495D" w:rsidP="001467CF">
      <w:pPr>
        <w:spacing w:line="240" w:lineRule="auto"/>
        <w:ind w:firstLine="720"/>
        <w:contextualSpacing/>
        <w:jc w:val="both"/>
        <w:rPr>
          <w:b w:val="0"/>
        </w:rPr>
      </w:pPr>
      <w:r w:rsidRPr="00155022">
        <w:rPr>
          <w:b w:val="0"/>
          <w:bCs/>
        </w:rPr>
        <w:t>Across studies, this emergent theme captured how despite being highly correlated with health, the bio-medicali</w:t>
      </w:r>
      <w:r w:rsidR="002C5485" w:rsidRPr="00155022">
        <w:rPr>
          <w:b w:val="0"/>
          <w:bCs/>
        </w:rPr>
        <w:t>s</w:t>
      </w:r>
      <w:r w:rsidRPr="00155022">
        <w:rPr>
          <w:b w:val="0"/>
          <w:bCs/>
        </w:rPr>
        <w:t>ation of sex can be a disappointing experience for older people</w:t>
      </w:r>
      <w:r w:rsidR="00A04D21" w:rsidRPr="00155022">
        <w:rPr>
          <w:b w:val="0"/>
          <w:bCs/>
        </w:rPr>
        <w:t xml:space="preserve"> using sexual enhancement medicine</w:t>
      </w:r>
      <w:r w:rsidRPr="00155022">
        <w:rPr>
          <w:b w:val="0"/>
          <w:bCs/>
        </w:rPr>
        <w:t>. The was particularly true when changes in sexual function as a result of medic</w:t>
      </w:r>
      <w:r w:rsidRPr="00155022">
        <w:rPr>
          <w:b w:val="0"/>
          <w:bCs/>
        </w:rPr>
        <w:softHyphen/>
        <w:t>al conditions or aging were conceptuali</w:t>
      </w:r>
      <w:r w:rsidR="002C5485" w:rsidRPr="00155022">
        <w:rPr>
          <w:b w:val="0"/>
          <w:bCs/>
        </w:rPr>
        <w:t>s</w:t>
      </w:r>
      <w:r w:rsidRPr="00155022">
        <w:rPr>
          <w:b w:val="0"/>
          <w:bCs/>
        </w:rPr>
        <w:t xml:space="preserve">ed via biomedical terms </w:t>
      </w:r>
      <w:r w:rsidR="000966CA" w:rsidRPr="00155022">
        <w:rPr>
          <w:b w:val="0"/>
          <w:bCs/>
        </w:rPr>
        <w:t>and related</w:t>
      </w:r>
      <w:r w:rsidRPr="00155022">
        <w:rPr>
          <w:b w:val="0"/>
          <w:bCs/>
        </w:rPr>
        <w:t xml:space="preserve"> to hormones or pathology (Gledhill and Schweitzer 201</w:t>
      </w:r>
      <w:r w:rsidR="00522360" w:rsidRPr="00155022">
        <w:rPr>
          <w:b w:val="0"/>
          <w:bCs/>
        </w:rPr>
        <w:t>4</w:t>
      </w:r>
      <w:r w:rsidRPr="00155022">
        <w:rPr>
          <w:b w:val="0"/>
          <w:bCs/>
        </w:rPr>
        <w:t xml:space="preserve">). Many study participants were familiar with medications for sexual dysfunction and enhancing performance (Fournier 2000), but </w:t>
      </w:r>
      <w:r w:rsidR="000966CA" w:rsidRPr="00155022">
        <w:rPr>
          <w:b w:val="0"/>
          <w:bCs/>
        </w:rPr>
        <w:t>these</w:t>
      </w:r>
      <w:r w:rsidRPr="00155022">
        <w:rPr>
          <w:b w:val="0"/>
          <w:bCs/>
        </w:rPr>
        <w:t xml:space="preserve"> often</w:t>
      </w:r>
      <w:r w:rsidR="00972130" w:rsidRPr="00155022">
        <w:rPr>
          <w:b w:val="0"/>
          <w:bCs/>
        </w:rPr>
        <w:t xml:space="preserve"> </w:t>
      </w:r>
      <w:r w:rsidR="000966CA" w:rsidRPr="00155022">
        <w:rPr>
          <w:b w:val="0"/>
        </w:rPr>
        <w:t>created anxiety</w:t>
      </w:r>
      <w:r w:rsidRPr="00155022">
        <w:rPr>
          <w:b w:val="0"/>
        </w:rPr>
        <w:t xml:space="preserve"> as they were perceived as interfering with health </w:t>
      </w:r>
      <w:r w:rsidR="000966CA" w:rsidRPr="00155022">
        <w:rPr>
          <w:b w:val="0"/>
        </w:rPr>
        <w:t xml:space="preserve">as if </w:t>
      </w:r>
      <w:r w:rsidRPr="00155022">
        <w:rPr>
          <w:b w:val="0"/>
        </w:rPr>
        <w:t>by ‘</w:t>
      </w:r>
      <w:r w:rsidRPr="00155022">
        <w:rPr>
          <w:b w:val="0"/>
          <w:iCs/>
        </w:rPr>
        <w:t>putting up a brand-new flagpole on a condemned building’</w:t>
      </w:r>
      <w:r w:rsidRPr="00155022">
        <w:rPr>
          <w:b w:val="0"/>
        </w:rPr>
        <w:t xml:space="preserve"> (Fournier 2000, 898).</w:t>
      </w:r>
      <w:r w:rsidR="000966CA" w:rsidRPr="00155022">
        <w:rPr>
          <w:b w:val="0"/>
        </w:rPr>
        <w:t xml:space="preserve"> Whether or not older people ch</w:t>
      </w:r>
      <w:r w:rsidRPr="00155022">
        <w:rPr>
          <w:b w:val="0"/>
        </w:rPr>
        <w:t xml:space="preserve">ose to use pharmaceuticals, they were frequently offered (in various forms of pills, pumps and injections) instead of other interventions </w:t>
      </w:r>
      <w:r w:rsidR="0098364A" w:rsidRPr="00155022">
        <w:rPr>
          <w:b w:val="0"/>
          <w:bCs/>
          <w:noProof/>
        </w:rPr>
        <w:t>(Fournier 2000; Gledhill and Schweitzer 2014)</w:t>
      </w:r>
      <w:r w:rsidRPr="00155022">
        <w:rPr>
          <w:b w:val="0"/>
          <w:bCs/>
        </w:rPr>
        <w:t xml:space="preserve">. </w:t>
      </w:r>
    </w:p>
    <w:p w:rsidR="001467CF" w:rsidRPr="00155022" w:rsidRDefault="001467CF" w:rsidP="007E495D">
      <w:pPr>
        <w:spacing w:line="240" w:lineRule="auto"/>
        <w:contextualSpacing/>
        <w:jc w:val="both"/>
        <w:rPr>
          <w:b w:val="0"/>
          <w:bCs/>
        </w:rPr>
      </w:pPr>
    </w:p>
    <w:p w:rsidR="001467CF" w:rsidRPr="00155022" w:rsidRDefault="007E495D" w:rsidP="007E495D">
      <w:pPr>
        <w:spacing w:line="240" w:lineRule="auto"/>
        <w:contextualSpacing/>
        <w:jc w:val="both"/>
        <w:rPr>
          <w:b w:val="0"/>
          <w:bCs/>
          <w:i/>
        </w:rPr>
      </w:pPr>
      <w:r w:rsidRPr="00155022">
        <w:rPr>
          <w:b w:val="0"/>
          <w:bCs/>
          <w:i/>
        </w:rPr>
        <w:t>Hegemony</w:t>
      </w:r>
      <w:r w:rsidRPr="00155022" w:rsidDel="00A57CF4">
        <w:rPr>
          <w:b w:val="0"/>
          <w:bCs/>
          <w:i/>
        </w:rPr>
        <w:t xml:space="preserve"> </w:t>
      </w:r>
      <w:r w:rsidR="000966CA" w:rsidRPr="00155022">
        <w:rPr>
          <w:b w:val="0"/>
          <w:bCs/>
          <w:i/>
        </w:rPr>
        <w:t>of penetrative sex</w:t>
      </w:r>
    </w:p>
    <w:p w:rsidR="007E495D" w:rsidRPr="00155022" w:rsidRDefault="007E495D" w:rsidP="007E495D">
      <w:pPr>
        <w:spacing w:line="240" w:lineRule="auto"/>
        <w:contextualSpacing/>
        <w:jc w:val="both"/>
        <w:rPr>
          <w:b w:val="0"/>
        </w:rPr>
      </w:pPr>
      <w:r w:rsidRPr="00155022">
        <w:rPr>
          <w:b w:val="0"/>
        </w:rPr>
        <w:t xml:space="preserve">The </w:t>
      </w:r>
      <w:r w:rsidR="000966CA" w:rsidRPr="00155022">
        <w:rPr>
          <w:b w:val="0"/>
        </w:rPr>
        <w:t xml:space="preserve">third theme, the </w:t>
      </w:r>
      <w:r w:rsidRPr="00155022">
        <w:rPr>
          <w:b w:val="0"/>
        </w:rPr>
        <w:t>hegemony of penetrative sex describe</w:t>
      </w:r>
      <w:r w:rsidR="007253C7" w:rsidRPr="00155022">
        <w:rPr>
          <w:b w:val="0"/>
        </w:rPr>
        <w:t>s the narrowed definition for</w:t>
      </w:r>
      <w:r w:rsidRPr="00155022">
        <w:rPr>
          <w:b w:val="0"/>
        </w:rPr>
        <w:t xml:space="preserve"> sexual activity: sex means intercourse; intercourse means vaginal penetration; and vaginal penetration requires penile erection (Malta 2007). This </w:t>
      </w:r>
      <w:r w:rsidR="000966CA" w:rsidRPr="00155022">
        <w:rPr>
          <w:b w:val="0"/>
        </w:rPr>
        <w:t xml:space="preserve">ideology </w:t>
      </w:r>
      <w:r w:rsidRPr="00155022">
        <w:rPr>
          <w:b w:val="0"/>
        </w:rPr>
        <w:t xml:space="preserve">accompanied by </w:t>
      </w:r>
      <w:r w:rsidR="000966CA" w:rsidRPr="00155022">
        <w:rPr>
          <w:b w:val="0"/>
        </w:rPr>
        <w:t xml:space="preserve">continued </w:t>
      </w:r>
      <w:r w:rsidR="000966CA" w:rsidRPr="00155022">
        <w:rPr>
          <w:b w:val="0"/>
        </w:rPr>
        <w:lastRenderedPageBreak/>
        <w:t xml:space="preserve">sexual </w:t>
      </w:r>
      <w:r w:rsidR="000678DA" w:rsidRPr="00155022">
        <w:rPr>
          <w:b w:val="0"/>
        </w:rPr>
        <w:t>desire,</w:t>
      </w:r>
      <w:r w:rsidR="000966CA" w:rsidRPr="00155022">
        <w:rPr>
          <w:b w:val="0"/>
        </w:rPr>
        <w:t xml:space="preserve"> but the</w:t>
      </w:r>
      <w:r w:rsidRPr="00155022">
        <w:rPr>
          <w:b w:val="0"/>
        </w:rPr>
        <w:t xml:space="preserve"> loss of sexual function was found to give rise to feelings of distress, dis</w:t>
      </w:r>
      <w:r w:rsidR="000966CA" w:rsidRPr="00155022">
        <w:rPr>
          <w:b w:val="0"/>
        </w:rPr>
        <w:t>appointment, frustration, shock</w:t>
      </w:r>
      <w:r w:rsidRPr="00155022">
        <w:rPr>
          <w:b w:val="0"/>
        </w:rPr>
        <w:t xml:space="preserve"> and fear of failure, which </w:t>
      </w:r>
      <w:r w:rsidR="000966CA" w:rsidRPr="00155022">
        <w:rPr>
          <w:b w:val="0"/>
        </w:rPr>
        <w:t>could lead</w:t>
      </w:r>
      <w:r w:rsidRPr="00155022">
        <w:rPr>
          <w:b w:val="0"/>
        </w:rPr>
        <w:t xml:space="preserve"> to despair, devastation and a sense of hopelessness </w:t>
      </w:r>
      <w:r w:rsidR="0098364A" w:rsidRPr="00155022">
        <w:rPr>
          <w:b w:val="0"/>
          <w:noProof/>
        </w:rPr>
        <w:t>(Loe 2004)</w:t>
      </w:r>
      <w:r w:rsidRPr="00155022">
        <w:rPr>
          <w:b w:val="0"/>
        </w:rPr>
        <w:t>. Erectile dysfunction strikes deep into the</w:t>
      </w:r>
      <w:r w:rsidRPr="00155022">
        <w:rPr>
          <w:b w:val="0"/>
          <w:i/>
          <w:iCs/>
        </w:rPr>
        <w:t xml:space="preserve"> heart of masculinity</w:t>
      </w:r>
      <w:r w:rsidRPr="00155022">
        <w:rPr>
          <w:b w:val="0"/>
        </w:rPr>
        <w:t xml:space="preserve"> </w:t>
      </w:r>
      <w:r w:rsidR="0098364A" w:rsidRPr="00155022">
        <w:rPr>
          <w:b w:val="0"/>
          <w:noProof/>
        </w:rPr>
        <w:t>(Gledhill and Schweitzer 2014, 899)</w:t>
      </w:r>
      <w:r w:rsidRPr="00155022">
        <w:rPr>
          <w:b w:val="0"/>
        </w:rPr>
        <w:t>, making men feel they have lost their vitality (Fournier 2000). Older people were challenged by the heterosexual norms ro</w:t>
      </w:r>
      <w:r w:rsidR="000966CA" w:rsidRPr="00155022">
        <w:rPr>
          <w:b w:val="0"/>
        </w:rPr>
        <w:t>oted in W</w:t>
      </w:r>
      <w:r w:rsidRPr="00155022">
        <w:rPr>
          <w:b w:val="0"/>
        </w:rPr>
        <w:t>estern cultural expectations and the media, which emphasi</w:t>
      </w:r>
      <w:r w:rsidR="002C5485" w:rsidRPr="00155022">
        <w:rPr>
          <w:b w:val="0"/>
        </w:rPr>
        <w:t>s</w:t>
      </w:r>
      <w:r w:rsidRPr="00155022">
        <w:rPr>
          <w:b w:val="0"/>
        </w:rPr>
        <w:t xml:space="preserve">e and focus on penetrative sex </w:t>
      </w:r>
      <w:r w:rsidR="0098364A" w:rsidRPr="00155022">
        <w:rPr>
          <w:b w:val="0"/>
          <w:noProof/>
        </w:rPr>
        <w:t>(Loe 2004)</w:t>
      </w:r>
      <w:r w:rsidRPr="00155022">
        <w:rPr>
          <w:b w:val="0"/>
        </w:rPr>
        <w:t>. Older men able to sustain an erection are promoted to '</w:t>
      </w:r>
      <w:r w:rsidRPr="00155022">
        <w:rPr>
          <w:b w:val="0"/>
          <w:i/>
          <w:iCs/>
        </w:rPr>
        <w:t>hero</w:t>
      </w:r>
      <w:r w:rsidRPr="00155022">
        <w:rPr>
          <w:b w:val="0"/>
        </w:rPr>
        <w:t>' status (Gledhill and Schweitzer 2014,</w:t>
      </w:r>
      <w:r w:rsidR="00522360" w:rsidRPr="00155022">
        <w:rPr>
          <w:b w:val="0"/>
        </w:rPr>
        <w:t xml:space="preserve"> </w:t>
      </w:r>
      <w:r w:rsidRPr="00155022">
        <w:rPr>
          <w:b w:val="0"/>
        </w:rPr>
        <w:t>900) as they have preserved a ‘</w:t>
      </w:r>
      <w:r w:rsidRPr="00155022">
        <w:rPr>
          <w:b w:val="0"/>
          <w:i/>
          <w:iCs/>
        </w:rPr>
        <w:t xml:space="preserve">normal’ </w:t>
      </w:r>
      <w:r w:rsidRPr="00155022">
        <w:rPr>
          <w:b w:val="0"/>
          <w:iCs/>
        </w:rPr>
        <w:t>sexual life</w:t>
      </w:r>
      <w:r w:rsidRPr="00155022">
        <w:rPr>
          <w:b w:val="0"/>
        </w:rPr>
        <w:t xml:space="preserve"> </w:t>
      </w:r>
      <w:r w:rsidR="0098364A" w:rsidRPr="00155022">
        <w:rPr>
          <w:b w:val="0"/>
          <w:noProof/>
        </w:rPr>
        <w:t>(Menard et al. 2015)</w:t>
      </w:r>
      <w:r w:rsidR="006F2D0D" w:rsidRPr="00155022">
        <w:rPr>
          <w:b w:val="0"/>
        </w:rPr>
        <w:t>.</w:t>
      </w:r>
    </w:p>
    <w:p w:rsidR="007E495D" w:rsidRPr="00C26F73" w:rsidRDefault="007E495D" w:rsidP="001467CF">
      <w:pPr>
        <w:spacing w:line="240" w:lineRule="auto"/>
        <w:ind w:firstLine="720"/>
        <w:contextualSpacing/>
        <w:jc w:val="both"/>
        <w:rPr>
          <w:b w:val="0"/>
        </w:rPr>
      </w:pPr>
      <w:r w:rsidRPr="00155022">
        <w:rPr>
          <w:b w:val="0"/>
        </w:rPr>
        <w:t>There was very little reference to masturbation as a means of pleasure. Most participants in the studies spoke of the significance of romantic relationships</w:t>
      </w:r>
      <w:r w:rsidR="00155022">
        <w:rPr>
          <w:b w:val="0"/>
        </w:rPr>
        <w:t>,</w:t>
      </w:r>
      <w:r w:rsidRPr="00155022">
        <w:rPr>
          <w:b w:val="0"/>
        </w:rPr>
        <w:t xml:space="preserve"> </w:t>
      </w:r>
      <w:r w:rsidR="000966CA" w:rsidRPr="00155022">
        <w:rPr>
          <w:b w:val="0"/>
        </w:rPr>
        <w:t xml:space="preserve">which </w:t>
      </w:r>
      <w:r w:rsidRPr="00EC7B62">
        <w:rPr>
          <w:b w:val="0"/>
        </w:rPr>
        <w:t>included penetrative intercourse as n</w:t>
      </w:r>
      <w:r w:rsidR="000966CA" w:rsidRPr="00EC7B62">
        <w:rPr>
          <w:b w:val="0"/>
        </w:rPr>
        <w:t>ormative, definitive, important</w:t>
      </w:r>
      <w:r w:rsidRPr="00EC7B62">
        <w:rPr>
          <w:b w:val="0"/>
        </w:rPr>
        <w:t xml:space="preserve"> and desirable </w:t>
      </w:r>
      <w:r w:rsidR="0098364A" w:rsidRPr="00EC7B62">
        <w:rPr>
          <w:b w:val="0"/>
          <w:noProof/>
        </w:rPr>
        <w:t>(Malta 2007)</w:t>
      </w:r>
      <w:r w:rsidRPr="00EC7B62">
        <w:rPr>
          <w:b w:val="0"/>
        </w:rPr>
        <w:t xml:space="preserve">. </w:t>
      </w:r>
      <w:r w:rsidR="00075039" w:rsidRPr="00EC7B62">
        <w:rPr>
          <w:b w:val="0"/>
        </w:rPr>
        <w:t xml:space="preserve">Older women also expressed </w:t>
      </w:r>
      <w:r w:rsidRPr="00EC7B62">
        <w:rPr>
          <w:b w:val="0"/>
        </w:rPr>
        <w:t>intercourse</w:t>
      </w:r>
      <w:r w:rsidR="00075039" w:rsidRPr="00EC7B62">
        <w:rPr>
          <w:b w:val="0"/>
        </w:rPr>
        <w:t xml:space="preserve"> is </w:t>
      </w:r>
      <w:proofErr w:type="gramStart"/>
      <w:r w:rsidR="00075039" w:rsidRPr="00EC7B62">
        <w:rPr>
          <w:b w:val="0"/>
        </w:rPr>
        <w:t xml:space="preserve">the </w:t>
      </w:r>
      <w:r w:rsidR="006F2D0D" w:rsidRPr="00EC7B62">
        <w:rPr>
          <w:b w:val="0"/>
        </w:rPr>
        <w:t xml:space="preserve"> </w:t>
      </w:r>
      <w:r w:rsidR="00075039" w:rsidRPr="00EC7B62">
        <w:rPr>
          <w:b w:val="0"/>
        </w:rPr>
        <w:t>“</w:t>
      </w:r>
      <w:proofErr w:type="gramEnd"/>
      <w:r w:rsidR="006F2D0D" w:rsidRPr="00EC7B62">
        <w:rPr>
          <w:b w:val="0"/>
        </w:rPr>
        <w:t>go</w:t>
      </w:r>
      <w:r w:rsidR="00075039" w:rsidRPr="00EC7B62">
        <w:rPr>
          <w:b w:val="0"/>
        </w:rPr>
        <w:t>ld</w:t>
      </w:r>
      <w:r w:rsidR="006F2D0D" w:rsidRPr="00EC7B62">
        <w:rPr>
          <w:b w:val="0"/>
        </w:rPr>
        <w:t>-</w:t>
      </w:r>
      <w:r w:rsidRPr="00EC7B62">
        <w:rPr>
          <w:b w:val="0"/>
        </w:rPr>
        <w:t>standard</w:t>
      </w:r>
      <w:r w:rsidR="00075039" w:rsidRPr="00EC7B62">
        <w:rPr>
          <w:b w:val="0"/>
        </w:rPr>
        <w:t>” within sexual activity</w:t>
      </w:r>
      <w:r w:rsidRPr="00EC7B62">
        <w:rPr>
          <w:b w:val="0"/>
        </w:rPr>
        <w:t xml:space="preserve"> </w:t>
      </w:r>
      <w:r w:rsidR="0098364A" w:rsidRPr="00EC7B62">
        <w:rPr>
          <w:b w:val="0"/>
          <w:noProof/>
        </w:rPr>
        <w:t>(Loe 2004)</w:t>
      </w:r>
      <w:r w:rsidRPr="00EC7B62">
        <w:rPr>
          <w:b w:val="0"/>
        </w:rPr>
        <w:t>.</w:t>
      </w:r>
      <w:r w:rsidR="00155022" w:rsidRPr="00EC7B62">
        <w:rPr>
          <w:b w:val="0"/>
        </w:rPr>
        <w:t xml:space="preserve">  </w:t>
      </w:r>
      <w:r w:rsidRPr="00EC7B62">
        <w:rPr>
          <w:b w:val="0"/>
        </w:rPr>
        <w:t>Those</w:t>
      </w:r>
      <w:r w:rsidRPr="00C26F73">
        <w:rPr>
          <w:b w:val="0"/>
        </w:rPr>
        <w:t xml:space="preserve"> seeking new partners lamented the short supply of healthy men who could perform adequately (Loe 2004). One study documented the impact of physical limitations in new relationships that led to disappointment and sorrow when sex was attempted </w:t>
      </w:r>
      <w:r w:rsidR="0098364A" w:rsidRPr="00C26F73">
        <w:rPr>
          <w:b w:val="0"/>
          <w:noProof/>
        </w:rPr>
        <w:t>(Gledhill and Schweitzer 2014)</w:t>
      </w:r>
      <w:r w:rsidRPr="00C26F73">
        <w:rPr>
          <w:b w:val="0"/>
        </w:rPr>
        <w:t>. Men unable to achieve an ere</w:t>
      </w:r>
      <w:r w:rsidR="000966CA" w:rsidRPr="00C26F73">
        <w:rPr>
          <w:b w:val="0"/>
        </w:rPr>
        <w:t xml:space="preserve">ction were considered suitable as friends but not </w:t>
      </w:r>
      <w:r w:rsidRPr="00C26F73">
        <w:rPr>
          <w:b w:val="0"/>
        </w:rPr>
        <w:t xml:space="preserve">romantic partners. Some women expected </w:t>
      </w:r>
      <w:r w:rsidRPr="00C26F73">
        <w:rPr>
          <w:b w:val="0"/>
          <w:iCs/>
        </w:rPr>
        <w:t xml:space="preserve">everything in </w:t>
      </w:r>
      <w:r w:rsidRPr="00C26F73">
        <w:rPr>
          <w:b w:val="0"/>
        </w:rPr>
        <w:t>their sexual partner</w:t>
      </w:r>
      <w:r w:rsidRPr="00C26F73">
        <w:rPr>
          <w:b w:val="0"/>
          <w:iCs/>
        </w:rPr>
        <w:t xml:space="preserve"> to work</w:t>
      </w:r>
      <w:r w:rsidRPr="00C26F73">
        <w:rPr>
          <w:b w:val="0"/>
          <w:i/>
          <w:iCs/>
        </w:rPr>
        <w:t xml:space="preserve"> </w:t>
      </w:r>
      <w:r w:rsidRPr="00C26F73">
        <w:rPr>
          <w:b w:val="0"/>
          <w:iCs/>
        </w:rPr>
        <w:t xml:space="preserve">and wanted to be satisfied with penetration rather than by </w:t>
      </w:r>
      <w:r w:rsidRPr="00C26F73">
        <w:rPr>
          <w:b w:val="0"/>
        </w:rPr>
        <w:t xml:space="preserve">other </w:t>
      </w:r>
      <w:r w:rsidR="000966CA" w:rsidRPr="00C26F73">
        <w:rPr>
          <w:b w:val="0"/>
        </w:rPr>
        <w:t xml:space="preserve">forms of </w:t>
      </w:r>
      <w:r w:rsidRPr="00C26F73">
        <w:rPr>
          <w:b w:val="0"/>
        </w:rPr>
        <w:t xml:space="preserve">sexual pleasuring, such as oral sex </w:t>
      </w:r>
      <w:r w:rsidR="0098364A" w:rsidRPr="00C26F73">
        <w:rPr>
          <w:b w:val="0"/>
          <w:noProof/>
        </w:rPr>
        <w:t>(Loe 2004)</w:t>
      </w:r>
      <w:r w:rsidRPr="00C26F73">
        <w:rPr>
          <w:b w:val="0"/>
        </w:rPr>
        <w:t xml:space="preserve">. For men, penetration was an essential aspect of manhood </w:t>
      </w:r>
      <w:r w:rsidR="0098364A" w:rsidRPr="00C26F73">
        <w:rPr>
          <w:b w:val="0"/>
          <w:noProof/>
        </w:rPr>
        <w:t>(de Oliveira Silva et al. 2015; Loe 2004)</w:t>
      </w:r>
      <w:r w:rsidRPr="00C26F73">
        <w:rPr>
          <w:b w:val="0"/>
        </w:rPr>
        <w:t>.</w:t>
      </w:r>
      <w:r w:rsidR="000966CA" w:rsidRPr="00C26F73">
        <w:rPr>
          <w:b w:val="0"/>
        </w:rPr>
        <w:t xml:space="preserve"> </w:t>
      </w:r>
      <w:proofErr w:type="gramStart"/>
      <w:r w:rsidR="000966CA" w:rsidRPr="00C26F73">
        <w:rPr>
          <w:b w:val="0"/>
        </w:rPr>
        <w:t>o</w:t>
      </w:r>
      <w:r w:rsidRPr="00C26F73">
        <w:rPr>
          <w:b w:val="0"/>
        </w:rPr>
        <w:t>ther</w:t>
      </w:r>
      <w:proofErr w:type="gramEnd"/>
      <w:r w:rsidRPr="00C26F73">
        <w:rPr>
          <w:b w:val="0"/>
        </w:rPr>
        <w:t xml:space="preserve"> forms of physical contact such as kissing, hugging and caressing were not considered ‘sexual’, but romantic or expressions of love (Yan et al. 2011).</w:t>
      </w:r>
    </w:p>
    <w:p w:rsidR="007E495D" w:rsidRPr="00C26F73" w:rsidRDefault="000966CA" w:rsidP="001467CF">
      <w:pPr>
        <w:spacing w:line="240" w:lineRule="auto"/>
        <w:ind w:firstLine="720"/>
        <w:contextualSpacing/>
        <w:jc w:val="both"/>
        <w:rPr>
          <w:b w:val="0"/>
        </w:rPr>
      </w:pPr>
      <w:r w:rsidRPr="00C26F73">
        <w:rPr>
          <w:b w:val="0"/>
        </w:rPr>
        <w:t>However, discourse about</w:t>
      </w:r>
      <w:r w:rsidR="007E495D" w:rsidRPr="00C26F73">
        <w:rPr>
          <w:b w:val="0"/>
        </w:rPr>
        <w:t xml:space="preserve"> drugs for treating erectile dysfunction which help men gain and maintain an erection sufficient for penetrative sex when sexual stimulation occurs, also emerged as a significant issue in several studies where older people discussed their sexual practices </w:t>
      </w:r>
      <w:r w:rsidR="0098364A" w:rsidRPr="00C26F73">
        <w:rPr>
          <w:b w:val="0"/>
          <w:noProof/>
        </w:rPr>
        <w:t>(Gledhill and Schweitzer 2014; Yan</w:t>
      </w:r>
      <w:r w:rsidR="000678DA">
        <w:rPr>
          <w:b w:val="0"/>
          <w:noProof/>
        </w:rPr>
        <w:t xml:space="preserve"> </w:t>
      </w:r>
      <w:r w:rsidR="0098364A" w:rsidRPr="00C26F73">
        <w:rPr>
          <w:b w:val="0"/>
          <w:noProof/>
        </w:rPr>
        <w:t>et al. 2011; Loe 2004)</w:t>
      </w:r>
      <w:r w:rsidR="007E495D" w:rsidRPr="00C26F73">
        <w:rPr>
          <w:b w:val="0"/>
        </w:rPr>
        <w:t>. For women, the availability of PDE5i</w:t>
      </w:r>
      <w:r w:rsidR="007E495D" w:rsidRPr="00C26F73" w:rsidDel="0051433B">
        <w:rPr>
          <w:b w:val="0"/>
        </w:rPr>
        <w:t xml:space="preserve"> </w:t>
      </w:r>
      <w:r w:rsidRPr="00C26F73">
        <w:rPr>
          <w:b w:val="0"/>
        </w:rPr>
        <w:t>medications was</w:t>
      </w:r>
      <w:r w:rsidR="007E495D" w:rsidRPr="00C26F73">
        <w:rPr>
          <w:b w:val="0"/>
        </w:rPr>
        <w:t xml:space="preserve"> seen as an opportunity to open new conversations about their feelings or about wanting sex </w:t>
      </w:r>
      <w:r w:rsidR="0098364A" w:rsidRPr="00C26F73">
        <w:rPr>
          <w:b w:val="0"/>
          <w:noProof/>
        </w:rPr>
        <w:t>(Loe 2004)</w:t>
      </w:r>
      <w:r w:rsidR="007E495D" w:rsidRPr="00C26F73">
        <w:rPr>
          <w:b w:val="0"/>
        </w:rPr>
        <w:t xml:space="preserve">. Women found themselves having to balance their partner’s needs for sexual potency </w:t>
      </w:r>
      <w:r w:rsidRPr="00C26F73">
        <w:rPr>
          <w:b w:val="0"/>
        </w:rPr>
        <w:t>against</w:t>
      </w:r>
      <w:r w:rsidR="007E495D" w:rsidRPr="00C26F73">
        <w:rPr>
          <w:b w:val="0"/>
        </w:rPr>
        <w:t xml:space="preserve"> the health risks and negotiation involved </w:t>
      </w:r>
      <w:r w:rsidR="0098364A" w:rsidRPr="00C26F73">
        <w:rPr>
          <w:b w:val="0"/>
          <w:noProof/>
        </w:rPr>
        <w:t>(Loe 2004)</w:t>
      </w:r>
      <w:r w:rsidR="007E495D" w:rsidRPr="00C26F73">
        <w:rPr>
          <w:b w:val="0"/>
        </w:rPr>
        <w:t>. Possible side effects associated with PDE5i, such as heart complications and sudden death, presented a narrative of mortal danger along</w:t>
      </w:r>
      <w:r w:rsidRPr="00C26F73">
        <w:rPr>
          <w:b w:val="0"/>
        </w:rPr>
        <w:t xml:space="preserve">side </w:t>
      </w:r>
      <w:r w:rsidR="007E495D" w:rsidRPr="00C26F73">
        <w:rPr>
          <w:b w:val="0"/>
        </w:rPr>
        <w:t xml:space="preserve">a miracle </w:t>
      </w:r>
      <w:r w:rsidR="0098364A" w:rsidRPr="00C26F73">
        <w:rPr>
          <w:b w:val="0"/>
          <w:noProof/>
        </w:rPr>
        <w:t>(Loe 2004)</w:t>
      </w:r>
      <w:r w:rsidR="007E495D" w:rsidRPr="00C26F73">
        <w:rPr>
          <w:b w:val="0"/>
        </w:rPr>
        <w:t xml:space="preserve">. </w:t>
      </w:r>
    </w:p>
    <w:p w:rsidR="007E495D" w:rsidRPr="00C26F73" w:rsidRDefault="007E495D" w:rsidP="001467CF">
      <w:pPr>
        <w:spacing w:line="240" w:lineRule="auto"/>
        <w:ind w:firstLine="720"/>
        <w:contextualSpacing/>
        <w:jc w:val="both"/>
        <w:rPr>
          <w:b w:val="0"/>
        </w:rPr>
      </w:pPr>
      <w:r w:rsidRPr="00C26F73">
        <w:rPr>
          <w:b w:val="0"/>
        </w:rPr>
        <w:t xml:space="preserve">Drugs for treating erectile dysfunction were not always welcomed by women. </w:t>
      </w:r>
      <w:r w:rsidR="0098364A" w:rsidRPr="00C26F73">
        <w:rPr>
          <w:b w:val="0"/>
          <w:noProof/>
        </w:rPr>
        <w:t>Loe's participants (2004)</w:t>
      </w:r>
      <w:r w:rsidRPr="00C26F73">
        <w:rPr>
          <w:b w:val="0"/>
        </w:rPr>
        <w:t xml:space="preserve"> were petrified of having their sexual lives reactivated by the availability of drugs for treating erectile dysfunction. This PDE5i-driven threat of heterosexual penetrative sex constituted an invasion of an emotional safe space after some women decided they no longer needed or wanted sex, and one </w:t>
      </w:r>
      <w:r w:rsidR="000966CA" w:rsidRPr="00C26F73">
        <w:rPr>
          <w:b w:val="0"/>
        </w:rPr>
        <w:t xml:space="preserve">woman </w:t>
      </w:r>
      <w:r w:rsidRPr="00C26F73">
        <w:rPr>
          <w:b w:val="0"/>
        </w:rPr>
        <w:t>spoke of having ‘</w:t>
      </w:r>
      <w:r w:rsidRPr="00C26F73">
        <w:rPr>
          <w:b w:val="0"/>
          <w:i/>
          <w:iCs/>
        </w:rPr>
        <w:t xml:space="preserve">paid my </w:t>
      </w:r>
      <w:r w:rsidR="000678DA" w:rsidRPr="00C26F73">
        <w:rPr>
          <w:b w:val="0"/>
          <w:i/>
          <w:iCs/>
        </w:rPr>
        <w:t>dues</w:t>
      </w:r>
      <w:r w:rsidR="000678DA" w:rsidRPr="00C26F73">
        <w:rPr>
          <w:b w:val="0"/>
        </w:rPr>
        <w:t>‘(</w:t>
      </w:r>
      <w:r w:rsidR="0098364A" w:rsidRPr="00C26F73">
        <w:rPr>
          <w:b w:val="0"/>
          <w:noProof/>
        </w:rPr>
        <w:t>Loe 2004</w:t>
      </w:r>
      <w:r w:rsidRPr="00C26F73">
        <w:rPr>
          <w:b w:val="0"/>
        </w:rPr>
        <w:t xml:space="preserve">, 314). Wonder drugs that turned men into sexual beings and left </w:t>
      </w:r>
      <w:r w:rsidRPr="00C26F73">
        <w:rPr>
          <w:b w:val="0"/>
          <w:i/>
          <w:iCs/>
        </w:rPr>
        <w:t>wives worn out</w:t>
      </w:r>
      <w:r w:rsidRPr="00C26F73">
        <w:rPr>
          <w:b w:val="0"/>
        </w:rPr>
        <w:t xml:space="preserve"> (p. 315) reinforced the </w:t>
      </w:r>
      <w:r w:rsidR="000966CA" w:rsidRPr="00C26F73">
        <w:rPr>
          <w:b w:val="0"/>
        </w:rPr>
        <w:t>emphasis given to</w:t>
      </w:r>
      <w:r w:rsidRPr="00C26F73">
        <w:rPr>
          <w:b w:val="0"/>
        </w:rPr>
        <w:t xml:space="preserve"> penetrative sex and ejaculation as essential to fulfilling male physical drives. This discourse reinforced rigid definitions of what sex </w:t>
      </w:r>
      <w:r w:rsidR="000678DA" w:rsidRPr="00C26F73">
        <w:rPr>
          <w:b w:val="0"/>
        </w:rPr>
        <w:t>is or</w:t>
      </w:r>
      <w:r w:rsidRPr="00C26F73">
        <w:rPr>
          <w:b w:val="0"/>
        </w:rPr>
        <w:t xml:space="preserve"> is expected to be </w:t>
      </w:r>
      <w:r w:rsidR="0098364A" w:rsidRPr="00C26F73">
        <w:rPr>
          <w:b w:val="0"/>
          <w:noProof/>
        </w:rPr>
        <w:t>(Yan et al. 2011)</w:t>
      </w:r>
      <w:r w:rsidRPr="00C26F73">
        <w:rPr>
          <w:b w:val="0"/>
        </w:rPr>
        <w:t>.</w:t>
      </w:r>
    </w:p>
    <w:p w:rsidR="001467CF" w:rsidRPr="00C26F73" w:rsidRDefault="007E495D" w:rsidP="00EF60A4">
      <w:pPr>
        <w:spacing w:line="240" w:lineRule="auto"/>
        <w:ind w:firstLine="720"/>
        <w:contextualSpacing/>
        <w:jc w:val="both"/>
        <w:rPr>
          <w:b w:val="0"/>
          <w:bCs/>
        </w:rPr>
      </w:pPr>
      <w:r w:rsidRPr="00C26F73">
        <w:rPr>
          <w:b w:val="0"/>
        </w:rPr>
        <w:t>The voices of older adults described their sexuality in two ways. While penetration remained the gold-standard, alternative ways of viewing sex and sexuality emphasi</w:t>
      </w:r>
      <w:r w:rsidR="002C5485" w:rsidRPr="00C26F73">
        <w:rPr>
          <w:b w:val="0"/>
        </w:rPr>
        <w:t>s</w:t>
      </w:r>
      <w:r w:rsidRPr="00C26F73">
        <w:rPr>
          <w:b w:val="0"/>
        </w:rPr>
        <w:t>e</w:t>
      </w:r>
      <w:r w:rsidR="000966CA" w:rsidRPr="00C26F73">
        <w:rPr>
          <w:b w:val="0"/>
        </w:rPr>
        <w:t>d</w:t>
      </w:r>
      <w:r w:rsidRPr="00C26F73">
        <w:rPr>
          <w:b w:val="0"/>
        </w:rPr>
        <w:t xml:space="preserve"> relationships beyond genital functionality and penetration </w:t>
      </w:r>
      <w:r w:rsidR="0098364A" w:rsidRPr="00C26F73">
        <w:rPr>
          <w:b w:val="0"/>
          <w:noProof/>
        </w:rPr>
        <w:t>(Loe 2004)</w:t>
      </w:r>
      <w:r w:rsidR="000966CA" w:rsidRPr="00C26F73">
        <w:rPr>
          <w:b w:val="0"/>
        </w:rPr>
        <w:t>. Some m</w:t>
      </w:r>
      <w:r w:rsidRPr="00C26F73">
        <w:rPr>
          <w:b w:val="0"/>
        </w:rPr>
        <w:t xml:space="preserve">en and women spoke openly about achieving sexual satisfaction through </w:t>
      </w:r>
      <w:r w:rsidR="000966CA" w:rsidRPr="00C26F73">
        <w:rPr>
          <w:b w:val="0"/>
        </w:rPr>
        <w:t xml:space="preserve">the </w:t>
      </w:r>
      <w:r w:rsidRPr="00C26F73">
        <w:rPr>
          <w:b w:val="0"/>
        </w:rPr>
        <w:t xml:space="preserve">alternate sexual skills </w:t>
      </w:r>
      <w:r w:rsidRPr="00C26F73">
        <w:rPr>
          <w:b w:val="0"/>
        </w:rPr>
        <w:lastRenderedPageBreak/>
        <w:t>they</w:t>
      </w:r>
      <w:r w:rsidR="000966CA" w:rsidRPr="00C26F73">
        <w:rPr>
          <w:b w:val="0"/>
        </w:rPr>
        <w:t xml:space="preserve"> had</w:t>
      </w:r>
      <w:r w:rsidRPr="00C26F73">
        <w:rPr>
          <w:b w:val="0"/>
        </w:rPr>
        <w:t xml:space="preserve"> learned without the need for erections and penetration </w:t>
      </w:r>
      <w:r w:rsidR="0098364A" w:rsidRPr="00C26F73">
        <w:rPr>
          <w:b w:val="0"/>
          <w:noProof/>
        </w:rPr>
        <w:t>(Sandberg 2013)</w:t>
      </w:r>
      <w:r w:rsidRPr="00C26F73">
        <w:rPr>
          <w:b w:val="0"/>
        </w:rPr>
        <w:t>. By including physical contact, such as hugging, kissing, cuddling and holding hands in the equation, many older people experienced a satisfactory sense of sexuality and men were able to successfully reconstruct their sexual identity despite erectile dysfunction (Brandenburg</w:t>
      </w:r>
      <w:r w:rsidR="009B0522" w:rsidRPr="00C26F73">
        <w:rPr>
          <w:b w:val="0"/>
        </w:rPr>
        <w:t>, Attermeyer</w:t>
      </w:r>
      <w:r w:rsidRPr="00C26F73">
        <w:rPr>
          <w:b w:val="0"/>
        </w:rPr>
        <w:t xml:space="preserve"> et al. 2000; Sandberg 2013). </w:t>
      </w:r>
    </w:p>
    <w:p w:rsidR="00155022" w:rsidRDefault="00155022" w:rsidP="007E495D">
      <w:pPr>
        <w:spacing w:line="240" w:lineRule="auto"/>
        <w:contextualSpacing/>
        <w:jc w:val="both"/>
        <w:rPr>
          <w:bCs/>
        </w:rPr>
      </w:pPr>
    </w:p>
    <w:p w:rsidR="007E495D" w:rsidRPr="00C26F73" w:rsidRDefault="007E495D" w:rsidP="007E495D">
      <w:pPr>
        <w:spacing w:line="240" w:lineRule="auto"/>
        <w:contextualSpacing/>
        <w:jc w:val="both"/>
        <w:rPr>
          <w:bCs/>
        </w:rPr>
      </w:pPr>
      <w:r w:rsidRPr="00C26F73">
        <w:rPr>
          <w:bCs/>
        </w:rPr>
        <w:t>Discussion</w:t>
      </w:r>
    </w:p>
    <w:p w:rsidR="001467CF" w:rsidRPr="00C26F73" w:rsidRDefault="001467CF" w:rsidP="007E495D">
      <w:pPr>
        <w:spacing w:line="240" w:lineRule="auto"/>
        <w:contextualSpacing/>
        <w:jc w:val="both"/>
        <w:rPr>
          <w:bCs/>
        </w:rPr>
      </w:pPr>
    </w:p>
    <w:p w:rsidR="007E495D" w:rsidRPr="00C26F73" w:rsidRDefault="007E495D" w:rsidP="007E495D">
      <w:pPr>
        <w:spacing w:line="240" w:lineRule="auto"/>
        <w:contextualSpacing/>
        <w:jc w:val="both"/>
        <w:rPr>
          <w:b w:val="0"/>
        </w:rPr>
      </w:pPr>
      <w:r w:rsidRPr="00C26F73">
        <w:rPr>
          <w:b w:val="0"/>
          <w:bCs/>
        </w:rPr>
        <w:t>This review aimed to capture older people’s attitudes and feelings about sex and sexuality in later life and to synthesi</w:t>
      </w:r>
      <w:r w:rsidR="002C5485" w:rsidRPr="00C26F73">
        <w:rPr>
          <w:b w:val="0"/>
          <w:bCs/>
        </w:rPr>
        <w:t>s</w:t>
      </w:r>
      <w:r w:rsidRPr="00C26F73">
        <w:rPr>
          <w:b w:val="0"/>
          <w:bCs/>
        </w:rPr>
        <w:t>e themes from which we might learn from and reflect upon our current understanding and knowledge, as well as identify additional research objectives. The scope of the studies reviewed allowed us to consider the wider inf</w:t>
      </w:r>
      <w:r w:rsidR="000966CA" w:rsidRPr="00C26F73">
        <w:rPr>
          <w:b w:val="0"/>
          <w:bCs/>
        </w:rPr>
        <w:t>luence of factors, such as the I</w:t>
      </w:r>
      <w:r w:rsidRPr="00C26F73">
        <w:rPr>
          <w:b w:val="0"/>
          <w:bCs/>
        </w:rPr>
        <w:t xml:space="preserve">nternet, gender norms and availability of </w:t>
      </w:r>
      <w:r w:rsidRPr="00C26F73">
        <w:rPr>
          <w:b w:val="0"/>
        </w:rPr>
        <w:t>drugs for treating erectile dysfunction</w:t>
      </w:r>
      <w:r w:rsidRPr="00C26F73">
        <w:rPr>
          <w:b w:val="0"/>
          <w:bCs/>
        </w:rPr>
        <w:t xml:space="preserve"> on older people’s own perspectives.</w:t>
      </w:r>
    </w:p>
    <w:p w:rsidR="007E495D" w:rsidRPr="00C26F73" w:rsidRDefault="000966CA" w:rsidP="001467CF">
      <w:pPr>
        <w:spacing w:line="240" w:lineRule="auto"/>
        <w:ind w:firstLine="720"/>
        <w:contextualSpacing/>
        <w:jc w:val="both"/>
        <w:rPr>
          <w:b w:val="0"/>
        </w:rPr>
      </w:pPr>
      <w:r w:rsidRPr="00C26F73">
        <w:rPr>
          <w:b w:val="0"/>
        </w:rPr>
        <w:t>While</w:t>
      </w:r>
      <w:r w:rsidR="007E495D" w:rsidRPr="00C26F73">
        <w:rPr>
          <w:b w:val="0"/>
        </w:rPr>
        <w:t xml:space="preserve"> older people experience sexuality from a broader and richer point of view, its social expression can be delegitimi</w:t>
      </w:r>
      <w:r w:rsidR="002C5485" w:rsidRPr="00C26F73">
        <w:rPr>
          <w:b w:val="0"/>
        </w:rPr>
        <w:t>s</w:t>
      </w:r>
      <w:r w:rsidRPr="00C26F73">
        <w:rPr>
          <w:b w:val="0"/>
        </w:rPr>
        <w:t xml:space="preserve">ed. </w:t>
      </w:r>
      <w:r w:rsidR="007E495D" w:rsidRPr="00C26F73">
        <w:rPr>
          <w:b w:val="0"/>
        </w:rPr>
        <w:t xml:space="preserve">Myths and stereotypes that deny their unique sense of sexual well-being and the right to express it </w:t>
      </w:r>
      <w:r w:rsidR="0098364A" w:rsidRPr="00C26F73">
        <w:rPr>
          <w:b w:val="0"/>
          <w:noProof/>
        </w:rPr>
        <w:t>(McAuliffe, Bauer and Nay 2007; Kirkman, Dickson-Swift and Fox 2015)</w:t>
      </w:r>
      <w:r w:rsidR="007E495D" w:rsidRPr="00C26F73">
        <w:rPr>
          <w:b w:val="0"/>
        </w:rPr>
        <w:t xml:space="preserve"> are compounded in ageism, irrational fears, stereotypical thinking and lack of knowledge. Resultant attitudes and behaviours constitute significant barriers to older people’s sexual expression, enjoying sexuality and achieving a sense of self </w:t>
      </w:r>
      <w:r w:rsidR="0098364A" w:rsidRPr="00C26F73">
        <w:rPr>
          <w:b w:val="0"/>
          <w:noProof/>
        </w:rPr>
        <w:t>(Snyder and Zweig 2010)</w:t>
      </w:r>
      <w:r w:rsidR="007E495D" w:rsidRPr="00C26F73">
        <w:rPr>
          <w:b w:val="0"/>
        </w:rPr>
        <w:t xml:space="preserve">, which </w:t>
      </w:r>
      <w:r w:rsidR="00AC3391" w:rsidRPr="00C26F73">
        <w:rPr>
          <w:b w:val="0"/>
        </w:rPr>
        <w:t>is</w:t>
      </w:r>
      <w:r w:rsidR="007E495D" w:rsidRPr="00C26F73">
        <w:rPr>
          <w:b w:val="0"/>
        </w:rPr>
        <w:t xml:space="preserve"> reinforced by the bio-medicali</w:t>
      </w:r>
      <w:r w:rsidR="002C5485" w:rsidRPr="00C26F73">
        <w:rPr>
          <w:b w:val="0"/>
        </w:rPr>
        <w:t>s</w:t>
      </w:r>
      <w:r w:rsidR="007E495D" w:rsidRPr="00C26F73">
        <w:rPr>
          <w:b w:val="0"/>
        </w:rPr>
        <w:t>ation of sexuali</w:t>
      </w:r>
      <w:r w:rsidR="00AC3391" w:rsidRPr="00C26F73">
        <w:rPr>
          <w:b w:val="0"/>
        </w:rPr>
        <w:t>ty and the dominant role of pharmaceuticals</w:t>
      </w:r>
      <w:r w:rsidR="007E495D" w:rsidRPr="00C26F73">
        <w:rPr>
          <w:b w:val="0"/>
        </w:rPr>
        <w:t xml:space="preserve"> in sexual discourse </w:t>
      </w:r>
      <w:r w:rsidR="0098364A" w:rsidRPr="00C26F73">
        <w:rPr>
          <w:b w:val="0"/>
          <w:noProof/>
        </w:rPr>
        <w:t>(Wentzell 2013; Marshall 2012; Marshall 2006)</w:t>
      </w:r>
      <w:r w:rsidR="007E495D" w:rsidRPr="00C26F73">
        <w:rPr>
          <w:b w:val="0"/>
        </w:rPr>
        <w:t xml:space="preserve">. </w:t>
      </w:r>
    </w:p>
    <w:p w:rsidR="007E495D" w:rsidRPr="00C26F73" w:rsidRDefault="007E495D" w:rsidP="001467CF">
      <w:pPr>
        <w:spacing w:line="240" w:lineRule="auto"/>
        <w:ind w:firstLine="720"/>
        <w:contextualSpacing/>
        <w:jc w:val="both"/>
        <w:rPr>
          <w:b w:val="0"/>
        </w:rPr>
      </w:pPr>
      <w:r w:rsidRPr="00C26F73">
        <w:rPr>
          <w:b w:val="0"/>
        </w:rPr>
        <w:t xml:space="preserve">Older people need to re-evaluate and redefine sexuality to liberate themselves from the sexual norms set by society and the media, </w:t>
      </w:r>
      <w:r w:rsidR="00AC3391" w:rsidRPr="00C26F73">
        <w:rPr>
          <w:b w:val="0"/>
        </w:rPr>
        <w:t>and to</w:t>
      </w:r>
      <w:r w:rsidRPr="00C26F73">
        <w:rPr>
          <w:b w:val="0"/>
        </w:rPr>
        <w:t xml:space="preserve"> achieve a broader perspective of sexuality and to enjoy a variety of sexual activities. The challenges of ag</w:t>
      </w:r>
      <w:r w:rsidR="00AC3391" w:rsidRPr="00C26F73">
        <w:rPr>
          <w:b w:val="0"/>
        </w:rPr>
        <w:t>e</w:t>
      </w:r>
      <w:r w:rsidRPr="00C26F73">
        <w:rPr>
          <w:b w:val="0"/>
        </w:rPr>
        <w:t xml:space="preserve">ing can enable older people to explore and experiment with their sexuality. Cognitive and psychological changes can result in a greater sense of entitlement for pleasure, various sorts of reappraisals, loosened inhibitions, and a better understanding of both one’s self and others </w:t>
      </w:r>
      <w:r w:rsidR="0098364A" w:rsidRPr="00C26F73">
        <w:rPr>
          <w:b w:val="0"/>
          <w:noProof/>
        </w:rPr>
        <w:t>(Yun, Kim and Chung 2014)</w:t>
      </w:r>
      <w:r w:rsidRPr="00C26F73">
        <w:rPr>
          <w:b w:val="0"/>
        </w:rPr>
        <w:t xml:space="preserve">. Sex in later life was described </w:t>
      </w:r>
      <w:r w:rsidR="00AC3391" w:rsidRPr="00C26F73">
        <w:rPr>
          <w:b w:val="0"/>
        </w:rPr>
        <w:t xml:space="preserve">by some </w:t>
      </w:r>
      <w:r w:rsidRPr="00C26F73">
        <w:rPr>
          <w:b w:val="0"/>
        </w:rPr>
        <w:t xml:space="preserve">as </w:t>
      </w:r>
      <w:r w:rsidRPr="00C26F73">
        <w:rPr>
          <w:b w:val="0"/>
          <w:i/>
          <w:iCs/>
        </w:rPr>
        <w:t>'greater'</w:t>
      </w:r>
      <w:r w:rsidRPr="00C26F73">
        <w:rPr>
          <w:b w:val="0"/>
        </w:rPr>
        <w:t xml:space="preserve"> </w:t>
      </w:r>
      <w:r w:rsidR="0098364A" w:rsidRPr="00C26F73">
        <w:rPr>
          <w:b w:val="0"/>
          <w:noProof/>
          <w:lang w:bidi="he-IL"/>
        </w:rPr>
        <w:t>(Menard et al. 2015, 84)</w:t>
      </w:r>
      <w:r w:rsidRPr="00C26F73">
        <w:rPr>
          <w:b w:val="0"/>
        </w:rPr>
        <w:t xml:space="preserve">, perhaps due to the growing knowledge of one's own body, the ability to derive pleasure from it (alone or partnered), feeling more comfortable with partners, with changing sexual practices and with less attention to fertility </w:t>
      </w:r>
      <w:r w:rsidR="0098364A" w:rsidRPr="00C26F73">
        <w:rPr>
          <w:b w:val="0"/>
          <w:noProof/>
        </w:rPr>
        <w:t>(Loe 2004; Yun, Kim and Chung 2014)</w:t>
      </w:r>
      <w:r w:rsidRPr="00C26F73">
        <w:rPr>
          <w:b w:val="0"/>
        </w:rPr>
        <w:t xml:space="preserve">. Relationship quality may mediate the experience of the ageing body, as a recent study found that while older women were frequently unhappy with their appearance, this was less important to them in relationships </w:t>
      </w:r>
      <w:r w:rsidR="0098364A" w:rsidRPr="00C26F73">
        <w:rPr>
          <w:b w:val="0"/>
          <w:noProof/>
        </w:rPr>
        <w:t>(Thorpe</w:t>
      </w:r>
      <w:r w:rsidR="000678DA">
        <w:rPr>
          <w:b w:val="0"/>
          <w:noProof/>
        </w:rPr>
        <w:t xml:space="preserve"> </w:t>
      </w:r>
      <w:r w:rsidR="0098364A" w:rsidRPr="00C26F73">
        <w:rPr>
          <w:b w:val="0"/>
          <w:noProof/>
        </w:rPr>
        <w:t>et al. 2015)</w:t>
      </w:r>
      <w:r w:rsidRPr="00C26F73">
        <w:rPr>
          <w:b w:val="0"/>
        </w:rPr>
        <w:t xml:space="preserve">. </w:t>
      </w:r>
    </w:p>
    <w:p w:rsidR="007E495D" w:rsidRPr="00C26F73" w:rsidRDefault="007E495D" w:rsidP="001467CF">
      <w:pPr>
        <w:spacing w:line="240" w:lineRule="auto"/>
        <w:ind w:firstLine="720"/>
        <w:contextualSpacing/>
        <w:jc w:val="both"/>
        <w:rPr>
          <w:b w:val="0"/>
        </w:rPr>
      </w:pPr>
      <w:r w:rsidRPr="00C26F73">
        <w:rPr>
          <w:b w:val="0"/>
        </w:rPr>
        <w:t xml:space="preserve">This review captured the </w:t>
      </w:r>
      <w:r w:rsidR="00AC3391" w:rsidRPr="00C26F73">
        <w:rPr>
          <w:b w:val="0"/>
        </w:rPr>
        <w:t>idea</w:t>
      </w:r>
      <w:r w:rsidRPr="00C26F73">
        <w:rPr>
          <w:b w:val="0"/>
        </w:rPr>
        <w:t xml:space="preserve"> that sexuality in later life </w:t>
      </w:r>
      <w:r w:rsidR="00AC3391" w:rsidRPr="00C26F73">
        <w:rPr>
          <w:b w:val="0"/>
        </w:rPr>
        <w:t>consists</w:t>
      </w:r>
      <w:r w:rsidRPr="00C26F73">
        <w:rPr>
          <w:b w:val="0"/>
        </w:rPr>
        <w:t xml:space="preserve"> of more than penetrative sex, although </w:t>
      </w:r>
      <w:r w:rsidR="00AC3391" w:rsidRPr="00C26F73">
        <w:rPr>
          <w:b w:val="0"/>
        </w:rPr>
        <w:t>sex remains</w:t>
      </w:r>
      <w:r w:rsidRPr="00C26F73">
        <w:rPr>
          <w:b w:val="0"/>
        </w:rPr>
        <w:t xml:space="preserve"> a popular discourse </w:t>
      </w:r>
      <w:r w:rsidR="00AC3391" w:rsidRPr="00C26F73">
        <w:rPr>
          <w:b w:val="0"/>
        </w:rPr>
        <w:t>linked to</w:t>
      </w:r>
      <w:r w:rsidRPr="00C26F73">
        <w:rPr>
          <w:b w:val="0"/>
        </w:rPr>
        <w:t xml:space="preserve"> the bio-medical view of sexuality in old age. Disability, illness, sexual dysfunction or simply life experience</w:t>
      </w:r>
      <w:r w:rsidR="00AC3391" w:rsidRPr="00C26F73">
        <w:rPr>
          <w:b w:val="0"/>
        </w:rPr>
        <w:t>s facilitate</w:t>
      </w:r>
      <w:r w:rsidRPr="00C26F73">
        <w:rPr>
          <w:b w:val="0"/>
        </w:rPr>
        <w:t xml:space="preserve"> an appreciation for other aspects of sexuality, such as coexistence, affection and companionship. Across studies, older people specified that sexuality in later years produced richer and deeper feelings than those experienced earlier in </w:t>
      </w:r>
      <w:r w:rsidR="000678DA" w:rsidRPr="00C26F73">
        <w:rPr>
          <w:b w:val="0"/>
        </w:rPr>
        <w:t>life and</w:t>
      </w:r>
      <w:r w:rsidRPr="00C26F73">
        <w:rPr>
          <w:b w:val="0"/>
        </w:rPr>
        <w:t xml:space="preserve"> reported more pleasure from varied aspects of sexuality such as cuddling, foreplay, masturbation, </w:t>
      </w:r>
      <w:r w:rsidR="00AC3391" w:rsidRPr="00C26F73">
        <w:rPr>
          <w:b w:val="0"/>
        </w:rPr>
        <w:t>and so on</w:t>
      </w:r>
      <w:r w:rsidRPr="00C26F73">
        <w:rPr>
          <w:b w:val="0"/>
        </w:rPr>
        <w:t xml:space="preserve">. A recent study </w:t>
      </w:r>
      <w:r w:rsidR="00AC3391" w:rsidRPr="00C26F73">
        <w:rPr>
          <w:b w:val="0"/>
        </w:rPr>
        <w:t xml:space="preserve">has </w:t>
      </w:r>
      <w:r w:rsidRPr="00C26F73">
        <w:rPr>
          <w:b w:val="0"/>
        </w:rPr>
        <w:t xml:space="preserve">confirmed these changes </w:t>
      </w:r>
      <w:r w:rsidR="0098364A" w:rsidRPr="00C26F73">
        <w:rPr>
          <w:b w:val="0"/>
          <w:noProof/>
        </w:rPr>
        <w:t>(Fileborn, Hinchliff et al. 2017)</w:t>
      </w:r>
      <w:r w:rsidRPr="00C26F73">
        <w:rPr>
          <w:b w:val="0"/>
        </w:rPr>
        <w:t xml:space="preserve">. When answering </w:t>
      </w:r>
      <w:r w:rsidRPr="00C26F73">
        <w:rPr>
          <w:b w:val="0"/>
        </w:rPr>
        <w:lastRenderedPageBreak/>
        <w:t xml:space="preserve">the question “What is sex?” older men were found to hold broader definitions and, rejected discourses </w:t>
      </w:r>
      <w:r w:rsidR="00AC3391" w:rsidRPr="00C26F73">
        <w:rPr>
          <w:b w:val="0"/>
        </w:rPr>
        <w:t>which</w:t>
      </w:r>
      <w:r w:rsidRPr="00C26F73">
        <w:rPr>
          <w:b w:val="0"/>
        </w:rPr>
        <w:t xml:space="preserve"> described penetrative intercourse as “real” sex.</w:t>
      </w:r>
    </w:p>
    <w:p w:rsidR="007E495D" w:rsidRPr="00C26F73" w:rsidRDefault="007E495D" w:rsidP="001467CF">
      <w:pPr>
        <w:spacing w:line="240" w:lineRule="auto"/>
        <w:ind w:firstLine="720"/>
        <w:contextualSpacing/>
        <w:jc w:val="both"/>
        <w:rPr>
          <w:b w:val="0"/>
        </w:rPr>
      </w:pPr>
      <w:r w:rsidRPr="00C26F73">
        <w:rPr>
          <w:b w:val="0"/>
        </w:rPr>
        <w:t>Our findings also re</w:t>
      </w:r>
      <w:r w:rsidR="00AC3391" w:rsidRPr="00C26F73">
        <w:rPr>
          <w:b w:val="0"/>
        </w:rPr>
        <w:t>veal</w:t>
      </w:r>
      <w:r w:rsidRPr="00C26F73">
        <w:rPr>
          <w:b w:val="0"/>
        </w:rPr>
        <w:t xml:space="preserve"> the importance of giving attention to health and physical impairments when discussing sexuality. Sexual dysfunction is more prevalent in the presence of comorbidities and increasing age </w:t>
      </w:r>
      <w:r w:rsidR="0098364A" w:rsidRPr="00C26F73">
        <w:rPr>
          <w:b w:val="0"/>
          <w:noProof/>
        </w:rPr>
        <w:t>(Corona</w:t>
      </w:r>
      <w:r w:rsidR="00594DEF">
        <w:rPr>
          <w:b w:val="0"/>
          <w:noProof/>
        </w:rPr>
        <w:t xml:space="preserve"> </w:t>
      </w:r>
      <w:r w:rsidR="0098364A" w:rsidRPr="00C26F73">
        <w:rPr>
          <w:b w:val="0"/>
          <w:noProof/>
        </w:rPr>
        <w:t>et al. 2010)</w:t>
      </w:r>
      <w:r w:rsidRPr="00C26F73">
        <w:rPr>
          <w:b w:val="0"/>
        </w:rPr>
        <w:t>. For exam</w:t>
      </w:r>
      <w:r w:rsidR="00AC3391" w:rsidRPr="00C26F73">
        <w:rPr>
          <w:b w:val="0"/>
        </w:rPr>
        <w:t xml:space="preserve">ple, in a sample of 12,815 men over </w:t>
      </w:r>
      <w:r w:rsidRPr="00C26F73">
        <w:rPr>
          <w:b w:val="0"/>
        </w:rPr>
        <w:t xml:space="preserve">50 years-of-age, the presence and severity of lower urinary tract symptoms was found to be an independent risk factor for sexual dysfunction </w:t>
      </w:r>
      <w:r w:rsidR="0098364A" w:rsidRPr="00C26F73">
        <w:rPr>
          <w:b w:val="0"/>
          <w:noProof/>
        </w:rPr>
        <w:t>(Rosen</w:t>
      </w:r>
      <w:r w:rsidR="00594DEF">
        <w:rPr>
          <w:b w:val="0"/>
          <w:noProof/>
        </w:rPr>
        <w:t xml:space="preserve"> </w:t>
      </w:r>
      <w:r w:rsidR="0098364A" w:rsidRPr="00C26F73">
        <w:rPr>
          <w:b w:val="0"/>
          <w:noProof/>
        </w:rPr>
        <w:t>et al. 2003)</w:t>
      </w:r>
      <w:r w:rsidRPr="00C26F73">
        <w:rPr>
          <w:b w:val="0"/>
        </w:rPr>
        <w:t xml:space="preserve">. However, many of the studies reviewed </w:t>
      </w:r>
      <w:r w:rsidR="00AC3391" w:rsidRPr="00C26F73">
        <w:rPr>
          <w:b w:val="0"/>
        </w:rPr>
        <w:t>addressed</w:t>
      </w:r>
      <w:r w:rsidRPr="00C26F73">
        <w:rPr>
          <w:b w:val="0"/>
        </w:rPr>
        <w:t xml:space="preserve"> specific populations of older people with various medical conditions, </w:t>
      </w:r>
      <w:r w:rsidR="00AC3391" w:rsidRPr="00C26F73">
        <w:rPr>
          <w:b w:val="0"/>
        </w:rPr>
        <w:t>such as</w:t>
      </w:r>
      <w:r w:rsidRPr="00C26F73">
        <w:rPr>
          <w:b w:val="0"/>
        </w:rPr>
        <w:t xml:space="preserve"> prostate cancer, dementia, diabetes, cancer, cardiovascular problems, chronic obstructive pulmonary disease, multiple sclerosis, epilepsy, </w:t>
      </w:r>
      <w:r w:rsidR="00AC3391" w:rsidRPr="00C26F73">
        <w:rPr>
          <w:b w:val="0"/>
        </w:rPr>
        <w:t>HIV</w:t>
      </w:r>
      <w:r w:rsidRPr="00C26F73">
        <w:rPr>
          <w:b w:val="0"/>
        </w:rPr>
        <w:t xml:space="preserve"> and iatrogenic disorders among others </w:t>
      </w:r>
      <w:r w:rsidR="0098364A" w:rsidRPr="00C26F73">
        <w:rPr>
          <w:b w:val="0"/>
          <w:noProof/>
        </w:rPr>
        <w:t>(Gledhill and Schweitzer 2014; Bauer, Fetherstonhaugh et al. 2013; Bayler-Levaro 2011; Menard et al. 2015)</w:t>
      </w:r>
      <w:r w:rsidRPr="00C26F73">
        <w:rPr>
          <w:b w:val="0"/>
        </w:rPr>
        <w:t>. Descriptive themes</w:t>
      </w:r>
      <w:r w:rsidR="00EF60A4" w:rsidRPr="00C26F73">
        <w:rPr>
          <w:b w:val="0"/>
        </w:rPr>
        <w:t xml:space="preserve"> </w:t>
      </w:r>
      <w:r w:rsidR="00AC3391" w:rsidRPr="00C26F73">
        <w:rPr>
          <w:b w:val="0"/>
        </w:rPr>
        <w:t xml:space="preserve">therefore </w:t>
      </w:r>
      <w:r w:rsidRPr="00C26F73">
        <w:rPr>
          <w:b w:val="0"/>
        </w:rPr>
        <w:t xml:space="preserve">focused on sexuality in the light of deteriorating health. They also suggested that researchers often equate problems related to sexuality with </w:t>
      </w:r>
      <w:r w:rsidR="00AC3391" w:rsidRPr="00C26F73">
        <w:rPr>
          <w:b w:val="0"/>
        </w:rPr>
        <w:t xml:space="preserve">more general </w:t>
      </w:r>
      <w:r w:rsidRPr="00C26F73">
        <w:rPr>
          <w:b w:val="0"/>
        </w:rPr>
        <w:t xml:space="preserve">health status </w:t>
      </w:r>
      <w:r w:rsidR="00AC3391" w:rsidRPr="00C26F73">
        <w:rPr>
          <w:b w:val="0"/>
        </w:rPr>
        <w:t xml:space="preserve">issues </w:t>
      </w:r>
      <w:r w:rsidRPr="00C26F73">
        <w:rPr>
          <w:b w:val="0"/>
        </w:rPr>
        <w:t xml:space="preserve">among older individuals. </w:t>
      </w:r>
    </w:p>
    <w:p w:rsidR="007E495D" w:rsidRPr="00C26F73" w:rsidRDefault="00AC3391" w:rsidP="001467CF">
      <w:pPr>
        <w:spacing w:line="240" w:lineRule="auto"/>
        <w:ind w:firstLine="720"/>
        <w:contextualSpacing/>
        <w:jc w:val="both"/>
        <w:rPr>
          <w:b w:val="0"/>
        </w:rPr>
      </w:pPr>
      <w:r w:rsidRPr="00C26F73">
        <w:rPr>
          <w:b w:val="0"/>
        </w:rPr>
        <w:t xml:space="preserve">Taken together, the </w:t>
      </w:r>
      <w:r w:rsidR="007E495D" w:rsidRPr="00C26F73">
        <w:rPr>
          <w:b w:val="0"/>
        </w:rPr>
        <w:t>three themes</w:t>
      </w:r>
      <w:r w:rsidRPr="00C26F73">
        <w:rPr>
          <w:b w:val="0"/>
        </w:rPr>
        <w:t xml:space="preserve"> outlined here</w:t>
      </w:r>
      <w:r w:rsidR="007E495D" w:rsidRPr="00C26F73">
        <w:rPr>
          <w:b w:val="0"/>
        </w:rPr>
        <w:t xml:space="preserve"> illustrate the complex and delicate relationship between aging and sexuality. As older people encounter health issues that affect their sexual function, </w:t>
      </w:r>
      <w:r w:rsidRPr="00C26F73">
        <w:rPr>
          <w:b w:val="0"/>
        </w:rPr>
        <w:t>many</w:t>
      </w:r>
      <w:r w:rsidR="007E495D" w:rsidRPr="00C26F73">
        <w:rPr>
          <w:b w:val="0"/>
        </w:rPr>
        <w:t xml:space="preserve"> adopt a wider definition of sexual activity. Social constraints and </w:t>
      </w:r>
      <w:r w:rsidRPr="00C26F73">
        <w:rPr>
          <w:b w:val="0"/>
        </w:rPr>
        <w:t xml:space="preserve">the </w:t>
      </w:r>
      <w:proofErr w:type="spellStart"/>
      <w:r w:rsidR="007E495D" w:rsidRPr="00C26F73">
        <w:rPr>
          <w:b w:val="0"/>
        </w:rPr>
        <w:t>delegitimi</w:t>
      </w:r>
      <w:r w:rsidR="002C5485" w:rsidRPr="00C26F73">
        <w:rPr>
          <w:b w:val="0"/>
        </w:rPr>
        <w:t>s</w:t>
      </w:r>
      <w:r w:rsidR="007E495D" w:rsidRPr="00C26F73">
        <w:rPr>
          <w:b w:val="0"/>
        </w:rPr>
        <w:t>ation</w:t>
      </w:r>
      <w:proofErr w:type="spellEnd"/>
      <w:r w:rsidR="007E495D" w:rsidRPr="00C26F73">
        <w:rPr>
          <w:b w:val="0"/>
        </w:rPr>
        <w:t xml:space="preserve"> of their sexuality affects their sense of autonomy and wellbeing and narrows their indicators of how successful they are in remaining sexual and/or expressing their sexuality. </w:t>
      </w:r>
    </w:p>
    <w:p w:rsidR="001467CF" w:rsidRPr="00C26F73" w:rsidRDefault="001467CF" w:rsidP="007E495D">
      <w:pPr>
        <w:spacing w:line="240" w:lineRule="auto"/>
        <w:contextualSpacing/>
        <w:jc w:val="both"/>
        <w:rPr>
          <w:b w:val="0"/>
          <w:bCs/>
        </w:rPr>
      </w:pPr>
    </w:p>
    <w:p w:rsidR="001467CF" w:rsidRPr="00C26F73" w:rsidRDefault="00AC3391" w:rsidP="00EF60A4">
      <w:pPr>
        <w:spacing w:line="240" w:lineRule="auto"/>
        <w:ind w:firstLine="720"/>
        <w:contextualSpacing/>
        <w:jc w:val="both"/>
        <w:rPr>
          <w:b w:val="0"/>
        </w:rPr>
      </w:pPr>
      <w:r w:rsidRPr="00C26F73">
        <w:rPr>
          <w:b w:val="0"/>
          <w:bCs/>
        </w:rPr>
        <w:t>Overall, t</w:t>
      </w:r>
      <w:r w:rsidR="007E495D" w:rsidRPr="00C26F73">
        <w:rPr>
          <w:b w:val="0"/>
          <w:bCs/>
        </w:rPr>
        <w:t xml:space="preserve">his review provided rich insights from older people on their own sexuality by drawing upon a range of studies. Thematic synthesis enabled us to paint a richer, more complex picture of the manner in which older men and women are “forging their own pathways to intimacy” </w:t>
      </w:r>
      <w:r w:rsidR="0098364A" w:rsidRPr="00C26F73">
        <w:rPr>
          <w:b w:val="0"/>
          <w:bCs/>
          <w:noProof/>
        </w:rPr>
        <w:t>(Marshall 2012</w:t>
      </w:r>
      <w:r w:rsidR="007E495D" w:rsidRPr="00C26F73">
        <w:rPr>
          <w:b w:val="0"/>
          <w:bCs/>
        </w:rPr>
        <w:t>, 341); “elicit[ing] the emotional side of this important issue” (</w:t>
      </w:r>
      <w:r w:rsidR="0098364A" w:rsidRPr="00C26F73">
        <w:rPr>
          <w:b w:val="0"/>
          <w:bCs/>
          <w:noProof/>
        </w:rPr>
        <w:t>Doll 2013</w:t>
      </w:r>
      <w:r w:rsidR="007E495D" w:rsidRPr="00C26F73">
        <w:rPr>
          <w:b w:val="0"/>
          <w:bCs/>
        </w:rPr>
        <w:t>, 36)</w:t>
      </w:r>
      <w:r w:rsidRPr="00C26F73">
        <w:rPr>
          <w:b w:val="0"/>
          <w:bCs/>
        </w:rPr>
        <w:t>,</w:t>
      </w:r>
      <w:r w:rsidR="007E495D" w:rsidRPr="00C26F73">
        <w:rPr>
          <w:b w:val="0"/>
          <w:bCs/>
        </w:rPr>
        <w:t xml:space="preserve"> and making space for the views and concerns of a population that otherwise, might not be heard. </w:t>
      </w:r>
    </w:p>
    <w:p w:rsidR="00155022" w:rsidRDefault="00155022" w:rsidP="007E495D">
      <w:pPr>
        <w:spacing w:line="240" w:lineRule="auto"/>
        <w:contextualSpacing/>
        <w:jc w:val="both"/>
        <w:rPr>
          <w:i/>
        </w:rPr>
      </w:pPr>
    </w:p>
    <w:p w:rsidR="007E495D" w:rsidRPr="00C26F73" w:rsidRDefault="007E495D" w:rsidP="007E495D">
      <w:pPr>
        <w:spacing w:line="240" w:lineRule="auto"/>
        <w:contextualSpacing/>
        <w:jc w:val="both"/>
        <w:rPr>
          <w:i/>
        </w:rPr>
      </w:pPr>
      <w:r w:rsidRPr="00C26F73">
        <w:rPr>
          <w:i/>
        </w:rPr>
        <w:t xml:space="preserve">Limitations </w:t>
      </w:r>
    </w:p>
    <w:p w:rsidR="001467CF" w:rsidRPr="00C26F73" w:rsidRDefault="001467CF" w:rsidP="007E495D">
      <w:pPr>
        <w:spacing w:line="240" w:lineRule="auto"/>
        <w:contextualSpacing/>
        <w:jc w:val="both"/>
        <w:rPr>
          <w:bCs/>
        </w:rPr>
      </w:pPr>
    </w:p>
    <w:p w:rsidR="00AC3391" w:rsidRPr="00C26F73" w:rsidRDefault="00AC3391" w:rsidP="007E495D">
      <w:pPr>
        <w:spacing w:line="240" w:lineRule="auto"/>
        <w:contextualSpacing/>
        <w:jc w:val="both"/>
        <w:rPr>
          <w:b w:val="0"/>
          <w:bCs/>
        </w:rPr>
      </w:pPr>
      <w:r w:rsidRPr="00C26F73">
        <w:rPr>
          <w:b w:val="0"/>
          <w:bCs/>
        </w:rPr>
        <w:t>Like all reviews this one is not without its limitations. We</w:t>
      </w:r>
      <w:r w:rsidR="007E495D" w:rsidRPr="00C26F73">
        <w:rPr>
          <w:b w:val="0"/>
          <w:bCs/>
        </w:rPr>
        <w:t xml:space="preserve"> elicited studies with a focus on heterosexual and heteronormative populations. The search terms did not explicitly </w:t>
      </w:r>
      <w:r w:rsidRPr="00C26F73">
        <w:rPr>
          <w:b w:val="0"/>
          <w:bCs/>
        </w:rPr>
        <w:t>facilitate the inclusion of</w:t>
      </w:r>
      <w:r w:rsidR="007E495D" w:rsidRPr="00C26F73">
        <w:rPr>
          <w:b w:val="0"/>
          <w:bCs/>
        </w:rPr>
        <w:t xml:space="preserve"> </w:t>
      </w:r>
      <w:r w:rsidR="007E495D" w:rsidRPr="00C26F73">
        <w:rPr>
          <w:b w:val="0"/>
        </w:rPr>
        <w:t>Lesbian, Gay, Bisexual, Transgender, Queer or Questioning, and Intersex (</w:t>
      </w:r>
      <w:r w:rsidR="007E495D" w:rsidRPr="00C26F73">
        <w:rPr>
          <w:b w:val="0"/>
          <w:bCs/>
        </w:rPr>
        <w:t xml:space="preserve">LGBTQI) literature. There may be a dearth of research on sexuality focused on the views of the aging LGBTQI population given that its focus may be on concepts of discrimination and cultural issues in this community rather than on sex itself. </w:t>
      </w:r>
      <w:bookmarkStart w:id="5" w:name="_Hlk504125833"/>
      <w:r w:rsidR="007E495D" w:rsidRPr="00C26F73">
        <w:rPr>
          <w:b w:val="0"/>
          <w:bCs/>
        </w:rPr>
        <w:t xml:space="preserve">This would provide an interesting platform for further research. </w:t>
      </w:r>
    </w:p>
    <w:p w:rsidR="00AC3391" w:rsidRPr="00C26F73" w:rsidRDefault="00AC3391" w:rsidP="007E495D">
      <w:pPr>
        <w:spacing w:line="240" w:lineRule="auto"/>
        <w:contextualSpacing/>
        <w:jc w:val="both"/>
        <w:rPr>
          <w:b w:val="0"/>
          <w:bCs/>
        </w:rPr>
      </w:pPr>
      <w:r w:rsidRPr="00C26F73">
        <w:rPr>
          <w:b w:val="0"/>
          <w:bCs/>
        </w:rPr>
        <w:tab/>
        <w:t>The papers reviewed suggest</w:t>
      </w:r>
      <w:r w:rsidR="007E495D" w:rsidRPr="00C26F73">
        <w:rPr>
          <w:b w:val="0"/>
          <w:bCs/>
        </w:rPr>
        <w:t xml:space="preserve"> a </w:t>
      </w:r>
      <w:r w:rsidRPr="00C26F73">
        <w:rPr>
          <w:b w:val="0"/>
          <w:bCs/>
        </w:rPr>
        <w:t xml:space="preserve">distinct </w:t>
      </w:r>
      <w:r w:rsidR="007E495D" w:rsidRPr="00C26F73">
        <w:rPr>
          <w:b w:val="0"/>
          <w:bCs/>
        </w:rPr>
        <w:t xml:space="preserve">lack of direct consultation with older adults living in long-term care facilities and assisted living settings. Only one study </w:t>
      </w:r>
      <w:r w:rsidR="0098364A" w:rsidRPr="00C26F73">
        <w:rPr>
          <w:b w:val="0"/>
          <w:bCs/>
          <w:noProof/>
        </w:rPr>
        <w:t>(Bauer, Fetherstonhaugh, et al. 2013)</w:t>
      </w:r>
      <w:r w:rsidR="007E495D" w:rsidRPr="00C26F73">
        <w:rPr>
          <w:b w:val="0"/>
          <w:bCs/>
        </w:rPr>
        <w:t xml:space="preserve"> was conducted in a care facility, which constitutes another gap in our knowledge base. </w:t>
      </w:r>
      <w:bookmarkEnd w:id="5"/>
      <w:r w:rsidR="007E495D" w:rsidRPr="00C26F73">
        <w:rPr>
          <w:b w:val="0"/>
          <w:bCs/>
        </w:rPr>
        <w:t xml:space="preserve">This is important for debates about how permissive or encouraging care facilities should be regarding older people’s sexuality (see </w:t>
      </w:r>
      <w:r w:rsidR="0098364A" w:rsidRPr="00C26F73">
        <w:rPr>
          <w:b w:val="0"/>
          <w:bCs/>
          <w:noProof/>
        </w:rPr>
        <w:t>Hafford-Letchfield 2008; Simpson et al. 2017)</w:t>
      </w:r>
      <w:r w:rsidR="009B0522" w:rsidRPr="00C26F73">
        <w:rPr>
          <w:b w:val="0"/>
          <w:bCs/>
        </w:rPr>
        <w:t>.</w:t>
      </w:r>
    </w:p>
    <w:p w:rsidR="007E495D" w:rsidRPr="00C26F73" w:rsidRDefault="00AC3391" w:rsidP="007E495D">
      <w:pPr>
        <w:spacing w:line="240" w:lineRule="auto"/>
        <w:contextualSpacing/>
        <w:jc w:val="both"/>
        <w:rPr>
          <w:b w:val="0"/>
          <w:bCs/>
        </w:rPr>
      </w:pPr>
      <w:r w:rsidRPr="00C26F73">
        <w:rPr>
          <w:b w:val="0"/>
          <w:bCs/>
        </w:rPr>
        <w:lastRenderedPageBreak/>
        <w:tab/>
        <w:t>Finally, t</w:t>
      </w:r>
      <w:r w:rsidR="007E495D" w:rsidRPr="00C26F73">
        <w:rPr>
          <w:b w:val="0"/>
          <w:bCs/>
        </w:rPr>
        <w:t xml:space="preserve">he literature search was conducted in 2015 and did not include </w:t>
      </w:r>
      <w:r w:rsidRPr="00C26F73">
        <w:rPr>
          <w:b w:val="0"/>
          <w:bCs/>
        </w:rPr>
        <w:t xml:space="preserve">potentially </w:t>
      </w:r>
      <w:r w:rsidR="007E495D" w:rsidRPr="00C26F73">
        <w:rPr>
          <w:b w:val="0"/>
          <w:bCs/>
        </w:rPr>
        <w:t xml:space="preserve">important qualitative papers published afterward; as is often the case in systematic reviews, where at some point the search has to be concluded. As with every systematic review, it is possible that we missed relevant articles that would have met our inclusion criteria. It was certainly not possible to fully present the richness of the research findings within the limitations of this paper. </w:t>
      </w:r>
    </w:p>
    <w:p w:rsidR="001467CF" w:rsidRPr="00C26F73" w:rsidRDefault="001467CF" w:rsidP="007E495D">
      <w:pPr>
        <w:spacing w:line="240" w:lineRule="auto"/>
        <w:contextualSpacing/>
        <w:jc w:val="both"/>
        <w:rPr>
          <w:b w:val="0"/>
        </w:rPr>
      </w:pPr>
    </w:p>
    <w:p w:rsidR="007E495D" w:rsidRPr="00C26F73" w:rsidRDefault="007E495D" w:rsidP="007E495D">
      <w:pPr>
        <w:spacing w:line="240" w:lineRule="auto"/>
        <w:contextualSpacing/>
        <w:jc w:val="both"/>
        <w:rPr>
          <w:i/>
        </w:rPr>
      </w:pPr>
      <w:r w:rsidRPr="00C26F73">
        <w:rPr>
          <w:i/>
        </w:rPr>
        <w:t xml:space="preserve">Implications </w:t>
      </w:r>
    </w:p>
    <w:p w:rsidR="001467CF" w:rsidRPr="00C26F73" w:rsidRDefault="001467CF" w:rsidP="007E495D">
      <w:pPr>
        <w:spacing w:line="240" w:lineRule="auto"/>
        <w:contextualSpacing/>
        <w:jc w:val="both"/>
        <w:rPr>
          <w:bCs/>
        </w:rPr>
      </w:pPr>
    </w:p>
    <w:p w:rsidR="007E495D" w:rsidRPr="00C26F73" w:rsidRDefault="007E495D" w:rsidP="007E495D">
      <w:pPr>
        <w:spacing w:line="240" w:lineRule="auto"/>
        <w:contextualSpacing/>
        <w:jc w:val="both"/>
        <w:rPr>
          <w:b w:val="0"/>
          <w:bCs/>
        </w:rPr>
      </w:pPr>
      <w:r w:rsidRPr="00C26F73">
        <w:rPr>
          <w:b w:val="0"/>
          <w:bCs/>
        </w:rPr>
        <w:t xml:space="preserve">The findings of this review have much to offer administrators, clinicians, family caregivers and care professionals to enable deeper understanding and more considerate and person-centred responses to combat ageism. </w:t>
      </w:r>
      <w:r w:rsidR="00AC3391" w:rsidRPr="00C26F73">
        <w:rPr>
          <w:b w:val="0"/>
          <w:bCs/>
        </w:rPr>
        <w:t xml:space="preserve">Review findings </w:t>
      </w:r>
      <w:r w:rsidRPr="00C26F73">
        <w:rPr>
          <w:b w:val="0"/>
          <w:bCs/>
        </w:rPr>
        <w:t xml:space="preserve">suggest that later life sexuality should be addressed within social policy, sex education and aging policies </w:t>
      </w:r>
      <w:r w:rsidR="0098364A" w:rsidRPr="00C26F73">
        <w:rPr>
          <w:b w:val="0"/>
          <w:bCs/>
          <w:noProof/>
        </w:rPr>
        <w:t>(Gledhill and Schweitzer 2014)</w:t>
      </w:r>
      <w:r w:rsidRPr="00C26F73">
        <w:rPr>
          <w:b w:val="0"/>
          <w:bCs/>
        </w:rPr>
        <w:t xml:space="preserve">. Sexuality needs to be </w:t>
      </w:r>
      <w:r w:rsidR="00AC3391" w:rsidRPr="00C26F73">
        <w:rPr>
          <w:b w:val="0"/>
          <w:bCs/>
        </w:rPr>
        <w:t xml:space="preserve">made more </w:t>
      </w:r>
      <w:r w:rsidRPr="00C26F73">
        <w:rPr>
          <w:b w:val="0"/>
          <w:bCs/>
        </w:rPr>
        <w:t xml:space="preserve">integral to healthcare assessment and provision by giving attention to older people’s wishes to maintain a healthy sexual life as one of their human rights. Sexuality should be viewed and treated from a broad perspective, addressing </w:t>
      </w:r>
      <w:r w:rsidR="00AC3391" w:rsidRPr="00C26F73">
        <w:rPr>
          <w:b w:val="0"/>
          <w:bCs/>
        </w:rPr>
        <w:t>its</w:t>
      </w:r>
      <w:r w:rsidRPr="00C26F73">
        <w:rPr>
          <w:b w:val="0"/>
          <w:bCs/>
        </w:rPr>
        <w:t xml:space="preserve"> biological, psychological and social aspects, as well as the diverse sexualities of older people. Those living in long-term care facilities are likely to be influenced </w:t>
      </w:r>
      <w:r w:rsidR="00AC3391" w:rsidRPr="00C26F73">
        <w:rPr>
          <w:b w:val="0"/>
          <w:bCs/>
        </w:rPr>
        <w:t xml:space="preserve">at least in part </w:t>
      </w:r>
      <w:r w:rsidRPr="00C26F73">
        <w:rPr>
          <w:b w:val="0"/>
          <w:bCs/>
        </w:rPr>
        <w:t xml:space="preserve">by wider social attitudes, as well as by the context of the long-term care environment. It is important to ensure </w:t>
      </w:r>
      <w:bookmarkStart w:id="6" w:name="_Hlk504126710"/>
      <w:r w:rsidRPr="00C26F73">
        <w:rPr>
          <w:b w:val="0"/>
          <w:bCs/>
        </w:rPr>
        <w:t>that the residents’ rights to intimacy and to express their sexuality are not neglected</w:t>
      </w:r>
      <w:bookmarkEnd w:id="6"/>
      <w:r w:rsidRPr="00C26F73">
        <w:rPr>
          <w:b w:val="0"/>
          <w:bCs/>
        </w:rPr>
        <w:t xml:space="preserve"> </w:t>
      </w:r>
      <w:r w:rsidR="0098364A" w:rsidRPr="00C26F73">
        <w:rPr>
          <w:b w:val="0"/>
          <w:bCs/>
          <w:noProof/>
        </w:rPr>
        <w:t>(Frankowski and Clark 2009)</w:t>
      </w:r>
      <w:r w:rsidRPr="00C26F73">
        <w:rPr>
          <w:b w:val="0"/>
          <w:bCs/>
        </w:rPr>
        <w:t>.</w:t>
      </w:r>
    </w:p>
    <w:p w:rsidR="007E495D" w:rsidRPr="00C26F73" w:rsidRDefault="007E495D" w:rsidP="007E495D">
      <w:pPr>
        <w:spacing w:line="240" w:lineRule="auto"/>
        <w:contextualSpacing/>
        <w:jc w:val="both"/>
        <w:rPr>
          <w:b w:val="0"/>
          <w:bCs/>
        </w:rPr>
      </w:pPr>
      <w:r w:rsidRPr="00C26F73">
        <w:rPr>
          <w:b w:val="0"/>
          <w:bCs/>
        </w:rPr>
        <w:tab/>
      </w:r>
      <w:r w:rsidR="00AC3391" w:rsidRPr="00C26F73">
        <w:rPr>
          <w:b w:val="0"/>
          <w:bCs/>
        </w:rPr>
        <w:t>In moving forwards, it is important for carers, health professionals, family members and others to</w:t>
      </w:r>
      <w:r w:rsidRPr="00C26F73">
        <w:rPr>
          <w:b w:val="0"/>
          <w:bCs/>
        </w:rPr>
        <w:t xml:space="preserve"> familiari</w:t>
      </w:r>
      <w:r w:rsidR="002C5485" w:rsidRPr="00C26F73">
        <w:rPr>
          <w:b w:val="0"/>
          <w:bCs/>
        </w:rPr>
        <w:t>s</w:t>
      </w:r>
      <w:r w:rsidR="00AC3391" w:rsidRPr="00C26F73">
        <w:rPr>
          <w:b w:val="0"/>
          <w:bCs/>
        </w:rPr>
        <w:t>e them</w:t>
      </w:r>
      <w:r w:rsidRPr="00C26F73">
        <w:rPr>
          <w:b w:val="0"/>
          <w:bCs/>
        </w:rPr>
        <w:t xml:space="preserve">selves with </w:t>
      </w:r>
      <w:r w:rsidR="00AC3391" w:rsidRPr="00C26F73">
        <w:rPr>
          <w:b w:val="0"/>
          <w:bCs/>
        </w:rPr>
        <w:t xml:space="preserve">the </w:t>
      </w:r>
      <w:r w:rsidRPr="00C26F73">
        <w:rPr>
          <w:b w:val="0"/>
          <w:bCs/>
        </w:rPr>
        <w:t xml:space="preserve">sexual </w:t>
      </w:r>
      <w:r w:rsidR="00AC3391" w:rsidRPr="00C26F73">
        <w:rPr>
          <w:b w:val="0"/>
          <w:bCs/>
        </w:rPr>
        <w:t xml:space="preserve">health </w:t>
      </w:r>
      <w:r w:rsidRPr="00C26F73">
        <w:rPr>
          <w:b w:val="0"/>
          <w:bCs/>
        </w:rPr>
        <w:t>issues encountered by older peopl</w:t>
      </w:r>
      <w:r w:rsidR="00AC3391" w:rsidRPr="00C26F73">
        <w:rPr>
          <w:b w:val="0"/>
          <w:bCs/>
        </w:rPr>
        <w:t>e, to examine their</w:t>
      </w:r>
      <w:r w:rsidRPr="00C26F73">
        <w:rPr>
          <w:b w:val="0"/>
          <w:bCs/>
        </w:rPr>
        <w:t xml:space="preserve"> own values </w:t>
      </w:r>
      <w:r w:rsidR="00AC3391" w:rsidRPr="00C26F73">
        <w:rPr>
          <w:b w:val="0"/>
          <w:bCs/>
        </w:rPr>
        <w:t>with respect to</w:t>
      </w:r>
      <w:r w:rsidRPr="00C26F73">
        <w:rPr>
          <w:b w:val="0"/>
          <w:bCs/>
        </w:rPr>
        <w:t xml:space="preserve"> this otherwise ‘taboo’ topic</w:t>
      </w:r>
      <w:r w:rsidR="00AC3391" w:rsidRPr="00C26F73">
        <w:rPr>
          <w:b w:val="0"/>
          <w:bCs/>
        </w:rPr>
        <w:t>,</w:t>
      </w:r>
      <w:r w:rsidRPr="00C26F73">
        <w:rPr>
          <w:b w:val="0"/>
          <w:bCs/>
        </w:rPr>
        <w:t xml:space="preserve"> and to ensure </w:t>
      </w:r>
      <w:r w:rsidR="00AC3391" w:rsidRPr="00C26F73">
        <w:rPr>
          <w:b w:val="0"/>
          <w:bCs/>
        </w:rPr>
        <w:t>they</w:t>
      </w:r>
      <w:r w:rsidRPr="00C26F73">
        <w:rPr>
          <w:b w:val="0"/>
          <w:bCs/>
        </w:rPr>
        <w:t xml:space="preserve"> are open to consultation and discussion when appropriate. Older people deserve sensitive, trained </w:t>
      </w:r>
      <w:r w:rsidR="00AC3391" w:rsidRPr="00C26F73">
        <w:rPr>
          <w:b w:val="0"/>
          <w:bCs/>
        </w:rPr>
        <w:t>support</w:t>
      </w:r>
      <w:r w:rsidRPr="00C26F73">
        <w:rPr>
          <w:b w:val="0"/>
          <w:bCs/>
        </w:rPr>
        <w:t xml:space="preserve"> to avoid concealing sexual problems and to ensure that deep-rooted cultural and gender issues are accepted and addressed </w:t>
      </w:r>
      <w:r w:rsidR="0098364A" w:rsidRPr="00C26F73">
        <w:rPr>
          <w:b w:val="0"/>
          <w:bCs/>
          <w:noProof/>
        </w:rPr>
        <w:t>(Yan et al. 2011)</w:t>
      </w:r>
      <w:r w:rsidRPr="00C26F73">
        <w:rPr>
          <w:b w:val="0"/>
          <w:bCs/>
        </w:rPr>
        <w:t xml:space="preserve">. Positive responses from healthcare providers </w:t>
      </w:r>
      <w:r w:rsidR="00AC3391" w:rsidRPr="00C26F73">
        <w:rPr>
          <w:b w:val="0"/>
          <w:bCs/>
        </w:rPr>
        <w:t>can</w:t>
      </w:r>
      <w:r w:rsidRPr="00C26F73">
        <w:rPr>
          <w:b w:val="0"/>
          <w:bCs/>
        </w:rPr>
        <w:t xml:space="preserve"> facilitate improved access to sexual healthcare </w:t>
      </w:r>
      <w:r w:rsidR="0098364A" w:rsidRPr="00C26F73">
        <w:rPr>
          <w:b w:val="0"/>
          <w:bCs/>
          <w:noProof/>
        </w:rPr>
        <w:t>(Fileborn, Lyons et al. 2017)</w:t>
      </w:r>
      <w:r w:rsidRPr="00C26F73">
        <w:rPr>
          <w:b w:val="0"/>
          <w:bCs/>
        </w:rPr>
        <w:t xml:space="preserve">. </w:t>
      </w:r>
      <w:r w:rsidR="00AC3391" w:rsidRPr="00C26F73">
        <w:rPr>
          <w:b w:val="0"/>
          <w:bCs/>
        </w:rPr>
        <w:t>There is a need for more</w:t>
      </w:r>
      <w:r w:rsidRPr="00C26F73">
        <w:rPr>
          <w:b w:val="0"/>
        </w:rPr>
        <w:t xml:space="preserve"> positive perceptions of older adults’ sexuality in our culture,</w:t>
      </w:r>
      <w:r w:rsidRPr="00C26F73">
        <w:rPr>
          <w:b w:val="0"/>
          <w:bCs/>
        </w:rPr>
        <w:t xml:space="preserve"> recogni</w:t>
      </w:r>
      <w:r w:rsidR="002C5485" w:rsidRPr="00C26F73">
        <w:rPr>
          <w:b w:val="0"/>
          <w:bCs/>
        </w:rPr>
        <w:t>s</w:t>
      </w:r>
      <w:r w:rsidRPr="00C26F73">
        <w:rPr>
          <w:b w:val="0"/>
          <w:bCs/>
        </w:rPr>
        <w:t xml:space="preserve">ing the diversity of late-life sexualities and </w:t>
      </w:r>
      <w:r w:rsidRPr="00C26F73">
        <w:rPr>
          <w:b w:val="0"/>
        </w:rPr>
        <w:t>legitimi</w:t>
      </w:r>
      <w:r w:rsidR="002C5485" w:rsidRPr="00C26F73">
        <w:rPr>
          <w:b w:val="0"/>
        </w:rPr>
        <w:t>s</w:t>
      </w:r>
      <w:r w:rsidRPr="00C26F73">
        <w:rPr>
          <w:b w:val="0"/>
        </w:rPr>
        <w:t xml:space="preserve">ing other avenues in which </w:t>
      </w:r>
      <w:r w:rsidRPr="00C26F73">
        <w:rPr>
          <w:b w:val="0"/>
          <w:bCs/>
        </w:rPr>
        <w:t>older adults can or may express their sexuality. Care providers s</w:t>
      </w:r>
      <w:r w:rsidRPr="00C26F73">
        <w:rPr>
          <w:b w:val="0"/>
        </w:rPr>
        <w:t xml:space="preserve">hould be aware </w:t>
      </w:r>
      <w:r w:rsidR="003E3CE3" w:rsidRPr="00C26F73">
        <w:rPr>
          <w:b w:val="0"/>
        </w:rPr>
        <w:t xml:space="preserve">of the limitations of </w:t>
      </w:r>
      <w:r w:rsidRPr="00C26F73">
        <w:rPr>
          <w:b w:val="0"/>
        </w:rPr>
        <w:t>their personal definition</w:t>
      </w:r>
      <w:r w:rsidR="003E3CE3" w:rsidRPr="00C26F73">
        <w:rPr>
          <w:b w:val="0"/>
        </w:rPr>
        <w:t>s of sexuality</w:t>
      </w:r>
      <w:r w:rsidRPr="00C26F73">
        <w:rPr>
          <w:b w:val="0"/>
        </w:rPr>
        <w:t xml:space="preserve"> </w:t>
      </w:r>
      <w:r w:rsidR="003E3CE3" w:rsidRPr="00C26F73">
        <w:rPr>
          <w:b w:val="0"/>
        </w:rPr>
        <w:t xml:space="preserve">the danger </w:t>
      </w:r>
      <w:r w:rsidR="00594DEF" w:rsidRPr="00C26F73">
        <w:rPr>
          <w:b w:val="0"/>
        </w:rPr>
        <w:t>of a</w:t>
      </w:r>
      <w:r w:rsidRPr="00C26F73">
        <w:rPr>
          <w:b w:val="0"/>
        </w:rPr>
        <w:t xml:space="preserve"> </w:t>
      </w:r>
      <w:r w:rsidRPr="00C26F73">
        <w:rPr>
          <w:b w:val="0"/>
          <w:i/>
          <w:iCs/>
        </w:rPr>
        <w:t>one</w:t>
      </w:r>
      <w:r w:rsidR="003E3CE3" w:rsidRPr="00C26F73">
        <w:rPr>
          <w:b w:val="0"/>
          <w:i/>
          <w:iCs/>
        </w:rPr>
        <w:t>-size-fits-</w:t>
      </w:r>
      <w:r w:rsidRPr="00C26F73">
        <w:rPr>
          <w:b w:val="0"/>
          <w:i/>
          <w:iCs/>
        </w:rPr>
        <w:t>all</w:t>
      </w:r>
      <w:r w:rsidRPr="00C26F73">
        <w:rPr>
          <w:b w:val="0"/>
        </w:rPr>
        <w:t xml:space="preserve"> approach </w:t>
      </w:r>
      <w:r w:rsidR="003E3CE3" w:rsidRPr="00C26F73">
        <w:rPr>
          <w:b w:val="0"/>
        </w:rPr>
        <w:t>to any form of response</w:t>
      </w:r>
      <w:r w:rsidRPr="00C26F73">
        <w:rPr>
          <w:b w:val="0"/>
        </w:rPr>
        <w:t xml:space="preserve"> </w:t>
      </w:r>
      <w:r w:rsidR="0098364A" w:rsidRPr="00C26F73">
        <w:rPr>
          <w:b w:val="0"/>
          <w:noProof/>
        </w:rPr>
        <w:t>(Marshall 2012; Southard and Keller 2008)</w:t>
      </w:r>
      <w:r w:rsidRPr="00C26F73">
        <w:rPr>
          <w:b w:val="0"/>
        </w:rPr>
        <w:t>.</w:t>
      </w:r>
      <w:r w:rsidRPr="00C26F73">
        <w:rPr>
          <w:b w:val="0"/>
          <w:bCs/>
        </w:rPr>
        <w:t xml:space="preserve"> </w:t>
      </w:r>
    </w:p>
    <w:p w:rsidR="00C26B40" w:rsidRPr="00C26F73" w:rsidRDefault="00C26B40" w:rsidP="007E495D">
      <w:pPr>
        <w:spacing w:line="240" w:lineRule="auto"/>
        <w:contextualSpacing/>
        <w:jc w:val="both"/>
        <w:rPr>
          <w:b w:val="0"/>
          <w:bCs/>
        </w:rPr>
      </w:pPr>
    </w:p>
    <w:p w:rsidR="00C26B40" w:rsidRPr="00155022" w:rsidRDefault="00C26B40" w:rsidP="007E495D">
      <w:pPr>
        <w:spacing w:line="240" w:lineRule="auto"/>
        <w:contextualSpacing/>
        <w:jc w:val="both"/>
      </w:pPr>
      <w:r w:rsidRPr="00155022">
        <w:t>Funding</w:t>
      </w:r>
    </w:p>
    <w:p w:rsidR="00C26B40" w:rsidRPr="00C26F73" w:rsidRDefault="00C26B40" w:rsidP="007E495D">
      <w:pPr>
        <w:spacing w:line="240" w:lineRule="auto"/>
        <w:contextualSpacing/>
        <w:jc w:val="both"/>
        <w:rPr>
          <w:b w:val="0"/>
          <w:bCs/>
          <w:lang w:val="en-US"/>
        </w:rPr>
      </w:pPr>
      <w:r w:rsidRPr="00155022">
        <w:rPr>
          <w:b w:val="0"/>
        </w:rPr>
        <w:t xml:space="preserve">This review was supported by a grant from the European Cooperation in Science and Technology (COST IS1402) on Ageism, from a multidisciplinary cross-national perspective. </w:t>
      </w:r>
    </w:p>
    <w:p w:rsidR="007E495D" w:rsidRPr="00C26F73" w:rsidRDefault="007E495D" w:rsidP="007E495D">
      <w:pPr>
        <w:spacing w:line="240" w:lineRule="auto"/>
        <w:contextualSpacing/>
        <w:jc w:val="both"/>
        <w:rPr>
          <w:b w:val="0"/>
          <w:bCs/>
        </w:rPr>
      </w:pPr>
      <w:r w:rsidRPr="00C26F73">
        <w:rPr>
          <w:b w:val="0"/>
          <w:bCs/>
        </w:rPr>
        <w:br w:type="page"/>
      </w:r>
    </w:p>
    <w:p w:rsidR="007E495D" w:rsidRPr="00C26F73" w:rsidRDefault="007E495D" w:rsidP="007E495D">
      <w:pPr>
        <w:spacing w:line="240" w:lineRule="auto"/>
        <w:contextualSpacing/>
        <w:jc w:val="both"/>
        <w:rPr>
          <w:bCs/>
        </w:rPr>
      </w:pPr>
      <w:r w:rsidRPr="00C26F73">
        <w:rPr>
          <w:bCs/>
        </w:rPr>
        <w:lastRenderedPageBreak/>
        <w:t>References</w:t>
      </w:r>
    </w:p>
    <w:p w:rsidR="00F950CE" w:rsidRPr="00C26F73" w:rsidRDefault="00F950CE" w:rsidP="007E495D">
      <w:pPr>
        <w:spacing w:line="240" w:lineRule="auto"/>
        <w:contextualSpacing/>
        <w:jc w:val="both"/>
        <w:rPr>
          <w:bCs/>
        </w:rPr>
      </w:pP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Alarie, Milaine, and Jason T. Carmichael. 2015. “The ‘Cougar’ Phenomenon: An Examination of the Factors That Influence Age-Hypogamous Sexual Relationships among Middle-Aged Women.” </w:t>
      </w:r>
      <w:r w:rsidRPr="00C26F73">
        <w:rPr>
          <w:b w:val="0"/>
          <w:bCs/>
          <w:i/>
          <w:iCs/>
          <w:noProof/>
        </w:rPr>
        <w:t>Journal of Marriage and Family</w:t>
      </w:r>
      <w:r w:rsidRPr="00C26F73">
        <w:rPr>
          <w:b w:val="0"/>
          <w:bCs/>
          <w:noProof/>
        </w:rPr>
        <w:t xml:space="preserve"> 77 (5): 1250–</w:t>
      </w:r>
      <w:r w:rsidR="00FC492B" w:rsidRPr="00C26F73">
        <w:rPr>
          <w:b w:val="0"/>
          <w:bCs/>
          <w:noProof/>
        </w:rPr>
        <w:t>12</w:t>
      </w:r>
      <w:r w:rsidRPr="00C26F73">
        <w:rPr>
          <w:b w:val="0"/>
          <w:bCs/>
          <w:noProof/>
        </w:rPr>
        <w:t xml:space="preserve">65.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Baldissera, Vanessa Denardi Antoniassi, Sonia Maria Villela Bueno, and Luiza Akiko Komura Hoga. 2012. “Improvement of Older Women’s Sexuality through Emancipatory Education.” </w:t>
      </w:r>
      <w:r w:rsidRPr="00C26F73">
        <w:rPr>
          <w:b w:val="0"/>
          <w:bCs/>
          <w:i/>
          <w:iCs/>
          <w:noProof/>
        </w:rPr>
        <w:t>Health Care for Women International</w:t>
      </w:r>
      <w:r w:rsidRPr="00C26F73">
        <w:rPr>
          <w:b w:val="0"/>
          <w:bCs/>
          <w:noProof/>
        </w:rPr>
        <w:t xml:space="preserve"> 33 (10): 956–</w:t>
      </w:r>
      <w:r w:rsidR="00FC492B" w:rsidRPr="00C26F73">
        <w:rPr>
          <w:b w:val="0"/>
          <w:bCs/>
          <w:noProof/>
        </w:rPr>
        <w:t>9</w:t>
      </w:r>
      <w:r w:rsidRPr="00C26F73">
        <w:rPr>
          <w:b w:val="0"/>
          <w:bCs/>
          <w:noProof/>
        </w:rPr>
        <w:t xml:space="preserve">72.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Bauer, Michael, Deirdre Fetherstonhaugh, Laura Tarzia, Rhonda Nay, David Wellman, and Elizabeth Beattie. 2013. “‘I Always Look under the Bed for a Man’. Needs and Barriers to the Expression of Sexuality in Residential Aged Care: The Views of Residents with and without Dementia.” </w:t>
      </w:r>
      <w:r w:rsidRPr="00C26F73">
        <w:rPr>
          <w:b w:val="0"/>
          <w:bCs/>
          <w:i/>
          <w:iCs/>
          <w:noProof/>
        </w:rPr>
        <w:t>Psychology and Sexuality</w:t>
      </w:r>
      <w:r w:rsidRPr="00C26F73">
        <w:rPr>
          <w:b w:val="0"/>
          <w:bCs/>
          <w:noProof/>
        </w:rPr>
        <w:t xml:space="preserve"> 4 (3): 1–14.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Bauer, Michael, Linda McAuliffe, Rhonda Nay, and Carol Chenco. 2013. “Sexuality in Older Adults: Effect of an Education Intervention on Attitudes and Beliefs of Residential Aged Care Staff.” </w:t>
      </w:r>
      <w:r w:rsidRPr="00C26F73">
        <w:rPr>
          <w:b w:val="0"/>
          <w:bCs/>
          <w:i/>
          <w:iCs/>
          <w:noProof/>
        </w:rPr>
        <w:t>Educational Gerontology</w:t>
      </w:r>
      <w:r w:rsidRPr="00C26F73">
        <w:rPr>
          <w:b w:val="0"/>
          <w:bCs/>
          <w:noProof/>
        </w:rPr>
        <w:t xml:space="preserve"> 39 (2): 82–91.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Bauer, Michael, Rhonda Nay, Laura Tarzia, Deirdre Fetherstonhaugh, David Wellman, and Elizabeth Beattie. 2014. “‘We Need to Know What’s Going on’: Views of Family Members toward the Sexual Expression of People with Dementia in Residential Aged Care.” </w:t>
      </w:r>
      <w:r w:rsidRPr="00C26F73">
        <w:rPr>
          <w:b w:val="0"/>
          <w:bCs/>
          <w:i/>
          <w:iCs/>
          <w:noProof/>
        </w:rPr>
        <w:t>Dementia</w:t>
      </w:r>
      <w:r w:rsidRPr="00C26F73">
        <w:rPr>
          <w:b w:val="0"/>
          <w:bCs/>
          <w:noProof/>
        </w:rPr>
        <w:t xml:space="preserve"> 13 (5): 571–</w:t>
      </w:r>
      <w:r w:rsidR="00FC492B" w:rsidRPr="00C26F73">
        <w:rPr>
          <w:b w:val="0"/>
          <w:bCs/>
          <w:noProof/>
        </w:rPr>
        <w:t>5</w:t>
      </w:r>
      <w:r w:rsidRPr="00C26F73">
        <w:rPr>
          <w:b w:val="0"/>
          <w:bCs/>
          <w:noProof/>
        </w:rPr>
        <w:t xml:space="preserve">85.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Bayler-Levaro, Elizabeth. 2011. “Theorizing Age and Gender in the Pursuit of Love in Late Life.” PhD diss</w:t>
      </w:r>
      <w:r w:rsidR="00FC492B" w:rsidRPr="00C26F73">
        <w:rPr>
          <w:b w:val="0"/>
          <w:bCs/>
          <w:noProof/>
        </w:rPr>
        <w:t>.,</w:t>
      </w:r>
      <w:r w:rsidRPr="00C26F73">
        <w:rPr>
          <w:b w:val="0"/>
          <w:bCs/>
          <w:noProof/>
        </w:rPr>
        <w:t xml:space="preserve"> Oregon State University.</w:t>
      </w:r>
    </w:p>
    <w:p w:rsidR="00B25588" w:rsidRPr="00594DEF" w:rsidRDefault="00B25588" w:rsidP="00B25588">
      <w:pPr>
        <w:widowControl w:val="0"/>
        <w:autoSpaceDE w:val="0"/>
        <w:autoSpaceDN w:val="0"/>
        <w:adjustRightInd w:val="0"/>
        <w:spacing w:line="240" w:lineRule="auto"/>
        <w:ind w:left="480" w:hanging="480"/>
        <w:rPr>
          <w:b w:val="0"/>
          <w:bCs/>
          <w:noProof/>
          <w:lang w:val="it-IT"/>
        </w:rPr>
      </w:pPr>
      <w:r w:rsidRPr="00C26F73">
        <w:rPr>
          <w:b w:val="0"/>
          <w:bCs/>
          <w:noProof/>
        </w:rPr>
        <w:t xml:space="preserve">Brandenburg, Attermeyer, and Saß. 2000. “Weibliches Begehren Im Alter - Zwischen Scham Und Lust.” </w:t>
      </w:r>
      <w:r w:rsidRPr="00594DEF">
        <w:rPr>
          <w:b w:val="0"/>
          <w:bCs/>
          <w:i/>
          <w:iCs/>
          <w:noProof/>
          <w:lang w:val="it-IT"/>
        </w:rPr>
        <w:t>Psychotherapie in Psychiatrie, Psychotherapeutischer Medizin Und Klinischer Psychologie</w:t>
      </w:r>
      <w:r w:rsidRPr="00594DEF">
        <w:rPr>
          <w:b w:val="0"/>
          <w:bCs/>
          <w:noProof/>
          <w:lang w:val="it-IT"/>
        </w:rPr>
        <w:t xml:space="preserve"> 5 (2): 223–</w:t>
      </w:r>
      <w:r w:rsidR="00FC492B" w:rsidRPr="00594DEF">
        <w:rPr>
          <w:b w:val="0"/>
          <w:bCs/>
          <w:noProof/>
          <w:lang w:val="it-IT"/>
        </w:rPr>
        <w:t>2</w:t>
      </w:r>
      <w:r w:rsidRPr="00594DEF">
        <w:rPr>
          <w:b w:val="0"/>
          <w:bCs/>
          <w:noProof/>
          <w:lang w:val="it-IT"/>
        </w:rPr>
        <w:t>28.</w:t>
      </w:r>
    </w:p>
    <w:p w:rsidR="00155022" w:rsidRDefault="00B25588" w:rsidP="00B25588">
      <w:pPr>
        <w:widowControl w:val="0"/>
        <w:autoSpaceDE w:val="0"/>
        <w:autoSpaceDN w:val="0"/>
        <w:adjustRightInd w:val="0"/>
        <w:spacing w:line="240" w:lineRule="auto"/>
        <w:ind w:left="480" w:hanging="480"/>
        <w:rPr>
          <w:b w:val="0"/>
          <w:bCs/>
          <w:noProof/>
        </w:rPr>
      </w:pPr>
      <w:r w:rsidRPr="00594DEF">
        <w:rPr>
          <w:b w:val="0"/>
          <w:bCs/>
          <w:noProof/>
          <w:lang w:val="it-IT"/>
        </w:rPr>
        <w:t>Corona, Giovanni, David M</w:t>
      </w:r>
      <w:r w:rsidR="00594DEF" w:rsidRPr="00594DEF">
        <w:rPr>
          <w:b w:val="0"/>
          <w:bCs/>
          <w:noProof/>
          <w:lang w:val="it-IT"/>
        </w:rPr>
        <w:t>.</w:t>
      </w:r>
      <w:r w:rsidRPr="00594DEF">
        <w:rPr>
          <w:b w:val="0"/>
          <w:bCs/>
          <w:noProof/>
          <w:lang w:val="it-IT"/>
        </w:rPr>
        <w:t xml:space="preserve"> Lee, Gianni Forti, Daryl B</w:t>
      </w:r>
      <w:r w:rsidR="00594DEF">
        <w:rPr>
          <w:b w:val="0"/>
          <w:bCs/>
          <w:noProof/>
          <w:lang w:val="it-IT"/>
        </w:rPr>
        <w:t>.</w:t>
      </w:r>
      <w:r w:rsidRPr="00594DEF">
        <w:rPr>
          <w:b w:val="0"/>
          <w:bCs/>
          <w:noProof/>
          <w:lang w:val="it-IT"/>
        </w:rPr>
        <w:t xml:space="preserve"> O</w:t>
      </w:r>
      <w:r w:rsidR="00594DEF">
        <w:rPr>
          <w:b w:val="0"/>
          <w:bCs/>
          <w:noProof/>
          <w:lang w:val="it-IT"/>
        </w:rPr>
        <w:t>.</w:t>
      </w:r>
      <w:r w:rsidRPr="00594DEF">
        <w:rPr>
          <w:b w:val="0"/>
          <w:bCs/>
          <w:noProof/>
          <w:lang w:val="it-IT"/>
        </w:rPr>
        <w:t xml:space="preserve"> Connor, Mario Maggi, Terence W</w:t>
      </w:r>
      <w:r w:rsidR="00594DEF">
        <w:rPr>
          <w:b w:val="0"/>
          <w:bCs/>
          <w:noProof/>
          <w:lang w:val="it-IT"/>
        </w:rPr>
        <w:t>.</w:t>
      </w:r>
      <w:r w:rsidRPr="00594DEF">
        <w:rPr>
          <w:b w:val="0"/>
          <w:bCs/>
          <w:noProof/>
          <w:lang w:val="it-IT"/>
        </w:rPr>
        <w:t xml:space="preserve"> O</w:t>
      </w:r>
      <w:r w:rsidR="00594DEF">
        <w:rPr>
          <w:b w:val="0"/>
          <w:bCs/>
          <w:noProof/>
          <w:lang w:val="it-IT"/>
        </w:rPr>
        <w:t>.</w:t>
      </w:r>
      <w:r w:rsidRPr="00594DEF">
        <w:rPr>
          <w:b w:val="0"/>
          <w:bCs/>
          <w:noProof/>
          <w:lang w:val="it-IT"/>
        </w:rPr>
        <w:t xml:space="preserve"> Neill, Neil Pendleton, et al. 2010. </w:t>
      </w:r>
      <w:r w:rsidRPr="00C26F73">
        <w:rPr>
          <w:b w:val="0"/>
          <w:bCs/>
          <w:noProof/>
        </w:rPr>
        <w:t xml:space="preserve">“Age-Related Changes in General and Sexual Health in Middle-Aged and Older Men: Results from the European Male Ageing Study (EMAS).” </w:t>
      </w:r>
      <w:r w:rsidRPr="00C26F73">
        <w:rPr>
          <w:b w:val="0"/>
          <w:bCs/>
          <w:i/>
          <w:iCs/>
          <w:noProof/>
        </w:rPr>
        <w:t>Journal of Sexual Medicine</w:t>
      </w:r>
      <w:r w:rsidRPr="00C26F73">
        <w:rPr>
          <w:b w:val="0"/>
          <w:bCs/>
          <w:noProof/>
        </w:rPr>
        <w:t xml:space="preserve"> 7 (4): 1362–</w:t>
      </w:r>
      <w:r w:rsidR="00FC492B" w:rsidRPr="00C26F73">
        <w:rPr>
          <w:b w:val="0"/>
          <w:bCs/>
          <w:noProof/>
        </w:rPr>
        <w:t>13</w:t>
      </w:r>
      <w:r w:rsidRPr="00C26F73">
        <w:rPr>
          <w:b w:val="0"/>
          <w:bCs/>
          <w:noProof/>
        </w:rPr>
        <w:t xml:space="preserve">80.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de Oliveira Silva, Deborah Nayane, Natalia Pereira Marinelli, Ana Carla Marques Costa, Rita Cassia Gomes Santos, Adonias Ribeiro de Sousa, and Jucielma Ribeiro de Lima. 2015. “Perception of Elderly About Their Sexuality.” </w:t>
      </w:r>
      <w:r w:rsidRPr="00C26F73">
        <w:rPr>
          <w:b w:val="0"/>
          <w:bCs/>
          <w:i/>
          <w:iCs/>
          <w:noProof/>
        </w:rPr>
        <w:t>Journal of Nursing UFPE / Revista de Enfermagem UFPE</w:t>
      </w:r>
      <w:r w:rsidRPr="00C26F73">
        <w:rPr>
          <w:b w:val="0"/>
          <w:bCs/>
          <w:noProof/>
        </w:rPr>
        <w:t xml:space="preserve"> 9 (5): 7811–</w:t>
      </w:r>
      <w:r w:rsidR="00FC492B" w:rsidRPr="00C26F73">
        <w:rPr>
          <w:b w:val="0"/>
          <w:bCs/>
          <w:noProof/>
        </w:rPr>
        <w:t>78</w:t>
      </w:r>
      <w:r w:rsidRPr="00C26F73">
        <w:rPr>
          <w:b w:val="0"/>
          <w:bCs/>
          <w:noProof/>
        </w:rPr>
        <w:t>18..</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Dennerstein, Lorraine, John Randolph, John Taffe, Emma Dudley, Henry Burger, Lorraine Dennerstein, John Randolph, John Taffe, Emma Dudley, and Henry Burger. 2002. “Hormones, Mood, Sexuality, and the Menopausal Transition.” </w:t>
      </w:r>
      <w:r w:rsidRPr="00C26F73">
        <w:rPr>
          <w:b w:val="0"/>
          <w:bCs/>
          <w:i/>
          <w:iCs/>
          <w:noProof/>
        </w:rPr>
        <w:t>Fertility and Sterility</w:t>
      </w:r>
      <w:r w:rsidRPr="00C26F73">
        <w:rPr>
          <w:b w:val="0"/>
          <w:bCs/>
          <w:noProof/>
        </w:rPr>
        <w:t xml:space="preserve"> 77 (4): 42–48. </w:t>
      </w:r>
    </w:p>
    <w:p w:rsidR="00B25588" w:rsidRPr="00C26F73" w:rsidRDefault="00B25588" w:rsidP="00B25588">
      <w:pPr>
        <w:widowControl w:val="0"/>
        <w:autoSpaceDE w:val="0"/>
        <w:autoSpaceDN w:val="0"/>
        <w:adjustRightInd w:val="0"/>
        <w:spacing w:line="240" w:lineRule="auto"/>
        <w:ind w:left="480" w:hanging="480"/>
        <w:rPr>
          <w:b w:val="0"/>
          <w:bCs/>
          <w:noProof/>
        </w:rPr>
      </w:pPr>
      <w:r w:rsidRPr="00594DEF">
        <w:rPr>
          <w:b w:val="0"/>
          <w:bCs/>
          <w:noProof/>
          <w:lang w:val="it-IT"/>
        </w:rPr>
        <w:t>Di Napoli, Elizabeth A</w:t>
      </w:r>
      <w:r w:rsidR="00594DEF" w:rsidRPr="00594DEF">
        <w:rPr>
          <w:b w:val="0"/>
          <w:bCs/>
          <w:noProof/>
          <w:lang w:val="it-IT"/>
        </w:rPr>
        <w:t>.</w:t>
      </w:r>
      <w:r w:rsidRPr="00594DEF">
        <w:rPr>
          <w:b w:val="0"/>
          <w:bCs/>
          <w:noProof/>
          <w:lang w:val="it-IT"/>
        </w:rPr>
        <w:t>, Gloria Lauren Breland, and Rebecca S</w:t>
      </w:r>
      <w:r w:rsidR="00594DEF" w:rsidRPr="00594DEF">
        <w:rPr>
          <w:b w:val="0"/>
          <w:bCs/>
          <w:noProof/>
          <w:lang w:val="it-IT"/>
        </w:rPr>
        <w:t>.</w:t>
      </w:r>
      <w:r w:rsidRPr="00594DEF">
        <w:rPr>
          <w:b w:val="0"/>
          <w:bCs/>
          <w:noProof/>
          <w:lang w:val="it-IT"/>
        </w:rPr>
        <w:t xml:space="preserve"> Allen. </w:t>
      </w:r>
      <w:r w:rsidRPr="00C26F73">
        <w:rPr>
          <w:b w:val="0"/>
          <w:bCs/>
          <w:noProof/>
        </w:rPr>
        <w:t xml:space="preserve">2013. “Staff Knowledge and Perceptions of Sexuality and Dementia of Older Adults in Nursing Homes.” </w:t>
      </w:r>
      <w:r w:rsidRPr="00C26F73">
        <w:rPr>
          <w:b w:val="0"/>
          <w:bCs/>
          <w:i/>
          <w:iCs/>
          <w:noProof/>
        </w:rPr>
        <w:t>Journal of Aging and Health</w:t>
      </w:r>
      <w:r w:rsidR="00155022">
        <w:rPr>
          <w:b w:val="0"/>
          <w:bCs/>
          <w:noProof/>
        </w:rPr>
        <w:t xml:space="preserve"> 25 (7): 1087–1105</w:t>
      </w:r>
      <w:r w:rsidRPr="00C26F73">
        <w:rPr>
          <w:b w:val="0"/>
          <w:bCs/>
          <w:noProof/>
        </w:rPr>
        <w:t>.</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lastRenderedPageBreak/>
        <w:t xml:space="preserve">Dogan, Sultan, Basaran Demir, Engin Eker, and Salman Karim. 2008. “Knowledge and Attitudes of Doctors toward the Sexuality of Older People in Turkey.” </w:t>
      </w:r>
      <w:r w:rsidRPr="00C26F73">
        <w:rPr>
          <w:b w:val="0"/>
          <w:bCs/>
          <w:i/>
          <w:iCs/>
          <w:noProof/>
        </w:rPr>
        <w:t>International Psychogeriatrics</w:t>
      </w:r>
      <w:r w:rsidRPr="00C26F73">
        <w:rPr>
          <w:b w:val="0"/>
          <w:bCs/>
          <w:noProof/>
        </w:rPr>
        <w:t xml:space="preserve"> 20 (5): 1019–</w:t>
      </w:r>
      <w:r w:rsidR="00FC492B" w:rsidRPr="00C26F73">
        <w:rPr>
          <w:b w:val="0"/>
          <w:bCs/>
          <w:noProof/>
        </w:rPr>
        <w:t>10</w:t>
      </w:r>
      <w:r w:rsidRPr="00C26F73">
        <w:rPr>
          <w:b w:val="0"/>
          <w:bCs/>
          <w:noProof/>
        </w:rPr>
        <w:t>27. doi:10.1017/S1041610208007229.</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Doll, Gayle M. 2013. “Sexuality in Nursing Homes: Practice and Policy.” </w:t>
      </w:r>
      <w:r w:rsidRPr="00C26F73">
        <w:rPr>
          <w:b w:val="0"/>
          <w:bCs/>
          <w:i/>
          <w:iCs/>
          <w:noProof/>
        </w:rPr>
        <w:t>Journal of Gerontological Nursing</w:t>
      </w:r>
      <w:r w:rsidRPr="00C26F73">
        <w:rPr>
          <w:b w:val="0"/>
          <w:bCs/>
          <w:noProof/>
        </w:rPr>
        <w:t xml:space="preserve"> 39 (7): 30–37.</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Drummond, J. D., Shari Brotman, Marjorie Silverman, Tamara Sussman, Pam Orzeck, Lucy Barylak, and Isabelle Wallach. 2013. “The Impact of Caregiving: Older Women’s Experiences of Sexuality and Intimacy.” </w:t>
      </w:r>
      <w:r w:rsidRPr="00C26F73">
        <w:rPr>
          <w:b w:val="0"/>
          <w:bCs/>
          <w:i/>
          <w:iCs/>
          <w:noProof/>
        </w:rPr>
        <w:t>Affilia: Journal of Women &amp; Social Work</w:t>
      </w:r>
      <w:r w:rsidRPr="00C26F73">
        <w:rPr>
          <w:b w:val="0"/>
          <w:bCs/>
          <w:noProof/>
        </w:rPr>
        <w:t xml:space="preserve"> 28 (4): 415–</w:t>
      </w:r>
      <w:r w:rsidR="00FC492B" w:rsidRPr="00C26F73">
        <w:rPr>
          <w:b w:val="0"/>
          <w:bCs/>
          <w:noProof/>
        </w:rPr>
        <w:t>4</w:t>
      </w:r>
      <w:r w:rsidRPr="00C26F73">
        <w:rPr>
          <w:b w:val="0"/>
          <w:bCs/>
          <w:noProof/>
        </w:rPr>
        <w:t xml:space="preserve">28.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Ebberfeld, I. 1990. “Alterssexualität Oder 78 Jahre Sexualität Einer Frau.” </w:t>
      </w:r>
      <w:r w:rsidRPr="00C26F73">
        <w:rPr>
          <w:b w:val="0"/>
          <w:bCs/>
          <w:i/>
          <w:iCs/>
          <w:noProof/>
        </w:rPr>
        <w:t>Psychologie &amp; Gesellschaftskritik</w:t>
      </w:r>
      <w:r w:rsidRPr="00C26F73">
        <w:rPr>
          <w:b w:val="0"/>
          <w:bCs/>
          <w:noProof/>
        </w:rPr>
        <w:t xml:space="preserve"> 14 (4): 7–24.</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Fileborn, Bianca, Anthony Lyons, Wendy Heywood, Sharron Hinchliff, Sue Malta, Briony Dow, Graham Brown, Catherine Barrett, and Victor Minichiello. 2017. “Talking to Healthcare Providers about Sex in Later Life: Findings from a Qualitative Study with Older Australian Men and Women.” </w:t>
      </w:r>
      <w:r w:rsidRPr="00C26F73">
        <w:rPr>
          <w:b w:val="0"/>
          <w:bCs/>
          <w:i/>
          <w:iCs/>
          <w:noProof/>
        </w:rPr>
        <w:t>Australasian Journal on Ageing</w:t>
      </w:r>
      <w:r w:rsidRPr="00C26F73">
        <w:rPr>
          <w:b w:val="0"/>
          <w:bCs/>
          <w:noProof/>
        </w:rPr>
        <w:t xml:space="preserve"> 36 (4): E50–</w:t>
      </w:r>
      <w:r w:rsidR="00FC492B" w:rsidRPr="00C26F73">
        <w:rPr>
          <w:b w:val="0"/>
          <w:bCs/>
          <w:noProof/>
        </w:rPr>
        <w:t>E</w:t>
      </w:r>
      <w:r w:rsidRPr="00C26F73">
        <w:rPr>
          <w:b w:val="0"/>
          <w:bCs/>
          <w:noProof/>
        </w:rPr>
        <w:t xml:space="preserve">56.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Fileborn, Bianca, Bullet Sharron Hinchliff, Bullet Anthony Lyons, Bullet Wendy Heywood, Bullet Victor Minichiello, Bullet Graham Brown, Bullet Sue Malta, Bullet Catherine Barrett, and Pauline Crameri. 2017. “The Importance of Sex and the Meaning of Sex and Sexual Pleasure for Men Aged 60 and Older Who Ngage in Heterosexual Relationships: Findings from a Qualitative Interview Study.” </w:t>
      </w:r>
      <w:r w:rsidRPr="00C26F73">
        <w:rPr>
          <w:b w:val="0"/>
          <w:bCs/>
          <w:i/>
          <w:iCs/>
          <w:noProof/>
        </w:rPr>
        <w:t>Archives of Sexual Behavior</w:t>
      </w:r>
      <w:r w:rsidRPr="00C26F73">
        <w:rPr>
          <w:b w:val="0"/>
          <w:bCs/>
          <w:noProof/>
        </w:rPr>
        <w:t xml:space="preserve"> 46 (7): 2097–2110. </w:t>
      </w:r>
    </w:p>
    <w:p w:rsidR="005E0B89" w:rsidRPr="00C26F73" w:rsidRDefault="00B25588" w:rsidP="005E0B89">
      <w:pPr>
        <w:widowControl w:val="0"/>
        <w:autoSpaceDE w:val="0"/>
        <w:autoSpaceDN w:val="0"/>
        <w:adjustRightInd w:val="0"/>
        <w:spacing w:line="240" w:lineRule="auto"/>
        <w:ind w:left="480" w:hanging="480"/>
        <w:rPr>
          <w:b w:val="0"/>
          <w:bCs/>
          <w:noProof/>
        </w:rPr>
      </w:pPr>
      <w:r w:rsidRPr="00C26F73">
        <w:rPr>
          <w:b w:val="0"/>
          <w:bCs/>
          <w:noProof/>
        </w:rPr>
        <w:t>Fournier, Susan Marie. 2000. “Social Expectations for Sexuality among the Elderly.”</w:t>
      </w:r>
      <w:r w:rsidR="005E0B89" w:rsidRPr="00C26F73">
        <w:rPr>
          <w:b w:val="0"/>
          <w:bCs/>
          <w:noProof/>
        </w:rPr>
        <w:t xml:space="preserve"> PhD diss., </w:t>
      </w:r>
      <w:r w:rsidR="00FC492B" w:rsidRPr="00C26F73">
        <w:rPr>
          <w:b w:val="0"/>
          <w:bCs/>
          <w:noProof/>
        </w:rPr>
        <w:t>University of Minnesota.</w:t>
      </w:r>
    </w:p>
    <w:p w:rsidR="00155022" w:rsidRPr="00C26F73" w:rsidRDefault="00B25588" w:rsidP="00155022">
      <w:pPr>
        <w:widowControl w:val="0"/>
        <w:autoSpaceDE w:val="0"/>
        <w:autoSpaceDN w:val="0"/>
        <w:adjustRightInd w:val="0"/>
        <w:spacing w:line="240" w:lineRule="auto"/>
        <w:ind w:left="480" w:hanging="480"/>
        <w:rPr>
          <w:b w:val="0"/>
          <w:bCs/>
          <w:noProof/>
        </w:rPr>
      </w:pPr>
      <w:r w:rsidRPr="00C26F73">
        <w:rPr>
          <w:b w:val="0"/>
          <w:bCs/>
          <w:noProof/>
        </w:rPr>
        <w:t xml:space="preserve">Frankowski, Ann Christine, and Leanne J. Clark. 2009. “Sexuality and Intimacy in Assisted Living: Residents’ Perspectives and Experiences.” </w:t>
      </w:r>
      <w:r w:rsidRPr="00C26F73">
        <w:rPr>
          <w:b w:val="0"/>
          <w:bCs/>
          <w:i/>
          <w:iCs/>
          <w:noProof/>
        </w:rPr>
        <w:t>Sexuality Research and Social Policy</w:t>
      </w:r>
      <w:r w:rsidRPr="00C26F73">
        <w:rPr>
          <w:b w:val="0"/>
          <w:bCs/>
          <w:noProof/>
        </w:rPr>
        <w:t xml:space="preserve"> 6 (4): 25–37.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Gledhill, Susan, and Robert D. Schweitzer. 2014. “Sexual Desire, Erectile Dysfunction and the Biomedicalization of Sex in Older Heterosexual Men.” </w:t>
      </w:r>
      <w:r w:rsidRPr="00C26F73">
        <w:rPr>
          <w:b w:val="0"/>
          <w:bCs/>
          <w:i/>
          <w:iCs/>
          <w:noProof/>
        </w:rPr>
        <w:t>Journal of Advanced Nursing</w:t>
      </w:r>
      <w:r w:rsidRPr="00C26F73">
        <w:rPr>
          <w:b w:val="0"/>
          <w:bCs/>
          <w:noProof/>
        </w:rPr>
        <w:t xml:space="preserve"> 70 (4): 894–903. </w:t>
      </w:r>
    </w:p>
    <w:p w:rsidR="00155022"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Gott, Merryn, and Sharron Hinchliff. 2003. “How Important Is Sex in Later Life? The Views of Older People.” </w:t>
      </w:r>
      <w:r w:rsidRPr="00C26F73">
        <w:rPr>
          <w:b w:val="0"/>
          <w:bCs/>
          <w:i/>
          <w:iCs/>
          <w:noProof/>
        </w:rPr>
        <w:t>Social Science &amp; Medicine</w:t>
      </w:r>
      <w:r w:rsidRPr="00C26F73">
        <w:rPr>
          <w:b w:val="0"/>
          <w:bCs/>
          <w:noProof/>
        </w:rPr>
        <w:t xml:space="preserve"> 56 (8): 1617–</w:t>
      </w:r>
      <w:r w:rsidR="005E0B89" w:rsidRPr="00C26F73">
        <w:rPr>
          <w:b w:val="0"/>
          <w:bCs/>
          <w:noProof/>
        </w:rPr>
        <w:t>16</w:t>
      </w:r>
      <w:r w:rsidRPr="00C26F73">
        <w:rPr>
          <w:b w:val="0"/>
          <w:bCs/>
          <w:noProof/>
        </w:rPr>
        <w:t xml:space="preserve">28.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Gott, Merryn, Sharron Hinchliff, and Elisabeth Galena. 2004. “General Practitioner Attitudes to Discussing Sexual Health Issues with Older People.” </w:t>
      </w:r>
      <w:r w:rsidRPr="00C26F73">
        <w:rPr>
          <w:b w:val="0"/>
          <w:bCs/>
          <w:i/>
          <w:iCs/>
          <w:noProof/>
        </w:rPr>
        <w:t>Social Science &amp; Medicine</w:t>
      </w:r>
      <w:r w:rsidRPr="00C26F73">
        <w:rPr>
          <w:b w:val="0"/>
          <w:bCs/>
          <w:noProof/>
        </w:rPr>
        <w:t xml:space="preserve"> 58 (11): 2093–2103.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Haesler, Emily, Michael Bauer, and Deirdre Fetherstonhaugh. 2016. “Sexuality, Sexual Health and Older People: A Systematic Review of Research on the Knowledge and Attitudes of Health Professionals.” </w:t>
      </w:r>
      <w:r w:rsidRPr="00C26F73">
        <w:rPr>
          <w:b w:val="0"/>
          <w:bCs/>
          <w:i/>
          <w:iCs/>
          <w:noProof/>
        </w:rPr>
        <w:t>Nurse Education Today</w:t>
      </w:r>
      <w:r w:rsidRPr="00C26F73">
        <w:rPr>
          <w:b w:val="0"/>
          <w:bCs/>
          <w:noProof/>
        </w:rPr>
        <w:t xml:space="preserve"> 40. Elsevier Ltd: 57–71.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Hafford-Letchfield, Trish. 2008. “What’s Love Got to Do with It? Developing Supportive Practices for the Expression of Sexuality, Sexual Identity and the Intimacy Needs of </w:t>
      </w:r>
      <w:r w:rsidRPr="00C26F73">
        <w:rPr>
          <w:b w:val="0"/>
          <w:bCs/>
          <w:noProof/>
        </w:rPr>
        <w:lastRenderedPageBreak/>
        <w:t xml:space="preserve">Older People.” </w:t>
      </w:r>
      <w:r w:rsidRPr="00C26F73">
        <w:rPr>
          <w:b w:val="0"/>
          <w:bCs/>
          <w:i/>
          <w:iCs/>
          <w:noProof/>
        </w:rPr>
        <w:t>Journal of Care Services Management</w:t>
      </w:r>
      <w:r w:rsidRPr="00C26F73">
        <w:rPr>
          <w:b w:val="0"/>
          <w:bCs/>
          <w:noProof/>
        </w:rPr>
        <w:t xml:space="preserve"> 2 (4): 389–405.</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Hinchliff, Sharron, and Merryn Gott. 2011. “Seeking Medical Help for Sexual Concerns in Mid- and Later Life: A Review of the Literature.” </w:t>
      </w:r>
      <w:r w:rsidRPr="00C26F73">
        <w:rPr>
          <w:b w:val="0"/>
          <w:bCs/>
          <w:i/>
          <w:iCs/>
          <w:noProof/>
        </w:rPr>
        <w:t>Journal of Sex Research</w:t>
      </w:r>
      <w:r w:rsidRPr="00C26F73">
        <w:rPr>
          <w:b w:val="0"/>
          <w:bCs/>
          <w:noProof/>
        </w:rPr>
        <w:t xml:space="preserve"> 48 (2–3): 106–</w:t>
      </w:r>
      <w:r w:rsidR="005E0B89" w:rsidRPr="00C26F73">
        <w:rPr>
          <w:b w:val="0"/>
          <w:bCs/>
          <w:noProof/>
        </w:rPr>
        <w:t>1</w:t>
      </w:r>
      <w:r w:rsidRPr="00C26F73">
        <w:rPr>
          <w:b w:val="0"/>
          <w:bCs/>
          <w:noProof/>
        </w:rPr>
        <w:t>17. doi:10.1080/00224499.2010.548610.</w:t>
      </w:r>
    </w:p>
    <w:p w:rsidR="00155022"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Katz, Stephen, and Barbara Marshall. 2003. “New Sex for Old: Lifestyle, Consumerism, and the Ethics of Aging Well.” </w:t>
      </w:r>
      <w:r w:rsidRPr="00C26F73">
        <w:rPr>
          <w:b w:val="0"/>
          <w:bCs/>
          <w:i/>
          <w:iCs/>
          <w:noProof/>
        </w:rPr>
        <w:t>Journal of Aging Studies</w:t>
      </w:r>
      <w:r w:rsidRPr="00C26F73">
        <w:rPr>
          <w:b w:val="0"/>
          <w:bCs/>
          <w:noProof/>
        </w:rPr>
        <w:t xml:space="preserve"> 17 (1): 3–16.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Kirkman, Linda, Virginia Dickson-Swift, and Christopher Fox. 2015. “Midlife Relationship Diversity, Sexual Fluidity, Wellbeing and Sexual Health from a Rural Perspective.” </w:t>
      </w:r>
      <w:r w:rsidRPr="00C26F73">
        <w:rPr>
          <w:b w:val="0"/>
          <w:bCs/>
          <w:i/>
          <w:iCs/>
          <w:noProof/>
        </w:rPr>
        <w:t>Rural Society</w:t>
      </w:r>
      <w:r w:rsidRPr="00C26F73">
        <w:rPr>
          <w:b w:val="0"/>
          <w:bCs/>
          <w:noProof/>
        </w:rPr>
        <w:t xml:space="preserve"> 24 (3): 266–</w:t>
      </w:r>
      <w:r w:rsidR="005E0B89" w:rsidRPr="00C26F73">
        <w:rPr>
          <w:b w:val="0"/>
          <w:bCs/>
          <w:noProof/>
        </w:rPr>
        <w:t>2</w:t>
      </w:r>
      <w:r w:rsidRPr="00C26F73">
        <w:rPr>
          <w:b w:val="0"/>
          <w:bCs/>
          <w:noProof/>
        </w:rPr>
        <w:t>81</w:t>
      </w:r>
      <w:r w:rsidR="00155022">
        <w:rPr>
          <w:b w:val="0"/>
          <w:bCs/>
          <w:noProof/>
        </w:rPr>
        <w:t>.</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Kontula, Osmo, and Elina Haavio-Mannila. 2009. “The Impact of Aging on Human Sexual Activity and Sexual Desire.” </w:t>
      </w:r>
      <w:r w:rsidRPr="00C26F73">
        <w:rPr>
          <w:b w:val="0"/>
          <w:bCs/>
          <w:i/>
          <w:iCs/>
          <w:noProof/>
        </w:rPr>
        <w:t>Journal of Sex Research</w:t>
      </w:r>
      <w:r w:rsidRPr="00C26F73">
        <w:rPr>
          <w:b w:val="0"/>
          <w:bCs/>
          <w:noProof/>
        </w:rPr>
        <w:t xml:space="preserve"> 46 (1): 46–56. doi:10.1080/00224490802624414.</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Langer-Most, Orli, and Nieli Langer. 2010. “Aging and Sexuality: How Much Do Gynecologists Know and Care?” </w:t>
      </w:r>
      <w:r w:rsidRPr="00C26F73">
        <w:rPr>
          <w:b w:val="0"/>
          <w:bCs/>
          <w:i/>
          <w:iCs/>
          <w:noProof/>
        </w:rPr>
        <w:t>Journal of Women &amp; Aging</w:t>
      </w:r>
      <w:r w:rsidRPr="00C26F73">
        <w:rPr>
          <w:b w:val="0"/>
          <w:bCs/>
          <w:noProof/>
        </w:rPr>
        <w:t xml:space="preserve"> 22 (4): 283–</w:t>
      </w:r>
      <w:r w:rsidR="005E0B89" w:rsidRPr="00C26F73">
        <w:rPr>
          <w:b w:val="0"/>
          <w:bCs/>
          <w:noProof/>
        </w:rPr>
        <w:t>2</w:t>
      </w:r>
      <w:r w:rsidRPr="00C26F73">
        <w:rPr>
          <w:b w:val="0"/>
          <w:bCs/>
          <w:noProof/>
        </w:rPr>
        <w:t xml:space="preserve">89.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Laumann, E</w:t>
      </w:r>
      <w:r w:rsidR="00594DEF">
        <w:rPr>
          <w:b w:val="0"/>
          <w:bCs/>
          <w:noProof/>
        </w:rPr>
        <w:t>.</w:t>
      </w:r>
      <w:r w:rsidRPr="00C26F73">
        <w:rPr>
          <w:b w:val="0"/>
          <w:bCs/>
          <w:noProof/>
        </w:rPr>
        <w:t xml:space="preserve"> O</w:t>
      </w:r>
      <w:r w:rsidR="00594DEF">
        <w:rPr>
          <w:b w:val="0"/>
          <w:bCs/>
          <w:noProof/>
        </w:rPr>
        <w:t>.</w:t>
      </w:r>
      <w:r w:rsidRPr="00C26F73">
        <w:rPr>
          <w:b w:val="0"/>
          <w:bCs/>
          <w:noProof/>
        </w:rPr>
        <w:t>, A Nicolosi, D</w:t>
      </w:r>
      <w:r w:rsidR="00594DEF">
        <w:rPr>
          <w:b w:val="0"/>
          <w:bCs/>
          <w:noProof/>
        </w:rPr>
        <w:t>.</w:t>
      </w:r>
      <w:r w:rsidRPr="00C26F73">
        <w:rPr>
          <w:b w:val="0"/>
          <w:bCs/>
          <w:noProof/>
        </w:rPr>
        <w:t xml:space="preserve"> B</w:t>
      </w:r>
      <w:r w:rsidR="00594DEF">
        <w:rPr>
          <w:b w:val="0"/>
          <w:bCs/>
          <w:noProof/>
        </w:rPr>
        <w:t>.</w:t>
      </w:r>
      <w:r w:rsidRPr="00C26F73">
        <w:rPr>
          <w:b w:val="0"/>
          <w:bCs/>
          <w:noProof/>
        </w:rPr>
        <w:t xml:space="preserve"> Glasser, A</w:t>
      </w:r>
      <w:r w:rsidR="00594DEF">
        <w:rPr>
          <w:b w:val="0"/>
          <w:bCs/>
          <w:noProof/>
        </w:rPr>
        <w:t>.</w:t>
      </w:r>
      <w:r w:rsidRPr="00C26F73">
        <w:rPr>
          <w:b w:val="0"/>
          <w:bCs/>
          <w:noProof/>
        </w:rPr>
        <w:t xml:space="preserve"> Paik, C</w:t>
      </w:r>
      <w:r w:rsidR="00594DEF">
        <w:rPr>
          <w:b w:val="0"/>
          <w:bCs/>
          <w:noProof/>
        </w:rPr>
        <w:t>.</w:t>
      </w:r>
      <w:r w:rsidRPr="00C26F73">
        <w:rPr>
          <w:b w:val="0"/>
          <w:bCs/>
          <w:noProof/>
        </w:rPr>
        <w:t xml:space="preserve"> Gingell, E</w:t>
      </w:r>
      <w:r w:rsidR="00594DEF">
        <w:rPr>
          <w:b w:val="0"/>
          <w:bCs/>
          <w:noProof/>
        </w:rPr>
        <w:t>.</w:t>
      </w:r>
      <w:r w:rsidRPr="00C26F73">
        <w:rPr>
          <w:b w:val="0"/>
          <w:bCs/>
          <w:noProof/>
        </w:rPr>
        <w:t xml:space="preserve"> Moreira, and T</w:t>
      </w:r>
      <w:r w:rsidR="00594DEF">
        <w:rPr>
          <w:b w:val="0"/>
          <w:bCs/>
          <w:noProof/>
        </w:rPr>
        <w:t>.</w:t>
      </w:r>
      <w:r w:rsidRPr="00C26F73">
        <w:rPr>
          <w:b w:val="0"/>
          <w:bCs/>
          <w:noProof/>
        </w:rPr>
        <w:t xml:space="preserve"> Wang. 2005. “Sexual Problems among Women and Men Aged 40-80 Y: Prevalence and Correlates Identified in the Global Study of Sexual Attitudes and Behaviors.” </w:t>
      </w:r>
      <w:r w:rsidRPr="00C26F73">
        <w:rPr>
          <w:b w:val="0"/>
          <w:bCs/>
          <w:i/>
          <w:iCs/>
          <w:noProof/>
        </w:rPr>
        <w:t>International Journal of Impotence Research</w:t>
      </w:r>
      <w:r w:rsidRPr="00C26F73">
        <w:rPr>
          <w:b w:val="0"/>
          <w:bCs/>
          <w:noProof/>
        </w:rPr>
        <w:t xml:space="preserve"> 17 (1): 39–57.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Lee, David M., James Nazroo, Daryl B. O’Connor, Margaret Blake, and Neil Pendleton. 2016. “Sexual Health and Well-Being among Older Men and Women in England: Findings from the English Longitudinal Study of Ageing.” </w:t>
      </w:r>
      <w:r w:rsidRPr="00C26F73">
        <w:rPr>
          <w:b w:val="0"/>
          <w:bCs/>
          <w:i/>
          <w:iCs/>
          <w:noProof/>
        </w:rPr>
        <w:t>Archives of Sexual Behavior</w:t>
      </w:r>
      <w:r w:rsidRPr="00C26F73">
        <w:rPr>
          <w:b w:val="0"/>
          <w:bCs/>
          <w:noProof/>
        </w:rPr>
        <w:t xml:space="preserve"> 45 (1): 133–44.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Lindau, Stacy Tessler, L. Philip Schumm, O. Laumann, Edward, Wendy Levinson, Colm. A O’Muircheartaigh, and Linda J. Waite. 2007. “A Study of Sexuality and Health among Older Adults in the United States.” </w:t>
      </w:r>
      <w:r w:rsidRPr="00C26F73">
        <w:rPr>
          <w:b w:val="0"/>
          <w:bCs/>
          <w:i/>
          <w:iCs/>
          <w:noProof/>
        </w:rPr>
        <w:t>The New England Journal of Medicine</w:t>
      </w:r>
      <w:r w:rsidRPr="00C26F73">
        <w:rPr>
          <w:b w:val="0"/>
          <w:bCs/>
          <w:noProof/>
        </w:rPr>
        <w:t xml:space="preserve"> 357 (8): 762–</w:t>
      </w:r>
      <w:r w:rsidR="005E0B89" w:rsidRPr="00C26F73">
        <w:rPr>
          <w:b w:val="0"/>
          <w:bCs/>
          <w:noProof/>
        </w:rPr>
        <w:t>7</w:t>
      </w:r>
      <w:r w:rsidRPr="00C26F73">
        <w:rPr>
          <w:b w:val="0"/>
          <w:bCs/>
          <w:noProof/>
        </w:rPr>
        <w:t xml:space="preserve">74.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Loe, Meika. 2004. “Sex and the Senior Woman: Pleasure and Danger in the Viagra Era.” </w:t>
      </w:r>
      <w:r w:rsidRPr="00C26F73">
        <w:rPr>
          <w:b w:val="0"/>
          <w:bCs/>
          <w:i/>
          <w:iCs/>
          <w:noProof/>
        </w:rPr>
        <w:t>Sexualities</w:t>
      </w:r>
      <w:r w:rsidRPr="00C26F73">
        <w:rPr>
          <w:b w:val="0"/>
          <w:bCs/>
          <w:noProof/>
        </w:rPr>
        <w:t xml:space="preserve"> 7 (3): 303–</w:t>
      </w:r>
      <w:r w:rsidR="005E0B89" w:rsidRPr="00C26F73">
        <w:rPr>
          <w:b w:val="0"/>
          <w:bCs/>
          <w:noProof/>
        </w:rPr>
        <w:t>3</w:t>
      </w:r>
      <w:r w:rsidRPr="00C26F73">
        <w:rPr>
          <w:b w:val="0"/>
          <w:bCs/>
          <w:noProof/>
        </w:rPr>
        <w:t xml:space="preserve">26.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Malta, Sue. 2007. “Love Actually! Older Adults and Their Romantic Internet Relationships.” </w:t>
      </w:r>
      <w:r w:rsidRPr="00C26F73">
        <w:rPr>
          <w:b w:val="0"/>
          <w:bCs/>
          <w:i/>
          <w:iCs/>
          <w:noProof/>
        </w:rPr>
        <w:t>Australian Journal of Emerging Technologies and Society</w:t>
      </w:r>
      <w:r w:rsidRPr="00C26F73">
        <w:rPr>
          <w:b w:val="0"/>
          <w:bCs/>
          <w:noProof/>
        </w:rPr>
        <w:t xml:space="preserve"> 5 (2): 84–102.</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Marshall, Barbara. L. 2006. “The New Virility: Viagra, Male Aging and Sexual Function.” </w:t>
      </w:r>
      <w:r w:rsidRPr="00C26F73">
        <w:rPr>
          <w:b w:val="0"/>
          <w:bCs/>
          <w:i/>
          <w:iCs/>
          <w:noProof/>
        </w:rPr>
        <w:t>Sexualities</w:t>
      </w:r>
      <w:r w:rsidRPr="00C26F73">
        <w:rPr>
          <w:b w:val="0"/>
          <w:bCs/>
          <w:noProof/>
        </w:rPr>
        <w:t xml:space="preserve"> 9 (3): 345–</w:t>
      </w:r>
      <w:r w:rsidR="005E0B89" w:rsidRPr="00C26F73">
        <w:rPr>
          <w:b w:val="0"/>
          <w:bCs/>
          <w:noProof/>
        </w:rPr>
        <w:t>3</w:t>
      </w:r>
      <w:r w:rsidRPr="00C26F73">
        <w:rPr>
          <w:b w:val="0"/>
          <w:bCs/>
          <w:noProof/>
        </w:rPr>
        <w:t xml:space="preserve">62.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Marshall, Barbara L. 2012. “Medicalization and the Refashioning of Age-Related Limits on Sexuality.” </w:t>
      </w:r>
      <w:r w:rsidRPr="00C26F73">
        <w:rPr>
          <w:b w:val="0"/>
          <w:bCs/>
          <w:i/>
          <w:iCs/>
          <w:noProof/>
        </w:rPr>
        <w:t>Journal of Sex Research</w:t>
      </w:r>
      <w:r w:rsidRPr="00C26F73">
        <w:rPr>
          <w:b w:val="0"/>
          <w:bCs/>
          <w:noProof/>
        </w:rPr>
        <w:t xml:space="preserve"> 49 (4): 337–</w:t>
      </w:r>
      <w:r w:rsidR="005E0B89" w:rsidRPr="00C26F73">
        <w:rPr>
          <w:b w:val="0"/>
          <w:bCs/>
          <w:noProof/>
        </w:rPr>
        <w:t>3</w:t>
      </w:r>
      <w:r w:rsidRPr="00C26F73">
        <w:rPr>
          <w:b w:val="0"/>
          <w:bCs/>
          <w:noProof/>
        </w:rPr>
        <w:t xml:space="preserve">43.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McAuliffe, Linda, Michael Bauer, and Rhonda Nay. 2007. “Barriers to the Expression of Sexuality in the Older Person: The Role of the Health Professional.” </w:t>
      </w:r>
      <w:r w:rsidRPr="00C26F73">
        <w:rPr>
          <w:b w:val="0"/>
          <w:bCs/>
          <w:i/>
          <w:iCs/>
          <w:noProof/>
        </w:rPr>
        <w:t>International Journal of Older People Nursing</w:t>
      </w:r>
      <w:r w:rsidRPr="00C26F73">
        <w:rPr>
          <w:b w:val="0"/>
          <w:bCs/>
          <w:noProof/>
        </w:rPr>
        <w:t xml:space="preserve"> 2 (1): 69–75.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lastRenderedPageBreak/>
        <w:t>Menard, A. Dana, Peggy J</w:t>
      </w:r>
      <w:r w:rsidR="00594DEF">
        <w:rPr>
          <w:b w:val="0"/>
          <w:bCs/>
          <w:noProof/>
        </w:rPr>
        <w:t>.</w:t>
      </w:r>
      <w:r w:rsidRPr="00C26F73">
        <w:rPr>
          <w:b w:val="0"/>
          <w:bCs/>
          <w:noProof/>
        </w:rPr>
        <w:t xml:space="preserve"> Kleinplatz, Lianne Rosen, Shannon Lawless, Nicholas Paradis, Meghan Campbell, and Jonathan D</w:t>
      </w:r>
      <w:r w:rsidR="00594DEF">
        <w:rPr>
          <w:b w:val="0"/>
          <w:bCs/>
          <w:noProof/>
        </w:rPr>
        <w:t>.</w:t>
      </w:r>
      <w:r w:rsidRPr="00C26F73">
        <w:rPr>
          <w:b w:val="0"/>
          <w:bCs/>
          <w:noProof/>
        </w:rPr>
        <w:t xml:space="preserve"> Huber. 2015. “Individual and Relational Contributors to Optimal Sexual Experiences in Older Men and Women.” </w:t>
      </w:r>
      <w:r w:rsidRPr="00C26F73">
        <w:rPr>
          <w:b w:val="0"/>
          <w:bCs/>
          <w:i/>
          <w:iCs/>
          <w:noProof/>
        </w:rPr>
        <w:t>Sexual and Relationship Therapy</w:t>
      </w:r>
      <w:r w:rsidRPr="00C26F73">
        <w:rPr>
          <w:b w:val="0"/>
          <w:bCs/>
          <w:noProof/>
        </w:rPr>
        <w:t xml:space="preserve"> 30 (</w:t>
      </w:r>
      <w:r w:rsidR="005E0B89" w:rsidRPr="00C26F73">
        <w:rPr>
          <w:b w:val="0"/>
          <w:bCs/>
          <w:noProof/>
        </w:rPr>
        <w:t>1)</w:t>
      </w:r>
      <w:r w:rsidRPr="00C26F73">
        <w:rPr>
          <w:b w:val="0"/>
          <w:bCs/>
          <w:noProof/>
        </w:rPr>
        <w:t xml:space="preserve">: 78–93.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Moher, David; Liberati, Alessandro; Tetzlaff, Jennifer, and Douglas G</w:t>
      </w:r>
      <w:r w:rsidR="00594DEF">
        <w:rPr>
          <w:b w:val="0"/>
          <w:bCs/>
          <w:noProof/>
        </w:rPr>
        <w:t>.</w:t>
      </w:r>
      <w:r w:rsidRPr="00C26F73">
        <w:rPr>
          <w:b w:val="0"/>
          <w:bCs/>
          <w:noProof/>
        </w:rPr>
        <w:t xml:space="preserve"> Altman. 2010. “Preferred Reporting Items for Systematic Reviews and Meta-Analyses: The PRISMA Statement.” </w:t>
      </w:r>
      <w:r w:rsidRPr="00C26F73">
        <w:rPr>
          <w:b w:val="0"/>
          <w:bCs/>
          <w:i/>
          <w:iCs/>
          <w:noProof/>
        </w:rPr>
        <w:t>International Journal of Surgery</w:t>
      </w:r>
      <w:r w:rsidRPr="00C26F73">
        <w:rPr>
          <w:b w:val="0"/>
          <w:bCs/>
          <w:noProof/>
        </w:rPr>
        <w:t xml:space="preserve"> 8 (5): 336–</w:t>
      </w:r>
      <w:r w:rsidR="005E0B89" w:rsidRPr="00C26F73">
        <w:rPr>
          <w:b w:val="0"/>
          <w:bCs/>
          <w:noProof/>
        </w:rPr>
        <w:t>3</w:t>
      </w:r>
      <w:r w:rsidRPr="00C26F73">
        <w:rPr>
          <w:b w:val="0"/>
          <w:bCs/>
          <w:noProof/>
        </w:rPr>
        <w:t xml:space="preserve">41.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Montemurro, Beth, and Jenna Marie Siefken. 2014. “Cougars on the Prowl? New Perceptions of Older Women’s Sexuality.” </w:t>
      </w:r>
      <w:r w:rsidRPr="00C26F73">
        <w:rPr>
          <w:b w:val="0"/>
          <w:bCs/>
          <w:i/>
          <w:iCs/>
          <w:noProof/>
        </w:rPr>
        <w:t>Journal of Aging Studies</w:t>
      </w:r>
      <w:r w:rsidRPr="00C26F73">
        <w:rPr>
          <w:b w:val="0"/>
          <w:bCs/>
          <w:noProof/>
        </w:rPr>
        <w:t xml:space="preserve"> 28: 35–43.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Nyanzi, Stella. 2011. “Ambivalence Surrounding Elderly Widows’ Sexuality in Urban Uganda.” </w:t>
      </w:r>
      <w:r w:rsidRPr="00C26F73">
        <w:rPr>
          <w:b w:val="0"/>
          <w:bCs/>
          <w:i/>
          <w:iCs/>
          <w:noProof/>
        </w:rPr>
        <w:t>Ageing International</w:t>
      </w:r>
      <w:r w:rsidRPr="00C26F73">
        <w:rPr>
          <w:b w:val="0"/>
          <w:bCs/>
          <w:noProof/>
        </w:rPr>
        <w:t xml:space="preserve"> 36 (3): 378–400.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Ravanipour, Maryam, Tayebeh Gharibi, and Tahereh Gharibi. 2013. “Elderly Women’s Views about Sexual Desire during Old Age: A Qualitative Study.” </w:t>
      </w:r>
      <w:r w:rsidRPr="00C26F73">
        <w:rPr>
          <w:b w:val="0"/>
          <w:bCs/>
          <w:i/>
          <w:iCs/>
          <w:noProof/>
        </w:rPr>
        <w:t>Sexuality and Disability</w:t>
      </w:r>
      <w:r w:rsidRPr="00C26F73">
        <w:rPr>
          <w:b w:val="0"/>
          <w:bCs/>
          <w:noProof/>
        </w:rPr>
        <w:t xml:space="preserve"> 31 (2): 179–</w:t>
      </w:r>
      <w:r w:rsidR="005E0B89" w:rsidRPr="00C26F73">
        <w:rPr>
          <w:b w:val="0"/>
          <w:bCs/>
          <w:noProof/>
        </w:rPr>
        <w:t>1</w:t>
      </w:r>
      <w:r w:rsidRPr="00C26F73">
        <w:rPr>
          <w:b w:val="0"/>
          <w:bCs/>
          <w:noProof/>
        </w:rPr>
        <w:t xml:space="preserve">88. </w:t>
      </w:r>
    </w:p>
    <w:p w:rsidR="00155022"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Roach, Sally M. 2004. “Sexual Behaviour of Nursing Home Residents: Staff Perceptions and Responses.” </w:t>
      </w:r>
      <w:r w:rsidRPr="00C26F73">
        <w:rPr>
          <w:b w:val="0"/>
          <w:bCs/>
          <w:i/>
          <w:iCs/>
          <w:noProof/>
        </w:rPr>
        <w:t>Journal of Advanced Nursing</w:t>
      </w:r>
      <w:r w:rsidRPr="00C26F73">
        <w:rPr>
          <w:b w:val="0"/>
          <w:bCs/>
          <w:noProof/>
        </w:rPr>
        <w:t xml:space="preserve"> 48 (4): 371–</w:t>
      </w:r>
      <w:r w:rsidR="005E0B89" w:rsidRPr="00C26F73">
        <w:rPr>
          <w:b w:val="0"/>
          <w:bCs/>
          <w:noProof/>
        </w:rPr>
        <w:t>3</w:t>
      </w:r>
      <w:r w:rsidRPr="00C26F73">
        <w:rPr>
          <w:b w:val="0"/>
          <w:bCs/>
          <w:noProof/>
        </w:rPr>
        <w:t xml:space="preserve">79.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Roney, Linda, and Meredith Wallace Kazer. 2015. “Geriatric Sexual Experiences : The Seniors Tell All.” </w:t>
      </w:r>
      <w:r w:rsidRPr="00C26F73">
        <w:rPr>
          <w:b w:val="0"/>
          <w:bCs/>
          <w:i/>
          <w:iCs/>
          <w:noProof/>
        </w:rPr>
        <w:t>Applied Nursing Research</w:t>
      </w:r>
      <w:r w:rsidRPr="00C26F73">
        <w:rPr>
          <w:b w:val="0"/>
          <w:bCs/>
          <w:noProof/>
        </w:rPr>
        <w:t xml:space="preserve"> 28 (3): 254–</w:t>
      </w:r>
      <w:r w:rsidR="005E0B89" w:rsidRPr="00C26F73">
        <w:rPr>
          <w:b w:val="0"/>
          <w:bCs/>
          <w:noProof/>
        </w:rPr>
        <w:t>2</w:t>
      </w:r>
      <w:r w:rsidRPr="00C26F73">
        <w:rPr>
          <w:b w:val="0"/>
          <w:bCs/>
          <w:noProof/>
        </w:rPr>
        <w:t xml:space="preserve">56.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Rosen, R., J. Altwein, P. Boyle, R. S. Kirby, B. Lukacs, E. Meuleman, M.P. O’Leary, P. Puppo, C. Robertson, and F. Giuliano. 2003. “Lower Urinary Tract Symptoms and Male Sexual Dysfunction: The Multinational Survey of the Aging Male (MSAM-7).” </w:t>
      </w:r>
      <w:r w:rsidRPr="00C26F73">
        <w:rPr>
          <w:b w:val="0"/>
          <w:bCs/>
          <w:i/>
          <w:iCs/>
          <w:noProof/>
        </w:rPr>
        <w:t>European Urology</w:t>
      </w:r>
      <w:r w:rsidRPr="00C26F73">
        <w:rPr>
          <w:b w:val="0"/>
          <w:bCs/>
          <w:noProof/>
        </w:rPr>
        <w:t xml:space="preserve"> 44: 637–649.</w:t>
      </w:r>
    </w:p>
    <w:p w:rsidR="00155022"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Rowntree, Margaret R. 2014. “Making Sexuality Visible in Australian Social Work Education.” </w:t>
      </w:r>
      <w:r w:rsidRPr="00C26F73">
        <w:rPr>
          <w:b w:val="0"/>
          <w:bCs/>
          <w:i/>
          <w:iCs/>
          <w:noProof/>
        </w:rPr>
        <w:t>Social Work Education</w:t>
      </w:r>
      <w:r w:rsidRPr="00C26F73">
        <w:rPr>
          <w:b w:val="0"/>
          <w:bCs/>
          <w:noProof/>
        </w:rPr>
        <w:t xml:space="preserve"> 33 (3): 353–</w:t>
      </w:r>
      <w:r w:rsidR="005E0B89" w:rsidRPr="00C26F73">
        <w:rPr>
          <w:b w:val="0"/>
          <w:bCs/>
          <w:noProof/>
        </w:rPr>
        <w:t>3</w:t>
      </w:r>
      <w:r w:rsidRPr="00C26F73">
        <w:rPr>
          <w:b w:val="0"/>
          <w:bCs/>
          <w:noProof/>
        </w:rPr>
        <w:t xml:space="preserve">64.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Rutter, Deborah, Jennifer Francis, Esther Coren, and Mike Fisher. 2010. </w:t>
      </w:r>
      <w:r w:rsidRPr="00C26F73">
        <w:rPr>
          <w:b w:val="0"/>
          <w:bCs/>
          <w:i/>
          <w:iCs/>
          <w:noProof/>
        </w:rPr>
        <w:t>SCIE Research Resource 1: SCIE Systematic Research Reviews: Guidelines</w:t>
      </w:r>
      <w:r w:rsidRPr="00C26F73">
        <w:rPr>
          <w:b w:val="0"/>
          <w:bCs/>
          <w:noProof/>
        </w:rPr>
        <w:t xml:space="preserve">. 2nded. London: Social Care Institute for Excellence.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Sandberg, Linn. 2013. “Just Feeling a Naked Body close to You: Men, Sexuality and Intimacy in Later Life.” </w:t>
      </w:r>
      <w:r w:rsidRPr="00C26F73">
        <w:rPr>
          <w:b w:val="0"/>
          <w:bCs/>
          <w:i/>
          <w:iCs/>
          <w:noProof/>
        </w:rPr>
        <w:t>Sexualities</w:t>
      </w:r>
      <w:r w:rsidRPr="00C26F73">
        <w:rPr>
          <w:b w:val="0"/>
          <w:bCs/>
          <w:noProof/>
        </w:rPr>
        <w:t xml:space="preserve"> 16 (3–4): 261–</w:t>
      </w:r>
      <w:r w:rsidR="005E0B89" w:rsidRPr="00C26F73">
        <w:rPr>
          <w:b w:val="0"/>
          <w:bCs/>
          <w:noProof/>
        </w:rPr>
        <w:t>2</w:t>
      </w:r>
      <w:r w:rsidRPr="00C26F73">
        <w:rPr>
          <w:b w:val="0"/>
          <w:bCs/>
          <w:noProof/>
        </w:rPr>
        <w:t xml:space="preserve">82.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Simpson, Paul, Christine Brown Wilson, Laura J.E. Brown, Tommy Dickinson, and Maria Horne. 2017. “The Challenges and Opportunities in Researching Intimacy and Sexuality in Care Homes Accommodating Older People: A Feasibility Study.” </w:t>
      </w:r>
      <w:r w:rsidRPr="00C26F73">
        <w:rPr>
          <w:b w:val="0"/>
          <w:bCs/>
          <w:i/>
          <w:iCs/>
          <w:noProof/>
        </w:rPr>
        <w:t>Journal of Advanced Nursing</w:t>
      </w:r>
      <w:r w:rsidRPr="00C26F73">
        <w:rPr>
          <w:b w:val="0"/>
          <w:bCs/>
          <w:noProof/>
        </w:rPr>
        <w:t xml:space="preserve"> 73 (1): 127–</w:t>
      </w:r>
      <w:r w:rsidR="005E0B89" w:rsidRPr="00C26F73">
        <w:rPr>
          <w:b w:val="0"/>
          <w:bCs/>
          <w:noProof/>
        </w:rPr>
        <w:t>1</w:t>
      </w:r>
      <w:r w:rsidRPr="00C26F73">
        <w:rPr>
          <w:b w:val="0"/>
          <w:bCs/>
          <w:noProof/>
        </w:rPr>
        <w:t xml:space="preserve">37.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Snyder, Rachel J</w:t>
      </w:r>
      <w:r w:rsidR="00594DEF">
        <w:rPr>
          <w:b w:val="0"/>
          <w:bCs/>
          <w:noProof/>
        </w:rPr>
        <w:t>.</w:t>
      </w:r>
      <w:r w:rsidRPr="00C26F73">
        <w:rPr>
          <w:b w:val="0"/>
          <w:bCs/>
          <w:noProof/>
        </w:rPr>
        <w:t>, and Richard A</w:t>
      </w:r>
      <w:r w:rsidR="00594DEF">
        <w:rPr>
          <w:b w:val="0"/>
          <w:bCs/>
          <w:noProof/>
        </w:rPr>
        <w:t>.</w:t>
      </w:r>
      <w:r w:rsidRPr="00C26F73">
        <w:rPr>
          <w:b w:val="0"/>
          <w:bCs/>
          <w:noProof/>
        </w:rPr>
        <w:t xml:space="preserve"> Zweig. 2010. “Medical and Psychology Students’ Knowledge and Attitudes Regarding Aging and Sexuality.” </w:t>
      </w:r>
      <w:r w:rsidRPr="00C26F73">
        <w:rPr>
          <w:b w:val="0"/>
          <w:bCs/>
          <w:i/>
          <w:iCs/>
          <w:noProof/>
        </w:rPr>
        <w:t>Gerontology &amp; Geriatrics Education</w:t>
      </w:r>
      <w:r w:rsidRPr="00C26F73">
        <w:rPr>
          <w:b w:val="0"/>
          <w:bCs/>
          <w:noProof/>
        </w:rPr>
        <w:t xml:space="preserve"> 31 (3): 235–</w:t>
      </w:r>
      <w:r w:rsidR="005E0B89" w:rsidRPr="00C26F73">
        <w:rPr>
          <w:b w:val="0"/>
          <w:bCs/>
          <w:noProof/>
        </w:rPr>
        <w:t>2</w:t>
      </w:r>
      <w:r w:rsidRPr="00C26F73">
        <w:rPr>
          <w:b w:val="0"/>
          <w:bCs/>
          <w:noProof/>
        </w:rPr>
        <w:t xml:space="preserve">55.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Southard, N. Z., and J. Keller. 2008. “The Importance of Assessing Sexuality: A Patient Perspective.” </w:t>
      </w:r>
      <w:r w:rsidRPr="00C26F73">
        <w:rPr>
          <w:b w:val="0"/>
          <w:bCs/>
          <w:i/>
          <w:iCs/>
          <w:noProof/>
        </w:rPr>
        <w:t>Clinical Journal of Oncology Nursing</w:t>
      </w:r>
      <w:r w:rsidRPr="00C26F73">
        <w:rPr>
          <w:b w:val="0"/>
          <w:bCs/>
          <w:noProof/>
        </w:rPr>
        <w:t xml:space="preserve"> 13 (2): 213–</w:t>
      </w:r>
      <w:r w:rsidR="005E0B89" w:rsidRPr="00C26F73">
        <w:rPr>
          <w:b w:val="0"/>
          <w:bCs/>
          <w:noProof/>
        </w:rPr>
        <w:t>2</w:t>
      </w:r>
      <w:r w:rsidRPr="00C26F73">
        <w:rPr>
          <w:b w:val="0"/>
          <w:bCs/>
          <w:noProof/>
        </w:rPr>
        <w:t>18.</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lastRenderedPageBreak/>
        <w:t xml:space="preserve">Thomas, James, and Angela Harden. 2008. “Methods for the Thematic Synthesis of Qualitative Research in Systematic Reviews.” </w:t>
      </w:r>
      <w:r w:rsidRPr="00C26F73">
        <w:rPr>
          <w:b w:val="0"/>
          <w:bCs/>
          <w:i/>
          <w:iCs/>
          <w:noProof/>
        </w:rPr>
        <w:t>BMC Medical Research Methodology</w:t>
      </w:r>
      <w:r w:rsidRPr="00C26F73">
        <w:rPr>
          <w:b w:val="0"/>
          <w:bCs/>
          <w:noProof/>
        </w:rPr>
        <w:t xml:space="preserve"> 8 (45</w:t>
      </w:r>
      <w:r w:rsidR="005E0B89" w:rsidRPr="00C26F73">
        <w:rPr>
          <w:b w:val="0"/>
          <w:bCs/>
          <w:noProof/>
        </w:rPr>
        <w:t>): 1-10</w:t>
      </w:r>
      <w:r w:rsidRPr="00C26F73">
        <w:rPr>
          <w:b w:val="0"/>
          <w:bCs/>
          <w:noProof/>
        </w:rPr>
        <w:t xml:space="preserve">.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Thorpe, Rachel, Bianca Fileborn, Gail Hawkes, Marian Pitts, and Victor Minichiello. 2015. “Old and Desirable: Older Women’s Accounts of Ageing Bodies in Intimate Relationships.” </w:t>
      </w:r>
      <w:r w:rsidRPr="00C26F73">
        <w:rPr>
          <w:b w:val="0"/>
          <w:bCs/>
          <w:i/>
          <w:iCs/>
          <w:noProof/>
        </w:rPr>
        <w:t>Sexual &amp; Relationship Therapy</w:t>
      </w:r>
      <w:r w:rsidRPr="00C26F73">
        <w:rPr>
          <w:b w:val="0"/>
          <w:bCs/>
          <w:noProof/>
        </w:rPr>
        <w:t xml:space="preserve"> 30 (1): 156–</w:t>
      </w:r>
      <w:r w:rsidR="005E0B89" w:rsidRPr="00C26F73">
        <w:rPr>
          <w:b w:val="0"/>
          <w:bCs/>
          <w:noProof/>
        </w:rPr>
        <w:t>1</w:t>
      </w:r>
      <w:r w:rsidRPr="00C26F73">
        <w:rPr>
          <w:b w:val="0"/>
          <w:bCs/>
          <w:noProof/>
        </w:rPr>
        <w:t xml:space="preserve">66.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Twenge, Jean M</w:t>
      </w:r>
      <w:r w:rsidR="00594DEF">
        <w:rPr>
          <w:b w:val="0"/>
          <w:bCs/>
          <w:noProof/>
        </w:rPr>
        <w:t>.</w:t>
      </w:r>
      <w:r w:rsidRPr="00C26F73">
        <w:rPr>
          <w:b w:val="0"/>
          <w:bCs/>
          <w:noProof/>
        </w:rPr>
        <w:t>, Ryne A</w:t>
      </w:r>
      <w:r w:rsidR="00594DEF">
        <w:rPr>
          <w:b w:val="0"/>
          <w:bCs/>
          <w:noProof/>
        </w:rPr>
        <w:t>.</w:t>
      </w:r>
      <w:r w:rsidRPr="00C26F73">
        <w:rPr>
          <w:b w:val="0"/>
          <w:bCs/>
          <w:noProof/>
        </w:rPr>
        <w:t xml:space="preserve"> Sherman, and Brooke E</w:t>
      </w:r>
      <w:r w:rsidR="00594DEF">
        <w:rPr>
          <w:b w:val="0"/>
          <w:bCs/>
          <w:noProof/>
        </w:rPr>
        <w:t>.</w:t>
      </w:r>
      <w:r w:rsidRPr="00C26F73">
        <w:rPr>
          <w:b w:val="0"/>
          <w:bCs/>
          <w:noProof/>
        </w:rPr>
        <w:t xml:space="preserve"> Wells. 2015. “Changes in American Adults’ Sexual Behavior and Attitudes, 1972–2012.” </w:t>
      </w:r>
      <w:r w:rsidRPr="00C26F73">
        <w:rPr>
          <w:b w:val="0"/>
          <w:bCs/>
          <w:i/>
          <w:iCs/>
          <w:noProof/>
        </w:rPr>
        <w:t>Archives of Sexual Behavior</w:t>
      </w:r>
      <w:r w:rsidRPr="00C26F73">
        <w:rPr>
          <w:b w:val="0"/>
          <w:bCs/>
          <w:noProof/>
        </w:rPr>
        <w:t xml:space="preserve"> 44 (8): 2273–</w:t>
      </w:r>
      <w:r w:rsidR="005E0B89" w:rsidRPr="00C26F73">
        <w:rPr>
          <w:b w:val="0"/>
          <w:bCs/>
          <w:noProof/>
        </w:rPr>
        <w:t>22</w:t>
      </w:r>
      <w:r w:rsidRPr="00C26F73">
        <w:rPr>
          <w:b w:val="0"/>
          <w:bCs/>
          <w:noProof/>
        </w:rPr>
        <w:t xml:space="preserve">85.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Villar, Feliciano, and Rodrigo Serrat. 2016. “Staff Attitudes and Reactions towards Residents’ Masturbation in Spanish Long-Term Care Facilities.” </w:t>
      </w:r>
      <w:r w:rsidRPr="00C26F73">
        <w:rPr>
          <w:b w:val="0"/>
          <w:bCs/>
          <w:i/>
          <w:iCs/>
          <w:noProof/>
        </w:rPr>
        <w:t>Journal of Clinical Nursing</w:t>
      </w:r>
      <w:r w:rsidRPr="00C26F73">
        <w:rPr>
          <w:b w:val="0"/>
          <w:bCs/>
          <w:noProof/>
        </w:rPr>
        <w:t xml:space="preserve"> 25 (5–6): 819–</w:t>
      </w:r>
      <w:r w:rsidR="005E0B89" w:rsidRPr="00C26F73">
        <w:rPr>
          <w:b w:val="0"/>
          <w:bCs/>
          <w:noProof/>
        </w:rPr>
        <w:t>8</w:t>
      </w:r>
      <w:r w:rsidRPr="00C26F73">
        <w:rPr>
          <w:b w:val="0"/>
          <w:bCs/>
          <w:noProof/>
        </w:rPr>
        <w:t xml:space="preserve">28.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Wentzell, Emily. 2013. “Aging Respectably by Rejecting Medicalization: Mexican Men’s Reasons for Not Using Erectile Dysfunction Drugs.” </w:t>
      </w:r>
      <w:r w:rsidRPr="00C26F73">
        <w:rPr>
          <w:b w:val="0"/>
          <w:bCs/>
          <w:i/>
          <w:iCs/>
          <w:noProof/>
        </w:rPr>
        <w:t>Medical Anthropology Quarterly</w:t>
      </w:r>
      <w:r w:rsidRPr="00C26F73">
        <w:rPr>
          <w:b w:val="0"/>
          <w:bCs/>
          <w:noProof/>
        </w:rPr>
        <w:t xml:space="preserve"> 27 (1): 3–22.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Westenberger, H. 1987. “Sexualität Im Alter.” </w:t>
      </w:r>
      <w:r w:rsidRPr="00C26F73">
        <w:rPr>
          <w:b w:val="0"/>
          <w:bCs/>
          <w:i/>
          <w:iCs/>
          <w:noProof/>
        </w:rPr>
        <w:t>Psyche</w:t>
      </w:r>
      <w:r w:rsidRPr="00C26F73">
        <w:rPr>
          <w:b w:val="0"/>
          <w:bCs/>
          <w:noProof/>
        </w:rPr>
        <w:t xml:space="preserve"> 41 (6): 529–</w:t>
      </w:r>
      <w:r w:rsidR="005E0B89" w:rsidRPr="00C26F73">
        <w:rPr>
          <w:b w:val="0"/>
          <w:bCs/>
          <w:noProof/>
        </w:rPr>
        <w:t>5</w:t>
      </w:r>
      <w:r w:rsidRPr="00C26F73">
        <w:rPr>
          <w:b w:val="0"/>
          <w:bCs/>
          <w:noProof/>
        </w:rPr>
        <w:t>38.</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World Health Organization. 2006. “Defining Sexual Health: Report of a Technical Consultation on Sexual Health 28–31 January 2002. Geneva: World Health Organization.” http://www.who.int/reproductivehealth/topics/gender_ri</w:t>
      </w:r>
      <w:r w:rsidR="00155022">
        <w:rPr>
          <w:b w:val="0"/>
          <w:bCs/>
          <w:noProof/>
        </w:rPr>
        <w:t>ghts/defining_sexual_health/en/</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Yan, Elsie, Anise Man-Sze Wu, Petula Ho, and Veronica Pearson. 2011. “Older Chinese Men and Women’s Experiences and Understanding of Sexuality.” </w:t>
      </w:r>
      <w:r w:rsidRPr="00C26F73">
        <w:rPr>
          <w:b w:val="0"/>
          <w:bCs/>
          <w:i/>
          <w:iCs/>
          <w:noProof/>
        </w:rPr>
        <w:t>Culture, Health &amp; Sexuality</w:t>
      </w:r>
      <w:r w:rsidRPr="00C26F73">
        <w:rPr>
          <w:b w:val="0"/>
          <w:bCs/>
          <w:noProof/>
        </w:rPr>
        <w:t xml:space="preserve"> 13</w:t>
      </w:r>
      <w:r w:rsidR="005E0B89" w:rsidRPr="00C26F73">
        <w:rPr>
          <w:b w:val="0"/>
          <w:bCs/>
          <w:noProof/>
        </w:rPr>
        <w:t xml:space="preserve"> (</w:t>
      </w:r>
      <w:r w:rsidRPr="00C26F73">
        <w:rPr>
          <w:b w:val="0"/>
          <w:bCs/>
          <w:noProof/>
        </w:rPr>
        <w:t>9</w:t>
      </w:r>
      <w:r w:rsidR="005E0B89" w:rsidRPr="00C26F73">
        <w:rPr>
          <w:b w:val="0"/>
          <w:bCs/>
          <w:noProof/>
        </w:rPr>
        <w:t>)</w:t>
      </w:r>
      <w:r w:rsidRPr="00C26F73">
        <w:rPr>
          <w:b w:val="0"/>
          <w:bCs/>
          <w:noProof/>
        </w:rPr>
        <w:t>: 983–</w:t>
      </w:r>
      <w:r w:rsidR="005E0B89" w:rsidRPr="00C26F73">
        <w:rPr>
          <w:b w:val="0"/>
          <w:bCs/>
          <w:noProof/>
        </w:rPr>
        <w:t>9</w:t>
      </w:r>
      <w:r w:rsidRPr="00C26F73">
        <w:rPr>
          <w:b w:val="0"/>
          <w:bCs/>
          <w:noProof/>
        </w:rPr>
        <w:t xml:space="preserve">99.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Youn, Gahyun. 2009. “Marital and Sexual Conflicts in Elderly Korean People.” </w:t>
      </w:r>
      <w:r w:rsidRPr="00C26F73">
        <w:rPr>
          <w:b w:val="0"/>
          <w:bCs/>
          <w:i/>
          <w:iCs/>
          <w:noProof/>
        </w:rPr>
        <w:t>Journal of Sex &amp; Marital Therapy</w:t>
      </w:r>
      <w:r w:rsidRPr="00C26F73">
        <w:rPr>
          <w:b w:val="0"/>
          <w:bCs/>
          <w:noProof/>
        </w:rPr>
        <w:t xml:space="preserve"> 35</w:t>
      </w:r>
      <w:r w:rsidR="005E0B89" w:rsidRPr="00C26F73">
        <w:rPr>
          <w:b w:val="0"/>
          <w:bCs/>
          <w:noProof/>
        </w:rPr>
        <w:t xml:space="preserve"> (</w:t>
      </w:r>
      <w:r w:rsidRPr="00C26F73">
        <w:rPr>
          <w:b w:val="0"/>
          <w:bCs/>
          <w:noProof/>
        </w:rPr>
        <w:t>3</w:t>
      </w:r>
      <w:r w:rsidR="005E0B89" w:rsidRPr="00C26F73">
        <w:rPr>
          <w:b w:val="0"/>
          <w:bCs/>
          <w:noProof/>
        </w:rPr>
        <w:t>)</w:t>
      </w:r>
      <w:r w:rsidRPr="00C26F73">
        <w:rPr>
          <w:b w:val="0"/>
          <w:bCs/>
          <w:noProof/>
        </w:rPr>
        <w:t>: 230–</w:t>
      </w:r>
      <w:r w:rsidR="005E0B89" w:rsidRPr="00C26F73">
        <w:rPr>
          <w:b w:val="0"/>
          <w:bCs/>
          <w:noProof/>
        </w:rPr>
        <w:t>2</w:t>
      </w:r>
      <w:r w:rsidRPr="00C26F73">
        <w:rPr>
          <w:b w:val="0"/>
          <w:bCs/>
          <w:noProof/>
        </w:rPr>
        <w:t xml:space="preserve">38. </w:t>
      </w:r>
    </w:p>
    <w:p w:rsidR="00B25588" w:rsidRPr="00C26F73" w:rsidRDefault="00B25588" w:rsidP="00B25588">
      <w:pPr>
        <w:widowControl w:val="0"/>
        <w:autoSpaceDE w:val="0"/>
        <w:autoSpaceDN w:val="0"/>
        <w:adjustRightInd w:val="0"/>
        <w:spacing w:line="240" w:lineRule="auto"/>
        <w:ind w:left="480" w:hanging="480"/>
        <w:rPr>
          <w:b w:val="0"/>
          <w:bCs/>
          <w:noProof/>
        </w:rPr>
      </w:pPr>
      <w:r w:rsidRPr="00C26F73">
        <w:rPr>
          <w:b w:val="0"/>
          <w:bCs/>
          <w:noProof/>
        </w:rPr>
        <w:t xml:space="preserve">Yun, Okjong, Miyoung Kim, and Seung Eun Chung. 2014. “The Sexuality Experience of Older Widows in Korea.” </w:t>
      </w:r>
      <w:r w:rsidRPr="00C26F73">
        <w:rPr>
          <w:b w:val="0"/>
          <w:bCs/>
          <w:i/>
          <w:iCs/>
          <w:noProof/>
        </w:rPr>
        <w:t>Qualitative Health Research</w:t>
      </w:r>
      <w:r w:rsidRPr="00C26F73">
        <w:rPr>
          <w:b w:val="0"/>
          <w:bCs/>
          <w:noProof/>
        </w:rPr>
        <w:t xml:space="preserve"> 24</w:t>
      </w:r>
      <w:r w:rsidR="005E0B89" w:rsidRPr="00C26F73">
        <w:rPr>
          <w:b w:val="0"/>
          <w:bCs/>
          <w:noProof/>
        </w:rPr>
        <w:t xml:space="preserve"> (</w:t>
      </w:r>
      <w:r w:rsidRPr="00C26F73">
        <w:rPr>
          <w:b w:val="0"/>
          <w:bCs/>
          <w:noProof/>
        </w:rPr>
        <w:t>4</w:t>
      </w:r>
      <w:r w:rsidR="005E0B89" w:rsidRPr="00C26F73">
        <w:rPr>
          <w:b w:val="0"/>
          <w:bCs/>
          <w:noProof/>
        </w:rPr>
        <w:t>)</w:t>
      </w:r>
      <w:r w:rsidRPr="00C26F73">
        <w:rPr>
          <w:b w:val="0"/>
          <w:bCs/>
          <w:noProof/>
        </w:rPr>
        <w:t>: 474–</w:t>
      </w:r>
      <w:r w:rsidR="005E0B89" w:rsidRPr="00C26F73">
        <w:rPr>
          <w:b w:val="0"/>
          <w:bCs/>
          <w:noProof/>
        </w:rPr>
        <w:t>4</w:t>
      </w:r>
      <w:r w:rsidRPr="00C26F73">
        <w:rPr>
          <w:b w:val="0"/>
          <w:bCs/>
          <w:noProof/>
        </w:rPr>
        <w:t xml:space="preserve">83. </w:t>
      </w:r>
    </w:p>
    <w:p w:rsidR="00D143C1" w:rsidRPr="00C26F73" w:rsidRDefault="00D143C1" w:rsidP="007E495D">
      <w:pPr>
        <w:spacing w:line="240" w:lineRule="auto"/>
        <w:contextualSpacing/>
        <w:jc w:val="both"/>
        <w:rPr>
          <w:b w:val="0"/>
          <w:bCs/>
        </w:rPr>
      </w:pPr>
    </w:p>
    <w:p w:rsidR="0019346F" w:rsidRPr="00C26F73" w:rsidRDefault="0019346F" w:rsidP="007E495D">
      <w:pPr>
        <w:spacing w:line="240" w:lineRule="auto"/>
        <w:contextualSpacing/>
        <w:jc w:val="both"/>
        <w:rPr>
          <w:b w:val="0"/>
          <w:bCs/>
        </w:rPr>
      </w:pPr>
    </w:p>
    <w:p w:rsidR="0019346F" w:rsidRPr="00C26F73" w:rsidRDefault="0019346F" w:rsidP="007E495D">
      <w:pPr>
        <w:spacing w:line="240" w:lineRule="auto"/>
        <w:contextualSpacing/>
        <w:jc w:val="both"/>
        <w:rPr>
          <w:b w:val="0"/>
          <w:bCs/>
        </w:rPr>
      </w:pPr>
    </w:p>
    <w:p w:rsidR="0019346F" w:rsidRPr="00C26F73" w:rsidRDefault="0019346F" w:rsidP="007E495D">
      <w:pPr>
        <w:spacing w:line="240" w:lineRule="auto"/>
        <w:contextualSpacing/>
        <w:jc w:val="both"/>
        <w:rPr>
          <w:b w:val="0"/>
          <w:bCs/>
        </w:rPr>
      </w:pPr>
    </w:p>
    <w:p w:rsidR="0019346F" w:rsidRPr="00C26F73" w:rsidRDefault="0019346F" w:rsidP="007E495D">
      <w:pPr>
        <w:spacing w:line="240" w:lineRule="auto"/>
        <w:contextualSpacing/>
        <w:jc w:val="both"/>
        <w:rPr>
          <w:b w:val="0"/>
          <w:bCs/>
        </w:rPr>
      </w:pPr>
    </w:p>
    <w:p w:rsidR="0019346F" w:rsidRPr="00C26F73" w:rsidRDefault="0019346F" w:rsidP="007E495D">
      <w:pPr>
        <w:spacing w:line="240" w:lineRule="auto"/>
        <w:contextualSpacing/>
        <w:jc w:val="both"/>
        <w:rPr>
          <w:b w:val="0"/>
        </w:rPr>
        <w:sectPr w:rsidR="0019346F" w:rsidRPr="00C26F7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rsidR="0019346F" w:rsidRPr="00C26F73" w:rsidRDefault="0019346F" w:rsidP="0019346F">
      <w:pPr>
        <w:spacing w:line="480" w:lineRule="auto"/>
        <w:jc w:val="both"/>
        <w:rPr>
          <w:b w:val="0"/>
        </w:rPr>
      </w:pPr>
      <w:r w:rsidRPr="00C26F73">
        <w:lastRenderedPageBreak/>
        <w:t xml:space="preserve">Table 1: </w:t>
      </w:r>
      <w:r w:rsidR="003E3CE3" w:rsidRPr="00C26F73">
        <w:t>P</w:t>
      </w:r>
      <w:r w:rsidRPr="00C26F73">
        <w:t>apers included in thematic synthesis after systematic review</w:t>
      </w:r>
    </w:p>
    <w:tbl>
      <w:tblPr>
        <w:tblW w:w="12888" w:type="dxa"/>
        <w:tblLayout w:type="fixed"/>
        <w:tblLook w:val="04A0" w:firstRow="1" w:lastRow="0" w:firstColumn="1" w:lastColumn="0" w:noHBand="0" w:noVBand="1"/>
      </w:tblPr>
      <w:tblGrid>
        <w:gridCol w:w="2693"/>
        <w:gridCol w:w="1276"/>
        <w:gridCol w:w="3565"/>
        <w:gridCol w:w="1538"/>
        <w:gridCol w:w="1276"/>
        <w:gridCol w:w="2540"/>
      </w:tblGrid>
      <w:tr w:rsidR="00315D8F" w:rsidRPr="00C26F73" w:rsidTr="006A2886">
        <w:tc>
          <w:tcPr>
            <w:tcW w:w="2693" w:type="dxa"/>
            <w:tcBorders>
              <w:top w:val="single" w:sz="4" w:space="0" w:color="000000"/>
              <w:bottom w:val="single" w:sz="4" w:space="0" w:color="000000"/>
            </w:tcBorders>
            <w:shd w:val="clear" w:color="auto" w:fill="auto"/>
            <w:vAlign w:val="bottom"/>
          </w:tcPr>
          <w:p w:rsidR="00B25588" w:rsidRPr="00C26F73" w:rsidRDefault="00B25588" w:rsidP="006A2886">
            <w:pPr>
              <w:spacing w:after="0" w:line="240" w:lineRule="auto"/>
              <w:rPr>
                <w:rFonts w:eastAsia="Times New Roman"/>
                <w:bCs/>
                <w:kern w:val="36"/>
                <w:lang w:bidi="he-IL"/>
              </w:rPr>
            </w:pPr>
            <w:r w:rsidRPr="00C26F73">
              <w:rPr>
                <w:rFonts w:eastAsia="Times New Roman"/>
                <w:bCs/>
                <w:kern w:val="36"/>
                <w:lang w:bidi="he-IL"/>
              </w:rPr>
              <w:t>Study</w:t>
            </w:r>
          </w:p>
        </w:tc>
        <w:tc>
          <w:tcPr>
            <w:tcW w:w="1276" w:type="dxa"/>
            <w:tcBorders>
              <w:top w:val="single" w:sz="4" w:space="0" w:color="000000"/>
              <w:bottom w:val="single" w:sz="4" w:space="0" w:color="000000"/>
            </w:tcBorders>
            <w:shd w:val="clear" w:color="auto" w:fill="auto"/>
            <w:vAlign w:val="bottom"/>
          </w:tcPr>
          <w:p w:rsidR="00B25588" w:rsidRPr="00C26F73" w:rsidRDefault="00B25588" w:rsidP="006A2886">
            <w:pPr>
              <w:spacing w:after="0" w:line="240" w:lineRule="auto"/>
              <w:rPr>
                <w:b w:val="0"/>
                <w:lang w:bidi="he-IL"/>
              </w:rPr>
            </w:pPr>
            <w:r w:rsidRPr="00C26F73">
              <w:rPr>
                <w:rFonts w:eastAsia="Times New Roman"/>
                <w:bCs/>
                <w:kern w:val="36"/>
                <w:lang w:bidi="he-IL"/>
              </w:rPr>
              <w:t>Study location</w:t>
            </w:r>
          </w:p>
        </w:tc>
        <w:tc>
          <w:tcPr>
            <w:tcW w:w="3565" w:type="dxa"/>
            <w:tcBorders>
              <w:top w:val="single" w:sz="4" w:space="0" w:color="000000"/>
              <w:bottom w:val="single" w:sz="4" w:space="0" w:color="000000"/>
            </w:tcBorders>
            <w:shd w:val="clear" w:color="auto" w:fill="auto"/>
            <w:vAlign w:val="bottom"/>
          </w:tcPr>
          <w:p w:rsidR="00B25588" w:rsidRPr="00C26F73" w:rsidRDefault="00B25588" w:rsidP="006A2886">
            <w:pPr>
              <w:spacing w:after="0" w:line="240" w:lineRule="auto"/>
              <w:rPr>
                <w:b w:val="0"/>
                <w:lang w:bidi="he-IL"/>
              </w:rPr>
            </w:pPr>
            <w:r w:rsidRPr="00C26F73">
              <w:rPr>
                <w:rFonts w:eastAsia="Times New Roman"/>
                <w:bCs/>
                <w:kern w:val="36"/>
                <w:lang w:bidi="he-IL"/>
              </w:rPr>
              <w:t>Target population</w:t>
            </w:r>
          </w:p>
        </w:tc>
        <w:tc>
          <w:tcPr>
            <w:tcW w:w="1538" w:type="dxa"/>
            <w:tcBorders>
              <w:top w:val="single" w:sz="4" w:space="0" w:color="000000"/>
              <w:bottom w:val="single" w:sz="4" w:space="0" w:color="000000"/>
            </w:tcBorders>
            <w:shd w:val="clear" w:color="auto" w:fill="auto"/>
            <w:vAlign w:val="bottom"/>
          </w:tcPr>
          <w:p w:rsidR="00B25588" w:rsidRPr="00C26F73" w:rsidRDefault="00B25588" w:rsidP="006A2886">
            <w:pPr>
              <w:spacing w:after="0" w:line="240" w:lineRule="auto"/>
              <w:rPr>
                <w:b w:val="0"/>
                <w:lang w:bidi="he-IL"/>
              </w:rPr>
            </w:pPr>
            <w:r w:rsidRPr="00C26F73">
              <w:rPr>
                <w:rFonts w:eastAsia="Times New Roman"/>
                <w:bCs/>
                <w:kern w:val="36"/>
                <w:lang w:bidi="he-IL"/>
              </w:rPr>
              <w:t>Samples’ ages</w:t>
            </w:r>
          </w:p>
        </w:tc>
        <w:tc>
          <w:tcPr>
            <w:tcW w:w="1276" w:type="dxa"/>
            <w:tcBorders>
              <w:top w:val="single" w:sz="4" w:space="0" w:color="000000"/>
              <w:bottom w:val="single" w:sz="4" w:space="0" w:color="000000"/>
            </w:tcBorders>
            <w:shd w:val="clear" w:color="auto" w:fill="auto"/>
            <w:vAlign w:val="bottom"/>
          </w:tcPr>
          <w:p w:rsidR="00B25588" w:rsidRPr="00C26F73" w:rsidRDefault="00B25588" w:rsidP="006A2886">
            <w:pPr>
              <w:spacing w:after="0" w:line="240" w:lineRule="auto"/>
              <w:rPr>
                <w:b w:val="0"/>
                <w:rtl/>
                <w:lang w:bidi="he-IL"/>
              </w:rPr>
            </w:pPr>
            <w:r w:rsidRPr="00C26F73">
              <w:rPr>
                <w:rFonts w:eastAsia="Times New Roman"/>
                <w:bCs/>
                <w:kern w:val="36"/>
                <w:lang w:bidi="he-IL"/>
              </w:rPr>
              <w:t>Sample size and gender</w:t>
            </w:r>
          </w:p>
        </w:tc>
        <w:tc>
          <w:tcPr>
            <w:tcW w:w="2540" w:type="dxa"/>
            <w:tcBorders>
              <w:top w:val="single" w:sz="4" w:space="0" w:color="000000"/>
              <w:bottom w:val="single" w:sz="4" w:space="0" w:color="000000"/>
            </w:tcBorders>
            <w:shd w:val="clear" w:color="auto" w:fill="auto"/>
            <w:vAlign w:val="bottom"/>
          </w:tcPr>
          <w:p w:rsidR="00B25588" w:rsidRPr="00C26F73" w:rsidRDefault="00B25588" w:rsidP="006A2886">
            <w:pPr>
              <w:spacing w:after="0" w:line="240" w:lineRule="auto"/>
              <w:rPr>
                <w:b w:val="0"/>
                <w:lang w:bidi="he-IL"/>
              </w:rPr>
            </w:pPr>
            <w:r w:rsidRPr="00C26F73">
              <w:rPr>
                <w:rFonts w:eastAsia="Times New Roman"/>
                <w:bCs/>
                <w:kern w:val="36"/>
                <w:lang w:bidi="he-IL"/>
              </w:rPr>
              <w:t>Data collection method</w:t>
            </w:r>
          </w:p>
        </w:tc>
      </w:tr>
      <w:tr w:rsidR="00315D8F" w:rsidRPr="00C26F73" w:rsidTr="006A2886">
        <w:tc>
          <w:tcPr>
            <w:tcW w:w="2693" w:type="dxa"/>
            <w:tcBorders>
              <w:top w:val="single" w:sz="4" w:space="0" w:color="000000"/>
            </w:tcBorders>
            <w:shd w:val="clear" w:color="auto" w:fill="auto"/>
          </w:tcPr>
          <w:p w:rsidR="00B25588" w:rsidRPr="00C26F73" w:rsidRDefault="00B25588" w:rsidP="006A2886">
            <w:pPr>
              <w:spacing w:after="0" w:line="240" w:lineRule="auto"/>
              <w:rPr>
                <w:rFonts w:eastAsia="Times New Roman"/>
                <w:b w:val="0"/>
                <w:kern w:val="36"/>
                <w:lang w:bidi="he-IL"/>
              </w:rPr>
            </w:pPr>
            <w:r w:rsidRPr="00C26F73">
              <w:rPr>
                <w:rFonts w:eastAsia="Times New Roman"/>
                <w:b w:val="0"/>
                <w:noProof/>
                <w:kern w:val="36"/>
                <w:sz w:val="22"/>
                <w:szCs w:val="22"/>
                <w:lang w:val="en-US" w:bidi="he-IL"/>
              </w:rPr>
              <w:t xml:space="preserve">Baldissera, Bueno </w:t>
            </w:r>
            <w:r w:rsidR="00594DEF">
              <w:rPr>
                <w:rFonts w:eastAsia="Times New Roman"/>
                <w:b w:val="0"/>
                <w:noProof/>
                <w:kern w:val="36"/>
                <w:sz w:val="22"/>
                <w:szCs w:val="22"/>
                <w:lang w:val="en-US" w:bidi="he-IL"/>
              </w:rPr>
              <w:t>and Hoga</w:t>
            </w:r>
            <w:r w:rsidRPr="00C26F73">
              <w:rPr>
                <w:rFonts w:eastAsia="Times New Roman"/>
                <w:b w:val="0"/>
                <w:noProof/>
                <w:kern w:val="36"/>
                <w:sz w:val="22"/>
                <w:szCs w:val="22"/>
                <w:lang w:val="en-US" w:bidi="he-IL"/>
              </w:rPr>
              <w:t xml:space="preserve"> (2012)</w:t>
            </w:r>
          </w:p>
        </w:tc>
        <w:tc>
          <w:tcPr>
            <w:tcW w:w="1276" w:type="dxa"/>
            <w:tcBorders>
              <w:top w:val="single" w:sz="4" w:space="0" w:color="000000"/>
            </w:tcBorders>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 xml:space="preserve">Brazil </w:t>
            </w:r>
          </w:p>
        </w:tc>
        <w:tc>
          <w:tcPr>
            <w:tcW w:w="3565" w:type="dxa"/>
            <w:tcBorders>
              <w:top w:val="single" w:sz="4" w:space="0" w:color="000000"/>
            </w:tcBorders>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 xml:space="preserve">Older women in a community group session on </w:t>
            </w:r>
            <w:r w:rsidRPr="00C26F73">
              <w:rPr>
                <w:b w:val="0"/>
                <w:lang w:bidi="he-IL"/>
              </w:rPr>
              <w:t xml:space="preserve">health education </w:t>
            </w:r>
          </w:p>
          <w:p w:rsidR="00B25588" w:rsidRPr="00C26F73" w:rsidRDefault="00B25588" w:rsidP="006A2886">
            <w:pPr>
              <w:spacing w:after="0" w:line="240" w:lineRule="auto"/>
              <w:rPr>
                <w:b w:val="0"/>
                <w:rtl/>
                <w:lang w:bidi="he-IL"/>
              </w:rPr>
            </w:pPr>
          </w:p>
        </w:tc>
        <w:tc>
          <w:tcPr>
            <w:tcW w:w="1538" w:type="dxa"/>
            <w:tcBorders>
              <w:top w:val="single" w:sz="4" w:space="0" w:color="000000"/>
            </w:tcBorders>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62-73</w:t>
            </w:r>
          </w:p>
        </w:tc>
        <w:tc>
          <w:tcPr>
            <w:tcW w:w="1276" w:type="dxa"/>
            <w:tcBorders>
              <w:top w:val="single" w:sz="4" w:space="0" w:color="000000"/>
            </w:tcBorders>
            <w:shd w:val="clear" w:color="auto" w:fill="auto"/>
          </w:tcPr>
          <w:p w:rsidR="00B25588" w:rsidRPr="00C26F73" w:rsidRDefault="00B25588" w:rsidP="006A2886">
            <w:pPr>
              <w:spacing w:after="0" w:line="240" w:lineRule="auto"/>
              <w:rPr>
                <w:b w:val="0"/>
                <w:lang w:bidi="he-IL"/>
              </w:rPr>
            </w:pPr>
            <w:r w:rsidRPr="00C26F73">
              <w:rPr>
                <w:b w:val="0"/>
                <w:lang w:bidi="he-IL"/>
              </w:rPr>
              <w:t>20 F</w:t>
            </w:r>
          </w:p>
          <w:p w:rsidR="00B25588" w:rsidRPr="00C26F73" w:rsidRDefault="00B25588" w:rsidP="006A2886">
            <w:pPr>
              <w:spacing w:after="0" w:line="240" w:lineRule="auto"/>
              <w:rPr>
                <w:b w:val="0"/>
                <w:lang w:bidi="he-IL"/>
              </w:rPr>
            </w:pPr>
          </w:p>
        </w:tc>
        <w:tc>
          <w:tcPr>
            <w:tcW w:w="2540" w:type="dxa"/>
            <w:tcBorders>
              <w:top w:val="single" w:sz="4" w:space="0" w:color="000000"/>
            </w:tcBorders>
            <w:shd w:val="clear" w:color="auto" w:fill="auto"/>
          </w:tcPr>
          <w:p w:rsidR="00B25588" w:rsidRPr="00C26F73" w:rsidRDefault="00B25588" w:rsidP="006A2886">
            <w:pPr>
              <w:spacing w:after="0" w:line="240" w:lineRule="auto"/>
              <w:rPr>
                <w:b w:val="0"/>
                <w:lang w:bidi="he-IL"/>
              </w:rPr>
            </w:pPr>
            <w:r w:rsidRPr="00C26F73">
              <w:rPr>
                <w:b w:val="0"/>
                <w:lang w:bidi="he-IL"/>
              </w:rPr>
              <w:t>Face-to-face in-depth interviews</w:t>
            </w:r>
          </w:p>
          <w:p w:rsidR="00B25588" w:rsidRPr="00C26F73" w:rsidRDefault="00B25588" w:rsidP="006A2886">
            <w:pPr>
              <w:spacing w:after="0" w:line="240" w:lineRule="auto"/>
              <w:rPr>
                <w:b w:val="0"/>
                <w:lang w:bidi="he-IL"/>
              </w:rPr>
            </w:pPr>
          </w:p>
        </w:tc>
      </w:tr>
      <w:tr w:rsidR="00315D8F" w:rsidRPr="00C26F73" w:rsidTr="006A2886">
        <w:tc>
          <w:tcPr>
            <w:tcW w:w="2693" w:type="dxa"/>
            <w:shd w:val="clear" w:color="auto" w:fill="auto"/>
          </w:tcPr>
          <w:p w:rsidR="00B25588" w:rsidRPr="00C26F73" w:rsidRDefault="00B25588" w:rsidP="006A2886">
            <w:pPr>
              <w:spacing w:after="0" w:line="240" w:lineRule="auto"/>
              <w:rPr>
                <w:b w:val="0"/>
                <w:lang w:bidi="he-IL"/>
              </w:rPr>
            </w:pPr>
            <w:r w:rsidRPr="00C26F73">
              <w:rPr>
                <w:b w:val="0"/>
                <w:lang w:bidi="he-IL"/>
              </w:rPr>
              <w:t>Bauer, Fetherstonhaugh et al. (2013)</w:t>
            </w:r>
          </w:p>
        </w:tc>
        <w:tc>
          <w:tcPr>
            <w:tcW w:w="1276" w:type="dxa"/>
            <w:shd w:val="clear" w:color="auto" w:fill="auto"/>
          </w:tcPr>
          <w:p w:rsidR="00B25588" w:rsidRPr="00C26F73" w:rsidRDefault="00B25588" w:rsidP="006A2886">
            <w:pPr>
              <w:spacing w:after="0" w:line="240" w:lineRule="auto"/>
              <w:rPr>
                <w:b w:val="0"/>
                <w:lang w:bidi="he-IL"/>
              </w:rPr>
            </w:pPr>
            <w:r w:rsidRPr="00C26F73">
              <w:rPr>
                <w:b w:val="0"/>
                <w:lang w:bidi="he-IL"/>
              </w:rPr>
              <w:t>Australia</w:t>
            </w:r>
          </w:p>
        </w:tc>
        <w:tc>
          <w:tcPr>
            <w:tcW w:w="3565" w:type="dxa"/>
            <w:shd w:val="clear" w:color="auto" w:fill="auto"/>
          </w:tcPr>
          <w:p w:rsidR="00B25588" w:rsidRPr="00C26F73" w:rsidRDefault="00B25588" w:rsidP="006A2886">
            <w:pPr>
              <w:spacing w:after="0" w:line="240" w:lineRule="auto"/>
              <w:rPr>
                <w:b w:val="0"/>
                <w:lang w:bidi="he-IL"/>
              </w:rPr>
            </w:pPr>
            <w:r w:rsidRPr="00C26F73">
              <w:rPr>
                <w:b w:val="0"/>
                <w:lang w:bidi="he-IL"/>
              </w:rPr>
              <w:t>Older people living in care facilities</w:t>
            </w:r>
          </w:p>
          <w:p w:rsidR="00B25588" w:rsidRPr="00C26F73" w:rsidRDefault="00B25588" w:rsidP="006A2886">
            <w:pPr>
              <w:spacing w:after="0" w:line="240" w:lineRule="auto"/>
              <w:rPr>
                <w:b w:val="0"/>
                <w:lang w:bidi="he-IL"/>
              </w:rPr>
            </w:pPr>
          </w:p>
        </w:tc>
        <w:tc>
          <w:tcPr>
            <w:tcW w:w="1538" w:type="dxa"/>
            <w:shd w:val="clear" w:color="auto" w:fill="auto"/>
          </w:tcPr>
          <w:p w:rsidR="00B25588" w:rsidRPr="00C26F73" w:rsidRDefault="00B25588" w:rsidP="006A2886">
            <w:pPr>
              <w:spacing w:after="0" w:line="240" w:lineRule="auto"/>
              <w:rPr>
                <w:b w:val="0"/>
                <w:lang w:bidi="he-IL"/>
              </w:rPr>
            </w:pPr>
            <w:r w:rsidRPr="00C26F73">
              <w:rPr>
                <w:b w:val="0"/>
                <w:lang w:bidi="he-IL"/>
              </w:rPr>
              <w:t>79-101</w:t>
            </w:r>
          </w:p>
        </w:tc>
        <w:tc>
          <w:tcPr>
            <w:tcW w:w="1276" w:type="dxa"/>
            <w:shd w:val="clear" w:color="auto" w:fill="auto"/>
          </w:tcPr>
          <w:p w:rsidR="00B25588" w:rsidRPr="00C26F73" w:rsidRDefault="00B25588" w:rsidP="006A2886">
            <w:pPr>
              <w:spacing w:after="0" w:line="240" w:lineRule="auto"/>
              <w:rPr>
                <w:b w:val="0"/>
                <w:lang w:bidi="he-IL"/>
              </w:rPr>
            </w:pPr>
            <w:r w:rsidRPr="00C26F73">
              <w:rPr>
                <w:b w:val="0"/>
                <w:lang w:bidi="he-IL"/>
              </w:rPr>
              <w:t>9 M</w:t>
            </w:r>
          </w:p>
          <w:p w:rsidR="00B25588" w:rsidRPr="00C26F73" w:rsidRDefault="00B25588" w:rsidP="006A2886">
            <w:pPr>
              <w:spacing w:after="0" w:line="240" w:lineRule="auto"/>
              <w:rPr>
                <w:b w:val="0"/>
                <w:lang w:bidi="he-IL"/>
              </w:rPr>
            </w:pPr>
            <w:r w:rsidRPr="00C26F73">
              <w:rPr>
                <w:b w:val="0"/>
                <w:lang w:bidi="he-IL"/>
              </w:rPr>
              <w:t>7 F</w:t>
            </w:r>
          </w:p>
        </w:tc>
        <w:tc>
          <w:tcPr>
            <w:tcW w:w="2540" w:type="dxa"/>
            <w:shd w:val="clear" w:color="auto" w:fill="auto"/>
          </w:tcPr>
          <w:p w:rsidR="00B25588" w:rsidRPr="00C26F73" w:rsidRDefault="00B25588" w:rsidP="006A2886">
            <w:pPr>
              <w:spacing w:after="0" w:line="240" w:lineRule="auto"/>
              <w:rPr>
                <w:b w:val="0"/>
                <w:lang w:bidi="he-IL"/>
              </w:rPr>
            </w:pPr>
            <w:r w:rsidRPr="00C26F73">
              <w:rPr>
                <w:b w:val="0"/>
                <w:lang w:bidi="he-IL"/>
              </w:rPr>
              <w:t>Semi-structured interviews</w:t>
            </w:r>
          </w:p>
        </w:tc>
      </w:tr>
      <w:tr w:rsidR="00315D8F" w:rsidRPr="00C26F73" w:rsidTr="006A2886">
        <w:tc>
          <w:tcPr>
            <w:tcW w:w="2693" w:type="dxa"/>
            <w:shd w:val="clear" w:color="auto" w:fill="auto"/>
          </w:tcPr>
          <w:p w:rsidR="00B25588" w:rsidRPr="00C26F73" w:rsidRDefault="00B25588" w:rsidP="006A2886">
            <w:pPr>
              <w:spacing w:after="0" w:line="240" w:lineRule="auto"/>
              <w:rPr>
                <w:b w:val="0"/>
                <w:lang w:bidi="he-IL"/>
              </w:rPr>
            </w:pPr>
            <w:r w:rsidRPr="00C26F73">
              <w:rPr>
                <w:b w:val="0"/>
                <w:noProof/>
                <w:lang w:bidi="he-IL"/>
              </w:rPr>
              <w:t>Bayler-Levaro (2011)</w:t>
            </w:r>
          </w:p>
        </w:tc>
        <w:tc>
          <w:tcPr>
            <w:tcW w:w="1276" w:type="dxa"/>
            <w:shd w:val="clear" w:color="auto" w:fill="auto"/>
          </w:tcPr>
          <w:p w:rsidR="00B25588" w:rsidRPr="00C26F73" w:rsidRDefault="00B25588" w:rsidP="006A2886">
            <w:pPr>
              <w:spacing w:after="0" w:line="240" w:lineRule="auto"/>
              <w:rPr>
                <w:b w:val="0"/>
                <w:lang w:bidi="he-IL"/>
              </w:rPr>
            </w:pPr>
            <w:r w:rsidRPr="00C26F73">
              <w:rPr>
                <w:b w:val="0"/>
                <w:lang w:bidi="he-IL"/>
              </w:rPr>
              <w:t>USA</w:t>
            </w:r>
          </w:p>
        </w:tc>
        <w:tc>
          <w:tcPr>
            <w:tcW w:w="3565" w:type="dxa"/>
            <w:shd w:val="clear" w:color="auto" w:fill="auto"/>
          </w:tcPr>
          <w:p w:rsidR="00B25588" w:rsidRPr="00C26F73" w:rsidRDefault="00B25588" w:rsidP="006A2886">
            <w:pPr>
              <w:spacing w:after="0" w:line="240" w:lineRule="auto"/>
              <w:rPr>
                <w:b w:val="0"/>
                <w:lang w:bidi="he-IL"/>
              </w:rPr>
            </w:pPr>
            <w:r w:rsidRPr="00C26F73">
              <w:rPr>
                <w:b w:val="0"/>
                <w:lang w:bidi="he-IL"/>
              </w:rPr>
              <w:t>Older people</w:t>
            </w:r>
          </w:p>
          <w:p w:rsidR="00B25588" w:rsidRPr="00C26F73" w:rsidRDefault="00B25588" w:rsidP="006A2886">
            <w:pPr>
              <w:spacing w:after="0" w:line="240" w:lineRule="auto"/>
              <w:rPr>
                <w:b w:val="0"/>
                <w:lang w:bidi="he-IL"/>
              </w:rPr>
            </w:pPr>
          </w:p>
        </w:tc>
        <w:tc>
          <w:tcPr>
            <w:tcW w:w="1538" w:type="dxa"/>
            <w:shd w:val="clear" w:color="auto" w:fill="auto"/>
          </w:tcPr>
          <w:p w:rsidR="00B25588" w:rsidRPr="00C26F73" w:rsidRDefault="00B25588" w:rsidP="006A2886">
            <w:pPr>
              <w:spacing w:after="0" w:line="240" w:lineRule="auto"/>
              <w:rPr>
                <w:b w:val="0"/>
                <w:lang w:bidi="he-IL"/>
              </w:rPr>
            </w:pPr>
            <w:r w:rsidRPr="00C26F73">
              <w:rPr>
                <w:b w:val="0"/>
                <w:lang w:bidi="he-IL"/>
              </w:rPr>
              <w:t>70-92</w:t>
            </w:r>
          </w:p>
        </w:tc>
        <w:tc>
          <w:tcPr>
            <w:tcW w:w="1276" w:type="dxa"/>
            <w:shd w:val="clear" w:color="auto" w:fill="auto"/>
          </w:tcPr>
          <w:p w:rsidR="00B25588" w:rsidRPr="00C26F73" w:rsidRDefault="00B25588" w:rsidP="006A2886">
            <w:pPr>
              <w:spacing w:after="0" w:line="240" w:lineRule="auto"/>
              <w:rPr>
                <w:b w:val="0"/>
                <w:lang w:bidi="he-IL"/>
              </w:rPr>
            </w:pPr>
            <w:r w:rsidRPr="00C26F73">
              <w:rPr>
                <w:b w:val="0"/>
                <w:lang w:bidi="he-IL"/>
              </w:rPr>
              <w:t>13 M</w:t>
            </w:r>
          </w:p>
          <w:p w:rsidR="00B25588" w:rsidRPr="00C26F73" w:rsidRDefault="00B25588" w:rsidP="006A2886">
            <w:pPr>
              <w:spacing w:after="0" w:line="240" w:lineRule="auto"/>
              <w:rPr>
                <w:b w:val="0"/>
                <w:lang w:bidi="he-IL"/>
              </w:rPr>
            </w:pPr>
            <w:r w:rsidRPr="00C26F73">
              <w:rPr>
                <w:b w:val="0"/>
                <w:lang w:bidi="he-IL"/>
              </w:rPr>
              <w:t>11 F</w:t>
            </w:r>
          </w:p>
          <w:p w:rsidR="00B25588" w:rsidRPr="00C26F73" w:rsidRDefault="00B25588" w:rsidP="006A2886">
            <w:pPr>
              <w:spacing w:after="0" w:line="240" w:lineRule="auto"/>
              <w:rPr>
                <w:b w:val="0"/>
                <w:rtl/>
                <w:lang w:bidi="he-IL"/>
              </w:rPr>
            </w:pPr>
          </w:p>
        </w:tc>
        <w:tc>
          <w:tcPr>
            <w:tcW w:w="2540" w:type="dxa"/>
            <w:shd w:val="clear" w:color="auto" w:fill="auto"/>
          </w:tcPr>
          <w:p w:rsidR="00B25588" w:rsidRPr="00C26F73" w:rsidRDefault="00B25588" w:rsidP="006A2886">
            <w:pPr>
              <w:spacing w:after="0" w:line="240" w:lineRule="auto"/>
              <w:rPr>
                <w:b w:val="0"/>
                <w:lang w:bidi="he-IL"/>
              </w:rPr>
            </w:pPr>
            <w:r w:rsidRPr="00C26F73">
              <w:rPr>
                <w:b w:val="0"/>
                <w:lang w:bidi="he-IL"/>
              </w:rPr>
              <w:t>Semi-structured interviews</w:t>
            </w:r>
          </w:p>
        </w:tc>
      </w:tr>
      <w:tr w:rsidR="00315D8F" w:rsidRPr="00C26F73" w:rsidTr="006A2886">
        <w:tc>
          <w:tcPr>
            <w:tcW w:w="2693" w:type="dxa"/>
            <w:shd w:val="clear" w:color="auto" w:fill="auto"/>
          </w:tcPr>
          <w:p w:rsidR="00B25588" w:rsidRPr="00C26F73" w:rsidRDefault="00B25588" w:rsidP="006A2886">
            <w:pPr>
              <w:spacing w:after="0" w:line="240" w:lineRule="auto"/>
              <w:rPr>
                <w:rFonts w:eastAsia="Times New Roman"/>
                <w:b w:val="0"/>
                <w:kern w:val="36"/>
                <w:lang w:bidi="he-IL"/>
              </w:rPr>
            </w:pPr>
            <w:r w:rsidRPr="00C26F73">
              <w:rPr>
                <w:rFonts w:eastAsia="Times New Roman"/>
                <w:b w:val="0"/>
                <w:noProof/>
                <w:kern w:val="36"/>
                <w:lang w:bidi="he-IL"/>
              </w:rPr>
              <w:t xml:space="preserve">Brandenburg, Attermeyer </w:t>
            </w:r>
            <w:r w:rsidR="00594DEF">
              <w:rPr>
                <w:rFonts w:eastAsia="Times New Roman"/>
                <w:b w:val="0"/>
                <w:noProof/>
                <w:kern w:val="36"/>
                <w:lang w:bidi="he-IL"/>
              </w:rPr>
              <w:t>and</w:t>
            </w:r>
            <w:r w:rsidRPr="00C26F73">
              <w:rPr>
                <w:rFonts w:eastAsia="Times New Roman"/>
                <w:b w:val="0"/>
                <w:noProof/>
                <w:kern w:val="36"/>
                <w:lang w:bidi="he-IL"/>
              </w:rPr>
              <w:t xml:space="preserve"> Saß (2000)</w:t>
            </w:r>
          </w:p>
          <w:p w:rsidR="00B25588" w:rsidRPr="00C26F73" w:rsidRDefault="00B25588" w:rsidP="006A2886">
            <w:pPr>
              <w:spacing w:after="0" w:line="240" w:lineRule="auto"/>
              <w:rPr>
                <w:rFonts w:eastAsia="Times New Roman"/>
                <w:b w:val="0"/>
                <w:kern w:val="36"/>
                <w:lang w:bidi="he-IL"/>
              </w:rPr>
            </w:pPr>
          </w:p>
        </w:tc>
        <w:tc>
          <w:tcPr>
            <w:tcW w:w="1276"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 xml:space="preserve">Germany </w:t>
            </w:r>
          </w:p>
        </w:tc>
        <w:tc>
          <w:tcPr>
            <w:tcW w:w="3565" w:type="dxa"/>
            <w:shd w:val="clear" w:color="auto" w:fill="auto"/>
          </w:tcPr>
          <w:p w:rsidR="00B25588" w:rsidRPr="00C26F73" w:rsidRDefault="00B25588" w:rsidP="006A2886">
            <w:pPr>
              <w:spacing w:after="0" w:line="240" w:lineRule="auto"/>
              <w:rPr>
                <w:b w:val="0"/>
                <w:lang w:bidi="he-IL"/>
              </w:rPr>
            </w:pPr>
            <w:r w:rsidRPr="00C26F73">
              <w:rPr>
                <w:b w:val="0"/>
                <w:lang w:bidi="he-IL"/>
              </w:rPr>
              <w:t>Older women in the community</w:t>
            </w:r>
          </w:p>
        </w:tc>
        <w:tc>
          <w:tcPr>
            <w:tcW w:w="1538" w:type="dxa"/>
            <w:shd w:val="clear" w:color="auto" w:fill="auto"/>
          </w:tcPr>
          <w:p w:rsidR="00B25588" w:rsidRPr="00C26F73" w:rsidRDefault="00B25588" w:rsidP="006A2886">
            <w:pPr>
              <w:spacing w:after="0" w:line="240" w:lineRule="auto"/>
              <w:rPr>
                <w:b w:val="0"/>
                <w:lang w:bidi="he-IL"/>
              </w:rPr>
            </w:pPr>
            <w:r w:rsidRPr="00C26F73">
              <w:rPr>
                <w:b w:val="0"/>
                <w:lang w:bidi="he-IL"/>
              </w:rPr>
              <w:t>60-89</w:t>
            </w:r>
          </w:p>
        </w:tc>
        <w:tc>
          <w:tcPr>
            <w:tcW w:w="1276" w:type="dxa"/>
            <w:shd w:val="clear" w:color="auto" w:fill="auto"/>
          </w:tcPr>
          <w:p w:rsidR="00B25588" w:rsidRPr="00C26F73" w:rsidRDefault="00B25588" w:rsidP="006A2886">
            <w:pPr>
              <w:spacing w:after="0" w:line="240" w:lineRule="auto"/>
              <w:rPr>
                <w:b w:val="0"/>
                <w:lang w:bidi="he-IL"/>
              </w:rPr>
            </w:pPr>
            <w:r w:rsidRPr="00C26F73">
              <w:rPr>
                <w:b w:val="0"/>
                <w:lang w:bidi="he-IL"/>
              </w:rPr>
              <w:t>52 F</w:t>
            </w:r>
          </w:p>
        </w:tc>
        <w:tc>
          <w:tcPr>
            <w:tcW w:w="2540" w:type="dxa"/>
            <w:shd w:val="clear" w:color="auto" w:fill="auto"/>
          </w:tcPr>
          <w:p w:rsidR="00B25588" w:rsidRPr="00C26F73" w:rsidRDefault="00B25588" w:rsidP="006A2886">
            <w:pPr>
              <w:spacing w:after="0" w:line="240" w:lineRule="auto"/>
              <w:rPr>
                <w:b w:val="0"/>
                <w:lang w:bidi="he-IL"/>
              </w:rPr>
            </w:pPr>
            <w:r w:rsidRPr="00C26F73">
              <w:rPr>
                <w:b w:val="0"/>
                <w:lang w:bidi="he-IL"/>
              </w:rPr>
              <w:t>Individual interviews</w:t>
            </w:r>
          </w:p>
        </w:tc>
      </w:tr>
      <w:tr w:rsidR="00315D8F" w:rsidRPr="00C26F73" w:rsidTr="006A2886">
        <w:tc>
          <w:tcPr>
            <w:tcW w:w="2693" w:type="dxa"/>
            <w:shd w:val="clear" w:color="auto" w:fill="auto"/>
          </w:tcPr>
          <w:p w:rsidR="00B25588" w:rsidRPr="000678DA" w:rsidRDefault="00B25588" w:rsidP="006A2886">
            <w:pPr>
              <w:spacing w:after="0" w:line="240" w:lineRule="auto"/>
              <w:rPr>
                <w:b w:val="0"/>
                <w:lang w:val="it-IT" w:bidi="he-IL"/>
              </w:rPr>
            </w:pPr>
            <w:r w:rsidRPr="000678DA">
              <w:rPr>
                <w:b w:val="0"/>
                <w:lang w:val="it-IT" w:bidi="he-IL"/>
              </w:rPr>
              <w:t>de Oliveira Silva et al. (2015)</w:t>
            </w:r>
          </w:p>
          <w:p w:rsidR="00B25588" w:rsidRPr="000678DA" w:rsidRDefault="00B25588" w:rsidP="006A2886">
            <w:pPr>
              <w:spacing w:after="0" w:line="240" w:lineRule="auto"/>
              <w:rPr>
                <w:b w:val="0"/>
                <w:lang w:val="it-IT" w:bidi="he-IL"/>
              </w:rPr>
            </w:pPr>
          </w:p>
        </w:tc>
        <w:tc>
          <w:tcPr>
            <w:tcW w:w="1276" w:type="dxa"/>
            <w:shd w:val="clear" w:color="auto" w:fill="auto"/>
          </w:tcPr>
          <w:p w:rsidR="00B25588" w:rsidRPr="00C26F73" w:rsidRDefault="00B25588" w:rsidP="006A2886">
            <w:pPr>
              <w:spacing w:after="0" w:line="240" w:lineRule="auto"/>
              <w:rPr>
                <w:b w:val="0"/>
                <w:lang w:bidi="he-IL"/>
              </w:rPr>
            </w:pPr>
            <w:r w:rsidRPr="00C26F73">
              <w:rPr>
                <w:b w:val="0"/>
                <w:lang w:bidi="he-IL"/>
              </w:rPr>
              <w:t>Brazil</w:t>
            </w:r>
          </w:p>
        </w:tc>
        <w:tc>
          <w:tcPr>
            <w:tcW w:w="3565" w:type="dxa"/>
            <w:shd w:val="clear" w:color="auto" w:fill="auto"/>
          </w:tcPr>
          <w:p w:rsidR="00B25588" w:rsidRPr="00C26F73" w:rsidRDefault="00B25588" w:rsidP="006A2886">
            <w:pPr>
              <w:spacing w:after="0" w:line="240" w:lineRule="auto"/>
              <w:rPr>
                <w:b w:val="0"/>
                <w:lang w:bidi="he-IL"/>
              </w:rPr>
            </w:pPr>
            <w:r w:rsidRPr="00C26F73">
              <w:rPr>
                <w:b w:val="0"/>
                <w:lang w:bidi="he-IL"/>
              </w:rPr>
              <w:t xml:space="preserve">Attending a community resource centre </w:t>
            </w:r>
          </w:p>
        </w:tc>
        <w:tc>
          <w:tcPr>
            <w:tcW w:w="1538" w:type="dxa"/>
            <w:shd w:val="clear" w:color="auto" w:fill="auto"/>
          </w:tcPr>
          <w:p w:rsidR="00B25588" w:rsidRPr="00C26F73" w:rsidRDefault="00B25588" w:rsidP="006A2886">
            <w:pPr>
              <w:spacing w:after="0" w:line="240" w:lineRule="auto"/>
              <w:rPr>
                <w:b w:val="0"/>
                <w:lang w:bidi="he-IL"/>
              </w:rPr>
            </w:pPr>
            <w:r w:rsidRPr="00C26F73">
              <w:rPr>
                <w:b w:val="0"/>
                <w:lang w:bidi="he-IL"/>
              </w:rPr>
              <w:t>60-79</w:t>
            </w:r>
          </w:p>
        </w:tc>
        <w:tc>
          <w:tcPr>
            <w:tcW w:w="1276" w:type="dxa"/>
            <w:shd w:val="clear" w:color="auto" w:fill="auto"/>
          </w:tcPr>
          <w:p w:rsidR="00B25588" w:rsidRPr="00C26F73" w:rsidRDefault="00B25588" w:rsidP="006A2886">
            <w:pPr>
              <w:spacing w:after="0" w:line="240" w:lineRule="auto"/>
              <w:rPr>
                <w:b w:val="0"/>
                <w:lang w:bidi="he-IL"/>
              </w:rPr>
            </w:pPr>
            <w:r w:rsidRPr="00C26F73">
              <w:rPr>
                <w:b w:val="0"/>
                <w:lang w:bidi="he-IL"/>
              </w:rPr>
              <w:t>7 F</w:t>
            </w:r>
          </w:p>
          <w:p w:rsidR="00B25588" w:rsidRPr="00C26F73" w:rsidRDefault="00B25588" w:rsidP="006A2886">
            <w:pPr>
              <w:spacing w:after="0" w:line="240" w:lineRule="auto"/>
              <w:rPr>
                <w:b w:val="0"/>
                <w:rtl/>
                <w:lang w:bidi="he-IL"/>
              </w:rPr>
            </w:pPr>
            <w:r w:rsidRPr="00C26F73">
              <w:rPr>
                <w:b w:val="0"/>
                <w:lang w:bidi="he-IL"/>
              </w:rPr>
              <w:t>3 M</w:t>
            </w:r>
          </w:p>
        </w:tc>
        <w:tc>
          <w:tcPr>
            <w:tcW w:w="2540" w:type="dxa"/>
            <w:shd w:val="clear" w:color="auto" w:fill="auto"/>
          </w:tcPr>
          <w:p w:rsidR="00B25588" w:rsidRPr="00C26F73" w:rsidRDefault="00B25588" w:rsidP="006A2886">
            <w:pPr>
              <w:spacing w:after="0" w:line="240" w:lineRule="auto"/>
              <w:rPr>
                <w:b w:val="0"/>
                <w:lang w:bidi="he-IL"/>
              </w:rPr>
            </w:pPr>
            <w:r w:rsidRPr="00C26F73">
              <w:rPr>
                <w:b w:val="0"/>
                <w:lang w:bidi="he-IL"/>
              </w:rPr>
              <w:t>Semi-structured interviews</w:t>
            </w:r>
          </w:p>
        </w:tc>
      </w:tr>
      <w:tr w:rsidR="00315D8F" w:rsidRPr="00C26F73" w:rsidTr="006A2886">
        <w:tc>
          <w:tcPr>
            <w:tcW w:w="2693" w:type="dxa"/>
            <w:shd w:val="clear" w:color="auto" w:fill="auto"/>
          </w:tcPr>
          <w:p w:rsidR="00B25588" w:rsidRPr="00C26F73" w:rsidRDefault="00B25588" w:rsidP="006A2886">
            <w:pPr>
              <w:spacing w:after="0" w:line="240" w:lineRule="auto"/>
              <w:rPr>
                <w:b w:val="0"/>
                <w:lang w:bidi="he-IL"/>
              </w:rPr>
            </w:pPr>
            <w:r w:rsidRPr="00C26F73">
              <w:rPr>
                <w:b w:val="0"/>
                <w:lang w:bidi="he-IL"/>
              </w:rPr>
              <w:t>Drummond</w:t>
            </w:r>
            <w:r w:rsidR="000678DA">
              <w:rPr>
                <w:b w:val="0"/>
                <w:lang w:bidi="he-IL"/>
              </w:rPr>
              <w:t xml:space="preserve"> </w:t>
            </w:r>
            <w:r w:rsidRPr="00C26F73">
              <w:rPr>
                <w:b w:val="0"/>
                <w:lang w:bidi="he-IL"/>
              </w:rPr>
              <w:t>et al. (2013)</w:t>
            </w:r>
          </w:p>
          <w:p w:rsidR="00B25588" w:rsidRPr="00C26F73" w:rsidRDefault="00B25588" w:rsidP="006A2886">
            <w:pPr>
              <w:spacing w:after="0" w:line="240" w:lineRule="auto"/>
              <w:rPr>
                <w:b w:val="0"/>
                <w:lang w:bidi="he-IL"/>
              </w:rPr>
            </w:pPr>
          </w:p>
        </w:tc>
        <w:tc>
          <w:tcPr>
            <w:tcW w:w="1276" w:type="dxa"/>
            <w:shd w:val="clear" w:color="auto" w:fill="auto"/>
          </w:tcPr>
          <w:p w:rsidR="00B25588" w:rsidRPr="00C26F73" w:rsidRDefault="00B25588" w:rsidP="006A2886">
            <w:pPr>
              <w:spacing w:after="0" w:line="240" w:lineRule="auto"/>
              <w:rPr>
                <w:rFonts w:eastAsia="Times New Roman"/>
                <w:b w:val="0"/>
                <w:kern w:val="36"/>
                <w:lang w:bidi="he-IL"/>
              </w:rPr>
            </w:pPr>
            <w:r w:rsidRPr="00C26F73">
              <w:rPr>
                <w:rFonts w:eastAsia="Times New Roman"/>
                <w:b w:val="0"/>
                <w:kern w:val="36"/>
                <w:lang w:bidi="he-IL"/>
              </w:rPr>
              <w:t>Canada</w:t>
            </w:r>
          </w:p>
        </w:tc>
        <w:tc>
          <w:tcPr>
            <w:tcW w:w="3565" w:type="dxa"/>
            <w:shd w:val="clear" w:color="auto" w:fill="auto"/>
          </w:tcPr>
          <w:p w:rsidR="00B25588" w:rsidRPr="00C26F73" w:rsidRDefault="00B25588" w:rsidP="006A2886">
            <w:pPr>
              <w:spacing w:after="0" w:line="240" w:lineRule="auto"/>
              <w:rPr>
                <w:b w:val="0"/>
                <w:lang w:bidi="he-IL"/>
              </w:rPr>
            </w:pPr>
            <w:r w:rsidRPr="00C26F73">
              <w:rPr>
                <w:b w:val="0"/>
                <w:lang w:bidi="he-IL"/>
              </w:rPr>
              <w:t>Community residing women caring for an ill spouse in the home</w:t>
            </w:r>
          </w:p>
        </w:tc>
        <w:tc>
          <w:tcPr>
            <w:tcW w:w="1538" w:type="dxa"/>
            <w:shd w:val="clear" w:color="auto" w:fill="auto"/>
          </w:tcPr>
          <w:p w:rsidR="00B25588" w:rsidRPr="00C26F73" w:rsidRDefault="00B25588" w:rsidP="006A2886">
            <w:pPr>
              <w:spacing w:after="0" w:line="240" w:lineRule="auto"/>
              <w:rPr>
                <w:b w:val="0"/>
                <w:lang w:bidi="he-IL"/>
              </w:rPr>
            </w:pPr>
            <w:r w:rsidRPr="00C26F73">
              <w:rPr>
                <w:b w:val="0"/>
                <w:lang w:bidi="he-IL"/>
              </w:rPr>
              <w:t>60-80</w:t>
            </w:r>
          </w:p>
        </w:tc>
        <w:tc>
          <w:tcPr>
            <w:tcW w:w="1276" w:type="dxa"/>
            <w:shd w:val="clear" w:color="auto" w:fill="auto"/>
          </w:tcPr>
          <w:p w:rsidR="00B25588" w:rsidRPr="00C26F73" w:rsidRDefault="00B25588" w:rsidP="006A2886">
            <w:pPr>
              <w:spacing w:after="0" w:line="240" w:lineRule="auto"/>
              <w:rPr>
                <w:b w:val="0"/>
                <w:rtl/>
                <w:lang w:bidi="he-IL"/>
              </w:rPr>
            </w:pPr>
            <w:r w:rsidRPr="00C26F73">
              <w:rPr>
                <w:b w:val="0"/>
                <w:lang w:bidi="he-IL"/>
              </w:rPr>
              <w:t>6 F</w:t>
            </w:r>
          </w:p>
        </w:tc>
        <w:tc>
          <w:tcPr>
            <w:tcW w:w="2540" w:type="dxa"/>
            <w:shd w:val="clear" w:color="auto" w:fill="auto"/>
          </w:tcPr>
          <w:p w:rsidR="00B25588" w:rsidRPr="00C26F73" w:rsidRDefault="00B25588" w:rsidP="006A2886">
            <w:pPr>
              <w:spacing w:after="0" w:line="240" w:lineRule="auto"/>
              <w:rPr>
                <w:b w:val="0"/>
                <w:lang w:bidi="he-IL"/>
              </w:rPr>
            </w:pPr>
            <w:r w:rsidRPr="00C26F73">
              <w:rPr>
                <w:b w:val="0"/>
                <w:lang w:bidi="he-IL"/>
              </w:rPr>
              <w:t>Individual semi-structured /open-ended interviews</w:t>
            </w:r>
          </w:p>
        </w:tc>
      </w:tr>
      <w:tr w:rsidR="00315D8F" w:rsidRPr="00C26F73" w:rsidTr="006A2886">
        <w:tc>
          <w:tcPr>
            <w:tcW w:w="2693" w:type="dxa"/>
            <w:shd w:val="clear" w:color="auto" w:fill="auto"/>
          </w:tcPr>
          <w:p w:rsidR="00B25588" w:rsidRPr="00C26F73" w:rsidRDefault="00B25588" w:rsidP="006A2886">
            <w:pPr>
              <w:spacing w:after="0" w:line="240" w:lineRule="auto"/>
              <w:rPr>
                <w:rFonts w:eastAsia="Times New Roman"/>
                <w:b w:val="0"/>
                <w:kern w:val="36"/>
                <w:lang w:bidi="he-IL"/>
              </w:rPr>
            </w:pPr>
            <w:r w:rsidRPr="00C26F73">
              <w:rPr>
                <w:rFonts w:eastAsia="Times New Roman"/>
                <w:b w:val="0"/>
                <w:noProof/>
                <w:kern w:val="36"/>
                <w:lang w:bidi="he-IL"/>
              </w:rPr>
              <w:t>Ebberfeld (1990)</w:t>
            </w:r>
          </w:p>
          <w:p w:rsidR="00B25588" w:rsidRPr="00C26F73" w:rsidRDefault="00B25588" w:rsidP="006A2886">
            <w:pPr>
              <w:spacing w:after="0" w:line="240" w:lineRule="auto"/>
              <w:rPr>
                <w:rFonts w:eastAsia="Times New Roman"/>
                <w:b w:val="0"/>
                <w:kern w:val="36"/>
                <w:lang w:bidi="he-IL"/>
              </w:rPr>
            </w:pPr>
          </w:p>
        </w:tc>
        <w:tc>
          <w:tcPr>
            <w:tcW w:w="1276"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Germany</w:t>
            </w:r>
          </w:p>
        </w:tc>
        <w:tc>
          <w:tcPr>
            <w:tcW w:w="3565" w:type="dxa"/>
            <w:shd w:val="clear" w:color="auto" w:fill="auto"/>
          </w:tcPr>
          <w:p w:rsidR="00B25588" w:rsidRPr="00C26F73" w:rsidRDefault="00B25588" w:rsidP="006A2886">
            <w:pPr>
              <w:spacing w:after="0" w:line="240" w:lineRule="auto"/>
              <w:rPr>
                <w:b w:val="0"/>
                <w:lang w:bidi="he-IL"/>
              </w:rPr>
            </w:pPr>
            <w:r w:rsidRPr="00C26F73">
              <w:rPr>
                <w:b w:val="0"/>
                <w:lang w:bidi="he-IL"/>
              </w:rPr>
              <w:t>Case study with one woman</w:t>
            </w:r>
          </w:p>
        </w:tc>
        <w:tc>
          <w:tcPr>
            <w:tcW w:w="1538" w:type="dxa"/>
            <w:shd w:val="clear" w:color="auto" w:fill="auto"/>
          </w:tcPr>
          <w:p w:rsidR="00B25588" w:rsidRPr="00C26F73" w:rsidRDefault="00B25588" w:rsidP="006A2886">
            <w:pPr>
              <w:spacing w:after="0" w:line="240" w:lineRule="auto"/>
              <w:rPr>
                <w:b w:val="0"/>
                <w:lang w:bidi="he-IL"/>
              </w:rPr>
            </w:pPr>
            <w:r w:rsidRPr="00C26F73">
              <w:rPr>
                <w:b w:val="0"/>
                <w:lang w:bidi="he-IL"/>
              </w:rPr>
              <w:t>78</w:t>
            </w:r>
          </w:p>
        </w:tc>
        <w:tc>
          <w:tcPr>
            <w:tcW w:w="1276" w:type="dxa"/>
            <w:shd w:val="clear" w:color="auto" w:fill="auto"/>
          </w:tcPr>
          <w:p w:rsidR="00B25588" w:rsidRPr="00C26F73" w:rsidRDefault="00B25588" w:rsidP="006A2886">
            <w:pPr>
              <w:spacing w:after="0" w:line="240" w:lineRule="auto"/>
              <w:rPr>
                <w:b w:val="0"/>
                <w:lang w:bidi="he-IL"/>
              </w:rPr>
            </w:pPr>
            <w:r w:rsidRPr="00C26F73">
              <w:rPr>
                <w:b w:val="0"/>
                <w:lang w:bidi="he-IL"/>
              </w:rPr>
              <w:t xml:space="preserve">1 F </w:t>
            </w:r>
          </w:p>
        </w:tc>
        <w:tc>
          <w:tcPr>
            <w:tcW w:w="2540" w:type="dxa"/>
            <w:shd w:val="clear" w:color="auto" w:fill="auto"/>
          </w:tcPr>
          <w:p w:rsidR="00B25588" w:rsidRPr="00C26F73" w:rsidRDefault="00B25588" w:rsidP="006A2886">
            <w:pPr>
              <w:spacing w:after="0" w:line="240" w:lineRule="auto"/>
              <w:rPr>
                <w:b w:val="0"/>
                <w:lang w:bidi="he-IL"/>
              </w:rPr>
            </w:pPr>
            <w:r w:rsidRPr="00C26F73">
              <w:rPr>
                <w:b w:val="0"/>
                <w:lang w:bidi="he-IL"/>
              </w:rPr>
              <w:t xml:space="preserve">Case study, narrative </w:t>
            </w:r>
          </w:p>
        </w:tc>
      </w:tr>
      <w:tr w:rsidR="00315D8F" w:rsidRPr="00C26F73" w:rsidTr="006A2886">
        <w:tc>
          <w:tcPr>
            <w:tcW w:w="2693" w:type="dxa"/>
            <w:shd w:val="clear" w:color="auto" w:fill="auto"/>
          </w:tcPr>
          <w:p w:rsidR="00B25588" w:rsidRPr="00C26F73" w:rsidRDefault="00B25588" w:rsidP="006A2886">
            <w:pPr>
              <w:spacing w:after="0" w:line="240" w:lineRule="auto"/>
              <w:rPr>
                <w:rStyle w:val="FootnoteReference"/>
                <w:rFonts w:eastAsia="Times New Roman"/>
                <w:b w:val="0"/>
                <w:kern w:val="36"/>
                <w:sz w:val="22"/>
                <w:szCs w:val="22"/>
                <w:lang w:val="en-US" w:bidi="he-IL"/>
              </w:rPr>
            </w:pPr>
            <w:r w:rsidRPr="00C26F73">
              <w:rPr>
                <w:rFonts w:eastAsia="Times New Roman"/>
                <w:b w:val="0"/>
                <w:noProof/>
                <w:kern w:val="36"/>
                <w:lang w:bidi="he-IL"/>
              </w:rPr>
              <w:lastRenderedPageBreak/>
              <w:t>Fournier (2000)</w:t>
            </w:r>
          </w:p>
          <w:p w:rsidR="00B25588" w:rsidRPr="00C26F73" w:rsidRDefault="00B25588" w:rsidP="006A2886">
            <w:pPr>
              <w:spacing w:after="0" w:line="240" w:lineRule="auto"/>
              <w:rPr>
                <w:rFonts w:eastAsia="Times New Roman"/>
                <w:b w:val="0"/>
                <w:kern w:val="36"/>
                <w:lang w:bidi="he-IL"/>
              </w:rPr>
            </w:pPr>
          </w:p>
          <w:p w:rsidR="00B25588" w:rsidRPr="00C26F73" w:rsidRDefault="00B25588" w:rsidP="006A2886">
            <w:pPr>
              <w:spacing w:after="0" w:line="240" w:lineRule="auto"/>
              <w:rPr>
                <w:rFonts w:eastAsia="Times New Roman"/>
                <w:b w:val="0"/>
                <w:kern w:val="36"/>
                <w:lang w:bidi="he-IL"/>
              </w:rPr>
            </w:pPr>
          </w:p>
        </w:tc>
        <w:tc>
          <w:tcPr>
            <w:tcW w:w="1276"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USA</w:t>
            </w:r>
          </w:p>
        </w:tc>
        <w:tc>
          <w:tcPr>
            <w:tcW w:w="3565"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 xml:space="preserve">Men and women living independently </w:t>
            </w:r>
          </w:p>
        </w:tc>
        <w:tc>
          <w:tcPr>
            <w:tcW w:w="1538"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60-82</w:t>
            </w:r>
          </w:p>
        </w:tc>
        <w:tc>
          <w:tcPr>
            <w:tcW w:w="1276" w:type="dxa"/>
            <w:shd w:val="clear" w:color="auto" w:fill="auto"/>
          </w:tcPr>
          <w:p w:rsidR="00B25588" w:rsidRPr="00C26F73" w:rsidRDefault="00B25588" w:rsidP="006A2886">
            <w:pPr>
              <w:spacing w:after="0" w:line="240" w:lineRule="auto"/>
              <w:rPr>
                <w:rFonts w:eastAsia="Times New Roman"/>
                <w:b w:val="0"/>
                <w:kern w:val="36"/>
                <w:lang w:bidi="he-IL"/>
              </w:rPr>
            </w:pPr>
            <w:r w:rsidRPr="00C26F73">
              <w:rPr>
                <w:rFonts w:eastAsia="Times New Roman"/>
                <w:b w:val="0"/>
                <w:kern w:val="36"/>
                <w:lang w:bidi="he-IL"/>
              </w:rPr>
              <w:t>18 M</w:t>
            </w:r>
          </w:p>
          <w:p w:rsidR="00B25588" w:rsidRPr="00C26F73" w:rsidRDefault="00B25588" w:rsidP="006A2886">
            <w:pPr>
              <w:spacing w:after="0" w:line="240" w:lineRule="auto"/>
              <w:rPr>
                <w:b w:val="0"/>
                <w:lang w:bidi="he-IL"/>
              </w:rPr>
            </w:pPr>
            <w:r w:rsidRPr="00C26F73">
              <w:rPr>
                <w:rFonts w:eastAsia="Times New Roman"/>
                <w:b w:val="0"/>
                <w:kern w:val="36"/>
                <w:lang w:bidi="he-IL"/>
              </w:rPr>
              <w:t>22 F</w:t>
            </w:r>
          </w:p>
        </w:tc>
        <w:tc>
          <w:tcPr>
            <w:tcW w:w="2540"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In-depth interviews</w:t>
            </w:r>
          </w:p>
        </w:tc>
      </w:tr>
      <w:tr w:rsidR="00315D8F" w:rsidRPr="00C26F73" w:rsidTr="006A2886">
        <w:tc>
          <w:tcPr>
            <w:tcW w:w="2693" w:type="dxa"/>
            <w:shd w:val="clear" w:color="auto" w:fill="auto"/>
          </w:tcPr>
          <w:p w:rsidR="00B25588" w:rsidRPr="00C26F73" w:rsidRDefault="00B25588" w:rsidP="006A2886">
            <w:pPr>
              <w:spacing w:after="0" w:line="240" w:lineRule="auto"/>
              <w:rPr>
                <w:rStyle w:val="FootnoteReference"/>
                <w:rFonts w:eastAsia="Times New Roman"/>
                <w:b w:val="0"/>
                <w:kern w:val="36"/>
                <w:sz w:val="22"/>
                <w:szCs w:val="22"/>
                <w:lang w:val="en-US" w:bidi="he-IL"/>
              </w:rPr>
            </w:pPr>
            <w:r w:rsidRPr="00C26F73">
              <w:rPr>
                <w:rFonts w:eastAsia="Times New Roman"/>
                <w:b w:val="0"/>
                <w:noProof/>
                <w:kern w:val="36"/>
                <w:lang w:bidi="he-IL"/>
              </w:rPr>
              <w:t>Gledhill and Schweitzer (2014)</w:t>
            </w:r>
          </w:p>
          <w:p w:rsidR="00B25588" w:rsidRPr="00C26F73" w:rsidRDefault="00B25588" w:rsidP="006A2886">
            <w:pPr>
              <w:spacing w:after="0" w:line="240" w:lineRule="auto"/>
              <w:rPr>
                <w:rFonts w:eastAsia="Times New Roman"/>
                <w:b w:val="0"/>
                <w:kern w:val="36"/>
                <w:lang w:bidi="he-IL"/>
              </w:rPr>
            </w:pPr>
          </w:p>
          <w:p w:rsidR="00B25588" w:rsidRPr="00C26F73" w:rsidRDefault="00B25588" w:rsidP="006A2886">
            <w:pPr>
              <w:spacing w:after="0" w:line="240" w:lineRule="auto"/>
              <w:rPr>
                <w:rFonts w:eastAsia="Times New Roman"/>
                <w:b w:val="0"/>
                <w:kern w:val="36"/>
                <w:lang w:bidi="he-IL"/>
              </w:rPr>
            </w:pPr>
          </w:p>
          <w:p w:rsidR="00B25588" w:rsidRPr="00C26F73" w:rsidRDefault="00B25588" w:rsidP="006A2886">
            <w:pPr>
              <w:spacing w:after="0" w:line="240" w:lineRule="auto"/>
              <w:rPr>
                <w:rFonts w:eastAsia="Times New Roman"/>
                <w:b w:val="0"/>
                <w:kern w:val="36"/>
                <w:lang w:bidi="he-IL"/>
              </w:rPr>
            </w:pPr>
          </w:p>
          <w:p w:rsidR="00B25588" w:rsidRPr="00C26F73" w:rsidRDefault="00B25588" w:rsidP="006A2886">
            <w:pPr>
              <w:spacing w:after="0" w:line="240" w:lineRule="auto"/>
              <w:rPr>
                <w:rFonts w:eastAsia="Times New Roman"/>
                <w:b w:val="0"/>
                <w:kern w:val="36"/>
                <w:lang w:bidi="he-IL"/>
              </w:rPr>
            </w:pPr>
          </w:p>
        </w:tc>
        <w:tc>
          <w:tcPr>
            <w:tcW w:w="1276"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 xml:space="preserve">Australia </w:t>
            </w:r>
          </w:p>
        </w:tc>
        <w:tc>
          <w:tcPr>
            <w:tcW w:w="3565" w:type="dxa"/>
            <w:shd w:val="clear" w:color="auto" w:fill="auto"/>
          </w:tcPr>
          <w:p w:rsidR="00B25588" w:rsidRPr="00C26F73" w:rsidRDefault="00B25588" w:rsidP="006A2886">
            <w:pPr>
              <w:spacing w:after="0" w:line="240" w:lineRule="auto"/>
              <w:rPr>
                <w:b w:val="0"/>
                <w:lang w:bidi="he-IL"/>
              </w:rPr>
            </w:pPr>
            <w:r w:rsidRPr="00C26F73">
              <w:rPr>
                <w:b w:val="0"/>
                <w:lang w:bidi="he-IL"/>
              </w:rPr>
              <w:t>Men who had experienced erectile dysfunction and used pharmaceuticals for sexual enhancement and partners of men with ED</w:t>
            </w:r>
          </w:p>
        </w:tc>
        <w:tc>
          <w:tcPr>
            <w:tcW w:w="1538"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65-84</w:t>
            </w:r>
          </w:p>
        </w:tc>
        <w:tc>
          <w:tcPr>
            <w:tcW w:w="1276" w:type="dxa"/>
            <w:shd w:val="clear" w:color="auto" w:fill="auto"/>
          </w:tcPr>
          <w:p w:rsidR="00B25588" w:rsidRPr="00C26F73" w:rsidRDefault="00B25588" w:rsidP="006A2886">
            <w:pPr>
              <w:spacing w:after="0" w:line="240" w:lineRule="auto"/>
              <w:rPr>
                <w:rFonts w:eastAsia="Times New Roman"/>
                <w:b w:val="0"/>
                <w:kern w:val="36"/>
                <w:lang w:bidi="he-IL"/>
              </w:rPr>
            </w:pPr>
          </w:p>
          <w:p w:rsidR="00B25588" w:rsidRPr="00C26F73" w:rsidRDefault="00B25588" w:rsidP="006A2886">
            <w:pPr>
              <w:spacing w:after="0" w:line="240" w:lineRule="auto"/>
              <w:rPr>
                <w:rFonts w:eastAsia="Times New Roman"/>
                <w:b w:val="0"/>
                <w:kern w:val="36"/>
                <w:lang w:bidi="he-IL"/>
              </w:rPr>
            </w:pPr>
            <w:r w:rsidRPr="00C26F73">
              <w:rPr>
                <w:rFonts w:eastAsia="Times New Roman"/>
                <w:b w:val="0"/>
                <w:kern w:val="36"/>
                <w:lang w:bidi="he-IL"/>
              </w:rPr>
              <w:t>6 M</w:t>
            </w:r>
          </w:p>
          <w:p w:rsidR="00B25588" w:rsidRPr="00C26F73" w:rsidRDefault="00B25588" w:rsidP="006A2886">
            <w:pPr>
              <w:spacing w:after="0" w:line="240" w:lineRule="auto"/>
              <w:rPr>
                <w:b w:val="0"/>
                <w:lang w:bidi="he-IL"/>
              </w:rPr>
            </w:pPr>
            <w:r w:rsidRPr="00C26F73">
              <w:rPr>
                <w:rFonts w:eastAsia="Times New Roman"/>
                <w:b w:val="0"/>
                <w:kern w:val="36"/>
                <w:lang w:bidi="he-IL"/>
              </w:rPr>
              <w:t>2 F</w:t>
            </w:r>
          </w:p>
        </w:tc>
        <w:tc>
          <w:tcPr>
            <w:tcW w:w="2540" w:type="dxa"/>
            <w:shd w:val="clear" w:color="auto" w:fill="auto"/>
          </w:tcPr>
          <w:p w:rsidR="00B25588" w:rsidRPr="00C26F73" w:rsidRDefault="00B25588" w:rsidP="006A2886">
            <w:pPr>
              <w:spacing w:after="0" w:line="240" w:lineRule="auto"/>
              <w:rPr>
                <w:b w:val="0"/>
                <w:lang w:bidi="he-IL"/>
              </w:rPr>
            </w:pPr>
            <w:r w:rsidRPr="00C26F73">
              <w:rPr>
                <w:b w:val="0"/>
                <w:lang w:bidi="he-IL"/>
              </w:rPr>
              <w:t>In-depth interviews</w:t>
            </w:r>
          </w:p>
        </w:tc>
      </w:tr>
      <w:tr w:rsidR="00315D8F" w:rsidRPr="00C26F73" w:rsidTr="006A2886">
        <w:tc>
          <w:tcPr>
            <w:tcW w:w="2693" w:type="dxa"/>
            <w:shd w:val="clear" w:color="auto" w:fill="auto"/>
          </w:tcPr>
          <w:p w:rsidR="00B25588" w:rsidRPr="00C26F73" w:rsidRDefault="00B25588" w:rsidP="006A2886">
            <w:pPr>
              <w:spacing w:after="0" w:line="240" w:lineRule="auto"/>
              <w:rPr>
                <w:rFonts w:eastAsia="Times New Roman"/>
                <w:b w:val="0"/>
                <w:kern w:val="36"/>
                <w:sz w:val="22"/>
                <w:szCs w:val="22"/>
                <w:lang w:val="en-US" w:bidi="he-IL"/>
              </w:rPr>
            </w:pPr>
            <w:r w:rsidRPr="00C26F73">
              <w:rPr>
                <w:rFonts w:eastAsia="Times New Roman"/>
                <w:b w:val="0"/>
                <w:noProof/>
                <w:kern w:val="36"/>
                <w:lang w:bidi="he-IL"/>
              </w:rPr>
              <w:t>Loe (2004)</w:t>
            </w:r>
          </w:p>
          <w:p w:rsidR="00B25588" w:rsidRPr="00C26F73" w:rsidRDefault="00B25588" w:rsidP="006A2886">
            <w:pPr>
              <w:spacing w:after="0" w:line="240" w:lineRule="auto"/>
              <w:rPr>
                <w:rFonts w:eastAsia="Times New Roman"/>
                <w:b w:val="0"/>
                <w:kern w:val="36"/>
                <w:lang w:bidi="he-IL"/>
              </w:rPr>
            </w:pPr>
          </w:p>
          <w:p w:rsidR="00B25588" w:rsidRPr="00C26F73" w:rsidRDefault="00B25588" w:rsidP="006A2886">
            <w:pPr>
              <w:spacing w:after="0" w:line="240" w:lineRule="auto"/>
              <w:rPr>
                <w:rFonts w:eastAsia="Times New Roman"/>
                <w:b w:val="0"/>
                <w:kern w:val="36"/>
                <w:lang w:bidi="he-IL"/>
              </w:rPr>
            </w:pPr>
          </w:p>
        </w:tc>
        <w:tc>
          <w:tcPr>
            <w:tcW w:w="1276"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USA</w:t>
            </w:r>
          </w:p>
        </w:tc>
        <w:tc>
          <w:tcPr>
            <w:tcW w:w="3565"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Women</w:t>
            </w:r>
            <w:r w:rsidRPr="00C26F73">
              <w:rPr>
                <w:b w:val="0"/>
                <w:lang w:bidi="he-IL"/>
              </w:rPr>
              <w:t xml:space="preserve"> in senior citizen organisations </w:t>
            </w:r>
          </w:p>
        </w:tc>
        <w:tc>
          <w:tcPr>
            <w:tcW w:w="1538"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67-86</w:t>
            </w:r>
          </w:p>
        </w:tc>
        <w:tc>
          <w:tcPr>
            <w:tcW w:w="1276"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8 F</w:t>
            </w:r>
          </w:p>
        </w:tc>
        <w:tc>
          <w:tcPr>
            <w:tcW w:w="2540" w:type="dxa"/>
            <w:shd w:val="clear" w:color="auto" w:fill="auto"/>
          </w:tcPr>
          <w:p w:rsidR="00B25588" w:rsidRPr="00C26F73" w:rsidRDefault="00B25588" w:rsidP="006A2886">
            <w:pPr>
              <w:spacing w:after="0" w:line="240" w:lineRule="auto"/>
              <w:rPr>
                <w:b w:val="0"/>
                <w:lang w:bidi="he-IL"/>
              </w:rPr>
            </w:pPr>
            <w:r w:rsidRPr="00C26F73">
              <w:rPr>
                <w:b w:val="0"/>
                <w:lang w:bidi="he-IL"/>
              </w:rPr>
              <w:t xml:space="preserve">In-depth telephone interviews </w:t>
            </w:r>
          </w:p>
        </w:tc>
      </w:tr>
      <w:tr w:rsidR="00315D8F" w:rsidRPr="00C26F73" w:rsidTr="006A2886">
        <w:tc>
          <w:tcPr>
            <w:tcW w:w="2693" w:type="dxa"/>
            <w:shd w:val="clear" w:color="auto" w:fill="auto"/>
          </w:tcPr>
          <w:p w:rsidR="00B25588" w:rsidRPr="00C26F73" w:rsidRDefault="00B25588" w:rsidP="006A2886">
            <w:pPr>
              <w:spacing w:after="0" w:line="240" w:lineRule="auto"/>
              <w:rPr>
                <w:rStyle w:val="FootnoteReference"/>
                <w:b w:val="0"/>
                <w:sz w:val="22"/>
                <w:szCs w:val="22"/>
                <w:lang w:val="en-US" w:bidi="he-IL"/>
              </w:rPr>
            </w:pPr>
            <w:r w:rsidRPr="00C26F73">
              <w:rPr>
                <w:b w:val="0"/>
                <w:noProof/>
                <w:lang w:bidi="he-IL"/>
              </w:rPr>
              <w:t>Malta (2007)</w:t>
            </w:r>
          </w:p>
          <w:p w:rsidR="00B25588" w:rsidRPr="00C26F73" w:rsidRDefault="00B25588" w:rsidP="006A2886">
            <w:pPr>
              <w:spacing w:after="0" w:line="240" w:lineRule="auto"/>
              <w:rPr>
                <w:b w:val="0"/>
                <w:lang w:bidi="he-IL"/>
              </w:rPr>
            </w:pPr>
          </w:p>
          <w:p w:rsidR="00B25588" w:rsidRPr="00C26F73" w:rsidRDefault="00B25588" w:rsidP="006A2886">
            <w:pPr>
              <w:spacing w:after="0" w:line="240" w:lineRule="auto"/>
              <w:rPr>
                <w:b w:val="0"/>
                <w:lang w:bidi="he-IL"/>
              </w:rPr>
            </w:pPr>
          </w:p>
          <w:p w:rsidR="00B25588" w:rsidRPr="00C26F73" w:rsidRDefault="00B25588" w:rsidP="006A2886">
            <w:pPr>
              <w:spacing w:after="0" w:line="240" w:lineRule="auto"/>
              <w:rPr>
                <w:b w:val="0"/>
                <w:lang w:bidi="he-IL"/>
              </w:rPr>
            </w:pPr>
          </w:p>
          <w:p w:rsidR="00B25588" w:rsidRPr="00C26F73" w:rsidRDefault="00B25588" w:rsidP="006A2886">
            <w:pPr>
              <w:spacing w:after="0" w:line="240" w:lineRule="auto"/>
              <w:rPr>
                <w:b w:val="0"/>
                <w:lang w:bidi="he-IL"/>
              </w:rPr>
            </w:pPr>
          </w:p>
          <w:p w:rsidR="00B25588" w:rsidRPr="00C26F73" w:rsidRDefault="00B25588" w:rsidP="006A2886">
            <w:pPr>
              <w:spacing w:after="0" w:line="240" w:lineRule="auto"/>
              <w:rPr>
                <w:b w:val="0"/>
                <w:lang w:bidi="he-IL"/>
              </w:rPr>
            </w:pPr>
          </w:p>
          <w:p w:rsidR="00B25588" w:rsidRPr="00C26F73" w:rsidRDefault="00B25588" w:rsidP="006A2886">
            <w:pPr>
              <w:spacing w:after="0" w:line="240" w:lineRule="auto"/>
              <w:rPr>
                <w:b w:val="0"/>
                <w:lang w:bidi="he-IL"/>
              </w:rPr>
            </w:pPr>
          </w:p>
          <w:p w:rsidR="00B25588" w:rsidRPr="00C26F73" w:rsidRDefault="00B25588" w:rsidP="006A2886">
            <w:pPr>
              <w:spacing w:after="0" w:line="240" w:lineRule="auto"/>
              <w:rPr>
                <w:b w:val="0"/>
                <w:lang w:bidi="he-IL"/>
              </w:rPr>
            </w:pPr>
          </w:p>
        </w:tc>
        <w:tc>
          <w:tcPr>
            <w:tcW w:w="1276" w:type="dxa"/>
            <w:shd w:val="clear" w:color="auto" w:fill="auto"/>
          </w:tcPr>
          <w:p w:rsidR="00B25588" w:rsidRPr="00C26F73" w:rsidRDefault="00B25588" w:rsidP="006A2886">
            <w:pPr>
              <w:spacing w:after="0" w:line="240" w:lineRule="auto"/>
              <w:rPr>
                <w:b w:val="0"/>
                <w:lang w:bidi="he-IL"/>
              </w:rPr>
            </w:pPr>
            <w:r w:rsidRPr="00C26F73">
              <w:rPr>
                <w:b w:val="0"/>
                <w:lang w:bidi="he-IL"/>
              </w:rPr>
              <w:t>Australia</w:t>
            </w:r>
          </w:p>
        </w:tc>
        <w:tc>
          <w:tcPr>
            <w:tcW w:w="3565" w:type="dxa"/>
            <w:shd w:val="clear" w:color="auto" w:fill="auto"/>
          </w:tcPr>
          <w:p w:rsidR="00B25588" w:rsidRPr="00C26F73" w:rsidRDefault="00B25588" w:rsidP="006A2886">
            <w:pPr>
              <w:spacing w:after="0" w:line="240" w:lineRule="auto"/>
              <w:rPr>
                <w:b w:val="0"/>
                <w:lang w:bidi="he-IL"/>
              </w:rPr>
            </w:pPr>
            <w:r w:rsidRPr="00C26F73">
              <w:rPr>
                <w:b w:val="0"/>
                <w:lang w:bidi="he-IL"/>
              </w:rPr>
              <w:t>Older Adults</w:t>
            </w:r>
          </w:p>
        </w:tc>
        <w:tc>
          <w:tcPr>
            <w:tcW w:w="1538" w:type="dxa"/>
            <w:shd w:val="clear" w:color="auto" w:fill="auto"/>
          </w:tcPr>
          <w:p w:rsidR="00B25588" w:rsidRPr="00C26F73" w:rsidRDefault="00B25588" w:rsidP="006A2886">
            <w:pPr>
              <w:spacing w:after="0" w:line="240" w:lineRule="auto"/>
              <w:rPr>
                <w:b w:val="0"/>
                <w:lang w:bidi="he-IL"/>
              </w:rPr>
            </w:pPr>
            <w:r w:rsidRPr="00C26F73">
              <w:rPr>
                <w:b w:val="0"/>
                <w:lang w:bidi="he-IL"/>
              </w:rPr>
              <w:t>61-85</w:t>
            </w:r>
          </w:p>
        </w:tc>
        <w:tc>
          <w:tcPr>
            <w:tcW w:w="1276" w:type="dxa"/>
            <w:shd w:val="clear" w:color="auto" w:fill="auto"/>
          </w:tcPr>
          <w:p w:rsidR="00B25588" w:rsidRPr="00C26F73" w:rsidRDefault="00B25588" w:rsidP="006A2886">
            <w:pPr>
              <w:spacing w:after="0" w:line="240" w:lineRule="auto"/>
              <w:rPr>
                <w:b w:val="0"/>
                <w:lang w:bidi="he-IL"/>
              </w:rPr>
            </w:pPr>
            <w:r w:rsidRPr="00C26F73">
              <w:rPr>
                <w:b w:val="0"/>
                <w:lang w:bidi="he-IL"/>
              </w:rPr>
              <w:t>6 F</w:t>
            </w:r>
          </w:p>
          <w:p w:rsidR="00B25588" w:rsidRPr="00C26F73" w:rsidRDefault="00B25588" w:rsidP="006A2886">
            <w:pPr>
              <w:spacing w:after="0" w:line="240" w:lineRule="auto"/>
              <w:rPr>
                <w:b w:val="0"/>
                <w:lang w:bidi="he-IL"/>
              </w:rPr>
            </w:pPr>
            <w:r w:rsidRPr="00C26F73">
              <w:rPr>
                <w:b w:val="0"/>
                <w:lang w:bidi="he-IL"/>
              </w:rPr>
              <w:t>1 M</w:t>
            </w:r>
          </w:p>
        </w:tc>
        <w:tc>
          <w:tcPr>
            <w:tcW w:w="2540" w:type="dxa"/>
            <w:shd w:val="clear" w:color="auto" w:fill="auto"/>
          </w:tcPr>
          <w:p w:rsidR="00B25588" w:rsidRPr="00C26F73" w:rsidRDefault="00B25588" w:rsidP="006A2886">
            <w:pPr>
              <w:spacing w:after="0" w:line="240" w:lineRule="auto"/>
              <w:rPr>
                <w:b w:val="0"/>
                <w:lang w:bidi="he-IL"/>
              </w:rPr>
            </w:pPr>
            <w:r w:rsidRPr="00C26F73">
              <w:rPr>
                <w:b w:val="0"/>
                <w:lang w:bidi="he-IL"/>
              </w:rPr>
              <w:t xml:space="preserve">Semi-structured qualitative interviews conducted via synchronous computer-mediated-communication (private chat). </w:t>
            </w:r>
          </w:p>
        </w:tc>
      </w:tr>
      <w:tr w:rsidR="00315D8F" w:rsidRPr="00C26F73" w:rsidTr="006A2886">
        <w:tc>
          <w:tcPr>
            <w:tcW w:w="2693" w:type="dxa"/>
            <w:shd w:val="clear" w:color="auto" w:fill="auto"/>
          </w:tcPr>
          <w:p w:rsidR="00B25588" w:rsidRPr="00C26F73" w:rsidRDefault="00B25588" w:rsidP="006A2886">
            <w:pPr>
              <w:spacing w:after="0" w:line="240" w:lineRule="auto"/>
              <w:rPr>
                <w:rStyle w:val="FootnoteReference"/>
                <w:rFonts w:eastAsia="Times New Roman"/>
                <w:b w:val="0"/>
                <w:kern w:val="36"/>
                <w:sz w:val="22"/>
                <w:szCs w:val="22"/>
                <w:lang w:val="en-US" w:bidi="he-IL"/>
              </w:rPr>
            </w:pPr>
            <w:r w:rsidRPr="00C26F73">
              <w:rPr>
                <w:rFonts w:eastAsia="Times New Roman"/>
                <w:b w:val="0"/>
                <w:noProof/>
                <w:kern w:val="36"/>
                <w:lang w:bidi="he-IL"/>
              </w:rPr>
              <w:t>Menard et al. (2015)</w:t>
            </w:r>
          </w:p>
          <w:p w:rsidR="00B25588" w:rsidRPr="00C26F73" w:rsidRDefault="00B25588" w:rsidP="006A2886">
            <w:pPr>
              <w:spacing w:after="0" w:line="240" w:lineRule="auto"/>
              <w:rPr>
                <w:rFonts w:eastAsia="Times New Roman"/>
                <w:b w:val="0"/>
                <w:kern w:val="36"/>
                <w:lang w:bidi="he-IL"/>
              </w:rPr>
            </w:pPr>
          </w:p>
          <w:p w:rsidR="00B25588" w:rsidRPr="00C26F73" w:rsidRDefault="00B25588" w:rsidP="006A2886">
            <w:pPr>
              <w:spacing w:after="0" w:line="240" w:lineRule="auto"/>
              <w:rPr>
                <w:rFonts w:eastAsia="Times New Roman"/>
                <w:b w:val="0"/>
                <w:kern w:val="36"/>
                <w:lang w:bidi="he-IL"/>
              </w:rPr>
            </w:pPr>
          </w:p>
          <w:p w:rsidR="00B25588" w:rsidRPr="00C26F73" w:rsidRDefault="00B25588" w:rsidP="006A2886">
            <w:pPr>
              <w:spacing w:after="0" w:line="240" w:lineRule="auto"/>
              <w:rPr>
                <w:rFonts w:eastAsia="Times New Roman"/>
                <w:b w:val="0"/>
                <w:kern w:val="36"/>
                <w:lang w:bidi="he-IL"/>
              </w:rPr>
            </w:pPr>
          </w:p>
          <w:p w:rsidR="00B25588" w:rsidRPr="00C26F73" w:rsidRDefault="00B25588" w:rsidP="006A2886">
            <w:pPr>
              <w:spacing w:after="0" w:line="240" w:lineRule="auto"/>
              <w:rPr>
                <w:rFonts w:eastAsia="Times New Roman"/>
                <w:b w:val="0"/>
                <w:kern w:val="36"/>
                <w:lang w:bidi="he-IL"/>
              </w:rPr>
            </w:pPr>
          </w:p>
          <w:p w:rsidR="00B25588" w:rsidRPr="00C26F73" w:rsidRDefault="00B25588" w:rsidP="006A2886">
            <w:pPr>
              <w:spacing w:after="0" w:line="240" w:lineRule="auto"/>
              <w:rPr>
                <w:rFonts w:eastAsia="Times New Roman"/>
                <w:b w:val="0"/>
                <w:kern w:val="36"/>
                <w:lang w:bidi="he-IL"/>
              </w:rPr>
            </w:pPr>
          </w:p>
        </w:tc>
        <w:tc>
          <w:tcPr>
            <w:tcW w:w="1276"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Canada</w:t>
            </w:r>
          </w:p>
        </w:tc>
        <w:tc>
          <w:tcPr>
            <w:tcW w:w="3565" w:type="dxa"/>
            <w:shd w:val="clear" w:color="auto" w:fill="auto"/>
          </w:tcPr>
          <w:p w:rsidR="00B25588" w:rsidRPr="00C26F73" w:rsidRDefault="00B25588" w:rsidP="006A2886">
            <w:pPr>
              <w:spacing w:after="0" w:line="240" w:lineRule="auto"/>
              <w:rPr>
                <w:b w:val="0"/>
                <w:lang w:bidi="he-IL"/>
              </w:rPr>
            </w:pPr>
            <w:r w:rsidRPr="00C26F73">
              <w:rPr>
                <w:b w:val="0"/>
                <w:shd w:val="clear" w:color="auto" w:fill="FFFFFF"/>
                <w:lang w:bidi="he-IL"/>
              </w:rPr>
              <w:t>Participants in partnered relationships at least 25 years</w:t>
            </w:r>
          </w:p>
        </w:tc>
        <w:tc>
          <w:tcPr>
            <w:tcW w:w="1538"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60-82</w:t>
            </w:r>
          </w:p>
        </w:tc>
        <w:tc>
          <w:tcPr>
            <w:tcW w:w="1276"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30 M &amp; F</w:t>
            </w:r>
            <w:r w:rsidRPr="00C26F73">
              <w:rPr>
                <w:b w:val="0"/>
                <w:lang w:bidi="he-IL"/>
              </w:rPr>
              <w:t xml:space="preserve"> </w:t>
            </w:r>
          </w:p>
        </w:tc>
        <w:tc>
          <w:tcPr>
            <w:tcW w:w="2540" w:type="dxa"/>
            <w:shd w:val="clear" w:color="auto" w:fill="auto"/>
          </w:tcPr>
          <w:p w:rsidR="00B25588" w:rsidRPr="00C26F73" w:rsidRDefault="00B25588" w:rsidP="006A2886">
            <w:pPr>
              <w:spacing w:after="0" w:line="240" w:lineRule="auto"/>
              <w:rPr>
                <w:b w:val="0"/>
                <w:lang w:bidi="he-IL"/>
              </w:rPr>
            </w:pPr>
            <w:r w:rsidRPr="00C26F73">
              <w:rPr>
                <w:b w:val="0"/>
                <w:lang w:bidi="he-IL"/>
              </w:rPr>
              <w:t>Semi-structured online interviews via private chat, and Semi-structured face-to-face interviews</w:t>
            </w:r>
          </w:p>
        </w:tc>
      </w:tr>
      <w:tr w:rsidR="00315D8F" w:rsidRPr="00C26F73" w:rsidTr="006A2886">
        <w:tc>
          <w:tcPr>
            <w:tcW w:w="2693" w:type="dxa"/>
            <w:shd w:val="clear" w:color="auto" w:fill="auto"/>
          </w:tcPr>
          <w:p w:rsidR="00B25588" w:rsidRPr="00C26F73" w:rsidRDefault="00B25588" w:rsidP="006A2886">
            <w:pPr>
              <w:spacing w:after="0" w:line="240" w:lineRule="auto"/>
              <w:rPr>
                <w:rStyle w:val="FootnoteReference"/>
                <w:b w:val="0"/>
                <w:sz w:val="22"/>
                <w:szCs w:val="22"/>
                <w:lang w:val="en-US" w:bidi="he-IL"/>
              </w:rPr>
            </w:pPr>
            <w:r w:rsidRPr="00C26F73">
              <w:rPr>
                <w:b w:val="0"/>
                <w:noProof/>
                <w:lang w:bidi="he-IL"/>
              </w:rPr>
              <w:t>Nyanzi (2011)</w:t>
            </w:r>
          </w:p>
          <w:p w:rsidR="00B25588" w:rsidRPr="00C26F73" w:rsidRDefault="00B25588" w:rsidP="006A2886">
            <w:pPr>
              <w:spacing w:after="0" w:line="240" w:lineRule="auto"/>
              <w:rPr>
                <w:b w:val="0"/>
                <w:lang w:bidi="he-IL"/>
              </w:rPr>
            </w:pPr>
          </w:p>
          <w:p w:rsidR="00B25588" w:rsidRPr="00C26F73" w:rsidRDefault="00B25588" w:rsidP="006A2886">
            <w:pPr>
              <w:spacing w:after="0" w:line="240" w:lineRule="auto"/>
              <w:rPr>
                <w:b w:val="0"/>
                <w:lang w:bidi="he-IL"/>
              </w:rPr>
            </w:pPr>
          </w:p>
        </w:tc>
        <w:tc>
          <w:tcPr>
            <w:tcW w:w="1276" w:type="dxa"/>
            <w:shd w:val="clear" w:color="auto" w:fill="auto"/>
          </w:tcPr>
          <w:p w:rsidR="00B25588" w:rsidRPr="00C26F73" w:rsidRDefault="00B25588" w:rsidP="006A2886">
            <w:pPr>
              <w:spacing w:after="0" w:line="240" w:lineRule="auto"/>
              <w:rPr>
                <w:b w:val="0"/>
                <w:lang w:bidi="he-IL"/>
              </w:rPr>
            </w:pPr>
            <w:r w:rsidRPr="00C26F73">
              <w:rPr>
                <w:b w:val="0"/>
                <w:lang w:bidi="he-IL"/>
              </w:rPr>
              <w:lastRenderedPageBreak/>
              <w:t>Uganda</w:t>
            </w:r>
          </w:p>
        </w:tc>
        <w:tc>
          <w:tcPr>
            <w:tcW w:w="3565" w:type="dxa"/>
            <w:shd w:val="clear" w:color="auto" w:fill="auto"/>
          </w:tcPr>
          <w:p w:rsidR="00B25588" w:rsidRPr="00C26F73" w:rsidRDefault="00B25588" w:rsidP="006A2886">
            <w:pPr>
              <w:spacing w:after="0" w:line="240" w:lineRule="auto"/>
              <w:rPr>
                <w:b w:val="0"/>
                <w:lang w:bidi="he-IL"/>
              </w:rPr>
            </w:pPr>
            <w:r w:rsidRPr="00C26F73">
              <w:rPr>
                <w:b w:val="0"/>
                <w:lang w:bidi="he-IL"/>
              </w:rPr>
              <w:t>Widows and widowers</w:t>
            </w:r>
          </w:p>
        </w:tc>
        <w:tc>
          <w:tcPr>
            <w:tcW w:w="1538" w:type="dxa"/>
            <w:shd w:val="clear" w:color="auto" w:fill="auto"/>
          </w:tcPr>
          <w:p w:rsidR="00B25588" w:rsidRPr="00C26F73" w:rsidRDefault="00B25588" w:rsidP="006A2886">
            <w:pPr>
              <w:spacing w:after="0" w:line="240" w:lineRule="auto"/>
              <w:rPr>
                <w:b w:val="0"/>
                <w:lang w:bidi="he-IL"/>
              </w:rPr>
            </w:pPr>
            <w:r w:rsidRPr="00C26F73">
              <w:rPr>
                <w:b w:val="0"/>
                <w:lang w:bidi="he-IL"/>
              </w:rPr>
              <w:t>62+</w:t>
            </w:r>
          </w:p>
        </w:tc>
        <w:tc>
          <w:tcPr>
            <w:tcW w:w="1276" w:type="dxa"/>
            <w:shd w:val="clear" w:color="auto" w:fill="auto"/>
          </w:tcPr>
          <w:p w:rsidR="00B25588" w:rsidRPr="00C26F73" w:rsidRDefault="00B25588" w:rsidP="006A2886">
            <w:pPr>
              <w:spacing w:after="0" w:line="240" w:lineRule="auto"/>
              <w:rPr>
                <w:b w:val="0"/>
                <w:lang w:bidi="he-IL"/>
              </w:rPr>
            </w:pPr>
            <w:r w:rsidRPr="00C26F73">
              <w:rPr>
                <w:b w:val="0"/>
                <w:lang w:bidi="he-IL"/>
              </w:rPr>
              <w:t xml:space="preserve">9 M </w:t>
            </w:r>
          </w:p>
          <w:p w:rsidR="00B25588" w:rsidRPr="00C26F73" w:rsidRDefault="00B25588" w:rsidP="006A2886">
            <w:pPr>
              <w:spacing w:after="0" w:line="240" w:lineRule="auto"/>
              <w:rPr>
                <w:b w:val="0"/>
                <w:lang w:bidi="he-IL"/>
              </w:rPr>
            </w:pPr>
            <w:r w:rsidRPr="00C26F73">
              <w:rPr>
                <w:b w:val="0"/>
                <w:lang w:bidi="he-IL"/>
              </w:rPr>
              <w:t>35 F</w:t>
            </w:r>
          </w:p>
        </w:tc>
        <w:tc>
          <w:tcPr>
            <w:tcW w:w="2540" w:type="dxa"/>
            <w:shd w:val="clear" w:color="auto" w:fill="auto"/>
          </w:tcPr>
          <w:p w:rsidR="00B25588" w:rsidRPr="00C26F73" w:rsidRDefault="00B25588" w:rsidP="006A2886">
            <w:pPr>
              <w:spacing w:after="0" w:line="240" w:lineRule="auto"/>
              <w:rPr>
                <w:b w:val="0"/>
                <w:lang w:bidi="he-IL"/>
              </w:rPr>
            </w:pPr>
            <w:r w:rsidRPr="00C26F73">
              <w:rPr>
                <w:b w:val="0"/>
                <w:lang w:bidi="he-IL"/>
              </w:rPr>
              <w:t>Individual interviews</w:t>
            </w:r>
          </w:p>
        </w:tc>
      </w:tr>
      <w:tr w:rsidR="00315D8F" w:rsidRPr="00C26F73" w:rsidTr="006A2886">
        <w:tc>
          <w:tcPr>
            <w:tcW w:w="2693" w:type="dxa"/>
            <w:shd w:val="clear" w:color="auto" w:fill="auto"/>
          </w:tcPr>
          <w:p w:rsidR="00B25588" w:rsidRPr="00C26F73" w:rsidRDefault="00B25588" w:rsidP="006A2886">
            <w:pPr>
              <w:spacing w:after="0" w:line="240" w:lineRule="auto"/>
              <w:rPr>
                <w:rStyle w:val="FootnoteReference"/>
                <w:rFonts w:eastAsia="Times New Roman"/>
                <w:b w:val="0"/>
                <w:kern w:val="36"/>
                <w:sz w:val="22"/>
                <w:szCs w:val="22"/>
                <w:lang w:val="en-US" w:bidi="he-IL"/>
              </w:rPr>
            </w:pPr>
            <w:r w:rsidRPr="00C26F73">
              <w:rPr>
                <w:rFonts w:eastAsia="Times New Roman"/>
                <w:b w:val="0"/>
                <w:noProof/>
                <w:kern w:val="36"/>
                <w:lang w:bidi="he-IL"/>
              </w:rPr>
              <w:lastRenderedPageBreak/>
              <w:t>Ravanipour, Gharibi, and Gharibi (2013)</w:t>
            </w:r>
          </w:p>
          <w:p w:rsidR="00B25588" w:rsidRPr="00C26F73" w:rsidRDefault="00B25588" w:rsidP="006A2886">
            <w:pPr>
              <w:spacing w:after="0" w:line="240" w:lineRule="auto"/>
              <w:rPr>
                <w:rFonts w:eastAsia="Times New Roman"/>
                <w:b w:val="0"/>
                <w:kern w:val="36"/>
                <w:lang w:bidi="he-IL"/>
              </w:rPr>
            </w:pPr>
          </w:p>
        </w:tc>
        <w:tc>
          <w:tcPr>
            <w:tcW w:w="1276"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Iran</w:t>
            </w:r>
          </w:p>
        </w:tc>
        <w:tc>
          <w:tcPr>
            <w:tcW w:w="3565"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Healthy women living with their husbands</w:t>
            </w:r>
          </w:p>
        </w:tc>
        <w:tc>
          <w:tcPr>
            <w:tcW w:w="1538" w:type="dxa"/>
            <w:shd w:val="clear" w:color="auto" w:fill="auto"/>
          </w:tcPr>
          <w:p w:rsidR="00B25588" w:rsidRPr="00C26F73" w:rsidRDefault="00B25588" w:rsidP="006A2886">
            <w:pPr>
              <w:spacing w:after="0" w:line="240" w:lineRule="auto"/>
              <w:rPr>
                <w:b w:val="0"/>
                <w:rtl/>
                <w:lang w:bidi="he-IL"/>
              </w:rPr>
            </w:pPr>
            <w:r w:rsidRPr="00C26F73">
              <w:rPr>
                <w:rFonts w:eastAsia="Times New Roman"/>
                <w:b w:val="0"/>
                <w:kern w:val="36"/>
                <w:lang w:bidi="he-IL"/>
              </w:rPr>
              <w:t>60+</w:t>
            </w:r>
          </w:p>
        </w:tc>
        <w:tc>
          <w:tcPr>
            <w:tcW w:w="1276"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15 F</w:t>
            </w:r>
          </w:p>
        </w:tc>
        <w:tc>
          <w:tcPr>
            <w:tcW w:w="2540"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Individual interviews</w:t>
            </w:r>
          </w:p>
        </w:tc>
      </w:tr>
      <w:tr w:rsidR="00315D8F" w:rsidRPr="00C26F73" w:rsidTr="006A2886">
        <w:tc>
          <w:tcPr>
            <w:tcW w:w="2693" w:type="dxa"/>
            <w:shd w:val="clear" w:color="auto" w:fill="auto"/>
          </w:tcPr>
          <w:p w:rsidR="00B25588" w:rsidRPr="00C26F73" w:rsidRDefault="00B25588" w:rsidP="006A2886">
            <w:pPr>
              <w:spacing w:after="0" w:line="240" w:lineRule="auto"/>
              <w:rPr>
                <w:rStyle w:val="FootnoteReference"/>
                <w:rFonts w:eastAsia="Times New Roman"/>
                <w:b w:val="0"/>
                <w:kern w:val="36"/>
                <w:sz w:val="22"/>
                <w:szCs w:val="22"/>
                <w:lang w:val="en-US" w:bidi="he-IL"/>
              </w:rPr>
            </w:pPr>
            <w:r w:rsidRPr="00C26F73">
              <w:rPr>
                <w:rFonts w:eastAsia="Times New Roman"/>
                <w:b w:val="0"/>
                <w:noProof/>
                <w:kern w:val="36"/>
                <w:lang w:bidi="he-IL"/>
              </w:rPr>
              <w:t>Roney and Kazer (2015)</w:t>
            </w:r>
          </w:p>
          <w:p w:rsidR="00B25588" w:rsidRPr="00C26F73" w:rsidRDefault="00B25588" w:rsidP="006A2886">
            <w:pPr>
              <w:spacing w:after="0" w:line="240" w:lineRule="auto"/>
              <w:rPr>
                <w:rFonts w:eastAsia="Times New Roman"/>
                <w:b w:val="0"/>
                <w:kern w:val="36"/>
                <w:lang w:bidi="he-IL"/>
              </w:rPr>
            </w:pPr>
          </w:p>
          <w:p w:rsidR="00B25588" w:rsidRPr="00C26F73" w:rsidRDefault="00B25588" w:rsidP="006A2886">
            <w:pPr>
              <w:spacing w:after="0" w:line="240" w:lineRule="auto"/>
              <w:rPr>
                <w:rFonts w:eastAsia="Times New Roman"/>
                <w:b w:val="0"/>
                <w:kern w:val="36"/>
                <w:lang w:bidi="he-IL"/>
              </w:rPr>
            </w:pPr>
          </w:p>
        </w:tc>
        <w:tc>
          <w:tcPr>
            <w:tcW w:w="1276"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USA</w:t>
            </w:r>
          </w:p>
        </w:tc>
        <w:tc>
          <w:tcPr>
            <w:tcW w:w="3565" w:type="dxa"/>
            <w:shd w:val="clear" w:color="auto" w:fill="auto"/>
          </w:tcPr>
          <w:p w:rsidR="00B25588" w:rsidRPr="00C26F73" w:rsidRDefault="00B25588" w:rsidP="006A2886">
            <w:pPr>
              <w:spacing w:after="0" w:line="240" w:lineRule="auto"/>
              <w:rPr>
                <w:b w:val="0"/>
                <w:lang w:bidi="he-IL"/>
              </w:rPr>
            </w:pPr>
            <w:r w:rsidRPr="00C26F73">
              <w:rPr>
                <w:b w:val="0"/>
                <w:lang w:bidi="he-IL"/>
              </w:rPr>
              <w:t>Older adults from a senior centre</w:t>
            </w:r>
          </w:p>
        </w:tc>
        <w:tc>
          <w:tcPr>
            <w:tcW w:w="1538" w:type="dxa"/>
            <w:shd w:val="clear" w:color="auto" w:fill="auto"/>
          </w:tcPr>
          <w:p w:rsidR="00B25588" w:rsidRPr="00C26F73" w:rsidRDefault="00B25588" w:rsidP="006A2886">
            <w:pPr>
              <w:spacing w:after="0" w:line="240" w:lineRule="auto"/>
              <w:rPr>
                <w:b w:val="0"/>
                <w:lang w:bidi="he-IL"/>
              </w:rPr>
            </w:pPr>
            <w:r w:rsidRPr="00C26F73">
              <w:rPr>
                <w:b w:val="0"/>
                <w:lang w:bidi="he-IL"/>
              </w:rPr>
              <w:t>62-95</w:t>
            </w:r>
          </w:p>
        </w:tc>
        <w:tc>
          <w:tcPr>
            <w:tcW w:w="1276" w:type="dxa"/>
            <w:shd w:val="clear" w:color="auto" w:fill="auto"/>
          </w:tcPr>
          <w:p w:rsidR="00B25588" w:rsidRPr="00C26F73" w:rsidRDefault="00B25588" w:rsidP="006A2886">
            <w:pPr>
              <w:spacing w:after="0" w:line="240" w:lineRule="auto"/>
              <w:rPr>
                <w:b w:val="0"/>
                <w:lang w:bidi="he-IL"/>
              </w:rPr>
            </w:pPr>
            <w:r w:rsidRPr="00C26F73">
              <w:rPr>
                <w:b w:val="0"/>
                <w:lang w:bidi="he-IL"/>
              </w:rPr>
              <w:t>2 M</w:t>
            </w:r>
          </w:p>
          <w:p w:rsidR="00B25588" w:rsidRPr="00C26F73" w:rsidRDefault="00B25588" w:rsidP="006A2886">
            <w:pPr>
              <w:spacing w:after="0" w:line="240" w:lineRule="auto"/>
              <w:rPr>
                <w:b w:val="0"/>
                <w:lang w:bidi="he-IL"/>
              </w:rPr>
            </w:pPr>
            <w:r w:rsidRPr="00C26F73">
              <w:rPr>
                <w:b w:val="0"/>
                <w:lang w:bidi="he-IL"/>
              </w:rPr>
              <w:t>6 F</w:t>
            </w:r>
          </w:p>
        </w:tc>
        <w:tc>
          <w:tcPr>
            <w:tcW w:w="2540" w:type="dxa"/>
            <w:shd w:val="clear" w:color="auto" w:fill="auto"/>
          </w:tcPr>
          <w:p w:rsidR="00B25588" w:rsidRPr="00C26F73" w:rsidRDefault="00B25588" w:rsidP="006A2886">
            <w:pPr>
              <w:spacing w:after="0" w:line="240" w:lineRule="auto"/>
              <w:rPr>
                <w:b w:val="0"/>
                <w:lang w:bidi="he-IL"/>
              </w:rPr>
            </w:pPr>
            <w:r w:rsidRPr="00C26F73">
              <w:rPr>
                <w:b w:val="0"/>
                <w:lang w:bidi="he-IL"/>
              </w:rPr>
              <w:t>Individual interviews</w:t>
            </w:r>
          </w:p>
        </w:tc>
      </w:tr>
      <w:tr w:rsidR="00315D8F" w:rsidRPr="00C26F73" w:rsidTr="006A2886">
        <w:tc>
          <w:tcPr>
            <w:tcW w:w="2693" w:type="dxa"/>
            <w:shd w:val="clear" w:color="auto" w:fill="auto"/>
          </w:tcPr>
          <w:p w:rsidR="00B25588" w:rsidRPr="00C26F73" w:rsidRDefault="00B25588" w:rsidP="006A2886">
            <w:pPr>
              <w:spacing w:after="0" w:line="240" w:lineRule="auto"/>
              <w:rPr>
                <w:rStyle w:val="FootnoteReference"/>
                <w:rFonts w:eastAsia="Times New Roman"/>
                <w:b w:val="0"/>
                <w:kern w:val="36"/>
                <w:sz w:val="22"/>
                <w:szCs w:val="22"/>
                <w:lang w:val="en-US" w:bidi="he-IL"/>
              </w:rPr>
            </w:pPr>
            <w:r w:rsidRPr="00C26F73">
              <w:rPr>
                <w:rFonts w:eastAsia="Times New Roman"/>
                <w:b w:val="0"/>
                <w:noProof/>
                <w:kern w:val="36"/>
                <w:lang w:bidi="he-IL"/>
              </w:rPr>
              <w:t>Sandberg (2013)</w:t>
            </w:r>
          </w:p>
          <w:p w:rsidR="00B25588" w:rsidRPr="00C26F73" w:rsidRDefault="00B25588" w:rsidP="006A2886">
            <w:pPr>
              <w:spacing w:after="0" w:line="240" w:lineRule="auto"/>
              <w:rPr>
                <w:rFonts w:eastAsia="Times New Roman"/>
                <w:b w:val="0"/>
                <w:kern w:val="36"/>
                <w:lang w:bidi="he-IL"/>
              </w:rPr>
            </w:pPr>
          </w:p>
          <w:p w:rsidR="00B25588" w:rsidRPr="00C26F73" w:rsidRDefault="00B25588" w:rsidP="006A2886">
            <w:pPr>
              <w:spacing w:after="0" w:line="240" w:lineRule="auto"/>
              <w:rPr>
                <w:rFonts w:eastAsia="Times New Roman"/>
                <w:b w:val="0"/>
                <w:kern w:val="36"/>
                <w:lang w:bidi="he-IL"/>
              </w:rPr>
            </w:pPr>
          </w:p>
          <w:p w:rsidR="00B25588" w:rsidRPr="00C26F73" w:rsidRDefault="00B25588" w:rsidP="006A2886">
            <w:pPr>
              <w:spacing w:after="0" w:line="240" w:lineRule="auto"/>
              <w:rPr>
                <w:rFonts w:eastAsia="Times New Roman"/>
                <w:b w:val="0"/>
                <w:kern w:val="36"/>
                <w:lang w:bidi="he-IL"/>
              </w:rPr>
            </w:pPr>
          </w:p>
        </w:tc>
        <w:tc>
          <w:tcPr>
            <w:tcW w:w="1276"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 xml:space="preserve">Sweden </w:t>
            </w:r>
          </w:p>
        </w:tc>
        <w:tc>
          <w:tcPr>
            <w:tcW w:w="3565"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White, heterosexual men</w:t>
            </w:r>
          </w:p>
        </w:tc>
        <w:tc>
          <w:tcPr>
            <w:tcW w:w="1538"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67-87</w:t>
            </w:r>
          </w:p>
        </w:tc>
        <w:tc>
          <w:tcPr>
            <w:tcW w:w="1276"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22 M</w:t>
            </w:r>
          </w:p>
        </w:tc>
        <w:tc>
          <w:tcPr>
            <w:tcW w:w="2540" w:type="dxa"/>
            <w:shd w:val="clear" w:color="auto" w:fill="auto"/>
          </w:tcPr>
          <w:p w:rsidR="00B25588" w:rsidRPr="00C26F73" w:rsidRDefault="00B25588" w:rsidP="006A2886">
            <w:pPr>
              <w:spacing w:after="0" w:line="240" w:lineRule="auto"/>
              <w:rPr>
                <w:b w:val="0"/>
                <w:lang w:bidi="he-IL"/>
              </w:rPr>
            </w:pPr>
            <w:r w:rsidRPr="00C26F73">
              <w:rPr>
                <w:b w:val="0"/>
                <w:shd w:val="clear" w:color="auto" w:fill="FFFFFF"/>
                <w:lang w:bidi="he-IL"/>
              </w:rPr>
              <w:t>Qualitative in-depth interviews and ‘body diaries’</w:t>
            </w:r>
          </w:p>
        </w:tc>
      </w:tr>
      <w:tr w:rsidR="00315D8F" w:rsidRPr="00C26F73" w:rsidTr="006A2886">
        <w:tc>
          <w:tcPr>
            <w:tcW w:w="2693" w:type="dxa"/>
            <w:shd w:val="clear" w:color="auto" w:fill="auto"/>
          </w:tcPr>
          <w:p w:rsidR="00B25588" w:rsidRPr="00C26F73" w:rsidRDefault="00B25588" w:rsidP="006A2886">
            <w:pPr>
              <w:spacing w:after="0" w:line="240" w:lineRule="auto"/>
              <w:rPr>
                <w:rStyle w:val="FootnoteReference"/>
                <w:rFonts w:eastAsia="Times New Roman"/>
                <w:b w:val="0"/>
                <w:kern w:val="36"/>
                <w:sz w:val="22"/>
                <w:szCs w:val="22"/>
                <w:lang w:val="en-US" w:bidi="he-IL"/>
              </w:rPr>
            </w:pPr>
            <w:r w:rsidRPr="00C26F73">
              <w:rPr>
                <w:rFonts w:eastAsia="Times New Roman"/>
                <w:b w:val="0"/>
                <w:noProof/>
                <w:kern w:val="36"/>
                <w:lang w:bidi="he-IL"/>
              </w:rPr>
              <w:t>Westenberger (1987)</w:t>
            </w:r>
          </w:p>
          <w:p w:rsidR="00B25588" w:rsidRPr="00C26F73" w:rsidRDefault="00B25588" w:rsidP="006A2886">
            <w:pPr>
              <w:spacing w:after="0" w:line="240" w:lineRule="auto"/>
              <w:rPr>
                <w:rFonts w:eastAsia="Times New Roman"/>
                <w:b w:val="0"/>
                <w:kern w:val="36"/>
                <w:lang w:bidi="he-IL"/>
              </w:rPr>
            </w:pPr>
          </w:p>
          <w:p w:rsidR="00B25588" w:rsidRPr="00C26F73" w:rsidRDefault="00B25588" w:rsidP="006A2886">
            <w:pPr>
              <w:spacing w:after="0" w:line="240" w:lineRule="auto"/>
              <w:rPr>
                <w:rFonts w:eastAsia="Times New Roman"/>
                <w:b w:val="0"/>
                <w:kern w:val="36"/>
                <w:lang w:bidi="he-IL"/>
              </w:rPr>
            </w:pPr>
          </w:p>
        </w:tc>
        <w:tc>
          <w:tcPr>
            <w:tcW w:w="1276" w:type="dxa"/>
            <w:shd w:val="clear" w:color="auto" w:fill="auto"/>
          </w:tcPr>
          <w:p w:rsidR="00B25588" w:rsidRPr="00C26F73" w:rsidRDefault="00B25588" w:rsidP="006A2886">
            <w:pPr>
              <w:spacing w:after="0" w:line="240" w:lineRule="auto"/>
              <w:rPr>
                <w:b w:val="0"/>
                <w:lang w:bidi="he-IL"/>
              </w:rPr>
            </w:pPr>
            <w:r w:rsidRPr="00C26F73">
              <w:rPr>
                <w:rFonts w:eastAsia="Times New Roman"/>
                <w:b w:val="0"/>
                <w:kern w:val="36"/>
                <w:lang w:bidi="he-IL"/>
              </w:rPr>
              <w:t>Germany</w:t>
            </w:r>
          </w:p>
        </w:tc>
        <w:tc>
          <w:tcPr>
            <w:tcW w:w="3565" w:type="dxa"/>
            <w:shd w:val="clear" w:color="auto" w:fill="auto"/>
          </w:tcPr>
          <w:p w:rsidR="00B25588" w:rsidRPr="00C26F73" w:rsidRDefault="00B25588" w:rsidP="006A2886">
            <w:pPr>
              <w:spacing w:after="0" w:line="240" w:lineRule="auto"/>
              <w:rPr>
                <w:b w:val="0"/>
                <w:lang w:bidi="he-IL"/>
              </w:rPr>
            </w:pPr>
            <w:r w:rsidRPr="00C26F73">
              <w:rPr>
                <w:b w:val="0"/>
                <w:lang w:bidi="he-IL"/>
              </w:rPr>
              <w:t>Community dwelling older adults</w:t>
            </w:r>
          </w:p>
        </w:tc>
        <w:tc>
          <w:tcPr>
            <w:tcW w:w="1538" w:type="dxa"/>
            <w:shd w:val="clear" w:color="auto" w:fill="auto"/>
          </w:tcPr>
          <w:p w:rsidR="00B25588" w:rsidRPr="00C26F73" w:rsidRDefault="00B25588" w:rsidP="006A2886">
            <w:pPr>
              <w:spacing w:after="0" w:line="240" w:lineRule="auto"/>
              <w:rPr>
                <w:b w:val="0"/>
                <w:lang w:bidi="he-IL"/>
              </w:rPr>
            </w:pPr>
            <w:r w:rsidRPr="00C26F73">
              <w:rPr>
                <w:b w:val="0"/>
                <w:lang w:bidi="he-IL"/>
              </w:rPr>
              <w:t xml:space="preserve">65+ </w:t>
            </w:r>
          </w:p>
        </w:tc>
        <w:tc>
          <w:tcPr>
            <w:tcW w:w="1276" w:type="dxa"/>
            <w:shd w:val="clear" w:color="auto" w:fill="auto"/>
          </w:tcPr>
          <w:p w:rsidR="00B25588" w:rsidRPr="00C26F73" w:rsidRDefault="00B25588" w:rsidP="006A2886">
            <w:pPr>
              <w:spacing w:after="0" w:line="240" w:lineRule="auto"/>
              <w:rPr>
                <w:b w:val="0"/>
                <w:lang w:bidi="he-IL"/>
              </w:rPr>
            </w:pPr>
            <w:r w:rsidRPr="00C26F73">
              <w:rPr>
                <w:b w:val="0"/>
                <w:lang w:bidi="he-IL"/>
              </w:rPr>
              <w:t>33 M</w:t>
            </w:r>
          </w:p>
          <w:p w:rsidR="00B25588" w:rsidRPr="00C26F73" w:rsidRDefault="00B25588" w:rsidP="006A2886">
            <w:pPr>
              <w:spacing w:after="0" w:line="240" w:lineRule="auto"/>
              <w:rPr>
                <w:b w:val="0"/>
                <w:lang w:bidi="he-IL"/>
              </w:rPr>
            </w:pPr>
            <w:r w:rsidRPr="00C26F73">
              <w:rPr>
                <w:b w:val="0"/>
                <w:lang w:bidi="he-IL"/>
              </w:rPr>
              <w:t>39 F</w:t>
            </w:r>
          </w:p>
        </w:tc>
        <w:tc>
          <w:tcPr>
            <w:tcW w:w="2540" w:type="dxa"/>
            <w:shd w:val="clear" w:color="auto" w:fill="auto"/>
          </w:tcPr>
          <w:p w:rsidR="00B25588" w:rsidRPr="00C26F73" w:rsidRDefault="00B25588" w:rsidP="006A2886">
            <w:pPr>
              <w:spacing w:after="0" w:line="240" w:lineRule="auto"/>
              <w:rPr>
                <w:b w:val="0"/>
                <w:lang w:bidi="he-IL"/>
              </w:rPr>
            </w:pPr>
            <w:r w:rsidRPr="00C26F73">
              <w:rPr>
                <w:b w:val="0"/>
                <w:lang w:bidi="he-IL"/>
              </w:rPr>
              <w:t xml:space="preserve">Individual interviews </w:t>
            </w:r>
          </w:p>
        </w:tc>
      </w:tr>
      <w:tr w:rsidR="00315D8F" w:rsidRPr="00C26F73" w:rsidTr="006A2886">
        <w:tc>
          <w:tcPr>
            <w:tcW w:w="2693" w:type="dxa"/>
            <w:shd w:val="clear" w:color="auto" w:fill="auto"/>
          </w:tcPr>
          <w:p w:rsidR="00B25588" w:rsidRPr="00C26F73" w:rsidRDefault="00B25588" w:rsidP="006A2886">
            <w:pPr>
              <w:spacing w:after="0" w:line="240" w:lineRule="auto"/>
              <w:rPr>
                <w:rStyle w:val="FootnoteReference"/>
                <w:b w:val="0"/>
                <w:sz w:val="22"/>
                <w:szCs w:val="22"/>
                <w:lang w:val="en-US" w:bidi="he-IL"/>
              </w:rPr>
            </w:pPr>
            <w:r w:rsidRPr="00C26F73">
              <w:rPr>
                <w:b w:val="0"/>
                <w:noProof/>
                <w:lang w:bidi="he-IL"/>
              </w:rPr>
              <w:t>Yan et al. (2011)</w:t>
            </w:r>
          </w:p>
          <w:p w:rsidR="00B25588" w:rsidRPr="00C26F73" w:rsidRDefault="00B25588" w:rsidP="006A2886">
            <w:pPr>
              <w:spacing w:after="0" w:line="240" w:lineRule="auto"/>
              <w:rPr>
                <w:b w:val="0"/>
                <w:lang w:bidi="he-IL"/>
              </w:rPr>
            </w:pPr>
          </w:p>
          <w:p w:rsidR="00B25588" w:rsidRPr="00C26F73" w:rsidRDefault="00B25588" w:rsidP="006A2886">
            <w:pPr>
              <w:spacing w:after="0" w:line="240" w:lineRule="auto"/>
              <w:rPr>
                <w:b w:val="0"/>
                <w:lang w:bidi="he-IL"/>
              </w:rPr>
            </w:pPr>
          </w:p>
        </w:tc>
        <w:tc>
          <w:tcPr>
            <w:tcW w:w="1276" w:type="dxa"/>
            <w:shd w:val="clear" w:color="auto" w:fill="auto"/>
          </w:tcPr>
          <w:p w:rsidR="00B25588" w:rsidRPr="00C26F73" w:rsidRDefault="00B25588" w:rsidP="006A2886">
            <w:pPr>
              <w:spacing w:after="0" w:line="240" w:lineRule="auto"/>
              <w:rPr>
                <w:b w:val="0"/>
                <w:lang w:bidi="he-IL"/>
              </w:rPr>
            </w:pPr>
            <w:r w:rsidRPr="00C26F73">
              <w:rPr>
                <w:b w:val="0"/>
                <w:lang w:bidi="he-IL"/>
              </w:rPr>
              <w:t>China</w:t>
            </w:r>
          </w:p>
        </w:tc>
        <w:tc>
          <w:tcPr>
            <w:tcW w:w="3565" w:type="dxa"/>
            <w:shd w:val="clear" w:color="auto" w:fill="auto"/>
          </w:tcPr>
          <w:p w:rsidR="00B25588" w:rsidRPr="00C26F73" w:rsidRDefault="00B25588" w:rsidP="006A2886">
            <w:pPr>
              <w:spacing w:after="0" w:line="240" w:lineRule="auto"/>
              <w:rPr>
                <w:b w:val="0"/>
                <w:lang w:bidi="he-IL"/>
              </w:rPr>
            </w:pPr>
            <w:r w:rsidRPr="00C26F73">
              <w:rPr>
                <w:b w:val="0"/>
                <w:lang w:bidi="he-IL"/>
              </w:rPr>
              <w:t>Older Chinese people of varying backgrounds</w:t>
            </w:r>
          </w:p>
        </w:tc>
        <w:tc>
          <w:tcPr>
            <w:tcW w:w="1538" w:type="dxa"/>
            <w:shd w:val="clear" w:color="auto" w:fill="auto"/>
          </w:tcPr>
          <w:p w:rsidR="00B25588" w:rsidRPr="00C26F73" w:rsidRDefault="00B25588" w:rsidP="006A2886">
            <w:pPr>
              <w:spacing w:after="0" w:line="240" w:lineRule="auto"/>
              <w:rPr>
                <w:b w:val="0"/>
                <w:lang w:bidi="he-IL"/>
              </w:rPr>
            </w:pPr>
            <w:r w:rsidRPr="00C26F73">
              <w:rPr>
                <w:b w:val="0"/>
                <w:lang w:bidi="he-IL"/>
              </w:rPr>
              <w:t>61-85</w:t>
            </w:r>
          </w:p>
        </w:tc>
        <w:tc>
          <w:tcPr>
            <w:tcW w:w="1276" w:type="dxa"/>
            <w:shd w:val="clear" w:color="auto" w:fill="auto"/>
          </w:tcPr>
          <w:p w:rsidR="00B25588" w:rsidRPr="00C26F73" w:rsidRDefault="00B25588" w:rsidP="006A2886">
            <w:pPr>
              <w:spacing w:after="0" w:line="240" w:lineRule="auto"/>
              <w:rPr>
                <w:b w:val="0"/>
                <w:lang w:bidi="he-IL"/>
              </w:rPr>
            </w:pPr>
            <w:r w:rsidRPr="00C26F73">
              <w:rPr>
                <w:b w:val="0"/>
                <w:lang w:bidi="he-IL"/>
              </w:rPr>
              <w:t>7 M</w:t>
            </w:r>
          </w:p>
          <w:p w:rsidR="00B25588" w:rsidRPr="00C26F73" w:rsidRDefault="00B25588" w:rsidP="006A2886">
            <w:pPr>
              <w:spacing w:after="0" w:line="240" w:lineRule="auto"/>
              <w:rPr>
                <w:b w:val="0"/>
                <w:lang w:bidi="he-IL"/>
              </w:rPr>
            </w:pPr>
            <w:r w:rsidRPr="00C26F73">
              <w:rPr>
                <w:b w:val="0"/>
                <w:lang w:bidi="he-IL"/>
              </w:rPr>
              <w:t>13 W</w:t>
            </w:r>
          </w:p>
        </w:tc>
        <w:tc>
          <w:tcPr>
            <w:tcW w:w="2540" w:type="dxa"/>
            <w:shd w:val="clear" w:color="auto" w:fill="auto"/>
          </w:tcPr>
          <w:p w:rsidR="00B25588" w:rsidRPr="00C26F73" w:rsidRDefault="00B25588" w:rsidP="006A2886">
            <w:pPr>
              <w:spacing w:after="0" w:line="240" w:lineRule="auto"/>
              <w:rPr>
                <w:b w:val="0"/>
                <w:lang w:bidi="he-IL"/>
              </w:rPr>
            </w:pPr>
            <w:r w:rsidRPr="00C26F73">
              <w:rPr>
                <w:b w:val="0"/>
                <w:lang w:bidi="he-IL"/>
              </w:rPr>
              <w:t xml:space="preserve">Individual interviews </w:t>
            </w:r>
          </w:p>
        </w:tc>
      </w:tr>
      <w:tr w:rsidR="00315D8F" w:rsidRPr="00C26F73" w:rsidTr="006A2886">
        <w:tc>
          <w:tcPr>
            <w:tcW w:w="2693" w:type="dxa"/>
            <w:shd w:val="clear" w:color="auto" w:fill="auto"/>
          </w:tcPr>
          <w:p w:rsidR="00B25588" w:rsidRPr="00C26F73" w:rsidRDefault="00B25588" w:rsidP="006A2886">
            <w:pPr>
              <w:spacing w:after="0" w:line="240" w:lineRule="auto"/>
              <w:rPr>
                <w:rStyle w:val="FootnoteReference"/>
                <w:b w:val="0"/>
                <w:sz w:val="22"/>
                <w:szCs w:val="22"/>
                <w:lang w:val="en-US" w:bidi="he-IL"/>
              </w:rPr>
            </w:pPr>
            <w:r w:rsidRPr="00C26F73">
              <w:rPr>
                <w:b w:val="0"/>
                <w:noProof/>
                <w:lang w:bidi="he-IL"/>
              </w:rPr>
              <w:t>Youn (2009)</w:t>
            </w:r>
          </w:p>
          <w:p w:rsidR="00B25588" w:rsidRPr="00C26F73" w:rsidRDefault="00B25588" w:rsidP="006A2886">
            <w:pPr>
              <w:spacing w:after="0" w:line="240" w:lineRule="auto"/>
              <w:rPr>
                <w:b w:val="0"/>
                <w:lang w:bidi="he-IL"/>
              </w:rPr>
            </w:pPr>
          </w:p>
          <w:p w:rsidR="00B25588" w:rsidRPr="00C26F73" w:rsidRDefault="00B25588" w:rsidP="006A2886">
            <w:pPr>
              <w:spacing w:after="0" w:line="240" w:lineRule="auto"/>
              <w:rPr>
                <w:b w:val="0"/>
                <w:lang w:bidi="he-IL"/>
              </w:rPr>
            </w:pPr>
          </w:p>
        </w:tc>
        <w:tc>
          <w:tcPr>
            <w:tcW w:w="1276" w:type="dxa"/>
            <w:shd w:val="clear" w:color="auto" w:fill="auto"/>
          </w:tcPr>
          <w:p w:rsidR="00B25588" w:rsidRPr="00C26F73" w:rsidRDefault="00B25588" w:rsidP="006A2886">
            <w:pPr>
              <w:spacing w:after="0" w:line="240" w:lineRule="auto"/>
              <w:rPr>
                <w:b w:val="0"/>
                <w:lang w:bidi="he-IL"/>
              </w:rPr>
            </w:pPr>
            <w:r w:rsidRPr="00C26F73">
              <w:rPr>
                <w:b w:val="0"/>
                <w:lang w:bidi="he-IL"/>
              </w:rPr>
              <w:t>Korea</w:t>
            </w:r>
          </w:p>
        </w:tc>
        <w:tc>
          <w:tcPr>
            <w:tcW w:w="3565" w:type="dxa"/>
            <w:shd w:val="clear" w:color="auto" w:fill="auto"/>
          </w:tcPr>
          <w:p w:rsidR="00B25588" w:rsidRPr="00C26F73" w:rsidRDefault="00B25588" w:rsidP="006A2886">
            <w:pPr>
              <w:spacing w:after="0" w:line="240" w:lineRule="auto"/>
              <w:rPr>
                <w:b w:val="0"/>
                <w:lang w:bidi="he-IL"/>
              </w:rPr>
            </w:pPr>
            <w:r w:rsidRPr="00C26F73">
              <w:rPr>
                <w:b w:val="0"/>
                <w:lang w:bidi="he-IL"/>
              </w:rPr>
              <w:t>Married, Korean women and men</w:t>
            </w:r>
          </w:p>
        </w:tc>
        <w:tc>
          <w:tcPr>
            <w:tcW w:w="1538" w:type="dxa"/>
            <w:shd w:val="clear" w:color="auto" w:fill="auto"/>
          </w:tcPr>
          <w:p w:rsidR="00B25588" w:rsidRPr="00C26F73" w:rsidRDefault="00B25588" w:rsidP="006A2886">
            <w:pPr>
              <w:spacing w:after="0" w:line="240" w:lineRule="auto"/>
              <w:rPr>
                <w:b w:val="0"/>
                <w:lang w:bidi="he-IL"/>
              </w:rPr>
            </w:pPr>
            <w:r w:rsidRPr="00C26F73">
              <w:rPr>
                <w:b w:val="0"/>
                <w:lang w:bidi="he-IL"/>
              </w:rPr>
              <w:t xml:space="preserve">65-79 </w:t>
            </w:r>
          </w:p>
        </w:tc>
        <w:tc>
          <w:tcPr>
            <w:tcW w:w="1276" w:type="dxa"/>
            <w:shd w:val="clear" w:color="auto" w:fill="auto"/>
          </w:tcPr>
          <w:p w:rsidR="00B25588" w:rsidRPr="00C26F73" w:rsidRDefault="00B25588" w:rsidP="006A2886">
            <w:pPr>
              <w:spacing w:after="0" w:line="240" w:lineRule="auto"/>
              <w:rPr>
                <w:b w:val="0"/>
                <w:lang w:bidi="he-IL"/>
              </w:rPr>
            </w:pPr>
            <w:r w:rsidRPr="00C26F73">
              <w:rPr>
                <w:b w:val="0"/>
                <w:lang w:bidi="he-IL"/>
              </w:rPr>
              <w:t>12 W</w:t>
            </w:r>
          </w:p>
          <w:p w:rsidR="00B25588" w:rsidRPr="00C26F73" w:rsidRDefault="00B25588" w:rsidP="006A2886">
            <w:pPr>
              <w:spacing w:after="0" w:line="240" w:lineRule="auto"/>
              <w:rPr>
                <w:b w:val="0"/>
                <w:lang w:bidi="he-IL"/>
              </w:rPr>
            </w:pPr>
            <w:r w:rsidRPr="00C26F73">
              <w:rPr>
                <w:b w:val="0"/>
                <w:lang w:bidi="he-IL"/>
              </w:rPr>
              <w:t>12 M</w:t>
            </w:r>
          </w:p>
        </w:tc>
        <w:tc>
          <w:tcPr>
            <w:tcW w:w="2540" w:type="dxa"/>
            <w:shd w:val="clear" w:color="auto" w:fill="auto"/>
          </w:tcPr>
          <w:p w:rsidR="00B25588" w:rsidRPr="00C26F73" w:rsidRDefault="00B25588" w:rsidP="006A2886">
            <w:pPr>
              <w:spacing w:after="0" w:line="240" w:lineRule="auto"/>
              <w:rPr>
                <w:b w:val="0"/>
                <w:lang w:bidi="he-IL"/>
              </w:rPr>
            </w:pPr>
            <w:r w:rsidRPr="00C26F73">
              <w:rPr>
                <w:b w:val="0"/>
                <w:lang w:bidi="he-IL"/>
              </w:rPr>
              <w:t>Semi-structured, open-ended interviews</w:t>
            </w:r>
          </w:p>
        </w:tc>
      </w:tr>
      <w:tr w:rsidR="00315D8F" w:rsidRPr="00C26F73" w:rsidTr="006A2886">
        <w:tc>
          <w:tcPr>
            <w:tcW w:w="2693" w:type="dxa"/>
            <w:tcBorders>
              <w:bottom w:val="single" w:sz="4" w:space="0" w:color="auto"/>
            </w:tcBorders>
            <w:shd w:val="clear" w:color="auto" w:fill="auto"/>
          </w:tcPr>
          <w:p w:rsidR="00B25588" w:rsidRPr="00C26F73" w:rsidRDefault="00B25588" w:rsidP="006A2886">
            <w:pPr>
              <w:spacing w:after="0" w:line="240" w:lineRule="auto"/>
              <w:rPr>
                <w:b w:val="0"/>
                <w:lang w:bidi="he-IL"/>
              </w:rPr>
            </w:pPr>
            <w:r w:rsidRPr="00C26F73">
              <w:rPr>
                <w:b w:val="0"/>
                <w:noProof/>
                <w:lang w:bidi="he-IL"/>
              </w:rPr>
              <w:t>Yun, Kim and Chung (2014)</w:t>
            </w:r>
          </w:p>
        </w:tc>
        <w:tc>
          <w:tcPr>
            <w:tcW w:w="1276" w:type="dxa"/>
            <w:tcBorders>
              <w:bottom w:val="single" w:sz="4" w:space="0" w:color="auto"/>
            </w:tcBorders>
            <w:shd w:val="clear" w:color="auto" w:fill="auto"/>
          </w:tcPr>
          <w:p w:rsidR="00B25588" w:rsidRPr="00C26F73" w:rsidRDefault="00B25588" w:rsidP="006A2886">
            <w:pPr>
              <w:spacing w:after="0" w:line="240" w:lineRule="auto"/>
              <w:rPr>
                <w:b w:val="0"/>
                <w:lang w:bidi="he-IL"/>
              </w:rPr>
            </w:pPr>
            <w:r w:rsidRPr="00C26F73">
              <w:rPr>
                <w:b w:val="0"/>
                <w:lang w:bidi="he-IL"/>
              </w:rPr>
              <w:t>Korea</w:t>
            </w:r>
          </w:p>
        </w:tc>
        <w:tc>
          <w:tcPr>
            <w:tcW w:w="3565" w:type="dxa"/>
            <w:tcBorders>
              <w:bottom w:val="single" w:sz="4" w:space="0" w:color="auto"/>
            </w:tcBorders>
            <w:shd w:val="clear" w:color="auto" w:fill="auto"/>
          </w:tcPr>
          <w:p w:rsidR="00B25588" w:rsidRPr="00C26F73" w:rsidDel="00086A8C" w:rsidRDefault="00B25588" w:rsidP="006A2886">
            <w:pPr>
              <w:spacing w:after="0" w:line="240" w:lineRule="auto"/>
              <w:rPr>
                <w:b w:val="0"/>
                <w:lang w:bidi="he-IL"/>
              </w:rPr>
            </w:pPr>
            <w:r w:rsidRPr="00C26F73">
              <w:rPr>
                <w:b w:val="0"/>
                <w:lang w:bidi="he-IL"/>
              </w:rPr>
              <w:t>Widowed, elderly, city-dwelling women registered with a community senior centre</w:t>
            </w:r>
          </w:p>
        </w:tc>
        <w:tc>
          <w:tcPr>
            <w:tcW w:w="1538" w:type="dxa"/>
            <w:tcBorders>
              <w:bottom w:val="single" w:sz="4" w:space="0" w:color="auto"/>
            </w:tcBorders>
            <w:shd w:val="clear" w:color="auto" w:fill="auto"/>
          </w:tcPr>
          <w:p w:rsidR="00B25588" w:rsidRPr="00C26F73" w:rsidRDefault="00B25588" w:rsidP="006A2886">
            <w:pPr>
              <w:spacing w:after="0" w:line="240" w:lineRule="auto"/>
              <w:rPr>
                <w:b w:val="0"/>
                <w:lang w:bidi="he-IL"/>
              </w:rPr>
            </w:pPr>
            <w:r w:rsidRPr="00C26F73">
              <w:rPr>
                <w:b w:val="0"/>
                <w:lang w:bidi="he-IL"/>
              </w:rPr>
              <w:t>65-75</w:t>
            </w:r>
          </w:p>
        </w:tc>
        <w:tc>
          <w:tcPr>
            <w:tcW w:w="1276" w:type="dxa"/>
            <w:tcBorders>
              <w:bottom w:val="single" w:sz="4" w:space="0" w:color="auto"/>
            </w:tcBorders>
            <w:shd w:val="clear" w:color="auto" w:fill="auto"/>
          </w:tcPr>
          <w:p w:rsidR="00B25588" w:rsidRPr="00C26F73" w:rsidRDefault="00B25588" w:rsidP="006A2886">
            <w:pPr>
              <w:spacing w:after="0" w:line="240" w:lineRule="auto"/>
              <w:rPr>
                <w:b w:val="0"/>
                <w:lang w:bidi="he-IL"/>
              </w:rPr>
            </w:pPr>
            <w:r w:rsidRPr="00C26F73">
              <w:rPr>
                <w:b w:val="0"/>
                <w:lang w:bidi="he-IL"/>
              </w:rPr>
              <w:t>10 W</w:t>
            </w:r>
          </w:p>
        </w:tc>
        <w:tc>
          <w:tcPr>
            <w:tcW w:w="2540" w:type="dxa"/>
            <w:tcBorders>
              <w:bottom w:val="single" w:sz="4" w:space="0" w:color="auto"/>
            </w:tcBorders>
            <w:shd w:val="clear" w:color="auto" w:fill="auto"/>
          </w:tcPr>
          <w:p w:rsidR="00B25588" w:rsidRPr="00C26F73" w:rsidRDefault="00B25588" w:rsidP="006A2886">
            <w:pPr>
              <w:spacing w:after="0" w:line="240" w:lineRule="auto"/>
              <w:rPr>
                <w:b w:val="0"/>
                <w:lang w:bidi="he-IL"/>
              </w:rPr>
            </w:pPr>
            <w:r w:rsidRPr="00C26F73">
              <w:rPr>
                <w:b w:val="0"/>
                <w:lang w:bidi="he-IL"/>
              </w:rPr>
              <w:t>In-depth interviews</w:t>
            </w:r>
          </w:p>
        </w:tc>
      </w:tr>
    </w:tbl>
    <w:p w:rsidR="00EC7B62" w:rsidRDefault="00EC7B62" w:rsidP="00EC7B62">
      <w:pPr>
        <w:spacing w:after="200" w:line="276" w:lineRule="auto"/>
        <w:rPr>
          <w:rFonts w:cs="Times New Roman"/>
          <w:sz w:val="22"/>
          <w:szCs w:val="22"/>
        </w:rPr>
      </w:pPr>
    </w:p>
    <w:p w:rsidR="00EC7B62" w:rsidRDefault="00EC7B62" w:rsidP="00EC7B62">
      <w:pPr>
        <w:spacing w:after="200" w:line="276" w:lineRule="auto"/>
        <w:rPr>
          <w:rFonts w:cs="Times New Roman"/>
          <w:sz w:val="22"/>
          <w:szCs w:val="22"/>
        </w:rPr>
      </w:pPr>
    </w:p>
    <w:p w:rsidR="00EC7B62" w:rsidRDefault="00EC7B62" w:rsidP="00EC7B62">
      <w:pPr>
        <w:spacing w:after="200" w:line="276" w:lineRule="auto"/>
        <w:rPr>
          <w:rFonts w:cs="Times New Roman"/>
          <w:sz w:val="22"/>
          <w:szCs w:val="22"/>
        </w:rPr>
      </w:pPr>
    </w:p>
    <w:p w:rsidR="00EC7B62" w:rsidRPr="00EC7B62" w:rsidRDefault="00EC7B62" w:rsidP="00EC7B62">
      <w:pPr>
        <w:spacing w:after="200" w:line="276" w:lineRule="auto"/>
        <w:rPr>
          <w:rFonts w:cs="Times New Roman"/>
          <w:sz w:val="22"/>
          <w:szCs w:val="22"/>
        </w:rPr>
      </w:pPr>
      <w:r w:rsidRPr="00EC7B62">
        <w:rPr>
          <w:rFonts w:cs="Times New Roman"/>
          <w:sz w:val="22"/>
          <w:szCs w:val="22"/>
        </w:rPr>
        <w:lastRenderedPageBreak/>
        <w:t>Table A:  Descriptive and analytical themes</w:t>
      </w:r>
    </w:p>
    <w:tbl>
      <w:tblPr>
        <w:tblStyle w:val="TableGrid1"/>
        <w:tblW w:w="0" w:type="auto"/>
        <w:tblInd w:w="0" w:type="dxa"/>
        <w:tblLook w:val="04A0" w:firstRow="1" w:lastRow="0" w:firstColumn="1" w:lastColumn="0" w:noHBand="0" w:noVBand="1"/>
      </w:tblPr>
      <w:tblGrid>
        <w:gridCol w:w="7087"/>
        <w:gridCol w:w="7087"/>
      </w:tblGrid>
      <w:tr w:rsidR="00EC7B62" w:rsidRPr="00EC7B62" w:rsidTr="00EC7B62">
        <w:trPr>
          <w:trHeight w:val="64"/>
        </w:trPr>
        <w:tc>
          <w:tcPr>
            <w:tcW w:w="7087" w:type="dxa"/>
            <w:tcBorders>
              <w:top w:val="single" w:sz="4" w:space="0" w:color="auto"/>
              <w:left w:val="single" w:sz="4" w:space="0" w:color="auto"/>
              <w:bottom w:val="single" w:sz="4" w:space="0" w:color="auto"/>
              <w:right w:val="single" w:sz="4" w:space="0" w:color="auto"/>
            </w:tcBorders>
            <w:hideMark/>
          </w:tcPr>
          <w:p w:rsidR="00EC7B62" w:rsidRPr="00EC7B62" w:rsidRDefault="00EC7B62" w:rsidP="00EC7B62">
            <w:pPr>
              <w:spacing w:after="0" w:line="240" w:lineRule="auto"/>
              <w:rPr>
                <w:sz w:val="22"/>
                <w:szCs w:val="22"/>
              </w:rPr>
            </w:pPr>
            <w:r w:rsidRPr="00EC7B62">
              <w:rPr>
                <w:sz w:val="22"/>
                <w:szCs w:val="22"/>
              </w:rPr>
              <w:t>Descriptive themes</w:t>
            </w:r>
          </w:p>
        </w:tc>
        <w:tc>
          <w:tcPr>
            <w:tcW w:w="7087" w:type="dxa"/>
            <w:tcBorders>
              <w:top w:val="single" w:sz="4" w:space="0" w:color="auto"/>
              <w:left w:val="single" w:sz="4" w:space="0" w:color="auto"/>
              <w:bottom w:val="single" w:sz="4" w:space="0" w:color="auto"/>
              <w:right w:val="single" w:sz="4" w:space="0" w:color="auto"/>
            </w:tcBorders>
            <w:hideMark/>
          </w:tcPr>
          <w:p w:rsidR="00EC7B62" w:rsidRPr="00EC7B62" w:rsidRDefault="00EC7B62" w:rsidP="00EC7B62">
            <w:pPr>
              <w:spacing w:after="0" w:line="240" w:lineRule="auto"/>
              <w:rPr>
                <w:sz w:val="22"/>
                <w:szCs w:val="22"/>
              </w:rPr>
            </w:pPr>
            <w:r w:rsidRPr="00EC7B62">
              <w:rPr>
                <w:sz w:val="22"/>
                <w:szCs w:val="22"/>
              </w:rPr>
              <w:t>Analytical themes</w:t>
            </w:r>
          </w:p>
        </w:tc>
      </w:tr>
      <w:tr w:rsidR="00EC7B62" w:rsidRPr="00EC7B62" w:rsidTr="00EC7B62">
        <w:tc>
          <w:tcPr>
            <w:tcW w:w="7087" w:type="dxa"/>
            <w:tcBorders>
              <w:top w:val="single" w:sz="4" w:space="0" w:color="auto"/>
              <w:left w:val="single" w:sz="4" w:space="0" w:color="auto"/>
              <w:bottom w:val="single" w:sz="4" w:space="0" w:color="auto"/>
              <w:right w:val="single" w:sz="4" w:space="0" w:color="auto"/>
            </w:tcBorders>
            <w:hideMark/>
          </w:tcPr>
          <w:p w:rsidR="00EC7B62" w:rsidRPr="00EC7B62" w:rsidRDefault="00EC7B62" w:rsidP="00EC7B62">
            <w:pPr>
              <w:spacing w:after="0" w:line="240" w:lineRule="auto"/>
              <w:rPr>
                <w:b w:val="0"/>
                <w:i/>
                <w:sz w:val="20"/>
                <w:szCs w:val="20"/>
              </w:rPr>
            </w:pPr>
            <w:r w:rsidRPr="00EC7B62">
              <w:rPr>
                <w:b w:val="0"/>
                <w:i/>
                <w:sz w:val="20"/>
                <w:szCs w:val="20"/>
              </w:rPr>
              <w:t>A) Complexities of sexuality and sexual desire in later life</w:t>
            </w:r>
          </w:p>
          <w:p w:rsidR="00EC7B62" w:rsidRPr="00EC7B62" w:rsidRDefault="00EC7B62" w:rsidP="00EC7B62">
            <w:pPr>
              <w:numPr>
                <w:ilvl w:val="0"/>
                <w:numId w:val="14"/>
              </w:numPr>
              <w:spacing w:after="0" w:line="240" w:lineRule="auto"/>
              <w:contextualSpacing/>
              <w:rPr>
                <w:b w:val="0"/>
                <w:sz w:val="20"/>
                <w:szCs w:val="20"/>
              </w:rPr>
            </w:pPr>
            <w:r w:rsidRPr="00EC7B62">
              <w:rPr>
                <w:b w:val="0"/>
                <w:sz w:val="20"/>
                <w:szCs w:val="20"/>
              </w:rPr>
              <w:t xml:space="preserve">Descriptions: combination of love, communication, self-gratification, body image, individuality, imagination, physical closeness </w:t>
            </w:r>
          </w:p>
          <w:p w:rsidR="00EC7B62" w:rsidRPr="00EC7B62" w:rsidRDefault="00EC7B62" w:rsidP="00EC7B62">
            <w:pPr>
              <w:numPr>
                <w:ilvl w:val="0"/>
                <w:numId w:val="14"/>
              </w:numPr>
              <w:spacing w:after="0" w:line="240" w:lineRule="auto"/>
              <w:contextualSpacing/>
              <w:rPr>
                <w:b w:val="0"/>
                <w:sz w:val="20"/>
                <w:szCs w:val="20"/>
              </w:rPr>
            </w:pPr>
            <w:r w:rsidRPr="00EC7B62">
              <w:rPr>
                <w:b w:val="0"/>
                <w:sz w:val="20"/>
                <w:szCs w:val="20"/>
              </w:rPr>
              <w:t xml:space="preserve">Influencing factors; sexual partnerships and quality of spousal relationships, psychological, cultural and physical health </w:t>
            </w:r>
          </w:p>
          <w:p w:rsidR="00EC7B62" w:rsidRPr="00EC7B62" w:rsidRDefault="00EC7B62" w:rsidP="00EC7B62">
            <w:pPr>
              <w:numPr>
                <w:ilvl w:val="0"/>
                <w:numId w:val="14"/>
              </w:numPr>
              <w:spacing w:after="0" w:line="240" w:lineRule="auto"/>
              <w:contextualSpacing/>
              <w:rPr>
                <w:b w:val="0"/>
                <w:sz w:val="20"/>
                <w:szCs w:val="20"/>
              </w:rPr>
            </w:pPr>
            <w:r w:rsidRPr="00EC7B62">
              <w:rPr>
                <w:b w:val="0"/>
                <w:sz w:val="20"/>
                <w:szCs w:val="20"/>
              </w:rPr>
              <w:t xml:space="preserve">Impact of life history: moral values and behaviours </w:t>
            </w:r>
          </w:p>
          <w:p w:rsidR="00EC7B62" w:rsidRPr="00EC7B62" w:rsidRDefault="00EC7B62" w:rsidP="00EC7B62">
            <w:pPr>
              <w:numPr>
                <w:ilvl w:val="0"/>
                <w:numId w:val="14"/>
              </w:numPr>
              <w:spacing w:after="0" w:line="240" w:lineRule="auto"/>
              <w:contextualSpacing/>
              <w:rPr>
                <w:b w:val="0"/>
                <w:sz w:val="20"/>
                <w:szCs w:val="20"/>
              </w:rPr>
            </w:pPr>
            <w:r w:rsidRPr="00EC7B62">
              <w:rPr>
                <w:b w:val="0"/>
                <w:sz w:val="20"/>
                <w:szCs w:val="20"/>
              </w:rPr>
              <w:t xml:space="preserve">Psychosocial narratives </w:t>
            </w:r>
          </w:p>
          <w:p w:rsidR="00EC7B62" w:rsidRPr="00EC7B62" w:rsidRDefault="00EC7B62" w:rsidP="00EC7B62">
            <w:pPr>
              <w:numPr>
                <w:ilvl w:val="0"/>
                <w:numId w:val="14"/>
              </w:numPr>
              <w:spacing w:after="0" w:line="240" w:lineRule="auto"/>
              <w:contextualSpacing/>
              <w:rPr>
                <w:b w:val="0"/>
                <w:i/>
                <w:sz w:val="20"/>
                <w:szCs w:val="20"/>
              </w:rPr>
            </w:pPr>
            <w:r w:rsidRPr="00EC7B62">
              <w:rPr>
                <w:b w:val="0"/>
                <w:sz w:val="20"/>
                <w:szCs w:val="20"/>
              </w:rPr>
              <w:t xml:space="preserve">Lifecourse experiences of sexual activity; a process; </w:t>
            </w:r>
          </w:p>
          <w:p w:rsidR="00EC7B62" w:rsidRPr="00EC7B62" w:rsidRDefault="00EC7B62" w:rsidP="00EC7B62">
            <w:pPr>
              <w:spacing w:after="0" w:line="240" w:lineRule="auto"/>
              <w:rPr>
                <w:b w:val="0"/>
                <w:i/>
                <w:sz w:val="20"/>
                <w:szCs w:val="20"/>
              </w:rPr>
            </w:pPr>
            <w:r w:rsidRPr="00EC7B62">
              <w:rPr>
                <w:b w:val="0"/>
                <w:i/>
                <w:sz w:val="20"/>
                <w:szCs w:val="20"/>
              </w:rPr>
              <w:t>B) Diversity of models of sexuality in later life</w:t>
            </w:r>
          </w:p>
          <w:p w:rsidR="00EC7B62" w:rsidRPr="00EC7B62" w:rsidRDefault="00EC7B62" w:rsidP="00EC7B62">
            <w:pPr>
              <w:numPr>
                <w:ilvl w:val="0"/>
                <w:numId w:val="15"/>
              </w:numPr>
              <w:spacing w:after="0" w:line="240" w:lineRule="auto"/>
              <w:contextualSpacing/>
              <w:rPr>
                <w:b w:val="0"/>
                <w:sz w:val="20"/>
                <w:szCs w:val="20"/>
              </w:rPr>
            </w:pPr>
            <w:r w:rsidRPr="00EC7B62">
              <w:rPr>
                <w:b w:val="0"/>
                <w:sz w:val="20"/>
                <w:szCs w:val="20"/>
              </w:rPr>
              <w:t xml:space="preserve">Wide spectrum of what is considered sexuality, </w:t>
            </w:r>
          </w:p>
          <w:p w:rsidR="00EC7B62" w:rsidRPr="00EC7B62" w:rsidRDefault="00EC7B62" w:rsidP="00EC7B62">
            <w:pPr>
              <w:numPr>
                <w:ilvl w:val="0"/>
                <w:numId w:val="15"/>
              </w:numPr>
              <w:spacing w:after="0" w:line="240" w:lineRule="auto"/>
              <w:contextualSpacing/>
              <w:rPr>
                <w:b w:val="0"/>
                <w:sz w:val="20"/>
                <w:szCs w:val="20"/>
              </w:rPr>
            </w:pPr>
            <w:r w:rsidRPr="00EC7B62">
              <w:rPr>
                <w:b w:val="0"/>
                <w:sz w:val="20"/>
                <w:szCs w:val="20"/>
              </w:rPr>
              <w:t>Post reproduction, post coitus</w:t>
            </w:r>
          </w:p>
          <w:p w:rsidR="00EC7B62" w:rsidRPr="00EC7B62" w:rsidRDefault="00EC7B62" w:rsidP="00EC7B62">
            <w:pPr>
              <w:numPr>
                <w:ilvl w:val="0"/>
                <w:numId w:val="15"/>
              </w:numPr>
              <w:spacing w:after="0" w:line="240" w:lineRule="auto"/>
              <w:contextualSpacing/>
              <w:rPr>
                <w:b w:val="0"/>
                <w:sz w:val="20"/>
                <w:szCs w:val="20"/>
              </w:rPr>
            </w:pPr>
            <w:r w:rsidRPr="00EC7B62">
              <w:rPr>
                <w:b w:val="0"/>
                <w:sz w:val="20"/>
                <w:szCs w:val="20"/>
              </w:rPr>
              <w:t xml:space="preserve">Variability across gender, age, regarding meaning of sexuality </w:t>
            </w:r>
          </w:p>
          <w:p w:rsidR="00EC7B62" w:rsidRPr="00EC7B62" w:rsidRDefault="00EC7B62" w:rsidP="00EC7B62">
            <w:pPr>
              <w:numPr>
                <w:ilvl w:val="0"/>
                <w:numId w:val="15"/>
              </w:numPr>
              <w:spacing w:after="0" w:line="240" w:lineRule="auto"/>
              <w:contextualSpacing/>
              <w:rPr>
                <w:b w:val="0"/>
                <w:sz w:val="20"/>
                <w:szCs w:val="20"/>
              </w:rPr>
            </w:pPr>
            <w:r w:rsidRPr="00EC7B62">
              <w:rPr>
                <w:b w:val="0"/>
                <w:sz w:val="20"/>
                <w:szCs w:val="20"/>
              </w:rPr>
              <w:t xml:space="preserve">Psychological (impact of feelings); ageism used as rationalisation or justification for one’s own sexual inactivity.  </w:t>
            </w:r>
          </w:p>
          <w:p w:rsidR="00EC7B62" w:rsidRPr="00EC7B62" w:rsidRDefault="00EC7B62" w:rsidP="00EC7B62">
            <w:pPr>
              <w:numPr>
                <w:ilvl w:val="0"/>
                <w:numId w:val="15"/>
              </w:numPr>
              <w:spacing w:after="0" w:line="240" w:lineRule="auto"/>
              <w:contextualSpacing/>
              <w:rPr>
                <w:b w:val="0"/>
                <w:sz w:val="20"/>
                <w:szCs w:val="20"/>
              </w:rPr>
            </w:pPr>
            <w:r w:rsidRPr="00EC7B62">
              <w:rPr>
                <w:b w:val="0"/>
                <w:sz w:val="20"/>
                <w:szCs w:val="20"/>
              </w:rPr>
              <w:t>Impact of illness; physical limitations</w:t>
            </w:r>
          </w:p>
          <w:p w:rsidR="00EC7B62" w:rsidRPr="00EC7B62" w:rsidRDefault="00EC7B62" w:rsidP="00EC7B62">
            <w:pPr>
              <w:numPr>
                <w:ilvl w:val="0"/>
                <w:numId w:val="15"/>
              </w:numPr>
              <w:spacing w:after="0" w:line="240" w:lineRule="auto"/>
              <w:contextualSpacing/>
              <w:rPr>
                <w:b w:val="0"/>
                <w:sz w:val="20"/>
                <w:szCs w:val="20"/>
              </w:rPr>
            </w:pPr>
            <w:r w:rsidRPr="00EC7B62">
              <w:rPr>
                <w:b w:val="0"/>
                <w:sz w:val="20"/>
                <w:szCs w:val="20"/>
              </w:rPr>
              <w:t>Impact of cultural and religious influences and attitudes</w:t>
            </w:r>
          </w:p>
          <w:p w:rsidR="00EC7B62" w:rsidRPr="00EC7B62" w:rsidRDefault="00EC7B62" w:rsidP="00EC7B62">
            <w:pPr>
              <w:numPr>
                <w:ilvl w:val="0"/>
                <w:numId w:val="15"/>
              </w:numPr>
              <w:spacing w:after="0" w:line="240" w:lineRule="auto"/>
              <w:contextualSpacing/>
              <w:rPr>
                <w:b w:val="0"/>
                <w:sz w:val="20"/>
                <w:szCs w:val="20"/>
              </w:rPr>
            </w:pPr>
            <w:r w:rsidRPr="00EC7B62">
              <w:rPr>
                <w:b w:val="0"/>
                <w:sz w:val="20"/>
                <w:szCs w:val="20"/>
              </w:rPr>
              <w:t>Role of community emancipatory education</w:t>
            </w:r>
          </w:p>
          <w:p w:rsidR="00EC7B62" w:rsidRPr="00EC7B62" w:rsidRDefault="00EC7B62" w:rsidP="00EC7B62">
            <w:pPr>
              <w:numPr>
                <w:ilvl w:val="0"/>
                <w:numId w:val="15"/>
              </w:numPr>
              <w:spacing w:after="0" w:line="240" w:lineRule="auto"/>
              <w:contextualSpacing/>
              <w:rPr>
                <w:b w:val="0"/>
                <w:i/>
                <w:sz w:val="20"/>
                <w:szCs w:val="20"/>
              </w:rPr>
            </w:pPr>
            <w:r w:rsidRPr="00EC7B62">
              <w:rPr>
                <w:b w:val="0"/>
                <w:sz w:val="20"/>
                <w:szCs w:val="20"/>
              </w:rPr>
              <w:t xml:space="preserve">Use of narrative inquiry; social constructivist frameworks of ageing sexuality and gender in later life </w:t>
            </w:r>
          </w:p>
          <w:p w:rsidR="00EC7B62" w:rsidRPr="00EC7B62" w:rsidRDefault="00EC7B62" w:rsidP="00EC7B62">
            <w:pPr>
              <w:spacing w:after="0" w:line="240" w:lineRule="auto"/>
              <w:rPr>
                <w:b w:val="0"/>
                <w:i/>
                <w:sz w:val="20"/>
                <w:szCs w:val="20"/>
              </w:rPr>
            </w:pPr>
            <w:r w:rsidRPr="00EC7B62">
              <w:rPr>
                <w:b w:val="0"/>
                <w:i/>
                <w:sz w:val="20"/>
                <w:szCs w:val="20"/>
              </w:rPr>
              <w:t xml:space="preserve">C) The impact of socialisation on forming new sexual relationships. </w:t>
            </w:r>
          </w:p>
          <w:p w:rsidR="00EC7B62" w:rsidRPr="00EC7B62" w:rsidRDefault="00EC7B62" w:rsidP="00EC7B62">
            <w:pPr>
              <w:numPr>
                <w:ilvl w:val="0"/>
                <w:numId w:val="16"/>
              </w:numPr>
              <w:spacing w:after="0" w:line="240" w:lineRule="auto"/>
              <w:contextualSpacing/>
              <w:rPr>
                <w:b w:val="0"/>
                <w:sz w:val="20"/>
                <w:szCs w:val="20"/>
              </w:rPr>
            </w:pPr>
            <w:r w:rsidRPr="00EC7B62">
              <w:rPr>
                <w:b w:val="0"/>
                <w:sz w:val="20"/>
                <w:szCs w:val="20"/>
              </w:rPr>
              <w:t xml:space="preserve">Changes in sexuality impacting on autonomy </w:t>
            </w:r>
          </w:p>
          <w:p w:rsidR="00EC7B62" w:rsidRPr="00EC7B62" w:rsidRDefault="00EC7B62" w:rsidP="00EC7B62">
            <w:pPr>
              <w:numPr>
                <w:ilvl w:val="0"/>
                <w:numId w:val="16"/>
              </w:numPr>
              <w:spacing w:after="0" w:line="240" w:lineRule="auto"/>
              <w:contextualSpacing/>
              <w:rPr>
                <w:b w:val="0"/>
                <w:sz w:val="20"/>
                <w:szCs w:val="20"/>
              </w:rPr>
            </w:pPr>
            <w:r w:rsidRPr="00EC7B62">
              <w:rPr>
                <w:b w:val="0"/>
                <w:sz w:val="20"/>
                <w:szCs w:val="20"/>
              </w:rPr>
              <w:t xml:space="preserve">Gender roles and ambivalence </w:t>
            </w:r>
          </w:p>
          <w:p w:rsidR="00EC7B62" w:rsidRPr="00EC7B62" w:rsidRDefault="00EC7B62" w:rsidP="00EC7B62">
            <w:pPr>
              <w:numPr>
                <w:ilvl w:val="0"/>
                <w:numId w:val="16"/>
              </w:numPr>
              <w:spacing w:after="0" w:line="240" w:lineRule="auto"/>
              <w:contextualSpacing/>
              <w:rPr>
                <w:b w:val="0"/>
                <w:sz w:val="20"/>
                <w:szCs w:val="20"/>
              </w:rPr>
            </w:pPr>
            <w:r w:rsidRPr="00EC7B62">
              <w:rPr>
                <w:b w:val="0"/>
                <w:sz w:val="20"/>
                <w:szCs w:val="20"/>
              </w:rPr>
              <w:t xml:space="preserve">Views of children and presumption of asexuality, overprotectiveness; fear of outsiders; property rights; cringe factors </w:t>
            </w:r>
          </w:p>
          <w:p w:rsidR="00EC7B62" w:rsidRPr="00EC7B62" w:rsidRDefault="00EC7B62" w:rsidP="00EC7B62">
            <w:pPr>
              <w:numPr>
                <w:ilvl w:val="0"/>
                <w:numId w:val="16"/>
              </w:numPr>
              <w:spacing w:after="0" w:line="240" w:lineRule="auto"/>
              <w:contextualSpacing/>
              <w:rPr>
                <w:b w:val="0"/>
                <w:sz w:val="20"/>
                <w:szCs w:val="20"/>
              </w:rPr>
            </w:pPr>
            <w:r w:rsidRPr="00EC7B62">
              <w:rPr>
                <w:b w:val="0"/>
                <w:sz w:val="20"/>
                <w:szCs w:val="20"/>
              </w:rPr>
              <w:t xml:space="preserve">Embarrassment; privacy; when seeking new partner </w:t>
            </w:r>
          </w:p>
          <w:p w:rsidR="00EC7B62" w:rsidRPr="00EC7B62" w:rsidRDefault="00EC7B62" w:rsidP="00EC7B62">
            <w:pPr>
              <w:numPr>
                <w:ilvl w:val="0"/>
                <w:numId w:val="16"/>
              </w:numPr>
              <w:spacing w:after="0" w:line="240" w:lineRule="auto"/>
              <w:contextualSpacing/>
              <w:rPr>
                <w:b w:val="0"/>
                <w:sz w:val="20"/>
                <w:szCs w:val="20"/>
              </w:rPr>
            </w:pPr>
            <w:r w:rsidRPr="00EC7B62">
              <w:rPr>
                <w:b w:val="0"/>
                <w:sz w:val="20"/>
                <w:szCs w:val="20"/>
              </w:rPr>
              <w:t>Challenges of sex related communication online and stereotypes about internet use.</w:t>
            </w:r>
          </w:p>
          <w:p w:rsidR="00EC7B62" w:rsidRPr="00EC7B62" w:rsidRDefault="00EC7B62" w:rsidP="00EC7B62">
            <w:pPr>
              <w:numPr>
                <w:ilvl w:val="0"/>
                <w:numId w:val="16"/>
              </w:numPr>
              <w:spacing w:after="0" w:line="240" w:lineRule="auto"/>
              <w:contextualSpacing/>
              <w:rPr>
                <w:b w:val="0"/>
                <w:sz w:val="20"/>
                <w:szCs w:val="20"/>
              </w:rPr>
            </w:pPr>
            <w:r w:rsidRPr="00EC7B62">
              <w:rPr>
                <w:b w:val="0"/>
                <w:sz w:val="20"/>
                <w:szCs w:val="20"/>
              </w:rPr>
              <w:t xml:space="preserve">Self-censorship (prudish/ normal) behaving ‘modestly’ </w:t>
            </w:r>
          </w:p>
          <w:p w:rsidR="00EC7B62" w:rsidRPr="00EC7B62" w:rsidRDefault="00EC7B62" w:rsidP="00EC7B62">
            <w:pPr>
              <w:numPr>
                <w:ilvl w:val="0"/>
                <w:numId w:val="16"/>
              </w:numPr>
              <w:spacing w:after="0" w:line="240" w:lineRule="auto"/>
              <w:contextualSpacing/>
              <w:rPr>
                <w:b w:val="0"/>
                <w:sz w:val="20"/>
                <w:szCs w:val="20"/>
              </w:rPr>
            </w:pPr>
            <w:r w:rsidRPr="00EC7B62">
              <w:rPr>
                <w:b w:val="0"/>
                <w:sz w:val="20"/>
                <w:szCs w:val="20"/>
              </w:rPr>
              <w:t>Impact of harmful messages about sex, age and body image</w:t>
            </w:r>
          </w:p>
          <w:p w:rsidR="00EC7B62" w:rsidRPr="00EC7B62" w:rsidRDefault="00EC7B62" w:rsidP="00EC7B62">
            <w:pPr>
              <w:numPr>
                <w:ilvl w:val="0"/>
                <w:numId w:val="16"/>
              </w:numPr>
              <w:spacing w:after="0" w:line="240" w:lineRule="auto"/>
              <w:contextualSpacing/>
              <w:rPr>
                <w:b w:val="0"/>
                <w:sz w:val="20"/>
                <w:szCs w:val="20"/>
              </w:rPr>
            </w:pPr>
            <w:r w:rsidRPr="00EC7B62">
              <w:rPr>
                <w:b w:val="0"/>
                <w:sz w:val="20"/>
                <w:szCs w:val="20"/>
              </w:rPr>
              <w:lastRenderedPageBreak/>
              <w:t xml:space="preserve">Motivation for sexual relationships – loyalties to past partners; intimacies; gender differences </w:t>
            </w:r>
          </w:p>
          <w:p w:rsidR="00EC7B62" w:rsidRPr="00EC7B62" w:rsidRDefault="00EC7B62" w:rsidP="00EC7B62">
            <w:pPr>
              <w:numPr>
                <w:ilvl w:val="0"/>
                <w:numId w:val="16"/>
              </w:numPr>
              <w:spacing w:after="0" w:line="240" w:lineRule="auto"/>
              <w:contextualSpacing/>
              <w:rPr>
                <w:b w:val="0"/>
                <w:sz w:val="20"/>
                <w:szCs w:val="20"/>
              </w:rPr>
            </w:pPr>
            <w:r w:rsidRPr="00EC7B62">
              <w:rPr>
                <w:b w:val="0"/>
                <w:sz w:val="20"/>
                <w:szCs w:val="20"/>
              </w:rPr>
              <w:t>Performativity (in new relationships).</w:t>
            </w:r>
          </w:p>
          <w:p w:rsidR="00EC7B62" w:rsidRPr="00EC7B62" w:rsidRDefault="00EC7B62" w:rsidP="00EC7B62">
            <w:pPr>
              <w:numPr>
                <w:ilvl w:val="0"/>
                <w:numId w:val="16"/>
              </w:numPr>
              <w:spacing w:after="0" w:line="240" w:lineRule="auto"/>
              <w:contextualSpacing/>
              <w:rPr>
                <w:b w:val="0"/>
                <w:sz w:val="20"/>
                <w:szCs w:val="20"/>
              </w:rPr>
            </w:pPr>
            <w:r w:rsidRPr="00EC7B62">
              <w:rPr>
                <w:b w:val="0"/>
                <w:sz w:val="20"/>
                <w:szCs w:val="20"/>
              </w:rPr>
              <w:t xml:space="preserve">Reappraisal of sexual pleasure and rights, overcoming inhibitions and learning, tolerance and acceptance of others </w:t>
            </w:r>
          </w:p>
        </w:tc>
        <w:tc>
          <w:tcPr>
            <w:tcW w:w="7087" w:type="dxa"/>
            <w:tcBorders>
              <w:top w:val="single" w:sz="4" w:space="0" w:color="auto"/>
              <w:left w:val="single" w:sz="4" w:space="0" w:color="auto"/>
              <w:bottom w:val="single" w:sz="4" w:space="0" w:color="auto"/>
              <w:right w:val="single" w:sz="4" w:space="0" w:color="auto"/>
            </w:tcBorders>
            <w:hideMark/>
          </w:tcPr>
          <w:p w:rsidR="00EC7B62" w:rsidRPr="00DE373A" w:rsidRDefault="00EC7B62" w:rsidP="00EC7B62">
            <w:pPr>
              <w:spacing w:after="0" w:line="240" w:lineRule="auto"/>
              <w:rPr>
                <w:b w:val="0"/>
                <w:sz w:val="22"/>
                <w:szCs w:val="22"/>
              </w:rPr>
            </w:pPr>
            <w:r w:rsidRPr="00DE373A">
              <w:rPr>
                <w:b w:val="0"/>
                <w:sz w:val="22"/>
                <w:szCs w:val="22"/>
              </w:rPr>
              <w:lastRenderedPageBreak/>
              <w:t>Theme 1: Social legitimacy for sexuality in later life</w:t>
            </w:r>
          </w:p>
        </w:tc>
      </w:tr>
      <w:tr w:rsidR="00EC7B62" w:rsidRPr="00EC7B62" w:rsidTr="00EC7B62">
        <w:tc>
          <w:tcPr>
            <w:tcW w:w="7087" w:type="dxa"/>
            <w:tcBorders>
              <w:top w:val="single" w:sz="4" w:space="0" w:color="auto"/>
              <w:left w:val="single" w:sz="4" w:space="0" w:color="auto"/>
              <w:bottom w:val="single" w:sz="4" w:space="0" w:color="auto"/>
              <w:right w:val="single" w:sz="4" w:space="0" w:color="auto"/>
            </w:tcBorders>
            <w:hideMark/>
          </w:tcPr>
          <w:p w:rsidR="00EC7B62" w:rsidRPr="00EC7B62" w:rsidRDefault="00EC7B62" w:rsidP="00EC7B62">
            <w:pPr>
              <w:spacing w:after="0" w:line="240" w:lineRule="auto"/>
              <w:rPr>
                <w:b w:val="0"/>
                <w:sz w:val="20"/>
                <w:szCs w:val="20"/>
              </w:rPr>
            </w:pPr>
            <w:r w:rsidRPr="00EC7B62">
              <w:rPr>
                <w:b w:val="0"/>
                <w:sz w:val="20"/>
                <w:szCs w:val="20"/>
              </w:rPr>
              <w:lastRenderedPageBreak/>
              <w:t>D) Physical manifestations</w:t>
            </w:r>
          </w:p>
          <w:p w:rsidR="00EC7B62" w:rsidRPr="00EC7B62" w:rsidRDefault="00EC7B62" w:rsidP="00EC7B62">
            <w:pPr>
              <w:numPr>
                <w:ilvl w:val="0"/>
                <w:numId w:val="17"/>
              </w:numPr>
              <w:spacing w:after="0" w:line="240" w:lineRule="auto"/>
              <w:contextualSpacing/>
              <w:rPr>
                <w:b w:val="0"/>
                <w:sz w:val="20"/>
                <w:szCs w:val="20"/>
              </w:rPr>
            </w:pPr>
            <w:r w:rsidRPr="00EC7B62">
              <w:rPr>
                <w:b w:val="0"/>
                <w:sz w:val="20"/>
                <w:szCs w:val="20"/>
              </w:rPr>
              <w:t>The realities of physical limitations on sexual intimacy and activities (desire and frequency)</w:t>
            </w:r>
          </w:p>
          <w:p w:rsidR="00EC7B62" w:rsidRPr="00EC7B62" w:rsidRDefault="00EC7B62" w:rsidP="00EC7B62">
            <w:pPr>
              <w:numPr>
                <w:ilvl w:val="0"/>
                <w:numId w:val="17"/>
              </w:numPr>
              <w:spacing w:after="0" w:line="240" w:lineRule="auto"/>
              <w:contextualSpacing/>
              <w:rPr>
                <w:b w:val="0"/>
                <w:sz w:val="20"/>
                <w:szCs w:val="20"/>
              </w:rPr>
            </w:pPr>
            <w:r w:rsidRPr="00EC7B62">
              <w:rPr>
                <w:b w:val="0"/>
                <w:sz w:val="20"/>
                <w:szCs w:val="20"/>
              </w:rPr>
              <w:t>Adapting sexual behaviour to changing needs and abilities/ compensation and substituting acts</w:t>
            </w:r>
          </w:p>
          <w:p w:rsidR="00EC7B62" w:rsidRPr="00EC7B62" w:rsidRDefault="00EC7B62" w:rsidP="00EC7B62">
            <w:pPr>
              <w:numPr>
                <w:ilvl w:val="0"/>
                <w:numId w:val="17"/>
              </w:numPr>
              <w:spacing w:after="0" w:line="240" w:lineRule="auto"/>
              <w:contextualSpacing/>
              <w:rPr>
                <w:b w:val="0"/>
                <w:sz w:val="20"/>
                <w:szCs w:val="20"/>
              </w:rPr>
            </w:pPr>
            <w:r w:rsidRPr="00EC7B62">
              <w:rPr>
                <w:b w:val="0"/>
                <w:sz w:val="20"/>
                <w:szCs w:val="20"/>
              </w:rPr>
              <w:t xml:space="preserve">Psychosexual needs of older men with erectile dysfunction (impact of prostate cancer/masculinity, potency, and control </w:t>
            </w:r>
          </w:p>
          <w:p w:rsidR="00EC7B62" w:rsidRPr="00EC7B62" w:rsidRDefault="00EC7B62" w:rsidP="00EC7B62">
            <w:pPr>
              <w:numPr>
                <w:ilvl w:val="0"/>
                <w:numId w:val="17"/>
              </w:numPr>
              <w:spacing w:after="0" w:line="240" w:lineRule="auto"/>
              <w:contextualSpacing/>
              <w:rPr>
                <w:b w:val="0"/>
                <w:sz w:val="20"/>
                <w:szCs w:val="20"/>
              </w:rPr>
            </w:pPr>
            <w:r w:rsidRPr="00EC7B62">
              <w:rPr>
                <w:b w:val="0"/>
                <w:sz w:val="20"/>
                <w:szCs w:val="20"/>
              </w:rPr>
              <w:t>Psychosocial needs eclipsed by the need to survive/  sick role and associated dependence on physical and emotional issues on sex</w:t>
            </w:r>
          </w:p>
          <w:p w:rsidR="00EC7B62" w:rsidRPr="00EC7B62" w:rsidRDefault="00EC7B62" w:rsidP="00EC7B62">
            <w:pPr>
              <w:numPr>
                <w:ilvl w:val="0"/>
                <w:numId w:val="17"/>
              </w:numPr>
              <w:spacing w:after="0" w:line="240" w:lineRule="auto"/>
              <w:contextualSpacing/>
              <w:rPr>
                <w:b w:val="0"/>
                <w:sz w:val="20"/>
                <w:szCs w:val="20"/>
              </w:rPr>
            </w:pPr>
            <w:r w:rsidRPr="00EC7B62">
              <w:rPr>
                <w:b w:val="0"/>
                <w:sz w:val="20"/>
                <w:szCs w:val="20"/>
              </w:rPr>
              <w:t xml:space="preserve">Being sexual seen as relevant to health and well-being </w:t>
            </w:r>
          </w:p>
          <w:p w:rsidR="00EC7B62" w:rsidRPr="00EC7B62" w:rsidRDefault="00EC7B62" w:rsidP="00EC7B62">
            <w:pPr>
              <w:numPr>
                <w:ilvl w:val="0"/>
                <w:numId w:val="17"/>
              </w:numPr>
              <w:spacing w:after="0" w:line="240" w:lineRule="auto"/>
              <w:contextualSpacing/>
              <w:rPr>
                <w:b w:val="0"/>
                <w:sz w:val="20"/>
                <w:szCs w:val="20"/>
              </w:rPr>
            </w:pPr>
            <w:r w:rsidRPr="00EC7B62">
              <w:rPr>
                <w:b w:val="0"/>
                <w:sz w:val="20"/>
                <w:szCs w:val="20"/>
              </w:rPr>
              <w:t>Hazards of HIV associated with new partnerships in later life.</w:t>
            </w:r>
          </w:p>
          <w:p w:rsidR="00EC7B62" w:rsidRPr="00EC7B62" w:rsidRDefault="00EC7B62" w:rsidP="00EC7B62">
            <w:pPr>
              <w:numPr>
                <w:ilvl w:val="0"/>
                <w:numId w:val="17"/>
              </w:numPr>
              <w:spacing w:after="0" w:line="240" w:lineRule="auto"/>
              <w:contextualSpacing/>
              <w:rPr>
                <w:b w:val="0"/>
                <w:sz w:val="20"/>
                <w:szCs w:val="20"/>
              </w:rPr>
            </w:pPr>
            <w:r w:rsidRPr="00EC7B62">
              <w:rPr>
                <w:b w:val="0"/>
                <w:sz w:val="20"/>
                <w:szCs w:val="20"/>
              </w:rPr>
              <w:t xml:space="preserve">Physical benefits; Burns calories;  masturbation </w:t>
            </w:r>
          </w:p>
          <w:p w:rsidR="00EC7B62" w:rsidRPr="00EC7B62" w:rsidRDefault="00EC7B62" w:rsidP="00EC7B62">
            <w:pPr>
              <w:numPr>
                <w:ilvl w:val="0"/>
                <w:numId w:val="17"/>
              </w:numPr>
              <w:spacing w:after="0" w:line="240" w:lineRule="auto"/>
              <w:contextualSpacing/>
              <w:rPr>
                <w:b w:val="0"/>
                <w:sz w:val="20"/>
                <w:szCs w:val="20"/>
              </w:rPr>
            </w:pPr>
            <w:r w:rsidRPr="00EC7B62">
              <w:rPr>
                <w:b w:val="0"/>
                <w:sz w:val="20"/>
                <w:szCs w:val="20"/>
              </w:rPr>
              <w:t xml:space="preserve">Loss of control over bodily function such as incontinence on relationships and day-to-day functioning </w:t>
            </w:r>
          </w:p>
          <w:p w:rsidR="00EC7B62" w:rsidRPr="00EC7B62" w:rsidRDefault="00EC7B62" w:rsidP="00EC7B62">
            <w:pPr>
              <w:numPr>
                <w:ilvl w:val="0"/>
                <w:numId w:val="17"/>
              </w:numPr>
              <w:spacing w:after="0" w:line="240" w:lineRule="auto"/>
              <w:contextualSpacing/>
              <w:rPr>
                <w:b w:val="0"/>
                <w:i/>
                <w:sz w:val="20"/>
                <w:szCs w:val="20"/>
              </w:rPr>
            </w:pPr>
            <w:r w:rsidRPr="00EC7B62">
              <w:rPr>
                <w:b w:val="0"/>
                <w:sz w:val="20"/>
                <w:szCs w:val="20"/>
              </w:rPr>
              <w:t xml:space="preserve">Mental skills for successful sex seen as important </w:t>
            </w:r>
          </w:p>
          <w:p w:rsidR="00EC7B62" w:rsidRPr="00EC7B62" w:rsidRDefault="00EC7B62" w:rsidP="00EC7B62">
            <w:pPr>
              <w:spacing w:after="0" w:line="240" w:lineRule="auto"/>
              <w:rPr>
                <w:b w:val="0"/>
                <w:i/>
                <w:sz w:val="20"/>
                <w:szCs w:val="20"/>
              </w:rPr>
            </w:pPr>
            <w:r w:rsidRPr="00EC7B62">
              <w:rPr>
                <w:b w:val="0"/>
                <w:i/>
                <w:sz w:val="20"/>
                <w:szCs w:val="20"/>
              </w:rPr>
              <w:t>(E) Behavioural manifestations</w:t>
            </w:r>
          </w:p>
          <w:p w:rsidR="00EC7B62" w:rsidRPr="00EC7B62" w:rsidRDefault="00EC7B62" w:rsidP="00EC7B62">
            <w:pPr>
              <w:numPr>
                <w:ilvl w:val="0"/>
                <w:numId w:val="18"/>
              </w:numPr>
              <w:spacing w:after="0" w:line="240" w:lineRule="auto"/>
              <w:contextualSpacing/>
              <w:rPr>
                <w:b w:val="0"/>
                <w:sz w:val="20"/>
                <w:szCs w:val="20"/>
              </w:rPr>
            </w:pPr>
            <w:r w:rsidRPr="00EC7B62">
              <w:rPr>
                <w:b w:val="0"/>
                <w:sz w:val="20"/>
                <w:szCs w:val="20"/>
              </w:rPr>
              <w:t>Differences between those in long term married and ‘other’ relationships</w:t>
            </w:r>
          </w:p>
          <w:p w:rsidR="00EC7B62" w:rsidRPr="00EC7B62" w:rsidRDefault="00EC7B62" w:rsidP="00EC7B62">
            <w:pPr>
              <w:numPr>
                <w:ilvl w:val="0"/>
                <w:numId w:val="18"/>
              </w:numPr>
              <w:spacing w:after="0" w:line="240" w:lineRule="auto"/>
              <w:contextualSpacing/>
              <w:rPr>
                <w:b w:val="0"/>
                <w:sz w:val="20"/>
                <w:szCs w:val="20"/>
              </w:rPr>
            </w:pPr>
            <w:r w:rsidRPr="00EC7B62">
              <w:rPr>
                <w:b w:val="0"/>
                <w:sz w:val="20"/>
                <w:szCs w:val="20"/>
              </w:rPr>
              <w:t xml:space="preserve">Sexual satisfaction related to relationship satisfaction (arranged/happy marriages) including abuse </w:t>
            </w:r>
          </w:p>
          <w:p w:rsidR="00EC7B62" w:rsidRPr="00EC7B62" w:rsidRDefault="00EC7B62" w:rsidP="00EC7B62">
            <w:pPr>
              <w:numPr>
                <w:ilvl w:val="0"/>
                <w:numId w:val="18"/>
              </w:numPr>
              <w:spacing w:after="0" w:line="240" w:lineRule="auto"/>
              <w:contextualSpacing/>
              <w:rPr>
                <w:b w:val="0"/>
                <w:sz w:val="20"/>
                <w:szCs w:val="20"/>
              </w:rPr>
            </w:pPr>
            <w:r w:rsidRPr="00EC7B62">
              <w:rPr>
                <w:b w:val="0"/>
                <w:sz w:val="20"/>
                <w:szCs w:val="20"/>
              </w:rPr>
              <w:t>Women’s acceptance of friendship and companionship due to sexual dissatisfaction and men’s inability  to perform</w:t>
            </w:r>
          </w:p>
          <w:p w:rsidR="00EC7B62" w:rsidRPr="00EC7B62" w:rsidRDefault="00EC7B62" w:rsidP="00EC7B62">
            <w:pPr>
              <w:numPr>
                <w:ilvl w:val="0"/>
                <w:numId w:val="18"/>
              </w:numPr>
              <w:spacing w:after="0" w:line="240" w:lineRule="auto"/>
              <w:contextualSpacing/>
              <w:rPr>
                <w:b w:val="0"/>
                <w:sz w:val="20"/>
                <w:szCs w:val="20"/>
              </w:rPr>
            </w:pPr>
            <w:r w:rsidRPr="00EC7B62">
              <w:rPr>
                <w:b w:val="0"/>
                <w:sz w:val="20"/>
                <w:szCs w:val="20"/>
              </w:rPr>
              <w:t xml:space="preserve">Women’s frustration by sexual impotency of men </w:t>
            </w:r>
          </w:p>
          <w:p w:rsidR="00EC7B62" w:rsidRPr="00EC7B62" w:rsidRDefault="00EC7B62" w:rsidP="00EC7B62">
            <w:pPr>
              <w:numPr>
                <w:ilvl w:val="0"/>
                <w:numId w:val="18"/>
              </w:numPr>
              <w:spacing w:after="0" w:line="240" w:lineRule="auto"/>
              <w:contextualSpacing/>
              <w:rPr>
                <w:b w:val="0"/>
                <w:sz w:val="20"/>
                <w:szCs w:val="20"/>
              </w:rPr>
            </w:pPr>
            <w:r w:rsidRPr="00EC7B62">
              <w:rPr>
                <w:b w:val="0"/>
                <w:sz w:val="20"/>
                <w:szCs w:val="20"/>
              </w:rPr>
              <w:t xml:space="preserve">Meaning of sexual desire and importance of relationship where  erectile dysfunction implications for health educators </w:t>
            </w:r>
          </w:p>
          <w:p w:rsidR="00EC7B62" w:rsidRPr="00EC7B62" w:rsidRDefault="00EC7B62" w:rsidP="00EC7B62">
            <w:pPr>
              <w:numPr>
                <w:ilvl w:val="0"/>
                <w:numId w:val="18"/>
              </w:numPr>
              <w:spacing w:after="0" w:line="240" w:lineRule="auto"/>
              <w:contextualSpacing/>
              <w:rPr>
                <w:b w:val="0"/>
                <w:sz w:val="20"/>
                <w:szCs w:val="20"/>
              </w:rPr>
            </w:pPr>
            <w:r w:rsidRPr="00EC7B62">
              <w:rPr>
                <w:b w:val="0"/>
                <w:sz w:val="20"/>
                <w:szCs w:val="20"/>
              </w:rPr>
              <w:t xml:space="preserve">Implications for health educators where there are problems </w:t>
            </w:r>
          </w:p>
          <w:p w:rsidR="00EC7B62" w:rsidRPr="00EC7B62" w:rsidRDefault="00EC7B62" w:rsidP="00EC7B62">
            <w:pPr>
              <w:spacing w:after="0" w:line="240" w:lineRule="auto"/>
              <w:rPr>
                <w:b w:val="0"/>
                <w:i/>
                <w:sz w:val="20"/>
                <w:szCs w:val="20"/>
              </w:rPr>
            </w:pPr>
            <w:r w:rsidRPr="00EC7B62">
              <w:rPr>
                <w:b w:val="0"/>
                <w:sz w:val="20"/>
                <w:szCs w:val="20"/>
              </w:rPr>
              <w:t xml:space="preserve"> </w:t>
            </w:r>
            <w:r w:rsidRPr="00EC7B62">
              <w:rPr>
                <w:b w:val="0"/>
                <w:i/>
                <w:sz w:val="20"/>
                <w:szCs w:val="20"/>
              </w:rPr>
              <w:t>J) Narratives about intimacy</w:t>
            </w:r>
          </w:p>
          <w:p w:rsidR="00EC7B62" w:rsidRPr="00EC7B62" w:rsidRDefault="00EC7B62" w:rsidP="00EC7B62">
            <w:pPr>
              <w:numPr>
                <w:ilvl w:val="0"/>
                <w:numId w:val="19"/>
              </w:numPr>
              <w:spacing w:after="0" w:line="240" w:lineRule="auto"/>
              <w:contextualSpacing/>
              <w:rPr>
                <w:b w:val="0"/>
                <w:sz w:val="20"/>
                <w:szCs w:val="20"/>
              </w:rPr>
            </w:pPr>
            <w:r w:rsidRPr="00EC7B62">
              <w:rPr>
                <w:b w:val="0"/>
                <w:sz w:val="20"/>
                <w:szCs w:val="20"/>
              </w:rPr>
              <w:t xml:space="preserve">Role of time, feelings of comfort, security, seen equal to coitus  </w:t>
            </w:r>
          </w:p>
          <w:p w:rsidR="00EC7B62" w:rsidRPr="00EC7B62" w:rsidRDefault="00EC7B62" w:rsidP="00EC7B62">
            <w:pPr>
              <w:numPr>
                <w:ilvl w:val="0"/>
                <w:numId w:val="19"/>
              </w:numPr>
              <w:spacing w:after="0" w:line="240" w:lineRule="auto"/>
              <w:contextualSpacing/>
              <w:rPr>
                <w:b w:val="0"/>
                <w:sz w:val="20"/>
                <w:szCs w:val="20"/>
              </w:rPr>
            </w:pPr>
            <w:r w:rsidRPr="00EC7B62">
              <w:rPr>
                <w:b w:val="0"/>
                <w:sz w:val="20"/>
                <w:szCs w:val="20"/>
              </w:rPr>
              <w:t xml:space="preserve">Notion of sexual activity being elongated </w:t>
            </w:r>
          </w:p>
          <w:p w:rsidR="00EC7B62" w:rsidRPr="00EC7B62" w:rsidRDefault="00EC7B62" w:rsidP="00EC7B62">
            <w:pPr>
              <w:numPr>
                <w:ilvl w:val="0"/>
                <w:numId w:val="19"/>
              </w:numPr>
              <w:spacing w:after="0" w:line="240" w:lineRule="auto"/>
              <w:contextualSpacing/>
              <w:rPr>
                <w:b w:val="0"/>
                <w:sz w:val="20"/>
                <w:szCs w:val="20"/>
              </w:rPr>
            </w:pPr>
            <w:r w:rsidRPr="00EC7B62">
              <w:rPr>
                <w:b w:val="0"/>
                <w:sz w:val="20"/>
                <w:szCs w:val="20"/>
              </w:rPr>
              <w:lastRenderedPageBreak/>
              <w:t xml:space="preserve">Preferred use of language ‘romantic’ rather than ‘intimate’ </w:t>
            </w:r>
          </w:p>
          <w:p w:rsidR="00EC7B62" w:rsidRPr="00EC7B62" w:rsidRDefault="00EC7B62" w:rsidP="00EC7B62">
            <w:pPr>
              <w:numPr>
                <w:ilvl w:val="0"/>
                <w:numId w:val="19"/>
              </w:numPr>
              <w:spacing w:after="0" w:line="240" w:lineRule="auto"/>
              <w:contextualSpacing/>
              <w:rPr>
                <w:b w:val="0"/>
                <w:sz w:val="20"/>
                <w:szCs w:val="20"/>
              </w:rPr>
            </w:pPr>
            <w:r w:rsidRPr="00EC7B62">
              <w:rPr>
                <w:b w:val="0"/>
                <w:sz w:val="20"/>
                <w:szCs w:val="20"/>
              </w:rPr>
              <w:t xml:space="preserve">Optimal sexual experiences enhanced by common values, a good fit, growth, fluidity, maturing of the relationship and knowledge of a partners body/desires/feelings/erotic wishes and depth </w:t>
            </w:r>
          </w:p>
        </w:tc>
        <w:tc>
          <w:tcPr>
            <w:tcW w:w="7087" w:type="dxa"/>
            <w:tcBorders>
              <w:top w:val="single" w:sz="4" w:space="0" w:color="auto"/>
              <w:left w:val="single" w:sz="4" w:space="0" w:color="auto"/>
              <w:bottom w:val="single" w:sz="4" w:space="0" w:color="auto"/>
              <w:right w:val="single" w:sz="4" w:space="0" w:color="auto"/>
            </w:tcBorders>
            <w:hideMark/>
          </w:tcPr>
          <w:p w:rsidR="00EC7B62" w:rsidRPr="00DE373A" w:rsidRDefault="00EC7B62" w:rsidP="00EC7B62">
            <w:pPr>
              <w:spacing w:after="0" w:line="240" w:lineRule="auto"/>
              <w:rPr>
                <w:b w:val="0"/>
                <w:sz w:val="22"/>
                <w:szCs w:val="22"/>
              </w:rPr>
            </w:pPr>
            <w:r w:rsidRPr="00DE373A">
              <w:rPr>
                <w:b w:val="0"/>
                <w:sz w:val="22"/>
                <w:szCs w:val="22"/>
              </w:rPr>
              <w:lastRenderedPageBreak/>
              <w:t>Theme 2: Health, not age, is what truly affects sexuality</w:t>
            </w:r>
          </w:p>
        </w:tc>
      </w:tr>
      <w:tr w:rsidR="00EC7B62" w:rsidRPr="00EC7B62" w:rsidTr="00EC7B62">
        <w:tc>
          <w:tcPr>
            <w:tcW w:w="7087" w:type="dxa"/>
            <w:tcBorders>
              <w:top w:val="single" w:sz="4" w:space="0" w:color="auto"/>
              <w:left w:val="single" w:sz="4" w:space="0" w:color="auto"/>
              <w:bottom w:val="single" w:sz="4" w:space="0" w:color="auto"/>
              <w:right w:val="single" w:sz="4" w:space="0" w:color="auto"/>
            </w:tcBorders>
            <w:hideMark/>
          </w:tcPr>
          <w:p w:rsidR="00EC7B62" w:rsidRPr="00EC7B62" w:rsidRDefault="00EC7B62" w:rsidP="00EC7B62">
            <w:pPr>
              <w:spacing w:after="0" w:line="240" w:lineRule="auto"/>
              <w:rPr>
                <w:b w:val="0"/>
                <w:i/>
                <w:sz w:val="20"/>
                <w:szCs w:val="20"/>
              </w:rPr>
            </w:pPr>
            <w:r w:rsidRPr="00EC7B62">
              <w:rPr>
                <w:b w:val="0"/>
                <w:i/>
                <w:sz w:val="20"/>
                <w:szCs w:val="20"/>
              </w:rPr>
              <w:lastRenderedPageBreak/>
              <w:t>G) Discourses on Viagra</w:t>
            </w:r>
          </w:p>
          <w:p w:rsidR="00EC7B62" w:rsidRPr="00EC7B62" w:rsidRDefault="00EC7B62" w:rsidP="00EC7B62">
            <w:pPr>
              <w:numPr>
                <w:ilvl w:val="0"/>
                <w:numId w:val="20"/>
              </w:numPr>
              <w:spacing w:after="0" w:line="240" w:lineRule="auto"/>
              <w:contextualSpacing/>
              <w:rPr>
                <w:b w:val="0"/>
                <w:sz w:val="20"/>
                <w:szCs w:val="20"/>
              </w:rPr>
            </w:pPr>
            <w:r w:rsidRPr="00EC7B62">
              <w:rPr>
                <w:b w:val="0"/>
                <w:sz w:val="20"/>
                <w:szCs w:val="20"/>
              </w:rPr>
              <w:t>wonder drug turning men into sexualised beings and invasion of safe spaces for women (6)</w:t>
            </w:r>
          </w:p>
          <w:p w:rsidR="00EC7B62" w:rsidRPr="00EC7B62" w:rsidRDefault="00EC7B62" w:rsidP="00EC7B62">
            <w:pPr>
              <w:spacing w:after="0" w:line="240" w:lineRule="auto"/>
              <w:rPr>
                <w:b w:val="0"/>
                <w:sz w:val="20"/>
                <w:szCs w:val="20"/>
              </w:rPr>
            </w:pPr>
            <w:r w:rsidRPr="00EC7B62">
              <w:rPr>
                <w:b w:val="0"/>
                <w:sz w:val="20"/>
                <w:szCs w:val="20"/>
              </w:rPr>
              <w:t>-</w:t>
            </w:r>
            <w:r w:rsidRPr="00EC7B62">
              <w:rPr>
                <w:b w:val="0"/>
                <w:sz w:val="20"/>
                <w:szCs w:val="20"/>
              </w:rPr>
              <w:tab/>
              <w:t xml:space="preserve">Availability opening new conversations for women </w:t>
            </w:r>
          </w:p>
          <w:p w:rsidR="00EC7B62" w:rsidRPr="00EC7B62" w:rsidRDefault="00EC7B62" w:rsidP="00EC7B62">
            <w:pPr>
              <w:numPr>
                <w:ilvl w:val="0"/>
                <w:numId w:val="20"/>
              </w:numPr>
              <w:spacing w:after="0" w:line="240" w:lineRule="auto"/>
              <w:contextualSpacing/>
              <w:rPr>
                <w:b w:val="0"/>
                <w:sz w:val="20"/>
                <w:szCs w:val="20"/>
              </w:rPr>
            </w:pPr>
            <w:r w:rsidRPr="00EC7B62">
              <w:rPr>
                <w:b w:val="0"/>
                <w:sz w:val="20"/>
                <w:szCs w:val="20"/>
              </w:rPr>
              <w:t>Promotion of sexualised youthful masculinity.</w:t>
            </w:r>
          </w:p>
          <w:p w:rsidR="00EC7B62" w:rsidRPr="00EC7B62" w:rsidRDefault="00EC7B62" w:rsidP="00EC7B62">
            <w:pPr>
              <w:numPr>
                <w:ilvl w:val="0"/>
                <w:numId w:val="20"/>
              </w:numPr>
              <w:spacing w:after="0" w:line="240" w:lineRule="auto"/>
              <w:contextualSpacing/>
              <w:rPr>
                <w:b w:val="0"/>
                <w:sz w:val="20"/>
                <w:szCs w:val="20"/>
              </w:rPr>
            </w:pPr>
            <w:r w:rsidRPr="00EC7B62">
              <w:rPr>
                <w:b w:val="0"/>
                <w:sz w:val="20"/>
                <w:szCs w:val="20"/>
              </w:rPr>
              <w:t>Balancing health risks with potency needs and negotiation involved</w:t>
            </w:r>
          </w:p>
          <w:p w:rsidR="00EC7B62" w:rsidRPr="00EC7B62" w:rsidRDefault="00EC7B62" w:rsidP="00EC7B62">
            <w:pPr>
              <w:numPr>
                <w:ilvl w:val="0"/>
                <w:numId w:val="20"/>
              </w:numPr>
              <w:spacing w:after="0" w:line="240" w:lineRule="auto"/>
              <w:contextualSpacing/>
              <w:rPr>
                <w:b w:val="0"/>
                <w:sz w:val="20"/>
                <w:szCs w:val="20"/>
              </w:rPr>
            </w:pPr>
            <w:r w:rsidRPr="00EC7B62">
              <w:rPr>
                <w:b w:val="0"/>
                <w:sz w:val="20"/>
                <w:szCs w:val="20"/>
              </w:rPr>
              <w:t>Shift in values about sexual roles and functions.</w:t>
            </w:r>
          </w:p>
          <w:p w:rsidR="00EC7B62" w:rsidRPr="00EC7B62" w:rsidRDefault="00EC7B62" w:rsidP="00EC7B62">
            <w:pPr>
              <w:numPr>
                <w:ilvl w:val="0"/>
                <w:numId w:val="20"/>
              </w:numPr>
              <w:spacing w:after="0" w:line="240" w:lineRule="auto"/>
              <w:contextualSpacing/>
              <w:rPr>
                <w:b w:val="0"/>
                <w:i/>
                <w:sz w:val="20"/>
                <w:szCs w:val="20"/>
              </w:rPr>
            </w:pPr>
            <w:r w:rsidRPr="00EC7B62">
              <w:rPr>
                <w:b w:val="0"/>
                <w:sz w:val="20"/>
                <w:szCs w:val="20"/>
              </w:rPr>
              <w:t xml:space="preserve">Shock and stress involved with erectile dysfunction </w:t>
            </w:r>
          </w:p>
          <w:p w:rsidR="00EC7B62" w:rsidRPr="00EC7B62" w:rsidRDefault="00EC7B62" w:rsidP="00EC7B62">
            <w:pPr>
              <w:spacing w:after="0" w:line="240" w:lineRule="auto"/>
              <w:rPr>
                <w:b w:val="0"/>
                <w:i/>
                <w:sz w:val="20"/>
                <w:szCs w:val="20"/>
              </w:rPr>
            </w:pPr>
            <w:r w:rsidRPr="00EC7B62">
              <w:rPr>
                <w:b w:val="0"/>
                <w:i/>
                <w:sz w:val="20"/>
                <w:szCs w:val="20"/>
              </w:rPr>
              <w:t xml:space="preserve">H) Dominance of heterosexual penetrative sex </w:t>
            </w:r>
          </w:p>
          <w:p w:rsidR="00EC7B62" w:rsidRPr="00EC7B62" w:rsidRDefault="00EC7B62" w:rsidP="00EC7B62">
            <w:pPr>
              <w:numPr>
                <w:ilvl w:val="0"/>
                <w:numId w:val="21"/>
              </w:numPr>
              <w:spacing w:after="0" w:line="240" w:lineRule="auto"/>
              <w:contextualSpacing/>
              <w:rPr>
                <w:b w:val="0"/>
                <w:sz w:val="20"/>
                <w:szCs w:val="20"/>
              </w:rPr>
            </w:pPr>
            <w:r w:rsidRPr="00EC7B62">
              <w:rPr>
                <w:b w:val="0"/>
                <w:sz w:val="20"/>
                <w:szCs w:val="20"/>
              </w:rPr>
              <w:t xml:space="preserve">Gendered dimension </w:t>
            </w:r>
          </w:p>
          <w:p w:rsidR="00EC7B62" w:rsidRPr="00EC7B62" w:rsidRDefault="00EC7B62" w:rsidP="00EC7B62">
            <w:pPr>
              <w:numPr>
                <w:ilvl w:val="0"/>
                <w:numId w:val="21"/>
              </w:numPr>
              <w:spacing w:after="0" w:line="240" w:lineRule="auto"/>
              <w:contextualSpacing/>
              <w:rPr>
                <w:b w:val="0"/>
                <w:sz w:val="20"/>
                <w:szCs w:val="20"/>
              </w:rPr>
            </w:pPr>
            <w:r w:rsidRPr="00EC7B62">
              <w:rPr>
                <w:b w:val="0"/>
                <w:sz w:val="20"/>
                <w:szCs w:val="20"/>
              </w:rPr>
              <w:t>Linked to procreation, masculinity, ejaculation and drive</w:t>
            </w:r>
          </w:p>
          <w:p w:rsidR="00EC7B62" w:rsidRPr="00EC7B62" w:rsidRDefault="00EC7B62" w:rsidP="00EC7B62">
            <w:pPr>
              <w:numPr>
                <w:ilvl w:val="0"/>
                <w:numId w:val="21"/>
              </w:numPr>
              <w:spacing w:after="0" w:line="240" w:lineRule="auto"/>
              <w:contextualSpacing/>
              <w:rPr>
                <w:b w:val="0"/>
                <w:sz w:val="20"/>
                <w:szCs w:val="20"/>
              </w:rPr>
            </w:pPr>
            <w:r w:rsidRPr="00EC7B62">
              <w:rPr>
                <w:b w:val="0"/>
                <w:sz w:val="20"/>
                <w:szCs w:val="20"/>
              </w:rPr>
              <w:t xml:space="preserve">Cultural differences </w:t>
            </w:r>
          </w:p>
          <w:p w:rsidR="00EC7B62" w:rsidRPr="00EC7B62" w:rsidRDefault="00EC7B62" w:rsidP="00EC7B62">
            <w:pPr>
              <w:numPr>
                <w:ilvl w:val="0"/>
                <w:numId w:val="21"/>
              </w:numPr>
              <w:spacing w:after="0" w:line="240" w:lineRule="auto"/>
              <w:contextualSpacing/>
              <w:rPr>
                <w:b w:val="0"/>
                <w:sz w:val="20"/>
                <w:szCs w:val="20"/>
              </w:rPr>
            </w:pPr>
            <w:r w:rsidRPr="00EC7B62">
              <w:rPr>
                <w:b w:val="0"/>
                <w:sz w:val="20"/>
                <w:szCs w:val="20"/>
              </w:rPr>
              <w:t>Impact on male mental health, supporting partners</w:t>
            </w:r>
          </w:p>
          <w:p w:rsidR="00EC7B62" w:rsidRPr="00EC7B62" w:rsidRDefault="00EC7B62" w:rsidP="00EC7B62">
            <w:pPr>
              <w:numPr>
                <w:ilvl w:val="0"/>
                <w:numId w:val="21"/>
              </w:numPr>
              <w:spacing w:after="0" w:line="240" w:lineRule="auto"/>
              <w:contextualSpacing/>
              <w:rPr>
                <w:b w:val="0"/>
                <w:sz w:val="20"/>
                <w:szCs w:val="20"/>
              </w:rPr>
            </w:pPr>
            <w:r w:rsidRPr="00EC7B62">
              <w:rPr>
                <w:b w:val="0"/>
                <w:sz w:val="20"/>
                <w:szCs w:val="20"/>
              </w:rPr>
              <w:t xml:space="preserve">Masturbation and shame </w:t>
            </w:r>
          </w:p>
          <w:p w:rsidR="00EC7B62" w:rsidRPr="00EC7B62" w:rsidRDefault="00EC7B62" w:rsidP="00EC7B62">
            <w:pPr>
              <w:numPr>
                <w:ilvl w:val="0"/>
                <w:numId w:val="21"/>
              </w:numPr>
              <w:spacing w:after="0" w:line="240" w:lineRule="auto"/>
              <w:contextualSpacing/>
              <w:rPr>
                <w:b w:val="0"/>
                <w:sz w:val="20"/>
                <w:szCs w:val="20"/>
              </w:rPr>
            </w:pPr>
            <w:r w:rsidRPr="00EC7B62">
              <w:rPr>
                <w:b w:val="0"/>
                <w:sz w:val="20"/>
                <w:szCs w:val="20"/>
              </w:rPr>
              <w:t xml:space="preserve">‘Fiery sex’ replaced by  intimacy </w:t>
            </w:r>
          </w:p>
          <w:p w:rsidR="00EC7B62" w:rsidRPr="00EC7B62" w:rsidRDefault="00EC7B62" w:rsidP="00EC7B62">
            <w:pPr>
              <w:numPr>
                <w:ilvl w:val="0"/>
                <w:numId w:val="21"/>
              </w:numPr>
              <w:spacing w:after="0" w:line="240" w:lineRule="auto"/>
              <w:contextualSpacing/>
              <w:rPr>
                <w:b w:val="0"/>
                <w:sz w:val="20"/>
                <w:szCs w:val="20"/>
              </w:rPr>
            </w:pPr>
            <w:r w:rsidRPr="00EC7B62">
              <w:rPr>
                <w:b w:val="0"/>
                <w:sz w:val="20"/>
                <w:szCs w:val="20"/>
              </w:rPr>
              <w:t xml:space="preserve">Male peer support/  group work/ often characterised by notions of vaginal-penile penetration </w:t>
            </w:r>
          </w:p>
          <w:p w:rsidR="00EC7B62" w:rsidRPr="00EC7B62" w:rsidRDefault="00EC7B62" w:rsidP="00EC7B62">
            <w:pPr>
              <w:numPr>
                <w:ilvl w:val="0"/>
                <w:numId w:val="21"/>
              </w:numPr>
              <w:spacing w:after="0" w:line="240" w:lineRule="auto"/>
              <w:contextualSpacing/>
              <w:rPr>
                <w:b w:val="0"/>
                <w:sz w:val="20"/>
                <w:szCs w:val="20"/>
              </w:rPr>
            </w:pPr>
            <w:r w:rsidRPr="00EC7B62">
              <w:rPr>
                <w:b w:val="0"/>
                <w:sz w:val="20"/>
                <w:szCs w:val="20"/>
              </w:rPr>
              <w:t>Dating activities – strong Viagra culture which could lead women to look for younger partners, language used to reinforce penetrative sex as expected</w:t>
            </w:r>
          </w:p>
        </w:tc>
        <w:tc>
          <w:tcPr>
            <w:tcW w:w="7087" w:type="dxa"/>
            <w:tcBorders>
              <w:top w:val="single" w:sz="4" w:space="0" w:color="auto"/>
              <w:left w:val="single" w:sz="4" w:space="0" w:color="auto"/>
              <w:bottom w:val="single" w:sz="4" w:space="0" w:color="auto"/>
              <w:right w:val="single" w:sz="4" w:space="0" w:color="auto"/>
            </w:tcBorders>
            <w:hideMark/>
          </w:tcPr>
          <w:p w:rsidR="00EC7B62" w:rsidRPr="00DE373A" w:rsidRDefault="00EC7B62" w:rsidP="00EC7B62">
            <w:pPr>
              <w:spacing w:after="0" w:line="240" w:lineRule="auto"/>
              <w:rPr>
                <w:b w:val="0"/>
                <w:sz w:val="22"/>
                <w:szCs w:val="22"/>
              </w:rPr>
            </w:pPr>
            <w:r w:rsidRPr="00DE373A">
              <w:rPr>
                <w:b w:val="0"/>
                <w:sz w:val="22"/>
                <w:szCs w:val="22"/>
              </w:rPr>
              <w:t>Theme 3: Hegemony of penetrative sex</w:t>
            </w:r>
          </w:p>
        </w:tc>
      </w:tr>
    </w:tbl>
    <w:p w:rsidR="00EC7B62" w:rsidRPr="00EC7B62" w:rsidRDefault="00EC7B62" w:rsidP="00EC7B62">
      <w:pPr>
        <w:spacing w:after="200" w:line="276" w:lineRule="auto"/>
        <w:rPr>
          <w:rFonts w:cs="Times New Roman"/>
          <w:b w:val="0"/>
          <w:sz w:val="22"/>
          <w:szCs w:val="22"/>
        </w:rPr>
      </w:pPr>
    </w:p>
    <w:p w:rsidR="00EC7B62" w:rsidRDefault="00EC7B62" w:rsidP="00075039">
      <w:pPr>
        <w:spacing w:line="480" w:lineRule="auto"/>
      </w:pPr>
    </w:p>
    <w:p w:rsidR="00EC7B62" w:rsidRDefault="00EC7B62" w:rsidP="00075039">
      <w:pPr>
        <w:spacing w:line="480" w:lineRule="auto"/>
      </w:pPr>
    </w:p>
    <w:p w:rsidR="00EC7B62" w:rsidRDefault="00EC7B62" w:rsidP="00075039">
      <w:pPr>
        <w:spacing w:line="480" w:lineRule="auto"/>
      </w:pPr>
    </w:p>
    <w:p w:rsidR="0019346F" w:rsidRPr="00C26F73" w:rsidRDefault="00155022" w:rsidP="00075039">
      <w:pPr>
        <w:spacing w:line="480" w:lineRule="auto"/>
      </w:pPr>
      <w:proofErr w:type="gramStart"/>
      <w:r w:rsidRPr="00155022">
        <w:lastRenderedPageBreak/>
        <w:t>Figure 1.</w:t>
      </w:r>
      <w:proofErr w:type="gramEnd"/>
      <w:r w:rsidRPr="00155022">
        <w:t xml:space="preserve"> </w:t>
      </w:r>
      <w:proofErr w:type="gramStart"/>
      <w:r w:rsidRPr="00155022">
        <w:t>PRISMA flowchart detailing</w:t>
      </w:r>
      <w:r w:rsidR="00617A3C" w:rsidRPr="00155022">
        <w:t xml:space="preserve"> primary</w:t>
      </w:r>
      <w:r w:rsidR="00EB6309" w:rsidRPr="00155022">
        <w:t xml:space="preserve"> </w:t>
      </w:r>
      <w:r w:rsidR="00617A3C" w:rsidRPr="00155022">
        <w:t>study selection</w:t>
      </w:r>
      <w:r w:rsidR="00EB6309" w:rsidRPr="00155022">
        <w:t>.</w:t>
      </w:r>
      <w:proofErr w:type="gramEnd"/>
      <w:r w:rsidR="00075039">
        <w:tab/>
      </w:r>
    </w:p>
    <w:p w:rsidR="0019346F" w:rsidRPr="00C26F73" w:rsidRDefault="007A60C4" w:rsidP="0019346F">
      <w:pPr>
        <w:pStyle w:val="ListParagraph"/>
        <w:bidi w:val="0"/>
        <w:rPr>
          <w:rFonts w:cs="Calibri"/>
          <w:lang w:val="en-GB"/>
        </w:rPr>
      </w:pPr>
      <w:r w:rsidRPr="00C26F73">
        <w:rPr>
          <w:rFonts w:cs="Calibri"/>
          <w:noProof/>
          <w:lang w:val="en-GB" w:eastAsia="en-GB" w:bidi="ar-SA"/>
        </w:rPr>
        <mc:AlternateContent>
          <mc:Choice Requires="wps">
            <w:drawing>
              <wp:anchor distT="0" distB="0" distL="114300" distR="114300" simplePos="0" relativeHeight="251664384" behindDoc="0" locked="0" layoutInCell="1" allowOverlap="1">
                <wp:simplePos x="0" y="0"/>
                <wp:positionH relativeFrom="column">
                  <wp:posOffset>2646045</wp:posOffset>
                </wp:positionH>
                <wp:positionV relativeFrom="paragraph">
                  <wp:posOffset>5641340</wp:posOffset>
                </wp:positionV>
                <wp:extent cx="3448685" cy="339725"/>
                <wp:effectExtent l="0" t="0" r="0" b="0"/>
                <wp:wrapNone/>
                <wp:docPr id="44"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685" cy="339725"/>
                        </a:xfrm>
                        <a:prstGeom prst="rect">
                          <a:avLst/>
                        </a:prstGeom>
                        <a:noFill/>
                      </wps:spPr>
                      <wps:txbx>
                        <w:txbxContent>
                          <w:p w:rsidR="00B25588" w:rsidRDefault="00B25588" w:rsidP="0019346F">
                            <w:pPr>
                              <w:pStyle w:val="NormalWeb"/>
                              <w:spacing w:before="0" w:beforeAutospacing="0" w:after="0" w:afterAutospacing="0"/>
                              <w:jc w:val="center"/>
                            </w:pPr>
                            <w:proofErr w:type="gramStart"/>
                            <w:r w:rsidRPr="006A2886">
                              <w:rPr>
                                <w:rFonts w:ascii="Calibri" w:hAnsi="Calibri" w:cs="Arial"/>
                                <w:b/>
                                <w:bCs/>
                                <w:color w:val="000000"/>
                                <w:kern w:val="24"/>
                                <w:sz w:val="32"/>
                                <w:szCs w:val="32"/>
                              </w:rPr>
                              <w:t>Fig. 1</w:t>
                            </w:r>
                            <w:r w:rsidRPr="006A2886">
                              <w:rPr>
                                <w:rFonts w:ascii="Calibri" w:hAnsi="Calibri" w:cs="Arial"/>
                                <w:color w:val="000000"/>
                                <w:kern w:val="24"/>
                                <w:sz w:val="32"/>
                                <w:szCs w:val="32"/>
                              </w:rPr>
                              <w:t>.</w:t>
                            </w:r>
                            <w:proofErr w:type="gramEnd"/>
                            <w:r w:rsidRPr="006A2886">
                              <w:rPr>
                                <w:rFonts w:ascii="Calibri" w:hAnsi="Calibri" w:cs="Arial"/>
                                <w:color w:val="000000"/>
                                <w:kern w:val="24"/>
                                <w:sz w:val="32"/>
                                <w:szCs w:val="32"/>
                              </w:rPr>
                              <w:t xml:space="preserve"> PRISMA review flow</w:t>
                            </w:r>
                          </w:p>
                        </w:txbxContent>
                      </wps:txbx>
                      <wps:bodyPr wrap="square" rtlCol="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43" o:spid="_x0000_s1026" type="#_x0000_t202" style="position:absolute;left:0;text-align:left;margin-left:208.35pt;margin-top:444.2pt;width:271.55pt;height:2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" filled="f" stroked="f">
                <v:path arrowok="t"/>
                <v:textbox style="mso-fit-shape-to-text:t">
                  <w:txbxContent>
                    <w:p w:rsidR="00B25588" w:rsidRDefault="00B25588" w:rsidP="0019346F">
                      <w:pPr>
                        <w:pStyle w:val="NormalWeb"/>
                        <w:spacing w:before="0" w:beforeAutospacing="0" w:after="0" w:afterAutospacing="0"/>
                        <w:jc w:val="center"/>
                      </w:pPr>
                      <w:proofErr w:type="gramStart"/>
                      <w:r w:rsidRPr="006A2886">
                        <w:rPr>
                          <w:rFonts w:ascii="Calibri" w:hAnsi="Calibri" w:cs="Arial"/>
                          <w:b/>
                          <w:bCs/>
                          <w:color w:val="000000"/>
                          <w:kern w:val="24"/>
                          <w:sz w:val="32"/>
                          <w:szCs w:val="32"/>
                        </w:rPr>
                        <w:t>Fig. 1</w:t>
                      </w:r>
                      <w:r w:rsidRPr="006A2886">
                        <w:rPr>
                          <w:rFonts w:ascii="Calibri" w:hAnsi="Calibri" w:cs="Arial"/>
                          <w:color w:val="000000"/>
                          <w:kern w:val="24"/>
                          <w:sz w:val="32"/>
                          <w:szCs w:val="32"/>
                        </w:rPr>
                        <w:t>.</w:t>
                      </w:r>
                      <w:proofErr w:type="gramEnd"/>
                      <w:r w:rsidRPr="006A2886">
                        <w:rPr>
                          <w:rFonts w:ascii="Calibri" w:hAnsi="Calibri" w:cs="Arial"/>
                          <w:color w:val="000000"/>
                          <w:kern w:val="24"/>
                          <w:sz w:val="32"/>
                          <w:szCs w:val="32"/>
                        </w:rPr>
                        <w:t xml:space="preserve"> PRISMA review flow</w:t>
                      </w:r>
                    </w:p>
                  </w:txbxContent>
                </v:textbox>
              </v:shape>
            </w:pict>
          </mc:Fallback>
        </mc:AlternateContent>
      </w:r>
      <w:r w:rsidRPr="00C26F73">
        <w:rPr>
          <w:rFonts w:cs="Calibri"/>
          <w:noProof/>
          <w:lang w:val="en-GB" w:eastAsia="en-GB" w:bidi="ar-SA"/>
        </w:rPr>
        <mc:AlternateContent>
          <mc:Choice Requires="wps">
            <w:drawing>
              <wp:anchor distT="0" distB="0" distL="114300" distR="114300" simplePos="0" relativeHeight="251655168" behindDoc="0" locked="0" layoutInCell="1" allowOverlap="1">
                <wp:simplePos x="0" y="0"/>
                <wp:positionH relativeFrom="column">
                  <wp:posOffset>6118860</wp:posOffset>
                </wp:positionH>
                <wp:positionV relativeFrom="paragraph">
                  <wp:posOffset>2567940</wp:posOffset>
                </wp:positionV>
                <wp:extent cx="3032760" cy="2095500"/>
                <wp:effectExtent l="0" t="0" r="0" b="0"/>
                <wp:wrapNone/>
                <wp:docPr id="6"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2760" cy="20955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B25588" w:rsidRDefault="00B25588" w:rsidP="0019346F">
                            <w:pPr>
                              <w:pStyle w:val="NormalWeb"/>
                              <w:spacing w:before="0" w:beforeAutospacing="0" w:after="0" w:afterAutospacing="0"/>
                            </w:pPr>
                            <w:r w:rsidRPr="006A2886">
                              <w:rPr>
                                <w:rFonts w:ascii="Calibri" w:hAnsi="Calibri"/>
                                <w:b/>
                                <w:bCs/>
                                <w:color w:val="000000"/>
                                <w:kern w:val="24"/>
                              </w:rPr>
                              <w:t>Reasons for exclusion</w:t>
                            </w:r>
                            <w:r w:rsidRPr="006A2886">
                              <w:rPr>
                                <w:rFonts w:ascii="Calibri" w:hAnsi="Calibri"/>
                                <w:color w:val="000000"/>
                                <w:kern w:val="24"/>
                              </w:rPr>
                              <w:t xml:space="preserve">: </w:t>
                            </w:r>
                          </w:p>
                          <w:p w:rsidR="00B25588" w:rsidRDefault="00B25588" w:rsidP="0019346F">
                            <w:pPr>
                              <w:pStyle w:val="ListParagraph"/>
                              <w:numPr>
                                <w:ilvl w:val="0"/>
                                <w:numId w:val="5"/>
                              </w:numPr>
                              <w:bidi w:val="0"/>
                              <w:spacing w:after="0" w:line="240" w:lineRule="auto"/>
                              <w:rPr>
                                <w:rFonts w:eastAsia="Times New Roman"/>
                                <w:rtl/>
                              </w:rPr>
                            </w:pPr>
                            <w:r w:rsidRPr="006A2886">
                              <w:rPr>
                                <w:rFonts w:cs="Times New Roman"/>
                                <w:color w:val="000000"/>
                                <w:kern w:val="24"/>
                              </w:rPr>
                              <w:t>Not match age criteria (&gt;60): n=39</w:t>
                            </w:r>
                          </w:p>
                          <w:p w:rsidR="00B25588" w:rsidRDefault="00B25588" w:rsidP="0019346F">
                            <w:pPr>
                              <w:pStyle w:val="ListParagraph"/>
                              <w:numPr>
                                <w:ilvl w:val="0"/>
                                <w:numId w:val="5"/>
                              </w:numPr>
                              <w:bidi w:val="0"/>
                              <w:spacing w:after="0" w:line="240" w:lineRule="auto"/>
                              <w:rPr>
                                <w:rFonts w:eastAsia="Times New Roman"/>
                                <w:rtl/>
                              </w:rPr>
                            </w:pPr>
                            <w:r w:rsidRPr="006A2886">
                              <w:rPr>
                                <w:rFonts w:cs="Times New Roman"/>
                                <w:color w:val="000000"/>
                                <w:kern w:val="24"/>
                              </w:rPr>
                              <w:t>Not in English, Hebrew or German (study languages): n=14</w:t>
                            </w:r>
                          </w:p>
                          <w:p w:rsidR="00B25588" w:rsidRDefault="00B25588" w:rsidP="0019346F">
                            <w:pPr>
                              <w:pStyle w:val="ListParagraph"/>
                              <w:numPr>
                                <w:ilvl w:val="0"/>
                                <w:numId w:val="5"/>
                              </w:numPr>
                              <w:bidi w:val="0"/>
                              <w:spacing w:after="0" w:line="240" w:lineRule="auto"/>
                              <w:rPr>
                                <w:rFonts w:eastAsia="Times New Roman"/>
                                <w:rtl/>
                              </w:rPr>
                            </w:pPr>
                            <w:r w:rsidRPr="006A2886">
                              <w:rPr>
                                <w:rFonts w:cs="Times New Roman"/>
                                <w:color w:val="000000"/>
                                <w:kern w:val="24"/>
                              </w:rPr>
                              <w:t>Not relevant to the topic investigated: n=21</w:t>
                            </w:r>
                          </w:p>
                          <w:p w:rsidR="00B25588" w:rsidRDefault="00B25588" w:rsidP="0019346F">
                            <w:pPr>
                              <w:pStyle w:val="ListParagraph"/>
                              <w:numPr>
                                <w:ilvl w:val="0"/>
                                <w:numId w:val="5"/>
                              </w:numPr>
                              <w:bidi w:val="0"/>
                              <w:spacing w:after="0" w:line="240" w:lineRule="auto"/>
                              <w:rPr>
                                <w:rFonts w:eastAsia="Times New Roman"/>
                                <w:rtl/>
                              </w:rPr>
                            </w:pPr>
                            <w:r w:rsidRPr="006A2886">
                              <w:rPr>
                                <w:rFonts w:cs="Times New Roman"/>
                                <w:color w:val="000000"/>
                                <w:kern w:val="24"/>
                              </w:rPr>
                              <w:t>Quantitative studies: n=67</w:t>
                            </w:r>
                          </w:p>
                          <w:p w:rsidR="00B25588" w:rsidRDefault="00B25588" w:rsidP="0019346F">
                            <w:pPr>
                              <w:pStyle w:val="ListParagraph"/>
                              <w:numPr>
                                <w:ilvl w:val="0"/>
                                <w:numId w:val="5"/>
                              </w:numPr>
                              <w:bidi w:val="0"/>
                              <w:spacing w:after="0" w:line="240" w:lineRule="auto"/>
                              <w:rPr>
                                <w:rFonts w:eastAsia="Times New Roman"/>
                                <w:rtl/>
                              </w:rPr>
                            </w:pPr>
                            <w:r w:rsidRPr="006A2886">
                              <w:rPr>
                                <w:rFonts w:cs="Times New Roman"/>
                                <w:color w:val="000000"/>
                                <w:kern w:val="24"/>
                              </w:rPr>
                              <w:t>Not an empirical study: (review article, book chapter, book-review, etc.): n=44</w:t>
                            </w:r>
                          </w:p>
                        </w:txbxContent>
                      </wps:txbx>
                      <wps:bodyPr wrap="square" rtlCol="1">
                        <a:noAutofit/>
                      </wps:bodyPr>
                    </wps:wsp>
                  </a:graphicData>
                </a:graphic>
                <wp14:sizeRelH relativeFrom="margin">
                  <wp14:pctWidth>0</wp14:pctWidth>
                </wp14:sizeRelH>
                <wp14:sizeRelV relativeFrom="margin">
                  <wp14:pctHeight>0</wp14:pctHeight>
                </wp14:sizeRelV>
              </wp:anchor>
            </w:drawing>
          </mc:Choice>
          <mc:Fallback>
            <w:pict>
              <v:roundrect id="TextBox 5" o:spid="_x0000_s1027" style="position:absolute;left:0;text-align:left;margin-left:481.8pt;margin-top:202.2pt;width:238.8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" fillcolor="window" strokecolor="windowText" strokeweight="1pt">
                <v:stroke joinstyle="miter"/>
                <v:path arrowok="t"/>
                <v:textbox>
                  <w:txbxContent>
                    <w:p w:rsidR="00B25588" w:rsidRDefault="00B25588" w:rsidP="0019346F">
                      <w:pPr>
                        <w:pStyle w:val="NormalWeb"/>
                        <w:spacing w:before="0" w:beforeAutospacing="0" w:after="0" w:afterAutospacing="0"/>
                      </w:pPr>
                      <w:r w:rsidRPr="006A2886">
                        <w:rPr>
                          <w:rFonts w:ascii="Calibri" w:hAnsi="Calibri"/>
                          <w:b/>
                          <w:bCs/>
                          <w:color w:val="000000"/>
                          <w:kern w:val="24"/>
                        </w:rPr>
                        <w:t>Reasons for exclusion</w:t>
                      </w:r>
                      <w:r w:rsidRPr="006A2886">
                        <w:rPr>
                          <w:rFonts w:ascii="Calibri" w:hAnsi="Calibri"/>
                          <w:color w:val="000000"/>
                          <w:kern w:val="24"/>
                        </w:rPr>
                        <w:t xml:space="preserve">: </w:t>
                      </w:r>
                    </w:p>
                    <w:p w:rsidR="00B25588" w:rsidRDefault="00B25588" w:rsidP="0019346F">
                      <w:pPr>
                        <w:pStyle w:val="ListParagraph"/>
                        <w:numPr>
                          <w:ilvl w:val="0"/>
                          <w:numId w:val="5"/>
                        </w:numPr>
                        <w:bidi w:val="0"/>
                        <w:spacing w:after="0" w:line="240" w:lineRule="auto"/>
                        <w:rPr>
                          <w:rFonts w:eastAsia="Times New Roman"/>
                          <w:rtl/>
                        </w:rPr>
                      </w:pPr>
                      <w:r w:rsidRPr="006A2886">
                        <w:rPr>
                          <w:rFonts w:cs="Times New Roman"/>
                          <w:color w:val="000000"/>
                          <w:kern w:val="24"/>
                        </w:rPr>
                        <w:t>Not match age criteria (&gt;60): n=39</w:t>
                      </w:r>
                    </w:p>
                    <w:p w:rsidR="00B25588" w:rsidRDefault="00B25588" w:rsidP="0019346F">
                      <w:pPr>
                        <w:pStyle w:val="ListParagraph"/>
                        <w:numPr>
                          <w:ilvl w:val="0"/>
                          <w:numId w:val="5"/>
                        </w:numPr>
                        <w:bidi w:val="0"/>
                        <w:spacing w:after="0" w:line="240" w:lineRule="auto"/>
                        <w:rPr>
                          <w:rFonts w:eastAsia="Times New Roman"/>
                          <w:rtl/>
                        </w:rPr>
                      </w:pPr>
                      <w:r w:rsidRPr="006A2886">
                        <w:rPr>
                          <w:rFonts w:cs="Times New Roman"/>
                          <w:color w:val="000000"/>
                          <w:kern w:val="24"/>
                        </w:rPr>
                        <w:t>Not in English, Hebrew or German (study languages): n=14</w:t>
                      </w:r>
                    </w:p>
                    <w:p w:rsidR="00B25588" w:rsidRDefault="00B25588" w:rsidP="0019346F">
                      <w:pPr>
                        <w:pStyle w:val="ListParagraph"/>
                        <w:numPr>
                          <w:ilvl w:val="0"/>
                          <w:numId w:val="5"/>
                        </w:numPr>
                        <w:bidi w:val="0"/>
                        <w:spacing w:after="0" w:line="240" w:lineRule="auto"/>
                        <w:rPr>
                          <w:rFonts w:eastAsia="Times New Roman"/>
                          <w:rtl/>
                        </w:rPr>
                      </w:pPr>
                      <w:r w:rsidRPr="006A2886">
                        <w:rPr>
                          <w:rFonts w:cs="Times New Roman"/>
                          <w:color w:val="000000"/>
                          <w:kern w:val="24"/>
                        </w:rPr>
                        <w:t>Not relevant to the topic investigated: n=21</w:t>
                      </w:r>
                    </w:p>
                    <w:p w:rsidR="00B25588" w:rsidRDefault="00B25588" w:rsidP="0019346F">
                      <w:pPr>
                        <w:pStyle w:val="ListParagraph"/>
                        <w:numPr>
                          <w:ilvl w:val="0"/>
                          <w:numId w:val="5"/>
                        </w:numPr>
                        <w:bidi w:val="0"/>
                        <w:spacing w:after="0" w:line="240" w:lineRule="auto"/>
                        <w:rPr>
                          <w:rFonts w:eastAsia="Times New Roman"/>
                          <w:rtl/>
                        </w:rPr>
                      </w:pPr>
                      <w:r w:rsidRPr="006A2886">
                        <w:rPr>
                          <w:rFonts w:cs="Times New Roman"/>
                          <w:color w:val="000000"/>
                          <w:kern w:val="24"/>
                        </w:rPr>
                        <w:t>Quantitative studies: n=67</w:t>
                      </w:r>
                    </w:p>
                    <w:p w:rsidR="00B25588" w:rsidRDefault="00B25588" w:rsidP="0019346F">
                      <w:pPr>
                        <w:pStyle w:val="ListParagraph"/>
                        <w:numPr>
                          <w:ilvl w:val="0"/>
                          <w:numId w:val="5"/>
                        </w:numPr>
                        <w:bidi w:val="0"/>
                        <w:spacing w:after="0" w:line="240" w:lineRule="auto"/>
                        <w:rPr>
                          <w:rFonts w:eastAsia="Times New Roman"/>
                          <w:rtl/>
                        </w:rPr>
                      </w:pPr>
                      <w:r w:rsidRPr="006A2886">
                        <w:rPr>
                          <w:rFonts w:cs="Times New Roman"/>
                          <w:color w:val="000000"/>
                          <w:kern w:val="24"/>
                        </w:rPr>
                        <w:t>Not an empirical study: (review article, book chapter, book-review, etc.): n=44</w:t>
                      </w:r>
                    </w:p>
                  </w:txbxContent>
                </v:textbox>
              </v:roundrect>
            </w:pict>
          </mc:Fallback>
        </mc:AlternateContent>
      </w:r>
      <w:r w:rsidRPr="00C26F73">
        <w:rPr>
          <w:rFonts w:cs="Calibri"/>
          <w:noProof/>
          <w:lang w:val="en-GB" w:eastAsia="en-GB" w:bidi="ar-SA"/>
        </w:rPr>
        <mc:AlternateContent>
          <mc:Choice Requires="wps">
            <w:drawing>
              <wp:anchor distT="0" distB="0" distL="114300" distR="114300" simplePos="0" relativeHeight="251663360" behindDoc="0" locked="0" layoutInCell="1" allowOverlap="1">
                <wp:simplePos x="0" y="0"/>
                <wp:positionH relativeFrom="column">
                  <wp:posOffset>5135880</wp:posOffset>
                </wp:positionH>
                <wp:positionV relativeFrom="paragraph">
                  <wp:posOffset>3179445</wp:posOffset>
                </wp:positionV>
                <wp:extent cx="937260" cy="5715"/>
                <wp:effectExtent l="0" t="95250" r="0" b="89535"/>
                <wp:wrapNone/>
                <wp:docPr id="24" name="מחבר חץ ישר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7260" cy="571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5AFF2A" id="_x0000_t32" coordsize="21600,21600" o:spt="32" o:oned="t" path="m,l21600,21600e" filled="f">
                <v:path arrowok="t" fillok="f" o:connecttype="none"/>
                <o:lock v:ext="edit" shapetype="t"/>
              </v:shapetype>
              <v:shape id="מחבר חץ ישר 23" o:spid="_x0000_s1026" type="#_x0000_t32" style="position:absolute;margin-left:404.4pt;margin-top:250.35pt;width:73.8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" strokecolor="windowText" strokeweight="2.25pt">
                <v:stroke endarrow="block" joinstyle="miter"/>
                <o:lock v:ext="edit" shapetype="f"/>
              </v:shape>
            </w:pict>
          </mc:Fallback>
        </mc:AlternateContent>
      </w:r>
      <w:r w:rsidRPr="00C26F73">
        <w:rPr>
          <w:rFonts w:cs="Calibri"/>
          <w:noProof/>
          <w:lang w:val="en-GB" w:eastAsia="en-GB" w:bidi="ar-SA"/>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1687830" cy="733425"/>
                <wp:effectExtent l="0" t="0" r="7620" b="9525"/>
                <wp:wrapNone/>
                <wp:docPr id="10"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7830" cy="7334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B25588" w:rsidRDefault="00B25588" w:rsidP="0019346F">
                            <w:pPr>
                              <w:pStyle w:val="NormalWeb"/>
                              <w:spacing w:before="0" w:beforeAutospacing="0" w:after="0" w:afterAutospacing="0"/>
                            </w:pPr>
                            <w:r w:rsidRPr="006A2886">
                              <w:rPr>
                                <w:rFonts w:ascii="Calibri" w:hAnsi="Calibri"/>
                                <w:color w:val="000000"/>
                                <w:kern w:val="24"/>
                              </w:rPr>
                              <w:t>Records retrieved through data base searches (n=</w:t>
                            </w:r>
                            <w:r w:rsidRPr="006A2886">
                              <w:rPr>
                                <w:rFonts w:ascii="Calibri" w:hAnsi="Calibri" w:cs="Arial"/>
                                <w:color w:val="000000"/>
                                <w:kern w:val="24"/>
                              </w:rPr>
                              <w:t xml:space="preserve"> 19,548)</w:t>
                            </w:r>
                          </w:p>
                        </w:txbxContent>
                      </wps:txbx>
                      <wps:bodyPr wrap="square" rtlCol="1">
                        <a:spAutoFit/>
                      </wps:bodyPr>
                    </wps:wsp>
                  </a:graphicData>
                </a:graphic>
                <wp14:sizeRelH relativeFrom="page">
                  <wp14:pctWidth>0</wp14:pctWidth>
                </wp14:sizeRelH>
                <wp14:sizeRelV relativeFrom="page">
                  <wp14:pctHeight>0</wp14:pctHeight>
                </wp14:sizeRelV>
              </wp:anchor>
            </w:drawing>
          </mc:Choice>
          <mc:Fallback>
            <w:pict>
              <v:roundrect id="TextBox 1" o:spid="_x0000_s1028" style="position:absolute;left:0;text-align:left;margin-left:0;margin-top:0;width:132.9pt;height:5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" fillcolor="window" strokecolor="windowText" strokeweight="1pt">
                <v:stroke joinstyle="miter"/>
                <v:path arrowok="t"/>
                <v:textbox style="mso-fit-shape-to-text:t">
                  <w:txbxContent>
                    <w:p w:rsidR="00B25588" w:rsidRDefault="00B25588" w:rsidP="0019346F">
                      <w:pPr>
                        <w:pStyle w:val="NormalWeb"/>
                        <w:spacing w:before="0" w:beforeAutospacing="0" w:after="0" w:afterAutospacing="0"/>
                      </w:pPr>
                      <w:r w:rsidRPr="006A2886">
                        <w:rPr>
                          <w:rFonts w:ascii="Calibri" w:hAnsi="Calibri"/>
                          <w:color w:val="000000"/>
                          <w:kern w:val="24"/>
                        </w:rPr>
                        <w:t>Records retrieved through data base searches (n=</w:t>
                      </w:r>
                      <w:r w:rsidRPr="006A2886">
                        <w:rPr>
                          <w:rFonts w:ascii="Calibri" w:hAnsi="Calibri" w:cs="Arial"/>
                          <w:color w:val="000000"/>
                          <w:kern w:val="24"/>
                        </w:rPr>
                        <w:t xml:space="preserve"> 19,548)</w:t>
                      </w:r>
                    </w:p>
                  </w:txbxContent>
                </v:textbox>
              </v:roundrect>
            </w:pict>
          </mc:Fallback>
        </mc:AlternateContent>
      </w:r>
      <w:r w:rsidRPr="00C26F73">
        <w:rPr>
          <w:rFonts w:cs="Calibri"/>
          <w:noProof/>
          <w:lang w:val="en-GB" w:eastAsia="en-GB" w:bidi="ar-SA"/>
        </w:rPr>
        <mc:AlternateContent>
          <mc:Choice Requires="wps">
            <w:drawing>
              <wp:anchor distT="0" distB="0" distL="114300" distR="114300" simplePos="0" relativeHeight="251652096" behindDoc="0" locked="0" layoutInCell="1" allowOverlap="1">
                <wp:simplePos x="0" y="0"/>
                <wp:positionH relativeFrom="column">
                  <wp:posOffset>3431540</wp:posOffset>
                </wp:positionH>
                <wp:positionV relativeFrom="paragraph">
                  <wp:posOffset>2903220</wp:posOffset>
                </wp:positionV>
                <wp:extent cx="1643380" cy="527050"/>
                <wp:effectExtent l="0" t="0" r="0" b="6350"/>
                <wp:wrapNone/>
                <wp:docPr id="3"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3380" cy="5270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B25588" w:rsidRDefault="00B25588" w:rsidP="0019346F">
                            <w:pPr>
                              <w:pStyle w:val="NormalWeb"/>
                              <w:spacing w:before="0" w:beforeAutospacing="0" w:after="0" w:afterAutospacing="0"/>
                            </w:pPr>
                            <w:r w:rsidRPr="006A2886">
                              <w:rPr>
                                <w:rFonts w:ascii="Calibri" w:hAnsi="Calibri"/>
                                <w:color w:val="000000"/>
                                <w:kern w:val="24"/>
                              </w:rPr>
                              <w:t>Records kept for full review (n=205)</w:t>
                            </w:r>
                          </w:p>
                        </w:txbxContent>
                      </wps:txbx>
                      <wps:bodyPr wrap="square" rtlCol="1">
                        <a:spAutoFit/>
                      </wps:bodyPr>
                    </wps:wsp>
                  </a:graphicData>
                </a:graphic>
                <wp14:sizeRelH relativeFrom="page">
                  <wp14:pctWidth>0</wp14:pctWidth>
                </wp14:sizeRelH>
                <wp14:sizeRelV relativeFrom="page">
                  <wp14:pctHeight>0</wp14:pctHeight>
                </wp14:sizeRelV>
              </wp:anchor>
            </w:drawing>
          </mc:Choice>
          <mc:Fallback>
            <w:pict>
              <v:roundrect id="TextBox 2" o:spid="_x0000_s1029" style="position:absolute;left:0;text-align:left;margin-left:270.2pt;margin-top:228.6pt;width:129.4pt;height: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" fillcolor="window" strokecolor="windowText" strokeweight="1pt">
                <v:stroke joinstyle="miter"/>
                <v:path arrowok="t"/>
                <v:textbox style="mso-fit-shape-to-text:t">
                  <w:txbxContent>
                    <w:p w:rsidR="00B25588" w:rsidRDefault="00B25588" w:rsidP="0019346F">
                      <w:pPr>
                        <w:pStyle w:val="NormalWeb"/>
                        <w:spacing w:before="0" w:beforeAutospacing="0" w:after="0" w:afterAutospacing="0"/>
                      </w:pPr>
                      <w:r w:rsidRPr="006A2886">
                        <w:rPr>
                          <w:rFonts w:ascii="Calibri" w:hAnsi="Calibri"/>
                          <w:color w:val="000000"/>
                          <w:kern w:val="24"/>
                        </w:rPr>
                        <w:t>Records kept for full review (n=205)</w:t>
                      </w:r>
                    </w:p>
                  </w:txbxContent>
                </v:textbox>
              </v:roundrect>
            </w:pict>
          </mc:Fallback>
        </mc:AlternateContent>
      </w:r>
      <w:r w:rsidRPr="00C26F73">
        <w:rPr>
          <w:rFonts w:cs="Calibri"/>
          <w:noProof/>
          <w:lang w:val="en-GB" w:eastAsia="en-GB" w:bidi="ar-SA"/>
        </w:rPr>
        <mc:AlternateContent>
          <mc:Choice Requires="wps">
            <w:drawing>
              <wp:anchor distT="0" distB="0" distL="114300" distR="114300" simplePos="0" relativeHeight="251653120" behindDoc="0" locked="0" layoutInCell="1" allowOverlap="1">
                <wp:simplePos x="0" y="0"/>
                <wp:positionH relativeFrom="column">
                  <wp:posOffset>43815</wp:posOffset>
                </wp:positionH>
                <wp:positionV relativeFrom="paragraph">
                  <wp:posOffset>1272540</wp:posOffset>
                </wp:positionV>
                <wp:extent cx="1643380" cy="733425"/>
                <wp:effectExtent l="0" t="0" r="0" b="9525"/>
                <wp:wrapNone/>
                <wp:docPr id="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3380" cy="7334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B25588" w:rsidRDefault="00B25588" w:rsidP="0019346F">
                            <w:pPr>
                              <w:pStyle w:val="NormalWeb"/>
                              <w:spacing w:before="0" w:beforeAutospacing="0" w:after="0" w:afterAutospacing="0"/>
                            </w:pPr>
                            <w:r w:rsidRPr="006A2886">
                              <w:rPr>
                                <w:rFonts w:ascii="Calibri" w:hAnsi="Calibri"/>
                                <w:color w:val="000000"/>
                                <w:kern w:val="24"/>
                              </w:rPr>
                              <w:t>Records excluded based on title and abstract (n=</w:t>
                            </w:r>
                            <w:r w:rsidRPr="006A2886">
                              <w:rPr>
                                <w:rFonts w:ascii="Calibri" w:hAnsi="Calibri" w:cs="Arial"/>
                                <w:color w:val="000000"/>
                                <w:kern w:val="24"/>
                              </w:rPr>
                              <w:t xml:space="preserve"> 9,041)</w:t>
                            </w:r>
                          </w:p>
                        </w:txbxContent>
                      </wps:txbx>
                      <wps:bodyPr wrap="square" rtlCol="1">
                        <a:spAutoFit/>
                      </wps:bodyPr>
                    </wps:wsp>
                  </a:graphicData>
                </a:graphic>
                <wp14:sizeRelH relativeFrom="page">
                  <wp14:pctWidth>0</wp14:pctWidth>
                </wp14:sizeRelH>
                <wp14:sizeRelV relativeFrom="page">
                  <wp14:pctHeight>0</wp14:pctHeight>
                </wp14:sizeRelV>
              </wp:anchor>
            </w:drawing>
          </mc:Choice>
          <mc:Fallback>
            <w:pict>
              <v:roundrect id="TextBox 3" o:spid="_x0000_s1030" style="position:absolute;left:0;text-align:left;margin-left:3.45pt;margin-top:100.2pt;width:129.4pt;height:5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" fillcolor="window" strokecolor="windowText" strokeweight="1pt">
                <v:stroke joinstyle="miter"/>
                <v:path arrowok="t"/>
                <v:textbox style="mso-fit-shape-to-text:t">
                  <w:txbxContent>
                    <w:p w:rsidR="00B25588" w:rsidRDefault="00B25588" w:rsidP="0019346F">
                      <w:pPr>
                        <w:pStyle w:val="NormalWeb"/>
                        <w:spacing w:before="0" w:beforeAutospacing="0" w:after="0" w:afterAutospacing="0"/>
                      </w:pPr>
                      <w:r w:rsidRPr="006A2886">
                        <w:rPr>
                          <w:rFonts w:ascii="Calibri" w:hAnsi="Calibri"/>
                          <w:color w:val="000000"/>
                          <w:kern w:val="24"/>
                        </w:rPr>
                        <w:t>Records excluded based on title and abstract (n=</w:t>
                      </w:r>
                      <w:r w:rsidRPr="006A2886">
                        <w:rPr>
                          <w:rFonts w:ascii="Calibri" w:hAnsi="Calibri" w:cs="Arial"/>
                          <w:color w:val="000000"/>
                          <w:kern w:val="24"/>
                        </w:rPr>
                        <w:t xml:space="preserve"> 9,041)</w:t>
                      </w:r>
                    </w:p>
                  </w:txbxContent>
                </v:textbox>
              </v:roundrect>
            </w:pict>
          </mc:Fallback>
        </mc:AlternateContent>
      </w:r>
      <w:r w:rsidRPr="00C26F73">
        <w:rPr>
          <w:rFonts w:cs="Calibri"/>
          <w:noProof/>
          <w:lang w:val="en-GB" w:eastAsia="en-GB" w:bidi="ar-SA"/>
        </w:rPr>
        <mc:AlternateContent>
          <mc:Choice Requires="wps">
            <w:drawing>
              <wp:anchor distT="0" distB="0" distL="114300" distR="114300" simplePos="0" relativeHeight="251654144" behindDoc="0" locked="0" layoutInCell="1" allowOverlap="1">
                <wp:simplePos x="0" y="0"/>
                <wp:positionH relativeFrom="column">
                  <wp:posOffset>3431540</wp:posOffset>
                </wp:positionH>
                <wp:positionV relativeFrom="paragraph">
                  <wp:posOffset>1272540</wp:posOffset>
                </wp:positionV>
                <wp:extent cx="1643380" cy="733425"/>
                <wp:effectExtent l="0" t="0" r="0" b="9525"/>
                <wp:wrapNone/>
                <wp:docPr id="5"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3380" cy="7334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B25588" w:rsidRDefault="00B25588" w:rsidP="0019346F">
                            <w:pPr>
                              <w:pStyle w:val="NormalWeb"/>
                              <w:spacing w:before="0" w:beforeAutospacing="0" w:after="0" w:afterAutospacing="0"/>
                            </w:pPr>
                            <w:r w:rsidRPr="006A2886">
                              <w:rPr>
                                <w:rFonts w:ascii="Calibri" w:hAnsi="Calibri"/>
                                <w:color w:val="000000"/>
                                <w:kern w:val="24"/>
                              </w:rPr>
                              <w:t>Records after duplicates removed (n=</w:t>
                            </w:r>
                            <w:r w:rsidRPr="006A2886">
                              <w:rPr>
                                <w:rFonts w:ascii="Calibri" w:hAnsi="Calibri" w:cs="Arial"/>
                                <w:color w:val="000000"/>
                                <w:kern w:val="24"/>
                              </w:rPr>
                              <w:t xml:space="preserve"> 9,222)</w:t>
                            </w:r>
                          </w:p>
                        </w:txbxContent>
                      </wps:txbx>
                      <wps:bodyPr wrap="square" rtlCol="1">
                        <a:spAutoFit/>
                      </wps:bodyPr>
                    </wps:wsp>
                  </a:graphicData>
                </a:graphic>
                <wp14:sizeRelH relativeFrom="page">
                  <wp14:pctWidth>0</wp14:pctWidth>
                </wp14:sizeRelH>
                <wp14:sizeRelV relativeFrom="page">
                  <wp14:pctHeight>0</wp14:pctHeight>
                </wp14:sizeRelV>
              </wp:anchor>
            </w:drawing>
          </mc:Choice>
          <mc:Fallback>
            <w:pict>
              <v:roundrect id="TextBox 4" o:spid="_x0000_s1031" style="position:absolute;left:0;text-align:left;margin-left:270.2pt;margin-top:100.2pt;width:129.4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" fillcolor="window" strokecolor="windowText" strokeweight="1pt">
                <v:stroke joinstyle="miter"/>
                <v:path arrowok="t"/>
                <v:textbox style="mso-fit-shape-to-text:t">
                  <w:txbxContent>
                    <w:p w:rsidR="00B25588" w:rsidRDefault="00B25588" w:rsidP="0019346F">
                      <w:pPr>
                        <w:pStyle w:val="NormalWeb"/>
                        <w:spacing w:before="0" w:beforeAutospacing="0" w:after="0" w:afterAutospacing="0"/>
                      </w:pPr>
                      <w:r w:rsidRPr="006A2886">
                        <w:rPr>
                          <w:rFonts w:ascii="Calibri" w:hAnsi="Calibri"/>
                          <w:color w:val="000000"/>
                          <w:kern w:val="24"/>
                        </w:rPr>
                        <w:t>Records after duplicates removed (n=</w:t>
                      </w:r>
                      <w:r w:rsidRPr="006A2886">
                        <w:rPr>
                          <w:rFonts w:ascii="Calibri" w:hAnsi="Calibri" w:cs="Arial"/>
                          <w:color w:val="000000"/>
                          <w:kern w:val="24"/>
                        </w:rPr>
                        <w:t xml:space="preserve"> 9,222)</w:t>
                      </w:r>
                    </w:p>
                  </w:txbxContent>
                </v:textbox>
              </v:roundrect>
            </w:pict>
          </mc:Fallback>
        </mc:AlternateContent>
      </w:r>
      <w:r w:rsidRPr="00C26F73">
        <w:rPr>
          <w:rFonts w:cs="Calibri"/>
          <w:noProof/>
          <w:lang w:val="en-GB" w:eastAsia="en-GB" w:bidi="ar-SA"/>
        </w:rPr>
        <mc:AlternateContent>
          <mc:Choice Requires="wps">
            <w:drawing>
              <wp:anchor distT="0" distB="0" distL="114300" distR="114300" simplePos="0" relativeHeight="251656192" behindDoc="0" locked="0" layoutInCell="1" allowOverlap="1">
                <wp:simplePos x="0" y="0"/>
                <wp:positionH relativeFrom="column">
                  <wp:posOffset>6012815</wp:posOffset>
                </wp:positionH>
                <wp:positionV relativeFrom="paragraph">
                  <wp:posOffset>1272540</wp:posOffset>
                </wp:positionV>
                <wp:extent cx="1643380" cy="733425"/>
                <wp:effectExtent l="0" t="0" r="0" b="9525"/>
                <wp:wrapNone/>
                <wp:docPr id="7"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3380" cy="7334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B25588" w:rsidRDefault="00B25588" w:rsidP="0019346F">
                            <w:pPr>
                              <w:pStyle w:val="NormalWeb"/>
                              <w:spacing w:before="0" w:beforeAutospacing="0" w:after="0" w:afterAutospacing="0"/>
                            </w:pPr>
                            <w:r w:rsidRPr="006A2886">
                              <w:rPr>
                                <w:rFonts w:ascii="Calibri" w:hAnsi="Calibri"/>
                                <w:color w:val="000000"/>
                                <w:kern w:val="24"/>
                              </w:rPr>
                              <w:t>Records identified by additional Google search (n=24).</w:t>
                            </w:r>
                          </w:p>
                        </w:txbxContent>
                      </wps:txbx>
                      <wps:bodyPr wrap="square" rtlCol="1">
                        <a:spAutoFit/>
                      </wps:bodyPr>
                    </wps:wsp>
                  </a:graphicData>
                </a:graphic>
                <wp14:sizeRelH relativeFrom="page">
                  <wp14:pctWidth>0</wp14:pctWidth>
                </wp14:sizeRelH>
                <wp14:sizeRelV relativeFrom="page">
                  <wp14:pctHeight>0</wp14:pctHeight>
                </wp14:sizeRelV>
              </wp:anchor>
            </w:drawing>
          </mc:Choice>
          <mc:Fallback>
            <w:pict>
              <v:roundrect id="TextBox 6" o:spid="_x0000_s1032" style="position:absolute;left:0;text-align:left;margin-left:473.45pt;margin-top:100.2pt;width:129.4pt;height:5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" fillcolor="window" strokecolor="windowText" strokeweight="1pt">
                <v:stroke joinstyle="miter"/>
                <v:path arrowok="t"/>
                <v:textbox style="mso-fit-shape-to-text:t">
                  <w:txbxContent>
                    <w:p w:rsidR="00B25588" w:rsidRDefault="00B25588" w:rsidP="0019346F">
                      <w:pPr>
                        <w:pStyle w:val="NormalWeb"/>
                        <w:spacing w:before="0" w:beforeAutospacing="0" w:after="0" w:afterAutospacing="0"/>
                      </w:pPr>
                      <w:r w:rsidRPr="006A2886">
                        <w:rPr>
                          <w:rFonts w:ascii="Calibri" w:hAnsi="Calibri"/>
                          <w:color w:val="000000"/>
                          <w:kern w:val="24"/>
                        </w:rPr>
                        <w:t>Records identified by additional Google search (n=24).</w:t>
                      </w:r>
                    </w:p>
                  </w:txbxContent>
                </v:textbox>
              </v:roundrect>
            </w:pict>
          </mc:Fallback>
        </mc:AlternateContent>
      </w:r>
      <w:r w:rsidRPr="00C26F73">
        <w:rPr>
          <w:rFonts w:cs="Calibri"/>
          <w:noProof/>
          <w:lang w:val="en-GB" w:eastAsia="en-GB" w:bidi="ar-SA"/>
        </w:rPr>
        <mc:AlternateContent>
          <mc:Choice Requires="wps">
            <w:drawing>
              <wp:anchor distT="0" distB="0" distL="114300" distR="114300" simplePos="0" relativeHeight="251657216" behindDoc="0" locked="0" layoutInCell="1" allowOverlap="1">
                <wp:simplePos x="0" y="0"/>
                <wp:positionH relativeFrom="column">
                  <wp:posOffset>3431540</wp:posOffset>
                </wp:positionH>
                <wp:positionV relativeFrom="paragraph">
                  <wp:posOffset>4237355</wp:posOffset>
                </wp:positionV>
                <wp:extent cx="1643380" cy="733425"/>
                <wp:effectExtent l="0" t="0" r="0" b="9525"/>
                <wp:wrapNone/>
                <wp:docPr id="8"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3380" cy="7334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B25588" w:rsidRDefault="00B25588" w:rsidP="0019346F">
                            <w:pPr>
                              <w:pStyle w:val="NormalWeb"/>
                              <w:spacing w:before="0" w:beforeAutospacing="0" w:after="0" w:afterAutospacing="0"/>
                            </w:pPr>
                            <w:r w:rsidRPr="006A2886">
                              <w:rPr>
                                <w:rFonts w:ascii="Calibri" w:hAnsi="Calibri"/>
                                <w:color w:val="000000"/>
                                <w:kern w:val="24"/>
                              </w:rPr>
                              <w:t>Records retained for systematic review (</w:t>
                            </w:r>
                            <w:r w:rsidRPr="006A2886">
                              <w:rPr>
                                <w:rFonts w:ascii="Calibri" w:hAnsi="Calibri"/>
                                <w:b/>
                                <w:bCs/>
                                <w:color w:val="000000"/>
                                <w:kern w:val="24"/>
                              </w:rPr>
                              <w:t>n=20</w:t>
                            </w:r>
                            <w:r w:rsidRPr="006A2886">
                              <w:rPr>
                                <w:rFonts w:ascii="Calibri" w:hAnsi="Calibri"/>
                                <w:color w:val="000000"/>
                                <w:kern w:val="24"/>
                              </w:rPr>
                              <w:t>)</w:t>
                            </w:r>
                          </w:p>
                        </w:txbxContent>
                      </wps:txbx>
                      <wps:bodyPr wrap="square" rtlCol="1">
                        <a:spAutoFit/>
                      </wps:bodyPr>
                    </wps:wsp>
                  </a:graphicData>
                </a:graphic>
                <wp14:sizeRelH relativeFrom="page">
                  <wp14:pctWidth>0</wp14:pctWidth>
                </wp14:sizeRelH>
                <wp14:sizeRelV relativeFrom="page">
                  <wp14:pctHeight>0</wp14:pctHeight>
                </wp14:sizeRelV>
              </wp:anchor>
            </w:drawing>
          </mc:Choice>
          <mc:Fallback>
            <w:pict>
              <v:roundrect id="TextBox 7" o:spid="_x0000_s1033" style="position:absolute;left:0;text-align:left;margin-left:270.2pt;margin-top:333.65pt;width:129.4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" fillcolor="window" strokecolor="windowText" strokeweight="1pt">
                <v:stroke joinstyle="miter"/>
                <v:path arrowok="t"/>
                <v:textbox style="mso-fit-shape-to-text:t">
                  <w:txbxContent>
                    <w:p w:rsidR="00B25588" w:rsidRDefault="00B25588" w:rsidP="0019346F">
                      <w:pPr>
                        <w:pStyle w:val="NormalWeb"/>
                        <w:spacing w:before="0" w:beforeAutospacing="0" w:after="0" w:afterAutospacing="0"/>
                      </w:pPr>
                      <w:r w:rsidRPr="006A2886">
                        <w:rPr>
                          <w:rFonts w:ascii="Calibri" w:hAnsi="Calibri"/>
                          <w:color w:val="000000"/>
                          <w:kern w:val="24"/>
                        </w:rPr>
                        <w:t>Records retained for systematic review (</w:t>
                      </w:r>
                      <w:r w:rsidRPr="006A2886">
                        <w:rPr>
                          <w:rFonts w:ascii="Calibri" w:hAnsi="Calibri"/>
                          <w:b/>
                          <w:bCs/>
                          <w:color w:val="000000"/>
                          <w:kern w:val="24"/>
                        </w:rPr>
                        <w:t>n=20</w:t>
                      </w:r>
                      <w:r w:rsidRPr="006A2886">
                        <w:rPr>
                          <w:rFonts w:ascii="Calibri" w:hAnsi="Calibri"/>
                          <w:color w:val="000000"/>
                          <w:kern w:val="24"/>
                        </w:rPr>
                        <w:t>)</w:t>
                      </w:r>
                    </w:p>
                  </w:txbxContent>
                </v:textbox>
              </v:roundrect>
            </w:pict>
          </mc:Fallback>
        </mc:AlternateContent>
      </w:r>
      <w:r w:rsidRPr="00C26F73">
        <w:rPr>
          <w:rFonts w:cs="Calibri"/>
          <w:noProof/>
          <w:lang w:val="en-GB" w:eastAsia="en-GB" w:bidi="ar-SA"/>
        </w:rPr>
        <mc:AlternateContent>
          <mc:Choice Requires="wps">
            <w:drawing>
              <wp:anchor distT="0" distB="0" distL="114300" distR="114300" simplePos="0" relativeHeight="251658240" behindDoc="0" locked="0" layoutInCell="1" allowOverlap="1">
                <wp:simplePos x="0" y="0"/>
                <wp:positionH relativeFrom="column">
                  <wp:posOffset>4253230</wp:posOffset>
                </wp:positionH>
                <wp:positionV relativeFrom="paragraph">
                  <wp:posOffset>1649095</wp:posOffset>
                </wp:positionV>
                <wp:extent cx="1759585" cy="1273175"/>
                <wp:effectExtent l="38100" t="19050" r="0" b="22225"/>
                <wp:wrapNone/>
                <wp:docPr id="11" name="מחבר חץ ישר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59585" cy="12731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EFADAA" id="מחבר חץ ישר 10" o:spid="_x0000_s1026" type="#_x0000_t32" style="position:absolute;margin-left:334.9pt;margin-top:129.85pt;width:138.55pt;height:100.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" strokecolor="windowText" strokeweight="2.25pt">
                <v:stroke endarrow="block" joinstyle="miter"/>
                <o:lock v:ext="edit" shapetype="f"/>
              </v:shape>
            </w:pict>
          </mc:Fallback>
        </mc:AlternateContent>
      </w:r>
      <w:r w:rsidRPr="00C26F73">
        <w:rPr>
          <w:rFonts w:cs="Calibri"/>
          <w:noProof/>
          <w:lang w:val="en-GB" w:eastAsia="en-GB" w:bidi="ar-SA"/>
        </w:rPr>
        <mc:AlternateContent>
          <mc:Choice Requires="wps">
            <w:drawing>
              <wp:anchor distT="0" distB="0" distL="114300" distR="114300" simplePos="0" relativeHeight="251659264" behindDoc="0" locked="0" layoutInCell="1" allowOverlap="1">
                <wp:simplePos x="0" y="0"/>
                <wp:positionH relativeFrom="column">
                  <wp:posOffset>1687830</wp:posOffset>
                </wp:positionH>
                <wp:positionV relativeFrom="paragraph">
                  <wp:posOffset>376555</wp:posOffset>
                </wp:positionV>
                <wp:extent cx="1743710" cy="1273175"/>
                <wp:effectExtent l="19050" t="19050" r="27940" b="22225"/>
                <wp:wrapNone/>
                <wp:docPr id="12" name="מחבר חץ ישר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3710" cy="127317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32D83A" id="מחבר חץ ישר 11" o:spid="_x0000_s1026" type="#_x0000_t32" style="position:absolute;margin-left:132.9pt;margin-top:29.65pt;width:137.3pt;height:10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" strokecolor="windowText" strokeweight="2.25pt">
                <v:stroke endarrow="block" joinstyle="miter"/>
                <o:lock v:ext="edit" shapetype="f"/>
              </v:shape>
            </w:pict>
          </mc:Fallback>
        </mc:AlternateContent>
      </w:r>
      <w:r w:rsidRPr="00C26F73">
        <w:rPr>
          <w:rFonts w:cs="Calibri"/>
          <w:noProof/>
          <w:lang w:val="en-GB" w:eastAsia="en-GB" w:bidi="ar-SA"/>
        </w:rPr>
        <mc:AlternateContent>
          <mc:Choice Requires="wps">
            <w:drawing>
              <wp:anchor distT="0" distB="0" distL="114299" distR="114299" simplePos="0" relativeHeight="251660288" behindDoc="0" locked="0" layoutInCell="1" allowOverlap="1">
                <wp:simplePos x="0" y="0"/>
                <wp:positionH relativeFrom="column">
                  <wp:posOffset>4253229</wp:posOffset>
                </wp:positionH>
                <wp:positionV relativeFrom="paragraph">
                  <wp:posOffset>1987550</wp:posOffset>
                </wp:positionV>
                <wp:extent cx="0" cy="915670"/>
                <wp:effectExtent l="95250" t="0" r="38100" b="36830"/>
                <wp:wrapNone/>
                <wp:docPr id="16" name="מחבר חץ ישר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567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DA0E47" id="מחבר חץ ישר 15" o:spid="_x0000_s1026" type="#_x0000_t32" style="position:absolute;margin-left:334.9pt;margin-top:156.5pt;width:0;height:72.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" strokecolor="windowText" strokeweight="2.25pt">
                <v:stroke endarrow="block" joinstyle="miter"/>
                <o:lock v:ext="edit" shapetype="f"/>
              </v:shape>
            </w:pict>
          </mc:Fallback>
        </mc:AlternateContent>
      </w:r>
      <w:r w:rsidRPr="00C26F73">
        <w:rPr>
          <w:rFonts w:cs="Calibri"/>
          <w:noProof/>
          <w:lang w:val="en-GB" w:eastAsia="en-GB" w:bidi="ar-SA"/>
        </w:rPr>
        <mc:AlternateContent>
          <mc:Choice Requires="wps">
            <w:drawing>
              <wp:anchor distT="0" distB="0" distL="114299" distR="114299" simplePos="0" relativeHeight="251661312" behindDoc="0" locked="0" layoutInCell="1" allowOverlap="1">
                <wp:simplePos x="0" y="0"/>
                <wp:positionH relativeFrom="column">
                  <wp:posOffset>4253229</wp:posOffset>
                </wp:positionH>
                <wp:positionV relativeFrom="paragraph">
                  <wp:posOffset>3413760</wp:posOffset>
                </wp:positionV>
                <wp:extent cx="0" cy="823595"/>
                <wp:effectExtent l="95250" t="0" r="38100" b="33655"/>
                <wp:wrapNone/>
                <wp:docPr id="18" name="מחבר חץ ישר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2359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2CE5AE" id="מחבר חץ ישר 17" o:spid="_x0000_s1026" type="#_x0000_t32" style="position:absolute;margin-left:334.9pt;margin-top:268.8pt;width:0;height:64.8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" strokecolor="windowText" strokeweight="2.25pt">
                <v:stroke endarrow="block" joinstyle="miter"/>
                <o:lock v:ext="edit" shapetype="f"/>
              </v:shape>
            </w:pict>
          </mc:Fallback>
        </mc:AlternateContent>
      </w:r>
      <w:r w:rsidRPr="00C26F73">
        <w:rPr>
          <w:rFonts w:cs="Calibri"/>
          <w:noProof/>
          <w:lang w:val="en-GB" w:eastAsia="en-GB" w:bidi="ar-SA"/>
        </w:rPr>
        <mc:AlternateContent>
          <mc:Choice Requires="wps">
            <w:drawing>
              <wp:anchor distT="4294967295" distB="4294967295" distL="114300" distR="114300" simplePos="0" relativeHeight="251662336" behindDoc="0" locked="0" layoutInCell="1" allowOverlap="1">
                <wp:simplePos x="0" y="0"/>
                <wp:positionH relativeFrom="column">
                  <wp:posOffset>1687830</wp:posOffset>
                </wp:positionH>
                <wp:positionV relativeFrom="paragraph">
                  <wp:posOffset>1725294</wp:posOffset>
                </wp:positionV>
                <wp:extent cx="1743710" cy="0"/>
                <wp:effectExtent l="0" t="95250" r="0" b="76200"/>
                <wp:wrapNone/>
                <wp:docPr id="21" name="מחבר חץ ישר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743710"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0F9BCD" id="מחבר חץ ישר 20" o:spid="_x0000_s1026" type="#_x0000_t32" style="position:absolute;margin-left:132.9pt;margin-top:135.85pt;width:137.3pt;height:0;flip:x 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" strokecolor="windowText" strokeweight="2.25pt">
                <v:stroke endarrow="block" joinstyle="miter"/>
                <o:lock v:ext="edit" shapetype="f"/>
              </v:shape>
            </w:pict>
          </mc:Fallback>
        </mc:AlternateContent>
      </w:r>
    </w:p>
    <w:p w:rsidR="0019346F" w:rsidRPr="00C26F73" w:rsidRDefault="0019346F" w:rsidP="0019346F">
      <w:pPr>
        <w:spacing w:line="480" w:lineRule="auto"/>
      </w:pPr>
    </w:p>
    <w:p w:rsidR="0019346F" w:rsidRPr="00C26F73" w:rsidRDefault="0019346F" w:rsidP="007E495D">
      <w:pPr>
        <w:spacing w:line="240" w:lineRule="auto"/>
        <w:contextualSpacing/>
        <w:jc w:val="both"/>
        <w:rPr>
          <w:b w:val="0"/>
        </w:rPr>
      </w:pPr>
    </w:p>
    <w:sectPr w:rsidR="0019346F" w:rsidRPr="00C26F73" w:rsidSect="00BA2944">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32F" w:rsidRDefault="0071032F" w:rsidP="00C26B40">
      <w:pPr>
        <w:spacing w:after="0" w:line="240" w:lineRule="auto"/>
      </w:pPr>
      <w:r>
        <w:separator/>
      </w:r>
    </w:p>
  </w:endnote>
  <w:endnote w:type="continuationSeparator" w:id="0">
    <w:p w:rsidR="0071032F" w:rsidRDefault="0071032F" w:rsidP="00C2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vTT378de93d">
    <w:altName w:val="Cambria"/>
    <w:panose1 w:val="00000000000000000000"/>
    <w:charset w:val="00"/>
    <w:family w:val="roman"/>
    <w:notTrueType/>
    <w:pitch w:val="default"/>
  </w:font>
  <w:font w:name="AdvTT378de93d+fb">
    <w:altName w:val="Cambria"/>
    <w:panose1 w:val="00000000000000000000"/>
    <w:charset w:val="00"/>
    <w:family w:val="roman"/>
    <w:notTrueType/>
    <w:pitch w:val="default"/>
  </w:font>
  <w:font w:name="Yu Gothic Light">
    <w:altName w:val="游ゴシック Light"/>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73A" w:rsidRDefault="00DE3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73A" w:rsidRDefault="00DE37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73A" w:rsidRDefault="00DE3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32F" w:rsidRDefault="0071032F" w:rsidP="00C26B40">
      <w:pPr>
        <w:spacing w:after="0" w:line="240" w:lineRule="auto"/>
      </w:pPr>
      <w:r>
        <w:separator/>
      </w:r>
    </w:p>
  </w:footnote>
  <w:footnote w:type="continuationSeparator" w:id="0">
    <w:p w:rsidR="0071032F" w:rsidRDefault="0071032F" w:rsidP="00C26B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73A" w:rsidRDefault="00DE37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73A" w:rsidRDefault="00DE373A" w:rsidP="00DE373A">
    <w:pPr>
      <w:pStyle w:val="Header"/>
      <w:rPr>
        <w:lang w:val="en-GB"/>
      </w:rPr>
    </w:pPr>
    <w:r>
      <w:rPr>
        <w:lang w:val="en-GB"/>
      </w:rPr>
      <w:t>To cite: Gewirtz-Meydan*, A., Hafford-Letchfield</w:t>
    </w:r>
    <w:r w:rsidRPr="00DE373A">
      <w:rPr>
        <w:lang w:val="en-GB"/>
      </w:rPr>
      <w:t>,</w:t>
    </w:r>
    <w:r>
      <w:rPr>
        <w:lang w:val="en-GB"/>
      </w:rPr>
      <w:t xml:space="preserve"> T., </w:t>
    </w:r>
    <w:r w:rsidRPr="00DE373A">
      <w:rPr>
        <w:lang w:val="en-GB"/>
      </w:rPr>
      <w:t>Aya</w:t>
    </w:r>
    <w:r>
      <w:rPr>
        <w:lang w:val="en-GB"/>
      </w:rPr>
      <w:t xml:space="preserve">lon, L., Benyamini, Y., </w:t>
    </w:r>
  </w:p>
  <w:p w:rsidR="00DE373A" w:rsidRDefault="00DE373A" w:rsidP="00DE373A">
    <w:pPr>
      <w:pStyle w:val="Header"/>
      <w:rPr>
        <w:lang w:val="en-GB"/>
      </w:rPr>
    </w:pPr>
    <w:r w:rsidRPr="00DE373A">
      <w:rPr>
        <w:lang w:val="en-GB"/>
      </w:rPr>
      <w:t xml:space="preserve">Biermann, </w:t>
    </w:r>
    <w:r>
      <w:rPr>
        <w:lang w:val="en-GB"/>
      </w:rPr>
      <w:t xml:space="preserve">V., </w:t>
    </w:r>
    <w:r w:rsidRPr="00DE373A">
      <w:rPr>
        <w:lang w:val="en-GB"/>
      </w:rPr>
      <w:t xml:space="preserve">Coffey, </w:t>
    </w:r>
    <w:r>
      <w:rPr>
        <w:lang w:val="en-GB"/>
      </w:rPr>
      <w:t xml:space="preserve">A., </w:t>
    </w:r>
    <w:r w:rsidRPr="00DE373A">
      <w:rPr>
        <w:lang w:val="en-GB"/>
      </w:rPr>
      <w:t>Jackson,</w:t>
    </w:r>
    <w:r>
      <w:rPr>
        <w:lang w:val="en-GB"/>
      </w:rPr>
      <w:t xml:space="preserve"> J.</w:t>
    </w:r>
    <w:r>
      <w:rPr>
        <w:lang w:val="en-GB"/>
      </w:rPr>
      <w:t xml:space="preserve">, </w:t>
    </w:r>
    <w:r w:rsidRPr="00DE373A">
      <w:rPr>
        <w:lang w:val="en-GB"/>
      </w:rPr>
      <w:t xml:space="preserve"> Phelan</w:t>
    </w:r>
    <w:bookmarkStart w:id="7" w:name="_GoBack"/>
    <w:bookmarkEnd w:id="7"/>
    <w:r w:rsidRPr="00DE373A">
      <w:rPr>
        <w:lang w:val="en-GB"/>
      </w:rPr>
      <w:t xml:space="preserve">, </w:t>
    </w:r>
    <w:r>
      <w:rPr>
        <w:lang w:val="en-GB"/>
      </w:rPr>
      <w:t xml:space="preserve">A., </w:t>
    </w:r>
    <w:r w:rsidRPr="00DE373A">
      <w:rPr>
        <w:lang w:val="en-GB"/>
      </w:rPr>
      <w:t xml:space="preserve"> Voß, </w:t>
    </w:r>
    <w:r>
      <w:rPr>
        <w:lang w:val="en-GB"/>
      </w:rPr>
      <w:t xml:space="preserve">P., </w:t>
    </w:r>
    <w:r w:rsidRPr="00DE373A">
      <w:rPr>
        <w:lang w:val="en-GB"/>
      </w:rPr>
      <w:t>Geiger</w:t>
    </w:r>
    <w:r>
      <w:rPr>
        <w:lang w:val="en-GB"/>
      </w:rPr>
      <w:t xml:space="preserve">, M., </w:t>
    </w:r>
    <w:r w:rsidRPr="00DE373A">
      <w:rPr>
        <w:lang w:val="en-GB"/>
      </w:rPr>
      <w:t>Zeman</w:t>
    </w:r>
    <w:r>
      <w:rPr>
        <w:lang w:val="en-GB"/>
      </w:rPr>
      <w:t xml:space="preserve">, Z. (2018) </w:t>
    </w:r>
    <w:r w:rsidRPr="00DE373A">
      <w:rPr>
        <w:lang w:val="en-GB"/>
      </w:rPr>
      <w:t>How do older people discuss their own sexuality? A systematic review of qualitative research studies</w:t>
    </w:r>
    <w:r>
      <w:rPr>
        <w:lang w:val="en-GB"/>
      </w:rPr>
      <w:t>,</w:t>
    </w:r>
    <w:r w:rsidRPr="00DE373A">
      <w:rPr>
        <w:i/>
        <w:lang w:val="en-GB"/>
      </w:rPr>
      <w:t xml:space="preserve"> Culture, Health and Sexuality</w:t>
    </w:r>
    <w:r>
      <w:rPr>
        <w:lang w:val="en-GB"/>
      </w:rPr>
      <w:t>, Published online first</w:t>
    </w:r>
    <w:r w:rsidRPr="00DE373A">
      <w:t xml:space="preserve"> </w:t>
    </w:r>
    <w:hyperlink r:id="rId1" w:history="1">
      <w:r w:rsidRPr="000D2906">
        <w:rPr>
          <w:rStyle w:val="Hyperlink"/>
          <w:lang w:val="en-GB"/>
        </w:rPr>
        <w:t>https://doi.org/10.1080/13691058.2018.1465203</w:t>
      </w:r>
    </w:hyperlink>
  </w:p>
  <w:p w:rsidR="00DE373A" w:rsidRPr="00DE373A" w:rsidRDefault="00DE373A" w:rsidP="00DE373A">
    <w:pPr>
      <w:pStyle w:val="Header"/>
      <w:rPr>
        <w:lang w:val="en-GB"/>
      </w:rPr>
    </w:pPr>
    <w:r w:rsidRPr="00DE373A">
      <w:rPr>
        <w:lang w:val="en-GB"/>
      </w:rPr>
      <w:t xml:space="preserve"> </w:t>
    </w:r>
    <w:r>
      <w:rPr>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73A" w:rsidRDefault="00DE37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8D4"/>
    <w:multiLevelType w:val="hybridMultilevel"/>
    <w:tmpl w:val="BC50F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2D396D"/>
    <w:multiLevelType w:val="hybridMultilevel"/>
    <w:tmpl w:val="EA92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421701"/>
    <w:multiLevelType w:val="hybridMultilevel"/>
    <w:tmpl w:val="4E60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930A71"/>
    <w:multiLevelType w:val="hybridMultilevel"/>
    <w:tmpl w:val="0E58B86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nsid w:val="1E3A512A"/>
    <w:multiLevelType w:val="hybridMultilevel"/>
    <w:tmpl w:val="DB1A2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D760CA"/>
    <w:multiLevelType w:val="hybridMultilevel"/>
    <w:tmpl w:val="4DA2A630"/>
    <w:lvl w:ilvl="0" w:tplc="B77C8FC0">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88651A"/>
    <w:multiLevelType w:val="hybridMultilevel"/>
    <w:tmpl w:val="A5F67D06"/>
    <w:lvl w:ilvl="0" w:tplc="08090001">
      <w:start w:val="1"/>
      <w:numFmt w:val="bullet"/>
      <w:lvlText w:val=""/>
      <w:lvlJc w:val="left"/>
      <w:pPr>
        <w:ind w:left="720" w:hanging="360"/>
      </w:pPr>
      <w:rPr>
        <w:rFonts w:ascii="Symbol" w:hAnsi="Symbol" w:hint="default"/>
      </w:rPr>
    </w:lvl>
    <w:lvl w:ilvl="1" w:tplc="E02CAED6">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A5377E"/>
    <w:multiLevelType w:val="hybridMultilevel"/>
    <w:tmpl w:val="DC506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476C74"/>
    <w:multiLevelType w:val="hybridMultilevel"/>
    <w:tmpl w:val="1264C3CE"/>
    <w:lvl w:ilvl="0" w:tplc="60E82866">
      <w:start w:val="1"/>
      <w:numFmt w:val="upperLetter"/>
      <w:lvlText w:val="%1."/>
      <w:lvlJc w:val="left"/>
      <w:pPr>
        <w:ind w:left="643" w:hanging="360"/>
      </w:pPr>
      <w:rPr>
        <w:rFonts w:ascii="Calibri" w:eastAsia="Calibri" w:hAnsi="Calibri" w:cs="Arial"/>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9">
    <w:nsid w:val="61F11C7E"/>
    <w:multiLevelType w:val="hybridMultilevel"/>
    <w:tmpl w:val="9016114C"/>
    <w:lvl w:ilvl="0" w:tplc="030C32A8">
      <w:start w:val="1"/>
      <w:numFmt w:val="decimal"/>
      <w:lvlText w:val="%1)"/>
      <w:lvlJc w:val="left"/>
      <w:pPr>
        <w:tabs>
          <w:tab w:val="num" w:pos="720"/>
        </w:tabs>
        <w:ind w:left="720" w:hanging="360"/>
      </w:pPr>
    </w:lvl>
    <w:lvl w:ilvl="1" w:tplc="C19E5E44" w:tentative="1">
      <w:start w:val="1"/>
      <w:numFmt w:val="decimal"/>
      <w:lvlText w:val="%2)"/>
      <w:lvlJc w:val="left"/>
      <w:pPr>
        <w:tabs>
          <w:tab w:val="num" w:pos="1440"/>
        </w:tabs>
        <w:ind w:left="1440" w:hanging="360"/>
      </w:pPr>
    </w:lvl>
    <w:lvl w:ilvl="2" w:tplc="B7E8E372" w:tentative="1">
      <w:start w:val="1"/>
      <w:numFmt w:val="decimal"/>
      <w:lvlText w:val="%3)"/>
      <w:lvlJc w:val="left"/>
      <w:pPr>
        <w:tabs>
          <w:tab w:val="num" w:pos="2160"/>
        </w:tabs>
        <w:ind w:left="2160" w:hanging="360"/>
      </w:pPr>
    </w:lvl>
    <w:lvl w:ilvl="3" w:tplc="316C8292" w:tentative="1">
      <w:start w:val="1"/>
      <w:numFmt w:val="decimal"/>
      <w:lvlText w:val="%4)"/>
      <w:lvlJc w:val="left"/>
      <w:pPr>
        <w:tabs>
          <w:tab w:val="num" w:pos="2880"/>
        </w:tabs>
        <w:ind w:left="2880" w:hanging="360"/>
      </w:pPr>
    </w:lvl>
    <w:lvl w:ilvl="4" w:tplc="9A461848" w:tentative="1">
      <w:start w:val="1"/>
      <w:numFmt w:val="decimal"/>
      <w:lvlText w:val="%5)"/>
      <w:lvlJc w:val="left"/>
      <w:pPr>
        <w:tabs>
          <w:tab w:val="num" w:pos="3600"/>
        </w:tabs>
        <w:ind w:left="3600" w:hanging="360"/>
      </w:pPr>
    </w:lvl>
    <w:lvl w:ilvl="5" w:tplc="C10698E6" w:tentative="1">
      <w:start w:val="1"/>
      <w:numFmt w:val="decimal"/>
      <w:lvlText w:val="%6)"/>
      <w:lvlJc w:val="left"/>
      <w:pPr>
        <w:tabs>
          <w:tab w:val="num" w:pos="4320"/>
        </w:tabs>
        <w:ind w:left="4320" w:hanging="360"/>
      </w:pPr>
    </w:lvl>
    <w:lvl w:ilvl="6" w:tplc="20BC41DA" w:tentative="1">
      <w:start w:val="1"/>
      <w:numFmt w:val="decimal"/>
      <w:lvlText w:val="%7)"/>
      <w:lvlJc w:val="left"/>
      <w:pPr>
        <w:tabs>
          <w:tab w:val="num" w:pos="5040"/>
        </w:tabs>
        <w:ind w:left="5040" w:hanging="360"/>
      </w:pPr>
    </w:lvl>
    <w:lvl w:ilvl="7" w:tplc="BE428AB6" w:tentative="1">
      <w:start w:val="1"/>
      <w:numFmt w:val="decimal"/>
      <w:lvlText w:val="%8)"/>
      <w:lvlJc w:val="left"/>
      <w:pPr>
        <w:tabs>
          <w:tab w:val="num" w:pos="5760"/>
        </w:tabs>
        <w:ind w:left="5760" w:hanging="360"/>
      </w:pPr>
    </w:lvl>
    <w:lvl w:ilvl="8" w:tplc="E09A1DD8" w:tentative="1">
      <w:start w:val="1"/>
      <w:numFmt w:val="decimal"/>
      <w:lvlText w:val="%9)"/>
      <w:lvlJc w:val="left"/>
      <w:pPr>
        <w:tabs>
          <w:tab w:val="num" w:pos="6480"/>
        </w:tabs>
        <w:ind w:left="6480" w:hanging="360"/>
      </w:pPr>
    </w:lvl>
  </w:abstractNum>
  <w:abstractNum w:abstractNumId="10">
    <w:nsid w:val="77ED1BAD"/>
    <w:multiLevelType w:val="hybridMultilevel"/>
    <w:tmpl w:val="66D69788"/>
    <w:lvl w:ilvl="0" w:tplc="8AF45A16">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CC43880"/>
    <w:multiLevelType w:val="hybridMultilevel"/>
    <w:tmpl w:val="979A5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DF4037"/>
    <w:multiLevelType w:val="hybridMultilevel"/>
    <w:tmpl w:val="4A724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5"/>
  </w:num>
  <w:num w:numId="5">
    <w:abstractNumId w:val="9"/>
  </w:num>
  <w:num w:numId="6">
    <w:abstractNumId w:val="6"/>
  </w:num>
  <w:num w:numId="7">
    <w:abstractNumId w:val="3"/>
  </w:num>
  <w:num w:numId="8">
    <w:abstractNumId w:val="12"/>
  </w:num>
  <w:num w:numId="9">
    <w:abstractNumId w:val="7"/>
  </w:num>
  <w:num w:numId="10">
    <w:abstractNumId w:val="1"/>
  </w:num>
  <w:num w:numId="11">
    <w:abstractNumId w:val="0"/>
  </w:num>
  <w:num w:numId="12">
    <w:abstractNumId w:val="2"/>
  </w:num>
  <w:num w:numId="13">
    <w:abstractNumId w:val="11"/>
  </w:num>
  <w:num w:numId="14">
    <w:abstractNumId w:val="6"/>
    <w:lvlOverride w:ilvl="0"/>
    <w:lvlOverride w:ilvl="1"/>
    <w:lvlOverride w:ilvl="2"/>
    <w:lvlOverride w:ilvl="3"/>
    <w:lvlOverride w:ilvl="4"/>
    <w:lvlOverride w:ilvl="5"/>
    <w:lvlOverride w:ilvl="6"/>
    <w:lvlOverride w:ilvl="7"/>
    <w:lvlOverride w:ilvl="8"/>
  </w:num>
  <w:num w:numId="15">
    <w:abstractNumId w:val="3"/>
    <w:lvlOverride w:ilvl="0"/>
    <w:lvlOverride w:ilvl="1"/>
    <w:lvlOverride w:ilvl="2"/>
    <w:lvlOverride w:ilvl="3"/>
    <w:lvlOverride w:ilvl="4"/>
    <w:lvlOverride w:ilvl="5"/>
    <w:lvlOverride w:ilvl="6"/>
    <w:lvlOverride w:ilvl="7"/>
    <w:lvlOverride w:ilvl="8"/>
  </w:num>
  <w:num w:numId="16">
    <w:abstractNumId w:val="12"/>
    <w:lvlOverride w:ilvl="0"/>
    <w:lvlOverride w:ilvl="1"/>
    <w:lvlOverride w:ilvl="2"/>
    <w:lvlOverride w:ilvl="3"/>
    <w:lvlOverride w:ilvl="4"/>
    <w:lvlOverride w:ilvl="5"/>
    <w:lvlOverride w:ilvl="6"/>
    <w:lvlOverride w:ilvl="7"/>
    <w:lvlOverride w:ilvl="8"/>
  </w:num>
  <w:num w:numId="17">
    <w:abstractNumId w:val="0"/>
    <w:lvlOverride w:ilvl="0"/>
    <w:lvlOverride w:ilvl="1"/>
    <w:lvlOverride w:ilvl="2"/>
    <w:lvlOverride w:ilvl="3"/>
    <w:lvlOverride w:ilvl="4"/>
    <w:lvlOverride w:ilvl="5"/>
    <w:lvlOverride w:ilvl="6"/>
    <w:lvlOverride w:ilvl="7"/>
    <w:lvlOverride w:ilvl="8"/>
  </w:num>
  <w:num w:numId="18">
    <w:abstractNumId w:val="2"/>
    <w:lvlOverride w:ilvl="0"/>
    <w:lvlOverride w:ilvl="1"/>
    <w:lvlOverride w:ilvl="2"/>
    <w:lvlOverride w:ilvl="3"/>
    <w:lvlOverride w:ilvl="4"/>
    <w:lvlOverride w:ilvl="5"/>
    <w:lvlOverride w:ilvl="6"/>
    <w:lvlOverride w:ilvl="7"/>
    <w:lvlOverride w:ilvl="8"/>
  </w:num>
  <w:num w:numId="19">
    <w:abstractNumId w:val="11"/>
    <w:lvlOverride w:ilvl="0"/>
    <w:lvlOverride w:ilvl="1"/>
    <w:lvlOverride w:ilvl="2"/>
    <w:lvlOverride w:ilvl="3"/>
    <w:lvlOverride w:ilvl="4"/>
    <w:lvlOverride w:ilvl="5"/>
    <w:lvlOverride w:ilvl="6"/>
    <w:lvlOverride w:ilvl="7"/>
    <w:lvlOverride w:ilvl="8"/>
  </w:num>
  <w:num w:numId="20">
    <w:abstractNumId w:val="7"/>
    <w:lvlOverride w:ilvl="0"/>
    <w:lvlOverride w:ilvl="1"/>
    <w:lvlOverride w:ilvl="2"/>
    <w:lvlOverride w:ilvl="3"/>
    <w:lvlOverride w:ilvl="4"/>
    <w:lvlOverride w:ilvl="5"/>
    <w:lvlOverride w:ilvl="6"/>
    <w:lvlOverride w:ilvl="7"/>
    <w:lvlOverride w:ilvl="8"/>
  </w:num>
  <w:num w:numId="21">
    <w:abstractNumId w:val="1"/>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teret Gewirtz">
    <w15:presenceInfo w15:providerId="None" w15:userId="Ateret Gewir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95D"/>
    <w:rsid w:val="00002BEB"/>
    <w:rsid w:val="00005B26"/>
    <w:rsid w:val="00026D18"/>
    <w:rsid w:val="00054D49"/>
    <w:rsid w:val="000678DA"/>
    <w:rsid w:val="00075039"/>
    <w:rsid w:val="00095EC9"/>
    <w:rsid w:val="000966CA"/>
    <w:rsid w:val="000A30E7"/>
    <w:rsid w:val="000F58F1"/>
    <w:rsid w:val="001467CF"/>
    <w:rsid w:val="00155022"/>
    <w:rsid w:val="0016158D"/>
    <w:rsid w:val="00167F8B"/>
    <w:rsid w:val="00193319"/>
    <w:rsid w:val="0019346F"/>
    <w:rsid w:val="001C5553"/>
    <w:rsid w:val="002517FC"/>
    <w:rsid w:val="002C5485"/>
    <w:rsid w:val="002C734B"/>
    <w:rsid w:val="00315D8F"/>
    <w:rsid w:val="00380C2D"/>
    <w:rsid w:val="003D056F"/>
    <w:rsid w:val="003D6A14"/>
    <w:rsid w:val="003E3CE3"/>
    <w:rsid w:val="0042244C"/>
    <w:rsid w:val="004867BB"/>
    <w:rsid w:val="004B44A0"/>
    <w:rsid w:val="004C2022"/>
    <w:rsid w:val="004E66D2"/>
    <w:rsid w:val="00522360"/>
    <w:rsid w:val="0058350C"/>
    <w:rsid w:val="00584A11"/>
    <w:rsid w:val="00594DEF"/>
    <w:rsid w:val="005E0141"/>
    <w:rsid w:val="005E0B89"/>
    <w:rsid w:val="00617A3C"/>
    <w:rsid w:val="00655E80"/>
    <w:rsid w:val="00670630"/>
    <w:rsid w:val="006A2886"/>
    <w:rsid w:val="006F2D0D"/>
    <w:rsid w:val="006F6FDB"/>
    <w:rsid w:val="0071032F"/>
    <w:rsid w:val="007253C7"/>
    <w:rsid w:val="007A60C4"/>
    <w:rsid w:val="007C7C57"/>
    <w:rsid w:val="007E495D"/>
    <w:rsid w:val="00862803"/>
    <w:rsid w:val="008A0B76"/>
    <w:rsid w:val="008A5D25"/>
    <w:rsid w:val="008F6F5C"/>
    <w:rsid w:val="0090447C"/>
    <w:rsid w:val="00972130"/>
    <w:rsid w:val="0097696D"/>
    <w:rsid w:val="0098364A"/>
    <w:rsid w:val="009B0522"/>
    <w:rsid w:val="009C5060"/>
    <w:rsid w:val="009C527B"/>
    <w:rsid w:val="00A04D21"/>
    <w:rsid w:val="00A05AC1"/>
    <w:rsid w:val="00A820B1"/>
    <w:rsid w:val="00A91A70"/>
    <w:rsid w:val="00A92BCE"/>
    <w:rsid w:val="00AA36DD"/>
    <w:rsid w:val="00AB5424"/>
    <w:rsid w:val="00AC3391"/>
    <w:rsid w:val="00AE6E56"/>
    <w:rsid w:val="00AF7A53"/>
    <w:rsid w:val="00B25588"/>
    <w:rsid w:val="00B35201"/>
    <w:rsid w:val="00BA2944"/>
    <w:rsid w:val="00BB004D"/>
    <w:rsid w:val="00C26B40"/>
    <w:rsid w:val="00C26F73"/>
    <w:rsid w:val="00C53221"/>
    <w:rsid w:val="00D143C1"/>
    <w:rsid w:val="00D37EC8"/>
    <w:rsid w:val="00D46E1F"/>
    <w:rsid w:val="00D63760"/>
    <w:rsid w:val="00D71ED4"/>
    <w:rsid w:val="00DE373A"/>
    <w:rsid w:val="00E0616D"/>
    <w:rsid w:val="00E3426F"/>
    <w:rsid w:val="00E379DE"/>
    <w:rsid w:val="00E916FC"/>
    <w:rsid w:val="00EA2A09"/>
    <w:rsid w:val="00EB6309"/>
    <w:rsid w:val="00EC7B62"/>
    <w:rsid w:val="00EE247C"/>
    <w:rsid w:val="00EF60A4"/>
    <w:rsid w:val="00F101C2"/>
    <w:rsid w:val="00F950CE"/>
    <w:rsid w:val="00FC492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b/>
      <w:sz w:val="24"/>
      <w:szCs w:val="24"/>
      <w:lang w:eastAsia="en-US"/>
    </w:rPr>
  </w:style>
  <w:style w:type="paragraph" w:styleId="Heading1">
    <w:name w:val="heading 1"/>
    <w:basedOn w:val="Normal"/>
    <w:link w:val="Heading1Char"/>
    <w:uiPriority w:val="9"/>
    <w:qFormat/>
    <w:rsid w:val="007E495D"/>
    <w:pPr>
      <w:spacing w:before="100" w:beforeAutospacing="1" w:after="100" w:afterAutospacing="1" w:line="240" w:lineRule="auto"/>
      <w:outlineLvl w:val="0"/>
    </w:pPr>
    <w:rPr>
      <w:rFonts w:ascii="Times New Roman" w:eastAsia="Times New Roman" w:hAnsi="Times New Roman" w:cs="Times New Roman"/>
      <w:bCs/>
      <w:kern w:val="36"/>
      <w:sz w:val="48"/>
      <w:szCs w:val="48"/>
      <w:lang w:val="en-US" w:bidi="he-IL"/>
    </w:rPr>
  </w:style>
  <w:style w:type="paragraph" w:styleId="Heading2">
    <w:name w:val="heading 2"/>
    <w:basedOn w:val="Normal"/>
    <w:next w:val="Normal"/>
    <w:link w:val="Heading2Char"/>
    <w:uiPriority w:val="9"/>
    <w:unhideWhenUsed/>
    <w:qFormat/>
    <w:rsid w:val="007E495D"/>
    <w:pPr>
      <w:keepNext/>
      <w:keepLines/>
      <w:bidi/>
      <w:spacing w:before="40" w:after="0"/>
      <w:outlineLvl w:val="1"/>
    </w:pPr>
    <w:rPr>
      <w:rFonts w:ascii="Calibri Light" w:eastAsia="Times New Roman" w:hAnsi="Calibri Light" w:cs="Times New Roman"/>
      <w:b w:val="0"/>
      <w:color w:val="2F5496"/>
      <w:sz w:val="26"/>
      <w:szCs w:val="26"/>
      <w:lang w:val="en-US" w:bidi="he-IL"/>
    </w:rPr>
  </w:style>
  <w:style w:type="paragraph" w:styleId="Heading3">
    <w:name w:val="heading 3"/>
    <w:basedOn w:val="Normal"/>
    <w:next w:val="Normal"/>
    <w:link w:val="Heading3Char"/>
    <w:uiPriority w:val="9"/>
    <w:semiHidden/>
    <w:unhideWhenUsed/>
    <w:qFormat/>
    <w:rsid w:val="007E495D"/>
    <w:pPr>
      <w:keepNext/>
      <w:keepLines/>
      <w:bidi/>
      <w:spacing w:before="40" w:after="0"/>
      <w:outlineLvl w:val="2"/>
    </w:pPr>
    <w:rPr>
      <w:rFonts w:ascii="Calibri Light" w:eastAsia="Times New Roman" w:hAnsi="Calibri Light" w:cs="Times New Roman"/>
      <w:b w:val="0"/>
      <w:color w:val="1F3763"/>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495D"/>
    <w:rPr>
      <w:rFonts w:ascii="Times New Roman" w:eastAsia="Times New Roman" w:hAnsi="Times New Roman" w:cs="Times New Roman"/>
      <w:bCs/>
      <w:kern w:val="36"/>
      <w:sz w:val="48"/>
      <w:szCs w:val="48"/>
      <w:lang w:val="en-US" w:bidi="he-IL"/>
    </w:rPr>
  </w:style>
  <w:style w:type="character" w:customStyle="1" w:styleId="Heading2Char">
    <w:name w:val="Heading 2 Char"/>
    <w:link w:val="Heading2"/>
    <w:uiPriority w:val="9"/>
    <w:rsid w:val="007E495D"/>
    <w:rPr>
      <w:rFonts w:ascii="Calibri Light" w:eastAsia="Times New Roman" w:hAnsi="Calibri Light" w:cs="Times New Roman"/>
      <w:b/>
      <w:color w:val="2F5496"/>
      <w:sz w:val="26"/>
      <w:szCs w:val="26"/>
      <w:lang w:val="en-US" w:bidi="he-IL"/>
    </w:rPr>
  </w:style>
  <w:style w:type="character" w:customStyle="1" w:styleId="Heading3Char">
    <w:name w:val="Heading 3 Char"/>
    <w:link w:val="Heading3"/>
    <w:uiPriority w:val="9"/>
    <w:semiHidden/>
    <w:rsid w:val="007E495D"/>
    <w:rPr>
      <w:rFonts w:ascii="Calibri Light" w:eastAsia="Times New Roman" w:hAnsi="Calibri Light" w:cs="Times New Roman"/>
      <w:b/>
      <w:color w:val="1F3763"/>
      <w:lang w:val="en-US" w:bidi="he-IL"/>
    </w:rPr>
  </w:style>
  <w:style w:type="paragraph" w:styleId="NormalWeb">
    <w:name w:val="Normal (Web)"/>
    <w:basedOn w:val="Normal"/>
    <w:link w:val="NormalWebChar"/>
    <w:uiPriority w:val="99"/>
    <w:unhideWhenUsed/>
    <w:rsid w:val="007E495D"/>
    <w:pPr>
      <w:spacing w:before="100" w:beforeAutospacing="1" w:after="100" w:afterAutospacing="1" w:line="240" w:lineRule="auto"/>
    </w:pPr>
    <w:rPr>
      <w:rFonts w:ascii="Times New Roman" w:eastAsia="Times New Roman" w:hAnsi="Times New Roman" w:cs="Times New Roman"/>
      <w:b w:val="0"/>
      <w:lang w:val="en-US" w:bidi="he-IL"/>
    </w:rPr>
  </w:style>
  <w:style w:type="character" w:customStyle="1" w:styleId="NormalWebChar">
    <w:name w:val="Normal (Web) Char"/>
    <w:link w:val="NormalWeb"/>
    <w:uiPriority w:val="99"/>
    <w:rsid w:val="007E495D"/>
    <w:rPr>
      <w:rFonts w:ascii="Times New Roman" w:eastAsia="Times New Roman" w:hAnsi="Times New Roman" w:cs="Times New Roman"/>
      <w:b/>
      <w:lang w:val="en-US" w:bidi="he-IL"/>
    </w:rPr>
  </w:style>
  <w:style w:type="paragraph" w:styleId="CommentText">
    <w:name w:val="annotation text"/>
    <w:basedOn w:val="Normal"/>
    <w:link w:val="CommentTextChar"/>
    <w:uiPriority w:val="99"/>
    <w:unhideWhenUsed/>
    <w:rsid w:val="007E495D"/>
    <w:pPr>
      <w:bidi/>
      <w:spacing w:after="200" w:line="240" w:lineRule="auto"/>
    </w:pPr>
    <w:rPr>
      <w:rFonts w:cs="Arial"/>
      <w:b w:val="0"/>
      <w:sz w:val="20"/>
      <w:szCs w:val="20"/>
      <w:lang w:val="en-US" w:bidi="he-IL"/>
    </w:rPr>
  </w:style>
  <w:style w:type="character" w:customStyle="1" w:styleId="CommentTextChar">
    <w:name w:val="Comment Text Char"/>
    <w:link w:val="CommentText"/>
    <w:uiPriority w:val="99"/>
    <w:rsid w:val="007E495D"/>
    <w:rPr>
      <w:rFonts w:cs="Arial"/>
      <w:b/>
      <w:sz w:val="20"/>
      <w:szCs w:val="20"/>
      <w:lang w:val="en-US" w:bidi="he-IL"/>
    </w:rPr>
  </w:style>
  <w:style w:type="character" w:customStyle="1" w:styleId="apple-converted-space">
    <w:name w:val="apple-converted-space"/>
    <w:basedOn w:val="DefaultParagraphFont"/>
    <w:rsid w:val="007E495D"/>
  </w:style>
  <w:style w:type="paragraph" w:styleId="BalloonText">
    <w:name w:val="Balloon Text"/>
    <w:basedOn w:val="Normal"/>
    <w:link w:val="BalloonTextChar"/>
    <w:uiPriority w:val="99"/>
    <w:semiHidden/>
    <w:unhideWhenUsed/>
    <w:rsid w:val="007E495D"/>
    <w:pPr>
      <w:bidi/>
      <w:spacing w:after="0" w:line="240" w:lineRule="auto"/>
    </w:pPr>
    <w:rPr>
      <w:rFonts w:ascii="Tahoma" w:hAnsi="Tahoma" w:cs="Tahoma"/>
      <w:b w:val="0"/>
      <w:sz w:val="18"/>
      <w:szCs w:val="18"/>
      <w:lang w:val="en-US" w:bidi="he-IL"/>
    </w:rPr>
  </w:style>
  <w:style w:type="character" w:customStyle="1" w:styleId="BalloonTextChar">
    <w:name w:val="Balloon Text Char"/>
    <w:link w:val="BalloonText"/>
    <w:uiPriority w:val="99"/>
    <w:semiHidden/>
    <w:rsid w:val="007E495D"/>
    <w:rPr>
      <w:rFonts w:ascii="Tahoma" w:hAnsi="Tahoma" w:cs="Tahoma"/>
      <w:b/>
      <w:sz w:val="18"/>
      <w:szCs w:val="18"/>
      <w:lang w:val="en-US" w:bidi="he-IL"/>
    </w:rPr>
  </w:style>
  <w:style w:type="table" w:styleId="TableGrid">
    <w:name w:val="Table Grid"/>
    <w:basedOn w:val="TableNormal"/>
    <w:uiPriority w:val="59"/>
    <w:rsid w:val="007E495D"/>
    <w:rPr>
      <w:rFonts w:cs="Arial"/>
      <w:b/>
      <w:sz w:val="22"/>
      <w:szCs w:val="22"/>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link w:val="CommentSubject"/>
    <w:uiPriority w:val="99"/>
    <w:semiHidden/>
    <w:rsid w:val="007E495D"/>
    <w:rPr>
      <w:rFonts w:cs="Arial"/>
      <w:b w:val="0"/>
      <w:bCs/>
      <w:sz w:val="20"/>
      <w:szCs w:val="20"/>
      <w:lang w:val="en-US" w:bidi="he-IL"/>
    </w:rPr>
  </w:style>
  <w:style w:type="paragraph" w:styleId="CommentSubject">
    <w:name w:val="annotation subject"/>
    <w:basedOn w:val="CommentText"/>
    <w:next w:val="CommentText"/>
    <w:link w:val="CommentSubjectChar"/>
    <w:uiPriority w:val="99"/>
    <w:semiHidden/>
    <w:unhideWhenUsed/>
    <w:rsid w:val="007E495D"/>
    <w:pPr>
      <w:spacing w:after="160"/>
    </w:pPr>
    <w:rPr>
      <w:b/>
      <w:bCs/>
    </w:rPr>
  </w:style>
  <w:style w:type="character" w:customStyle="1" w:styleId="color19">
    <w:name w:val="color_19"/>
    <w:basedOn w:val="DefaultParagraphFont"/>
    <w:rsid w:val="007E495D"/>
  </w:style>
  <w:style w:type="paragraph" w:styleId="Header">
    <w:name w:val="header"/>
    <w:basedOn w:val="Normal"/>
    <w:link w:val="HeaderChar"/>
    <w:uiPriority w:val="99"/>
    <w:unhideWhenUsed/>
    <w:rsid w:val="007E495D"/>
    <w:pPr>
      <w:tabs>
        <w:tab w:val="center" w:pos="4153"/>
        <w:tab w:val="right" w:pos="8306"/>
      </w:tabs>
      <w:bidi/>
      <w:spacing w:after="0" w:line="240" w:lineRule="auto"/>
    </w:pPr>
    <w:rPr>
      <w:rFonts w:cs="Arial"/>
      <w:b w:val="0"/>
      <w:sz w:val="22"/>
      <w:szCs w:val="22"/>
      <w:lang w:val="en-US" w:bidi="he-IL"/>
    </w:rPr>
  </w:style>
  <w:style w:type="character" w:customStyle="1" w:styleId="HeaderChar">
    <w:name w:val="Header Char"/>
    <w:link w:val="Header"/>
    <w:uiPriority w:val="99"/>
    <w:rsid w:val="007E495D"/>
    <w:rPr>
      <w:rFonts w:cs="Arial"/>
      <w:b/>
      <w:sz w:val="22"/>
      <w:szCs w:val="22"/>
      <w:lang w:val="en-US" w:bidi="he-IL"/>
    </w:rPr>
  </w:style>
  <w:style w:type="paragraph" w:styleId="Footer">
    <w:name w:val="footer"/>
    <w:basedOn w:val="Normal"/>
    <w:link w:val="FooterChar"/>
    <w:uiPriority w:val="99"/>
    <w:unhideWhenUsed/>
    <w:rsid w:val="007E495D"/>
    <w:pPr>
      <w:tabs>
        <w:tab w:val="center" w:pos="4153"/>
        <w:tab w:val="right" w:pos="8306"/>
      </w:tabs>
      <w:bidi/>
      <w:spacing w:after="0" w:line="240" w:lineRule="auto"/>
    </w:pPr>
    <w:rPr>
      <w:rFonts w:cs="Arial"/>
      <w:b w:val="0"/>
      <w:sz w:val="22"/>
      <w:szCs w:val="22"/>
      <w:lang w:val="en-US" w:bidi="he-IL"/>
    </w:rPr>
  </w:style>
  <w:style w:type="character" w:customStyle="1" w:styleId="FooterChar">
    <w:name w:val="Footer Char"/>
    <w:link w:val="Footer"/>
    <w:uiPriority w:val="99"/>
    <w:rsid w:val="007E495D"/>
    <w:rPr>
      <w:rFonts w:cs="Arial"/>
      <w:b/>
      <w:sz w:val="22"/>
      <w:szCs w:val="22"/>
      <w:lang w:val="en-US" w:bidi="he-IL"/>
    </w:rPr>
  </w:style>
  <w:style w:type="character" w:styleId="Hyperlink">
    <w:name w:val="Hyperlink"/>
    <w:uiPriority w:val="99"/>
    <w:unhideWhenUsed/>
    <w:rsid w:val="007E495D"/>
    <w:rPr>
      <w:color w:val="0000FF"/>
      <w:u w:val="single"/>
    </w:rPr>
  </w:style>
  <w:style w:type="paragraph" w:styleId="ListParagraph">
    <w:name w:val="List Paragraph"/>
    <w:basedOn w:val="Normal"/>
    <w:uiPriority w:val="34"/>
    <w:qFormat/>
    <w:rsid w:val="007E495D"/>
    <w:pPr>
      <w:bidi/>
      <w:ind w:left="720"/>
      <w:contextualSpacing/>
    </w:pPr>
    <w:rPr>
      <w:rFonts w:cs="Arial"/>
      <w:b w:val="0"/>
      <w:sz w:val="22"/>
      <w:szCs w:val="22"/>
      <w:lang w:val="en-US" w:bidi="he-IL"/>
    </w:rPr>
  </w:style>
  <w:style w:type="character" w:styleId="Strong">
    <w:name w:val="Strong"/>
    <w:uiPriority w:val="22"/>
    <w:qFormat/>
    <w:rsid w:val="007E495D"/>
    <w:rPr>
      <w:b/>
      <w:bCs/>
    </w:rPr>
  </w:style>
  <w:style w:type="character" w:customStyle="1" w:styleId="fontstyle01">
    <w:name w:val="fontstyle01"/>
    <w:rsid w:val="007E495D"/>
    <w:rPr>
      <w:rFonts w:ascii="AdvTT378de93d" w:hAnsi="AdvTT378de93d" w:hint="default"/>
      <w:b w:val="0"/>
      <w:bCs w:val="0"/>
      <w:i w:val="0"/>
      <w:iCs w:val="0"/>
      <w:color w:val="231F20"/>
      <w:sz w:val="22"/>
      <w:szCs w:val="22"/>
    </w:rPr>
  </w:style>
  <w:style w:type="character" w:customStyle="1" w:styleId="fontstyle21">
    <w:name w:val="fontstyle21"/>
    <w:rsid w:val="007E495D"/>
    <w:rPr>
      <w:rFonts w:ascii="AdvTT378de93d+fb" w:hAnsi="AdvTT378de93d+fb" w:hint="default"/>
      <w:b w:val="0"/>
      <w:bCs w:val="0"/>
      <w:i w:val="0"/>
      <w:iCs w:val="0"/>
      <w:color w:val="231F20"/>
      <w:sz w:val="22"/>
      <w:szCs w:val="22"/>
    </w:rPr>
  </w:style>
  <w:style w:type="character" w:customStyle="1" w:styleId="il">
    <w:name w:val="il"/>
    <w:basedOn w:val="DefaultParagraphFont"/>
    <w:rsid w:val="007E495D"/>
  </w:style>
  <w:style w:type="character" w:customStyle="1" w:styleId="abscitationtitle">
    <w:name w:val="abs_citation_title"/>
    <w:basedOn w:val="DefaultParagraphFont"/>
    <w:rsid w:val="007E495D"/>
  </w:style>
  <w:style w:type="character" w:customStyle="1" w:styleId="hw">
    <w:name w:val="hw"/>
    <w:basedOn w:val="DefaultParagraphFont"/>
    <w:rsid w:val="007E495D"/>
  </w:style>
  <w:style w:type="paragraph" w:styleId="FootnoteText">
    <w:name w:val="footnote text"/>
    <w:basedOn w:val="Normal"/>
    <w:link w:val="FootnoteTextChar"/>
    <w:uiPriority w:val="99"/>
    <w:semiHidden/>
    <w:unhideWhenUsed/>
    <w:rsid w:val="007E495D"/>
    <w:pPr>
      <w:bidi/>
      <w:spacing w:after="0" w:line="240" w:lineRule="auto"/>
    </w:pPr>
    <w:rPr>
      <w:rFonts w:cs="Arial"/>
      <w:b w:val="0"/>
      <w:sz w:val="20"/>
      <w:szCs w:val="20"/>
      <w:lang w:val="en-US" w:bidi="he-IL"/>
    </w:rPr>
  </w:style>
  <w:style w:type="character" w:customStyle="1" w:styleId="FootnoteTextChar">
    <w:name w:val="Footnote Text Char"/>
    <w:link w:val="FootnoteText"/>
    <w:uiPriority w:val="99"/>
    <w:semiHidden/>
    <w:rsid w:val="007E495D"/>
    <w:rPr>
      <w:rFonts w:cs="Arial"/>
      <w:b/>
      <w:sz w:val="20"/>
      <w:szCs w:val="20"/>
      <w:lang w:val="en-US" w:bidi="he-IL"/>
    </w:rPr>
  </w:style>
  <w:style w:type="character" w:styleId="FootnoteReference">
    <w:name w:val="footnote reference"/>
    <w:uiPriority w:val="99"/>
    <w:semiHidden/>
    <w:unhideWhenUsed/>
    <w:rsid w:val="007E495D"/>
    <w:rPr>
      <w:vertAlign w:val="superscript"/>
    </w:rPr>
  </w:style>
  <w:style w:type="character" w:customStyle="1" w:styleId="UnresolvedMention1">
    <w:name w:val="Unresolved Mention1"/>
    <w:uiPriority w:val="99"/>
    <w:semiHidden/>
    <w:unhideWhenUsed/>
    <w:rsid w:val="00005B26"/>
    <w:rPr>
      <w:color w:val="808080"/>
      <w:shd w:val="clear" w:color="auto" w:fill="E6E6E6"/>
    </w:rPr>
  </w:style>
  <w:style w:type="paragraph" w:customStyle="1" w:styleId="Default">
    <w:name w:val="Default"/>
    <w:rsid w:val="00005B26"/>
    <w:pPr>
      <w:autoSpaceDE w:val="0"/>
      <w:autoSpaceDN w:val="0"/>
      <w:adjustRightInd w:val="0"/>
    </w:pPr>
    <w:rPr>
      <w:rFonts w:ascii="Times New Roman" w:hAnsi="Times New Roman" w:cs="Times New Roman"/>
      <w:color w:val="000000"/>
      <w:sz w:val="24"/>
      <w:szCs w:val="24"/>
      <w:lang w:val="en-US" w:eastAsia="en-US"/>
    </w:rPr>
  </w:style>
  <w:style w:type="character" w:styleId="CommentReference">
    <w:name w:val="annotation reference"/>
    <w:uiPriority w:val="99"/>
    <w:semiHidden/>
    <w:unhideWhenUsed/>
    <w:rsid w:val="00AE6E56"/>
    <w:rPr>
      <w:sz w:val="16"/>
      <w:szCs w:val="16"/>
    </w:rPr>
  </w:style>
  <w:style w:type="character" w:styleId="FollowedHyperlink">
    <w:name w:val="FollowedHyperlink"/>
    <w:uiPriority w:val="99"/>
    <w:semiHidden/>
    <w:unhideWhenUsed/>
    <w:rsid w:val="00D46E1F"/>
    <w:rPr>
      <w:color w:val="954F72"/>
      <w:u w:val="single"/>
    </w:rPr>
  </w:style>
  <w:style w:type="table" w:customStyle="1" w:styleId="TableGrid1">
    <w:name w:val="Table Grid1"/>
    <w:basedOn w:val="TableNormal"/>
    <w:next w:val="TableGrid"/>
    <w:uiPriority w:val="59"/>
    <w:rsid w:val="00EC7B62"/>
    <w:rPr>
      <w:rFonts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b/>
      <w:sz w:val="24"/>
      <w:szCs w:val="24"/>
      <w:lang w:eastAsia="en-US"/>
    </w:rPr>
  </w:style>
  <w:style w:type="paragraph" w:styleId="Heading1">
    <w:name w:val="heading 1"/>
    <w:basedOn w:val="Normal"/>
    <w:link w:val="Heading1Char"/>
    <w:uiPriority w:val="9"/>
    <w:qFormat/>
    <w:rsid w:val="007E495D"/>
    <w:pPr>
      <w:spacing w:before="100" w:beforeAutospacing="1" w:after="100" w:afterAutospacing="1" w:line="240" w:lineRule="auto"/>
      <w:outlineLvl w:val="0"/>
    </w:pPr>
    <w:rPr>
      <w:rFonts w:ascii="Times New Roman" w:eastAsia="Times New Roman" w:hAnsi="Times New Roman" w:cs="Times New Roman"/>
      <w:bCs/>
      <w:kern w:val="36"/>
      <w:sz w:val="48"/>
      <w:szCs w:val="48"/>
      <w:lang w:val="en-US" w:bidi="he-IL"/>
    </w:rPr>
  </w:style>
  <w:style w:type="paragraph" w:styleId="Heading2">
    <w:name w:val="heading 2"/>
    <w:basedOn w:val="Normal"/>
    <w:next w:val="Normal"/>
    <w:link w:val="Heading2Char"/>
    <w:uiPriority w:val="9"/>
    <w:unhideWhenUsed/>
    <w:qFormat/>
    <w:rsid w:val="007E495D"/>
    <w:pPr>
      <w:keepNext/>
      <w:keepLines/>
      <w:bidi/>
      <w:spacing w:before="40" w:after="0"/>
      <w:outlineLvl w:val="1"/>
    </w:pPr>
    <w:rPr>
      <w:rFonts w:ascii="Calibri Light" w:eastAsia="Times New Roman" w:hAnsi="Calibri Light" w:cs="Times New Roman"/>
      <w:b w:val="0"/>
      <w:color w:val="2F5496"/>
      <w:sz w:val="26"/>
      <w:szCs w:val="26"/>
      <w:lang w:val="en-US" w:bidi="he-IL"/>
    </w:rPr>
  </w:style>
  <w:style w:type="paragraph" w:styleId="Heading3">
    <w:name w:val="heading 3"/>
    <w:basedOn w:val="Normal"/>
    <w:next w:val="Normal"/>
    <w:link w:val="Heading3Char"/>
    <w:uiPriority w:val="9"/>
    <w:semiHidden/>
    <w:unhideWhenUsed/>
    <w:qFormat/>
    <w:rsid w:val="007E495D"/>
    <w:pPr>
      <w:keepNext/>
      <w:keepLines/>
      <w:bidi/>
      <w:spacing w:before="40" w:after="0"/>
      <w:outlineLvl w:val="2"/>
    </w:pPr>
    <w:rPr>
      <w:rFonts w:ascii="Calibri Light" w:eastAsia="Times New Roman" w:hAnsi="Calibri Light" w:cs="Times New Roman"/>
      <w:b w:val="0"/>
      <w:color w:val="1F3763"/>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495D"/>
    <w:rPr>
      <w:rFonts w:ascii="Times New Roman" w:eastAsia="Times New Roman" w:hAnsi="Times New Roman" w:cs="Times New Roman"/>
      <w:bCs/>
      <w:kern w:val="36"/>
      <w:sz w:val="48"/>
      <w:szCs w:val="48"/>
      <w:lang w:val="en-US" w:bidi="he-IL"/>
    </w:rPr>
  </w:style>
  <w:style w:type="character" w:customStyle="1" w:styleId="Heading2Char">
    <w:name w:val="Heading 2 Char"/>
    <w:link w:val="Heading2"/>
    <w:uiPriority w:val="9"/>
    <w:rsid w:val="007E495D"/>
    <w:rPr>
      <w:rFonts w:ascii="Calibri Light" w:eastAsia="Times New Roman" w:hAnsi="Calibri Light" w:cs="Times New Roman"/>
      <w:b/>
      <w:color w:val="2F5496"/>
      <w:sz w:val="26"/>
      <w:szCs w:val="26"/>
      <w:lang w:val="en-US" w:bidi="he-IL"/>
    </w:rPr>
  </w:style>
  <w:style w:type="character" w:customStyle="1" w:styleId="Heading3Char">
    <w:name w:val="Heading 3 Char"/>
    <w:link w:val="Heading3"/>
    <w:uiPriority w:val="9"/>
    <w:semiHidden/>
    <w:rsid w:val="007E495D"/>
    <w:rPr>
      <w:rFonts w:ascii="Calibri Light" w:eastAsia="Times New Roman" w:hAnsi="Calibri Light" w:cs="Times New Roman"/>
      <w:b/>
      <w:color w:val="1F3763"/>
      <w:lang w:val="en-US" w:bidi="he-IL"/>
    </w:rPr>
  </w:style>
  <w:style w:type="paragraph" w:styleId="NormalWeb">
    <w:name w:val="Normal (Web)"/>
    <w:basedOn w:val="Normal"/>
    <w:link w:val="NormalWebChar"/>
    <w:uiPriority w:val="99"/>
    <w:unhideWhenUsed/>
    <w:rsid w:val="007E495D"/>
    <w:pPr>
      <w:spacing w:before="100" w:beforeAutospacing="1" w:after="100" w:afterAutospacing="1" w:line="240" w:lineRule="auto"/>
    </w:pPr>
    <w:rPr>
      <w:rFonts w:ascii="Times New Roman" w:eastAsia="Times New Roman" w:hAnsi="Times New Roman" w:cs="Times New Roman"/>
      <w:b w:val="0"/>
      <w:lang w:val="en-US" w:bidi="he-IL"/>
    </w:rPr>
  </w:style>
  <w:style w:type="character" w:customStyle="1" w:styleId="NormalWebChar">
    <w:name w:val="Normal (Web) Char"/>
    <w:link w:val="NormalWeb"/>
    <w:uiPriority w:val="99"/>
    <w:rsid w:val="007E495D"/>
    <w:rPr>
      <w:rFonts w:ascii="Times New Roman" w:eastAsia="Times New Roman" w:hAnsi="Times New Roman" w:cs="Times New Roman"/>
      <w:b/>
      <w:lang w:val="en-US" w:bidi="he-IL"/>
    </w:rPr>
  </w:style>
  <w:style w:type="paragraph" w:styleId="CommentText">
    <w:name w:val="annotation text"/>
    <w:basedOn w:val="Normal"/>
    <w:link w:val="CommentTextChar"/>
    <w:uiPriority w:val="99"/>
    <w:unhideWhenUsed/>
    <w:rsid w:val="007E495D"/>
    <w:pPr>
      <w:bidi/>
      <w:spacing w:after="200" w:line="240" w:lineRule="auto"/>
    </w:pPr>
    <w:rPr>
      <w:rFonts w:cs="Arial"/>
      <w:b w:val="0"/>
      <w:sz w:val="20"/>
      <w:szCs w:val="20"/>
      <w:lang w:val="en-US" w:bidi="he-IL"/>
    </w:rPr>
  </w:style>
  <w:style w:type="character" w:customStyle="1" w:styleId="CommentTextChar">
    <w:name w:val="Comment Text Char"/>
    <w:link w:val="CommentText"/>
    <w:uiPriority w:val="99"/>
    <w:rsid w:val="007E495D"/>
    <w:rPr>
      <w:rFonts w:cs="Arial"/>
      <w:b/>
      <w:sz w:val="20"/>
      <w:szCs w:val="20"/>
      <w:lang w:val="en-US" w:bidi="he-IL"/>
    </w:rPr>
  </w:style>
  <w:style w:type="character" w:customStyle="1" w:styleId="apple-converted-space">
    <w:name w:val="apple-converted-space"/>
    <w:basedOn w:val="DefaultParagraphFont"/>
    <w:rsid w:val="007E495D"/>
  </w:style>
  <w:style w:type="paragraph" w:styleId="BalloonText">
    <w:name w:val="Balloon Text"/>
    <w:basedOn w:val="Normal"/>
    <w:link w:val="BalloonTextChar"/>
    <w:uiPriority w:val="99"/>
    <w:semiHidden/>
    <w:unhideWhenUsed/>
    <w:rsid w:val="007E495D"/>
    <w:pPr>
      <w:bidi/>
      <w:spacing w:after="0" w:line="240" w:lineRule="auto"/>
    </w:pPr>
    <w:rPr>
      <w:rFonts w:ascii="Tahoma" w:hAnsi="Tahoma" w:cs="Tahoma"/>
      <w:b w:val="0"/>
      <w:sz w:val="18"/>
      <w:szCs w:val="18"/>
      <w:lang w:val="en-US" w:bidi="he-IL"/>
    </w:rPr>
  </w:style>
  <w:style w:type="character" w:customStyle="1" w:styleId="BalloonTextChar">
    <w:name w:val="Balloon Text Char"/>
    <w:link w:val="BalloonText"/>
    <w:uiPriority w:val="99"/>
    <w:semiHidden/>
    <w:rsid w:val="007E495D"/>
    <w:rPr>
      <w:rFonts w:ascii="Tahoma" w:hAnsi="Tahoma" w:cs="Tahoma"/>
      <w:b/>
      <w:sz w:val="18"/>
      <w:szCs w:val="18"/>
      <w:lang w:val="en-US" w:bidi="he-IL"/>
    </w:rPr>
  </w:style>
  <w:style w:type="table" w:styleId="TableGrid">
    <w:name w:val="Table Grid"/>
    <w:basedOn w:val="TableNormal"/>
    <w:uiPriority w:val="59"/>
    <w:rsid w:val="007E495D"/>
    <w:rPr>
      <w:rFonts w:cs="Arial"/>
      <w:b/>
      <w:sz w:val="22"/>
      <w:szCs w:val="22"/>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link w:val="CommentSubject"/>
    <w:uiPriority w:val="99"/>
    <w:semiHidden/>
    <w:rsid w:val="007E495D"/>
    <w:rPr>
      <w:rFonts w:cs="Arial"/>
      <w:b w:val="0"/>
      <w:bCs/>
      <w:sz w:val="20"/>
      <w:szCs w:val="20"/>
      <w:lang w:val="en-US" w:bidi="he-IL"/>
    </w:rPr>
  </w:style>
  <w:style w:type="paragraph" w:styleId="CommentSubject">
    <w:name w:val="annotation subject"/>
    <w:basedOn w:val="CommentText"/>
    <w:next w:val="CommentText"/>
    <w:link w:val="CommentSubjectChar"/>
    <w:uiPriority w:val="99"/>
    <w:semiHidden/>
    <w:unhideWhenUsed/>
    <w:rsid w:val="007E495D"/>
    <w:pPr>
      <w:spacing w:after="160"/>
    </w:pPr>
    <w:rPr>
      <w:b/>
      <w:bCs/>
    </w:rPr>
  </w:style>
  <w:style w:type="character" w:customStyle="1" w:styleId="color19">
    <w:name w:val="color_19"/>
    <w:basedOn w:val="DefaultParagraphFont"/>
    <w:rsid w:val="007E495D"/>
  </w:style>
  <w:style w:type="paragraph" w:styleId="Header">
    <w:name w:val="header"/>
    <w:basedOn w:val="Normal"/>
    <w:link w:val="HeaderChar"/>
    <w:uiPriority w:val="99"/>
    <w:unhideWhenUsed/>
    <w:rsid w:val="007E495D"/>
    <w:pPr>
      <w:tabs>
        <w:tab w:val="center" w:pos="4153"/>
        <w:tab w:val="right" w:pos="8306"/>
      </w:tabs>
      <w:bidi/>
      <w:spacing w:after="0" w:line="240" w:lineRule="auto"/>
    </w:pPr>
    <w:rPr>
      <w:rFonts w:cs="Arial"/>
      <w:b w:val="0"/>
      <w:sz w:val="22"/>
      <w:szCs w:val="22"/>
      <w:lang w:val="en-US" w:bidi="he-IL"/>
    </w:rPr>
  </w:style>
  <w:style w:type="character" w:customStyle="1" w:styleId="HeaderChar">
    <w:name w:val="Header Char"/>
    <w:link w:val="Header"/>
    <w:uiPriority w:val="99"/>
    <w:rsid w:val="007E495D"/>
    <w:rPr>
      <w:rFonts w:cs="Arial"/>
      <w:b/>
      <w:sz w:val="22"/>
      <w:szCs w:val="22"/>
      <w:lang w:val="en-US" w:bidi="he-IL"/>
    </w:rPr>
  </w:style>
  <w:style w:type="paragraph" w:styleId="Footer">
    <w:name w:val="footer"/>
    <w:basedOn w:val="Normal"/>
    <w:link w:val="FooterChar"/>
    <w:uiPriority w:val="99"/>
    <w:unhideWhenUsed/>
    <w:rsid w:val="007E495D"/>
    <w:pPr>
      <w:tabs>
        <w:tab w:val="center" w:pos="4153"/>
        <w:tab w:val="right" w:pos="8306"/>
      </w:tabs>
      <w:bidi/>
      <w:spacing w:after="0" w:line="240" w:lineRule="auto"/>
    </w:pPr>
    <w:rPr>
      <w:rFonts w:cs="Arial"/>
      <w:b w:val="0"/>
      <w:sz w:val="22"/>
      <w:szCs w:val="22"/>
      <w:lang w:val="en-US" w:bidi="he-IL"/>
    </w:rPr>
  </w:style>
  <w:style w:type="character" w:customStyle="1" w:styleId="FooterChar">
    <w:name w:val="Footer Char"/>
    <w:link w:val="Footer"/>
    <w:uiPriority w:val="99"/>
    <w:rsid w:val="007E495D"/>
    <w:rPr>
      <w:rFonts w:cs="Arial"/>
      <w:b/>
      <w:sz w:val="22"/>
      <w:szCs w:val="22"/>
      <w:lang w:val="en-US" w:bidi="he-IL"/>
    </w:rPr>
  </w:style>
  <w:style w:type="character" w:styleId="Hyperlink">
    <w:name w:val="Hyperlink"/>
    <w:uiPriority w:val="99"/>
    <w:unhideWhenUsed/>
    <w:rsid w:val="007E495D"/>
    <w:rPr>
      <w:color w:val="0000FF"/>
      <w:u w:val="single"/>
    </w:rPr>
  </w:style>
  <w:style w:type="paragraph" w:styleId="ListParagraph">
    <w:name w:val="List Paragraph"/>
    <w:basedOn w:val="Normal"/>
    <w:uiPriority w:val="34"/>
    <w:qFormat/>
    <w:rsid w:val="007E495D"/>
    <w:pPr>
      <w:bidi/>
      <w:ind w:left="720"/>
      <w:contextualSpacing/>
    </w:pPr>
    <w:rPr>
      <w:rFonts w:cs="Arial"/>
      <w:b w:val="0"/>
      <w:sz w:val="22"/>
      <w:szCs w:val="22"/>
      <w:lang w:val="en-US" w:bidi="he-IL"/>
    </w:rPr>
  </w:style>
  <w:style w:type="character" w:styleId="Strong">
    <w:name w:val="Strong"/>
    <w:uiPriority w:val="22"/>
    <w:qFormat/>
    <w:rsid w:val="007E495D"/>
    <w:rPr>
      <w:b/>
      <w:bCs/>
    </w:rPr>
  </w:style>
  <w:style w:type="character" w:customStyle="1" w:styleId="fontstyle01">
    <w:name w:val="fontstyle01"/>
    <w:rsid w:val="007E495D"/>
    <w:rPr>
      <w:rFonts w:ascii="AdvTT378de93d" w:hAnsi="AdvTT378de93d" w:hint="default"/>
      <w:b w:val="0"/>
      <w:bCs w:val="0"/>
      <w:i w:val="0"/>
      <w:iCs w:val="0"/>
      <w:color w:val="231F20"/>
      <w:sz w:val="22"/>
      <w:szCs w:val="22"/>
    </w:rPr>
  </w:style>
  <w:style w:type="character" w:customStyle="1" w:styleId="fontstyle21">
    <w:name w:val="fontstyle21"/>
    <w:rsid w:val="007E495D"/>
    <w:rPr>
      <w:rFonts w:ascii="AdvTT378de93d+fb" w:hAnsi="AdvTT378de93d+fb" w:hint="default"/>
      <w:b w:val="0"/>
      <w:bCs w:val="0"/>
      <w:i w:val="0"/>
      <w:iCs w:val="0"/>
      <w:color w:val="231F20"/>
      <w:sz w:val="22"/>
      <w:szCs w:val="22"/>
    </w:rPr>
  </w:style>
  <w:style w:type="character" w:customStyle="1" w:styleId="il">
    <w:name w:val="il"/>
    <w:basedOn w:val="DefaultParagraphFont"/>
    <w:rsid w:val="007E495D"/>
  </w:style>
  <w:style w:type="character" w:customStyle="1" w:styleId="abscitationtitle">
    <w:name w:val="abs_citation_title"/>
    <w:basedOn w:val="DefaultParagraphFont"/>
    <w:rsid w:val="007E495D"/>
  </w:style>
  <w:style w:type="character" w:customStyle="1" w:styleId="hw">
    <w:name w:val="hw"/>
    <w:basedOn w:val="DefaultParagraphFont"/>
    <w:rsid w:val="007E495D"/>
  </w:style>
  <w:style w:type="paragraph" w:styleId="FootnoteText">
    <w:name w:val="footnote text"/>
    <w:basedOn w:val="Normal"/>
    <w:link w:val="FootnoteTextChar"/>
    <w:uiPriority w:val="99"/>
    <w:semiHidden/>
    <w:unhideWhenUsed/>
    <w:rsid w:val="007E495D"/>
    <w:pPr>
      <w:bidi/>
      <w:spacing w:after="0" w:line="240" w:lineRule="auto"/>
    </w:pPr>
    <w:rPr>
      <w:rFonts w:cs="Arial"/>
      <w:b w:val="0"/>
      <w:sz w:val="20"/>
      <w:szCs w:val="20"/>
      <w:lang w:val="en-US" w:bidi="he-IL"/>
    </w:rPr>
  </w:style>
  <w:style w:type="character" w:customStyle="1" w:styleId="FootnoteTextChar">
    <w:name w:val="Footnote Text Char"/>
    <w:link w:val="FootnoteText"/>
    <w:uiPriority w:val="99"/>
    <w:semiHidden/>
    <w:rsid w:val="007E495D"/>
    <w:rPr>
      <w:rFonts w:cs="Arial"/>
      <w:b/>
      <w:sz w:val="20"/>
      <w:szCs w:val="20"/>
      <w:lang w:val="en-US" w:bidi="he-IL"/>
    </w:rPr>
  </w:style>
  <w:style w:type="character" w:styleId="FootnoteReference">
    <w:name w:val="footnote reference"/>
    <w:uiPriority w:val="99"/>
    <w:semiHidden/>
    <w:unhideWhenUsed/>
    <w:rsid w:val="007E495D"/>
    <w:rPr>
      <w:vertAlign w:val="superscript"/>
    </w:rPr>
  </w:style>
  <w:style w:type="character" w:customStyle="1" w:styleId="UnresolvedMention1">
    <w:name w:val="Unresolved Mention1"/>
    <w:uiPriority w:val="99"/>
    <w:semiHidden/>
    <w:unhideWhenUsed/>
    <w:rsid w:val="00005B26"/>
    <w:rPr>
      <w:color w:val="808080"/>
      <w:shd w:val="clear" w:color="auto" w:fill="E6E6E6"/>
    </w:rPr>
  </w:style>
  <w:style w:type="paragraph" w:customStyle="1" w:styleId="Default">
    <w:name w:val="Default"/>
    <w:rsid w:val="00005B26"/>
    <w:pPr>
      <w:autoSpaceDE w:val="0"/>
      <w:autoSpaceDN w:val="0"/>
      <w:adjustRightInd w:val="0"/>
    </w:pPr>
    <w:rPr>
      <w:rFonts w:ascii="Times New Roman" w:hAnsi="Times New Roman" w:cs="Times New Roman"/>
      <w:color w:val="000000"/>
      <w:sz w:val="24"/>
      <w:szCs w:val="24"/>
      <w:lang w:val="en-US" w:eastAsia="en-US"/>
    </w:rPr>
  </w:style>
  <w:style w:type="character" w:styleId="CommentReference">
    <w:name w:val="annotation reference"/>
    <w:uiPriority w:val="99"/>
    <w:semiHidden/>
    <w:unhideWhenUsed/>
    <w:rsid w:val="00AE6E56"/>
    <w:rPr>
      <w:sz w:val="16"/>
      <w:szCs w:val="16"/>
    </w:rPr>
  </w:style>
  <w:style w:type="character" w:styleId="FollowedHyperlink">
    <w:name w:val="FollowedHyperlink"/>
    <w:uiPriority w:val="99"/>
    <w:semiHidden/>
    <w:unhideWhenUsed/>
    <w:rsid w:val="00D46E1F"/>
    <w:rPr>
      <w:color w:val="954F72"/>
      <w:u w:val="single"/>
    </w:rPr>
  </w:style>
  <w:style w:type="table" w:customStyle="1" w:styleId="TableGrid1">
    <w:name w:val="Table Grid1"/>
    <w:basedOn w:val="TableNormal"/>
    <w:next w:val="TableGrid"/>
    <w:uiPriority w:val="59"/>
    <w:rsid w:val="00EC7B62"/>
    <w:rPr>
      <w:rFonts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64037">
      <w:bodyDiv w:val="1"/>
      <w:marLeft w:val="0"/>
      <w:marRight w:val="0"/>
      <w:marTop w:val="0"/>
      <w:marBottom w:val="0"/>
      <w:divBdr>
        <w:top w:val="none" w:sz="0" w:space="0" w:color="auto"/>
        <w:left w:val="none" w:sz="0" w:space="0" w:color="auto"/>
        <w:bottom w:val="none" w:sz="0" w:space="0" w:color="auto"/>
        <w:right w:val="none" w:sz="0" w:space="0" w:color="auto"/>
      </w:divBdr>
    </w:div>
    <w:div w:id="201544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teret.meydan@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doi.org/10.1080/13691058.2018.1465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A5EDA-38CA-467B-8582-081AE6FE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23</Pages>
  <Words>7664</Words>
  <Characters>43689</Characters>
  <Application>Microsoft Office Word</Application>
  <DocSecurity>0</DocSecurity>
  <Lines>364</Lines>
  <Paragraphs>102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Middlesex University</Company>
  <LinksUpToDate>false</LinksUpToDate>
  <CharactersWithSpaces>51251</CharactersWithSpaces>
  <SharedDoc>false</SharedDoc>
  <HLinks>
    <vt:vector size="6" baseType="variant">
      <vt:variant>
        <vt:i4>2490440</vt:i4>
      </vt:variant>
      <vt:variant>
        <vt:i4>0</vt:i4>
      </vt:variant>
      <vt:variant>
        <vt:i4>0</vt:i4>
      </vt:variant>
      <vt:variant>
        <vt:i4>5</vt:i4>
      </vt:variant>
      <vt:variant>
        <vt:lpwstr>mailto:ateret.meydan@gmail.com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 Longo</dc:creator>
  <cp:lastModifiedBy>MDXTech</cp:lastModifiedBy>
  <cp:revision>4</cp:revision>
  <cp:lastPrinted>2018-04-12T09:00:00Z</cp:lastPrinted>
  <dcterms:created xsi:type="dcterms:W3CDTF">2018-04-11T13:34:00Z</dcterms:created>
  <dcterms:modified xsi:type="dcterms:W3CDTF">2018-04-12T09:00:00Z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16th edition (full note)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http://www.zotero.org/styles/taylor-and-francis-chicago-f</vt:lpwstr>
  </property>
  <property fmtid="{D5CDD505-2E9C-101B-9397-08002B2CF9AE}" pid="15" name="Mendeley Recent Style Name 6_1">
    <vt:lpwstr>Taylor &amp; Francis - Chicago F</vt:lpwstr>
  </property>
  <property fmtid="{D5CDD505-2E9C-101B-9397-08002B2CF9AE}" pid="16" name="Mendeley Recent Style Id 7_1">
    <vt:lpwstr>http://www.zotero.org/styles/taylor-and-francis-chicago-author-date</vt:lpwstr>
  </property>
  <property fmtid="{D5CDD505-2E9C-101B-9397-08002B2CF9AE}" pid="17" name="Mendeley Recent Style Name 7_1">
    <vt:lpwstr>Taylor &amp; Francis - Chicago Manual of Style (author-date)</vt:lpwstr>
  </property>
  <property fmtid="{D5CDD505-2E9C-101B-9397-08002B2CF9AE}" pid="18" name="Mendeley Recent Style Id 8_1">
    <vt:lpwstr>http://www.zotero.org/styles/taylor-and-francis-chicago-note</vt:lpwstr>
  </property>
  <property fmtid="{D5CDD505-2E9C-101B-9397-08002B2CF9AE}" pid="19" name="Mendeley Recent Style Name 8_1">
    <vt:lpwstr>Taylor &amp; Francis - Chicago Manual of Style (note)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