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7AA" w:rsidRDefault="00E167AA" w:rsidP="001E4991">
      <w:pPr>
        <w:pStyle w:val="Heading2"/>
        <w:spacing w:before="0" w:line="240" w:lineRule="auto"/>
        <w:jc w:val="center"/>
        <w:rPr>
          <w:lang w:val="en-GB"/>
        </w:rPr>
      </w:pPr>
      <w:bookmarkStart w:id="0" w:name="_GoBack"/>
      <w:bookmarkEnd w:id="0"/>
      <w:r>
        <w:rPr>
          <w:lang w:val="en-GB"/>
        </w:rPr>
        <w:t xml:space="preserve">Flood insurance in Scotland: </w:t>
      </w:r>
      <w:r w:rsidR="002E248D">
        <w:rPr>
          <w:lang w:val="en-GB"/>
        </w:rPr>
        <w:t>A</w:t>
      </w:r>
      <w:r>
        <w:rPr>
          <w:lang w:val="en-GB"/>
        </w:rPr>
        <w:t xml:space="preserve"> cause for serious concern</w:t>
      </w:r>
    </w:p>
    <w:p w:rsidR="00CE35CB" w:rsidRPr="00CE35CB" w:rsidRDefault="00CE35CB" w:rsidP="00F40987">
      <w:pPr>
        <w:spacing w:after="0" w:line="240" w:lineRule="auto"/>
        <w:ind w:left="2880"/>
        <w:rPr>
          <w:lang w:val="en-GB"/>
        </w:rPr>
      </w:pPr>
      <w:r w:rsidRPr="00CE35CB">
        <w:rPr>
          <w:lang w:val="en-GB"/>
        </w:rPr>
        <w:t>Edmund C. Penning-Rowsell</w:t>
      </w:r>
    </w:p>
    <w:p w:rsidR="00CE35CB" w:rsidRPr="00CE35CB" w:rsidRDefault="00CE35CB" w:rsidP="00F40987">
      <w:pPr>
        <w:spacing w:after="0" w:line="240" w:lineRule="auto"/>
        <w:ind w:left="2880"/>
        <w:rPr>
          <w:lang w:val="en-GB"/>
        </w:rPr>
      </w:pPr>
      <w:r w:rsidRPr="00CE35CB">
        <w:rPr>
          <w:lang w:val="en-GB"/>
        </w:rPr>
        <w:t>Flood Hazard Research Centre,</w:t>
      </w:r>
    </w:p>
    <w:p w:rsidR="00CE35CB" w:rsidRPr="00CE35CB" w:rsidRDefault="00CE35CB" w:rsidP="00F40987">
      <w:pPr>
        <w:spacing w:after="0" w:line="240" w:lineRule="auto"/>
        <w:ind w:left="2880"/>
        <w:rPr>
          <w:lang w:val="en-GB"/>
        </w:rPr>
      </w:pPr>
      <w:r w:rsidRPr="00CE35CB">
        <w:rPr>
          <w:lang w:val="en-GB"/>
        </w:rPr>
        <w:t>Middlesex University,</w:t>
      </w:r>
    </w:p>
    <w:p w:rsidR="00CE35CB" w:rsidRPr="00CE35CB" w:rsidRDefault="00CE35CB" w:rsidP="00F40987">
      <w:pPr>
        <w:spacing w:after="0" w:line="240" w:lineRule="auto"/>
        <w:ind w:left="2880"/>
        <w:rPr>
          <w:lang w:val="en-GB"/>
        </w:rPr>
      </w:pPr>
      <w:r w:rsidRPr="00CE35CB">
        <w:rPr>
          <w:lang w:val="en-GB"/>
        </w:rPr>
        <w:t>The Burroughs,</w:t>
      </w:r>
    </w:p>
    <w:p w:rsidR="00CE35CB" w:rsidRPr="00CE35CB" w:rsidRDefault="00CE35CB" w:rsidP="00F40987">
      <w:pPr>
        <w:spacing w:after="0" w:line="240" w:lineRule="auto"/>
        <w:ind w:left="2880"/>
        <w:rPr>
          <w:lang w:val="en-GB"/>
        </w:rPr>
      </w:pPr>
      <w:r w:rsidRPr="00CE35CB">
        <w:rPr>
          <w:lang w:val="en-GB"/>
        </w:rPr>
        <w:t>London NW4 4BT</w:t>
      </w:r>
    </w:p>
    <w:p w:rsidR="00E167AA" w:rsidRDefault="00E167AA" w:rsidP="001E4991">
      <w:pPr>
        <w:spacing w:after="0" w:line="240" w:lineRule="auto"/>
        <w:rPr>
          <w:lang w:val="en-GB"/>
        </w:rPr>
      </w:pPr>
    </w:p>
    <w:p w:rsidR="00A23E4F" w:rsidRDefault="00A23E4F" w:rsidP="00A23E4F">
      <w:pPr>
        <w:pStyle w:val="Heading2"/>
        <w:rPr>
          <w:lang w:val="en-GB"/>
        </w:rPr>
      </w:pPr>
      <w:r>
        <w:rPr>
          <w:lang w:val="en-GB"/>
        </w:rPr>
        <w:t>Abstract</w:t>
      </w:r>
    </w:p>
    <w:p w:rsidR="00A23E4F" w:rsidRDefault="00A23E4F" w:rsidP="00A23E4F">
      <w:pPr>
        <w:rPr>
          <w:lang w:val="en-GB"/>
        </w:rPr>
      </w:pPr>
    </w:p>
    <w:p w:rsidR="00E167AA" w:rsidRPr="0008750D" w:rsidRDefault="00A23E4F" w:rsidP="0008750D">
      <w:pPr>
        <w:jc w:val="both"/>
        <w:rPr>
          <w:i/>
          <w:lang w:val="en-GB"/>
        </w:rPr>
      </w:pPr>
      <w:r w:rsidRPr="0008750D">
        <w:rPr>
          <w:i/>
          <w:lang w:val="en-GB"/>
        </w:rPr>
        <w:t xml:space="preserve">The availability of flood insurance to compensate victims for the </w:t>
      </w:r>
      <w:r w:rsidR="0008750D">
        <w:rPr>
          <w:i/>
          <w:lang w:val="en-GB"/>
        </w:rPr>
        <w:t xml:space="preserve">financial </w:t>
      </w:r>
      <w:r w:rsidRPr="0008750D">
        <w:rPr>
          <w:i/>
          <w:lang w:val="en-GB"/>
        </w:rPr>
        <w:t xml:space="preserve">losses they incur </w:t>
      </w:r>
      <w:r w:rsidR="00AF0B1C">
        <w:rPr>
          <w:i/>
          <w:lang w:val="en-GB"/>
        </w:rPr>
        <w:t xml:space="preserve">from flooding </w:t>
      </w:r>
      <w:r w:rsidRPr="0008750D">
        <w:rPr>
          <w:i/>
          <w:lang w:val="en-GB"/>
        </w:rPr>
        <w:t>is fundamental to flood risk management in UK</w:t>
      </w:r>
      <w:r w:rsidR="0008750D">
        <w:rPr>
          <w:i/>
          <w:lang w:val="en-GB"/>
        </w:rPr>
        <w:t xml:space="preserve"> in underpinning government risk </w:t>
      </w:r>
      <w:r w:rsidR="004A5BDD">
        <w:rPr>
          <w:i/>
          <w:lang w:val="en-GB"/>
        </w:rPr>
        <w:t xml:space="preserve">management </w:t>
      </w:r>
      <w:r w:rsidR="0008750D">
        <w:rPr>
          <w:i/>
          <w:lang w:val="en-GB"/>
        </w:rPr>
        <w:t>measures.</w:t>
      </w:r>
      <w:r w:rsidRPr="0008750D">
        <w:rPr>
          <w:i/>
          <w:lang w:val="en-GB"/>
        </w:rPr>
        <w:t xml:space="preserve"> Yet in Scotland, insurance penetration rates in the population are low for those in the lower deciles of gross weekly income, and for those living in rented accommodation. The subsidised affordable policies available under Flood Re are not available to this fraction of the population, as they do not insure now and therefore are n</w:t>
      </w:r>
      <w:r w:rsidR="00BC6FF2">
        <w:rPr>
          <w:i/>
          <w:lang w:val="en-GB"/>
        </w:rPr>
        <w:t>ot eligible. The rented segment</w:t>
      </w:r>
      <w:r w:rsidRPr="0008750D">
        <w:rPr>
          <w:i/>
          <w:lang w:val="en-GB"/>
        </w:rPr>
        <w:t xml:space="preserve"> of the housing market is expanding, leaving an increasingly large number of people likely not to insure </w:t>
      </w:r>
      <w:r w:rsidR="004A5BDD">
        <w:rPr>
          <w:i/>
          <w:lang w:val="en-GB"/>
        </w:rPr>
        <w:t xml:space="preserve">against flood damage </w:t>
      </w:r>
      <w:r w:rsidRPr="0008750D">
        <w:rPr>
          <w:i/>
          <w:lang w:val="en-GB"/>
        </w:rPr>
        <w:t xml:space="preserve">although many will </w:t>
      </w:r>
      <w:r w:rsidR="0008750D">
        <w:rPr>
          <w:i/>
          <w:lang w:val="en-GB"/>
        </w:rPr>
        <w:t xml:space="preserve">hopefully </w:t>
      </w:r>
      <w:r w:rsidRPr="0008750D">
        <w:rPr>
          <w:i/>
          <w:lang w:val="en-GB"/>
        </w:rPr>
        <w:t xml:space="preserve">have </w:t>
      </w:r>
      <w:r w:rsidR="0008750D">
        <w:rPr>
          <w:i/>
          <w:lang w:val="en-GB"/>
        </w:rPr>
        <w:t xml:space="preserve">damage to </w:t>
      </w:r>
      <w:r w:rsidRPr="0008750D">
        <w:rPr>
          <w:i/>
          <w:lang w:val="en-GB"/>
        </w:rPr>
        <w:t>the structure of their houses covered by landlords’</w:t>
      </w:r>
      <w:r w:rsidR="00AF0B1C">
        <w:rPr>
          <w:i/>
          <w:lang w:val="en-GB"/>
        </w:rPr>
        <w:t xml:space="preserve"> insurance policies.  The vulnerability </w:t>
      </w:r>
      <w:r w:rsidR="00BC6FF2">
        <w:rPr>
          <w:i/>
          <w:lang w:val="en-GB"/>
        </w:rPr>
        <w:t xml:space="preserve">to flooding </w:t>
      </w:r>
      <w:r w:rsidR="00AF0B1C">
        <w:rPr>
          <w:i/>
          <w:lang w:val="en-GB"/>
        </w:rPr>
        <w:t xml:space="preserve">of </w:t>
      </w:r>
      <w:r w:rsidR="004A5BDD">
        <w:rPr>
          <w:i/>
          <w:lang w:val="en-GB"/>
        </w:rPr>
        <w:t xml:space="preserve">Scottish </w:t>
      </w:r>
      <w:r w:rsidR="00AF0B1C">
        <w:rPr>
          <w:i/>
          <w:lang w:val="en-GB"/>
        </w:rPr>
        <w:t>households with low incomes</w:t>
      </w:r>
      <w:r w:rsidR="0008750D" w:rsidRPr="0008750D">
        <w:rPr>
          <w:i/>
          <w:lang w:val="en-GB"/>
        </w:rPr>
        <w:t xml:space="preserve"> </w:t>
      </w:r>
      <w:r w:rsidR="00AF0B1C">
        <w:rPr>
          <w:i/>
          <w:lang w:val="en-GB"/>
        </w:rPr>
        <w:t xml:space="preserve">in rented accommodation </w:t>
      </w:r>
      <w:r w:rsidR="0008750D" w:rsidRPr="0008750D">
        <w:rPr>
          <w:i/>
          <w:lang w:val="en-GB"/>
        </w:rPr>
        <w:t>is a most unsatisfactory situation, particularly as climate change appears to have greatest impact</w:t>
      </w:r>
      <w:r w:rsidR="0008750D">
        <w:rPr>
          <w:i/>
          <w:lang w:val="en-GB"/>
        </w:rPr>
        <w:t xml:space="preserve"> i</w:t>
      </w:r>
      <w:r w:rsidR="0008750D" w:rsidRPr="0008750D">
        <w:rPr>
          <w:i/>
          <w:lang w:val="en-GB"/>
        </w:rPr>
        <w:t xml:space="preserve">n increasing flood severity in </w:t>
      </w:r>
      <w:r w:rsidR="00BC6FF2">
        <w:rPr>
          <w:i/>
          <w:lang w:val="en-GB"/>
        </w:rPr>
        <w:t xml:space="preserve">such </w:t>
      </w:r>
      <w:r w:rsidR="0008750D" w:rsidRPr="0008750D">
        <w:rPr>
          <w:i/>
          <w:lang w:val="en-GB"/>
        </w:rPr>
        <w:t xml:space="preserve">deprived </w:t>
      </w:r>
      <w:r w:rsidR="0008750D">
        <w:rPr>
          <w:i/>
          <w:lang w:val="en-GB"/>
        </w:rPr>
        <w:t xml:space="preserve">and disadvantaged </w:t>
      </w:r>
      <w:r w:rsidR="0008750D" w:rsidRPr="0008750D">
        <w:rPr>
          <w:i/>
          <w:lang w:val="en-GB"/>
        </w:rPr>
        <w:t>neighbourhoods.</w:t>
      </w:r>
    </w:p>
    <w:p w:rsidR="00337AAF" w:rsidRDefault="00337AAF" w:rsidP="001E4991">
      <w:pPr>
        <w:pStyle w:val="Heading2"/>
        <w:spacing w:before="0" w:line="240" w:lineRule="auto"/>
        <w:rPr>
          <w:lang w:val="en-GB"/>
        </w:rPr>
      </w:pPr>
      <w:r>
        <w:rPr>
          <w:lang w:val="en-GB"/>
        </w:rPr>
        <w:t>Introduction</w:t>
      </w:r>
    </w:p>
    <w:p w:rsidR="00337AAF" w:rsidRDefault="00337AAF" w:rsidP="001E4991">
      <w:pPr>
        <w:autoSpaceDE w:val="0"/>
        <w:autoSpaceDN w:val="0"/>
        <w:adjustRightInd w:val="0"/>
        <w:spacing w:after="0" w:line="240" w:lineRule="auto"/>
        <w:rPr>
          <w:rFonts w:cs="Calibri"/>
          <w:szCs w:val="24"/>
          <w:lang w:val="en-GB"/>
        </w:rPr>
      </w:pPr>
    </w:p>
    <w:p w:rsidR="00F01986" w:rsidRPr="00F40987" w:rsidRDefault="002548B9" w:rsidP="00F01986">
      <w:pPr>
        <w:pStyle w:val="PlainText"/>
        <w:rPr>
          <w:rFonts w:asciiTheme="minorHAnsi" w:hAnsiTheme="minorHAnsi"/>
          <w:sz w:val="24"/>
          <w:szCs w:val="24"/>
        </w:rPr>
      </w:pPr>
      <w:r w:rsidRPr="00F40987">
        <w:rPr>
          <w:rFonts w:asciiTheme="minorHAnsi" w:hAnsiTheme="minorHAnsi" w:cs="Calibri"/>
          <w:sz w:val="24"/>
          <w:szCs w:val="24"/>
          <w:lang w:val="en-GB"/>
        </w:rPr>
        <w:t xml:space="preserve">Insurance underpins all other </w:t>
      </w:r>
      <w:r w:rsidR="0085326B" w:rsidRPr="00F40987">
        <w:rPr>
          <w:rFonts w:asciiTheme="minorHAnsi" w:hAnsiTheme="minorHAnsi" w:cs="Calibri"/>
          <w:sz w:val="24"/>
          <w:szCs w:val="24"/>
          <w:lang w:val="en-GB"/>
        </w:rPr>
        <w:t xml:space="preserve">flood risk management (FRM) </w:t>
      </w:r>
      <w:r w:rsidRPr="00F40987">
        <w:rPr>
          <w:rFonts w:asciiTheme="minorHAnsi" w:hAnsiTheme="minorHAnsi" w:cs="Calibri"/>
          <w:sz w:val="24"/>
          <w:szCs w:val="24"/>
          <w:lang w:val="en-GB"/>
        </w:rPr>
        <w:t xml:space="preserve">policies in the UK, and indeed </w:t>
      </w:r>
      <w:r w:rsidR="0085326B" w:rsidRPr="00F40987">
        <w:rPr>
          <w:rFonts w:asciiTheme="minorHAnsi" w:hAnsiTheme="minorHAnsi" w:cs="Calibri"/>
          <w:sz w:val="24"/>
          <w:szCs w:val="24"/>
          <w:lang w:val="en-GB"/>
        </w:rPr>
        <w:t>t</w:t>
      </w:r>
      <w:r w:rsidRPr="00F40987">
        <w:rPr>
          <w:rFonts w:asciiTheme="minorHAnsi" w:hAnsiTheme="minorHAnsi" w:cs="Calibri"/>
          <w:sz w:val="24"/>
          <w:szCs w:val="24"/>
          <w:lang w:val="en-GB"/>
        </w:rPr>
        <w:t xml:space="preserve">his is one of the few FRM policies where measures are universally applied across the UK (National Flood Forum, 2012). </w:t>
      </w:r>
      <w:r w:rsidR="00F01986" w:rsidRPr="00F40987">
        <w:rPr>
          <w:rFonts w:asciiTheme="minorHAnsi" w:hAnsiTheme="minorHAnsi" w:cs="Calibri"/>
          <w:sz w:val="24"/>
          <w:szCs w:val="24"/>
          <w:lang w:val="en-GB"/>
        </w:rPr>
        <w:t xml:space="preserve">Thus whilst </w:t>
      </w:r>
      <w:r w:rsidR="00F01986" w:rsidRPr="00F40987">
        <w:rPr>
          <w:rFonts w:asciiTheme="minorHAnsi" w:hAnsiTheme="minorHAnsi"/>
          <w:sz w:val="24"/>
          <w:szCs w:val="24"/>
        </w:rPr>
        <w:t>flood risk management is a responsibility devolved to the Scottish Parliament</w:t>
      </w:r>
      <w:r w:rsidR="00F01986" w:rsidRPr="00F40987">
        <w:rPr>
          <w:rFonts w:asciiTheme="minorHAnsi" w:hAnsiTheme="minorHAnsi"/>
          <w:sz w:val="24"/>
          <w:szCs w:val="24"/>
          <w:lang w:val="en-GB"/>
        </w:rPr>
        <w:t xml:space="preserve">, </w:t>
      </w:r>
      <w:r w:rsidR="00F01986" w:rsidRPr="00F40987">
        <w:rPr>
          <w:rFonts w:asciiTheme="minorHAnsi" w:hAnsiTheme="minorHAnsi"/>
          <w:sz w:val="24"/>
          <w:szCs w:val="24"/>
        </w:rPr>
        <w:t>flood insurance is deemed to be a financial issue and a reserved power retained by the Westminster Parliament.</w:t>
      </w:r>
    </w:p>
    <w:p w:rsidR="00AF0B1C" w:rsidRDefault="00AF0B1C" w:rsidP="001E4991">
      <w:pPr>
        <w:autoSpaceDE w:val="0"/>
        <w:autoSpaceDN w:val="0"/>
        <w:adjustRightInd w:val="0"/>
        <w:spacing w:after="0" w:line="240" w:lineRule="auto"/>
        <w:rPr>
          <w:rFonts w:cs="Calibri"/>
          <w:szCs w:val="24"/>
          <w:lang w:val="en-GB"/>
        </w:rPr>
      </w:pPr>
    </w:p>
    <w:p w:rsidR="00AF0B1C" w:rsidRDefault="00AF0B1C" w:rsidP="001E4991">
      <w:pPr>
        <w:autoSpaceDE w:val="0"/>
        <w:autoSpaceDN w:val="0"/>
        <w:adjustRightInd w:val="0"/>
        <w:spacing w:after="0" w:line="240" w:lineRule="auto"/>
        <w:rPr>
          <w:rFonts w:cs="Calibri"/>
          <w:szCs w:val="24"/>
          <w:lang w:val="en-GB"/>
        </w:rPr>
      </w:pPr>
    </w:p>
    <w:p w:rsidR="002548B9" w:rsidRDefault="002548B9" w:rsidP="001E4991">
      <w:pPr>
        <w:autoSpaceDE w:val="0"/>
        <w:autoSpaceDN w:val="0"/>
        <w:adjustRightInd w:val="0"/>
        <w:spacing w:after="0" w:line="240" w:lineRule="auto"/>
        <w:rPr>
          <w:rFonts w:cs="Calibri"/>
          <w:szCs w:val="24"/>
          <w:lang w:val="en-GB"/>
        </w:rPr>
      </w:pPr>
      <w:r>
        <w:rPr>
          <w:rFonts w:cs="Calibri"/>
          <w:szCs w:val="24"/>
          <w:lang w:val="en-GB"/>
        </w:rPr>
        <w:t xml:space="preserve">The </w:t>
      </w:r>
      <w:r w:rsidR="0085326B">
        <w:rPr>
          <w:rFonts w:cs="Calibri"/>
          <w:szCs w:val="24"/>
          <w:lang w:val="en-GB"/>
        </w:rPr>
        <w:t>ava</w:t>
      </w:r>
      <w:r w:rsidR="00337AAF">
        <w:rPr>
          <w:rFonts w:cs="Calibri"/>
          <w:szCs w:val="24"/>
          <w:lang w:val="en-GB"/>
        </w:rPr>
        <w:t>ilability of flood insurance, f</w:t>
      </w:r>
      <w:r>
        <w:rPr>
          <w:rFonts w:cs="Calibri"/>
          <w:szCs w:val="24"/>
          <w:lang w:val="en-GB"/>
        </w:rPr>
        <w:t>irstly, relieves</w:t>
      </w:r>
      <w:r w:rsidRPr="002548B9">
        <w:rPr>
          <w:rFonts w:cs="Calibri"/>
          <w:szCs w:val="24"/>
          <w:lang w:val="en-GB"/>
        </w:rPr>
        <w:t xml:space="preserve"> the government of</w:t>
      </w:r>
      <w:r>
        <w:rPr>
          <w:rFonts w:cs="Calibri"/>
          <w:szCs w:val="24"/>
          <w:lang w:val="en-GB"/>
        </w:rPr>
        <w:t xml:space="preserve"> </w:t>
      </w:r>
      <w:r w:rsidRPr="002548B9">
        <w:rPr>
          <w:rFonts w:cs="Calibri"/>
          <w:szCs w:val="24"/>
          <w:lang w:val="en-GB"/>
        </w:rPr>
        <w:t xml:space="preserve">the </w:t>
      </w:r>
      <w:r w:rsidR="00337AAF">
        <w:rPr>
          <w:rFonts w:cs="Calibri"/>
          <w:szCs w:val="24"/>
          <w:lang w:val="en-GB"/>
        </w:rPr>
        <w:t xml:space="preserve">possible </w:t>
      </w:r>
      <w:r w:rsidRPr="002548B9">
        <w:rPr>
          <w:rFonts w:cs="Calibri"/>
          <w:szCs w:val="24"/>
          <w:lang w:val="en-GB"/>
        </w:rPr>
        <w:t xml:space="preserve">obligation to pay compensation for the </w:t>
      </w:r>
      <w:r w:rsidR="00B66BC6">
        <w:rPr>
          <w:rFonts w:cs="Calibri"/>
          <w:szCs w:val="24"/>
          <w:lang w:val="en-GB"/>
        </w:rPr>
        <w:t xml:space="preserve">damage caused by flooding </w:t>
      </w:r>
      <w:r>
        <w:rPr>
          <w:rFonts w:cs="Calibri"/>
          <w:szCs w:val="24"/>
          <w:lang w:val="en-GB"/>
        </w:rPr>
        <w:t xml:space="preserve">as is common </w:t>
      </w:r>
      <w:r w:rsidR="00BC6FF2">
        <w:rPr>
          <w:rFonts w:cs="Calibri"/>
          <w:szCs w:val="24"/>
          <w:lang w:val="en-GB"/>
        </w:rPr>
        <w:t xml:space="preserve">practice </w:t>
      </w:r>
      <w:r>
        <w:rPr>
          <w:rFonts w:cs="Calibri"/>
          <w:szCs w:val="24"/>
          <w:lang w:val="en-GB"/>
        </w:rPr>
        <w:t xml:space="preserve">in many other countries </w:t>
      </w:r>
      <w:r w:rsidR="00AF0B1C">
        <w:rPr>
          <w:rFonts w:cs="Calibri"/>
          <w:szCs w:val="24"/>
          <w:lang w:val="en-GB"/>
        </w:rPr>
        <w:t>(Lamond and Penning-Rowsell, 2014</w:t>
      </w:r>
      <w:r>
        <w:rPr>
          <w:rFonts w:cs="Calibri"/>
          <w:szCs w:val="24"/>
          <w:lang w:val="en-GB"/>
        </w:rPr>
        <w:t xml:space="preserve">). </w:t>
      </w:r>
      <w:r w:rsidR="0085326B">
        <w:rPr>
          <w:rFonts w:cs="Calibri"/>
          <w:szCs w:val="24"/>
          <w:lang w:val="en-GB"/>
        </w:rPr>
        <w:t>Secondly, flood i</w:t>
      </w:r>
      <w:r>
        <w:rPr>
          <w:rFonts w:cs="Calibri"/>
          <w:szCs w:val="24"/>
          <w:lang w:val="en-GB"/>
        </w:rPr>
        <w:t>nsurance also provides the individual householder with a means f</w:t>
      </w:r>
      <w:r w:rsidR="00AF0B1C">
        <w:rPr>
          <w:rFonts w:cs="Calibri"/>
          <w:szCs w:val="24"/>
          <w:lang w:val="en-GB"/>
        </w:rPr>
        <w:t xml:space="preserve">or spreading risk over a </w:t>
      </w:r>
      <w:r>
        <w:rPr>
          <w:rFonts w:cs="Calibri"/>
          <w:szCs w:val="24"/>
          <w:lang w:val="en-GB"/>
        </w:rPr>
        <w:t xml:space="preserve">period of time, through </w:t>
      </w:r>
      <w:r w:rsidR="00AF0B1C">
        <w:rPr>
          <w:rFonts w:cs="Calibri"/>
          <w:szCs w:val="24"/>
          <w:lang w:val="en-GB"/>
        </w:rPr>
        <w:t xml:space="preserve">a series of </w:t>
      </w:r>
      <w:r>
        <w:rPr>
          <w:rFonts w:cs="Calibri"/>
          <w:szCs w:val="24"/>
          <w:lang w:val="en-GB"/>
        </w:rPr>
        <w:t xml:space="preserve">annual premiums to compensate for </w:t>
      </w:r>
      <w:r w:rsidR="00AF0B1C">
        <w:rPr>
          <w:rFonts w:cs="Calibri"/>
          <w:szCs w:val="24"/>
          <w:lang w:val="en-GB"/>
        </w:rPr>
        <w:t xml:space="preserve">the </w:t>
      </w:r>
      <w:r>
        <w:rPr>
          <w:rFonts w:cs="Calibri"/>
          <w:szCs w:val="24"/>
          <w:lang w:val="en-GB"/>
        </w:rPr>
        <w:t xml:space="preserve">occasional flood damage that may occur. The risk </w:t>
      </w:r>
      <w:r w:rsidR="00660AAF">
        <w:rPr>
          <w:rFonts w:cs="Calibri"/>
          <w:szCs w:val="24"/>
          <w:lang w:val="en-GB"/>
        </w:rPr>
        <w:t xml:space="preserve">is </w:t>
      </w:r>
      <w:r>
        <w:rPr>
          <w:rFonts w:cs="Calibri"/>
          <w:szCs w:val="24"/>
          <w:lang w:val="en-GB"/>
        </w:rPr>
        <w:t xml:space="preserve">also spread geographically across many at-risk properties, with compensation to those occasionally flooded being funded by those paying premiums in any particular year when there is no flood and the damage that this causes. </w:t>
      </w:r>
      <w:r w:rsidR="00337AAF">
        <w:rPr>
          <w:rFonts w:cs="Calibri"/>
          <w:szCs w:val="24"/>
          <w:lang w:val="en-GB"/>
        </w:rPr>
        <w:t xml:space="preserve">This form of cross-subsidy appears to be essential for flood insurance to operate profitably. </w:t>
      </w:r>
      <w:r>
        <w:rPr>
          <w:rFonts w:cs="Calibri"/>
          <w:szCs w:val="24"/>
          <w:lang w:val="en-GB"/>
        </w:rPr>
        <w:t>For those receiving compensation via flood insurance the evidence suggests that recovery is more rapid</w:t>
      </w:r>
      <w:r w:rsidR="00AF0B1C">
        <w:rPr>
          <w:rFonts w:cs="Calibri"/>
          <w:szCs w:val="24"/>
          <w:lang w:val="en-GB"/>
        </w:rPr>
        <w:t xml:space="preserve"> (Twigger-Ross </w:t>
      </w:r>
      <w:r w:rsidR="00AF0B1C" w:rsidRPr="00F40987">
        <w:rPr>
          <w:rFonts w:cs="Calibri"/>
          <w:i/>
          <w:szCs w:val="24"/>
          <w:lang w:val="en-GB"/>
        </w:rPr>
        <w:t>et al.</w:t>
      </w:r>
      <w:r w:rsidR="00AF0B1C">
        <w:rPr>
          <w:rFonts w:cs="Calibri"/>
          <w:szCs w:val="24"/>
          <w:lang w:val="en-GB"/>
        </w:rPr>
        <w:t xml:space="preserve"> 2014)</w:t>
      </w:r>
      <w:r>
        <w:rPr>
          <w:rFonts w:cs="Calibri"/>
          <w:szCs w:val="24"/>
          <w:lang w:val="en-GB"/>
        </w:rPr>
        <w:t xml:space="preserve">, albeit the claiming of such compensation can be a tortuous process and not free from </w:t>
      </w:r>
      <w:r w:rsidR="0085326B">
        <w:rPr>
          <w:rFonts w:cs="Calibri"/>
          <w:szCs w:val="24"/>
          <w:lang w:val="en-GB"/>
        </w:rPr>
        <w:t xml:space="preserve">its own </w:t>
      </w:r>
      <w:r>
        <w:rPr>
          <w:rFonts w:cs="Calibri"/>
          <w:szCs w:val="24"/>
          <w:lang w:val="en-GB"/>
        </w:rPr>
        <w:t>anxiety and complications.</w:t>
      </w:r>
    </w:p>
    <w:p w:rsidR="002548B9" w:rsidRDefault="002548B9" w:rsidP="001E4991">
      <w:pPr>
        <w:autoSpaceDE w:val="0"/>
        <w:autoSpaceDN w:val="0"/>
        <w:adjustRightInd w:val="0"/>
        <w:spacing w:after="0" w:line="240" w:lineRule="auto"/>
        <w:rPr>
          <w:rFonts w:cs="Calibri"/>
          <w:szCs w:val="24"/>
          <w:lang w:val="en-GB"/>
        </w:rPr>
      </w:pPr>
    </w:p>
    <w:p w:rsidR="00973B02" w:rsidRDefault="00973B02" w:rsidP="001E4991">
      <w:pPr>
        <w:spacing w:after="0" w:line="240" w:lineRule="auto"/>
        <w:rPr>
          <w:lang w:val="en-GB"/>
        </w:rPr>
      </w:pPr>
      <w:r>
        <w:rPr>
          <w:lang w:val="en-GB"/>
        </w:rPr>
        <w:t>This paper examines flood insurance in Scotland in terms of its penetration throughout communit</w:t>
      </w:r>
      <w:r w:rsidR="006C37D8">
        <w:rPr>
          <w:lang w:val="en-GB"/>
        </w:rPr>
        <w:t>ies at risk from flooding there and looks at some current trends and future prospects in this respect.</w:t>
      </w:r>
      <w:r>
        <w:rPr>
          <w:lang w:val="en-GB"/>
        </w:rPr>
        <w:t xml:space="preserve"> It uses secondary source data, principality from the Office of National Statistics, to quantify this penetration in different communities as reflected in the tenure of the properties in which they live and their assets in terms of income. The objective is to examine deficiencies in penetration</w:t>
      </w:r>
      <w:r w:rsidR="009C69D1">
        <w:rPr>
          <w:lang w:val="en-GB"/>
        </w:rPr>
        <w:t xml:space="preserve">. These </w:t>
      </w:r>
      <w:r>
        <w:rPr>
          <w:lang w:val="en-GB"/>
        </w:rPr>
        <w:t>make the relevant communities and properties more vulnerable to the kind of flood risk exper</w:t>
      </w:r>
      <w:r w:rsidR="00BC6FF2">
        <w:rPr>
          <w:lang w:val="en-GB"/>
        </w:rPr>
        <w:t>ienced in storm Desmond in 2015</w:t>
      </w:r>
      <w:r>
        <w:rPr>
          <w:lang w:val="en-GB"/>
        </w:rPr>
        <w:t>/16 by not being insured and therefore not receiving compensation for the losses incurred. The issues of the non-insurance or under-insurance (the latter not considered here owing to lack of data) have been researched bef</w:t>
      </w:r>
      <w:r w:rsidR="00AF0B1C">
        <w:rPr>
          <w:lang w:val="en-GB"/>
        </w:rPr>
        <w:t xml:space="preserve">ore in the UK (e.g. Priest </w:t>
      </w:r>
      <w:r w:rsidR="00AF0B1C" w:rsidRPr="00F40987">
        <w:rPr>
          <w:i/>
          <w:lang w:val="en-GB"/>
        </w:rPr>
        <w:t>et al</w:t>
      </w:r>
      <w:r w:rsidR="00AF0B1C">
        <w:rPr>
          <w:lang w:val="en-GB"/>
        </w:rPr>
        <w:t>. 2005</w:t>
      </w:r>
      <w:r>
        <w:rPr>
          <w:lang w:val="en-GB"/>
        </w:rPr>
        <w:t>), and the problem remains largely unsolved. Indeed, it is probably endemic within insurance arrangements where participation is voluntary and income-constrained.</w:t>
      </w:r>
    </w:p>
    <w:p w:rsidR="00AF0B1C" w:rsidRDefault="00AF0B1C" w:rsidP="001E4991">
      <w:pPr>
        <w:pStyle w:val="Heading2"/>
        <w:spacing w:before="0" w:line="240" w:lineRule="auto"/>
        <w:rPr>
          <w:lang w:val="en-GB"/>
        </w:rPr>
      </w:pPr>
    </w:p>
    <w:p w:rsidR="00973B02" w:rsidRDefault="00973B02" w:rsidP="001E4991">
      <w:pPr>
        <w:pStyle w:val="Heading2"/>
        <w:spacing w:before="0" w:line="240" w:lineRule="auto"/>
        <w:rPr>
          <w:lang w:val="en-GB"/>
        </w:rPr>
      </w:pPr>
      <w:r>
        <w:rPr>
          <w:lang w:val="en-GB"/>
        </w:rPr>
        <w:t xml:space="preserve">Flood insurance: its character and issues </w:t>
      </w:r>
    </w:p>
    <w:p w:rsidR="00973B02" w:rsidRDefault="00973B02" w:rsidP="001E4991">
      <w:pPr>
        <w:autoSpaceDE w:val="0"/>
        <w:autoSpaceDN w:val="0"/>
        <w:adjustRightInd w:val="0"/>
        <w:spacing w:after="0" w:line="240" w:lineRule="auto"/>
        <w:rPr>
          <w:rFonts w:cs="Calibri"/>
          <w:szCs w:val="24"/>
          <w:lang w:val="en-GB"/>
        </w:rPr>
      </w:pPr>
    </w:p>
    <w:p w:rsidR="00973B02" w:rsidRDefault="002548B9" w:rsidP="001E4991">
      <w:pPr>
        <w:autoSpaceDE w:val="0"/>
        <w:autoSpaceDN w:val="0"/>
        <w:adjustRightInd w:val="0"/>
        <w:spacing w:after="0" w:line="240" w:lineRule="auto"/>
        <w:rPr>
          <w:rFonts w:cs="Calibri"/>
          <w:szCs w:val="24"/>
          <w:lang w:val="en-GB"/>
        </w:rPr>
      </w:pPr>
      <w:r>
        <w:rPr>
          <w:rFonts w:cs="Calibri"/>
          <w:szCs w:val="24"/>
          <w:lang w:val="en-GB"/>
        </w:rPr>
        <w:t xml:space="preserve">The availability of flood insurance in </w:t>
      </w:r>
      <w:r w:rsidR="0085326B">
        <w:rPr>
          <w:rFonts w:cs="Calibri"/>
          <w:szCs w:val="24"/>
          <w:lang w:val="en-GB"/>
        </w:rPr>
        <w:t xml:space="preserve">Scotland </w:t>
      </w:r>
      <w:r w:rsidR="00AA0E55">
        <w:rPr>
          <w:rFonts w:cs="Calibri"/>
          <w:szCs w:val="24"/>
          <w:lang w:val="en-GB"/>
        </w:rPr>
        <w:t xml:space="preserve">(Ball </w:t>
      </w:r>
      <w:r w:rsidR="00AA0E55" w:rsidRPr="00F40987">
        <w:rPr>
          <w:rFonts w:cs="Calibri"/>
          <w:i/>
          <w:szCs w:val="24"/>
          <w:lang w:val="en-GB"/>
        </w:rPr>
        <w:t>et al</w:t>
      </w:r>
      <w:r w:rsidR="00AA0E55">
        <w:rPr>
          <w:rFonts w:cs="Calibri"/>
          <w:szCs w:val="24"/>
          <w:lang w:val="en-GB"/>
        </w:rPr>
        <w:t xml:space="preserve">., 2012) </w:t>
      </w:r>
      <w:r w:rsidR="0085326B">
        <w:rPr>
          <w:rFonts w:cs="Calibri"/>
          <w:szCs w:val="24"/>
          <w:lang w:val="en-GB"/>
        </w:rPr>
        <w:t xml:space="preserve">and indeed across </w:t>
      </w:r>
      <w:r>
        <w:rPr>
          <w:rFonts w:cs="Calibri"/>
          <w:szCs w:val="24"/>
          <w:lang w:val="en-GB"/>
        </w:rPr>
        <w:t xml:space="preserve">the </w:t>
      </w:r>
      <w:r w:rsidR="0085326B">
        <w:rPr>
          <w:rFonts w:cs="Calibri"/>
          <w:szCs w:val="24"/>
          <w:lang w:val="en-GB"/>
        </w:rPr>
        <w:t xml:space="preserve">whole of the </w:t>
      </w:r>
      <w:r>
        <w:rPr>
          <w:rFonts w:cs="Calibri"/>
          <w:szCs w:val="24"/>
          <w:lang w:val="en-GB"/>
        </w:rPr>
        <w:t>UK is almost unique internationally</w:t>
      </w:r>
      <w:r w:rsidR="00337AAF">
        <w:rPr>
          <w:rFonts w:cs="Calibri"/>
          <w:szCs w:val="24"/>
          <w:lang w:val="en-GB"/>
        </w:rPr>
        <w:t xml:space="preserve"> (</w:t>
      </w:r>
      <w:r w:rsidR="00AF0B1C">
        <w:rPr>
          <w:rFonts w:cs="Calibri"/>
          <w:szCs w:val="24"/>
          <w:lang w:val="en-GB"/>
        </w:rPr>
        <w:t>Lamond and Penning-Rowsell, 2014</w:t>
      </w:r>
      <w:r w:rsidR="00337AAF">
        <w:rPr>
          <w:rFonts w:cs="Calibri"/>
          <w:szCs w:val="24"/>
          <w:lang w:val="en-GB"/>
        </w:rPr>
        <w:t>)</w:t>
      </w:r>
      <w:r>
        <w:rPr>
          <w:rFonts w:cs="Calibri"/>
          <w:szCs w:val="24"/>
          <w:lang w:val="en-GB"/>
        </w:rPr>
        <w:t xml:space="preserve">. It </w:t>
      </w:r>
      <w:r w:rsidR="0085326B">
        <w:rPr>
          <w:rFonts w:cs="Calibri"/>
          <w:szCs w:val="24"/>
          <w:lang w:val="en-GB"/>
        </w:rPr>
        <w:t>is</w:t>
      </w:r>
      <w:r w:rsidR="00973B02">
        <w:rPr>
          <w:rFonts w:cs="Calibri"/>
          <w:szCs w:val="24"/>
          <w:lang w:val="en-GB"/>
        </w:rPr>
        <w:t xml:space="preserve"> purchased voluntarily by householders and cover is</w:t>
      </w:r>
      <w:r w:rsidR="0085326B">
        <w:rPr>
          <w:rFonts w:cs="Calibri"/>
          <w:szCs w:val="24"/>
          <w:lang w:val="en-GB"/>
        </w:rPr>
        <w:t xml:space="preserve"> provided by private insurance comp</w:t>
      </w:r>
      <w:r w:rsidR="00973B02">
        <w:rPr>
          <w:rFonts w:cs="Calibri"/>
          <w:szCs w:val="24"/>
          <w:lang w:val="en-GB"/>
        </w:rPr>
        <w:t xml:space="preserve">anies, seeking a profit thereby. The system </w:t>
      </w:r>
      <w:r>
        <w:rPr>
          <w:rFonts w:cs="Calibri"/>
          <w:szCs w:val="24"/>
          <w:lang w:val="en-GB"/>
        </w:rPr>
        <w:t>has arisen through a series of negotiations and agreements between the insurance industry and the government, over many years, starting with the “Gentleman’s Agreement” in the 1960s and progressing through a series of versions of the Statement of Principles</w:t>
      </w:r>
      <w:r w:rsidR="00AF0B1C">
        <w:rPr>
          <w:rFonts w:cs="Calibri"/>
          <w:szCs w:val="24"/>
          <w:lang w:val="en-GB"/>
        </w:rPr>
        <w:t xml:space="preserve"> (Penning-Rowsell </w:t>
      </w:r>
      <w:r w:rsidR="00AF0B1C" w:rsidRPr="00F40987">
        <w:rPr>
          <w:rFonts w:cs="Calibri"/>
          <w:i/>
          <w:szCs w:val="24"/>
          <w:lang w:val="en-GB"/>
        </w:rPr>
        <w:t>et al.</w:t>
      </w:r>
      <w:r w:rsidR="00AF0B1C">
        <w:rPr>
          <w:rFonts w:cs="Calibri"/>
          <w:szCs w:val="24"/>
          <w:lang w:val="en-GB"/>
        </w:rPr>
        <w:t>, 2014)</w:t>
      </w:r>
      <w:r w:rsidR="00EB506E">
        <w:rPr>
          <w:rFonts w:cs="Calibri"/>
          <w:szCs w:val="24"/>
          <w:lang w:val="en-GB"/>
        </w:rPr>
        <w:t xml:space="preserve">. </w:t>
      </w:r>
    </w:p>
    <w:p w:rsidR="00973B02" w:rsidRDefault="00973B02" w:rsidP="001E4991">
      <w:pPr>
        <w:autoSpaceDE w:val="0"/>
        <w:autoSpaceDN w:val="0"/>
        <w:adjustRightInd w:val="0"/>
        <w:spacing w:after="0" w:line="240" w:lineRule="auto"/>
        <w:rPr>
          <w:rFonts w:cs="Calibri"/>
          <w:szCs w:val="24"/>
          <w:lang w:val="en-GB"/>
        </w:rPr>
      </w:pPr>
    </w:p>
    <w:p w:rsidR="006D5CA3" w:rsidRDefault="00EB506E" w:rsidP="001E4991">
      <w:pPr>
        <w:autoSpaceDE w:val="0"/>
        <w:autoSpaceDN w:val="0"/>
        <w:adjustRightInd w:val="0"/>
        <w:spacing w:after="0" w:line="240" w:lineRule="auto"/>
        <w:rPr>
          <w:rFonts w:cs="Calibri"/>
          <w:szCs w:val="24"/>
          <w:lang w:val="en-GB"/>
        </w:rPr>
      </w:pPr>
      <w:r>
        <w:rPr>
          <w:rFonts w:cs="Calibri"/>
          <w:szCs w:val="24"/>
          <w:lang w:val="en-GB"/>
        </w:rPr>
        <w:t xml:space="preserve">Each of these </w:t>
      </w:r>
      <w:r w:rsidR="0085326B">
        <w:rPr>
          <w:rFonts w:cs="Calibri"/>
          <w:szCs w:val="24"/>
          <w:lang w:val="en-GB"/>
        </w:rPr>
        <w:t>declar</w:t>
      </w:r>
      <w:r>
        <w:rPr>
          <w:rFonts w:cs="Calibri"/>
          <w:szCs w:val="24"/>
          <w:lang w:val="en-GB"/>
        </w:rPr>
        <w:t>ations modified</w:t>
      </w:r>
      <w:r w:rsidR="002548B9">
        <w:rPr>
          <w:rFonts w:cs="Calibri"/>
          <w:szCs w:val="24"/>
          <w:lang w:val="en-GB"/>
        </w:rPr>
        <w:t xml:space="preserve"> those agreements between government and</w:t>
      </w:r>
      <w:r w:rsidR="00BC6FF2">
        <w:rPr>
          <w:rFonts w:cs="Calibri"/>
          <w:szCs w:val="24"/>
          <w:lang w:val="en-GB"/>
        </w:rPr>
        <w:t xml:space="preserve"> the</w:t>
      </w:r>
      <w:r w:rsidR="002548B9">
        <w:rPr>
          <w:rFonts w:cs="Calibri"/>
          <w:szCs w:val="24"/>
          <w:lang w:val="en-GB"/>
        </w:rPr>
        <w:t xml:space="preserve"> insurance industry whereby the latter seeks to reduce </w:t>
      </w:r>
      <w:r>
        <w:rPr>
          <w:rFonts w:cs="Calibri"/>
          <w:szCs w:val="24"/>
          <w:lang w:val="en-GB"/>
        </w:rPr>
        <w:t xml:space="preserve">its </w:t>
      </w:r>
      <w:r w:rsidR="002548B9">
        <w:rPr>
          <w:rFonts w:cs="Calibri"/>
          <w:szCs w:val="24"/>
          <w:lang w:val="en-GB"/>
        </w:rPr>
        <w:t xml:space="preserve">liabilities </w:t>
      </w:r>
      <w:r>
        <w:rPr>
          <w:rFonts w:cs="Calibri"/>
          <w:szCs w:val="24"/>
          <w:lang w:val="en-GB"/>
        </w:rPr>
        <w:t xml:space="preserve">(for example </w:t>
      </w:r>
      <w:r w:rsidR="00BC6FF2">
        <w:rPr>
          <w:rFonts w:cs="Calibri"/>
          <w:szCs w:val="24"/>
          <w:lang w:val="en-GB"/>
        </w:rPr>
        <w:t xml:space="preserve">when </w:t>
      </w:r>
      <w:r>
        <w:rPr>
          <w:rFonts w:cs="Calibri"/>
          <w:szCs w:val="24"/>
          <w:lang w:val="en-GB"/>
        </w:rPr>
        <w:t xml:space="preserve">the government is required to increase its investment in flood risk management measures) </w:t>
      </w:r>
      <w:r w:rsidR="002548B9">
        <w:rPr>
          <w:rFonts w:cs="Calibri"/>
          <w:szCs w:val="24"/>
          <w:lang w:val="en-GB"/>
        </w:rPr>
        <w:t xml:space="preserve">and the former seeks to maximise coverage of flood insurance by making it affordable and widely available to those at </w:t>
      </w:r>
      <w:r w:rsidR="00AF0B1C">
        <w:rPr>
          <w:rFonts w:cs="Calibri"/>
          <w:szCs w:val="24"/>
          <w:lang w:val="en-GB"/>
        </w:rPr>
        <w:t>risk (Penning-Rowsell and Priest, 2015</w:t>
      </w:r>
      <w:r w:rsidR="002548B9">
        <w:rPr>
          <w:rFonts w:cs="Calibri"/>
          <w:szCs w:val="24"/>
          <w:lang w:val="en-GB"/>
        </w:rPr>
        <w:t xml:space="preserve">). </w:t>
      </w:r>
      <w:r>
        <w:rPr>
          <w:rFonts w:cs="Calibri"/>
          <w:szCs w:val="24"/>
          <w:lang w:val="en-GB"/>
        </w:rPr>
        <w:t>The latest of these arrangements, termed Flood</w:t>
      </w:r>
      <w:r w:rsidR="00BB2E13">
        <w:rPr>
          <w:rFonts w:cs="Calibri"/>
          <w:szCs w:val="24"/>
          <w:lang w:val="en-GB"/>
        </w:rPr>
        <w:t xml:space="preserve"> </w:t>
      </w:r>
      <w:r>
        <w:rPr>
          <w:rFonts w:cs="Calibri"/>
          <w:szCs w:val="24"/>
          <w:lang w:val="en-GB"/>
        </w:rPr>
        <w:t>Re</w:t>
      </w:r>
      <w:r w:rsidR="00BB2E13">
        <w:rPr>
          <w:rFonts w:cs="Calibri"/>
          <w:szCs w:val="24"/>
          <w:lang w:val="en-GB"/>
        </w:rPr>
        <w:t xml:space="preserve">, seeks to buffer those taking out insurance and </w:t>
      </w:r>
      <w:r w:rsidR="0085326B">
        <w:rPr>
          <w:rFonts w:cs="Calibri"/>
          <w:szCs w:val="24"/>
          <w:lang w:val="en-GB"/>
        </w:rPr>
        <w:t xml:space="preserve">who are </w:t>
      </w:r>
      <w:r w:rsidR="00BB2E13">
        <w:rPr>
          <w:rFonts w:cs="Calibri"/>
          <w:szCs w:val="24"/>
          <w:lang w:val="en-GB"/>
        </w:rPr>
        <w:t xml:space="preserve">at greatest risk – and thereby </w:t>
      </w:r>
      <w:r w:rsidR="0085326B">
        <w:rPr>
          <w:rFonts w:cs="Calibri"/>
          <w:szCs w:val="24"/>
          <w:lang w:val="en-GB"/>
        </w:rPr>
        <w:t xml:space="preserve">potentially </w:t>
      </w:r>
      <w:r w:rsidR="00BB2E13">
        <w:rPr>
          <w:rFonts w:cs="Calibri"/>
          <w:szCs w:val="24"/>
          <w:lang w:val="en-GB"/>
        </w:rPr>
        <w:t xml:space="preserve">incurring </w:t>
      </w:r>
      <w:r w:rsidR="0085326B">
        <w:rPr>
          <w:rFonts w:cs="Calibri"/>
          <w:szCs w:val="24"/>
          <w:lang w:val="en-GB"/>
        </w:rPr>
        <w:t xml:space="preserve">the </w:t>
      </w:r>
      <w:r w:rsidR="00BB2E13">
        <w:rPr>
          <w:rFonts w:cs="Calibri"/>
          <w:szCs w:val="24"/>
          <w:lang w:val="en-GB"/>
        </w:rPr>
        <w:t>greatest losses - from the high premiums that would otherwise be required</w:t>
      </w:r>
      <w:r w:rsidR="0085326B">
        <w:rPr>
          <w:rFonts w:cs="Calibri"/>
          <w:szCs w:val="24"/>
          <w:lang w:val="en-GB"/>
        </w:rPr>
        <w:t xml:space="preserve"> by insurance companies</w:t>
      </w:r>
      <w:r w:rsidR="00DD3411">
        <w:rPr>
          <w:rFonts w:cs="Calibri"/>
          <w:szCs w:val="24"/>
          <w:lang w:val="en-GB"/>
        </w:rPr>
        <w:t xml:space="preserve"> (Defra, 2014</w:t>
      </w:r>
      <w:r w:rsidR="00BB2E13">
        <w:rPr>
          <w:rFonts w:cs="Calibri"/>
          <w:szCs w:val="24"/>
          <w:lang w:val="en-GB"/>
        </w:rPr>
        <w:t xml:space="preserve">). This </w:t>
      </w:r>
      <w:r w:rsidR="0085326B">
        <w:rPr>
          <w:rFonts w:cs="Calibri"/>
          <w:szCs w:val="24"/>
          <w:lang w:val="en-GB"/>
        </w:rPr>
        <w:t xml:space="preserve">Flood Re scheme </w:t>
      </w:r>
      <w:r w:rsidR="00BB2E13">
        <w:rPr>
          <w:rFonts w:cs="Calibri"/>
          <w:szCs w:val="24"/>
          <w:lang w:val="en-GB"/>
        </w:rPr>
        <w:t>is discussed further, below.</w:t>
      </w:r>
    </w:p>
    <w:p w:rsidR="007D1EBD" w:rsidRDefault="007D1EBD" w:rsidP="001E4991">
      <w:pPr>
        <w:autoSpaceDE w:val="0"/>
        <w:autoSpaceDN w:val="0"/>
        <w:adjustRightInd w:val="0"/>
        <w:spacing w:after="0" w:line="240" w:lineRule="auto"/>
        <w:rPr>
          <w:rFonts w:cs="Calibri"/>
          <w:szCs w:val="24"/>
          <w:lang w:val="en-GB"/>
        </w:rPr>
      </w:pPr>
    </w:p>
    <w:p w:rsidR="007D1EBD" w:rsidRDefault="007D1EBD" w:rsidP="001E4991">
      <w:pPr>
        <w:autoSpaceDE w:val="0"/>
        <w:autoSpaceDN w:val="0"/>
        <w:adjustRightInd w:val="0"/>
        <w:spacing w:after="0" w:line="240" w:lineRule="auto"/>
        <w:rPr>
          <w:rFonts w:cs="Calibri"/>
          <w:szCs w:val="24"/>
          <w:lang w:val="en-GB"/>
        </w:rPr>
      </w:pPr>
      <w:r>
        <w:rPr>
          <w:rFonts w:cs="Calibri"/>
          <w:szCs w:val="24"/>
          <w:lang w:val="en-GB"/>
        </w:rPr>
        <w:t>Insurance, however, is not unproblematic and fo</w:t>
      </w:r>
      <w:r w:rsidR="00337AAF">
        <w:rPr>
          <w:rFonts w:cs="Calibri"/>
          <w:szCs w:val="24"/>
          <w:lang w:val="en-GB"/>
        </w:rPr>
        <w:t>u</w:t>
      </w:r>
      <w:r>
        <w:rPr>
          <w:rFonts w:cs="Calibri"/>
          <w:szCs w:val="24"/>
          <w:lang w:val="en-GB"/>
        </w:rPr>
        <w:t xml:space="preserve">r conditions have to be met for it to be successful, and this equally applies to flood insurance as to other perils. Thus </w:t>
      </w:r>
      <w:r w:rsidR="00BC6FF2">
        <w:rPr>
          <w:rFonts w:cs="Calibri"/>
          <w:szCs w:val="24"/>
          <w:lang w:val="en-GB"/>
        </w:rPr>
        <w:t>for Arnell (</w:t>
      </w:r>
      <w:r>
        <w:rPr>
          <w:rFonts w:cs="Calibri"/>
          <w:szCs w:val="24"/>
          <w:lang w:val="en-GB"/>
        </w:rPr>
        <w:t>2000):</w:t>
      </w:r>
    </w:p>
    <w:p w:rsidR="007D1EBD" w:rsidRDefault="00E53E60" w:rsidP="001E4991">
      <w:pPr>
        <w:numPr>
          <w:ilvl w:val="0"/>
          <w:numId w:val="1"/>
        </w:numPr>
        <w:spacing w:after="0" w:line="240" w:lineRule="auto"/>
        <w:rPr>
          <w:lang w:val="en-GB"/>
        </w:rPr>
      </w:pPr>
      <w:r w:rsidRPr="007D1EBD">
        <w:rPr>
          <w:lang w:val="en-GB"/>
        </w:rPr>
        <w:t>It must be possible to estimate the likelihood of loss: this is necessary to assess risk and set premiums</w:t>
      </w:r>
      <w:r w:rsidR="007D1EBD">
        <w:rPr>
          <w:lang w:val="en-GB"/>
        </w:rPr>
        <w:t>;</w:t>
      </w:r>
    </w:p>
    <w:p w:rsidR="00E53E60" w:rsidRPr="007D1EBD" w:rsidRDefault="00E53E60" w:rsidP="001E4991">
      <w:pPr>
        <w:numPr>
          <w:ilvl w:val="0"/>
          <w:numId w:val="1"/>
        </w:numPr>
        <w:spacing w:after="0" w:line="240" w:lineRule="auto"/>
        <w:rPr>
          <w:lang w:val="en-GB"/>
        </w:rPr>
      </w:pPr>
      <w:r w:rsidRPr="007D1EBD">
        <w:rPr>
          <w:lang w:val="en-GB"/>
        </w:rPr>
        <w:t>Losses from individual properties should be independent, and no single event should affect a large proportion of the properties insured</w:t>
      </w:r>
      <w:r w:rsidR="007D1EBD">
        <w:rPr>
          <w:lang w:val="en-GB"/>
        </w:rPr>
        <w:t>;</w:t>
      </w:r>
    </w:p>
    <w:p w:rsidR="00E53E60" w:rsidRDefault="00E53E60" w:rsidP="001E4991">
      <w:pPr>
        <w:numPr>
          <w:ilvl w:val="0"/>
          <w:numId w:val="1"/>
        </w:numPr>
        <w:spacing w:after="0" w:line="240" w:lineRule="auto"/>
        <w:rPr>
          <w:lang w:val="en-GB"/>
        </w:rPr>
      </w:pPr>
      <w:r>
        <w:rPr>
          <w:lang w:val="en-GB"/>
        </w:rPr>
        <w:t>The occurrence of a loss should be fortuitous, and not capable of bring predicted specifically</w:t>
      </w:r>
      <w:r w:rsidR="007D1EBD">
        <w:rPr>
          <w:lang w:val="en-GB"/>
        </w:rPr>
        <w:t>;</w:t>
      </w:r>
    </w:p>
    <w:p w:rsidR="00E53E60" w:rsidRDefault="00E53E60" w:rsidP="001E4991">
      <w:pPr>
        <w:numPr>
          <w:ilvl w:val="0"/>
          <w:numId w:val="1"/>
        </w:numPr>
        <w:spacing w:after="0" w:line="240" w:lineRule="auto"/>
        <w:rPr>
          <w:lang w:val="en-GB"/>
        </w:rPr>
      </w:pPr>
      <w:r>
        <w:rPr>
          <w:lang w:val="en-GB"/>
        </w:rPr>
        <w:t>The size of the premium should be acceptable to the insured</w:t>
      </w:r>
      <w:r w:rsidR="007D1EBD">
        <w:rPr>
          <w:lang w:val="en-GB"/>
        </w:rPr>
        <w:t>.</w:t>
      </w:r>
    </w:p>
    <w:p w:rsidR="001E4991" w:rsidRDefault="001E4991" w:rsidP="001E4991">
      <w:pPr>
        <w:spacing w:after="0" w:line="240" w:lineRule="auto"/>
        <w:rPr>
          <w:lang w:val="en-GB"/>
        </w:rPr>
      </w:pPr>
    </w:p>
    <w:p w:rsidR="007D1EBD" w:rsidRDefault="007D1EBD" w:rsidP="001E4991">
      <w:pPr>
        <w:spacing w:after="0" w:line="240" w:lineRule="auto"/>
        <w:rPr>
          <w:lang w:val="en-GB"/>
        </w:rPr>
      </w:pPr>
      <w:r>
        <w:rPr>
          <w:lang w:val="en-GB"/>
        </w:rPr>
        <w:t>The reality concerning flood insurance is that the second of these criteria is not met because it is perfectly possible for large numbers of properties to be affected by a single flood event</w:t>
      </w:r>
      <w:r w:rsidR="00BC6FF2">
        <w:rPr>
          <w:lang w:val="en-GB"/>
        </w:rPr>
        <w:t xml:space="preserve">, </w:t>
      </w:r>
      <w:r w:rsidR="00973B02">
        <w:rPr>
          <w:lang w:val="en-GB"/>
        </w:rPr>
        <w:lastRenderedPageBreak/>
        <w:t xml:space="preserve">for example the </w:t>
      </w:r>
      <w:r w:rsidR="00BC6FF2">
        <w:rPr>
          <w:lang w:val="en-GB"/>
        </w:rPr>
        <w:t xml:space="preserve">widespread </w:t>
      </w:r>
      <w:r w:rsidR="00973B02">
        <w:rPr>
          <w:lang w:val="en-GB"/>
        </w:rPr>
        <w:t>flooding caused by Storm Desmond in Scotland in 2015/16 (</w:t>
      </w:r>
      <w:r w:rsidR="002146D5">
        <w:rPr>
          <w:lang w:val="en-GB"/>
        </w:rPr>
        <w:t xml:space="preserve">Marsh </w:t>
      </w:r>
      <w:r w:rsidR="002146D5" w:rsidRPr="00F40987">
        <w:rPr>
          <w:i/>
          <w:lang w:val="en-GB"/>
        </w:rPr>
        <w:t>et al</w:t>
      </w:r>
      <w:r w:rsidR="00E75301" w:rsidRPr="00F40987">
        <w:rPr>
          <w:i/>
          <w:lang w:val="en-GB"/>
        </w:rPr>
        <w:t>.</w:t>
      </w:r>
      <w:r w:rsidR="002146D5">
        <w:rPr>
          <w:lang w:val="en-GB"/>
        </w:rPr>
        <w:t>, 2016</w:t>
      </w:r>
      <w:r w:rsidR="00973B02">
        <w:rPr>
          <w:lang w:val="en-GB"/>
        </w:rPr>
        <w:t>)</w:t>
      </w:r>
      <w:r w:rsidR="00BC6FF2">
        <w:rPr>
          <w:lang w:val="en-GB"/>
        </w:rPr>
        <w:t>. W</w:t>
      </w:r>
      <w:r>
        <w:rPr>
          <w:lang w:val="en-GB"/>
        </w:rPr>
        <w:t>ithout careful management of flood insurance p</w:t>
      </w:r>
      <w:r w:rsidR="00BC6FF2">
        <w:rPr>
          <w:lang w:val="en-GB"/>
        </w:rPr>
        <w:t>ortfolios the</w:t>
      </w:r>
      <w:r>
        <w:rPr>
          <w:lang w:val="en-GB"/>
        </w:rPr>
        <w:t xml:space="preserve"> </w:t>
      </w:r>
      <w:r w:rsidR="00BC6FF2">
        <w:rPr>
          <w:lang w:val="en-GB"/>
        </w:rPr>
        <w:t xml:space="preserve">scale of resulting claims </w:t>
      </w:r>
      <w:r>
        <w:rPr>
          <w:lang w:val="en-GB"/>
        </w:rPr>
        <w:t xml:space="preserve">could cover a </w:t>
      </w:r>
      <w:r w:rsidR="00973B02">
        <w:rPr>
          <w:lang w:val="en-GB"/>
        </w:rPr>
        <w:t>large proportion of</w:t>
      </w:r>
      <w:r>
        <w:rPr>
          <w:lang w:val="en-GB"/>
        </w:rPr>
        <w:t xml:space="preserve"> insured </w:t>
      </w:r>
      <w:r w:rsidR="00BC6FF2">
        <w:rPr>
          <w:lang w:val="en-GB"/>
        </w:rPr>
        <w:t>properties. The</w:t>
      </w:r>
      <w:r>
        <w:rPr>
          <w:lang w:val="en-GB"/>
        </w:rPr>
        <w:t xml:space="preserve"> failure </w:t>
      </w:r>
      <w:r w:rsidR="00BC6FF2">
        <w:rPr>
          <w:lang w:val="en-GB"/>
        </w:rPr>
        <w:t xml:space="preserve">regarding this criterion </w:t>
      </w:r>
      <w:r>
        <w:rPr>
          <w:lang w:val="en-GB"/>
        </w:rPr>
        <w:t xml:space="preserve">is at least mitigated if a large proportion of the potential insurers are covered, and of course if insurance companies provide cover across a range of different perils (motor; life; etc). </w:t>
      </w:r>
      <w:r w:rsidR="00337AAF">
        <w:rPr>
          <w:lang w:val="en-GB"/>
        </w:rPr>
        <w:t>In general this is the case in the UK, with regards to both penetration levels and diverse portfolios, such that the arrangements can be seen as resilient and the likelihood of insolvency is extremely low</w:t>
      </w:r>
      <w:r w:rsidR="00BC6FF2">
        <w:rPr>
          <w:lang w:val="en-GB"/>
        </w:rPr>
        <w:t xml:space="preserve"> (Lamond and Penning-Rowsell, 2014)</w:t>
      </w:r>
      <w:r w:rsidR="00337AAF">
        <w:rPr>
          <w:lang w:val="en-GB"/>
        </w:rPr>
        <w:t>. This should give householders the confidence that claims will be met but it should be noted that none of the agreements between insurance industry and government concern</w:t>
      </w:r>
      <w:r w:rsidR="00BC6FF2">
        <w:rPr>
          <w:lang w:val="en-GB"/>
        </w:rPr>
        <w:t xml:space="preserve"> the prices charged for cover</w:t>
      </w:r>
      <w:r w:rsidR="00337AAF">
        <w:rPr>
          <w:lang w:val="en-GB"/>
        </w:rPr>
        <w:t xml:space="preserve"> either in the form of annual premiums or “Deductibles”, the latter usually referred to in the UK to as ‘Excesses’. </w:t>
      </w:r>
    </w:p>
    <w:p w:rsidR="00606CF6" w:rsidRDefault="00606CF6" w:rsidP="001E4991">
      <w:pPr>
        <w:pStyle w:val="Heading2"/>
        <w:spacing w:before="0" w:line="240" w:lineRule="auto"/>
        <w:rPr>
          <w:lang w:val="en-GB"/>
        </w:rPr>
      </w:pPr>
    </w:p>
    <w:p w:rsidR="005C168B" w:rsidRDefault="00BC6FF2" w:rsidP="001E4991">
      <w:pPr>
        <w:spacing w:after="0" w:line="240" w:lineRule="auto"/>
        <w:rPr>
          <w:lang w:val="en-GB"/>
        </w:rPr>
      </w:pPr>
      <w:r>
        <w:rPr>
          <w:lang w:val="en-GB"/>
        </w:rPr>
        <w:t xml:space="preserve">As indicated above, </w:t>
      </w:r>
      <w:r w:rsidR="006D6EF3">
        <w:rPr>
          <w:lang w:val="en-GB"/>
        </w:rPr>
        <w:t xml:space="preserve">domestic </w:t>
      </w:r>
      <w:r>
        <w:rPr>
          <w:lang w:val="en-GB"/>
        </w:rPr>
        <w:t xml:space="preserve">insurance </w:t>
      </w:r>
      <w:r w:rsidR="006D6EF3">
        <w:rPr>
          <w:lang w:val="en-GB"/>
        </w:rPr>
        <w:t xml:space="preserve">and hence flood insurance </w:t>
      </w:r>
      <w:r>
        <w:rPr>
          <w:lang w:val="en-GB"/>
        </w:rPr>
        <w:t>is widely available in the UK.</w:t>
      </w:r>
      <w:r w:rsidR="006D6EF3">
        <w:rPr>
          <w:lang w:val="en-GB"/>
        </w:rPr>
        <w:t xml:space="preserve"> </w:t>
      </w:r>
      <w:r w:rsidR="005C168B">
        <w:rPr>
          <w:lang w:val="en-GB"/>
        </w:rPr>
        <w:t xml:space="preserve">Scotland has a long and distinguished </w:t>
      </w:r>
      <w:r w:rsidR="006D6EF3">
        <w:rPr>
          <w:lang w:val="en-GB"/>
        </w:rPr>
        <w:t xml:space="preserve">insurance </w:t>
      </w:r>
      <w:r w:rsidR="005C168B">
        <w:rPr>
          <w:lang w:val="en-GB"/>
        </w:rPr>
        <w:t>history (Haynes, 1948) focusing largely on life insurance but also covering other perils</w:t>
      </w:r>
      <w:r w:rsidR="00AA0E55">
        <w:rPr>
          <w:lang w:val="en-GB"/>
        </w:rPr>
        <w:t>; the poor penetration of flood insurance today, described below, cannot be ascribed to a lack of experience of insurance generally, as is the case in many other countries (Lamond and Penning-Rowsell, 2014).</w:t>
      </w:r>
      <w:r w:rsidR="005C168B">
        <w:rPr>
          <w:lang w:val="en-GB"/>
        </w:rPr>
        <w:t xml:space="preserve"> The Caledonian Insurance Company was founded in Edinburgh in 1805, such that on the 3rd May 1805 a meeting was held “of the Friends to a New Insurance Company under the denomination of the Caledonian Insurance Company” (Caledonian Insurance Company, 2017). Its business was first confined to fire insurance but in 1833 it was extended to cover life assurance, commencing business in London in 1840. It amalgamated with Edinburgh Fire, Scottish Fire and Scottish Metropolitan Fire in the late 19th century and became a subsidiary of Guardian Assurance Company in 1957. </w:t>
      </w:r>
      <w:r w:rsidR="005C168B">
        <w:rPr>
          <w:lang w:val="en"/>
        </w:rPr>
        <w:t xml:space="preserve">In February 1999 the Guardian Royal Exchange was purchased by AXA who remain a major insurer of domestic property in the UK, </w:t>
      </w:r>
      <w:r w:rsidR="006D6EF3">
        <w:rPr>
          <w:lang w:val="en"/>
        </w:rPr>
        <w:t xml:space="preserve">universally </w:t>
      </w:r>
      <w:r w:rsidR="005C168B">
        <w:rPr>
          <w:lang w:val="en"/>
        </w:rPr>
        <w:t>including flood insurance within its bundled policies</w:t>
      </w:r>
      <w:r w:rsidR="005C168B">
        <w:rPr>
          <w:rStyle w:val="FootnoteReference"/>
          <w:lang w:val="en"/>
        </w:rPr>
        <w:footnoteReference w:id="1"/>
      </w:r>
      <w:r w:rsidR="005C168B">
        <w:rPr>
          <w:lang w:val="en"/>
        </w:rPr>
        <w:t xml:space="preserve">. </w:t>
      </w:r>
    </w:p>
    <w:p w:rsidR="001E4991" w:rsidRDefault="001E4991" w:rsidP="001E4991">
      <w:pPr>
        <w:pStyle w:val="Heading2"/>
        <w:spacing w:before="0" w:line="240" w:lineRule="auto"/>
        <w:rPr>
          <w:lang w:val="en-GB"/>
        </w:rPr>
      </w:pPr>
    </w:p>
    <w:p w:rsidR="00433FD0" w:rsidRDefault="00433FD0" w:rsidP="001E4991">
      <w:pPr>
        <w:pStyle w:val="Heading2"/>
        <w:spacing w:before="0" w:line="240" w:lineRule="auto"/>
        <w:rPr>
          <w:lang w:val="en-GB"/>
        </w:rPr>
      </w:pPr>
      <w:r>
        <w:rPr>
          <w:lang w:val="en-GB"/>
        </w:rPr>
        <w:t>Flood risk</w:t>
      </w:r>
      <w:r w:rsidR="0003796D">
        <w:rPr>
          <w:lang w:val="en-GB"/>
        </w:rPr>
        <w:t xml:space="preserve"> and flood vulnerability</w:t>
      </w:r>
      <w:r>
        <w:rPr>
          <w:lang w:val="en-GB"/>
        </w:rPr>
        <w:t xml:space="preserve"> in Scotland: an overview</w:t>
      </w:r>
    </w:p>
    <w:p w:rsidR="006D6EF3" w:rsidRDefault="006D6EF3" w:rsidP="001E4991">
      <w:pPr>
        <w:spacing w:after="0" w:line="240" w:lineRule="auto"/>
        <w:rPr>
          <w:lang w:val="en-GB"/>
        </w:rPr>
      </w:pPr>
    </w:p>
    <w:p w:rsidR="008A08A1" w:rsidRDefault="00433FD0" w:rsidP="001E4991">
      <w:pPr>
        <w:spacing w:after="0" w:line="240" w:lineRule="auto"/>
        <w:rPr>
          <w:lang w:val="en-GB"/>
        </w:rPr>
      </w:pPr>
      <w:r>
        <w:rPr>
          <w:lang w:val="en-GB"/>
        </w:rPr>
        <w:t>Until recently it was considered that Scotland had a lesser flood risk than other parts of UK</w:t>
      </w:r>
      <w:r w:rsidR="00AA0E55">
        <w:rPr>
          <w:lang w:val="en-GB"/>
        </w:rPr>
        <w:t xml:space="preserve"> (Evans </w:t>
      </w:r>
      <w:r w:rsidR="00AA0E55" w:rsidRPr="00F40987">
        <w:rPr>
          <w:i/>
          <w:lang w:val="en-GB"/>
        </w:rPr>
        <w:t>et al.</w:t>
      </w:r>
      <w:r w:rsidR="00AA0E55">
        <w:rPr>
          <w:lang w:val="en-GB"/>
        </w:rPr>
        <w:t>, 2004)</w:t>
      </w:r>
      <w:r>
        <w:rPr>
          <w:lang w:val="en-GB"/>
        </w:rPr>
        <w:t>. However,</w:t>
      </w:r>
      <w:r w:rsidR="00B74F46">
        <w:rPr>
          <w:lang w:val="en-GB"/>
        </w:rPr>
        <w:t xml:space="preserve"> </w:t>
      </w:r>
      <w:r>
        <w:rPr>
          <w:lang w:val="en-GB"/>
        </w:rPr>
        <w:t xml:space="preserve">the coming </w:t>
      </w:r>
      <w:r w:rsidR="00DD3411">
        <w:rPr>
          <w:lang w:val="en-GB"/>
        </w:rPr>
        <w:t xml:space="preserve">of </w:t>
      </w:r>
      <w:r>
        <w:rPr>
          <w:lang w:val="en-GB"/>
        </w:rPr>
        <w:t>storm Desmond in 2015/16 showed that losses could be considerable across a large geographical area (</w:t>
      </w:r>
      <w:r w:rsidR="006D6EF3">
        <w:rPr>
          <w:lang w:val="en-GB"/>
        </w:rPr>
        <w:t xml:space="preserve">Marsh </w:t>
      </w:r>
      <w:r w:rsidR="006D6EF3" w:rsidRPr="00F40987">
        <w:rPr>
          <w:i/>
          <w:lang w:val="en-GB"/>
        </w:rPr>
        <w:t>et al</w:t>
      </w:r>
      <w:r w:rsidR="00E75301" w:rsidRPr="00F40987">
        <w:rPr>
          <w:i/>
          <w:lang w:val="en-GB"/>
        </w:rPr>
        <w:t>.</w:t>
      </w:r>
      <w:r w:rsidR="006D6EF3">
        <w:rPr>
          <w:lang w:val="en-GB"/>
        </w:rPr>
        <w:t>, 2016</w:t>
      </w:r>
      <w:r>
        <w:rPr>
          <w:lang w:val="en-GB"/>
        </w:rPr>
        <w:t>).</w:t>
      </w:r>
      <w:r w:rsidR="008A08A1">
        <w:rPr>
          <w:lang w:val="en-GB"/>
        </w:rPr>
        <w:t xml:space="preserve"> The vulnerability of the Scottish population to this flooding is therefore a matter of considerable significance.</w:t>
      </w:r>
    </w:p>
    <w:p w:rsidR="00DD3411" w:rsidRDefault="00DD3411" w:rsidP="001E4991">
      <w:pPr>
        <w:spacing w:after="0" w:line="240" w:lineRule="auto"/>
        <w:rPr>
          <w:lang w:val="en-GB"/>
        </w:rPr>
      </w:pPr>
    </w:p>
    <w:p w:rsidR="0003796D" w:rsidRDefault="00433FD0" w:rsidP="001E4991">
      <w:pPr>
        <w:autoSpaceDE w:val="0"/>
        <w:autoSpaceDN w:val="0"/>
        <w:adjustRightInd w:val="0"/>
        <w:spacing w:after="0" w:line="240" w:lineRule="auto"/>
        <w:rPr>
          <w:rFonts w:cs="Calibri"/>
          <w:szCs w:val="24"/>
          <w:lang w:val="en-GB"/>
        </w:rPr>
      </w:pPr>
      <w:r>
        <w:rPr>
          <w:lang w:val="en-GB"/>
        </w:rPr>
        <w:t xml:space="preserve">Recent research for the Joseph Rowntree Foundation </w:t>
      </w:r>
      <w:r w:rsidR="000E7AE7">
        <w:rPr>
          <w:lang w:val="en-GB"/>
        </w:rPr>
        <w:t xml:space="preserve">(JRF) </w:t>
      </w:r>
      <w:r>
        <w:rPr>
          <w:lang w:val="en-GB"/>
        </w:rPr>
        <w:t xml:space="preserve">has begun to </w:t>
      </w:r>
      <w:r w:rsidRPr="0003796D">
        <w:rPr>
          <w:szCs w:val="24"/>
          <w:lang w:val="en-GB"/>
        </w:rPr>
        <w:t>quantify the vulnerability of communities in Scotland to flooding</w:t>
      </w:r>
      <w:r w:rsidR="0003796D">
        <w:rPr>
          <w:szCs w:val="24"/>
          <w:lang w:val="en-GB"/>
        </w:rPr>
        <w:t xml:space="preserve"> as part of a UK-wide project (Sayers </w:t>
      </w:r>
      <w:r w:rsidR="0003796D" w:rsidRPr="00F40987">
        <w:rPr>
          <w:i/>
          <w:szCs w:val="24"/>
          <w:lang w:val="en-GB"/>
        </w:rPr>
        <w:t>et al</w:t>
      </w:r>
      <w:r w:rsidR="00E75301" w:rsidRPr="00F40987">
        <w:rPr>
          <w:i/>
          <w:szCs w:val="24"/>
          <w:lang w:val="en-GB"/>
        </w:rPr>
        <w:t>.</w:t>
      </w:r>
      <w:r w:rsidR="0003796D">
        <w:rPr>
          <w:szCs w:val="24"/>
          <w:lang w:val="en-GB"/>
        </w:rPr>
        <w:t>, 2017</w:t>
      </w:r>
      <w:r w:rsidR="00DD3411">
        <w:rPr>
          <w:szCs w:val="24"/>
          <w:lang w:val="en-GB"/>
        </w:rPr>
        <w:t>a,</w:t>
      </w:r>
      <w:r w:rsidR="006D6EF3">
        <w:rPr>
          <w:szCs w:val="24"/>
          <w:lang w:val="en-GB"/>
        </w:rPr>
        <w:t xml:space="preserve"> </w:t>
      </w:r>
      <w:r w:rsidR="00DD3411">
        <w:rPr>
          <w:szCs w:val="24"/>
          <w:lang w:val="en-GB"/>
        </w:rPr>
        <w:t>b</w:t>
      </w:r>
      <w:r w:rsidR="0003796D">
        <w:rPr>
          <w:szCs w:val="24"/>
          <w:lang w:val="en-GB"/>
        </w:rPr>
        <w:t>)</w:t>
      </w:r>
      <w:r w:rsidRPr="0003796D">
        <w:rPr>
          <w:szCs w:val="24"/>
          <w:lang w:val="en-GB"/>
        </w:rPr>
        <w:t xml:space="preserve">. A new metric termed the Neighbourhood Flood </w:t>
      </w:r>
      <w:r w:rsidRPr="009E67F3">
        <w:rPr>
          <w:rFonts w:asciiTheme="minorHAnsi" w:hAnsiTheme="minorHAnsi"/>
          <w:color w:val="000000" w:themeColor="text1"/>
          <w:szCs w:val="24"/>
          <w:lang w:val="en-GB"/>
        </w:rPr>
        <w:t xml:space="preserve">Vulnerability Index </w:t>
      </w:r>
      <w:r w:rsidR="008A08A1" w:rsidRPr="009E67F3">
        <w:rPr>
          <w:rFonts w:asciiTheme="minorHAnsi" w:hAnsiTheme="minorHAnsi"/>
          <w:color w:val="000000" w:themeColor="text1"/>
          <w:szCs w:val="24"/>
          <w:lang w:val="en-GB"/>
        </w:rPr>
        <w:t xml:space="preserve">(NFVI) </w:t>
      </w:r>
      <w:r w:rsidRPr="009E67F3">
        <w:rPr>
          <w:rFonts w:asciiTheme="minorHAnsi" w:hAnsiTheme="minorHAnsi"/>
          <w:color w:val="000000" w:themeColor="text1"/>
          <w:szCs w:val="24"/>
          <w:lang w:val="en-GB"/>
        </w:rPr>
        <w:t>has quantified the level of risk and the vulnerability of communities at risk in each of the</w:t>
      </w:r>
      <w:r w:rsidR="0003796D" w:rsidRPr="009E67F3">
        <w:rPr>
          <w:rFonts w:asciiTheme="minorHAnsi" w:hAnsiTheme="minorHAnsi"/>
          <w:color w:val="000000" w:themeColor="text1"/>
          <w:szCs w:val="24"/>
          <w:lang w:val="en-GB"/>
        </w:rPr>
        <w:t xml:space="preserve"> </w:t>
      </w:r>
      <w:r w:rsidR="000A4F9B" w:rsidRPr="009E67F3">
        <w:rPr>
          <w:rFonts w:asciiTheme="minorHAnsi" w:hAnsiTheme="minorHAnsi" w:cs="Arial"/>
          <w:color w:val="000000" w:themeColor="text1"/>
          <w:szCs w:val="24"/>
          <w:lang w:val="en"/>
        </w:rPr>
        <w:t>6,976 2011</w:t>
      </w:r>
      <w:r w:rsidR="009E67F3">
        <w:rPr>
          <w:rFonts w:asciiTheme="minorHAnsi" w:hAnsiTheme="minorHAnsi" w:cs="Arial"/>
          <w:color w:val="000000" w:themeColor="text1"/>
          <w:szCs w:val="24"/>
          <w:lang w:val="en"/>
        </w:rPr>
        <w:t xml:space="preserve"> </w:t>
      </w:r>
      <w:r w:rsidR="0003796D" w:rsidRPr="009E67F3">
        <w:rPr>
          <w:rFonts w:asciiTheme="minorHAnsi" w:hAnsiTheme="minorHAnsi"/>
          <w:color w:val="000000" w:themeColor="text1"/>
          <w:szCs w:val="24"/>
          <w:lang w:val="en-GB"/>
        </w:rPr>
        <w:t xml:space="preserve">census </w:t>
      </w:r>
      <w:r w:rsidR="0003796D" w:rsidRPr="009E67F3">
        <w:rPr>
          <w:rFonts w:asciiTheme="minorHAnsi" w:hAnsiTheme="minorHAnsi" w:cs="Calibri"/>
          <w:color w:val="000000" w:themeColor="text1"/>
          <w:szCs w:val="24"/>
          <w:lang w:val="en-GB"/>
        </w:rPr>
        <w:t>Data Zones (DZs) in Scotland. There are 42,619 such neighbourhoods in th</w:t>
      </w:r>
      <w:r w:rsidR="005B79A8" w:rsidRPr="009E67F3">
        <w:rPr>
          <w:rFonts w:asciiTheme="minorHAnsi" w:hAnsiTheme="minorHAnsi" w:cs="Calibri"/>
          <w:color w:val="000000" w:themeColor="text1"/>
          <w:szCs w:val="24"/>
          <w:lang w:val="en-GB"/>
        </w:rPr>
        <w:t>e UK and t</w:t>
      </w:r>
      <w:r w:rsidR="0003796D" w:rsidRPr="009E67F3">
        <w:rPr>
          <w:rFonts w:asciiTheme="minorHAnsi" w:hAnsiTheme="minorHAnsi" w:cs="Calibri"/>
          <w:color w:val="000000" w:themeColor="text1"/>
          <w:szCs w:val="24"/>
          <w:lang w:val="en-GB"/>
        </w:rPr>
        <w:t>he average population in each of these areas varies by country: 1600 in</w:t>
      </w:r>
      <w:r w:rsidR="0003796D" w:rsidRPr="009E67F3">
        <w:rPr>
          <w:rFonts w:cs="Calibri"/>
          <w:color w:val="000000" w:themeColor="text1"/>
          <w:szCs w:val="24"/>
          <w:lang w:val="en-GB"/>
        </w:rPr>
        <w:t xml:space="preserve"> </w:t>
      </w:r>
      <w:r w:rsidR="0003796D" w:rsidRPr="0003796D">
        <w:rPr>
          <w:rFonts w:cs="Calibri"/>
          <w:szCs w:val="24"/>
          <w:lang w:val="en-GB"/>
        </w:rPr>
        <w:t xml:space="preserve">England, </w:t>
      </w:r>
      <w:r w:rsidR="005B79A8">
        <w:rPr>
          <w:rFonts w:cs="Calibri"/>
          <w:szCs w:val="24"/>
          <w:lang w:val="en-GB"/>
        </w:rPr>
        <w:t xml:space="preserve">1600 in Wales, </w:t>
      </w:r>
      <w:proofErr w:type="gramStart"/>
      <w:r w:rsidR="0003796D" w:rsidRPr="0003796D">
        <w:rPr>
          <w:rFonts w:cs="Calibri"/>
          <w:szCs w:val="24"/>
          <w:lang w:val="en-GB"/>
        </w:rPr>
        <w:t>2000</w:t>
      </w:r>
      <w:proofErr w:type="gramEnd"/>
      <w:r w:rsidR="0003796D" w:rsidRPr="0003796D">
        <w:rPr>
          <w:rFonts w:cs="Calibri"/>
          <w:szCs w:val="24"/>
          <w:lang w:val="en-GB"/>
        </w:rPr>
        <w:t xml:space="preserve"> in Northern</w:t>
      </w:r>
      <w:r w:rsidR="0003796D">
        <w:rPr>
          <w:rFonts w:cs="Calibri"/>
          <w:szCs w:val="24"/>
          <w:lang w:val="en-GB"/>
        </w:rPr>
        <w:t xml:space="preserve"> </w:t>
      </w:r>
      <w:r w:rsidR="0003796D" w:rsidRPr="0003796D">
        <w:rPr>
          <w:rFonts w:cs="Calibri"/>
          <w:szCs w:val="24"/>
          <w:lang w:val="en-GB"/>
        </w:rPr>
        <w:t>Ireland</w:t>
      </w:r>
      <w:r w:rsidR="0003796D">
        <w:rPr>
          <w:rFonts w:cs="Calibri"/>
          <w:szCs w:val="24"/>
          <w:lang w:val="en-GB"/>
        </w:rPr>
        <w:t xml:space="preserve"> and </w:t>
      </w:r>
      <w:r w:rsidR="0003796D" w:rsidRPr="0003796D">
        <w:rPr>
          <w:rFonts w:cs="Calibri"/>
          <w:szCs w:val="24"/>
          <w:lang w:val="en-GB"/>
        </w:rPr>
        <w:t>760 in Scotland</w:t>
      </w:r>
      <w:r w:rsidR="005B79A8">
        <w:rPr>
          <w:rFonts w:cs="Calibri"/>
          <w:szCs w:val="24"/>
          <w:lang w:val="en-GB"/>
        </w:rPr>
        <w:t xml:space="preserve">. This </w:t>
      </w:r>
      <w:r w:rsidR="0003796D">
        <w:rPr>
          <w:rFonts w:cs="Calibri"/>
          <w:szCs w:val="24"/>
          <w:lang w:val="en-GB"/>
        </w:rPr>
        <w:t xml:space="preserve">means, usefully, that the data zones in Scotland are smaller than elsewhere </w:t>
      </w:r>
      <w:r w:rsidR="005B79A8">
        <w:rPr>
          <w:rFonts w:cs="Calibri"/>
          <w:szCs w:val="24"/>
          <w:lang w:val="en-GB"/>
        </w:rPr>
        <w:t xml:space="preserve">in terms of the number of households </w:t>
      </w:r>
      <w:r w:rsidR="005B79A8">
        <w:rPr>
          <w:rFonts w:cs="Calibri"/>
          <w:szCs w:val="24"/>
          <w:lang w:val="en-GB"/>
        </w:rPr>
        <w:lastRenderedPageBreak/>
        <w:t xml:space="preserve">included </w:t>
      </w:r>
      <w:r w:rsidR="0003796D">
        <w:rPr>
          <w:rFonts w:cs="Calibri"/>
          <w:szCs w:val="24"/>
          <w:lang w:val="en-GB"/>
        </w:rPr>
        <w:t>and thus the granularity is proportionately greater</w:t>
      </w:r>
      <w:r w:rsidR="0003796D" w:rsidRPr="0003796D">
        <w:rPr>
          <w:rFonts w:cs="Calibri"/>
          <w:szCs w:val="24"/>
          <w:lang w:val="en-GB"/>
        </w:rPr>
        <w:t>. Th</w:t>
      </w:r>
      <w:r w:rsidR="0003796D">
        <w:rPr>
          <w:rFonts w:cs="Calibri"/>
          <w:szCs w:val="24"/>
          <w:lang w:val="en-GB"/>
        </w:rPr>
        <w:t xml:space="preserve">is </w:t>
      </w:r>
      <w:r w:rsidR="0003796D" w:rsidRPr="0003796D">
        <w:rPr>
          <w:rFonts w:cs="Calibri"/>
          <w:szCs w:val="24"/>
          <w:lang w:val="en-GB"/>
        </w:rPr>
        <w:t xml:space="preserve">maintains the resolution of previous </w:t>
      </w:r>
      <w:r w:rsidR="005B79A8">
        <w:rPr>
          <w:rFonts w:cs="Calibri"/>
          <w:szCs w:val="24"/>
          <w:lang w:val="en-GB"/>
        </w:rPr>
        <w:t xml:space="preserve">complementary </w:t>
      </w:r>
      <w:r w:rsidR="0003796D" w:rsidRPr="0003796D">
        <w:rPr>
          <w:rFonts w:cs="Calibri"/>
          <w:szCs w:val="24"/>
          <w:lang w:val="en-GB"/>
        </w:rPr>
        <w:t xml:space="preserve">studies in Scotland (Kazmierczak </w:t>
      </w:r>
      <w:r w:rsidR="0003796D" w:rsidRPr="005B79A8">
        <w:rPr>
          <w:rFonts w:asciiTheme="minorHAnsi" w:hAnsiTheme="minorHAnsi" w:cs="Calibri-Italic"/>
          <w:i/>
          <w:iCs/>
          <w:szCs w:val="24"/>
          <w:lang w:val="en-GB"/>
        </w:rPr>
        <w:t>et al.,</w:t>
      </w:r>
      <w:r w:rsidR="0003796D" w:rsidRPr="0003796D">
        <w:rPr>
          <w:rFonts w:ascii="Calibri-Italic" w:hAnsi="Calibri-Italic" w:cs="Calibri-Italic"/>
          <w:i/>
          <w:iCs/>
          <w:szCs w:val="24"/>
          <w:lang w:val="en-GB"/>
        </w:rPr>
        <w:t xml:space="preserve"> </w:t>
      </w:r>
      <w:r w:rsidR="0003796D" w:rsidRPr="0003796D">
        <w:rPr>
          <w:rFonts w:cs="Calibri"/>
          <w:szCs w:val="24"/>
          <w:lang w:val="en-GB"/>
        </w:rPr>
        <w:t>2015).</w:t>
      </w:r>
    </w:p>
    <w:p w:rsidR="008A08A1" w:rsidRDefault="008A08A1" w:rsidP="001E4991">
      <w:pPr>
        <w:autoSpaceDE w:val="0"/>
        <w:autoSpaceDN w:val="0"/>
        <w:adjustRightInd w:val="0"/>
        <w:spacing w:after="0" w:line="240" w:lineRule="auto"/>
        <w:rPr>
          <w:rFonts w:cs="Calibri"/>
          <w:szCs w:val="24"/>
          <w:lang w:val="en-GB"/>
        </w:rPr>
      </w:pPr>
    </w:p>
    <w:p w:rsidR="008A08A1" w:rsidRPr="0003796D" w:rsidRDefault="008A08A1" w:rsidP="001E4991">
      <w:pPr>
        <w:autoSpaceDE w:val="0"/>
        <w:autoSpaceDN w:val="0"/>
        <w:adjustRightInd w:val="0"/>
        <w:spacing w:after="0" w:line="240" w:lineRule="auto"/>
        <w:rPr>
          <w:szCs w:val="24"/>
          <w:lang w:val="en-GB"/>
        </w:rPr>
      </w:pPr>
      <w:r w:rsidRPr="008A08A1">
        <w:rPr>
          <w:szCs w:val="24"/>
          <w:lang w:val="en-GB"/>
        </w:rPr>
        <w:t>The</w:t>
      </w:r>
      <w:r w:rsidR="00DD3411">
        <w:rPr>
          <w:szCs w:val="24"/>
          <w:lang w:val="en-GB"/>
        </w:rPr>
        <w:t xml:space="preserve"> </w:t>
      </w:r>
      <w:r>
        <w:rPr>
          <w:szCs w:val="24"/>
          <w:lang w:val="en-GB"/>
        </w:rPr>
        <w:t>NFVI</w:t>
      </w:r>
      <w:r w:rsidRPr="008A08A1">
        <w:rPr>
          <w:szCs w:val="24"/>
          <w:lang w:val="en-GB"/>
        </w:rPr>
        <w:t xml:space="preserve"> is used to compare risks between </w:t>
      </w:r>
      <w:r w:rsidR="00DD3411">
        <w:rPr>
          <w:szCs w:val="24"/>
          <w:lang w:val="en-GB"/>
        </w:rPr>
        <w:t xml:space="preserve">the </w:t>
      </w:r>
      <w:r w:rsidRPr="008A08A1">
        <w:rPr>
          <w:szCs w:val="24"/>
          <w:lang w:val="en-GB"/>
        </w:rPr>
        <w:t xml:space="preserve">more and </w:t>
      </w:r>
      <w:r w:rsidR="00DD3411">
        <w:rPr>
          <w:szCs w:val="24"/>
          <w:lang w:val="en-GB"/>
        </w:rPr>
        <w:t xml:space="preserve">the </w:t>
      </w:r>
      <w:r w:rsidRPr="008A08A1">
        <w:rPr>
          <w:szCs w:val="24"/>
          <w:lang w:val="en-GB"/>
        </w:rPr>
        <w:t xml:space="preserve">less flood vulnerable neighbourhoods (where vulnerability is characterised in terms of communities experiencing a loss in wellbeing when floods occur) (Sayers </w:t>
      </w:r>
      <w:r w:rsidRPr="00F40987">
        <w:rPr>
          <w:i/>
          <w:szCs w:val="24"/>
          <w:lang w:val="en-GB"/>
        </w:rPr>
        <w:t>et al</w:t>
      </w:r>
      <w:r w:rsidR="00E75301" w:rsidRPr="00F40987">
        <w:rPr>
          <w:i/>
          <w:szCs w:val="24"/>
          <w:lang w:val="en-GB"/>
        </w:rPr>
        <w:t>.</w:t>
      </w:r>
      <w:r w:rsidRPr="008A08A1">
        <w:rPr>
          <w:szCs w:val="24"/>
          <w:lang w:val="en-GB"/>
        </w:rPr>
        <w:t>, 2017</w:t>
      </w:r>
      <w:r w:rsidR="00B66BC6">
        <w:rPr>
          <w:szCs w:val="24"/>
          <w:lang w:val="en-GB"/>
        </w:rPr>
        <w:t>a</w:t>
      </w:r>
      <w:r w:rsidRPr="008A08A1">
        <w:rPr>
          <w:szCs w:val="24"/>
          <w:lang w:val="en-GB"/>
        </w:rPr>
        <w:t xml:space="preserve">). This understanding reflects previous studies of the impacts and societal responses to flooding (e.g. Tapsell </w:t>
      </w:r>
      <w:r w:rsidRPr="00F40987">
        <w:rPr>
          <w:i/>
          <w:szCs w:val="24"/>
          <w:lang w:val="en-GB"/>
        </w:rPr>
        <w:t>et al.</w:t>
      </w:r>
      <w:r w:rsidRPr="008A08A1">
        <w:rPr>
          <w:szCs w:val="24"/>
          <w:lang w:val="en-GB"/>
        </w:rPr>
        <w:t xml:space="preserve">, 2002; Lindley </w:t>
      </w:r>
      <w:r w:rsidRPr="00F40987">
        <w:rPr>
          <w:i/>
          <w:szCs w:val="24"/>
          <w:lang w:val="en-GB"/>
        </w:rPr>
        <w:t>et al</w:t>
      </w:r>
      <w:r w:rsidRPr="008A08A1">
        <w:rPr>
          <w:szCs w:val="24"/>
          <w:lang w:val="en-GB"/>
        </w:rPr>
        <w:t xml:space="preserve">., 2011; Twigger‐Ross </w:t>
      </w:r>
      <w:r w:rsidRPr="00F40987">
        <w:rPr>
          <w:i/>
          <w:szCs w:val="24"/>
          <w:lang w:val="en-GB"/>
        </w:rPr>
        <w:t>et al.</w:t>
      </w:r>
      <w:r w:rsidRPr="008A08A1">
        <w:rPr>
          <w:szCs w:val="24"/>
          <w:lang w:val="en-GB"/>
        </w:rPr>
        <w:t xml:space="preserve">, 2014; Kazmierczak </w:t>
      </w:r>
      <w:r w:rsidRPr="00F40987">
        <w:rPr>
          <w:i/>
          <w:szCs w:val="24"/>
          <w:lang w:val="en-GB"/>
        </w:rPr>
        <w:t>et al.</w:t>
      </w:r>
      <w:r w:rsidRPr="008A08A1">
        <w:rPr>
          <w:szCs w:val="24"/>
          <w:lang w:val="en-GB"/>
        </w:rPr>
        <w:t>, 2015). The NFVI combines five domains of vulnerability based upon a subset of twelve ‘vulnerability indicators’ such as age, housing tenure, direct experience o</w:t>
      </w:r>
      <w:r w:rsidR="006D6EF3">
        <w:rPr>
          <w:szCs w:val="24"/>
          <w:lang w:val="en-GB"/>
        </w:rPr>
        <w:t xml:space="preserve">f flooding and social networks </w:t>
      </w:r>
      <w:r w:rsidRPr="008A08A1">
        <w:rPr>
          <w:szCs w:val="24"/>
          <w:lang w:val="en-GB"/>
        </w:rPr>
        <w:t xml:space="preserve">(Sayers </w:t>
      </w:r>
      <w:r w:rsidRPr="00F40987">
        <w:rPr>
          <w:i/>
          <w:szCs w:val="24"/>
          <w:lang w:val="en-GB"/>
        </w:rPr>
        <w:t>et al</w:t>
      </w:r>
      <w:r w:rsidR="00E75301" w:rsidRPr="00F40987">
        <w:rPr>
          <w:i/>
          <w:szCs w:val="24"/>
          <w:lang w:val="en-GB"/>
        </w:rPr>
        <w:t>.</w:t>
      </w:r>
      <w:r w:rsidRPr="008A08A1">
        <w:rPr>
          <w:szCs w:val="24"/>
          <w:lang w:val="en-GB"/>
        </w:rPr>
        <w:t>, 2017</w:t>
      </w:r>
      <w:r w:rsidR="00B66BC6">
        <w:rPr>
          <w:szCs w:val="24"/>
          <w:lang w:val="en-GB"/>
        </w:rPr>
        <w:t>a</w:t>
      </w:r>
      <w:r w:rsidRPr="008A08A1">
        <w:rPr>
          <w:szCs w:val="24"/>
          <w:lang w:val="en-GB"/>
        </w:rPr>
        <w:t>, Figure 3‐6).  The five domains include</w:t>
      </w:r>
      <w:r w:rsidR="00DD3411">
        <w:rPr>
          <w:szCs w:val="24"/>
          <w:lang w:val="en-GB"/>
        </w:rPr>
        <w:t>:</w:t>
      </w:r>
      <w:r w:rsidRPr="008A08A1">
        <w:rPr>
          <w:szCs w:val="24"/>
          <w:lang w:val="en-GB"/>
        </w:rPr>
        <w:t xml:space="preserve"> susceptibility, as the predisposition of an individual to experience a loss of well‐being when exposed to a flood; the ability of an individual to prepare for a flood; the ability of an individual to respond to a flood; the ability of an individual to recover from a flood; and the ability of the community to support flood-affected individuals.</w:t>
      </w:r>
    </w:p>
    <w:p w:rsidR="001E4991" w:rsidRDefault="001E4991" w:rsidP="001E4991">
      <w:pPr>
        <w:autoSpaceDE w:val="0"/>
        <w:autoSpaceDN w:val="0"/>
        <w:adjustRightInd w:val="0"/>
        <w:spacing w:after="0" w:line="240" w:lineRule="auto"/>
        <w:rPr>
          <w:rFonts w:cs="Calibri"/>
          <w:szCs w:val="24"/>
          <w:lang w:val="en-GB"/>
        </w:rPr>
      </w:pPr>
    </w:p>
    <w:p w:rsidR="00FB347F" w:rsidRDefault="000E7AE7" w:rsidP="001E4991">
      <w:pPr>
        <w:autoSpaceDE w:val="0"/>
        <w:autoSpaceDN w:val="0"/>
        <w:adjustRightInd w:val="0"/>
        <w:spacing w:after="0" w:line="240" w:lineRule="auto"/>
        <w:rPr>
          <w:rFonts w:cs="Calibri"/>
          <w:szCs w:val="24"/>
          <w:lang w:val="en-GB"/>
        </w:rPr>
      </w:pPr>
      <w:r>
        <w:rPr>
          <w:rFonts w:cs="Calibri"/>
          <w:szCs w:val="24"/>
          <w:lang w:val="en-GB"/>
        </w:rPr>
        <w:t xml:space="preserve">One metric exposing the extent of risk </w:t>
      </w:r>
      <w:r w:rsidR="00B74F46">
        <w:rPr>
          <w:rFonts w:cs="Calibri"/>
          <w:szCs w:val="24"/>
          <w:lang w:val="en-GB"/>
        </w:rPr>
        <w:t xml:space="preserve">explored in the JRF project </w:t>
      </w:r>
      <w:r>
        <w:rPr>
          <w:rFonts w:cs="Calibri"/>
          <w:szCs w:val="24"/>
          <w:lang w:val="en-GB"/>
        </w:rPr>
        <w:t xml:space="preserve">is the number of people exposed to </w:t>
      </w:r>
      <w:r w:rsidR="009C69D1">
        <w:rPr>
          <w:rFonts w:cs="Calibri"/>
          <w:szCs w:val="24"/>
          <w:lang w:val="en-GB"/>
        </w:rPr>
        <w:t>‘</w:t>
      </w:r>
      <w:r>
        <w:rPr>
          <w:rFonts w:cs="Calibri"/>
          <w:szCs w:val="24"/>
          <w:lang w:val="en-GB"/>
        </w:rPr>
        <w:t>frequent flooding</w:t>
      </w:r>
      <w:r w:rsidR="009C69D1">
        <w:rPr>
          <w:rFonts w:cs="Calibri"/>
          <w:szCs w:val="24"/>
          <w:lang w:val="en-GB"/>
        </w:rPr>
        <w:t>’</w:t>
      </w:r>
      <w:r>
        <w:rPr>
          <w:rFonts w:cs="Calibri"/>
          <w:szCs w:val="24"/>
          <w:lang w:val="en-GB"/>
        </w:rPr>
        <w:t xml:space="preserve">, that frequency being expressed as a flood return period of </w:t>
      </w:r>
      <w:r w:rsidR="006D6EF3">
        <w:rPr>
          <w:rFonts w:cs="Calibri"/>
          <w:szCs w:val="24"/>
          <w:lang w:val="en-GB"/>
        </w:rPr>
        <w:t xml:space="preserve">less than or equal to </w:t>
      </w:r>
      <w:r>
        <w:rPr>
          <w:rFonts w:cs="Calibri"/>
          <w:szCs w:val="24"/>
          <w:lang w:val="en-GB"/>
        </w:rPr>
        <w:t>1:75 years</w:t>
      </w:r>
      <w:r w:rsidR="00E011AD">
        <w:rPr>
          <w:rFonts w:cs="Calibri"/>
          <w:szCs w:val="24"/>
          <w:lang w:val="en-GB"/>
        </w:rPr>
        <w:t xml:space="preserve"> (</w:t>
      </w:r>
      <w:r w:rsidR="006D6EF3">
        <w:rPr>
          <w:rFonts w:cs="Calibri"/>
          <w:szCs w:val="24"/>
          <w:lang w:val="en-GB"/>
        </w:rPr>
        <w:t xml:space="preserve">i.e. </w:t>
      </w:r>
      <w:r w:rsidR="00E011AD">
        <w:rPr>
          <w:rFonts w:cs="Calibri"/>
          <w:szCs w:val="24"/>
          <w:lang w:val="en-GB"/>
        </w:rPr>
        <w:t>an annual probability of 1.3%)</w:t>
      </w:r>
      <w:r>
        <w:rPr>
          <w:rFonts w:cs="Calibri"/>
          <w:szCs w:val="24"/>
          <w:lang w:val="en-GB"/>
        </w:rPr>
        <w:t>.</w:t>
      </w:r>
      <w:r w:rsidR="00E011AD">
        <w:rPr>
          <w:rFonts w:cs="Calibri"/>
          <w:szCs w:val="24"/>
          <w:lang w:val="en-GB"/>
        </w:rPr>
        <w:t xml:space="preserve"> The pattern across the U</w:t>
      </w:r>
      <w:r w:rsidR="00FB347F">
        <w:rPr>
          <w:rFonts w:cs="Calibri"/>
          <w:szCs w:val="24"/>
          <w:lang w:val="en-GB"/>
        </w:rPr>
        <w:t>K is given in F</w:t>
      </w:r>
      <w:r w:rsidR="00E011AD">
        <w:rPr>
          <w:rFonts w:cs="Calibri"/>
          <w:szCs w:val="24"/>
          <w:lang w:val="en-GB"/>
        </w:rPr>
        <w:t xml:space="preserve">igure 1, showing that Scotland has at least its fair share of such exposure, and probably greater than many areas elsewhere in the UK. </w:t>
      </w:r>
    </w:p>
    <w:p w:rsidR="001E4991" w:rsidRDefault="001E4991" w:rsidP="001E4991">
      <w:pPr>
        <w:autoSpaceDE w:val="0"/>
        <w:autoSpaceDN w:val="0"/>
        <w:adjustRightInd w:val="0"/>
        <w:spacing w:after="0" w:line="240" w:lineRule="auto"/>
        <w:rPr>
          <w:rFonts w:cs="Calibri"/>
          <w:szCs w:val="24"/>
          <w:lang w:val="en-GB"/>
        </w:rPr>
      </w:pPr>
    </w:p>
    <w:p w:rsidR="00606CF6" w:rsidRDefault="00E011AD" w:rsidP="001E4991">
      <w:pPr>
        <w:autoSpaceDE w:val="0"/>
        <w:autoSpaceDN w:val="0"/>
        <w:adjustRightInd w:val="0"/>
        <w:spacing w:after="0" w:line="240" w:lineRule="auto"/>
        <w:rPr>
          <w:rFonts w:cs="Calibri"/>
          <w:szCs w:val="24"/>
          <w:lang w:val="en-GB"/>
        </w:rPr>
      </w:pPr>
      <w:r>
        <w:rPr>
          <w:rFonts w:cs="Calibri"/>
          <w:szCs w:val="24"/>
          <w:lang w:val="en-GB"/>
        </w:rPr>
        <w:t xml:space="preserve">As a result of this exposure to </w:t>
      </w:r>
      <w:r w:rsidR="009C69D1">
        <w:rPr>
          <w:rFonts w:cs="Calibri"/>
          <w:szCs w:val="24"/>
          <w:lang w:val="en-GB"/>
        </w:rPr>
        <w:t xml:space="preserve">this relatively </w:t>
      </w:r>
      <w:r>
        <w:rPr>
          <w:rFonts w:cs="Calibri"/>
          <w:szCs w:val="24"/>
          <w:lang w:val="en-GB"/>
        </w:rPr>
        <w:t xml:space="preserve">frequent flooding the potential losses on an annual average basis are </w:t>
      </w:r>
      <w:r w:rsidR="00FB347F">
        <w:rPr>
          <w:rFonts w:cs="Calibri"/>
          <w:szCs w:val="24"/>
          <w:lang w:val="en-GB"/>
        </w:rPr>
        <w:t xml:space="preserve">modelled in the JRF project to be </w:t>
      </w:r>
      <w:r w:rsidR="00DD3411">
        <w:rPr>
          <w:rFonts w:cs="Calibri"/>
          <w:szCs w:val="24"/>
          <w:lang w:val="en-GB"/>
        </w:rPr>
        <w:t>large in Scotland</w:t>
      </w:r>
      <w:r>
        <w:rPr>
          <w:rFonts w:cs="Calibri"/>
          <w:szCs w:val="24"/>
          <w:lang w:val="en-GB"/>
        </w:rPr>
        <w:t xml:space="preserve">, </w:t>
      </w:r>
      <w:r w:rsidR="00FB347F">
        <w:rPr>
          <w:rFonts w:cs="Calibri"/>
          <w:szCs w:val="24"/>
          <w:lang w:val="en-GB"/>
        </w:rPr>
        <w:t xml:space="preserve">in terms of the metric Estimated Annual Damages </w:t>
      </w:r>
      <w:r w:rsidR="00606CF6">
        <w:rPr>
          <w:rFonts w:cs="Calibri"/>
          <w:szCs w:val="24"/>
          <w:lang w:val="en-GB"/>
        </w:rPr>
        <w:t xml:space="preserve">(EAD) </w:t>
      </w:r>
      <w:r w:rsidR="00FB347F">
        <w:rPr>
          <w:rFonts w:cs="Calibri"/>
          <w:szCs w:val="24"/>
          <w:lang w:val="en-GB"/>
        </w:rPr>
        <w:t>which integrates losses from all events with the full range of annual probabilities. The results show that t</w:t>
      </w:r>
      <w:r w:rsidR="0003796D" w:rsidRPr="0003796D">
        <w:rPr>
          <w:rFonts w:cs="Calibri"/>
          <w:szCs w:val="24"/>
          <w:lang w:val="en-GB"/>
        </w:rPr>
        <w:t xml:space="preserve">hose living in flood prone areas in Scotland </w:t>
      </w:r>
      <w:r w:rsidR="00606CF6">
        <w:rPr>
          <w:rFonts w:cs="Calibri"/>
          <w:szCs w:val="24"/>
          <w:lang w:val="en-GB"/>
        </w:rPr>
        <w:t xml:space="preserve">currently </w:t>
      </w:r>
      <w:r w:rsidR="0003796D" w:rsidRPr="0003796D">
        <w:rPr>
          <w:rFonts w:cs="Calibri"/>
          <w:szCs w:val="24"/>
          <w:lang w:val="en-GB"/>
        </w:rPr>
        <w:t xml:space="preserve">experience </w:t>
      </w:r>
      <w:r w:rsidR="00606CF6">
        <w:rPr>
          <w:rFonts w:cs="Calibri"/>
          <w:szCs w:val="24"/>
          <w:lang w:val="en-GB"/>
        </w:rPr>
        <w:t xml:space="preserve">– or suffer from – </w:t>
      </w:r>
      <w:r w:rsidR="0003796D" w:rsidRPr="0003796D">
        <w:rPr>
          <w:rFonts w:cs="Calibri"/>
          <w:szCs w:val="24"/>
          <w:lang w:val="en-GB"/>
        </w:rPr>
        <w:t xml:space="preserve">the highest EAD per person </w:t>
      </w:r>
      <w:r w:rsidR="006D6EF3">
        <w:rPr>
          <w:rFonts w:cs="Calibri"/>
          <w:szCs w:val="24"/>
          <w:lang w:val="en-GB"/>
        </w:rPr>
        <w:t xml:space="preserve">in the UK </w:t>
      </w:r>
      <w:r w:rsidR="0003796D" w:rsidRPr="0003796D">
        <w:rPr>
          <w:rFonts w:cs="Calibri"/>
          <w:szCs w:val="24"/>
          <w:lang w:val="en-GB"/>
        </w:rPr>
        <w:t>(on average,</w:t>
      </w:r>
      <w:r w:rsidR="006C37D8">
        <w:rPr>
          <w:rFonts w:cs="Calibri"/>
          <w:szCs w:val="24"/>
          <w:lang w:val="en-GB"/>
        </w:rPr>
        <w:t xml:space="preserve"> </w:t>
      </w:r>
      <w:r w:rsidR="0003796D" w:rsidRPr="0003796D">
        <w:rPr>
          <w:rFonts w:cs="Calibri"/>
          <w:szCs w:val="24"/>
          <w:lang w:val="en-GB"/>
        </w:rPr>
        <w:t xml:space="preserve">£113 per person); this is over double that of England (on average, £50 per person). </w:t>
      </w:r>
    </w:p>
    <w:p w:rsidR="00B66BC6" w:rsidRDefault="00B66BC6" w:rsidP="001E4991">
      <w:pPr>
        <w:autoSpaceDE w:val="0"/>
        <w:autoSpaceDN w:val="0"/>
        <w:adjustRightInd w:val="0"/>
        <w:spacing w:after="0" w:line="240" w:lineRule="auto"/>
        <w:rPr>
          <w:rFonts w:cs="Calibri"/>
          <w:szCs w:val="24"/>
          <w:lang w:val="en-GB"/>
        </w:rPr>
      </w:pPr>
    </w:p>
    <w:p w:rsidR="00433FD0" w:rsidRDefault="00FB347F" w:rsidP="001E4991">
      <w:pPr>
        <w:autoSpaceDE w:val="0"/>
        <w:autoSpaceDN w:val="0"/>
        <w:adjustRightInd w:val="0"/>
        <w:spacing w:after="0" w:line="240" w:lineRule="auto"/>
        <w:rPr>
          <w:rFonts w:cs="Calibri"/>
          <w:szCs w:val="24"/>
          <w:lang w:val="en-GB"/>
        </w:rPr>
      </w:pPr>
      <w:r>
        <w:rPr>
          <w:rFonts w:cs="Calibri"/>
          <w:szCs w:val="24"/>
          <w:lang w:val="en-GB"/>
        </w:rPr>
        <w:t>In l</w:t>
      </w:r>
      <w:r w:rsidR="00606CF6">
        <w:rPr>
          <w:rFonts w:cs="Calibri"/>
          <w:szCs w:val="24"/>
          <w:lang w:val="en-GB"/>
        </w:rPr>
        <w:t xml:space="preserve">ooking to a future with climate change induced increased flooding the JRF </w:t>
      </w:r>
      <w:r>
        <w:rPr>
          <w:rFonts w:cs="Calibri"/>
          <w:szCs w:val="24"/>
          <w:lang w:val="en-GB"/>
        </w:rPr>
        <w:t xml:space="preserve">project suggests that </w:t>
      </w:r>
      <w:r w:rsidR="00606CF6">
        <w:rPr>
          <w:rFonts w:cs="Calibri"/>
          <w:szCs w:val="24"/>
          <w:lang w:val="en-GB"/>
        </w:rPr>
        <w:t>b</w:t>
      </w:r>
      <w:r w:rsidR="0003796D" w:rsidRPr="0003796D">
        <w:rPr>
          <w:rFonts w:cs="Calibri"/>
          <w:szCs w:val="24"/>
          <w:lang w:val="en-GB"/>
        </w:rPr>
        <w:t>y the 2080s</w:t>
      </w:r>
      <w:r w:rsidR="006C37D8">
        <w:rPr>
          <w:rFonts w:cs="Calibri"/>
          <w:szCs w:val="24"/>
          <w:lang w:val="en-GB"/>
        </w:rPr>
        <w:t xml:space="preserve"> </w:t>
      </w:r>
      <w:r w:rsidR="0003796D" w:rsidRPr="0003796D">
        <w:rPr>
          <w:rFonts w:cs="Calibri"/>
          <w:szCs w:val="24"/>
          <w:lang w:val="en-GB"/>
        </w:rPr>
        <w:t>(assuming a +4</w:t>
      </w:r>
      <w:r w:rsidR="0003796D" w:rsidRPr="00606CF6">
        <w:rPr>
          <w:rFonts w:cs="Calibri"/>
          <w:szCs w:val="24"/>
          <w:vertAlign w:val="superscript"/>
          <w:lang w:val="en-GB"/>
        </w:rPr>
        <w:t>o</w:t>
      </w:r>
      <w:r w:rsidR="0003796D" w:rsidRPr="0003796D">
        <w:rPr>
          <w:rFonts w:cs="Calibri"/>
          <w:szCs w:val="24"/>
          <w:lang w:val="en-GB"/>
        </w:rPr>
        <w:t>C climate future and high population growth) the EAD per person in Scotland</w:t>
      </w:r>
      <w:r>
        <w:rPr>
          <w:rFonts w:cs="Calibri"/>
          <w:szCs w:val="24"/>
          <w:lang w:val="en-GB"/>
        </w:rPr>
        <w:t xml:space="preserve"> </w:t>
      </w:r>
      <w:r w:rsidR="00606CF6">
        <w:rPr>
          <w:rFonts w:cs="Calibri"/>
          <w:szCs w:val="24"/>
          <w:lang w:val="en-GB"/>
        </w:rPr>
        <w:t>could increase</w:t>
      </w:r>
      <w:r w:rsidR="0003796D" w:rsidRPr="0003796D">
        <w:rPr>
          <w:rFonts w:cs="Calibri"/>
          <w:szCs w:val="24"/>
          <w:lang w:val="en-GB"/>
        </w:rPr>
        <w:t xml:space="preserve"> to £183 per person (compared to £95 per person in England) with the risk in the most</w:t>
      </w:r>
      <w:r>
        <w:rPr>
          <w:rFonts w:cs="Calibri"/>
          <w:szCs w:val="24"/>
          <w:lang w:val="en-GB"/>
        </w:rPr>
        <w:t xml:space="preserve"> </w:t>
      </w:r>
      <w:r w:rsidR="0003796D" w:rsidRPr="0003796D">
        <w:rPr>
          <w:rFonts w:cs="Calibri"/>
          <w:szCs w:val="24"/>
          <w:lang w:val="en-GB"/>
        </w:rPr>
        <w:t>vulnerable neighbourhoods (</w:t>
      </w:r>
      <w:r w:rsidR="00606CF6">
        <w:rPr>
          <w:rFonts w:cs="Calibri"/>
          <w:szCs w:val="24"/>
          <w:lang w:val="en-GB"/>
        </w:rPr>
        <w:t xml:space="preserve">the </w:t>
      </w:r>
      <w:r w:rsidR="0003796D" w:rsidRPr="0003796D">
        <w:rPr>
          <w:rFonts w:cs="Calibri"/>
          <w:szCs w:val="24"/>
          <w:lang w:val="en-GB"/>
        </w:rPr>
        <w:t>top 20% by NFVI) increasing twice as quickly as elsewhere (</w:t>
      </w:r>
      <w:r w:rsidR="009B3243">
        <w:rPr>
          <w:rFonts w:cs="Calibri"/>
          <w:szCs w:val="24"/>
          <w:lang w:val="en-GB"/>
        </w:rPr>
        <w:t xml:space="preserve">EAD </w:t>
      </w:r>
      <w:r w:rsidR="0003796D" w:rsidRPr="0003796D">
        <w:rPr>
          <w:rFonts w:cs="Calibri"/>
          <w:szCs w:val="24"/>
          <w:lang w:val="en-GB"/>
        </w:rPr>
        <w:t>increasing</w:t>
      </w:r>
      <w:r>
        <w:rPr>
          <w:rFonts w:cs="Calibri"/>
          <w:szCs w:val="24"/>
          <w:lang w:val="en-GB"/>
        </w:rPr>
        <w:t xml:space="preserve"> </w:t>
      </w:r>
      <w:r w:rsidR="0003796D" w:rsidRPr="0003796D">
        <w:rPr>
          <w:rFonts w:cs="Calibri"/>
          <w:szCs w:val="24"/>
          <w:lang w:val="en-GB"/>
        </w:rPr>
        <w:t>from £93 to £206 per person)</w:t>
      </w:r>
      <w:r w:rsidR="004A5BDD">
        <w:rPr>
          <w:rFonts w:cs="Calibri"/>
          <w:szCs w:val="24"/>
          <w:lang w:val="en-GB"/>
        </w:rPr>
        <w:t xml:space="preserve"> (Sayers </w:t>
      </w:r>
      <w:r w:rsidR="004A5BDD" w:rsidRPr="00F40987">
        <w:rPr>
          <w:rFonts w:cs="Calibri"/>
          <w:i/>
          <w:szCs w:val="24"/>
          <w:lang w:val="en-GB"/>
        </w:rPr>
        <w:t>et al</w:t>
      </w:r>
      <w:r w:rsidR="00E75301" w:rsidRPr="00F40987">
        <w:rPr>
          <w:rFonts w:cs="Calibri"/>
          <w:i/>
          <w:szCs w:val="24"/>
          <w:lang w:val="en-GB"/>
        </w:rPr>
        <w:t>.</w:t>
      </w:r>
      <w:r w:rsidR="004A5BDD">
        <w:rPr>
          <w:rFonts w:cs="Calibri"/>
          <w:szCs w:val="24"/>
          <w:lang w:val="en-GB"/>
        </w:rPr>
        <w:t>, 2017 a, b)</w:t>
      </w:r>
      <w:r w:rsidR="0003796D" w:rsidRPr="0003796D">
        <w:rPr>
          <w:rFonts w:cs="Calibri"/>
          <w:szCs w:val="24"/>
          <w:lang w:val="en-GB"/>
        </w:rPr>
        <w:t>. This is not the case in England, Wales and Northern Ireland where</w:t>
      </w:r>
      <w:r>
        <w:rPr>
          <w:rFonts w:cs="Calibri"/>
          <w:szCs w:val="24"/>
          <w:lang w:val="en-GB"/>
        </w:rPr>
        <w:t xml:space="preserve"> </w:t>
      </w:r>
      <w:r w:rsidR="00DD3411">
        <w:rPr>
          <w:rFonts w:cs="Calibri"/>
          <w:szCs w:val="24"/>
          <w:lang w:val="en-GB"/>
        </w:rPr>
        <w:t xml:space="preserve">the </w:t>
      </w:r>
      <w:r w:rsidR="0003796D" w:rsidRPr="0003796D">
        <w:rPr>
          <w:rFonts w:cs="Calibri"/>
          <w:szCs w:val="24"/>
          <w:lang w:val="en-GB"/>
        </w:rPr>
        <w:t xml:space="preserve">more and </w:t>
      </w:r>
      <w:r w:rsidR="00DD3411">
        <w:rPr>
          <w:rFonts w:cs="Calibri"/>
          <w:szCs w:val="24"/>
          <w:lang w:val="en-GB"/>
        </w:rPr>
        <w:t xml:space="preserve">the </w:t>
      </w:r>
      <w:r w:rsidR="0003796D" w:rsidRPr="0003796D">
        <w:rPr>
          <w:rFonts w:cs="Calibri"/>
          <w:szCs w:val="24"/>
          <w:lang w:val="en-GB"/>
        </w:rPr>
        <w:t>less vulnerable neighbourhoods experience a similar rate of increase in EAD per person</w:t>
      </w:r>
      <w:r w:rsidR="006D6EF3">
        <w:rPr>
          <w:rFonts w:cs="Calibri"/>
          <w:szCs w:val="24"/>
          <w:lang w:val="en-GB"/>
        </w:rPr>
        <w:t xml:space="preserve"> (Sayers </w:t>
      </w:r>
      <w:r w:rsidR="006D6EF3" w:rsidRPr="00F40987">
        <w:rPr>
          <w:rFonts w:cs="Calibri"/>
          <w:i/>
          <w:szCs w:val="24"/>
          <w:lang w:val="en-GB"/>
        </w:rPr>
        <w:t>et al</w:t>
      </w:r>
      <w:r w:rsidR="00E75301" w:rsidRPr="00F40987">
        <w:rPr>
          <w:rFonts w:cs="Calibri"/>
          <w:i/>
          <w:szCs w:val="24"/>
          <w:lang w:val="en-GB"/>
        </w:rPr>
        <w:t>.</w:t>
      </w:r>
      <w:r w:rsidR="006D6EF3" w:rsidRPr="002548B9">
        <w:rPr>
          <w:rFonts w:cs="Calibri"/>
          <w:szCs w:val="24"/>
          <w:lang w:val="en-GB"/>
        </w:rPr>
        <w:t>, 2017</w:t>
      </w:r>
      <w:r w:rsidR="006D6EF3">
        <w:rPr>
          <w:rFonts w:cs="Calibri"/>
          <w:szCs w:val="24"/>
          <w:lang w:val="en-GB"/>
        </w:rPr>
        <w:t>a</w:t>
      </w:r>
      <w:r w:rsidR="00386356">
        <w:rPr>
          <w:rFonts w:cs="Calibri"/>
          <w:szCs w:val="24"/>
          <w:lang w:val="en-GB"/>
        </w:rPr>
        <w:t>, b</w:t>
      </w:r>
      <w:r w:rsidR="006D6EF3" w:rsidRPr="002548B9">
        <w:rPr>
          <w:rFonts w:cs="Calibri"/>
          <w:szCs w:val="24"/>
          <w:lang w:val="en-GB"/>
        </w:rPr>
        <w:t>)</w:t>
      </w:r>
      <w:r w:rsidR="0003796D" w:rsidRPr="0003796D">
        <w:rPr>
          <w:rFonts w:cs="Calibri"/>
          <w:szCs w:val="24"/>
          <w:lang w:val="en-GB"/>
        </w:rPr>
        <w:t>.</w:t>
      </w:r>
    </w:p>
    <w:p w:rsidR="00DD3411" w:rsidRDefault="00DD3411" w:rsidP="001E4991">
      <w:pPr>
        <w:autoSpaceDE w:val="0"/>
        <w:autoSpaceDN w:val="0"/>
        <w:adjustRightInd w:val="0"/>
        <w:spacing w:after="0" w:line="240" w:lineRule="auto"/>
        <w:rPr>
          <w:rFonts w:cs="Calibri"/>
          <w:szCs w:val="24"/>
          <w:lang w:val="en-GB"/>
        </w:rPr>
      </w:pPr>
    </w:p>
    <w:p w:rsidR="00606CF6" w:rsidRPr="0003796D" w:rsidRDefault="00606CF6" w:rsidP="001E4991">
      <w:pPr>
        <w:autoSpaceDE w:val="0"/>
        <w:autoSpaceDN w:val="0"/>
        <w:adjustRightInd w:val="0"/>
        <w:spacing w:after="0" w:line="240" w:lineRule="auto"/>
        <w:rPr>
          <w:szCs w:val="24"/>
          <w:lang w:val="en-GB"/>
        </w:rPr>
      </w:pPr>
      <w:r>
        <w:rPr>
          <w:szCs w:val="24"/>
          <w:lang w:val="en-GB"/>
        </w:rPr>
        <w:t>This brief snapshot thereby indicates that Scotland is at risk of serious flooding, both now and in possible future situations. We now turn to the extent to which insurance is available i</w:t>
      </w:r>
      <w:r w:rsidR="00975B15">
        <w:rPr>
          <w:szCs w:val="24"/>
          <w:lang w:val="en-GB"/>
        </w:rPr>
        <w:t>n</w:t>
      </w:r>
      <w:r>
        <w:rPr>
          <w:szCs w:val="24"/>
          <w:lang w:val="en-GB"/>
        </w:rPr>
        <w:t xml:space="preserve"> Scotland to mitigate the adverse consequences of such risk.</w:t>
      </w:r>
    </w:p>
    <w:p w:rsidR="001E4991" w:rsidRDefault="001E4991" w:rsidP="001E4991">
      <w:pPr>
        <w:pStyle w:val="Heading2"/>
        <w:spacing w:before="0" w:line="240" w:lineRule="auto"/>
        <w:rPr>
          <w:lang w:val="en-GB"/>
        </w:rPr>
      </w:pPr>
    </w:p>
    <w:p w:rsidR="00103C4F" w:rsidRDefault="00103C4F" w:rsidP="001E4991">
      <w:pPr>
        <w:pStyle w:val="Heading2"/>
        <w:spacing w:before="0" w:line="240" w:lineRule="auto"/>
        <w:rPr>
          <w:lang w:val="en-GB"/>
        </w:rPr>
      </w:pPr>
      <w:r>
        <w:rPr>
          <w:lang w:val="en-GB"/>
        </w:rPr>
        <w:t>Flood insurance in Scotland</w:t>
      </w:r>
    </w:p>
    <w:p w:rsidR="001E4991" w:rsidRDefault="001E4991" w:rsidP="001E4991">
      <w:pPr>
        <w:pStyle w:val="Heading3"/>
        <w:spacing w:before="0" w:line="240" w:lineRule="auto"/>
        <w:rPr>
          <w:lang w:val="en-GB"/>
        </w:rPr>
      </w:pPr>
    </w:p>
    <w:p w:rsidR="00103C4F" w:rsidRDefault="00E167AA" w:rsidP="001E4991">
      <w:pPr>
        <w:pStyle w:val="Heading3"/>
        <w:spacing w:before="0" w:line="240" w:lineRule="auto"/>
        <w:rPr>
          <w:lang w:val="en-GB"/>
        </w:rPr>
      </w:pPr>
      <w:r>
        <w:rPr>
          <w:lang w:val="en-GB"/>
        </w:rPr>
        <w:t>The o</w:t>
      </w:r>
      <w:r w:rsidR="00103C4F">
        <w:rPr>
          <w:lang w:val="en-GB"/>
        </w:rPr>
        <w:t>verall extent</w:t>
      </w:r>
      <w:r>
        <w:rPr>
          <w:lang w:val="en-GB"/>
        </w:rPr>
        <w:t xml:space="preserve"> of flood insurance</w:t>
      </w:r>
    </w:p>
    <w:p w:rsidR="001E4991" w:rsidRDefault="001E4991" w:rsidP="001E4991">
      <w:pPr>
        <w:spacing w:after="0" w:line="240" w:lineRule="auto"/>
      </w:pPr>
    </w:p>
    <w:p w:rsidR="00DD3411" w:rsidRDefault="00023D59" w:rsidP="001E4991">
      <w:pPr>
        <w:spacing w:after="0" w:line="240" w:lineRule="auto"/>
      </w:pPr>
      <w:r>
        <w:lastRenderedPageBreak/>
        <w:t xml:space="preserve">The data </w:t>
      </w:r>
      <w:r w:rsidRPr="004A5BDD">
        <w:t xml:space="preserve">used here comes from the Office of National Statistics’ annual </w:t>
      </w:r>
      <w:r w:rsidRPr="004A5BDD">
        <w:rPr>
          <w:i/>
        </w:rPr>
        <w:t>Living Costs and Food Survey</w:t>
      </w:r>
      <w:r w:rsidR="00DD3411" w:rsidRPr="004A5BDD">
        <w:rPr>
          <w:i/>
        </w:rPr>
        <w:t xml:space="preserve"> </w:t>
      </w:r>
      <w:r w:rsidR="00DD3411" w:rsidRPr="004A5BDD">
        <w:t>(ONS, 2016)</w:t>
      </w:r>
      <w:r w:rsidRPr="004A5BDD">
        <w:t>. The</w:t>
      </w:r>
      <w:r>
        <w:t xml:space="preserve"> publication date for the data used here is 2016 but the survey is dated 2014. </w:t>
      </w:r>
    </w:p>
    <w:p w:rsidR="00DD3411" w:rsidRDefault="00DD3411" w:rsidP="001E4991">
      <w:pPr>
        <w:spacing w:after="0" w:line="240" w:lineRule="auto"/>
      </w:pPr>
    </w:p>
    <w:p w:rsidR="00023D59" w:rsidRDefault="00023D59" w:rsidP="001E4991">
      <w:pPr>
        <w:spacing w:after="0" w:line="240" w:lineRule="auto"/>
      </w:pPr>
      <w:r>
        <w:t>The survey is a sample of 5,133 properties across the UK and, of th</w:t>
      </w:r>
      <w:r w:rsidR="006D6EF3">
        <w:t>ese, a total of</w:t>
      </w:r>
      <w:r>
        <w:t xml:space="preserve"> 434 are sampled in Scotland (8.45% of the </w:t>
      </w:r>
      <w:r w:rsidR="006D6EF3">
        <w:t xml:space="preserve">UK </w:t>
      </w:r>
      <w:r>
        <w:t xml:space="preserve">total). In some cases the sub-samples in Scotland </w:t>
      </w:r>
      <w:r w:rsidR="004A5BDD">
        <w:t>that relate</w:t>
      </w:r>
      <w:r>
        <w:t xml:space="preserve"> to particular </w:t>
      </w:r>
      <w:r w:rsidR="006D6EF3">
        <w:t xml:space="preserve">survey </w:t>
      </w:r>
      <w:r>
        <w:t>questions are small such that, for example, 98 properties</w:t>
      </w:r>
      <w:r w:rsidR="004A5BDD">
        <w:t xml:space="preserve"> in Scotland are recorded as paying</w:t>
      </w:r>
      <w:r>
        <w:t xml:space="preserve"> no </w:t>
      </w:r>
      <w:r w:rsidR="004A5BDD">
        <w:t xml:space="preserve">household </w:t>
      </w:r>
      <w:r>
        <w:t xml:space="preserve">insurance premium at all, giving a total of 22.6% without this cover. This compares with a sample size for the rest of the UK </w:t>
      </w:r>
      <w:r w:rsidRPr="00354162">
        <w:t xml:space="preserve">of 4,699, of which 1,122 properties (21.8%) had </w:t>
      </w:r>
      <w:r w:rsidR="00DD3411">
        <w:t xml:space="preserve">purchased </w:t>
      </w:r>
      <w:r w:rsidRPr="00354162">
        <w:t xml:space="preserve">no </w:t>
      </w:r>
      <w:r w:rsidR="004A5BDD">
        <w:t xml:space="preserve">household </w:t>
      </w:r>
      <w:r w:rsidRPr="00354162">
        <w:t xml:space="preserve">insurance cover (Table 1). Nevertheless what this shows, albeit with a small sample, </w:t>
      </w:r>
      <w:r w:rsidR="006D6EF3">
        <w:t xml:space="preserve">is </w:t>
      </w:r>
      <w:r w:rsidRPr="00354162">
        <w:t>that the situation in Scotland is</w:t>
      </w:r>
      <w:r>
        <w:t xml:space="preserve"> marginally worse than that in England, Wales and Northern Ireland,</w:t>
      </w:r>
      <w:r w:rsidR="004A5BDD">
        <w:t xml:space="preserve"> taken</w:t>
      </w:r>
      <w:r>
        <w:t xml:space="preserve"> together. However the situation is surely not satisfactory in any of the countries involved, with over one fifth of the population not protected by </w:t>
      </w:r>
      <w:r w:rsidR="00DD3411">
        <w:t xml:space="preserve">purchasing </w:t>
      </w:r>
      <w:r>
        <w:t>flood insurance to compensate them for future flood losses.</w:t>
      </w:r>
    </w:p>
    <w:p w:rsidR="001E4991" w:rsidRDefault="001E4991" w:rsidP="001E4991">
      <w:pPr>
        <w:spacing w:after="0" w:line="240" w:lineRule="auto"/>
      </w:pPr>
    </w:p>
    <w:p w:rsidR="00023D59" w:rsidRDefault="00023D59" w:rsidP="001E4991">
      <w:pPr>
        <w:spacing w:after="0" w:line="240" w:lineRule="auto"/>
      </w:pPr>
      <w:r>
        <w:t xml:space="preserve">With regard to the type of insurance, the situation appears to be slightly more favourable in Scotland with regard to insurance of the structure of the building (Table 2). Here those </w:t>
      </w:r>
      <w:r w:rsidR="006D6EF3">
        <w:t xml:space="preserve">surveyed who are recorded as </w:t>
      </w:r>
      <w:r>
        <w:t>without structural insurance against flooding amount to 33.2% of households in Scotland but a much larger 37.6% in the rest of the UK. However it should be noted that these figures are distorted by the fact that structural insurance is not purchased by the tenant in a rented property, but by the landlord, and this needs to be considered when evaluating these percentages. The situation is clearer with regard to contents insurance where there are virtually identical levels of penetration in Scotland and in the rest of the UK</w:t>
      </w:r>
      <w:r w:rsidR="00DD3411">
        <w:t>,</w:t>
      </w:r>
      <w:r>
        <w:t xml:space="preserve"> at 23.7% and 23.6% respectively. These figures are likely to be more accurate as a gauge of insurance penetration for </w:t>
      </w:r>
      <w:r w:rsidR="00DD3411">
        <w:t xml:space="preserve">the </w:t>
      </w:r>
      <w:r>
        <w:t>households affected, since it is those households who purchase contents insurance (and are interviewed in the ONS survey), whereas many who are tenants, as indicated above, will have the structure of the</w:t>
      </w:r>
      <w:r w:rsidR="006D6EF3">
        <w:t xml:space="preserve">ir dwelling </w:t>
      </w:r>
      <w:r>
        <w:t>insured by their landlord. Nevertheless it is worrying that nearly one quarter of all households both in Scotland and in the rest of the UK do not have insurance to compensate for the losses incurred to the contents of the</w:t>
      </w:r>
      <w:r w:rsidR="00DD3411">
        <w:t>ir</w:t>
      </w:r>
      <w:r>
        <w:t xml:space="preserve"> </w:t>
      </w:r>
      <w:r w:rsidR="00DD3411">
        <w:t>dwellings</w:t>
      </w:r>
      <w:r>
        <w:t xml:space="preserve"> as a result of flooding.</w:t>
      </w:r>
    </w:p>
    <w:p w:rsidR="001E4991" w:rsidRDefault="001E4991" w:rsidP="001E4991">
      <w:pPr>
        <w:spacing w:after="0" w:line="240" w:lineRule="auto"/>
      </w:pPr>
    </w:p>
    <w:p w:rsidR="00023D59" w:rsidRDefault="00DD3411" w:rsidP="001E4991">
      <w:pPr>
        <w:spacing w:after="0" w:line="240" w:lineRule="auto"/>
      </w:pPr>
      <w:r>
        <w:t>Table 2 shows a</w:t>
      </w:r>
      <w:r w:rsidR="00023D59">
        <w:t xml:space="preserve"> distinct income driver to insurance penetration.</w:t>
      </w:r>
      <w:r w:rsidR="006E437C">
        <w:t xml:space="preserve"> Whilst only a very small percentage of the richest 10% of households by weekly</w:t>
      </w:r>
      <w:r>
        <w:t xml:space="preserve"> gross</w:t>
      </w:r>
      <w:r w:rsidR="006E437C">
        <w:t xml:space="preserve"> income have no household insurance premium paid (4.7% across the UK as a whole) in Scotland the figure is as low as 2.5%: the riche</w:t>
      </w:r>
      <w:r w:rsidR="004742EE">
        <w:t>st</w:t>
      </w:r>
      <w:r w:rsidR="006E437C">
        <w:t xml:space="preserve"> Scottish</w:t>
      </w:r>
      <w:r w:rsidR="00441FDC">
        <w:t xml:space="preserve"> households</w:t>
      </w:r>
      <w:r w:rsidR="006E437C">
        <w:t xml:space="preserve"> almost invariably purchase flood insurance via their general household policies. In Scotland, however, more than half of the </w:t>
      </w:r>
      <w:r w:rsidR="00441FDC">
        <w:t>poorest 10% of households fail</w:t>
      </w:r>
      <w:r w:rsidR="006E437C">
        <w:t xml:space="preserve"> to make this purchase (54.2%), a situation not dissimilar to the rest of the UK</w:t>
      </w:r>
      <w:r w:rsidR="002806B4">
        <w:t xml:space="preserve"> (53.3%)</w:t>
      </w:r>
      <w:r w:rsidR="006E437C">
        <w:t xml:space="preserve">. </w:t>
      </w:r>
      <w:r w:rsidR="007E1676">
        <w:t xml:space="preserve">It is not the situation, however, that average </w:t>
      </w:r>
      <w:r w:rsidR="00B0586B">
        <w:t xml:space="preserve">annual </w:t>
      </w:r>
      <w:r w:rsidR="007E1676">
        <w:t xml:space="preserve">incomes in </w:t>
      </w:r>
      <w:r w:rsidR="00E51E2B">
        <w:t>Scotland are significantly different to</w:t>
      </w:r>
      <w:r w:rsidR="007E1676">
        <w:t xml:space="preserve"> those in the rest of the UK; indeed, they are almost identical </w:t>
      </w:r>
      <w:r w:rsidR="00E51E2B">
        <w:t xml:space="preserve">at £27,710 for Scotland and £27,645 for the UK as a whole </w:t>
      </w:r>
      <w:r w:rsidR="007E1676">
        <w:t xml:space="preserve">(Aiton, 2016). </w:t>
      </w:r>
      <w:r w:rsidR="006E437C">
        <w:t xml:space="preserve">The </w:t>
      </w:r>
      <w:r w:rsidR="00B00023">
        <w:t>insurance situation of the poorest 10% of households means</w:t>
      </w:r>
      <w:r w:rsidR="006E437C">
        <w:t xml:space="preserve"> that those who can </w:t>
      </w:r>
      <w:r>
        <w:t xml:space="preserve">least </w:t>
      </w:r>
      <w:r w:rsidR="006E437C">
        <w:t xml:space="preserve">afford to suffer the losses incurred during flood events are </w:t>
      </w:r>
      <w:r>
        <w:t xml:space="preserve">the </w:t>
      </w:r>
      <w:r w:rsidR="006E437C">
        <w:t>least likely to be insured and thereby receive compensation</w:t>
      </w:r>
      <w:r w:rsidR="00AD01F2">
        <w:t xml:space="preserve"> for those losses</w:t>
      </w:r>
      <w:r w:rsidR="006E437C">
        <w:t xml:space="preserve"> via insurance claims.</w:t>
      </w:r>
    </w:p>
    <w:p w:rsidR="001E4991" w:rsidRDefault="001E4991" w:rsidP="001E4991">
      <w:pPr>
        <w:pStyle w:val="Heading3"/>
        <w:spacing w:before="0" w:line="240" w:lineRule="auto"/>
      </w:pPr>
    </w:p>
    <w:p w:rsidR="00023D59" w:rsidRPr="00023D59" w:rsidRDefault="00441FDC" w:rsidP="001E4991">
      <w:pPr>
        <w:pStyle w:val="Heading3"/>
        <w:spacing w:before="0" w:line="240" w:lineRule="auto"/>
      </w:pPr>
      <w:r>
        <w:t>Flood insurance and household tenure</w:t>
      </w:r>
    </w:p>
    <w:p w:rsidR="001E4991" w:rsidRDefault="001E4991" w:rsidP="001E4991">
      <w:pPr>
        <w:spacing w:after="0" w:line="240" w:lineRule="auto"/>
      </w:pPr>
    </w:p>
    <w:p w:rsidR="00370D46" w:rsidRDefault="00370D46" w:rsidP="001E4991">
      <w:pPr>
        <w:spacing w:after="0" w:line="240" w:lineRule="auto"/>
      </w:pPr>
      <w:r>
        <w:lastRenderedPageBreak/>
        <w:t xml:space="preserve">The propensity to purchase domestic household insurance, with its flood insurance component, is related to the tenure or housing type affected. Thus those in Scotland living in local authority or housing association properties are unlikely to purchase flood insurance, given that the average level of deciding not to purchase </w:t>
      </w:r>
      <w:r w:rsidR="00DD3411">
        <w:t xml:space="preserve">this cover </w:t>
      </w:r>
      <w:r>
        <w:t>is over 66.7% (Table 3). This is marginally worse than the rest of the UK, but the situ</w:t>
      </w:r>
      <w:r w:rsidR="00DD3411">
        <w:t>ation in Scottish private rented</w:t>
      </w:r>
      <w:r>
        <w:t xml:space="preserve"> furnished accommodation is even more disappointing. Here 80% of tenants made no purchase of insurance for their properties, as reported in the ONS </w:t>
      </w:r>
      <w:proofErr w:type="gramStart"/>
      <w:r>
        <w:t>survey,</w:t>
      </w:r>
      <w:proofErr w:type="gramEnd"/>
      <w:r>
        <w:t xml:space="preserve"> either for the contents or for the structure (although the latter is not surprising given that their landlord is responsible for that structure). In contrast, those owners of </w:t>
      </w:r>
      <w:r w:rsidR="00AD01F2">
        <w:t xml:space="preserve">domestic </w:t>
      </w:r>
      <w:r>
        <w:t xml:space="preserve">properties have very low levels of non-insurance, especially those owning the property and paying currently for a mortgage. </w:t>
      </w:r>
    </w:p>
    <w:p w:rsidR="001E4991" w:rsidRDefault="001E4991" w:rsidP="001E4991">
      <w:pPr>
        <w:spacing w:after="0" w:line="240" w:lineRule="auto"/>
      </w:pPr>
    </w:p>
    <w:p w:rsidR="00370D46" w:rsidRDefault="00370D46" w:rsidP="001E4991">
      <w:pPr>
        <w:spacing w:after="0" w:line="240" w:lineRule="auto"/>
      </w:pPr>
      <w:r>
        <w:t>The above situation is exacerbated by the fact that some parts of the rented accommodation sector in Scotland are more prevalent than that south of the border (Table 4). This particularly applies to local authority property, as in Scotland the rate of occupation of such property is c. 50% greater than that in the rest of the UK (i.e. 12.4% compared with 8.5%). However, at least with this property type it is clear that the local authorities are responsible for and are likely to undertake repairs after a flood to the structure of the building whereas the private landlords provide perhaps no such guarantee.</w:t>
      </w:r>
      <w:r w:rsidR="007E1676">
        <w:t xml:space="preserve"> T</w:t>
      </w:r>
      <w:r w:rsidR="00B0586B">
        <w:t>hat</w:t>
      </w:r>
      <w:r w:rsidR="007E1676">
        <w:t xml:space="preserve"> s</w:t>
      </w:r>
      <w:r w:rsidR="00AD01F2">
        <w:t xml:space="preserve">ituation is not helped by the reputation Scottish landlords have from their tenants: according to </w:t>
      </w:r>
      <w:r w:rsidR="00111CBF">
        <w:t xml:space="preserve">research reported by </w:t>
      </w:r>
      <w:r w:rsidR="00AD01F2" w:rsidRPr="00AD01F2">
        <w:rPr>
          <w:i/>
        </w:rPr>
        <w:t xml:space="preserve">Scottish Housing News </w:t>
      </w:r>
      <w:r w:rsidR="007E1676">
        <w:t>(2016</w:t>
      </w:r>
      <w:r w:rsidR="00111CBF">
        <w:t>, 1</w:t>
      </w:r>
      <w:r w:rsidR="00AD01F2">
        <w:t>) S</w:t>
      </w:r>
      <w:r w:rsidR="007E1676">
        <w:t xml:space="preserve">cotland has the highest </w:t>
      </w:r>
      <w:r w:rsidR="00AD01F2">
        <w:t>extent of tenants in conflict with their landlord for poor quality h</w:t>
      </w:r>
      <w:r w:rsidR="007E1676">
        <w:t>o</w:t>
      </w:r>
      <w:r w:rsidR="00AD01F2">
        <w:t>using, with a quarter o</w:t>
      </w:r>
      <w:r w:rsidR="007E1676">
        <w:t>f renters in Scotland</w:t>
      </w:r>
      <w:r w:rsidR="00AD01F2">
        <w:t xml:space="preserve"> saying they have “a slum landlord”. </w:t>
      </w:r>
    </w:p>
    <w:p w:rsidR="001E4991" w:rsidRDefault="001E4991" w:rsidP="001E4991">
      <w:pPr>
        <w:spacing w:after="0" w:line="240" w:lineRule="auto"/>
      </w:pPr>
    </w:p>
    <w:p w:rsidR="00370D46" w:rsidRDefault="00370D46" w:rsidP="001E4991">
      <w:pPr>
        <w:spacing w:after="0" w:line="240" w:lineRule="auto"/>
      </w:pPr>
      <w:r>
        <w:t xml:space="preserve">What we are seeing here, of course, is a correlation between tenure, income and the propensity to take out insurance. Those with low gross weekly incomes tend to live in rented accommodation, particularly local authority rented accommodation, and at the same time often fail to purchase flood insurance for the contents of their properties. One cannot but conclude that to them it is unaffordable. Table 5 provides evidence for this correlation between tenure and income, such that 66.2% of the poorest households in Scotland live in rented accommodation, whereas 88.9% of the richest 10% of households own their own property, that percentage including </w:t>
      </w:r>
      <w:r w:rsidR="00DD3411">
        <w:t xml:space="preserve">both </w:t>
      </w:r>
      <w:r>
        <w:t>those owning their hous</w:t>
      </w:r>
      <w:r w:rsidR="004A5BDD">
        <w:t xml:space="preserve">es outright and those </w:t>
      </w:r>
      <w:proofErr w:type="gramStart"/>
      <w:r w:rsidR="004A5BDD">
        <w:t xml:space="preserve">currently </w:t>
      </w:r>
      <w:r>
        <w:t>paying</w:t>
      </w:r>
      <w:proofErr w:type="gramEnd"/>
      <w:r>
        <w:t xml:space="preserve"> </w:t>
      </w:r>
      <w:r w:rsidR="00DD3411">
        <w:t xml:space="preserve">for a </w:t>
      </w:r>
      <w:r>
        <w:t xml:space="preserve">mortgage. </w:t>
      </w:r>
    </w:p>
    <w:p w:rsidR="001E4991" w:rsidRDefault="001E4991" w:rsidP="001E4991">
      <w:pPr>
        <w:spacing w:after="0" w:line="240" w:lineRule="auto"/>
      </w:pPr>
    </w:p>
    <w:p w:rsidR="00370D46" w:rsidRDefault="00370D46" w:rsidP="001E4991">
      <w:pPr>
        <w:spacing w:after="0" w:line="240" w:lineRule="auto"/>
      </w:pPr>
      <w:r>
        <w:t xml:space="preserve">The situation with regard to rented accommodation and home ownership appears to be getting worse not better. Figure 2 gives the changes in in housing tenure between 1981 and 2014 in Scotland, and shows the increasing fraction of the population in either housing association or private rented accommodation and the consequential </w:t>
      </w:r>
      <w:r w:rsidR="00111CBF">
        <w:t xml:space="preserve">relative </w:t>
      </w:r>
      <w:r>
        <w:t>decline in owner occupation</w:t>
      </w:r>
      <w:r w:rsidR="00111CBF">
        <w:t xml:space="preserve"> and local authority housing</w:t>
      </w:r>
      <w:r>
        <w:t>. Given the situation shown in Table 3, where the non-purchase of in</w:t>
      </w:r>
      <w:r w:rsidR="00DD3411">
        <w:t>surance</w:t>
      </w:r>
      <w:r>
        <w:t xml:space="preserve"> peaks with the housing association tenants (at 78.1%), the trend shown in Figure 2 is not encouraging. Scottish families, as in the rest of the UK, are now more likely to be renting their accommodation than they were at the peak of owner occupation in 2009, and given the rate of real rises of house prices in the last decade or so – and continuin</w:t>
      </w:r>
      <w:r w:rsidR="00DD3411">
        <w:t>g - one is not inclined to conclude that</w:t>
      </w:r>
      <w:r>
        <w:t xml:space="preserve"> this trend is temporary.</w:t>
      </w:r>
    </w:p>
    <w:p w:rsidR="001E4991" w:rsidRDefault="001E4991" w:rsidP="001E4991">
      <w:pPr>
        <w:pStyle w:val="Heading3"/>
        <w:spacing w:before="0" w:line="240" w:lineRule="auto"/>
        <w:rPr>
          <w:lang w:val="en-GB"/>
        </w:rPr>
      </w:pPr>
    </w:p>
    <w:p w:rsidR="00E011AD" w:rsidRDefault="00E011AD" w:rsidP="001E4991">
      <w:pPr>
        <w:pStyle w:val="Heading3"/>
        <w:spacing w:before="0" w:line="240" w:lineRule="auto"/>
        <w:rPr>
          <w:lang w:val="en-GB"/>
        </w:rPr>
      </w:pPr>
      <w:r>
        <w:rPr>
          <w:lang w:val="en-GB"/>
        </w:rPr>
        <w:t>Cities in decline and their influence on flood disadvantage</w:t>
      </w:r>
    </w:p>
    <w:p w:rsidR="00370D46" w:rsidRDefault="00370D46" w:rsidP="001E4991">
      <w:pPr>
        <w:autoSpaceDE w:val="0"/>
        <w:autoSpaceDN w:val="0"/>
        <w:adjustRightInd w:val="0"/>
        <w:spacing w:after="0" w:line="240" w:lineRule="auto"/>
        <w:rPr>
          <w:rFonts w:cs="Calibri"/>
          <w:sz w:val="22"/>
          <w:lang w:val="en-GB"/>
        </w:rPr>
      </w:pPr>
    </w:p>
    <w:p w:rsidR="00E011AD" w:rsidRPr="00111CBF" w:rsidRDefault="00370D46" w:rsidP="001E4991">
      <w:pPr>
        <w:autoSpaceDE w:val="0"/>
        <w:autoSpaceDN w:val="0"/>
        <w:adjustRightInd w:val="0"/>
        <w:spacing w:after="0" w:line="240" w:lineRule="auto"/>
        <w:rPr>
          <w:rFonts w:cs="Calibri"/>
          <w:szCs w:val="24"/>
          <w:lang w:val="en-GB"/>
        </w:rPr>
      </w:pPr>
      <w:r w:rsidRPr="00111CBF">
        <w:rPr>
          <w:rFonts w:cs="Calibri"/>
          <w:szCs w:val="24"/>
          <w:lang w:val="en-GB"/>
        </w:rPr>
        <w:lastRenderedPageBreak/>
        <w:t xml:space="preserve">The relationship between relative affluence and the propensity to purchase flood insurance is clear from the above. It is also clear from the research for the Joseph Rowntree </w:t>
      </w:r>
      <w:r w:rsidR="00DF183D">
        <w:rPr>
          <w:rFonts w:cs="Calibri"/>
          <w:szCs w:val="24"/>
          <w:lang w:val="en-GB"/>
        </w:rPr>
        <w:t>F</w:t>
      </w:r>
      <w:r w:rsidRPr="00111CBF">
        <w:rPr>
          <w:rFonts w:cs="Calibri"/>
          <w:szCs w:val="24"/>
          <w:lang w:val="en-GB"/>
        </w:rPr>
        <w:t>oundation that c</w:t>
      </w:r>
      <w:r w:rsidR="00E011AD" w:rsidRPr="00111CBF">
        <w:rPr>
          <w:rFonts w:cs="Calibri"/>
          <w:szCs w:val="24"/>
          <w:lang w:val="en-GB"/>
        </w:rPr>
        <w:t>ity regions in relative economic decline tend to experience levels of flood disadvantage above</w:t>
      </w:r>
      <w:r w:rsidRPr="00111CBF">
        <w:rPr>
          <w:rFonts w:cs="Calibri"/>
          <w:szCs w:val="24"/>
          <w:lang w:val="en-GB"/>
        </w:rPr>
        <w:t xml:space="preserve"> </w:t>
      </w:r>
      <w:r w:rsidR="00E011AD" w:rsidRPr="00111CBF">
        <w:rPr>
          <w:rFonts w:cs="Calibri"/>
          <w:szCs w:val="24"/>
          <w:lang w:val="en-GB"/>
        </w:rPr>
        <w:t>the UK average</w:t>
      </w:r>
      <w:r w:rsidR="00875595" w:rsidRPr="00111CBF">
        <w:rPr>
          <w:rFonts w:cs="Calibri"/>
          <w:szCs w:val="24"/>
          <w:lang w:val="en-GB"/>
        </w:rPr>
        <w:t xml:space="preserve"> (Sayers </w:t>
      </w:r>
      <w:r w:rsidR="00875595" w:rsidRPr="00F40987">
        <w:rPr>
          <w:rFonts w:cs="Calibri"/>
          <w:i/>
          <w:szCs w:val="24"/>
          <w:lang w:val="en-GB"/>
        </w:rPr>
        <w:t>et al</w:t>
      </w:r>
      <w:r w:rsidR="00E75301" w:rsidRPr="00F40987">
        <w:rPr>
          <w:rFonts w:cs="Calibri"/>
          <w:i/>
          <w:szCs w:val="24"/>
          <w:lang w:val="en-GB"/>
        </w:rPr>
        <w:t>.</w:t>
      </w:r>
      <w:r w:rsidR="00875595" w:rsidRPr="00111CBF">
        <w:rPr>
          <w:rFonts w:cs="Calibri"/>
          <w:szCs w:val="24"/>
          <w:lang w:val="en-GB"/>
        </w:rPr>
        <w:t>, 2017</w:t>
      </w:r>
      <w:r w:rsidR="00B66BC6" w:rsidRPr="00111CBF">
        <w:rPr>
          <w:rFonts w:cs="Calibri"/>
          <w:szCs w:val="24"/>
          <w:lang w:val="en-GB"/>
        </w:rPr>
        <w:t>a</w:t>
      </w:r>
      <w:r w:rsidR="00875595" w:rsidRPr="00111CBF">
        <w:rPr>
          <w:rFonts w:cs="Calibri"/>
          <w:szCs w:val="24"/>
          <w:lang w:val="en-GB"/>
        </w:rPr>
        <w:t>, 7</w:t>
      </w:r>
      <w:r w:rsidRPr="00111CBF">
        <w:rPr>
          <w:rFonts w:cs="Calibri"/>
          <w:szCs w:val="24"/>
          <w:lang w:val="en-GB"/>
        </w:rPr>
        <w:t xml:space="preserve">). </w:t>
      </w:r>
      <w:r w:rsidR="00E011AD" w:rsidRPr="00111CBF">
        <w:rPr>
          <w:rFonts w:cs="Calibri"/>
          <w:szCs w:val="24"/>
          <w:lang w:val="en-GB"/>
        </w:rPr>
        <w:t xml:space="preserve"> </w:t>
      </w:r>
      <w:r w:rsidR="00875595" w:rsidRPr="00111CBF">
        <w:rPr>
          <w:rFonts w:cs="Calibri"/>
          <w:szCs w:val="24"/>
          <w:lang w:val="en-GB"/>
        </w:rPr>
        <w:t>That research categorised as flood disadvantaged those places where many socially vulnerable people are exposed to flooding</w:t>
      </w:r>
      <w:r w:rsidR="00DD3411" w:rsidRPr="00111CBF">
        <w:rPr>
          <w:rFonts w:cs="Calibri"/>
          <w:szCs w:val="24"/>
          <w:lang w:val="en-GB"/>
        </w:rPr>
        <w:t>.</w:t>
      </w:r>
    </w:p>
    <w:p w:rsidR="00370D46" w:rsidRPr="00111CBF" w:rsidRDefault="00370D46" w:rsidP="001E4991">
      <w:pPr>
        <w:autoSpaceDE w:val="0"/>
        <w:autoSpaceDN w:val="0"/>
        <w:adjustRightInd w:val="0"/>
        <w:spacing w:after="0" w:line="240" w:lineRule="auto"/>
        <w:rPr>
          <w:rFonts w:cs="Calibri"/>
          <w:szCs w:val="24"/>
          <w:lang w:val="en-GB"/>
        </w:rPr>
      </w:pPr>
    </w:p>
    <w:p w:rsidR="00111CBF" w:rsidRDefault="00E011AD" w:rsidP="001E4991">
      <w:pPr>
        <w:autoSpaceDE w:val="0"/>
        <w:autoSpaceDN w:val="0"/>
        <w:adjustRightInd w:val="0"/>
        <w:spacing w:after="0" w:line="240" w:lineRule="auto"/>
        <w:rPr>
          <w:rFonts w:cs="Calibri"/>
          <w:szCs w:val="24"/>
          <w:lang w:val="en-GB"/>
        </w:rPr>
      </w:pPr>
      <w:r w:rsidRPr="00111CBF">
        <w:rPr>
          <w:rFonts w:cs="Calibri"/>
          <w:szCs w:val="24"/>
          <w:lang w:val="en-GB"/>
        </w:rPr>
        <w:t>S</w:t>
      </w:r>
      <w:r w:rsidR="00875595" w:rsidRPr="00111CBF">
        <w:rPr>
          <w:rFonts w:cs="Calibri"/>
          <w:szCs w:val="24"/>
          <w:lang w:val="en-GB"/>
        </w:rPr>
        <w:t xml:space="preserve">ixteen of the 24 cities classed </w:t>
      </w:r>
      <w:r w:rsidRPr="00111CBF">
        <w:rPr>
          <w:rFonts w:cs="Calibri"/>
          <w:szCs w:val="24"/>
          <w:lang w:val="en-GB"/>
        </w:rPr>
        <w:t xml:space="preserve">as in relative decline by Pike </w:t>
      </w:r>
      <w:r w:rsidRPr="00111CBF">
        <w:rPr>
          <w:rFonts w:ascii="Calibri-Italic" w:hAnsi="Calibri-Italic" w:cs="Calibri-Italic"/>
          <w:i/>
          <w:iCs/>
          <w:szCs w:val="24"/>
          <w:lang w:val="en-GB"/>
        </w:rPr>
        <w:t xml:space="preserve">et al. </w:t>
      </w:r>
      <w:r w:rsidRPr="00111CBF">
        <w:rPr>
          <w:rFonts w:cs="Calibri"/>
          <w:szCs w:val="24"/>
          <w:lang w:val="en-GB"/>
        </w:rPr>
        <w:t>(2016) experience levels of flood</w:t>
      </w:r>
      <w:r w:rsidR="00370D46" w:rsidRPr="00111CBF">
        <w:rPr>
          <w:rFonts w:cs="Calibri"/>
          <w:szCs w:val="24"/>
          <w:lang w:val="en-GB"/>
        </w:rPr>
        <w:t xml:space="preserve"> </w:t>
      </w:r>
      <w:r w:rsidRPr="00111CBF">
        <w:rPr>
          <w:rFonts w:cs="Calibri"/>
          <w:szCs w:val="24"/>
          <w:lang w:val="en-GB"/>
        </w:rPr>
        <w:t xml:space="preserve">disadvantage above the UK average. </w:t>
      </w:r>
      <w:r w:rsidR="00370D46" w:rsidRPr="00111CBF">
        <w:rPr>
          <w:rFonts w:cs="Calibri"/>
          <w:szCs w:val="24"/>
          <w:lang w:val="en-GB"/>
        </w:rPr>
        <w:t xml:space="preserve">Glasgow is one of the examples of </w:t>
      </w:r>
      <w:r w:rsidR="00875595" w:rsidRPr="00111CBF">
        <w:rPr>
          <w:rFonts w:cs="Calibri"/>
          <w:szCs w:val="24"/>
          <w:lang w:val="en-GB"/>
        </w:rPr>
        <w:t xml:space="preserve">these </w:t>
      </w:r>
      <w:r w:rsidR="00370D46" w:rsidRPr="00111CBF">
        <w:rPr>
          <w:rFonts w:cs="Calibri"/>
          <w:szCs w:val="24"/>
          <w:lang w:val="en-GB"/>
        </w:rPr>
        <w:t>struggling cit</w:t>
      </w:r>
      <w:r w:rsidR="00875595" w:rsidRPr="00111CBF">
        <w:rPr>
          <w:rFonts w:cs="Calibri"/>
          <w:szCs w:val="24"/>
          <w:lang w:val="en-GB"/>
        </w:rPr>
        <w:t>ies where</w:t>
      </w:r>
      <w:r w:rsidR="00370D46" w:rsidRPr="00111CBF">
        <w:rPr>
          <w:rFonts w:cs="Calibri"/>
          <w:szCs w:val="24"/>
          <w:lang w:val="en-GB"/>
        </w:rPr>
        <w:t xml:space="preserve"> this is the case</w:t>
      </w:r>
      <w:r w:rsidR="00875595" w:rsidRPr="00111CBF">
        <w:rPr>
          <w:rFonts w:cs="Calibri"/>
          <w:szCs w:val="24"/>
          <w:lang w:val="en-GB"/>
        </w:rPr>
        <w:t>; another is Dundee</w:t>
      </w:r>
      <w:r w:rsidR="00370D46" w:rsidRPr="00111CBF">
        <w:rPr>
          <w:rFonts w:cs="Calibri"/>
          <w:szCs w:val="24"/>
          <w:lang w:val="en-GB"/>
        </w:rPr>
        <w:t xml:space="preserve">. </w:t>
      </w:r>
      <w:r w:rsidRPr="00111CBF">
        <w:rPr>
          <w:rFonts w:cs="Calibri"/>
          <w:szCs w:val="24"/>
          <w:lang w:val="en-GB"/>
        </w:rPr>
        <w:t>This reflects a combination of influences but is driven by higher</w:t>
      </w:r>
      <w:r w:rsidR="00370D46" w:rsidRPr="00111CBF">
        <w:rPr>
          <w:rFonts w:cs="Calibri"/>
          <w:szCs w:val="24"/>
          <w:lang w:val="en-GB"/>
        </w:rPr>
        <w:t xml:space="preserve"> </w:t>
      </w:r>
      <w:r w:rsidRPr="00111CBF">
        <w:rPr>
          <w:rFonts w:cs="Calibri"/>
          <w:szCs w:val="24"/>
          <w:lang w:val="en-GB"/>
        </w:rPr>
        <w:t>than average levels of vulnerability (as shown by the NFVI) and a greater than average number of</w:t>
      </w:r>
      <w:r w:rsidR="00370D46" w:rsidRPr="00111CBF">
        <w:rPr>
          <w:rFonts w:cs="Calibri"/>
          <w:szCs w:val="24"/>
          <w:lang w:val="en-GB"/>
        </w:rPr>
        <w:t xml:space="preserve"> </w:t>
      </w:r>
      <w:r w:rsidRPr="00111CBF">
        <w:rPr>
          <w:rFonts w:cs="Calibri"/>
          <w:szCs w:val="24"/>
          <w:lang w:val="en-GB"/>
        </w:rPr>
        <w:t>peopl</w:t>
      </w:r>
      <w:r w:rsidR="00370D46" w:rsidRPr="00111CBF">
        <w:rPr>
          <w:rFonts w:cs="Calibri"/>
          <w:szCs w:val="24"/>
          <w:lang w:val="en-GB"/>
        </w:rPr>
        <w:t>e exposed to frequent flooding. I</w:t>
      </w:r>
      <w:r w:rsidRPr="00111CBF">
        <w:rPr>
          <w:rFonts w:cs="Calibri"/>
          <w:szCs w:val="24"/>
          <w:lang w:val="en-GB"/>
        </w:rPr>
        <w:t>n Glasgow, for example, those living in the floodplain are</w:t>
      </w:r>
      <w:r w:rsidR="00370D46" w:rsidRPr="00111CBF">
        <w:rPr>
          <w:rFonts w:cs="Calibri"/>
          <w:szCs w:val="24"/>
          <w:lang w:val="en-GB"/>
        </w:rPr>
        <w:t xml:space="preserve"> </w:t>
      </w:r>
      <w:r w:rsidRPr="00111CBF">
        <w:rPr>
          <w:rFonts w:cs="Calibri"/>
          <w:szCs w:val="24"/>
          <w:lang w:val="en-GB"/>
        </w:rPr>
        <w:t xml:space="preserve">almost twice </w:t>
      </w:r>
      <w:proofErr w:type="gramStart"/>
      <w:r w:rsidRPr="00111CBF">
        <w:rPr>
          <w:rFonts w:cs="Calibri"/>
          <w:szCs w:val="24"/>
          <w:lang w:val="en-GB"/>
        </w:rPr>
        <w:t>as likely to experience frequent flooding than</w:t>
      </w:r>
      <w:proofErr w:type="gramEnd"/>
      <w:r w:rsidRPr="00111CBF">
        <w:rPr>
          <w:rFonts w:cs="Calibri"/>
          <w:szCs w:val="24"/>
          <w:lang w:val="en-GB"/>
        </w:rPr>
        <w:t xml:space="preserve"> the UK average</w:t>
      </w:r>
      <w:r w:rsidR="00370D46" w:rsidRPr="00111CBF">
        <w:rPr>
          <w:rFonts w:cs="Calibri"/>
          <w:szCs w:val="24"/>
          <w:lang w:val="en-GB"/>
        </w:rPr>
        <w:t xml:space="preserve"> (Figure 1)</w:t>
      </w:r>
      <w:r w:rsidRPr="00111CBF">
        <w:rPr>
          <w:rFonts w:cs="Calibri"/>
          <w:szCs w:val="24"/>
          <w:lang w:val="en-GB"/>
        </w:rPr>
        <w:t xml:space="preserve">. </w:t>
      </w:r>
    </w:p>
    <w:p w:rsidR="00111CBF" w:rsidRDefault="00111CBF" w:rsidP="001E4991">
      <w:pPr>
        <w:autoSpaceDE w:val="0"/>
        <w:autoSpaceDN w:val="0"/>
        <w:adjustRightInd w:val="0"/>
        <w:spacing w:after="0" w:line="240" w:lineRule="auto"/>
        <w:rPr>
          <w:rFonts w:cs="Calibri"/>
          <w:szCs w:val="24"/>
          <w:lang w:val="en-GB"/>
        </w:rPr>
      </w:pPr>
    </w:p>
    <w:p w:rsidR="00E53E60" w:rsidRPr="00111CBF" w:rsidRDefault="00E011AD" w:rsidP="001E4991">
      <w:pPr>
        <w:autoSpaceDE w:val="0"/>
        <w:autoSpaceDN w:val="0"/>
        <w:adjustRightInd w:val="0"/>
        <w:spacing w:after="0" w:line="240" w:lineRule="auto"/>
        <w:rPr>
          <w:rFonts w:cs="Calibri"/>
          <w:szCs w:val="24"/>
          <w:lang w:val="en-GB"/>
        </w:rPr>
      </w:pPr>
      <w:r w:rsidRPr="00111CBF">
        <w:rPr>
          <w:rFonts w:cs="Calibri"/>
          <w:szCs w:val="24"/>
          <w:lang w:val="en-GB"/>
        </w:rPr>
        <w:t>When income and</w:t>
      </w:r>
      <w:r w:rsidR="00370D46" w:rsidRPr="00111CBF">
        <w:rPr>
          <w:rFonts w:cs="Calibri"/>
          <w:szCs w:val="24"/>
          <w:lang w:val="en-GB"/>
        </w:rPr>
        <w:t xml:space="preserve"> </w:t>
      </w:r>
      <w:r w:rsidRPr="00111CBF">
        <w:rPr>
          <w:rFonts w:cs="Calibri"/>
          <w:szCs w:val="24"/>
          <w:lang w:val="en-GB"/>
        </w:rPr>
        <w:t xml:space="preserve">insurance penetration are considered, the </w:t>
      </w:r>
      <w:r w:rsidR="00370D46" w:rsidRPr="00111CBF">
        <w:rPr>
          <w:rFonts w:cs="Calibri"/>
          <w:szCs w:val="24"/>
          <w:lang w:val="en-GB"/>
        </w:rPr>
        <w:t xml:space="preserve">vulnerability </w:t>
      </w:r>
      <w:r w:rsidRPr="00111CBF">
        <w:rPr>
          <w:rFonts w:cs="Calibri"/>
          <w:szCs w:val="24"/>
          <w:lang w:val="en-GB"/>
        </w:rPr>
        <w:t>associated with flooding is</w:t>
      </w:r>
      <w:r w:rsidR="00370D46" w:rsidRPr="00111CBF">
        <w:rPr>
          <w:rFonts w:cs="Calibri"/>
          <w:szCs w:val="24"/>
          <w:lang w:val="en-GB"/>
        </w:rPr>
        <w:t xml:space="preserve"> </w:t>
      </w:r>
      <w:r w:rsidRPr="00111CBF">
        <w:rPr>
          <w:rFonts w:cs="Calibri"/>
          <w:szCs w:val="24"/>
          <w:lang w:val="en-GB"/>
        </w:rPr>
        <w:t>signi</w:t>
      </w:r>
      <w:r w:rsidR="00875595" w:rsidRPr="00111CBF">
        <w:rPr>
          <w:rFonts w:cs="Calibri"/>
          <w:szCs w:val="24"/>
          <w:lang w:val="en-GB"/>
        </w:rPr>
        <w:t>ficantly higher in these Scottish</w:t>
      </w:r>
      <w:r w:rsidRPr="00111CBF">
        <w:rPr>
          <w:rFonts w:cs="Calibri"/>
          <w:szCs w:val="24"/>
          <w:lang w:val="en-GB"/>
        </w:rPr>
        <w:t xml:space="preserve"> cities</w:t>
      </w:r>
      <w:r w:rsidR="00111CBF">
        <w:rPr>
          <w:rFonts w:cs="Calibri"/>
          <w:szCs w:val="24"/>
          <w:lang w:val="en-GB"/>
        </w:rPr>
        <w:t xml:space="preserve"> than elsewhere</w:t>
      </w:r>
      <w:r w:rsidR="0063255C">
        <w:rPr>
          <w:rFonts w:cs="Calibri"/>
          <w:szCs w:val="24"/>
          <w:lang w:val="en-GB"/>
        </w:rPr>
        <w:t xml:space="preserve"> </w:t>
      </w:r>
      <w:r w:rsidR="0063255C" w:rsidRPr="00111CBF">
        <w:rPr>
          <w:rFonts w:cs="Calibri"/>
          <w:szCs w:val="24"/>
          <w:lang w:val="en-GB"/>
        </w:rPr>
        <w:t xml:space="preserve">(Sayers </w:t>
      </w:r>
      <w:r w:rsidR="0063255C" w:rsidRPr="00AE43C4">
        <w:rPr>
          <w:rFonts w:cs="Calibri"/>
          <w:i/>
          <w:szCs w:val="24"/>
          <w:lang w:val="en-GB"/>
        </w:rPr>
        <w:t>et al.</w:t>
      </w:r>
      <w:r w:rsidR="0063255C" w:rsidRPr="00111CBF">
        <w:rPr>
          <w:rFonts w:cs="Calibri"/>
          <w:szCs w:val="24"/>
          <w:lang w:val="en-GB"/>
        </w:rPr>
        <w:t>, 2017a, 7)</w:t>
      </w:r>
      <w:r w:rsidRPr="00111CBF">
        <w:rPr>
          <w:rFonts w:cs="Calibri"/>
          <w:szCs w:val="24"/>
          <w:lang w:val="en-GB"/>
        </w:rPr>
        <w:t>,</w:t>
      </w:r>
      <w:r w:rsidR="00111CBF">
        <w:rPr>
          <w:rFonts w:cs="Calibri"/>
          <w:szCs w:val="24"/>
          <w:lang w:val="en-GB"/>
        </w:rPr>
        <w:t xml:space="preserve"> as it is south of the border, </w:t>
      </w:r>
      <w:r w:rsidRPr="00111CBF">
        <w:rPr>
          <w:rFonts w:cs="Calibri"/>
          <w:szCs w:val="24"/>
          <w:lang w:val="en-GB"/>
        </w:rPr>
        <w:t>reflecting the lower levels of income (on average) and</w:t>
      </w:r>
      <w:r w:rsidR="00370D46" w:rsidRPr="00111CBF">
        <w:rPr>
          <w:rFonts w:cs="Calibri"/>
          <w:szCs w:val="24"/>
          <w:lang w:val="en-GB"/>
        </w:rPr>
        <w:t xml:space="preserve"> </w:t>
      </w:r>
      <w:r w:rsidRPr="00111CBF">
        <w:rPr>
          <w:rFonts w:cs="Calibri"/>
          <w:szCs w:val="24"/>
          <w:lang w:val="en-GB"/>
        </w:rPr>
        <w:t>lower levels of insurance</w:t>
      </w:r>
      <w:r w:rsidR="00875595" w:rsidRPr="00111CBF">
        <w:rPr>
          <w:rFonts w:cs="Calibri"/>
          <w:szCs w:val="24"/>
          <w:lang w:val="en-GB"/>
        </w:rPr>
        <w:t xml:space="preserve"> in relation to the rest of Scotland and indeed to the rest of the UK.</w:t>
      </w:r>
    </w:p>
    <w:p w:rsidR="00370D46" w:rsidRDefault="00370D46" w:rsidP="001E4991">
      <w:pPr>
        <w:pStyle w:val="Heading2"/>
        <w:spacing w:before="0" w:line="240" w:lineRule="auto"/>
        <w:rPr>
          <w:lang w:val="en-GB"/>
        </w:rPr>
      </w:pPr>
    </w:p>
    <w:p w:rsidR="006327F6" w:rsidRDefault="006327F6" w:rsidP="001E4991">
      <w:pPr>
        <w:pStyle w:val="Heading2"/>
        <w:spacing w:before="0" w:line="240" w:lineRule="auto"/>
        <w:rPr>
          <w:lang w:val="en-GB"/>
        </w:rPr>
      </w:pPr>
      <w:r w:rsidRPr="006327F6">
        <w:rPr>
          <w:lang w:val="en-GB"/>
        </w:rPr>
        <w:t>Flood Re</w:t>
      </w:r>
      <w:r w:rsidR="005425A3">
        <w:rPr>
          <w:lang w:val="en-GB"/>
        </w:rPr>
        <w:t xml:space="preserve">: </w:t>
      </w:r>
      <w:r w:rsidR="00354162">
        <w:rPr>
          <w:lang w:val="en-GB"/>
        </w:rPr>
        <w:t>Possible a</w:t>
      </w:r>
      <w:r>
        <w:rPr>
          <w:lang w:val="en-GB"/>
        </w:rPr>
        <w:t>ssistance for flood victims in Scotland</w:t>
      </w:r>
    </w:p>
    <w:p w:rsidR="005425A3" w:rsidRDefault="005425A3" w:rsidP="001E4991">
      <w:pPr>
        <w:autoSpaceDE w:val="0"/>
        <w:autoSpaceDN w:val="0"/>
        <w:adjustRightInd w:val="0"/>
        <w:spacing w:after="0" w:line="240" w:lineRule="auto"/>
        <w:rPr>
          <w:rFonts w:cs="Calibri"/>
          <w:b/>
          <w:sz w:val="22"/>
          <w:lang w:val="en-GB"/>
        </w:rPr>
      </w:pPr>
    </w:p>
    <w:p w:rsidR="0034760B" w:rsidRPr="0034760B" w:rsidRDefault="0034760B" w:rsidP="001E4991">
      <w:pPr>
        <w:autoSpaceDE w:val="0"/>
        <w:autoSpaceDN w:val="0"/>
        <w:adjustRightInd w:val="0"/>
        <w:spacing w:after="0" w:line="240" w:lineRule="auto"/>
        <w:rPr>
          <w:rFonts w:cs="Calibri"/>
          <w:sz w:val="22"/>
          <w:lang w:val="en-GB"/>
        </w:rPr>
      </w:pPr>
      <w:r w:rsidRPr="0034760B">
        <w:rPr>
          <w:rFonts w:cs="Calibri"/>
          <w:sz w:val="22"/>
          <w:lang w:val="en-GB"/>
        </w:rPr>
        <w:t xml:space="preserve">In April 2016 a new </w:t>
      </w:r>
      <w:r w:rsidR="00DD3411">
        <w:rPr>
          <w:rFonts w:cs="Calibri"/>
          <w:sz w:val="22"/>
          <w:lang w:val="en-GB"/>
        </w:rPr>
        <w:t xml:space="preserve">time-limited </w:t>
      </w:r>
      <w:r w:rsidRPr="0034760B">
        <w:rPr>
          <w:rFonts w:cs="Calibri"/>
          <w:sz w:val="22"/>
          <w:lang w:val="en-GB"/>
        </w:rPr>
        <w:t>insurance scheme was launched to help homeowners and tenants in flood-affected areas obtain insurance for their homes</w:t>
      </w:r>
      <w:r w:rsidR="00DD3411">
        <w:rPr>
          <w:rFonts w:cs="Calibri"/>
          <w:sz w:val="22"/>
          <w:lang w:val="en-GB"/>
        </w:rPr>
        <w:t xml:space="preserve"> (Defra, 2014)</w:t>
      </w:r>
      <w:r w:rsidRPr="0034760B">
        <w:rPr>
          <w:rFonts w:cs="Calibri"/>
          <w:sz w:val="22"/>
          <w:lang w:val="en-GB"/>
        </w:rPr>
        <w:t>. Called ‘Flood Re’, it is a reinsurance pool and provides a safety net for insurers, enabling them to insure themselves against losses caused by flooding</w:t>
      </w:r>
      <w:r w:rsidR="00DD3411">
        <w:rPr>
          <w:rFonts w:cs="Calibri"/>
          <w:sz w:val="22"/>
          <w:lang w:val="en-GB"/>
        </w:rPr>
        <w:t xml:space="preserve"> (in effect, </w:t>
      </w:r>
      <w:r w:rsidR="00111CBF">
        <w:rPr>
          <w:rFonts w:cs="Calibri"/>
          <w:sz w:val="22"/>
          <w:lang w:val="en-GB"/>
        </w:rPr>
        <w:t xml:space="preserve">addressing </w:t>
      </w:r>
      <w:r w:rsidR="00DD3411">
        <w:rPr>
          <w:rFonts w:cs="Calibri"/>
          <w:sz w:val="22"/>
          <w:lang w:val="en-GB"/>
        </w:rPr>
        <w:t>Arnell’s (2000) criteria Nos</w:t>
      </w:r>
      <w:r w:rsidR="00111CBF">
        <w:rPr>
          <w:rFonts w:cs="Calibri"/>
          <w:sz w:val="22"/>
          <w:lang w:val="en-GB"/>
        </w:rPr>
        <w:t>.</w:t>
      </w:r>
      <w:r w:rsidR="00DD3411">
        <w:rPr>
          <w:rFonts w:cs="Calibri"/>
          <w:sz w:val="22"/>
          <w:lang w:val="en-GB"/>
        </w:rPr>
        <w:t xml:space="preserve"> 2 and 3)</w:t>
      </w:r>
      <w:r w:rsidRPr="0034760B">
        <w:rPr>
          <w:rFonts w:cs="Calibri"/>
          <w:sz w:val="22"/>
          <w:lang w:val="en-GB"/>
        </w:rPr>
        <w:t>. It is a publically accountable, not-for-profit fund, owned and managed by the insurance industry. It is the first scheme of its kind anywhere in the world (ABI, 2016).</w:t>
      </w:r>
    </w:p>
    <w:p w:rsidR="0034760B" w:rsidRPr="0034760B" w:rsidRDefault="0034760B" w:rsidP="001E4991">
      <w:pPr>
        <w:autoSpaceDE w:val="0"/>
        <w:autoSpaceDN w:val="0"/>
        <w:adjustRightInd w:val="0"/>
        <w:spacing w:after="0" w:line="240" w:lineRule="auto"/>
        <w:rPr>
          <w:rFonts w:cs="Calibri"/>
          <w:sz w:val="22"/>
          <w:lang w:val="en-GB"/>
        </w:rPr>
      </w:pPr>
    </w:p>
    <w:p w:rsidR="0034760B" w:rsidRPr="00390912" w:rsidRDefault="0034760B" w:rsidP="001E4991">
      <w:pPr>
        <w:spacing w:after="0" w:line="240" w:lineRule="auto"/>
        <w:rPr>
          <w:rFonts w:cs="Calibri"/>
          <w:sz w:val="22"/>
          <w:lang w:val="en-GB"/>
        </w:rPr>
      </w:pPr>
      <w:r w:rsidRPr="0034760B">
        <w:rPr>
          <w:rFonts w:cs="Calibri"/>
          <w:sz w:val="22"/>
          <w:lang w:val="en-GB"/>
        </w:rPr>
        <w:t xml:space="preserve">Not all </w:t>
      </w:r>
      <w:r w:rsidRPr="00FF3568">
        <w:rPr>
          <w:rFonts w:cs="Calibri"/>
          <w:sz w:val="22"/>
          <w:lang w:val="en-GB"/>
        </w:rPr>
        <w:t>households are eligib</w:t>
      </w:r>
      <w:r w:rsidR="00B02B46" w:rsidRPr="00FF3568">
        <w:rPr>
          <w:rFonts w:cs="Calibri"/>
          <w:sz w:val="22"/>
          <w:lang w:val="en-GB"/>
        </w:rPr>
        <w:t xml:space="preserve">le, however, </w:t>
      </w:r>
      <w:r w:rsidRPr="00FF3568">
        <w:rPr>
          <w:rFonts w:cs="Calibri"/>
          <w:sz w:val="22"/>
          <w:lang w:val="en-GB"/>
        </w:rPr>
        <w:t>for inclusion in Flood Re.</w:t>
      </w:r>
      <w:r w:rsidRPr="00FF3568">
        <w:rPr>
          <w:rFonts w:cs="Calibri"/>
          <w:b/>
          <w:sz w:val="22"/>
          <w:lang w:val="en-GB"/>
        </w:rPr>
        <w:t xml:space="preserve">  </w:t>
      </w:r>
      <w:r w:rsidRPr="00FF3568">
        <w:rPr>
          <w:rFonts w:cs="Calibri"/>
          <w:sz w:val="22"/>
          <w:lang w:val="en-GB"/>
        </w:rPr>
        <w:t>Properties in Scotland will be eligible only if they meet all of the following criteria (Flood Re, 2018):</w:t>
      </w:r>
    </w:p>
    <w:p w:rsidR="0034760B" w:rsidRPr="00390912" w:rsidRDefault="0034760B" w:rsidP="001E4991">
      <w:pPr>
        <w:pStyle w:val="ListParagraph"/>
        <w:numPr>
          <w:ilvl w:val="0"/>
          <w:numId w:val="4"/>
        </w:numPr>
        <w:autoSpaceDE w:val="0"/>
        <w:autoSpaceDN w:val="0"/>
        <w:adjustRightInd w:val="0"/>
        <w:spacing w:after="0" w:line="240" w:lineRule="auto"/>
        <w:rPr>
          <w:rFonts w:cs="Calibri"/>
          <w:sz w:val="22"/>
          <w:lang w:val="en-GB"/>
        </w:rPr>
      </w:pPr>
      <w:r w:rsidRPr="00390912">
        <w:rPr>
          <w:rFonts w:cs="Calibri"/>
          <w:sz w:val="22"/>
          <w:lang w:val="en-GB"/>
        </w:rPr>
        <w:t>They are covered by an insurance contract which is held in the name of, or on trust for, one or more individuals or by the personal representative of an individual;</w:t>
      </w:r>
    </w:p>
    <w:p w:rsidR="0034760B" w:rsidRPr="00390912" w:rsidRDefault="0034760B" w:rsidP="001E4991">
      <w:pPr>
        <w:pStyle w:val="ListParagraph"/>
        <w:numPr>
          <w:ilvl w:val="0"/>
          <w:numId w:val="4"/>
        </w:numPr>
        <w:autoSpaceDE w:val="0"/>
        <w:autoSpaceDN w:val="0"/>
        <w:adjustRightInd w:val="0"/>
        <w:spacing w:after="0" w:line="240" w:lineRule="auto"/>
        <w:rPr>
          <w:rFonts w:cs="Calibri"/>
          <w:sz w:val="22"/>
          <w:lang w:val="en-GB"/>
        </w:rPr>
      </w:pPr>
      <w:r w:rsidRPr="00390912">
        <w:rPr>
          <w:rFonts w:cs="Calibri"/>
          <w:sz w:val="22"/>
          <w:lang w:val="en-GB"/>
        </w:rPr>
        <w:t>The holder of the policy, or their immediate family, must live in the property for some or all of the time (whether or not with others) or the property must be unoccupied;</w:t>
      </w:r>
    </w:p>
    <w:p w:rsidR="0034760B" w:rsidRPr="00390912" w:rsidRDefault="0034760B" w:rsidP="001E4991">
      <w:pPr>
        <w:pStyle w:val="ListParagraph"/>
        <w:numPr>
          <w:ilvl w:val="0"/>
          <w:numId w:val="4"/>
        </w:numPr>
        <w:autoSpaceDE w:val="0"/>
        <w:autoSpaceDN w:val="0"/>
        <w:adjustRightInd w:val="0"/>
        <w:spacing w:after="0" w:line="240" w:lineRule="auto"/>
        <w:rPr>
          <w:rFonts w:cs="Calibri"/>
          <w:sz w:val="22"/>
          <w:lang w:val="en-GB"/>
        </w:rPr>
      </w:pPr>
      <w:r w:rsidRPr="00390912">
        <w:rPr>
          <w:rFonts w:cs="Calibri"/>
          <w:sz w:val="22"/>
          <w:lang w:val="en-GB"/>
        </w:rPr>
        <w:t>They have a domestic Council Tax band A to H (or equivalent);</w:t>
      </w:r>
    </w:p>
    <w:p w:rsidR="0034760B" w:rsidRPr="00390912" w:rsidRDefault="0034760B" w:rsidP="001E4991">
      <w:pPr>
        <w:pStyle w:val="ListParagraph"/>
        <w:numPr>
          <w:ilvl w:val="0"/>
          <w:numId w:val="4"/>
        </w:numPr>
        <w:autoSpaceDE w:val="0"/>
        <w:autoSpaceDN w:val="0"/>
        <w:adjustRightInd w:val="0"/>
        <w:spacing w:after="0" w:line="240" w:lineRule="auto"/>
        <w:rPr>
          <w:rFonts w:cs="Calibri"/>
          <w:sz w:val="22"/>
          <w:lang w:val="en-GB"/>
        </w:rPr>
      </w:pPr>
      <w:r w:rsidRPr="00390912">
        <w:rPr>
          <w:rFonts w:cs="Calibri"/>
          <w:sz w:val="22"/>
          <w:lang w:val="en-GB"/>
        </w:rPr>
        <w:t>They are used for private, residential purposes;</w:t>
      </w:r>
    </w:p>
    <w:p w:rsidR="0034760B" w:rsidRPr="00390912" w:rsidRDefault="0034760B" w:rsidP="001E4991">
      <w:pPr>
        <w:pStyle w:val="ListParagraph"/>
        <w:numPr>
          <w:ilvl w:val="0"/>
          <w:numId w:val="4"/>
        </w:numPr>
        <w:autoSpaceDE w:val="0"/>
        <w:autoSpaceDN w:val="0"/>
        <w:adjustRightInd w:val="0"/>
        <w:spacing w:after="0" w:line="240" w:lineRule="auto"/>
        <w:rPr>
          <w:rFonts w:cs="Calibri"/>
          <w:sz w:val="22"/>
          <w:lang w:val="en-GB"/>
        </w:rPr>
      </w:pPr>
      <w:r w:rsidRPr="00390912">
        <w:rPr>
          <w:rFonts w:cs="Calibri"/>
          <w:sz w:val="22"/>
          <w:lang w:val="en-GB"/>
        </w:rPr>
        <w:t>They are a single residential unit or a building comprising of two or three residential units;</w:t>
      </w:r>
    </w:p>
    <w:p w:rsidR="0034760B" w:rsidRPr="00390912" w:rsidRDefault="0034760B" w:rsidP="001E4991">
      <w:pPr>
        <w:pStyle w:val="ListParagraph"/>
        <w:numPr>
          <w:ilvl w:val="0"/>
          <w:numId w:val="4"/>
        </w:numPr>
        <w:autoSpaceDE w:val="0"/>
        <w:autoSpaceDN w:val="0"/>
        <w:adjustRightInd w:val="0"/>
        <w:spacing w:after="0" w:line="240" w:lineRule="auto"/>
        <w:rPr>
          <w:rFonts w:cs="Calibri"/>
          <w:sz w:val="22"/>
          <w:lang w:val="en-GB"/>
        </w:rPr>
      </w:pPr>
      <w:r w:rsidRPr="00390912">
        <w:rPr>
          <w:rFonts w:cs="Calibri"/>
          <w:sz w:val="22"/>
          <w:lang w:val="en-GB"/>
        </w:rPr>
        <w:t>They are insured on an individual basis or have an individual premium;</w:t>
      </w:r>
    </w:p>
    <w:p w:rsidR="0034760B" w:rsidRDefault="0034760B" w:rsidP="001E4991">
      <w:pPr>
        <w:pStyle w:val="ListParagraph"/>
        <w:numPr>
          <w:ilvl w:val="0"/>
          <w:numId w:val="4"/>
        </w:numPr>
        <w:autoSpaceDE w:val="0"/>
        <w:autoSpaceDN w:val="0"/>
        <w:adjustRightInd w:val="0"/>
        <w:spacing w:after="0" w:line="240" w:lineRule="auto"/>
        <w:rPr>
          <w:rFonts w:cs="Calibri"/>
          <w:sz w:val="22"/>
          <w:lang w:val="en-GB"/>
        </w:rPr>
      </w:pPr>
      <w:r w:rsidRPr="00390912">
        <w:rPr>
          <w:rFonts w:cs="Calibri"/>
          <w:sz w:val="22"/>
          <w:lang w:val="en-GB"/>
        </w:rPr>
        <w:t xml:space="preserve">They were built before 1st January 2009 (if a home is built before 1stJanuary 2009 but then demolished and rebuilt, the </w:t>
      </w:r>
      <w:r>
        <w:rPr>
          <w:rFonts w:cs="Calibri"/>
          <w:sz w:val="22"/>
          <w:lang w:val="en-GB"/>
        </w:rPr>
        <w:t>new home is still eligible).</w:t>
      </w:r>
    </w:p>
    <w:p w:rsidR="0034760B" w:rsidRDefault="0034760B" w:rsidP="001E4991">
      <w:pPr>
        <w:autoSpaceDE w:val="0"/>
        <w:autoSpaceDN w:val="0"/>
        <w:adjustRightInd w:val="0"/>
        <w:spacing w:after="0" w:line="240" w:lineRule="auto"/>
        <w:rPr>
          <w:rFonts w:cs="Calibri"/>
          <w:sz w:val="22"/>
          <w:lang w:val="en-GB"/>
        </w:rPr>
      </w:pPr>
    </w:p>
    <w:p w:rsidR="0034760B" w:rsidRDefault="0034760B" w:rsidP="001E4991">
      <w:pPr>
        <w:autoSpaceDE w:val="0"/>
        <w:autoSpaceDN w:val="0"/>
        <w:adjustRightInd w:val="0"/>
        <w:spacing w:after="0" w:line="240" w:lineRule="auto"/>
        <w:rPr>
          <w:rFonts w:cs="Calibri"/>
          <w:sz w:val="22"/>
          <w:lang w:val="en-GB"/>
        </w:rPr>
      </w:pPr>
      <w:r>
        <w:rPr>
          <w:rFonts w:cs="Calibri"/>
          <w:sz w:val="22"/>
          <w:lang w:val="en-GB"/>
        </w:rPr>
        <w:t xml:space="preserve">As is clear, </w:t>
      </w:r>
      <w:r w:rsidR="000E7D6F">
        <w:rPr>
          <w:rFonts w:cs="Calibri"/>
          <w:sz w:val="22"/>
          <w:lang w:val="en-GB"/>
        </w:rPr>
        <w:t xml:space="preserve">rented </w:t>
      </w:r>
      <w:r>
        <w:rPr>
          <w:rFonts w:cs="Calibri"/>
          <w:sz w:val="22"/>
          <w:lang w:val="en-GB"/>
        </w:rPr>
        <w:t>properties w</w:t>
      </w:r>
      <w:r w:rsidR="00111CBF">
        <w:rPr>
          <w:rFonts w:cs="Calibri"/>
          <w:sz w:val="22"/>
          <w:lang w:val="en-GB"/>
        </w:rPr>
        <w:t>here a landlord owns more than two or three</w:t>
      </w:r>
      <w:r>
        <w:rPr>
          <w:rFonts w:cs="Calibri"/>
          <w:sz w:val="22"/>
          <w:lang w:val="en-GB"/>
        </w:rPr>
        <w:t xml:space="preserve"> dwellings are not directl</w:t>
      </w:r>
      <w:r w:rsidR="00B02B46">
        <w:rPr>
          <w:rFonts w:cs="Calibri"/>
          <w:sz w:val="22"/>
          <w:lang w:val="en-GB"/>
        </w:rPr>
        <w:t xml:space="preserve">y eligible, although tenants can be eligible for inclusion in </w:t>
      </w:r>
      <w:r w:rsidR="000E7D6F">
        <w:rPr>
          <w:rFonts w:cs="Calibri"/>
          <w:sz w:val="22"/>
          <w:lang w:val="en-GB"/>
        </w:rPr>
        <w:t xml:space="preserve">Flood Re </w:t>
      </w:r>
      <w:r>
        <w:rPr>
          <w:rFonts w:cs="Calibri"/>
          <w:sz w:val="22"/>
          <w:lang w:val="en-GB"/>
        </w:rPr>
        <w:t xml:space="preserve">for </w:t>
      </w:r>
      <w:r w:rsidR="009860A3">
        <w:rPr>
          <w:rFonts w:cs="Calibri"/>
          <w:sz w:val="22"/>
          <w:lang w:val="en-GB"/>
        </w:rPr>
        <w:t xml:space="preserve">insuring </w:t>
      </w:r>
      <w:r>
        <w:rPr>
          <w:rFonts w:cs="Calibri"/>
          <w:sz w:val="22"/>
          <w:lang w:val="en-GB"/>
        </w:rPr>
        <w:t xml:space="preserve">the contents of their properties. The landlord is not </w:t>
      </w:r>
      <w:r w:rsidR="00FF3568">
        <w:rPr>
          <w:rFonts w:cs="Calibri"/>
          <w:sz w:val="22"/>
          <w:lang w:val="en-GB"/>
        </w:rPr>
        <w:t>generally</w:t>
      </w:r>
      <w:r w:rsidR="00DD3411">
        <w:rPr>
          <w:rFonts w:cs="Calibri"/>
          <w:sz w:val="22"/>
          <w:lang w:val="en-GB"/>
        </w:rPr>
        <w:t xml:space="preserve"> </w:t>
      </w:r>
      <w:r>
        <w:rPr>
          <w:rFonts w:cs="Calibri"/>
          <w:sz w:val="22"/>
          <w:lang w:val="en-GB"/>
        </w:rPr>
        <w:t xml:space="preserve">covered under </w:t>
      </w:r>
      <w:r w:rsidR="0056739C">
        <w:rPr>
          <w:rFonts w:cs="Calibri"/>
          <w:sz w:val="22"/>
          <w:lang w:val="en-GB"/>
        </w:rPr>
        <w:t>Flood Re for flood damage to their</w:t>
      </w:r>
      <w:r>
        <w:rPr>
          <w:rFonts w:cs="Calibri"/>
          <w:sz w:val="22"/>
          <w:lang w:val="en-GB"/>
        </w:rPr>
        <w:t xml:space="preserve"> property.</w:t>
      </w:r>
    </w:p>
    <w:p w:rsidR="0034760B" w:rsidRDefault="0034760B" w:rsidP="001E4991">
      <w:pPr>
        <w:autoSpaceDE w:val="0"/>
        <w:autoSpaceDN w:val="0"/>
        <w:adjustRightInd w:val="0"/>
        <w:spacing w:after="0" w:line="240" w:lineRule="auto"/>
        <w:rPr>
          <w:rFonts w:cs="Calibri"/>
          <w:sz w:val="22"/>
          <w:lang w:val="en-GB"/>
        </w:rPr>
      </w:pPr>
    </w:p>
    <w:p w:rsidR="0056739C" w:rsidRPr="0056739C" w:rsidRDefault="0034760B" w:rsidP="001E4991">
      <w:pPr>
        <w:spacing w:after="0" w:line="240" w:lineRule="auto"/>
        <w:rPr>
          <w:rFonts w:cs="Calibri"/>
          <w:sz w:val="22"/>
          <w:lang w:val="en-GB"/>
        </w:rPr>
      </w:pPr>
      <w:r>
        <w:rPr>
          <w:rFonts w:cs="Calibri"/>
          <w:sz w:val="22"/>
          <w:lang w:val="en-GB"/>
        </w:rPr>
        <w:lastRenderedPageBreak/>
        <w:t>Obviously, Flood Re’</w:t>
      </w:r>
      <w:r w:rsidR="00B02B46">
        <w:rPr>
          <w:rFonts w:cs="Calibri"/>
          <w:sz w:val="22"/>
          <w:lang w:val="en-GB"/>
        </w:rPr>
        <w:t>s</w:t>
      </w:r>
      <w:r w:rsidR="00920192">
        <w:rPr>
          <w:rFonts w:cs="Calibri"/>
          <w:sz w:val="22"/>
          <w:lang w:val="en-GB"/>
        </w:rPr>
        <w:t xml:space="preserve"> implementation is at an early stage, but initial results are not en</w:t>
      </w:r>
      <w:r w:rsidR="00B43506">
        <w:rPr>
          <w:rFonts w:cs="Calibri"/>
          <w:sz w:val="22"/>
          <w:lang w:val="en-GB"/>
        </w:rPr>
        <w:t>couraging for Scotland. Table 6 the</w:t>
      </w:r>
      <w:r w:rsidR="00920192">
        <w:rPr>
          <w:rFonts w:cs="Calibri"/>
          <w:sz w:val="22"/>
          <w:lang w:val="en-GB"/>
        </w:rPr>
        <w:t xml:space="preserve"> shows th</w:t>
      </w:r>
      <w:r w:rsidR="000E7D6F">
        <w:rPr>
          <w:rFonts w:cs="Calibri"/>
          <w:sz w:val="22"/>
          <w:lang w:val="en-GB"/>
        </w:rPr>
        <w:t>at the penetra</w:t>
      </w:r>
      <w:r w:rsidR="00B02B46">
        <w:rPr>
          <w:rFonts w:cs="Calibri"/>
          <w:sz w:val="22"/>
          <w:lang w:val="en-GB"/>
        </w:rPr>
        <w:t>tion of Flood Re</w:t>
      </w:r>
      <w:r w:rsidR="00920192">
        <w:rPr>
          <w:rFonts w:cs="Calibri"/>
          <w:sz w:val="22"/>
          <w:lang w:val="en-GB"/>
        </w:rPr>
        <w:t xml:space="preserve"> into Scot</w:t>
      </w:r>
      <w:r w:rsidR="000E7D6F">
        <w:rPr>
          <w:rFonts w:cs="Calibri"/>
          <w:sz w:val="22"/>
          <w:lang w:val="en-GB"/>
        </w:rPr>
        <w:t>land appears to lag</w:t>
      </w:r>
      <w:r w:rsidR="00920192">
        <w:rPr>
          <w:rFonts w:cs="Calibri"/>
          <w:sz w:val="22"/>
          <w:lang w:val="en-GB"/>
        </w:rPr>
        <w:t xml:space="preserve"> significantly behind other countries in the UK. This may reflect a lesser flooding risk in Scotland, although to suggest that the </w:t>
      </w:r>
      <w:r w:rsidR="0056739C">
        <w:rPr>
          <w:rFonts w:cs="Calibri"/>
          <w:sz w:val="22"/>
          <w:lang w:val="en-GB"/>
        </w:rPr>
        <w:t xml:space="preserve">overall </w:t>
      </w:r>
      <w:r w:rsidR="00920192">
        <w:rPr>
          <w:rFonts w:cs="Calibri"/>
          <w:sz w:val="22"/>
          <w:lang w:val="en-GB"/>
        </w:rPr>
        <w:t>floo</w:t>
      </w:r>
      <w:r w:rsidR="00B02B46">
        <w:rPr>
          <w:rFonts w:cs="Calibri"/>
          <w:sz w:val="22"/>
          <w:lang w:val="en-GB"/>
        </w:rPr>
        <w:t xml:space="preserve">d risk in Scotland is only some two-thirds </w:t>
      </w:r>
      <w:r w:rsidR="00920192">
        <w:rPr>
          <w:rFonts w:cs="Calibri"/>
          <w:sz w:val="22"/>
          <w:lang w:val="en-GB"/>
        </w:rPr>
        <w:t>that in the rest of the UK looks unlikely to be true</w:t>
      </w:r>
      <w:r w:rsidR="001805CE">
        <w:rPr>
          <w:rFonts w:cs="Calibri"/>
          <w:sz w:val="22"/>
          <w:lang w:val="en-GB"/>
        </w:rPr>
        <w:t xml:space="preserve"> (see Figure 1)</w:t>
      </w:r>
      <w:r w:rsidR="00920192">
        <w:rPr>
          <w:rFonts w:cs="Calibri"/>
          <w:sz w:val="22"/>
          <w:lang w:val="en-GB"/>
        </w:rPr>
        <w:t>.</w:t>
      </w:r>
      <w:r w:rsidR="0056739C">
        <w:rPr>
          <w:rFonts w:cs="Calibri"/>
          <w:sz w:val="22"/>
          <w:lang w:val="en-GB"/>
        </w:rPr>
        <w:t xml:space="preserve"> As indicated above, those householders who are without a flood insurance policy cannot be eligible for Flood Re’s subsidy</w:t>
      </w:r>
      <w:r w:rsidR="00A61E60">
        <w:rPr>
          <w:rFonts w:cs="Calibri"/>
          <w:sz w:val="22"/>
          <w:lang w:val="en-GB"/>
        </w:rPr>
        <w:t>.</w:t>
      </w:r>
      <w:r w:rsidR="0056739C">
        <w:rPr>
          <w:rFonts w:cs="Calibri"/>
          <w:sz w:val="22"/>
          <w:lang w:val="en-GB"/>
        </w:rPr>
        <w:t xml:space="preserve"> </w:t>
      </w:r>
      <w:r w:rsidR="00A61E60">
        <w:rPr>
          <w:rFonts w:cs="Calibri"/>
          <w:sz w:val="22"/>
          <w:lang w:val="en-GB"/>
        </w:rPr>
        <w:t>T</w:t>
      </w:r>
      <w:r w:rsidR="0056739C" w:rsidRPr="0056739C">
        <w:rPr>
          <w:rFonts w:cs="Calibri"/>
          <w:sz w:val="22"/>
          <w:lang w:val="en-GB"/>
        </w:rPr>
        <w:t xml:space="preserve">he Scottish Flood Forum has suggested that </w:t>
      </w:r>
      <w:r w:rsidR="00111CBF">
        <w:rPr>
          <w:rFonts w:cs="Calibri"/>
          <w:sz w:val="22"/>
          <w:lang w:val="en-GB"/>
        </w:rPr>
        <w:t xml:space="preserve">for </w:t>
      </w:r>
      <w:r w:rsidR="0056739C" w:rsidRPr="0056739C">
        <w:rPr>
          <w:rFonts w:cs="Calibri"/>
          <w:sz w:val="22"/>
          <w:lang w:val="en-GB"/>
        </w:rPr>
        <w:t>householders who have not purchased insurance for a number of years</w:t>
      </w:r>
      <w:r w:rsidR="00111CBF">
        <w:rPr>
          <w:rFonts w:cs="Calibri"/>
          <w:sz w:val="22"/>
          <w:lang w:val="en-GB"/>
        </w:rPr>
        <w:t xml:space="preserve"> i</w:t>
      </w:r>
      <w:r w:rsidR="0056739C" w:rsidRPr="0056739C">
        <w:rPr>
          <w:rFonts w:cs="Calibri"/>
          <w:sz w:val="22"/>
          <w:lang w:val="en-GB"/>
        </w:rPr>
        <w:t xml:space="preserve">t </w:t>
      </w:r>
      <w:r w:rsidR="0056739C">
        <w:rPr>
          <w:rFonts w:cs="Calibri"/>
          <w:sz w:val="22"/>
          <w:lang w:val="en-GB"/>
        </w:rPr>
        <w:t xml:space="preserve">is </w:t>
      </w:r>
      <w:r w:rsidR="0056739C" w:rsidRPr="0056739C">
        <w:rPr>
          <w:rFonts w:cs="Calibri"/>
          <w:sz w:val="22"/>
          <w:lang w:val="en-GB"/>
        </w:rPr>
        <w:t xml:space="preserve">not something they are </w:t>
      </w:r>
      <w:r w:rsidR="00111CBF">
        <w:rPr>
          <w:rFonts w:cs="Calibri"/>
          <w:sz w:val="22"/>
          <w:lang w:val="en-GB"/>
        </w:rPr>
        <w:t xml:space="preserve">any longer </w:t>
      </w:r>
      <w:r w:rsidR="0056739C" w:rsidRPr="0056739C">
        <w:rPr>
          <w:rFonts w:cs="Calibri"/>
          <w:sz w:val="22"/>
          <w:lang w:val="en-GB"/>
        </w:rPr>
        <w:t xml:space="preserve">considering, </w:t>
      </w:r>
      <w:r w:rsidR="0056739C">
        <w:rPr>
          <w:rFonts w:cs="Calibri"/>
          <w:sz w:val="22"/>
          <w:lang w:val="en-GB"/>
        </w:rPr>
        <w:t xml:space="preserve">and </w:t>
      </w:r>
      <w:r w:rsidR="0056739C" w:rsidRPr="0056739C">
        <w:rPr>
          <w:rFonts w:cs="Calibri"/>
          <w:sz w:val="22"/>
          <w:lang w:val="en-GB"/>
        </w:rPr>
        <w:t>therefore FloodRe also will not be perceived as helping (S</w:t>
      </w:r>
      <w:r w:rsidR="001805CE">
        <w:rPr>
          <w:rFonts w:cs="Calibri"/>
          <w:sz w:val="22"/>
          <w:lang w:val="en-GB"/>
        </w:rPr>
        <w:t xml:space="preserve">cottish </w:t>
      </w:r>
      <w:r w:rsidR="0056739C" w:rsidRPr="0056739C">
        <w:rPr>
          <w:rFonts w:cs="Calibri"/>
          <w:sz w:val="22"/>
          <w:lang w:val="en-GB"/>
        </w:rPr>
        <w:t>F</w:t>
      </w:r>
      <w:r w:rsidR="001805CE">
        <w:rPr>
          <w:rFonts w:cs="Calibri"/>
          <w:sz w:val="22"/>
          <w:lang w:val="en-GB"/>
        </w:rPr>
        <w:t>lood Forum</w:t>
      </w:r>
      <w:r w:rsidR="0056739C" w:rsidRPr="0056739C">
        <w:rPr>
          <w:rFonts w:cs="Calibri"/>
          <w:sz w:val="22"/>
          <w:lang w:val="en-GB"/>
        </w:rPr>
        <w:t xml:space="preserve">, 2018), indicating the scale of the problem of increasing flood insurance penetration, even if affordable cover is available. </w:t>
      </w:r>
    </w:p>
    <w:p w:rsidR="00875595" w:rsidRDefault="00875595" w:rsidP="001E4991">
      <w:pPr>
        <w:spacing w:after="0" w:line="240" w:lineRule="auto"/>
        <w:rPr>
          <w:rFonts w:cs="Calibri"/>
          <w:sz w:val="22"/>
          <w:lang w:val="en-GB"/>
        </w:rPr>
      </w:pPr>
    </w:p>
    <w:p w:rsidR="00875595" w:rsidRDefault="00920192" w:rsidP="001E4991">
      <w:pPr>
        <w:spacing w:after="0" w:line="240" w:lineRule="auto"/>
        <w:rPr>
          <w:rFonts w:cs="Calibri"/>
          <w:sz w:val="22"/>
          <w:lang w:val="en-GB"/>
        </w:rPr>
      </w:pPr>
      <w:r>
        <w:rPr>
          <w:rFonts w:cs="Calibri"/>
          <w:sz w:val="22"/>
          <w:lang w:val="en-GB"/>
        </w:rPr>
        <w:t>Clearly the situation needs monitoring closely, but it may be the case that the larger proportion of tenanted properties in Scotland means that F</w:t>
      </w:r>
      <w:r w:rsidR="000E7D6F">
        <w:rPr>
          <w:rFonts w:cs="Calibri"/>
          <w:sz w:val="22"/>
          <w:lang w:val="en-GB"/>
        </w:rPr>
        <w:t>lood Re</w:t>
      </w:r>
      <w:r>
        <w:rPr>
          <w:rFonts w:cs="Calibri"/>
          <w:sz w:val="22"/>
          <w:lang w:val="en-GB"/>
        </w:rPr>
        <w:t xml:space="preserve"> is less help for householders there than elsewhere. Also, of course we have seen that the penetration of flood insurance in Scotland is less than elsewhere, and if a property has no ins</w:t>
      </w:r>
      <w:r w:rsidR="00911A9B">
        <w:rPr>
          <w:rFonts w:cs="Calibri"/>
          <w:sz w:val="22"/>
          <w:lang w:val="en-GB"/>
        </w:rPr>
        <w:t xml:space="preserve">urance policy </w:t>
      </w:r>
      <w:r w:rsidR="000E7D6F">
        <w:rPr>
          <w:rFonts w:cs="Calibri"/>
          <w:sz w:val="22"/>
          <w:lang w:val="en-GB"/>
        </w:rPr>
        <w:t>–</w:t>
      </w:r>
      <w:r w:rsidR="00911A9B">
        <w:rPr>
          <w:rFonts w:cs="Calibri"/>
          <w:sz w:val="22"/>
          <w:lang w:val="en-GB"/>
        </w:rPr>
        <w:t xml:space="preserve"> </w:t>
      </w:r>
      <w:r w:rsidR="000E7D6F">
        <w:rPr>
          <w:rFonts w:cs="Calibri"/>
          <w:sz w:val="22"/>
          <w:lang w:val="en-GB"/>
        </w:rPr>
        <w:t xml:space="preserve">because </w:t>
      </w:r>
      <w:r w:rsidR="00911A9B">
        <w:rPr>
          <w:rFonts w:cs="Calibri"/>
          <w:sz w:val="22"/>
          <w:lang w:val="en-GB"/>
        </w:rPr>
        <w:t>its occupants are relatively deprived, financially - then F</w:t>
      </w:r>
      <w:r>
        <w:rPr>
          <w:rFonts w:cs="Calibri"/>
          <w:sz w:val="22"/>
          <w:lang w:val="en-GB"/>
        </w:rPr>
        <w:t xml:space="preserve">lood </w:t>
      </w:r>
      <w:r w:rsidR="00911A9B">
        <w:rPr>
          <w:rFonts w:cs="Calibri"/>
          <w:sz w:val="22"/>
          <w:lang w:val="en-GB"/>
        </w:rPr>
        <w:t>Re cannot help at all: the scheme only helps those to find affordable flood insurance if they</w:t>
      </w:r>
      <w:r w:rsidR="000E7D6F">
        <w:rPr>
          <w:rFonts w:cs="Calibri"/>
          <w:sz w:val="22"/>
          <w:lang w:val="en-GB"/>
        </w:rPr>
        <w:t xml:space="preserve"> perceive</w:t>
      </w:r>
      <w:r w:rsidR="00911A9B">
        <w:rPr>
          <w:rFonts w:cs="Calibri"/>
          <w:sz w:val="22"/>
          <w:lang w:val="en-GB"/>
        </w:rPr>
        <w:t xml:space="preserve"> can afford it in the first place.</w:t>
      </w:r>
      <w:r w:rsidR="00875595">
        <w:rPr>
          <w:rFonts w:cs="Calibri"/>
          <w:sz w:val="22"/>
          <w:lang w:val="en-GB"/>
        </w:rPr>
        <w:t xml:space="preserve"> </w:t>
      </w:r>
    </w:p>
    <w:p w:rsidR="001E4991" w:rsidRDefault="001E4991" w:rsidP="001E4991">
      <w:pPr>
        <w:pStyle w:val="Heading2"/>
        <w:spacing w:before="0" w:line="240" w:lineRule="auto"/>
        <w:rPr>
          <w:lang w:val="en-GB"/>
        </w:rPr>
      </w:pPr>
    </w:p>
    <w:p w:rsidR="00FA7973" w:rsidRPr="00FA7973" w:rsidRDefault="00FA7973" w:rsidP="001E4991">
      <w:pPr>
        <w:pStyle w:val="Heading2"/>
        <w:spacing w:before="0" w:line="240" w:lineRule="auto"/>
        <w:rPr>
          <w:lang w:val="en-GB"/>
        </w:rPr>
      </w:pPr>
      <w:r w:rsidRPr="00FA7973">
        <w:rPr>
          <w:lang w:val="en-GB"/>
        </w:rPr>
        <w:t>Conclusions</w:t>
      </w:r>
    </w:p>
    <w:p w:rsidR="001E4991" w:rsidRDefault="001E4991" w:rsidP="001E4991">
      <w:pPr>
        <w:spacing w:after="0" w:line="240" w:lineRule="auto"/>
        <w:rPr>
          <w:lang w:val="en-GB"/>
        </w:rPr>
      </w:pPr>
    </w:p>
    <w:p w:rsidR="00FA7973" w:rsidRDefault="00FA7973" w:rsidP="001E4991">
      <w:pPr>
        <w:spacing w:after="0" w:line="240" w:lineRule="auto"/>
        <w:rPr>
          <w:lang w:val="en-GB"/>
        </w:rPr>
      </w:pPr>
      <w:r w:rsidRPr="00FA7973">
        <w:rPr>
          <w:lang w:val="en-GB"/>
        </w:rPr>
        <w:t xml:space="preserve">This paper has presented a summary of the relationship between communities and flood insurance in Scotland, indicating that the penetration of this insurance for domestic properties into certain parts the population is unfortunately very low. </w:t>
      </w:r>
      <w:r>
        <w:rPr>
          <w:lang w:val="en-GB"/>
        </w:rPr>
        <w:t xml:space="preserve">The least protected of the population in this way is also the poorest. </w:t>
      </w:r>
    </w:p>
    <w:p w:rsidR="00C457D0" w:rsidRDefault="00C457D0" w:rsidP="001E4991">
      <w:pPr>
        <w:spacing w:after="0" w:line="240" w:lineRule="auto"/>
        <w:rPr>
          <w:lang w:val="en-GB"/>
        </w:rPr>
      </w:pPr>
    </w:p>
    <w:p w:rsidR="00FF3568" w:rsidRDefault="00C457D0" w:rsidP="001E4991">
      <w:pPr>
        <w:spacing w:after="0" w:line="240" w:lineRule="auto"/>
        <w:rPr>
          <w:lang w:val="en-GB"/>
        </w:rPr>
      </w:pPr>
      <w:r>
        <w:rPr>
          <w:lang w:val="en-GB"/>
        </w:rPr>
        <w:t xml:space="preserve">Returning to </w:t>
      </w:r>
      <w:r w:rsidR="00B41E09">
        <w:rPr>
          <w:lang w:val="en-GB"/>
        </w:rPr>
        <w:t xml:space="preserve">Arnell’s (2000) four criteria for the viability and hence the solvency </w:t>
      </w:r>
      <w:r>
        <w:rPr>
          <w:lang w:val="en-GB"/>
        </w:rPr>
        <w:t>of insurance schemes, we can see that the affordability criteria is not met for a large number of the potential insurers in Scotland. But</w:t>
      </w:r>
      <w:r w:rsidR="00B41E09">
        <w:rPr>
          <w:lang w:val="en-GB"/>
        </w:rPr>
        <w:t>, somewhat contradicting A</w:t>
      </w:r>
      <w:r>
        <w:rPr>
          <w:lang w:val="en-GB"/>
        </w:rPr>
        <w:t>rnell</w:t>
      </w:r>
      <w:r w:rsidR="00B41E09">
        <w:rPr>
          <w:lang w:val="en-GB"/>
        </w:rPr>
        <w:t>’s</w:t>
      </w:r>
      <w:r>
        <w:rPr>
          <w:lang w:val="en-GB"/>
        </w:rPr>
        <w:t xml:space="preserve"> suggestion</w:t>
      </w:r>
      <w:r w:rsidR="00B41E09">
        <w:rPr>
          <w:lang w:val="en-GB"/>
        </w:rPr>
        <w:t xml:space="preserve"> to the contrary</w:t>
      </w:r>
      <w:r>
        <w:rPr>
          <w:lang w:val="en-GB"/>
        </w:rPr>
        <w:t xml:space="preserve">, </w:t>
      </w:r>
      <w:r w:rsidR="003C6DE2">
        <w:rPr>
          <w:lang w:val="en-GB"/>
        </w:rPr>
        <w:t xml:space="preserve">this does not necessarily </w:t>
      </w:r>
      <w:r>
        <w:rPr>
          <w:lang w:val="en-GB"/>
        </w:rPr>
        <w:t>threate</w:t>
      </w:r>
      <w:r w:rsidR="00B41E09">
        <w:rPr>
          <w:lang w:val="en-GB"/>
        </w:rPr>
        <w:t>ned the solvency of the entire f</w:t>
      </w:r>
      <w:r>
        <w:rPr>
          <w:lang w:val="en-GB"/>
        </w:rPr>
        <w:t>lood insurance program</w:t>
      </w:r>
      <w:r w:rsidR="003C6DE2">
        <w:rPr>
          <w:lang w:val="en-GB"/>
        </w:rPr>
        <w:t>me</w:t>
      </w:r>
      <w:r>
        <w:rPr>
          <w:lang w:val="en-GB"/>
        </w:rPr>
        <w:t>. Th</w:t>
      </w:r>
      <w:r w:rsidR="001805CE">
        <w:rPr>
          <w:lang w:val="en-GB"/>
        </w:rPr>
        <w:t>is is because there is a very substantial</w:t>
      </w:r>
      <w:r>
        <w:rPr>
          <w:lang w:val="en-GB"/>
        </w:rPr>
        <w:t xml:space="preserve"> cross-subsidy </w:t>
      </w:r>
      <w:r w:rsidR="003C6DE2">
        <w:rPr>
          <w:lang w:val="en-GB"/>
        </w:rPr>
        <w:t>in</w:t>
      </w:r>
      <w:r w:rsidR="00B41E09">
        <w:rPr>
          <w:lang w:val="en-GB"/>
        </w:rPr>
        <w:t xml:space="preserve"> UK flood insurance</w:t>
      </w:r>
      <w:r w:rsidR="001805CE">
        <w:rPr>
          <w:lang w:val="en-GB"/>
        </w:rPr>
        <w:t xml:space="preserve"> (Penning-Rowsell, 2015)</w:t>
      </w:r>
      <w:r w:rsidR="00B41E09">
        <w:rPr>
          <w:lang w:val="en-GB"/>
        </w:rPr>
        <w:t xml:space="preserve">, including in Scotland, </w:t>
      </w:r>
      <w:r>
        <w:rPr>
          <w:lang w:val="en-GB"/>
        </w:rPr>
        <w:t xml:space="preserve">between those not at risk, who pay </w:t>
      </w:r>
      <w:r w:rsidR="001805CE">
        <w:rPr>
          <w:lang w:val="en-GB"/>
        </w:rPr>
        <w:t xml:space="preserve">the bundled policy </w:t>
      </w:r>
      <w:r>
        <w:rPr>
          <w:lang w:val="en-GB"/>
        </w:rPr>
        <w:t>premiums, to those at risk who make claims</w:t>
      </w:r>
      <w:r w:rsidR="001805CE">
        <w:rPr>
          <w:lang w:val="en-GB"/>
        </w:rPr>
        <w:t xml:space="preserve"> (Penning-Rowsell </w:t>
      </w:r>
      <w:r w:rsidR="001805CE" w:rsidRPr="00F40987">
        <w:rPr>
          <w:i/>
          <w:lang w:val="en-GB"/>
        </w:rPr>
        <w:t>et al</w:t>
      </w:r>
      <w:r w:rsidR="00E75301" w:rsidRPr="00F40987">
        <w:rPr>
          <w:i/>
          <w:lang w:val="en-GB"/>
        </w:rPr>
        <w:t>.</w:t>
      </w:r>
      <w:r w:rsidR="001805CE">
        <w:rPr>
          <w:lang w:val="en-GB"/>
        </w:rPr>
        <w:t>, 2014</w:t>
      </w:r>
      <w:r w:rsidR="00A23E4F">
        <w:rPr>
          <w:lang w:val="en-GB"/>
        </w:rPr>
        <w:t>)</w:t>
      </w:r>
      <w:r>
        <w:rPr>
          <w:lang w:val="en-GB"/>
        </w:rPr>
        <w:t>.</w:t>
      </w:r>
      <w:r w:rsidR="00B41E09">
        <w:rPr>
          <w:lang w:val="en-GB"/>
        </w:rPr>
        <w:t xml:space="preserve"> </w:t>
      </w:r>
    </w:p>
    <w:p w:rsidR="00FF3568" w:rsidRDefault="00FF3568" w:rsidP="001E4991">
      <w:pPr>
        <w:spacing w:after="0" w:line="240" w:lineRule="auto"/>
        <w:rPr>
          <w:lang w:val="en-GB"/>
        </w:rPr>
      </w:pPr>
    </w:p>
    <w:p w:rsidR="00C457D0" w:rsidRDefault="00B41E09" w:rsidP="001E4991">
      <w:pPr>
        <w:spacing w:after="0" w:line="240" w:lineRule="auto"/>
        <w:rPr>
          <w:lang w:val="en-GB"/>
        </w:rPr>
      </w:pPr>
      <w:r>
        <w:rPr>
          <w:lang w:val="en-GB"/>
        </w:rPr>
        <w:t>T</w:t>
      </w:r>
      <w:r w:rsidR="00C457D0">
        <w:rPr>
          <w:lang w:val="en-GB"/>
        </w:rPr>
        <w:t xml:space="preserve">his cross subsidy means that the portfolio as a whole </w:t>
      </w:r>
      <w:r w:rsidR="001805CE">
        <w:rPr>
          <w:lang w:val="en-GB"/>
        </w:rPr>
        <w:t>is likely to remain</w:t>
      </w:r>
      <w:r w:rsidR="00C457D0">
        <w:rPr>
          <w:lang w:val="en-GB"/>
        </w:rPr>
        <w:t xml:space="preserve"> profitable </w:t>
      </w:r>
      <w:r w:rsidR="00A23E4F">
        <w:rPr>
          <w:lang w:val="en-GB"/>
        </w:rPr>
        <w:t xml:space="preserve">and </w:t>
      </w:r>
      <w:r w:rsidR="001805CE">
        <w:rPr>
          <w:lang w:val="en-GB"/>
        </w:rPr>
        <w:t xml:space="preserve">the companies </w:t>
      </w:r>
      <w:r w:rsidR="00A23E4F">
        <w:rPr>
          <w:lang w:val="en-GB"/>
        </w:rPr>
        <w:t xml:space="preserve">solvent </w:t>
      </w:r>
      <w:r w:rsidR="00C457D0">
        <w:rPr>
          <w:lang w:val="en-GB"/>
        </w:rPr>
        <w:t xml:space="preserve">despite </w:t>
      </w:r>
      <w:r w:rsidR="00A23E4F">
        <w:rPr>
          <w:lang w:val="en-GB"/>
        </w:rPr>
        <w:t>more than one fifth o</w:t>
      </w:r>
      <w:r w:rsidR="00C457D0">
        <w:rPr>
          <w:lang w:val="en-GB"/>
        </w:rPr>
        <w:t xml:space="preserve">f </w:t>
      </w:r>
      <w:r>
        <w:rPr>
          <w:lang w:val="en-GB"/>
        </w:rPr>
        <w:t xml:space="preserve">the </w:t>
      </w:r>
      <w:r w:rsidR="00C457D0">
        <w:rPr>
          <w:lang w:val="en-GB"/>
        </w:rPr>
        <w:t>target population not participating.</w:t>
      </w:r>
      <w:r>
        <w:rPr>
          <w:lang w:val="en-GB"/>
        </w:rPr>
        <w:t xml:space="preserve"> We</w:t>
      </w:r>
      <w:r w:rsidR="00862A0A">
        <w:rPr>
          <w:lang w:val="en-GB"/>
        </w:rPr>
        <w:t xml:space="preserve"> therefore </w:t>
      </w:r>
      <w:r>
        <w:rPr>
          <w:lang w:val="en-GB"/>
        </w:rPr>
        <w:t xml:space="preserve">might </w:t>
      </w:r>
      <w:r w:rsidR="00A23E4F">
        <w:rPr>
          <w:lang w:val="en-GB"/>
        </w:rPr>
        <w:t>add a caveat to</w:t>
      </w:r>
      <w:r>
        <w:rPr>
          <w:lang w:val="en-GB"/>
        </w:rPr>
        <w:t xml:space="preserve"> A</w:t>
      </w:r>
      <w:r w:rsidR="00A23E4F">
        <w:rPr>
          <w:lang w:val="en-GB"/>
        </w:rPr>
        <w:t>rnell’s criterion</w:t>
      </w:r>
      <w:r w:rsidR="00862A0A">
        <w:rPr>
          <w:lang w:val="en-GB"/>
        </w:rPr>
        <w:t xml:space="preserve"> concerning affordability to include the possibility of such a</w:t>
      </w:r>
      <w:r w:rsidR="00A23E4F">
        <w:rPr>
          <w:lang w:val="en-GB"/>
        </w:rPr>
        <w:t xml:space="preserve"> such</w:t>
      </w:r>
      <w:r w:rsidR="001805CE">
        <w:rPr>
          <w:lang w:val="en-GB"/>
        </w:rPr>
        <w:t xml:space="preserve"> cross-</w:t>
      </w:r>
      <w:r w:rsidR="00862A0A">
        <w:rPr>
          <w:lang w:val="en-GB"/>
        </w:rPr>
        <w:t xml:space="preserve">subsidy ensuring the viability of the scheme as a whole, </w:t>
      </w:r>
      <w:r w:rsidR="00A23E4F">
        <w:rPr>
          <w:lang w:val="en-GB"/>
        </w:rPr>
        <w:t>notwithstanding that</w:t>
      </w:r>
      <w:r w:rsidR="004A5BDD">
        <w:rPr>
          <w:lang w:val="en-GB"/>
        </w:rPr>
        <w:t xml:space="preserve"> his</w:t>
      </w:r>
      <w:r>
        <w:rPr>
          <w:lang w:val="en-GB"/>
        </w:rPr>
        <w:t xml:space="preserve"> </w:t>
      </w:r>
      <w:r w:rsidR="00A23E4F">
        <w:rPr>
          <w:lang w:val="en-GB"/>
        </w:rPr>
        <w:t>criterion</w:t>
      </w:r>
      <w:r w:rsidR="00862A0A">
        <w:rPr>
          <w:lang w:val="en-GB"/>
        </w:rPr>
        <w:t xml:space="preserve"> </w:t>
      </w:r>
      <w:r w:rsidR="001805CE">
        <w:rPr>
          <w:lang w:val="en-GB"/>
        </w:rPr>
        <w:t>No.</w:t>
      </w:r>
      <w:r>
        <w:rPr>
          <w:lang w:val="en-GB"/>
        </w:rPr>
        <w:t xml:space="preserve"> 2, above, </w:t>
      </w:r>
      <w:r w:rsidR="00862A0A">
        <w:rPr>
          <w:lang w:val="en-GB"/>
        </w:rPr>
        <w:t>concerning the simultaneous arrival of claims</w:t>
      </w:r>
      <w:r>
        <w:rPr>
          <w:lang w:val="en-GB"/>
        </w:rPr>
        <w:t>,</w:t>
      </w:r>
      <w:r w:rsidR="00862A0A">
        <w:rPr>
          <w:lang w:val="en-GB"/>
        </w:rPr>
        <w:t xml:space="preserve"> remains unmet and a threat to the viability of all flood insurance programs. It is only mitigated, as</w:t>
      </w:r>
      <w:r w:rsidR="001805CE">
        <w:rPr>
          <w:lang w:val="en-GB"/>
        </w:rPr>
        <w:t xml:space="preserve"> is generally the case</w:t>
      </w:r>
      <w:r w:rsidR="00862A0A">
        <w:rPr>
          <w:lang w:val="en-GB"/>
        </w:rPr>
        <w:t xml:space="preserve"> in the UK, when insurance </w:t>
      </w:r>
      <w:r>
        <w:rPr>
          <w:lang w:val="en-GB"/>
        </w:rPr>
        <w:t xml:space="preserve">companies such as the </w:t>
      </w:r>
      <w:r w:rsidR="004A5BDD">
        <w:rPr>
          <w:lang w:val="en-GB"/>
        </w:rPr>
        <w:t xml:space="preserve">old </w:t>
      </w:r>
      <w:r>
        <w:rPr>
          <w:lang w:val="en-GB"/>
        </w:rPr>
        <w:t xml:space="preserve">Caledonian Insurance Company and their portfolio of perils </w:t>
      </w:r>
      <w:r w:rsidR="004A5BDD">
        <w:rPr>
          <w:lang w:val="en-GB"/>
        </w:rPr>
        <w:t>policy ensures that profits</w:t>
      </w:r>
      <w:r w:rsidR="00862A0A">
        <w:rPr>
          <w:lang w:val="en-GB"/>
        </w:rPr>
        <w:t xml:space="preserve"> in one area of</w:t>
      </w:r>
      <w:r>
        <w:rPr>
          <w:lang w:val="en-GB"/>
        </w:rPr>
        <w:t xml:space="preserve"> insurance (e.g. life; fir</w:t>
      </w:r>
      <w:r w:rsidR="00A23E4F">
        <w:rPr>
          <w:lang w:val="en-GB"/>
        </w:rPr>
        <w:t>e) can be</w:t>
      </w:r>
      <w:r w:rsidR="00862A0A">
        <w:rPr>
          <w:lang w:val="en-GB"/>
        </w:rPr>
        <w:t xml:space="preserve"> there to </w:t>
      </w:r>
      <w:r w:rsidR="00386356">
        <w:rPr>
          <w:lang w:val="en-GB"/>
        </w:rPr>
        <w:t>counter</w:t>
      </w:r>
      <w:r w:rsidR="00862A0A">
        <w:rPr>
          <w:lang w:val="en-GB"/>
        </w:rPr>
        <w:t xml:space="preserve">balance </w:t>
      </w:r>
      <w:r>
        <w:rPr>
          <w:lang w:val="en-GB"/>
        </w:rPr>
        <w:t xml:space="preserve">if necessary </w:t>
      </w:r>
      <w:r w:rsidR="00A23E4F">
        <w:rPr>
          <w:lang w:val="en-GB"/>
        </w:rPr>
        <w:t xml:space="preserve">any major losses on </w:t>
      </w:r>
      <w:r w:rsidR="00862A0A">
        <w:rPr>
          <w:lang w:val="en-GB"/>
        </w:rPr>
        <w:t xml:space="preserve">the flood component and ensure </w:t>
      </w:r>
      <w:r>
        <w:rPr>
          <w:lang w:val="en-GB"/>
        </w:rPr>
        <w:t xml:space="preserve">the </w:t>
      </w:r>
      <w:r w:rsidR="00862A0A">
        <w:rPr>
          <w:lang w:val="en-GB"/>
        </w:rPr>
        <w:t xml:space="preserve">viability </w:t>
      </w:r>
      <w:r>
        <w:rPr>
          <w:lang w:val="en-GB"/>
        </w:rPr>
        <w:t xml:space="preserve">of the whole </w:t>
      </w:r>
      <w:r w:rsidR="00694FF6">
        <w:rPr>
          <w:lang w:val="en-GB"/>
        </w:rPr>
        <w:t xml:space="preserve">portfolio </w:t>
      </w:r>
      <w:r w:rsidR="00862A0A">
        <w:rPr>
          <w:lang w:val="en-GB"/>
        </w:rPr>
        <w:t>through time.</w:t>
      </w:r>
    </w:p>
    <w:p w:rsidR="001E4991" w:rsidRDefault="001E4991" w:rsidP="001E4991">
      <w:pPr>
        <w:spacing w:after="0" w:line="240" w:lineRule="auto"/>
        <w:rPr>
          <w:lang w:val="en-GB"/>
        </w:rPr>
      </w:pPr>
    </w:p>
    <w:p w:rsidR="00FA7973" w:rsidRPr="00FA7973" w:rsidRDefault="00B41E09" w:rsidP="001E4991">
      <w:pPr>
        <w:spacing w:after="0" w:line="240" w:lineRule="auto"/>
        <w:rPr>
          <w:lang w:val="en-GB"/>
        </w:rPr>
      </w:pPr>
      <w:r>
        <w:rPr>
          <w:lang w:val="en-GB"/>
        </w:rPr>
        <w:t>Notwithstanding the above point about viability and solvency, the current situation with regard to flood insurance in Scotland leaves a</w:t>
      </w:r>
      <w:r w:rsidR="00FA7973" w:rsidRPr="00FA7973">
        <w:rPr>
          <w:lang w:val="en-GB"/>
        </w:rPr>
        <w:t xml:space="preserve"> </w:t>
      </w:r>
      <w:r>
        <w:rPr>
          <w:lang w:val="en-GB"/>
        </w:rPr>
        <w:t xml:space="preserve">large </w:t>
      </w:r>
      <w:r w:rsidR="00FA7973" w:rsidRPr="00FA7973">
        <w:rPr>
          <w:lang w:val="en-GB"/>
        </w:rPr>
        <w:t xml:space="preserve">segment of the Scottish population particularly vulnerable to </w:t>
      </w:r>
      <w:r w:rsidR="00386356">
        <w:rPr>
          <w:lang w:val="en-GB"/>
        </w:rPr>
        <w:t xml:space="preserve">current levels of </w:t>
      </w:r>
      <w:r w:rsidR="00FA7973" w:rsidRPr="00FA7973">
        <w:rPr>
          <w:lang w:val="en-GB"/>
        </w:rPr>
        <w:t>flood</w:t>
      </w:r>
      <w:r w:rsidR="00386356">
        <w:rPr>
          <w:lang w:val="en-GB"/>
        </w:rPr>
        <w:t xml:space="preserve"> risk</w:t>
      </w:r>
      <w:r w:rsidR="00FA7973" w:rsidRPr="00FA7973">
        <w:rPr>
          <w:lang w:val="en-GB"/>
        </w:rPr>
        <w:t xml:space="preserve"> and the damage that it causes</w:t>
      </w:r>
      <w:r>
        <w:rPr>
          <w:lang w:val="en-GB"/>
        </w:rPr>
        <w:t>,</w:t>
      </w:r>
      <w:r w:rsidR="00FA7973" w:rsidRPr="00FA7973">
        <w:rPr>
          <w:lang w:val="en-GB"/>
        </w:rPr>
        <w:t xml:space="preserve"> without the protection of the compensation from insurance that can lead to speedy recovery, other </w:t>
      </w:r>
      <w:r w:rsidR="00FA7973" w:rsidRPr="00FA7973">
        <w:rPr>
          <w:lang w:val="en-GB"/>
        </w:rPr>
        <w:lastRenderedPageBreak/>
        <w:t>things being equal. That accelerated recovery, other research shows (</w:t>
      </w:r>
      <w:r w:rsidR="001805CE">
        <w:rPr>
          <w:lang w:val="en-GB"/>
        </w:rPr>
        <w:t xml:space="preserve">Twigger-Ross, </w:t>
      </w:r>
      <w:r w:rsidR="001805CE" w:rsidRPr="00F40987">
        <w:rPr>
          <w:i/>
          <w:lang w:val="en-GB"/>
        </w:rPr>
        <w:t>et al</w:t>
      </w:r>
      <w:r w:rsidR="00E75301" w:rsidRPr="00F40987">
        <w:rPr>
          <w:i/>
          <w:lang w:val="en-GB"/>
        </w:rPr>
        <w:t>.</w:t>
      </w:r>
      <w:r w:rsidR="001805CE">
        <w:rPr>
          <w:lang w:val="en-GB"/>
        </w:rPr>
        <w:t>, 2014</w:t>
      </w:r>
      <w:r w:rsidR="00FA7973" w:rsidRPr="00FA7973">
        <w:rPr>
          <w:lang w:val="en-GB"/>
        </w:rPr>
        <w:t xml:space="preserve">), helps not </w:t>
      </w:r>
      <w:r w:rsidR="00A23E4F">
        <w:rPr>
          <w:lang w:val="en-GB"/>
        </w:rPr>
        <w:t>only</w:t>
      </w:r>
      <w:r w:rsidR="00FA7973" w:rsidRPr="00FA7973">
        <w:rPr>
          <w:lang w:val="en-GB"/>
        </w:rPr>
        <w:t xml:space="preserve"> to compensate those suffering financial losses but also acts to mitigate the anxieties and trauma caused by flooding that affects domestic properties and the families concerned.</w:t>
      </w:r>
    </w:p>
    <w:p w:rsidR="001E4991" w:rsidRDefault="001E4991" w:rsidP="001E4991">
      <w:pPr>
        <w:spacing w:after="0" w:line="240" w:lineRule="auto"/>
        <w:rPr>
          <w:lang w:val="en-GB"/>
        </w:rPr>
      </w:pPr>
    </w:p>
    <w:p w:rsidR="00FA7973" w:rsidRPr="00FA7973" w:rsidRDefault="00FA7973" w:rsidP="001E4991">
      <w:pPr>
        <w:spacing w:after="0" w:line="240" w:lineRule="auto"/>
        <w:rPr>
          <w:lang w:val="en-GB"/>
        </w:rPr>
      </w:pPr>
      <w:r w:rsidRPr="00FA7973">
        <w:rPr>
          <w:lang w:val="en-GB"/>
        </w:rPr>
        <w:t>Very few interventions to correct this situation of serious vulnerability will happen without local community involvement and support. The Scottish Flood Forum has a role in speaking for vi</w:t>
      </w:r>
      <w:r w:rsidR="001805CE">
        <w:rPr>
          <w:lang w:val="en-GB"/>
        </w:rPr>
        <w:t>ctims of flooding, at</w:t>
      </w:r>
      <w:r w:rsidRPr="00FA7973">
        <w:rPr>
          <w:lang w:val="en-GB"/>
        </w:rPr>
        <w:t xml:space="preserve"> a community level, and </w:t>
      </w:r>
      <w:r w:rsidR="001805CE">
        <w:rPr>
          <w:lang w:val="en-GB"/>
        </w:rPr>
        <w:t>accelerating their recovery</w:t>
      </w:r>
      <w:r w:rsidRPr="00FA7973">
        <w:rPr>
          <w:lang w:val="en-GB"/>
        </w:rPr>
        <w:t xml:space="preserve"> to some </w:t>
      </w:r>
      <w:r w:rsidR="001805CE">
        <w:rPr>
          <w:lang w:val="en-GB"/>
        </w:rPr>
        <w:t xml:space="preserve">pre-existing </w:t>
      </w:r>
      <w:r w:rsidRPr="00FA7973">
        <w:rPr>
          <w:lang w:val="en-GB"/>
        </w:rPr>
        <w:t>state of normality. With that experience, and drawing on the National Flood Forum (NFF) operating south of the border, some sug</w:t>
      </w:r>
      <w:r w:rsidR="001805CE">
        <w:rPr>
          <w:lang w:val="en-GB"/>
        </w:rPr>
        <w:t>gestions have been made (National Flood Forum</w:t>
      </w:r>
      <w:r w:rsidRPr="00FA7973">
        <w:rPr>
          <w:lang w:val="en-GB"/>
        </w:rPr>
        <w:t xml:space="preserve">, 2018) as to what might be done to increase insurance penetration, enhance the performance of other aspects of flood risk management in Scotland (and elsewhere), and thereby help the communities affected to avoid the perils that can affect </w:t>
      </w:r>
      <w:r w:rsidR="001805CE">
        <w:rPr>
          <w:lang w:val="en-GB"/>
        </w:rPr>
        <w:t xml:space="preserve">and damage </w:t>
      </w:r>
      <w:r w:rsidRPr="00FA7973">
        <w:rPr>
          <w:lang w:val="en-GB"/>
        </w:rPr>
        <w:t>their properties.</w:t>
      </w:r>
    </w:p>
    <w:p w:rsidR="001E4991" w:rsidRDefault="00FA7973" w:rsidP="001E4991">
      <w:pPr>
        <w:spacing w:after="0" w:line="240" w:lineRule="auto"/>
        <w:rPr>
          <w:lang w:val="en-GB"/>
        </w:rPr>
      </w:pPr>
      <w:r w:rsidRPr="00FA7973">
        <w:rPr>
          <w:lang w:val="en-GB"/>
        </w:rPr>
        <w:t xml:space="preserve"> </w:t>
      </w:r>
    </w:p>
    <w:p w:rsidR="00FA7973" w:rsidRPr="00FA7973" w:rsidRDefault="00FA7973" w:rsidP="001E4991">
      <w:pPr>
        <w:spacing w:after="0" w:line="240" w:lineRule="auto"/>
        <w:rPr>
          <w:lang w:val="en-GB"/>
        </w:rPr>
      </w:pPr>
      <w:r w:rsidRPr="00FA7973">
        <w:rPr>
          <w:lang w:val="en-GB"/>
        </w:rPr>
        <w:t>The possibilities have been listed as follows:</w:t>
      </w:r>
    </w:p>
    <w:p w:rsidR="00FA7973" w:rsidRPr="00FA7973" w:rsidRDefault="00FA7973" w:rsidP="001E4991">
      <w:pPr>
        <w:pStyle w:val="ListParagraph"/>
        <w:numPr>
          <w:ilvl w:val="0"/>
          <w:numId w:val="6"/>
        </w:numPr>
        <w:spacing w:after="0" w:line="240" w:lineRule="auto"/>
        <w:rPr>
          <w:lang w:val="en-GB"/>
        </w:rPr>
      </w:pPr>
      <w:r w:rsidRPr="00FA7973">
        <w:rPr>
          <w:lang w:val="en-GB"/>
        </w:rPr>
        <w:t>Targeting particular areas with advice and support – something the NFF/SFF are exploring</w:t>
      </w:r>
    </w:p>
    <w:p w:rsidR="00FA7973" w:rsidRPr="00FA7973" w:rsidRDefault="00FA7973" w:rsidP="001E4991">
      <w:pPr>
        <w:pStyle w:val="ListParagraph"/>
        <w:numPr>
          <w:ilvl w:val="0"/>
          <w:numId w:val="6"/>
        </w:numPr>
        <w:spacing w:after="0" w:line="240" w:lineRule="auto"/>
        <w:rPr>
          <w:lang w:val="en-GB"/>
        </w:rPr>
      </w:pPr>
      <w:r w:rsidRPr="00FA7973">
        <w:rPr>
          <w:lang w:val="en-GB"/>
        </w:rPr>
        <w:t>More group insurance schemes for social housing tenants</w:t>
      </w:r>
    </w:p>
    <w:p w:rsidR="00FA7973" w:rsidRPr="00FA7973" w:rsidRDefault="00FA7973" w:rsidP="001E4991">
      <w:pPr>
        <w:pStyle w:val="ListParagraph"/>
        <w:numPr>
          <w:ilvl w:val="0"/>
          <w:numId w:val="6"/>
        </w:numPr>
        <w:spacing w:after="0" w:line="240" w:lineRule="auto"/>
        <w:rPr>
          <w:lang w:val="en-GB"/>
        </w:rPr>
      </w:pPr>
      <w:r w:rsidRPr="00FA7973">
        <w:rPr>
          <w:lang w:val="en-GB"/>
        </w:rPr>
        <w:t>Tailored insurance schemes for low incomes</w:t>
      </w:r>
    </w:p>
    <w:p w:rsidR="00FA7973" w:rsidRPr="00F40987" w:rsidRDefault="00FA7973" w:rsidP="001E4991">
      <w:pPr>
        <w:pStyle w:val="ListParagraph"/>
        <w:numPr>
          <w:ilvl w:val="0"/>
          <w:numId w:val="6"/>
        </w:numPr>
        <w:spacing w:after="0" w:line="240" w:lineRule="auto"/>
        <w:rPr>
          <w:rFonts w:asciiTheme="minorHAnsi" w:hAnsiTheme="minorHAnsi"/>
          <w:szCs w:val="24"/>
          <w:lang w:val="en-GB"/>
        </w:rPr>
      </w:pPr>
      <w:r w:rsidRPr="00FA7973">
        <w:rPr>
          <w:lang w:val="en-GB"/>
        </w:rPr>
        <w:t>Use of non-</w:t>
      </w:r>
      <w:r w:rsidRPr="00F40987">
        <w:rPr>
          <w:rFonts w:asciiTheme="minorHAnsi" w:hAnsiTheme="minorHAnsi"/>
          <w:szCs w:val="24"/>
          <w:lang w:val="en-GB"/>
        </w:rPr>
        <w:t>parametric insurance</w:t>
      </w:r>
      <w:r w:rsidR="00EA6235" w:rsidRPr="00F40987">
        <w:rPr>
          <w:rFonts w:asciiTheme="minorHAnsi" w:hAnsiTheme="minorHAnsi"/>
          <w:szCs w:val="24"/>
          <w:lang w:val="en-GB"/>
        </w:rPr>
        <w:t xml:space="preserve"> (</w:t>
      </w:r>
      <w:r w:rsidR="00EA6235" w:rsidRPr="00F40987">
        <w:rPr>
          <w:rStyle w:val="ilfuvd"/>
          <w:rFonts w:asciiTheme="minorHAnsi" w:hAnsiTheme="minorHAnsi" w:cs="Arial"/>
          <w:color w:val="222222"/>
          <w:szCs w:val="24"/>
        </w:rPr>
        <w:t xml:space="preserve">insurance that does not indemnify the </w:t>
      </w:r>
      <w:r w:rsidR="00EA6235" w:rsidRPr="00F40987">
        <w:rPr>
          <w:rStyle w:val="ilfuvd"/>
          <w:rFonts w:asciiTheme="minorHAnsi" w:hAnsiTheme="minorHAnsi" w:cs="Arial"/>
          <w:b/>
          <w:bCs/>
          <w:color w:val="222222"/>
          <w:szCs w:val="24"/>
        </w:rPr>
        <w:t>pure</w:t>
      </w:r>
      <w:r w:rsidR="00EA6235" w:rsidRPr="00F40987">
        <w:rPr>
          <w:rStyle w:val="ilfuvd"/>
          <w:rFonts w:asciiTheme="minorHAnsi" w:hAnsiTheme="minorHAnsi" w:cs="Arial"/>
          <w:color w:val="222222"/>
          <w:szCs w:val="24"/>
        </w:rPr>
        <w:t xml:space="preserve"> loss, but </w:t>
      </w:r>
      <w:r w:rsidR="00EA6235" w:rsidRPr="00F40987">
        <w:rPr>
          <w:rStyle w:val="ilfuvd"/>
          <w:rFonts w:asciiTheme="minorHAnsi" w:hAnsiTheme="minorHAnsi" w:cs="Arial"/>
          <w:i/>
          <w:color w:val="222222"/>
          <w:szCs w:val="24"/>
        </w:rPr>
        <w:t>ex ante</w:t>
      </w:r>
      <w:r w:rsidR="00EA6235" w:rsidRPr="00F40987">
        <w:rPr>
          <w:rStyle w:val="ilfuvd"/>
          <w:rFonts w:asciiTheme="minorHAnsi" w:hAnsiTheme="minorHAnsi" w:cs="Arial"/>
          <w:color w:val="222222"/>
          <w:szCs w:val="24"/>
        </w:rPr>
        <w:t xml:space="preserve"> agrees to make a payment upon the occurrence of a triggering event)</w:t>
      </w:r>
    </w:p>
    <w:p w:rsidR="00FA7973" w:rsidRPr="00FA7973" w:rsidRDefault="00FA7973" w:rsidP="001E4991">
      <w:pPr>
        <w:pStyle w:val="ListParagraph"/>
        <w:numPr>
          <w:ilvl w:val="0"/>
          <w:numId w:val="6"/>
        </w:numPr>
        <w:spacing w:after="0" w:line="240" w:lineRule="auto"/>
        <w:rPr>
          <w:lang w:val="en-GB"/>
        </w:rPr>
      </w:pPr>
      <w:r w:rsidRPr="00FA7973">
        <w:rPr>
          <w:lang w:val="en-GB"/>
        </w:rPr>
        <w:t>Use of local intermediaries for specific cultural groups</w:t>
      </w:r>
    </w:p>
    <w:p w:rsidR="00FA7973" w:rsidRPr="00FA7973" w:rsidRDefault="00FA7973" w:rsidP="001E4991">
      <w:pPr>
        <w:pStyle w:val="ListParagraph"/>
        <w:numPr>
          <w:ilvl w:val="0"/>
          <w:numId w:val="6"/>
        </w:numPr>
        <w:spacing w:after="0" w:line="240" w:lineRule="auto"/>
        <w:rPr>
          <w:lang w:val="en-GB"/>
        </w:rPr>
      </w:pPr>
      <w:r w:rsidRPr="00FA7973">
        <w:rPr>
          <w:lang w:val="en-GB"/>
        </w:rPr>
        <w:t>Multi-annual agreements</w:t>
      </w:r>
      <w:r>
        <w:rPr>
          <w:lang w:val="en-GB"/>
        </w:rPr>
        <w:t xml:space="preserve"> </w:t>
      </w:r>
    </w:p>
    <w:p w:rsidR="00FA7973" w:rsidRPr="00FA7973" w:rsidRDefault="00FA7973" w:rsidP="001E4991">
      <w:pPr>
        <w:pStyle w:val="ListParagraph"/>
        <w:numPr>
          <w:ilvl w:val="0"/>
          <w:numId w:val="6"/>
        </w:numPr>
        <w:spacing w:after="0" w:line="240" w:lineRule="auto"/>
        <w:rPr>
          <w:lang w:val="en-GB"/>
        </w:rPr>
      </w:pPr>
      <w:r w:rsidRPr="00FA7973">
        <w:rPr>
          <w:lang w:val="en-GB"/>
        </w:rPr>
        <w:t>Better targeting of FRM interventions, drainage management and highways, linked to better data provision to the insurance industry (i.e. that includes non-capital schemes and descriptors of residual risk).  This is especially an issue around surface water risk</w:t>
      </w:r>
    </w:p>
    <w:p w:rsidR="00FA7973" w:rsidRPr="00FA7973" w:rsidRDefault="00FA7973" w:rsidP="001E4991">
      <w:pPr>
        <w:pStyle w:val="ListParagraph"/>
        <w:numPr>
          <w:ilvl w:val="0"/>
          <w:numId w:val="6"/>
        </w:numPr>
        <w:spacing w:after="0" w:line="240" w:lineRule="auto"/>
        <w:rPr>
          <w:lang w:val="en-GB"/>
        </w:rPr>
      </w:pPr>
      <w:r w:rsidRPr="00FA7973">
        <w:rPr>
          <w:lang w:val="en-GB"/>
        </w:rPr>
        <w:t>Better and more strategic local coordination of FRM</w:t>
      </w:r>
    </w:p>
    <w:p w:rsidR="00FA7973" w:rsidRDefault="00FA7973" w:rsidP="001E4991">
      <w:pPr>
        <w:pStyle w:val="ListParagraph"/>
        <w:numPr>
          <w:ilvl w:val="0"/>
          <w:numId w:val="6"/>
        </w:numPr>
        <w:spacing w:after="0" w:line="240" w:lineRule="auto"/>
        <w:rPr>
          <w:lang w:val="en-GB"/>
        </w:rPr>
      </w:pPr>
      <w:r w:rsidRPr="00FA7973">
        <w:rPr>
          <w:lang w:val="en-GB"/>
        </w:rPr>
        <w:t>Better sharing of data between the insurance industry and the public sector in ways that encourage strategic collaboration</w:t>
      </w:r>
    </w:p>
    <w:p w:rsidR="00FA7973" w:rsidRPr="00FA7973" w:rsidRDefault="00FA7973" w:rsidP="001E4991">
      <w:pPr>
        <w:pStyle w:val="ListParagraph"/>
        <w:spacing w:after="0" w:line="240" w:lineRule="auto"/>
        <w:ind w:left="1080"/>
        <w:rPr>
          <w:lang w:val="en-GB"/>
        </w:rPr>
      </w:pPr>
    </w:p>
    <w:p w:rsidR="00FA7973" w:rsidRPr="00FA7973" w:rsidRDefault="00FA7973" w:rsidP="001E4991">
      <w:pPr>
        <w:spacing w:after="0" w:line="240" w:lineRule="auto"/>
        <w:rPr>
          <w:lang w:val="en-GB"/>
        </w:rPr>
      </w:pPr>
      <w:r w:rsidRPr="00FA7973">
        <w:rPr>
          <w:lang w:val="en-GB"/>
        </w:rPr>
        <w:t>Clearly this involves major tasks, and will not be accomplished quickly</w:t>
      </w:r>
      <w:r w:rsidR="00EA6235">
        <w:rPr>
          <w:lang w:val="en-GB"/>
        </w:rPr>
        <w:t>; many barriers are in the way of significant progress</w:t>
      </w:r>
      <w:r w:rsidRPr="00FA7973">
        <w:rPr>
          <w:lang w:val="en-GB"/>
        </w:rPr>
        <w:t xml:space="preserve">. </w:t>
      </w:r>
      <w:r w:rsidR="007B6A4B">
        <w:rPr>
          <w:lang w:val="en-GB"/>
        </w:rPr>
        <w:t>Fo</w:t>
      </w:r>
      <w:r w:rsidR="00EA6235">
        <w:rPr>
          <w:lang w:val="en-GB"/>
        </w:rPr>
        <w:t>r</w:t>
      </w:r>
      <w:r w:rsidR="007B6A4B">
        <w:rPr>
          <w:lang w:val="en-GB"/>
        </w:rPr>
        <w:t xml:space="preserve"> example, the sharing of data by insurance companies is beset with problems of co</w:t>
      </w:r>
      <w:r w:rsidR="00EA6235">
        <w:rPr>
          <w:lang w:val="en-GB"/>
        </w:rPr>
        <w:t>m</w:t>
      </w:r>
      <w:r w:rsidR="007B6A4B">
        <w:rPr>
          <w:lang w:val="en-GB"/>
        </w:rPr>
        <w:t xml:space="preserve">mercial sensitivity, real or imagined. </w:t>
      </w:r>
      <w:r w:rsidR="00EA6235">
        <w:rPr>
          <w:lang w:val="en-GB"/>
        </w:rPr>
        <w:t>Nevertheless, t</w:t>
      </w:r>
      <w:r w:rsidRPr="00FA7973">
        <w:rPr>
          <w:lang w:val="en-GB"/>
        </w:rPr>
        <w:t xml:space="preserve">hose responsible for managing flood risk in Scotland need to consider these and their alternatives. The role of government is crucial here, because much cannot be done without state cooperation or involvement so that the population that it serves is better protected from </w:t>
      </w:r>
      <w:r w:rsidR="00694FF6">
        <w:rPr>
          <w:lang w:val="en-GB"/>
        </w:rPr>
        <w:t xml:space="preserve">current </w:t>
      </w:r>
      <w:r w:rsidRPr="00FA7973">
        <w:rPr>
          <w:lang w:val="en-GB"/>
        </w:rPr>
        <w:t>flood</w:t>
      </w:r>
      <w:r w:rsidR="00694FF6">
        <w:rPr>
          <w:lang w:val="en-GB"/>
        </w:rPr>
        <w:t xml:space="preserve"> risk</w:t>
      </w:r>
      <w:r w:rsidR="00A23E4F">
        <w:rPr>
          <w:lang w:val="en-GB"/>
        </w:rPr>
        <w:t>s</w:t>
      </w:r>
      <w:r w:rsidRPr="00FA7973">
        <w:rPr>
          <w:lang w:val="en-GB"/>
        </w:rPr>
        <w:t>. This is particularly the case as this risk of flooding is likely to rise with climate change, and the at-risk</w:t>
      </w:r>
      <w:r w:rsidR="00A23E4F">
        <w:rPr>
          <w:lang w:val="en-GB"/>
        </w:rPr>
        <w:t xml:space="preserve">’s vulnerability is heightened </w:t>
      </w:r>
      <w:r w:rsidRPr="00FA7973">
        <w:rPr>
          <w:lang w:val="en-GB"/>
        </w:rPr>
        <w:t xml:space="preserve">as Flood Re discontinues its </w:t>
      </w:r>
      <w:r w:rsidR="00694FF6">
        <w:rPr>
          <w:lang w:val="en-GB"/>
        </w:rPr>
        <w:t xml:space="preserve">time-limited </w:t>
      </w:r>
      <w:r w:rsidRPr="00FA7973">
        <w:rPr>
          <w:lang w:val="en-GB"/>
        </w:rPr>
        <w:t xml:space="preserve">subsidy for the most vulnerable properties when flood insurance moves towards </w:t>
      </w:r>
      <w:r w:rsidR="00694FF6">
        <w:rPr>
          <w:lang w:val="en-GB"/>
        </w:rPr>
        <w:t xml:space="preserve">full </w:t>
      </w:r>
      <w:r w:rsidRPr="00FA7973">
        <w:rPr>
          <w:lang w:val="en-GB"/>
        </w:rPr>
        <w:t>risk-reflective pricing after 2039.</w:t>
      </w:r>
      <w:r w:rsidR="00386356">
        <w:rPr>
          <w:lang w:val="en-GB"/>
        </w:rPr>
        <w:t xml:space="preserve"> But e</w:t>
      </w:r>
      <w:r w:rsidR="00694FF6">
        <w:rPr>
          <w:lang w:val="en-GB"/>
        </w:rPr>
        <w:t xml:space="preserve">ven before such </w:t>
      </w:r>
      <w:r w:rsidR="00386356">
        <w:rPr>
          <w:lang w:val="en-GB"/>
        </w:rPr>
        <w:t>increas</w:t>
      </w:r>
      <w:r w:rsidR="00694FF6">
        <w:rPr>
          <w:lang w:val="en-GB"/>
        </w:rPr>
        <w:t xml:space="preserve">es in risk and vulnerability </w:t>
      </w:r>
      <w:r w:rsidRPr="00FA7973">
        <w:rPr>
          <w:lang w:val="en-GB"/>
        </w:rPr>
        <w:t>the status quo in Scotland is surely a cause for serious concern.</w:t>
      </w:r>
    </w:p>
    <w:p w:rsidR="001E4991" w:rsidRDefault="001E4991" w:rsidP="001E4991">
      <w:pPr>
        <w:pStyle w:val="Heading2"/>
        <w:spacing w:before="0" w:line="240" w:lineRule="auto"/>
        <w:rPr>
          <w:lang w:val="en-GB"/>
        </w:rPr>
      </w:pPr>
    </w:p>
    <w:p w:rsidR="00975B15" w:rsidRDefault="00975B15" w:rsidP="00C2184D">
      <w:pPr>
        <w:pStyle w:val="Heading2"/>
        <w:spacing w:before="0" w:line="240" w:lineRule="auto"/>
        <w:rPr>
          <w:lang w:val="en-GB"/>
        </w:rPr>
      </w:pPr>
      <w:r>
        <w:rPr>
          <w:lang w:val="en-GB"/>
        </w:rPr>
        <w:t>References</w:t>
      </w:r>
    </w:p>
    <w:p w:rsidR="001E4991" w:rsidRPr="001E4991" w:rsidRDefault="001E4991" w:rsidP="00C2184D">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FF3568" w:rsidRPr="00AF0B1C" w:rsidTr="00C2184D">
        <w:tc>
          <w:tcPr>
            <w:tcW w:w="9242" w:type="dxa"/>
          </w:tcPr>
          <w:p w:rsidR="00FF3568" w:rsidRPr="00C2184D" w:rsidRDefault="00FF3568" w:rsidP="00C2184D">
            <w:pPr>
              <w:pStyle w:val="ListParagraph"/>
              <w:numPr>
                <w:ilvl w:val="0"/>
                <w:numId w:val="11"/>
              </w:numPr>
              <w:spacing w:after="0" w:line="240" w:lineRule="auto"/>
              <w:rPr>
                <w:rFonts w:asciiTheme="minorHAnsi" w:hAnsiTheme="minorHAnsi"/>
                <w:szCs w:val="24"/>
                <w:lang w:val="en-GB"/>
              </w:rPr>
            </w:pPr>
            <w:r w:rsidRPr="00C2184D">
              <w:rPr>
                <w:rFonts w:asciiTheme="minorHAnsi" w:hAnsiTheme="minorHAnsi"/>
                <w:szCs w:val="24"/>
                <w:lang w:val="en-GB"/>
              </w:rPr>
              <w:lastRenderedPageBreak/>
              <w:t>ABI (Association of British Insurers) (2016) https://www.abi.org.uk/Insurance-and-savings/Topics-and-issues/Flood-Re/Flood-Re-explained</w:t>
            </w:r>
          </w:p>
        </w:tc>
      </w:tr>
      <w:tr w:rsidR="007E1676" w:rsidRPr="00AF0B1C" w:rsidTr="00C2184D">
        <w:tc>
          <w:tcPr>
            <w:tcW w:w="9242" w:type="dxa"/>
          </w:tcPr>
          <w:p w:rsidR="007E1676" w:rsidRPr="00C2184D" w:rsidRDefault="007E1676" w:rsidP="007E1676">
            <w:pPr>
              <w:pStyle w:val="ListParagraph"/>
              <w:numPr>
                <w:ilvl w:val="0"/>
                <w:numId w:val="11"/>
              </w:numPr>
              <w:spacing w:after="0" w:line="240" w:lineRule="auto"/>
              <w:rPr>
                <w:rFonts w:asciiTheme="minorHAnsi" w:hAnsiTheme="minorHAnsi"/>
                <w:szCs w:val="24"/>
                <w:lang w:val="en-GB"/>
              </w:rPr>
            </w:pPr>
            <w:r>
              <w:t xml:space="preserve">Aiton, A. (2015). </w:t>
            </w:r>
            <w:r w:rsidRPr="007E1676">
              <w:rPr>
                <w:i/>
              </w:rPr>
              <w:t>Earnings in Scotland 2015</w:t>
            </w:r>
            <w:r>
              <w:t>. Edinburgh, SPICe The Information Centre.</w:t>
            </w:r>
          </w:p>
        </w:tc>
      </w:tr>
      <w:tr w:rsidR="00FF3568" w:rsidRPr="00AF0B1C" w:rsidTr="00C2184D">
        <w:tc>
          <w:tcPr>
            <w:tcW w:w="9242" w:type="dxa"/>
          </w:tcPr>
          <w:p w:rsidR="00FF3568" w:rsidRPr="00C2184D" w:rsidRDefault="00FF3568" w:rsidP="00C2184D">
            <w:pPr>
              <w:pStyle w:val="ListParagraph"/>
              <w:numPr>
                <w:ilvl w:val="0"/>
                <w:numId w:val="11"/>
              </w:numPr>
              <w:spacing w:after="0" w:line="240" w:lineRule="auto"/>
              <w:rPr>
                <w:rFonts w:asciiTheme="minorHAnsi" w:hAnsiTheme="minorHAnsi"/>
                <w:szCs w:val="24"/>
                <w:lang w:val="en-GB"/>
              </w:rPr>
            </w:pPr>
            <w:r w:rsidRPr="00C2184D">
              <w:rPr>
                <w:rFonts w:asciiTheme="minorHAnsi" w:hAnsiTheme="minorHAnsi"/>
                <w:szCs w:val="24"/>
                <w:lang w:val="en-GB"/>
              </w:rPr>
              <w:t xml:space="preserve">Arnell, N. 2000. ‘Flood Insurance’, In: Parker D J (ed.) </w:t>
            </w:r>
            <w:r w:rsidRPr="00C2184D">
              <w:rPr>
                <w:rFonts w:asciiTheme="minorHAnsi" w:hAnsiTheme="minorHAnsi"/>
                <w:i/>
                <w:iCs/>
                <w:szCs w:val="24"/>
                <w:lang w:val="en-GB"/>
              </w:rPr>
              <w:t>Floods</w:t>
            </w:r>
            <w:r w:rsidRPr="00C2184D">
              <w:rPr>
                <w:rFonts w:asciiTheme="minorHAnsi" w:hAnsiTheme="minorHAnsi"/>
                <w:szCs w:val="24"/>
                <w:lang w:val="en-GB"/>
              </w:rPr>
              <w:t xml:space="preserve">, Chapter 27, 412-424, Routledge, </w:t>
            </w:r>
            <w:proofErr w:type="gramStart"/>
            <w:r w:rsidRPr="00C2184D">
              <w:rPr>
                <w:rFonts w:asciiTheme="minorHAnsi" w:hAnsiTheme="minorHAnsi"/>
                <w:szCs w:val="24"/>
                <w:lang w:val="en-GB"/>
              </w:rPr>
              <w:t>London</w:t>
            </w:r>
            <w:proofErr w:type="gramEnd"/>
            <w:r w:rsidRPr="00C2184D">
              <w:rPr>
                <w:rFonts w:asciiTheme="minorHAnsi" w:hAnsiTheme="minorHAnsi"/>
                <w:szCs w:val="24"/>
                <w:lang w:val="en-GB"/>
              </w:rPr>
              <w:t xml:space="preserve">. </w:t>
            </w:r>
          </w:p>
        </w:tc>
      </w:tr>
      <w:tr w:rsidR="00FF3568" w:rsidRPr="00AF0B1C" w:rsidTr="00C2184D">
        <w:tc>
          <w:tcPr>
            <w:tcW w:w="9242" w:type="dxa"/>
          </w:tcPr>
          <w:p w:rsidR="00AA0E55" w:rsidRPr="00F40987" w:rsidRDefault="00AA0E55" w:rsidP="00F40987">
            <w:pPr>
              <w:pStyle w:val="PlainText"/>
              <w:numPr>
                <w:ilvl w:val="0"/>
                <w:numId w:val="11"/>
              </w:numPr>
              <w:rPr>
                <w:rFonts w:asciiTheme="minorHAnsi" w:hAnsiTheme="minorHAnsi"/>
                <w:sz w:val="24"/>
                <w:szCs w:val="24"/>
              </w:rPr>
            </w:pPr>
            <w:r w:rsidRPr="00F40987">
              <w:rPr>
                <w:rFonts w:asciiTheme="minorHAnsi" w:hAnsiTheme="minorHAnsi"/>
                <w:sz w:val="24"/>
                <w:szCs w:val="24"/>
              </w:rPr>
              <w:t>Ball T</w:t>
            </w:r>
            <w:r>
              <w:rPr>
                <w:rFonts w:asciiTheme="minorHAnsi" w:hAnsiTheme="minorHAnsi"/>
                <w:sz w:val="24"/>
                <w:szCs w:val="24"/>
                <w:lang w:val="en-GB"/>
              </w:rPr>
              <w:t>.</w:t>
            </w:r>
            <w:r w:rsidRPr="00F40987">
              <w:rPr>
                <w:rFonts w:asciiTheme="minorHAnsi" w:hAnsiTheme="minorHAnsi"/>
                <w:sz w:val="24"/>
                <w:szCs w:val="24"/>
              </w:rPr>
              <w:t>, Werritty</w:t>
            </w:r>
            <w:r>
              <w:rPr>
                <w:rFonts w:asciiTheme="minorHAnsi" w:hAnsiTheme="minorHAnsi"/>
                <w:sz w:val="24"/>
                <w:szCs w:val="24"/>
                <w:lang w:val="en-GB"/>
              </w:rPr>
              <w:t>,</w:t>
            </w:r>
            <w:r w:rsidRPr="00F40987">
              <w:rPr>
                <w:rFonts w:asciiTheme="minorHAnsi" w:hAnsiTheme="minorHAnsi"/>
                <w:sz w:val="24"/>
                <w:szCs w:val="24"/>
              </w:rPr>
              <w:t xml:space="preserve"> A</w:t>
            </w:r>
            <w:r>
              <w:rPr>
                <w:rFonts w:asciiTheme="minorHAnsi" w:hAnsiTheme="minorHAnsi"/>
                <w:sz w:val="24"/>
                <w:szCs w:val="24"/>
                <w:lang w:val="en-GB"/>
              </w:rPr>
              <w:t>.</w:t>
            </w:r>
            <w:r>
              <w:rPr>
                <w:rFonts w:asciiTheme="minorHAnsi" w:hAnsiTheme="minorHAnsi"/>
                <w:sz w:val="24"/>
                <w:szCs w:val="24"/>
              </w:rPr>
              <w:t xml:space="preserve"> </w:t>
            </w:r>
            <w:proofErr w:type="gramStart"/>
            <w:r>
              <w:rPr>
                <w:rFonts w:asciiTheme="minorHAnsi" w:hAnsiTheme="minorHAnsi"/>
                <w:sz w:val="24"/>
                <w:szCs w:val="24"/>
                <w:lang w:val="en-GB"/>
              </w:rPr>
              <w:t>a</w:t>
            </w:r>
            <w:proofErr w:type="spellStart"/>
            <w:r w:rsidRPr="00F40987">
              <w:rPr>
                <w:rFonts w:asciiTheme="minorHAnsi" w:hAnsiTheme="minorHAnsi"/>
                <w:sz w:val="24"/>
                <w:szCs w:val="24"/>
              </w:rPr>
              <w:t>nd</w:t>
            </w:r>
            <w:proofErr w:type="spellEnd"/>
            <w:proofErr w:type="gramEnd"/>
            <w:r w:rsidRPr="00F40987">
              <w:rPr>
                <w:rFonts w:asciiTheme="minorHAnsi" w:hAnsiTheme="minorHAnsi"/>
                <w:sz w:val="24"/>
                <w:szCs w:val="24"/>
              </w:rPr>
              <w:t xml:space="preserve"> Geddes</w:t>
            </w:r>
            <w:r>
              <w:rPr>
                <w:rFonts w:asciiTheme="minorHAnsi" w:hAnsiTheme="minorHAnsi"/>
                <w:sz w:val="24"/>
                <w:szCs w:val="24"/>
                <w:lang w:val="en-GB"/>
              </w:rPr>
              <w:t>,</w:t>
            </w:r>
            <w:r w:rsidRPr="00F40987">
              <w:rPr>
                <w:rFonts w:asciiTheme="minorHAnsi" w:hAnsiTheme="minorHAnsi"/>
                <w:sz w:val="24"/>
                <w:szCs w:val="24"/>
              </w:rPr>
              <w:t xml:space="preserve"> A</w:t>
            </w:r>
            <w:r>
              <w:rPr>
                <w:rFonts w:asciiTheme="minorHAnsi" w:hAnsiTheme="minorHAnsi"/>
                <w:sz w:val="24"/>
                <w:szCs w:val="24"/>
                <w:lang w:val="en-GB"/>
              </w:rPr>
              <w:t>.</w:t>
            </w:r>
            <w:r w:rsidRPr="00F40987">
              <w:rPr>
                <w:rFonts w:asciiTheme="minorHAnsi" w:hAnsiTheme="minorHAnsi"/>
                <w:sz w:val="24"/>
                <w:szCs w:val="24"/>
              </w:rPr>
              <w:t xml:space="preserve"> (2013)</w:t>
            </w:r>
            <w:r>
              <w:rPr>
                <w:rFonts w:asciiTheme="minorHAnsi" w:hAnsiTheme="minorHAnsi"/>
                <w:sz w:val="24"/>
                <w:szCs w:val="24"/>
                <w:lang w:val="en-GB"/>
              </w:rPr>
              <w:t>.</w:t>
            </w:r>
            <w:r w:rsidRPr="00F40987">
              <w:rPr>
                <w:rFonts w:asciiTheme="minorHAnsi" w:hAnsiTheme="minorHAnsi"/>
                <w:sz w:val="24"/>
                <w:szCs w:val="24"/>
              </w:rPr>
              <w:t xml:space="preserve"> Insurance and sustainability in flood risk management: the UK in a transitional state, </w:t>
            </w:r>
            <w:r w:rsidRPr="00F40987">
              <w:rPr>
                <w:rFonts w:asciiTheme="minorHAnsi" w:hAnsiTheme="minorHAnsi"/>
                <w:i/>
                <w:sz w:val="24"/>
                <w:szCs w:val="24"/>
              </w:rPr>
              <w:t xml:space="preserve">Area </w:t>
            </w:r>
            <w:r w:rsidRPr="00F40987">
              <w:rPr>
                <w:rFonts w:asciiTheme="minorHAnsi" w:hAnsiTheme="minorHAnsi"/>
                <w:sz w:val="24"/>
                <w:szCs w:val="24"/>
              </w:rPr>
              <w:t>45(3) 266-272.</w:t>
            </w:r>
          </w:p>
          <w:p w:rsidR="00FF3568" w:rsidRPr="00C2184D" w:rsidRDefault="00FF3568" w:rsidP="00C2184D">
            <w:pPr>
              <w:pStyle w:val="ListParagraph"/>
              <w:numPr>
                <w:ilvl w:val="0"/>
                <w:numId w:val="11"/>
              </w:numPr>
              <w:spacing w:after="0" w:line="240" w:lineRule="auto"/>
              <w:rPr>
                <w:rFonts w:asciiTheme="minorHAnsi" w:hAnsiTheme="minorHAnsi"/>
                <w:szCs w:val="24"/>
                <w:lang w:val="en-GB"/>
              </w:rPr>
            </w:pPr>
            <w:r w:rsidRPr="00C2184D">
              <w:rPr>
                <w:rFonts w:asciiTheme="minorHAnsi" w:hAnsiTheme="minorHAnsi"/>
                <w:szCs w:val="24"/>
                <w:lang w:val="en-GB"/>
              </w:rPr>
              <w:t xml:space="preserve">Caledonian Insurance Company (2017). </w:t>
            </w:r>
            <w:r w:rsidRPr="00C2184D">
              <w:rPr>
                <w:rFonts w:asciiTheme="minorHAnsi" w:hAnsiTheme="minorHAnsi"/>
                <w:i/>
                <w:szCs w:val="24"/>
                <w:lang w:val="en-GB"/>
              </w:rPr>
              <w:t>History of a Hundred years 1805 to 1905</w:t>
            </w:r>
            <w:r w:rsidRPr="00C2184D">
              <w:rPr>
                <w:rFonts w:asciiTheme="minorHAnsi" w:hAnsiTheme="minorHAnsi"/>
                <w:szCs w:val="24"/>
                <w:lang w:val="en-GB"/>
              </w:rPr>
              <w:t>. London: Forgotten Books.</w:t>
            </w:r>
          </w:p>
        </w:tc>
      </w:tr>
      <w:tr w:rsidR="00FF3568" w:rsidRPr="00AF0B1C" w:rsidTr="00C2184D">
        <w:tc>
          <w:tcPr>
            <w:tcW w:w="9242" w:type="dxa"/>
          </w:tcPr>
          <w:p w:rsidR="00FF3568" w:rsidRPr="00C2184D" w:rsidRDefault="00FF3568" w:rsidP="00C2184D">
            <w:pPr>
              <w:pStyle w:val="ListParagraph"/>
              <w:numPr>
                <w:ilvl w:val="0"/>
                <w:numId w:val="11"/>
              </w:numPr>
              <w:autoSpaceDE w:val="0"/>
              <w:autoSpaceDN w:val="0"/>
              <w:adjustRightInd w:val="0"/>
              <w:spacing w:after="0" w:line="240" w:lineRule="auto"/>
              <w:rPr>
                <w:rFonts w:asciiTheme="minorHAnsi" w:hAnsiTheme="minorHAnsi"/>
                <w:szCs w:val="24"/>
                <w:lang w:val="en-GB"/>
              </w:rPr>
            </w:pPr>
            <w:r w:rsidRPr="00C2184D">
              <w:rPr>
                <w:rFonts w:asciiTheme="minorHAnsi" w:hAnsiTheme="minorHAnsi" w:cs="LpqgypAdvTT3713a231"/>
                <w:color w:val="131413"/>
                <w:szCs w:val="24"/>
                <w:lang w:val="en-GB"/>
              </w:rPr>
              <w:t>Department for Environment, Food and Rural Affairs (Defra) (2013b) Securing the future of flood insurance: an introductory guide. Defra, London</w:t>
            </w:r>
            <w:r w:rsidR="004E571F" w:rsidRPr="00C2184D">
              <w:rPr>
                <w:rFonts w:asciiTheme="minorHAnsi" w:hAnsiTheme="minorHAnsi" w:cs="LpqgypAdvTT3713a231"/>
                <w:color w:val="131413"/>
                <w:szCs w:val="24"/>
                <w:lang w:val="en-GB"/>
              </w:rPr>
              <w:t>.</w:t>
            </w:r>
            <w:r w:rsidRPr="00C2184D">
              <w:rPr>
                <w:rFonts w:asciiTheme="minorHAnsi" w:hAnsiTheme="minorHAnsi" w:cs="LpqgypAdvTT3713a231"/>
                <w:color w:val="131413"/>
                <w:szCs w:val="24"/>
                <w:lang w:val="en-GB"/>
              </w:rPr>
              <w:t xml:space="preserve"> </w:t>
            </w:r>
          </w:p>
        </w:tc>
      </w:tr>
      <w:tr w:rsidR="00FF3568" w:rsidRPr="00AF0B1C" w:rsidTr="00C2184D">
        <w:tc>
          <w:tcPr>
            <w:tcW w:w="9242" w:type="dxa"/>
          </w:tcPr>
          <w:p w:rsidR="00FF3568" w:rsidRPr="00F40987" w:rsidRDefault="00FF3568">
            <w:pPr>
              <w:pStyle w:val="ListParagraph"/>
              <w:numPr>
                <w:ilvl w:val="0"/>
                <w:numId w:val="11"/>
              </w:numPr>
              <w:autoSpaceDE w:val="0"/>
              <w:autoSpaceDN w:val="0"/>
              <w:adjustRightInd w:val="0"/>
              <w:spacing w:after="0" w:line="240" w:lineRule="auto"/>
              <w:rPr>
                <w:rFonts w:asciiTheme="minorHAnsi" w:hAnsiTheme="minorHAnsi" w:cs="LpqgypAdvTT3713a231"/>
                <w:color w:val="131413"/>
                <w:szCs w:val="24"/>
                <w:lang w:val="en-GB"/>
              </w:rPr>
            </w:pPr>
            <w:r w:rsidRPr="00B32C5C">
              <w:rPr>
                <w:rFonts w:asciiTheme="minorHAnsi" w:hAnsiTheme="minorHAnsi" w:cs="Arial"/>
                <w:szCs w:val="24"/>
              </w:rPr>
              <w:t>Department for Environment, Food and Rural Affairs (Defra, 2014</w:t>
            </w:r>
            <w:r w:rsidRPr="00B32C5C">
              <w:rPr>
                <w:rFonts w:asciiTheme="minorHAnsi" w:hAnsiTheme="minorHAnsi" w:cs="Arial"/>
                <w:i/>
                <w:szCs w:val="24"/>
              </w:rPr>
              <w:t>). A Short Guide to Flood Re</w:t>
            </w:r>
            <w:r w:rsidRPr="00B32C5C">
              <w:rPr>
                <w:rFonts w:asciiTheme="minorHAnsi" w:hAnsiTheme="minorHAnsi" w:cs="Arial"/>
                <w:szCs w:val="24"/>
              </w:rPr>
              <w:t xml:space="preserve">. London: Defra. </w:t>
            </w:r>
          </w:p>
          <w:p w:rsidR="00B32C5C" w:rsidRPr="00B32C5C" w:rsidRDefault="00B32C5C" w:rsidP="00F40987">
            <w:pPr>
              <w:pStyle w:val="ListParagraph"/>
              <w:numPr>
                <w:ilvl w:val="0"/>
                <w:numId w:val="11"/>
              </w:numPr>
              <w:autoSpaceDE w:val="0"/>
              <w:autoSpaceDN w:val="0"/>
              <w:adjustRightInd w:val="0"/>
              <w:spacing w:after="0" w:line="240" w:lineRule="auto"/>
              <w:rPr>
                <w:rFonts w:asciiTheme="minorHAnsi" w:hAnsiTheme="minorHAnsi" w:cs="LpqgypAdvTT3713a231"/>
                <w:color w:val="131413"/>
                <w:szCs w:val="24"/>
                <w:lang w:val="en-GB"/>
              </w:rPr>
            </w:pPr>
            <w:r w:rsidRPr="00F40987">
              <w:rPr>
                <w:rFonts w:asciiTheme="minorHAnsi" w:hAnsiTheme="minorHAnsi" w:cs="AdvTimes"/>
                <w:szCs w:val="24"/>
                <w:lang w:val="en-GB"/>
              </w:rPr>
              <w:t>Evans, E.P., Ashley, R., Hall, J.W., Penning-Rowsell, E.C., Saul, A., Sayers, P.B</w:t>
            </w:r>
            <w:r w:rsidR="002C2749">
              <w:rPr>
                <w:rFonts w:asciiTheme="minorHAnsi" w:hAnsiTheme="minorHAnsi" w:cs="AdvTimes"/>
                <w:szCs w:val="24"/>
                <w:lang w:val="en-GB"/>
              </w:rPr>
              <w:t>., Thorne, C.R., Watkinson, A. (</w:t>
            </w:r>
            <w:r w:rsidRPr="00F40987">
              <w:rPr>
                <w:rFonts w:asciiTheme="minorHAnsi" w:hAnsiTheme="minorHAnsi" w:cs="AdvTimes"/>
                <w:szCs w:val="24"/>
                <w:lang w:val="en-GB"/>
              </w:rPr>
              <w:t>2004</w:t>
            </w:r>
            <w:r w:rsidR="002C2749">
              <w:rPr>
                <w:rFonts w:asciiTheme="minorHAnsi" w:hAnsiTheme="minorHAnsi" w:cs="AdvTimes"/>
                <w:szCs w:val="24"/>
                <w:lang w:val="en-GB"/>
              </w:rPr>
              <w:t>)</w:t>
            </w:r>
            <w:r w:rsidRPr="00F40987">
              <w:rPr>
                <w:rFonts w:asciiTheme="minorHAnsi" w:hAnsiTheme="minorHAnsi" w:cs="AdvTimes"/>
                <w:szCs w:val="24"/>
                <w:lang w:val="en-GB"/>
              </w:rPr>
              <w:t xml:space="preserve">. </w:t>
            </w:r>
            <w:r w:rsidRPr="00F40987">
              <w:rPr>
                <w:rFonts w:asciiTheme="minorHAnsi" w:hAnsiTheme="minorHAnsi" w:cs="AdvTimes"/>
                <w:i/>
                <w:szCs w:val="24"/>
                <w:lang w:val="en-GB"/>
              </w:rPr>
              <w:t>Foresight Future</w:t>
            </w:r>
            <w:r>
              <w:rPr>
                <w:rFonts w:asciiTheme="minorHAnsi" w:hAnsiTheme="minorHAnsi" w:cs="AdvTimes"/>
                <w:i/>
                <w:szCs w:val="24"/>
                <w:lang w:val="en-GB"/>
              </w:rPr>
              <w:t xml:space="preserve"> </w:t>
            </w:r>
            <w:r w:rsidRPr="00F40987">
              <w:rPr>
                <w:rFonts w:asciiTheme="minorHAnsi" w:hAnsiTheme="minorHAnsi" w:cs="AdvTimes"/>
                <w:i/>
                <w:szCs w:val="24"/>
                <w:lang w:val="en-GB"/>
              </w:rPr>
              <w:t>Flooding, Scientific Summary: vol. 1: Future risks and Their Drivers.</w:t>
            </w:r>
            <w:r w:rsidR="000A43F0" w:rsidRPr="00F40987">
              <w:rPr>
                <w:rFonts w:asciiTheme="minorHAnsi" w:hAnsiTheme="minorHAnsi" w:cs="AdvTimes"/>
                <w:szCs w:val="24"/>
                <w:lang w:val="en-GB"/>
              </w:rPr>
              <w:t xml:space="preserve"> London, </w:t>
            </w:r>
            <w:r w:rsidRPr="00F40987">
              <w:rPr>
                <w:rFonts w:asciiTheme="minorHAnsi" w:hAnsiTheme="minorHAnsi" w:cs="AdvTimes"/>
                <w:szCs w:val="24"/>
                <w:lang w:val="en-GB"/>
              </w:rPr>
              <w:t>Office of Science and Technology.</w:t>
            </w:r>
          </w:p>
        </w:tc>
      </w:tr>
      <w:tr w:rsidR="00FF3568" w:rsidRPr="00AF0B1C" w:rsidTr="00C2184D">
        <w:tc>
          <w:tcPr>
            <w:tcW w:w="9242" w:type="dxa"/>
          </w:tcPr>
          <w:p w:rsidR="00FF3568" w:rsidRPr="00C2184D" w:rsidRDefault="00FF3568" w:rsidP="00F40987">
            <w:pPr>
              <w:pStyle w:val="ListParagraph"/>
              <w:numPr>
                <w:ilvl w:val="0"/>
                <w:numId w:val="11"/>
              </w:numPr>
              <w:autoSpaceDE w:val="0"/>
              <w:autoSpaceDN w:val="0"/>
              <w:adjustRightInd w:val="0"/>
              <w:spacing w:after="0" w:line="240" w:lineRule="auto"/>
              <w:rPr>
                <w:rFonts w:asciiTheme="minorHAnsi" w:hAnsiTheme="minorHAnsi" w:cs="Calibri"/>
                <w:szCs w:val="24"/>
                <w:lang w:val="en-GB"/>
              </w:rPr>
            </w:pPr>
            <w:r w:rsidRPr="00C2184D">
              <w:rPr>
                <w:rFonts w:asciiTheme="minorHAnsi" w:hAnsiTheme="minorHAnsi" w:cs="Calibri"/>
                <w:szCs w:val="24"/>
                <w:lang w:val="en-GB"/>
              </w:rPr>
              <w:t xml:space="preserve">Flood Re (2018). </w:t>
            </w:r>
            <w:r w:rsidRPr="00C2184D">
              <w:rPr>
                <w:rFonts w:asciiTheme="minorHAnsi" w:hAnsiTheme="minorHAnsi" w:cs="Calibri"/>
                <w:i/>
                <w:szCs w:val="24"/>
                <w:lang w:val="en-GB"/>
              </w:rPr>
              <w:t>Flood Re – How it works.</w:t>
            </w:r>
            <w:r w:rsidRPr="00C2184D">
              <w:rPr>
                <w:rFonts w:asciiTheme="minorHAnsi" w:hAnsiTheme="minorHAnsi" w:cs="Calibri"/>
                <w:szCs w:val="24"/>
                <w:lang w:val="en-GB"/>
              </w:rPr>
              <w:t xml:space="preserve"> </w:t>
            </w:r>
            <w:hyperlink r:id="rId9" w:history="1">
              <w:r w:rsidRPr="00C2184D">
                <w:rPr>
                  <w:rStyle w:val="Hyperlink"/>
                  <w:rFonts w:asciiTheme="minorHAnsi" w:hAnsiTheme="minorHAnsi" w:cs="Calibri"/>
                  <w:szCs w:val="24"/>
                  <w:lang w:val="en-GB"/>
                </w:rPr>
                <w:t>https://www.floodre.co.uk/industry/how-it-works/eligibility/</w:t>
              </w:r>
            </w:hyperlink>
            <w:r w:rsidRPr="00C2184D">
              <w:rPr>
                <w:rFonts w:asciiTheme="minorHAnsi" w:hAnsiTheme="minorHAnsi" w:cs="Calibri"/>
                <w:szCs w:val="24"/>
                <w:lang w:val="en-GB"/>
              </w:rPr>
              <w:t xml:space="preserve"> Accessed 31.1.2018</w:t>
            </w:r>
          </w:p>
        </w:tc>
      </w:tr>
      <w:tr w:rsidR="00FF3568" w:rsidRPr="00AF0B1C" w:rsidTr="00C2184D">
        <w:tc>
          <w:tcPr>
            <w:tcW w:w="9242" w:type="dxa"/>
          </w:tcPr>
          <w:p w:rsidR="00FF3568" w:rsidRPr="00C2184D" w:rsidRDefault="00FF3568" w:rsidP="00F40987">
            <w:pPr>
              <w:pStyle w:val="ListParagraph"/>
              <w:numPr>
                <w:ilvl w:val="0"/>
                <w:numId w:val="11"/>
              </w:numPr>
              <w:autoSpaceDE w:val="0"/>
              <w:autoSpaceDN w:val="0"/>
              <w:adjustRightInd w:val="0"/>
              <w:spacing w:after="0" w:line="240" w:lineRule="auto"/>
              <w:rPr>
                <w:rFonts w:asciiTheme="minorHAnsi" w:hAnsiTheme="minorHAnsi" w:cs="Calibri"/>
                <w:szCs w:val="24"/>
                <w:lang w:val="en-GB"/>
              </w:rPr>
            </w:pPr>
            <w:r w:rsidRPr="00C2184D">
              <w:rPr>
                <w:rFonts w:asciiTheme="minorHAnsi" w:hAnsiTheme="minorHAnsi" w:cs="Calibri"/>
                <w:szCs w:val="24"/>
                <w:lang w:val="en-GB"/>
              </w:rPr>
              <w:t xml:space="preserve">Kazmierczak, A., Cavan, G., Connelly, A. and Lindley, S. (2015). </w:t>
            </w:r>
            <w:r w:rsidRPr="00C2184D">
              <w:rPr>
                <w:rFonts w:asciiTheme="minorHAnsi" w:hAnsiTheme="minorHAnsi" w:cs="Calibri-Bold"/>
                <w:bCs/>
                <w:i/>
                <w:szCs w:val="24"/>
                <w:lang w:val="en-GB"/>
              </w:rPr>
              <w:t>Mapping Flood Disadvantage in Scotland 2015</w:t>
            </w:r>
            <w:r w:rsidRPr="00C2184D">
              <w:rPr>
                <w:rFonts w:asciiTheme="minorHAnsi" w:hAnsiTheme="minorHAnsi" w:cs="Calibri-Bold"/>
                <w:bCs/>
                <w:szCs w:val="24"/>
                <w:lang w:val="en-GB"/>
              </w:rPr>
              <w:t>.</w:t>
            </w:r>
            <w:r w:rsidR="004E571F" w:rsidRPr="00C2184D">
              <w:rPr>
                <w:rFonts w:asciiTheme="minorHAnsi" w:hAnsiTheme="minorHAnsi" w:cs="Calibri-Bold"/>
                <w:bCs/>
                <w:szCs w:val="24"/>
                <w:lang w:val="en-GB"/>
              </w:rPr>
              <w:t xml:space="preserve"> Edinburgh, </w:t>
            </w:r>
            <w:proofErr w:type="gramStart"/>
            <w:r w:rsidRPr="00C2184D">
              <w:rPr>
                <w:rFonts w:asciiTheme="minorHAnsi" w:hAnsiTheme="minorHAnsi" w:cs="Calibri"/>
                <w:szCs w:val="24"/>
                <w:lang w:val="en-GB"/>
              </w:rPr>
              <w:t>The</w:t>
            </w:r>
            <w:proofErr w:type="gramEnd"/>
            <w:r w:rsidRPr="00C2184D">
              <w:rPr>
                <w:rFonts w:asciiTheme="minorHAnsi" w:hAnsiTheme="minorHAnsi" w:cs="Calibri"/>
                <w:szCs w:val="24"/>
                <w:lang w:val="en-GB"/>
              </w:rPr>
              <w:t xml:space="preserve"> Scottish Government.</w:t>
            </w:r>
          </w:p>
        </w:tc>
      </w:tr>
      <w:tr w:rsidR="00FF3568" w:rsidRPr="00AF0B1C" w:rsidTr="00C2184D">
        <w:tc>
          <w:tcPr>
            <w:tcW w:w="9242" w:type="dxa"/>
          </w:tcPr>
          <w:p w:rsidR="00FF3568" w:rsidRPr="00AF0B1C" w:rsidRDefault="00FF3568" w:rsidP="00F40987">
            <w:pPr>
              <w:pStyle w:val="Default"/>
              <w:numPr>
                <w:ilvl w:val="0"/>
                <w:numId w:val="11"/>
              </w:numPr>
              <w:rPr>
                <w:rFonts w:asciiTheme="minorHAnsi" w:eastAsia="Times New Roman" w:hAnsiTheme="minorHAnsi"/>
                <w:lang w:eastAsia="en-GB"/>
              </w:rPr>
            </w:pPr>
            <w:r w:rsidRPr="00AF0B1C">
              <w:rPr>
                <w:rFonts w:asciiTheme="minorHAnsi" w:hAnsiTheme="minorHAnsi"/>
              </w:rPr>
              <w:t>Kehoe</w:t>
            </w:r>
            <w:r w:rsidRPr="00AF0B1C">
              <w:rPr>
                <w:rFonts w:asciiTheme="minorHAnsi" w:eastAsia="Times New Roman" w:hAnsiTheme="minorHAnsi"/>
                <w:lang w:eastAsia="en-GB"/>
              </w:rPr>
              <w:t>, D. (2017</w:t>
            </w:r>
            <w:proofErr w:type="gramStart"/>
            <w:r w:rsidRPr="00AF0B1C">
              <w:rPr>
                <w:rFonts w:asciiTheme="minorHAnsi" w:eastAsia="Times New Roman" w:hAnsiTheme="minorHAnsi"/>
                <w:lang w:eastAsia="en-GB"/>
              </w:rPr>
              <w:t xml:space="preserve">) </w:t>
            </w:r>
            <w:r w:rsidRPr="00AF0B1C">
              <w:rPr>
                <w:rFonts w:asciiTheme="minorHAnsi" w:eastAsia="Times New Roman" w:hAnsiTheme="minorHAnsi"/>
                <w:i/>
                <w:lang w:eastAsia="en-GB"/>
              </w:rPr>
              <w:t xml:space="preserve"> </w:t>
            </w:r>
            <w:r w:rsidRPr="00AF0B1C">
              <w:rPr>
                <w:rFonts w:asciiTheme="minorHAnsi" w:hAnsiTheme="minorHAnsi" w:cs="Times New Roman"/>
                <w:bCs/>
                <w:i/>
                <w:color w:val="auto"/>
              </w:rPr>
              <w:t>Flood</w:t>
            </w:r>
            <w:proofErr w:type="gramEnd"/>
            <w:r w:rsidRPr="00AF0B1C">
              <w:rPr>
                <w:rFonts w:asciiTheme="minorHAnsi" w:hAnsiTheme="minorHAnsi" w:cs="Times New Roman"/>
                <w:bCs/>
                <w:i/>
                <w:color w:val="auto"/>
              </w:rPr>
              <w:t xml:space="preserve"> Re after one year.</w:t>
            </w:r>
            <w:r w:rsidRPr="00AF0B1C">
              <w:rPr>
                <w:rFonts w:asciiTheme="minorHAnsi" w:hAnsiTheme="minorHAnsi" w:cs="Times New Roman"/>
                <w:bCs/>
                <w:color w:val="auto"/>
              </w:rPr>
              <w:t xml:space="preserve"> Presentation to the Scottish Flood Forum, August 5</w:t>
            </w:r>
            <w:r w:rsidRPr="00AF0B1C">
              <w:rPr>
                <w:rFonts w:asciiTheme="minorHAnsi" w:hAnsiTheme="minorHAnsi" w:cs="Times New Roman"/>
                <w:bCs/>
                <w:color w:val="auto"/>
                <w:vertAlign w:val="superscript"/>
              </w:rPr>
              <w:t>th</w:t>
            </w:r>
            <w:r w:rsidRPr="00AF0B1C">
              <w:rPr>
                <w:rFonts w:asciiTheme="minorHAnsi" w:hAnsiTheme="minorHAnsi" w:cs="Times New Roman"/>
                <w:bCs/>
                <w:color w:val="auto"/>
              </w:rPr>
              <w:t xml:space="preserve"> 2017.</w:t>
            </w:r>
          </w:p>
        </w:tc>
      </w:tr>
      <w:tr w:rsidR="00FF3568" w:rsidRPr="00AF0B1C" w:rsidTr="00C2184D">
        <w:tc>
          <w:tcPr>
            <w:tcW w:w="9242" w:type="dxa"/>
          </w:tcPr>
          <w:p w:rsidR="00FF3568" w:rsidRPr="00AF0B1C" w:rsidRDefault="00FF3568" w:rsidP="00F40987">
            <w:pPr>
              <w:pStyle w:val="PlainText"/>
              <w:numPr>
                <w:ilvl w:val="0"/>
                <w:numId w:val="11"/>
              </w:numPr>
              <w:rPr>
                <w:rFonts w:asciiTheme="minorHAnsi" w:hAnsiTheme="minorHAnsi"/>
                <w:sz w:val="24"/>
                <w:szCs w:val="24"/>
                <w:lang w:val="en-GB"/>
              </w:rPr>
            </w:pPr>
            <w:r w:rsidRPr="00AF0B1C">
              <w:rPr>
                <w:rFonts w:asciiTheme="minorHAnsi" w:hAnsiTheme="minorHAnsi" w:cs="Arial"/>
                <w:sz w:val="24"/>
                <w:szCs w:val="24"/>
              </w:rPr>
              <w:t xml:space="preserve">Lamond, J. and Penning-Rowsell, E.C. (2014) The robustness of flood insurance regimes given changing risk resulting from climate change, </w:t>
            </w:r>
            <w:r w:rsidRPr="004E571F">
              <w:rPr>
                <w:rFonts w:asciiTheme="minorHAnsi" w:hAnsiTheme="minorHAnsi" w:cs="Arial"/>
                <w:i/>
                <w:sz w:val="24"/>
                <w:szCs w:val="24"/>
              </w:rPr>
              <w:t>Climate Risk Management</w:t>
            </w:r>
            <w:r w:rsidRPr="00AF0B1C">
              <w:rPr>
                <w:rFonts w:asciiTheme="minorHAnsi" w:hAnsiTheme="minorHAnsi" w:cs="Arial"/>
                <w:sz w:val="24"/>
                <w:szCs w:val="24"/>
              </w:rPr>
              <w:t xml:space="preserve">  2 </w:t>
            </w:r>
            <w:r w:rsidRPr="00AF0B1C">
              <w:rPr>
                <w:rFonts w:asciiTheme="minorHAnsi" w:hAnsiTheme="minorHAnsi" w:cs="Arial"/>
                <w:sz w:val="24"/>
                <w:szCs w:val="24"/>
                <w:lang w:val="en-GB"/>
              </w:rPr>
              <w:t>,</w:t>
            </w:r>
            <w:r w:rsidRPr="00AF0B1C">
              <w:rPr>
                <w:rFonts w:asciiTheme="minorHAnsi" w:hAnsiTheme="minorHAnsi" w:cs="Arial"/>
                <w:sz w:val="24"/>
                <w:szCs w:val="24"/>
              </w:rPr>
              <w:t>1–10.</w:t>
            </w:r>
          </w:p>
        </w:tc>
      </w:tr>
      <w:tr w:rsidR="00FF3568" w:rsidRPr="00AF0B1C" w:rsidTr="00C2184D">
        <w:tc>
          <w:tcPr>
            <w:tcW w:w="9242" w:type="dxa"/>
          </w:tcPr>
          <w:p w:rsidR="00FF3568" w:rsidRPr="00C2184D" w:rsidRDefault="00FF3568" w:rsidP="00F40987">
            <w:pPr>
              <w:pStyle w:val="ListParagraph"/>
              <w:numPr>
                <w:ilvl w:val="0"/>
                <w:numId w:val="11"/>
              </w:numPr>
              <w:autoSpaceDE w:val="0"/>
              <w:autoSpaceDN w:val="0"/>
              <w:adjustRightInd w:val="0"/>
              <w:spacing w:after="0" w:line="240" w:lineRule="auto"/>
              <w:rPr>
                <w:rFonts w:asciiTheme="minorHAnsi" w:hAnsiTheme="minorHAnsi"/>
                <w:szCs w:val="24"/>
                <w:lang w:val="en-GB"/>
              </w:rPr>
            </w:pPr>
            <w:r w:rsidRPr="00C2184D">
              <w:rPr>
                <w:rFonts w:asciiTheme="minorHAnsi" w:hAnsiTheme="minorHAnsi" w:cs="Calibri"/>
                <w:szCs w:val="24"/>
                <w:lang w:val="en-GB"/>
              </w:rPr>
              <w:t>Lindley, S., O’Neill, J., Kandeh, J., Lawson, N., Christian, R. and O’Neill, M. (2011</w:t>
            </w:r>
            <w:r w:rsidRPr="00C2184D">
              <w:rPr>
                <w:rFonts w:asciiTheme="minorHAnsi" w:hAnsiTheme="minorHAnsi" w:cs="Calibri"/>
                <w:i/>
                <w:szCs w:val="24"/>
                <w:lang w:val="en-GB"/>
              </w:rPr>
              <w:t xml:space="preserve">). </w:t>
            </w:r>
            <w:r w:rsidRPr="00C2184D">
              <w:rPr>
                <w:rFonts w:asciiTheme="minorHAnsi" w:hAnsiTheme="minorHAnsi" w:cs="Calibri-Bold"/>
                <w:bCs/>
                <w:i/>
                <w:szCs w:val="24"/>
                <w:lang w:val="en-GB"/>
              </w:rPr>
              <w:t xml:space="preserve">Climate change, justice and vulnerability. </w:t>
            </w:r>
            <w:r w:rsidRPr="00C2184D">
              <w:rPr>
                <w:rFonts w:asciiTheme="minorHAnsi" w:hAnsiTheme="minorHAnsi" w:cs="Calibri"/>
                <w:i/>
                <w:szCs w:val="24"/>
                <w:lang w:val="en-GB"/>
              </w:rPr>
              <w:t>A report published by Joseph Rowntree Foundation</w:t>
            </w:r>
            <w:r w:rsidR="004E571F" w:rsidRPr="00C2184D">
              <w:rPr>
                <w:rFonts w:asciiTheme="minorHAnsi" w:hAnsiTheme="minorHAnsi" w:cs="Calibri"/>
                <w:szCs w:val="24"/>
                <w:lang w:val="en-GB"/>
              </w:rPr>
              <w:t>. JRF,</w:t>
            </w:r>
            <w:r w:rsidRPr="00C2184D">
              <w:rPr>
                <w:rFonts w:asciiTheme="minorHAnsi" w:hAnsiTheme="minorHAnsi" w:cs="Calibri"/>
                <w:szCs w:val="24"/>
                <w:lang w:val="en-GB"/>
              </w:rPr>
              <w:t xml:space="preserve"> York.</w:t>
            </w:r>
          </w:p>
        </w:tc>
      </w:tr>
      <w:tr w:rsidR="00FF3568" w:rsidRPr="00AF0B1C" w:rsidTr="00C2184D">
        <w:tc>
          <w:tcPr>
            <w:tcW w:w="9242" w:type="dxa"/>
          </w:tcPr>
          <w:p w:rsidR="00FF3568" w:rsidRPr="00C2184D" w:rsidRDefault="00FF3568" w:rsidP="00F40987">
            <w:pPr>
              <w:pStyle w:val="ListParagraph"/>
              <w:numPr>
                <w:ilvl w:val="0"/>
                <w:numId w:val="11"/>
              </w:numPr>
              <w:autoSpaceDE w:val="0"/>
              <w:autoSpaceDN w:val="0"/>
              <w:adjustRightInd w:val="0"/>
              <w:spacing w:after="0" w:line="240" w:lineRule="auto"/>
              <w:rPr>
                <w:rFonts w:asciiTheme="minorHAnsi" w:hAnsiTheme="minorHAnsi" w:cs="Calibri"/>
                <w:szCs w:val="24"/>
                <w:lang w:val="en-GB"/>
              </w:rPr>
            </w:pPr>
            <w:r w:rsidRPr="00C2184D">
              <w:rPr>
                <w:rFonts w:ascii="FrutigerLTStd-Light" w:hAnsi="FrutigerLTStd-Light" w:cs="FrutigerLTStd-Light"/>
                <w:sz w:val="22"/>
                <w:lang w:val="en-GB"/>
              </w:rPr>
              <w:t>Marsh, T.J., Kirby, C., Muchan, K., Barker, L., Henderson, E.</w:t>
            </w:r>
            <w:r w:rsidRPr="00C2184D">
              <w:rPr>
                <w:rFonts w:ascii="FrutigerLTStd-Light" w:hAnsi="FrutigerLTStd-Light" w:cs="FrutigerLTStd-Light"/>
                <w:sz w:val="13"/>
                <w:szCs w:val="13"/>
                <w:lang w:val="en-GB"/>
              </w:rPr>
              <w:t xml:space="preserve"> </w:t>
            </w:r>
            <w:r w:rsidRPr="00C2184D">
              <w:rPr>
                <w:rFonts w:ascii="FrutigerLTStd-Light" w:hAnsi="FrutigerLTStd-Light" w:cs="FrutigerLTStd-Light"/>
                <w:sz w:val="22"/>
                <w:lang w:val="en-GB"/>
              </w:rPr>
              <w:t>and Hannaford, J.</w:t>
            </w:r>
            <w:r w:rsidRPr="00C2184D">
              <w:rPr>
                <w:rFonts w:ascii="FrutigerLTStd-Light" w:hAnsi="FrutigerLTStd-Light" w:cs="FrutigerLTStd-Light"/>
                <w:sz w:val="13"/>
                <w:szCs w:val="13"/>
                <w:lang w:val="en-GB"/>
              </w:rPr>
              <w:t xml:space="preserve"> </w:t>
            </w:r>
            <w:r w:rsidRPr="00C2184D">
              <w:rPr>
                <w:rFonts w:ascii="FrutigerLTStd-Light" w:hAnsi="FrutigerLTStd-Light" w:cs="FrutigerLTStd-Light"/>
                <w:sz w:val="22"/>
                <w:lang w:val="en-GB"/>
              </w:rPr>
              <w:t xml:space="preserve">(2016). </w:t>
            </w:r>
            <w:r w:rsidRPr="00C2184D">
              <w:rPr>
                <w:rFonts w:ascii="FrutigerLTStd-Light" w:hAnsi="FrutigerLTStd-Light" w:cs="FrutigerLTStd-Light"/>
                <w:i/>
                <w:sz w:val="22"/>
                <w:lang w:val="en-GB"/>
              </w:rPr>
              <w:t>The winter floods of 2015/2016 in the UK - a review</w:t>
            </w:r>
            <w:r w:rsidRPr="00C2184D">
              <w:rPr>
                <w:rFonts w:ascii="FrutigerLTStd-Light" w:hAnsi="FrutigerLTStd-Light" w:cs="FrutigerLTStd-Light"/>
                <w:sz w:val="22"/>
                <w:lang w:val="en-GB"/>
              </w:rPr>
              <w:t>. Centre for Ecology &amp; Hydrology, Wallingford, UK.</w:t>
            </w:r>
          </w:p>
        </w:tc>
      </w:tr>
      <w:tr w:rsidR="00FF3568" w:rsidRPr="00AF0B1C" w:rsidTr="00C2184D">
        <w:tc>
          <w:tcPr>
            <w:tcW w:w="9242" w:type="dxa"/>
          </w:tcPr>
          <w:p w:rsidR="00FF3568" w:rsidRPr="00C2184D" w:rsidRDefault="00FF3568" w:rsidP="00F40987">
            <w:pPr>
              <w:pStyle w:val="ListParagraph"/>
              <w:numPr>
                <w:ilvl w:val="0"/>
                <w:numId w:val="11"/>
              </w:numPr>
              <w:autoSpaceDE w:val="0"/>
              <w:autoSpaceDN w:val="0"/>
              <w:adjustRightInd w:val="0"/>
              <w:spacing w:after="0" w:line="240" w:lineRule="auto"/>
              <w:rPr>
                <w:rFonts w:asciiTheme="minorHAnsi" w:hAnsiTheme="minorHAnsi"/>
                <w:szCs w:val="24"/>
                <w:lang w:val="en-GB"/>
              </w:rPr>
            </w:pPr>
            <w:r w:rsidRPr="00C2184D">
              <w:rPr>
                <w:rFonts w:asciiTheme="minorHAnsi" w:hAnsiTheme="minorHAnsi" w:cs="Calibri"/>
                <w:szCs w:val="24"/>
                <w:lang w:val="en-GB"/>
              </w:rPr>
              <w:t xml:space="preserve">National Flood Forum (2012). </w:t>
            </w:r>
            <w:r w:rsidRPr="00C2184D">
              <w:rPr>
                <w:rFonts w:asciiTheme="minorHAnsi" w:hAnsiTheme="minorHAnsi" w:cs="Calibri-Bold"/>
                <w:bCs/>
                <w:szCs w:val="24"/>
                <w:lang w:val="en-GB"/>
              </w:rPr>
              <w:t>Evaluation of the Defra Property</w:t>
            </w:r>
            <w:r w:rsidRPr="00C2184D">
              <w:rPr>
                <w:rFonts w:asciiTheme="minorHAnsi" w:hAnsiTheme="minorHAnsi" w:cs="Cambria Math"/>
                <w:bCs/>
                <w:szCs w:val="24"/>
                <w:lang w:val="en-GB"/>
              </w:rPr>
              <w:t>‐</w:t>
            </w:r>
            <w:r w:rsidRPr="00C2184D">
              <w:rPr>
                <w:rFonts w:asciiTheme="minorHAnsi" w:hAnsiTheme="minorHAnsi" w:cs="Calibri-Bold"/>
                <w:bCs/>
                <w:szCs w:val="24"/>
                <w:lang w:val="en-GB"/>
              </w:rPr>
              <w:t xml:space="preserve">level Flood Protection Scheme. </w:t>
            </w:r>
            <w:r w:rsidRPr="00C2184D">
              <w:rPr>
                <w:rFonts w:asciiTheme="minorHAnsi" w:hAnsiTheme="minorHAnsi" w:cs="Calibri"/>
                <w:szCs w:val="24"/>
                <w:lang w:val="en-GB"/>
              </w:rPr>
              <w:t xml:space="preserve">JBA Consulting. March 2012. [Available at: </w:t>
            </w:r>
            <w:hyperlink r:id="rId10" w:history="1">
              <w:r w:rsidRPr="00C2184D">
                <w:rPr>
                  <w:rStyle w:val="Hyperlink"/>
                  <w:rFonts w:asciiTheme="minorHAnsi" w:hAnsiTheme="minorHAnsi" w:cs="Calibri"/>
                  <w:szCs w:val="24"/>
                  <w:lang w:val="en-GB"/>
                </w:rPr>
                <w:t>http://nationalfloodforum.org.uk/wp‐content/uploads/Evaluation‐of‐the‐Defra‐PL‐Flood‐protection‐</w:t>
              </w:r>
            </w:hyperlink>
            <w:r w:rsidRPr="00C2184D">
              <w:rPr>
                <w:rFonts w:asciiTheme="minorHAnsi" w:hAnsiTheme="minorHAnsi" w:cs="Calibri"/>
                <w:szCs w:val="24"/>
                <w:lang w:val="en-GB"/>
              </w:rPr>
              <w:t xml:space="preserve"> Scheme‐25918.pdf]</w:t>
            </w:r>
          </w:p>
        </w:tc>
      </w:tr>
      <w:tr w:rsidR="00FF3568" w:rsidRPr="00AF0B1C" w:rsidTr="00C2184D">
        <w:tc>
          <w:tcPr>
            <w:tcW w:w="9242" w:type="dxa"/>
          </w:tcPr>
          <w:p w:rsidR="00FF3568" w:rsidRPr="00C2184D" w:rsidRDefault="00FF3568" w:rsidP="00F40987">
            <w:pPr>
              <w:pStyle w:val="ListParagraph"/>
              <w:numPr>
                <w:ilvl w:val="0"/>
                <w:numId w:val="11"/>
              </w:numPr>
              <w:spacing w:after="0" w:line="240" w:lineRule="auto"/>
              <w:rPr>
                <w:rFonts w:asciiTheme="minorHAnsi" w:hAnsiTheme="minorHAnsi"/>
                <w:szCs w:val="24"/>
                <w:lang w:val="en-GB"/>
              </w:rPr>
            </w:pPr>
            <w:r w:rsidRPr="00C2184D">
              <w:rPr>
                <w:rFonts w:asciiTheme="minorHAnsi" w:hAnsiTheme="minorHAnsi"/>
                <w:szCs w:val="24"/>
                <w:lang w:val="en-GB"/>
              </w:rPr>
              <w:t>National Flood Forum (2018), Paul Cobbing personal communication.</w:t>
            </w:r>
          </w:p>
        </w:tc>
      </w:tr>
      <w:tr w:rsidR="000A4F9B" w:rsidRPr="00AF0B1C" w:rsidTr="00C2184D">
        <w:tc>
          <w:tcPr>
            <w:tcW w:w="9242" w:type="dxa"/>
          </w:tcPr>
          <w:p w:rsidR="000A4F9B" w:rsidRPr="00C2184D" w:rsidRDefault="000A4F9B" w:rsidP="00F40987">
            <w:pPr>
              <w:pStyle w:val="ListParagraph"/>
              <w:numPr>
                <w:ilvl w:val="0"/>
                <w:numId w:val="11"/>
              </w:numPr>
              <w:spacing w:after="0" w:line="240" w:lineRule="auto"/>
              <w:rPr>
                <w:rFonts w:asciiTheme="minorHAnsi" w:hAnsiTheme="minorHAnsi" w:cs="Arial"/>
                <w:szCs w:val="24"/>
              </w:rPr>
            </w:pPr>
            <w:r w:rsidRPr="00C2184D">
              <w:rPr>
                <w:rFonts w:asciiTheme="minorHAnsi" w:hAnsiTheme="minorHAnsi" w:cs="Arial"/>
                <w:szCs w:val="24"/>
              </w:rPr>
              <w:t xml:space="preserve">ONS (Office for National Statistics, Department for Environment, Food and Rural Affairs (2016). </w:t>
            </w:r>
            <w:r w:rsidRPr="00C2184D">
              <w:rPr>
                <w:rFonts w:asciiTheme="minorHAnsi" w:hAnsiTheme="minorHAnsi" w:cs="Arial"/>
                <w:i/>
                <w:szCs w:val="24"/>
              </w:rPr>
              <w:t>Living costs and food survey, 2014 [data collection]. 2</w:t>
            </w:r>
            <w:r w:rsidRPr="00C2184D">
              <w:rPr>
                <w:rFonts w:asciiTheme="minorHAnsi" w:hAnsiTheme="minorHAnsi" w:cs="Arial"/>
                <w:i/>
                <w:szCs w:val="24"/>
                <w:vertAlign w:val="superscript"/>
              </w:rPr>
              <w:t>nd</w:t>
            </w:r>
            <w:r w:rsidRPr="00C2184D">
              <w:rPr>
                <w:rFonts w:asciiTheme="minorHAnsi" w:hAnsiTheme="minorHAnsi" w:cs="Arial"/>
                <w:i/>
                <w:szCs w:val="24"/>
              </w:rPr>
              <w:t xml:space="preserve"> Edition.</w:t>
            </w:r>
            <w:r w:rsidRPr="00C2184D">
              <w:rPr>
                <w:rFonts w:asciiTheme="minorHAnsi" w:hAnsiTheme="minorHAnsi" w:cs="Arial"/>
                <w:szCs w:val="24"/>
              </w:rPr>
              <w:t xml:space="preserve"> UK Data Service, SN: 7992. Http://doi.org/10.5255/UKDA-SN-7992-3.</w:t>
            </w:r>
          </w:p>
        </w:tc>
      </w:tr>
      <w:tr w:rsidR="00FF3568" w:rsidRPr="00AF0B1C" w:rsidTr="00C2184D">
        <w:tc>
          <w:tcPr>
            <w:tcW w:w="9242" w:type="dxa"/>
          </w:tcPr>
          <w:p w:rsidR="00FF3568" w:rsidRPr="00C2184D" w:rsidRDefault="00FF3568" w:rsidP="00F40987">
            <w:pPr>
              <w:pStyle w:val="ListParagraph"/>
              <w:numPr>
                <w:ilvl w:val="0"/>
                <w:numId w:val="11"/>
              </w:numPr>
              <w:spacing w:after="0" w:line="240" w:lineRule="auto"/>
              <w:rPr>
                <w:rFonts w:asciiTheme="minorHAnsi" w:hAnsiTheme="minorHAnsi"/>
                <w:szCs w:val="24"/>
                <w:lang w:val="en-GB"/>
              </w:rPr>
            </w:pPr>
            <w:r w:rsidRPr="00C2184D">
              <w:rPr>
                <w:rFonts w:asciiTheme="minorHAnsi" w:hAnsiTheme="minorHAnsi" w:cs="Arial"/>
                <w:szCs w:val="24"/>
              </w:rPr>
              <w:t>Penning-Rowsell, E.C (2015): Flood insurance in the UK: a critical perspective</w:t>
            </w:r>
            <w:r w:rsidRPr="00C2184D">
              <w:rPr>
                <w:rFonts w:asciiTheme="minorHAnsi" w:hAnsiTheme="minorHAnsi" w:cs="Arial"/>
                <w:i/>
                <w:szCs w:val="24"/>
              </w:rPr>
              <w:t xml:space="preserve">. </w:t>
            </w:r>
            <w:r w:rsidRPr="00C2184D">
              <w:rPr>
                <w:rFonts w:asciiTheme="minorHAnsi" w:hAnsiTheme="minorHAnsi" w:cs="Arial"/>
                <w:i/>
                <w:szCs w:val="24"/>
                <w:lang w:val="en"/>
              </w:rPr>
              <w:t xml:space="preserve">Wiley Interdisciplinary Reviews: Water, </w:t>
            </w:r>
            <w:hyperlink r:id="rId11" w:history="1">
              <w:r w:rsidRPr="00C2184D">
                <w:rPr>
                  <w:rStyle w:val="Hyperlink"/>
                  <w:rFonts w:asciiTheme="minorHAnsi" w:hAnsiTheme="minorHAnsi" w:cs="Arial"/>
                  <w:szCs w:val="24"/>
                  <w:lang w:val="en"/>
                </w:rPr>
                <w:t xml:space="preserve">Volume 2, Issue 6, </w:t>
              </w:r>
            </w:hyperlink>
            <w:r w:rsidRPr="00C2184D">
              <w:rPr>
                <w:rFonts w:asciiTheme="minorHAnsi" w:hAnsiTheme="minorHAnsi" w:cs="Arial"/>
                <w:szCs w:val="24"/>
                <w:lang w:val="en"/>
              </w:rPr>
              <w:t xml:space="preserve">pages 601–608, November/December 2015. </w:t>
            </w:r>
            <w:r w:rsidRPr="00C2184D">
              <w:rPr>
                <w:rFonts w:asciiTheme="minorHAnsi" w:hAnsiTheme="minorHAnsi" w:cs="Arial"/>
                <w:szCs w:val="24"/>
              </w:rPr>
              <w:t>08/2015;  DOI:10.1002/wat2.1104</w:t>
            </w:r>
          </w:p>
        </w:tc>
      </w:tr>
      <w:tr w:rsidR="00FF3568" w:rsidRPr="00AF0B1C" w:rsidTr="00C2184D">
        <w:tc>
          <w:tcPr>
            <w:tcW w:w="9242" w:type="dxa"/>
          </w:tcPr>
          <w:p w:rsidR="00FF3568" w:rsidRPr="00C2184D" w:rsidRDefault="00FF3568" w:rsidP="00F40987">
            <w:pPr>
              <w:pStyle w:val="ListParagraph"/>
              <w:numPr>
                <w:ilvl w:val="0"/>
                <w:numId w:val="11"/>
              </w:numPr>
              <w:spacing w:after="0" w:line="240" w:lineRule="auto"/>
              <w:rPr>
                <w:rFonts w:asciiTheme="minorHAnsi" w:hAnsiTheme="minorHAnsi"/>
                <w:szCs w:val="24"/>
                <w:lang w:val="en-GB"/>
              </w:rPr>
            </w:pPr>
            <w:r w:rsidRPr="00C2184D">
              <w:rPr>
                <w:rFonts w:asciiTheme="minorHAnsi" w:hAnsiTheme="minorHAnsi"/>
                <w:szCs w:val="24"/>
                <w:lang w:val="en-GB"/>
              </w:rPr>
              <w:t>Penning-Rowsell, E.C. and Priest, S. (2015). Sharing the burden of increasing flood risk: who pays for flood insurance and flood risk management in the United Kingdom</w:t>
            </w:r>
            <w:r w:rsidRPr="00C2184D">
              <w:rPr>
                <w:rFonts w:asciiTheme="minorHAnsi" w:hAnsiTheme="minorHAnsi"/>
                <w:i/>
                <w:szCs w:val="24"/>
                <w:lang w:val="en-GB"/>
              </w:rPr>
              <w:t>, Mitigation and Adaptation Strategies for Global Change</w:t>
            </w:r>
            <w:r w:rsidRPr="00C2184D">
              <w:rPr>
                <w:rFonts w:asciiTheme="minorHAnsi" w:hAnsiTheme="minorHAnsi"/>
                <w:szCs w:val="24"/>
                <w:lang w:val="en-GB"/>
              </w:rPr>
              <w:t>, 20(6), 991-1009, DOI 10.1007/s11027-014-9622-z</w:t>
            </w:r>
          </w:p>
        </w:tc>
      </w:tr>
      <w:tr w:rsidR="00FF3568" w:rsidRPr="00AF0B1C" w:rsidTr="00C2184D">
        <w:tc>
          <w:tcPr>
            <w:tcW w:w="9242" w:type="dxa"/>
          </w:tcPr>
          <w:p w:rsidR="00FF3568" w:rsidRPr="00C2184D" w:rsidRDefault="00FF3568" w:rsidP="00F40987">
            <w:pPr>
              <w:pStyle w:val="ListParagraph"/>
              <w:numPr>
                <w:ilvl w:val="0"/>
                <w:numId w:val="11"/>
              </w:numPr>
              <w:tabs>
                <w:tab w:val="left" w:pos="567"/>
              </w:tabs>
              <w:spacing w:after="0" w:line="240" w:lineRule="auto"/>
              <w:jc w:val="both"/>
              <w:rPr>
                <w:rFonts w:asciiTheme="minorHAnsi" w:hAnsiTheme="minorHAnsi" w:cs="Calibri"/>
                <w:szCs w:val="24"/>
                <w:lang w:val="en-GB"/>
              </w:rPr>
            </w:pPr>
            <w:r w:rsidRPr="00C2184D">
              <w:rPr>
                <w:rFonts w:asciiTheme="minorHAnsi" w:hAnsiTheme="minorHAnsi" w:cs="Arial"/>
                <w:szCs w:val="24"/>
              </w:rPr>
              <w:lastRenderedPageBreak/>
              <w:t xml:space="preserve">Penning-Rowsell, E.C., Priest, S.  &amp; Johnson, C. (2014). The evolution of UK flood insurance: incremental change over six decades, </w:t>
            </w:r>
            <w:r w:rsidRPr="00C2184D">
              <w:rPr>
                <w:rFonts w:asciiTheme="minorHAnsi" w:hAnsiTheme="minorHAnsi" w:cs="Arial"/>
                <w:i/>
                <w:szCs w:val="24"/>
              </w:rPr>
              <w:t>International Journal of Water Resources Development,</w:t>
            </w:r>
            <w:r w:rsidRPr="00C2184D">
              <w:rPr>
                <w:rFonts w:asciiTheme="minorHAnsi" w:hAnsiTheme="minorHAnsi" w:cs="Arial"/>
                <w:szCs w:val="24"/>
              </w:rPr>
              <w:t xml:space="preserve"> DOI: 10.1080/07900627.2014.903166</w:t>
            </w:r>
          </w:p>
        </w:tc>
      </w:tr>
      <w:tr w:rsidR="00FF3568" w:rsidRPr="00AF0B1C" w:rsidTr="00C2184D">
        <w:tc>
          <w:tcPr>
            <w:tcW w:w="9242" w:type="dxa"/>
          </w:tcPr>
          <w:p w:rsidR="00FF3568" w:rsidRPr="00C2184D" w:rsidRDefault="00FF3568" w:rsidP="00F40987">
            <w:pPr>
              <w:pStyle w:val="ListParagraph"/>
              <w:numPr>
                <w:ilvl w:val="0"/>
                <w:numId w:val="11"/>
              </w:numPr>
              <w:autoSpaceDE w:val="0"/>
              <w:autoSpaceDN w:val="0"/>
              <w:adjustRightInd w:val="0"/>
              <w:spacing w:after="0" w:line="240" w:lineRule="auto"/>
              <w:rPr>
                <w:rFonts w:asciiTheme="minorHAnsi" w:hAnsiTheme="minorHAnsi"/>
                <w:szCs w:val="24"/>
                <w:lang w:val="en-GB"/>
              </w:rPr>
            </w:pPr>
            <w:r w:rsidRPr="00C2184D">
              <w:rPr>
                <w:rFonts w:asciiTheme="minorHAnsi" w:hAnsiTheme="minorHAnsi" w:cs="Calibri"/>
                <w:szCs w:val="24"/>
                <w:lang w:val="en-GB"/>
              </w:rPr>
              <w:t xml:space="preserve">Pike, A., MacKinnon, D., Coombes, M., Champion, T., Bradley, D., Cumbers, A., Robson, L. and Wymer, C. (2016). </w:t>
            </w:r>
            <w:r w:rsidRPr="00C2184D">
              <w:rPr>
                <w:rFonts w:asciiTheme="minorHAnsi" w:hAnsiTheme="minorHAnsi" w:cs="Calibri-Bold"/>
                <w:bCs/>
                <w:i/>
                <w:szCs w:val="24"/>
                <w:lang w:val="en-GB"/>
              </w:rPr>
              <w:t xml:space="preserve">Uneven growth: tackling city decline. </w:t>
            </w:r>
            <w:r w:rsidRPr="00C2184D">
              <w:rPr>
                <w:rFonts w:asciiTheme="minorHAnsi" w:hAnsiTheme="minorHAnsi" w:cs="Calibri"/>
                <w:i/>
                <w:szCs w:val="24"/>
                <w:lang w:val="en-GB"/>
              </w:rPr>
              <w:t>A report published by the Joseph Rowntree Foundation</w:t>
            </w:r>
            <w:r w:rsidR="004E571F" w:rsidRPr="00C2184D">
              <w:rPr>
                <w:rFonts w:asciiTheme="minorHAnsi" w:hAnsiTheme="minorHAnsi" w:cs="Calibri"/>
                <w:i/>
                <w:szCs w:val="24"/>
                <w:lang w:val="en-GB"/>
              </w:rPr>
              <w:t>.</w:t>
            </w:r>
            <w:r w:rsidR="004E571F" w:rsidRPr="00C2184D">
              <w:rPr>
                <w:rFonts w:asciiTheme="minorHAnsi" w:hAnsiTheme="minorHAnsi" w:cs="Calibri"/>
                <w:szCs w:val="24"/>
                <w:lang w:val="en-GB"/>
              </w:rPr>
              <w:t xml:space="preserve"> JRF</w:t>
            </w:r>
            <w:r w:rsidRPr="00C2184D">
              <w:rPr>
                <w:rFonts w:asciiTheme="minorHAnsi" w:hAnsiTheme="minorHAnsi" w:cs="Calibri"/>
                <w:szCs w:val="24"/>
                <w:lang w:val="en-GB"/>
              </w:rPr>
              <w:t>, York.</w:t>
            </w:r>
          </w:p>
        </w:tc>
      </w:tr>
      <w:tr w:rsidR="00FF3568" w:rsidRPr="00AF0B1C" w:rsidTr="00C2184D">
        <w:tc>
          <w:tcPr>
            <w:tcW w:w="9242" w:type="dxa"/>
          </w:tcPr>
          <w:p w:rsidR="00FF3568" w:rsidRPr="00C2184D" w:rsidRDefault="00FF3568" w:rsidP="00F40987">
            <w:pPr>
              <w:pStyle w:val="ListParagraph"/>
              <w:numPr>
                <w:ilvl w:val="0"/>
                <w:numId w:val="11"/>
              </w:numPr>
              <w:suppressAutoHyphens/>
              <w:overflowPunct w:val="0"/>
              <w:autoSpaceDE w:val="0"/>
              <w:autoSpaceDN w:val="0"/>
              <w:adjustRightInd w:val="0"/>
              <w:spacing w:after="0" w:line="240" w:lineRule="auto"/>
              <w:rPr>
                <w:rFonts w:asciiTheme="minorHAnsi" w:eastAsia="Times New Roman" w:hAnsiTheme="minorHAnsi"/>
                <w:szCs w:val="24"/>
                <w:lang w:val="en" w:eastAsia="en-GB"/>
              </w:rPr>
            </w:pPr>
            <w:r w:rsidRPr="00C2184D">
              <w:rPr>
                <w:rFonts w:asciiTheme="minorHAnsi" w:hAnsiTheme="minorHAnsi" w:cs="Arial"/>
                <w:szCs w:val="24"/>
                <w:lang w:eastAsia="en-GB"/>
              </w:rPr>
              <w:t xml:space="preserve">Priest, S.J., Clark, M.J. and Treby, E.J. (2005) Flood insurance: the challenge of the uninsured. </w:t>
            </w:r>
            <w:r w:rsidRPr="00C2184D">
              <w:rPr>
                <w:rFonts w:asciiTheme="minorHAnsi" w:hAnsiTheme="minorHAnsi" w:cs="Arial"/>
                <w:i/>
                <w:szCs w:val="24"/>
                <w:lang w:eastAsia="en-GB"/>
              </w:rPr>
              <w:t>Area</w:t>
            </w:r>
            <w:r w:rsidRPr="00C2184D">
              <w:rPr>
                <w:rFonts w:asciiTheme="minorHAnsi" w:hAnsiTheme="minorHAnsi" w:cs="Arial"/>
                <w:szCs w:val="24"/>
                <w:lang w:eastAsia="en-GB"/>
              </w:rPr>
              <w:t>, 37, 295-302.</w:t>
            </w:r>
          </w:p>
        </w:tc>
      </w:tr>
      <w:tr w:rsidR="00FF3568" w:rsidRPr="00AF0B1C" w:rsidTr="00C2184D">
        <w:tc>
          <w:tcPr>
            <w:tcW w:w="9242" w:type="dxa"/>
          </w:tcPr>
          <w:p w:rsidR="00FF3568" w:rsidRPr="00C2184D" w:rsidRDefault="00FF3568" w:rsidP="00F40987">
            <w:pPr>
              <w:pStyle w:val="ListParagraph"/>
              <w:numPr>
                <w:ilvl w:val="0"/>
                <w:numId w:val="11"/>
              </w:numPr>
              <w:spacing w:after="0" w:line="240" w:lineRule="auto"/>
              <w:rPr>
                <w:rFonts w:asciiTheme="minorHAnsi" w:eastAsia="Times New Roman" w:hAnsiTheme="minorHAnsi"/>
                <w:szCs w:val="24"/>
                <w:lang w:val="en" w:eastAsia="en-GB"/>
              </w:rPr>
            </w:pPr>
            <w:r w:rsidRPr="00C2184D">
              <w:rPr>
                <w:rFonts w:asciiTheme="minorHAnsi" w:eastAsia="Times New Roman" w:hAnsiTheme="minorHAnsi"/>
                <w:szCs w:val="24"/>
                <w:lang w:val="en" w:eastAsia="en-GB"/>
              </w:rPr>
              <w:t xml:space="preserve">Raynes, H.E. (1948) </w:t>
            </w:r>
            <w:r w:rsidRPr="00C2184D">
              <w:rPr>
                <w:rFonts w:asciiTheme="minorHAnsi" w:eastAsia="Times New Roman" w:hAnsiTheme="minorHAnsi"/>
                <w:i/>
                <w:iCs/>
                <w:szCs w:val="24"/>
                <w:lang w:val="en" w:eastAsia="en-GB"/>
              </w:rPr>
              <w:t>A History of British Insurance</w:t>
            </w:r>
            <w:r w:rsidRPr="00C2184D">
              <w:rPr>
                <w:rFonts w:asciiTheme="minorHAnsi" w:eastAsia="Times New Roman" w:hAnsiTheme="minorHAnsi"/>
                <w:szCs w:val="24"/>
                <w:lang w:val="en" w:eastAsia="en-GB"/>
              </w:rPr>
              <w:t xml:space="preserve"> (1948). London: Isaac Pitman.</w:t>
            </w:r>
          </w:p>
        </w:tc>
      </w:tr>
      <w:tr w:rsidR="00FF3568" w:rsidRPr="00AF0B1C" w:rsidTr="00C2184D">
        <w:tc>
          <w:tcPr>
            <w:tcW w:w="9242" w:type="dxa"/>
          </w:tcPr>
          <w:p w:rsidR="00FF3568" w:rsidRPr="00C2184D" w:rsidRDefault="00FF3568" w:rsidP="00F40987">
            <w:pPr>
              <w:pStyle w:val="ListParagraph"/>
              <w:numPr>
                <w:ilvl w:val="0"/>
                <w:numId w:val="11"/>
              </w:numPr>
              <w:spacing w:after="0" w:line="240" w:lineRule="auto"/>
              <w:rPr>
                <w:rFonts w:asciiTheme="minorHAnsi" w:hAnsiTheme="minorHAnsi"/>
                <w:szCs w:val="24"/>
                <w:lang w:val="en-GB"/>
              </w:rPr>
            </w:pPr>
            <w:r w:rsidRPr="00C2184D">
              <w:rPr>
                <w:rFonts w:asciiTheme="minorHAnsi" w:hAnsiTheme="minorHAnsi"/>
                <w:szCs w:val="24"/>
                <w:lang w:val="en-GB"/>
              </w:rPr>
              <w:t xml:space="preserve">Sayers, P., Penning-Rowsell, E.C., and Horritt, M. (2017b) Flood vulnerability, risk and social disadvantage: current and future patterns in the UK. </w:t>
            </w:r>
            <w:r w:rsidRPr="00C2184D">
              <w:rPr>
                <w:rFonts w:asciiTheme="minorHAnsi" w:hAnsiTheme="minorHAnsi"/>
                <w:i/>
                <w:szCs w:val="24"/>
                <w:lang w:val="en-GB"/>
              </w:rPr>
              <w:t>Regional Environmental Change</w:t>
            </w:r>
            <w:r w:rsidRPr="00C2184D">
              <w:rPr>
                <w:rFonts w:asciiTheme="minorHAnsi" w:hAnsiTheme="minorHAnsi"/>
                <w:szCs w:val="24"/>
                <w:lang w:val="en-GB"/>
              </w:rPr>
              <w:t>. DOI: 10.1007/s10113-017-1252-z</w:t>
            </w:r>
          </w:p>
        </w:tc>
      </w:tr>
      <w:tr w:rsidR="00FF3568" w:rsidRPr="00AF0B1C" w:rsidTr="00C2184D">
        <w:tc>
          <w:tcPr>
            <w:tcW w:w="9242" w:type="dxa"/>
          </w:tcPr>
          <w:p w:rsidR="00FF3568" w:rsidRPr="00C2184D" w:rsidRDefault="00FF3568" w:rsidP="00F40987">
            <w:pPr>
              <w:pStyle w:val="ListParagraph"/>
              <w:numPr>
                <w:ilvl w:val="0"/>
                <w:numId w:val="11"/>
              </w:numPr>
              <w:autoSpaceDE w:val="0"/>
              <w:autoSpaceDN w:val="0"/>
              <w:adjustRightInd w:val="0"/>
              <w:spacing w:after="0" w:line="240" w:lineRule="auto"/>
              <w:rPr>
                <w:rFonts w:asciiTheme="minorHAnsi" w:eastAsia="Times New Roman" w:hAnsiTheme="minorHAnsi"/>
                <w:szCs w:val="24"/>
                <w:lang w:eastAsia="en-GB"/>
              </w:rPr>
            </w:pPr>
            <w:r w:rsidRPr="00C2184D">
              <w:rPr>
                <w:rFonts w:asciiTheme="minorHAnsi" w:hAnsiTheme="minorHAnsi" w:cs="Calibri"/>
                <w:szCs w:val="24"/>
                <w:lang w:val="en-GB"/>
              </w:rPr>
              <w:t xml:space="preserve">Sayers, P.B., Horritt, M., Penning Rowsell, E., and Fieth, J. (2017a). </w:t>
            </w:r>
            <w:r w:rsidRPr="00C2184D">
              <w:rPr>
                <w:rFonts w:asciiTheme="minorHAnsi" w:hAnsiTheme="minorHAnsi" w:cs="Calibri"/>
                <w:i/>
                <w:szCs w:val="24"/>
                <w:lang w:val="en-GB"/>
              </w:rPr>
              <w:t>Present and future flood vulnerability, risk and disadvantage: A UK scale assessment. A report for the Joseph Rowntree Foundation</w:t>
            </w:r>
            <w:r w:rsidRPr="00C2184D">
              <w:rPr>
                <w:rFonts w:asciiTheme="minorHAnsi" w:hAnsiTheme="minorHAnsi" w:cs="Calibri"/>
                <w:szCs w:val="24"/>
                <w:lang w:val="en-GB"/>
              </w:rPr>
              <w:t xml:space="preserve"> </w:t>
            </w:r>
            <w:r w:rsidR="004E571F" w:rsidRPr="00C2184D">
              <w:rPr>
                <w:rFonts w:asciiTheme="minorHAnsi" w:hAnsiTheme="minorHAnsi" w:cs="Calibri"/>
                <w:szCs w:val="24"/>
                <w:lang w:val="en-GB"/>
              </w:rPr>
              <w:t xml:space="preserve">Watlington, Oxon, </w:t>
            </w:r>
            <w:r w:rsidRPr="00C2184D">
              <w:rPr>
                <w:rFonts w:asciiTheme="minorHAnsi" w:hAnsiTheme="minorHAnsi" w:cs="Calibri"/>
                <w:szCs w:val="24"/>
                <w:lang w:val="en-GB"/>
              </w:rPr>
              <w:t>Sayers and Partners LLP.</w:t>
            </w:r>
          </w:p>
        </w:tc>
      </w:tr>
      <w:tr w:rsidR="00FF3568" w:rsidRPr="00AF0B1C" w:rsidTr="00C2184D">
        <w:tc>
          <w:tcPr>
            <w:tcW w:w="9242" w:type="dxa"/>
          </w:tcPr>
          <w:p w:rsidR="00FF3568" w:rsidRPr="00C2184D" w:rsidRDefault="00FF3568" w:rsidP="00F40987">
            <w:pPr>
              <w:pStyle w:val="ListParagraph"/>
              <w:numPr>
                <w:ilvl w:val="0"/>
                <w:numId w:val="11"/>
              </w:numPr>
              <w:autoSpaceDE w:val="0"/>
              <w:autoSpaceDN w:val="0"/>
              <w:adjustRightInd w:val="0"/>
              <w:spacing w:after="0" w:line="240" w:lineRule="auto"/>
              <w:rPr>
                <w:rFonts w:asciiTheme="minorHAnsi" w:hAnsiTheme="minorHAnsi" w:cs="Calibri"/>
                <w:szCs w:val="24"/>
                <w:lang w:val="en-GB"/>
              </w:rPr>
            </w:pPr>
            <w:r w:rsidRPr="00C2184D">
              <w:rPr>
                <w:rFonts w:cs="Calibri"/>
                <w:sz w:val="22"/>
                <w:lang w:val="en-GB"/>
              </w:rPr>
              <w:t>Scottish Flood Forum (2018). Kirsty MacRea, personal communication.</w:t>
            </w:r>
          </w:p>
        </w:tc>
      </w:tr>
      <w:tr w:rsidR="007E1676" w:rsidRPr="00AF0B1C" w:rsidTr="00C2184D">
        <w:tc>
          <w:tcPr>
            <w:tcW w:w="9242" w:type="dxa"/>
          </w:tcPr>
          <w:p w:rsidR="007E1676" w:rsidRPr="00C2184D" w:rsidRDefault="007E1676" w:rsidP="00F40987">
            <w:pPr>
              <w:pStyle w:val="ListParagraph"/>
              <w:numPr>
                <w:ilvl w:val="0"/>
                <w:numId w:val="11"/>
              </w:numPr>
              <w:autoSpaceDE w:val="0"/>
              <w:autoSpaceDN w:val="0"/>
              <w:adjustRightInd w:val="0"/>
              <w:spacing w:after="0" w:line="240" w:lineRule="auto"/>
              <w:rPr>
                <w:rFonts w:cs="Calibri"/>
                <w:sz w:val="22"/>
                <w:lang w:val="en-GB"/>
              </w:rPr>
            </w:pPr>
            <w:r>
              <w:rPr>
                <w:rFonts w:cs="Calibri"/>
                <w:sz w:val="22"/>
                <w:lang w:val="en-GB"/>
              </w:rPr>
              <w:t xml:space="preserve">Scottish Housing News (2016). 28.11.16. </w:t>
            </w:r>
            <w:r w:rsidRPr="007E1676">
              <w:rPr>
                <w:rFonts w:cs="Calibri"/>
                <w:sz w:val="22"/>
                <w:lang w:val="en-GB"/>
              </w:rPr>
              <w:t>http://www.scottishhousingnews.com/12618/a-quarter-of-renters-in-scotland-say-they-have-a-slum-landlord/</w:t>
            </w:r>
          </w:p>
        </w:tc>
      </w:tr>
      <w:tr w:rsidR="00FF3568" w:rsidRPr="00AF0B1C" w:rsidTr="00C2184D">
        <w:tc>
          <w:tcPr>
            <w:tcW w:w="9242" w:type="dxa"/>
          </w:tcPr>
          <w:p w:rsidR="00FF3568" w:rsidRPr="00C2184D" w:rsidRDefault="00FF3568" w:rsidP="00F40987">
            <w:pPr>
              <w:pStyle w:val="ListParagraph"/>
              <w:numPr>
                <w:ilvl w:val="0"/>
                <w:numId w:val="11"/>
              </w:numPr>
              <w:autoSpaceDE w:val="0"/>
              <w:autoSpaceDN w:val="0"/>
              <w:adjustRightInd w:val="0"/>
              <w:spacing w:after="0" w:line="240" w:lineRule="auto"/>
              <w:rPr>
                <w:rFonts w:asciiTheme="minorHAnsi" w:hAnsiTheme="minorHAnsi"/>
                <w:szCs w:val="24"/>
                <w:lang w:val="en-GB"/>
              </w:rPr>
            </w:pPr>
            <w:r w:rsidRPr="00C2184D">
              <w:rPr>
                <w:rFonts w:asciiTheme="minorHAnsi" w:hAnsiTheme="minorHAnsi" w:cs="Calibri"/>
                <w:szCs w:val="24"/>
                <w:lang w:val="en-GB"/>
              </w:rPr>
              <w:t xml:space="preserve">Tapsell, S. M., Penning‐Rowsell, E. C., Tunstall, S. M. and Wilson, T. L. (2002) </w:t>
            </w:r>
            <w:r w:rsidRPr="00C2184D">
              <w:rPr>
                <w:rFonts w:asciiTheme="minorHAnsi" w:hAnsiTheme="minorHAnsi" w:cs="Calibri-Bold"/>
                <w:bCs/>
                <w:szCs w:val="24"/>
                <w:lang w:val="en-GB"/>
              </w:rPr>
              <w:t xml:space="preserve">Vulnerability to flooding: health and social dimensions, Flood risk in a changing climate. </w:t>
            </w:r>
            <w:r w:rsidRPr="00C2184D">
              <w:rPr>
                <w:rFonts w:asciiTheme="minorHAnsi" w:hAnsiTheme="minorHAnsi" w:cs="Calibri"/>
                <w:szCs w:val="24"/>
                <w:lang w:val="en-GB"/>
              </w:rPr>
              <w:t xml:space="preserve">Papers of a Discussion Meeting organized and edited by D. Cox, J. Hunt, P. Mason, H. Wheater and P. Wolf. 15 July 2002,Vol 360, No. 1796, </w:t>
            </w:r>
            <w:r w:rsidRPr="00C2184D">
              <w:rPr>
                <w:rFonts w:asciiTheme="minorHAnsi" w:hAnsiTheme="minorHAnsi" w:cs="Calibri"/>
                <w:i/>
                <w:szCs w:val="24"/>
                <w:lang w:val="en-GB"/>
              </w:rPr>
              <w:t>Philosophical Transactions of The Royal Society, Mathematical, Physical and Engineering Sciences</w:t>
            </w:r>
            <w:r w:rsidRPr="00C2184D">
              <w:rPr>
                <w:rFonts w:asciiTheme="minorHAnsi" w:hAnsiTheme="minorHAnsi" w:cs="Calibri"/>
                <w:szCs w:val="24"/>
                <w:lang w:val="en-GB"/>
              </w:rPr>
              <w:t xml:space="preserve"> pp. 1511‐1525 ‐ ISSN: 1364503X</w:t>
            </w:r>
          </w:p>
        </w:tc>
      </w:tr>
      <w:tr w:rsidR="00FF3568" w:rsidRPr="00AF0B1C" w:rsidTr="00C2184D">
        <w:tc>
          <w:tcPr>
            <w:tcW w:w="9242" w:type="dxa"/>
          </w:tcPr>
          <w:p w:rsidR="00FF3568" w:rsidRPr="00C2184D" w:rsidRDefault="00FF3568" w:rsidP="00F40987">
            <w:pPr>
              <w:pStyle w:val="ListParagraph"/>
              <w:numPr>
                <w:ilvl w:val="0"/>
                <w:numId w:val="11"/>
              </w:numPr>
              <w:autoSpaceDE w:val="0"/>
              <w:autoSpaceDN w:val="0"/>
              <w:adjustRightInd w:val="0"/>
              <w:spacing w:after="0" w:line="240" w:lineRule="auto"/>
              <w:rPr>
                <w:rFonts w:asciiTheme="minorHAnsi" w:hAnsiTheme="minorHAnsi"/>
                <w:szCs w:val="24"/>
                <w:lang w:val="en-GB"/>
              </w:rPr>
            </w:pPr>
            <w:r w:rsidRPr="00C2184D">
              <w:rPr>
                <w:rFonts w:asciiTheme="minorHAnsi" w:hAnsiTheme="minorHAnsi" w:cs="Calibri"/>
                <w:szCs w:val="24"/>
                <w:lang w:val="en-GB"/>
              </w:rPr>
              <w:t xml:space="preserve">Twigger‐Ross, C., Kashefi, E., Weldon, S., Brooks, K., Deeming, H., Forrest, S., Fielding, J., Gomersall, A., Harries, T., McCarthy, S., Orr, P., Parker, D., and Tapsell, S (2014). </w:t>
            </w:r>
            <w:r w:rsidRPr="00C2184D">
              <w:rPr>
                <w:rFonts w:asciiTheme="minorHAnsi" w:hAnsiTheme="minorHAnsi" w:cs="Calibri-Bold"/>
                <w:bCs/>
                <w:i/>
                <w:szCs w:val="24"/>
                <w:lang w:val="en-GB"/>
              </w:rPr>
              <w:t>Flood Resilience Community Pathfinder Evaluation: Rapid Evidence Assessment</w:t>
            </w:r>
            <w:r w:rsidRPr="00C2184D">
              <w:rPr>
                <w:rFonts w:asciiTheme="minorHAnsi" w:hAnsiTheme="minorHAnsi" w:cs="Calibri-Bold"/>
                <w:bCs/>
                <w:szCs w:val="24"/>
                <w:lang w:val="en-GB"/>
              </w:rPr>
              <w:t xml:space="preserve">. </w:t>
            </w:r>
            <w:r w:rsidRPr="00C2184D">
              <w:rPr>
                <w:rFonts w:asciiTheme="minorHAnsi" w:hAnsiTheme="minorHAnsi" w:cs="Calibri"/>
                <w:szCs w:val="24"/>
                <w:lang w:val="en-GB"/>
              </w:rPr>
              <w:t>London: Defra</w:t>
            </w:r>
          </w:p>
        </w:tc>
      </w:tr>
    </w:tbl>
    <w:p w:rsidR="00975B15" w:rsidRPr="00AF0B1C" w:rsidRDefault="00975B15" w:rsidP="00C2184D">
      <w:pPr>
        <w:spacing w:after="0" w:line="240" w:lineRule="auto"/>
        <w:rPr>
          <w:rFonts w:asciiTheme="minorHAnsi" w:hAnsiTheme="minorHAnsi"/>
          <w:szCs w:val="24"/>
        </w:rPr>
      </w:pPr>
      <w:r w:rsidRPr="00AF0B1C">
        <w:rPr>
          <w:rFonts w:asciiTheme="minorHAnsi" w:hAnsiTheme="minorHAnsi"/>
          <w:szCs w:val="24"/>
        </w:rPr>
        <w:br w:type="page"/>
      </w:r>
    </w:p>
    <w:p w:rsidR="00023D59" w:rsidRDefault="00023D59" w:rsidP="001E4991">
      <w:pPr>
        <w:spacing w:after="0" w:line="240" w:lineRule="auto"/>
        <w:jc w:val="center"/>
      </w:pPr>
      <w:r>
        <w:lastRenderedPageBreak/>
        <w:t>Table 1</w:t>
      </w:r>
    </w:p>
    <w:p w:rsidR="00023D59" w:rsidRDefault="00023D59" w:rsidP="001E4991">
      <w:pPr>
        <w:spacing w:after="0" w:line="240" w:lineRule="auto"/>
        <w:jc w:val="center"/>
      </w:pPr>
      <w:r>
        <w:t>The lack of take-up of flood insurance (and structural and contents</w:t>
      </w:r>
      <w:r w:rsidR="00975B15">
        <w:t xml:space="preserve"> insur</w:t>
      </w:r>
      <w:r w:rsidR="008A41CA">
        <w:t>ance</w:t>
      </w:r>
      <w:r>
        <w:t xml:space="preserve"> policies)</w:t>
      </w:r>
    </w:p>
    <w:p w:rsidR="00023D59" w:rsidRDefault="00023D59" w:rsidP="001E4991">
      <w:pPr>
        <w:spacing w:after="0" w:line="240" w:lineRule="auto"/>
        <w:jc w:val="center"/>
      </w:pPr>
      <w:r>
        <w:t xml:space="preserve">(Source: ONS </w:t>
      </w:r>
      <w:r w:rsidRPr="00925F73">
        <w:rPr>
          <w:i/>
        </w:rPr>
        <w:t>Living Costs and Food Survey</w:t>
      </w:r>
      <w:r>
        <w:t xml:space="preserve"> 2014; ‘n’ = sample size)</w:t>
      </w:r>
    </w:p>
    <w:p w:rsidR="00023D59" w:rsidRDefault="00023D59" w:rsidP="001E4991">
      <w:pPr>
        <w:autoSpaceDE w:val="0"/>
        <w:autoSpaceDN w:val="0"/>
        <w:adjustRightInd w:val="0"/>
        <w:spacing w:after="0" w:line="240" w:lineRule="auto"/>
        <w:rPr>
          <w:rFonts w:cs="Calibri"/>
          <w:b/>
          <w:sz w:val="22"/>
          <w:lang w:val="en-GB"/>
        </w:rPr>
      </w:pPr>
      <w:r>
        <w:rPr>
          <w:rFonts w:cs="Calibri"/>
          <w:b/>
          <w:sz w:val="22"/>
          <w:lang w:val="en-GB"/>
        </w:rPr>
        <w:object w:dxaOrig="9272" w:dyaOrig="3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5pt;height:193.05pt" o:ole="">
            <v:imagedata r:id="rId12" o:title=""/>
          </v:shape>
          <o:OLEObject Type="Embed" ProgID="Word.Document.12" ShapeID="_x0000_i1025" DrawAspect="Content" ObjectID="_1612182669" r:id="rId13">
            <o:FieldCodes>\s</o:FieldCodes>
          </o:OLEObject>
        </w:object>
      </w:r>
    </w:p>
    <w:p w:rsidR="00373862" w:rsidRDefault="00373862" w:rsidP="001E4991">
      <w:pPr>
        <w:spacing w:after="0" w:line="240" w:lineRule="auto"/>
      </w:pPr>
    </w:p>
    <w:p w:rsidR="00373862" w:rsidRDefault="00373862" w:rsidP="001E4991">
      <w:pPr>
        <w:spacing w:after="0" w:line="240" w:lineRule="auto"/>
      </w:pPr>
      <w:r>
        <w:br w:type="page"/>
      </w:r>
    </w:p>
    <w:p w:rsidR="00373862" w:rsidRDefault="00373862" w:rsidP="001E4991">
      <w:pPr>
        <w:spacing w:after="0" w:line="240" w:lineRule="auto"/>
      </w:pPr>
    </w:p>
    <w:p w:rsidR="00BF0F66" w:rsidRDefault="00BF0F66" w:rsidP="001E4991">
      <w:pPr>
        <w:spacing w:after="0" w:line="240" w:lineRule="auto"/>
        <w:jc w:val="center"/>
      </w:pPr>
      <w:r>
        <w:t>Table 2</w:t>
      </w:r>
    </w:p>
    <w:p w:rsidR="00BF0F66" w:rsidRDefault="00BF0F66" w:rsidP="001E4991">
      <w:pPr>
        <w:spacing w:after="0" w:line="240" w:lineRule="auto"/>
        <w:jc w:val="center"/>
      </w:pPr>
      <w:r>
        <w:t xml:space="preserve">The lack of take-up of flood insurance by householders in different income groups (Source: ONS </w:t>
      </w:r>
      <w:r w:rsidRPr="00925F73">
        <w:rPr>
          <w:i/>
        </w:rPr>
        <w:t>Living Costs and Food Survey</w:t>
      </w:r>
      <w:r>
        <w:t xml:space="preserve"> 2014; ‘n’ = sample size)</w:t>
      </w:r>
    </w:p>
    <w:p w:rsidR="004E571F" w:rsidRPr="005D214E" w:rsidRDefault="004E571F" w:rsidP="001E4991">
      <w:pPr>
        <w:spacing w:after="0" w:line="240" w:lineRule="auto"/>
        <w:jc w:val="center"/>
        <w:rPr>
          <w:b/>
          <w:szCs w:val="24"/>
        </w:rPr>
      </w:pPr>
    </w:p>
    <w:tbl>
      <w:tblPr>
        <w:tblW w:w="684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1516"/>
        <w:gridCol w:w="1162"/>
        <w:gridCol w:w="1162"/>
      </w:tblGrid>
      <w:tr w:rsidR="00BF0F66" w:rsidRPr="008E210B" w:rsidTr="00DD3411">
        <w:trPr>
          <w:trHeight w:val="300"/>
          <w:jc w:val="center"/>
        </w:trPr>
        <w:tc>
          <w:tcPr>
            <w:tcW w:w="3003" w:type="dxa"/>
            <w:shd w:val="clear" w:color="auto" w:fill="auto"/>
            <w:noWrap/>
            <w:vAlign w:val="bottom"/>
            <w:hideMark/>
          </w:tcPr>
          <w:p w:rsidR="00BF0F66" w:rsidRPr="008E210B" w:rsidRDefault="00BF0F66" w:rsidP="001E4991">
            <w:pPr>
              <w:spacing w:after="0" w:line="240" w:lineRule="auto"/>
              <w:rPr>
                <w:rFonts w:eastAsia="Times New Roman"/>
                <w:color w:val="000000"/>
                <w:sz w:val="22"/>
                <w:lang w:val="en-GB" w:eastAsia="en-GB"/>
              </w:rPr>
            </w:pPr>
            <w:r>
              <w:rPr>
                <w:rFonts w:eastAsia="Times New Roman"/>
                <w:color w:val="000000"/>
                <w:sz w:val="22"/>
                <w:lang w:val="en-GB" w:eastAsia="en-GB"/>
              </w:rPr>
              <w:t>Income deciles</w:t>
            </w:r>
          </w:p>
        </w:tc>
        <w:tc>
          <w:tcPr>
            <w:tcW w:w="1516" w:type="dxa"/>
            <w:shd w:val="clear" w:color="auto" w:fill="auto"/>
            <w:noWrap/>
            <w:vAlign w:val="bottom"/>
            <w:hideMark/>
          </w:tcPr>
          <w:p w:rsidR="00BF0F66" w:rsidRPr="008E210B" w:rsidRDefault="00BF0F66" w:rsidP="001E4991">
            <w:pPr>
              <w:spacing w:after="0" w:line="240" w:lineRule="auto"/>
              <w:jc w:val="center"/>
              <w:rPr>
                <w:rFonts w:eastAsia="Times New Roman"/>
                <w:color w:val="000000"/>
                <w:sz w:val="22"/>
                <w:lang w:val="en-GB" w:eastAsia="en-GB"/>
              </w:rPr>
            </w:pPr>
            <w:r w:rsidRPr="008E210B">
              <w:rPr>
                <w:rFonts w:eastAsia="Times New Roman"/>
                <w:color w:val="000000"/>
                <w:sz w:val="22"/>
                <w:lang w:val="en-GB" w:eastAsia="en-GB"/>
              </w:rPr>
              <w:t>Scotland (n=434)</w:t>
            </w:r>
          </w:p>
        </w:tc>
        <w:tc>
          <w:tcPr>
            <w:tcW w:w="1162" w:type="dxa"/>
            <w:shd w:val="clear" w:color="auto" w:fill="auto"/>
            <w:noWrap/>
            <w:vAlign w:val="bottom"/>
            <w:hideMark/>
          </w:tcPr>
          <w:p w:rsidR="00BF0F66" w:rsidRPr="008E210B" w:rsidRDefault="00BF0F66" w:rsidP="001E4991">
            <w:pPr>
              <w:spacing w:after="0" w:line="240" w:lineRule="auto"/>
              <w:jc w:val="center"/>
              <w:rPr>
                <w:rFonts w:eastAsia="Times New Roman"/>
                <w:color w:val="000000"/>
                <w:sz w:val="22"/>
                <w:lang w:val="en-GB" w:eastAsia="en-GB"/>
              </w:rPr>
            </w:pPr>
            <w:r w:rsidRPr="008E210B">
              <w:rPr>
                <w:rFonts w:eastAsia="Times New Roman"/>
                <w:color w:val="000000"/>
                <w:sz w:val="22"/>
                <w:lang w:val="en-GB" w:eastAsia="en-GB"/>
              </w:rPr>
              <w:t>Rest of UK (n=4699)</w:t>
            </w:r>
          </w:p>
        </w:tc>
        <w:tc>
          <w:tcPr>
            <w:tcW w:w="1162" w:type="dxa"/>
            <w:vAlign w:val="bottom"/>
          </w:tcPr>
          <w:p w:rsidR="00BF0F66" w:rsidRPr="008E210B" w:rsidRDefault="00BF0F66" w:rsidP="001E4991">
            <w:pPr>
              <w:spacing w:after="0" w:line="240" w:lineRule="auto"/>
              <w:jc w:val="center"/>
              <w:rPr>
                <w:rFonts w:eastAsia="Times New Roman"/>
                <w:color w:val="000000"/>
                <w:sz w:val="22"/>
                <w:lang w:val="en-GB" w:eastAsia="en-GB"/>
              </w:rPr>
            </w:pPr>
            <w:r w:rsidRPr="008E210B">
              <w:rPr>
                <w:rFonts w:eastAsia="Times New Roman"/>
                <w:color w:val="000000"/>
                <w:sz w:val="22"/>
                <w:lang w:val="en-GB" w:eastAsia="en-GB"/>
              </w:rPr>
              <w:t>All UK (n=5133)</w:t>
            </w:r>
          </w:p>
        </w:tc>
      </w:tr>
      <w:tr w:rsidR="008A41CA" w:rsidRPr="008E210B" w:rsidTr="00DD3411">
        <w:trPr>
          <w:trHeight w:val="300"/>
          <w:jc w:val="center"/>
        </w:trPr>
        <w:tc>
          <w:tcPr>
            <w:tcW w:w="3003" w:type="dxa"/>
            <w:shd w:val="clear" w:color="auto" w:fill="auto"/>
            <w:noWrap/>
            <w:vAlign w:val="bottom"/>
          </w:tcPr>
          <w:p w:rsidR="008A41CA" w:rsidRPr="008E210B" w:rsidRDefault="008A41CA" w:rsidP="001E4991">
            <w:pPr>
              <w:spacing w:after="0" w:line="240" w:lineRule="auto"/>
              <w:rPr>
                <w:rFonts w:eastAsia="Times New Roman"/>
                <w:color w:val="000000"/>
                <w:sz w:val="22"/>
                <w:lang w:val="en-GB" w:eastAsia="en-GB"/>
              </w:rPr>
            </w:pPr>
          </w:p>
        </w:tc>
        <w:tc>
          <w:tcPr>
            <w:tcW w:w="3840" w:type="dxa"/>
            <w:gridSpan w:val="3"/>
            <w:shd w:val="clear" w:color="auto" w:fill="auto"/>
            <w:noWrap/>
            <w:vAlign w:val="bottom"/>
          </w:tcPr>
          <w:p w:rsidR="008A41CA" w:rsidRPr="008E210B" w:rsidRDefault="008A41CA" w:rsidP="001E4991">
            <w:pPr>
              <w:spacing w:after="0" w:line="240" w:lineRule="auto"/>
              <w:jc w:val="center"/>
              <w:rPr>
                <w:rFonts w:eastAsia="Times New Roman"/>
                <w:color w:val="000000"/>
                <w:sz w:val="22"/>
                <w:lang w:val="en-GB" w:eastAsia="en-GB"/>
              </w:rPr>
            </w:pPr>
            <w:r>
              <w:rPr>
                <w:rFonts w:eastAsia="Times New Roman"/>
                <w:color w:val="000000"/>
                <w:sz w:val="22"/>
                <w:lang w:val="en-GB" w:eastAsia="en-GB"/>
              </w:rPr>
              <w:t>Households not purchasing domestic property insurance</w:t>
            </w:r>
          </w:p>
        </w:tc>
      </w:tr>
      <w:tr w:rsidR="00BF0F66" w:rsidRPr="008E210B" w:rsidTr="00DD3411">
        <w:trPr>
          <w:trHeight w:val="300"/>
          <w:jc w:val="center"/>
        </w:trPr>
        <w:tc>
          <w:tcPr>
            <w:tcW w:w="3003" w:type="dxa"/>
            <w:shd w:val="clear" w:color="auto" w:fill="auto"/>
            <w:noWrap/>
            <w:vAlign w:val="bottom"/>
            <w:hideMark/>
          </w:tcPr>
          <w:p w:rsidR="00BF0F66" w:rsidRPr="008E210B" w:rsidRDefault="00BF0F66" w:rsidP="001E4991">
            <w:pPr>
              <w:spacing w:after="0" w:line="240" w:lineRule="auto"/>
              <w:rPr>
                <w:rFonts w:eastAsia="Times New Roman"/>
                <w:color w:val="000000"/>
                <w:sz w:val="22"/>
                <w:lang w:val="en-GB" w:eastAsia="en-GB"/>
              </w:rPr>
            </w:pPr>
            <w:r w:rsidRPr="008E210B">
              <w:rPr>
                <w:rFonts w:eastAsia="Times New Roman"/>
                <w:color w:val="000000"/>
                <w:sz w:val="22"/>
                <w:lang w:val="en-GB" w:eastAsia="en-GB"/>
              </w:rPr>
              <w:t>Poorest 10%</w:t>
            </w:r>
          </w:p>
        </w:tc>
        <w:tc>
          <w:tcPr>
            <w:tcW w:w="1516" w:type="dxa"/>
            <w:shd w:val="clear" w:color="auto" w:fill="auto"/>
            <w:noWrap/>
            <w:vAlign w:val="bottom"/>
            <w:hideMark/>
          </w:tcPr>
          <w:p w:rsidR="00BF0F66" w:rsidRPr="008E210B" w:rsidRDefault="00BF0F66" w:rsidP="001E4991">
            <w:pPr>
              <w:spacing w:after="0" w:line="240" w:lineRule="auto"/>
              <w:jc w:val="center"/>
              <w:rPr>
                <w:rFonts w:eastAsia="Times New Roman"/>
                <w:color w:val="000000"/>
                <w:sz w:val="22"/>
                <w:lang w:val="en-GB" w:eastAsia="en-GB"/>
              </w:rPr>
            </w:pPr>
            <w:r w:rsidRPr="008E210B">
              <w:rPr>
                <w:rFonts w:eastAsia="Times New Roman"/>
                <w:color w:val="000000"/>
                <w:sz w:val="22"/>
                <w:lang w:val="en-GB" w:eastAsia="en-GB"/>
              </w:rPr>
              <w:t>54.2%</w:t>
            </w:r>
          </w:p>
        </w:tc>
        <w:tc>
          <w:tcPr>
            <w:tcW w:w="1162" w:type="dxa"/>
            <w:shd w:val="clear" w:color="auto" w:fill="auto"/>
            <w:noWrap/>
            <w:vAlign w:val="bottom"/>
            <w:hideMark/>
          </w:tcPr>
          <w:p w:rsidR="00BF0F66" w:rsidRPr="008E210B" w:rsidRDefault="00BF0F66" w:rsidP="001E4991">
            <w:pPr>
              <w:spacing w:after="0" w:line="240" w:lineRule="auto"/>
              <w:jc w:val="center"/>
              <w:rPr>
                <w:rFonts w:eastAsia="Times New Roman"/>
                <w:color w:val="000000"/>
                <w:sz w:val="22"/>
                <w:lang w:val="en-GB" w:eastAsia="en-GB"/>
              </w:rPr>
            </w:pPr>
            <w:r w:rsidRPr="008E210B">
              <w:rPr>
                <w:rFonts w:eastAsia="Times New Roman"/>
                <w:color w:val="000000"/>
                <w:sz w:val="22"/>
                <w:lang w:val="en-GB" w:eastAsia="en-GB"/>
              </w:rPr>
              <w:t>53.3%</w:t>
            </w:r>
          </w:p>
        </w:tc>
        <w:tc>
          <w:tcPr>
            <w:tcW w:w="1162" w:type="dxa"/>
            <w:vAlign w:val="bottom"/>
          </w:tcPr>
          <w:p w:rsidR="00BF0F66" w:rsidRPr="008E210B" w:rsidRDefault="00BF0F66" w:rsidP="001E4991">
            <w:pPr>
              <w:spacing w:after="0" w:line="240" w:lineRule="auto"/>
              <w:jc w:val="center"/>
              <w:rPr>
                <w:rFonts w:eastAsia="Times New Roman"/>
                <w:color w:val="000000"/>
                <w:sz w:val="22"/>
                <w:lang w:val="en-GB" w:eastAsia="en-GB"/>
              </w:rPr>
            </w:pPr>
            <w:r w:rsidRPr="008E210B">
              <w:rPr>
                <w:rFonts w:eastAsia="Times New Roman"/>
                <w:color w:val="000000"/>
                <w:sz w:val="22"/>
                <w:lang w:val="en-GB" w:eastAsia="en-GB"/>
              </w:rPr>
              <w:t>53.4%</w:t>
            </w:r>
          </w:p>
        </w:tc>
      </w:tr>
      <w:tr w:rsidR="00BF0F66" w:rsidRPr="008E210B" w:rsidTr="00DD3411">
        <w:trPr>
          <w:trHeight w:val="300"/>
          <w:jc w:val="center"/>
        </w:trPr>
        <w:tc>
          <w:tcPr>
            <w:tcW w:w="3003" w:type="dxa"/>
            <w:shd w:val="clear" w:color="auto" w:fill="auto"/>
            <w:noWrap/>
            <w:vAlign w:val="bottom"/>
            <w:hideMark/>
          </w:tcPr>
          <w:p w:rsidR="00BF0F66" w:rsidRPr="008E210B" w:rsidRDefault="00BF0F66" w:rsidP="001E4991">
            <w:pPr>
              <w:spacing w:after="0" w:line="240" w:lineRule="auto"/>
              <w:rPr>
                <w:rFonts w:eastAsia="Times New Roman"/>
                <w:color w:val="000000"/>
                <w:sz w:val="22"/>
                <w:lang w:val="en-GB" w:eastAsia="en-GB"/>
              </w:rPr>
            </w:pPr>
            <w:r w:rsidRPr="008E210B">
              <w:rPr>
                <w:rFonts w:eastAsia="Times New Roman"/>
                <w:color w:val="000000"/>
                <w:sz w:val="22"/>
                <w:lang w:val="en-GB" w:eastAsia="en-GB"/>
              </w:rPr>
              <w:t>Middle income (6th decile)</w:t>
            </w:r>
          </w:p>
        </w:tc>
        <w:tc>
          <w:tcPr>
            <w:tcW w:w="1516" w:type="dxa"/>
            <w:shd w:val="clear" w:color="auto" w:fill="auto"/>
            <w:noWrap/>
            <w:vAlign w:val="bottom"/>
            <w:hideMark/>
          </w:tcPr>
          <w:p w:rsidR="00BF0F66" w:rsidRPr="008E210B" w:rsidRDefault="00BF0F66" w:rsidP="001E4991">
            <w:pPr>
              <w:spacing w:after="0" w:line="240" w:lineRule="auto"/>
              <w:jc w:val="center"/>
              <w:rPr>
                <w:rFonts w:eastAsia="Times New Roman"/>
                <w:color w:val="000000"/>
                <w:sz w:val="22"/>
                <w:lang w:val="en-GB" w:eastAsia="en-GB"/>
              </w:rPr>
            </w:pPr>
            <w:r w:rsidRPr="008E210B">
              <w:rPr>
                <w:rFonts w:eastAsia="Times New Roman"/>
                <w:color w:val="000000"/>
                <w:sz w:val="22"/>
                <w:lang w:val="en-GB" w:eastAsia="en-GB"/>
              </w:rPr>
              <w:t>20.3%</w:t>
            </w:r>
          </w:p>
        </w:tc>
        <w:tc>
          <w:tcPr>
            <w:tcW w:w="1162" w:type="dxa"/>
            <w:shd w:val="clear" w:color="auto" w:fill="auto"/>
            <w:noWrap/>
            <w:vAlign w:val="bottom"/>
            <w:hideMark/>
          </w:tcPr>
          <w:p w:rsidR="00BF0F66" w:rsidRPr="008E210B" w:rsidRDefault="00BF0F66" w:rsidP="001E4991">
            <w:pPr>
              <w:spacing w:after="0" w:line="240" w:lineRule="auto"/>
              <w:jc w:val="center"/>
              <w:rPr>
                <w:rFonts w:eastAsia="Times New Roman"/>
                <w:color w:val="000000"/>
                <w:sz w:val="22"/>
                <w:lang w:val="en-GB" w:eastAsia="en-GB"/>
              </w:rPr>
            </w:pPr>
            <w:r w:rsidRPr="008E210B">
              <w:rPr>
                <w:rFonts w:eastAsia="Times New Roman"/>
                <w:color w:val="000000"/>
                <w:sz w:val="22"/>
                <w:lang w:val="en-GB" w:eastAsia="en-GB"/>
              </w:rPr>
              <w:t>18.9%</w:t>
            </w:r>
          </w:p>
        </w:tc>
        <w:tc>
          <w:tcPr>
            <w:tcW w:w="1162" w:type="dxa"/>
            <w:vAlign w:val="bottom"/>
          </w:tcPr>
          <w:p w:rsidR="00BF0F66" w:rsidRPr="008E210B" w:rsidRDefault="00BF0F66" w:rsidP="001E4991">
            <w:pPr>
              <w:spacing w:after="0" w:line="240" w:lineRule="auto"/>
              <w:jc w:val="center"/>
              <w:rPr>
                <w:rFonts w:eastAsia="Times New Roman"/>
                <w:color w:val="000000"/>
                <w:sz w:val="22"/>
                <w:lang w:val="en-GB" w:eastAsia="en-GB"/>
              </w:rPr>
            </w:pPr>
            <w:r w:rsidRPr="008E210B">
              <w:rPr>
                <w:rFonts w:eastAsia="Times New Roman"/>
                <w:color w:val="000000"/>
                <w:sz w:val="22"/>
                <w:lang w:val="en-GB" w:eastAsia="en-GB"/>
              </w:rPr>
              <w:t>19.1%</w:t>
            </w:r>
          </w:p>
        </w:tc>
      </w:tr>
      <w:tr w:rsidR="00BF0F66" w:rsidRPr="008E210B" w:rsidTr="00DD3411">
        <w:trPr>
          <w:trHeight w:val="300"/>
          <w:jc w:val="center"/>
        </w:trPr>
        <w:tc>
          <w:tcPr>
            <w:tcW w:w="3003" w:type="dxa"/>
            <w:shd w:val="clear" w:color="auto" w:fill="auto"/>
            <w:noWrap/>
            <w:vAlign w:val="bottom"/>
            <w:hideMark/>
          </w:tcPr>
          <w:p w:rsidR="00BF0F66" w:rsidRPr="008E210B" w:rsidRDefault="00BF0F66" w:rsidP="001E4991">
            <w:pPr>
              <w:spacing w:after="0" w:line="240" w:lineRule="auto"/>
              <w:rPr>
                <w:rFonts w:eastAsia="Times New Roman"/>
                <w:color w:val="000000"/>
                <w:sz w:val="22"/>
                <w:lang w:val="en-GB" w:eastAsia="en-GB"/>
              </w:rPr>
            </w:pPr>
            <w:r w:rsidRPr="008E210B">
              <w:rPr>
                <w:rFonts w:eastAsia="Times New Roman"/>
                <w:color w:val="000000"/>
                <w:sz w:val="22"/>
                <w:lang w:val="en-GB" w:eastAsia="en-GB"/>
              </w:rPr>
              <w:t>Richest 10%</w:t>
            </w:r>
          </w:p>
        </w:tc>
        <w:tc>
          <w:tcPr>
            <w:tcW w:w="1516" w:type="dxa"/>
            <w:shd w:val="clear" w:color="auto" w:fill="auto"/>
            <w:noWrap/>
            <w:vAlign w:val="bottom"/>
            <w:hideMark/>
          </w:tcPr>
          <w:p w:rsidR="00BF0F66" w:rsidRPr="008E210B" w:rsidRDefault="00BF0F66" w:rsidP="001E4991">
            <w:pPr>
              <w:spacing w:after="0" w:line="240" w:lineRule="auto"/>
              <w:jc w:val="center"/>
              <w:rPr>
                <w:rFonts w:eastAsia="Times New Roman"/>
                <w:color w:val="000000"/>
                <w:sz w:val="22"/>
                <w:lang w:val="en-GB" w:eastAsia="en-GB"/>
              </w:rPr>
            </w:pPr>
            <w:r w:rsidRPr="008E210B">
              <w:rPr>
                <w:rFonts w:eastAsia="Times New Roman"/>
                <w:color w:val="000000"/>
                <w:sz w:val="22"/>
                <w:lang w:val="en-GB" w:eastAsia="en-GB"/>
              </w:rPr>
              <w:t>2.5%</w:t>
            </w:r>
          </w:p>
        </w:tc>
        <w:tc>
          <w:tcPr>
            <w:tcW w:w="1162" w:type="dxa"/>
            <w:shd w:val="clear" w:color="auto" w:fill="auto"/>
            <w:noWrap/>
            <w:vAlign w:val="bottom"/>
            <w:hideMark/>
          </w:tcPr>
          <w:p w:rsidR="00BF0F66" w:rsidRPr="008E210B" w:rsidRDefault="00BF0F66" w:rsidP="001E4991">
            <w:pPr>
              <w:spacing w:after="0" w:line="240" w:lineRule="auto"/>
              <w:jc w:val="center"/>
              <w:rPr>
                <w:rFonts w:eastAsia="Times New Roman"/>
                <w:color w:val="000000"/>
                <w:sz w:val="22"/>
                <w:lang w:val="en-GB" w:eastAsia="en-GB"/>
              </w:rPr>
            </w:pPr>
            <w:r w:rsidRPr="008E210B">
              <w:rPr>
                <w:rFonts w:eastAsia="Times New Roman"/>
                <w:color w:val="000000"/>
                <w:sz w:val="22"/>
                <w:lang w:val="en-GB" w:eastAsia="en-GB"/>
              </w:rPr>
              <w:t>4.9%</w:t>
            </w:r>
          </w:p>
        </w:tc>
        <w:tc>
          <w:tcPr>
            <w:tcW w:w="1162" w:type="dxa"/>
            <w:vAlign w:val="bottom"/>
          </w:tcPr>
          <w:p w:rsidR="00BF0F66" w:rsidRPr="008E210B" w:rsidRDefault="00BF0F66" w:rsidP="001E4991">
            <w:pPr>
              <w:spacing w:after="0" w:line="240" w:lineRule="auto"/>
              <w:jc w:val="center"/>
              <w:rPr>
                <w:rFonts w:eastAsia="Times New Roman"/>
                <w:color w:val="000000"/>
                <w:sz w:val="22"/>
                <w:lang w:val="en-GB" w:eastAsia="en-GB"/>
              </w:rPr>
            </w:pPr>
            <w:r w:rsidRPr="008E210B">
              <w:rPr>
                <w:rFonts w:eastAsia="Times New Roman"/>
                <w:color w:val="000000"/>
                <w:sz w:val="22"/>
                <w:lang w:val="en-GB" w:eastAsia="en-GB"/>
              </w:rPr>
              <w:t>4.7%</w:t>
            </w:r>
          </w:p>
        </w:tc>
      </w:tr>
    </w:tbl>
    <w:p w:rsidR="00BF0F66" w:rsidRDefault="00BF0F66" w:rsidP="001E4991">
      <w:pPr>
        <w:spacing w:after="0" w:line="240" w:lineRule="auto"/>
        <w:jc w:val="center"/>
      </w:pPr>
    </w:p>
    <w:p w:rsidR="00373862" w:rsidRDefault="00373862" w:rsidP="001E4991">
      <w:pPr>
        <w:spacing w:after="0" w:line="240" w:lineRule="auto"/>
      </w:pPr>
      <w:r>
        <w:br w:type="page"/>
      </w:r>
    </w:p>
    <w:p w:rsidR="00A04444" w:rsidRDefault="00A04444" w:rsidP="001E4991">
      <w:pPr>
        <w:spacing w:after="0" w:line="240" w:lineRule="auto"/>
        <w:jc w:val="center"/>
      </w:pPr>
      <w:r>
        <w:lastRenderedPageBreak/>
        <w:t>Table 3</w:t>
      </w:r>
    </w:p>
    <w:p w:rsidR="00A04444" w:rsidRDefault="00A04444" w:rsidP="001E4991">
      <w:pPr>
        <w:spacing w:after="0" w:line="240" w:lineRule="auto"/>
        <w:jc w:val="center"/>
      </w:pPr>
      <w:r>
        <w:t xml:space="preserve">The lack of take-up of flood insurance by householders in different tenure/housing types (Source: ONS </w:t>
      </w:r>
      <w:r w:rsidRPr="00925F73">
        <w:rPr>
          <w:i/>
        </w:rPr>
        <w:t>Living Costs and Food Survey</w:t>
      </w:r>
      <w:r>
        <w:t xml:space="preserve"> 2014; ‘n’ = sample size)</w:t>
      </w:r>
    </w:p>
    <w:p w:rsidR="00A04444" w:rsidRPr="005D214E" w:rsidRDefault="00A04444" w:rsidP="001E4991">
      <w:pPr>
        <w:spacing w:after="0" w:line="240" w:lineRule="auto"/>
        <w:rPr>
          <w:b/>
          <w:szCs w:val="24"/>
        </w:rPr>
      </w:pPr>
    </w:p>
    <w:tbl>
      <w:tblPr>
        <w:tblW w:w="6808" w:type="dxa"/>
        <w:jc w:val="center"/>
        <w:tblInd w:w="-2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987"/>
        <w:gridCol w:w="1333"/>
      </w:tblGrid>
      <w:tr w:rsidR="00A04444" w:rsidRPr="005D214E" w:rsidTr="00DD3411">
        <w:trPr>
          <w:trHeight w:val="300"/>
          <w:jc w:val="center"/>
        </w:trPr>
        <w:tc>
          <w:tcPr>
            <w:tcW w:w="4488" w:type="dxa"/>
            <w:shd w:val="clear" w:color="auto" w:fill="auto"/>
            <w:noWrap/>
            <w:vAlign w:val="bottom"/>
            <w:hideMark/>
          </w:tcPr>
          <w:p w:rsidR="00A04444" w:rsidRPr="005D214E" w:rsidRDefault="00A04444" w:rsidP="001E4991">
            <w:pPr>
              <w:spacing w:after="0" w:line="240" w:lineRule="auto"/>
              <w:rPr>
                <w:rFonts w:eastAsia="Times New Roman"/>
                <w:color w:val="000000"/>
                <w:sz w:val="22"/>
                <w:lang w:val="en-GB" w:eastAsia="en-GB"/>
              </w:rPr>
            </w:pPr>
            <w:r>
              <w:rPr>
                <w:rFonts w:eastAsia="Times New Roman"/>
                <w:color w:val="000000"/>
                <w:sz w:val="22"/>
                <w:lang w:val="en-GB" w:eastAsia="en-GB"/>
              </w:rPr>
              <w:t>Households not purchasing domestic insurance (tenure type)</w:t>
            </w:r>
          </w:p>
        </w:tc>
        <w:tc>
          <w:tcPr>
            <w:tcW w:w="987" w:type="dxa"/>
            <w:shd w:val="clear" w:color="auto" w:fill="auto"/>
            <w:noWrap/>
            <w:vAlign w:val="bottom"/>
            <w:hideMark/>
          </w:tcPr>
          <w:p w:rsidR="00A04444" w:rsidRPr="005D214E" w:rsidRDefault="00A04444" w:rsidP="001E4991">
            <w:pPr>
              <w:spacing w:after="0" w:line="240" w:lineRule="auto"/>
              <w:jc w:val="center"/>
              <w:rPr>
                <w:rFonts w:eastAsia="Times New Roman"/>
                <w:color w:val="000000"/>
                <w:sz w:val="22"/>
                <w:lang w:val="en-GB" w:eastAsia="en-GB"/>
              </w:rPr>
            </w:pPr>
            <w:r w:rsidRPr="005D214E">
              <w:rPr>
                <w:rFonts w:eastAsia="Times New Roman"/>
                <w:color w:val="000000"/>
                <w:sz w:val="22"/>
                <w:lang w:val="en-GB" w:eastAsia="en-GB"/>
              </w:rPr>
              <w:t>Scotland (n=434)</w:t>
            </w:r>
          </w:p>
        </w:tc>
        <w:tc>
          <w:tcPr>
            <w:tcW w:w="1333" w:type="dxa"/>
            <w:shd w:val="clear" w:color="auto" w:fill="auto"/>
            <w:noWrap/>
            <w:vAlign w:val="bottom"/>
            <w:hideMark/>
          </w:tcPr>
          <w:p w:rsidR="00A04444" w:rsidRPr="005D214E" w:rsidRDefault="00A04444" w:rsidP="001E4991">
            <w:pPr>
              <w:spacing w:after="0" w:line="240" w:lineRule="auto"/>
              <w:jc w:val="center"/>
              <w:rPr>
                <w:rFonts w:eastAsia="Times New Roman"/>
                <w:color w:val="000000"/>
                <w:sz w:val="22"/>
                <w:lang w:val="en-GB" w:eastAsia="en-GB"/>
              </w:rPr>
            </w:pPr>
            <w:r w:rsidRPr="005D214E">
              <w:rPr>
                <w:rFonts w:eastAsia="Times New Roman"/>
                <w:color w:val="000000"/>
                <w:sz w:val="22"/>
                <w:lang w:val="en-GB" w:eastAsia="en-GB"/>
              </w:rPr>
              <w:t>Rest of UK (n=4699)</w:t>
            </w:r>
          </w:p>
        </w:tc>
      </w:tr>
      <w:tr w:rsidR="00A04444" w:rsidRPr="005D214E" w:rsidTr="00DD3411">
        <w:trPr>
          <w:trHeight w:val="300"/>
          <w:jc w:val="center"/>
        </w:trPr>
        <w:tc>
          <w:tcPr>
            <w:tcW w:w="4488" w:type="dxa"/>
            <w:shd w:val="clear" w:color="auto" w:fill="auto"/>
            <w:noWrap/>
            <w:vAlign w:val="bottom"/>
            <w:hideMark/>
          </w:tcPr>
          <w:p w:rsidR="00A04444" w:rsidRPr="005D214E" w:rsidRDefault="00A04444" w:rsidP="001E4991">
            <w:pPr>
              <w:spacing w:after="0" w:line="240" w:lineRule="auto"/>
              <w:rPr>
                <w:rFonts w:eastAsia="Times New Roman"/>
                <w:color w:val="000000"/>
                <w:sz w:val="22"/>
                <w:lang w:val="en-GB" w:eastAsia="en-GB"/>
              </w:rPr>
            </w:pPr>
            <w:r w:rsidRPr="005D214E">
              <w:rPr>
                <w:rFonts w:eastAsia="Times New Roman"/>
                <w:color w:val="000000"/>
                <w:sz w:val="22"/>
                <w:lang w:val="en-GB" w:eastAsia="en-GB"/>
              </w:rPr>
              <w:t>Local authority</w:t>
            </w:r>
          </w:p>
        </w:tc>
        <w:tc>
          <w:tcPr>
            <w:tcW w:w="987" w:type="dxa"/>
            <w:shd w:val="clear" w:color="auto" w:fill="auto"/>
            <w:noWrap/>
            <w:vAlign w:val="bottom"/>
            <w:hideMark/>
          </w:tcPr>
          <w:p w:rsidR="00A04444" w:rsidRPr="005D214E" w:rsidRDefault="00A04444" w:rsidP="001E4991">
            <w:pPr>
              <w:spacing w:after="0" w:line="240" w:lineRule="auto"/>
              <w:jc w:val="center"/>
              <w:rPr>
                <w:rFonts w:eastAsia="Times New Roman"/>
                <w:color w:val="000000"/>
                <w:sz w:val="22"/>
                <w:lang w:val="en-GB" w:eastAsia="en-GB"/>
              </w:rPr>
            </w:pPr>
            <w:r w:rsidRPr="005D214E">
              <w:rPr>
                <w:rFonts w:eastAsia="Times New Roman"/>
                <w:color w:val="000000"/>
                <w:sz w:val="22"/>
                <w:lang w:val="en-GB" w:eastAsia="en-GB"/>
              </w:rPr>
              <w:t>66.7</w:t>
            </w:r>
            <w:r>
              <w:rPr>
                <w:rFonts w:eastAsia="Times New Roman"/>
                <w:color w:val="000000"/>
                <w:sz w:val="22"/>
                <w:lang w:val="en-GB" w:eastAsia="en-GB"/>
              </w:rPr>
              <w:t>%</w:t>
            </w:r>
          </w:p>
        </w:tc>
        <w:tc>
          <w:tcPr>
            <w:tcW w:w="1333" w:type="dxa"/>
            <w:shd w:val="clear" w:color="auto" w:fill="auto"/>
            <w:noWrap/>
            <w:vAlign w:val="bottom"/>
            <w:hideMark/>
          </w:tcPr>
          <w:p w:rsidR="00A04444" w:rsidRPr="005D214E" w:rsidRDefault="00A04444" w:rsidP="001E4991">
            <w:pPr>
              <w:spacing w:after="0" w:line="240" w:lineRule="auto"/>
              <w:jc w:val="center"/>
              <w:rPr>
                <w:rFonts w:eastAsia="Times New Roman"/>
                <w:color w:val="000000"/>
                <w:sz w:val="22"/>
                <w:lang w:val="en-GB" w:eastAsia="en-GB"/>
              </w:rPr>
            </w:pPr>
            <w:r w:rsidRPr="005D214E">
              <w:rPr>
                <w:rFonts w:eastAsia="Times New Roman"/>
                <w:color w:val="000000"/>
                <w:sz w:val="22"/>
                <w:lang w:val="en-GB" w:eastAsia="en-GB"/>
              </w:rPr>
              <w:t>63.3</w:t>
            </w:r>
            <w:r>
              <w:rPr>
                <w:rFonts w:eastAsia="Times New Roman"/>
                <w:color w:val="000000"/>
                <w:sz w:val="22"/>
                <w:lang w:val="en-GB" w:eastAsia="en-GB"/>
              </w:rPr>
              <w:t>%</w:t>
            </w:r>
          </w:p>
        </w:tc>
      </w:tr>
      <w:tr w:rsidR="00A04444" w:rsidRPr="005D214E" w:rsidTr="00DD3411">
        <w:trPr>
          <w:trHeight w:val="300"/>
          <w:jc w:val="center"/>
        </w:trPr>
        <w:tc>
          <w:tcPr>
            <w:tcW w:w="4488" w:type="dxa"/>
            <w:shd w:val="clear" w:color="auto" w:fill="auto"/>
            <w:noWrap/>
            <w:vAlign w:val="bottom"/>
            <w:hideMark/>
          </w:tcPr>
          <w:p w:rsidR="00A04444" w:rsidRPr="005D214E" w:rsidRDefault="00A04444" w:rsidP="001E4991">
            <w:pPr>
              <w:spacing w:after="0" w:line="240" w:lineRule="auto"/>
              <w:rPr>
                <w:rFonts w:eastAsia="Times New Roman"/>
                <w:color w:val="000000"/>
                <w:sz w:val="22"/>
                <w:lang w:val="en-GB" w:eastAsia="en-GB"/>
              </w:rPr>
            </w:pPr>
            <w:r w:rsidRPr="005D214E">
              <w:rPr>
                <w:rFonts w:eastAsia="Times New Roman"/>
                <w:color w:val="000000"/>
                <w:sz w:val="22"/>
                <w:lang w:val="en-GB" w:eastAsia="en-GB"/>
              </w:rPr>
              <w:t xml:space="preserve">Housing Association </w:t>
            </w:r>
          </w:p>
        </w:tc>
        <w:tc>
          <w:tcPr>
            <w:tcW w:w="987" w:type="dxa"/>
            <w:shd w:val="clear" w:color="auto" w:fill="auto"/>
            <w:noWrap/>
            <w:vAlign w:val="bottom"/>
            <w:hideMark/>
          </w:tcPr>
          <w:p w:rsidR="00A04444" w:rsidRPr="005D214E" w:rsidRDefault="00A04444" w:rsidP="001E4991">
            <w:pPr>
              <w:spacing w:after="0" w:line="240" w:lineRule="auto"/>
              <w:jc w:val="center"/>
              <w:rPr>
                <w:rFonts w:eastAsia="Times New Roman"/>
                <w:color w:val="000000"/>
                <w:sz w:val="22"/>
                <w:lang w:val="en-GB" w:eastAsia="en-GB"/>
              </w:rPr>
            </w:pPr>
            <w:r w:rsidRPr="005D214E">
              <w:rPr>
                <w:rFonts w:eastAsia="Times New Roman"/>
                <w:color w:val="000000"/>
                <w:sz w:val="22"/>
                <w:lang w:val="en-GB" w:eastAsia="en-GB"/>
              </w:rPr>
              <w:t>78.1</w:t>
            </w:r>
            <w:r>
              <w:rPr>
                <w:rFonts w:eastAsia="Times New Roman"/>
                <w:color w:val="000000"/>
                <w:sz w:val="22"/>
                <w:lang w:val="en-GB" w:eastAsia="en-GB"/>
              </w:rPr>
              <w:t>%</w:t>
            </w:r>
          </w:p>
        </w:tc>
        <w:tc>
          <w:tcPr>
            <w:tcW w:w="1333" w:type="dxa"/>
            <w:shd w:val="clear" w:color="auto" w:fill="auto"/>
            <w:noWrap/>
            <w:vAlign w:val="bottom"/>
            <w:hideMark/>
          </w:tcPr>
          <w:p w:rsidR="00A04444" w:rsidRPr="005D214E" w:rsidRDefault="00A04444" w:rsidP="001E4991">
            <w:pPr>
              <w:spacing w:after="0" w:line="240" w:lineRule="auto"/>
              <w:jc w:val="center"/>
              <w:rPr>
                <w:rFonts w:eastAsia="Times New Roman"/>
                <w:color w:val="000000"/>
                <w:sz w:val="22"/>
                <w:lang w:val="en-GB" w:eastAsia="en-GB"/>
              </w:rPr>
            </w:pPr>
            <w:r w:rsidRPr="005D214E">
              <w:rPr>
                <w:rFonts w:eastAsia="Times New Roman"/>
                <w:color w:val="000000"/>
                <w:sz w:val="22"/>
                <w:lang w:val="en-GB" w:eastAsia="en-GB"/>
              </w:rPr>
              <w:t>64.4</w:t>
            </w:r>
            <w:r>
              <w:rPr>
                <w:rFonts w:eastAsia="Times New Roman"/>
                <w:color w:val="000000"/>
                <w:sz w:val="22"/>
                <w:lang w:val="en-GB" w:eastAsia="en-GB"/>
              </w:rPr>
              <w:t>%</w:t>
            </w:r>
          </w:p>
        </w:tc>
      </w:tr>
      <w:tr w:rsidR="00A04444" w:rsidRPr="005D214E" w:rsidTr="00DD3411">
        <w:trPr>
          <w:trHeight w:val="300"/>
          <w:jc w:val="center"/>
        </w:trPr>
        <w:tc>
          <w:tcPr>
            <w:tcW w:w="4488" w:type="dxa"/>
            <w:shd w:val="clear" w:color="auto" w:fill="auto"/>
            <w:noWrap/>
            <w:vAlign w:val="bottom"/>
            <w:hideMark/>
          </w:tcPr>
          <w:p w:rsidR="00A04444" w:rsidRPr="005D214E" w:rsidRDefault="00A04444" w:rsidP="001E4991">
            <w:pPr>
              <w:spacing w:after="0" w:line="240" w:lineRule="auto"/>
              <w:rPr>
                <w:rFonts w:eastAsia="Times New Roman"/>
                <w:color w:val="000000"/>
                <w:sz w:val="22"/>
                <w:lang w:val="en-GB" w:eastAsia="en-GB"/>
              </w:rPr>
            </w:pPr>
            <w:r w:rsidRPr="005D214E">
              <w:rPr>
                <w:rFonts w:eastAsia="Times New Roman"/>
                <w:color w:val="000000"/>
                <w:sz w:val="22"/>
                <w:lang w:val="en-GB" w:eastAsia="en-GB"/>
              </w:rPr>
              <w:t>Private rental unfurnished</w:t>
            </w:r>
          </w:p>
        </w:tc>
        <w:tc>
          <w:tcPr>
            <w:tcW w:w="987" w:type="dxa"/>
            <w:shd w:val="clear" w:color="auto" w:fill="auto"/>
            <w:noWrap/>
            <w:vAlign w:val="bottom"/>
            <w:hideMark/>
          </w:tcPr>
          <w:p w:rsidR="00A04444" w:rsidRPr="005D214E" w:rsidRDefault="00A04444" w:rsidP="001E4991">
            <w:pPr>
              <w:spacing w:after="0" w:line="240" w:lineRule="auto"/>
              <w:jc w:val="center"/>
              <w:rPr>
                <w:rFonts w:eastAsia="Times New Roman"/>
                <w:color w:val="000000"/>
                <w:sz w:val="22"/>
                <w:lang w:val="en-GB" w:eastAsia="en-GB"/>
              </w:rPr>
            </w:pPr>
            <w:r w:rsidRPr="005D214E">
              <w:rPr>
                <w:rFonts w:eastAsia="Times New Roman"/>
                <w:color w:val="000000"/>
                <w:sz w:val="22"/>
                <w:lang w:val="en-GB" w:eastAsia="en-GB"/>
              </w:rPr>
              <w:t>64.5</w:t>
            </w:r>
            <w:r>
              <w:rPr>
                <w:rFonts w:eastAsia="Times New Roman"/>
                <w:color w:val="000000"/>
                <w:sz w:val="22"/>
                <w:lang w:val="en-GB" w:eastAsia="en-GB"/>
              </w:rPr>
              <w:t>%</w:t>
            </w:r>
          </w:p>
        </w:tc>
        <w:tc>
          <w:tcPr>
            <w:tcW w:w="1333" w:type="dxa"/>
            <w:shd w:val="clear" w:color="auto" w:fill="auto"/>
            <w:noWrap/>
            <w:vAlign w:val="bottom"/>
            <w:hideMark/>
          </w:tcPr>
          <w:p w:rsidR="00A04444" w:rsidRPr="005D214E" w:rsidRDefault="00A04444" w:rsidP="001E4991">
            <w:pPr>
              <w:spacing w:after="0" w:line="240" w:lineRule="auto"/>
              <w:jc w:val="center"/>
              <w:rPr>
                <w:rFonts w:eastAsia="Times New Roman"/>
                <w:color w:val="000000"/>
                <w:sz w:val="22"/>
                <w:lang w:val="en-GB" w:eastAsia="en-GB"/>
              </w:rPr>
            </w:pPr>
            <w:r w:rsidRPr="005D214E">
              <w:rPr>
                <w:rFonts w:eastAsia="Times New Roman"/>
                <w:color w:val="000000"/>
                <w:sz w:val="22"/>
                <w:lang w:val="en-GB" w:eastAsia="en-GB"/>
              </w:rPr>
              <w:t>60.5</w:t>
            </w:r>
            <w:r>
              <w:rPr>
                <w:rFonts w:eastAsia="Times New Roman"/>
                <w:color w:val="000000"/>
                <w:sz w:val="22"/>
                <w:lang w:val="en-GB" w:eastAsia="en-GB"/>
              </w:rPr>
              <w:t>%</w:t>
            </w:r>
          </w:p>
        </w:tc>
      </w:tr>
      <w:tr w:rsidR="00A04444" w:rsidRPr="005D214E" w:rsidTr="00DD3411">
        <w:trPr>
          <w:trHeight w:val="300"/>
          <w:jc w:val="center"/>
        </w:trPr>
        <w:tc>
          <w:tcPr>
            <w:tcW w:w="4488" w:type="dxa"/>
            <w:shd w:val="clear" w:color="auto" w:fill="auto"/>
            <w:noWrap/>
            <w:vAlign w:val="bottom"/>
            <w:hideMark/>
          </w:tcPr>
          <w:p w:rsidR="00A04444" w:rsidRPr="005D214E" w:rsidRDefault="00A04444" w:rsidP="001E4991">
            <w:pPr>
              <w:spacing w:after="0" w:line="240" w:lineRule="auto"/>
              <w:rPr>
                <w:rFonts w:eastAsia="Times New Roman"/>
                <w:color w:val="000000"/>
                <w:sz w:val="22"/>
                <w:lang w:val="en-GB" w:eastAsia="en-GB"/>
              </w:rPr>
            </w:pPr>
            <w:r w:rsidRPr="005D214E">
              <w:rPr>
                <w:rFonts w:eastAsia="Times New Roman"/>
                <w:color w:val="000000"/>
                <w:sz w:val="22"/>
                <w:lang w:val="en-GB" w:eastAsia="en-GB"/>
              </w:rPr>
              <w:t xml:space="preserve">Private rental furnished </w:t>
            </w:r>
          </w:p>
        </w:tc>
        <w:tc>
          <w:tcPr>
            <w:tcW w:w="987" w:type="dxa"/>
            <w:shd w:val="clear" w:color="auto" w:fill="auto"/>
            <w:noWrap/>
            <w:vAlign w:val="bottom"/>
            <w:hideMark/>
          </w:tcPr>
          <w:p w:rsidR="00A04444" w:rsidRPr="005D214E" w:rsidRDefault="00A04444" w:rsidP="001E4991">
            <w:pPr>
              <w:spacing w:after="0" w:line="240" w:lineRule="auto"/>
              <w:jc w:val="center"/>
              <w:rPr>
                <w:rFonts w:eastAsia="Times New Roman"/>
                <w:color w:val="000000"/>
                <w:sz w:val="22"/>
                <w:lang w:val="en-GB" w:eastAsia="en-GB"/>
              </w:rPr>
            </w:pPr>
            <w:r w:rsidRPr="005D214E">
              <w:rPr>
                <w:rFonts w:eastAsia="Times New Roman"/>
                <w:color w:val="000000"/>
                <w:sz w:val="22"/>
                <w:lang w:val="en-GB" w:eastAsia="en-GB"/>
              </w:rPr>
              <w:t>80.0</w:t>
            </w:r>
            <w:r>
              <w:rPr>
                <w:rFonts w:eastAsia="Times New Roman"/>
                <w:color w:val="000000"/>
                <w:sz w:val="22"/>
                <w:lang w:val="en-GB" w:eastAsia="en-GB"/>
              </w:rPr>
              <w:t>%</w:t>
            </w:r>
          </w:p>
        </w:tc>
        <w:tc>
          <w:tcPr>
            <w:tcW w:w="1333" w:type="dxa"/>
            <w:shd w:val="clear" w:color="auto" w:fill="auto"/>
            <w:noWrap/>
            <w:vAlign w:val="bottom"/>
            <w:hideMark/>
          </w:tcPr>
          <w:p w:rsidR="00A04444" w:rsidRPr="005D214E" w:rsidRDefault="00A04444" w:rsidP="001E4991">
            <w:pPr>
              <w:spacing w:after="0" w:line="240" w:lineRule="auto"/>
              <w:jc w:val="center"/>
              <w:rPr>
                <w:rFonts w:eastAsia="Times New Roman"/>
                <w:color w:val="000000"/>
                <w:sz w:val="22"/>
                <w:lang w:val="en-GB" w:eastAsia="en-GB"/>
              </w:rPr>
            </w:pPr>
            <w:r w:rsidRPr="005D214E">
              <w:rPr>
                <w:rFonts w:eastAsia="Times New Roman"/>
                <w:color w:val="000000"/>
                <w:sz w:val="22"/>
                <w:lang w:val="en-GB" w:eastAsia="en-GB"/>
              </w:rPr>
              <w:t>78.6</w:t>
            </w:r>
            <w:r>
              <w:rPr>
                <w:rFonts w:eastAsia="Times New Roman"/>
                <w:color w:val="000000"/>
                <w:sz w:val="22"/>
                <w:lang w:val="en-GB" w:eastAsia="en-GB"/>
              </w:rPr>
              <w:t>%</w:t>
            </w:r>
          </w:p>
        </w:tc>
      </w:tr>
      <w:tr w:rsidR="00A04444" w:rsidRPr="005D214E" w:rsidTr="00DD3411">
        <w:trPr>
          <w:trHeight w:val="300"/>
          <w:jc w:val="center"/>
        </w:trPr>
        <w:tc>
          <w:tcPr>
            <w:tcW w:w="4488" w:type="dxa"/>
            <w:shd w:val="clear" w:color="auto" w:fill="auto"/>
            <w:noWrap/>
            <w:vAlign w:val="bottom"/>
            <w:hideMark/>
          </w:tcPr>
          <w:p w:rsidR="00A04444" w:rsidRPr="005D214E" w:rsidRDefault="00A04444" w:rsidP="001E4991">
            <w:pPr>
              <w:spacing w:after="0" w:line="240" w:lineRule="auto"/>
              <w:rPr>
                <w:rFonts w:eastAsia="Times New Roman"/>
                <w:color w:val="000000"/>
                <w:sz w:val="22"/>
                <w:lang w:val="en-GB" w:eastAsia="en-GB"/>
              </w:rPr>
            </w:pPr>
            <w:r w:rsidRPr="005D214E">
              <w:rPr>
                <w:rFonts w:eastAsia="Times New Roman"/>
                <w:color w:val="000000"/>
                <w:sz w:val="22"/>
                <w:lang w:val="en-GB" w:eastAsia="en-GB"/>
              </w:rPr>
              <w:t xml:space="preserve">Owner with mortgage </w:t>
            </w:r>
          </w:p>
        </w:tc>
        <w:tc>
          <w:tcPr>
            <w:tcW w:w="987" w:type="dxa"/>
            <w:shd w:val="clear" w:color="auto" w:fill="auto"/>
            <w:noWrap/>
            <w:vAlign w:val="bottom"/>
            <w:hideMark/>
          </w:tcPr>
          <w:p w:rsidR="00A04444" w:rsidRPr="005D214E" w:rsidRDefault="00A04444" w:rsidP="001E4991">
            <w:pPr>
              <w:spacing w:after="0" w:line="240" w:lineRule="auto"/>
              <w:jc w:val="center"/>
              <w:rPr>
                <w:rFonts w:eastAsia="Times New Roman"/>
                <w:color w:val="000000"/>
                <w:sz w:val="22"/>
                <w:lang w:val="en-GB" w:eastAsia="en-GB"/>
              </w:rPr>
            </w:pPr>
            <w:r w:rsidRPr="005D214E">
              <w:rPr>
                <w:rFonts w:eastAsia="Times New Roman"/>
                <w:color w:val="000000"/>
                <w:sz w:val="22"/>
                <w:lang w:val="en-GB" w:eastAsia="en-GB"/>
              </w:rPr>
              <w:t>0.0</w:t>
            </w:r>
            <w:r>
              <w:rPr>
                <w:rFonts w:eastAsia="Times New Roman"/>
                <w:color w:val="000000"/>
                <w:sz w:val="22"/>
                <w:lang w:val="en-GB" w:eastAsia="en-GB"/>
              </w:rPr>
              <w:t>%</w:t>
            </w:r>
          </w:p>
        </w:tc>
        <w:tc>
          <w:tcPr>
            <w:tcW w:w="1333" w:type="dxa"/>
            <w:shd w:val="clear" w:color="auto" w:fill="auto"/>
            <w:noWrap/>
            <w:vAlign w:val="bottom"/>
            <w:hideMark/>
          </w:tcPr>
          <w:p w:rsidR="00A04444" w:rsidRPr="005D214E" w:rsidRDefault="00A04444" w:rsidP="001E4991">
            <w:pPr>
              <w:spacing w:after="0" w:line="240" w:lineRule="auto"/>
              <w:jc w:val="center"/>
              <w:rPr>
                <w:rFonts w:eastAsia="Times New Roman"/>
                <w:color w:val="000000"/>
                <w:sz w:val="22"/>
                <w:lang w:val="en-GB" w:eastAsia="en-GB"/>
              </w:rPr>
            </w:pPr>
            <w:r w:rsidRPr="005D214E">
              <w:rPr>
                <w:rFonts w:eastAsia="Times New Roman"/>
                <w:color w:val="000000"/>
                <w:sz w:val="22"/>
                <w:lang w:val="en-GB" w:eastAsia="en-GB"/>
              </w:rPr>
              <w:t>2.1</w:t>
            </w:r>
            <w:r>
              <w:rPr>
                <w:rFonts w:eastAsia="Times New Roman"/>
                <w:color w:val="000000"/>
                <w:sz w:val="22"/>
                <w:lang w:val="en-GB" w:eastAsia="en-GB"/>
              </w:rPr>
              <w:t>%</w:t>
            </w:r>
          </w:p>
        </w:tc>
      </w:tr>
      <w:tr w:rsidR="00A04444" w:rsidRPr="005D214E" w:rsidTr="00DD3411">
        <w:trPr>
          <w:trHeight w:val="300"/>
          <w:jc w:val="center"/>
        </w:trPr>
        <w:tc>
          <w:tcPr>
            <w:tcW w:w="4488" w:type="dxa"/>
            <w:shd w:val="clear" w:color="auto" w:fill="auto"/>
            <w:noWrap/>
            <w:vAlign w:val="bottom"/>
            <w:hideMark/>
          </w:tcPr>
          <w:p w:rsidR="00A04444" w:rsidRPr="005D214E" w:rsidRDefault="00A04444" w:rsidP="001E4991">
            <w:pPr>
              <w:spacing w:after="0" w:line="240" w:lineRule="auto"/>
              <w:rPr>
                <w:rFonts w:eastAsia="Times New Roman"/>
                <w:color w:val="000000"/>
                <w:sz w:val="22"/>
                <w:lang w:val="en-GB" w:eastAsia="en-GB"/>
              </w:rPr>
            </w:pPr>
            <w:r w:rsidRPr="005D214E">
              <w:rPr>
                <w:rFonts w:eastAsia="Times New Roman"/>
                <w:color w:val="000000"/>
                <w:sz w:val="22"/>
                <w:lang w:val="en-GB" w:eastAsia="en-GB"/>
              </w:rPr>
              <w:t xml:space="preserve">Owner outright </w:t>
            </w:r>
          </w:p>
        </w:tc>
        <w:tc>
          <w:tcPr>
            <w:tcW w:w="987" w:type="dxa"/>
            <w:shd w:val="clear" w:color="auto" w:fill="auto"/>
            <w:noWrap/>
            <w:vAlign w:val="bottom"/>
            <w:hideMark/>
          </w:tcPr>
          <w:p w:rsidR="00A04444" w:rsidRPr="005D214E" w:rsidRDefault="00A04444" w:rsidP="001E4991">
            <w:pPr>
              <w:spacing w:after="0" w:line="240" w:lineRule="auto"/>
              <w:jc w:val="center"/>
              <w:rPr>
                <w:rFonts w:eastAsia="Times New Roman"/>
                <w:color w:val="000000"/>
                <w:sz w:val="22"/>
                <w:lang w:val="en-GB" w:eastAsia="en-GB"/>
              </w:rPr>
            </w:pPr>
            <w:r w:rsidRPr="005D214E">
              <w:rPr>
                <w:rFonts w:eastAsia="Times New Roman"/>
                <w:color w:val="000000"/>
                <w:sz w:val="22"/>
                <w:lang w:val="en-GB" w:eastAsia="en-GB"/>
              </w:rPr>
              <w:t>1.6</w:t>
            </w:r>
            <w:r>
              <w:rPr>
                <w:rFonts w:eastAsia="Times New Roman"/>
                <w:color w:val="000000"/>
                <w:sz w:val="22"/>
                <w:lang w:val="en-GB" w:eastAsia="en-GB"/>
              </w:rPr>
              <w:t>%</w:t>
            </w:r>
          </w:p>
        </w:tc>
        <w:tc>
          <w:tcPr>
            <w:tcW w:w="1333" w:type="dxa"/>
            <w:shd w:val="clear" w:color="auto" w:fill="auto"/>
            <w:noWrap/>
            <w:vAlign w:val="bottom"/>
            <w:hideMark/>
          </w:tcPr>
          <w:p w:rsidR="00A04444" w:rsidRPr="005D214E" w:rsidRDefault="00A04444" w:rsidP="001E4991">
            <w:pPr>
              <w:spacing w:after="0" w:line="240" w:lineRule="auto"/>
              <w:jc w:val="center"/>
              <w:rPr>
                <w:rFonts w:eastAsia="Times New Roman"/>
                <w:color w:val="000000"/>
                <w:sz w:val="22"/>
                <w:lang w:val="en-GB" w:eastAsia="en-GB"/>
              </w:rPr>
            </w:pPr>
            <w:r w:rsidRPr="005D214E">
              <w:rPr>
                <w:rFonts w:eastAsia="Times New Roman"/>
                <w:color w:val="000000"/>
                <w:sz w:val="22"/>
                <w:lang w:val="en-GB" w:eastAsia="en-GB"/>
              </w:rPr>
              <w:t>2.9</w:t>
            </w:r>
            <w:r>
              <w:rPr>
                <w:rFonts w:eastAsia="Times New Roman"/>
                <w:color w:val="000000"/>
                <w:sz w:val="22"/>
                <w:lang w:val="en-GB" w:eastAsia="en-GB"/>
              </w:rPr>
              <w:t>%</w:t>
            </w:r>
          </w:p>
        </w:tc>
      </w:tr>
      <w:tr w:rsidR="00A04444" w:rsidRPr="005D214E" w:rsidTr="00DD3411">
        <w:trPr>
          <w:trHeight w:val="300"/>
          <w:jc w:val="center"/>
        </w:trPr>
        <w:tc>
          <w:tcPr>
            <w:tcW w:w="4488" w:type="dxa"/>
            <w:shd w:val="clear" w:color="auto" w:fill="auto"/>
            <w:noWrap/>
            <w:vAlign w:val="bottom"/>
            <w:hideMark/>
          </w:tcPr>
          <w:p w:rsidR="00A04444" w:rsidRPr="005D214E" w:rsidRDefault="00A04444" w:rsidP="001E4991">
            <w:pPr>
              <w:spacing w:after="0" w:line="240" w:lineRule="auto"/>
              <w:rPr>
                <w:rFonts w:eastAsia="Times New Roman"/>
                <w:color w:val="000000"/>
                <w:sz w:val="22"/>
                <w:lang w:val="en-GB" w:eastAsia="en-GB"/>
              </w:rPr>
            </w:pPr>
            <w:r w:rsidRPr="005D214E">
              <w:rPr>
                <w:rFonts w:eastAsia="Times New Roman"/>
                <w:color w:val="000000"/>
                <w:sz w:val="22"/>
                <w:lang w:val="en-GB" w:eastAsia="en-GB"/>
              </w:rPr>
              <w:t>All tenures</w:t>
            </w:r>
          </w:p>
        </w:tc>
        <w:tc>
          <w:tcPr>
            <w:tcW w:w="987" w:type="dxa"/>
            <w:shd w:val="clear" w:color="auto" w:fill="auto"/>
            <w:noWrap/>
            <w:vAlign w:val="bottom"/>
            <w:hideMark/>
          </w:tcPr>
          <w:p w:rsidR="00A04444" w:rsidRPr="005D214E" w:rsidRDefault="00A04444" w:rsidP="001E4991">
            <w:pPr>
              <w:spacing w:after="0" w:line="240" w:lineRule="auto"/>
              <w:jc w:val="center"/>
              <w:rPr>
                <w:rFonts w:eastAsia="Times New Roman"/>
                <w:color w:val="000000"/>
                <w:sz w:val="22"/>
                <w:lang w:val="en-GB" w:eastAsia="en-GB"/>
              </w:rPr>
            </w:pPr>
            <w:r w:rsidRPr="005D214E">
              <w:rPr>
                <w:rFonts w:eastAsia="Times New Roman"/>
                <w:color w:val="000000"/>
                <w:sz w:val="22"/>
                <w:lang w:val="en-GB" w:eastAsia="en-GB"/>
              </w:rPr>
              <w:t>22.6</w:t>
            </w:r>
            <w:r>
              <w:rPr>
                <w:rFonts w:eastAsia="Times New Roman"/>
                <w:color w:val="000000"/>
                <w:sz w:val="22"/>
                <w:lang w:val="en-GB" w:eastAsia="en-GB"/>
              </w:rPr>
              <w:t>%</w:t>
            </w:r>
          </w:p>
        </w:tc>
        <w:tc>
          <w:tcPr>
            <w:tcW w:w="1333" w:type="dxa"/>
            <w:shd w:val="clear" w:color="auto" w:fill="auto"/>
            <w:noWrap/>
            <w:vAlign w:val="bottom"/>
            <w:hideMark/>
          </w:tcPr>
          <w:p w:rsidR="00A04444" w:rsidRPr="005D214E" w:rsidRDefault="00A04444" w:rsidP="001E4991">
            <w:pPr>
              <w:spacing w:after="0" w:line="240" w:lineRule="auto"/>
              <w:jc w:val="center"/>
              <w:rPr>
                <w:rFonts w:eastAsia="Times New Roman"/>
                <w:color w:val="000000"/>
                <w:sz w:val="22"/>
                <w:lang w:val="en-GB" w:eastAsia="en-GB"/>
              </w:rPr>
            </w:pPr>
            <w:r w:rsidRPr="005D214E">
              <w:rPr>
                <w:rFonts w:eastAsia="Times New Roman"/>
                <w:color w:val="000000"/>
                <w:sz w:val="22"/>
                <w:lang w:val="en-GB" w:eastAsia="en-GB"/>
              </w:rPr>
              <w:t>21.8</w:t>
            </w:r>
            <w:r>
              <w:rPr>
                <w:rFonts w:eastAsia="Times New Roman"/>
                <w:color w:val="000000"/>
                <w:sz w:val="22"/>
                <w:lang w:val="en-GB" w:eastAsia="en-GB"/>
              </w:rPr>
              <w:t>%</w:t>
            </w:r>
          </w:p>
        </w:tc>
      </w:tr>
    </w:tbl>
    <w:p w:rsidR="00A04444" w:rsidRDefault="00A04444" w:rsidP="001E4991">
      <w:pPr>
        <w:spacing w:after="0" w:line="240" w:lineRule="auto"/>
        <w:rPr>
          <w:b/>
          <w:szCs w:val="24"/>
        </w:rPr>
      </w:pPr>
    </w:p>
    <w:p w:rsidR="00A04444" w:rsidRDefault="00A04444" w:rsidP="001E4991">
      <w:pPr>
        <w:spacing w:after="0" w:line="240" w:lineRule="auto"/>
      </w:pPr>
      <w:r>
        <w:br w:type="page"/>
      </w:r>
    </w:p>
    <w:p w:rsidR="0077497E" w:rsidRDefault="0077497E" w:rsidP="001E4991">
      <w:pPr>
        <w:spacing w:after="0" w:line="240" w:lineRule="auto"/>
        <w:jc w:val="center"/>
        <w:rPr>
          <w:szCs w:val="24"/>
        </w:rPr>
      </w:pPr>
      <w:r>
        <w:rPr>
          <w:szCs w:val="24"/>
        </w:rPr>
        <w:lastRenderedPageBreak/>
        <w:t>Table 4</w:t>
      </w:r>
    </w:p>
    <w:p w:rsidR="0077497E" w:rsidRDefault="0077497E" w:rsidP="001E4991">
      <w:pPr>
        <w:spacing w:after="0" w:line="240" w:lineRule="auto"/>
        <w:jc w:val="center"/>
        <w:rPr>
          <w:szCs w:val="24"/>
        </w:rPr>
      </w:pPr>
      <w:r w:rsidRPr="00DD14F2">
        <w:rPr>
          <w:szCs w:val="24"/>
        </w:rPr>
        <w:t>Tenure type differences between Scotland and the rest of the UK</w:t>
      </w:r>
    </w:p>
    <w:p w:rsidR="0077497E" w:rsidRDefault="0077497E" w:rsidP="001E4991">
      <w:pPr>
        <w:spacing w:after="0" w:line="240" w:lineRule="auto"/>
        <w:jc w:val="center"/>
      </w:pPr>
      <w:r>
        <w:t xml:space="preserve">(Source: ONS </w:t>
      </w:r>
      <w:r w:rsidRPr="00925F73">
        <w:rPr>
          <w:i/>
        </w:rPr>
        <w:t>Living Costs and Food Survey</w:t>
      </w:r>
      <w:r>
        <w:t xml:space="preserve"> 2014; ‘n’ = sample size)</w:t>
      </w:r>
    </w:p>
    <w:p w:rsidR="0077497E" w:rsidRDefault="0077497E" w:rsidP="001E4991">
      <w:pPr>
        <w:spacing w:after="0" w:line="240" w:lineRule="auto"/>
        <w:jc w:val="center"/>
      </w:pPr>
    </w:p>
    <w:tbl>
      <w:tblPr>
        <w:tblW w:w="5789" w:type="dxa"/>
        <w:jc w:val="center"/>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987"/>
        <w:gridCol w:w="1490"/>
      </w:tblGrid>
      <w:tr w:rsidR="0077497E" w:rsidRPr="00DD14F2" w:rsidTr="00DD3411">
        <w:trPr>
          <w:trHeight w:val="300"/>
          <w:jc w:val="center"/>
        </w:trPr>
        <w:tc>
          <w:tcPr>
            <w:tcW w:w="3312" w:type="dxa"/>
            <w:shd w:val="clear" w:color="auto" w:fill="auto"/>
            <w:noWrap/>
            <w:vAlign w:val="bottom"/>
            <w:hideMark/>
          </w:tcPr>
          <w:p w:rsidR="0077497E" w:rsidRPr="00DD14F2" w:rsidRDefault="0077497E" w:rsidP="001E4991">
            <w:pPr>
              <w:spacing w:after="0" w:line="240" w:lineRule="auto"/>
              <w:rPr>
                <w:rFonts w:eastAsia="Times New Roman"/>
                <w:color w:val="000000"/>
                <w:sz w:val="22"/>
                <w:lang w:val="en-GB" w:eastAsia="en-GB"/>
              </w:rPr>
            </w:pPr>
            <w:r>
              <w:rPr>
                <w:rFonts w:eastAsia="Times New Roman"/>
                <w:color w:val="000000"/>
                <w:sz w:val="22"/>
                <w:lang w:val="en-GB" w:eastAsia="en-GB"/>
              </w:rPr>
              <w:t>Tenure type</w:t>
            </w:r>
          </w:p>
        </w:tc>
        <w:tc>
          <w:tcPr>
            <w:tcW w:w="987" w:type="dxa"/>
            <w:shd w:val="clear" w:color="auto" w:fill="auto"/>
            <w:noWrap/>
            <w:vAlign w:val="bottom"/>
            <w:hideMark/>
          </w:tcPr>
          <w:p w:rsidR="0077497E" w:rsidRPr="00DD14F2" w:rsidRDefault="0077497E" w:rsidP="001E4991">
            <w:pPr>
              <w:spacing w:after="0" w:line="240" w:lineRule="auto"/>
              <w:jc w:val="center"/>
              <w:rPr>
                <w:rFonts w:eastAsia="Times New Roman"/>
                <w:color w:val="000000"/>
                <w:sz w:val="22"/>
                <w:lang w:val="en-GB" w:eastAsia="en-GB"/>
              </w:rPr>
            </w:pPr>
            <w:r w:rsidRPr="00DD14F2">
              <w:rPr>
                <w:rFonts w:eastAsia="Times New Roman"/>
                <w:color w:val="000000"/>
                <w:sz w:val="22"/>
                <w:lang w:val="en-GB" w:eastAsia="en-GB"/>
              </w:rPr>
              <w:t>Scotland (n=434)</w:t>
            </w:r>
          </w:p>
        </w:tc>
        <w:tc>
          <w:tcPr>
            <w:tcW w:w="1490" w:type="dxa"/>
            <w:shd w:val="clear" w:color="auto" w:fill="auto"/>
            <w:noWrap/>
            <w:vAlign w:val="bottom"/>
            <w:hideMark/>
          </w:tcPr>
          <w:p w:rsidR="0077497E" w:rsidRPr="00DD14F2" w:rsidRDefault="0077497E" w:rsidP="001E4991">
            <w:pPr>
              <w:spacing w:after="0" w:line="240" w:lineRule="auto"/>
              <w:jc w:val="center"/>
              <w:rPr>
                <w:rFonts w:eastAsia="Times New Roman"/>
                <w:color w:val="000000"/>
                <w:sz w:val="22"/>
                <w:lang w:val="en-GB" w:eastAsia="en-GB"/>
              </w:rPr>
            </w:pPr>
            <w:r w:rsidRPr="00DD14F2">
              <w:rPr>
                <w:rFonts w:eastAsia="Times New Roman"/>
                <w:color w:val="000000"/>
                <w:sz w:val="22"/>
                <w:lang w:val="en-GB" w:eastAsia="en-GB"/>
              </w:rPr>
              <w:t>Rest of UK (n=4699)</w:t>
            </w:r>
          </w:p>
        </w:tc>
      </w:tr>
      <w:tr w:rsidR="0077497E" w:rsidRPr="00DD14F2" w:rsidTr="00DD3411">
        <w:trPr>
          <w:trHeight w:val="300"/>
          <w:jc w:val="center"/>
        </w:trPr>
        <w:tc>
          <w:tcPr>
            <w:tcW w:w="3312" w:type="dxa"/>
            <w:shd w:val="clear" w:color="auto" w:fill="auto"/>
            <w:noWrap/>
            <w:vAlign w:val="bottom"/>
            <w:hideMark/>
          </w:tcPr>
          <w:p w:rsidR="0077497E" w:rsidRPr="00DD14F2" w:rsidRDefault="0077497E" w:rsidP="001E4991">
            <w:pPr>
              <w:spacing w:after="0" w:line="240" w:lineRule="auto"/>
              <w:rPr>
                <w:rFonts w:eastAsia="Times New Roman"/>
                <w:color w:val="000000"/>
                <w:sz w:val="22"/>
                <w:lang w:val="en-GB" w:eastAsia="en-GB"/>
              </w:rPr>
            </w:pPr>
            <w:r w:rsidRPr="00DD14F2">
              <w:rPr>
                <w:rFonts w:eastAsia="Times New Roman"/>
                <w:color w:val="000000"/>
                <w:sz w:val="22"/>
                <w:lang w:val="en-GB" w:eastAsia="en-GB"/>
              </w:rPr>
              <w:t>Local authority</w:t>
            </w:r>
          </w:p>
        </w:tc>
        <w:tc>
          <w:tcPr>
            <w:tcW w:w="987" w:type="dxa"/>
            <w:shd w:val="clear" w:color="auto" w:fill="auto"/>
            <w:noWrap/>
            <w:vAlign w:val="bottom"/>
            <w:hideMark/>
          </w:tcPr>
          <w:p w:rsidR="0077497E" w:rsidRPr="00DD14F2" w:rsidRDefault="0077497E" w:rsidP="001E4991">
            <w:pPr>
              <w:spacing w:after="0" w:line="240" w:lineRule="auto"/>
              <w:jc w:val="center"/>
              <w:rPr>
                <w:rFonts w:eastAsia="Times New Roman"/>
                <w:color w:val="000000"/>
                <w:sz w:val="22"/>
                <w:lang w:val="en-GB" w:eastAsia="en-GB"/>
              </w:rPr>
            </w:pPr>
            <w:r w:rsidRPr="00DD14F2">
              <w:rPr>
                <w:rFonts w:eastAsia="Times New Roman"/>
                <w:color w:val="000000"/>
                <w:sz w:val="22"/>
                <w:lang w:val="en-GB" w:eastAsia="en-GB"/>
              </w:rPr>
              <w:t>12.4%</w:t>
            </w:r>
          </w:p>
        </w:tc>
        <w:tc>
          <w:tcPr>
            <w:tcW w:w="1490" w:type="dxa"/>
            <w:shd w:val="clear" w:color="auto" w:fill="auto"/>
            <w:noWrap/>
            <w:vAlign w:val="bottom"/>
            <w:hideMark/>
          </w:tcPr>
          <w:p w:rsidR="0077497E" w:rsidRPr="00DD14F2" w:rsidRDefault="0077497E" w:rsidP="001E4991">
            <w:pPr>
              <w:spacing w:after="0" w:line="240" w:lineRule="auto"/>
              <w:jc w:val="center"/>
              <w:rPr>
                <w:rFonts w:eastAsia="Times New Roman"/>
                <w:color w:val="000000"/>
                <w:sz w:val="22"/>
                <w:lang w:val="en-GB" w:eastAsia="en-GB"/>
              </w:rPr>
            </w:pPr>
            <w:r w:rsidRPr="00DD14F2">
              <w:rPr>
                <w:rFonts w:eastAsia="Times New Roman"/>
                <w:color w:val="000000"/>
                <w:sz w:val="22"/>
                <w:lang w:val="en-GB" w:eastAsia="en-GB"/>
              </w:rPr>
              <w:t>8.5%</w:t>
            </w:r>
          </w:p>
        </w:tc>
      </w:tr>
      <w:tr w:rsidR="0077497E" w:rsidRPr="00DD14F2" w:rsidTr="00DD3411">
        <w:trPr>
          <w:trHeight w:val="300"/>
          <w:jc w:val="center"/>
        </w:trPr>
        <w:tc>
          <w:tcPr>
            <w:tcW w:w="3312" w:type="dxa"/>
            <w:shd w:val="clear" w:color="auto" w:fill="auto"/>
            <w:noWrap/>
            <w:vAlign w:val="bottom"/>
            <w:hideMark/>
          </w:tcPr>
          <w:p w:rsidR="0077497E" w:rsidRPr="00DD14F2" w:rsidRDefault="0077497E" w:rsidP="001E4991">
            <w:pPr>
              <w:spacing w:after="0" w:line="240" w:lineRule="auto"/>
              <w:rPr>
                <w:rFonts w:eastAsia="Times New Roman"/>
                <w:color w:val="000000"/>
                <w:sz w:val="22"/>
                <w:lang w:val="en-GB" w:eastAsia="en-GB"/>
              </w:rPr>
            </w:pPr>
            <w:r w:rsidRPr="00DD14F2">
              <w:rPr>
                <w:rFonts w:eastAsia="Times New Roman"/>
                <w:color w:val="000000"/>
                <w:sz w:val="22"/>
                <w:lang w:val="en-GB" w:eastAsia="en-GB"/>
              </w:rPr>
              <w:t xml:space="preserve">Housing Association </w:t>
            </w:r>
          </w:p>
        </w:tc>
        <w:tc>
          <w:tcPr>
            <w:tcW w:w="987" w:type="dxa"/>
            <w:shd w:val="clear" w:color="auto" w:fill="auto"/>
            <w:noWrap/>
            <w:vAlign w:val="bottom"/>
            <w:hideMark/>
          </w:tcPr>
          <w:p w:rsidR="0077497E" w:rsidRPr="00DD14F2" w:rsidRDefault="0077497E" w:rsidP="001E4991">
            <w:pPr>
              <w:spacing w:after="0" w:line="240" w:lineRule="auto"/>
              <w:jc w:val="center"/>
              <w:rPr>
                <w:rFonts w:eastAsia="Times New Roman"/>
                <w:color w:val="000000"/>
                <w:sz w:val="22"/>
                <w:lang w:val="en-GB" w:eastAsia="en-GB"/>
              </w:rPr>
            </w:pPr>
            <w:r w:rsidRPr="00DD14F2">
              <w:rPr>
                <w:rFonts w:eastAsia="Times New Roman"/>
                <w:color w:val="000000"/>
                <w:sz w:val="22"/>
                <w:lang w:val="en-GB" w:eastAsia="en-GB"/>
              </w:rPr>
              <w:t>7.4%</w:t>
            </w:r>
          </w:p>
        </w:tc>
        <w:tc>
          <w:tcPr>
            <w:tcW w:w="1490" w:type="dxa"/>
            <w:shd w:val="clear" w:color="auto" w:fill="auto"/>
            <w:noWrap/>
            <w:vAlign w:val="bottom"/>
            <w:hideMark/>
          </w:tcPr>
          <w:p w:rsidR="0077497E" w:rsidRPr="00DD14F2" w:rsidRDefault="0077497E" w:rsidP="001E4991">
            <w:pPr>
              <w:spacing w:after="0" w:line="240" w:lineRule="auto"/>
              <w:jc w:val="center"/>
              <w:rPr>
                <w:rFonts w:eastAsia="Times New Roman"/>
                <w:color w:val="000000"/>
                <w:sz w:val="22"/>
                <w:lang w:val="en-GB" w:eastAsia="en-GB"/>
              </w:rPr>
            </w:pPr>
            <w:r w:rsidRPr="00DD14F2">
              <w:rPr>
                <w:rFonts w:eastAsia="Times New Roman"/>
                <w:color w:val="000000"/>
                <w:sz w:val="22"/>
                <w:lang w:val="en-GB" w:eastAsia="en-GB"/>
              </w:rPr>
              <w:t>8.0%</w:t>
            </w:r>
          </w:p>
        </w:tc>
      </w:tr>
      <w:tr w:rsidR="0077497E" w:rsidRPr="00DD14F2" w:rsidTr="00DD3411">
        <w:trPr>
          <w:trHeight w:val="300"/>
          <w:jc w:val="center"/>
        </w:trPr>
        <w:tc>
          <w:tcPr>
            <w:tcW w:w="3312" w:type="dxa"/>
            <w:shd w:val="clear" w:color="auto" w:fill="auto"/>
            <w:noWrap/>
            <w:vAlign w:val="bottom"/>
            <w:hideMark/>
          </w:tcPr>
          <w:p w:rsidR="0077497E" w:rsidRPr="00DD14F2" w:rsidRDefault="0077497E" w:rsidP="001E4991">
            <w:pPr>
              <w:spacing w:after="0" w:line="240" w:lineRule="auto"/>
              <w:rPr>
                <w:rFonts w:eastAsia="Times New Roman"/>
                <w:color w:val="000000"/>
                <w:sz w:val="22"/>
                <w:lang w:val="en-GB" w:eastAsia="en-GB"/>
              </w:rPr>
            </w:pPr>
            <w:r w:rsidRPr="00DD14F2">
              <w:rPr>
                <w:rFonts w:eastAsia="Times New Roman"/>
                <w:color w:val="000000"/>
                <w:sz w:val="22"/>
                <w:lang w:val="en-GB" w:eastAsia="en-GB"/>
              </w:rPr>
              <w:t>Private rental unfurnished</w:t>
            </w:r>
          </w:p>
        </w:tc>
        <w:tc>
          <w:tcPr>
            <w:tcW w:w="987" w:type="dxa"/>
            <w:shd w:val="clear" w:color="auto" w:fill="auto"/>
            <w:noWrap/>
            <w:vAlign w:val="bottom"/>
            <w:hideMark/>
          </w:tcPr>
          <w:p w:rsidR="0077497E" w:rsidRPr="00DD14F2" w:rsidRDefault="0077497E" w:rsidP="001E4991">
            <w:pPr>
              <w:spacing w:after="0" w:line="240" w:lineRule="auto"/>
              <w:jc w:val="center"/>
              <w:rPr>
                <w:rFonts w:eastAsia="Times New Roman"/>
                <w:color w:val="000000"/>
                <w:sz w:val="22"/>
                <w:lang w:val="en-GB" w:eastAsia="en-GB"/>
              </w:rPr>
            </w:pPr>
            <w:r w:rsidRPr="00DD14F2">
              <w:rPr>
                <w:rFonts w:eastAsia="Times New Roman"/>
                <w:color w:val="000000"/>
                <w:sz w:val="22"/>
                <w:lang w:val="en-GB" w:eastAsia="en-GB"/>
              </w:rPr>
              <w:t>7.1%</w:t>
            </w:r>
          </w:p>
        </w:tc>
        <w:tc>
          <w:tcPr>
            <w:tcW w:w="1490" w:type="dxa"/>
            <w:shd w:val="clear" w:color="auto" w:fill="auto"/>
            <w:noWrap/>
            <w:vAlign w:val="bottom"/>
            <w:hideMark/>
          </w:tcPr>
          <w:p w:rsidR="0077497E" w:rsidRPr="00DD14F2" w:rsidRDefault="0077497E" w:rsidP="001E4991">
            <w:pPr>
              <w:spacing w:after="0" w:line="240" w:lineRule="auto"/>
              <w:jc w:val="center"/>
              <w:rPr>
                <w:rFonts w:eastAsia="Times New Roman"/>
                <w:color w:val="000000"/>
                <w:sz w:val="22"/>
                <w:lang w:val="en-GB" w:eastAsia="en-GB"/>
              </w:rPr>
            </w:pPr>
            <w:r w:rsidRPr="00DD14F2">
              <w:rPr>
                <w:rFonts w:eastAsia="Times New Roman"/>
                <w:color w:val="000000"/>
                <w:sz w:val="22"/>
                <w:lang w:val="en-GB" w:eastAsia="en-GB"/>
              </w:rPr>
              <w:t>12.3%</w:t>
            </w:r>
          </w:p>
        </w:tc>
      </w:tr>
      <w:tr w:rsidR="0077497E" w:rsidRPr="00DD14F2" w:rsidTr="00DD3411">
        <w:trPr>
          <w:trHeight w:val="300"/>
          <w:jc w:val="center"/>
        </w:trPr>
        <w:tc>
          <w:tcPr>
            <w:tcW w:w="3312" w:type="dxa"/>
            <w:shd w:val="clear" w:color="auto" w:fill="auto"/>
            <w:noWrap/>
            <w:vAlign w:val="bottom"/>
            <w:hideMark/>
          </w:tcPr>
          <w:p w:rsidR="0077497E" w:rsidRPr="00DD14F2" w:rsidRDefault="0077497E" w:rsidP="001E4991">
            <w:pPr>
              <w:spacing w:after="0" w:line="240" w:lineRule="auto"/>
              <w:rPr>
                <w:rFonts w:eastAsia="Times New Roman"/>
                <w:color w:val="000000"/>
                <w:sz w:val="22"/>
                <w:lang w:val="en-GB" w:eastAsia="en-GB"/>
              </w:rPr>
            </w:pPr>
            <w:r w:rsidRPr="00DD14F2">
              <w:rPr>
                <w:rFonts w:eastAsia="Times New Roman"/>
                <w:color w:val="000000"/>
                <w:sz w:val="22"/>
                <w:lang w:val="en-GB" w:eastAsia="en-GB"/>
              </w:rPr>
              <w:t xml:space="preserve">Private rental furnished </w:t>
            </w:r>
          </w:p>
        </w:tc>
        <w:tc>
          <w:tcPr>
            <w:tcW w:w="987" w:type="dxa"/>
            <w:shd w:val="clear" w:color="auto" w:fill="auto"/>
            <w:noWrap/>
            <w:vAlign w:val="bottom"/>
            <w:hideMark/>
          </w:tcPr>
          <w:p w:rsidR="0077497E" w:rsidRPr="00DD14F2" w:rsidRDefault="0077497E" w:rsidP="001E4991">
            <w:pPr>
              <w:spacing w:after="0" w:line="240" w:lineRule="auto"/>
              <w:jc w:val="center"/>
              <w:rPr>
                <w:rFonts w:eastAsia="Times New Roman"/>
                <w:color w:val="000000"/>
                <w:sz w:val="22"/>
                <w:lang w:val="en-GB" w:eastAsia="en-GB"/>
              </w:rPr>
            </w:pPr>
            <w:r w:rsidRPr="00DD14F2">
              <w:rPr>
                <w:rFonts w:eastAsia="Times New Roman"/>
                <w:color w:val="000000"/>
                <w:sz w:val="22"/>
                <w:lang w:val="en-GB" w:eastAsia="en-GB"/>
              </w:rPr>
              <w:t>2.3%</w:t>
            </w:r>
          </w:p>
        </w:tc>
        <w:tc>
          <w:tcPr>
            <w:tcW w:w="1490" w:type="dxa"/>
            <w:shd w:val="clear" w:color="auto" w:fill="auto"/>
            <w:noWrap/>
            <w:vAlign w:val="bottom"/>
            <w:hideMark/>
          </w:tcPr>
          <w:p w:rsidR="0077497E" w:rsidRPr="00DD14F2" w:rsidRDefault="0077497E" w:rsidP="001E4991">
            <w:pPr>
              <w:spacing w:after="0" w:line="240" w:lineRule="auto"/>
              <w:jc w:val="center"/>
              <w:rPr>
                <w:rFonts w:eastAsia="Times New Roman"/>
                <w:color w:val="000000"/>
                <w:sz w:val="22"/>
                <w:lang w:val="en-GB" w:eastAsia="en-GB"/>
              </w:rPr>
            </w:pPr>
            <w:r w:rsidRPr="00DD14F2">
              <w:rPr>
                <w:rFonts w:eastAsia="Times New Roman"/>
                <w:color w:val="000000"/>
                <w:sz w:val="22"/>
                <w:lang w:val="en-GB" w:eastAsia="en-GB"/>
              </w:rPr>
              <w:t>2.2%</w:t>
            </w:r>
          </w:p>
        </w:tc>
      </w:tr>
      <w:tr w:rsidR="0077497E" w:rsidRPr="00DD14F2" w:rsidTr="00DD3411">
        <w:trPr>
          <w:trHeight w:val="272"/>
          <w:jc w:val="center"/>
        </w:trPr>
        <w:tc>
          <w:tcPr>
            <w:tcW w:w="3312" w:type="dxa"/>
            <w:shd w:val="clear" w:color="auto" w:fill="auto"/>
            <w:noWrap/>
            <w:vAlign w:val="bottom"/>
            <w:hideMark/>
          </w:tcPr>
          <w:p w:rsidR="0077497E" w:rsidRPr="00DD14F2" w:rsidRDefault="0077497E" w:rsidP="001E4991">
            <w:pPr>
              <w:spacing w:after="0" w:line="240" w:lineRule="auto"/>
              <w:rPr>
                <w:rFonts w:eastAsia="Times New Roman"/>
                <w:color w:val="000000"/>
                <w:sz w:val="22"/>
                <w:lang w:val="en-GB" w:eastAsia="en-GB"/>
              </w:rPr>
            </w:pPr>
            <w:r w:rsidRPr="00DD14F2">
              <w:rPr>
                <w:rFonts w:eastAsia="Times New Roman"/>
                <w:color w:val="000000"/>
                <w:sz w:val="22"/>
                <w:lang w:val="en-GB" w:eastAsia="en-GB"/>
              </w:rPr>
              <w:t xml:space="preserve">Owner with mortgage </w:t>
            </w:r>
          </w:p>
        </w:tc>
        <w:tc>
          <w:tcPr>
            <w:tcW w:w="987" w:type="dxa"/>
            <w:shd w:val="clear" w:color="auto" w:fill="auto"/>
            <w:noWrap/>
            <w:vAlign w:val="bottom"/>
            <w:hideMark/>
          </w:tcPr>
          <w:p w:rsidR="0077497E" w:rsidRPr="00DD14F2" w:rsidRDefault="0077497E" w:rsidP="001E4991">
            <w:pPr>
              <w:spacing w:after="0" w:line="240" w:lineRule="auto"/>
              <w:jc w:val="center"/>
              <w:rPr>
                <w:rFonts w:eastAsia="Times New Roman"/>
                <w:color w:val="000000"/>
                <w:sz w:val="22"/>
                <w:lang w:val="en-GB" w:eastAsia="en-GB"/>
              </w:rPr>
            </w:pPr>
            <w:r w:rsidRPr="00DD14F2">
              <w:rPr>
                <w:rFonts w:eastAsia="Times New Roman"/>
                <w:color w:val="000000"/>
                <w:sz w:val="22"/>
                <w:lang w:val="en-GB" w:eastAsia="en-GB"/>
              </w:rPr>
              <w:t>26.3%</w:t>
            </w:r>
          </w:p>
        </w:tc>
        <w:tc>
          <w:tcPr>
            <w:tcW w:w="1490" w:type="dxa"/>
            <w:shd w:val="clear" w:color="auto" w:fill="auto"/>
            <w:noWrap/>
            <w:vAlign w:val="bottom"/>
            <w:hideMark/>
          </w:tcPr>
          <w:p w:rsidR="0077497E" w:rsidRPr="00DD14F2" w:rsidRDefault="0077497E" w:rsidP="001E4991">
            <w:pPr>
              <w:spacing w:after="0" w:line="240" w:lineRule="auto"/>
              <w:jc w:val="center"/>
              <w:rPr>
                <w:rFonts w:eastAsia="Times New Roman"/>
                <w:color w:val="000000"/>
                <w:sz w:val="22"/>
                <w:lang w:val="en-GB" w:eastAsia="en-GB"/>
              </w:rPr>
            </w:pPr>
            <w:r w:rsidRPr="00DD14F2">
              <w:rPr>
                <w:rFonts w:eastAsia="Times New Roman"/>
                <w:color w:val="000000"/>
                <w:sz w:val="22"/>
                <w:lang w:val="en-GB" w:eastAsia="en-GB"/>
              </w:rPr>
              <w:t>31.1%</w:t>
            </w:r>
          </w:p>
        </w:tc>
      </w:tr>
      <w:tr w:rsidR="0077497E" w:rsidRPr="00DD14F2" w:rsidTr="00DD3411">
        <w:trPr>
          <w:trHeight w:val="300"/>
          <w:jc w:val="center"/>
        </w:trPr>
        <w:tc>
          <w:tcPr>
            <w:tcW w:w="3312" w:type="dxa"/>
            <w:shd w:val="clear" w:color="auto" w:fill="auto"/>
            <w:noWrap/>
            <w:vAlign w:val="bottom"/>
            <w:hideMark/>
          </w:tcPr>
          <w:p w:rsidR="0077497E" w:rsidRPr="00DD14F2" w:rsidRDefault="0077497E" w:rsidP="001E4991">
            <w:pPr>
              <w:spacing w:after="0" w:line="240" w:lineRule="auto"/>
              <w:rPr>
                <w:rFonts w:eastAsia="Times New Roman"/>
                <w:color w:val="000000"/>
                <w:sz w:val="22"/>
                <w:lang w:val="en-GB" w:eastAsia="en-GB"/>
              </w:rPr>
            </w:pPr>
            <w:r w:rsidRPr="00DD14F2">
              <w:rPr>
                <w:rFonts w:eastAsia="Times New Roman"/>
                <w:color w:val="000000"/>
                <w:sz w:val="22"/>
                <w:lang w:val="en-GB" w:eastAsia="en-GB"/>
              </w:rPr>
              <w:t xml:space="preserve">Owner outright </w:t>
            </w:r>
          </w:p>
        </w:tc>
        <w:tc>
          <w:tcPr>
            <w:tcW w:w="987" w:type="dxa"/>
            <w:shd w:val="clear" w:color="auto" w:fill="auto"/>
            <w:noWrap/>
            <w:vAlign w:val="bottom"/>
            <w:hideMark/>
          </w:tcPr>
          <w:p w:rsidR="0077497E" w:rsidRPr="00DD14F2" w:rsidRDefault="0077497E" w:rsidP="001E4991">
            <w:pPr>
              <w:spacing w:after="0" w:line="240" w:lineRule="auto"/>
              <w:jc w:val="center"/>
              <w:rPr>
                <w:rFonts w:eastAsia="Times New Roman"/>
                <w:color w:val="000000"/>
                <w:sz w:val="22"/>
                <w:lang w:val="en-GB" w:eastAsia="en-GB"/>
              </w:rPr>
            </w:pPr>
            <w:r w:rsidRPr="00DD14F2">
              <w:rPr>
                <w:rFonts w:eastAsia="Times New Roman"/>
                <w:color w:val="000000"/>
                <w:sz w:val="22"/>
                <w:lang w:val="en-GB" w:eastAsia="en-GB"/>
              </w:rPr>
              <w:t>42.6%</w:t>
            </w:r>
          </w:p>
        </w:tc>
        <w:tc>
          <w:tcPr>
            <w:tcW w:w="1490" w:type="dxa"/>
            <w:shd w:val="clear" w:color="auto" w:fill="auto"/>
            <w:noWrap/>
            <w:vAlign w:val="bottom"/>
            <w:hideMark/>
          </w:tcPr>
          <w:p w:rsidR="0077497E" w:rsidRPr="00DD14F2" w:rsidRDefault="0077497E" w:rsidP="001E4991">
            <w:pPr>
              <w:spacing w:after="0" w:line="240" w:lineRule="auto"/>
              <w:jc w:val="center"/>
              <w:rPr>
                <w:rFonts w:eastAsia="Times New Roman"/>
                <w:color w:val="000000"/>
                <w:sz w:val="22"/>
                <w:lang w:val="en-GB" w:eastAsia="en-GB"/>
              </w:rPr>
            </w:pPr>
            <w:r w:rsidRPr="00DD14F2">
              <w:rPr>
                <w:rFonts w:eastAsia="Times New Roman"/>
                <w:color w:val="000000"/>
                <w:sz w:val="22"/>
                <w:lang w:val="en-GB" w:eastAsia="en-GB"/>
              </w:rPr>
              <w:t>36.6%</w:t>
            </w:r>
          </w:p>
        </w:tc>
      </w:tr>
    </w:tbl>
    <w:p w:rsidR="0077497E" w:rsidRPr="00DD14F2" w:rsidRDefault="0077497E" w:rsidP="001E4991">
      <w:pPr>
        <w:spacing w:after="0" w:line="240" w:lineRule="auto"/>
        <w:rPr>
          <w:b/>
          <w:szCs w:val="24"/>
        </w:rPr>
      </w:pPr>
    </w:p>
    <w:p w:rsidR="00373862" w:rsidRDefault="00373862" w:rsidP="001E4991">
      <w:pPr>
        <w:spacing w:after="0" w:line="240" w:lineRule="auto"/>
      </w:pPr>
    </w:p>
    <w:p w:rsidR="00373862" w:rsidRDefault="00373862" w:rsidP="001E4991">
      <w:pPr>
        <w:spacing w:after="0" w:line="240" w:lineRule="auto"/>
      </w:pPr>
    </w:p>
    <w:p w:rsidR="00373862" w:rsidRDefault="00373862" w:rsidP="001E4991">
      <w:pPr>
        <w:spacing w:after="0" w:line="240" w:lineRule="auto"/>
      </w:pPr>
      <w:r>
        <w:br w:type="page"/>
      </w:r>
    </w:p>
    <w:p w:rsidR="0077497E" w:rsidRDefault="0077497E" w:rsidP="001E4991">
      <w:pPr>
        <w:spacing w:after="0" w:line="240" w:lineRule="auto"/>
        <w:jc w:val="center"/>
        <w:rPr>
          <w:b/>
          <w:szCs w:val="24"/>
        </w:rPr>
      </w:pPr>
      <w:r>
        <w:rPr>
          <w:b/>
          <w:szCs w:val="24"/>
        </w:rPr>
        <w:lastRenderedPageBreak/>
        <w:t>Table 5</w:t>
      </w:r>
    </w:p>
    <w:p w:rsidR="0077497E" w:rsidRDefault="0077497E" w:rsidP="001E4991">
      <w:pPr>
        <w:spacing w:after="0" w:line="240" w:lineRule="auto"/>
        <w:jc w:val="center"/>
        <w:rPr>
          <w:b/>
          <w:szCs w:val="24"/>
        </w:rPr>
      </w:pPr>
      <w:r>
        <w:rPr>
          <w:b/>
          <w:szCs w:val="24"/>
        </w:rPr>
        <w:t>The income and tenure correlation in Scotland (%)</w:t>
      </w:r>
    </w:p>
    <w:p w:rsidR="0077497E" w:rsidRDefault="0077497E" w:rsidP="001E4991">
      <w:pPr>
        <w:spacing w:after="0" w:line="240" w:lineRule="auto"/>
        <w:jc w:val="center"/>
      </w:pPr>
      <w:r>
        <w:t xml:space="preserve">(Source: ONS </w:t>
      </w:r>
      <w:r w:rsidRPr="00925F73">
        <w:rPr>
          <w:i/>
        </w:rPr>
        <w:t>Living Costs and Food Survey</w:t>
      </w:r>
      <w:r>
        <w:t xml:space="preserve"> 2014; ‘n’ = sample size)</w:t>
      </w:r>
    </w:p>
    <w:p w:rsidR="0077497E" w:rsidRDefault="0077497E" w:rsidP="001E4991">
      <w:pPr>
        <w:spacing w:after="0" w:line="240" w:lineRule="auto"/>
        <w:jc w:val="cente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2410"/>
        <w:gridCol w:w="3544"/>
      </w:tblGrid>
      <w:tr w:rsidR="0077497E" w:rsidRPr="00BA6378" w:rsidTr="00DD3411">
        <w:trPr>
          <w:trHeight w:val="300"/>
        </w:trPr>
        <w:tc>
          <w:tcPr>
            <w:tcW w:w="3417" w:type="dxa"/>
            <w:shd w:val="clear" w:color="auto" w:fill="auto"/>
            <w:noWrap/>
            <w:vAlign w:val="bottom"/>
            <w:hideMark/>
          </w:tcPr>
          <w:p w:rsidR="0077497E" w:rsidRPr="00BA6378" w:rsidRDefault="0077497E" w:rsidP="001E4991">
            <w:pPr>
              <w:spacing w:after="0" w:line="240" w:lineRule="auto"/>
              <w:rPr>
                <w:rFonts w:eastAsia="Times New Roman"/>
                <w:color w:val="000000"/>
                <w:sz w:val="22"/>
                <w:lang w:val="en-GB" w:eastAsia="en-GB"/>
              </w:rPr>
            </w:pPr>
            <w:r>
              <w:rPr>
                <w:rFonts w:eastAsia="Times New Roman"/>
                <w:color w:val="000000"/>
                <w:sz w:val="22"/>
                <w:lang w:val="en-GB" w:eastAsia="en-GB"/>
              </w:rPr>
              <w:t>Income group</w:t>
            </w:r>
          </w:p>
        </w:tc>
        <w:tc>
          <w:tcPr>
            <w:tcW w:w="2410" w:type="dxa"/>
            <w:shd w:val="clear" w:color="auto" w:fill="auto"/>
            <w:noWrap/>
            <w:vAlign w:val="bottom"/>
            <w:hideMark/>
          </w:tcPr>
          <w:p w:rsidR="0077497E" w:rsidRDefault="0077497E" w:rsidP="001E4991">
            <w:pPr>
              <w:spacing w:after="0" w:line="240" w:lineRule="auto"/>
              <w:jc w:val="center"/>
              <w:rPr>
                <w:rFonts w:eastAsia="Times New Roman"/>
                <w:color w:val="000000"/>
                <w:sz w:val="22"/>
                <w:lang w:val="en-GB" w:eastAsia="en-GB"/>
              </w:rPr>
            </w:pPr>
            <w:r w:rsidRPr="00BA6378">
              <w:rPr>
                <w:rFonts w:eastAsia="Times New Roman"/>
                <w:color w:val="000000"/>
                <w:sz w:val="22"/>
                <w:lang w:val="en-GB" w:eastAsia="en-GB"/>
              </w:rPr>
              <w:t>Rented</w:t>
            </w:r>
          </w:p>
          <w:p w:rsidR="0077497E" w:rsidRPr="00BA6378" w:rsidRDefault="0077497E" w:rsidP="001E4991">
            <w:pPr>
              <w:spacing w:after="0" w:line="240" w:lineRule="auto"/>
              <w:jc w:val="center"/>
              <w:rPr>
                <w:rFonts w:eastAsia="Times New Roman"/>
                <w:color w:val="000000"/>
                <w:sz w:val="22"/>
                <w:lang w:val="en-GB" w:eastAsia="en-GB"/>
              </w:rPr>
            </w:pPr>
            <w:r w:rsidRPr="00BA6378">
              <w:rPr>
                <w:rFonts w:eastAsia="Times New Roman"/>
                <w:color w:val="000000"/>
                <w:sz w:val="22"/>
                <w:lang w:val="en-GB" w:eastAsia="en-GB"/>
              </w:rPr>
              <w:t xml:space="preserve"> (all types: n = 1625)</w:t>
            </w:r>
          </w:p>
        </w:tc>
        <w:tc>
          <w:tcPr>
            <w:tcW w:w="3544" w:type="dxa"/>
            <w:shd w:val="clear" w:color="auto" w:fill="auto"/>
            <w:noWrap/>
            <w:vAlign w:val="bottom"/>
            <w:hideMark/>
          </w:tcPr>
          <w:p w:rsidR="0077497E" w:rsidRDefault="0077497E" w:rsidP="001E4991">
            <w:pPr>
              <w:spacing w:after="0" w:line="240" w:lineRule="auto"/>
              <w:jc w:val="center"/>
              <w:rPr>
                <w:rFonts w:eastAsia="Times New Roman"/>
                <w:color w:val="000000"/>
                <w:sz w:val="22"/>
                <w:lang w:val="en-GB" w:eastAsia="en-GB"/>
              </w:rPr>
            </w:pPr>
            <w:r w:rsidRPr="00BA6378">
              <w:rPr>
                <w:rFonts w:eastAsia="Times New Roman"/>
                <w:color w:val="000000"/>
                <w:sz w:val="22"/>
                <w:lang w:val="en-GB" w:eastAsia="en-GB"/>
              </w:rPr>
              <w:t xml:space="preserve">Owned </w:t>
            </w:r>
          </w:p>
          <w:p w:rsidR="0077497E" w:rsidRDefault="0077497E" w:rsidP="001E4991">
            <w:pPr>
              <w:spacing w:after="0" w:line="240" w:lineRule="auto"/>
              <w:jc w:val="center"/>
              <w:rPr>
                <w:rFonts w:eastAsia="Times New Roman"/>
                <w:color w:val="000000"/>
                <w:sz w:val="22"/>
                <w:lang w:val="en-GB" w:eastAsia="en-GB"/>
              </w:rPr>
            </w:pPr>
            <w:r w:rsidRPr="00BA6378">
              <w:rPr>
                <w:rFonts w:eastAsia="Times New Roman"/>
                <w:color w:val="000000"/>
                <w:sz w:val="22"/>
                <w:lang w:val="en-GB" w:eastAsia="en-GB"/>
              </w:rPr>
              <w:t>(all, including with</w:t>
            </w:r>
          </w:p>
          <w:p w:rsidR="0077497E" w:rsidRPr="00BA6378" w:rsidRDefault="0077497E" w:rsidP="001E4991">
            <w:pPr>
              <w:spacing w:after="0" w:line="240" w:lineRule="auto"/>
              <w:jc w:val="center"/>
              <w:rPr>
                <w:rFonts w:eastAsia="Times New Roman"/>
                <w:color w:val="000000"/>
                <w:sz w:val="22"/>
                <w:lang w:val="en-GB" w:eastAsia="en-GB"/>
              </w:rPr>
            </w:pPr>
            <w:r w:rsidRPr="00BA6378">
              <w:rPr>
                <w:rFonts w:eastAsia="Times New Roman"/>
                <w:color w:val="000000"/>
                <w:sz w:val="22"/>
                <w:lang w:val="en-GB" w:eastAsia="en-GB"/>
              </w:rPr>
              <w:t xml:space="preserve"> mortgage: n=3519)</w:t>
            </w:r>
          </w:p>
        </w:tc>
      </w:tr>
      <w:tr w:rsidR="0077497E" w:rsidRPr="00BA6378" w:rsidTr="00DD3411">
        <w:trPr>
          <w:trHeight w:val="300"/>
        </w:trPr>
        <w:tc>
          <w:tcPr>
            <w:tcW w:w="3417" w:type="dxa"/>
            <w:shd w:val="clear" w:color="auto" w:fill="auto"/>
            <w:noWrap/>
            <w:vAlign w:val="bottom"/>
            <w:hideMark/>
          </w:tcPr>
          <w:p w:rsidR="0077497E" w:rsidRPr="00BA6378" w:rsidRDefault="0077497E" w:rsidP="001E4991">
            <w:pPr>
              <w:spacing w:after="0" w:line="240" w:lineRule="auto"/>
              <w:rPr>
                <w:rFonts w:eastAsia="Times New Roman"/>
                <w:color w:val="000000"/>
                <w:sz w:val="22"/>
                <w:lang w:val="en-GB" w:eastAsia="en-GB"/>
              </w:rPr>
            </w:pPr>
            <w:r w:rsidRPr="00BA6378">
              <w:rPr>
                <w:rFonts w:eastAsia="Times New Roman"/>
                <w:color w:val="000000"/>
                <w:sz w:val="22"/>
                <w:lang w:val="en-GB" w:eastAsia="en-GB"/>
              </w:rPr>
              <w:t>Poorest 10%</w:t>
            </w:r>
          </w:p>
        </w:tc>
        <w:tc>
          <w:tcPr>
            <w:tcW w:w="2410" w:type="dxa"/>
            <w:shd w:val="clear" w:color="auto" w:fill="auto"/>
            <w:noWrap/>
            <w:vAlign w:val="bottom"/>
            <w:hideMark/>
          </w:tcPr>
          <w:p w:rsidR="0077497E" w:rsidRPr="00BA6378" w:rsidRDefault="0077497E" w:rsidP="001E4991">
            <w:pPr>
              <w:spacing w:after="0" w:line="240" w:lineRule="auto"/>
              <w:jc w:val="center"/>
              <w:rPr>
                <w:rFonts w:eastAsia="Times New Roman"/>
                <w:color w:val="000000"/>
                <w:sz w:val="22"/>
                <w:lang w:val="en-GB" w:eastAsia="en-GB"/>
              </w:rPr>
            </w:pPr>
            <w:r w:rsidRPr="00BA6378">
              <w:rPr>
                <w:rFonts w:eastAsia="Times New Roman"/>
                <w:color w:val="000000"/>
                <w:sz w:val="22"/>
                <w:lang w:val="en-GB" w:eastAsia="en-GB"/>
              </w:rPr>
              <w:t>66.2</w:t>
            </w:r>
          </w:p>
        </w:tc>
        <w:tc>
          <w:tcPr>
            <w:tcW w:w="3544" w:type="dxa"/>
            <w:shd w:val="clear" w:color="auto" w:fill="auto"/>
            <w:noWrap/>
            <w:vAlign w:val="bottom"/>
            <w:hideMark/>
          </w:tcPr>
          <w:p w:rsidR="0077497E" w:rsidRPr="00BA6378" w:rsidRDefault="0077497E" w:rsidP="001E4991">
            <w:pPr>
              <w:spacing w:after="0" w:line="240" w:lineRule="auto"/>
              <w:jc w:val="center"/>
              <w:rPr>
                <w:rFonts w:eastAsia="Times New Roman"/>
                <w:color w:val="000000"/>
                <w:sz w:val="22"/>
                <w:lang w:val="en-GB" w:eastAsia="en-GB"/>
              </w:rPr>
            </w:pPr>
            <w:r w:rsidRPr="00BA6378">
              <w:rPr>
                <w:rFonts w:eastAsia="Times New Roman"/>
                <w:color w:val="000000"/>
                <w:sz w:val="22"/>
                <w:lang w:val="en-GB" w:eastAsia="en-GB"/>
              </w:rPr>
              <w:t>31.9</w:t>
            </w:r>
          </w:p>
        </w:tc>
      </w:tr>
      <w:tr w:rsidR="0077497E" w:rsidRPr="00BA6378" w:rsidTr="00DD3411">
        <w:trPr>
          <w:trHeight w:val="300"/>
        </w:trPr>
        <w:tc>
          <w:tcPr>
            <w:tcW w:w="3417" w:type="dxa"/>
            <w:shd w:val="clear" w:color="auto" w:fill="auto"/>
            <w:noWrap/>
            <w:vAlign w:val="bottom"/>
            <w:hideMark/>
          </w:tcPr>
          <w:p w:rsidR="0077497E" w:rsidRPr="00BA6378" w:rsidRDefault="0077497E" w:rsidP="001E4991">
            <w:pPr>
              <w:spacing w:after="0" w:line="240" w:lineRule="auto"/>
              <w:rPr>
                <w:rFonts w:eastAsia="Times New Roman"/>
                <w:color w:val="000000"/>
                <w:sz w:val="22"/>
                <w:lang w:val="en-GB" w:eastAsia="en-GB"/>
              </w:rPr>
            </w:pPr>
            <w:r w:rsidRPr="00BA6378">
              <w:rPr>
                <w:rFonts w:eastAsia="Times New Roman"/>
                <w:color w:val="000000"/>
                <w:sz w:val="22"/>
                <w:lang w:val="en-GB" w:eastAsia="en-GB"/>
              </w:rPr>
              <w:t>Middle income (6th decile)</w:t>
            </w:r>
          </w:p>
        </w:tc>
        <w:tc>
          <w:tcPr>
            <w:tcW w:w="2410" w:type="dxa"/>
            <w:shd w:val="clear" w:color="auto" w:fill="auto"/>
            <w:noWrap/>
            <w:vAlign w:val="bottom"/>
            <w:hideMark/>
          </w:tcPr>
          <w:p w:rsidR="0077497E" w:rsidRPr="00BA6378" w:rsidRDefault="0077497E" w:rsidP="001E4991">
            <w:pPr>
              <w:spacing w:after="0" w:line="240" w:lineRule="auto"/>
              <w:jc w:val="center"/>
              <w:rPr>
                <w:rFonts w:eastAsia="Times New Roman"/>
                <w:color w:val="000000"/>
                <w:sz w:val="22"/>
                <w:lang w:val="en-GB" w:eastAsia="en-GB"/>
              </w:rPr>
            </w:pPr>
            <w:r w:rsidRPr="00BA6378">
              <w:rPr>
                <w:rFonts w:eastAsia="Times New Roman"/>
                <w:color w:val="000000"/>
                <w:sz w:val="22"/>
                <w:lang w:val="en-GB" w:eastAsia="en-GB"/>
              </w:rPr>
              <w:t>24.1</w:t>
            </w:r>
          </w:p>
        </w:tc>
        <w:tc>
          <w:tcPr>
            <w:tcW w:w="3544" w:type="dxa"/>
            <w:shd w:val="clear" w:color="auto" w:fill="auto"/>
            <w:noWrap/>
            <w:vAlign w:val="bottom"/>
            <w:hideMark/>
          </w:tcPr>
          <w:p w:rsidR="0077497E" w:rsidRPr="00BA6378" w:rsidRDefault="0077497E" w:rsidP="001E4991">
            <w:pPr>
              <w:spacing w:after="0" w:line="240" w:lineRule="auto"/>
              <w:jc w:val="center"/>
              <w:rPr>
                <w:rFonts w:eastAsia="Times New Roman"/>
                <w:color w:val="000000"/>
                <w:sz w:val="22"/>
                <w:lang w:val="en-GB" w:eastAsia="en-GB"/>
              </w:rPr>
            </w:pPr>
            <w:r w:rsidRPr="00BA6378">
              <w:rPr>
                <w:rFonts w:eastAsia="Times New Roman"/>
                <w:color w:val="000000"/>
                <w:sz w:val="22"/>
                <w:lang w:val="en-GB" w:eastAsia="en-GB"/>
              </w:rPr>
              <w:t>75.8</w:t>
            </w:r>
          </w:p>
        </w:tc>
      </w:tr>
      <w:tr w:rsidR="0077497E" w:rsidRPr="00BA6378" w:rsidTr="00DD3411">
        <w:trPr>
          <w:trHeight w:val="300"/>
        </w:trPr>
        <w:tc>
          <w:tcPr>
            <w:tcW w:w="3417" w:type="dxa"/>
            <w:shd w:val="clear" w:color="auto" w:fill="auto"/>
            <w:noWrap/>
            <w:vAlign w:val="bottom"/>
            <w:hideMark/>
          </w:tcPr>
          <w:p w:rsidR="0077497E" w:rsidRPr="00BA6378" w:rsidRDefault="0077497E" w:rsidP="001E4991">
            <w:pPr>
              <w:spacing w:after="0" w:line="240" w:lineRule="auto"/>
              <w:rPr>
                <w:rFonts w:eastAsia="Times New Roman"/>
                <w:color w:val="000000"/>
                <w:sz w:val="22"/>
                <w:lang w:val="en-GB" w:eastAsia="en-GB"/>
              </w:rPr>
            </w:pPr>
            <w:r w:rsidRPr="00BA6378">
              <w:rPr>
                <w:rFonts w:eastAsia="Times New Roman"/>
                <w:color w:val="000000"/>
                <w:sz w:val="22"/>
                <w:lang w:val="en-GB" w:eastAsia="en-GB"/>
              </w:rPr>
              <w:t>Richest 10%</w:t>
            </w:r>
          </w:p>
        </w:tc>
        <w:tc>
          <w:tcPr>
            <w:tcW w:w="2410" w:type="dxa"/>
            <w:shd w:val="clear" w:color="auto" w:fill="auto"/>
            <w:noWrap/>
            <w:vAlign w:val="bottom"/>
            <w:hideMark/>
          </w:tcPr>
          <w:p w:rsidR="0077497E" w:rsidRPr="00BA6378" w:rsidRDefault="0077497E" w:rsidP="001E4991">
            <w:pPr>
              <w:spacing w:after="0" w:line="240" w:lineRule="auto"/>
              <w:jc w:val="center"/>
              <w:rPr>
                <w:rFonts w:eastAsia="Times New Roman"/>
                <w:color w:val="000000"/>
                <w:sz w:val="22"/>
                <w:lang w:val="en-GB" w:eastAsia="en-GB"/>
              </w:rPr>
            </w:pPr>
            <w:r w:rsidRPr="00BA6378">
              <w:rPr>
                <w:rFonts w:eastAsia="Times New Roman"/>
                <w:color w:val="000000"/>
                <w:sz w:val="22"/>
                <w:lang w:val="en-GB" w:eastAsia="en-GB"/>
              </w:rPr>
              <w:t>10.2</w:t>
            </w:r>
          </w:p>
        </w:tc>
        <w:tc>
          <w:tcPr>
            <w:tcW w:w="3544" w:type="dxa"/>
            <w:shd w:val="clear" w:color="auto" w:fill="auto"/>
            <w:noWrap/>
            <w:vAlign w:val="bottom"/>
            <w:hideMark/>
          </w:tcPr>
          <w:p w:rsidR="0077497E" w:rsidRPr="00BA6378" w:rsidRDefault="0077497E" w:rsidP="001E4991">
            <w:pPr>
              <w:spacing w:after="0" w:line="240" w:lineRule="auto"/>
              <w:jc w:val="center"/>
              <w:rPr>
                <w:rFonts w:eastAsia="Times New Roman"/>
                <w:color w:val="000000"/>
                <w:sz w:val="22"/>
                <w:lang w:val="en-GB" w:eastAsia="en-GB"/>
              </w:rPr>
            </w:pPr>
            <w:r w:rsidRPr="00BA6378">
              <w:rPr>
                <w:rFonts w:eastAsia="Times New Roman"/>
                <w:color w:val="000000"/>
                <w:sz w:val="22"/>
                <w:lang w:val="en-GB" w:eastAsia="en-GB"/>
              </w:rPr>
              <w:t>88.9</w:t>
            </w:r>
          </w:p>
        </w:tc>
      </w:tr>
    </w:tbl>
    <w:p w:rsidR="0077497E" w:rsidRDefault="0077497E" w:rsidP="001E4991">
      <w:pPr>
        <w:spacing w:after="0" w:line="240" w:lineRule="auto"/>
        <w:rPr>
          <w:b/>
          <w:szCs w:val="24"/>
        </w:rPr>
      </w:pPr>
    </w:p>
    <w:p w:rsidR="00373862" w:rsidRDefault="00373862" w:rsidP="001E4991">
      <w:pPr>
        <w:spacing w:after="0" w:line="240" w:lineRule="auto"/>
      </w:pPr>
    </w:p>
    <w:p w:rsidR="0077497E" w:rsidRDefault="0077497E" w:rsidP="001E4991">
      <w:pPr>
        <w:spacing w:after="0" w:line="240" w:lineRule="auto"/>
      </w:pPr>
      <w:r>
        <w:br w:type="page"/>
      </w:r>
    </w:p>
    <w:p w:rsidR="00975B15" w:rsidRDefault="00975B15" w:rsidP="001E4991">
      <w:pPr>
        <w:spacing w:after="0" w:line="240" w:lineRule="auto"/>
        <w:jc w:val="center"/>
      </w:pPr>
      <w:r>
        <w:lastRenderedPageBreak/>
        <w:t>Table 6</w:t>
      </w:r>
    </w:p>
    <w:p w:rsidR="00975B15" w:rsidRDefault="00975B15" w:rsidP="001E4991">
      <w:pPr>
        <w:spacing w:after="0" w:line="240" w:lineRule="auto"/>
        <w:jc w:val="center"/>
      </w:pPr>
      <w:r>
        <w:t xml:space="preserve">The ceding of flood insurance policies to Flood Re </w:t>
      </w:r>
      <w:r w:rsidR="004E571F">
        <w:t>in Scotland</w:t>
      </w:r>
    </w:p>
    <w:p w:rsidR="004E571F" w:rsidRDefault="004E571F" w:rsidP="001E4991">
      <w:pPr>
        <w:spacing w:after="0" w:line="240" w:lineRule="auto"/>
        <w:jc w:val="center"/>
      </w:pPr>
    </w:p>
    <w:tbl>
      <w:tblPr>
        <w:tblW w:w="6248" w:type="dxa"/>
        <w:jc w:val="center"/>
        <w:tblInd w:w="93" w:type="dxa"/>
        <w:tblLook w:val="04A0" w:firstRow="1" w:lastRow="0" w:firstColumn="1" w:lastColumn="0" w:noHBand="0" w:noVBand="1"/>
      </w:tblPr>
      <w:tblGrid>
        <w:gridCol w:w="2240"/>
        <w:gridCol w:w="1218"/>
        <w:gridCol w:w="875"/>
        <w:gridCol w:w="1915"/>
      </w:tblGrid>
      <w:tr w:rsidR="00975B15" w:rsidRPr="00911A9B" w:rsidTr="00DD3411">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B15" w:rsidRPr="00911A9B" w:rsidRDefault="00975B15" w:rsidP="001E4991">
            <w:pPr>
              <w:spacing w:after="0" w:line="240" w:lineRule="auto"/>
              <w:jc w:val="center"/>
              <w:rPr>
                <w:rFonts w:eastAsia="Times New Roman"/>
                <w:color w:val="000000"/>
                <w:sz w:val="22"/>
                <w:lang w:val="en-GB" w:eastAsia="en-GB"/>
              </w:rPr>
            </w:pPr>
            <w:r w:rsidRPr="00911A9B">
              <w:rPr>
                <w:rFonts w:eastAsia="Times New Roman"/>
                <w:color w:val="000000"/>
                <w:sz w:val="22"/>
                <w:lang w:val="en-GB" w:eastAsia="en-GB"/>
              </w:rPr>
              <w:t> </w:t>
            </w:r>
          </w:p>
        </w:tc>
        <w:tc>
          <w:tcPr>
            <w:tcW w:w="2093" w:type="dxa"/>
            <w:gridSpan w:val="2"/>
            <w:tcBorders>
              <w:top w:val="single" w:sz="4" w:space="0" w:color="auto"/>
              <w:left w:val="nil"/>
              <w:bottom w:val="single" w:sz="4" w:space="0" w:color="auto"/>
              <w:right w:val="single" w:sz="4" w:space="0" w:color="auto"/>
            </w:tcBorders>
            <w:shd w:val="clear" w:color="auto" w:fill="auto"/>
            <w:noWrap/>
            <w:vAlign w:val="bottom"/>
            <w:hideMark/>
          </w:tcPr>
          <w:p w:rsidR="00975B15" w:rsidRPr="00911A9B" w:rsidRDefault="00975B15" w:rsidP="001E4991">
            <w:pPr>
              <w:spacing w:after="0" w:line="240" w:lineRule="auto"/>
              <w:jc w:val="center"/>
              <w:rPr>
                <w:rFonts w:eastAsia="Times New Roman"/>
                <w:color w:val="000000"/>
                <w:sz w:val="22"/>
                <w:lang w:val="en-GB" w:eastAsia="en-GB"/>
              </w:rPr>
            </w:pPr>
            <w:r w:rsidRPr="00911A9B">
              <w:rPr>
                <w:rFonts w:eastAsia="Times New Roman"/>
                <w:color w:val="000000"/>
                <w:sz w:val="22"/>
                <w:lang w:val="en-GB" w:eastAsia="en-GB"/>
              </w:rPr>
              <w:t>Population (</w:t>
            </w:r>
            <w:r w:rsidR="004E571F">
              <w:rPr>
                <w:rFonts w:eastAsia="Times New Roman"/>
                <w:color w:val="000000"/>
                <w:sz w:val="22"/>
                <w:lang w:val="en-GB" w:eastAsia="en-GB"/>
              </w:rPr>
              <w:t xml:space="preserve">millions, </w:t>
            </w:r>
            <w:r w:rsidRPr="00911A9B">
              <w:rPr>
                <w:rFonts w:eastAsia="Times New Roman"/>
                <w:color w:val="000000"/>
                <w:sz w:val="22"/>
                <w:lang w:val="en-GB" w:eastAsia="en-GB"/>
              </w:rPr>
              <w:t>2017)</w:t>
            </w:r>
          </w:p>
        </w:tc>
        <w:tc>
          <w:tcPr>
            <w:tcW w:w="1915" w:type="dxa"/>
            <w:tcBorders>
              <w:top w:val="single" w:sz="4" w:space="0" w:color="auto"/>
              <w:left w:val="nil"/>
              <w:bottom w:val="single" w:sz="4" w:space="0" w:color="auto"/>
              <w:right w:val="single" w:sz="4" w:space="0" w:color="auto"/>
            </w:tcBorders>
            <w:shd w:val="clear" w:color="auto" w:fill="auto"/>
            <w:noWrap/>
            <w:vAlign w:val="bottom"/>
            <w:hideMark/>
          </w:tcPr>
          <w:p w:rsidR="00975B15" w:rsidRPr="00911A9B" w:rsidRDefault="00975B15" w:rsidP="001E4991">
            <w:pPr>
              <w:spacing w:after="0" w:line="240" w:lineRule="auto"/>
              <w:jc w:val="center"/>
              <w:rPr>
                <w:rFonts w:eastAsia="Times New Roman"/>
                <w:color w:val="000000"/>
                <w:sz w:val="22"/>
                <w:lang w:val="en-GB" w:eastAsia="en-GB"/>
              </w:rPr>
            </w:pPr>
            <w:r w:rsidRPr="00911A9B">
              <w:rPr>
                <w:rFonts w:eastAsia="Times New Roman"/>
                <w:color w:val="000000"/>
                <w:sz w:val="22"/>
                <w:lang w:val="en-GB" w:eastAsia="en-GB"/>
              </w:rPr>
              <w:t>Flood Re policies</w:t>
            </w:r>
            <w:r>
              <w:rPr>
                <w:rFonts w:eastAsia="Times New Roman"/>
                <w:color w:val="000000"/>
                <w:sz w:val="22"/>
                <w:lang w:val="en-GB" w:eastAsia="en-GB"/>
              </w:rPr>
              <w:t xml:space="preserve"> (2017) (</w:t>
            </w:r>
            <w:r w:rsidRPr="00975B15">
              <w:rPr>
                <w:rFonts w:cs="Calibri"/>
                <w:sz w:val="22"/>
                <w:lang w:val="en-GB"/>
              </w:rPr>
              <w:t>Kehoe</w:t>
            </w:r>
            <w:r>
              <w:rPr>
                <w:rFonts w:eastAsia="Times New Roman"/>
                <w:color w:val="000000"/>
                <w:sz w:val="22"/>
                <w:lang w:val="en-GB" w:eastAsia="en-GB"/>
              </w:rPr>
              <w:t>, 2017)</w:t>
            </w:r>
          </w:p>
        </w:tc>
      </w:tr>
      <w:tr w:rsidR="00975B15" w:rsidRPr="00911A9B" w:rsidTr="00DD3411">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975B15" w:rsidRPr="00911A9B" w:rsidRDefault="00975B15" w:rsidP="001E4991">
            <w:pPr>
              <w:spacing w:after="0" w:line="240" w:lineRule="auto"/>
              <w:rPr>
                <w:rFonts w:eastAsia="Times New Roman"/>
                <w:color w:val="000000"/>
                <w:sz w:val="22"/>
                <w:lang w:val="en-GB" w:eastAsia="en-GB"/>
              </w:rPr>
            </w:pPr>
            <w:r w:rsidRPr="00911A9B">
              <w:rPr>
                <w:rFonts w:eastAsia="Times New Roman"/>
                <w:color w:val="000000"/>
                <w:sz w:val="22"/>
                <w:lang w:val="en-GB" w:eastAsia="en-GB"/>
              </w:rPr>
              <w:t>UNITED KINGDOM</w:t>
            </w:r>
          </w:p>
        </w:tc>
        <w:tc>
          <w:tcPr>
            <w:tcW w:w="1218" w:type="dxa"/>
            <w:tcBorders>
              <w:top w:val="nil"/>
              <w:left w:val="nil"/>
              <w:bottom w:val="single" w:sz="4" w:space="0" w:color="auto"/>
              <w:right w:val="single" w:sz="4" w:space="0" w:color="auto"/>
            </w:tcBorders>
            <w:shd w:val="clear" w:color="auto" w:fill="auto"/>
            <w:noWrap/>
            <w:vAlign w:val="bottom"/>
            <w:hideMark/>
          </w:tcPr>
          <w:p w:rsidR="00975B15" w:rsidRPr="00911A9B" w:rsidRDefault="00975B15" w:rsidP="004E571F">
            <w:pPr>
              <w:spacing w:after="0" w:line="240" w:lineRule="auto"/>
              <w:jc w:val="center"/>
              <w:rPr>
                <w:rFonts w:eastAsia="Times New Roman"/>
                <w:color w:val="000000"/>
                <w:sz w:val="22"/>
                <w:lang w:val="en-GB" w:eastAsia="en-GB"/>
              </w:rPr>
            </w:pPr>
            <w:r w:rsidRPr="00911A9B">
              <w:rPr>
                <w:rFonts w:eastAsia="Times New Roman"/>
                <w:color w:val="000000"/>
                <w:sz w:val="22"/>
                <w:lang w:val="en-GB" w:eastAsia="en-GB"/>
              </w:rPr>
              <w:t>65</w:t>
            </w:r>
            <w:r w:rsidR="004E571F">
              <w:rPr>
                <w:rFonts w:eastAsia="Times New Roman"/>
                <w:color w:val="000000"/>
                <w:sz w:val="22"/>
                <w:lang w:val="en-GB" w:eastAsia="en-GB"/>
              </w:rPr>
              <w:t>.65</w:t>
            </w:r>
          </w:p>
        </w:tc>
        <w:tc>
          <w:tcPr>
            <w:tcW w:w="875" w:type="dxa"/>
            <w:tcBorders>
              <w:top w:val="nil"/>
              <w:left w:val="nil"/>
              <w:bottom w:val="single" w:sz="4" w:space="0" w:color="auto"/>
              <w:right w:val="single" w:sz="4" w:space="0" w:color="auto"/>
            </w:tcBorders>
            <w:shd w:val="clear" w:color="auto" w:fill="auto"/>
            <w:noWrap/>
            <w:vAlign w:val="bottom"/>
            <w:hideMark/>
          </w:tcPr>
          <w:p w:rsidR="00975B15" w:rsidRPr="00911A9B" w:rsidRDefault="00975B15" w:rsidP="001E4991">
            <w:pPr>
              <w:spacing w:after="0" w:line="240" w:lineRule="auto"/>
              <w:jc w:val="center"/>
              <w:rPr>
                <w:rFonts w:eastAsia="Times New Roman"/>
                <w:color w:val="000000"/>
                <w:sz w:val="22"/>
                <w:lang w:val="en-GB" w:eastAsia="en-GB"/>
              </w:rPr>
            </w:pPr>
            <w:r w:rsidRPr="00911A9B">
              <w:rPr>
                <w:rFonts w:eastAsia="Times New Roman"/>
                <w:color w:val="000000"/>
                <w:sz w:val="22"/>
                <w:lang w:val="en-GB" w:eastAsia="en-GB"/>
              </w:rPr>
              <w:t>100.0%</w:t>
            </w:r>
          </w:p>
        </w:tc>
        <w:tc>
          <w:tcPr>
            <w:tcW w:w="1915" w:type="dxa"/>
            <w:tcBorders>
              <w:top w:val="nil"/>
              <w:left w:val="nil"/>
              <w:bottom w:val="single" w:sz="4" w:space="0" w:color="auto"/>
              <w:right w:val="single" w:sz="4" w:space="0" w:color="auto"/>
            </w:tcBorders>
            <w:shd w:val="clear" w:color="auto" w:fill="auto"/>
            <w:noWrap/>
            <w:vAlign w:val="bottom"/>
            <w:hideMark/>
          </w:tcPr>
          <w:p w:rsidR="00975B15" w:rsidRPr="00911A9B" w:rsidRDefault="00975B15" w:rsidP="001E4991">
            <w:pPr>
              <w:spacing w:after="0" w:line="240" w:lineRule="auto"/>
              <w:jc w:val="center"/>
              <w:rPr>
                <w:rFonts w:eastAsia="Times New Roman"/>
                <w:color w:val="000000"/>
                <w:sz w:val="22"/>
                <w:lang w:val="en-GB" w:eastAsia="en-GB"/>
              </w:rPr>
            </w:pPr>
            <w:r w:rsidRPr="00911A9B">
              <w:rPr>
                <w:rFonts w:eastAsia="Times New Roman"/>
                <w:color w:val="000000"/>
                <w:sz w:val="22"/>
                <w:lang w:val="en-GB" w:eastAsia="en-GB"/>
              </w:rPr>
              <w:t>100.0%</w:t>
            </w:r>
          </w:p>
        </w:tc>
      </w:tr>
      <w:tr w:rsidR="00975B15" w:rsidRPr="00911A9B" w:rsidTr="00DD3411">
        <w:trPr>
          <w:trHeight w:val="36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975B15" w:rsidRPr="00911A9B" w:rsidRDefault="00975B15" w:rsidP="001E4991">
            <w:pPr>
              <w:spacing w:after="0" w:line="240" w:lineRule="auto"/>
              <w:rPr>
                <w:rFonts w:eastAsia="Times New Roman"/>
                <w:color w:val="000000"/>
                <w:sz w:val="22"/>
                <w:lang w:val="en-GB" w:eastAsia="en-GB"/>
              </w:rPr>
            </w:pPr>
            <w:r w:rsidRPr="00911A9B">
              <w:rPr>
                <w:rFonts w:eastAsia="Times New Roman"/>
                <w:color w:val="000000"/>
                <w:sz w:val="22"/>
                <w:lang w:val="en-GB" w:eastAsia="en-GB"/>
              </w:rPr>
              <w:t>ENGLAND</w:t>
            </w:r>
          </w:p>
        </w:tc>
        <w:tc>
          <w:tcPr>
            <w:tcW w:w="1218" w:type="dxa"/>
            <w:tcBorders>
              <w:top w:val="nil"/>
              <w:left w:val="nil"/>
              <w:bottom w:val="single" w:sz="4" w:space="0" w:color="auto"/>
              <w:right w:val="single" w:sz="4" w:space="0" w:color="auto"/>
            </w:tcBorders>
            <w:shd w:val="clear" w:color="auto" w:fill="auto"/>
            <w:noWrap/>
            <w:vAlign w:val="bottom"/>
            <w:hideMark/>
          </w:tcPr>
          <w:p w:rsidR="00975B15" w:rsidRPr="00911A9B" w:rsidRDefault="00975B15" w:rsidP="004E571F">
            <w:pPr>
              <w:spacing w:after="0" w:line="240" w:lineRule="auto"/>
              <w:jc w:val="center"/>
              <w:rPr>
                <w:rFonts w:eastAsia="Times New Roman"/>
                <w:color w:val="000000"/>
                <w:sz w:val="22"/>
                <w:lang w:val="en-GB" w:eastAsia="en-GB"/>
              </w:rPr>
            </w:pPr>
            <w:r w:rsidRPr="00911A9B">
              <w:rPr>
                <w:rFonts w:eastAsia="Times New Roman"/>
                <w:color w:val="000000"/>
                <w:sz w:val="22"/>
                <w:lang w:val="en-GB" w:eastAsia="en-GB"/>
              </w:rPr>
              <w:t>55</w:t>
            </w:r>
            <w:r w:rsidR="004E571F">
              <w:rPr>
                <w:rFonts w:eastAsia="Times New Roman"/>
                <w:color w:val="000000"/>
                <w:sz w:val="22"/>
                <w:lang w:val="en-GB" w:eastAsia="en-GB"/>
              </w:rPr>
              <w:t>.27</w:t>
            </w:r>
          </w:p>
        </w:tc>
        <w:tc>
          <w:tcPr>
            <w:tcW w:w="875" w:type="dxa"/>
            <w:tcBorders>
              <w:top w:val="nil"/>
              <w:left w:val="nil"/>
              <w:bottom w:val="single" w:sz="4" w:space="0" w:color="auto"/>
              <w:right w:val="single" w:sz="4" w:space="0" w:color="auto"/>
            </w:tcBorders>
            <w:shd w:val="clear" w:color="auto" w:fill="auto"/>
            <w:noWrap/>
            <w:vAlign w:val="bottom"/>
            <w:hideMark/>
          </w:tcPr>
          <w:p w:rsidR="00975B15" w:rsidRPr="00911A9B" w:rsidRDefault="00975B15" w:rsidP="001E4991">
            <w:pPr>
              <w:spacing w:after="0" w:line="240" w:lineRule="auto"/>
              <w:jc w:val="center"/>
              <w:rPr>
                <w:rFonts w:eastAsia="Times New Roman"/>
                <w:color w:val="000000"/>
                <w:sz w:val="22"/>
                <w:lang w:val="en-GB" w:eastAsia="en-GB"/>
              </w:rPr>
            </w:pPr>
            <w:r w:rsidRPr="00911A9B">
              <w:rPr>
                <w:rFonts w:eastAsia="Times New Roman"/>
                <w:color w:val="000000"/>
                <w:sz w:val="22"/>
                <w:lang w:val="en-GB" w:eastAsia="en-GB"/>
              </w:rPr>
              <w:t>84.2%</w:t>
            </w:r>
          </w:p>
        </w:tc>
        <w:tc>
          <w:tcPr>
            <w:tcW w:w="1915" w:type="dxa"/>
            <w:tcBorders>
              <w:top w:val="nil"/>
              <w:left w:val="nil"/>
              <w:bottom w:val="single" w:sz="4" w:space="0" w:color="auto"/>
              <w:right w:val="single" w:sz="4" w:space="0" w:color="auto"/>
            </w:tcBorders>
            <w:shd w:val="clear" w:color="auto" w:fill="auto"/>
            <w:noWrap/>
            <w:vAlign w:val="bottom"/>
            <w:hideMark/>
          </w:tcPr>
          <w:p w:rsidR="00975B15" w:rsidRPr="00911A9B" w:rsidRDefault="00975B15" w:rsidP="001E4991">
            <w:pPr>
              <w:spacing w:after="0" w:line="240" w:lineRule="auto"/>
              <w:jc w:val="center"/>
              <w:rPr>
                <w:rFonts w:eastAsia="Times New Roman"/>
                <w:color w:val="000000"/>
                <w:sz w:val="22"/>
                <w:lang w:val="en-GB" w:eastAsia="en-GB"/>
              </w:rPr>
            </w:pPr>
            <w:r w:rsidRPr="00911A9B">
              <w:rPr>
                <w:rFonts w:eastAsia="Times New Roman"/>
                <w:color w:val="000000"/>
                <w:sz w:val="22"/>
                <w:lang w:val="en-GB" w:eastAsia="en-GB"/>
              </w:rPr>
              <w:t>85.9%</w:t>
            </w:r>
          </w:p>
        </w:tc>
      </w:tr>
      <w:tr w:rsidR="00975B15" w:rsidRPr="00911A9B" w:rsidTr="00DD3411">
        <w:trPr>
          <w:trHeight w:val="37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975B15" w:rsidRPr="00911A9B" w:rsidRDefault="00975B15" w:rsidP="001E4991">
            <w:pPr>
              <w:spacing w:after="0" w:line="240" w:lineRule="auto"/>
              <w:rPr>
                <w:rFonts w:eastAsia="Times New Roman"/>
                <w:color w:val="000000"/>
                <w:sz w:val="22"/>
                <w:lang w:val="en-GB" w:eastAsia="en-GB"/>
              </w:rPr>
            </w:pPr>
            <w:r w:rsidRPr="00911A9B">
              <w:rPr>
                <w:rFonts w:eastAsia="Times New Roman"/>
                <w:color w:val="000000"/>
                <w:sz w:val="22"/>
                <w:lang w:val="en-GB" w:eastAsia="en-GB"/>
              </w:rPr>
              <w:t>WALES</w:t>
            </w:r>
          </w:p>
        </w:tc>
        <w:tc>
          <w:tcPr>
            <w:tcW w:w="1218" w:type="dxa"/>
            <w:tcBorders>
              <w:top w:val="nil"/>
              <w:left w:val="nil"/>
              <w:bottom w:val="single" w:sz="4" w:space="0" w:color="auto"/>
              <w:right w:val="single" w:sz="4" w:space="0" w:color="auto"/>
            </w:tcBorders>
            <w:shd w:val="clear" w:color="auto" w:fill="auto"/>
            <w:noWrap/>
            <w:vAlign w:val="bottom"/>
            <w:hideMark/>
          </w:tcPr>
          <w:p w:rsidR="00975B15" w:rsidRPr="00911A9B" w:rsidRDefault="004E571F" w:rsidP="004E571F">
            <w:pPr>
              <w:spacing w:after="0" w:line="240" w:lineRule="auto"/>
              <w:jc w:val="center"/>
              <w:rPr>
                <w:rFonts w:eastAsia="Times New Roman"/>
                <w:color w:val="000000"/>
                <w:sz w:val="22"/>
                <w:lang w:val="en-GB" w:eastAsia="en-GB"/>
              </w:rPr>
            </w:pPr>
            <w:r>
              <w:rPr>
                <w:rFonts w:eastAsia="Times New Roman"/>
                <w:color w:val="000000"/>
                <w:sz w:val="22"/>
                <w:lang w:val="en-GB" w:eastAsia="en-GB"/>
              </w:rPr>
              <w:t>3.</w:t>
            </w:r>
            <w:r w:rsidR="00975B15" w:rsidRPr="00911A9B">
              <w:rPr>
                <w:rFonts w:eastAsia="Times New Roman"/>
                <w:color w:val="000000"/>
                <w:sz w:val="22"/>
                <w:lang w:val="en-GB" w:eastAsia="en-GB"/>
              </w:rPr>
              <w:t>11</w:t>
            </w:r>
          </w:p>
        </w:tc>
        <w:tc>
          <w:tcPr>
            <w:tcW w:w="875" w:type="dxa"/>
            <w:tcBorders>
              <w:top w:val="nil"/>
              <w:left w:val="nil"/>
              <w:bottom w:val="single" w:sz="4" w:space="0" w:color="auto"/>
              <w:right w:val="single" w:sz="4" w:space="0" w:color="auto"/>
            </w:tcBorders>
            <w:shd w:val="clear" w:color="auto" w:fill="auto"/>
            <w:noWrap/>
            <w:vAlign w:val="bottom"/>
            <w:hideMark/>
          </w:tcPr>
          <w:p w:rsidR="00975B15" w:rsidRPr="00911A9B" w:rsidRDefault="00975B15" w:rsidP="001E4991">
            <w:pPr>
              <w:spacing w:after="0" w:line="240" w:lineRule="auto"/>
              <w:jc w:val="center"/>
              <w:rPr>
                <w:rFonts w:eastAsia="Times New Roman"/>
                <w:color w:val="000000"/>
                <w:sz w:val="22"/>
                <w:lang w:val="en-GB" w:eastAsia="en-GB"/>
              </w:rPr>
            </w:pPr>
            <w:r w:rsidRPr="00911A9B">
              <w:rPr>
                <w:rFonts w:eastAsia="Times New Roman"/>
                <w:color w:val="000000"/>
                <w:sz w:val="22"/>
                <w:lang w:val="en-GB" w:eastAsia="en-GB"/>
              </w:rPr>
              <w:t>4.7%</w:t>
            </w:r>
          </w:p>
        </w:tc>
        <w:tc>
          <w:tcPr>
            <w:tcW w:w="1915" w:type="dxa"/>
            <w:tcBorders>
              <w:top w:val="nil"/>
              <w:left w:val="nil"/>
              <w:bottom w:val="single" w:sz="4" w:space="0" w:color="auto"/>
              <w:right w:val="single" w:sz="4" w:space="0" w:color="auto"/>
            </w:tcBorders>
            <w:shd w:val="clear" w:color="auto" w:fill="auto"/>
            <w:noWrap/>
            <w:vAlign w:val="bottom"/>
            <w:hideMark/>
          </w:tcPr>
          <w:p w:rsidR="00975B15" w:rsidRPr="00911A9B" w:rsidRDefault="00975B15" w:rsidP="001E4991">
            <w:pPr>
              <w:spacing w:after="0" w:line="240" w:lineRule="auto"/>
              <w:jc w:val="center"/>
              <w:rPr>
                <w:rFonts w:eastAsia="Times New Roman"/>
                <w:color w:val="000000"/>
                <w:sz w:val="22"/>
                <w:lang w:val="en-GB" w:eastAsia="en-GB"/>
              </w:rPr>
            </w:pPr>
            <w:r w:rsidRPr="00911A9B">
              <w:rPr>
                <w:rFonts w:eastAsia="Times New Roman"/>
                <w:color w:val="000000"/>
                <w:sz w:val="22"/>
                <w:lang w:val="en-GB" w:eastAsia="en-GB"/>
              </w:rPr>
              <w:t>6.7%</w:t>
            </w:r>
          </w:p>
        </w:tc>
      </w:tr>
      <w:tr w:rsidR="00975B15" w:rsidRPr="00911A9B" w:rsidTr="00DD3411">
        <w:trPr>
          <w:trHeight w:val="39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975B15" w:rsidRPr="00911A9B" w:rsidRDefault="00975B15" w:rsidP="001E4991">
            <w:pPr>
              <w:spacing w:after="0" w:line="240" w:lineRule="auto"/>
              <w:rPr>
                <w:rFonts w:eastAsia="Times New Roman"/>
                <w:color w:val="000000"/>
                <w:sz w:val="22"/>
                <w:lang w:val="en-GB" w:eastAsia="en-GB"/>
              </w:rPr>
            </w:pPr>
            <w:r w:rsidRPr="00911A9B">
              <w:rPr>
                <w:rFonts w:eastAsia="Times New Roman"/>
                <w:color w:val="000000"/>
                <w:sz w:val="22"/>
                <w:lang w:val="en-GB" w:eastAsia="en-GB"/>
              </w:rPr>
              <w:t>SCOTLAND</w:t>
            </w:r>
          </w:p>
        </w:tc>
        <w:tc>
          <w:tcPr>
            <w:tcW w:w="1218" w:type="dxa"/>
            <w:tcBorders>
              <w:top w:val="nil"/>
              <w:left w:val="nil"/>
              <w:bottom w:val="single" w:sz="4" w:space="0" w:color="auto"/>
              <w:right w:val="single" w:sz="4" w:space="0" w:color="auto"/>
            </w:tcBorders>
            <w:shd w:val="clear" w:color="auto" w:fill="auto"/>
            <w:noWrap/>
            <w:vAlign w:val="bottom"/>
            <w:hideMark/>
          </w:tcPr>
          <w:p w:rsidR="00975B15" w:rsidRPr="00911A9B" w:rsidRDefault="004E571F" w:rsidP="004E571F">
            <w:pPr>
              <w:spacing w:after="0" w:line="240" w:lineRule="auto"/>
              <w:jc w:val="center"/>
              <w:rPr>
                <w:rFonts w:eastAsia="Times New Roman"/>
                <w:color w:val="000000"/>
                <w:sz w:val="22"/>
                <w:lang w:val="en-GB" w:eastAsia="en-GB"/>
              </w:rPr>
            </w:pPr>
            <w:r>
              <w:rPr>
                <w:rFonts w:eastAsia="Times New Roman"/>
                <w:color w:val="000000"/>
                <w:sz w:val="22"/>
                <w:lang w:val="en-GB" w:eastAsia="en-GB"/>
              </w:rPr>
              <w:t>5.</w:t>
            </w:r>
            <w:r w:rsidR="00975B15" w:rsidRPr="00911A9B">
              <w:rPr>
                <w:rFonts w:eastAsia="Times New Roman"/>
                <w:color w:val="000000"/>
                <w:sz w:val="22"/>
                <w:lang w:val="en-GB" w:eastAsia="en-GB"/>
              </w:rPr>
              <w:t>40</w:t>
            </w:r>
          </w:p>
        </w:tc>
        <w:tc>
          <w:tcPr>
            <w:tcW w:w="875" w:type="dxa"/>
            <w:tcBorders>
              <w:top w:val="nil"/>
              <w:left w:val="nil"/>
              <w:bottom w:val="single" w:sz="4" w:space="0" w:color="auto"/>
              <w:right w:val="single" w:sz="4" w:space="0" w:color="auto"/>
            </w:tcBorders>
            <w:shd w:val="clear" w:color="auto" w:fill="auto"/>
            <w:noWrap/>
            <w:vAlign w:val="bottom"/>
            <w:hideMark/>
          </w:tcPr>
          <w:p w:rsidR="00975B15" w:rsidRPr="00911A9B" w:rsidRDefault="00975B15" w:rsidP="001E4991">
            <w:pPr>
              <w:spacing w:after="0" w:line="240" w:lineRule="auto"/>
              <w:jc w:val="center"/>
              <w:rPr>
                <w:rFonts w:eastAsia="Times New Roman"/>
                <w:color w:val="000000"/>
                <w:sz w:val="22"/>
                <w:lang w:val="en-GB" w:eastAsia="en-GB"/>
              </w:rPr>
            </w:pPr>
            <w:r w:rsidRPr="00911A9B">
              <w:rPr>
                <w:rFonts w:eastAsia="Times New Roman"/>
                <w:color w:val="000000"/>
                <w:sz w:val="22"/>
                <w:lang w:val="en-GB" w:eastAsia="en-GB"/>
              </w:rPr>
              <w:t>8.2%</w:t>
            </w:r>
          </w:p>
        </w:tc>
        <w:tc>
          <w:tcPr>
            <w:tcW w:w="1915" w:type="dxa"/>
            <w:tcBorders>
              <w:top w:val="nil"/>
              <w:left w:val="nil"/>
              <w:bottom w:val="single" w:sz="4" w:space="0" w:color="auto"/>
              <w:right w:val="single" w:sz="4" w:space="0" w:color="auto"/>
            </w:tcBorders>
            <w:shd w:val="clear" w:color="auto" w:fill="auto"/>
            <w:noWrap/>
            <w:vAlign w:val="bottom"/>
            <w:hideMark/>
          </w:tcPr>
          <w:p w:rsidR="00975B15" w:rsidRPr="00911A9B" w:rsidRDefault="00975B15" w:rsidP="001E4991">
            <w:pPr>
              <w:spacing w:after="0" w:line="240" w:lineRule="auto"/>
              <w:jc w:val="center"/>
              <w:rPr>
                <w:rFonts w:eastAsia="Times New Roman"/>
                <w:color w:val="000000"/>
                <w:sz w:val="22"/>
                <w:lang w:val="en-GB" w:eastAsia="en-GB"/>
              </w:rPr>
            </w:pPr>
            <w:r w:rsidRPr="00911A9B">
              <w:rPr>
                <w:rFonts w:eastAsia="Times New Roman"/>
                <w:color w:val="000000"/>
                <w:sz w:val="22"/>
                <w:lang w:val="en-GB" w:eastAsia="en-GB"/>
              </w:rPr>
              <w:t>5.8%</w:t>
            </w:r>
          </w:p>
        </w:tc>
      </w:tr>
      <w:tr w:rsidR="00975B15" w:rsidRPr="00911A9B" w:rsidTr="00DD3411">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975B15" w:rsidRPr="00911A9B" w:rsidRDefault="00975B15" w:rsidP="001E4991">
            <w:pPr>
              <w:spacing w:after="0" w:line="240" w:lineRule="auto"/>
              <w:rPr>
                <w:rFonts w:eastAsia="Times New Roman"/>
                <w:color w:val="000000"/>
                <w:sz w:val="22"/>
                <w:lang w:val="en-GB" w:eastAsia="en-GB"/>
              </w:rPr>
            </w:pPr>
            <w:r w:rsidRPr="00911A9B">
              <w:rPr>
                <w:rFonts w:eastAsia="Times New Roman"/>
                <w:color w:val="000000"/>
                <w:sz w:val="22"/>
                <w:lang w:val="en-GB" w:eastAsia="en-GB"/>
              </w:rPr>
              <w:t>NORTHERN IRELAND</w:t>
            </w:r>
          </w:p>
        </w:tc>
        <w:tc>
          <w:tcPr>
            <w:tcW w:w="1218" w:type="dxa"/>
            <w:tcBorders>
              <w:top w:val="nil"/>
              <w:left w:val="nil"/>
              <w:bottom w:val="single" w:sz="4" w:space="0" w:color="auto"/>
              <w:right w:val="single" w:sz="4" w:space="0" w:color="auto"/>
            </w:tcBorders>
            <w:shd w:val="clear" w:color="auto" w:fill="auto"/>
            <w:noWrap/>
            <w:vAlign w:val="bottom"/>
            <w:hideMark/>
          </w:tcPr>
          <w:p w:rsidR="00975B15" w:rsidRPr="00911A9B" w:rsidRDefault="004E571F" w:rsidP="004E571F">
            <w:pPr>
              <w:spacing w:after="0" w:line="240" w:lineRule="auto"/>
              <w:jc w:val="center"/>
              <w:rPr>
                <w:rFonts w:eastAsia="Times New Roman"/>
                <w:color w:val="000000"/>
                <w:sz w:val="22"/>
                <w:lang w:val="en-GB" w:eastAsia="en-GB"/>
              </w:rPr>
            </w:pPr>
            <w:r>
              <w:rPr>
                <w:rFonts w:eastAsia="Times New Roman"/>
                <w:color w:val="000000"/>
                <w:sz w:val="22"/>
                <w:lang w:val="en-GB" w:eastAsia="en-GB"/>
              </w:rPr>
              <w:t>1.</w:t>
            </w:r>
            <w:r w:rsidR="00975B15" w:rsidRPr="00911A9B">
              <w:rPr>
                <w:rFonts w:eastAsia="Times New Roman"/>
                <w:color w:val="000000"/>
                <w:sz w:val="22"/>
                <w:lang w:val="en-GB" w:eastAsia="en-GB"/>
              </w:rPr>
              <w:t>86</w:t>
            </w:r>
          </w:p>
        </w:tc>
        <w:tc>
          <w:tcPr>
            <w:tcW w:w="875" w:type="dxa"/>
            <w:tcBorders>
              <w:top w:val="nil"/>
              <w:left w:val="nil"/>
              <w:bottom w:val="single" w:sz="4" w:space="0" w:color="auto"/>
              <w:right w:val="single" w:sz="4" w:space="0" w:color="auto"/>
            </w:tcBorders>
            <w:shd w:val="clear" w:color="auto" w:fill="auto"/>
            <w:noWrap/>
            <w:vAlign w:val="bottom"/>
            <w:hideMark/>
          </w:tcPr>
          <w:p w:rsidR="00975B15" w:rsidRPr="00911A9B" w:rsidRDefault="00975B15" w:rsidP="001E4991">
            <w:pPr>
              <w:spacing w:after="0" w:line="240" w:lineRule="auto"/>
              <w:jc w:val="center"/>
              <w:rPr>
                <w:rFonts w:eastAsia="Times New Roman"/>
                <w:color w:val="000000"/>
                <w:sz w:val="22"/>
                <w:lang w:val="en-GB" w:eastAsia="en-GB"/>
              </w:rPr>
            </w:pPr>
            <w:r w:rsidRPr="00911A9B">
              <w:rPr>
                <w:rFonts w:eastAsia="Times New Roman"/>
                <w:color w:val="000000"/>
                <w:sz w:val="22"/>
                <w:lang w:val="en-GB" w:eastAsia="en-GB"/>
              </w:rPr>
              <w:t>2.8%</w:t>
            </w:r>
          </w:p>
        </w:tc>
        <w:tc>
          <w:tcPr>
            <w:tcW w:w="1915" w:type="dxa"/>
            <w:tcBorders>
              <w:top w:val="nil"/>
              <w:left w:val="nil"/>
              <w:bottom w:val="single" w:sz="4" w:space="0" w:color="auto"/>
              <w:right w:val="single" w:sz="4" w:space="0" w:color="auto"/>
            </w:tcBorders>
            <w:shd w:val="clear" w:color="auto" w:fill="auto"/>
            <w:noWrap/>
            <w:vAlign w:val="bottom"/>
            <w:hideMark/>
          </w:tcPr>
          <w:p w:rsidR="00975B15" w:rsidRPr="00911A9B" w:rsidRDefault="00975B15" w:rsidP="001E4991">
            <w:pPr>
              <w:spacing w:after="0" w:line="240" w:lineRule="auto"/>
              <w:jc w:val="center"/>
              <w:rPr>
                <w:rFonts w:eastAsia="Times New Roman"/>
                <w:color w:val="000000"/>
                <w:sz w:val="22"/>
                <w:lang w:val="en-GB" w:eastAsia="en-GB"/>
              </w:rPr>
            </w:pPr>
            <w:r w:rsidRPr="00911A9B">
              <w:rPr>
                <w:rFonts w:eastAsia="Times New Roman"/>
                <w:color w:val="000000"/>
                <w:sz w:val="22"/>
                <w:lang w:val="en-GB" w:eastAsia="en-GB"/>
              </w:rPr>
              <w:t>1.6%</w:t>
            </w:r>
          </w:p>
        </w:tc>
      </w:tr>
    </w:tbl>
    <w:p w:rsidR="00975B15" w:rsidRDefault="00975B15" w:rsidP="001E4991">
      <w:pPr>
        <w:spacing w:after="0" w:line="240" w:lineRule="auto"/>
        <w:rPr>
          <w:rFonts w:cs="Calibri"/>
          <w:sz w:val="22"/>
          <w:lang w:val="en-GB"/>
        </w:rPr>
      </w:pPr>
    </w:p>
    <w:p w:rsidR="00975B15" w:rsidRDefault="00975B15" w:rsidP="001E4991">
      <w:pPr>
        <w:spacing w:after="0" w:line="240" w:lineRule="auto"/>
        <w:rPr>
          <w:lang w:val="en-GB"/>
        </w:rPr>
      </w:pPr>
      <w:r>
        <w:rPr>
          <w:lang w:val="en-GB"/>
        </w:rPr>
        <w:br w:type="page"/>
      </w:r>
    </w:p>
    <w:p w:rsidR="00975B15" w:rsidRDefault="00975B15" w:rsidP="001E4991">
      <w:pPr>
        <w:spacing w:after="0" w:line="240" w:lineRule="auto"/>
      </w:pPr>
    </w:p>
    <w:p w:rsidR="00975B15" w:rsidRDefault="00975B15" w:rsidP="001E4991">
      <w:pPr>
        <w:spacing w:after="0" w:line="240" w:lineRule="auto"/>
      </w:pPr>
    </w:p>
    <w:p w:rsidR="00975B15" w:rsidRPr="00CE5B33" w:rsidRDefault="00975B15" w:rsidP="001E4991">
      <w:pPr>
        <w:spacing w:after="0" w:line="240" w:lineRule="auto"/>
        <w:jc w:val="center"/>
        <w:rPr>
          <w:noProof/>
          <w:szCs w:val="24"/>
          <w:lang w:val="en-GB" w:eastAsia="en-GB"/>
        </w:rPr>
      </w:pPr>
      <w:r>
        <w:rPr>
          <w:b/>
          <w:noProof/>
          <w:szCs w:val="24"/>
          <w:lang w:val="en-GB" w:eastAsia="en-GB"/>
        </w:rPr>
        <w:t>F</w:t>
      </w:r>
      <w:r w:rsidRPr="00CE5B33">
        <w:rPr>
          <w:noProof/>
          <w:szCs w:val="24"/>
          <w:lang w:val="en-GB" w:eastAsia="en-GB"/>
        </w:rPr>
        <w:t>igure 1</w:t>
      </w:r>
    </w:p>
    <w:p w:rsidR="00975B15" w:rsidRPr="00CE5B33" w:rsidRDefault="00975B15" w:rsidP="001E4991">
      <w:pPr>
        <w:spacing w:after="0" w:line="240" w:lineRule="auto"/>
        <w:jc w:val="center"/>
        <w:rPr>
          <w:noProof/>
          <w:szCs w:val="24"/>
          <w:lang w:val="en-GB" w:eastAsia="en-GB"/>
        </w:rPr>
      </w:pPr>
    </w:p>
    <w:p w:rsidR="00975B15" w:rsidRPr="00CE5B33" w:rsidRDefault="00975B15" w:rsidP="001E4991">
      <w:pPr>
        <w:spacing w:after="0" w:line="240" w:lineRule="auto"/>
        <w:jc w:val="center"/>
        <w:rPr>
          <w:noProof/>
          <w:szCs w:val="24"/>
          <w:lang w:val="en-GB" w:eastAsia="en-GB"/>
        </w:rPr>
      </w:pPr>
      <w:r w:rsidRPr="00CE5B33">
        <w:rPr>
          <w:noProof/>
          <w:szCs w:val="24"/>
          <w:lang w:val="en-GB" w:eastAsia="en-GB"/>
        </w:rPr>
        <w:t xml:space="preserve">Frequent flood exposure in the UK (top 5% of neighbourhoods </w:t>
      </w:r>
    </w:p>
    <w:p w:rsidR="00975B15" w:rsidRPr="00CE5B33" w:rsidRDefault="004E571F" w:rsidP="001E4991">
      <w:pPr>
        <w:spacing w:after="0" w:line="240" w:lineRule="auto"/>
        <w:jc w:val="center"/>
        <w:rPr>
          <w:noProof/>
          <w:szCs w:val="24"/>
          <w:lang w:val="en-GB" w:eastAsia="en-GB"/>
        </w:rPr>
      </w:pPr>
      <w:r>
        <w:rPr>
          <w:noProof/>
          <w:szCs w:val="24"/>
          <w:lang w:val="en-GB" w:eastAsia="en-GB"/>
        </w:rPr>
        <w:t>by the Neighbourhood Flood Vulnerability Ind</w:t>
      </w:r>
      <w:r w:rsidR="00975B15" w:rsidRPr="00CE5B33">
        <w:rPr>
          <w:noProof/>
          <w:szCs w:val="24"/>
          <w:lang w:val="en-GB" w:eastAsia="en-GB"/>
        </w:rPr>
        <w:t xml:space="preserve">ex – see text) </w:t>
      </w:r>
    </w:p>
    <w:p w:rsidR="00975B15" w:rsidRPr="00CE5B33" w:rsidRDefault="00975B15" w:rsidP="001E4991">
      <w:pPr>
        <w:spacing w:after="0" w:line="240" w:lineRule="auto"/>
        <w:jc w:val="center"/>
        <w:rPr>
          <w:noProof/>
          <w:szCs w:val="24"/>
          <w:lang w:val="en-GB" w:eastAsia="en-GB"/>
        </w:rPr>
      </w:pPr>
      <w:r w:rsidRPr="00CE5B33">
        <w:rPr>
          <w:noProof/>
          <w:szCs w:val="24"/>
          <w:lang w:val="en-GB" w:eastAsia="en-GB"/>
        </w:rPr>
        <w:t>Source: Sayers et al</w:t>
      </w:r>
      <w:r w:rsidR="00C2184D">
        <w:rPr>
          <w:noProof/>
          <w:szCs w:val="24"/>
          <w:lang w:val="en-GB" w:eastAsia="en-GB"/>
        </w:rPr>
        <w:t>.</w:t>
      </w:r>
      <w:r w:rsidRPr="00CE5B33">
        <w:rPr>
          <w:noProof/>
          <w:szCs w:val="24"/>
          <w:lang w:val="en-GB" w:eastAsia="en-GB"/>
        </w:rPr>
        <w:t xml:space="preserve"> (2017</w:t>
      </w:r>
      <w:r w:rsidR="004E571F">
        <w:rPr>
          <w:noProof/>
          <w:szCs w:val="24"/>
          <w:lang w:val="en-GB" w:eastAsia="en-GB"/>
        </w:rPr>
        <w:t>a</w:t>
      </w:r>
      <w:r w:rsidRPr="00CE5B33">
        <w:rPr>
          <w:noProof/>
          <w:szCs w:val="24"/>
          <w:lang w:val="en-GB" w:eastAsia="en-GB"/>
        </w:rPr>
        <w:t>)</w:t>
      </w:r>
    </w:p>
    <w:p w:rsidR="00975B15" w:rsidRDefault="00975B15" w:rsidP="001E4991">
      <w:pPr>
        <w:spacing w:after="0" w:line="240" w:lineRule="auto"/>
      </w:pPr>
      <w:r>
        <w:rPr>
          <w:b/>
          <w:noProof/>
          <w:szCs w:val="24"/>
          <w:lang w:val="en-GB" w:eastAsia="en-GB"/>
        </w:rPr>
        <mc:AlternateContent>
          <mc:Choice Requires="wps">
            <w:drawing>
              <wp:anchor distT="0" distB="0" distL="114300" distR="114300" simplePos="0" relativeHeight="251667456" behindDoc="0" locked="0" layoutInCell="1" allowOverlap="1" wp14:anchorId="18AE3EC6" wp14:editId="6FAB0253">
                <wp:simplePos x="0" y="0"/>
                <wp:positionH relativeFrom="column">
                  <wp:posOffset>4850130</wp:posOffset>
                </wp:positionH>
                <wp:positionV relativeFrom="paragraph">
                  <wp:posOffset>114300</wp:posOffset>
                </wp:positionV>
                <wp:extent cx="1518920" cy="6303010"/>
                <wp:effectExtent l="0" t="0" r="24130" b="21590"/>
                <wp:wrapNone/>
                <wp:docPr id="3" name="Rectangle 3"/>
                <wp:cNvGraphicFramePr/>
                <a:graphic xmlns:a="http://schemas.openxmlformats.org/drawingml/2006/main">
                  <a:graphicData uri="http://schemas.microsoft.com/office/word/2010/wordprocessingShape">
                    <wps:wsp>
                      <wps:cNvSpPr/>
                      <wps:spPr>
                        <a:xfrm>
                          <a:off x="0" y="0"/>
                          <a:ext cx="1518920" cy="63030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381.9pt;margin-top:9pt;width:119.6pt;height:496.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" fillcolor="white [3212]" strokecolor="white [3212]" strokeweight="2pt"/>
            </w:pict>
          </mc:Fallback>
        </mc:AlternateContent>
      </w:r>
      <w:r>
        <w:rPr>
          <w:b/>
          <w:noProof/>
          <w:szCs w:val="24"/>
          <w:lang w:val="en-GB" w:eastAsia="en-GB"/>
        </w:rPr>
        <mc:AlternateContent>
          <mc:Choice Requires="wps">
            <w:drawing>
              <wp:anchor distT="0" distB="0" distL="114300" distR="114300" simplePos="0" relativeHeight="251670528" behindDoc="0" locked="0" layoutInCell="1" allowOverlap="1" wp14:anchorId="0E852689" wp14:editId="25241D54">
                <wp:simplePos x="0" y="0"/>
                <wp:positionH relativeFrom="column">
                  <wp:posOffset>76200</wp:posOffset>
                </wp:positionH>
                <wp:positionV relativeFrom="paragraph">
                  <wp:posOffset>115570</wp:posOffset>
                </wp:positionV>
                <wp:extent cx="4785360" cy="233045"/>
                <wp:effectExtent l="0" t="0" r="15240" b="14605"/>
                <wp:wrapNone/>
                <wp:docPr id="4" name="Rectangle 4"/>
                <wp:cNvGraphicFramePr/>
                <a:graphic xmlns:a="http://schemas.openxmlformats.org/drawingml/2006/main">
                  <a:graphicData uri="http://schemas.microsoft.com/office/word/2010/wordprocessingShape">
                    <wps:wsp>
                      <wps:cNvSpPr/>
                      <wps:spPr>
                        <a:xfrm>
                          <a:off x="0" y="0"/>
                          <a:ext cx="4785360" cy="233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6pt;margin-top:9.1pt;width:376.8pt;height:1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" fillcolor="white [3212]" strokecolor="white [3212]" strokeweight="2pt"/>
            </w:pict>
          </mc:Fallback>
        </mc:AlternateContent>
      </w:r>
      <w:r>
        <w:rPr>
          <w:b/>
          <w:noProof/>
          <w:szCs w:val="24"/>
          <w:lang w:val="en-GB" w:eastAsia="en-GB"/>
        </w:rPr>
        <w:t xml:space="preserve"> </w:t>
      </w:r>
    </w:p>
    <w:p w:rsidR="00975B15" w:rsidRDefault="00975B15" w:rsidP="001E4991">
      <w:pPr>
        <w:spacing w:after="0" w:line="240" w:lineRule="auto"/>
      </w:pPr>
      <w:r w:rsidRPr="00E719FE">
        <w:rPr>
          <w:b/>
          <w:noProof/>
          <w:szCs w:val="24"/>
          <w:lang w:val="en-GB" w:eastAsia="en-GB"/>
        </w:rPr>
        <w:drawing>
          <wp:anchor distT="0" distB="0" distL="114300" distR="114300" simplePos="0" relativeHeight="251668480" behindDoc="1" locked="0" layoutInCell="1" allowOverlap="1" wp14:anchorId="7585E4E5" wp14:editId="2CAB2D0A">
            <wp:simplePos x="0" y="0"/>
            <wp:positionH relativeFrom="column">
              <wp:posOffset>75565</wp:posOffset>
            </wp:positionH>
            <wp:positionV relativeFrom="paragraph">
              <wp:posOffset>94615</wp:posOffset>
            </wp:positionV>
            <wp:extent cx="4833620" cy="6081395"/>
            <wp:effectExtent l="0" t="0" r="5080" b="0"/>
            <wp:wrapTight wrapText="bothSides">
              <wp:wrapPolygon edited="0">
                <wp:start x="0" y="0"/>
                <wp:lineTo x="0" y="21517"/>
                <wp:lineTo x="21538" y="21517"/>
                <wp:lineTo x="21538" y="0"/>
                <wp:lineTo x="0" y="0"/>
              </wp:wrapPolygon>
            </wp:wrapTight>
            <wp:docPr id="5" name="Picture 2" descr="C:\Users\Edmund\Dropbox\Technical work\#8 Final Reporting\Maps\Fig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Edmund\Dropbox\Technical work\#8 Final Reporting\Maps\Fig 5-6.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015" r="-408" b="50959"/>
                    <a:stretch/>
                  </pic:blipFill>
                  <pic:spPr bwMode="auto">
                    <a:xfrm>
                      <a:off x="0" y="0"/>
                      <a:ext cx="4833620" cy="6081395"/>
                    </a:xfrm>
                    <a:prstGeom prst="rect">
                      <a:avLst/>
                    </a:prstGeom>
                    <a:solidFill>
                      <a:srgbClr val="000000">
                        <a:shade val="95000"/>
                      </a:srgbClr>
                    </a:solidFill>
                    <a:ln w="28575" cap="sq">
                      <a:noFill/>
                      <a:miter lim="800000"/>
                    </a:ln>
                    <a:effectLst/>
                    <a:extLst/>
                  </pic:spPr>
                </pic:pic>
              </a:graphicData>
            </a:graphic>
            <wp14:sizeRelH relativeFrom="page">
              <wp14:pctWidth>0</wp14:pctWidth>
            </wp14:sizeRelH>
            <wp14:sizeRelV relativeFrom="page">
              <wp14:pctHeight>0</wp14:pctHeight>
            </wp14:sizeRelV>
          </wp:anchor>
        </w:drawing>
      </w:r>
      <w:r>
        <w:rPr>
          <w:b/>
          <w:noProof/>
          <w:szCs w:val="24"/>
          <w:lang w:val="en-GB" w:eastAsia="en-GB"/>
        </w:rPr>
        <mc:AlternateContent>
          <mc:Choice Requires="wps">
            <w:drawing>
              <wp:anchor distT="0" distB="0" distL="114300" distR="114300" simplePos="0" relativeHeight="251669504" behindDoc="0" locked="0" layoutInCell="1" allowOverlap="1" wp14:anchorId="3DEB983F" wp14:editId="123C8AE5">
                <wp:simplePos x="0" y="0"/>
                <wp:positionH relativeFrom="column">
                  <wp:posOffset>-3191110</wp:posOffset>
                </wp:positionH>
                <wp:positionV relativeFrom="paragraph">
                  <wp:posOffset>5986635</wp:posOffset>
                </wp:positionV>
                <wp:extent cx="3348000" cy="690735"/>
                <wp:effectExtent l="0" t="0" r="24130" b="14605"/>
                <wp:wrapNone/>
                <wp:docPr id="10" name="Rectangle 10"/>
                <wp:cNvGraphicFramePr/>
                <a:graphic xmlns:a="http://schemas.openxmlformats.org/drawingml/2006/main">
                  <a:graphicData uri="http://schemas.microsoft.com/office/word/2010/wordprocessingShape">
                    <wps:wsp>
                      <wps:cNvSpPr/>
                      <wps:spPr>
                        <a:xfrm>
                          <a:off x="0" y="0"/>
                          <a:ext cx="3348000" cy="6907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51.25pt;margin-top:471.4pt;width:263.6pt;height:5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" fillcolor="white [3212]" strokecolor="white [3212]" strokeweight="2pt"/>
            </w:pict>
          </mc:Fallback>
        </mc:AlternateContent>
      </w:r>
      <w:r>
        <w:rPr>
          <w:b/>
          <w:noProof/>
          <w:szCs w:val="24"/>
          <w:lang w:val="en-GB" w:eastAsia="en-GB"/>
        </w:rPr>
        <mc:AlternateContent>
          <mc:Choice Requires="wps">
            <w:drawing>
              <wp:anchor distT="0" distB="0" distL="114300" distR="114300" simplePos="0" relativeHeight="251666432" behindDoc="0" locked="0" layoutInCell="1" allowOverlap="1" wp14:anchorId="37A93D25" wp14:editId="729B98FE">
                <wp:simplePos x="0" y="0"/>
                <wp:positionH relativeFrom="column">
                  <wp:posOffset>-5328920</wp:posOffset>
                </wp:positionH>
                <wp:positionV relativeFrom="paragraph">
                  <wp:posOffset>3127375</wp:posOffset>
                </wp:positionV>
                <wp:extent cx="1518920" cy="2375535"/>
                <wp:effectExtent l="0" t="0" r="24130" b="24765"/>
                <wp:wrapNone/>
                <wp:docPr id="6" name="Rectangle 6"/>
                <wp:cNvGraphicFramePr/>
                <a:graphic xmlns:a="http://schemas.openxmlformats.org/drawingml/2006/main">
                  <a:graphicData uri="http://schemas.microsoft.com/office/word/2010/wordprocessingShape">
                    <wps:wsp>
                      <wps:cNvSpPr/>
                      <wps:spPr>
                        <a:xfrm>
                          <a:off x="0" y="0"/>
                          <a:ext cx="1518920" cy="23755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419.6pt;margin-top:246.25pt;width:119.6pt;height:187.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" fillcolor="white [3212]" strokecolor="white [3212]" strokeweight="2pt"/>
            </w:pict>
          </mc:Fallback>
        </mc:AlternateContent>
      </w:r>
      <w:r>
        <w:br w:type="page"/>
      </w:r>
    </w:p>
    <w:p w:rsidR="00975B15" w:rsidRDefault="00975B15" w:rsidP="001E4991">
      <w:pPr>
        <w:spacing w:after="0" w:line="240" w:lineRule="auto"/>
        <w:jc w:val="center"/>
      </w:pPr>
      <w:r>
        <w:lastRenderedPageBreak/>
        <w:t>Figure 2</w:t>
      </w:r>
    </w:p>
    <w:p w:rsidR="00975B15" w:rsidRDefault="00975B15" w:rsidP="001E4991">
      <w:pPr>
        <w:spacing w:after="0" w:line="240" w:lineRule="auto"/>
        <w:jc w:val="center"/>
      </w:pPr>
      <w:r>
        <w:t>The trends in housing tenure in Scotland, 1981 to 2014</w:t>
      </w:r>
    </w:p>
    <w:p w:rsidR="00C2184D" w:rsidRDefault="00C2184D" w:rsidP="001E4991">
      <w:pPr>
        <w:spacing w:after="0" w:line="240" w:lineRule="auto"/>
        <w:jc w:val="center"/>
      </w:pPr>
    </w:p>
    <w:p w:rsidR="00975B15" w:rsidRDefault="00975B15" w:rsidP="001E4991">
      <w:pPr>
        <w:spacing w:after="0" w:line="240" w:lineRule="auto"/>
      </w:pPr>
      <w:r>
        <w:rPr>
          <w:noProof/>
          <w:lang w:val="en-GB" w:eastAsia="en-GB"/>
        </w:rPr>
        <w:drawing>
          <wp:inline distT="0" distB="0" distL="0" distR="0" wp14:anchorId="56493F55" wp14:editId="530F91D8">
            <wp:extent cx="5731510" cy="3370936"/>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370936"/>
                    </a:xfrm>
                    <a:prstGeom prst="rect">
                      <a:avLst/>
                    </a:prstGeom>
                  </pic:spPr>
                </pic:pic>
              </a:graphicData>
            </a:graphic>
          </wp:inline>
        </w:drawing>
      </w:r>
      <w:r>
        <w:br w:type="page"/>
      </w:r>
    </w:p>
    <w:sectPr w:rsidR="00975B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8A1" w:rsidRDefault="00F578A1" w:rsidP="0034760B">
      <w:pPr>
        <w:spacing w:after="0" w:line="240" w:lineRule="auto"/>
      </w:pPr>
      <w:r>
        <w:separator/>
      </w:r>
    </w:p>
  </w:endnote>
  <w:endnote w:type="continuationSeparator" w:id="0">
    <w:p w:rsidR="00F578A1" w:rsidRDefault="00F578A1" w:rsidP="00347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Italic">
    <w:panose1 w:val="00000000000000000000"/>
    <w:charset w:val="00"/>
    <w:family w:val="auto"/>
    <w:notTrueType/>
    <w:pitch w:val="default"/>
    <w:sig w:usb0="00000003" w:usb1="00000000" w:usb2="00000000" w:usb3="00000000" w:csb0="00000001" w:csb1="00000000"/>
  </w:font>
  <w:font w:name="LpqgypAdvTT3713a231">
    <w:panose1 w:val="00000000000000000000"/>
    <w:charset w:val="00"/>
    <w:family w:val="roman"/>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FrutigerLTStd-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7258195"/>
      <w:docPartObj>
        <w:docPartGallery w:val="Page Numbers (Bottom of Page)"/>
        <w:docPartUnique/>
      </w:docPartObj>
    </w:sdtPr>
    <w:sdtEndPr>
      <w:rPr>
        <w:noProof/>
      </w:rPr>
    </w:sdtEndPr>
    <w:sdtContent>
      <w:p w:rsidR="00DD3411" w:rsidRDefault="00DD3411">
        <w:pPr>
          <w:pStyle w:val="Footer"/>
          <w:jc w:val="center"/>
        </w:pPr>
        <w:r>
          <w:fldChar w:fldCharType="begin"/>
        </w:r>
        <w:r>
          <w:instrText xml:space="preserve"> PAGE   \* MERGEFORMAT </w:instrText>
        </w:r>
        <w:r>
          <w:fldChar w:fldCharType="separate"/>
        </w:r>
        <w:r w:rsidR="00F40987">
          <w:rPr>
            <w:noProof/>
          </w:rPr>
          <w:t>1</w:t>
        </w:r>
        <w:r>
          <w:rPr>
            <w:noProof/>
          </w:rPr>
          <w:fldChar w:fldCharType="end"/>
        </w:r>
      </w:p>
    </w:sdtContent>
  </w:sdt>
  <w:p w:rsidR="00DD3411" w:rsidRDefault="00DD34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8A1" w:rsidRDefault="00F578A1" w:rsidP="0034760B">
      <w:pPr>
        <w:spacing w:after="0" w:line="240" w:lineRule="auto"/>
      </w:pPr>
      <w:r>
        <w:separator/>
      </w:r>
    </w:p>
  </w:footnote>
  <w:footnote w:type="continuationSeparator" w:id="0">
    <w:p w:rsidR="00F578A1" w:rsidRDefault="00F578A1" w:rsidP="0034760B">
      <w:pPr>
        <w:spacing w:after="0" w:line="240" w:lineRule="auto"/>
      </w:pPr>
      <w:r>
        <w:continuationSeparator/>
      </w:r>
    </w:p>
  </w:footnote>
  <w:footnote w:id="1">
    <w:p w:rsidR="00DD3411" w:rsidRDefault="00DD3411" w:rsidP="005C168B">
      <w:pPr>
        <w:pStyle w:val="FootnoteText"/>
      </w:pPr>
      <w:r>
        <w:rPr>
          <w:rStyle w:val="FootnoteReference"/>
        </w:rPr>
        <w:footnoteRef/>
      </w:r>
      <w:r>
        <w:t xml:space="preserve"> </w:t>
      </w:r>
      <w:hyperlink r:id="rId1" w:history="1">
        <w:r>
          <w:rPr>
            <w:rStyle w:val="Hyperlink"/>
          </w:rPr>
          <w:t>https://www.axa.co.uk/auk-2016-h2-home02/</w:t>
        </w:r>
      </w:hyperlink>
    </w:p>
    <w:p w:rsidR="00DD3411" w:rsidRDefault="00DD3411" w:rsidP="005C168B">
      <w:pPr>
        <w:pStyle w:val="FootnoteText"/>
        <w:rPr>
          <w:lang w:val="en-GB"/>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3184E"/>
    <w:multiLevelType w:val="hybridMultilevel"/>
    <w:tmpl w:val="194AAC60"/>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F082987"/>
    <w:multiLevelType w:val="hybridMultilevel"/>
    <w:tmpl w:val="C6B819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FED057C"/>
    <w:multiLevelType w:val="hybridMultilevel"/>
    <w:tmpl w:val="0CC43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8440372"/>
    <w:multiLevelType w:val="hybridMultilevel"/>
    <w:tmpl w:val="A49EB6A4"/>
    <w:lvl w:ilvl="0" w:tplc="4DAAF1B2">
      <w:start w:val="1"/>
      <w:numFmt w:val="decimal"/>
      <w:lvlText w:val="%1."/>
      <w:lvlJc w:val="left"/>
      <w:pPr>
        <w:tabs>
          <w:tab w:val="num" w:pos="720"/>
        </w:tabs>
        <w:ind w:left="720" w:hanging="360"/>
      </w:pPr>
    </w:lvl>
    <w:lvl w:ilvl="1" w:tplc="C2BAE936">
      <w:start w:val="1"/>
      <w:numFmt w:val="decimal"/>
      <w:lvlText w:val="%2."/>
      <w:lvlJc w:val="left"/>
      <w:pPr>
        <w:tabs>
          <w:tab w:val="num" w:pos="1440"/>
        </w:tabs>
        <w:ind w:left="1440" w:hanging="360"/>
      </w:pPr>
    </w:lvl>
    <w:lvl w:ilvl="2" w:tplc="52F64262">
      <w:start w:val="1"/>
      <w:numFmt w:val="decimal"/>
      <w:lvlText w:val="%3."/>
      <w:lvlJc w:val="left"/>
      <w:pPr>
        <w:tabs>
          <w:tab w:val="num" w:pos="2160"/>
        </w:tabs>
        <w:ind w:left="2160" w:hanging="360"/>
      </w:pPr>
    </w:lvl>
    <w:lvl w:ilvl="3" w:tplc="27288BA8">
      <w:start w:val="1"/>
      <w:numFmt w:val="decimal"/>
      <w:lvlText w:val="%4."/>
      <w:lvlJc w:val="left"/>
      <w:pPr>
        <w:tabs>
          <w:tab w:val="num" w:pos="2880"/>
        </w:tabs>
        <w:ind w:left="2880" w:hanging="360"/>
      </w:pPr>
    </w:lvl>
    <w:lvl w:ilvl="4" w:tplc="589A8C04">
      <w:start w:val="1"/>
      <w:numFmt w:val="decimal"/>
      <w:lvlText w:val="%5."/>
      <w:lvlJc w:val="left"/>
      <w:pPr>
        <w:tabs>
          <w:tab w:val="num" w:pos="3600"/>
        </w:tabs>
        <w:ind w:left="3600" w:hanging="360"/>
      </w:pPr>
    </w:lvl>
    <w:lvl w:ilvl="5" w:tplc="D81C5DD8">
      <w:start w:val="1"/>
      <w:numFmt w:val="decimal"/>
      <w:lvlText w:val="%6."/>
      <w:lvlJc w:val="left"/>
      <w:pPr>
        <w:tabs>
          <w:tab w:val="num" w:pos="4320"/>
        </w:tabs>
        <w:ind w:left="4320" w:hanging="360"/>
      </w:pPr>
    </w:lvl>
    <w:lvl w:ilvl="6" w:tplc="9BD82024">
      <w:start w:val="1"/>
      <w:numFmt w:val="decimal"/>
      <w:lvlText w:val="%7."/>
      <w:lvlJc w:val="left"/>
      <w:pPr>
        <w:tabs>
          <w:tab w:val="num" w:pos="5040"/>
        </w:tabs>
        <w:ind w:left="5040" w:hanging="360"/>
      </w:pPr>
    </w:lvl>
    <w:lvl w:ilvl="7" w:tplc="556213EE">
      <w:start w:val="1"/>
      <w:numFmt w:val="decimal"/>
      <w:lvlText w:val="%8."/>
      <w:lvlJc w:val="left"/>
      <w:pPr>
        <w:tabs>
          <w:tab w:val="num" w:pos="5760"/>
        </w:tabs>
        <w:ind w:left="5760" w:hanging="360"/>
      </w:pPr>
    </w:lvl>
    <w:lvl w:ilvl="8" w:tplc="F872D0CA">
      <w:start w:val="1"/>
      <w:numFmt w:val="decimal"/>
      <w:lvlText w:val="%9."/>
      <w:lvlJc w:val="left"/>
      <w:pPr>
        <w:tabs>
          <w:tab w:val="num" w:pos="6480"/>
        </w:tabs>
        <w:ind w:left="6480" w:hanging="360"/>
      </w:pPr>
    </w:lvl>
  </w:abstractNum>
  <w:abstractNum w:abstractNumId="4">
    <w:nsid w:val="2A88568D"/>
    <w:multiLevelType w:val="hybridMultilevel"/>
    <w:tmpl w:val="2D94D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043AC2"/>
    <w:multiLevelType w:val="hybridMultilevel"/>
    <w:tmpl w:val="B5200294"/>
    <w:lvl w:ilvl="0" w:tplc="17F0CD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59251A0"/>
    <w:multiLevelType w:val="hybridMultilevel"/>
    <w:tmpl w:val="14DA2C66"/>
    <w:lvl w:ilvl="0" w:tplc="BE60027A">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nsid w:val="3B0E53E8"/>
    <w:multiLevelType w:val="hybridMultilevel"/>
    <w:tmpl w:val="5B6CB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1546A7"/>
    <w:multiLevelType w:val="hybridMultilevel"/>
    <w:tmpl w:val="14C4FA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F3A5534"/>
    <w:multiLevelType w:val="hybridMultilevel"/>
    <w:tmpl w:val="C6367D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716B7234"/>
    <w:multiLevelType w:val="hybridMultilevel"/>
    <w:tmpl w:val="ACB29C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2F91035"/>
    <w:multiLevelType w:val="hybridMultilevel"/>
    <w:tmpl w:val="56E607D4"/>
    <w:lvl w:ilvl="0" w:tplc="C096C72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0"/>
  </w:num>
  <w:num w:numId="5">
    <w:abstractNumId w:val="7"/>
  </w:num>
  <w:num w:numId="6">
    <w:abstractNumId w:val="11"/>
  </w:num>
  <w:num w:numId="7">
    <w:abstractNumId w:val="4"/>
  </w:num>
  <w:num w:numId="8">
    <w:abstractNumId w:val="10"/>
  </w:num>
  <w:num w:numId="9">
    <w:abstractNumId w:val="6"/>
  </w:num>
  <w:num w:numId="10">
    <w:abstractNumId w:val="9"/>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0F8FE411-2B5C-4581-BECF-709D4471F3BD}"/>
    <w:docVar w:name="dgnword-eventsink" w:val="80947928"/>
  </w:docVars>
  <w:rsids>
    <w:rsidRoot w:val="002548B9"/>
    <w:rsid w:val="00023D59"/>
    <w:rsid w:val="0003796D"/>
    <w:rsid w:val="0008750D"/>
    <w:rsid w:val="000A43F0"/>
    <w:rsid w:val="000A4F9B"/>
    <w:rsid w:val="000E7651"/>
    <w:rsid w:val="000E7AE7"/>
    <w:rsid w:val="000E7D6F"/>
    <w:rsid w:val="00103C4F"/>
    <w:rsid w:val="00111CBF"/>
    <w:rsid w:val="001303A2"/>
    <w:rsid w:val="001805CE"/>
    <w:rsid w:val="001E4991"/>
    <w:rsid w:val="002146D5"/>
    <w:rsid w:val="002413DE"/>
    <w:rsid w:val="00250964"/>
    <w:rsid w:val="002548B9"/>
    <w:rsid w:val="002806B4"/>
    <w:rsid w:val="002C2749"/>
    <w:rsid w:val="002E248D"/>
    <w:rsid w:val="003168B3"/>
    <w:rsid w:val="00337AAF"/>
    <w:rsid w:val="0034760B"/>
    <w:rsid w:val="00354162"/>
    <w:rsid w:val="00370D46"/>
    <w:rsid w:val="00373862"/>
    <w:rsid w:val="00386356"/>
    <w:rsid w:val="00390912"/>
    <w:rsid w:val="003C6DE2"/>
    <w:rsid w:val="00433FD0"/>
    <w:rsid w:val="00441FDC"/>
    <w:rsid w:val="004742EE"/>
    <w:rsid w:val="004809EE"/>
    <w:rsid w:val="004A5BDD"/>
    <w:rsid w:val="004E571F"/>
    <w:rsid w:val="005425A3"/>
    <w:rsid w:val="0056739C"/>
    <w:rsid w:val="00586BE6"/>
    <w:rsid w:val="005B79A8"/>
    <w:rsid w:val="005C168B"/>
    <w:rsid w:val="005D0CF5"/>
    <w:rsid w:val="005E40E4"/>
    <w:rsid w:val="00601220"/>
    <w:rsid w:val="00606CF6"/>
    <w:rsid w:val="0063255C"/>
    <w:rsid w:val="006327F6"/>
    <w:rsid w:val="00660AAF"/>
    <w:rsid w:val="00675F13"/>
    <w:rsid w:val="00694FF6"/>
    <w:rsid w:val="006B7D2C"/>
    <w:rsid w:val="006C2A2C"/>
    <w:rsid w:val="006C37D8"/>
    <w:rsid w:val="006D5CA3"/>
    <w:rsid w:val="006D6EF3"/>
    <w:rsid w:val="006E168F"/>
    <w:rsid w:val="006E437C"/>
    <w:rsid w:val="007033C3"/>
    <w:rsid w:val="0077497E"/>
    <w:rsid w:val="007B6A4B"/>
    <w:rsid w:val="007C333A"/>
    <w:rsid w:val="007C7749"/>
    <w:rsid w:val="007D1EBD"/>
    <w:rsid w:val="007E1676"/>
    <w:rsid w:val="0085326B"/>
    <w:rsid w:val="00862A0A"/>
    <w:rsid w:val="00870F9D"/>
    <w:rsid w:val="00875595"/>
    <w:rsid w:val="00877C60"/>
    <w:rsid w:val="008904C0"/>
    <w:rsid w:val="008A08A1"/>
    <w:rsid w:val="008A41CA"/>
    <w:rsid w:val="008C2A5A"/>
    <w:rsid w:val="00911A9B"/>
    <w:rsid w:val="00920192"/>
    <w:rsid w:val="00973B02"/>
    <w:rsid w:val="00975B15"/>
    <w:rsid w:val="009860A3"/>
    <w:rsid w:val="009B3243"/>
    <w:rsid w:val="009C69D1"/>
    <w:rsid w:val="009D561B"/>
    <w:rsid w:val="009E37DC"/>
    <w:rsid w:val="009E4B5F"/>
    <w:rsid w:val="009E67F3"/>
    <w:rsid w:val="00A04444"/>
    <w:rsid w:val="00A23E4F"/>
    <w:rsid w:val="00A61E60"/>
    <w:rsid w:val="00AA0E55"/>
    <w:rsid w:val="00AC4CC6"/>
    <w:rsid w:val="00AD01F2"/>
    <w:rsid w:val="00AF0B1C"/>
    <w:rsid w:val="00AF27EF"/>
    <w:rsid w:val="00B00023"/>
    <w:rsid w:val="00B02B46"/>
    <w:rsid w:val="00B0586B"/>
    <w:rsid w:val="00B32C5C"/>
    <w:rsid w:val="00B41E09"/>
    <w:rsid w:val="00B43506"/>
    <w:rsid w:val="00B66BC6"/>
    <w:rsid w:val="00B74F46"/>
    <w:rsid w:val="00B93B37"/>
    <w:rsid w:val="00BB2E13"/>
    <w:rsid w:val="00BC6FF2"/>
    <w:rsid w:val="00BF0F66"/>
    <w:rsid w:val="00C2184D"/>
    <w:rsid w:val="00C446CA"/>
    <w:rsid w:val="00C457D0"/>
    <w:rsid w:val="00C7415A"/>
    <w:rsid w:val="00CA1F87"/>
    <w:rsid w:val="00CC47A5"/>
    <w:rsid w:val="00CE35CB"/>
    <w:rsid w:val="00CF1ADF"/>
    <w:rsid w:val="00D303D2"/>
    <w:rsid w:val="00D405EB"/>
    <w:rsid w:val="00DB75CA"/>
    <w:rsid w:val="00DD3411"/>
    <w:rsid w:val="00DF183D"/>
    <w:rsid w:val="00E011AD"/>
    <w:rsid w:val="00E167AA"/>
    <w:rsid w:val="00E51E2B"/>
    <w:rsid w:val="00E53E60"/>
    <w:rsid w:val="00E75301"/>
    <w:rsid w:val="00EA6235"/>
    <w:rsid w:val="00EB506E"/>
    <w:rsid w:val="00F01986"/>
    <w:rsid w:val="00F40987"/>
    <w:rsid w:val="00F578A1"/>
    <w:rsid w:val="00F7018D"/>
    <w:rsid w:val="00FA7973"/>
    <w:rsid w:val="00FB347F"/>
    <w:rsid w:val="00FF3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68F"/>
    <w:pPr>
      <w:spacing w:after="200" w:line="276" w:lineRule="auto"/>
    </w:pPr>
    <w:rPr>
      <w:sz w:val="24"/>
      <w:szCs w:val="22"/>
      <w:lang w:val="en-US"/>
    </w:rPr>
  </w:style>
  <w:style w:type="paragraph" w:styleId="Heading1">
    <w:name w:val="heading 1"/>
    <w:basedOn w:val="Normal"/>
    <w:next w:val="Normal"/>
    <w:link w:val="Heading1Char"/>
    <w:uiPriority w:val="9"/>
    <w:qFormat/>
    <w:rsid w:val="006E168F"/>
    <w:pPr>
      <w:keepNext/>
      <w:keepLines/>
      <w:spacing w:before="480" w:after="0"/>
      <w:outlineLvl w:val="0"/>
    </w:pPr>
    <w:rPr>
      <w:rFonts w:ascii="Cambria" w:eastAsia="Times New Roman" w:hAnsi="Cambria"/>
      <w:b/>
      <w:bCs/>
      <w:color w:val="365F91"/>
      <w:sz w:val="36"/>
      <w:szCs w:val="28"/>
    </w:rPr>
  </w:style>
  <w:style w:type="paragraph" w:styleId="Heading2">
    <w:name w:val="heading 2"/>
    <w:basedOn w:val="Normal"/>
    <w:next w:val="Normal"/>
    <w:link w:val="Heading2Char"/>
    <w:uiPriority w:val="9"/>
    <w:unhideWhenUsed/>
    <w:qFormat/>
    <w:rsid w:val="006E168F"/>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E168F"/>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unhideWhenUsed/>
    <w:qFormat/>
    <w:rsid w:val="006E168F"/>
    <w:pPr>
      <w:keepNext/>
      <w:spacing w:before="240" w:after="60"/>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E168F"/>
    <w:rPr>
      <w:rFonts w:ascii="Cambria" w:eastAsia="Times New Roman" w:hAnsi="Cambria"/>
      <w:b/>
      <w:bCs/>
      <w:color w:val="365F91"/>
      <w:sz w:val="36"/>
      <w:szCs w:val="28"/>
      <w:lang w:val="en-US"/>
    </w:rPr>
  </w:style>
  <w:style w:type="character" w:customStyle="1" w:styleId="Heading2Char">
    <w:name w:val="Heading 2 Char"/>
    <w:link w:val="Heading2"/>
    <w:uiPriority w:val="9"/>
    <w:rsid w:val="006E168F"/>
    <w:rPr>
      <w:rFonts w:ascii="Cambria" w:eastAsia="Times New Roman" w:hAnsi="Cambria"/>
      <w:b/>
      <w:bCs/>
      <w:color w:val="4F81BD"/>
      <w:sz w:val="26"/>
      <w:szCs w:val="26"/>
      <w:lang w:val="en-US"/>
    </w:rPr>
  </w:style>
  <w:style w:type="character" w:customStyle="1" w:styleId="Heading3Char">
    <w:name w:val="Heading 3 Char"/>
    <w:link w:val="Heading3"/>
    <w:uiPriority w:val="9"/>
    <w:rsid w:val="006E168F"/>
    <w:rPr>
      <w:rFonts w:ascii="Cambria" w:eastAsia="Times New Roman" w:hAnsi="Cambria"/>
      <w:b/>
      <w:bCs/>
      <w:color w:val="4F81BD"/>
      <w:lang w:val="en-US"/>
    </w:rPr>
  </w:style>
  <w:style w:type="character" w:customStyle="1" w:styleId="Heading4Char">
    <w:name w:val="Heading 4 Char"/>
    <w:link w:val="Heading4"/>
    <w:uiPriority w:val="9"/>
    <w:rsid w:val="006E168F"/>
    <w:rPr>
      <w:rFonts w:eastAsia="Times New Roman"/>
      <w:bCs/>
      <w:i/>
      <w:sz w:val="24"/>
      <w:szCs w:val="28"/>
      <w:lang w:val="en-US"/>
    </w:rPr>
  </w:style>
  <w:style w:type="paragraph" w:styleId="Title">
    <w:name w:val="Title"/>
    <w:basedOn w:val="Normal"/>
    <w:next w:val="Normal"/>
    <w:link w:val="TitleChar"/>
    <w:uiPriority w:val="10"/>
    <w:qFormat/>
    <w:rsid w:val="006E168F"/>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E168F"/>
    <w:rPr>
      <w:rFonts w:ascii="Cambria" w:eastAsia="Times New Roman" w:hAnsi="Cambria"/>
      <w:color w:val="17365D"/>
      <w:spacing w:val="5"/>
      <w:kern w:val="28"/>
      <w:sz w:val="52"/>
      <w:szCs w:val="52"/>
      <w:lang w:val="en-US"/>
    </w:rPr>
  </w:style>
  <w:style w:type="paragraph" w:styleId="NoSpacing">
    <w:name w:val="No Spacing"/>
    <w:basedOn w:val="Normal"/>
    <w:link w:val="NoSpacingChar"/>
    <w:uiPriority w:val="1"/>
    <w:qFormat/>
    <w:rsid w:val="006E168F"/>
    <w:rPr>
      <w:sz w:val="20"/>
      <w:szCs w:val="20"/>
    </w:rPr>
  </w:style>
  <w:style w:type="character" w:customStyle="1" w:styleId="NoSpacingChar">
    <w:name w:val="No Spacing Char"/>
    <w:link w:val="NoSpacing"/>
    <w:uiPriority w:val="1"/>
    <w:rsid w:val="006E168F"/>
    <w:rPr>
      <w:lang w:val="en-US"/>
    </w:rPr>
  </w:style>
  <w:style w:type="paragraph" w:styleId="ListParagraph">
    <w:name w:val="List Paragraph"/>
    <w:basedOn w:val="Normal"/>
    <w:uiPriority w:val="34"/>
    <w:qFormat/>
    <w:rsid w:val="006E168F"/>
    <w:pPr>
      <w:ind w:left="720"/>
      <w:contextualSpacing/>
    </w:pPr>
  </w:style>
  <w:style w:type="character" w:styleId="Strong">
    <w:name w:val="Strong"/>
    <w:basedOn w:val="DefaultParagraphFont"/>
    <w:uiPriority w:val="22"/>
    <w:qFormat/>
    <w:rsid w:val="006E168F"/>
    <w:rPr>
      <w:b/>
      <w:bCs/>
    </w:rPr>
  </w:style>
  <w:style w:type="character" w:styleId="Emphasis">
    <w:name w:val="Emphasis"/>
    <w:basedOn w:val="DefaultParagraphFont"/>
    <w:uiPriority w:val="20"/>
    <w:qFormat/>
    <w:rsid w:val="006E168F"/>
    <w:rPr>
      <w:i/>
      <w:iCs/>
    </w:rPr>
  </w:style>
  <w:style w:type="table" w:styleId="TableGrid">
    <w:name w:val="Table Grid"/>
    <w:basedOn w:val="TableNormal"/>
    <w:uiPriority w:val="59"/>
    <w:rsid w:val="00632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476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760B"/>
    <w:rPr>
      <w:lang w:val="en-US"/>
    </w:rPr>
  </w:style>
  <w:style w:type="character" w:styleId="FootnoteReference">
    <w:name w:val="footnote reference"/>
    <w:basedOn w:val="DefaultParagraphFont"/>
    <w:uiPriority w:val="99"/>
    <w:semiHidden/>
    <w:unhideWhenUsed/>
    <w:rsid w:val="0034760B"/>
    <w:rPr>
      <w:vertAlign w:val="superscript"/>
    </w:rPr>
  </w:style>
  <w:style w:type="paragraph" w:styleId="BalloonText">
    <w:name w:val="Balloon Text"/>
    <w:basedOn w:val="Normal"/>
    <w:link w:val="BalloonTextChar"/>
    <w:uiPriority w:val="99"/>
    <w:semiHidden/>
    <w:unhideWhenUsed/>
    <w:rsid w:val="00911A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A9B"/>
    <w:rPr>
      <w:rFonts w:ascii="Tahoma" w:hAnsi="Tahoma" w:cs="Tahoma"/>
      <w:sz w:val="16"/>
      <w:szCs w:val="16"/>
      <w:lang w:val="en-US"/>
    </w:rPr>
  </w:style>
  <w:style w:type="character" w:styleId="Hyperlink">
    <w:name w:val="Hyperlink"/>
    <w:basedOn w:val="DefaultParagraphFont"/>
    <w:uiPriority w:val="99"/>
    <w:unhideWhenUsed/>
    <w:rsid w:val="005C168B"/>
    <w:rPr>
      <w:color w:val="0000FF" w:themeColor="hyperlink"/>
      <w:u w:val="single"/>
    </w:rPr>
  </w:style>
  <w:style w:type="paragraph" w:styleId="Header">
    <w:name w:val="header"/>
    <w:basedOn w:val="Normal"/>
    <w:link w:val="HeaderChar"/>
    <w:uiPriority w:val="99"/>
    <w:unhideWhenUsed/>
    <w:rsid w:val="005E40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40E4"/>
    <w:rPr>
      <w:sz w:val="24"/>
      <w:szCs w:val="22"/>
      <w:lang w:val="en-US"/>
    </w:rPr>
  </w:style>
  <w:style w:type="paragraph" w:styleId="Footer">
    <w:name w:val="footer"/>
    <w:basedOn w:val="Normal"/>
    <w:link w:val="FooterChar"/>
    <w:uiPriority w:val="99"/>
    <w:unhideWhenUsed/>
    <w:rsid w:val="005E40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40E4"/>
    <w:rPr>
      <w:sz w:val="24"/>
      <w:szCs w:val="22"/>
      <w:lang w:val="en-US"/>
    </w:rPr>
  </w:style>
  <w:style w:type="paragraph" w:customStyle="1" w:styleId="Default">
    <w:name w:val="Default"/>
    <w:rsid w:val="00F7018D"/>
    <w:pPr>
      <w:autoSpaceDE w:val="0"/>
      <w:autoSpaceDN w:val="0"/>
      <w:adjustRightInd w:val="0"/>
    </w:pPr>
    <w:rPr>
      <w:rFonts w:cs="Calibri"/>
      <w:color w:val="000000"/>
      <w:sz w:val="24"/>
      <w:szCs w:val="24"/>
    </w:rPr>
  </w:style>
  <w:style w:type="paragraph" w:styleId="PlainText">
    <w:name w:val="Plain Text"/>
    <w:basedOn w:val="Normal"/>
    <w:link w:val="PlainTextChar"/>
    <w:uiPriority w:val="99"/>
    <w:unhideWhenUsed/>
    <w:rsid w:val="00B66BC6"/>
    <w:pPr>
      <w:spacing w:after="0" w:line="240" w:lineRule="auto"/>
    </w:pPr>
    <w:rPr>
      <w:rFonts w:ascii="Consolas" w:hAnsi="Consolas"/>
      <w:sz w:val="21"/>
      <w:szCs w:val="21"/>
      <w:lang w:val="x-none"/>
    </w:rPr>
  </w:style>
  <w:style w:type="character" w:customStyle="1" w:styleId="PlainTextChar">
    <w:name w:val="Plain Text Char"/>
    <w:basedOn w:val="DefaultParagraphFont"/>
    <w:link w:val="PlainText"/>
    <w:uiPriority w:val="99"/>
    <w:rsid w:val="00B66BC6"/>
    <w:rPr>
      <w:rFonts w:ascii="Consolas" w:hAnsi="Consolas"/>
      <w:sz w:val="21"/>
      <w:szCs w:val="21"/>
      <w:lang w:val="x-none"/>
    </w:rPr>
  </w:style>
  <w:style w:type="character" w:customStyle="1" w:styleId="ilfuvd">
    <w:name w:val="ilfuvd"/>
    <w:basedOn w:val="DefaultParagraphFont"/>
    <w:rsid w:val="00EA62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68F"/>
    <w:pPr>
      <w:spacing w:after="200" w:line="276" w:lineRule="auto"/>
    </w:pPr>
    <w:rPr>
      <w:sz w:val="24"/>
      <w:szCs w:val="22"/>
      <w:lang w:val="en-US"/>
    </w:rPr>
  </w:style>
  <w:style w:type="paragraph" w:styleId="Heading1">
    <w:name w:val="heading 1"/>
    <w:basedOn w:val="Normal"/>
    <w:next w:val="Normal"/>
    <w:link w:val="Heading1Char"/>
    <w:uiPriority w:val="9"/>
    <w:qFormat/>
    <w:rsid w:val="006E168F"/>
    <w:pPr>
      <w:keepNext/>
      <w:keepLines/>
      <w:spacing w:before="480" w:after="0"/>
      <w:outlineLvl w:val="0"/>
    </w:pPr>
    <w:rPr>
      <w:rFonts w:ascii="Cambria" w:eastAsia="Times New Roman" w:hAnsi="Cambria"/>
      <w:b/>
      <w:bCs/>
      <w:color w:val="365F91"/>
      <w:sz w:val="36"/>
      <w:szCs w:val="28"/>
    </w:rPr>
  </w:style>
  <w:style w:type="paragraph" w:styleId="Heading2">
    <w:name w:val="heading 2"/>
    <w:basedOn w:val="Normal"/>
    <w:next w:val="Normal"/>
    <w:link w:val="Heading2Char"/>
    <w:uiPriority w:val="9"/>
    <w:unhideWhenUsed/>
    <w:qFormat/>
    <w:rsid w:val="006E168F"/>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E168F"/>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unhideWhenUsed/>
    <w:qFormat/>
    <w:rsid w:val="006E168F"/>
    <w:pPr>
      <w:keepNext/>
      <w:spacing w:before="240" w:after="60"/>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E168F"/>
    <w:rPr>
      <w:rFonts w:ascii="Cambria" w:eastAsia="Times New Roman" w:hAnsi="Cambria"/>
      <w:b/>
      <w:bCs/>
      <w:color w:val="365F91"/>
      <w:sz w:val="36"/>
      <w:szCs w:val="28"/>
      <w:lang w:val="en-US"/>
    </w:rPr>
  </w:style>
  <w:style w:type="character" w:customStyle="1" w:styleId="Heading2Char">
    <w:name w:val="Heading 2 Char"/>
    <w:link w:val="Heading2"/>
    <w:uiPriority w:val="9"/>
    <w:rsid w:val="006E168F"/>
    <w:rPr>
      <w:rFonts w:ascii="Cambria" w:eastAsia="Times New Roman" w:hAnsi="Cambria"/>
      <w:b/>
      <w:bCs/>
      <w:color w:val="4F81BD"/>
      <w:sz w:val="26"/>
      <w:szCs w:val="26"/>
      <w:lang w:val="en-US"/>
    </w:rPr>
  </w:style>
  <w:style w:type="character" w:customStyle="1" w:styleId="Heading3Char">
    <w:name w:val="Heading 3 Char"/>
    <w:link w:val="Heading3"/>
    <w:uiPriority w:val="9"/>
    <w:rsid w:val="006E168F"/>
    <w:rPr>
      <w:rFonts w:ascii="Cambria" w:eastAsia="Times New Roman" w:hAnsi="Cambria"/>
      <w:b/>
      <w:bCs/>
      <w:color w:val="4F81BD"/>
      <w:lang w:val="en-US"/>
    </w:rPr>
  </w:style>
  <w:style w:type="character" w:customStyle="1" w:styleId="Heading4Char">
    <w:name w:val="Heading 4 Char"/>
    <w:link w:val="Heading4"/>
    <w:uiPriority w:val="9"/>
    <w:rsid w:val="006E168F"/>
    <w:rPr>
      <w:rFonts w:eastAsia="Times New Roman"/>
      <w:bCs/>
      <w:i/>
      <w:sz w:val="24"/>
      <w:szCs w:val="28"/>
      <w:lang w:val="en-US"/>
    </w:rPr>
  </w:style>
  <w:style w:type="paragraph" w:styleId="Title">
    <w:name w:val="Title"/>
    <w:basedOn w:val="Normal"/>
    <w:next w:val="Normal"/>
    <w:link w:val="TitleChar"/>
    <w:uiPriority w:val="10"/>
    <w:qFormat/>
    <w:rsid w:val="006E168F"/>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E168F"/>
    <w:rPr>
      <w:rFonts w:ascii="Cambria" w:eastAsia="Times New Roman" w:hAnsi="Cambria"/>
      <w:color w:val="17365D"/>
      <w:spacing w:val="5"/>
      <w:kern w:val="28"/>
      <w:sz w:val="52"/>
      <w:szCs w:val="52"/>
      <w:lang w:val="en-US"/>
    </w:rPr>
  </w:style>
  <w:style w:type="paragraph" w:styleId="NoSpacing">
    <w:name w:val="No Spacing"/>
    <w:basedOn w:val="Normal"/>
    <w:link w:val="NoSpacingChar"/>
    <w:uiPriority w:val="1"/>
    <w:qFormat/>
    <w:rsid w:val="006E168F"/>
    <w:rPr>
      <w:sz w:val="20"/>
      <w:szCs w:val="20"/>
    </w:rPr>
  </w:style>
  <w:style w:type="character" w:customStyle="1" w:styleId="NoSpacingChar">
    <w:name w:val="No Spacing Char"/>
    <w:link w:val="NoSpacing"/>
    <w:uiPriority w:val="1"/>
    <w:rsid w:val="006E168F"/>
    <w:rPr>
      <w:lang w:val="en-US"/>
    </w:rPr>
  </w:style>
  <w:style w:type="paragraph" w:styleId="ListParagraph">
    <w:name w:val="List Paragraph"/>
    <w:basedOn w:val="Normal"/>
    <w:uiPriority w:val="34"/>
    <w:qFormat/>
    <w:rsid w:val="006E168F"/>
    <w:pPr>
      <w:ind w:left="720"/>
      <w:contextualSpacing/>
    </w:pPr>
  </w:style>
  <w:style w:type="character" w:styleId="Strong">
    <w:name w:val="Strong"/>
    <w:basedOn w:val="DefaultParagraphFont"/>
    <w:uiPriority w:val="22"/>
    <w:qFormat/>
    <w:rsid w:val="006E168F"/>
    <w:rPr>
      <w:b/>
      <w:bCs/>
    </w:rPr>
  </w:style>
  <w:style w:type="character" w:styleId="Emphasis">
    <w:name w:val="Emphasis"/>
    <w:basedOn w:val="DefaultParagraphFont"/>
    <w:uiPriority w:val="20"/>
    <w:qFormat/>
    <w:rsid w:val="006E168F"/>
    <w:rPr>
      <w:i/>
      <w:iCs/>
    </w:rPr>
  </w:style>
  <w:style w:type="table" w:styleId="TableGrid">
    <w:name w:val="Table Grid"/>
    <w:basedOn w:val="TableNormal"/>
    <w:uiPriority w:val="59"/>
    <w:rsid w:val="00632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476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760B"/>
    <w:rPr>
      <w:lang w:val="en-US"/>
    </w:rPr>
  </w:style>
  <w:style w:type="character" w:styleId="FootnoteReference">
    <w:name w:val="footnote reference"/>
    <w:basedOn w:val="DefaultParagraphFont"/>
    <w:uiPriority w:val="99"/>
    <w:semiHidden/>
    <w:unhideWhenUsed/>
    <w:rsid w:val="0034760B"/>
    <w:rPr>
      <w:vertAlign w:val="superscript"/>
    </w:rPr>
  </w:style>
  <w:style w:type="paragraph" w:styleId="BalloonText">
    <w:name w:val="Balloon Text"/>
    <w:basedOn w:val="Normal"/>
    <w:link w:val="BalloonTextChar"/>
    <w:uiPriority w:val="99"/>
    <w:semiHidden/>
    <w:unhideWhenUsed/>
    <w:rsid w:val="00911A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A9B"/>
    <w:rPr>
      <w:rFonts w:ascii="Tahoma" w:hAnsi="Tahoma" w:cs="Tahoma"/>
      <w:sz w:val="16"/>
      <w:szCs w:val="16"/>
      <w:lang w:val="en-US"/>
    </w:rPr>
  </w:style>
  <w:style w:type="character" w:styleId="Hyperlink">
    <w:name w:val="Hyperlink"/>
    <w:basedOn w:val="DefaultParagraphFont"/>
    <w:uiPriority w:val="99"/>
    <w:unhideWhenUsed/>
    <w:rsid w:val="005C168B"/>
    <w:rPr>
      <w:color w:val="0000FF" w:themeColor="hyperlink"/>
      <w:u w:val="single"/>
    </w:rPr>
  </w:style>
  <w:style w:type="paragraph" w:styleId="Header">
    <w:name w:val="header"/>
    <w:basedOn w:val="Normal"/>
    <w:link w:val="HeaderChar"/>
    <w:uiPriority w:val="99"/>
    <w:unhideWhenUsed/>
    <w:rsid w:val="005E40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40E4"/>
    <w:rPr>
      <w:sz w:val="24"/>
      <w:szCs w:val="22"/>
      <w:lang w:val="en-US"/>
    </w:rPr>
  </w:style>
  <w:style w:type="paragraph" w:styleId="Footer">
    <w:name w:val="footer"/>
    <w:basedOn w:val="Normal"/>
    <w:link w:val="FooterChar"/>
    <w:uiPriority w:val="99"/>
    <w:unhideWhenUsed/>
    <w:rsid w:val="005E40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40E4"/>
    <w:rPr>
      <w:sz w:val="24"/>
      <w:szCs w:val="22"/>
      <w:lang w:val="en-US"/>
    </w:rPr>
  </w:style>
  <w:style w:type="paragraph" w:customStyle="1" w:styleId="Default">
    <w:name w:val="Default"/>
    <w:rsid w:val="00F7018D"/>
    <w:pPr>
      <w:autoSpaceDE w:val="0"/>
      <w:autoSpaceDN w:val="0"/>
      <w:adjustRightInd w:val="0"/>
    </w:pPr>
    <w:rPr>
      <w:rFonts w:cs="Calibri"/>
      <w:color w:val="000000"/>
      <w:sz w:val="24"/>
      <w:szCs w:val="24"/>
    </w:rPr>
  </w:style>
  <w:style w:type="paragraph" w:styleId="PlainText">
    <w:name w:val="Plain Text"/>
    <w:basedOn w:val="Normal"/>
    <w:link w:val="PlainTextChar"/>
    <w:uiPriority w:val="99"/>
    <w:unhideWhenUsed/>
    <w:rsid w:val="00B66BC6"/>
    <w:pPr>
      <w:spacing w:after="0" w:line="240" w:lineRule="auto"/>
    </w:pPr>
    <w:rPr>
      <w:rFonts w:ascii="Consolas" w:hAnsi="Consolas"/>
      <w:sz w:val="21"/>
      <w:szCs w:val="21"/>
      <w:lang w:val="x-none"/>
    </w:rPr>
  </w:style>
  <w:style w:type="character" w:customStyle="1" w:styleId="PlainTextChar">
    <w:name w:val="Plain Text Char"/>
    <w:basedOn w:val="DefaultParagraphFont"/>
    <w:link w:val="PlainText"/>
    <w:uiPriority w:val="99"/>
    <w:rsid w:val="00B66BC6"/>
    <w:rPr>
      <w:rFonts w:ascii="Consolas" w:hAnsi="Consolas"/>
      <w:sz w:val="21"/>
      <w:szCs w:val="21"/>
      <w:lang w:val="x-none"/>
    </w:rPr>
  </w:style>
  <w:style w:type="character" w:customStyle="1" w:styleId="ilfuvd">
    <w:name w:val="ilfuvd"/>
    <w:basedOn w:val="DefaultParagraphFont"/>
    <w:rsid w:val="00EA6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41490">
      <w:bodyDiv w:val="1"/>
      <w:marLeft w:val="0"/>
      <w:marRight w:val="0"/>
      <w:marTop w:val="0"/>
      <w:marBottom w:val="0"/>
      <w:divBdr>
        <w:top w:val="none" w:sz="0" w:space="0" w:color="auto"/>
        <w:left w:val="none" w:sz="0" w:space="0" w:color="auto"/>
        <w:bottom w:val="none" w:sz="0" w:space="0" w:color="auto"/>
        <w:right w:val="none" w:sz="0" w:space="0" w:color="auto"/>
      </w:divBdr>
    </w:div>
    <w:div w:id="643781109">
      <w:bodyDiv w:val="1"/>
      <w:marLeft w:val="0"/>
      <w:marRight w:val="0"/>
      <w:marTop w:val="0"/>
      <w:marBottom w:val="0"/>
      <w:divBdr>
        <w:top w:val="none" w:sz="0" w:space="0" w:color="auto"/>
        <w:left w:val="none" w:sz="0" w:space="0" w:color="auto"/>
        <w:bottom w:val="none" w:sz="0" w:space="0" w:color="auto"/>
        <w:right w:val="none" w:sz="0" w:space="0" w:color="auto"/>
      </w:divBdr>
    </w:div>
    <w:div w:id="997466553">
      <w:bodyDiv w:val="1"/>
      <w:marLeft w:val="0"/>
      <w:marRight w:val="0"/>
      <w:marTop w:val="0"/>
      <w:marBottom w:val="0"/>
      <w:divBdr>
        <w:top w:val="none" w:sz="0" w:space="0" w:color="auto"/>
        <w:left w:val="none" w:sz="0" w:space="0" w:color="auto"/>
        <w:bottom w:val="none" w:sz="0" w:space="0" w:color="auto"/>
        <w:right w:val="none" w:sz="0" w:space="0" w:color="auto"/>
      </w:divBdr>
    </w:div>
    <w:div w:id="1184973898">
      <w:bodyDiv w:val="1"/>
      <w:marLeft w:val="0"/>
      <w:marRight w:val="0"/>
      <w:marTop w:val="0"/>
      <w:marBottom w:val="0"/>
      <w:divBdr>
        <w:top w:val="none" w:sz="0" w:space="0" w:color="auto"/>
        <w:left w:val="none" w:sz="0" w:space="0" w:color="auto"/>
        <w:bottom w:val="none" w:sz="0" w:space="0" w:color="auto"/>
        <w:right w:val="none" w:sz="0" w:space="0" w:color="auto"/>
      </w:divBdr>
    </w:div>
    <w:div w:id="1260218552">
      <w:bodyDiv w:val="1"/>
      <w:marLeft w:val="0"/>
      <w:marRight w:val="0"/>
      <w:marTop w:val="0"/>
      <w:marBottom w:val="0"/>
      <w:divBdr>
        <w:top w:val="none" w:sz="0" w:space="0" w:color="auto"/>
        <w:left w:val="none" w:sz="0" w:space="0" w:color="auto"/>
        <w:bottom w:val="none" w:sz="0" w:space="0" w:color="auto"/>
        <w:right w:val="none" w:sz="0" w:space="0" w:color="auto"/>
      </w:divBdr>
    </w:div>
    <w:div w:id="157878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nlinelibrary.wiley.com/doi/10.1002/wat2.2015.2.issue-6/issuetoc"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nationalfloodforum.org.uk/wp&#8208;content/uploads/Evaluation&#8208;of&#8208;the&#8208;Defra&#8208;PL&#8208;Flood&#8208;protection&#8208;" TargetMode="External"/><Relationship Id="rId4" Type="http://schemas.microsoft.com/office/2007/relationships/stylesWithEffects" Target="stylesWithEffects.xml"/><Relationship Id="rId9" Type="http://schemas.openxmlformats.org/officeDocument/2006/relationships/hyperlink" Target="https://www.floodre.co.uk/industry/how-it-works/eligibility/" TargetMode="Externa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axa.co.uk/auk-2016-h2-home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53BC5-654E-4574-87A9-37DD1D1B2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5552</Words>
  <Characters>31651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Edmund Penning-Rowsell</dc:creator>
  <cp:lastModifiedBy>Edmund Penning-Rowsell</cp:lastModifiedBy>
  <cp:revision>2</cp:revision>
  <cp:lastPrinted>2018-01-31T09:43:00Z</cp:lastPrinted>
  <dcterms:created xsi:type="dcterms:W3CDTF">2019-02-20T15:45:00Z</dcterms:created>
  <dcterms:modified xsi:type="dcterms:W3CDTF">2019-02-20T15:45:00Z</dcterms:modified>
</cp:coreProperties>
</file>