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4CD6" w14:textId="77777777" w:rsidR="00EB54C6" w:rsidRPr="00332756" w:rsidRDefault="00DF56C9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2756">
        <w:rPr>
          <w:rFonts w:ascii="Times New Roman" w:hAnsi="Times New Roman" w:cs="Times New Roman"/>
          <w:sz w:val="24"/>
          <w:szCs w:val="24"/>
        </w:rPr>
        <w:t>Figure 1.</w:t>
      </w:r>
      <w:r w:rsidR="00EB54C6" w:rsidRPr="00332756">
        <w:rPr>
          <w:rFonts w:ascii="Times New Roman" w:hAnsi="Times New Roman" w:cs="Times New Roman"/>
          <w:sz w:val="24"/>
          <w:szCs w:val="24"/>
        </w:rPr>
        <w:t xml:space="preserve"> </w:t>
      </w:r>
      <w:r w:rsidR="00332756">
        <w:rPr>
          <w:rFonts w:ascii="Times New Roman" w:hAnsi="Times New Roman" w:cs="Times New Roman"/>
          <w:sz w:val="24"/>
          <w:szCs w:val="24"/>
        </w:rPr>
        <w:t>Glossary</w:t>
      </w:r>
    </w:p>
    <w:p w14:paraId="31D987A8" w14:textId="77777777" w:rsidR="00EB54C6" w:rsidRDefault="00EB54C6" w:rsidP="00F72D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3610AD" w14:textId="77777777" w:rsidR="00332756" w:rsidRDefault="00332756" w:rsidP="00F72D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2A6BC2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161">
        <w:rPr>
          <w:rFonts w:ascii="Times New Roman" w:hAnsi="Times New Roman" w:cs="Times New Roman"/>
          <w:b/>
          <w:sz w:val="24"/>
          <w:szCs w:val="24"/>
        </w:rPr>
        <w:t>Black box revenue or income</w:t>
      </w:r>
      <w:r w:rsidRPr="00537161">
        <w:rPr>
          <w:rFonts w:ascii="Times New Roman" w:hAnsi="Times New Roman" w:cs="Times New Roman"/>
          <w:sz w:val="24"/>
          <w:szCs w:val="24"/>
        </w:rPr>
        <w:t xml:space="preserve">—Sums received by collecting societies and publishers that are deemed </w:t>
      </w:r>
      <w:proofErr w:type="spellStart"/>
      <w:r w:rsidRPr="00537161">
        <w:rPr>
          <w:rFonts w:ascii="Times New Roman" w:hAnsi="Times New Roman" w:cs="Times New Roman"/>
          <w:sz w:val="24"/>
          <w:szCs w:val="24"/>
        </w:rPr>
        <w:t>unattributable</w:t>
      </w:r>
      <w:proofErr w:type="spellEnd"/>
      <w:r w:rsidRPr="00537161">
        <w:rPr>
          <w:rFonts w:ascii="Times New Roman" w:hAnsi="Times New Roman" w:cs="Times New Roman"/>
          <w:sz w:val="24"/>
          <w:szCs w:val="24"/>
        </w:rPr>
        <w:t xml:space="preserve"> to specific works or creators, and which are therefo</w:t>
      </w:r>
      <w:r w:rsidR="00B20F83">
        <w:rPr>
          <w:rFonts w:ascii="Times New Roman" w:hAnsi="Times New Roman" w:cs="Times New Roman"/>
          <w:sz w:val="24"/>
          <w:szCs w:val="24"/>
        </w:rPr>
        <w:t>re distributed on an</w:t>
      </w:r>
      <w:r w:rsidRPr="00537161">
        <w:rPr>
          <w:rFonts w:ascii="Times New Roman" w:hAnsi="Times New Roman" w:cs="Times New Roman"/>
          <w:sz w:val="24"/>
          <w:szCs w:val="24"/>
        </w:rPr>
        <w:t xml:space="preserve"> </w:t>
      </w:r>
      <w:r w:rsidRPr="00537161">
        <w:rPr>
          <w:rFonts w:ascii="Times New Roman" w:hAnsi="Times New Roman" w:cs="Times New Roman"/>
          <w:i/>
          <w:sz w:val="24"/>
          <w:szCs w:val="24"/>
        </w:rPr>
        <w:t>ex gratia</w:t>
      </w:r>
      <w:r w:rsidRPr="00537161">
        <w:rPr>
          <w:rFonts w:ascii="Times New Roman" w:hAnsi="Times New Roman" w:cs="Times New Roman"/>
          <w:sz w:val="24"/>
          <w:szCs w:val="24"/>
        </w:rPr>
        <w:t xml:space="preserve"> basis.</w:t>
      </w:r>
    </w:p>
    <w:p w14:paraId="007499B8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</w:p>
    <w:p w14:paraId="1439D537" w14:textId="77777777" w:rsidR="00332756" w:rsidRDefault="00332756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54C6">
        <w:rPr>
          <w:rFonts w:ascii="Times New Roman" w:hAnsi="Times New Roman" w:cs="Times New Roman"/>
          <w:b/>
          <w:sz w:val="24"/>
          <w:szCs w:val="24"/>
        </w:rPr>
        <w:t>Blanket licensing</w:t>
      </w:r>
      <w:r>
        <w:rPr>
          <w:rFonts w:ascii="Times New Roman" w:hAnsi="Times New Roman" w:cs="Times New Roman"/>
          <w:sz w:val="24"/>
          <w:szCs w:val="24"/>
        </w:rPr>
        <w:t xml:space="preserve">—A form of licensing used by collecting societies to offer licensees access to the entire repertoire of a society and its affiliates in other countries. In return, an annual fee is paid, often in accordance with a specific usage </w:t>
      </w:r>
      <w:r w:rsidRPr="000A1D1B">
        <w:rPr>
          <w:rFonts w:ascii="Times New Roman" w:hAnsi="Times New Roman" w:cs="Times New Roman"/>
          <w:i/>
          <w:sz w:val="24"/>
          <w:szCs w:val="24"/>
        </w:rPr>
        <w:t>tariff</w:t>
      </w:r>
      <w:r w:rsidRPr="006B21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B56501" w14:textId="77777777" w:rsidR="000A1D1B" w:rsidRDefault="000A1D1B" w:rsidP="00F72D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F09FAC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161">
        <w:rPr>
          <w:rFonts w:ascii="Times New Roman" w:hAnsi="Times New Roman" w:cs="Times New Roman"/>
          <w:b/>
          <w:sz w:val="24"/>
          <w:szCs w:val="24"/>
        </w:rPr>
        <w:t>General revenue</w:t>
      </w:r>
      <w:r w:rsidRPr="00537161">
        <w:rPr>
          <w:rFonts w:ascii="Times New Roman" w:hAnsi="Times New Roman" w:cs="Times New Roman"/>
          <w:sz w:val="24"/>
          <w:szCs w:val="24"/>
        </w:rPr>
        <w:t xml:space="preserve">—A term used by performing right organisations (PROs) to encompass licence fees paid by all their live and recorded public performance licensees.     </w:t>
      </w:r>
    </w:p>
    <w:p w14:paraId="402A47D3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12484A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161">
        <w:rPr>
          <w:rFonts w:ascii="Times New Roman" w:hAnsi="Times New Roman" w:cs="Times New Roman"/>
          <w:b/>
          <w:sz w:val="24"/>
          <w:szCs w:val="24"/>
        </w:rPr>
        <w:t>Multiplier</w:t>
      </w:r>
      <w:r w:rsidRPr="00537161">
        <w:rPr>
          <w:rFonts w:ascii="Times New Roman" w:hAnsi="Times New Roman" w:cs="Times New Roman"/>
          <w:sz w:val="24"/>
          <w:szCs w:val="24"/>
        </w:rPr>
        <w:t xml:space="preserve">—A royalty enhancement system whereby specific factors determine a higher royalty amount. The simplest and most common factor is performance duration, but in certain contexts multipliers may </w:t>
      </w:r>
      <w:r w:rsidR="00B20F83">
        <w:rPr>
          <w:rFonts w:ascii="Times New Roman" w:hAnsi="Times New Roman" w:cs="Times New Roman"/>
          <w:sz w:val="24"/>
          <w:szCs w:val="24"/>
        </w:rPr>
        <w:t>result in a higher royalty rate</w:t>
      </w:r>
      <w:r w:rsidRPr="00537161">
        <w:rPr>
          <w:rFonts w:ascii="Times New Roman" w:hAnsi="Times New Roman" w:cs="Times New Roman"/>
          <w:sz w:val="24"/>
          <w:szCs w:val="24"/>
        </w:rPr>
        <w:t xml:space="preserve"> for</w:t>
      </w:r>
      <w:r w:rsidR="00B20F83">
        <w:rPr>
          <w:rFonts w:ascii="Times New Roman" w:hAnsi="Times New Roman" w:cs="Times New Roman"/>
          <w:sz w:val="24"/>
          <w:szCs w:val="24"/>
        </w:rPr>
        <w:t xml:space="preserve"> e.g. </w:t>
      </w:r>
      <w:r w:rsidRPr="00537161">
        <w:rPr>
          <w:rFonts w:ascii="Times New Roman" w:hAnsi="Times New Roman" w:cs="Times New Roman"/>
          <w:sz w:val="24"/>
          <w:szCs w:val="24"/>
        </w:rPr>
        <w:t xml:space="preserve"> longer works (</w:t>
      </w:r>
      <w:r w:rsidRPr="00537161">
        <w:rPr>
          <w:rFonts w:ascii="Times New Roman" w:hAnsi="Times New Roman" w:cs="Times New Roman"/>
          <w:i/>
          <w:sz w:val="24"/>
          <w:szCs w:val="24"/>
        </w:rPr>
        <w:t>bonus for length</w:t>
      </w:r>
      <w:r w:rsidRPr="00537161">
        <w:rPr>
          <w:rFonts w:ascii="Times New Roman" w:hAnsi="Times New Roman" w:cs="Times New Roman"/>
          <w:sz w:val="24"/>
          <w:szCs w:val="24"/>
        </w:rPr>
        <w:t>), performances in certain locations, and broadcasts at certain times of day.</w:t>
      </w:r>
    </w:p>
    <w:p w14:paraId="256C022C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9C09CE" w14:textId="77777777" w:rsidR="000A1D1B" w:rsidRDefault="000A1D1B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161">
        <w:rPr>
          <w:rFonts w:ascii="Times New Roman" w:hAnsi="Times New Roman" w:cs="Times New Roman"/>
          <w:b/>
          <w:sz w:val="24"/>
          <w:szCs w:val="24"/>
        </w:rPr>
        <w:t>Point(s); point value</w:t>
      </w:r>
      <w:r w:rsidRPr="00537161">
        <w:rPr>
          <w:rFonts w:ascii="Times New Roman" w:hAnsi="Times New Roman" w:cs="Times New Roman"/>
          <w:sz w:val="24"/>
          <w:szCs w:val="24"/>
        </w:rPr>
        <w:t>—The mechanism by which royalties for specific performance</w:t>
      </w:r>
      <w:r>
        <w:rPr>
          <w:rFonts w:ascii="Times New Roman" w:hAnsi="Times New Roman" w:cs="Times New Roman"/>
          <w:sz w:val="24"/>
          <w:szCs w:val="24"/>
        </w:rPr>
        <w:t xml:space="preserve"> usages are periodically calculated for distribution from a </w:t>
      </w:r>
      <w:r w:rsidRPr="00F72DE1">
        <w:rPr>
          <w:rFonts w:ascii="Times New Roman" w:hAnsi="Times New Roman" w:cs="Times New Roman"/>
          <w:i/>
          <w:sz w:val="24"/>
          <w:szCs w:val="24"/>
        </w:rPr>
        <w:t>revenue pool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0F83">
        <w:rPr>
          <w:rFonts w:ascii="Times New Roman" w:hAnsi="Times New Roman" w:cs="Times New Roman"/>
          <w:sz w:val="24"/>
          <w:szCs w:val="24"/>
        </w:rPr>
        <w:t xml:space="preserve"> NB the term “points” as used here in the context of collecting societies should be differentiated from its wider use in the music industry to signify </w:t>
      </w:r>
      <w:r w:rsidR="00B20F83" w:rsidRPr="00B20F83">
        <w:rPr>
          <w:rFonts w:ascii="Times New Roman" w:hAnsi="Times New Roman" w:cs="Times New Roman"/>
          <w:i/>
          <w:sz w:val="24"/>
          <w:szCs w:val="24"/>
        </w:rPr>
        <w:t>percentage</w:t>
      </w:r>
      <w:r w:rsidR="00B20F83">
        <w:rPr>
          <w:rFonts w:ascii="Times New Roman" w:hAnsi="Times New Roman" w:cs="Times New Roman"/>
          <w:sz w:val="24"/>
          <w:szCs w:val="24"/>
        </w:rPr>
        <w:t xml:space="preserve"> points in contract negotiations.</w:t>
      </w:r>
    </w:p>
    <w:p w14:paraId="6C310A09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</w:p>
    <w:p w14:paraId="305AF22F" w14:textId="77777777" w:rsidR="00537161" w:rsidRPr="00F72DE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DE1">
        <w:rPr>
          <w:rFonts w:ascii="Times New Roman" w:hAnsi="Times New Roman" w:cs="Times New Roman"/>
          <w:b/>
          <w:sz w:val="24"/>
          <w:szCs w:val="24"/>
        </w:rPr>
        <w:t>Public reception</w:t>
      </w:r>
      <w:r w:rsidR="00F72DE1">
        <w:rPr>
          <w:rFonts w:ascii="Times New Roman" w:hAnsi="Times New Roman" w:cs="Times New Roman"/>
          <w:b/>
          <w:sz w:val="24"/>
          <w:szCs w:val="24"/>
        </w:rPr>
        <w:t>—</w:t>
      </w:r>
      <w:r w:rsidRPr="00F72DE1">
        <w:rPr>
          <w:rFonts w:ascii="Times New Roman" w:hAnsi="Times New Roman" w:cs="Times New Roman"/>
          <w:sz w:val="24"/>
          <w:szCs w:val="24"/>
        </w:rPr>
        <w:t>W</w:t>
      </w:r>
      <w:r w:rsidR="00F72DE1">
        <w:rPr>
          <w:rFonts w:ascii="Times New Roman" w:hAnsi="Times New Roman" w:cs="Times New Roman"/>
          <w:sz w:val="24"/>
          <w:szCs w:val="24"/>
        </w:rPr>
        <w:t>hen</w:t>
      </w:r>
      <w:r w:rsidRPr="00F72DE1">
        <w:rPr>
          <w:rFonts w:ascii="Times New Roman" w:hAnsi="Times New Roman" w:cs="Times New Roman"/>
          <w:sz w:val="24"/>
          <w:szCs w:val="24"/>
        </w:rPr>
        <w:t xml:space="preserve"> recorded and broadcast music is heard </w:t>
      </w:r>
      <w:r w:rsidR="00F72DE1">
        <w:rPr>
          <w:rFonts w:ascii="Times New Roman" w:hAnsi="Times New Roman" w:cs="Times New Roman"/>
          <w:sz w:val="24"/>
          <w:szCs w:val="24"/>
        </w:rPr>
        <w:t>in public places, typically as “background”</w:t>
      </w:r>
      <w:r w:rsidRPr="00F72DE1">
        <w:rPr>
          <w:rFonts w:ascii="Times New Roman" w:hAnsi="Times New Roman" w:cs="Times New Roman"/>
          <w:sz w:val="24"/>
          <w:szCs w:val="24"/>
        </w:rPr>
        <w:t xml:space="preserve"> mu</w:t>
      </w:r>
      <w:r w:rsidR="00F72DE1">
        <w:rPr>
          <w:rFonts w:ascii="Times New Roman" w:hAnsi="Times New Roman" w:cs="Times New Roman"/>
          <w:sz w:val="24"/>
          <w:szCs w:val="24"/>
        </w:rPr>
        <w:t xml:space="preserve">sic, for example </w:t>
      </w:r>
      <w:r w:rsidRPr="00F72DE1">
        <w:rPr>
          <w:rFonts w:ascii="Times New Roman" w:hAnsi="Times New Roman" w:cs="Times New Roman"/>
          <w:sz w:val="24"/>
          <w:szCs w:val="24"/>
        </w:rPr>
        <w:t>via radio, TV, jukebox etc. in bars, restaurants, cafes</w:t>
      </w:r>
      <w:r w:rsidR="00F72DE1">
        <w:rPr>
          <w:rFonts w:ascii="Times New Roman" w:hAnsi="Times New Roman" w:cs="Times New Roman"/>
          <w:sz w:val="24"/>
          <w:szCs w:val="24"/>
        </w:rPr>
        <w:t>, and shops.</w:t>
      </w:r>
    </w:p>
    <w:p w14:paraId="2C09B2BE" w14:textId="77777777" w:rsidR="00537161" w:rsidRPr="00F72DE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1AE94F" w14:textId="77777777" w:rsidR="000A1D1B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Revenue p</w:t>
      </w:r>
      <w:r w:rsidR="000A1D1B" w:rsidRPr="005F63DA">
        <w:rPr>
          <w:rFonts w:ascii="Times New Roman" w:hAnsi="Times New Roman" w:cs="Times New Roman"/>
          <w:b/>
          <w:sz w:val="24"/>
          <w:szCs w:val="24"/>
        </w:rPr>
        <w:t xml:space="preserve">ool </w:t>
      </w:r>
      <w:r w:rsidR="00F72DE1">
        <w:rPr>
          <w:rFonts w:ascii="Times New Roman" w:hAnsi="Times New Roman" w:cs="Times New Roman"/>
          <w:sz w:val="24"/>
          <w:szCs w:val="24"/>
        </w:rPr>
        <w:t xml:space="preserve">(colloquially, </w:t>
      </w:r>
      <w:r w:rsidR="00F72DE1" w:rsidRPr="00F72DE1">
        <w:rPr>
          <w:rFonts w:ascii="Times New Roman" w:hAnsi="Times New Roman" w:cs="Times New Roman"/>
          <w:b/>
          <w:sz w:val="24"/>
          <w:szCs w:val="24"/>
        </w:rPr>
        <w:t>“p</w:t>
      </w:r>
      <w:r w:rsidR="000A1D1B" w:rsidRPr="00F72DE1">
        <w:rPr>
          <w:rFonts w:ascii="Times New Roman" w:hAnsi="Times New Roman" w:cs="Times New Roman"/>
          <w:b/>
          <w:sz w:val="24"/>
          <w:szCs w:val="24"/>
        </w:rPr>
        <w:t>ot”</w:t>
      </w:r>
      <w:r w:rsidR="000A1D1B" w:rsidRPr="000A1D1B">
        <w:rPr>
          <w:rFonts w:ascii="Times New Roman" w:hAnsi="Times New Roman" w:cs="Times New Roman"/>
          <w:sz w:val="24"/>
          <w:szCs w:val="24"/>
        </w:rPr>
        <w:t>)—</w:t>
      </w:r>
      <w:r w:rsidR="000A1D1B">
        <w:rPr>
          <w:rFonts w:ascii="Times New Roman" w:hAnsi="Times New Roman" w:cs="Times New Roman"/>
          <w:sz w:val="24"/>
          <w:szCs w:val="24"/>
        </w:rPr>
        <w:t xml:space="preserve">An internal society account in which all licence revenue from a particular source or sources is held, pending distribution according to set criteria, for example by dividing the revenue into </w:t>
      </w:r>
      <w:r w:rsidR="000A1D1B" w:rsidRPr="000A1D1B">
        <w:rPr>
          <w:rFonts w:ascii="Times New Roman" w:hAnsi="Times New Roman" w:cs="Times New Roman"/>
          <w:i/>
          <w:sz w:val="24"/>
          <w:szCs w:val="24"/>
        </w:rPr>
        <w:t>points</w:t>
      </w:r>
      <w:r w:rsidR="000A1D1B" w:rsidRPr="0095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D1B">
        <w:rPr>
          <w:rFonts w:ascii="Times New Roman" w:hAnsi="Times New Roman" w:cs="Times New Roman"/>
          <w:sz w:val="24"/>
          <w:szCs w:val="24"/>
        </w:rPr>
        <w:t xml:space="preserve">with specific </w:t>
      </w:r>
      <w:r w:rsidR="000A1D1B" w:rsidRPr="000A1D1B">
        <w:rPr>
          <w:rFonts w:ascii="Times New Roman" w:hAnsi="Times New Roman" w:cs="Times New Roman"/>
          <w:i/>
          <w:sz w:val="24"/>
          <w:szCs w:val="24"/>
        </w:rPr>
        <w:t>point values</w:t>
      </w:r>
      <w:r w:rsidR="000A1D1B">
        <w:rPr>
          <w:rFonts w:ascii="Times New Roman" w:hAnsi="Times New Roman" w:cs="Times New Roman"/>
          <w:sz w:val="24"/>
          <w:szCs w:val="24"/>
        </w:rPr>
        <w:t xml:space="preserve">. The pool therefore represents a totality of usages in a specific revenue section, rather than being divided into specific events or productions, in contrast with </w:t>
      </w:r>
      <w:r w:rsidR="000A1D1B" w:rsidRPr="000A1D1B">
        <w:rPr>
          <w:rFonts w:ascii="Times New Roman" w:hAnsi="Times New Roman" w:cs="Times New Roman"/>
          <w:i/>
          <w:sz w:val="24"/>
          <w:szCs w:val="24"/>
        </w:rPr>
        <w:t>straight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0A1D1B" w:rsidRPr="000A1D1B">
        <w:rPr>
          <w:rFonts w:ascii="Times New Roman" w:hAnsi="Times New Roman" w:cs="Times New Roman"/>
          <w:i/>
          <w:sz w:val="24"/>
          <w:szCs w:val="24"/>
        </w:rPr>
        <w:t>lining</w:t>
      </w:r>
      <w:r w:rsidR="000A1D1B">
        <w:rPr>
          <w:rFonts w:ascii="Times New Roman" w:hAnsi="Times New Roman" w:cs="Times New Roman"/>
          <w:sz w:val="24"/>
          <w:szCs w:val="24"/>
        </w:rPr>
        <w:t>).</w:t>
      </w:r>
    </w:p>
    <w:p w14:paraId="22753DB7" w14:textId="77777777" w:rsid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CD49EF" w14:textId="77777777" w:rsidR="000A1D1B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FB3">
        <w:rPr>
          <w:rFonts w:ascii="Times New Roman" w:hAnsi="Times New Roman" w:cs="Times New Roman"/>
          <w:b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F72DE1">
        <w:rPr>
          <w:rFonts w:ascii="Times New Roman" w:hAnsi="Times New Roman" w:cs="Times New Roman"/>
          <w:sz w:val="24"/>
          <w:szCs w:val="24"/>
        </w:rPr>
        <w:t>A common term with</w:t>
      </w:r>
      <w:r>
        <w:rPr>
          <w:rFonts w:ascii="Times New Roman" w:hAnsi="Times New Roman" w:cs="Times New Roman"/>
          <w:sz w:val="24"/>
          <w:szCs w:val="24"/>
        </w:rPr>
        <w:t xml:space="preserve"> two discrete meanings: (</w:t>
      </w:r>
      <w:r w:rsidRPr="00B22339">
        <w:rPr>
          <w:rFonts w:ascii="Times New Roman" w:hAnsi="Times New Roman" w:cs="Times New Roman"/>
          <w:i/>
          <w:sz w:val="24"/>
          <w:szCs w:val="24"/>
        </w:rPr>
        <w:t>artistic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7FB3">
        <w:rPr>
          <w:rFonts w:ascii="Times New Roman" w:hAnsi="Times New Roman" w:cs="Times New Roman"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ly extracting </w:t>
      </w:r>
      <w:r w:rsidRPr="00857FB3">
        <w:rPr>
          <w:rFonts w:ascii="Times New Roman" w:hAnsi="Times New Roman" w:cs="Times New Roman"/>
          <w:sz w:val="24"/>
          <w:szCs w:val="24"/>
        </w:rPr>
        <w:t>a recording fo</w:t>
      </w:r>
      <w:r>
        <w:rPr>
          <w:rFonts w:ascii="Times New Roman" w:hAnsi="Times New Roman" w:cs="Times New Roman"/>
          <w:sz w:val="24"/>
          <w:szCs w:val="24"/>
        </w:rPr>
        <w:t>r use in another; (</w:t>
      </w:r>
      <w:r w:rsidRPr="00B22339">
        <w:rPr>
          <w:rFonts w:ascii="Times New Roman" w:hAnsi="Times New Roman" w:cs="Times New Roman"/>
          <w:i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4EA9">
        <w:rPr>
          <w:rFonts w:ascii="Times New Roman" w:hAnsi="Times New Roman" w:cs="Times New Roman"/>
          <w:sz w:val="24"/>
          <w:szCs w:val="24"/>
        </w:rPr>
        <w:t>distributing royalties across only a selection of performances</w:t>
      </w:r>
      <w:r>
        <w:rPr>
          <w:rFonts w:ascii="Times New Roman" w:hAnsi="Times New Roman" w:cs="Times New Roman"/>
          <w:sz w:val="24"/>
          <w:szCs w:val="24"/>
        </w:rPr>
        <w:t xml:space="preserve"> in a certain category, in contrast to paying 100% of reported performances (</w:t>
      </w:r>
      <w:r w:rsidRPr="00537161">
        <w:rPr>
          <w:rFonts w:ascii="Times New Roman" w:hAnsi="Times New Roman" w:cs="Times New Roman"/>
          <w:i/>
          <w:sz w:val="24"/>
          <w:szCs w:val="24"/>
        </w:rPr>
        <w:t>census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C9A0EFF" w14:textId="77777777" w:rsidR="00537161" w:rsidRP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3E16D2" w14:textId="77777777" w:rsid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DCC">
        <w:rPr>
          <w:rFonts w:ascii="Times New Roman" w:hAnsi="Times New Roman" w:cs="Times New Roman"/>
          <w:b/>
          <w:sz w:val="24"/>
          <w:szCs w:val="24"/>
        </w:rPr>
        <w:t>Straight</w:t>
      </w:r>
      <w:r>
        <w:rPr>
          <w:rFonts w:ascii="Times New Roman" w:hAnsi="Times New Roman" w:cs="Times New Roman"/>
          <w:b/>
          <w:sz w:val="24"/>
          <w:szCs w:val="24"/>
        </w:rPr>
        <w:t>-lining</w:t>
      </w:r>
      <w:r w:rsidRPr="00537161">
        <w:rPr>
          <w:rFonts w:ascii="Times New Roman" w:hAnsi="Times New Roman" w:cs="Times New Roman"/>
          <w:sz w:val="24"/>
          <w:szCs w:val="24"/>
        </w:rPr>
        <w:t>—A system</w:t>
      </w:r>
      <w:r>
        <w:rPr>
          <w:rFonts w:ascii="Times New Roman" w:hAnsi="Times New Roman" w:cs="Times New Roman"/>
          <w:sz w:val="24"/>
          <w:szCs w:val="24"/>
        </w:rPr>
        <w:t xml:space="preserve"> of distributing licence revenue whereby the fee paid for a specific event or production equates (after an administration charge) </w:t>
      </w:r>
      <w:r w:rsidR="00B20F8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total royalty payable.  </w:t>
      </w:r>
    </w:p>
    <w:p w14:paraId="21FE2306" w14:textId="77777777" w:rsidR="0053716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926184" w14:textId="77777777" w:rsidR="00537161" w:rsidRPr="00F72DE1" w:rsidRDefault="00537161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DE1">
        <w:rPr>
          <w:rFonts w:ascii="Times New Roman" w:hAnsi="Times New Roman" w:cs="Times New Roman"/>
          <w:b/>
          <w:sz w:val="24"/>
          <w:szCs w:val="24"/>
        </w:rPr>
        <w:t>Subsidy</w:t>
      </w:r>
      <w:r w:rsidR="00F72DE1" w:rsidRPr="00F72DE1">
        <w:rPr>
          <w:rFonts w:ascii="Times New Roman" w:hAnsi="Times New Roman" w:cs="Times New Roman"/>
          <w:sz w:val="24"/>
          <w:szCs w:val="24"/>
        </w:rPr>
        <w:t xml:space="preserve">—A </w:t>
      </w:r>
      <w:r w:rsidRPr="00F72DE1">
        <w:rPr>
          <w:rFonts w:ascii="Times New Roman" w:hAnsi="Times New Roman" w:cs="Times New Roman"/>
          <w:sz w:val="24"/>
          <w:szCs w:val="24"/>
        </w:rPr>
        <w:t xml:space="preserve">boost to a specific </w:t>
      </w:r>
      <w:r w:rsidRPr="00F72DE1">
        <w:rPr>
          <w:rFonts w:ascii="Times New Roman" w:hAnsi="Times New Roman" w:cs="Times New Roman"/>
          <w:i/>
          <w:sz w:val="24"/>
          <w:szCs w:val="24"/>
        </w:rPr>
        <w:t>revenue pool</w:t>
      </w:r>
      <w:r w:rsidRPr="00F72DE1">
        <w:rPr>
          <w:rFonts w:ascii="Times New Roman" w:hAnsi="Times New Roman" w:cs="Times New Roman"/>
          <w:sz w:val="24"/>
          <w:szCs w:val="24"/>
        </w:rPr>
        <w:t xml:space="preserve"> drawn from o</w:t>
      </w:r>
      <w:r w:rsidR="00F72DE1" w:rsidRPr="00F72DE1">
        <w:rPr>
          <w:rFonts w:ascii="Times New Roman" w:hAnsi="Times New Roman" w:cs="Times New Roman"/>
          <w:sz w:val="24"/>
          <w:szCs w:val="24"/>
        </w:rPr>
        <w:t xml:space="preserve">utside that pool; </w:t>
      </w:r>
      <w:r w:rsidRPr="00F72DE1">
        <w:rPr>
          <w:rFonts w:ascii="Times New Roman" w:hAnsi="Times New Roman" w:cs="Times New Roman"/>
          <w:sz w:val="24"/>
          <w:szCs w:val="24"/>
        </w:rPr>
        <w:t xml:space="preserve">in contrast to a </w:t>
      </w:r>
      <w:r w:rsidRPr="00F72DE1">
        <w:rPr>
          <w:rFonts w:ascii="Times New Roman" w:hAnsi="Times New Roman" w:cs="Times New Roman"/>
          <w:i/>
          <w:sz w:val="24"/>
          <w:szCs w:val="24"/>
        </w:rPr>
        <w:t>multiplier</w:t>
      </w:r>
      <w:r w:rsidRPr="00F72DE1">
        <w:rPr>
          <w:rFonts w:ascii="Times New Roman" w:hAnsi="Times New Roman" w:cs="Times New Roman"/>
          <w:sz w:val="24"/>
          <w:szCs w:val="24"/>
        </w:rPr>
        <w:t>, where the enhancement comes from w</w:t>
      </w:r>
      <w:r w:rsidR="00F72DE1" w:rsidRPr="00F72DE1">
        <w:rPr>
          <w:rFonts w:ascii="Times New Roman" w:hAnsi="Times New Roman" w:cs="Times New Roman"/>
          <w:sz w:val="24"/>
          <w:szCs w:val="24"/>
        </w:rPr>
        <w:t>ithin the same revenue section.</w:t>
      </w:r>
    </w:p>
    <w:p w14:paraId="63B3D19A" w14:textId="77777777" w:rsidR="000A1D1B" w:rsidRDefault="000A1D1B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D1B">
        <w:rPr>
          <w:rFonts w:ascii="Times New Roman" w:hAnsi="Times New Roman" w:cs="Times New Roman"/>
          <w:b/>
          <w:sz w:val="24"/>
          <w:szCs w:val="24"/>
        </w:rPr>
        <w:lastRenderedPageBreak/>
        <w:t>Tariff</w:t>
      </w:r>
      <w:r>
        <w:rPr>
          <w:rFonts w:ascii="Times New Roman" w:hAnsi="Times New Roman" w:cs="Times New Roman"/>
          <w:sz w:val="24"/>
          <w:szCs w:val="24"/>
        </w:rPr>
        <w:t xml:space="preserve">—A set rate or formula for determining licence payments, for example a percentage of box office receipts. Examples pertinent to this chapter are </w:t>
      </w:r>
      <w:r w:rsidR="00F72D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“LC” (Live Classical) and “LP” (Live Pop)</w:t>
      </w:r>
      <w:r w:rsidR="00F72DE1">
        <w:rPr>
          <w:rFonts w:ascii="Times New Roman" w:hAnsi="Times New Roman" w:cs="Times New Roman"/>
          <w:sz w:val="24"/>
          <w:szCs w:val="24"/>
        </w:rPr>
        <w:t xml:space="preserve"> tariffs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2DE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administered by the Performing Right Society (PRS for Music).</w:t>
      </w:r>
    </w:p>
    <w:p w14:paraId="047CFA2F" w14:textId="77777777" w:rsidR="00332756" w:rsidRDefault="00332756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968C81" w14:textId="77777777" w:rsidR="00EB54C6" w:rsidRDefault="00EB54C6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Work-concept</w:t>
      </w:r>
      <w:r w:rsidR="00332756">
        <w:rPr>
          <w:rFonts w:ascii="Times New Roman" w:hAnsi="Times New Roman" w:cs="Times New Roman"/>
          <w:b/>
          <w:sz w:val="24"/>
          <w:szCs w:val="24"/>
        </w:rPr>
        <w:t>—</w:t>
      </w:r>
      <w:r w:rsidR="0033275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term coined by philosopher Lydia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Goehr</w:t>
      </w:r>
      <w:proofErr w:type="spellEnd"/>
      <w:r w:rsidR="00B22339">
        <w:rPr>
          <w:rFonts w:ascii="Times New Roman" w:hAnsi="Times New Roman" w:cs="Times New Roman"/>
          <w:sz w:val="24"/>
          <w:szCs w:val="24"/>
        </w:rPr>
        <w:t xml:space="preserve"> to denote a regulative</w:t>
      </w:r>
      <w:r>
        <w:rPr>
          <w:rFonts w:ascii="Times New Roman" w:hAnsi="Times New Roman" w:cs="Times New Roman"/>
          <w:sz w:val="24"/>
          <w:szCs w:val="24"/>
        </w:rPr>
        <w:t xml:space="preserve"> concept of musical composition, identified as emerging in the early nineteenth century. Its main predicates are the fixing </w:t>
      </w:r>
      <w:r w:rsidR="00852FC9">
        <w:rPr>
          <w:rFonts w:ascii="Times New Roman" w:hAnsi="Times New Roman" w:cs="Times New Roman"/>
          <w:sz w:val="24"/>
          <w:szCs w:val="24"/>
        </w:rPr>
        <w:t xml:space="preserve">through notation </w:t>
      </w:r>
      <w:r>
        <w:rPr>
          <w:rFonts w:ascii="Times New Roman" w:hAnsi="Times New Roman" w:cs="Times New Roman"/>
          <w:sz w:val="24"/>
          <w:szCs w:val="24"/>
        </w:rPr>
        <w:t>of those parameters of a composition consider</w:t>
      </w:r>
      <w:r w:rsidR="00852FC9">
        <w:rPr>
          <w:rFonts w:ascii="Times New Roman" w:hAnsi="Times New Roman" w:cs="Times New Roman"/>
          <w:sz w:val="24"/>
          <w:szCs w:val="24"/>
        </w:rPr>
        <w:t>ed most important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332756">
        <w:rPr>
          <w:rFonts w:ascii="Times New Roman" w:hAnsi="Times New Roman" w:cs="Times New Roman"/>
          <w:sz w:val="24"/>
          <w:szCs w:val="24"/>
        </w:rPr>
        <w:t>llowing it to exist as an “ideal”</w:t>
      </w:r>
      <w:r w:rsidR="00552BDF">
        <w:rPr>
          <w:rFonts w:ascii="Times New Roman" w:hAnsi="Times New Roman" w:cs="Times New Roman"/>
          <w:sz w:val="24"/>
          <w:szCs w:val="24"/>
        </w:rPr>
        <w:t xml:space="preserve"> concept</w:t>
      </w:r>
      <w:r>
        <w:rPr>
          <w:rFonts w:ascii="Times New Roman" w:hAnsi="Times New Roman" w:cs="Times New Roman"/>
          <w:sz w:val="24"/>
          <w:szCs w:val="24"/>
        </w:rPr>
        <w:t xml:space="preserve"> independent of specific performances. Intertwined with the development of (music) copyright law</w:t>
      </w:r>
      <w:r w:rsidR="00ED3942">
        <w:rPr>
          <w:rFonts w:ascii="Times New Roman" w:hAnsi="Times New Roman" w:cs="Times New Roman"/>
          <w:sz w:val="24"/>
          <w:szCs w:val="24"/>
        </w:rPr>
        <w:t xml:space="preserve"> historically and</w:t>
      </w:r>
      <w:r>
        <w:rPr>
          <w:rFonts w:ascii="Times New Roman" w:hAnsi="Times New Roman" w:cs="Times New Roman"/>
          <w:sz w:val="24"/>
          <w:szCs w:val="24"/>
        </w:rPr>
        <w:t xml:space="preserve"> internationally, the</w:t>
      </w:r>
      <w:r w:rsidR="00ED3942">
        <w:rPr>
          <w:rFonts w:ascii="Times New Roman" w:hAnsi="Times New Roman" w:cs="Times New Roman"/>
          <w:sz w:val="24"/>
          <w:szCs w:val="24"/>
        </w:rPr>
        <w:t xml:space="preserve"> concept is ideologically linked with</w:t>
      </w:r>
      <w:r>
        <w:rPr>
          <w:rFonts w:ascii="Times New Roman" w:hAnsi="Times New Roman" w:cs="Times New Roman"/>
          <w:sz w:val="24"/>
          <w:szCs w:val="24"/>
        </w:rPr>
        <w:t xml:space="preserve"> copyright</w:t>
      </w:r>
      <w:r w:rsidR="00ED3942">
        <w:rPr>
          <w:rFonts w:ascii="Times New Roman" w:hAnsi="Times New Roman" w:cs="Times New Roman"/>
          <w:sz w:val="24"/>
          <w:szCs w:val="24"/>
        </w:rPr>
        <w:t xml:space="preserve"> protection</w:t>
      </w:r>
      <w:r>
        <w:rPr>
          <w:rFonts w:ascii="Times New Roman" w:hAnsi="Times New Roman" w:cs="Times New Roman"/>
          <w:sz w:val="24"/>
          <w:szCs w:val="24"/>
        </w:rPr>
        <w:t xml:space="preserve">, not least </w:t>
      </w:r>
      <w:r w:rsidR="00332756">
        <w:rPr>
          <w:rFonts w:ascii="Times New Roman" w:hAnsi="Times New Roman" w:cs="Times New Roman"/>
          <w:sz w:val="24"/>
          <w:szCs w:val="24"/>
        </w:rPr>
        <w:t>through common use of the term “musical work”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756" w:rsidRPr="00332756">
        <w:rPr>
          <w:rFonts w:ascii="Times New Roman" w:hAnsi="Times New Roman" w:cs="Times New Roman"/>
          <w:sz w:val="24"/>
          <w:szCs w:val="24"/>
        </w:rPr>
        <w:t xml:space="preserve"> </w:t>
      </w:r>
      <w:r w:rsidR="00332756">
        <w:rPr>
          <w:rFonts w:ascii="Times New Roman" w:hAnsi="Times New Roman" w:cs="Times New Roman"/>
          <w:sz w:val="24"/>
          <w:szCs w:val="24"/>
        </w:rPr>
        <w:t xml:space="preserve">Musicologist </w:t>
      </w:r>
      <w:proofErr w:type="spellStart"/>
      <w:r w:rsidR="00332756">
        <w:rPr>
          <w:rFonts w:ascii="Times New Roman" w:hAnsi="Times New Roman" w:cs="Times New Roman"/>
          <w:sz w:val="24"/>
          <w:szCs w:val="24"/>
        </w:rPr>
        <w:t>Friedemann</w:t>
      </w:r>
      <w:proofErr w:type="spellEnd"/>
      <w:r w:rsidR="0033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56">
        <w:rPr>
          <w:rFonts w:ascii="Times New Roman" w:hAnsi="Times New Roman" w:cs="Times New Roman"/>
          <w:sz w:val="24"/>
          <w:szCs w:val="24"/>
        </w:rPr>
        <w:t>Sallis</w:t>
      </w:r>
      <w:proofErr w:type="spellEnd"/>
      <w:r w:rsidR="00332756">
        <w:rPr>
          <w:rFonts w:ascii="Times New Roman" w:hAnsi="Times New Roman" w:cs="Times New Roman"/>
          <w:sz w:val="24"/>
          <w:szCs w:val="24"/>
        </w:rPr>
        <w:t xml:space="preserve"> differentiated </w:t>
      </w:r>
      <w:proofErr w:type="spellStart"/>
      <w:r w:rsidR="00332756">
        <w:rPr>
          <w:rFonts w:ascii="Times New Roman" w:hAnsi="Times New Roman" w:cs="Times New Roman"/>
          <w:sz w:val="24"/>
          <w:szCs w:val="24"/>
        </w:rPr>
        <w:t>Goehr’s</w:t>
      </w:r>
      <w:proofErr w:type="spellEnd"/>
      <w:r w:rsidR="00332756">
        <w:rPr>
          <w:rFonts w:ascii="Times New Roman" w:hAnsi="Times New Roman" w:cs="Times New Roman"/>
          <w:sz w:val="24"/>
          <w:szCs w:val="24"/>
        </w:rPr>
        <w:t xml:space="preserve"> </w:t>
      </w:r>
      <w:r w:rsidR="00332756" w:rsidRPr="000A1D1B">
        <w:rPr>
          <w:rFonts w:ascii="Times New Roman" w:hAnsi="Times New Roman" w:cs="Times New Roman"/>
          <w:i/>
          <w:sz w:val="24"/>
          <w:szCs w:val="24"/>
        </w:rPr>
        <w:t>strong work concept</w:t>
      </w:r>
      <w:r w:rsidR="000A1D1B">
        <w:rPr>
          <w:rFonts w:ascii="Times New Roman" w:hAnsi="Times New Roman" w:cs="Times New Roman"/>
          <w:sz w:val="24"/>
          <w:szCs w:val="24"/>
        </w:rPr>
        <w:t xml:space="preserve"> from a </w:t>
      </w:r>
      <w:r w:rsidR="00332756" w:rsidRPr="000A1D1B">
        <w:rPr>
          <w:rFonts w:ascii="Times New Roman" w:hAnsi="Times New Roman" w:cs="Times New Roman"/>
          <w:i/>
          <w:sz w:val="24"/>
          <w:szCs w:val="24"/>
        </w:rPr>
        <w:t>weak work concept</w:t>
      </w:r>
      <w:r w:rsidR="00332756">
        <w:rPr>
          <w:rFonts w:ascii="Times New Roman" w:hAnsi="Times New Roman" w:cs="Times New Roman"/>
          <w:sz w:val="24"/>
          <w:szCs w:val="24"/>
        </w:rPr>
        <w:t xml:space="preserve">, </w:t>
      </w:r>
      <w:r w:rsidR="000A1D1B">
        <w:rPr>
          <w:rFonts w:ascii="Times New Roman" w:hAnsi="Times New Roman" w:cs="Times New Roman"/>
          <w:sz w:val="24"/>
          <w:szCs w:val="24"/>
        </w:rPr>
        <w:t>identifying the latter</w:t>
      </w:r>
      <w:r w:rsidR="00332756">
        <w:rPr>
          <w:rFonts w:ascii="Times New Roman" w:hAnsi="Times New Roman" w:cs="Times New Roman"/>
          <w:sz w:val="24"/>
          <w:szCs w:val="24"/>
        </w:rPr>
        <w:t xml:space="preserve"> as a more traditional paradigm that focusses on music as a performance event.</w:t>
      </w:r>
    </w:p>
    <w:p w14:paraId="2F9909E1" w14:textId="77777777" w:rsidR="00EB54C6" w:rsidRDefault="00EB54C6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1CCE7D" w14:textId="77777777" w:rsidR="0075160F" w:rsidRDefault="0075160F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2A4B67" w14:textId="77777777" w:rsidR="0075160F" w:rsidRDefault="0075160F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9B9EE2" w14:textId="77777777" w:rsidR="00F07E04" w:rsidRPr="00EB54C6" w:rsidRDefault="0075160F" w:rsidP="00F72D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E0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07E04" w:rsidRPr="00EB54C6" w:rsidSect="00E91F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BCEA" w14:textId="77777777" w:rsidR="008623DE" w:rsidRDefault="008623DE" w:rsidP="00EB54C6">
      <w:pPr>
        <w:spacing w:after="0" w:line="240" w:lineRule="auto"/>
      </w:pPr>
      <w:r>
        <w:separator/>
      </w:r>
    </w:p>
  </w:endnote>
  <w:endnote w:type="continuationSeparator" w:id="0">
    <w:p w14:paraId="6BA90C4C" w14:textId="77777777" w:rsidR="008623DE" w:rsidRDefault="008623DE" w:rsidP="00E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0130" w14:textId="77777777" w:rsidR="008623DE" w:rsidRDefault="008623DE" w:rsidP="00EB54C6">
      <w:pPr>
        <w:spacing w:after="0" w:line="240" w:lineRule="auto"/>
      </w:pPr>
      <w:r>
        <w:separator/>
      </w:r>
    </w:p>
  </w:footnote>
  <w:footnote w:type="continuationSeparator" w:id="0">
    <w:p w14:paraId="0FA1E656" w14:textId="77777777" w:rsidR="008623DE" w:rsidRDefault="008623DE" w:rsidP="00EB5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C6"/>
    <w:rsid w:val="00012DCC"/>
    <w:rsid w:val="00066346"/>
    <w:rsid w:val="000A1D1B"/>
    <w:rsid w:val="002B6CEB"/>
    <w:rsid w:val="002C1307"/>
    <w:rsid w:val="00332756"/>
    <w:rsid w:val="004C390B"/>
    <w:rsid w:val="00537161"/>
    <w:rsid w:val="00552BDF"/>
    <w:rsid w:val="005F63DA"/>
    <w:rsid w:val="006B2197"/>
    <w:rsid w:val="006F1A50"/>
    <w:rsid w:val="0075160F"/>
    <w:rsid w:val="007D1901"/>
    <w:rsid w:val="00852FC9"/>
    <w:rsid w:val="00857FB3"/>
    <w:rsid w:val="008623DE"/>
    <w:rsid w:val="00950FE3"/>
    <w:rsid w:val="00B20F83"/>
    <w:rsid w:val="00B22339"/>
    <w:rsid w:val="00B84B85"/>
    <w:rsid w:val="00BF43E8"/>
    <w:rsid w:val="00C32B09"/>
    <w:rsid w:val="00C44FCC"/>
    <w:rsid w:val="00C8493F"/>
    <w:rsid w:val="00C909B0"/>
    <w:rsid w:val="00DF56C9"/>
    <w:rsid w:val="00E91F5B"/>
    <w:rsid w:val="00EB54C6"/>
    <w:rsid w:val="00ED3942"/>
    <w:rsid w:val="00F07E04"/>
    <w:rsid w:val="00F1337F"/>
    <w:rsid w:val="00F72DE1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82A55"/>
  <w15:docId w15:val="{F073D813-2AD2-104E-BDDD-4D22DB0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4C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B54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54C6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5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Rayner</dc:creator>
  <cp:lastModifiedBy>Microsoft Office User</cp:lastModifiedBy>
  <cp:revision>2</cp:revision>
  <dcterms:created xsi:type="dcterms:W3CDTF">2020-03-05T09:48:00Z</dcterms:created>
  <dcterms:modified xsi:type="dcterms:W3CDTF">2020-03-05T09:48:00Z</dcterms:modified>
</cp:coreProperties>
</file>