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7E151" w14:textId="77777777" w:rsidR="00ED75EE" w:rsidRPr="00C01BDF" w:rsidRDefault="007C782C" w:rsidP="00AD7BA3">
      <w:pPr>
        <w:spacing w:line="360" w:lineRule="auto"/>
        <w:jc w:val="both"/>
        <w:rPr>
          <w:rFonts w:ascii="Times New Roman" w:hAnsi="Times New Roman" w:cs="Times New Roman"/>
        </w:rPr>
      </w:pPr>
      <w:bookmarkStart w:id="0" w:name="_GoBack"/>
      <w:bookmarkEnd w:id="0"/>
      <w:r w:rsidRPr="00C01BDF">
        <w:rPr>
          <w:rFonts w:ascii="Times New Roman" w:hAnsi="Times New Roman" w:cs="Times New Roman"/>
        </w:rPr>
        <w:t xml:space="preserve">Review of Amal Alamuddin, Nidal Nabil Jurdi and David Tolbert, </w:t>
      </w:r>
      <w:r w:rsidRPr="00C01BDF">
        <w:rPr>
          <w:rFonts w:ascii="Times New Roman" w:hAnsi="Times New Roman" w:cs="Times New Roman"/>
          <w:i/>
        </w:rPr>
        <w:t>The Special Tribunal for Lebanon, Law and Practice</w:t>
      </w:r>
      <w:r w:rsidRPr="00C01BDF">
        <w:rPr>
          <w:rFonts w:ascii="Times New Roman" w:hAnsi="Times New Roman" w:cs="Times New Roman"/>
        </w:rPr>
        <w:t>, Oxford: Oxford University Press, 2014, 316 pp. xxi.</w:t>
      </w:r>
    </w:p>
    <w:p w14:paraId="4ADBD4A4" w14:textId="77777777" w:rsidR="007C782C" w:rsidRPr="00C01BDF" w:rsidRDefault="007C782C" w:rsidP="00AD7BA3">
      <w:pPr>
        <w:spacing w:line="360" w:lineRule="auto"/>
        <w:jc w:val="both"/>
        <w:rPr>
          <w:rFonts w:ascii="Times New Roman" w:hAnsi="Times New Roman" w:cs="Times New Roman"/>
        </w:rPr>
      </w:pPr>
    </w:p>
    <w:p w14:paraId="624FB4A7" w14:textId="025F3955" w:rsidR="00CC59A4" w:rsidRPr="00C01BDF" w:rsidRDefault="00CC59A4" w:rsidP="00AD7BA3">
      <w:pPr>
        <w:spacing w:line="360" w:lineRule="auto"/>
        <w:jc w:val="both"/>
        <w:rPr>
          <w:rFonts w:ascii="Times New Roman" w:hAnsi="Times New Roman" w:cs="Times New Roman"/>
        </w:rPr>
      </w:pPr>
      <w:r w:rsidRPr="00C01BDF">
        <w:rPr>
          <w:rFonts w:ascii="Times New Roman" w:hAnsi="Times New Roman" w:cs="Times New Roman"/>
        </w:rPr>
        <w:t xml:space="preserve">In the ever-expanding universe of international criminal justice, it is not uncommon to describe a category of institutions known as ‘hybrid tribunals’.  </w:t>
      </w:r>
      <w:r w:rsidR="0075146E">
        <w:rPr>
          <w:rFonts w:ascii="Times New Roman" w:hAnsi="Times New Roman" w:cs="Times New Roman"/>
        </w:rPr>
        <w:t>Frequently</w:t>
      </w:r>
      <w:r w:rsidRPr="00C01BDF">
        <w:rPr>
          <w:rFonts w:ascii="Times New Roman" w:hAnsi="Times New Roman" w:cs="Times New Roman"/>
        </w:rPr>
        <w:t xml:space="preserve"> the Special Tribunal for Lebanon would be placed within this rubric. Presumably hybrid tribunals sit somewhere between genuinely ‘national’ and genuinely ‘international’ courts. That is because they have legal features drawn from both national and international law. It is also explained by the presence of Lebanese nationals and so-called ‘internationals’</w:t>
      </w:r>
      <w:r w:rsidR="0075146E">
        <w:rPr>
          <w:rFonts w:ascii="Times New Roman" w:hAnsi="Times New Roman" w:cs="Times New Roman"/>
        </w:rPr>
        <w:t xml:space="preserve"> as judges, prosecutors and defense counsel</w:t>
      </w:r>
      <w:r w:rsidRPr="00C01BDF">
        <w:rPr>
          <w:rFonts w:ascii="Times New Roman" w:hAnsi="Times New Roman" w:cs="Times New Roman"/>
        </w:rPr>
        <w:t>.</w:t>
      </w:r>
    </w:p>
    <w:p w14:paraId="0D7009C4" w14:textId="4F520308" w:rsidR="00597EA9" w:rsidRPr="00C01BDF" w:rsidRDefault="00CC59A4" w:rsidP="00AD7BA3">
      <w:pPr>
        <w:spacing w:line="360" w:lineRule="auto"/>
        <w:ind w:firstLine="720"/>
        <w:jc w:val="both"/>
        <w:rPr>
          <w:rFonts w:ascii="Times New Roman" w:hAnsi="Times New Roman" w:cs="Times New Roman"/>
        </w:rPr>
      </w:pPr>
      <w:r w:rsidRPr="00C01BDF">
        <w:rPr>
          <w:rFonts w:ascii="Times New Roman" w:hAnsi="Times New Roman" w:cs="Times New Roman"/>
        </w:rPr>
        <w:t xml:space="preserve">The ‘hybrid’ classification has a whiff of intellectual laziness to it. </w:t>
      </w:r>
      <w:r w:rsidR="00597EA9" w:rsidRPr="00C01BDF">
        <w:rPr>
          <w:rFonts w:ascii="Times New Roman" w:hAnsi="Times New Roman" w:cs="Times New Roman"/>
        </w:rPr>
        <w:t xml:space="preserve">When in doubt about how to describe something, the simple way out is to call it a ‘hybrid’, a ‘mixture’, a ‘mongrel’. </w:t>
      </w:r>
      <w:r w:rsidR="0075146E">
        <w:rPr>
          <w:rFonts w:ascii="Times New Roman" w:hAnsi="Times New Roman" w:cs="Times New Roman"/>
        </w:rPr>
        <w:t xml:space="preserve">A </w:t>
      </w:r>
      <w:r w:rsidR="00D9360D" w:rsidRPr="00C01BDF">
        <w:rPr>
          <w:rFonts w:ascii="Times New Roman" w:hAnsi="Times New Roman" w:cs="Times New Roman"/>
        </w:rPr>
        <w:t xml:space="preserve">simple litmus test is to consider how the tribunal can be shut down. If this can be done by national law alone, as in the case of the Extraordinary Chambers in the Courts of Cambodia, then the institution is national in nature. If its </w:t>
      </w:r>
      <w:r w:rsidR="0075146E">
        <w:rPr>
          <w:rFonts w:ascii="Times New Roman" w:hAnsi="Times New Roman" w:cs="Times New Roman"/>
        </w:rPr>
        <w:t>future is determined</w:t>
      </w:r>
      <w:r w:rsidR="00D9360D" w:rsidRPr="00C01BDF">
        <w:rPr>
          <w:rFonts w:ascii="Times New Roman" w:hAnsi="Times New Roman" w:cs="Times New Roman"/>
        </w:rPr>
        <w:t xml:space="preserve"> by international treaty or agreement, then it must be international. That is certainly the case of the Special Tribunal for Lebanon</w:t>
      </w:r>
      <w:r w:rsidR="0075146E">
        <w:rPr>
          <w:rFonts w:ascii="Times New Roman" w:hAnsi="Times New Roman" w:cs="Times New Roman"/>
        </w:rPr>
        <w:t>, which will continue to operate whether or not the government of Lebanon remains supportive</w:t>
      </w:r>
      <w:r w:rsidR="00D9360D" w:rsidRPr="00C01BDF">
        <w:rPr>
          <w:rFonts w:ascii="Times New Roman" w:hAnsi="Times New Roman" w:cs="Times New Roman"/>
        </w:rPr>
        <w:t xml:space="preserve">. Its proper classification, then, is as one of four temporary or </w:t>
      </w:r>
      <w:r w:rsidR="00D9360D" w:rsidRPr="00C01BDF">
        <w:rPr>
          <w:rFonts w:ascii="Times New Roman" w:hAnsi="Times New Roman" w:cs="Times New Roman"/>
          <w:i/>
        </w:rPr>
        <w:t xml:space="preserve">ad hoc </w:t>
      </w:r>
      <w:r w:rsidR="00D9360D" w:rsidRPr="00C01BDF">
        <w:rPr>
          <w:rFonts w:ascii="Times New Roman" w:hAnsi="Times New Roman" w:cs="Times New Roman"/>
        </w:rPr>
        <w:t xml:space="preserve">institutions established through the medium of the United Nations. The other three, of course, are the international criminal tribunals for the former Yugoslavia and Rwanda and the Special Court for Sierra Leone.  </w:t>
      </w:r>
    </w:p>
    <w:p w14:paraId="0EF2FF2E" w14:textId="3AEF193D" w:rsidR="00F872F6" w:rsidRPr="00C01BDF" w:rsidRDefault="00D9360D" w:rsidP="00AD7BA3">
      <w:pPr>
        <w:spacing w:line="360" w:lineRule="auto"/>
        <w:ind w:firstLine="720"/>
        <w:jc w:val="both"/>
        <w:rPr>
          <w:rFonts w:ascii="Times New Roman" w:hAnsi="Times New Roman" w:cs="Times New Roman"/>
        </w:rPr>
      </w:pPr>
      <w:r w:rsidRPr="00C01BDF">
        <w:rPr>
          <w:rFonts w:ascii="Times New Roman" w:hAnsi="Times New Roman" w:cs="Times New Roman"/>
        </w:rPr>
        <w:t>Nevertheless, the Special Tribunal for Lebanon has some unique and unusual features. Rather than be labelled ‘hybrid’ it might be more appropriate to speak of it as ‘</w:t>
      </w:r>
      <w:r w:rsidR="00597EA9" w:rsidRPr="00C01BDF">
        <w:rPr>
          <w:rFonts w:ascii="Times New Roman" w:hAnsi="Times New Roman" w:cs="Times New Roman"/>
        </w:rPr>
        <w:t>idiosyncratic</w:t>
      </w:r>
      <w:r w:rsidRPr="00C01BDF">
        <w:rPr>
          <w:rFonts w:ascii="Times New Roman" w:hAnsi="Times New Roman" w:cs="Times New Roman"/>
        </w:rPr>
        <w:t xml:space="preserve">’. </w:t>
      </w:r>
      <w:r w:rsidR="00597EA9" w:rsidRPr="00C01BDF">
        <w:rPr>
          <w:rFonts w:ascii="Times New Roman" w:hAnsi="Times New Roman" w:cs="Times New Roman"/>
        </w:rPr>
        <w:t>Its subject-matter jurisdiction is, by its Statute, quite deliberately turned away from the international definitions, although that hardly discouraged its innovative Appeals Chamber</w:t>
      </w:r>
      <w:r w:rsidR="004B17D1">
        <w:rPr>
          <w:rFonts w:ascii="Times New Roman" w:hAnsi="Times New Roman" w:cs="Times New Roman"/>
        </w:rPr>
        <w:t xml:space="preserve"> from importing international law in order to define terrorism under Lebanese law</w:t>
      </w:r>
      <w:r w:rsidRPr="00C01BDF">
        <w:rPr>
          <w:rFonts w:ascii="Times New Roman" w:hAnsi="Times New Roman" w:cs="Times New Roman"/>
        </w:rPr>
        <w:t xml:space="preserve">. Its jurisdiction </w:t>
      </w:r>
      <w:r w:rsidRPr="00C01BDF">
        <w:rPr>
          <w:rFonts w:ascii="Times New Roman" w:hAnsi="Times New Roman" w:cs="Times New Roman"/>
          <w:i/>
        </w:rPr>
        <w:t>ratione personae</w:t>
      </w:r>
      <w:r w:rsidRPr="00C01BDF">
        <w:rPr>
          <w:rFonts w:ascii="Times New Roman" w:hAnsi="Times New Roman" w:cs="Times New Roman"/>
        </w:rPr>
        <w:t xml:space="preserve"> is about as close as international criminal law comes to the </w:t>
      </w:r>
      <w:r w:rsidRPr="00C01BDF">
        <w:rPr>
          <w:rFonts w:ascii="Times New Roman" w:hAnsi="Times New Roman" w:cs="Times New Roman"/>
          <w:i/>
        </w:rPr>
        <w:t>ad hominem</w:t>
      </w:r>
      <w:r w:rsidRPr="00C01BDF">
        <w:rPr>
          <w:rFonts w:ascii="Times New Roman" w:hAnsi="Times New Roman" w:cs="Times New Roman"/>
        </w:rPr>
        <w:t xml:space="preserve">. Dealing with a part of the world where terrible atrocities abound, on a scale that greatly exceed the February 2005 assassination of Rafiq Hariri by several orders of magnitude, </w:t>
      </w:r>
      <w:r w:rsidR="004B17D1">
        <w:rPr>
          <w:rFonts w:ascii="Times New Roman" w:hAnsi="Times New Roman" w:cs="Times New Roman"/>
        </w:rPr>
        <w:t>the establishment of the Lebanon Tribunal</w:t>
      </w:r>
      <w:r w:rsidR="00F872F6" w:rsidRPr="00C01BDF">
        <w:rPr>
          <w:rFonts w:ascii="Times New Roman" w:hAnsi="Times New Roman" w:cs="Times New Roman"/>
        </w:rPr>
        <w:t xml:space="preserve"> seems to highlight the profoundly political determinations involved in the selection of situations for international prosecution</w:t>
      </w:r>
      <w:r w:rsidR="004B17D1">
        <w:rPr>
          <w:rFonts w:ascii="Times New Roman" w:hAnsi="Times New Roman" w:cs="Times New Roman"/>
        </w:rPr>
        <w:t>. This</w:t>
      </w:r>
      <w:r w:rsidR="00F872F6" w:rsidRPr="00C01BDF">
        <w:rPr>
          <w:rFonts w:ascii="Times New Roman" w:hAnsi="Times New Roman" w:cs="Times New Roman"/>
        </w:rPr>
        <w:t xml:space="preserve"> nourish</w:t>
      </w:r>
      <w:r w:rsidR="004B17D1">
        <w:rPr>
          <w:rFonts w:ascii="Times New Roman" w:hAnsi="Times New Roman" w:cs="Times New Roman"/>
        </w:rPr>
        <w:t>es</w:t>
      </w:r>
      <w:r w:rsidR="00F872F6" w:rsidRPr="00C01BDF">
        <w:rPr>
          <w:rFonts w:ascii="Times New Roman" w:hAnsi="Times New Roman" w:cs="Times New Roman"/>
        </w:rPr>
        <w:t xml:space="preserve"> the critiques </w:t>
      </w:r>
      <w:r w:rsidR="00F872F6" w:rsidRPr="00C01BDF">
        <w:rPr>
          <w:rFonts w:ascii="Times New Roman" w:hAnsi="Times New Roman" w:cs="Times New Roman"/>
        </w:rPr>
        <w:lastRenderedPageBreak/>
        <w:t xml:space="preserve">of the international justice project </w:t>
      </w:r>
      <w:r w:rsidR="004B17D1">
        <w:rPr>
          <w:rFonts w:ascii="Times New Roman" w:hAnsi="Times New Roman" w:cs="Times New Roman"/>
        </w:rPr>
        <w:t>for</w:t>
      </w:r>
      <w:r w:rsidR="00F872F6" w:rsidRPr="00C01BDF">
        <w:rPr>
          <w:rFonts w:ascii="Times New Roman" w:hAnsi="Times New Roman" w:cs="Times New Roman"/>
        </w:rPr>
        <w:t xml:space="preserve"> pursuing the agendas of ‘the victors’</w:t>
      </w:r>
      <w:r w:rsidR="004B17D1">
        <w:rPr>
          <w:rFonts w:ascii="Times New Roman" w:hAnsi="Times New Roman" w:cs="Times New Roman"/>
        </w:rPr>
        <w:t xml:space="preserve"> and ignoring those that challenge their sensitivities</w:t>
      </w:r>
      <w:r w:rsidR="00F872F6" w:rsidRPr="00C01BDF">
        <w:rPr>
          <w:rFonts w:ascii="Times New Roman" w:hAnsi="Times New Roman" w:cs="Times New Roman"/>
        </w:rPr>
        <w:t>.</w:t>
      </w:r>
    </w:p>
    <w:p w14:paraId="1A0C7542" w14:textId="05BA78C3" w:rsidR="00597EA9" w:rsidRPr="00C01BDF" w:rsidRDefault="00F872F6" w:rsidP="00AD7BA3">
      <w:pPr>
        <w:spacing w:line="360" w:lineRule="auto"/>
        <w:ind w:firstLine="720"/>
        <w:jc w:val="both"/>
        <w:rPr>
          <w:rFonts w:ascii="Times New Roman" w:hAnsi="Times New Roman" w:cs="Times New Roman"/>
        </w:rPr>
      </w:pPr>
      <w:r w:rsidRPr="00C01BDF">
        <w:rPr>
          <w:rFonts w:ascii="Times New Roman" w:hAnsi="Times New Roman" w:cs="Times New Roman"/>
        </w:rPr>
        <w:t xml:space="preserve">Yet this odd institution is extraordinarily well-funded and extremely efficient. It has attracted some of the finest minds and the most expert practitioners in the discipline. Three of them, Amal Alamuddin, Nidal Nabil Jurdi and David Tolbert, are the editors of this fine, authoritative collection of essays about the Tribunal. They have assembled a roster of well-regarded specialists to explore the various features of the institution. </w:t>
      </w:r>
      <w:r w:rsidR="004B17D1">
        <w:rPr>
          <w:rFonts w:ascii="Times New Roman" w:hAnsi="Times New Roman" w:cs="Times New Roman"/>
        </w:rPr>
        <w:t>Without claiming to be comprehensive in scope, the volume has nevertheless covered the subject matter quite thoroughly, making it an invaluable reference on the subject. About t</w:t>
      </w:r>
      <w:r w:rsidRPr="00C01BDF">
        <w:rPr>
          <w:rFonts w:ascii="Times New Roman" w:hAnsi="Times New Roman" w:cs="Times New Roman"/>
        </w:rPr>
        <w:t>he only thing missing is the preface that the late Antonio Cassese would surely have contributed had he not so tragically left his work at the Tribunal unfinished.</w:t>
      </w:r>
    </w:p>
    <w:p w14:paraId="6E797DDA" w14:textId="30C41765" w:rsidR="007C782C" w:rsidRPr="00AD7BA3" w:rsidRDefault="00AD7BA3" w:rsidP="00AD7BA3">
      <w:pPr>
        <w:widowControl w:val="0"/>
        <w:autoSpaceDE w:val="0"/>
        <w:autoSpaceDN w:val="0"/>
        <w:adjustRightInd w:val="0"/>
        <w:spacing w:line="360" w:lineRule="auto"/>
        <w:ind w:firstLine="720"/>
        <w:jc w:val="both"/>
        <w:rPr>
          <w:rFonts w:ascii="Times" w:hAnsi="Times" w:cs="Times"/>
          <w:lang w:val="en-US"/>
        </w:rPr>
      </w:pPr>
      <w:r>
        <w:rPr>
          <w:rFonts w:ascii="Times New Roman" w:hAnsi="Times New Roman" w:cs="Times New Roman"/>
        </w:rPr>
        <w:t xml:space="preserve">One of the contributors, </w:t>
      </w:r>
      <w:r w:rsidR="003D1148" w:rsidRPr="00C01BDF">
        <w:rPr>
          <w:rFonts w:ascii="Times New Roman" w:hAnsi="Times New Roman" w:cs="Times New Roman"/>
        </w:rPr>
        <w:t>Nicolas Mic</w:t>
      </w:r>
      <w:r w:rsidR="001605FF" w:rsidRPr="00C01BDF">
        <w:rPr>
          <w:rFonts w:ascii="Times New Roman" w:hAnsi="Times New Roman" w:cs="Times New Roman"/>
        </w:rPr>
        <w:t>h</w:t>
      </w:r>
      <w:r w:rsidR="003D1148" w:rsidRPr="00C01BDF">
        <w:rPr>
          <w:rFonts w:ascii="Times New Roman" w:hAnsi="Times New Roman" w:cs="Times New Roman"/>
        </w:rPr>
        <w:t xml:space="preserve">el, who was the legal advisor at the United Nations Secretariat when the Tribunal came into being, provides a blow-by-blow description of its establishment. This is the insider account </w:t>
      </w:r>
      <w:r w:rsidR="003D1148" w:rsidRPr="00C01BDF">
        <w:rPr>
          <w:rFonts w:ascii="Times New Roman" w:hAnsi="Times New Roman" w:cs="Times New Roman"/>
          <w:i/>
        </w:rPr>
        <w:t xml:space="preserve">par excellence. </w:t>
      </w:r>
      <w:r w:rsidR="001605FF" w:rsidRPr="00C01BDF">
        <w:rPr>
          <w:rFonts w:ascii="Times New Roman" w:hAnsi="Times New Roman" w:cs="Times New Roman"/>
        </w:rPr>
        <w:t>The birth of e</w:t>
      </w:r>
      <w:r w:rsidR="003D1148" w:rsidRPr="00C01BDF">
        <w:rPr>
          <w:rFonts w:ascii="Times New Roman" w:hAnsi="Times New Roman" w:cs="Times New Roman"/>
        </w:rPr>
        <w:t xml:space="preserve">ach one of the temporary or </w:t>
      </w:r>
      <w:r w:rsidR="003D1148" w:rsidRPr="00C01BDF">
        <w:rPr>
          <w:rFonts w:ascii="Times New Roman" w:hAnsi="Times New Roman" w:cs="Times New Roman"/>
          <w:i/>
        </w:rPr>
        <w:t xml:space="preserve">ad hoc </w:t>
      </w:r>
      <w:r w:rsidR="003D1148" w:rsidRPr="00C01BDF">
        <w:rPr>
          <w:rFonts w:ascii="Times New Roman" w:hAnsi="Times New Roman" w:cs="Times New Roman"/>
        </w:rPr>
        <w:t xml:space="preserve">tribunals has had </w:t>
      </w:r>
      <w:r w:rsidR="001605FF" w:rsidRPr="00C01BDF">
        <w:rPr>
          <w:rFonts w:ascii="Times New Roman" w:hAnsi="Times New Roman" w:cs="Times New Roman"/>
        </w:rPr>
        <w:t xml:space="preserve">some complex features but it is likely that </w:t>
      </w:r>
      <w:r w:rsidR="004B17D1">
        <w:rPr>
          <w:rFonts w:ascii="Times New Roman" w:hAnsi="Times New Roman" w:cs="Times New Roman"/>
        </w:rPr>
        <w:t xml:space="preserve">more controversy surrounded </w:t>
      </w:r>
      <w:r w:rsidR="001605FF" w:rsidRPr="00C01BDF">
        <w:rPr>
          <w:rFonts w:ascii="Times New Roman" w:hAnsi="Times New Roman" w:cs="Times New Roman"/>
        </w:rPr>
        <w:t xml:space="preserve">the Special Tribunal </w:t>
      </w:r>
      <w:r w:rsidR="004B17D1">
        <w:rPr>
          <w:rFonts w:ascii="Times New Roman" w:hAnsi="Times New Roman" w:cs="Times New Roman"/>
        </w:rPr>
        <w:t>than any other</w:t>
      </w:r>
      <w:r w:rsidR="001605FF" w:rsidRPr="00C01BDF">
        <w:rPr>
          <w:rFonts w:ascii="Times New Roman" w:hAnsi="Times New Roman" w:cs="Times New Roman"/>
        </w:rPr>
        <w:t xml:space="preserve">. This was due not only to the intrigues of Lebanese politics but </w:t>
      </w:r>
      <w:r w:rsidR="004B17D1">
        <w:rPr>
          <w:rFonts w:ascii="Times New Roman" w:hAnsi="Times New Roman" w:cs="Times New Roman"/>
        </w:rPr>
        <w:t xml:space="preserve">also to </w:t>
      </w:r>
      <w:r w:rsidR="001605FF" w:rsidRPr="00C01BDF">
        <w:rPr>
          <w:rFonts w:ascii="Times New Roman" w:hAnsi="Times New Roman" w:cs="Times New Roman"/>
        </w:rPr>
        <w:t xml:space="preserve">the broader global environment, involving Lebanon’s neighbours and their great power benefactors. Professor Michel’s authoritative description of the process fills many of the gaps in </w:t>
      </w:r>
      <w:r w:rsidR="004B17D1">
        <w:rPr>
          <w:rFonts w:ascii="Times New Roman" w:hAnsi="Times New Roman" w:cs="Times New Roman"/>
        </w:rPr>
        <w:t>our knowledge.</w:t>
      </w:r>
      <w:r w:rsidR="001605FF" w:rsidRPr="00C01BDF">
        <w:rPr>
          <w:rFonts w:ascii="Times New Roman" w:hAnsi="Times New Roman" w:cs="Times New Roman"/>
        </w:rPr>
        <w:t xml:space="preserve"> </w:t>
      </w:r>
      <w:r w:rsidR="004B17D1">
        <w:rPr>
          <w:rFonts w:ascii="Times New Roman" w:hAnsi="Times New Roman" w:cs="Times New Roman"/>
        </w:rPr>
        <w:t>A</w:t>
      </w:r>
      <w:r w:rsidR="001605FF" w:rsidRPr="00C01BDF">
        <w:rPr>
          <w:rFonts w:ascii="Times New Roman" w:hAnsi="Times New Roman" w:cs="Times New Roman"/>
        </w:rPr>
        <w:t xml:space="preserve"> few details may still be missing, perhaps because of his own discretion. </w:t>
      </w:r>
      <w:r w:rsidR="004B17D1">
        <w:rPr>
          <w:rFonts w:ascii="Times New Roman" w:hAnsi="Times New Roman" w:cs="Times New Roman"/>
        </w:rPr>
        <w:t>Notably, h</w:t>
      </w:r>
      <w:r w:rsidR="001605FF" w:rsidRPr="00C01BDF">
        <w:rPr>
          <w:rFonts w:ascii="Times New Roman" w:hAnsi="Times New Roman" w:cs="Times New Roman"/>
        </w:rPr>
        <w:t xml:space="preserve">e </w:t>
      </w:r>
      <w:r>
        <w:rPr>
          <w:rFonts w:ascii="Times New Roman" w:hAnsi="Times New Roman" w:cs="Times New Roman"/>
        </w:rPr>
        <w:t>explains</w:t>
      </w:r>
      <w:r w:rsidR="004B17D1">
        <w:rPr>
          <w:rFonts w:ascii="Times New Roman" w:hAnsi="Times New Roman" w:cs="Times New Roman"/>
        </w:rPr>
        <w:t xml:space="preserve"> </w:t>
      </w:r>
      <w:r w:rsidR="005E75AC" w:rsidRPr="00C01BDF">
        <w:rPr>
          <w:rFonts w:ascii="Times New Roman" w:hAnsi="Times New Roman" w:cs="Times New Roman"/>
        </w:rPr>
        <w:t xml:space="preserve">describes the curious </w:t>
      </w:r>
      <w:r w:rsidR="004B17D1">
        <w:rPr>
          <w:rFonts w:ascii="Times New Roman" w:hAnsi="Times New Roman" w:cs="Times New Roman"/>
        </w:rPr>
        <w:t>note</w:t>
      </w:r>
      <w:r w:rsidR="005E75AC" w:rsidRPr="00C01BDF">
        <w:rPr>
          <w:rFonts w:ascii="Times New Roman" w:hAnsi="Times New Roman" w:cs="Times New Roman"/>
        </w:rPr>
        <w:t xml:space="preserve"> that </w:t>
      </w:r>
      <w:r w:rsidR="001605FF" w:rsidRPr="00C01BDF">
        <w:rPr>
          <w:rFonts w:ascii="Times New Roman" w:hAnsi="Times New Roman" w:cs="Times New Roman"/>
        </w:rPr>
        <w:t>was appended when</w:t>
      </w:r>
      <w:r w:rsidR="005E75AC" w:rsidRPr="00C01BDF">
        <w:rPr>
          <w:rFonts w:ascii="Times New Roman" w:hAnsi="Times New Roman" w:cs="Times New Roman"/>
        </w:rPr>
        <w:t xml:space="preserve"> the text of the Statute was </w:t>
      </w:r>
      <w:r>
        <w:rPr>
          <w:rFonts w:ascii="Times New Roman" w:hAnsi="Times New Roman" w:cs="Times New Roman"/>
        </w:rPr>
        <w:t>endorsed by the Security Council dealing with</w:t>
      </w:r>
      <w:r w:rsidR="005E75AC" w:rsidRPr="00C01BDF">
        <w:rPr>
          <w:rFonts w:ascii="Times New Roman" w:hAnsi="Times New Roman" w:cs="Times New Roman"/>
        </w:rPr>
        <w:t xml:space="preserve"> </w:t>
      </w:r>
      <w:r>
        <w:rPr>
          <w:rFonts w:ascii="Times New Roman" w:hAnsi="Times New Roman" w:cs="Times New Roman"/>
        </w:rPr>
        <w:t>the relationship between</w:t>
      </w:r>
      <w:r w:rsidR="005E75AC" w:rsidRPr="00C01BDF">
        <w:rPr>
          <w:rFonts w:ascii="Times New Roman" w:hAnsi="Times New Roman" w:cs="Times New Roman"/>
        </w:rPr>
        <w:t xml:space="preserve"> crimes against humanity</w:t>
      </w:r>
      <w:r>
        <w:rPr>
          <w:rFonts w:ascii="Times New Roman" w:hAnsi="Times New Roman" w:cs="Times New Roman"/>
        </w:rPr>
        <w:t xml:space="preserve"> and terrorism</w:t>
      </w:r>
      <w:r w:rsidR="005E75AC" w:rsidRPr="00C01BDF">
        <w:rPr>
          <w:rFonts w:ascii="Times New Roman" w:hAnsi="Times New Roman" w:cs="Times New Roman"/>
        </w:rPr>
        <w:t xml:space="preserve">. </w:t>
      </w:r>
      <w:r w:rsidR="006131CF">
        <w:rPr>
          <w:rFonts w:ascii="Times New Roman" w:hAnsi="Times New Roman" w:cs="Times New Roman"/>
        </w:rPr>
        <w:t>This unusual document</w:t>
      </w:r>
      <w:r w:rsidR="001605FF" w:rsidRPr="00C01BDF">
        <w:rPr>
          <w:rFonts w:ascii="Times New Roman" w:hAnsi="Times New Roman" w:cs="Times New Roman"/>
        </w:rPr>
        <w:t xml:space="preserve"> was actually </w:t>
      </w:r>
      <w:r w:rsidR="006131CF">
        <w:rPr>
          <w:rFonts w:ascii="Times New Roman" w:hAnsi="Times New Roman" w:cs="Times New Roman"/>
        </w:rPr>
        <w:t>formulated</w:t>
      </w:r>
      <w:r w:rsidR="001605FF" w:rsidRPr="00C01BDF">
        <w:rPr>
          <w:rFonts w:ascii="Times New Roman" w:hAnsi="Times New Roman" w:cs="Times New Roman"/>
        </w:rPr>
        <w:t xml:space="preserve"> by </w:t>
      </w:r>
      <w:r w:rsidR="004B17D1">
        <w:rPr>
          <w:rFonts w:ascii="Times New Roman" w:hAnsi="Times New Roman" w:cs="Times New Roman"/>
        </w:rPr>
        <w:t>Professor Michel himself</w:t>
      </w:r>
      <w:r w:rsidR="001605FF" w:rsidRPr="00C01BDF">
        <w:rPr>
          <w:rFonts w:ascii="Times New Roman" w:hAnsi="Times New Roman" w:cs="Times New Roman"/>
        </w:rPr>
        <w:t>, a rare event in the United Nations.</w:t>
      </w:r>
      <w:r w:rsidR="006131CF">
        <w:rPr>
          <w:rStyle w:val="FootnoteReference"/>
          <w:rFonts w:ascii="Times New Roman" w:hAnsi="Times New Roman" w:cs="Times New Roman"/>
        </w:rPr>
        <w:footnoteReference w:id="1"/>
      </w:r>
      <w:r w:rsidR="001605FF" w:rsidRPr="00C01BDF">
        <w:rPr>
          <w:rFonts w:ascii="Times New Roman" w:hAnsi="Times New Roman" w:cs="Times New Roman"/>
        </w:rPr>
        <w:t xml:space="preserve"> As he </w:t>
      </w:r>
      <w:r w:rsidR="006131CF">
        <w:rPr>
          <w:rFonts w:ascii="Times New Roman" w:hAnsi="Times New Roman" w:cs="Times New Roman"/>
        </w:rPr>
        <w:t>explains</w:t>
      </w:r>
      <w:r w:rsidR="001605FF" w:rsidRPr="00C01BDF">
        <w:rPr>
          <w:rFonts w:ascii="Times New Roman" w:hAnsi="Times New Roman" w:cs="Times New Roman"/>
        </w:rPr>
        <w:t xml:space="preserve"> in his chapter, </w:t>
      </w:r>
      <w:r w:rsidR="005E75AC" w:rsidRPr="00C01BDF">
        <w:rPr>
          <w:rFonts w:ascii="Times New Roman" w:hAnsi="Times New Roman" w:cs="Times New Roman"/>
        </w:rPr>
        <w:t xml:space="preserve">his </w:t>
      </w:r>
      <w:r w:rsidR="001605FF" w:rsidRPr="00C01BDF">
        <w:rPr>
          <w:rFonts w:ascii="Times New Roman" w:hAnsi="Times New Roman" w:cs="Times New Roman"/>
        </w:rPr>
        <w:t xml:space="preserve">statement </w:t>
      </w:r>
      <w:r w:rsidR="005E75AC" w:rsidRPr="00C01BDF">
        <w:rPr>
          <w:rFonts w:ascii="Times New Roman" w:hAnsi="Times New Roman" w:cs="Times New Roman"/>
        </w:rPr>
        <w:t>was provoked by the fact that ‘one member of the Security Council considered the</w:t>
      </w:r>
      <w:r w:rsidR="001605FF" w:rsidRPr="00C01BDF">
        <w:rPr>
          <w:rFonts w:ascii="Times New Roman" w:hAnsi="Times New Roman" w:cs="Times New Roman"/>
        </w:rPr>
        <w:t>se sentences to be confusing’. He</w:t>
      </w:r>
      <w:r w:rsidR="005E75AC" w:rsidRPr="00C01BDF">
        <w:rPr>
          <w:rFonts w:ascii="Times New Roman" w:hAnsi="Times New Roman" w:cs="Times New Roman"/>
        </w:rPr>
        <w:t xml:space="preserve"> doesn’t</w:t>
      </w:r>
      <w:r w:rsidR="001605FF" w:rsidRPr="00C01BDF">
        <w:rPr>
          <w:rFonts w:ascii="Times New Roman" w:hAnsi="Times New Roman" w:cs="Times New Roman"/>
        </w:rPr>
        <w:t xml:space="preserve"> provide further identification although the word on the street is that the troublemaker was a permanent member of the Security Council with important strategic interests</w:t>
      </w:r>
      <w:r w:rsidR="006131CF">
        <w:rPr>
          <w:rFonts w:ascii="Times New Roman" w:hAnsi="Times New Roman" w:cs="Times New Roman"/>
        </w:rPr>
        <w:t xml:space="preserve"> in the region</w:t>
      </w:r>
      <w:r w:rsidR="001605FF" w:rsidRPr="00C01BDF">
        <w:rPr>
          <w:rFonts w:ascii="Times New Roman" w:hAnsi="Times New Roman" w:cs="Times New Roman"/>
        </w:rPr>
        <w:t xml:space="preserve"> (that describes four out of five).  And </w:t>
      </w:r>
      <w:r w:rsidR="006131CF">
        <w:rPr>
          <w:rFonts w:ascii="Times New Roman" w:hAnsi="Times New Roman" w:cs="Times New Roman"/>
        </w:rPr>
        <w:t>a military base in Syria</w:t>
      </w:r>
      <w:r w:rsidR="005E75AC" w:rsidRPr="00C01BDF">
        <w:rPr>
          <w:rFonts w:ascii="Times New Roman" w:hAnsi="Times New Roman" w:cs="Times New Roman"/>
        </w:rPr>
        <w:t>.</w:t>
      </w:r>
    </w:p>
    <w:p w14:paraId="0F8C49CF" w14:textId="204106D4" w:rsidR="001605FF" w:rsidRPr="00C01BDF" w:rsidRDefault="007F280B" w:rsidP="00AD7BA3">
      <w:pPr>
        <w:spacing w:line="360" w:lineRule="auto"/>
        <w:ind w:firstLine="720"/>
        <w:jc w:val="both"/>
        <w:rPr>
          <w:rFonts w:ascii="Times New Roman" w:hAnsi="Times New Roman" w:cs="Times New Roman"/>
        </w:rPr>
      </w:pPr>
      <w:r w:rsidRPr="00C01BDF">
        <w:rPr>
          <w:rFonts w:ascii="Times New Roman" w:hAnsi="Times New Roman" w:cs="Times New Roman"/>
        </w:rPr>
        <w:t>One of the very controversial features of the Tribunal is trial in the absence of the accused. The precedent of Martin B</w:t>
      </w:r>
      <w:r w:rsidRPr="00C01BDF">
        <w:rPr>
          <w:rFonts w:ascii="Times New Roman" w:hAnsi="Times New Roman" w:cs="Times New Roman"/>
          <w:lang w:val="fr-FR"/>
        </w:rPr>
        <w:t xml:space="preserve">örmann is held out to defend the </w:t>
      </w:r>
      <w:r w:rsidR="006131CF">
        <w:rPr>
          <w:rFonts w:ascii="Times New Roman" w:hAnsi="Times New Roman" w:cs="Times New Roman"/>
          <w:lang w:val="fr-FR"/>
        </w:rPr>
        <w:t>possibility</w:t>
      </w:r>
      <w:r w:rsidRPr="00C01BDF">
        <w:rPr>
          <w:rFonts w:ascii="Times New Roman" w:hAnsi="Times New Roman" w:cs="Times New Roman"/>
          <w:lang w:val="fr-FR"/>
        </w:rPr>
        <w:t xml:space="preserve"> of </w:t>
      </w:r>
      <w:r w:rsidRPr="00C01BDF">
        <w:rPr>
          <w:rFonts w:ascii="Times New Roman" w:hAnsi="Times New Roman" w:cs="Times New Roman"/>
          <w:i/>
          <w:lang w:val="fr-FR"/>
        </w:rPr>
        <w:t>in absent</w:t>
      </w:r>
      <w:r w:rsidRPr="00C01BDF">
        <w:rPr>
          <w:rFonts w:ascii="Times New Roman" w:hAnsi="Times New Roman" w:cs="Times New Roman"/>
          <w:i/>
        </w:rPr>
        <w:t>ia</w:t>
      </w:r>
      <w:r w:rsidRPr="00C01BDF">
        <w:rPr>
          <w:rFonts w:ascii="Times New Roman" w:hAnsi="Times New Roman" w:cs="Times New Roman"/>
        </w:rPr>
        <w:t xml:space="preserve"> proceedings by international tribunals. </w:t>
      </w:r>
      <w:r w:rsidR="009640EE" w:rsidRPr="00C01BDF">
        <w:rPr>
          <w:rFonts w:ascii="Times New Roman" w:hAnsi="Times New Roman" w:cs="Times New Roman"/>
        </w:rPr>
        <w:t xml:space="preserve">It is a lonely example, however, and the modern generation of international criminal justice institutions had entirely forsaken the idea. </w:t>
      </w:r>
      <w:r w:rsidR="006131CF">
        <w:rPr>
          <w:rFonts w:ascii="Times New Roman" w:hAnsi="Times New Roman" w:cs="Times New Roman"/>
        </w:rPr>
        <w:t xml:space="preserve">The statutes of the </w:t>
      </w:r>
      <w:r w:rsidR="006131CF">
        <w:rPr>
          <w:rFonts w:ascii="Times New Roman" w:hAnsi="Times New Roman" w:cs="Times New Roman"/>
          <w:i/>
        </w:rPr>
        <w:t xml:space="preserve">ad hoc </w:t>
      </w:r>
      <w:r w:rsidR="006131CF">
        <w:rPr>
          <w:rFonts w:ascii="Times New Roman" w:hAnsi="Times New Roman" w:cs="Times New Roman"/>
        </w:rPr>
        <w:t xml:space="preserve">tribunals for the former Yugoslavia and Rwanda skirted the issue somewhat, whereas the Rome Statute of the International Criminal Court quite simply prohibits a trial in the absence of the accused. Recent case law has held presence at trial to be not only a right of the accused but an obligation. </w:t>
      </w:r>
      <w:r w:rsidR="009640EE" w:rsidRPr="00C01BDF">
        <w:rPr>
          <w:rFonts w:ascii="Times New Roman" w:hAnsi="Times New Roman" w:cs="Times New Roman"/>
        </w:rPr>
        <w:t xml:space="preserve">Until the Lebanon Tribunal began its activities, the only </w:t>
      </w:r>
      <w:r w:rsidR="006131CF">
        <w:rPr>
          <w:rFonts w:ascii="Times New Roman" w:hAnsi="Times New Roman" w:cs="Times New Roman"/>
        </w:rPr>
        <w:t xml:space="preserve">contemporary </w:t>
      </w:r>
      <w:r w:rsidR="009640EE" w:rsidRPr="00C01BDF">
        <w:rPr>
          <w:rFonts w:ascii="Times New Roman" w:hAnsi="Times New Roman" w:cs="Times New Roman"/>
        </w:rPr>
        <w:t>institutions to apply international criminal justice in the absence of any real defendants were the moot courts so beloved of post-graduate international law students.</w:t>
      </w:r>
    </w:p>
    <w:p w14:paraId="22BFF48A" w14:textId="71DF1E5E" w:rsidR="009640EE" w:rsidRPr="00C01BDF" w:rsidRDefault="009640EE" w:rsidP="00AD7BA3">
      <w:pPr>
        <w:spacing w:line="360" w:lineRule="auto"/>
        <w:ind w:firstLine="720"/>
        <w:jc w:val="both"/>
        <w:rPr>
          <w:rFonts w:ascii="Times New Roman" w:hAnsi="Times New Roman" w:cs="Times New Roman"/>
        </w:rPr>
      </w:pPr>
      <w:r w:rsidRPr="00C01BDF">
        <w:rPr>
          <w:rFonts w:ascii="Times New Roman" w:hAnsi="Times New Roman" w:cs="Times New Roman"/>
        </w:rPr>
        <w:t xml:space="preserve">This book contains two chapters </w:t>
      </w:r>
      <w:r w:rsidR="006131CF">
        <w:rPr>
          <w:rFonts w:ascii="Times New Roman" w:hAnsi="Times New Roman" w:cs="Times New Roman"/>
        </w:rPr>
        <w:t>that address</w:t>
      </w:r>
      <w:r w:rsidRPr="00C01BDF">
        <w:rPr>
          <w:rFonts w:ascii="Times New Roman" w:hAnsi="Times New Roman" w:cs="Times New Roman"/>
        </w:rPr>
        <w:t xml:space="preserve"> the </w:t>
      </w:r>
      <w:r w:rsidRPr="00C01BDF">
        <w:rPr>
          <w:rFonts w:ascii="Times New Roman" w:hAnsi="Times New Roman" w:cs="Times New Roman"/>
          <w:i/>
        </w:rPr>
        <w:t xml:space="preserve">in absentia </w:t>
      </w:r>
      <w:r w:rsidRPr="00C01BDF">
        <w:rPr>
          <w:rFonts w:ascii="Times New Roman" w:hAnsi="Times New Roman" w:cs="Times New Roman"/>
        </w:rPr>
        <w:t xml:space="preserve">issue, both of them by academics who are known for their critical insight. The first, authored by Dov Jacobs, </w:t>
      </w:r>
      <w:r w:rsidR="006131CF">
        <w:rPr>
          <w:rFonts w:ascii="Times New Roman" w:hAnsi="Times New Roman" w:cs="Times New Roman"/>
        </w:rPr>
        <w:t>reflects on</w:t>
      </w:r>
      <w:r w:rsidRPr="00C01BDF">
        <w:rPr>
          <w:rFonts w:ascii="Times New Roman" w:hAnsi="Times New Roman" w:cs="Times New Roman"/>
        </w:rPr>
        <w:t xml:space="preserve"> the </w:t>
      </w:r>
      <w:r w:rsidR="006131CF">
        <w:rPr>
          <w:rFonts w:ascii="Times New Roman" w:hAnsi="Times New Roman" w:cs="Times New Roman"/>
        </w:rPr>
        <w:t>dynamics</w:t>
      </w:r>
      <w:r w:rsidRPr="00C01BDF">
        <w:rPr>
          <w:rFonts w:ascii="Times New Roman" w:hAnsi="Times New Roman" w:cs="Times New Roman"/>
        </w:rPr>
        <w:t xml:space="preserve"> of a tribunal with no defendants.  He questions whether ‘the current defence teams, which have been chosen, hired, and are remunerated by the STL through the Defence Office, rather than by the accused, have developed a loyalty to the institution’ (p. 117). </w:t>
      </w:r>
      <w:r w:rsidR="006131CF">
        <w:rPr>
          <w:rFonts w:ascii="Times New Roman" w:hAnsi="Times New Roman" w:cs="Times New Roman"/>
        </w:rPr>
        <w:t>At the other international criminal tribunals, in addition to contending with combative prosecution lawyers and severe judges, the defence lawyers have to manage their sometimes</w:t>
      </w:r>
      <w:r w:rsidRPr="00C01BDF">
        <w:rPr>
          <w:rFonts w:ascii="Times New Roman" w:hAnsi="Times New Roman" w:cs="Times New Roman"/>
        </w:rPr>
        <w:t xml:space="preserve"> difficult and demanding clients. </w:t>
      </w:r>
      <w:r w:rsidR="006131CF">
        <w:rPr>
          <w:rFonts w:ascii="Times New Roman" w:hAnsi="Times New Roman" w:cs="Times New Roman"/>
        </w:rPr>
        <w:t>If there is ever any hint institutional loyalty at the expense of the perceived interests of the accused</w:t>
      </w:r>
      <w:r w:rsidRPr="00C01BDF">
        <w:rPr>
          <w:rFonts w:ascii="Times New Roman" w:hAnsi="Times New Roman" w:cs="Times New Roman"/>
        </w:rPr>
        <w:t xml:space="preserve">, the </w:t>
      </w:r>
      <w:r w:rsidR="006131CF">
        <w:rPr>
          <w:rFonts w:ascii="Times New Roman" w:hAnsi="Times New Roman" w:cs="Times New Roman"/>
        </w:rPr>
        <w:t>later will</w:t>
      </w:r>
      <w:r w:rsidRPr="00C01BDF">
        <w:rPr>
          <w:rFonts w:ascii="Times New Roman" w:hAnsi="Times New Roman" w:cs="Times New Roman"/>
        </w:rPr>
        <w:t xml:space="preserve"> give </w:t>
      </w:r>
      <w:r w:rsidR="006131CF">
        <w:rPr>
          <w:rFonts w:ascii="Times New Roman" w:hAnsi="Times New Roman" w:cs="Times New Roman"/>
        </w:rPr>
        <w:t>defense counsel</w:t>
      </w:r>
      <w:r w:rsidRPr="00C01BDF">
        <w:rPr>
          <w:rFonts w:ascii="Times New Roman" w:hAnsi="Times New Roman" w:cs="Times New Roman"/>
        </w:rPr>
        <w:t xml:space="preserve"> a poke</w:t>
      </w:r>
      <w:r w:rsidR="006131CF">
        <w:rPr>
          <w:rFonts w:ascii="Times New Roman" w:hAnsi="Times New Roman" w:cs="Times New Roman"/>
        </w:rPr>
        <w:t xml:space="preserve"> in the ribs, or worse</w:t>
      </w:r>
      <w:r w:rsidRPr="00C01BDF">
        <w:rPr>
          <w:rFonts w:ascii="Times New Roman" w:hAnsi="Times New Roman" w:cs="Times New Roman"/>
        </w:rPr>
        <w:t>. There is no danger of such solicitor-client tension at the Special Tribunal for Lebanon.</w:t>
      </w:r>
    </w:p>
    <w:p w14:paraId="66F6AC7A" w14:textId="32C8174F" w:rsidR="009640EE" w:rsidRPr="00C01BDF" w:rsidRDefault="009640EE" w:rsidP="00AD7BA3">
      <w:pPr>
        <w:spacing w:line="360" w:lineRule="auto"/>
        <w:ind w:firstLine="720"/>
        <w:jc w:val="both"/>
        <w:rPr>
          <w:rFonts w:ascii="Times New Roman" w:hAnsi="Times New Roman" w:cs="Times New Roman"/>
        </w:rPr>
      </w:pPr>
      <w:r w:rsidRPr="00C01BDF">
        <w:rPr>
          <w:rFonts w:ascii="Times New Roman" w:hAnsi="Times New Roman" w:cs="Times New Roman"/>
        </w:rPr>
        <w:t xml:space="preserve">The other chapter on </w:t>
      </w:r>
      <w:r w:rsidRPr="00C01BDF">
        <w:rPr>
          <w:rFonts w:ascii="Times New Roman" w:hAnsi="Times New Roman" w:cs="Times New Roman"/>
          <w:i/>
        </w:rPr>
        <w:t xml:space="preserve">in absentia </w:t>
      </w:r>
      <w:r w:rsidRPr="00C01BDF">
        <w:rPr>
          <w:rFonts w:ascii="Times New Roman" w:hAnsi="Times New Roman" w:cs="Times New Roman"/>
        </w:rPr>
        <w:t xml:space="preserve">proceedings is by Professor Paola Gaeta. She reviews the history of the debate on the subject, going back to the beginnings of the International Criminal Tribunal for the former Yugoslavia. There was some </w:t>
      </w:r>
      <w:r w:rsidR="006131CF">
        <w:rPr>
          <w:rFonts w:ascii="Times New Roman" w:hAnsi="Times New Roman" w:cs="Times New Roman"/>
        </w:rPr>
        <w:t>unhappiness</w:t>
      </w:r>
      <w:r w:rsidRPr="00C01BDF">
        <w:rPr>
          <w:rFonts w:ascii="Times New Roman" w:hAnsi="Times New Roman" w:cs="Times New Roman"/>
        </w:rPr>
        <w:t xml:space="preserve"> </w:t>
      </w:r>
      <w:r w:rsidR="006131CF">
        <w:rPr>
          <w:rFonts w:ascii="Times New Roman" w:hAnsi="Times New Roman" w:cs="Times New Roman"/>
        </w:rPr>
        <w:t>in 1993 and 1994</w:t>
      </w:r>
      <w:r w:rsidRPr="00C01BDF">
        <w:rPr>
          <w:rFonts w:ascii="Times New Roman" w:hAnsi="Times New Roman" w:cs="Times New Roman"/>
        </w:rPr>
        <w:t xml:space="preserve">, essentially from continental jurists, that the Statute of the International Criminal Tribunal appeared to exclude any possibility of </w:t>
      </w:r>
      <w:r w:rsidRPr="00C01BDF">
        <w:rPr>
          <w:rFonts w:ascii="Times New Roman" w:hAnsi="Times New Roman" w:cs="Times New Roman"/>
          <w:i/>
        </w:rPr>
        <w:t xml:space="preserve">in absentia </w:t>
      </w:r>
      <w:r w:rsidR="006131CF">
        <w:rPr>
          <w:rFonts w:ascii="Times New Roman" w:hAnsi="Times New Roman" w:cs="Times New Roman"/>
        </w:rPr>
        <w:t>trials. Eventually, a</w:t>
      </w:r>
      <w:r w:rsidRPr="00C01BDF">
        <w:rPr>
          <w:rFonts w:ascii="Times New Roman" w:hAnsi="Times New Roman" w:cs="Times New Roman"/>
        </w:rPr>
        <w:t xml:space="preserve"> poor </w:t>
      </w:r>
      <w:r w:rsidR="006131CF">
        <w:rPr>
          <w:rFonts w:ascii="Times New Roman" w:hAnsi="Times New Roman" w:cs="Times New Roman"/>
        </w:rPr>
        <w:t xml:space="preserve">and rather ephemeral </w:t>
      </w:r>
      <w:r w:rsidRPr="00C01BDF">
        <w:rPr>
          <w:rFonts w:ascii="Times New Roman" w:hAnsi="Times New Roman" w:cs="Times New Roman"/>
        </w:rPr>
        <w:t xml:space="preserve">substitute emerged in the form of </w:t>
      </w:r>
      <w:r w:rsidRPr="00C01BDF">
        <w:rPr>
          <w:rFonts w:ascii="Times New Roman" w:hAnsi="Times New Roman" w:cs="Times New Roman"/>
          <w:i/>
        </w:rPr>
        <w:t xml:space="preserve">ex parte </w:t>
      </w:r>
      <w:r w:rsidRPr="00C01BDF">
        <w:rPr>
          <w:rFonts w:ascii="Times New Roman" w:hAnsi="Times New Roman" w:cs="Times New Roman"/>
        </w:rPr>
        <w:t>hearings to confirm an indictment</w:t>
      </w:r>
      <w:r w:rsidR="00892F4F" w:rsidRPr="00C01BDF">
        <w:rPr>
          <w:rFonts w:ascii="Times New Roman" w:hAnsi="Times New Roman" w:cs="Times New Roman"/>
        </w:rPr>
        <w:t xml:space="preserve"> pursuant to Rule 61 of the Rules of Procedure and Evidence</w:t>
      </w:r>
      <w:r w:rsidRPr="00C01BDF">
        <w:rPr>
          <w:rFonts w:ascii="Times New Roman" w:hAnsi="Times New Roman" w:cs="Times New Roman"/>
        </w:rPr>
        <w:t>.</w:t>
      </w:r>
      <w:r w:rsidR="00892F4F" w:rsidRPr="00C01BDF">
        <w:rPr>
          <w:rFonts w:ascii="Times New Roman" w:hAnsi="Times New Roman" w:cs="Times New Roman"/>
        </w:rPr>
        <w:t xml:space="preserve"> Paola Gaeta, a protégée of Antonio Cassese, has her own insider knowledge about this debate </w:t>
      </w:r>
      <w:r w:rsidR="006131CF">
        <w:rPr>
          <w:rFonts w:ascii="Times New Roman" w:hAnsi="Times New Roman" w:cs="Times New Roman"/>
        </w:rPr>
        <w:t>that</w:t>
      </w:r>
      <w:r w:rsidR="00892F4F" w:rsidRPr="00C01BDF">
        <w:rPr>
          <w:rFonts w:ascii="Times New Roman" w:hAnsi="Times New Roman" w:cs="Times New Roman"/>
        </w:rPr>
        <w:t xml:space="preserve"> is reflected in her comments on the Lebanon Tribunal. She reports on discussions in the plenary of judges, citing a ‘Memorandum on trials by default’ that President Cassese submitted to his colleagues. The footnote cites ‘Personal Notes on Debates’ of Judge Cassese, with the indication that these are ‘on file with author’.</w:t>
      </w:r>
    </w:p>
    <w:p w14:paraId="52F73337" w14:textId="1E9FE183" w:rsidR="00892F4F" w:rsidRPr="00C01BDF" w:rsidRDefault="00892F4F" w:rsidP="00AD7BA3">
      <w:pPr>
        <w:spacing w:line="360" w:lineRule="auto"/>
        <w:ind w:firstLine="720"/>
        <w:jc w:val="both"/>
        <w:rPr>
          <w:rFonts w:ascii="Times New Roman" w:hAnsi="Times New Roman" w:cs="Times New Roman"/>
        </w:rPr>
      </w:pPr>
      <w:r w:rsidRPr="00C01BDF">
        <w:rPr>
          <w:rFonts w:ascii="Times New Roman" w:hAnsi="Times New Roman" w:cs="Times New Roman"/>
        </w:rPr>
        <w:t xml:space="preserve">Because its procedural regime is much more closely aligned with the Romano-Germanic model than that of the other </w:t>
      </w:r>
      <w:r w:rsidRPr="00C01BDF">
        <w:rPr>
          <w:rFonts w:ascii="Times New Roman" w:hAnsi="Times New Roman" w:cs="Times New Roman"/>
          <w:i/>
        </w:rPr>
        <w:t xml:space="preserve">ad hoc </w:t>
      </w:r>
      <w:r w:rsidRPr="00C01BDF">
        <w:rPr>
          <w:rFonts w:ascii="Times New Roman" w:hAnsi="Times New Roman" w:cs="Times New Roman"/>
        </w:rPr>
        <w:t xml:space="preserve">tribunals, the Special Tribunal for Lebanon accords a large place for </w:t>
      </w:r>
      <w:r w:rsidR="00325EBD">
        <w:rPr>
          <w:rFonts w:ascii="Times New Roman" w:hAnsi="Times New Roman" w:cs="Times New Roman"/>
        </w:rPr>
        <w:t xml:space="preserve">the participation of </w:t>
      </w:r>
      <w:r w:rsidRPr="00C01BDF">
        <w:rPr>
          <w:rFonts w:ascii="Times New Roman" w:hAnsi="Times New Roman" w:cs="Times New Roman"/>
        </w:rPr>
        <w:t xml:space="preserve">victims. This is entirely missing in the statutes of the other institutions, with the notable exception of the International Criminal Court. The chapter on victim participation is written by Emma Pountney </w:t>
      </w:r>
      <w:r w:rsidR="00325EBD">
        <w:rPr>
          <w:rFonts w:ascii="Times New Roman" w:hAnsi="Times New Roman" w:cs="Times New Roman"/>
        </w:rPr>
        <w:t>together with</w:t>
      </w:r>
      <w:r w:rsidRPr="00C01BDF">
        <w:rPr>
          <w:rFonts w:ascii="Times New Roman" w:hAnsi="Times New Roman" w:cs="Times New Roman"/>
        </w:rPr>
        <w:t xml:space="preserve"> Howard Morrison, who </w:t>
      </w:r>
      <w:r w:rsidR="00325EBD">
        <w:rPr>
          <w:rFonts w:ascii="Times New Roman" w:hAnsi="Times New Roman" w:cs="Times New Roman"/>
        </w:rPr>
        <w:t>continues to serve</w:t>
      </w:r>
      <w:r w:rsidRPr="00C01BDF">
        <w:rPr>
          <w:rFonts w:ascii="Times New Roman" w:hAnsi="Times New Roman" w:cs="Times New Roman"/>
        </w:rPr>
        <w:t xml:space="preserve"> simultaneously as a judge at the International Criminal Tribunal for the former Yugoslavia and the International Criminal Court.</w:t>
      </w:r>
    </w:p>
    <w:p w14:paraId="1F90032D" w14:textId="098AC1F5" w:rsidR="00892F4F" w:rsidRPr="00C01BDF" w:rsidRDefault="00892F4F" w:rsidP="00AD7BA3">
      <w:pPr>
        <w:spacing w:line="360" w:lineRule="auto"/>
        <w:ind w:firstLine="720"/>
        <w:jc w:val="both"/>
        <w:rPr>
          <w:rFonts w:ascii="Times New Roman" w:hAnsi="Times New Roman" w:cs="Times New Roman"/>
        </w:rPr>
      </w:pPr>
      <w:r w:rsidRPr="00C01BDF">
        <w:rPr>
          <w:rFonts w:ascii="Times New Roman" w:hAnsi="Times New Roman" w:cs="Times New Roman"/>
        </w:rPr>
        <w:t>Ama</w:t>
      </w:r>
      <w:r w:rsidR="00325EBD">
        <w:rPr>
          <w:rFonts w:ascii="Times New Roman" w:hAnsi="Times New Roman" w:cs="Times New Roman"/>
        </w:rPr>
        <w:t>l Alamuddin and Anna Bonini</w:t>
      </w:r>
      <w:r w:rsidRPr="00C01BDF">
        <w:rPr>
          <w:rFonts w:ascii="Times New Roman" w:hAnsi="Times New Roman" w:cs="Times New Roman"/>
        </w:rPr>
        <w:t xml:space="preserve"> write about the United Nations investigation of the Hariri assassination that eventually led to the establishment of the S</w:t>
      </w:r>
      <w:r w:rsidR="00325EBD">
        <w:rPr>
          <w:rFonts w:ascii="Times New Roman" w:hAnsi="Times New Roman" w:cs="Times New Roman"/>
        </w:rPr>
        <w:t>pecial Tribunal for Lebanon.</w:t>
      </w:r>
      <w:r w:rsidRPr="00C01BDF">
        <w:rPr>
          <w:rFonts w:ascii="Times New Roman" w:hAnsi="Times New Roman" w:cs="Times New Roman"/>
        </w:rPr>
        <w:t xml:space="preserve"> John Jones and Misa</w:t>
      </w:r>
      <w:r w:rsidR="00325EBD">
        <w:rPr>
          <w:rFonts w:ascii="Times New Roman" w:hAnsi="Times New Roman" w:cs="Times New Roman"/>
        </w:rPr>
        <w:t xml:space="preserve"> Sgonec-Rozej</w:t>
      </w:r>
      <w:r w:rsidRPr="00C01BDF">
        <w:rPr>
          <w:rFonts w:ascii="Times New Roman" w:hAnsi="Times New Roman" w:cs="Times New Roman"/>
        </w:rPr>
        <w:t xml:space="preserve"> discuss the rights of suspects and the accused, as well as the role of the defence. John Jones is counsel for one of the defendants at the Tribunal.</w:t>
      </w:r>
      <w:r w:rsidR="00325EBD">
        <w:rPr>
          <w:rFonts w:ascii="Times New Roman" w:hAnsi="Times New Roman" w:cs="Times New Roman"/>
        </w:rPr>
        <w:t xml:space="preserve"> There is a stimulating introductory chapter by David Tolbert, a greatly experienced professional of international criminal law who now directs the International Centre for Transitional Justice.</w:t>
      </w:r>
    </w:p>
    <w:p w14:paraId="233842E1" w14:textId="77777777" w:rsidR="00325EBD" w:rsidRDefault="00BC1F77" w:rsidP="00AD7BA3">
      <w:pPr>
        <w:spacing w:line="360" w:lineRule="auto"/>
        <w:ind w:firstLine="720"/>
        <w:jc w:val="both"/>
        <w:rPr>
          <w:rFonts w:ascii="Times New Roman" w:hAnsi="Times New Roman" w:cs="Times New Roman"/>
        </w:rPr>
      </w:pPr>
      <w:r w:rsidRPr="00C01BDF">
        <w:rPr>
          <w:rFonts w:ascii="Times New Roman" w:hAnsi="Times New Roman" w:cs="Times New Roman"/>
        </w:rPr>
        <w:t xml:space="preserve">The concluding chapter, on the legacy of the Tribunal, is authored by </w:t>
      </w:r>
      <w:r w:rsidR="00325EBD">
        <w:rPr>
          <w:rFonts w:ascii="Times New Roman" w:hAnsi="Times New Roman" w:cs="Times New Roman"/>
        </w:rPr>
        <w:t xml:space="preserve">Professor </w:t>
      </w:r>
      <w:r w:rsidR="005E75AC" w:rsidRPr="00C01BDF">
        <w:rPr>
          <w:rFonts w:ascii="Times New Roman" w:hAnsi="Times New Roman" w:cs="Times New Roman"/>
        </w:rPr>
        <w:t xml:space="preserve">Harmen van der Wilt. </w:t>
      </w:r>
      <w:r w:rsidRPr="00C01BDF">
        <w:rPr>
          <w:rFonts w:ascii="Times New Roman" w:hAnsi="Times New Roman" w:cs="Times New Roman"/>
        </w:rPr>
        <w:t xml:space="preserve">He </w:t>
      </w:r>
      <w:r w:rsidR="00325EBD">
        <w:rPr>
          <w:rFonts w:ascii="Times New Roman" w:hAnsi="Times New Roman" w:cs="Times New Roman"/>
        </w:rPr>
        <w:t>speaks</w:t>
      </w:r>
      <w:r w:rsidRPr="00C01BDF">
        <w:rPr>
          <w:rFonts w:ascii="Times New Roman" w:hAnsi="Times New Roman" w:cs="Times New Roman"/>
        </w:rPr>
        <w:t xml:space="preserve"> to the ‘legal legacy’ of the Tribunal, </w:t>
      </w:r>
      <w:r w:rsidR="00325EBD">
        <w:rPr>
          <w:rFonts w:ascii="Times New Roman" w:hAnsi="Times New Roman" w:cs="Times New Roman"/>
        </w:rPr>
        <w:t>finding this in</w:t>
      </w:r>
      <w:r w:rsidRPr="00C01BDF">
        <w:rPr>
          <w:rFonts w:ascii="Times New Roman" w:hAnsi="Times New Roman" w:cs="Times New Roman"/>
        </w:rPr>
        <w:t xml:space="preserve"> its definition of terrorism. Although the Statute confines the Tribunal to Lebanese law, in </w:t>
      </w:r>
      <w:r w:rsidR="00325EBD">
        <w:rPr>
          <w:rFonts w:ascii="Times New Roman" w:hAnsi="Times New Roman" w:cs="Times New Roman"/>
        </w:rPr>
        <w:t>reality</w:t>
      </w:r>
      <w:r w:rsidRPr="00C01BDF">
        <w:rPr>
          <w:rFonts w:ascii="Times New Roman" w:hAnsi="Times New Roman" w:cs="Times New Roman"/>
        </w:rPr>
        <w:t xml:space="preserve"> it has become the international </w:t>
      </w:r>
      <w:r w:rsidR="00325EBD">
        <w:rPr>
          <w:rFonts w:ascii="Times New Roman" w:hAnsi="Times New Roman" w:cs="Times New Roman"/>
        </w:rPr>
        <w:t>criminal</w:t>
      </w:r>
      <w:r w:rsidRPr="00C01BDF">
        <w:rPr>
          <w:rFonts w:ascii="Times New Roman" w:hAnsi="Times New Roman" w:cs="Times New Roman"/>
        </w:rPr>
        <w:t xml:space="preserve"> tribunal</w:t>
      </w:r>
      <w:r w:rsidR="00325EBD">
        <w:rPr>
          <w:rFonts w:ascii="Times New Roman" w:hAnsi="Times New Roman" w:cs="Times New Roman"/>
        </w:rPr>
        <w:t xml:space="preserve"> for the crime of terrorism. Perhaps the tes</w:t>
      </w:r>
      <w:r w:rsidRPr="00C01BDF">
        <w:rPr>
          <w:rFonts w:ascii="Times New Roman" w:hAnsi="Times New Roman" w:cs="Times New Roman"/>
        </w:rPr>
        <w:t xml:space="preserve">t of its effectiveness will be whether legal development at </w:t>
      </w:r>
      <w:r w:rsidR="005E75AC" w:rsidRPr="00C01BDF">
        <w:rPr>
          <w:rFonts w:ascii="Times New Roman" w:hAnsi="Times New Roman" w:cs="Times New Roman"/>
        </w:rPr>
        <w:t>the Special Tribunal for Lebanon</w:t>
      </w:r>
      <w:r w:rsidRPr="00C01BDF">
        <w:rPr>
          <w:rFonts w:ascii="Times New Roman" w:hAnsi="Times New Roman" w:cs="Times New Roman"/>
        </w:rPr>
        <w:t xml:space="preserve"> can contribute to an enlargement of the list of core crimes at the International Criminal Court. </w:t>
      </w:r>
      <w:r w:rsidR="00325EBD">
        <w:rPr>
          <w:rFonts w:ascii="Times New Roman" w:hAnsi="Times New Roman" w:cs="Times New Roman"/>
        </w:rPr>
        <w:t>Terrorism made the short list at the Rome Conference but did not find its way into the final version of the Statute. A revived attempt prior to the 2010 Kampala Conference had to be abandoned in the absence of sufficient consensus.</w:t>
      </w:r>
    </w:p>
    <w:p w14:paraId="1140C73D" w14:textId="67719B44" w:rsidR="00844F8D" w:rsidRDefault="00BC1F77" w:rsidP="00AD7BA3">
      <w:pPr>
        <w:spacing w:line="360" w:lineRule="auto"/>
        <w:ind w:firstLine="720"/>
        <w:jc w:val="both"/>
        <w:rPr>
          <w:rFonts w:ascii="Times New Roman" w:hAnsi="Times New Roman" w:cs="Times New Roman"/>
        </w:rPr>
      </w:pPr>
      <w:r w:rsidRPr="00C01BDF">
        <w:rPr>
          <w:rFonts w:ascii="Times New Roman" w:hAnsi="Times New Roman" w:cs="Times New Roman"/>
        </w:rPr>
        <w:t xml:space="preserve">But </w:t>
      </w:r>
      <w:r w:rsidR="00325EBD">
        <w:rPr>
          <w:rFonts w:ascii="Times New Roman" w:hAnsi="Times New Roman" w:cs="Times New Roman"/>
        </w:rPr>
        <w:t xml:space="preserve">Professor </w:t>
      </w:r>
      <w:r w:rsidRPr="00C01BDF">
        <w:rPr>
          <w:rFonts w:ascii="Times New Roman" w:hAnsi="Times New Roman" w:cs="Times New Roman"/>
        </w:rPr>
        <w:t xml:space="preserve">van der Wilt is also concerned about the broader historical and social context in which the </w:t>
      </w:r>
      <w:r w:rsidR="00325EBD">
        <w:rPr>
          <w:rFonts w:ascii="Times New Roman" w:hAnsi="Times New Roman" w:cs="Times New Roman"/>
        </w:rPr>
        <w:t>Special Tribunal for Lebanon</w:t>
      </w:r>
      <w:r w:rsidRPr="00C01BDF">
        <w:rPr>
          <w:rFonts w:ascii="Times New Roman" w:hAnsi="Times New Roman" w:cs="Times New Roman"/>
        </w:rPr>
        <w:t xml:space="preserve"> operates. He </w:t>
      </w:r>
      <w:r w:rsidR="00325EBD">
        <w:rPr>
          <w:rFonts w:ascii="Times New Roman" w:hAnsi="Times New Roman" w:cs="Times New Roman"/>
        </w:rPr>
        <w:t>invokes</w:t>
      </w:r>
      <w:r w:rsidRPr="00C01BDF">
        <w:rPr>
          <w:rFonts w:ascii="Times New Roman" w:hAnsi="Times New Roman" w:cs="Times New Roman"/>
        </w:rPr>
        <w:t xml:space="preserve"> some of the celebrated writers who have reflected upon </w:t>
      </w:r>
      <w:r w:rsidR="00325EBD">
        <w:rPr>
          <w:rFonts w:ascii="Times New Roman" w:hAnsi="Times New Roman" w:cs="Times New Roman"/>
        </w:rPr>
        <w:t xml:space="preserve">the impact of </w:t>
      </w:r>
      <w:r w:rsidRPr="00C01BDF">
        <w:rPr>
          <w:rFonts w:ascii="Times New Roman" w:hAnsi="Times New Roman" w:cs="Times New Roman"/>
        </w:rPr>
        <w:t>international justice</w:t>
      </w:r>
      <w:r w:rsidR="00325EBD">
        <w:rPr>
          <w:rFonts w:ascii="Times New Roman" w:hAnsi="Times New Roman" w:cs="Times New Roman"/>
        </w:rPr>
        <w:t>m</w:t>
      </w:r>
      <w:r w:rsidRPr="00C01BDF">
        <w:rPr>
          <w:rFonts w:ascii="Times New Roman" w:hAnsi="Times New Roman" w:cs="Times New Roman"/>
        </w:rPr>
        <w:t xml:space="preserve"> like Hannah Arendt and, much more recently, Lawrence Douglas.  Here, the greatest </w:t>
      </w:r>
      <w:r w:rsidR="00325EBD">
        <w:rPr>
          <w:rFonts w:ascii="Times New Roman" w:hAnsi="Times New Roman" w:cs="Times New Roman"/>
        </w:rPr>
        <w:t>threat</w:t>
      </w:r>
      <w:r w:rsidRPr="00C01BDF">
        <w:rPr>
          <w:rFonts w:ascii="Times New Roman" w:hAnsi="Times New Roman" w:cs="Times New Roman"/>
        </w:rPr>
        <w:t xml:space="preserve"> to the Tribunal’s legacy is the changing reality </w:t>
      </w:r>
      <w:r w:rsidR="00325EBD">
        <w:rPr>
          <w:rFonts w:ascii="Times New Roman" w:hAnsi="Times New Roman" w:cs="Times New Roman"/>
        </w:rPr>
        <w:t>in</w:t>
      </w:r>
      <w:r w:rsidRPr="00C01BDF">
        <w:rPr>
          <w:rFonts w:ascii="Times New Roman" w:hAnsi="Times New Roman" w:cs="Times New Roman"/>
        </w:rPr>
        <w:t xml:space="preserve"> the region</w:t>
      </w:r>
      <w:r w:rsidR="00325EBD">
        <w:rPr>
          <w:rFonts w:ascii="Times New Roman" w:hAnsi="Times New Roman" w:cs="Times New Roman"/>
        </w:rPr>
        <w:t xml:space="preserve"> itself</w:t>
      </w:r>
      <w:r w:rsidRPr="00C01BDF">
        <w:rPr>
          <w:rFonts w:ascii="Times New Roman" w:hAnsi="Times New Roman" w:cs="Times New Roman"/>
        </w:rPr>
        <w:t xml:space="preserve">. </w:t>
      </w:r>
      <w:r w:rsidR="00325EBD">
        <w:rPr>
          <w:rFonts w:ascii="Times New Roman" w:hAnsi="Times New Roman" w:cs="Times New Roman"/>
        </w:rPr>
        <w:t>Viewed a</w:t>
      </w:r>
      <w:r w:rsidRPr="00C01BDF">
        <w:rPr>
          <w:rFonts w:ascii="Times New Roman" w:hAnsi="Times New Roman" w:cs="Times New Roman"/>
        </w:rPr>
        <w:t xml:space="preserve"> decade after the Hariri assassination, </w:t>
      </w:r>
      <w:r w:rsidR="00325EBD">
        <w:rPr>
          <w:rFonts w:ascii="Times New Roman" w:hAnsi="Times New Roman" w:cs="Times New Roman"/>
        </w:rPr>
        <w:t>Lebanon seems to be in</w:t>
      </w:r>
      <w:r w:rsidRPr="00C01BDF">
        <w:rPr>
          <w:rFonts w:ascii="Times New Roman" w:hAnsi="Times New Roman" w:cs="Times New Roman"/>
        </w:rPr>
        <w:t xml:space="preserve"> a very</w:t>
      </w:r>
      <w:r w:rsidR="00325EBD">
        <w:rPr>
          <w:rFonts w:ascii="Times New Roman" w:hAnsi="Times New Roman" w:cs="Times New Roman"/>
        </w:rPr>
        <w:t xml:space="preserve"> different place. Even if</w:t>
      </w:r>
      <w:r w:rsidRPr="00C01BDF">
        <w:rPr>
          <w:rFonts w:ascii="Times New Roman" w:hAnsi="Times New Roman" w:cs="Times New Roman"/>
        </w:rPr>
        <w:t xml:space="preserve"> Lebanon remains relatively stable, it is surrounded by </w:t>
      </w:r>
      <w:r w:rsidR="00325EBD">
        <w:rPr>
          <w:rFonts w:ascii="Times New Roman" w:hAnsi="Times New Roman" w:cs="Times New Roman"/>
        </w:rPr>
        <w:t xml:space="preserve">frightening </w:t>
      </w:r>
      <w:r w:rsidRPr="00C01BDF">
        <w:rPr>
          <w:rFonts w:ascii="Times New Roman" w:hAnsi="Times New Roman" w:cs="Times New Roman"/>
        </w:rPr>
        <w:t xml:space="preserve">uncertainty. </w:t>
      </w:r>
      <w:r w:rsidR="00325EBD">
        <w:rPr>
          <w:rFonts w:ascii="Times New Roman" w:hAnsi="Times New Roman" w:cs="Times New Roman"/>
        </w:rPr>
        <w:t>Even if</w:t>
      </w:r>
      <w:r w:rsidRPr="00C01BDF">
        <w:rPr>
          <w:rFonts w:ascii="Times New Roman" w:hAnsi="Times New Roman" w:cs="Times New Roman"/>
        </w:rPr>
        <w:t xml:space="preserve"> the Special Tribunal for Lebanon </w:t>
      </w:r>
      <w:r w:rsidR="00325EBD">
        <w:rPr>
          <w:rFonts w:ascii="Times New Roman" w:hAnsi="Times New Roman" w:cs="Times New Roman"/>
        </w:rPr>
        <w:t>had the potential to</w:t>
      </w:r>
      <w:r w:rsidRPr="00C01BDF">
        <w:rPr>
          <w:rFonts w:ascii="Times New Roman" w:hAnsi="Times New Roman" w:cs="Times New Roman"/>
        </w:rPr>
        <w:t xml:space="preserve"> made a contribution to peace when it was first conceived, </w:t>
      </w:r>
      <w:r w:rsidR="00325EBD">
        <w:rPr>
          <w:rFonts w:ascii="Times New Roman" w:hAnsi="Times New Roman" w:cs="Times New Roman"/>
        </w:rPr>
        <w:t xml:space="preserve">and in its early years, what the map of the region will </w:t>
      </w:r>
      <w:r w:rsidRPr="00C01BDF">
        <w:rPr>
          <w:rFonts w:ascii="Times New Roman" w:hAnsi="Times New Roman" w:cs="Times New Roman"/>
        </w:rPr>
        <w:t>look like when it</w:t>
      </w:r>
      <w:r w:rsidR="008F43BB" w:rsidRPr="00C01BDF">
        <w:rPr>
          <w:rFonts w:ascii="Times New Roman" w:hAnsi="Times New Roman" w:cs="Times New Roman"/>
        </w:rPr>
        <w:t xml:space="preserve"> finally renders its judgments</w:t>
      </w:r>
      <w:r w:rsidR="00325EBD">
        <w:rPr>
          <w:rFonts w:ascii="Times New Roman" w:hAnsi="Times New Roman" w:cs="Times New Roman"/>
        </w:rPr>
        <w:t xml:space="preserve"> is anyone’s guess</w:t>
      </w:r>
      <w:r w:rsidR="008F43BB" w:rsidRPr="00C01BDF">
        <w:rPr>
          <w:rFonts w:ascii="Times New Roman" w:hAnsi="Times New Roman" w:cs="Times New Roman"/>
        </w:rPr>
        <w:t xml:space="preserve">. That moment in time is </w:t>
      </w:r>
      <w:r w:rsidRPr="00C01BDF">
        <w:rPr>
          <w:rFonts w:ascii="Times New Roman" w:hAnsi="Times New Roman" w:cs="Times New Roman"/>
        </w:rPr>
        <w:t>still several years away</w:t>
      </w:r>
      <w:r w:rsidR="008F43BB" w:rsidRPr="00C01BDF">
        <w:rPr>
          <w:rFonts w:ascii="Times New Roman" w:hAnsi="Times New Roman" w:cs="Times New Roman"/>
        </w:rPr>
        <w:t xml:space="preserve">, given the </w:t>
      </w:r>
      <w:r w:rsidR="00325EBD">
        <w:rPr>
          <w:rFonts w:ascii="Times New Roman" w:hAnsi="Times New Roman" w:cs="Times New Roman"/>
        </w:rPr>
        <w:t xml:space="preserve">lethargic </w:t>
      </w:r>
      <w:r w:rsidR="008F43BB" w:rsidRPr="00C01BDF">
        <w:rPr>
          <w:rFonts w:ascii="Times New Roman" w:hAnsi="Times New Roman" w:cs="Times New Roman"/>
        </w:rPr>
        <w:t xml:space="preserve">pace of international justice and the virtually inevitability that appeals </w:t>
      </w:r>
      <w:r w:rsidR="00325EBD">
        <w:rPr>
          <w:rFonts w:ascii="Times New Roman" w:hAnsi="Times New Roman" w:cs="Times New Roman"/>
        </w:rPr>
        <w:t xml:space="preserve">of the trial </w:t>
      </w:r>
      <w:r w:rsidR="007B4B7E">
        <w:rPr>
          <w:rFonts w:ascii="Times New Roman" w:hAnsi="Times New Roman" w:cs="Times New Roman"/>
        </w:rPr>
        <w:t xml:space="preserve">judgment will be </w:t>
      </w:r>
      <w:r w:rsidR="008F43BB" w:rsidRPr="00C01BDF">
        <w:rPr>
          <w:rFonts w:ascii="Times New Roman" w:hAnsi="Times New Roman" w:cs="Times New Roman"/>
        </w:rPr>
        <w:t>filed by both the Prosecutor and the phantom defendants</w:t>
      </w:r>
      <w:r w:rsidRPr="00C01BDF">
        <w:rPr>
          <w:rFonts w:ascii="Times New Roman" w:hAnsi="Times New Roman" w:cs="Times New Roman"/>
        </w:rPr>
        <w:t>.</w:t>
      </w:r>
    </w:p>
    <w:p w14:paraId="7258FA4F" w14:textId="77777777" w:rsidR="00A53982" w:rsidRDefault="00A53982" w:rsidP="00A53982">
      <w:pPr>
        <w:spacing w:line="360" w:lineRule="auto"/>
        <w:jc w:val="both"/>
        <w:rPr>
          <w:rFonts w:ascii="Times New Roman" w:hAnsi="Times New Roman" w:cs="Times New Roman"/>
        </w:rPr>
      </w:pPr>
    </w:p>
    <w:p w14:paraId="5A87AD05" w14:textId="4A8A34F9" w:rsidR="00A53982" w:rsidRDefault="00A53982" w:rsidP="00A53982">
      <w:pPr>
        <w:spacing w:line="360" w:lineRule="auto"/>
        <w:jc w:val="both"/>
        <w:rPr>
          <w:rFonts w:ascii="Times New Roman" w:hAnsi="Times New Roman" w:cs="Times New Roman"/>
        </w:rPr>
      </w:pPr>
      <w:r>
        <w:rPr>
          <w:rFonts w:ascii="Times New Roman" w:hAnsi="Times New Roman" w:cs="Times New Roman"/>
        </w:rPr>
        <w:t>William Schabas</w:t>
      </w:r>
    </w:p>
    <w:p w14:paraId="220590A1" w14:textId="499109FD" w:rsidR="00A53982" w:rsidRDefault="00A53982" w:rsidP="00A53982">
      <w:pPr>
        <w:spacing w:line="360" w:lineRule="auto"/>
        <w:jc w:val="both"/>
        <w:rPr>
          <w:rFonts w:ascii="Times New Roman" w:hAnsi="Times New Roman" w:cs="Times New Roman"/>
        </w:rPr>
      </w:pPr>
      <w:r>
        <w:rPr>
          <w:rFonts w:ascii="Times New Roman" w:hAnsi="Times New Roman" w:cs="Times New Roman"/>
        </w:rPr>
        <w:t>Professor of international law, Middlesex University London</w:t>
      </w:r>
    </w:p>
    <w:p w14:paraId="331F0F0C" w14:textId="5C390573" w:rsidR="00A53982" w:rsidRPr="00C01BDF" w:rsidRDefault="00A53982" w:rsidP="00A53982">
      <w:pPr>
        <w:spacing w:line="360" w:lineRule="auto"/>
        <w:jc w:val="both"/>
        <w:rPr>
          <w:rFonts w:ascii="Times New Roman" w:hAnsi="Times New Roman" w:cs="Times New Roman"/>
        </w:rPr>
      </w:pPr>
      <w:r>
        <w:rPr>
          <w:rFonts w:ascii="Times New Roman" w:hAnsi="Times New Roman" w:cs="Times New Roman"/>
        </w:rPr>
        <w:t>Professor of international criminal law and human rights, Lieden University</w:t>
      </w:r>
    </w:p>
    <w:sectPr w:rsidR="00A53982" w:rsidRPr="00C01BDF" w:rsidSect="00EC2CC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76E69" w14:textId="77777777" w:rsidR="003764CA" w:rsidRDefault="003764CA" w:rsidP="00AD7BA3">
      <w:r>
        <w:separator/>
      </w:r>
    </w:p>
  </w:endnote>
  <w:endnote w:type="continuationSeparator" w:id="0">
    <w:p w14:paraId="10773036" w14:textId="77777777" w:rsidR="003764CA" w:rsidRDefault="003764CA" w:rsidP="00AD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10E16" w14:textId="77777777" w:rsidR="003764CA" w:rsidRDefault="003764CA" w:rsidP="00AD7BA3">
      <w:r>
        <w:separator/>
      </w:r>
    </w:p>
  </w:footnote>
  <w:footnote w:type="continuationSeparator" w:id="0">
    <w:p w14:paraId="6495ADA8" w14:textId="77777777" w:rsidR="003764CA" w:rsidRDefault="003764CA" w:rsidP="00AD7BA3">
      <w:r>
        <w:continuationSeparator/>
      </w:r>
    </w:p>
  </w:footnote>
  <w:footnote w:id="1">
    <w:p w14:paraId="3EF820E6" w14:textId="77777777" w:rsidR="00325EBD" w:rsidRPr="00AD7BA3" w:rsidRDefault="00325EBD" w:rsidP="006131CF">
      <w:pPr>
        <w:pStyle w:val="FootnoteText"/>
        <w:jc w:val="both"/>
        <w:rPr>
          <w:sz w:val="20"/>
          <w:szCs w:val="20"/>
          <w:lang w:val="fr-FR"/>
        </w:rPr>
      </w:pPr>
      <w:r w:rsidRPr="00AD7BA3">
        <w:rPr>
          <w:rStyle w:val="FootnoteReference"/>
          <w:sz w:val="20"/>
          <w:szCs w:val="20"/>
        </w:rPr>
        <w:footnoteRef/>
      </w:r>
      <w:r w:rsidRPr="00AD7BA3">
        <w:rPr>
          <w:sz w:val="20"/>
          <w:szCs w:val="20"/>
        </w:rPr>
        <w:t xml:space="preserve"> </w:t>
      </w:r>
      <w:r w:rsidRPr="00AD7BA3">
        <w:rPr>
          <w:rFonts w:ascii="Times" w:hAnsi="Times" w:cs="Times"/>
          <w:sz w:val="20"/>
          <w:szCs w:val="20"/>
          <w:lang w:val="en-US"/>
        </w:rPr>
        <w:t xml:space="preserve">Statement by Mr. Nicolas Michel, Under-Secretary-General for Legal Affairs, the Legal Counsel, at the informal consultations held by the Security Council on 20 November 2006, </w:t>
      </w:r>
      <w:r w:rsidRPr="00AD7BA3">
        <w:rPr>
          <w:rFonts w:ascii="Times New Roman" w:hAnsi="Times New Roman" w:cs="Times New Roman"/>
          <w:sz w:val="20"/>
          <w:szCs w:val="20"/>
        </w:rPr>
        <w:t>UN Doc. S/2006/893/Add.1.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2C"/>
    <w:rsid w:val="001605FF"/>
    <w:rsid w:val="0016760D"/>
    <w:rsid w:val="002C3FE7"/>
    <w:rsid w:val="00325EBD"/>
    <w:rsid w:val="003764CA"/>
    <w:rsid w:val="003D1148"/>
    <w:rsid w:val="004B17D1"/>
    <w:rsid w:val="00597EA9"/>
    <w:rsid w:val="005E75AC"/>
    <w:rsid w:val="006131CF"/>
    <w:rsid w:val="0075146E"/>
    <w:rsid w:val="007B4B7E"/>
    <w:rsid w:val="007C782C"/>
    <w:rsid w:val="007F280B"/>
    <w:rsid w:val="00844F8D"/>
    <w:rsid w:val="00892F4F"/>
    <w:rsid w:val="008F43BB"/>
    <w:rsid w:val="009640EE"/>
    <w:rsid w:val="009E1FB7"/>
    <w:rsid w:val="00A45610"/>
    <w:rsid w:val="00A53982"/>
    <w:rsid w:val="00AD7BA3"/>
    <w:rsid w:val="00BC1F77"/>
    <w:rsid w:val="00C01BDF"/>
    <w:rsid w:val="00CC59A4"/>
    <w:rsid w:val="00D85DC2"/>
    <w:rsid w:val="00D9360D"/>
    <w:rsid w:val="00E8412E"/>
    <w:rsid w:val="00EC2CCC"/>
    <w:rsid w:val="00ED75EE"/>
    <w:rsid w:val="00F87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7568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7BA3"/>
  </w:style>
  <w:style w:type="character" w:customStyle="1" w:styleId="FootnoteTextChar">
    <w:name w:val="Footnote Text Char"/>
    <w:basedOn w:val="DefaultParagraphFont"/>
    <w:link w:val="FootnoteText"/>
    <w:uiPriority w:val="99"/>
    <w:rsid w:val="00AD7BA3"/>
  </w:style>
  <w:style w:type="character" w:styleId="FootnoteReference">
    <w:name w:val="footnote reference"/>
    <w:basedOn w:val="DefaultParagraphFont"/>
    <w:uiPriority w:val="99"/>
    <w:unhideWhenUsed/>
    <w:rsid w:val="00AD7B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9411</Characters>
  <Application>Microsoft Macintosh Word</Application>
  <DocSecurity>0</DocSecurity>
  <Lines>78</Lines>
  <Paragraphs>22</Paragraphs>
  <ScaleCrop>false</ScaleCrop>
  <Company>Middlesex University</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Schabas</dc:creator>
  <cp:keywords/>
  <dc:description/>
  <cp:lastModifiedBy>William Schabas</cp:lastModifiedBy>
  <cp:revision>2</cp:revision>
  <dcterms:created xsi:type="dcterms:W3CDTF">2016-09-23T09:56:00Z</dcterms:created>
  <dcterms:modified xsi:type="dcterms:W3CDTF">2016-09-23T09:56:00Z</dcterms:modified>
</cp:coreProperties>
</file>