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BE" w:rsidRPr="00DE44E3" w:rsidRDefault="00075DBE" w:rsidP="00DE44E3">
      <w:pPr>
        <w:pBdr>
          <w:top w:val="single" w:sz="4" w:space="1" w:color="auto"/>
        </w:pBdr>
        <w:spacing w:line="480" w:lineRule="auto"/>
        <w:rPr>
          <w:rFonts w:ascii="Times New Roman" w:hAnsi="Times New Roman"/>
          <w:b/>
          <w:sz w:val="32"/>
          <w:szCs w:val="24"/>
        </w:rPr>
      </w:pPr>
      <w:bookmarkStart w:id="0" w:name="_GoBack"/>
      <w:bookmarkEnd w:id="0"/>
      <w:r w:rsidRPr="00DE44E3">
        <w:rPr>
          <w:rFonts w:ascii="Times New Roman" w:hAnsi="Times New Roman"/>
          <w:sz w:val="32"/>
          <w:szCs w:val="24"/>
        </w:rPr>
        <w:t xml:space="preserve">&lt;CN&gt;8.&lt;EM&gt;&lt;CT&gt;The role of </w:t>
      </w:r>
      <w:smartTag w:uri="urn:schemas-microsoft-com:office:smarttags" w:element="country-region">
        <w:smartTag w:uri="urn:schemas-microsoft-com:office:smarttags" w:element="place">
          <w:r w:rsidRPr="00DE44E3">
            <w:rPr>
              <w:rFonts w:ascii="Times New Roman" w:hAnsi="Times New Roman"/>
              <w:sz w:val="32"/>
              <w:szCs w:val="24"/>
            </w:rPr>
            <w:t>UK</w:t>
          </w:r>
        </w:smartTag>
      </w:smartTag>
      <w:r w:rsidRPr="00DE44E3">
        <w:rPr>
          <w:rFonts w:ascii="Times New Roman" w:hAnsi="Times New Roman"/>
          <w:sz w:val="32"/>
          <w:szCs w:val="24"/>
        </w:rPr>
        <w:t xml:space="preserve"> government hybrid venture capital funds in addressing the finance gap facing innovative SMEs in the post-2007 financial crisis era</w:t>
      </w:r>
    </w:p>
    <w:p w:rsidR="00075DBE" w:rsidRPr="00DE44E3" w:rsidRDefault="00075DBE" w:rsidP="00DE44E3">
      <w:pPr>
        <w:pBdr>
          <w:bottom w:val="single" w:sz="4" w:space="1" w:color="auto"/>
        </w:pBdr>
        <w:spacing w:line="480" w:lineRule="auto"/>
        <w:rPr>
          <w:rFonts w:ascii="Times New Roman" w:hAnsi="Times New Roman"/>
          <w:i/>
          <w:sz w:val="28"/>
          <w:szCs w:val="24"/>
        </w:rPr>
      </w:pPr>
      <w:r w:rsidRPr="00DE44E3">
        <w:rPr>
          <w:rFonts w:ascii="Times New Roman" w:hAnsi="Times New Roman"/>
          <w:i/>
          <w:sz w:val="28"/>
          <w:szCs w:val="24"/>
        </w:rPr>
        <w:t>&lt;AU&gt;Robert Baldock and David North</w:t>
      </w:r>
    </w:p>
    <w:p w:rsidR="00075DBE" w:rsidRDefault="00075DBE" w:rsidP="00100F4B">
      <w:pPr>
        <w:spacing w:after="100" w:afterAutospacing="1" w:line="480" w:lineRule="auto"/>
        <w:jc w:val="both"/>
        <w:rPr>
          <w:rFonts w:ascii="Times New Roman" w:hAnsi="Times New Roman"/>
          <w:b/>
          <w:sz w:val="24"/>
          <w:szCs w:val="24"/>
        </w:rPr>
      </w:pPr>
    </w:p>
    <w:p w:rsidR="00075DBE" w:rsidRDefault="00075DBE" w:rsidP="007B5A9E">
      <w:pPr>
        <w:spacing w:after="100" w:afterAutospacing="1" w:line="480" w:lineRule="auto"/>
        <w:jc w:val="both"/>
        <w:rPr>
          <w:rFonts w:ascii="Times New Roman" w:hAnsi="Times New Roman"/>
          <w:b/>
          <w:sz w:val="24"/>
          <w:szCs w:val="24"/>
        </w:rPr>
      </w:pPr>
    </w:p>
    <w:p w:rsidR="00075DBE" w:rsidRDefault="00075DBE" w:rsidP="007B5A9E">
      <w:pPr>
        <w:spacing w:after="100" w:afterAutospacing="1" w:line="480" w:lineRule="auto"/>
        <w:jc w:val="both"/>
        <w:rPr>
          <w:rFonts w:ascii="Times New Roman" w:hAnsi="Times New Roman"/>
          <w:b/>
          <w:sz w:val="24"/>
          <w:szCs w:val="24"/>
        </w:rPr>
      </w:pPr>
    </w:p>
    <w:p w:rsidR="00075DBE" w:rsidRPr="00DE44E3" w:rsidRDefault="00075DBE" w:rsidP="007B5A9E">
      <w:pPr>
        <w:spacing w:after="100" w:afterAutospacing="1" w:line="480" w:lineRule="auto"/>
        <w:jc w:val="both"/>
        <w:rPr>
          <w:rFonts w:ascii="Times New Roman" w:hAnsi="Times New Roman"/>
          <w:sz w:val="24"/>
          <w:szCs w:val="24"/>
        </w:rPr>
      </w:pPr>
      <w:r w:rsidRPr="003C5BBD">
        <w:rPr>
          <w:rFonts w:ascii="Times New Roman" w:hAnsi="Times New Roman"/>
          <w:sz w:val="24"/>
          <w:szCs w:val="24"/>
        </w:rPr>
        <w:t>&lt;A&gt;INTRODUCTION</w:t>
      </w:r>
    </w:p>
    <w:p w:rsidR="00075DBE" w:rsidRDefault="00075DBE" w:rsidP="00085F52">
      <w:pPr>
        <w:autoSpaceDE w:val="0"/>
        <w:autoSpaceDN w:val="0"/>
        <w:adjustRightInd w:val="0"/>
        <w:spacing w:after="0" w:line="480" w:lineRule="auto"/>
        <w:rPr>
          <w:rFonts w:ascii="Times New Roman" w:hAnsi="Times New Roman"/>
          <w:bCs/>
          <w:sz w:val="24"/>
          <w:szCs w:val="24"/>
          <w:lang w:eastAsia="en-GB"/>
        </w:rPr>
      </w:pPr>
    </w:p>
    <w:p w:rsidR="00075DBE" w:rsidRDefault="00075DBE" w:rsidP="00085F52">
      <w:pPr>
        <w:autoSpaceDE w:val="0"/>
        <w:autoSpaceDN w:val="0"/>
        <w:adjustRightInd w:val="0"/>
        <w:spacing w:after="0" w:line="480" w:lineRule="auto"/>
        <w:rPr>
          <w:rFonts w:ascii="Times New Roman" w:hAnsi="Times New Roman"/>
          <w:sz w:val="24"/>
          <w:szCs w:val="24"/>
          <w:lang w:eastAsia="en-GB"/>
        </w:rPr>
      </w:pPr>
      <w:r w:rsidRPr="00CF08C5">
        <w:rPr>
          <w:rFonts w:ascii="Times New Roman" w:hAnsi="Times New Roman"/>
          <w:bCs/>
          <w:sz w:val="24"/>
          <w:szCs w:val="24"/>
          <w:lang w:eastAsia="en-GB"/>
        </w:rPr>
        <w:t>It is notable that virtually</w:t>
      </w:r>
      <w:r w:rsidRPr="00CF08C5">
        <w:rPr>
          <w:rFonts w:ascii="Times New Roman" w:hAnsi="Times New Roman"/>
          <w:sz w:val="24"/>
          <w:szCs w:val="24"/>
          <w:lang w:eastAsia="en-GB"/>
        </w:rPr>
        <w:t xml:space="preserve"> all of the flourishing venture capital markets globally have been stimulated by government support (Lerner et al</w:t>
      </w:r>
      <w:r>
        <w:rPr>
          <w:rFonts w:ascii="Times New Roman" w:hAnsi="Times New Roman"/>
          <w:sz w:val="24"/>
          <w:szCs w:val="24"/>
          <w:lang w:eastAsia="en-GB"/>
        </w:rPr>
        <w:t>.</w:t>
      </w:r>
      <w:r w:rsidRPr="00CF08C5">
        <w:rPr>
          <w:rFonts w:ascii="Times New Roman" w:hAnsi="Times New Roman"/>
          <w:sz w:val="24"/>
          <w:szCs w:val="24"/>
          <w:lang w:eastAsia="en-GB"/>
        </w:rPr>
        <w:t xml:space="preserve">, 2005; Lerner, 2009, 2010), with an increasing role for government hybrid venture capital fund (HVCF) programmes </w:t>
      </w:r>
      <w:r>
        <w:rPr>
          <w:rFonts w:ascii="Times New Roman" w:hAnsi="Times New Roman"/>
          <w:sz w:val="24"/>
          <w:szCs w:val="24"/>
          <w:lang w:eastAsia="en-GB"/>
        </w:rPr>
        <w:t>since the start of the millennium</w:t>
      </w:r>
      <w:r w:rsidRPr="00CF08C5">
        <w:rPr>
          <w:rFonts w:ascii="Times New Roman" w:hAnsi="Times New Roman"/>
          <w:sz w:val="24"/>
          <w:szCs w:val="24"/>
          <w:lang w:eastAsia="en-GB"/>
        </w:rPr>
        <w:t xml:space="preserve"> (Murray, 2007). </w:t>
      </w:r>
      <w:r>
        <w:rPr>
          <w:rFonts w:ascii="Times New Roman" w:hAnsi="Times New Roman"/>
          <w:sz w:val="24"/>
          <w:szCs w:val="24"/>
          <w:lang w:eastAsia="en-GB"/>
        </w:rPr>
        <w:t>Here, we apply</w:t>
      </w:r>
      <w:r w:rsidRPr="00CF08C5">
        <w:rPr>
          <w:rFonts w:ascii="Times New Roman" w:hAnsi="Times New Roman"/>
          <w:sz w:val="24"/>
          <w:szCs w:val="24"/>
          <w:lang w:eastAsia="en-GB"/>
        </w:rPr>
        <w:t xml:space="preserve"> </w:t>
      </w:r>
      <w:r>
        <w:rPr>
          <w:rFonts w:ascii="Times New Roman" w:hAnsi="Times New Roman"/>
          <w:sz w:val="24"/>
          <w:szCs w:val="24"/>
          <w:lang w:eastAsia="en-GB"/>
        </w:rPr>
        <w:t xml:space="preserve">Lerner’s (2010) ‘guide posts’ for government VC interventions to </w:t>
      </w:r>
      <w:r w:rsidRPr="00CF08C5">
        <w:rPr>
          <w:rFonts w:ascii="Times New Roman" w:hAnsi="Times New Roman"/>
          <w:sz w:val="24"/>
          <w:szCs w:val="24"/>
          <w:lang w:eastAsia="en-GB"/>
        </w:rPr>
        <w:t xml:space="preserve">the experience of three recent </w:t>
      </w:r>
      <w:smartTag w:uri="urn:schemas-microsoft-com:office:smarttags" w:element="country-region">
        <w:smartTag w:uri="urn:schemas-microsoft-com:office:smarttags" w:element="place">
          <w:r w:rsidRPr="00CF08C5">
            <w:rPr>
              <w:rFonts w:ascii="Times New Roman" w:hAnsi="Times New Roman"/>
              <w:sz w:val="24"/>
              <w:szCs w:val="24"/>
              <w:lang w:eastAsia="en-GB"/>
            </w:rPr>
            <w:t>UK</w:t>
          </w:r>
        </w:smartTag>
      </w:smartTag>
      <w:r w:rsidRPr="00CF08C5">
        <w:rPr>
          <w:rFonts w:ascii="Times New Roman" w:hAnsi="Times New Roman"/>
          <w:sz w:val="24"/>
          <w:szCs w:val="24"/>
          <w:lang w:eastAsia="en-GB"/>
        </w:rPr>
        <w:t xml:space="preserve"> programmes providing equity finance </w:t>
      </w:r>
      <w:r>
        <w:rPr>
          <w:rFonts w:ascii="Times New Roman" w:hAnsi="Times New Roman"/>
          <w:sz w:val="24"/>
          <w:szCs w:val="24"/>
          <w:lang w:eastAsia="en-GB"/>
        </w:rPr>
        <w:t xml:space="preserve">to small and medium-sized enterprises (SMEs) </w:t>
      </w:r>
      <w:r w:rsidRPr="00CF08C5">
        <w:rPr>
          <w:rFonts w:ascii="Times New Roman" w:hAnsi="Times New Roman"/>
          <w:sz w:val="24"/>
          <w:szCs w:val="24"/>
          <w:lang w:eastAsia="en-GB"/>
        </w:rPr>
        <w:t>in the aftermath of the 2007 global financial crisis</w:t>
      </w:r>
      <w:r>
        <w:rPr>
          <w:rFonts w:ascii="Times New Roman" w:hAnsi="Times New Roman"/>
          <w:sz w:val="24"/>
          <w:szCs w:val="24"/>
          <w:lang w:eastAsia="en-GB"/>
        </w:rPr>
        <w:t xml:space="preserve"> (GFC).</w:t>
      </w:r>
    </w:p>
    <w:p w:rsidR="00075DBE" w:rsidRDefault="00075DBE" w:rsidP="00085F52">
      <w:pPr>
        <w:pStyle w:val="abody"/>
        <w:spacing w:after="100" w:afterAutospacing="1" w:line="480" w:lineRule="auto"/>
        <w:ind w:firstLine="360"/>
        <w:rPr>
          <w:rFonts w:ascii="Times New Roman" w:hAnsi="Times New Roman" w:cs="Times New Roman"/>
          <w:bCs/>
          <w:sz w:val="24"/>
          <w:szCs w:val="24"/>
          <w:lang w:eastAsia="en-GB"/>
        </w:rPr>
      </w:pPr>
      <w:r w:rsidRPr="00CF08C5">
        <w:rPr>
          <w:rFonts w:ascii="Times New Roman" w:hAnsi="Times New Roman" w:cs="Times New Roman"/>
          <w:bCs/>
          <w:sz w:val="24"/>
          <w:szCs w:val="24"/>
          <w:lang w:eastAsia="en-GB"/>
        </w:rPr>
        <w:t xml:space="preserve">Lerner (2010) </w:t>
      </w:r>
      <w:r>
        <w:rPr>
          <w:rFonts w:ascii="Times New Roman" w:hAnsi="Times New Roman" w:cs="Times New Roman"/>
          <w:bCs/>
          <w:sz w:val="24"/>
          <w:szCs w:val="24"/>
          <w:lang w:eastAsia="en-GB"/>
        </w:rPr>
        <w:t>highlights some</w:t>
      </w:r>
      <w:r w:rsidRPr="00CF08C5">
        <w:rPr>
          <w:rFonts w:ascii="Times New Roman" w:hAnsi="Times New Roman" w:cs="Times New Roman"/>
          <w:bCs/>
          <w:sz w:val="24"/>
          <w:szCs w:val="24"/>
          <w:lang w:eastAsia="en-GB"/>
        </w:rPr>
        <w:t xml:space="preserve"> success</w:t>
      </w:r>
      <w:r>
        <w:rPr>
          <w:rFonts w:ascii="Times New Roman" w:hAnsi="Times New Roman" w:cs="Times New Roman"/>
          <w:bCs/>
          <w:sz w:val="24"/>
          <w:szCs w:val="24"/>
          <w:lang w:eastAsia="en-GB"/>
        </w:rPr>
        <w:t>ful</w:t>
      </w:r>
      <w:r w:rsidRPr="00CF08C5">
        <w:rPr>
          <w:rFonts w:ascii="Times New Roman" w:hAnsi="Times New Roman" w:cs="Times New Roman"/>
          <w:bCs/>
          <w:sz w:val="24"/>
          <w:szCs w:val="24"/>
          <w:lang w:eastAsia="en-GB"/>
        </w:rPr>
        <w:t xml:space="preserve"> government interventions in addressing </w:t>
      </w:r>
      <w:r>
        <w:rPr>
          <w:rFonts w:ascii="Times New Roman" w:hAnsi="Times New Roman" w:cs="Times New Roman"/>
          <w:bCs/>
          <w:sz w:val="24"/>
          <w:szCs w:val="24"/>
          <w:lang w:eastAsia="en-GB"/>
        </w:rPr>
        <w:t>equity gaps facing innovative small businesses</w:t>
      </w:r>
      <w:r w:rsidRPr="00CF08C5">
        <w:rPr>
          <w:rFonts w:ascii="Times New Roman" w:hAnsi="Times New Roman" w:cs="Times New Roman"/>
          <w:bCs/>
          <w:sz w:val="24"/>
          <w:szCs w:val="24"/>
          <w:lang w:eastAsia="en-GB"/>
        </w:rPr>
        <w:t xml:space="preserve">, notably the </w:t>
      </w:r>
      <w:r>
        <w:rPr>
          <w:rFonts w:ascii="Times New Roman" w:hAnsi="Times New Roman" w:cs="Times New Roman"/>
          <w:bCs/>
          <w:sz w:val="24"/>
          <w:szCs w:val="24"/>
          <w:lang w:eastAsia="en-GB"/>
        </w:rPr>
        <w:t>United States (</w:t>
      </w:r>
      <w:r w:rsidRPr="00CF08C5">
        <w:rPr>
          <w:rFonts w:ascii="Times New Roman" w:hAnsi="Times New Roman" w:cs="Times New Roman"/>
          <w:bCs/>
          <w:sz w:val="24"/>
          <w:szCs w:val="24"/>
          <w:lang w:eastAsia="en-GB"/>
        </w:rPr>
        <w:t>US</w:t>
      </w:r>
      <w:r>
        <w:rPr>
          <w:rFonts w:ascii="Times New Roman" w:hAnsi="Times New Roman" w:cs="Times New Roman"/>
          <w:bCs/>
          <w:sz w:val="24"/>
          <w:szCs w:val="24"/>
          <w:lang w:eastAsia="en-GB"/>
        </w:rPr>
        <w:t>)</w:t>
      </w:r>
      <w:r w:rsidRPr="00CF08C5">
        <w:rPr>
          <w:rFonts w:ascii="Times New Roman" w:hAnsi="Times New Roman" w:cs="Times New Roman"/>
          <w:bCs/>
          <w:sz w:val="24"/>
          <w:szCs w:val="24"/>
          <w:lang w:eastAsia="en-GB"/>
        </w:rPr>
        <w:t xml:space="preserve"> Small Business Investment Company (SBIC) and Israeli Yozma funds. These demonstrate that </w:t>
      </w:r>
      <w:r>
        <w:rPr>
          <w:rFonts w:ascii="Times New Roman" w:hAnsi="Times New Roman" w:cs="Times New Roman"/>
          <w:bCs/>
          <w:sz w:val="24"/>
          <w:szCs w:val="24"/>
          <w:lang w:eastAsia="en-GB"/>
        </w:rPr>
        <w:t>H</w:t>
      </w:r>
      <w:r w:rsidRPr="00CF08C5">
        <w:rPr>
          <w:rFonts w:ascii="Times New Roman" w:hAnsi="Times New Roman" w:cs="Times New Roman"/>
          <w:bCs/>
          <w:sz w:val="24"/>
          <w:szCs w:val="24"/>
          <w:lang w:eastAsia="en-GB"/>
        </w:rPr>
        <w:t>VC</w:t>
      </w:r>
      <w:r>
        <w:rPr>
          <w:rFonts w:ascii="Times New Roman" w:hAnsi="Times New Roman" w:cs="Times New Roman"/>
          <w:bCs/>
          <w:sz w:val="24"/>
          <w:szCs w:val="24"/>
          <w:lang w:eastAsia="en-GB"/>
        </w:rPr>
        <w:t>Fs</w:t>
      </w:r>
      <w:r w:rsidRPr="00CF08C5">
        <w:rPr>
          <w:rFonts w:ascii="Times New Roman" w:hAnsi="Times New Roman" w:cs="Times New Roman"/>
          <w:bCs/>
          <w:sz w:val="24"/>
          <w:szCs w:val="24"/>
          <w:lang w:eastAsia="en-GB"/>
        </w:rPr>
        <w:t xml:space="preserve"> can establish a community of knowledgeable early stage investors, business support services, entrepreneurs and R&amp;D activity, which in turn build up a momentum of growth and development. It is crucial to provide the right catalyst of government support over time to generate sufficient critical mass of </w:t>
      </w:r>
      <w:r w:rsidRPr="00CF08C5">
        <w:rPr>
          <w:rFonts w:ascii="Times New Roman" w:hAnsi="Times New Roman" w:cs="Times New Roman"/>
          <w:bCs/>
          <w:sz w:val="24"/>
          <w:szCs w:val="24"/>
          <w:lang w:eastAsia="en-GB"/>
        </w:rPr>
        <w:lastRenderedPageBreak/>
        <w:t xml:space="preserve">expertise before undertaking strategic withdrawal of government intervention. </w:t>
      </w:r>
      <w:r>
        <w:rPr>
          <w:rFonts w:ascii="Times New Roman" w:hAnsi="Times New Roman" w:cs="Times New Roman"/>
          <w:bCs/>
          <w:sz w:val="24"/>
          <w:szCs w:val="24"/>
          <w:lang w:eastAsia="en-GB"/>
        </w:rPr>
        <w:t>We</w:t>
      </w:r>
      <w:r w:rsidRPr="00CF08C5">
        <w:rPr>
          <w:rFonts w:ascii="Times New Roman" w:hAnsi="Times New Roman" w:cs="Times New Roman"/>
          <w:bCs/>
          <w:sz w:val="24"/>
          <w:szCs w:val="24"/>
          <w:lang w:eastAsia="en-GB"/>
        </w:rPr>
        <w:t xml:space="preserve"> explore five of Lerner’s </w:t>
      </w:r>
      <w:r>
        <w:rPr>
          <w:rFonts w:ascii="Times New Roman" w:hAnsi="Times New Roman" w:cs="Times New Roman"/>
          <w:bCs/>
          <w:sz w:val="24"/>
          <w:szCs w:val="24"/>
          <w:lang w:eastAsia="en-GB"/>
        </w:rPr>
        <w:t xml:space="preserve">guiding principles </w:t>
      </w:r>
      <w:r w:rsidRPr="00CF08C5">
        <w:rPr>
          <w:rFonts w:ascii="Times New Roman" w:hAnsi="Times New Roman" w:cs="Times New Roman"/>
          <w:bCs/>
          <w:sz w:val="24"/>
          <w:szCs w:val="24"/>
          <w:lang w:eastAsia="en-GB"/>
        </w:rPr>
        <w:t>in assessing recent UK HVCFs:</w:t>
      </w:r>
    </w:p>
    <w:p w:rsidR="00075DBE" w:rsidRDefault="00075DBE" w:rsidP="00DE44E3">
      <w:pPr>
        <w:pStyle w:val="abody"/>
        <w:spacing w:after="100" w:afterAutospacing="1" w:line="480" w:lineRule="auto"/>
        <w:rPr>
          <w:rFonts w:ascii="Times New Roman" w:hAnsi="Times New Roman" w:cs="Times New Roman"/>
          <w:bCs/>
          <w:sz w:val="24"/>
          <w:szCs w:val="24"/>
          <w:lang w:eastAsia="en-GB"/>
        </w:rPr>
      </w:pPr>
      <w:r>
        <w:rPr>
          <w:rFonts w:ascii="Times New Roman" w:hAnsi="Times New Roman" w:cs="Times New Roman"/>
          <w:bCs/>
          <w:sz w:val="24"/>
          <w:szCs w:val="24"/>
          <w:lang w:eastAsia="en-GB"/>
        </w:rPr>
        <w:t>&lt;nl&gt;</w:t>
      </w:r>
    </w:p>
    <w:p w:rsidR="00075DBE" w:rsidRDefault="00075DBE" w:rsidP="00DE44E3">
      <w:pPr>
        <w:numPr>
          <w:ilvl w:val="0"/>
          <w:numId w:val="15"/>
        </w:numPr>
        <w:spacing w:after="0" w:line="480" w:lineRule="auto"/>
        <w:rPr>
          <w:rFonts w:ascii="Times New Roman" w:hAnsi="Times New Roman"/>
          <w:sz w:val="24"/>
          <w:szCs w:val="24"/>
          <w:lang w:eastAsia="en-GB"/>
        </w:rPr>
      </w:pPr>
      <w:r w:rsidRPr="00CF08C5">
        <w:rPr>
          <w:rFonts w:ascii="Times New Roman" w:hAnsi="Times New Roman"/>
          <w:sz w:val="24"/>
          <w:szCs w:val="24"/>
          <w:lang w:eastAsia="en-GB"/>
        </w:rPr>
        <w:t>Let the market provide direction</w:t>
      </w:r>
      <w:r>
        <w:rPr>
          <w:rFonts w:ascii="Times New Roman" w:hAnsi="Times New Roman"/>
          <w:sz w:val="24"/>
          <w:szCs w:val="24"/>
          <w:lang w:eastAsia="en-GB"/>
        </w:rPr>
        <w:t>.</w:t>
      </w:r>
    </w:p>
    <w:p w:rsidR="00075DBE" w:rsidRDefault="00075DBE" w:rsidP="00DE44E3">
      <w:pPr>
        <w:numPr>
          <w:ilvl w:val="0"/>
          <w:numId w:val="15"/>
        </w:numPr>
        <w:spacing w:after="0" w:line="480" w:lineRule="auto"/>
        <w:rPr>
          <w:rFonts w:ascii="Times New Roman" w:hAnsi="Times New Roman"/>
          <w:sz w:val="24"/>
          <w:szCs w:val="24"/>
          <w:lang w:eastAsia="en-GB"/>
        </w:rPr>
      </w:pPr>
      <w:r w:rsidRPr="00CF08C5">
        <w:rPr>
          <w:rFonts w:ascii="Times New Roman" w:hAnsi="Times New Roman"/>
          <w:sz w:val="24"/>
          <w:szCs w:val="24"/>
          <w:lang w:eastAsia="en-GB"/>
        </w:rPr>
        <w:t>Resist the temptation to over-engineer</w:t>
      </w:r>
      <w:r>
        <w:rPr>
          <w:rFonts w:ascii="Times New Roman" w:hAnsi="Times New Roman"/>
          <w:sz w:val="24"/>
          <w:szCs w:val="24"/>
          <w:lang w:eastAsia="en-GB"/>
        </w:rPr>
        <w:t>.</w:t>
      </w:r>
    </w:p>
    <w:p w:rsidR="00075DBE" w:rsidRDefault="00075DBE" w:rsidP="00DE44E3">
      <w:pPr>
        <w:numPr>
          <w:ilvl w:val="0"/>
          <w:numId w:val="15"/>
        </w:numPr>
        <w:spacing w:after="0" w:line="480" w:lineRule="auto"/>
        <w:rPr>
          <w:rFonts w:ascii="Times New Roman" w:hAnsi="Times New Roman"/>
          <w:bCs/>
          <w:sz w:val="24"/>
          <w:szCs w:val="24"/>
          <w:lang w:eastAsia="en-GB"/>
        </w:rPr>
      </w:pPr>
      <w:r w:rsidRPr="00CF08C5">
        <w:rPr>
          <w:rFonts w:ascii="Times New Roman" w:hAnsi="Times New Roman"/>
          <w:sz w:val="24"/>
          <w:szCs w:val="24"/>
          <w:lang w:eastAsia="en-GB"/>
        </w:rPr>
        <w:t>Recogni</w:t>
      </w:r>
      <w:r>
        <w:rPr>
          <w:rFonts w:ascii="Times New Roman" w:hAnsi="Times New Roman"/>
          <w:sz w:val="24"/>
          <w:szCs w:val="24"/>
          <w:lang w:eastAsia="en-GB"/>
        </w:rPr>
        <w:t>z</w:t>
      </w:r>
      <w:r w:rsidRPr="00CF08C5">
        <w:rPr>
          <w:rFonts w:ascii="Times New Roman" w:hAnsi="Times New Roman"/>
          <w:sz w:val="24"/>
          <w:szCs w:val="24"/>
          <w:lang w:eastAsia="en-GB"/>
        </w:rPr>
        <w:t>e the long lead times associated with public venture initiatives</w:t>
      </w:r>
      <w:r>
        <w:rPr>
          <w:rFonts w:ascii="Times New Roman" w:hAnsi="Times New Roman"/>
          <w:sz w:val="24"/>
          <w:szCs w:val="24"/>
          <w:lang w:eastAsia="en-GB"/>
        </w:rPr>
        <w:t>.</w:t>
      </w:r>
    </w:p>
    <w:p w:rsidR="00075DBE" w:rsidRDefault="00075DBE" w:rsidP="00DE44E3">
      <w:pPr>
        <w:numPr>
          <w:ilvl w:val="0"/>
          <w:numId w:val="15"/>
        </w:numPr>
        <w:spacing w:after="0" w:line="480" w:lineRule="auto"/>
        <w:rPr>
          <w:rFonts w:ascii="Times New Roman" w:hAnsi="Times New Roman"/>
          <w:bCs/>
          <w:sz w:val="24"/>
          <w:szCs w:val="24"/>
          <w:lang w:eastAsia="en-GB"/>
        </w:rPr>
      </w:pPr>
      <w:r w:rsidRPr="00CF08C5">
        <w:rPr>
          <w:rFonts w:ascii="Times New Roman" w:hAnsi="Times New Roman"/>
          <w:sz w:val="24"/>
          <w:szCs w:val="24"/>
          <w:lang w:eastAsia="en-GB"/>
        </w:rPr>
        <w:t>Avoid initiatives that are too large or too small</w:t>
      </w:r>
      <w:r>
        <w:rPr>
          <w:rFonts w:ascii="Times New Roman" w:hAnsi="Times New Roman"/>
          <w:sz w:val="24"/>
          <w:szCs w:val="24"/>
          <w:lang w:eastAsia="en-GB"/>
        </w:rPr>
        <w:t>.</w:t>
      </w:r>
    </w:p>
    <w:p w:rsidR="00075DBE" w:rsidRDefault="00075DBE" w:rsidP="00DE44E3">
      <w:pPr>
        <w:numPr>
          <w:ilvl w:val="0"/>
          <w:numId w:val="15"/>
        </w:numPr>
        <w:spacing w:after="0" w:line="480" w:lineRule="auto"/>
        <w:rPr>
          <w:rFonts w:ascii="Times New Roman" w:hAnsi="Times New Roman"/>
          <w:bCs/>
          <w:sz w:val="24"/>
          <w:szCs w:val="24"/>
          <w:lang w:eastAsia="en-GB"/>
        </w:rPr>
      </w:pPr>
      <w:r w:rsidRPr="00CF08C5">
        <w:rPr>
          <w:rFonts w:ascii="Times New Roman" w:hAnsi="Times New Roman"/>
          <w:sz w:val="24"/>
          <w:szCs w:val="24"/>
          <w:lang w:eastAsia="en-GB"/>
        </w:rPr>
        <w:t>Understand the importance of global interconnections.</w:t>
      </w:r>
    </w:p>
    <w:p w:rsidR="00075DBE" w:rsidRDefault="00075DBE" w:rsidP="00085F52">
      <w:pPr>
        <w:pStyle w:val="abody"/>
        <w:spacing w:after="100" w:afterAutospacing="1" w:line="480" w:lineRule="auto"/>
        <w:rPr>
          <w:rFonts w:ascii="Times New Roman" w:hAnsi="Times New Roman" w:cs="Times New Roman"/>
          <w:bCs/>
          <w:sz w:val="24"/>
          <w:szCs w:val="24"/>
          <w:lang w:eastAsia="en-GB"/>
        </w:rPr>
      </w:pPr>
      <w:r>
        <w:rPr>
          <w:rFonts w:ascii="Times New Roman" w:hAnsi="Times New Roman" w:cs="Times New Roman"/>
          <w:bCs/>
          <w:sz w:val="24"/>
          <w:szCs w:val="24"/>
          <w:lang w:eastAsia="en-GB"/>
        </w:rPr>
        <w:t>&lt;/list&gt;</w:t>
      </w:r>
    </w:p>
    <w:p w:rsidR="00075DBE" w:rsidRDefault="00075DBE" w:rsidP="00085F52">
      <w:pPr>
        <w:pStyle w:val="abody"/>
        <w:spacing w:after="100" w:afterAutospacing="1" w:line="480" w:lineRule="auto"/>
        <w:rPr>
          <w:rFonts w:ascii="Times New Roman" w:hAnsi="Times New Roman" w:cs="Times New Roman"/>
          <w:bCs/>
          <w:sz w:val="24"/>
          <w:szCs w:val="24"/>
          <w:lang w:eastAsia="en-GB"/>
        </w:rPr>
      </w:pPr>
      <w:r w:rsidRPr="00CF08C5">
        <w:rPr>
          <w:rFonts w:ascii="Times New Roman" w:hAnsi="Times New Roman" w:cs="Times New Roman"/>
          <w:bCs/>
          <w:sz w:val="24"/>
          <w:szCs w:val="24"/>
          <w:lang w:eastAsia="en-GB"/>
        </w:rPr>
        <w:t xml:space="preserve">After briefly </w:t>
      </w:r>
      <w:r>
        <w:rPr>
          <w:rFonts w:ascii="Times New Roman" w:hAnsi="Times New Roman" w:cs="Times New Roman"/>
          <w:bCs/>
          <w:sz w:val="24"/>
          <w:szCs w:val="24"/>
          <w:lang w:eastAsia="en-GB"/>
        </w:rPr>
        <w:t>describing the</w:t>
      </w:r>
      <w:r w:rsidRPr="00CF08C5">
        <w:rPr>
          <w:rFonts w:ascii="Times New Roman" w:hAnsi="Times New Roman" w:cs="Times New Roman"/>
          <w:bCs/>
          <w:sz w:val="24"/>
          <w:szCs w:val="24"/>
          <w:lang w:eastAsia="en-GB"/>
        </w:rPr>
        <w:t xml:space="preserve"> three HVCF programmes </w:t>
      </w:r>
      <w:r>
        <w:rPr>
          <w:rFonts w:ascii="Times New Roman" w:hAnsi="Times New Roman" w:cs="Times New Roman"/>
          <w:bCs/>
          <w:sz w:val="24"/>
          <w:szCs w:val="24"/>
          <w:lang w:eastAsia="en-GB"/>
        </w:rPr>
        <w:t xml:space="preserve">of interest </w:t>
      </w:r>
      <w:r w:rsidRPr="00CF08C5">
        <w:rPr>
          <w:rFonts w:ascii="Times New Roman" w:hAnsi="Times New Roman" w:cs="Times New Roman"/>
          <w:bCs/>
          <w:sz w:val="24"/>
          <w:szCs w:val="24"/>
          <w:lang w:eastAsia="en-GB"/>
        </w:rPr>
        <w:t xml:space="preserve">and outlining the research methodology, </w:t>
      </w:r>
      <w:r>
        <w:rPr>
          <w:rFonts w:ascii="Times New Roman" w:hAnsi="Times New Roman" w:cs="Times New Roman"/>
          <w:bCs/>
          <w:sz w:val="24"/>
          <w:szCs w:val="24"/>
          <w:lang w:eastAsia="en-GB"/>
        </w:rPr>
        <w:t>we apply Lerner’s</w:t>
      </w:r>
      <w:r w:rsidRPr="00CF08C5">
        <w:rPr>
          <w:rFonts w:ascii="Times New Roman" w:hAnsi="Times New Roman" w:cs="Times New Roman"/>
          <w:bCs/>
          <w:sz w:val="24"/>
          <w:szCs w:val="24"/>
          <w:lang w:eastAsia="en-GB"/>
        </w:rPr>
        <w:t xml:space="preserve"> guiding principles </w:t>
      </w:r>
      <w:r>
        <w:rPr>
          <w:rFonts w:ascii="Times New Roman" w:hAnsi="Times New Roman" w:cs="Times New Roman"/>
          <w:bCs/>
          <w:sz w:val="24"/>
          <w:szCs w:val="24"/>
          <w:lang w:eastAsia="en-GB"/>
        </w:rPr>
        <w:t xml:space="preserve">to them, </w:t>
      </w:r>
      <w:r w:rsidRPr="00CF08C5">
        <w:rPr>
          <w:rFonts w:ascii="Times New Roman" w:hAnsi="Times New Roman" w:cs="Times New Roman"/>
          <w:bCs/>
          <w:sz w:val="24"/>
          <w:szCs w:val="24"/>
          <w:lang w:eastAsia="en-GB"/>
        </w:rPr>
        <w:t xml:space="preserve">drawing upon demand and supply side research </w:t>
      </w:r>
      <w:r>
        <w:rPr>
          <w:rFonts w:ascii="Times New Roman" w:hAnsi="Times New Roman" w:cs="Times New Roman"/>
          <w:bCs/>
          <w:sz w:val="24"/>
          <w:szCs w:val="24"/>
          <w:lang w:eastAsia="en-GB"/>
        </w:rPr>
        <w:t>evidence</w:t>
      </w:r>
      <w:r w:rsidRPr="00CF08C5">
        <w:rPr>
          <w:rFonts w:ascii="Times New Roman" w:hAnsi="Times New Roman" w:cs="Times New Roman"/>
          <w:bCs/>
          <w:sz w:val="24"/>
          <w:szCs w:val="24"/>
          <w:lang w:eastAsia="en-GB"/>
        </w:rPr>
        <w:t xml:space="preserve"> </w:t>
      </w:r>
      <w:r>
        <w:rPr>
          <w:rFonts w:ascii="Times New Roman" w:hAnsi="Times New Roman" w:cs="Times New Roman"/>
          <w:bCs/>
          <w:sz w:val="24"/>
          <w:szCs w:val="24"/>
          <w:lang w:eastAsia="en-GB"/>
        </w:rPr>
        <w:t>(No</w:t>
      </w:r>
      <w:r w:rsidRPr="00CF08C5">
        <w:rPr>
          <w:rFonts w:ascii="Times New Roman" w:hAnsi="Times New Roman" w:cs="Times New Roman"/>
          <w:bCs/>
          <w:sz w:val="24"/>
          <w:szCs w:val="24"/>
          <w:lang w:eastAsia="en-GB"/>
        </w:rPr>
        <w:t xml:space="preserve">rth </w:t>
      </w:r>
      <w:r>
        <w:rPr>
          <w:rFonts w:ascii="Times New Roman" w:hAnsi="Times New Roman" w:cs="Times New Roman"/>
          <w:bCs/>
          <w:sz w:val="24"/>
          <w:szCs w:val="24"/>
          <w:lang w:eastAsia="en-GB"/>
        </w:rPr>
        <w:t>et al.,</w:t>
      </w:r>
      <w:r w:rsidRPr="00CF08C5">
        <w:rPr>
          <w:rFonts w:ascii="Times New Roman" w:hAnsi="Times New Roman" w:cs="Times New Roman"/>
          <w:bCs/>
          <w:sz w:val="24"/>
          <w:szCs w:val="24"/>
          <w:lang w:eastAsia="en-GB"/>
        </w:rPr>
        <w:t xml:space="preserve"> 2010</w:t>
      </w:r>
      <w:r>
        <w:rPr>
          <w:rFonts w:ascii="Times New Roman" w:hAnsi="Times New Roman" w:cs="Times New Roman"/>
          <w:bCs/>
          <w:sz w:val="24"/>
          <w:szCs w:val="24"/>
          <w:lang w:eastAsia="en-GB"/>
        </w:rPr>
        <w:t>;</w:t>
      </w:r>
      <w:r w:rsidRPr="00CF08C5">
        <w:rPr>
          <w:rFonts w:ascii="Times New Roman" w:hAnsi="Times New Roman" w:cs="Times New Roman"/>
          <w:bCs/>
          <w:sz w:val="24"/>
          <w:szCs w:val="24"/>
          <w:lang w:eastAsia="en-GB"/>
        </w:rPr>
        <w:t xml:space="preserve"> CEEDR, 2012). </w:t>
      </w:r>
      <w:r>
        <w:rPr>
          <w:rFonts w:ascii="Times New Roman" w:hAnsi="Times New Roman" w:cs="Times New Roman"/>
          <w:bCs/>
          <w:sz w:val="24"/>
          <w:szCs w:val="24"/>
          <w:lang w:eastAsia="en-GB"/>
        </w:rPr>
        <w:t>The conclusion</w:t>
      </w:r>
      <w:r w:rsidRPr="00CF08C5">
        <w:rPr>
          <w:rFonts w:ascii="Times New Roman" w:hAnsi="Times New Roman" w:cs="Times New Roman"/>
          <w:bCs/>
          <w:sz w:val="24"/>
          <w:szCs w:val="24"/>
          <w:lang w:eastAsia="en-GB"/>
        </w:rPr>
        <w:t xml:space="preserve"> summar</w:t>
      </w:r>
      <w:r>
        <w:rPr>
          <w:rFonts w:ascii="Times New Roman" w:hAnsi="Times New Roman" w:cs="Times New Roman"/>
          <w:bCs/>
          <w:sz w:val="24"/>
          <w:szCs w:val="24"/>
          <w:lang w:eastAsia="en-GB"/>
        </w:rPr>
        <w:t>izes</w:t>
      </w:r>
      <w:r w:rsidRPr="00CF08C5">
        <w:rPr>
          <w:rFonts w:ascii="Times New Roman" w:hAnsi="Times New Roman" w:cs="Times New Roman"/>
          <w:bCs/>
          <w:sz w:val="24"/>
          <w:szCs w:val="24"/>
          <w:lang w:eastAsia="en-GB"/>
        </w:rPr>
        <w:t xml:space="preserve"> </w:t>
      </w:r>
      <w:r>
        <w:rPr>
          <w:rFonts w:ascii="Times New Roman" w:hAnsi="Times New Roman" w:cs="Times New Roman"/>
          <w:bCs/>
          <w:sz w:val="24"/>
          <w:szCs w:val="24"/>
          <w:lang w:eastAsia="en-GB"/>
        </w:rPr>
        <w:t>t</w:t>
      </w:r>
      <w:r w:rsidRPr="00CF08C5">
        <w:rPr>
          <w:rFonts w:ascii="Times New Roman" w:hAnsi="Times New Roman" w:cs="Times New Roman"/>
          <w:bCs/>
          <w:sz w:val="24"/>
          <w:szCs w:val="24"/>
          <w:lang w:eastAsia="en-GB"/>
        </w:rPr>
        <w:t xml:space="preserve">he dilemmas facing </w:t>
      </w:r>
      <w:r>
        <w:rPr>
          <w:rFonts w:ascii="Times New Roman" w:hAnsi="Times New Roman" w:cs="Times New Roman"/>
          <w:bCs/>
          <w:sz w:val="24"/>
          <w:szCs w:val="24"/>
          <w:lang w:eastAsia="en-GB"/>
        </w:rPr>
        <w:t>HVCFs</w:t>
      </w:r>
      <w:r w:rsidRPr="00CF08C5">
        <w:rPr>
          <w:rFonts w:ascii="Times New Roman" w:hAnsi="Times New Roman" w:cs="Times New Roman"/>
          <w:bCs/>
          <w:sz w:val="24"/>
          <w:szCs w:val="24"/>
          <w:lang w:eastAsia="en-GB"/>
        </w:rPr>
        <w:t xml:space="preserve"> and consider</w:t>
      </w:r>
      <w:r>
        <w:rPr>
          <w:rFonts w:ascii="Times New Roman" w:hAnsi="Times New Roman" w:cs="Times New Roman"/>
          <w:bCs/>
          <w:sz w:val="24"/>
          <w:szCs w:val="24"/>
          <w:lang w:eastAsia="en-GB"/>
        </w:rPr>
        <w:t>s</w:t>
      </w:r>
      <w:r w:rsidRPr="00CF08C5">
        <w:rPr>
          <w:rFonts w:ascii="Times New Roman" w:hAnsi="Times New Roman" w:cs="Times New Roman"/>
          <w:bCs/>
          <w:sz w:val="24"/>
          <w:szCs w:val="24"/>
          <w:lang w:eastAsia="en-GB"/>
        </w:rPr>
        <w:t xml:space="preserve"> the</w:t>
      </w:r>
      <w:r>
        <w:rPr>
          <w:rFonts w:ascii="Times New Roman" w:hAnsi="Times New Roman" w:cs="Times New Roman"/>
          <w:bCs/>
          <w:sz w:val="24"/>
          <w:szCs w:val="24"/>
          <w:lang w:eastAsia="en-GB"/>
        </w:rPr>
        <w:t>ir</w:t>
      </w:r>
      <w:r w:rsidRPr="00CF08C5">
        <w:rPr>
          <w:rFonts w:ascii="Times New Roman" w:hAnsi="Times New Roman" w:cs="Times New Roman"/>
          <w:bCs/>
          <w:sz w:val="24"/>
          <w:szCs w:val="24"/>
          <w:lang w:eastAsia="en-GB"/>
        </w:rPr>
        <w:t xml:space="preserve"> implications for future policy development.</w:t>
      </w:r>
    </w:p>
    <w:p w:rsidR="00075DBE" w:rsidRDefault="00075DBE" w:rsidP="00085F52">
      <w:pPr>
        <w:pStyle w:val="abody"/>
        <w:spacing w:after="0" w:line="480" w:lineRule="auto"/>
        <w:rPr>
          <w:rFonts w:ascii="Times New Roman" w:hAnsi="Times New Roman" w:cs="Times New Roman"/>
          <w:b/>
          <w:bCs/>
          <w:sz w:val="24"/>
          <w:szCs w:val="24"/>
        </w:rPr>
      </w:pPr>
    </w:p>
    <w:p w:rsidR="00075DBE" w:rsidRDefault="00075DBE" w:rsidP="00085F52">
      <w:pPr>
        <w:pStyle w:val="abody"/>
        <w:spacing w:after="0" w:line="480" w:lineRule="auto"/>
        <w:rPr>
          <w:rFonts w:ascii="Times New Roman" w:hAnsi="Times New Roman" w:cs="Times New Roman"/>
          <w:b/>
          <w:bCs/>
          <w:sz w:val="24"/>
          <w:szCs w:val="24"/>
        </w:rPr>
      </w:pPr>
    </w:p>
    <w:p w:rsidR="00075DBE" w:rsidRPr="00DE44E3" w:rsidRDefault="00075DBE" w:rsidP="00085F52">
      <w:pPr>
        <w:pStyle w:val="abody"/>
        <w:spacing w:after="0" w:line="480" w:lineRule="auto"/>
        <w:rPr>
          <w:rFonts w:ascii="Times New Roman" w:hAnsi="Times New Roman" w:cs="Times New Roman"/>
          <w:bCs/>
          <w:sz w:val="24"/>
          <w:szCs w:val="24"/>
        </w:rPr>
      </w:pPr>
      <w:r w:rsidRPr="003C5BBD">
        <w:rPr>
          <w:rFonts w:ascii="Times New Roman" w:hAnsi="Times New Roman" w:cs="Times New Roman"/>
          <w:bCs/>
          <w:sz w:val="24"/>
          <w:szCs w:val="24"/>
        </w:rPr>
        <w:t xml:space="preserve">&lt;A&gt;THE EVOLUTION OF </w:t>
      </w:r>
      <w:smartTag w:uri="urn:schemas-microsoft-com:office:smarttags" w:element="country-region">
        <w:smartTag w:uri="urn:schemas-microsoft-com:office:smarttags" w:element="place">
          <w:r w:rsidRPr="003C5BBD">
            <w:rPr>
              <w:rFonts w:ascii="Times New Roman" w:hAnsi="Times New Roman" w:cs="Times New Roman"/>
              <w:bCs/>
              <w:sz w:val="24"/>
              <w:szCs w:val="24"/>
            </w:rPr>
            <w:t>UK</w:t>
          </w:r>
        </w:smartTag>
      </w:smartTag>
      <w:r w:rsidRPr="003C5BBD">
        <w:rPr>
          <w:rFonts w:ascii="Times New Roman" w:hAnsi="Times New Roman" w:cs="Times New Roman"/>
          <w:bCs/>
          <w:sz w:val="24"/>
          <w:szCs w:val="24"/>
        </w:rPr>
        <w:t xml:space="preserve"> HVCF PROGRAMMES</w:t>
      </w:r>
    </w:p>
    <w:p w:rsidR="00075DBE" w:rsidRDefault="00075DBE" w:rsidP="00085F52">
      <w:pPr>
        <w:pStyle w:val="abody"/>
        <w:spacing w:after="100" w:afterAutospacing="1" w:line="480" w:lineRule="auto"/>
        <w:rPr>
          <w:rFonts w:ascii="Times New Roman" w:hAnsi="Times New Roman"/>
          <w:bCs/>
          <w:sz w:val="24"/>
          <w:szCs w:val="24"/>
        </w:rPr>
      </w:pPr>
    </w:p>
    <w:p w:rsidR="00075DBE" w:rsidRDefault="00075DBE" w:rsidP="00085F52">
      <w:pPr>
        <w:pStyle w:val="abody"/>
        <w:spacing w:after="100" w:afterAutospacing="1" w:line="480" w:lineRule="auto"/>
        <w:rPr>
          <w:rFonts w:ascii="Times New Roman" w:hAnsi="Times New Roman" w:cs="Times New Roman"/>
          <w:bCs/>
          <w:sz w:val="24"/>
          <w:szCs w:val="24"/>
        </w:rPr>
      </w:pPr>
      <w:r>
        <w:rPr>
          <w:rFonts w:ascii="Times New Roman" w:hAnsi="Times New Roman"/>
          <w:bCs/>
          <w:sz w:val="24"/>
          <w:szCs w:val="24"/>
        </w:rPr>
        <w:t xml:space="preserve">The </w:t>
      </w:r>
      <w:smartTag w:uri="urn:schemas-microsoft-com:office:smarttags" w:element="country-region">
        <w:smartTag w:uri="urn:schemas-microsoft-com:office:smarttags" w:element="place">
          <w:r w:rsidRPr="00615A0C">
            <w:rPr>
              <w:rFonts w:ascii="Times New Roman" w:hAnsi="Times New Roman"/>
              <w:bCs/>
              <w:sz w:val="24"/>
              <w:szCs w:val="24"/>
            </w:rPr>
            <w:t>UK</w:t>
          </w:r>
        </w:smartTag>
      </w:smartTag>
      <w:r w:rsidRPr="00615A0C">
        <w:rPr>
          <w:rFonts w:ascii="Times New Roman" w:hAnsi="Times New Roman"/>
          <w:bCs/>
          <w:sz w:val="24"/>
          <w:szCs w:val="24"/>
        </w:rPr>
        <w:t xml:space="preserve"> government HVCF programme expenditure has increased considerably in recent years, rising from £140.9m between 2000</w:t>
      </w:r>
      <w:r>
        <w:rPr>
          <w:rFonts w:ascii="Times New Roman" w:hAnsi="Times New Roman"/>
          <w:bCs/>
          <w:sz w:val="24"/>
          <w:szCs w:val="24"/>
        </w:rPr>
        <w:t xml:space="preserve"> and </w:t>
      </w:r>
      <w:r w:rsidRPr="00615A0C">
        <w:rPr>
          <w:rFonts w:ascii="Times New Roman" w:hAnsi="Times New Roman"/>
          <w:bCs/>
          <w:sz w:val="24"/>
          <w:szCs w:val="24"/>
        </w:rPr>
        <w:t>2006 to £</w:t>
      </w:r>
      <w:r>
        <w:rPr>
          <w:rFonts w:ascii="Times New Roman" w:hAnsi="Times New Roman"/>
          <w:bCs/>
          <w:sz w:val="24"/>
          <w:szCs w:val="24"/>
        </w:rPr>
        <w:t>750</w:t>
      </w:r>
      <w:r w:rsidRPr="00615A0C">
        <w:rPr>
          <w:rFonts w:ascii="Times New Roman" w:hAnsi="Times New Roman"/>
          <w:bCs/>
          <w:sz w:val="24"/>
          <w:szCs w:val="24"/>
        </w:rPr>
        <w:t xml:space="preserve">m between </w:t>
      </w:r>
      <w:r w:rsidRPr="006F4CA7">
        <w:rPr>
          <w:rFonts w:ascii="Times New Roman" w:hAnsi="Times New Roman"/>
          <w:bCs/>
          <w:sz w:val="24"/>
          <w:szCs w:val="24"/>
        </w:rPr>
        <w:t>2006</w:t>
      </w:r>
      <w:r>
        <w:rPr>
          <w:rFonts w:ascii="Times New Roman" w:hAnsi="Times New Roman"/>
          <w:bCs/>
          <w:sz w:val="24"/>
          <w:szCs w:val="24"/>
        </w:rPr>
        <w:t xml:space="preserve"> and </w:t>
      </w:r>
      <w:r w:rsidRPr="006F4CA7">
        <w:rPr>
          <w:rFonts w:ascii="Times New Roman" w:hAnsi="Times New Roman"/>
          <w:bCs/>
          <w:sz w:val="24"/>
          <w:szCs w:val="24"/>
        </w:rPr>
        <w:t>2012</w:t>
      </w:r>
      <w:r>
        <w:rPr>
          <w:rFonts w:ascii="Times New Roman" w:hAnsi="Times New Roman"/>
          <w:bCs/>
          <w:sz w:val="24"/>
          <w:szCs w:val="24"/>
        </w:rPr>
        <w:t xml:space="preserve"> (CfEL, 2012)</w:t>
      </w:r>
      <w:r w:rsidRPr="00615A0C">
        <w:rPr>
          <w:rFonts w:ascii="Times New Roman" w:hAnsi="Times New Roman"/>
          <w:bCs/>
          <w:sz w:val="24"/>
          <w:szCs w:val="24"/>
        </w:rPr>
        <w:t xml:space="preserve">. Programmes have evolved, with a greater focus on larger scale, specialist funds with expert private sector led fund management and co-investment, notably in the wake of the National Audit Office </w:t>
      </w:r>
      <w:r>
        <w:rPr>
          <w:rFonts w:ascii="Times New Roman" w:hAnsi="Times New Roman"/>
          <w:bCs/>
          <w:sz w:val="24"/>
          <w:szCs w:val="24"/>
        </w:rPr>
        <w:t xml:space="preserve">(NAO) </w:t>
      </w:r>
      <w:r w:rsidRPr="00615A0C">
        <w:rPr>
          <w:rFonts w:ascii="Times New Roman" w:hAnsi="Times New Roman"/>
          <w:bCs/>
          <w:sz w:val="24"/>
          <w:szCs w:val="24"/>
        </w:rPr>
        <w:t xml:space="preserve">review recommendations (NAO, 2009). </w:t>
      </w:r>
      <w:r>
        <w:rPr>
          <w:rFonts w:ascii="Times New Roman" w:hAnsi="Times New Roman" w:cs="Times New Roman"/>
          <w:bCs/>
          <w:sz w:val="24"/>
          <w:szCs w:val="24"/>
        </w:rPr>
        <w:t xml:space="preserve">The </w:t>
      </w:r>
      <w:r w:rsidRPr="00CF08C5">
        <w:rPr>
          <w:rFonts w:ascii="Times New Roman" w:hAnsi="Times New Roman" w:cs="Times New Roman"/>
          <w:bCs/>
          <w:sz w:val="24"/>
          <w:szCs w:val="24"/>
        </w:rPr>
        <w:t>three HVCF programmes</w:t>
      </w:r>
      <w:r>
        <w:rPr>
          <w:rFonts w:ascii="Times New Roman" w:hAnsi="Times New Roman" w:cs="Times New Roman"/>
          <w:bCs/>
          <w:sz w:val="24"/>
          <w:szCs w:val="24"/>
        </w:rPr>
        <w:t xml:space="preserve"> that we focus on here</w:t>
      </w:r>
      <w:r w:rsidRPr="00CF08C5">
        <w:rPr>
          <w:rFonts w:ascii="Times New Roman" w:hAnsi="Times New Roman" w:cs="Times New Roman"/>
          <w:bCs/>
          <w:sz w:val="24"/>
          <w:szCs w:val="24"/>
        </w:rPr>
        <w:t xml:space="preserve"> </w:t>
      </w:r>
      <w:r>
        <w:rPr>
          <w:rFonts w:ascii="Times New Roman" w:hAnsi="Times New Roman" w:cs="Times New Roman"/>
          <w:bCs/>
          <w:sz w:val="24"/>
          <w:szCs w:val="24"/>
        </w:rPr>
        <w:t xml:space="preserve">represent £602.5m of government expenditure since 2006 and </w:t>
      </w:r>
      <w:r w:rsidRPr="00CF08C5">
        <w:rPr>
          <w:rFonts w:ascii="Times New Roman" w:hAnsi="Times New Roman" w:cs="Times New Roman"/>
          <w:bCs/>
          <w:sz w:val="24"/>
          <w:szCs w:val="24"/>
        </w:rPr>
        <w:t xml:space="preserve">address </w:t>
      </w:r>
      <w:r>
        <w:rPr>
          <w:rFonts w:ascii="Times New Roman" w:hAnsi="Times New Roman" w:cs="Times New Roman"/>
          <w:bCs/>
          <w:sz w:val="24"/>
          <w:szCs w:val="24"/>
        </w:rPr>
        <w:t xml:space="preserve">different </w:t>
      </w:r>
      <w:r w:rsidRPr="00CF08C5">
        <w:rPr>
          <w:rFonts w:ascii="Times New Roman" w:hAnsi="Times New Roman" w:cs="Times New Roman"/>
          <w:bCs/>
          <w:sz w:val="24"/>
          <w:szCs w:val="24"/>
        </w:rPr>
        <w:t>market</w:t>
      </w:r>
      <w:r>
        <w:rPr>
          <w:rFonts w:ascii="Times New Roman" w:hAnsi="Times New Roman" w:cs="Times New Roman"/>
          <w:bCs/>
          <w:sz w:val="24"/>
          <w:szCs w:val="24"/>
        </w:rPr>
        <w:t xml:space="preserve"> imperfections </w:t>
      </w:r>
      <w:r w:rsidRPr="00CF08C5">
        <w:rPr>
          <w:rFonts w:ascii="Times New Roman" w:hAnsi="Times New Roman" w:cs="Times New Roman"/>
          <w:bCs/>
          <w:sz w:val="24"/>
          <w:szCs w:val="24"/>
        </w:rPr>
        <w:t xml:space="preserve">in terms of the nature of the finance gap and </w:t>
      </w:r>
      <w:r>
        <w:rPr>
          <w:rFonts w:ascii="Times New Roman" w:hAnsi="Times New Roman" w:cs="Times New Roman"/>
          <w:bCs/>
          <w:sz w:val="24"/>
          <w:szCs w:val="24"/>
        </w:rPr>
        <w:t xml:space="preserve">the </w:t>
      </w:r>
      <w:r w:rsidRPr="00CF08C5">
        <w:rPr>
          <w:rFonts w:ascii="Times New Roman" w:hAnsi="Times New Roman" w:cs="Times New Roman"/>
          <w:bCs/>
          <w:sz w:val="24"/>
          <w:szCs w:val="24"/>
        </w:rPr>
        <w:t>kinds of businesses being targeted.</w:t>
      </w:r>
    </w:p>
    <w:p w:rsidR="00075DBE" w:rsidRDefault="00075DBE" w:rsidP="00085F52">
      <w:pPr>
        <w:spacing w:after="100" w:afterAutospacing="1" w:line="480" w:lineRule="auto"/>
        <w:rPr>
          <w:rFonts w:ascii="Times New Roman" w:hAnsi="Times New Roman"/>
          <w:i/>
          <w:sz w:val="24"/>
          <w:szCs w:val="24"/>
        </w:rPr>
      </w:pPr>
    </w:p>
    <w:p w:rsidR="00075DBE" w:rsidRPr="00DE44E3" w:rsidRDefault="00075DBE" w:rsidP="00085F52">
      <w:pPr>
        <w:spacing w:after="100" w:afterAutospacing="1" w:line="480" w:lineRule="auto"/>
        <w:rPr>
          <w:rFonts w:ascii="Times New Roman" w:hAnsi="Times New Roman"/>
          <w:b/>
          <w:sz w:val="20"/>
          <w:szCs w:val="24"/>
        </w:rPr>
      </w:pPr>
      <w:r w:rsidRPr="00DE44E3">
        <w:rPr>
          <w:rFonts w:ascii="Times New Roman" w:hAnsi="Times New Roman"/>
          <w:b/>
          <w:sz w:val="20"/>
          <w:szCs w:val="24"/>
        </w:rPr>
        <w:t>&lt;B&gt;</w:t>
      </w:r>
      <w:smartTag w:uri="urn:schemas-microsoft-com:office:smarttags" w:element="City">
        <w:smartTag w:uri="urn:schemas-microsoft-com:office:smarttags" w:element="place">
          <w:r w:rsidRPr="00DE44E3">
            <w:rPr>
              <w:rFonts w:ascii="Times New Roman" w:hAnsi="Times New Roman"/>
              <w:b/>
              <w:sz w:val="20"/>
              <w:szCs w:val="24"/>
            </w:rPr>
            <w:t>Enterprise</w:t>
          </w:r>
        </w:smartTag>
      </w:smartTag>
      <w:r w:rsidRPr="00DE44E3">
        <w:rPr>
          <w:rFonts w:ascii="Times New Roman" w:hAnsi="Times New Roman"/>
          <w:b/>
          <w:sz w:val="20"/>
          <w:szCs w:val="24"/>
        </w:rPr>
        <w:t xml:space="preserve"> Capital Funds</w:t>
      </w:r>
    </w:p>
    <w:p w:rsidR="00075DBE" w:rsidRDefault="00075DBE" w:rsidP="00085F52">
      <w:pPr>
        <w:spacing w:after="100" w:afterAutospacing="1" w:line="480" w:lineRule="auto"/>
        <w:rPr>
          <w:rFonts w:ascii="Times New Roman" w:hAnsi="Times New Roman"/>
          <w:sz w:val="24"/>
          <w:szCs w:val="24"/>
        </w:rPr>
      </w:pPr>
    </w:p>
    <w:p w:rsidR="00075DBE" w:rsidRDefault="00075DBE" w:rsidP="00085F52">
      <w:pPr>
        <w:spacing w:after="100" w:afterAutospacing="1" w:line="480" w:lineRule="auto"/>
        <w:rPr>
          <w:rFonts w:ascii="Times New Roman" w:hAnsi="Times New Roman"/>
          <w:sz w:val="24"/>
          <w:szCs w:val="24"/>
        </w:rPr>
      </w:pPr>
      <w:r w:rsidRPr="00CF08C5">
        <w:rPr>
          <w:rFonts w:ascii="Times New Roman" w:hAnsi="Times New Roman"/>
          <w:sz w:val="24"/>
          <w:szCs w:val="24"/>
        </w:rPr>
        <w:t xml:space="preserve">Enterprise Capital Funds (ECFs) are a rolling </w:t>
      </w:r>
      <w:r>
        <w:rPr>
          <w:rFonts w:ascii="Times New Roman" w:hAnsi="Times New Roman"/>
          <w:sz w:val="24"/>
          <w:szCs w:val="24"/>
        </w:rPr>
        <w:t xml:space="preserve">£440m </w:t>
      </w:r>
      <w:r w:rsidRPr="00CF08C5">
        <w:rPr>
          <w:rFonts w:ascii="Times New Roman" w:hAnsi="Times New Roman"/>
          <w:sz w:val="24"/>
          <w:szCs w:val="24"/>
        </w:rPr>
        <w:t>programme of 1</w:t>
      </w:r>
      <w:r>
        <w:rPr>
          <w:rFonts w:ascii="Times New Roman" w:hAnsi="Times New Roman"/>
          <w:sz w:val="24"/>
          <w:szCs w:val="24"/>
        </w:rPr>
        <w:t>6</w:t>
      </w:r>
      <w:r w:rsidRPr="00CF08C5">
        <w:rPr>
          <w:rFonts w:ascii="Times New Roman" w:hAnsi="Times New Roman"/>
          <w:sz w:val="24"/>
          <w:szCs w:val="24"/>
        </w:rPr>
        <w:t xml:space="preserve"> funds,</w:t>
      </w:r>
      <w:r w:rsidRPr="00DE44E3">
        <w:rPr>
          <w:rFonts w:ascii="Times New Roman" w:hAnsi="Times New Roman"/>
          <w:sz w:val="24"/>
          <w:szCs w:val="24"/>
          <w:highlight w:val="yellow"/>
          <w:vertAlign w:val="superscript"/>
        </w:rPr>
        <w:t>1</w:t>
      </w:r>
      <w:r w:rsidRPr="00CF08C5">
        <w:rPr>
          <w:rFonts w:ascii="Times New Roman" w:hAnsi="Times New Roman"/>
          <w:sz w:val="24"/>
          <w:szCs w:val="24"/>
        </w:rPr>
        <w:t xml:space="preserve"> established since 2006</w:t>
      </w:r>
      <w:r>
        <w:rPr>
          <w:rFonts w:ascii="Times New Roman" w:hAnsi="Times New Roman"/>
          <w:sz w:val="24"/>
          <w:szCs w:val="24"/>
        </w:rPr>
        <w:t>‒2</w:t>
      </w:r>
      <w:r w:rsidRPr="00CF08C5">
        <w:rPr>
          <w:rFonts w:ascii="Times New Roman" w:hAnsi="Times New Roman"/>
          <w:sz w:val="24"/>
          <w:szCs w:val="24"/>
        </w:rPr>
        <w:t>0</w:t>
      </w:r>
      <w:r>
        <w:rPr>
          <w:rFonts w:ascii="Times New Roman" w:hAnsi="Times New Roman"/>
          <w:sz w:val="24"/>
          <w:szCs w:val="24"/>
        </w:rPr>
        <w:t>0</w:t>
      </w:r>
      <w:r w:rsidRPr="00CF08C5">
        <w:rPr>
          <w:rFonts w:ascii="Times New Roman" w:hAnsi="Times New Roman"/>
          <w:sz w:val="24"/>
          <w:szCs w:val="24"/>
        </w:rPr>
        <w:t xml:space="preserve">7, with a planned </w:t>
      </w:r>
      <w:r>
        <w:rPr>
          <w:rFonts w:ascii="Times New Roman" w:hAnsi="Times New Roman"/>
          <w:sz w:val="24"/>
          <w:szCs w:val="24"/>
        </w:rPr>
        <w:t>10‒12</w:t>
      </w:r>
      <w:r w:rsidRPr="00CF08C5">
        <w:rPr>
          <w:rFonts w:ascii="Times New Roman" w:hAnsi="Times New Roman"/>
          <w:sz w:val="24"/>
          <w:szCs w:val="24"/>
        </w:rPr>
        <w:t xml:space="preserve"> year individual fund life cycle, addressing the equity gap facing high growth potential SMEs</w:t>
      </w:r>
      <w:r>
        <w:rPr>
          <w:rFonts w:ascii="Times New Roman" w:hAnsi="Times New Roman"/>
          <w:sz w:val="24"/>
          <w:szCs w:val="24"/>
        </w:rPr>
        <w:t>.</w:t>
      </w:r>
      <w:r w:rsidRPr="00CF08C5">
        <w:rPr>
          <w:rFonts w:ascii="Times New Roman" w:hAnsi="Times New Roman"/>
          <w:sz w:val="24"/>
          <w:szCs w:val="24"/>
        </w:rPr>
        <w:t xml:space="preserve"> Government funding is used alongside private sector funds to invest directly in</w:t>
      </w:r>
      <w:r>
        <w:rPr>
          <w:rFonts w:ascii="Times New Roman" w:hAnsi="Times New Roman"/>
          <w:sz w:val="24"/>
          <w:szCs w:val="24"/>
        </w:rPr>
        <w:t>to</w:t>
      </w:r>
      <w:r w:rsidRPr="00CF08C5">
        <w:rPr>
          <w:rFonts w:ascii="Times New Roman" w:hAnsi="Times New Roman"/>
          <w:sz w:val="24"/>
          <w:szCs w:val="24"/>
        </w:rPr>
        <w:t xml:space="preserve"> businesses, targeting investments of up to £2m </w:t>
      </w:r>
      <w:r>
        <w:rPr>
          <w:rFonts w:ascii="Times New Roman" w:hAnsi="Times New Roman"/>
          <w:sz w:val="24"/>
          <w:szCs w:val="24"/>
        </w:rPr>
        <w:t>with</w:t>
      </w:r>
      <w:r w:rsidRPr="00CF08C5">
        <w:rPr>
          <w:rFonts w:ascii="Times New Roman" w:hAnsi="Times New Roman"/>
          <w:sz w:val="24"/>
          <w:szCs w:val="24"/>
        </w:rPr>
        <w:t xml:space="preserve"> potential to provide a good commercial return. </w:t>
      </w:r>
      <w:r>
        <w:rPr>
          <w:rFonts w:ascii="Times New Roman" w:hAnsi="Times New Roman"/>
          <w:sz w:val="24"/>
          <w:szCs w:val="24"/>
        </w:rPr>
        <w:t>Here we focus on the first tranche of e</w:t>
      </w:r>
      <w:r w:rsidRPr="00CF08C5">
        <w:rPr>
          <w:rFonts w:ascii="Times New Roman" w:hAnsi="Times New Roman"/>
          <w:sz w:val="24"/>
          <w:szCs w:val="24"/>
        </w:rPr>
        <w:t>ight ECFs operati</w:t>
      </w:r>
      <w:r>
        <w:rPr>
          <w:rFonts w:ascii="Times New Roman" w:hAnsi="Times New Roman"/>
          <w:sz w:val="24"/>
          <w:szCs w:val="24"/>
        </w:rPr>
        <w:t>ng under</w:t>
      </w:r>
      <w:r w:rsidRPr="00CF08C5">
        <w:rPr>
          <w:rFonts w:ascii="Times New Roman" w:hAnsi="Times New Roman"/>
          <w:sz w:val="24"/>
          <w:szCs w:val="24"/>
        </w:rPr>
        <w:t xml:space="preserve"> private sector VC fund</w:t>
      </w:r>
      <w:r>
        <w:rPr>
          <w:rFonts w:ascii="Times New Roman" w:hAnsi="Times New Roman"/>
          <w:sz w:val="24"/>
          <w:szCs w:val="24"/>
        </w:rPr>
        <w:t xml:space="preserve"> management</w:t>
      </w:r>
      <w:r w:rsidRPr="00CF08C5">
        <w:rPr>
          <w:rFonts w:ascii="Times New Roman" w:hAnsi="Times New Roman"/>
          <w:sz w:val="24"/>
          <w:szCs w:val="24"/>
        </w:rPr>
        <w:t>, with fund</w:t>
      </w:r>
      <w:r>
        <w:rPr>
          <w:rFonts w:ascii="Times New Roman" w:hAnsi="Times New Roman"/>
          <w:sz w:val="24"/>
          <w:szCs w:val="24"/>
        </w:rPr>
        <w:t>s</w:t>
      </w:r>
      <w:r w:rsidRPr="00CF08C5">
        <w:rPr>
          <w:rFonts w:ascii="Times New Roman" w:hAnsi="Times New Roman"/>
          <w:sz w:val="24"/>
          <w:szCs w:val="24"/>
        </w:rPr>
        <w:t xml:space="preserve"> ranging from £10</w:t>
      </w:r>
      <w:r>
        <w:rPr>
          <w:rFonts w:ascii="Times New Roman" w:hAnsi="Times New Roman"/>
          <w:sz w:val="24"/>
          <w:szCs w:val="24"/>
        </w:rPr>
        <w:t>m to £</w:t>
      </w:r>
      <w:r w:rsidRPr="00CF08C5">
        <w:rPr>
          <w:rFonts w:ascii="Times New Roman" w:hAnsi="Times New Roman"/>
          <w:sz w:val="24"/>
          <w:szCs w:val="24"/>
        </w:rPr>
        <w:t xml:space="preserve">30m. These ECFs focused on different stages of business development, including seed, early stage and expansion. </w:t>
      </w:r>
      <w:r>
        <w:rPr>
          <w:rFonts w:ascii="Times New Roman" w:hAnsi="Times New Roman"/>
          <w:sz w:val="24"/>
          <w:szCs w:val="24"/>
        </w:rPr>
        <w:t>Some were generalist,</w:t>
      </w:r>
      <w:r w:rsidRPr="00CF08C5">
        <w:rPr>
          <w:rFonts w:ascii="Times New Roman" w:hAnsi="Times New Roman"/>
          <w:sz w:val="24"/>
          <w:szCs w:val="24"/>
        </w:rPr>
        <w:t xml:space="preserve"> cover</w:t>
      </w:r>
      <w:r>
        <w:rPr>
          <w:rFonts w:ascii="Times New Roman" w:hAnsi="Times New Roman"/>
          <w:sz w:val="24"/>
          <w:szCs w:val="24"/>
        </w:rPr>
        <w:t>ing</w:t>
      </w:r>
      <w:r w:rsidRPr="00CF08C5">
        <w:rPr>
          <w:rFonts w:ascii="Times New Roman" w:hAnsi="Times New Roman"/>
          <w:sz w:val="24"/>
          <w:szCs w:val="24"/>
        </w:rPr>
        <w:t xml:space="preserve"> a broad range of sectors (e.g. Seraphim Capital Fund), </w:t>
      </w:r>
      <w:r>
        <w:rPr>
          <w:rFonts w:ascii="Times New Roman" w:hAnsi="Times New Roman"/>
          <w:sz w:val="24"/>
          <w:szCs w:val="24"/>
        </w:rPr>
        <w:t xml:space="preserve">while </w:t>
      </w:r>
      <w:r w:rsidRPr="00CF08C5">
        <w:rPr>
          <w:rFonts w:ascii="Times New Roman" w:hAnsi="Times New Roman"/>
          <w:sz w:val="24"/>
          <w:szCs w:val="24"/>
        </w:rPr>
        <w:t>others speciali</w:t>
      </w:r>
      <w:r>
        <w:rPr>
          <w:rFonts w:ascii="Times New Roman" w:hAnsi="Times New Roman"/>
          <w:sz w:val="24"/>
          <w:szCs w:val="24"/>
        </w:rPr>
        <w:t>z</w:t>
      </w:r>
      <w:r w:rsidRPr="00CF08C5">
        <w:rPr>
          <w:rFonts w:ascii="Times New Roman" w:hAnsi="Times New Roman"/>
          <w:sz w:val="24"/>
          <w:szCs w:val="24"/>
        </w:rPr>
        <w:t>ed for example in new media (Dawn Capital Fund) and medical and healthcare investments (Oxford Technology Management Fund), reflecting the areas of fund management expertise.</w:t>
      </w:r>
    </w:p>
    <w:p w:rsidR="00075DBE" w:rsidRDefault="00075DBE" w:rsidP="00085F52">
      <w:pPr>
        <w:pStyle w:val="abody"/>
        <w:spacing w:after="100" w:afterAutospacing="1" w:line="480" w:lineRule="auto"/>
        <w:rPr>
          <w:rFonts w:ascii="Times New Roman" w:hAnsi="Times New Roman" w:cs="Times New Roman"/>
          <w:bCs/>
          <w:i/>
          <w:sz w:val="24"/>
          <w:szCs w:val="24"/>
        </w:rPr>
      </w:pPr>
    </w:p>
    <w:p w:rsidR="00075DBE" w:rsidRPr="00DE44E3" w:rsidRDefault="00075DBE" w:rsidP="00085F52">
      <w:pPr>
        <w:pStyle w:val="abody"/>
        <w:spacing w:after="100" w:afterAutospacing="1" w:line="480" w:lineRule="auto"/>
        <w:rPr>
          <w:rFonts w:ascii="Times New Roman" w:hAnsi="Times New Roman" w:cs="Times New Roman"/>
          <w:b/>
          <w:bCs/>
          <w:sz w:val="24"/>
          <w:szCs w:val="24"/>
        </w:rPr>
      </w:pPr>
      <w:r w:rsidRPr="00DE44E3">
        <w:rPr>
          <w:rFonts w:ascii="Times New Roman" w:hAnsi="Times New Roman" w:cs="Times New Roman"/>
          <w:b/>
          <w:bCs/>
          <w:sz w:val="20"/>
          <w:szCs w:val="24"/>
        </w:rPr>
        <w:t>&lt;B&gt;The Aspire Fund</w:t>
      </w:r>
    </w:p>
    <w:p w:rsidR="00075DBE" w:rsidRDefault="00075DBE" w:rsidP="00085F52">
      <w:pPr>
        <w:shd w:val="clear" w:color="auto" w:fill="FFFFFF"/>
        <w:spacing w:after="100" w:afterAutospacing="1" w:line="480" w:lineRule="auto"/>
        <w:rPr>
          <w:rFonts w:ascii="Times New Roman" w:hAnsi="Times New Roman"/>
          <w:color w:val="000000"/>
          <w:sz w:val="24"/>
          <w:szCs w:val="24"/>
        </w:rPr>
      </w:pPr>
    </w:p>
    <w:p w:rsidR="00075DBE" w:rsidRDefault="00075DBE" w:rsidP="00085F52">
      <w:pPr>
        <w:shd w:val="clear" w:color="auto" w:fill="FFFFFF"/>
        <w:spacing w:after="100" w:afterAutospacing="1" w:line="480" w:lineRule="auto"/>
        <w:rPr>
          <w:rFonts w:ascii="Times New Roman" w:hAnsi="Times New Roman"/>
          <w:color w:val="000000"/>
          <w:sz w:val="24"/>
          <w:szCs w:val="24"/>
        </w:rPr>
      </w:pPr>
      <w:r w:rsidRPr="00CF08C5">
        <w:rPr>
          <w:rFonts w:ascii="Times New Roman" w:hAnsi="Times New Roman"/>
          <w:color w:val="000000"/>
          <w:sz w:val="24"/>
          <w:szCs w:val="24"/>
        </w:rPr>
        <w:t>The Aspire Fund, established in 2008</w:t>
      </w:r>
      <w:r>
        <w:rPr>
          <w:rFonts w:ascii="Times New Roman" w:hAnsi="Times New Roman"/>
          <w:color w:val="000000"/>
          <w:sz w:val="24"/>
          <w:szCs w:val="24"/>
        </w:rPr>
        <w:t xml:space="preserve">, </w:t>
      </w:r>
      <w:r w:rsidRPr="00CF08C5">
        <w:rPr>
          <w:rFonts w:ascii="Times New Roman" w:hAnsi="Times New Roman"/>
          <w:bCs/>
          <w:sz w:val="24"/>
          <w:szCs w:val="24"/>
        </w:rPr>
        <w:t xml:space="preserve">aimed to increase the number of successful women-led </w:t>
      </w:r>
      <w:smartTag w:uri="urn:schemas-microsoft-com:office:smarttags" w:element="country-region">
        <w:smartTag w:uri="urn:schemas-microsoft-com:office:smarttags" w:element="place">
          <w:r>
            <w:rPr>
              <w:rFonts w:ascii="Times New Roman" w:hAnsi="Times New Roman"/>
              <w:bCs/>
              <w:sz w:val="24"/>
              <w:szCs w:val="24"/>
            </w:rPr>
            <w:t>UK</w:t>
          </w:r>
        </w:smartTag>
      </w:smartTag>
      <w:r>
        <w:rPr>
          <w:rFonts w:ascii="Times New Roman" w:hAnsi="Times New Roman"/>
          <w:bCs/>
          <w:sz w:val="24"/>
          <w:szCs w:val="24"/>
        </w:rPr>
        <w:t xml:space="preserve"> </w:t>
      </w:r>
      <w:r w:rsidRPr="00CF08C5">
        <w:rPr>
          <w:rFonts w:ascii="Times New Roman" w:hAnsi="Times New Roman"/>
          <w:bCs/>
          <w:sz w:val="24"/>
          <w:szCs w:val="24"/>
        </w:rPr>
        <w:t>businesses</w:t>
      </w:r>
      <w:r>
        <w:rPr>
          <w:rFonts w:ascii="Times New Roman" w:hAnsi="Times New Roman"/>
          <w:bCs/>
          <w:sz w:val="24"/>
          <w:szCs w:val="24"/>
        </w:rPr>
        <w:t>,</w:t>
      </w:r>
      <w:r w:rsidRPr="00CF08C5">
        <w:rPr>
          <w:rFonts w:ascii="Times New Roman" w:hAnsi="Times New Roman"/>
          <w:bCs/>
          <w:sz w:val="24"/>
          <w:szCs w:val="24"/>
        </w:rPr>
        <w:t xml:space="preserve"> </w:t>
      </w:r>
      <w:r>
        <w:rPr>
          <w:rFonts w:ascii="Times New Roman" w:hAnsi="Times New Roman"/>
          <w:bCs/>
          <w:sz w:val="24"/>
          <w:szCs w:val="24"/>
        </w:rPr>
        <w:t>assisting</w:t>
      </w:r>
      <w:r w:rsidRPr="00CF08C5">
        <w:rPr>
          <w:rFonts w:ascii="Times New Roman" w:hAnsi="Times New Roman"/>
          <w:bCs/>
          <w:sz w:val="24"/>
          <w:szCs w:val="24"/>
        </w:rPr>
        <w:t xml:space="preserve"> those with high growth potential. </w:t>
      </w:r>
      <w:r>
        <w:rPr>
          <w:rFonts w:ascii="Times New Roman" w:hAnsi="Times New Roman"/>
          <w:bCs/>
          <w:sz w:val="24"/>
          <w:szCs w:val="24"/>
        </w:rPr>
        <w:t>It</w:t>
      </w:r>
      <w:r w:rsidRPr="00CF08C5">
        <w:rPr>
          <w:rFonts w:ascii="Times New Roman" w:hAnsi="Times New Roman"/>
          <w:color w:val="000000"/>
          <w:sz w:val="24"/>
          <w:szCs w:val="24"/>
        </w:rPr>
        <w:t xml:space="preserve"> operate</w:t>
      </w:r>
      <w:r>
        <w:rPr>
          <w:rFonts w:ascii="Times New Roman" w:hAnsi="Times New Roman"/>
          <w:color w:val="000000"/>
          <w:sz w:val="24"/>
          <w:szCs w:val="24"/>
        </w:rPr>
        <w:t>s</w:t>
      </w:r>
      <w:r w:rsidRPr="00CF08C5">
        <w:rPr>
          <w:rFonts w:ascii="Times New Roman" w:hAnsi="Times New Roman"/>
          <w:color w:val="000000"/>
          <w:sz w:val="24"/>
          <w:szCs w:val="24"/>
        </w:rPr>
        <w:t xml:space="preserve"> on a co-investment model</w:t>
      </w:r>
      <w:r w:rsidRPr="00DE44E3">
        <w:rPr>
          <w:rFonts w:ascii="Times New Roman" w:hAnsi="Times New Roman"/>
          <w:color w:val="000000"/>
          <w:sz w:val="24"/>
          <w:szCs w:val="24"/>
          <w:highlight w:val="yellow"/>
          <w:vertAlign w:val="superscript"/>
        </w:rPr>
        <w:t>2</w:t>
      </w:r>
      <w:r w:rsidRPr="00CF08C5">
        <w:rPr>
          <w:rFonts w:ascii="Times New Roman" w:hAnsi="Times New Roman"/>
          <w:color w:val="000000"/>
          <w:sz w:val="24"/>
          <w:szCs w:val="24"/>
        </w:rPr>
        <w:t xml:space="preserve"> </w:t>
      </w:r>
      <w:r>
        <w:rPr>
          <w:rFonts w:ascii="Times New Roman" w:hAnsi="Times New Roman"/>
          <w:color w:val="000000"/>
          <w:sz w:val="24"/>
          <w:szCs w:val="24"/>
        </w:rPr>
        <w:t xml:space="preserve">with </w:t>
      </w:r>
      <w:r w:rsidRPr="00CF08C5">
        <w:rPr>
          <w:rFonts w:ascii="Times New Roman" w:hAnsi="Times New Roman"/>
          <w:color w:val="000000"/>
          <w:sz w:val="24"/>
          <w:szCs w:val="24"/>
        </w:rPr>
        <w:t xml:space="preserve">£12.5m </w:t>
      </w:r>
      <w:smartTag w:uri="urn:schemas-microsoft-com:office:smarttags" w:element="country-region">
        <w:smartTag w:uri="urn:schemas-microsoft-com:office:smarttags" w:element="place">
          <w:r w:rsidRPr="00CF08C5">
            <w:rPr>
              <w:rFonts w:ascii="Times New Roman" w:hAnsi="Times New Roman"/>
              <w:color w:val="000000"/>
              <w:sz w:val="24"/>
              <w:szCs w:val="24"/>
            </w:rPr>
            <w:t>UK</w:t>
          </w:r>
        </w:smartTag>
      </w:smartTag>
      <w:r w:rsidRPr="00CF08C5">
        <w:rPr>
          <w:rFonts w:ascii="Times New Roman" w:hAnsi="Times New Roman"/>
          <w:color w:val="000000"/>
          <w:sz w:val="24"/>
          <w:szCs w:val="24"/>
        </w:rPr>
        <w:t xml:space="preserve"> government funding matched by private sector funding from a lead investor</w:t>
      </w:r>
      <w:r>
        <w:rPr>
          <w:rFonts w:ascii="Times New Roman" w:hAnsi="Times New Roman"/>
          <w:color w:val="000000"/>
          <w:sz w:val="24"/>
          <w:szCs w:val="24"/>
        </w:rPr>
        <w:t>. Investments have ranged</w:t>
      </w:r>
      <w:r w:rsidRPr="00CF08C5">
        <w:rPr>
          <w:rFonts w:ascii="Times New Roman" w:hAnsi="Times New Roman"/>
          <w:color w:val="000000"/>
          <w:sz w:val="24"/>
          <w:szCs w:val="24"/>
        </w:rPr>
        <w:t xml:space="preserve"> between £200,000 and £2m, including the matched private investment.</w:t>
      </w:r>
    </w:p>
    <w:p w:rsidR="00075DBE" w:rsidRDefault="00075DBE" w:rsidP="00085F52">
      <w:pPr>
        <w:shd w:val="clear" w:color="auto" w:fill="FFFFFF"/>
        <w:spacing w:after="100" w:afterAutospacing="1" w:line="480" w:lineRule="auto"/>
        <w:rPr>
          <w:rFonts w:ascii="Times New Roman" w:hAnsi="Times New Roman"/>
          <w:bCs/>
          <w:i/>
          <w:sz w:val="24"/>
          <w:szCs w:val="24"/>
        </w:rPr>
      </w:pPr>
    </w:p>
    <w:p w:rsidR="00075DBE" w:rsidRDefault="00075DBE" w:rsidP="00085F52">
      <w:pPr>
        <w:shd w:val="clear" w:color="auto" w:fill="FFFFFF"/>
        <w:spacing w:after="100" w:afterAutospacing="1" w:line="480" w:lineRule="auto"/>
        <w:rPr>
          <w:rFonts w:ascii="Times New Roman" w:hAnsi="Times New Roman"/>
          <w:b/>
          <w:bCs/>
          <w:sz w:val="20"/>
          <w:szCs w:val="24"/>
        </w:rPr>
      </w:pPr>
      <w:r w:rsidRPr="00DE44E3">
        <w:rPr>
          <w:rFonts w:ascii="Times New Roman" w:hAnsi="Times New Roman"/>
          <w:b/>
          <w:bCs/>
          <w:sz w:val="20"/>
          <w:szCs w:val="24"/>
        </w:rPr>
        <w:t xml:space="preserve">&lt;B&gt;The </w:t>
      </w:r>
      <w:smartTag w:uri="urn:schemas-microsoft-com:office:smarttags" w:element="country-region">
        <w:smartTag w:uri="urn:schemas-microsoft-com:office:smarttags" w:element="place">
          <w:r w:rsidRPr="00DE44E3">
            <w:rPr>
              <w:rFonts w:ascii="Times New Roman" w:hAnsi="Times New Roman"/>
              <w:b/>
              <w:bCs/>
              <w:sz w:val="20"/>
              <w:szCs w:val="24"/>
            </w:rPr>
            <w:t>UK</w:t>
          </w:r>
        </w:smartTag>
      </w:smartTag>
      <w:r w:rsidRPr="00DE44E3">
        <w:rPr>
          <w:rFonts w:ascii="Times New Roman" w:hAnsi="Times New Roman"/>
          <w:b/>
          <w:bCs/>
          <w:sz w:val="20"/>
          <w:szCs w:val="24"/>
        </w:rPr>
        <w:t xml:space="preserve"> Innovation Investment Fund</w:t>
      </w:r>
    </w:p>
    <w:p w:rsidR="00075DBE" w:rsidRPr="00DE44E3" w:rsidRDefault="00075DBE" w:rsidP="00085F52">
      <w:pPr>
        <w:shd w:val="clear" w:color="auto" w:fill="FFFFFF"/>
        <w:spacing w:after="100" w:afterAutospacing="1" w:line="480" w:lineRule="auto"/>
        <w:rPr>
          <w:rFonts w:ascii="Times New Roman" w:hAnsi="Times New Roman"/>
          <w:b/>
          <w:bCs/>
          <w:sz w:val="20"/>
          <w:szCs w:val="24"/>
        </w:rPr>
      </w:pPr>
    </w:p>
    <w:p w:rsidR="00075DBE" w:rsidRDefault="00075DBE" w:rsidP="00085F52">
      <w:pPr>
        <w:shd w:val="clear" w:color="auto" w:fill="FFFFFF"/>
        <w:spacing w:after="100" w:afterAutospacing="1" w:line="480" w:lineRule="auto"/>
        <w:rPr>
          <w:rFonts w:ascii="Times New Roman" w:hAnsi="Times New Roman"/>
          <w:color w:val="000000"/>
          <w:sz w:val="24"/>
          <w:szCs w:val="24"/>
        </w:rPr>
      </w:pPr>
      <w:r w:rsidRPr="00CF08C5">
        <w:rPr>
          <w:rFonts w:ascii="Times New Roman" w:hAnsi="Times New Roman"/>
          <w:color w:val="000000"/>
          <w:sz w:val="24"/>
          <w:szCs w:val="24"/>
        </w:rPr>
        <w:t>The UK Innovation Investment Fund (UKIIF), established in 2010, aimed to stimulate private VC investment in</w:t>
      </w:r>
      <w:r>
        <w:rPr>
          <w:rFonts w:ascii="Times New Roman" w:hAnsi="Times New Roman"/>
          <w:color w:val="000000"/>
          <w:sz w:val="24"/>
          <w:szCs w:val="24"/>
        </w:rPr>
        <w:t>to intensive R&amp;D sectors</w:t>
      </w:r>
      <w:r w:rsidRPr="00CF08C5">
        <w:rPr>
          <w:rFonts w:ascii="Times New Roman" w:hAnsi="Times New Roman"/>
          <w:color w:val="000000"/>
          <w:sz w:val="24"/>
          <w:szCs w:val="24"/>
        </w:rPr>
        <w:t xml:space="preserve">. </w:t>
      </w:r>
      <w:r>
        <w:rPr>
          <w:rFonts w:ascii="Times New Roman" w:hAnsi="Times New Roman"/>
          <w:color w:val="000000"/>
          <w:sz w:val="24"/>
          <w:szCs w:val="24"/>
        </w:rPr>
        <w:t xml:space="preserve">The </w:t>
      </w:r>
      <w:r w:rsidRPr="00CF08C5">
        <w:rPr>
          <w:rFonts w:ascii="Times New Roman" w:hAnsi="Times New Roman"/>
          <w:color w:val="000000"/>
          <w:sz w:val="24"/>
          <w:szCs w:val="24"/>
        </w:rPr>
        <w:t xml:space="preserve">£150m of </w:t>
      </w:r>
      <w:smartTag w:uri="urn:schemas-microsoft-com:office:smarttags" w:element="country-region">
        <w:smartTag w:uri="urn:schemas-microsoft-com:office:smarttags" w:element="place">
          <w:r w:rsidRPr="00CF08C5">
            <w:rPr>
              <w:rFonts w:ascii="Times New Roman" w:hAnsi="Times New Roman"/>
              <w:color w:val="000000"/>
              <w:sz w:val="24"/>
              <w:szCs w:val="24"/>
            </w:rPr>
            <w:t>UK</w:t>
          </w:r>
        </w:smartTag>
      </w:smartTag>
      <w:r w:rsidRPr="00CF08C5">
        <w:rPr>
          <w:rFonts w:ascii="Times New Roman" w:hAnsi="Times New Roman"/>
          <w:color w:val="000000"/>
          <w:sz w:val="24"/>
          <w:szCs w:val="24"/>
        </w:rPr>
        <w:t xml:space="preserve"> government funding </w:t>
      </w:r>
      <w:r>
        <w:rPr>
          <w:rFonts w:ascii="Times New Roman" w:hAnsi="Times New Roman"/>
          <w:color w:val="000000"/>
          <w:sz w:val="24"/>
          <w:szCs w:val="24"/>
        </w:rPr>
        <w:t xml:space="preserve">was </w:t>
      </w:r>
      <w:r w:rsidRPr="00CF08C5">
        <w:rPr>
          <w:rFonts w:ascii="Times New Roman" w:hAnsi="Times New Roman"/>
          <w:color w:val="000000"/>
          <w:sz w:val="24"/>
          <w:szCs w:val="24"/>
        </w:rPr>
        <w:t xml:space="preserve">matched by a further £180m of </w:t>
      </w:r>
      <w:r>
        <w:rPr>
          <w:rFonts w:ascii="Times New Roman" w:hAnsi="Times New Roman"/>
          <w:color w:val="000000"/>
          <w:sz w:val="24"/>
          <w:szCs w:val="24"/>
        </w:rPr>
        <w:t xml:space="preserve">public and </w:t>
      </w:r>
      <w:r w:rsidRPr="00CF08C5">
        <w:rPr>
          <w:rFonts w:ascii="Times New Roman" w:hAnsi="Times New Roman"/>
          <w:color w:val="000000"/>
          <w:sz w:val="24"/>
          <w:szCs w:val="24"/>
        </w:rPr>
        <w:t xml:space="preserve">private funding from two ‘fund of funds’ managed by the Hermes Environmental Innovation Fund and the European Investment Fund’s UK Technologies Fund. UKIIF operates </w:t>
      </w:r>
      <w:r w:rsidRPr="00085F52">
        <w:rPr>
          <w:rFonts w:ascii="Times New Roman" w:hAnsi="Times New Roman"/>
          <w:i/>
          <w:color w:val="000000"/>
          <w:sz w:val="24"/>
          <w:szCs w:val="24"/>
        </w:rPr>
        <w:t>pari passu</w:t>
      </w:r>
      <w:r w:rsidRPr="00CF08C5">
        <w:rPr>
          <w:rFonts w:ascii="Times New Roman" w:hAnsi="Times New Roman"/>
          <w:color w:val="000000"/>
          <w:sz w:val="24"/>
          <w:szCs w:val="24"/>
        </w:rPr>
        <w:t xml:space="preserve"> at arms</w:t>
      </w:r>
      <w:r>
        <w:rPr>
          <w:rFonts w:ascii="Times New Roman" w:hAnsi="Times New Roman"/>
          <w:color w:val="000000"/>
          <w:sz w:val="24"/>
          <w:szCs w:val="24"/>
        </w:rPr>
        <w:t>’</w:t>
      </w:r>
      <w:r w:rsidRPr="00CF08C5">
        <w:rPr>
          <w:rFonts w:ascii="Times New Roman" w:hAnsi="Times New Roman"/>
          <w:color w:val="000000"/>
          <w:sz w:val="24"/>
          <w:szCs w:val="24"/>
        </w:rPr>
        <w:t xml:space="preserve"> length under the scrutiny of </w:t>
      </w:r>
      <w:r>
        <w:rPr>
          <w:rFonts w:ascii="Times New Roman" w:hAnsi="Times New Roman"/>
          <w:color w:val="000000"/>
          <w:sz w:val="24"/>
          <w:szCs w:val="24"/>
        </w:rPr>
        <w:t>the British Business Bank</w:t>
      </w:r>
      <w:r w:rsidRPr="00CF08C5">
        <w:rPr>
          <w:rFonts w:ascii="Times New Roman" w:hAnsi="Times New Roman"/>
          <w:color w:val="000000"/>
          <w:sz w:val="24"/>
          <w:szCs w:val="24"/>
        </w:rPr>
        <w:t>.</w:t>
      </w:r>
      <w:r w:rsidRPr="00DE44E3">
        <w:rPr>
          <w:rFonts w:ascii="Times New Roman" w:hAnsi="Times New Roman"/>
          <w:color w:val="000000"/>
          <w:sz w:val="24"/>
          <w:szCs w:val="24"/>
          <w:highlight w:val="yellow"/>
          <w:vertAlign w:val="superscript"/>
        </w:rPr>
        <w:t>3</w:t>
      </w:r>
      <w:r w:rsidRPr="00CF08C5">
        <w:rPr>
          <w:rFonts w:ascii="Times New Roman" w:hAnsi="Times New Roman"/>
          <w:color w:val="000000"/>
          <w:sz w:val="24"/>
          <w:szCs w:val="24"/>
        </w:rPr>
        <w:t xml:space="preserve"> As it is private sector led and can invest in innovative businesses globally, there are no </w:t>
      </w:r>
      <w:r>
        <w:rPr>
          <w:rFonts w:ascii="Times New Roman" w:hAnsi="Times New Roman"/>
          <w:color w:val="000000"/>
          <w:sz w:val="24"/>
          <w:szCs w:val="24"/>
        </w:rPr>
        <w:t>European Union (</w:t>
      </w:r>
      <w:r w:rsidRPr="00DE11F8">
        <w:rPr>
          <w:rFonts w:ascii="Times New Roman" w:hAnsi="Times New Roman"/>
          <w:color w:val="000000"/>
          <w:sz w:val="24"/>
          <w:szCs w:val="24"/>
        </w:rPr>
        <w:t>EU</w:t>
      </w:r>
      <w:r>
        <w:rPr>
          <w:rFonts w:ascii="Times New Roman" w:hAnsi="Times New Roman"/>
          <w:color w:val="000000"/>
          <w:sz w:val="24"/>
          <w:szCs w:val="24"/>
        </w:rPr>
        <w:t>)</w:t>
      </w:r>
      <w:r w:rsidRPr="00DE11F8">
        <w:rPr>
          <w:rFonts w:ascii="Times New Roman" w:hAnsi="Times New Roman"/>
          <w:color w:val="000000"/>
          <w:sz w:val="24"/>
          <w:szCs w:val="24"/>
        </w:rPr>
        <w:t xml:space="preserve"> state aid restrictions</w:t>
      </w:r>
      <w:r w:rsidRPr="00CF08C5">
        <w:rPr>
          <w:rFonts w:ascii="Times New Roman" w:hAnsi="Times New Roman"/>
          <w:color w:val="000000"/>
          <w:sz w:val="24"/>
          <w:szCs w:val="24"/>
        </w:rPr>
        <w:t xml:space="preserve"> on the size of initial</w:t>
      </w:r>
      <w:r>
        <w:rPr>
          <w:rFonts w:ascii="Times New Roman" w:hAnsi="Times New Roman"/>
          <w:color w:val="000000"/>
          <w:sz w:val="24"/>
          <w:szCs w:val="24"/>
        </w:rPr>
        <w:t xml:space="preserve"> </w:t>
      </w:r>
      <w:r w:rsidRPr="00CF08C5">
        <w:rPr>
          <w:rFonts w:ascii="Times New Roman" w:hAnsi="Times New Roman"/>
          <w:color w:val="000000"/>
          <w:sz w:val="24"/>
          <w:szCs w:val="24"/>
        </w:rPr>
        <w:t xml:space="preserve">or follow on investments. The fund focuses on life sciences, cleantech, digital technology and advanced manufacturing sectors and must invest at least £150m into </w:t>
      </w:r>
      <w:smartTag w:uri="urn:schemas-microsoft-com:office:smarttags" w:element="country-region">
        <w:smartTag w:uri="urn:schemas-microsoft-com:office:smarttags" w:element="place">
          <w:r w:rsidRPr="00CF08C5">
            <w:rPr>
              <w:rFonts w:ascii="Times New Roman" w:hAnsi="Times New Roman"/>
              <w:color w:val="000000"/>
              <w:sz w:val="24"/>
              <w:szCs w:val="24"/>
            </w:rPr>
            <w:t>UK</w:t>
          </w:r>
        </w:smartTag>
      </w:smartTag>
      <w:r w:rsidRPr="00CF08C5">
        <w:rPr>
          <w:rFonts w:ascii="Times New Roman" w:hAnsi="Times New Roman"/>
          <w:color w:val="000000"/>
          <w:sz w:val="24"/>
          <w:szCs w:val="24"/>
        </w:rPr>
        <w:t xml:space="preserve"> based businesses during its expected 12</w:t>
      </w:r>
      <w:r>
        <w:rPr>
          <w:rFonts w:ascii="Times New Roman" w:hAnsi="Times New Roman"/>
          <w:color w:val="000000"/>
          <w:sz w:val="24"/>
          <w:szCs w:val="24"/>
        </w:rPr>
        <w:t>‒</w:t>
      </w:r>
      <w:r w:rsidRPr="00CF08C5">
        <w:rPr>
          <w:rFonts w:ascii="Times New Roman" w:hAnsi="Times New Roman"/>
          <w:color w:val="000000"/>
          <w:sz w:val="24"/>
          <w:szCs w:val="24"/>
        </w:rPr>
        <w:t>15 year life cycle.</w:t>
      </w:r>
    </w:p>
    <w:p w:rsidR="00075DBE" w:rsidRDefault="00075DBE" w:rsidP="00085F52">
      <w:pPr>
        <w:pStyle w:val="abody"/>
        <w:spacing w:after="100" w:afterAutospacing="1" w:line="480" w:lineRule="auto"/>
        <w:rPr>
          <w:rFonts w:ascii="Times New Roman" w:hAnsi="Times New Roman" w:cs="Times New Roman"/>
          <w:b/>
          <w:bCs/>
          <w:sz w:val="24"/>
          <w:szCs w:val="24"/>
        </w:rPr>
      </w:pPr>
    </w:p>
    <w:p w:rsidR="00075DBE" w:rsidRDefault="00075DBE" w:rsidP="00085F52">
      <w:pPr>
        <w:pStyle w:val="abody"/>
        <w:spacing w:after="100" w:afterAutospacing="1" w:line="480" w:lineRule="auto"/>
        <w:rPr>
          <w:rFonts w:ascii="Times New Roman" w:hAnsi="Times New Roman" w:cs="Times New Roman"/>
          <w:b/>
          <w:bCs/>
          <w:sz w:val="24"/>
          <w:szCs w:val="24"/>
        </w:rPr>
      </w:pPr>
    </w:p>
    <w:p w:rsidR="00075DBE" w:rsidRDefault="00075DBE" w:rsidP="00085F52">
      <w:pPr>
        <w:pStyle w:val="abody"/>
        <w:spacing w:after="100" w:afterAutospacing="1" w:line="480" w:lineRule="auto"/>
        <w:rPr>
          <w:rFonts w:ascii="Times New Roman" w:hAnsi="Times New Roman" w:cs="Times New Roman"/>
          <w:bCs/>
          <w:sz w:val="24"/>
          <w:szCs w:val="24"/>
        </w:rPr>
      </w:pPr>
      <w:r w:rsidRPr="00927935">
        <w:rPr>
          <w:rFonts w:ascii="Times New Roman" w:hAnsi="Times New Roman" w:cs="Times New Roman"/>
          <w:bCs/>
          <w:sz w:val="24"/>
          <w:szCs w:val="24"/>
        </w:rPr>
        <w:t>&lt;A&gt;METHODOLOGY</w:t>
      </w:r>
    </w:p>
    <w:p w:rsidR="00075DBE" w:rsidRPr="00DE44E3" w:rsidRDefault="00075DBE" w:rsidP="00085F52">
      <w:pPr>
        <w:pStyle w:val="abody"/>
        <w:spacing w:after="100" w:afterAutospacing="1" w:line="480" w:lineRule="auto"/>
        <w:rPr>
          <w:rFonts w:ascii="Times New Roman" w:hAnsi="Times New Roman" w:cs="Times New Roman"/>
          <w:bCs/>
          <w:sz w:val="24"/>
          <w:szCs w:val="24"/>
        </w:rPr>
      </w:pPr>
    </w:p>
    <w:p w:rsidR="00075DBE" w:rsidRDefault="00075DBE" w:rsidP="00085F52">
      <w:pPr>
        <w:spacing w:after="100" w:afterAutospacing="1" w:line="480" w:lineRule="auto"/>
        <w:rPr>
          <w:rFonts w:ascii="Times New Roman" w:hAnsi="Times New Roman"/>
          <w:sz w:val="24"/>
          <w:szCs w:val="24"/>
        </w:rPr>
      </w:pPr>
      <w:r>
        <w:rPr>
          <w:rFonts w:ascii="Times New Roman" w:hAnsi="Times New Roman"/>
          <w:sz w:val="24"/>
          <w:szCs w:val="24"/>
        </w:rPr>
        <w:t>D</w:t>
      </w:r>
      <w:r w:rsidRPr="00CF08C5">
        <w:rPr>
          <w:rFonts w:ascii="Times New Roman" w:hAnsi="Times New Roman"/>
          <w:sz w:val="24"/>
          <w:szCs w:val="24"/>
        </w:rPr>
        <w:t>emand</w:t>
      </w:r>
      <w:r>
        <w:rPr>
          <w:rFonts w:ascii="Times New Roman" w:hAnsi="Times New Roman"/>
          <w:sz w:val="24"/>
          <w:szCs w:val="24"/>
        </w:rPr>
        <w:t xml:space="preserve"> </w:t>
      </w:r>
      <w:r w:rsidRPr="00CF08C5">
        <w:rPr>
          <w:rFonts w:ascii="Times New Roman" w:hAnsi="Times New Roman"/>
          <w:sz w:val="24"/>
          <w:szCs w:val="24"/>
        </w:rPr>
        <w:t xml:space="preserve">side </w:t>
      </w:r>
      <w:r>
        <w:rPr>
          <w:rFonts w:ascii="Times New Roman" w:hAnsi="Times New Roman"/>
          <w:sz w:val="24"/>
          <w:szCs w:val="24"/>
        </w:rPr>
        <w:t>evidence</w:t>
      </w:r>
      <w:r w:rsidRPr="00CF08C5">
        <w:rPr>
          <w:rFonts w:ascii="Times New Roman" w:hAnsi="Times New Roman"/>
          <w:sz w:val="24"/>
          <w:szCs w:val="24"/>
        </w:rPr>
        <w:t xml:space="preserve"> </w:t>
      </w:r>
      <w:r>
        <w:rPr>
          <w:rFonts w:ascii="Times New Roman" w:hAnsi="Times New Roman"/>
          <w:sz w:val="24"/>
          <w:szCs w:val="24"/>
        </w:rPr>
        <w:t xml:space="preserve">comes </w:t>
      </w:r>
      <w:r w:rsidRPr="00CF08C5">
        <w:rPr>
          <w:rFonts w:ascii="Times New Roman" w:hAnsi="Times New Roman"/>
          <w:sz w:val="24"/>
          <w:szCs w:val="24"/>
        </w:rPr>
        <w:t>from 32 surveyed business recipients of the three HVCF programmes. Supply</w:t>
      </w:r>
      <w:r>
        <w:rPr>
          <w:rFonts w:ascii="Times New Roman" w:hAnsi="Times New Roman"/>
          <w:sz w:val="24"/>
          <w:szCs w:val="24"/>
        </w:rPr>
        <w:t xml:space="preserve"> </w:t>
      </w:r>
      <w:r w:rsidRPr="00CF08C5">
        <w:rPr>
          <w:rFonts w:ascii="Times New Roman" w:hAnsi="Times New Roman"/>
          <w:sz w:val="24"/>
          <w:szCs w:val="24"/>
        </w:rPr>
        <w:t xml:space="preserve">side </w:t>
      </w:r>
      <w:r>
        <w:rPr>
          <w:rFonts w:ascii="Times New Roman" w:hAnsi="Times New Roman"/>
          <w:sz w:val="24"/>
          <w:szCs w:val="24"/>
        </w:rPr>
        <w:t>evidence</w:t>
      </w:r>
      <w:r w:rsidRPr="00CF08C5">
        <w:rPr>
          <w:rFonts w:ascii="Times New Roman" w:hAnsi="Times New Roman"/>
          <w:sz w:val="24"/>
          <w:szCs w:val="24"/>
        </w:rPr>
        <w:t xml:space="preserve"> </w:t>
      </w:r>
      <w:r>
        <w:rPr>
          <w:rFonts w:ascii="Times New Roman" w:hAnsi="Times New Roman"/>
          <w:sz w:val="24"/>
          <w:szCs w:val="24"/>
        </w:rPr>
        <w:t>comes from</w:t>
      </w:r>
      <w:r w:rsidRPr="00CF08C5">
        <w:rPr>
          <w:rFonts w:ascii="Times New Roman" w:hAnsi="Times New Roman"/>
          <w:sz w:val="24"/>
          <w:szCs w:val="24"/>
        </w:rPr>
        <w:t xml:space="preserve"> </w:t>
      </w:r>
      <w:r>
        <w:rPr>
          <w:rFonts w:ascii="Times New Roman" w:hAnsi="Times New Roman"/>
          <w:sz w:val="24"/>
          <w:szCs w:val="24"/>
        </w:rPr>
        <w:t xml:space="preserve">interviews with </w:t>
      </w:r>
      <w:r w:rsidRPr="00CF08C5">
        <w:rPr>
          <w:rFonts w:ascii="Times New Roman" w:hAnsi="Times New Roman"/>
          <w:sz w:val="24"/>
          <w:szCs w:val="24"/>
        </w:rPr>
        <w:t>1</w:t>
      </w:r>
      <w:r>
        <w:rPr>
          <w:rFonts w:ascii="Times New Roman" w:hAnsi="Times New Roman"/>
          <w:sz w:val="24"/>
          <w:szCs w:val="24"/>
        </w:rPr>
        <w:t>6</w:t>
      </w:r>
      <w:r w:rsidRPr="00CF08C5">
        <w:rPr>
          <w:rFonts w:ascii="Times New Roman" w:hAnsi="Times New Roman"/>
          <w:sz w:val="24"/>
          <w:szCs w:val="24"/>
        </w:rPr>
        <w:t xml:space="preserve"> fund manager</w:t>
      </w:r>
      <w:r>
        <w:rPr>
          <w:rFonts w:ascii="Times New Roman" w:hAnsi="Times New Roman"/>
          <w:sz w:val="24"/>
          <w:szCs w:val="24"/>
        </w:rPr>
        <w:t xml:space="preserve">s </w:t>
      </w:r>
      <w:r w:rsidRPr="00CF08C5">
        <w:rPr>
          <w:rFonts w:ascii="Times New Roman" w:hAnsi="Times New Roman"/>
          <w:sz w:val="24"/>
          <w:szCs w:val="24"/>
        </w:rPr>
        <w:t>who dealt with applications for the government funds and 22 finance industry experts.</w:t>
      </w:r>
    </w:p>
    <w:p w:rsidR="00075DBE" w:rsidRDefault="00075DBE" w:rsidP="00085F52">
      <w:pPr>
        <w:spacing w:after="100" w:afterAutospacing="1" w:line="480" w:lineRule="auto"/>
        <w:rPr>
          <w:rFonts w:ascii="Times New Roman" w:hAnsi="Times New Roman"/>
          <w:b/>
          <w:i/>
          <w:sz w:val="24"/>
          <w:szCs w:val="24"/>
        </w:rPr>
      </w:pPr>
    </w:p>
    <w:p w:rsidR="00075DBE" w:rsidRPr="00DE44E3" w:rsidRDefault="00075DBE" w:rsidP="00085F52">
      <w:pPr>
        <w:spacing w:after="100" w:afterAutospacing="1" w:line="480" w:lineRule="auto"/>
        <w:rPr>
          <w:rFonts w:ascii="Times New Roman" w:hAnsi="Times New Roman"/>
          <w:b/>
          <w:sz w:val="20"/>
          <w:szCs w:val="24"/>
        </w:rPr>
      </w:pPr>
      <w:r w:rsidRPr="00DE44E3">
        <w:rPr>
          <w:rFonts w:ascii="Times New Roman" w:hAnsi="Times New Roman"/>
          <w:b/>
          <w:sz w:val="20"/>
          <w:szCs w:val="24"/>
        </w:rPr>
        <w:t>&lt;B&gt;Business Manager Interviews</w:t>
      </w:r>
    </w:p>
    <w:p w:rsidR="00075DBE" w:rsidRDefault="00075DBE" w:rsidP="00085F52">
      <w:pPr>
        <w:spacing w:after="100" w:afterAutospacing="1" w:line="480" w:lineRule="auto"/>
        <w:rPr>
          <w:rFonts w:ascii="Times New Roman" w:hAnsi="Times New Roman"/>
          <w:sz w:val="24"/>
          <w:szCs w:val="24"/>
        </w:rPr>
      </w:pPr>
    </w:p>
    <w:p w:rsidR="00075DBE" w:rsidRDefault="00075DBE" w:rsidP="00085F52">
      <w:pPr>
        <w:spacing w:after="100" w:afterAutospacing="1" w:line="480" w:lineRule="auto"/>
        <w:rPr>
          <w:rFonts w:ascii="Times New Roman" w:hAnsi="Times New Roman"/>
          <w:sz w:val="24"/>
          <w:szCs w:val="24"/>
        </w:rPr>
      </w:pPr>
      <w:r>
        <w:rPr>
          <w:rFonts w:ascii="Times New Roman" w:hAnsi="Times New Roman"/>
          <w:sz w:val="24"/>
          <w:szCs w:val="24"/>
        </w:rPr>
        <w:t xml:space="preserve">The owner-managers of </w:t>
      </w:r>
      <w:r w:rsidRPr="00CF08C5">
        <w:rPr>
          <w:rFonts w:ascii="Times New Roman" w:hAnsi="Times New Roman"/>
          <w:sz w:val="24"/>
          <w:szCs w:val="24"/>
        </w:rPr>
        <w:t>32 successful business applicants to the three HVCF programmes were interviewed face-to-face or by telephone, with purposive select</w:t>
      </w:r>
      <w:r>
        <w:rPr>
          <w:rFonts w:ascii="Times New Roman" w:hAnsi="Times New Roman"/>
          <w:sz w:val="24"/>
          <w:szCs w:val="24"/>
        </w:rPr>
        <w:t>ion</w:t>
      </w:r>
      <w:r w:rsidRPr="00CF08C5">
        <w:rPr>
          <w:rFonts w:ascii="Times New Roman" w:hAnsi="Times New Roman"/>
          <w:sz w:val="24"/>
          <w:szCs w:val="24"/>
        </w:rPr>
        <w:t xml:space="preserve"> to provide sector and UK-wide </w:t>
      </w:r>
      <w:r w:rsidRPr="00CF08C5">
        <w:rPr>
          <w:rFonts w:ascii="Times New Roman" w:hAnsi="Times New Roman"/>
          <w:sz w:val="24"/>
          <w:szCs w:val="24"/>
        </w:rPr>
        <w:lastRenderedPageBreak/>
        <w:t xml:space="preserve">coverage. These represented one third of the </w:t>
      </w:r>
      <w:r>
        <w:rPr>
          <w:rFonts w:ascii="Times New Roman" w:hAnsi="Times New Roman"/>
          <w:sz w:val="24"/>
          <w:szCs w:val="24"/>
        </w:rPr>
        <w:t xml:space="preserve">programmes’ funded </w:t>
      </w:r>
      <w:r w:rsidRPr="00CF08C5">
        <w:rPr>
          <w:rFonts w:ascii="Times New Roman" w:hAnsi="Times New Roman"/>
          <w:sz w:val="24"/>
          <w:szCs w:val="24"/>
        </w:rPr>
        <w:t xml:space="preserve">businesses (32/94) at the time of the survey, with initial ECF and Aspire interviews </w:t>
      </w:r>
      <w:r>
        <w:rPr>
          <w:rFonts w:ascii="Times New Roman" w:hAnsi="Times New Roman"/>
          <w:sz w:val="24"/>
          <w:szCs w:val="24"/>
        </w:rPr>
        <w:t>undertaken</w:t>
      </w:r>
      <w:r w:rsidRPr="00CF08C5">
        <w:rPr>
          <w:rFonts w:ascii="Times New Roman" w:hAnsi="Times New Roman"/>
          <w:sz w:val="24"/>
          <w:szCs w:val="24"/>
        </w:rPr>
        <w:t xml:space="preserve"> in February 2010 and UKIIF interviews </w:t>
      </w:r>
      <w:r>
        <w:rPr>
          <w:rFonts w:ascii="Times New Roman" w:hAnsi="Times New Roman"/>
          <w:sz w:val="24"/>
          <w:szCs w:val="24"/>
        </w:rPr>
        <w:t>undertaken</w:t>
      </w:r>
      <w:r w:rsidRPr="00CF08C5">
        <w:rPr>
          <w:rFonts w:ascii="Times New Roman" w:hAnsi="Times New Roman"/>
          <w:sz w:val="24"/>
          <w:szCs w:val="24"/>
        </w:rPr>
        <w:t xml:space="preserve"> in February 2012 (</w:t>
      </w:r>
      <w:r w:rsidRPr="00DE44E3">
        <w:rPr>
          <w:rFonts w:ascii="Times New Roman" w:hAnsi="Times New Roman"/>
          <w:sz w:val="24"/>
          <w:szCs w:val="24"/>
        </w:rPr>
        <w:t>Table 8.1</w:t>
      </w:r>
      <w:r w:rsidRPr="00CF08C5">
        <w:rPr>
          <w:rFonts w:ascii="Times New Roman" w:hAnsi="Times New Roman"/>
          <w:sz w:val="24"/>
          <w:szCs w:val="24"/>
        </w:rPr>
        <w:t xml:space="preserve">). </w:t>
      </w:r>
      <w:r>
        <w:rPr>
          <w:rFonts w:ascii="Times New Roman" w:hAnsi="Times New Roman"/>
          <w:sz w:val="24"/>
          <w:szCs w:val="24"/>
        </w:rPr>
        <w:t xml:space="preserve">Survey questions </w:t>
      </w:r>
      <w:r w:rsidRPr="00CF08C5">
        <w:rPr>
          <w:rFonts w:ascii="Times New Roman" w:hAnsi="Times New Roman"/>
          <w:sz w:val="24"/>
          <w:szCs w:val="24"/>
        </w:rPr>
        <w:t>included business</w:t>
      </w:r>
      <w:r>
        <w:rPr>
          <w:rFonts w:ascii="Times New Roman" w:hAnsi="Times New Roman"/>
          <w:sz w:val="24"/>
          <w:szCs w:val="24"/>
        </w:rPr>
        <w:t xml:space="preserve"> characteristics</w:t>
      </w:r>
      <w:r w:rsidRPr="00CF08C5">
        <w:rPr>
          <w:rFonts w:ascii="Times New Roman" w:hAnsi="Times New Roman"/>
          <w:sz w:val="24"/>
          <w:szCs w:val="24"/>
        </w:rPr>
        <w:t xml:space="preserve">, external financing requirements and knowledge, degree of success in obtaining external finance, terms and conditions, and </w:t>
      </w:r>
      <w:r>
        <w:rPr>
          <w:rFonts w:ascii="Times New Roman" w:hAnsi="Times New Roman"/>
          <w:sz w:val="24"/>
          <w:szCs w:val="24"/>
        </w:rPr>
        <w:t xml:space="preserve">the </w:t>
      </w:r>
      <w:r w:rsidRPr="00CF08C5">
        <w:rPr>
          <w:rFonts w:ascii="Times New Roman" w:hAnsi="Times New Roman"/>
          <w:sz w:val="24"/>
          <w:szCs w:val="24"/>
        </w:rPr>
        <w:t>impact and additionality experienced and forecast from the funding</w:t>
      </w:r>
      <w:r>
        <w:rPr>
          <w:rFonts w:ascii="Times New Roman" w:hAnsi="Times New Roman"/>
          <w:sz w:val="24"/>
          <w:szCs w:val="24"/>
        </w:rPr>
        <w:t xml:space="preserve"> received. Further </w:t>
      </w:r>
      <w:r w:rsidRPr="00CF08C5">
        <w:rPr>
          <w:rFonts w:ascii="Times New Roman" w:hAnsi="Times New Roman"/>
          <w:sz w:val="24"/>
          <w:szCs w:val="24"/>
        </w:rPr>
        <w:t>follow up telephone interviews t</w:t>
      </w:r>
      <w:r>
        <w:rPr>
          <w:rFonts w:ascii="Times New Roman" w:hAnsi="Times New Roman"/>
          <w:sz w:val="24"/>
          <w:szCs w:val="24"/>
        </w:rPr>
        <w:t>ook</w:t>
      </w:r>
      <w:r w:rsidRPr="00CF08C5">
        <w:rPr>
          <w:rFonts w:ascii="Times New Roman" w:hAnsi="Times New Roman"/>
          <w:sz w:val="24"/>
          <w:szCs w:val="24"/>
        </w:rPr>
        <w:t xml:space="preserve"> place </w:t>
      </w:r>
      <w:r>
        <w:rPr>
          <w:rFonts w:ascii="Times New Roman" w:hAnsi="Times New Roman"/>
          <w:sz w:val="24"/>
          <w:szCs w:val="24"/>
        </w:rPr>
        <w:t xml:space="preserve">with 24 of the recipient businesses </w:t>
      </w:r>
      <w:r w:rsidRPr="00CF08C5">
        <w:rPr>
          <w:rFonts w:ascii="Times New Roman" w:hAnsi="Times New Roman"/>
          <w:sz w:val="24"/>
          <w:szCs w:val="24"/>
        </w:rPr>
        <w:t xml:space="preserve">in May 2013 to assess development since </w:t>
      </w:r>
      <w:r>
        <w:rPr>
          <w:rFonts w:ascii="Times New Roman" w:hAnsi="Times New Roman"/>
          <w:sz w:val="24"/>
          <w:szCs w:val="24"/>
        </w:rPr>
        <w:t xml:space="preserve">the </w:t>
      </w:r>
      <w:r w:rsidRPr="00CF08C5">
        <w:rPr>
          <w:rFonts w:ascii="Times New Roman" w:hAnsi="Times New Roman"/>
          <w:sz w:val="24"/>
          <w:szCs w:val="24"/>
        </w:rPr>
        <w:t>initial funding.</w:t>
      </w:r>
    </w:p>
    <w:p w:rsidR="00075DBE" w:rsidRDefault="00075DBE" w:rsidP="00085F52">
      <w:pPr>
        <w:spacing w:after="100" w:afterAutospacing="1" w:line="480" w:lineRule="auto"/>
        <w:jc w:val="center"/>
        <w:rPr>
          <w:rFonts w:ascii="Times New Roman" w:hAnsi="Times New Roman"/>
          <w:sz w:val="24"/>
          <w:szCs w:val="24"/>
        </w:rPr>
      </w:pPr>
      <w:r w:rsidRPr="007D4E49">
        <w:rPr>
          <w:rFonts w:ascii="Times New Roman" w:hAnsi="Times New Roman"/>
          <w:b/>
          <w:sz w:val="24"/>
          <w:szCs w:val="24"/>
          <w:highlight w:val="yellow"/>
          <w:u w:val="single"/>
          <w:lang w:eastAsia="en-GB"/>
        </w:rPr>
        <w:t xml:space="preserve">&lt;INSERT TABLE </w:t>
      </w:r>
      <w:r>
        <w:rPr>
          <w:rFonts w:ascii="Times New Roman" w:hAnsi="Times New Roman"/>
          <w:b/>
          <w:sz w:val="24"/>
          <w:szCs w:val="24"/>
          <w:highlight w:val="yellow"/>
          <w:u w:val="single"/>
          <w:lang w:eastAsia="en-GB"/>
        </w:rPr>
        <w:t>8</w:t>
      </w:r>
      <w:r w:rsidRPr="007D4E49">
        <w:rPr>
          <w:rFonts w:ascii="Times New Roman" w:hAnsi="Times New Roman"/>
          <w:b/>
          <w:sz w:val="24"/>
          <w:szCs w:val="24"/>
          <w:highlight w:val="yellow"/>
          <w:u w:val="single"/>
          <w:lang w:eastAsia="en-GB"/>
        </w:rPr>
        <w:t>.1 ABOUT HERE&gt;</w:t>
      </w:r>
    </w:p>
    <w:p w:rsidR="00075DBE" w:rsidRDefault="00075DBE" w:rsidP="00085F52">
      <w:pPr>
        <w:spacing w:after="100" w:afterAutospacing="1" w:line="480" w:lineRule="auto"/>
        <w:rPr>
          <w:rFonts w:ascii="Times New Roman" w:hAnsi="Times New Roman"/>
          <w:sz w:val="24"/>
          <w:szCs w:val="24"/>
        </w:rPr>
      </w:pPr>
      <w:r>
        <w:rPr>
          <w:rFonts w:ascii="Times New Roman" w:hAnsi="Times New Roman"/>
          <w:sz w:val="24"/>
          <w:szCs w:val="24"/>
        </w:rPr>
        <w:t>The s</w:t>
      </w:r>
      <w:r w:rsidRPr="00CF08C5">
        <w:rPr>
          <w:rFonts w:ascii="Times New Roman" w:hAnsi="Times New Roman"/>
          <w:sz w:val="24"/>
          <w:szCs w:val="24"/>
        </w:rPr>
        <w:t xml:space="preserve">urveyed businesses fitted </w:t>
      </w:r>
      <w:r>
        <w:rPr>
          <w:rFonts w:ascii="Times New Roman" w:hAnsi="Times New Roman"/>
          <w:sz w:val="24"/>
          <w:szCs w:val="24"/>
        </w:rPr>
        <w:t xml:space="preserve">each programme’s target </w:t>
      </w:r>
      <w:r w:rsidRPr="00CF08C5">
        <w:rPr>
          <w:rFonts w:ascii="Times New Roman" w:hAnsi="Times New Roman"/>
          <w:sz w:val="24"/>
          <w:szCs w:val="24"/>
        </w:rPr>
        <w:t>profile, being typically young</w:t>
      </w:r>
      <w:r>
        <w:rPr>
          <w:rFonts w:ascii="Times New Roman" w:hAnsi="Times New Roman"/>
          <w:sz w:val="24"/>
          <w:szCs w:val="24"/>
        </w:rPr>
        <w:t xml:space="preserve">, </w:t>
      </w:r>
      <w:r w:rsidRPr="00CF08C5">
        <w:rPr>
          <w:rFonts w:ascii="Times New Roman" w:hAnsi="Times New Roman"/>
          <w:sz w:val="24"/>
          <w:szCs w:val="24"/>
        </w:rPr>
        <w:t>early stage businesses established since 2000. Over two thirds of recipients were pre-trading</w:t>
      </w:r>
      <w:r>
        <w:rPr>
          <w:rFonts w:ascii="Times New Roman" w:hAnsi="Times New Roman"/>
          <w:sz w:val="24"/>
          <w:szCs w:val="24"/>
        </w:rPr>
        <w:t xml:space="preserve"> at the time of interview</w:t>
      </w:r>
      <w:r w:rsidRPr="00CF08C5">
        <w:rPr>
          <w:rFonts w:ascii="Times New Roman" w:hAnsi="Times New Roman"/>
          <w:sz w:val="24"/>
          <w:szCs w:val="24"/>
        </w:rPr>
        <w:t xml:space="preserve">, undertaking R&amp;D and developing prototypes or in the initial stages of launching products and services. </w:t>
      </w:r>
      <w:r>
        <w:rPr>
          <w:rFonts w:ascii="Times New Roman" w:hAnsi="Times New Roman"/>
          <w:sz w:val="24"/>
          <w:szCs w:val="24"/>
        </w:rPr>
        <w:t>Most, including all 16 UKIIF businesses,</w:t>
      </w:r>
      <w:r w:rsidRPr="00CF08C5">
        <w:rPr>
          <w:rFonts w:ascii="Times New Roman" w:hAnsi="Times New Roman"/>
          <w:sz w:val="24"/>
          <w:szCs w:val="24"/>
        </w:rPr>
        <w:t xml:space="preserve"> were </w:t>
      </w:r>
      <w:r>
        <w:rPr>
          <w:rFonts w:ascii="Times New Roman" w:hAnsi="Times New Roman"/>
          <w:sz w:val="24"/>
          <w:szCs w:val="24"/>
        </w:rPr>
        <w:t xml:space="preserve">undertaking </w:t>
      </w:r>
      <w:r w:rsidRPr="00CF08C5">
        <w:rPr>
          <w:rFonts w:ascii="Times New Roman" w:hAnsi="Times New Roman"/>
          <w:sz w:val="24"/>
          <w:szCs w:val="24"/>
        </w:rPr>
        <w:t xml:space="preserve">market leading </w:t>
      </w:r>
      <w:r>
        <w:rPr>
          <w:rFonts w:ascii="Times New Roman" w:hAnsi="Times New Roman"/>
          <w:sz w:val="24"/>
          <w:szCs w:val="24"/>
        </w:rPr>
        <w:t>activities</w:t>
      </w:r>
      <w:r w:rsidRPr="00CF08C5">
        <w:rPr>
          <w:rFonts w:ascii="Times New Roman" w:hAnsi="Times New Roman"/>
          <w:sz w:val="24"/>
          <w:szCs w:val="24"/>
        </w:rPr>
        <w:t xml:space="preserve">, </w:t>
      </w:r>
      <w:r>
        <w:rPr>
          <w:rFonts w:ascii="Times New Roman" w:hAnsi="Times New Roman"/>
          <w:sz w:val="24"/>
          <w:szCs w:val="24"/>
        </w:rPr>
        <w:t>developing</w:t>
      </w:r>
      <w:r w:rsidRPr="00CF08C5">
        <w:rPr>
          <w:rFonts w:ascii="Times New Roman" w:hAnsi="Times New Roman"/>
          <w:sz w:val="24"/>
          <w:szCs w:val="24"/>
        </w:rPr>
        <w:t xml:space="preserve"> </w:t>
      </w:r>
      <w:r>
        <w:rPr>
          <w:rFonts w:ascii="Times New Roman" w:hAnsi="Times New Roman"/>
          <w:sz w:val="24"/>
          <w:szCs w:val="24"/>
        </w:rPr>
        <w:t xml:space="preserve">leading edge </w:t>
      </w:r>
      <w:r w:rsidRPr="00CF08C5">
        <w:rPr>
          <w:rFonts w:ascii="Times New Roman" w:hAnsi="Times New Roman"/>
          <w:sz w:val="24"/>
          <w:szCs w:val="24"/>
        </w:rPr>
        <w:t>software and medical technologies</w:t>
      </w:r>
      <w:r>
        <w:rPr>
          <w:rFonts w:ascii="Times New Roman" w:hAnsi="Times New Roman"/>
          <w:sz w:val="24"/>
          <w:szCs w:val="24"/>
        </w:rPr>
        <w:t>, and demonstrating</w:t>
      </w:r>
      <w:r w:rsidRPr="00CF08C5">
        <w:rPr>
          <w:rFonts w:ascii="Times New Roman" w:hAnsi="Times New Roman"/>
          <w:sz w:val="24"/>
          <w:szCs w:val="24"/>
        </w:rPr>
        <w:t xml:space="preserve"> global market leading</w:t>
      </w:r>
      <w:r>
        <w:rPr>
          <w:rFonts w:ascii="Times New Roman" w:hAnsi="Times New Roman"/>
          <w:sz w:val="24"/>
          <w:szCs w:val="24"/>
        </w:rPr>
        <w:t xml:space="preserve"> export aspirations</w:t>
      </w:r>
      <w:r w:rsidRPr="00CF08C5">
        <w:rPr>
          <w:rFonts w:ascii="Times New Roman" w:hAnsi="Times New Roman"/>
          <w:sz w:val="24"/>
          <w:szCs w:val="24"/>
        </w:rPr>
        <w:t>.</w:t>
      </w:r>
      <w:r>
        <w:rPr>
          <w:rFonts w:ascii="Times New Roman" w:hAnsi="Times New Roman"/>
          <w:sz w:val="24"/>
          <w:szCs w:val="24"/>
        </w:rPr>
        <w:t xml:space="preserve"> </w:t>
      </w:r>
      <w:r w:rsidRPr="00CF08C5">
        <w:rPr>
          <w:rFonts w:ascii="Times New Roman" w:hAnsi="Times New Roman"/>
          <w:sz w:val="24"/>
          <w:szCs w:val="24"/>
        </w:rPr>
        <w:t>Equity finance was perceived as the only viable option for raising finance due to a lack of financial assets, insufficient trading record</w:t>
      </w:r>
      <w:r>
        <w:rPr>
          <w:rFonts w:ascii="Times New Roman" w:hAnsi="Times New Roman"/>
          <w:sz w:val="24"/>
          <w:szCs w:val="24"/>
        </w:rPr>
        <w:t xml:space="preserve">, and </w:t>
      </w:r>
      <w:r w:rsidRPr="00CF08C5">
        <w:rPr>
          <w:rFonts w:ascii="Times New Roman" w:hAnsi="Times New Roman"/>
          <w:sz w:val="24"/>
          <w:szCs w:val="24"/>
        </w:rPr>
        <w:t>owners’ unwillingness to secure/guarantee debt finance against private property</w:t>
      </w:r>
      <w:r>
        <w:rPr>
          <w:rFonts w:ascii="Times New Roman" w:hAnsi="Times New Roman"/>
          <w:sz w:val="24"/>
          <w:szCs w:val="24"/>
        </w:rPr>
        <w:t xml:space="preserve">. </w:t>
      </w:r>
      <w:r w:rsidRPr="00CF08C5">
        <w:rPr>
          <w:rFonts w:ascii="Times New Roman" w:hAnsi="Times New Roman"/>
          <w:sz w:val="24"/>
          <w:szCs w:val="24"/>
        </w:rPr>
        <w:t>The amount of equity sought by the 12 interviewed ECF recipients ranged from £300,000 to £3m (median £750,000), the four Aspire recipients sought between £500,000 and £2m, whil</w:t>
      </w:r>
      <w:r>
        <w:rPr>
          <w:rFonts w:ascii="Times New Roman" w:hAnsi="Times New Roman"/>
          <w:sz w:val="24"/>
          <w:szCs w:val="24"/>
        </w:rPr>
        <w:t>e</w:t>
      </w:r>
      <w:r w:rsidRPr="00CF08C5">
        <w:rPr>
          <w:rFonts w:ascii="Times New Roman" w:hAnsi="Times New Roman"/>
          <w:sz w:val="24"/>
          <w:szCs w:val="24"/>
        </w:rPr>
        <w:t xml:space="preserve"> the 16 UKIIF recipients sought between £75,000 and £10.4m (median £2.4m)</w:t>
      </w:r>
      <w:r>
        <w:rPr>
          <w:rFonts w:ascii="Times New Roman" w:hAnsi="Times New Roman"/>
          <w:sz w:val="24"/>
          <w:szCs w:val="24"/>
        </w:rPr>
        <w:t>,</w:t>
      </w:r>
      <w:r w:rsidRPr="00CF08C5">
        <w:rPr>
          <w:rFonts w:ascii="Times New Roman" w:hAnsi="Times New Roman"/>
          <w:sz w:val="24"/>
          <w:szCs w:val="24"/>
        </w:rPr>
        <w:t xml:space="preserve"> demonstrat</w:t>
      </w:r>
      <w:r>
        <w:rPr>
          <w:rFonts w:ascii="Times New Roman" w:hAnsi="Times New Roman"/>
          <w:sz w:val="24"/>
          <w:szCs w:val="24"/>
        </w:rPr>
        <w:t>ing</w:t>
      </w:r>
      <w:r w:rsidRPr="00CF08C5">
        <w:rPr>
          <w:rFonts w:ascii="Times New Roman" w:hAnsi="Times New Roman"/>
          <w:sz w:val="24"/>
          <w:szCs w:val="24"/>
        </w:rPr>
        <w:t xml:space="preserve"> demand for early stage R&amp;D equity finance at beyond the EU state aid cap of £2m.</w:t>
      </w:r>
      <w:r w:rsidRPr="00DE44E3">
        <w:rPr>
          <w:rFonts w:ascii="Times New Roman" w:hAnsi="Times New Roman"/>
          <w:sz w:val="24"/>
          <w:szCs w:val="24"/>
          <w:highlight w:val="yellow"/>
          <w:vertAlign w:val="superscript"/>
        </w:rPr>
        <w:t>4</w:t>
      </w:r>
    </w:p>
    <w:p w:rsidR="00075DBE" w:rsidRDefault="00075DBE" w:rsidP="00085F52">
      <w:pPr>
        <w:spacing w:after="100" w:afterAutospacing="1" w:line="480" w:lineRule="auto"/>
        <w:ind w:firstLine="720"/>
        <w:rPr>
          <w:rFonts w:ascii="Times New Roman" w:hAnsi="Times New Roman"/>
          <w:sz w:val="24"/>
          <w:szCs w:val="24"/>
        </w:rPr>
      </w:pPr>
      <w:r>
        <w:rPr>
          <w:rFonts w:ascii="Times New Roman" w:hAnsi="Times New Roman"/>
          <w:sz w:val="24"/>
          <w:szCs w:val="24"/>
        </w:rPr>
        <w:t>T</w:t>
      </w:r>
      <w:r w:rsidRPr="00CF08C5">
        <w:rPr>
          <w:rFonts w:ascii="Times New Roman" w:hAnsi="Times New Roman"/>
          <w:sz w:val="24"/>
          <w:szCs w:val="24"/>
        </w:rPr>
        <w:t>he majority of businesses were small</w:t>
      </w:r>
      <w:r>
        <w:rPr>
          <w:rFonts w:ascii="Times New Roman" w:hAnsi="Times New Roman"/>
          <w:sz w:val="24"/>
          <w:szCs w:val="24"/>
        </w:rPr>
        <w:t xml:space="preserve"> when funded.</w:t>
      </w:r>
      <w:r w:rsidRPr="00CF08C5">
        <w:rPr>
          <w:rFonts w:ascii="Times New Roman" w:hAnsi="Times New Roman"/>
          <w:sz w:val="24"/>
          <w:szCs w:val="24"/>
        </w:rPr>
        <w:t xml:space="preserve"> ECF and Aspire </w:t>
      </w:r>
      <w:r>
        <w:rPr>
          <w:rFonts w:ascii="Times New Roman" w:hAnsi="Times New Roman"/>
          <w:sz w:val="24"/>
          <w:szCs w:val="24"/>
        </w:rPr>
        <w:t>recipients</w:t>
      </w:r>
      <w:r w:rsidRPr="00CF08C5">
        <w:rPr>
          <w:rFonts w:ascii="Times New Roman" w:hAnsi="Times New Roman"/>
          <w:sz w:val="24"/>
          <w:szCs w:val="24"/>
        </w:rPr>
        <w:t xml:space="preserve"> </w:t>
      </w:r>
      <w:r>
        <w:rPr>
          <w:rFonts w:ascii="Times New Roman" w:hAnsi="Times New Roman"/>
          <w:sz w:val="24"/>
          <w:szCs w:val="24"/>
        </w:rPr>
        <w:t>had a mean of</w:t>
      </w:r>
      <w:r w:rsidRPr="00CF08C5">
        <w:rPr>
          <w:rFonts w:ascii="Times New Roman" w:hAnsi="Times New Roman"/>
          <w:sz w:val="24"/>
          <w:szCs w:val="24"/>
        </w:rPr>
        <w:t xml:space="preserve"> 10 employees (median 5.5). UKIIF recipients </w:t>
      </w:r>
      <w:r>
        <w:rPr>
          <w:rFonts w:ascii="Times New Roman" w:hAnsi="Times New Roman"/>
          <w:sz w:val="24"/>
          <w:szCs w:val="24"/>
        </w:rPr>
        <w:t>had</w:t>
      </w:r>
      <w:r w:rsidRPr="00CF08C5">
        <w:rPr>
          <w:rFonts w:ascii="Times New Roman" w:hAnsi="Times New Roman"/>
          <w:sz w:val="24"/>
          <w:szCs w:val="24"/>
        </w:rPr>
        <w:t xml:space="preserve"> a mean size of 35 employees (median 8)</w:t>
      </w:r>
      <w:r>
        <w:rPr>
          <w:rFonts w:ascii="Times New Roman" w:hAnsi="Times New Roman"/>
          <w:sz w:val="24"/>
          <w:szCs w:val="24"/>
        </w:rPr>
        <w:t xml:space="preserve"> and</w:t>
      </w:r>
      <w:r w:rsidRPr="00CF08C5">
        <w:rPr>
          <w:rFonts w:ascii="Times New Roman" w:hAnsi="Times New Roman"/>
          <w:sz w:val="24"/>
          <w:szCs w:val="24"/>
        </w:rPr>
        <w:t xml:space="preserve"> included three established medium sized businesses </w:t>
      </w:r>
      <w:r>
        <w:rPr>
          <w:rFonts w:ascii="Times New Roman" w:hAnsi="Times New Roman"/>
          <w:sz w:val="24"/>
          <w:szCs w:val="24"/>
        </w:rPr>
        <w:t>undertaking new</w:t>
      </w:r>
      <w:r w:rsidRPr="00CF08C5">
        <w:rPr>
          <w:rFonts w:ascii="Times New Roman" w:hAnsi="Times New Roman"/>
          <w:sz w:val="24"/>
          <w:szCs w:val="24"/>
        </w:rPr>
        <w:t xml:space="preserve"> innovative product</w:t>
      </w:r>
      <w:r>
        <w:rPr>
          <w:rFonts w:ascii="Times New Roman" w:hAnsi="Times New Roman"/>
          <w:sz w:val="24"/>
          <w:szCs w:val="24"/>
        </w:rPr>
        <w:t xml:space="preserve"> development cycles,</w:t>
      </w:r>
      <w:r w:rsidRPr="00CF08C5">
        <w:rPr>
          <w:rFonts w:ascii="Times New Roman" w:hAnsi="Times New Roman"/>
          <w:sz w:val="24"/>
          <w:szCs w:val="24"/>
        </w:rPr>
        <w:t xml:space="preserve"> including a recycling company diversifying into bio fuel production and a lightweight plastics manufacturer, both with over 150 employees.</w:t>
      </w:r>
    </w:p>
    <w:p w:rsidR="00075DBE" w:rsidRDefault="00075DBE" w:rsidP="00085F52">
      <w:pPr>
        <w:spacing w:after="100" w:afterAutospacing="1" w:line="480" w:lineRule="auto"/>
        <w:rPr>
          <w:rFonts w:ascii="Times New Roman" w:hAnsi="Times New Roman"/>
          <w:i/>
          <w:sz w:val="24"/>
          <w:szCs w:val="24"/>
        </w:rPr>
      </w:pPr>
    </w:p>
    <w:p w:rsidR="00075DBE" w:rsidRDefault="00075DBE" w:rsidP="00085F52">
      <w:pPr>
        <w:spacing w:after="100" w:afterAutospacing="1" w:line="480" w:lineRule="auto"/>
        <w:rPr>
          <w:rFonts w:ascii="Times New Roman" w:hAnsi="Times New Roman"/>
          <w:b/>
          <w:sz w:val="20"/>
          <w:szCs w:val="24"/>
        </w:rPr>
      </w:pPr>
      <w:r w:rsidRPr="00DE44E3">
        <w:rPr>
          <w:rFonts w:ascii="Times New Roman" w:hAnsi="Times New Roman"/>
          <w:b/>
          <w:sz w:val="20"/>
          <w:szCs w:val="24"/>
        </w:rPr>
        <w:t>&lt;B&gt;Fund Provider Interviews</w:t>
      </w:r>
    </w:p>
    <w:p w:rsidR="00075DBE" w:rsidRPr="00DE44E3" w:rsidRDefault="00075DBE" w:rsidP="00085F52">
      <w:pPr>
        <w:spacing w:after="100" w:afterAutospacing="1" w:line="480" w:lineRule="auto"/>
        <w:rPr>
          <w:rFonts w:ascii="Times New Roman" w:hAnsi="Times New Roman"/>
          <w:b/>
          <w:sz w:val="20"/>
          <w:szCs w:val="24"/>
        </w:rPr>
      </w:pPr>
    </w:p>
    <w:p w:rsidR="00075DBE" w:rsidRDefault="00075DBE" w:rsidP="00085F52">
      <w:pPr>
        <w:spacing w:after="100" w:afterAutospacing="1" w:line="480" w:lineRule="auto"/>
        <w:rPr>
          <w:rFonts w:ascii="Times New Roman" w:hAnsi="Times New Roman"/>
          <w:b/>
          <w:i/>
          <w:sz w:val="24"/>
          <w:szCs w:val="24"/>
        </w:rPr>
      </w:pPr>
      <w:r>
        <w:rPr>
          <w:rFonts w:ascii="Times New Roman" w:hAnsi="Times New Roman"/>
          <w:sz w:val="24"/>
          <w:szCs w:val="24"/>
        </w:rPr>
        <w:t>F</w:t>
      </w:r>
      <w:r w:rsidRPr="00CF08C5">
        <w:rPr>
          <w:rFonts w:ascii="Times New Roman" w:hAnsi="Times New Roman"/>
          <w:sz w:val="24"/>
          <w:szCs w:val="24"/>
        </w:rPr>
        <w:t xml:space="preserve">ace-to-face interviews were </w:t>
      </w:r>
      <w:r>
        <w:rPr>
          <w:rFonts w:ascii="Times New Roman" w:hAnsi="Times New Roman"/>
          <w:sz w:val="24"/>
          <w:szCs w:val="24"/>
        </w:rPr>
        <w:t>undertaken with</w:t>
      </w:r>
      <w:r w:rsidRPr="00CF08C5">
        <w:rPr>
          <w:rFonts w:ascii="Times New Roman" w:hAnsi="Times New Roman"/>
          <w:sz w:val="24"/>
          <w:szCs w:val="24"/>
        </w:rPr>
        <w:t xml:space="preserve"> eight UKIIF</w:t>
      </w:r>
      <w:r w:rsidRPr="00DE44E3">
        <w:rPr>
          <w:rFonts w:ascii="Times New Roman" w:hAnsi="Times New Roman"/>
          <w:sz w:val="24"/>
          <w:szCs w:val="24"/>
          <w:highlight w:val="yellow"/>
          <w:vertAlign w:val="superscript"/>
        </w:rPr>
        <w:t>5</w:t>
      </w:r>
      <w:r w:rsidRPr="00CF08C5">
        <w:rPr>
          <w:rFonts w:ascii="Times New Roman" w:hAnsi="Times New Roman"/>
          <w:sz w:val="24"/>
          <w:szCs w:val="24"/>
        </w:rPr>
        <w:t xml:space="preserve"> and </w:t>
      </w:r>
      <w:r>
        <w:rPr>
          <w:rFonts w:ascii="Times New Roman" w:hAnsi="Times New Roman"/>
          <w:sz w:val="24"/>
          <w:szCs w:val="24"/>
        </w:rPr>
        <w:t>eight</w:t>
      </w:r>
      <w:r w:rsidRPr="00CF08C5">
        <w:rPr>
          <w:rFonts w:ascii="Times New Roman" w:hAnsi="Times New Roman"/>
          <w:sz w:val="24"/>
          <w:szCs w:val="24"/>
        </w:rPr>
        <w:t xml:space="preserve"> ECF fund</w:t>
      </w:r>
      <w:r>
        <w:rPr>
          <w:rFonts w:ascii="Times New Roman" w:hAnsi="Times New Roman"/>
          <w:sz w:val="24"/>
          <w:szCs w:val="24"/>
        </w:rPr>
        <w:t xml:space="preserve"> managers</w:t>
      </w:r>
      <w:r w:rsidRPr="00CF08C5">
        <w:rPr>
          <w:rFonts w:ascii="Times New Roman" w:hAnsi="Times New Roman"/>
          <w:sz w:val="24"/>
          <w:szCs w:val="24"/>
        </w:rPr>
        <w:t xml:space="preserve">, providing insights into their structure and operation, the type and range of applications, decision-making criteria, </w:t>
      </w:r>
      <w:r>
        <w:rPr>
          <w:rFonts w:ascii="Times New Roman" w:hAnsi="Times New Roman"/>
          <w:sz w:val="24"/>
          <w:szCs w:val="24"/>
        </w:rPr>
        <w:t xml:space="preserve">the </w:t>
      </w:r>
      <w:r w:rsidRPr="00CF08C5">
        <w:rPr>
          <w:rFonts w:ascii="Times New Roman" w:hAnsi="Times New Roman"/>
          <w:sz w:val="24"/>
          <w:szCs w:val="24"/>
        </w:rPr>
        <w:t>effectiveness of the</w:t>
      </w:r>
      <w:r>
        <w:rPr>
          <w:rFonts w:ascii="Times New Roman" w:hAnsi="Times New Roman"/>
          <w:sz w:val="24"/>
          <w:szCs w:val="24"/>
        </w:rPr>
        <w:t>ir</w:t>
      </w:r>
      <w:r w:rsidRPr="00CF08C5">
        <w:rPr>
          <w:rFonts w:ascii="Times New Roman" w:hAnsi="Times New Roman"/>
          <w:sz w:val="24"/>
          <w:szCs w:val="24"/>
        </w:rPr>
        <w:t xml:space="preserve"> investments and assessment of whether funds were addressing an equity gap</w:t>
      </w:r>
      <w:r w:rsidRPr="00675948">
        <w:rPr>
          <w:rFonts w:ascii="Times New Roman" w:hAnsi="Times New Roman"/>
          <w:sz w:val="24"/>
          <w:szCs w:val="24"/>
        </w:rPr>
        <w:t>. These</w:t>
      </w:r>
      <w:r>
        <w:rPr>
          <w:rFonts w:ascii="Times New Roman" w:hAnsi="Times New Roman"/>
          <w:sz w:val="24"/>
          <w:szCs w:val="24"/>
        </w:rPr>
        <w:t xml:space="preserve"> represented all of the programmes’ operational funds at the time of survey (</w:t>
      </w:r>
      <w:r w:rsidRPr="00DE44E3">
        <w:rPr>
          <w:rFonts w:ascii="Times New Roman" w:hAnsi="Times New Roman"/>
          <w:sz w:val="24"/>
          <w:szCs w:val="24"/>
        </w:rPr>
        <w:t>Table 8.2</w:t>
      </w:r>
      <w:r w:rsidRPr="00CF08C5">
        <w:rPr>
          <w:rFonts w:ascii="Times New Roman" w:hAnsi="Times New Roman"/>
          <w:sz w:val="24"/>
          <w:szCs w:val="24"/>
        </w:rPr>
        <w:t>).</w:t>
      </w:r>
    </w:p>
    <w:p w:rsidR="00075DBE" w:rsidRDefault="00075DBE" w:rsidP="00085F52">
      <w:pPr>
        <w:spacing w:after="100" w:afterAutospacing="1" w:line="480" w:lineRule="auto"/>
        <w:jc w:val="center"/>
        <w:rPr>
          <w:rFonts w:ascii="Times New Roman" w:hAnsi="Times New Roman"/>
          <w:sz w:val="24"/>
          <w:szCs w:val="24"/>
        </w:rPr>
      </w:pPr>
      <w:r w:rsidRPr="007D4E49">
        <w:rPr>
          <w:rFonts w:ascii="Times New Roman" w:hAnsi="Times New Roman"/>
          <w:b/>
          <w:sz w:val="24"/>
          <w:szCs w:val="24"/>
          <w:highlight w:val="yellow"/>
          <w:u w:val="single"/>
          <w:lang w:eastAsia="en-GB"/>
        </w:rPr>
        <w:t xml:space="preserve">&lt;INSERT TABLE </w:t>
      </w:r>
      <w:r>
        <w:rPr>
          <w:rFonts w:ascii="Times New Roman" w:hAnsi="Times New Roman"/>
          <w:b/>
          <w:sz w:val="24"/>
          <w:szCs w:val="24"/>
          <w:highlight w:val="yellow"/>
          <w:u w:val="single"/>
          <w:lang w:eastAsia="en-GB"/>
        </w:rPr>
        <w:t>8</w:t>
      </w:r>
      <w:r w:rsidRPr="007D4E49">
        <w:rPr>
          <w:rFonts w:ascii="Times New Roman" w:hAnsi="Times New Roman"/>
          <w:b/>
          <w:sz w:val="24"/>
          <w:szCs w:val="24"/>
          <w:highlight w:val="yellow"/>
          <w:u w:val="single"/>
          <w:lang w:eastAsia="en-GB"/>
        </w:rPr>
        <w:t>.</w:t>
      </w:r>
      <w:r>
        <w:rPr>
          <w:rFonts w:ascii="Times New Roman" w:hAnsi="Times New Roman"/>
          <w:b/>
          <w:sz w:val="24"/>
          <w:szCs w:val="24"/>
          <w:highlight w:val="yellow"/>
          <w:u w:val="single"/>
          <w:lang w:eastAsia="en-GB"/>
        </w:rPr>
        <w:t>2</w:t>
      </w:r>
      <w:r w:rsidRPr="007D4E49">
        <w:rPr>
          <w:rFonts w:ascii="Times New Roman" w:hAnsi="Times New Roman"/>
          <w:b/>
          <w:sz w:val="24"/>
          <w:szCs w:val="24"/>
          <w:highlight w:val="yellow"/>
          <w:u w:val="single"/>
          <w:lang w:eastAsia="en-GB"/>
        </w:rPr>
        <w:t xml:space="preserve"> ABOUT HERE&gt;</w:t>
      </w:r>
      <w:r w:rsidRPr="00CF08C5" w:rsidDel="00F83C78">
        <w:rPr>
          <w:rFonts w:ascii="Times New Roman" w:hAnsi="Times New Roman"/>
          <w:sz w:val="24"/>
          <w:szCs w:val="24"/>
        </w:rPr>
        <w:t xml:space="preserve"> </w:t>
      </w:r>
    </w:p>
    <w:p w:rsidR="00075DBE" w:rsidRDefault="00075DBE" w:rsidP="00085F52">
      <w:pPr>
        <w:pStyle w:val="abody"/>
        <w:spacing w:after="100" w:afterAutospacing="1" w:line="480" w:lineRule="auto"/>
        <w:rPr>
          <w:rFonts w:ascii="Times New Roman" w:hAnsi="Times New Roman" w:cs="Times New Roman"/>
          <w:sz w:val="24"/>
          <w:szCs w:val="24"/>
        </w:rPr>
      </w:pPr>
      <w:r w:rsidRPr="00285FEB">
        <w:rPr>
          <w:rFonts w:ascii="Times New Roman" w:hAnsi="Times New Roman" w:cs="Times New Roman"/>
          <w:sz w:val="24"/>
          <w:szCs w:val="24"/>
        </w:rPr>
        <w:t>To enrich our</w:t>
      </w:r>
      <w:r w:rsidRPr="00CF08C5">
        <w:rPr>
          <w:rFonts w:ascii="Times New Roman" w:hAnsi="Times New Roman" w:cs="Times New Roman"/>
          <w:sz w:val="24"/>
          <w:szCs w:val="24"/>
        </w:rPr>
        <w:t xml:space="preserve"> understanding of the </w:t>
      </w:r>
      <w:r>
        <w:rPr>
          <w:rFonts w:ascii="Times New Roman" w:hAnsi="Times New Roman" w:cs="Times New Roman"/>
          <w:sz w:val="24"/>
          <w:szCs w:val="24"/>
        </w:rPr>
        <w:t>new</w:t>
      </w:r>
      <w:r w:rsidRPr="00CF08C5">
        <w:rPr>
          <w:rFonts w:ascii="Times New Roman" w:hAnsi="Times New Roman" w:cs="Times New Roman"/>
          <w:sz w:val="24"/>
          <w:szCs w:val="24"/>
        </w:rPr>
        <w:t xml:space="preserve"> and early stage </w:t>
      </w:r>
      <w:r>
        <w:rPr>
          <w:rFonts w:ascii="Times New Roman" w:hAnsi="Times New Roman" w:cs="Times New Roman"/>
          <w:sz w:val="24"/>
          <w:szCs w:val="24"/>
        </w:rPr>
        <w:t>VC market</w:t>
      </w:r>
      <w:r w:rsidRPr="00CF08C5">
        <w:rPr>
          <w:rFonts w:ascii="Times New Roman" w:hAnsi="Times New Roman" w:cs="Times New Roman"/>
          <w:sz w:val="24"/>
          <w:szCs w:val="24"/>
        </w:rPr>
        <w:t xml:space="preserve">, interviews were </w:t>
      </w:r>
      <w:r>
        <w:rPr>
          <w:rFonts w:ascii="Times New Roman" w:hAnsi="Times New Roman" w:cs="Times New Roman"/>
          <w:sz w:val="24"/>
          <w:szCs w:val="24"/>
        </w:rPr>
        <w:t xml:space="preserve">also </w:t>
      </w:r>
      <w:r w:rsidRPr="00CF08C5">
        <w:rPr>
          <w:rFonts w:ascii="Times New Roman" w:hAnsi="Times New Roman" w:cs="Times New Roman"/>
          <w:sz w:val="24"/>
          <w:szCs w:val="24"/>
        </w:rPr>
        <w:t xml:space="preserve">conducted with 22 </w:t>
      </w:r>
      <w:r>
        <w:rPr>
          <w:rFonts w:ascii="Times New Roman" w:hAnsi="Times New Roman" w:cs="Times New Roman"/>
          <w:sz w:val="24"/>
          <w:szCs w:val="24"/>
        </w:rPr>
        <w:t>expert</w:t>
      </w:r>
      <w:r w:rsidRPr="00CF08C5">
        <w:rPr>
          <w:rFonts w:ascii="Times New Roman" w:hAnsi="Times New Roman" w:cs="Times New Roman"/>
          <w:sz w:val="24"/>
          <w:szCs w:val="24"/>
        </w:rPr>
        <w:t xml:space="preserve"> informants. These comprised </w:t>
      </w:r>
      <w:r w:rsidRPr="00CF08C5">
        <w:rPr>
          <w:rFonts w:ascii="Times New Roman" w:hAnsi="Times New Roman"/>
          <w:sz w:val="24"/>
          <w:szCs w:val="24"/>
        </w:rPr>
        <w:t xml:space="preserve">the British Venture Capital Association (BVCA), European Venture Capital Association (EVCA), three private VCs, two other public sector VCs, three mezzanine fund managers, six business angels, three bankers, one grant fund and two specialist support providers for </w:t>
      </w:r>
      <w:r w:rsidRPr="0042291C">
        <w:rPr>
          <w:rFonts w:ascii="Times New Roman" w:hAnsi="Times New Roman"/>
          <w:sz w:val="24"/>
          <w:szCs w:val="24"/>
        </w:rPr>
        <w:t>technology based small firms</w:t>
      </w:r>
      <w:r w:rsidRPr="00CF08C5">
        <w:rPr>
          <w:rFonts w:ascii="Times New Roman" w:hAnsi="Times New Roman"/>
          <w:sz w:val="24"/>
          <w:szCs w:val="24"/>
        </w:rPr>
        <w:t xml:space="preserve"> (TBSFs).</w:t>
      </w:r>
    </w:p>
    <w:p w:rsidR="00075DBE" w:rsidRDefault="00075DBE" w:rsidP="00085F52">
      <w:pPr>
        <w:pStyle w:val="abody"/>
        <w:spacing w:after="100" w:afterAutospacing="1" w:line="480" w:lineRule="auto"/>
        <w:ind w:firstLine="720"/>
        <w:rPr>
          <w:rFonts w:ascii="Times New Roman" w:hAnsi="Times New Roman" w:cs="Times New Roman"/>
          <w:sz w:val="24"/>
          <w:szCs w:val="24"/>
        </w:rPr>
      </w:pPr>
      <w:r w:rsidRPr="004D1CB3">
        <w:rPr>
          <w:rFonts w:ascii="Times New Roman" w:hAnsi="Times New Roman" w:cs="Times New Roman"/>
          <w:sz w:val="24"/>
          <w:szCs w:val="24"/>
        </w:rPr>
        <w:t>We now</w:t>
      </w:r>
      <w:r w:rsidRPr="00CF08C5">
        <w:rPr>
          <w:rFonts w:ascii="Times New Roman" w:hAnsi="Times New Roman" w:cs="Times New Roman"/>
          <w:sz w:val="24"/>
          <w:szCs w:val="24"/>
        </w:rPr>
        <w:t xml:space="preserve"> consider the rationale for the UK HVCF programmes, before discussing our research evidence </w:t>
      </w:r>
      <w:r>
        <w:rPr>
          <w:rFonts w:ascii="Times New Roman" w:hAnsi="Times New Roman" w:cs="Times New Roman"/>
          <w:sz w:val="24"/>
          <w:szCs w:val="24"/>
        </w:rPr>
        <w:t xml:space="preserve">against </w:t>
      </w:r>
      <w:r w:rsidRPr="00CF08C5">
        <w:rPr>
          <w:rFonts w:ascii="Times New Roman" w:hAnsi="Times New Roman" w:cs="Times New Roman"/>
          <w:sz w:val="24"/>
          <w:szCs w:val="24"/>
        </w:rPr>
        <w:t>five of Lerner’s guiding principles.</w:t>
      </w:r>
    </w:p>
    <w:p w:rsidR="00075DBE" w:rsidRDefault="00075DBE" w:rsidP="00085F52">
      <w:pPr>
        <w:pStyle w:val="abody"/>
        <w:spacing w:after="100" w:afterAutospacing="1" w:line="480" w:lineRule="auto"/>
        <w:rPr>
          <w:rFonts w:ascii="Times New Roman" w:hAnsi="Times New Roman" w:cs="Times New Roman"/>
          <w:b/>
          <w:bCs/>
          <w:sz w:val="24"/>
          <w:szCs w:val="24"/>
          <w:lang w:eastAsia="en-GB"/>
        </w:rPr>
      </w:pPr>
    </w:p>
    <w:p w:rsidR="00075DBE" w:rsidRDefault="00075DBE" w:rsidP="00085F52">
      <w:pPr>
        <w:pStyle w:val="abody"/>
        <w:spacing w:after="100" w:afterAutospacing="1" w:line="480" w:lineRule="auto"/>
        <w:rPr>
          <w:rFonts w:ascii="Times New Roman" w:hAnsi="Times New Roman" w:cs="Times New Roman"/>
          <w:b/>
          <w:bCs/>
          <w:sz w:val="24"/>
          <w:szCs w:val="24"/>
          <w:lang w:eastAsia="en-GB"/>
        </w:rPr>
      </w:pPr>
    </w:p>
    <w:p w:rsidR="00075DBE" w:rsidRPr="00AF1778" w:rsidRDefault="00075DBE" w:rsidP="00085F52">
      <w:pPr>
        <w:pStyle w:val="abody"/>
        <w:spacing w:after="100" w:afterAutospacing="1" w:line="480" w:lineRule="auto"/>
        <w:rPr>
          <w:rFonts w:ascii="Times New Roman" w:hAnsi="Times New Roman" w:cs="Times New Roman"/>
          <w:bCs/>
          <w:sz w:val="24"/>
          <w:szCs w:val="24"/>
          <w:lang w:eastAsia="en-GB"/>
        </w:rPr>
      </w:pPr>
      <w:r w:rsidRPr="00AF1778">
        <w:rPr>
          <w:rFonts w:ascii="Times New Roman" w:hAnsi="Times New Roman" w:cs="Times New Roman"/>
          <w:bCs/>
          <w:sz w:val="24"/>
          <w:szCs w:val="24"/>
          <w:lang w:eastAsia="en-GB"/>
        </w:rPr>
        <w:t>&lt;A&gt;ARE HVCF PROGRAMME INTERVENTIONS JUSTIFIED IN THE UK?</w:t>
      </w:r>
    </w:p>
    <w:p w:rsidR="00075DBE" w:rsidRDefault="00075DBE" w:rsidP="00085F52">
      <w:pPr>
        <w:pStyle w:val="abody"/>
        <w:spacing w:after="100" w:afterAutospacing="1" w:line="480" w:lineRule="auto"/>
        <w:rPr>
          <w:rFonts w:ascii="Times New Roman" w:hAnsi="Times New Roman" w:cs="Times New Roman"/>
          <w:bCs/>
          <w:i/>
          <w:sz w:val="24"/>
          <w:szCs w:val="24"/>
        </w:rPr>
      </w:pPr>
    </w:p>
    <w:p w:rsidR="00075DBE" w:rsidRDefault="00075DBE" w:rsidP="00085F52">
      <w:pPr>
        <w:pStyle w:val="abody"/>
        <w:spacing w:after="100" w:afterAutospacing="1" w:line="480" w:lineRule="auto"/>
        <w:rPr>
          <w:rFonts w:ascii="Times New Roman" w:hAnsi="Times New Roman" w:cs="Times New Roman"/>
          <w:b/>
          <w:bCs/>
          <w:sz w:val="20"/>
          <w:szCs w:val="24"/>
        </w:rPr>
      </w:pPr>
      <w:r w:rsidRPr="00DE44E3">
        <w:rPr>
          <w:rFonts w:ascii="Times New Roman" w:hAnsi="Times New Roman" w:cs="Times New Roman"/>
          <w:b/>
          <w:bCs/>
          <w:sz w:val="20"/>
          <w:szCs w:val="24"/>
        </w:rPr>
        <w:t>&lt;B&gt;Supply</w:t>
      </w:r>
      <w:r>
        <w:rPr>
          <w:rFonts w:ascii="Times New Roman" w:hAnsi="Times New Roman" w:cs="Times New Roman"/>
          <w:b/>
          <w:bCs/>
          <w:sz w:val="20"/>
          <w:szCs w:val="24"/>
        </w:rPr>
        <w:t xml:space="preserve"> </w:t>
      </w:r>
      <w:r w:rsidRPr="00DE44E3">
        <w:rPr>
          <w:rFonts w:ascii="Times New Roman" w:hAnsi="Times New Roman" w:cs="Times New Roman"/>
          <w:b/>
          <w:bCs/>
          <w:sz w:val="20"/>
          <w:szCs w:val="24"/>
        </w:rPr>
        <w:t>side Market Failure</w:t>
      </w:r>
    </w:p>
    <w:p w:rsidR="00075DBE" w:rsidRPr="00DE44E3" w:rsidRDefault="00075DBE" w:rsidP="00085F52">
      <w:pPr>
        <w:pStyle w:val="abody"/>
        <w:spacing w:after="100" w:afterAutospacing="1" w:line="480" w:lineRule="auto"/>
        <w:rPr>
          <w:rFonts w:ascii="Times New Roman" w:hAnsi="Times New Roman" w:cs="Times New Roman"/>
          <w:b/>
          <w:bCs/>
          <w:sz w:val="20"/>
          <w:szCs w:val="24"/>
        </w:rPr>
      </w:pPr>
    </w:p>
    <w:p w:rsidR="00075DBE" w:rsidRDefault="00075DBE" w:rsidP="00085F52">
      <w:pPr>
        <w:pStyle w:val="abody"/>
        <w:spacing w:after="100" w:afterAutospacing="1" w:line="480" w:lineRule="auto"/>
        <w:rPr>
          <w:rFonts w:ascii="Times New Roman" w:hAnsi="Times New Roman" w:cs="Times New Roman"/>
          <w:b/>
          <w:bCs/>
          <w:i/>
          <w:sz w:val="24"/>
          <w:szCs w:val="24"/>
        </w:rPr>
      </w:pPr>
      <w:r w:rsidRPr="00CF08C5">
        <w:rPr>
          <w:rFonts w:ascii="Times New Roman" w:hAnsi="Times New Roman" w:cs="Times New Roman"/>
          <w:bCs/>
          <w:sz w:val="24"/>
          <w:szCs w:val="24"/>
        </w:rPr>
        <w:t xml:space="preserve">Although less than </w:t>
      </w:r>
      <w:r>
        <w:rPr>
          <w:rFonts w:ascii="Times New Roman" w:hAnsi="Times New Roman" w:cs="Times New Roman"/>
          <w:bCs/>
          <w:sz w:val="24"/>
          <w:szCs w:val="24"/>
        </w:rPr>
        <w:t>2</w:t>
      </w:r>
      <w:r w:rsidRPr="00CF08C5">
        <w:rPr>
          <w:rFonts w:ascii="Times New Roman" w:hAnsi="Times New Roman" w:cs="Times New Roman"/>
          <w:bCs/>
          <w:sz w:val="24"/>
          <w:szCs w:val="24"/>
        </w:rPr>
        <w:t xml:space="preserve"> per cent of UK </w:t>
      </w:r>
      <w:r w:rsidRPr="00737E7F">
        <w:rPr>
          <w:rFonts w:ascii="Times New Roman" w:hAnsi="Times New Roman" w:cs="Times New Roman"/>
          <w:bCs/>
          <w:sz w:val="24"/>
          <w:szCs w:val="24"/>
        </w:rPr>
        <w:t>SMEs</w:t>
      </w:r>
      <w:r w:rsidRPr="00CF08C5">
        <w:rPr>
          <w:rFonts w:ascii="Times New Roman" w:hAnsi="Times New Roman" w:cs="Times New Roman"/>
          <w:bCs/>
          <w:sz w:val="24"/>
          <w:szCs w:val="24"/>
        </w:rPr>
        <w:t xml:space="preserve"> seek equity finance,</w:t>
      </w:r>
      <w:r w:rsidRPr="00DE44E3">
        <w:rPr>
          <w:rFonts w:ascii="Times New Roman" w:hAnsi="Times New Roman" w:cs="Times New Roman"/>
          <w:bCs/>
          <w:sz w:val="24"/>
          <w:szCs w:val="24"/>
          <w:highlight w:val="yellow"/>
          <w:vertAlign w:val="superscript"/>
        </w:rPr>
        <w:t>6</w:t>
      </w:r>
      <w:r w:rsidRPr="00CF08C5">
        <w:rPr>
          <w:rFonts w:ascii="Times New Roman" w:hAnsi="Times New Roman" w:cs="Times New Roman"/>
          <w:bCs/>
          <w:sz w:val="24"/>
          <w:szCs w:val="24"/>
        </w:rPr>
        <w:t xml:space="preserve"> it is vital for many innovative and growth orientated enterprises who play a key role </w:t>
      </w:r>
      <w:r>
        <w:rPr>
          <w:rFonts w:ascii="Times New Roman" w:hAnsi="Times New Roman" w:cs="Times New Roman"/>
          <w:bCs/>
          <w:sz w:val="24"/>
          <w:szCs w:val="24"/>
        </w:rPr>
        <w:t>in developing</w:t>
      </w:r>
      <w:r w:rsidRPr="00CF08C5">
        <w:rPr>
          <w:rFonts w:ascii="Times New Roman" w:hAnsi="Times New Roman" w:cs="Times New Roman"/>
          <w:bCs/>
          <w:sz w:val="24"/>
          <w:szCs w:val="24"/>
        </w:rPr>
        <w:t xml:space="preserve"> new industries</w:t>
      </w:r>
      <w:r>
        <w:rPr>
          <w:rFonts w:ascii="Times New Roman" w:hAnsi="Times New Roman" w:cs="Times New Roman"/>
          <w:bCs/>
          <w:sz w:val="24"/>
          <w:szCs w:val="24"/>
        </w:rPr>
        <w:t>,</w:t>
      </w:r>
      <w:r w:rsidRPr="00CF08C5">
        <w:rPr>
          <w:rFonts w:ascii="Times New Roman" w:hAnsi="Times New Roman" w:cs="Times New Roman"/>
          <w:bCs/>
          <w:sz w:val="24"/>
          <w:szCs w:val="24"/>
        </w:rPr>
        <w:t xml:space="preserve"> </w:t>
      </w:r>
      <w:r>
        <w:rPr>
          <w:rFonts w:ascii="Times New Roman" w:hAnsi="Times New Roman" w:cs="Times New Roman"/>
          <w:bCs/>
          <w:sz w:val="24"/>
          <w:szCs w:val="24"/>
        </w:rPr>
        <w:t xml:space="preserve">thereby </w:t>
      </w:r>
      <w:r w:rsidRPr="00CF08C5">
        <w:rPr>
          <w:rFonts w:ascii="Times New Roman" w:hAnsi="Times New Roman" w:cs="Times New Roman"/>
          <w:bCs/>
          <w:sz w:val="24"/>
          <w:szCs w:val="24"/>
        </w:rPr>
        <w:t>generating economic growth and job</w:t>
      </w:r>
      <w:r>
        <w:rPr>
          <w:rFonts w:ascii="Times New Roman" w:hAnsi="Times New Roman" w:cs="Times New Roman"/>
          <w:bCs/>
          <w:sz w:val="24"/>
          <w:szCs w:val="24"/>
        </w:rPr>
        <w:t>s</w:t>
      </w:r>
      <w:r w:rsidRPr="00CF08C5">
        <w:rPr>
          <w:rFonts w:ascii="Times New Roman" w:hAnsi="Times New Roman" w:cs="Times New Roman"/>
          <w:bCs/>
          <w:sz w:val="24"/>
          <w:szCs w:val="24"/>
        </w:rPr>
        <w:t xml:space="preserve"> (Bank of E</w:t>
      </w:r>
      <w:r>
        <w:rPr>
          <w:rFonts w:ascii="Times New Roman" w:hAnsi="Times New Roman" w:cs="Times New Roman"/>
          <w:bCs/>
          <w:sz w:val="24"/>
          <w:szCs w:val="24"/>
        </w:rPr>
        <w:t>ngland 1996, 2001; Siegel et al.,</w:t>
      </w:r>
      <w:r w:rsidRPr="00CF08C5">
        <w:rPr>
          <w:rFonts w:ascii="Times New Roman" w:hAnsi="Times New Roman" w:cs="Times New Roman"/>
          <w:bCs/>
          <w:sz w:val="24"/>
          <w:szCs w:val="24"/>
        </w:rPr>
        <w:t xml:space="preserve"> 2003)</w:t>
      </w:r>
      <w:r>
        <w:rPr>
          <w:rFonts w:ascii="Times New Roman" w:hAnsi="Times New Roman" w:cs="Times New Roman"/>
          <w:bCs/>
          <w:sz w:val="24"/>
          <w:szCs w:val="24"/>
        </w:rPr>
        <w:t>.</w:t>
      </w:r>
      <w:r w:rsidRPr="00CF08C5">
        <w:rPr>
          <w:rFonts w:ascii="Times New Roman" w:hAnsi="Times New Roman" w:cs="Times New Roman"/>
          <w:bCs/>
          <w:sz w:val="24"/>
          <w:szCs w:val="24"/>
        </w:rPr>
        <w:t xml:space="preserve"> </w:t>
      </w:r>
      <w:r>
        <w:rPr>
          <w:rFonts w:ascii="Times New Roman" w:hAnsi="Times New Roman" w:cs="Times New Roman"/>
          <w:bCs/>
          <w:sz w:val="24"/>
          <w:szCs w:val="24"/>
        </w:rPr>
        <w:t xml:space="preserve">These </w:t>
      </w:r>
      <w:r w:rsidRPr="00CF08C5">
        <w:rPr>
          <w:rFonts w:ascii="Times New Roman" w:hAnsi="Times New Roman" w:cs="Times New Roman"/>
          <w:bCs/>
          <w:sz w:val="24"/>
          <w:szCs w:val="24"/>
        </w:rPr>
        <w:t xml:space="preserve">businesses exhibit higher levels of risk due to a lack of physical assets to provide collateral </w:t>
      </w:r>
      <w:r>
        <w:rPr>
          <w:rFonts w:ascii="Times New Roman" w:hAnsi="Times New Roman" w:cs="Times New Roman"/>
          <w:bCs/>
          <w:sz w:val="24"/>
          <w:szCs w:val="24"/>
        </w:rPr>
        <w:t xml:space="preserve">for </w:t>
      </w:r>
      <w:r w:rsidRPr="00CF08C5">
        <w:rPr>
          <w:rFonts w:ascii="Times New Roman" w:hAnsi="Times New Roman" w:cs="Times New Roman"/>
          <w:bCs/>
          <w:sz w:val="24"/>
          <w:szCs w:val="24"/>
        </w:rPr>
        <w:t xml:space="preserve">debt finance and may </w:t>
      </w:r>
      <w:r>
        <w:rPr>
          <w:rFonts w:ascii="Times New Roman" w:hAnsi="Times New Roman" w:cs="Times New Roman"/>
          <w:bCs/>
          <w:sz w:val="24"/>
          <w:szCs w:val="24"/>
        </w:rPr>
        <w:t xml:space="preserve">also </w:t>
      </w:r>
      <w:r w:rsidRPr="00CF08C5">
        <w:rPr>
          <w:rFonts w:ascii="Times New Roman" w:hAnsi="Times New Roman" w:cs="Times New Roman"/>
          <w:bCs/>
          <w:sz w:val="24"/>
          <w:szCs w:val="24"/>
        </w:rPr>
        <w:t xml:space="preserve">lack revenue streams </w:t>
      </w:r>
      <w:r>
        <w:rPr>
          <w:rFonts w:ascii="Times New Roman" w:hAnsi="Times New Roman" w:cs="Times New Roman"/>
          <w:bCs/>
          <w:sz w:val="24"/>
          <w:szCs w:val="24"/>
        </w:rPr>
        <w:t xml:space="preserve">needed to </w:t>
      </w:r>
      <w:r w:rsidRPr="00CF08C5">
        <w:rPr>
          <w:rFonts w:ascii="Times New Roman" w:hAnsi="Times New Roman" w:cs="Times New Roman"/>
          <w:bCs/>
          <w:sz w:val="24"/>
          <w:szCs w:val="24"/>
        </w:rPr>
        <w:t>servic</w:t>
      </w:r>
      <w:r>
        <w:rPr>
          <w:rFonts w:ascii="Times New Roman" w:hAnsi="Times New Roman" w:cs="Times New Roman"/>
          <w:bCs/>
          <w:sz w:val="24"/>
          <w:szCs w:val="24"/>
        </w:rPr>
        <w:t>e</w:t>
      </w:r>
      <w:r w:rsidRPr="00CF08C5">
        <w:rPr>
          <w:rFonts w:ascii="Times New Roman" w:hAnsi="Times New Roman" w:cs="Times New Roman"/>
          <w:bCs/>
          <w:sz w:val="24"/>
          <w:szCs w:val="24"/>
        </w:rPr>
        <w:t xml:space="preserve"> </w:t>
      </w:r>
      <w:r>
        <w:rPr>
          <w:rFonts w:ascii="Times New Roman" w:hAnsi="Times New Roman" w:cs="Times New Roman"/>
          <w:bCs/>
          <w:sz w:val="24"/>
          <w:szCs w:val="24"/>
        </w:rPr>
        <w:t>loan repayments (Reynolds et al.,</w:t>
      </w:r>
      <w:r w:rsidRPr="00CF08C5">
        <w:rPr>
          <w:rFonts w:ascii="Times New Roman" w:hAnsi="Times New Roman" w:cs="Times New Roman"/>
          <w:bCs/>
          <w:sz w:val="24"/>
          <w:szCs w:val="24"/>
        </w:rPr>
        <w:t xml:space="preserve"> 2000; Mason and Harrison, 2003). </w:t>
      </w:r>
      <w:r>
        <w:rPr>
          <w:rFonts w:ascii="Times New Roman" w:hAnsi="Times New Roman" w:cs="Times New Roman"/>
          <w:bCs/>
          <w:sz w:val="24"/>
          <w:szCs w:val="24"/>
        </w:rPr>
        <w:t>Recent e</w:t>
      </w:r>
      <w:r w:rsidRPr="00CF08C5">
        <w:rPr>
          <w:rFonts w:ascii="Times New Roman" w:hAnsi="Times New Roman" w:cs="Times New Roman"/>
          <w:bCs/>
          <w:sz w:val="24"/>
          <w:szCs w:val="24"/>
        </w:rPr>
        <w:t>viden</w:t>
      </w:r>
      <w:r>
        <w:rPr>
          <w:rFonts w:ascii="Times New Roman" w:hAnsi="Times New Roman" w:cs="Times New Roman"/>
          <w:bCs/>
          <w:sz w:val="24"/>
          <w:szCs w:val="24"/>
        </w:rPr>
        <w:t>ce (Fraser, 2009; Cowling et al., 2012; North et al.,</w:t>
      </w:r>
      <w:r w:rsidRPr="00CF08C5">
        <w:rPr>
          <w:rFonts w:ascii="Times New Roman" w:hAnsi="Times New Roman" w:cs="Times New Roman"/>
          <w:bCs/>
          <w:sz w:val="24"/>
          <w:szCs w:val="24"/>
        </w:rPr>
        <w:t xml:space="preserve"> 2013) </w:t>
      </w:r>
      <w:r>
        <w:rPr>
          <w:rFonts w:ascii="Times New Roman" w:hAnsi="Times New Roman" w:cs="Times New Roman"/>
          <w:bCs/>
          <w:sz w:val="24"/>
          <w:szCs w:val="24"/>
        </w:rPr>
        <w:t xml:space="preserve">also suggests </w:t>
      </w:r>
      <w:r w:rsidRPr="00CF08C5">
        <w:rPr>
          <w:rFonts w:ascii="Times New Roman" w:hAnsi="Times New Roman" w:cs="Times New Roman"/>
          <w:bCs/>
          <w:sz w:val="24"/>
          <w:szCs w:val="24"/>
        </w:rPr>
        <w:t xml:space="preserve">that </w:t>
      </w:r>
      <w:r>
        <w:rPr>
          <w:rFonts w:ascii="Times New Roman" w:hAnsi="Times New Roman" w:cs="Times New Roman"/>
          <w:bCs/>
          <w:sz w:val="24"/>
          <w:szCs w:val="24"/>
        </w:rPr>
        <w:t>SME</w:t>
      </w:r>
      <w:r w:rsidRPr="00CF08C5">
        <w:rPr>
          <w:rFonts w:ascii="Times New Roman" w:hAnsi="Times New Roman" w:cs="Times New Roman"/>
          <w:bCs/>
          <w:sz w:val="24"/>
          <w:szCs w:val="24"/>
        </w:rPr>
        <w:t xml:space="preserve"> demand for equity finance </w:t>
      </w:r>
      <w:r>
        <w:rPr>
          <w:rFonts w:ascii="Times New Roman" w:hAnsi="Times New Roman" w:cs="Times New Roman"/>
          <w:bCs/>
          <w:sz w:val="24"/>
          <w:szCs w:val="24"/>
        </w:rPr>
        <w:t xml:space="preserve">has increased </w:t>
      </w:r>
      <w:r w:rsidRPr="00CF08C5">
        <w:rPr>
          <w:rFonts w:ascii="Times New Roman" w:hAnsi="Times New Roman" w:cs="Times New Roman"/>
          <w:bCs/>
          <w:sz w:val="24"/>
          <w:szCs w:val="24"/>
        </w:rPr>
        <w:t xml:space="preserve">as bank credit rationing and moral hazard aversion </w:t>
      </w:r>
      <w:r>
        <w:rPr>
          <w:rFonts w:ascii="Times New Roman" w:hAnsi="Times New Roman" w:cs="Times New Roman"/>
          <w:bCs/>
          <w:sz w:val="24"/>
          <w:szCs w:val="24"/>
        </w:rPr>
        <w:t>have</w:t>
      </w:r>
      <w:r w:rsidRPr="00CF08C5">
        <w:rPr>
          <w:rFonts w:ascii="Times New Roman" w:hAnsi="Times New Roman" w:cs="Times New Roman"/>
          <w:bCs/>
          <w:sz w:val="24"/>
          <w:szCs w:val="24"/>
        </w:rPr>
        <w:t xml:space="preserve"> accentuated in the aftermath of the </w:t>
      </w:r>
      <w:r>
        <w:rPr>
          <w:rFonts w:ascii="Times New Roman" w:hAnsi="Times New Roman" w:cs="Times New Roman"/>
          <w:bCs/>
          <w:sz w:val="24"/>
          <w:szCs w:val="24"/>
        </w:rPr>
        <w:t>GFC</w:t>
      </w:r>
      <w:r w:rsidRPr="00CF08C5">
        <w:rPr>
          <w:rFonts w:ascii="Times New Roman" w:hAnsi="Times New Roman" w:cs="Times New Roman"/>
          <w:bCs/>
          <w:sz w:val="24"/>
          <w:szCs w:val="24"/>
        </w:rPr>
        <w:t>.</w:t>
      </w:r>
    </w:p>
    <w:p w:rsidR="00075DBE" w:rsidRDefault="00075DBE" w:rsidP="00085F52">
      <w:pPr>
        <w:pStyle w:val="abody"/>
        <w:spacing w:after="100" w:afterAutospacing="1"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equity gap in the UK has long been recognized </w:t>
      </w:r>
      <w:r w:rsidRPr="00CF08C5">
        <w:rPr>
          <w:rFonts w:ascii="Times New Roman" w:hAnsi="Times New Roman" w:cs="Times New Roman"/>
          <w:bCs/>
          <w:sz w:val="24"/>
          <w:szCs w:val="24"/>
        </w:rPr>
        <w:t xml:space="preserve">(Macmillan, 1931; HM Treasury, 2003), particularly for seed and early stage </w:t>
      </w:r>
      <w:r>
        <w:rPr>
          <w:rFonts w:ascii="Times New Roman" w:hAnsi="Times New Roman" w:cs="Times New Roman"/>
          <w:bCs/>
          <w:sz w:val="24"/>
          <w:szCs w:val="24"/>
        </w:rPr>
        <w:t>VC</w:t>
      </w:r>
      <w:r w:rsidRPr="00CF08C5">
        <w:rPr>
          <w:rFonts w:ascii="Times New Roman" w:hAnsi="Times New Roman" w:cs="Times New Roman"/>
          <w:bCs/>
          <w:sz w:val="24"/>
          <w:szCs w:val="24"/>
        </w:rPr>
        <w:t xml:space="preserve">, with this market failure </w:t>
      </w:r>
      <w:r>
        <w:rPr>
          <w:rFonts w:ascii="Times New Roman" w:hAnsi="Times New Roman" w:cs="Times New Roman"/>
          <w:bCs/>
          <w:sz w:val="24"/>
          <w:szCs w:val="24"/>
        </w:rPr>
        <w:t xml:space="preserve">constraining innovation. </w:t>
      </w:r>
      <w:r w:rsidRPr="00CF08C5">
        <w:rPr>
          <w:rFonts w:ascii="Times New Roman" w:hAnsi="Times New Roman" w:cs="Times New Roman"/>
          <w:bCs/>
          <w:sz w:val="24"/>
          <w:szCs w:val="24"/>
        </w:rPr>
        <w:t>The boundaries of the equity gap have increased over time;</w:t>
      </w:r>
      <w:r>
        <w:rPr>
          <w:rFonts w:ascii="Times New Roman" w:hAnsi="Times New Roman" w:cs="Times New Roman"/>
          <w:bCs/>
          <w:sz w:val="24"/>
          <w:szCs w:val="24"/>
        </w:rPr>
        <w:t xml:space="preserve"> estimated at</w:t>
      </w:r>
      <w:r w:rsidRPr="00CF08C5">
        <w:rPr>
          <w:rFonts w:ascii="Times New Roman" w:hAnsi="Times New Roman" w:cs="Times New Roman"/>
          <w:bCs/>
          <w:sz w:val="24"/>
          <w:szCs w:val="24"/>
        </w:rPr>
        <w:t xml:space="preserve"> up to £</w:t>
      </w:r>
      <w:r>
        <w:rPr>
          <w:rFonts w:ascii="Times New Roman" w:hAnsi="Times New Roman" w:cs="Times New Roman"/>
          <w:bCs/>
          <w:sz w:val="24"/>
          <w:szCs w:val="24"/>
        </w:rPr>
        <w:t>0.5m in 1999</w:t>
      </w:r>
      <w:r w:rsidRPr="00CF08C5">
        <w:rPr>
          <w:rFonts w:ascii="Times New Roman" w:hAnsi="Times New Roman" w:cs="Times New Roman"/>
          <w:bCs/>
          <w:sz w:val="24"/>
          <w:szCs w:val="24"/>
        </w:rPr>
        <w:t xml:space="preserve">, it is now </w:t>
      </w:r>
      <w:r>
        <w:rPr>
          <w:rFonts w:ascii="Times New Roman" w:hAnsi="Times New Roman" w:cs="Times New Roman"/>
          <w:bCs/>
          <w:sz w:val="24"/>
          <w:szCs w:val="24"/>
        </w:rPr>
        <w:t xml:space="preserve">on some estimates put at upwards of £5m, particularly for the longer investment horizon R&amp;D intensive sectors </w:t>
      </w:r>
      <w:r w:rsidRPr="00CF08C5">
        <w:rPr>
          <w:rFonts w:ascii="Times New Roman" w:hAnsi="Times New Roman" w:cs="Times New Roman"/>
          <w:bCs/>
          <w:sz w:val="24"/>
          <w:szCs w:val="24"/>
        </w:rPr>
        <w:t>(</w:t>
      </w:r>
      <w:r>
        <w:rPr>
          <w:rFonts w:ascii="Times New Roman" w:hAnsi="Times New Roman" w:cs="Times New Roman"/>
          <w:bCs/>
          <w:sz w:val="24"/>
          <w:szCs w:val="24"/>
        </w:rPr>
        <w:t xml:space="preserve">SQW Consulting, 2009; </w:t>
      </w:r>
      <w:r w:rsidRPr="00CF08C5">
        <w:rPr>
          <w:rFonts w:ascii="Times New Roman" w:hAnsi="Times New Roman" w:cs="Times New Roman"/>
          <w:bCs/>
          <w:sz w:val="24"/>
          <w:szCs w:val="24"/>
        </w:rPr>
        <w:t xml:space="preserve">Rowlands, 2009). This is due </w:t>
      </w:r>
      <w:r>
        <w:rPr>
          <w:rFonts w:ascii="Times New Roman" w:hAnsi="Times New Roman" w:cs="Times New Roman"/>
          <w:bCs/>
          <w:sz w:val="24"/>
          <w:szCs w:val="24"/>
        </w:rPr>
        <w:t xml:space="preserve">mainly </w:t>
      </w:r>
      <w:r w:rsidRPr="00CF08C5">
        <w:rPr>
          <w:rFonts w:ascii="Times New Roman" w:hAnsi="Times New Roman" w:cs="Times New Roman"/>
          <w:bCs/>
          <w:sz w:val="24"/>
          <w:szCs w:val="24"/>
        </w:rPr>
        <w:t>to</w:t>
      </w:r>
      <w:r>
        <w:rPr>
          <w:rFonts w:ascii="Times New Roman" w:hAnsi="Times New Roman" w:cs="Times New Roman"/>
          <w:bCs/>
          <w:sz w:val="24"/>
          <w:szCs w:val="24"/>
        </w:rPr>
        <w:t xml:space="preserve"> i</w:t>
      </w:r>
      <w:r w:rsidRPr="00CF08C5">
        <w:rPr>
          <w:rFonts w:ascii="Times New Roman" w:hAnsi="Times New Roman" w:cs="Times New Roman"/>
          <w:bCs/>
          <w:sz w:val="24"/>
          <w:szCs w:val="24"/>
        </w:rPr>
        <w:t xml:space="preserve">nformation asymmetries between investors and young SMEs (Hughes, 2009) where information is not transparent and </w:t>
      </w:r>
      <w:r>
        <w:rPr>
          <w:rFonts w:ascii="Times New Roman" w:hAnsi="Times New Roman" w:cs="Times New Roman"/>
          <w:bCs/>
          <w:sz w:val="24"/>
          <w:szCs w:val="24"/>
        </w:rPr>
        <w:t xml:space="preserve">assets are </w:t>
      </w:r>
      <w:r w:rsidRPr="00CF08C5">
        <w:rPr>
          <w:rFonts w:ascii="Times New Roman" w:hAnsi="Times New Roman" w:cs="Times New Roman"/>
          <w:bCs/>
          <w:sz w:val="24"/>
          <w:szCs w:val="24"/>
        </w:rPr>
        <w:t>knowledge based</w:t>
      </w:r>
      <w:r>
        <w:rPr>
          <w:rFonts w:ascii="Times New Roman" w:hAnsi="Times New Roman" w:cs="Times New Roman"/>
          <w:bCs/>
          <w:sz w:val="24"/>
          <w:szCs w:val="24"/>
        </w:rPr>
        <w:t xml:space="preserve"> </w:t>
      </w:r>
      <w:r w:rsidRPr="00CF08C5">
        <w:rPr>
          <w:rFonts w:ascii="Times New Roman" w:hAnsi="Times New Roman" w:cs="Times New Roman"/>
          <w:bCs/>
          <w:sz w:val="24"/>
          <w:szCs w:val="24"/>
        </w:rPr>
        <w:t xml:space="preserve">(Hsu, 2004). </w:t>
      </w:r>
      <w:r>
        <w:rPr>
          <w:rFonts w:ascii="Times New Roman" w:hAnsi="Times New Roman" w:cs="Times New Roman"/>
          <w:bCs/>
          <w:sz w:val="24"/>
          <w:szCs w:val="24"/>
        </w:rPr>
        <w:t xml:space="preserve">These businesses present </w:t>
      </w:r>
      <w:r w:rsidRPr="00CF08C5">
        <w:rPr>
          <w:rFonts w:ascii="Times New Roman" w:hAnsi="Times New Roman" w:cs="Times New Roman"/>
          <w:bCs/>
          <w:sz w:val="24"/>
          <w:szCs w:val="24"/>
        </w:rPr>
        <w:t>high</w:t>
      </w:r>
      <w:r>
        <w:rPr>
          <w:rFonts w:ascii="Times New Roman" w:hAnsi="Times New Roman" w:cs="Times New Roman"/>
          <w:bCs/>
          <w:sz w:val="24"/>
          <w:szCs w:val="24"/>
        </w:rPr>
        <w:t xml:space="preserve"> risk</w:t>
      </w:r>
      <w:r w:rsidRPr="00CF08C5">
        <w:rPr>
          <w:rFonts w:ascii="Times New Roman" w:hAnsi="Times New Roman" w:cs="Times New Roman"/>
          <w:bCs/>
          <w:sz w:val="24"/>
          <w:szCs w:val="24"/>
        </w:rPr>
        <w:t xml:space="preserve"> technological, market and managerial uncertainties </w:t>
      </w:r>
      <w:r>
        <w:rPr>
          <w:rFonts w:ascii="Times New Roman" w:hAnsi="Times New Roman" w:cs="Times New Roman"/>
          <w:bCs/>
          <w:sz w:val="24"/>
          <w:szCs w:val="24"/>
        </w:rPr>
        <w:t>and in</w:t>
      </w:r>
      <w:r w:rsidRPr="00CF08C5">
        <w:rPr>
          <w:rFonts w:ascii="Times New Roman" w:hAnsi="Times New Roman" w:cs="Times New Roman"/>
          <w:bCs/>
          <w:sz w:val="24"/>
          <w:szCs w:val="24"/>
        </w:rPr>
        <w:t xml:space="preserve"> seed and early stage investment invariably require</w:t>
      </w:r>
      <w:r>
        <w:rPr>
          <w:rFonts w:ascii="Times New Roman" w:hAnsi="Times New Roman" w:cs="Times New Roman"/>
          <w:bCs/>
          <w:sz w:val="24"/>
          <w:szCs w:val="24"/>
        </w:rPr>
        <w:t xml:space="preserve"> intensive</w:t>
      </w:r>
      <w:r w:rsidRPr="00CF08C5">
        <w:rPr>
          <w:rFonts w:ascii="Times New Roman" w:hAnsi="Times New Roman" w:cs="Times New Roman"/>
          <w:bCs/>
          <w:sz w:val="24"/>
          <w:szCs w:val="24"/>
        </w:rPr>
        <w:t xml:space="preserve"> managerial and consulting </w:t>
      </w:r>
      <w:r>
        <w:rPr>
          <w:rFonts w:ascii="Times New Roman" w:hAnsi="Times New Roman" w:cs="Times New Roman"/>
          <w:bCs/>
          <w:sz w:val="24"/>
          <w:szCs w:val="24"/>
        </w:rPr>
        <w:t xml:space="preserve">VC </w:t>
      </w:r>
      <w:r w:rsidRPr="00CF08C5">
        <w:rPr>
          <w:rFonts w:ascii="Times New Roman" w:hAnsi="Times New Roman" w:cs="Times New Roman"/>
          <w:bCs/>
          <w:sz w:val="24"/>
          <w:szCs w:val="24"/>
        </w:rPr>
        <w:t xml:space="preserve">input </w:t>
      </w:r>
      <w:r>
        <w:rPr>
          <w:rFonts w:ascii="Times New Roman" w:hAnsi="Times New Roman" w:cs="Times New Roman"/>
          <w:bCs/>
          <w:sz w:val="24"/>
          <w:szCs w:val="24"/>
        </w:rPr>
        <w:t xml:space="preserve">to generate </w:t>
      </w:r>
      <w:r w:rsidRPr="00CF08C5">
        <w:rPr>
          <w:rFonts w:ascii="Times New Roman" w:hAnsi="Times New Roman" w:cs="Times New Roman"/>
          <w:bCs/>
          <w:sz w:val="24"/>
          <w:szCs w:val="24"/>
        </w:rPr>
        <w:t>return</w:t>
      </w:r>
      <w:r>
        <w:rPr>
          <w:rFonts w:ascii="Times New Roman" w:hAnsi="Times New Roman" w:cs="Times New Roman"/>
          <w:bCs/>
          <w:sz w:val="24"/>
          <w:szCs w:val="24"/>
        </w:rPr>
        <w:t>s (MacMillan et al.,</w:t>
      </w:r>
      <w:r w:rsidRPr="00CF08C5">
        <w:rPr>
          <w:rFonts w:ascii="Times New Roman" w:hAnsi="Times New Roman" w:cs="Times New Roman"/>
          <w:bCs/>
          <w:sz w:val="24"/>
          <w:szCs w:val="24"/>
        </w:rPr>
        <w:t xml:space="preserve"> 1989; Murray</w:t>
      </w:r>
      <w:r>
        <w:rPr>
          <w:rFonts w:ascii="Times New Roman" w:hAnsi="Times New Roman" w:cs="Times New Roman"/>
          <w:bCs/>
          <w:sz w:val="24"/>
          <w:szCs w:val="24"/>
        </w:rPr>
        <w:t>,</w:t>
      </w:r>
      <w:r w:rsidRPr="00CF08C5">
        <w:rPr>
          <w:rFonts w:ascii="Times New Roman" w:hAnsi="Times New Roman" w:cs="Times New Roman"/>
          <w:bCs/>
          <w:sz w:val="24"/>
          <w:szCs w:val="24"/>
        </w:rPr>
        <w:t xml:space="preserve"> 1999). </w:t>
      </w:r>
      <w:r>
        <w:rPr>
          <w:rFonts w:ascii="Times New Roman" w:hAnsi="Times New Roman" w:cs="Times New Roman"/>
          <w:bCs/>
          <w:sz w:val="24"/>
          <w:szCs w:val="24"/>
        </w:rPr>
        <w:t>T</w:t>
      </w:r>
      <w:r w:rsidRPr="00CF08C5">
        <w:rPr>
          <w:rFonts w:ascii="Times New Roman" w:hAnsi="Times New Roman" w:cs="Times New Roman"/>
          <w:bCs/>
          <w:sz w:val="24"/>
          <w:szCs w:val="24"/>
        </w:rPr>
        <w:t>he history of small specialist early</w:t>
      </w:r>
      <w:r>
        <w:rPr>
          <w:rFonts w:ascii="Times New Roman" w:hAnsi="Times New Roman" w:cs="Times New Roman"/>
          <w:bCs/>
          <w:sz w:val="24"/>
          <w:szCs w:val="24"/>
        </w:rPr>
        <w:t xml:space="preserve"> </w:t>
      </w:r>
      <w:r w:rsidRPr="00CF08C5">
        <w:rPr>
          <w:rFonts w:ascii="Times New Roman" w:hAnsi="Times New Roman" w:cs="Times New Roman"/>
          <w:bCs/>
          <w:sz w:val="24"/>
          <w:szCs w:val="24"/>
        </w:rPr>
        <w:t xml:space="preserve">stage </w:t>
      </w:r>
      <w:r>
        <w:rPr>
          <w:rFonts w:ascii="Times New Roman" w:hAnsi="Times New Roman" w:cs="Times New Roman"/>
          <w:bCs/>
          <w:sz w:val="24"/>
          <w:szCs w:val="24"/>
        </w:rPr>
        <w:t xml:space="preserve">European </w:t>
      </w:r>
      <w:r w:rsidRPr="00CF08C5">
        <w:rPr>
          <w:rFonts w:ascii="Times New Roman" w:hAnsi="Times New Roman" w:cs="Times New Roman"/>
          <w:bCs/>
          <w:sz w:val="24"/>
          <w:szCs w:val="24"/>
        </w:rPr>
        <w:t>VC funds is characteri</w:t>
      </w:r>
      <w:r>
        <w:rPr>
          <w:rFonts w:ascii="Times New Roman" w:hAnsi="Times New Roman" w:cs="Times New Roman"/>
          <w:bCs/>
          <w:sz w:val="24"/>
          <w:szCs w:val="24"/>
        </w:rPr>
        <w:t>z</w:t>
      </w:r>
      <w:r w:rsidRPr="00CF08C5">
        <w:rPr>
          <w:rFonts w:ascii="Times New Roman" w:hAnsi="Times New Roman" w:cs="Times New Roman"/>
          <w:bCs/>
          <w:sz w:val="24"/>
          <w:szCs w:val="24"/>
        </w:rPr>
        <w:t>ed by low returns</w:t>
      </w:r>
      <w:r>
        <w:rPr>
          <w:rFonts w:ascii="Times New Roman" w:hAnsi="Times New Roman" w:cs="Times New Roman"/>
          <w:bCs/>
          <w:sz w:val="24"/>
          <w:szCs w:val="24"/>
        </w:rPr>
        <w:t>,</w:t>
      </w:r>
      <w:r w:rsidRPr="00CF08C5">
        <w:rPr>
          <w:rFonts w:ascii="Times New Roman" w:hAnsi="Times New Roman" w:cs="Times New Roman"/>
          <w:bCs/>
          <w:sz w:val="24"/>
          <w:szCs w:val="24"/>
        </w:rPr>
        <w:t xml:space="preserve"> failed funds (Murray, 2007)</w:t>
      </w:r>
      <w:r>
        <w:rPr>
          <w:rFonts w:ascii="Times New Roman" w:hAnsi="Times New Roman" w:cs="Times New Roman"/>
          <w:bCs/>
          <w:sz w:val="24"/>
          <w:szCs w:val="24"/>
        </w:rPr>
        <w:t xml:space="preserve"> and</w:t>
      </w:r>
      <w:r w:rsidRPr="00CF08C5">
        <w:rPr>
          <w:rFonts w:ascii="Times New Roman" w:hAnsi="Times New Roman" w:cs="Times New Roman"/>
          <w:bCs/>
          <w:sz w:val="24"/>
          <w:szCs w:val="24"/>
        </w:rPr>
        <w:t xml:space="preserve"> established VC</w:t>
      </w:r>
      <w:r>
        <w:rPr>
          <w:rFonts w:ascii="Times New Roman" w:hAnsi="Times New Roman" w:cs="Times New Roman"/>
          <w:bCs/>
          <w:sz w:val="24"/>
          <w:szCs w:val="24"/>
        </w:rPr>
        <w:t>s</w:t>
      </w:r>
      <w:r w:rsidRPr="00CF08C5">
        <w:rPr>
          <w:rFonts w:ascii="Times New Roman" w:hAnsi="Times New Roman" w:cs="Times New Roman"/>
          <w:bCs/>
          <w:sz w:val="24"/>
          <w:szCs w:val="24"/>
        </w:rPr>
        <w:t xml:space="preserve"> </w:t>
      </w:r>
      <w:r>
        <w:rPr>
          <w:rFonts w:ascii="Times New Roman" w:hAnsi="Times New Roman" w:cs="Times New Roman"/>
          <w:bCs/>
          <w:sz w:val="24"/>
          <w:szCs w:val="24"/>
        </w:rPr>
        <w:t xml:space="preserve">retreating to safer </w:t>
      </w:r>
      <w:r w:rsidRPr="00CF08C5">
        <w:rPr>
          <w:rFonts w:ascii="Times New Roman" w:hAnsi="Times New Roman" w:cs="Times New Roman"/>
          <w:bCs/>
          <w:sz w:val="24"/>
          <w:szCs w:val="24"/>
        </w:rPr>
        <w:t>later stage investments (Pierrakis</w:t>
      </w:r>
      <w:r>
        <w:rPr>
          <w:rFonts w:ascii="Times New Roman" w:hAnsi="Times New Roman" w:cs="Times New Roman"/>
          <w:bCs/>
          <w:sz w:val="24"/>
          <w:szCs w:val="24"/>
        </w:rPr>
        <w:t xml:space="preserve"> and Mason, 2008; Harrison et al.,</w:t>
      </w:r>
      <w:r w:rsidRPr="00CF08C5">
        <w:rPr>
          <w:rFonts w:ascii="Times New Roman" w:hAnsi="Times New Roman" w:cs="Times New Roman"/>
          <w:bCs/>
          <w:sz w:val="24"/>
          <w:szCs w:val="24"/>
        </w:rPr>
        <w:t xml:space="preserve"> 2010).</w:t>
      </w:r>
    </w:p>
    <w:p w:rsidR="00075DBE" w:rsidRDefault="00075DBE" w:rsidP="00085F52">
      <w:pPr>
        <w:pStyle w:val="abody"/>
        <w:spacing w:after="100" w:afterAutospacing="1" w:line="480" w:lineRule="auto"/>
        <w:ind w:firstLine="720"/>
        <w:rPr>
          <w:rFonts w:ascii="Times New Roman" w:hAnsi="Times New Roman" w:cs="Times New Roman"/>
          <w:bCs/>
          <w:sz w:val="24"/>
          <w:szCs w:val="24"/>
        </w:rPr>
      </w:pPr>
      <w:r w:rsidRPr="004D1CB3">
        <w:rPr>
          <w:rFonts w:ascii="Times New Roman" w:hAnsi="Times New Roman" w:cs="Times New Roman"/>
          <w:bCs/>
          <w:sz w:val="24"/>
          <w:szCs w:val="24"/>
        </w:rPr>
        <w:t>Lerner (2010) recogni</w:t>
      </w:r>
      <w:r>
        <w:rPr>
          <w:rFonts w:ascii="Times New Roman" w:hAnsi="Times New Roman" w:cs="Times New Roman"/>
          <w:bCs/>
          <w:sz w:val="24"/>
          <w:szCs w:val="24"/>
        </w:rPr>
        <w:t>z</w:t>
      </w:r>
      <w:r w:rsidRPr="004D1CB3">
        <w:rPr>
          <w:rFonts w:ascii="Times New Roman" w:hAnsi="Times New Roman" w:cs="Times New Roman"/>
          <w:bCs/>
          <w:sz w:val="24"/>
          <w:szCs w:val="24"/>
        </w:rPr>
        <w:t>es</w:t>
      </w:r>
      <w:r>
        <w:rPr>
          <w:rFonts w:ascii="Times New Roman" w:hAnsi="Times New Roman" w:cs="Times New Roman"/>
          <w:bCs/>
          <w:sz w:val="24"/>
          <w:szCs w:val="24"/>
        </w:rPr>
        <w:t xml:space="preserve"> the importance of VC exit markets in attracting private investment. The UK has experienced a breakdown in the risk funding escalator (Mason et al., 2010, North et al., 2013) enabling innovative firms to reach a sufficient stage of market traction for a trade sale or initial public offering (IPO). The retreat of private VCs has increased pressure on business angel syndicates </w:t>
      </w:r>
      <w:r>
        <w:rPr>
          <w:rFonts w:ascii="Times New Roman" w:hAnsi="Times New Roman" w:cs="Times New Roman"/>
          <w:bCs/>
          <w:sz w:val="24"/>
          <w:szCs w:val="24"/>
        </w:rPr>
        <w:lastRenderedPageBreak/>
        <w:t>and HVCFs to follow-on fund, lengthening timescales to exit to around seven years (</w:t>
      </w:r>
      <w:r w:rsidRPr="00AA2F0E">
        <w:rPr>
          <w:rFonts w:ascii="Times New Roman" w:hAnsi="Times New Roman" w:cs="Times New Roman"/>
          <w:bCs/>
          <w:sz w:val="24"/>
          <w:szCs w:val="24"/>
        </w:rPr>
        <w:t>Pierrakis</w:t>
      </w:r>
      <w:r>
        <w:rPr>
          <w:rFonts w:ascii="Times New Roman" w:hAnsi="Times New Roman" w:cs="Times New Roman"/>
          <w:bCs/>
          <w:sz w:val="24"/>
          <w:szCs w:val="24"/>
        </w:rPr>
        <w:t xml:space="preserve">, 2010; </w:t>
      </w:r>
      <w:r w:rsidRPr="0082166F">
        <w:rPr>
          <w:rFonts w:ascii="Times New Roman" w:hAnsi="Times New Roman" w:cs="Times New Roman"/>
          <w:bCs/>
          <w:sz w:val="24"/>
          <w:szCs w:val="24"/>
        </w:rPr>
        <w:t>CfEL, 2013) and</w:t>
      </w:r>
      <w:r>
        <w:rPr>
          <w:rFonts w:ascii="Times New Roman" w:hAnsi="Times New Roman" w:cs="Times New Roman"/>
          <w:bCs/>
          <w:sz w:val="24"/>
          <w:szCs w:val="24"/>
        </w:rPr>
        <w:t xml:space="preserve"> creating a funding gap for early stage businesses.</w:t>
      </w:r>
      <w:r w:rsidRPr="00F20A27">
        <w:rPr>
          <w:rFonts w:ascii="Times New Roman" w:hAnsi="Times New Roman" w:cs="Times New Roman"/>
          <w:bCs/>
          <w:sz w:val="24"/>
          <w:szCs w:val="24"/>
        </w:rPr>
        <w:t xml:space="preserve"> </w:t>
      </w:r>
      <w:r w:rsidRPr="00CF08C5">
        <w:rPr>
          <w:rFonts w:ascii="Times New Roman" w:hAnsi="Times New Roman" w:cs="Times New Roman"/>
          <w:bCs/>
          <w:sz w:val="24"/>
          <w:szCs w:val="24"/>
        </w:rPr>
        <w:t xml:space="preserve">Consequently, </w:t>
      </w:r>
      <w:r>
        <w:rPr>
          <w:rFonts w:ascii="Times New Roman" w:hAnsi="Times New Roman" w:cs="Times New Roman"/>
          <w:bCs/>
          <w:sz w:val="24"/>
          <w:szCs w:val="24"/>
        </w:rPr>
        <w:t>the</w:t>
      </w:r>
      <w:r w:rsidRPr="00CF08C5">
        <w:rPr>
          <w:rFonts w:ascii="Times New Roman" w:hAnsi="Times New Roman" w:cs="Times New Roman"/>
          <w:bCs/>
          <w:sz w:val="24"/>
          <w:szCs w:val="24"/>
        </w:rPr>
        <w:t xml:space="preserve"> equity gap </w:t>
      </w:r>
      <w:r>
        <w:rPr>
          <w:rFonts w:ascii="Times New Roman" w:hAnsi="Times New Roman" w:cs="Times New Roman"/>
          <w:bCs/>
          <w:sz w:val="24"/>
          <w:szCs w:val="24"/>
        </w:rPr>
        <w:t xml:space="preserve">now </w:t>
      </w:r>
      <w:r w:rsidRPr="00CF08C5">
        <w:rPr>
          <w:rFonts w:ascii="Times New Roman" w:hAnsi="Times New Roman" w:cs="Times New Roman"/>
          <w:bCs/>
          <w:sz w:val="24"/>
          <w:szCs w:val="24"/>
        </w:rPr>
        <w:t>exists for projects that are too large for business angel</w:t>
      </w:r>
      <w:r>
        <w:rPr>
          <w:rFonts w:ascii="Times New Roman" w:hAnsi="Times New Roman" w:cs="Times New Roman"/>
          <w:bCs/>
          <w:sz w:val="24"/>
          <w:szCs w:val="24"/>
        </w:rPr>
        <w:t xml:space="preserve"> syndicates</w:t>
      </w:r>
      <w:r w:rsidRPr="00CF08C5">
        <w:rPr>
          <w:rFonts w:ascii="Times New Roman" w:hAnsi="Times New Roman" w:cs="Times New Roman"/>
          <w:bCs/>
          <w:sz w:val="24"/>
          <w:szCs w:val="24"/>
        </w:rPr>
        <w:t xml:space="preserve"> to fund but below the level for most </w:t>
      </w:r>
      <w:r>
        <w:rPr>
          <w:rFonts w:ascii="Times New Roman" w:hAnsi="Times New Roman" w:cs="Times New Roman"/>
          <w:bCs/>
          <w:sz w:val="24"/>
          <w:szCs w:val="24"/>
        </w:rPr>
        <w:t>private VC</w:t>
      </w:r>
      <w:r w:rsidRPr="00CF08C5">
        <w:rPr>
          <w:rFonts w:ascii="Times New Roman" w:hAnsi="Times New Roman" w:cs="Times New Roman"/>
          <w:bCs/>
          <w:sz w:val="24"/>
          <w:szCs w:val="24"/>
        </w:rPr>
        <w:t xml:space="preserve"> invest</w:t>
      </w:r>
      <w:r>
        <w:rPr>
          <w:rFonts w:ascii="Times New Roman" w:hAnsi="Times New Roman" w:cs="Times New Roman"/>
          <w:bCs/>
          <w:sz w:val="24"/>
          <w:szCs w:val="24"/>
        </w:rPr>
        <w:t>ors</w:t>
      </w:r>
      <w:r w:rsidRPr="00CF08C5">
        <w:rPr>
          <w:rFonts w:ascii="Times New Roman" w:hAnsi="Times New Roman" w:cs="Times New Roman"/>
          <w:bCs/>
          <w:sz w:val="24"/>
          <w:szCs w:val="24"/>
        </w:rPr>
        <w:t xml:space="preserve">, estimated </w:t>
      </w:r>
      <w:r>
        <w:rPr>
          <w:rFonts w:ascii="Times New Roman" w:hAnsi="Times New Roman" w:cs="Times New Roman"/>
          <w:bCs/>
          <w:sz w:val="24"/>
          <w:szCs w:val="24"/>
        </w:rPr>
        <w:t>at</w:t>
      </w:r>
      <w:r w:rsidRPr="00CF08C5">
        <w:rPr>
          <w:rFonts w:ascii="Times New Roman" w:hAnsi="Times New Roman" w:cs="Times New Roman"/>
          <w:bCs/>
          <w:sz w:val="24"/>
          <w:szCs w:val="24"/>
        </w:rPr>
        <w:t xml:space="preserve"> </w:t>
      </w:r>
      <w:r>
        <w:rPr>
          <w:rFonts w:ascii="Times New Roman" w:hAnsi="Times New Roman" w:cs="Times New Roman"/>
          <w:bCs/>
          <w:sz w:val="24"/>
          <w:szCs w:val="24"/>
        </w:rPr>
        <w:t xml:space="preserve">between </w:t>
      </w:r>
      <w:r w:rsidRPr="00CF08C5">
        <w:rPr>
          <w:rFonts w:ascii="Times New Roman" w:hAnsi="Times New Roman" w:cs="Times New Roman"/>
          <w:bCs/>
          <w:sz w:val="24"/>
          <w:szCs w:val="24"/>
        </w:rPr>
        <w:t>£</w:t>
      </w:r>
      <w:r>
        <w:rPr>
          <w:rFonts w:ascii="Times New Roman" w:hAnsi="Times New Roman" w:cs="Times New Roman"/>
          <w:bCs/>
          <w:sz w:val="24"/>
          <w:szCs w:val="24"/>
        </w:rPr>
        <w:t xml:space="preserve">0.5m and </w:t>
      </w:r>
      <w:r w:rsidRPr="00CF08C5">
        <w:rPr>
          <w:rFonts w:ascii="Times New Roman" w:hAnsi="Times New Roman" w:cs="Times New Roman"/>
          <w:bCs/>
          <w:sz w:val="24"/>
          <w:szCs w:val="24"/>
        </w:rPr>
        <w:t>£</w:t>
      </w:r>
      <w:r>
        <w:rPr>
          <w:rFonts w:ascii="Times New Roman" w:hAnsi="Times New Roman" w:cs="Times New Roman"/>
          <w:bCs/>
          <w:sz w:val="24"/>
          <w:szCs w:val="24"/>
        </w:rPr>
        <w:t>5</w:t>
      </w:r>
      <w:r w:rsidRPr="00CF08C5">
        <w:rPr>
          <w:rFonts w:ascii="Times New Roman" w:hAnsi="Times New Roman" w:cs="Times New Roman"/>
          <w:bCs/>
          <w:sz w:val="24"/>
          <w:szCs w:val="24"/>
        </w:rPr>
        <w:t xml:space="preserve">m </w:t>
      </w:r>
      <w:r>
        <w:rPr>
          <w:rFonts w:ascii="Times New Roman" w:hAnsi="Times New Roman" w:cs="Times New Roman"/>
          <w:bCs/>
          <w:sz w:val="24"/>
          <w:szCs w:val="24"/>
        </w:rPr>
        <w:t>(Mason and Baldock, 2014)</w:t>
      </w:r>
      <w:r w:rsidRPr="00CF08C5">
        <w:rPr>
          <w:rFonts w:ascii="Times New Roman" w:hAnsi="Times New Roman" w:cs="Times New Roman"/>
          <w:bCs/>
          <w:sz w:val="24"/>
          <w:szCs w:val="24"/>
        </w:rPr>
        <w:t>.</w:t>
      </w:r>
    </w:p>
    <w:p w:rsidR="00075DBE" w:rsidRDefault="00075DBE" w:rsidP="00085F52">
      <w:pPr>
        <w:pStyle w:val="abody"/>
        <w:spacing w:after="100" w:afterAutospacing="1" w:line="480" w:lineRule="auto"/>
        <w:ind w:firstLine="720"/>
        <w:rPr>
          <w:rFonts w:ascii="Times New Roman" w:hAnsi="Times New Roman" w:cs="Times New Roman"/>
          <w:bCs/>
          <w:sz w:val="24"/>
          <w:szCs w:val="24"/>
        </w:rPr>
      </w:pPr>
      <w:r>
        <w:rPr>
          <w:rFonts w:ascii="Times New Roman" w:hAnsi="Times New Roman" w:cs="Times New Roman"/>
          <w:bCs/>
          <w:sz w:val="24"/>
          <w:szCs w:val="24"/>
        </w:rPr>
        <w:t>A</w:t>
      </w:r>
      <w:r w:rsidRPr="00AA2F0E">
        <w:rPr>
          <w:rFonts w:ascii="Times New Roman" w:hAnsi="Times New Roman" w:cs="Times New Roman"/>
          <w:bCs/>
          <w:sz w:val="24"/>
          <w:szCs w:val="24"/>
        </w:rPr>
        <w:t xml:space="preserve">gainst this context </w:t>
      </w:r>
      <w:r>
        <w:rPr>
          <w:rFonts w:ascii="Times New Roman" w:hAnsi="Times New Roman" w:cs="Times New Roman"/>
          <w:bCs/>
          <w:sz w:val="24"/>
          <w:szCs w:val="24"/>
        </w:rPr>
        <w:t>t</w:t>
      </w:r>
      <w:r w:rsidRPr="00AA2F0E">
        <w:rPr>
          <w:rFonts w:ascii="Times New Roman" w:hAnsi="Times New Roman" w:cs="Times New Roman"/>
          <w:bCs/>
          <w:sz w:val="24"/>
          <w:szCs w:val="24"/>
        </w:rPr>
        <w:t xml:space="preserve">here has been </w:t>
      </w:r>
      <w:r>
        <w:rPr>
          <w:rFonts w:ascii="Times New Roman" w:hAnsi="Times New Roman" w:cs="Times New Roman"/>
          <w:bCs/>
          <w:sz w:val="24"/>
          <w:szCs w:val="24"/>
        </w:rPr>
        <w:t xml:space="preserve">a </w:t>
      </w:r>
      <w:r w:rsidRPr="00AA2F0E">
        <w:rPr>
          <w:rFonts w:ascii="Times New Roman" w:hAnsi="Times New Roman" w:cs="Times New Roman"/>
          <w:bCs/>
          <w:sz w:val="24"/>
          <w:szCs w:val="24"/>
        </w:rPr>
        <w:t xml:space="preserve">growth in UK </w:t>
      </w:r>
      <w:r>
        <w:rPr>
          <w:rFonts w:ascii="Times New Roman" w:hAnsi="Times New Roman" w:cs="Times New Roman"/>
          <w:bCs/>
          <w:sz w:val="24"/>
          <w:szCs w:val="24"/>
        </w:rPr>
        <w:t>HVCFs</w:t>
      </w:r>
      <w:r w:rsidRPr="00AA2F0E">
        <w:rPr>
          <w:rFonts w:ascii="Times New Roman" w:hAnsi="Times New Roman" w:cs="Times New Roman"/>
          <w:bCs/>
          <w:sz w:val="24"/>
          <w:szCs w:val="24"/>
        </w:rPr>
        <w:t>, with public backed funds increasing from 20</w:t>
      </w:r>
      <w:r>
        <w:rPr>
          <w:rFonts w:ascii="Times New Roman" w:hAnsi="Times New Roman" w:cs="Times New Roman"/>
          <w:bCs/>
          <w:sz w:val="24"/>
          <w:szCs w:val="24"/>
        </w:rPr>
        <w:t xml:space="preserve"> per cent</w:t>
      </w:r>
      <w:r w:rsidRPr="00AA2F0E">
        <w:rPr>
          <w:rFonts w:ascii="Times New Roman" w:hAnsi="Times New Roman" w:cs="Times New Roman"/>
          <w:bCs/>
          <w:sz w:val="24"/>
          <w:szCs w:val="24"/>
        </w:rPr>
        <w:t xml:space="preserve"> of early stage funding in 2000</w:t>
      </w:r>
      <w:r>
        <w:rPr>
          <w:rFonts w:ascii="Times New Roman" w:hAnsi="Times New Roman" w:cs="Times New Roman"/>
          <w:bCs/>
          <w:sz w:val="24"/>
          <w:szCs w:val="24"/>
        </w:rPr>
        <w:t xml:space="preserve"> </w:t>
      </w:r>
      <w:r w:rsidRPr="00AA2F0E">
        <w:rPr>
          <w:rFonts w:ascii="Times New Roman" w:hAnsi="Times New Roman" w:cs="Times New Roman"/>
          <w:bCs/>
          <w:sz w:val="24"/>
          <w:szCs w:val="24"/>
        </w:rPr>
        <w:t>to 68</w:t>
      </w:r>
      <w:r>
        <w:rPr>
          <w:rFonts w:ascii="Times New Roman" w:hAnsi="Times New Roman" w:cs="Times New Roman"/>
          <w:bCs/>
          <w:sz w:val="24"/>
          <w:szCs w:val="24"/>
        </w:rPr>
        <w:t xml:space="preserve"> per cent</w:t>
      </w:r>
      <w:r w:rsidRPr="00AA2F0E">
        <w:rPr>
          <w:rFonts w:ascii="Times New Roman" w:hAnsi="Times New Roman" w:cs="Times New Roman"/>
          <w:bCs/>
          <w:sz w:val="24"/>
          <w:szCs w:val="24"/>
        </w:rPr>
        <w:t xml:space="preserve"> by 2008 (Pierrakis, 2010). </w:t>
      </w:r>
      <w:r>
        <w:rPr>
          <w:rFonts w:ascii="Times New Roman" w:hAnsi="Times New Roman" w:cs="Times New Roman"/>
          <w:bCs/>
          <w:sz w:val="24"/>
          <w:szCs w:val="24"/>
        </w:rPr>
        <w:t>P</w:t>
      </w:r>
      <w:r w:rsidRPr="00AA2F0E">
        <w:rPr>
          <w:rFonts w:ascii="Times New Roman" w:hAnsi="Times New Roman" w:cs="Times New Roman"/>
          <w:bCs/>
          <w:sz w:val="24"/>
          <w:szCs w:val="24"/>
        </w:rPr>
        <w:t>roportional</w:t>
      </w:r>
      <w:r>
        <w:rPr>
          <w:rFonts w:ascii="Times New Roman" w:hAnsi="Times New Roman" w:cs="Times New Roman"/>
          <w:bCs/>
          <w:sz w:val="24"/>
          <w:szCs w:val="24"/>
        </w:rPr>
        <w:t>ly,</w:t>
      </w:r>
      <w:r w:rsidRPr="00AA2F0E">
        <w:rPr>
          <w:rFonts w:ascii="Times New Roman" w:hAnsi="Times New Roman" w:cs="Times New Roman"/>
          <w:bCs/>
          <w:sz w:val="24"/>
          <w:szCs w:val="24"/>
        </w:rPr>
        <w:t xml:space="preserve"> government HVCF funding is even </w:t>
      </w:r>
      <w:r>
        <w:rPr>
          <w:rFonts w:ascii="Times New Roman" w:hAnsi="Times New Roman" w:cs="Times New Roman"/>
          <w:bCs/>
          <w:sz w:val="24"/>
          <w:szCs w:val="24"/>
        </w:rPr>
        <w:t xml:space="preserve">greater </w:t>
      </w:r>
      <w:r w:rsidRPr="00AA2F0E">
        <w:rPr>
          <w:rFonts w:ascii="Times New Roman" w:hAnsi="Times New Roman" w:cs="Times New Roman"/>
          <w:bCs/>
          <w:sz w:val="24"/>
          <w:szCs w:val="24"/>
        </w:rPr>
        <w:t>in real terms, as BVCA (201</w:t>
      </w:r>
      <w:r>
        <w:rPr>
          <w:rFonts w:ascii="Times New Roman" w:hAnsi="Times New Roman" w:cs="Times New Roman"/>
          <w:bCs/>
          <w:sz w:val="24"/>
          <w:szCs w:val="24"/>
        </w:rPr>
        <w:t>3;</w:t>
      </w:r>
      <w:r w:rsidRPr="00AA2F0E">
        <w:rPr>
          <w:rFonts w:ascii="Times New Roman" w:hAnsi="Times New Roman" w:cs="Times New Roman"/>
          <w:bCs/>
          <w:sz w:val="24"/>
          <w:szCs w:val="24"/>
        </w:rPr>
        <w:t xml:space="preserve"> Fig</w:t>
      </w:r>
      <w:r>
        <w:rPr>
          <w:rFonts w:ascii="Times New Roman" w:hAnsi="Times New Roman" w:cs="Times New Roman"/>
          <w:bCs/>
          <w:sz w:val="24"/>
          <w:szCs w:val="24"/>
        </w:rPr>
        <w:t>ure 8.</w:t>
      </w:r>
      <w:r w:rsidRPr="00AA2F0E">
        <w:rPr>
          <w:rFonts w:ascii="Times New Roman" w:hAnsi="Times New Roman" w:cs="Times New Roman"/>
          <w:bCs/>
          <w:sz w:val="24"/>
          <w:szCs w:val="24"/>
        </w:rPr>
        <w:t xml:space="preserve">1) evidence demonstrates that apart from the twin peaks of the </w:t>
      </w:r>
      <w:r>
        <w:rPr>
          <w:rFonts w:ascii="Times New Roman" w:hAnsi="Times New Roman" w:cs="Times New Roman"/>
          <w:bCs/>
          <w:sz w:val="24"/>
          <w:szCs w:val="24"/>
        </w:rPr>
        <w:t>d</w:t>
      </w:r>
      <w:r w:rsidRPr="00AA2F0E">
        <w:rPr>
          <w:rFonts w:ascii="Times New Roman" w:hAnsi="Times New Roman" w:cs="Times New Roman"/>
          <w:bCs/>
          <w:sz w:val="24"/>
          <w:szCs w:val="24"/>
        </w:rPr>
        <w:t xml:space="preserve">otcom bubble (2000) and pre GFC (2006) boom, UK </w:t>
      </w:r>
      <w:r>
        <w:rPr>
          <w:rFonts w:ascii="Times New Roman" w:hAnsi="Times New Roman" w:cs="Times New Roman"/>
          <w:bCs/>
          <w:sz w:val="24"/>
          <w:szCs w:val="24"/>
        </w:rPr>
        <w:t xml:space="preserve">annual </w:t>
      </w:r>
      <w:r w:rsidRPr="00AA2F0E">
        <w:rPr>
          <w:rFonts w:ascii="Times New Roman" w:hAnsi="Times New Roman" w:cs="Times New Roman"/>
          <w:bCs/>
          <w:sz w:val="24"/>
          <w:szCs w:val="24"/>
        </w:rPr>
        <w:t>VC in</w:t>
      </w:r>
      <w:r>
        <w:rPr>
          <w:rFonts w:ascii="Times New Roman" w:hAnsi="Times New Roman" w:cs="Times New Roman"/>
          <w:bCs/>
          <w:sz w:val="24"/>
          <w:szCs w:val="24"/>
        </w:rPr>
        <w:t xml:space="preserve">vestment for </w:t>
      </w:r>
      <w:r w:rsidRPr="00AA2F0E">
        <w:rPr>
          <w:rFonts w:ascii="Times New Roman" w:hAnsi="Times New Roman" w:cs="Times New Roman"/>
          <w:bCs/>
          <w:sz w:val="24"/>
          <w:szCs w:val="24"/>
        </w:rPr>
        <w:t>2010</w:t>
      </w:r>
      <w:r>
        <w:rPr>
          <w:rFonts w:ascii="Times New Roman" w:hAnsi="Times New Roman" w:cs="Times New Roman"/>
          <w:bCs/>
          <w:sz w:val="24"/>
          <w:szCs w:val="24"/>
        </w:rPr>
        <w:t>‒</w:t>
      </w:r>
      <w:r w:rsidRPr="00AA2F0E">
        <w:rPr>
          <w:rFonts w:ascii="Times New Roman" w:hAnsi="Times New Roman" w:cs="Times New Roman"/>
          <w:bCs/>
          <w:sz w:val="24"/>
          <w:szCs w:val="24"/>
        </w:rPr>
        <w:t xml:space="preserve">2012 </w:t>
      </w:r>
      <w:r>
        <w:rPr>
          <w:rFonts w:ascii="Times New Roman" w:hAnsi="Times New Roman" w:cs="Times New Roman"/>
          <w:bCs/>
          <w:sz w:val="24"/>
          <w:szCs w:val="24"/>
        </w:rPr>
        <w:t xml:space="preserve">was </w:t>
      </w:r>
      <w:r w:rsidRPr="00AA2F0E">
        <w:rPr>
          <w:rFonts w:ascii="Times New Roman" w:hAnsi="Times New Roman" w:cs="Times New Roman"/>
          <w:bCs/>
          <w:sz w:val="24"/>
          <w:szCs w:val="24"/>
        </w:rPr>
        <w:t xml:space="preserve">similar </w:t>
      </w:r>
      <w:r>
        <w:rPr>
          <w:rFonts w:ascii="Times New Roman" w:hAnsi="Times New Roman" w:cs="Times New Roman"/>
          <w:bCs/>
          <w:sz w:val="24"/>
          <w:szCs w:val="24"/>
        </w:rPr>
        <w:t xml:space="preserve">at </w:t>
      </w:r>
      <w:r w:rsidRPr="00AA2F0E">
        <w:rPr>
          <w:rFonts w:ascii="Times New Roman" w:hAnsi="Times New Roman" w:cs="Times New Roman"/>
          <w:bCs/>
          <w:sz w:val="24"/>
          <w:szCs w:val="24"/>
        </w:rPr>
        <w:t xml:space="preserve">£340m </w:t>
      </w:r>
      <w:r>
        <w:rPr>
          <w:rFonts w:ascii="Times New Roman" w:hAnsi="Times New Roman" w:cs="Times New Roman"/>
          <w:bCs/>
          <w:sz w:val="24"/>
          <w:szCs w:val="24"/>
        </w:rPr>
        <w:t>to</w:t>
      </w:r>
      <w:r w:rsidRPr="00AA2F0E">
        <w:rPr>
          <w:rFonts w:ascii="Times New Roman" w:hAnsi="Times New Roman" w:cs="Times New Roman"/>
          <w:bCs/>
          <w:sz w:val="24"/>
          <w:szCs w:val="24"/>
        </w:rPr>
        <w:t xml:space="preserve"> 1999. This suggests </w:t>
      </w:r>
      <w:r>
        <w:rPr>
          <w:rFonts w:ascii="Times New Roman" w:hAnsi="Times New Roman" w:cs="Times New Roman"/>
          <w:bCs/>
          <w:sz w:val="24"/>
          <w:szCs w:val="24"/>
        </w:rPr>
        <w:t xml:space="preserve">a growing need for </w:t>
      </w:r>
      <w:r w:rsidRPr="00AA2F0E">
        <w:rPr>
          <w:rFonts w:ascii="Times New Roman" w:hAnsi="Times New Roman" w:cs="Times New Roman"/>
          <w:bCs/>
          <w:sz w:val="24"/>
          <w:szCs w:val="24"/>
        </w:rPr>
        <w:t xml:space="preserve">UK </w:t>
      </w:r>
      <w:r>
        <w:rPr>
          <w:rFonts w:ascii="Times New Roman" w:hAnsi="Times New Roman" w:cs="Times New Roman"/>
          <w:bCs/>
          <w:sz w:val="24"/>
          <w:szCs w:val="24"/>
        </w:rPr>
        <w:t xml:space="preserve">HVCFs, without which the </w:t>
      </w:r>
      <w:r w:rsidRPr="00AA2F0E">
        <w:rPr>
          <w:rFonts w:ascii="Times New Roman" w:hAnsi="Times New Roman" w:cs="Times New Roman"/>
          <w:bCs/>
          <w:sz w:val="24"/>
          <w:szCs w:val="24"/>
        </w:rPr>
        <w:t>early stage VC market would be in a perilous state</w:t>
      </w:r>
      <w:r>
        <w:rPr>
          <w:rFonts w:ascii="Times New Roman" w:hAnsi="Times New Roman" w:cs="Times New Roman"/>
          <w:bCs/>
          <w:sz w:val="24"/>
          <w:szCs w:val="24"/>
        </w:rPr>
        <w:t>.</w:t>
      </w:r>
    </w:p>
    <w:p w:rsidR="00075DBE" w:rsidRDefault="00075DBE" w:rsidP="00085F52">
      <w:pPr>
        <w:pStyle w:val="abody"/>
        <w:spacing w:after="100" w:afterAutospacing="1" w:line="480" w:lineRule="auto"/>
        <w:ind w:firstLine="720"/>
        <w:rPr>
          <w:rFonts w:ascii="Times New Roman" w:hAnsi="Times New Roman" w:cs="Times New Roman"/>
          <w:bCs/>
          <w:sz w:val="24"/>
          <w:szCs w:val="24"/>
        </w:rPr>
      </w:pPr>
      <w:r w:rsidRPr="007D4E49">
        <w:rPr>
          <w:rFonts w:ascii="Times New Roman" w:hAnsi="Times New Roman"/>
          <w:b/>
          <w:sz w:val="24"/>
          <w:szCs w:val="24"/>
          <w:highlight w:val="yellow"/>
          <w:u w:val="single"/>
          <w:lang w:eastAsia="en-GB"/>
        </w:rPr>
        <w:t xml:space="preserve">&lt;INSERT </w:t>
      </w:r>
      <w:r>
        <w:rPr>
          <w:rFonts w:ascii="Times New Roman" w:hAnsi="Times New Roman"/>
          <w:b/>
          <w:sz w:val="24"/>
          <w:szCs w:val="24"/>
          <w:highlight w:val="yellow"/>
          <w:u w:val="single"/>
          <w:lang w:eastAsia="en-GB"/>
        </w:rPr>
        <w:t>FIGURE 8</w:t>
      </w:r>
      <w:r w:rsidRPr="007D4E49">
        <w:rPr>
          <w:rFonts w:ascii="Times New Roman" w:hAnsi="Times New Roman"/>
          <w:b/>
          <w:sz w:val="24"/>
          <w:szCs w:val="24"/>
          <w:highlight w:val="yellow"/>
          <w:u w:val="single"/>
          <w:lang w:eastAsia="en-GB"/>
        </w:rPr>
        <w:t>.1 ABOUT HERE&gt;</w:t>
      </w:r>
      <w:r w:rsidRPr="00CF08C5" w:rsidDel="00F83C78">
        <w:rPr>
          <w:rFonts w:ascii="Times New Roman" w:hAnsi="Times New Roman" w:cs="Times New Roman"/>
          <w:bCs/>
          <w:sz w:val="24"/>
          <w:szCs w:val="24"/>
        </w:rPr>
        <w:t xml:space="preserve"> </w:t>
      </w:r>
    </w:p>
    <w:p w:rsidR="00075DBE" w:rsidRPr="00DE44E3" w:rsidRDefault="00075DBE" w:rsidP="00085F52">
      <w:pPr>
        <w:pStyle w:val="abody"/>
        <w:tabs>
          <w:tab w:val="num" w:pos="0"/>
        </w:tabs>
        <w:spacing w:after="100" w:afterAutospacing="1" w:line="480" w:lineRule="auto"/>
        <w:rPr>
          <w:rFonts w:ascii="Times New Roman" w:hAnsi="Times New Roman" w:cs="Times New Roman"/>
          <w:b/>
          <w:bCs/>
          <w:sz w:val="20"/>
          <w:szCs w:val="24"/>
          <w:lang w:eastAsia="en-GB"/>
        </w:rPr>
      </w:pPr>
      <w:r w:rsidRPr="00DE44E3">
        <w:rPr>
          <w:rFonts w:ascii="Times New Roman" w:hAnsi="Times New Roman" w:cs="Times New Roman"/>
          <w:b/>
          <w:bCs/>
          <w:sz w:val="20"/>
          <w:szCs w:val="24"/>
          <w:lang w:eastAsia="en-GB"/>
        </w:rPr>
        <w:t>&lt;B&gt;Demand</w:t>
      </w:r>
      <w:r>
        <w:rPr>
          <w:rFonts w:ascii="Times New Roman" w:hAnsi="Times New Roman" w:cs="Times New Roman"/>
          <w:b/>
          <w:bCs/>
          <w:sz w:val="20"/>
          <w:szCs w:val="24"/>
          <w:lang w:eastAsia="en-GB"/>
        </w:rPr>
        <w:t>-</w:t>
      </w:r>
      <w:r w:rsidRPr="00DE44E3">
        <w:rPr>
          <w:rFonts w:ascii="Times New Roman" w:hAnsi="Times New Roman" w:cs="Times New Roman"/>
          <w:b/>
          <w:bCs/>
          <w:sz w:val="20"/>
          <w:szCs w:val="24"/>
          <w:lang w:eastAsia="en-GB"/>
        </w:rPr>
        <w:t>side Deficiencies</w:t>
      </w:r>
    </w:p>
    <w:p w:rsidR="00075DBE" w:rsidRDefault="00075DBE" w:rsidP="00085F52">
      <w:pPr>
        <w:pStyle w:val="abody"/>
        <w:tabs>
          <w:tab w:val="num" w:pos="0"/>
          <w:tab w:val="left" w:pos="2410"/>
        </w:tabs>
        <w:spacing w:after="100" w:afterAutospacing="1" w:line="480" w:lineRule="auto"/>
        <w:rPr>
          <w:rFonts w:ascii="Times New Roman" w:hAnsi="Times New Roman" w:cs="Times New Roman"/>
          <w:bCs/>
          <w:sz w:val="24"/>
          <w:szCs w:val="24"/>
          <w:lang w:eastAsia="en-GB"/>
        </w:rPr>
      </w:pPr>
    </w:p>
    <w:p w:rsidR="00075DBE" w:rsidRDefault="00075DBE" w:rsidP="00085F52">
      <w:pPr>
        <w:pStyle w:val="abody"/>
        <w:tabs>
          <w:tab w:val="num" w:pos="0"/>
          <w:tab w:val="left" w:pos="2410"/>
        </w:tabs>
        <w:spacing w:after="100" w:afterAutospacing="1" w:line="480" w:lineRule="auto"/>
        <w:rPr>
          <w:rFonts w:ascii="Times New Roman" w:hAnsi="Times New Roman" w:cs="Times New Roman"/>
          <w:b/>
          <w:bCs/>
          <w:i/>
          <w:sz w:val="24"/>
          <w:szCs w:val="24"/>
          <w:lang w:eastAsia="en-GB"/>
        </w:rPr>
      </w:pPr>
      <w:r w:rsidRPr="00CF08C5">
        <w:rPr>
          <w:rFonts w:ascii="Times New Roman" w:hAnsi="Times New Roman" w:cs="Times New Roman"/>
          <w:bCs/>
          <w:sz w:val="24"/>
          <w:szCs w:val="24"/>
          <w:lang w:eastAsia="en-GB"/>
        </w:rPr>
        <w:t xml:space="preserve">Oakey (2007) </w:t>
      </w:r>
      <w:r>
        <w:rPr>
          <w:rFonts w:ascii="Times New Roman" w:hAnsi="Times New Roman" w:cs="Times New Roman"/>
          <w:bCs/>
          <w:sz w:val="24"/>
          <w:szCs w:val="24"/>
          <w:lang w:eastAsia="en-GB"/>
        </w:rPr>
        <w:t>highlights</w:t>
      </w:r>
      <w:r w:rsidRPr="00CF08C5">
        <w:rPr>
          <w:rFonts w:ascii="Times New Roman" w:hAnsi="Times New Roman" w:cs="Times New Roman"/>
          <w:bCs/>
          <w:sz w:val="24"/>
          <w:szCs w:val="24"/>
          <w:lang w:eastAsia="en-GB"/>
        </w:rPr>
        <w:t xml:space="preserve"> the importance of being ‘investor ready’, with Mason and Kwok (2010) citing the key role of entrepreneurial </w:t>
      </w:r>
      <w:r>
        <w:rPr>
          <w:rFonts w:ascii="Times New Roman" w:hAnsi="Times New Roman" w:cs="Times New Roman"/>
          <w:bCs/>
          <w:sz w:val="24"/>
          <w:szCs w:val="24"/>
          <w:lang w:eastAsia="en-GB"/>
        </w:rPr>
        <w:t xml:space="preserve">support schemes offering </w:t>
      </w:r>
      <w:r w:rsidRPr="00CF08C5">
        <w:rPr>
          <w:rFonts w:ascii="Times New Roman" w:hAnsi="Times New Roman" w:cs="Times New Roman"/>
          <w:bCs/>
          <w:sz w:val="24"/>
          <w:szCs w:val="24"/>
          <w:lang w:eastAsia="en-GB"/>
        </w:rPr>
        <w:t xml:space="preserve">training and experience in assessing </w:t>
      </w:r>
      <w:r>
        <w:rPr>
          <w:rFonts w:ascii="Times New Roman" w:hAnsi="Times New Roman" w:cs="Times New Roman"/>
          <w:bCs/>
          <w:sz w:val="24"/>
          <w:szCs w:val="24"/>
          <w:lang w:eastAsia="en-GB"/>
        </w:rPr>
        <w:t xml:space="preserve">and accessing </w:t>
      </w:r>
      <w:r w:rsidRPr="00CF08C5">
        <w:rPr>
          <w:rFonts w:ascii="Times New Roman" w:hAnsi="Times New Roman" w:cs="Times New Roman"/>
          <w:bCs/>
          <w:sz w:val="24"/>
          <w:szCs w:val="24"/>
          <w:lang w:eastAsia="en-GB"/>
        </w:rPr>
        <w:t xml:space="preserve">external finance, particularly </w:t>
      </w:r>
      <w:r>
        <w:rPr>
          <w:rFonts w:ascii="Times New Roman" w:hAnsi="Times New Roman" w:cs="Times New Roman"/>
          <w:bCs/>
          <w:sz w:val="24"/>
          <w:szCs w:val="24"/>
          <w:lang w:eastAsia="en-GB"/>
        </w:rPr>
        <w:t>for</w:t>
      </w:r>
      <w:r w:rsidRPr="00CF08C5">
        <w:rPr>
          <w:rFonts w:ascii="Times New Roman" w:hAnsi="Times New Roman" w:cs="Times New Roman"/>
          <w:bCs/>
          <w:sz w:val="24"/>
          <w:szCs w:val="24"/>
          <w:lang w:eastAsia="en-GB"/>
        </w:rPr>
        <w:t xml:space="preserve"> equity finance. Few SME managers</w:t>
      </w:r>
      <w:r>
        <w:rPr>
          <w:rFonts w:ascii="Times New Roman" w:hAnsi="Times New Roman" w:cs="Times New Roman"/>
          <w:bCs/>
          <w:sz w:val="24"/>
          <w:szCs w:val="24"/>
          <w:lang w:eastAsia="en-GB"/>
        </w:rPr>
        <w:t>, except</w:t>
      </w:r>
      <w:r w:rsidRPr="00CF08C5">
        <w:rPr>
          <w:rFonts w:ascii="Times New Roman" w:hAnsi="Times New Roman" w:cs="Times New Roman"/>
          <w:bCs/>
          <w:sz w:val="24"/>
          <w:szCs w:val="24"/>
          <w:lang w:eastAsia="en-GB"/>
        </w:rPr>
        <w:t xml:space="preserve"> the small number of serial entrepreneurs</w:t>
      </w:r>
      <w:r>
        <w:rPr>
          <w:rFonts w:ascii="Times New Roman" w:hAnsi="Times New Roman" w:cs="Times New Roman"/>
          <w:bCs/>
          <w:sz w:val="24"/>
          <w:szCs w:val="24"/>
          <w:lang w:eastAsia="en-GB"/>
        </w:rPr>
        <w:t>,</w:t>
      </w:r>
      <w:r w:rsidRPr="00CF08C5">
        <w:rPr>
          <w:rFonts w:ascii="Times New Roman" w:hAnsi="Times New Roman" w:cs="Times New Roman"/>
          <w:bCs/>
          <w:sz w:val="24"/>
          <w:szCs w:val="24"/>
          <w:lang w:eastAsia="en-GB"/>
        </w:rPr>
        <w:t xml:space="preserve"> have the know-how to successfully apply fo</w:t>
      </w:r>
      <w:r>
        <w:rPr>
          <w:rFonts w:ascii="Times New Roman" w:hAnsi="Times New Roman" w:cs="Times New Roman"/>
          <w:bCs/>
          <w:sz w:val="24"/>
          <w:szCs w:val="24"/>
          <w:lang w:eastAsia="en-GB"/>
        </w:rPr>
        <w:t>r early stage VC (Gompers et al.,</w:t>
      </w:r>
      <w:r w:rsidRPr="00CF08C5">
        <w:rPr>
          <w:rFonts w:ascii="Times New Roman" w:hAnsi="Times New Roman" w:cs="Times New Roman"/>
          <w:bCs/>
          <w:sz w:val="24"/>
          <w:szCs w:val="24"/>
          <w:lang w:eastAsia="en-GB"/>
        </w:rPr>
        <w:t xml:space="preserve"> 2010). </w:t>
      </w:r>
      <w:r>
        <w:rPr>
          <w:rFonts w:ascii="Times New Roman" w:hAnsi="Times New Roman" w:cs="Times New Roman"/>
          <w:bCs/>
          <w:sz w:val="24"/>
          <w:szCs w:val="24"/>
          <w:lang w:eastAsia="en-GB"/>
        </w:rPr>
        <w:t>The National Endowment for Science, Technology and the Arts (</w:t>
      </w:r>
      <w:r w:rsidRPr="00CF08C5">
        <w:rPr>
          <w:rFonts w:ascii="Times New Roman" w:hAnsi="Times New Roman" w:cs="Times New Roman"/>
          <w:bCs/>
          <w:sz w:val="24"/>
          <w:szCs w:val="24"/>
          <w:lang w:eastAsia="en-GB"/>
        </w:rPr>
        <w:t>NESTA</w:t>
      </w:r>
      <w:r>
        <w:rPr>
          <w:rFonts w:ascii="Times New Roman" w:hAnsi="Times New Roman" w:cs="Times New Roman"/>
          <w:bCs/>
          <w:sz w:val="24"/>
          <w:szCs w:val="24"/>
          <w:lang w:eastAsia="en-GB"/>
        </w:rPr>
        <w:t>)</w:t>
      </w:r>
      <w:r w:rsidRPr="00CF08C5">
        <w:rPr>
          <w:rFonts w:ascii="Times New Roman" w:hAnsi="Times New Roman" w:cs="Times New Roman"/>
          <w:bCs/>
          <w:sz w:val="24"/>
          <w:szCs w:val="24"/>
          <w:lang w:eastAsia="en-GB"/>
        </w:rPr>
        <w:t xml:space="preserve"> (2009) </w:t>
      </w:r>
      <w:r>
        <w:rPr>
          <w:rFonts w:ascii="Times New Roman" w:hAnsi="Times New Roman" w:cs="Times New Roman"/>
          <w:bCs/>
          <w:sz w:val="24"/>
          <w:szCs w:val="24"/>
          <w:lang w:eastAsia="en-GB"/>
        </w:rPr>
        <w:t>found</w:t>
      </w:r>
      <w:r w:rsidRPr="00CF08C5">
        <w:rPr>
          <w:rFonts w:ascii="Times New Roman" w:hAnsi="Times New Roman" w:cs="Times New Roman"/>
          <w:bCs/>
          <w:sz w:val="24"/>
          <w:szCs w:val="24"/>
          <w:lang w:eastAsia="en-GB"/>
        </w:rPr>
        <w:t xml:space="preserve"> poor quality </w:t>
      </w:r>
      <w:r>
        <w:rPr>
          <w:rFonts w:ascii="Times New Roman" w:hAnsi="Times New Roman" w:cs="Times New Roman"/>
          <w:bCs/>
          <w:sz w:val="24"/>
          <w:szCs w:val="24"/>
          <w:lang w:eastAsia="en-GB"/>
        </w:rPr>
        <w:t>in</w:t>
      </w:r>
      <w:r w:rsidRPr="00CF08C5">
        <w:rPr>
          <w:rFonts w:ascii="Times New Roman" w:hAnsi="Times New Roman" w:cs="Times New Roman"/>
          <w:bCs/>
          <w:sz w:val="24"/>
          <w:szCs w:val="24"/>
          <w:lang w:eastAsia="en-GB"/>
        </w:rPr>
        <w:t xml:space="preserve"> </w:t>
      </w:r>
      <w:r w:rsidRPr="00CF08C5">
        <w:rPr>
          <w:rFonts w:ascii="Times New Roman" w:hAnsi="Times New Roman" w:cs="Times New Roman"/>
          <w:sz w:val="24"/>
          <w:szCs w:val="24"/>
        </w:rPr>
        <w:t>much of the UK VC deal-flow, resulting in investors</w:t>
      </w:r>
      <w:r>
        <w:rPr>
          <w:rFonts w:ascii="Times New Roman" w:hAnsi="Times New Roman" w:cs="Times New Roman"/>
          <w:sz w:val="24"/>
          <w:szCs w:val="24"/>
        </w:rPr>
        <w:t>’</w:t>
      </w:r>
      <w:r w:rsidRPr="00CF08C5">
        <w:rPr>
          <w:rFonts w:ascii="Times New Roman" w:hAnsi="Times New Roman" w:cs="Times New Roman"/>
          <w:sz w:val="24"/>
          <w:szCs w:val="24"/>
        </w:rPr>
        <w:t xml:space="preserve"> difficul</w:t>
      </w:r>
      <w:r>
        <w:rPr>
          <w:rFonts w:ascii="Times New Roman" w:hAnsi="Times New Roman" w:cs="Times New Roman"/>
          <w:sz w:val="24"/>
          <w:szCs w:val="24"/>
        </w:rPr>
        <w:t>ties in</w:t>
      </w:r>
      <w:r w:rsidRPr="00CF08C5">
        <w:rPr>
          <w:rFonts w:ascii="Times New Roman" w:hAnsi="Times New Roman" w:cs="Times New Roman"/>
          <w:sz w:val="24"/>
          <w:szCs w:val="24"/>
        </w:rPr>
        <w:t xml:space="preserve"> find</w:t>
      </w:r>
      <w:r>
        <w:rPr>
          <w:rFonts w:ascii="Times New Roman" w:hAnsi="Times New Roman" w:cs="Times New Roman"/>
          <w:sz w:val="24"/>
          <w:szCs w:val="24"/>
        </w:rPr>
        <w:t>ing</w:t>
      </w:r>
      <w:r w:rsidRPr="00CF08C5">
        <w:rPr>
          <w:rFonts w:ascii="Times New Roman" w:hAnsi="Times New Roman" w:cs="Times New Roman"/>
          <w:sz w:val="24"/>
          <w:szCs w:val="24"/>
        </w:rPr>
        <w:t xml:space="preserve"> sufficient numbers of high growth potential firms</w:t>
      </w:r>
      <w:r>
        <w:rPr>
          <w:rFonts w:ascii="Times New Roman" w:hAnsi="Times New Roman" w:cs="Times New Roman"/>
          <w:sz w:val="24"/>
          <w:szCs w:val="24"/>
        </w:rPr>
        <w:t xml:space="preserve">. </w:t>
      </w:r>
      <w:r w:rsidRPr="00CF08C5">
        <w:rPr>
          <w:rFonts w:ascii="Times New Roman" w:hAnsi="Times New Roman" w:cs="Times New Roman"/>
          <w:sz w:val="24"/>
          <w:szCs w:val="24"/>
        </w:rPr>
        <w:t xml:space="preserve">Mason and Harrison (2003) </w:t>
      </w:r>
      <w:r>
        <w:rPr>
          <w:rFonts w:ascii="Times New Roman" w:hAnsi="Times New Roman" w:cs="Times New Roman"/>
          <w:sz w:val="24"/>
          <w:szCs w:val="24"/>
        </w:rPr>
        <w:t xml:space="preserve">have, </w:t>
      </w:r>
      <w:r w:rsidRPr="00CF08C5">
        <w:rPr>
          <w:rFonts w:ascii="Times New Roman" w:hAnsi="Times New Roman" w:cs="Times New Roman"/>
          <w:sz w:val="24"/>
          <w:szCs w:val="24"/>
        </w:rPr>
        <w:t>therefore</w:t>
      </w:r>
      <w:r>
        <w:rPr>
          <w:rFonts w:ascii="Times New Roman" w:hAnsi="Times New Roman" w:cs="Times New Roman"/>
          <w:sz w:val="24"/>
          <w:szCs w:val="24"/>
        </w:rPr>
        <w:t>,</w:t>
      </w:r>
      <w:r w:rsidRPr="00CF08C5">
        <w:rPr>
          <w:rFonts w:ascii="Times New Roman" w:hAnsi="Times New Roman" w:cs="Times New Roman"/>
          <w:sz w:val="24"/>
          <w:szCs w:val="24"/>
        </w:rPr>
        <w:t xml:space="preserve"> implied that the equity gap may be as much to do with demand-side deficiencies as supply</w:t>
      </w:r>
      <w:r>
        <w:rPr>
          <w:rFonts w:ascii="Times New Roman" w:hAnsi="Times New Roman" w:cs="Times New Roman"/>
          <w:sz w:val="24"/>
          <w:szCs w:val="24"/>
        </w:rPr>
        <w:t xml:space="preserve"> </w:t>
      </w:r>
      <w:r w:rsidRPr="00CF08C5">
        <w:rPr>
          <w:rFonts w:ascii="Times New Roman" w:hAnsi="Times New Roman" w:cs="Times New Roman"/>
          <w:sz w:val="24"/>
          <w:szCs w:val="24"/>
        </w:rPr>
        <w:t>side failures.</w:t>
      </w:r>
    </w:p>
    <w:p w:rsidR="00075DBE" w:rsidRDefault="00075DBE" w:rsidP="00085F52">
      <w:pPr>
        <w:spacing w:line="480" w:lineRule="auto"/>
        <w:ind w:firstLine="720"/>
        <w:rPr>
          <w:rFonts w:ascii="Times New Roman" w:hAnsi="Times New Roman"/>
          <w:sz w:val="24"/>
          <w:szCs w:val="24"/>
        </w:rPr>
      </w:pPr>
      <w:r>
        <w:rPr>
          <w:rFonts w:ascii="Times New Roman" w:hAnsi="Times New Roman"/>
          <w:sz w:val="24"/>
          <w:szCs w:val="24"/>
        </w:rPr>
        <w:lastRenderedPageBreak/>
        <w:t>This view is supported by o</w:t>
      </w:r>
      <w:r w:rsidRPr="00CF08C5">
        <w:rPr>
          <w:rFonts w:ascii="Times New Roman" w:hAnsi="Times New Roman"/>
          <w:sz w:val="24"/>
          <w:szCs w:val="24"/>
        </w:rPr>
        <w:t>ur exploration of the ‘</w:t>
      </w:r>
      <w:r w:rsidRPr="00CF08C5">
        <w:rPr>
          <w:rFonts w:ascii="Times New Roman" w:hAnsi="Times New Roman"/>
          <w:i/>
          <w:sz w:val="24"/>
          <w:szCs w:val="24"/>
        </w:rPr>
        <w:t>applications funnel</w:t>
      </w:r>
      <w:r w:rsidRPr="00CF08C5">
        <w:rPr>
          <w:rFonts w:ascii="Times New Roman" w:hAnsi="Times New Roman"/>
          <w:sz w:val="24"/>
          <w:szCs w:val="24"/>
        </w:rPr>
        <w:t>’</w:t>
      </w:r>
      <w:r>
        <w:rPr>
          <w:rFonts w:ascii="Times New Roman" w:hAnsi="Times New Roman"/>
          <w:sz w:val="24"/>
          <w:szCs w:val="24"/>
        </w:rPr>
        <w:t>. I</w:t>
      </w:r>
      <w:r w:rsidRPr="00CF08C5">
        <w:rPr>
          <w:rFonts w:ascii="Times New Roman" w:hAnsi="Times New Roman"/>
          <w:sz w:val="24"/>
          <w:szCs w:val="24"/>
        </w:rPr>
        <w:t xml:space="preserve">nterviewed fund managers </w:t>
      </w:r>
      <w:r>
        <w:rPr>
          <w:rFonts w:ascii="Times New Roman" w:hAnsi="Times New Roman"/>
          <w:sz w:val="24"/>
          <w:szCs w:val="24"/>
        </w:rPr>
        <w:t xml:space="preserve">typically received 500 </w:t>
      </w:r>
      <w:r w:rsidRPr="00CF08C5">
        <w:rPr>
          <w:rFonts w:ascii="Times New Roman" w:hAnsi="Times New Roman"/>
          <w:sz w:val="24"/>
          <w:szCs w:val="24"/>
        </w:rPr>
        <w:t>annual applications</w:t>
      </w:r>
      <w:r>
        <w:rPr>
          <w:rFonts w:ascii="Times New Roman" w:hAnsi="Times New Roman"/>
          <w:sz w:val="24"/>
          <w:szCs w:val="24"/>
        </w:rPr>
        <w:t xml:space="preserve"> per fund, with many</w:t>
      </w:r>
      <w:r w:rsidRPr="00CF08C5">
        <w:rPr>
          <w:rFonts w:ascii="Times New Roman" w:hAnsi="Times New Roman"/>
          <w:sz w:val="24"/>
          <w:szCs w:val="24"/>
        </w:rPr>
        <w:t xml:space="preserve"> rejected</w:t>
      </w:r>
      <w:r>
        <w:rPr>
          <w:rFonts w:ascii="Times New Roman" w:hAnsi="Times New Roman"/>
          <w:sz w:val="24"/>
          <w:szCs w:val="24"/>
        </w:rPr>
        <w:t xml:space="preserve"> immediately for failing to meet basic criteria, only 10 per cent</w:t>
      </w:r>
      <w:r w:rsidRPr="00CF08C5">
        <w:rPr>
          <w:rFonts w:ascii="Times New Roman" w:hAnsi="Times New Roman"/>
          <w:sz w:val="24"/>
          <w:szCs w:val="24"/>
        </w:rPr>
        <w:t xml:space="preserve"> receiving interviews</w:t>
      </w:r>
      <w:r>
        <w:rPr>
          <w:rFonts w:ascii="Times New Roman" w:hAnsi="Times New Roman"/>
          <w:sz w:val="24"/>
          <w:szCs w:val="24"/>
        </w:rPr>
        <w:t>, and less than 2</w:t>
      </w:r>
      <w:r w:rsidRPr="00CF08C5">
        <w:rPr>
          <w:rFonts w:ascii="Times New Roman" w:hAnsi="Times New Roman"/>
          <w:sz w:val="24"/>
          <w:szCs w:val="24"/>
        </w:rPr>
        <w:t xml:space="preserve"> per cent</w:t>
      </w:r>
      <w:r>
        <w:rPr>
          <w:rFonts w:ascii="Times New Roman" w:hAnsi="Times New Roman"/>
          <w:sz w:val="24"/>
          <w:szCs w:val="24"/>
        </w:rPr>
        <w:t xml:space="preserve"> receiving funding. </w:t>
      </w:r>
      <w:r w:rsidRPr="00CF08C5">
        <w:rPr>
          <w:rFonts w:ascii="Times New Roman" w:hAnsi="Times New Roman"/>
          <w:sz w:val="24"/>
          <w:szCs w:val="24"/>
        </w:rPr>
        <w:t xml:space="preserve">Fund managers rejected </w:t>
      </w:r>
      <w:r>
        <w:rPr>
          <w:rFonts w:ascii="Times New Roman" w:hAnsi="Times New Roman"/>
          <w:sz w:val="24"/>
          <w:szCs w:val="24"/>
        </w:rPr>
        <w:t xml:space="preserve">many </w:t>
      </w:r>
      <w:r w:rsidRPr="00CF08C5">
        <w:rPr>
          <w:rFonts w:ascii="Times New Roman" w:hAnsi="Times New Roman"/>
          <w:sz w:val="24"/>
          <w:szCs w:val="24"/>
        </w:rPr>
        <w:t>early in the process because the businesses were not investment ready, underestimated their financial needs, or had a poor understanding of the requirements of</w:t>
      </w:r>
      <w:r>
        <w:rPr>
          <w:rFonts w:ascii="Times New Roman" w:hAnsi="Times New Roman"/>
          <w:sz w:val="24"/>
          <w:szCs w:val="24"/>
        </w:rPr>
        <w:t xml:space="preserve"> investors</w:t>
      </w:r>
      <w:r w:rsidRPr="00CF08C5">
        <w:rPr>
          <w:rFonts w:ascii="Times New Roman" w:hAnsi="Times New Roman"/>
          <w:sz w:val="24"/>
          <w:szCs w:val="24"/>
        </w:rPr>
        <w:t>.</w:t>
      </w:r>
    </w:p>
    <w:p w:rsidR="00075DBE" w:rsidRDefault="00075DBE" w:rsidP="00085F52">
      <w:pPr>
        <w:spacing w:line="480" w:lineRule="auto"/>
        <w:ind w:firstLine="720"/>
        <w:rPr>
          <w:rFonts w:ascii="Times New Roman" w:hAnsi="Times New Roman"/>
          <w:sz w:val="24"/>
          <w:szCs w:val="24"/>
        </w:rPr>
      </w:pPr>
      <w:r>
        <w:rPr>
          <w:rFonts w:ascii="Times New Roman" w:hAnsi="Times New Roman"/>
          <w:sz w:val="24"/>
          <w:szCs w:val="24"/>
        </w:rPr>
        <w:t>M</w:t>
      </w:r>
      <w:r w:rsidRPr="00CF08C5">
        <w:rPr>
          <w:rFonts w:ascii="Times New Roman" w:hAnsi="Times New Roman"/>
          <w:sz w:val="24"/>
          <w:szCs w:val="24"/>
        </w:rPr>
        <w:t>ore recent UKIIF fund manager interviews indicat</w:t>
      </w:r>
      <w:r>
        <w:rPr>
          <w:rFonts w:ascii="Times New Roman" w:hAnsi="Times New Roman"/>
          <w:sz w:val="24"/>
          <w:szCs w:val="24"/>
        </w:rPr>
        <w:t>ed</w:t>
      </w:r>
      <w:r w:rsidRPr="00CF08C5">
        <w:rPr>
          <w:rFonts w:ascii="Times New Roman" w:hAnsi="Times New Roman"/>
          <w:sz w:val="24"/>
          <w:szCs w:val="24"/>
        </w:rPr>
        <w:t xml:space="preserve"> that</w:t>
      </w:r>
      <w:r>
        <w:rPr>
          <w:rFonts w:ascii="Times New Roman" w:hAnsi="Times New Roman"/>
          <w:sz w:val="24"/>
          <w:szCs w:val="24"/>
        </w:rPr>
        <w:t>,</w:t>
      </w:r>
      <w:r w:rsidRPr="00CF08C5">
        <w:rPr>
          <w:rFonts w:ascii="Times New Roman" w:hAnsi="Times New Roman"/>
          <w:sz w:val="24"/>
          <w:szCs w:val="24"/>
        </w:rPr>
        <w:t xml:space="preserve"> </w:t>
      </w:r>
      <w:r>
        <w:rPr>
          <w:rFonts w:ascii="Times New Roman" w:hAnsi="Times New Roman"/>
          <w:sz w:val="24"/>
          <w:szCs w:val="24"/>
        </w:rPr>
        <w:t>despite</w:t>
      </w:r>
      <w:r w:rsidRPr="00CF08C5">
        <w:rPr>
          <w:rFonts w:ascii="Times New Roman" w:hAnsi="Times New Roman"/>
          <w:sz w:val="24"/>
          <w:szCs w:val="24"/>
        </w:rPr>
        <w:t xml:space="preserve"> recent improvements in </w:t>
      </w:r>
      <w:r>
        <w:rPr>
          <w:rFonts w:ascii="Times New Roman" w:hAnsi="Times New Roman"/>
          <w:sz w:val="24"/>
          <w:szCs w:val="24"/>
        </w:rPr>
        <w:t>application</w:t>
      </w:r>
      <w:r w:rsidRPr="00CF08C5">
        <w:rPr>
          <w:rFonts w:ascii="Times New Roman" w:hAnsi="Times New Roman"/>
          <w:sz w:val="24"/>
          <w:szCs w:val="24"/>
        </w:rPr>
        <w:t xml:space="preserve"> quality, they remained variable and that demand for equity finance was increasing as bank finance had become more difficult and expensive to obtain. </w:t>
      </w:r>
      <w:r>
        <w:rPr>
          <w:rFonts w:ascii="Times New Roman" w:hAnsi="Times New Roman"/>
          <w:sz w:val="24"/>
          <w:szCs w:val="24"/>
        </w:rPr>
        <w:t>They also</w:t>
      </w:r>
      <w:r w:rsidRPr="00CF08C5">
        <w:rPr>
          <w:rFonts w:ascii="Times New Roman" w:hAnsi="Times New Roman"/>
          <w:sz w:val="24"/>
          <w:szCs w:val="24"/>
        </w:rPr>
        <w:t xml:space="preserve"> stressed the </w:t>
      </w:r>
      <w:r>
        <w:rPr>
          <w:rFonts w:ascii="Times New Roman" w:hAnsi="Times New Roman"/>
          <w:sz w:val="24"/>
          <w:szCs w:val="24"/>
        </w:rPr>
        <w:t xml:space="preserve">importance of </w:t>
      </w:r>
      <w:r w:rsidRPr="00CF08C5">
        <w:rPr>
          <w:rFonts w:ascii="Times New Roman" w:hAnsi="Times New Roman"/>
          <w:sz w:val="24"/>
          <w:szCs w:val="24"/>
        </w:rPr>
        <w:t>know</w:t>
      </w:r>
      <w:r>
        <w:rPr>
          <w:rFonts w:ascii="Times New Roman" w:hAnsi="Times New Roman"/>
          <w:sz w:val="24"/>
          <w:szCs w:val="24"/>
        </w:rPr>
        <w:t>ing</w:t>
      </w:r>
      <w:r w:rsidRPr="00CF08C5">
        <w:rPr>
          <w:rFonts w:ascii="Times New Roman" w:hAnsi="Times New Roman"/>
          <w:sz w:val="24"/>
          <w:szCs w:val="24"/>
        </w:rPr>
        <w:t xml:space="preserve"> the entrepreneurs before committing</w:t>
      </w:r>
      <w:r>
        <w:rPr>
          <w:rFonts w:ascii="Times New Roman" w:hAnsi="Times New Roman"/>
          <w:sz w:val="24"/>
          <w:szCs w:val="24"/>
        </w:rPr>
        <w:t xml:space="preserve"> funds, requiring</w:t>
      </w:r>
      <w:r w:rsidRPr="00CF08C5">
        <w:rPr>
          <w:rFonts w:ascii="Times New Roman" w:hAnsi="Times New Roman"/>
          <w:sz w:val="24"/>
          <w:szCs w:val="24"/>
        </w:rPr>
        <w:t xml:space="preserve"> intensive work in selectin</w:t>
      </w:r>
      <w:r>
        <w:rPr>
          <w:rFonts w:ascii="Times New Roman" w:hAnsi="Times New Roman"/>
          <w:sz w:val="24"/>
          <w:szCs w:val="24"/>
        </w:rPr>
        <w:t>g</w:t>
      </w:r>
      <w:r w:rsidRPr="00CF08C5">
        <w:rPr>
          <w:rFonts w:ascii="Times New Roman" w:hAnsi="Times New Roman"/>
          <w:sz w:val="24"/>
          <w:szCs w:val="24"/>
        </w:rPr>
        <w:t xml:space="preserve"> and </w:t>
      </w:r>
      <w:r>
        <w:rPr>
          <w:rFonts w:ascii="Times New Roman" w:hAnsi="Times New Roman"/>
          <w:sz w:val="24"/>
          <w:szCs w:val="24"/>
        </w:rPr>
        <w:t>managing</w:t>
      </w:r>
      <w:r w:rsidRPr="00CF08C5">
        <w:rPr>
          <w:rFonts w:ascii="Times New Roman" w:hAnsi="Times New Roman"/>
          <w:sz w:val="24"/>
          <w:szCs w:val="24"/>
        </w:rPr>
        <w:t xml:space="preserve"> small portfolios of investee businesses. The overall view from </w:t>
      </w:r>
      <w:r>
        <w:rPr>
          <w:rFonts w:ascii="Times New Roman" w:hAnsi="Times New Roman"/>
          <w:sz w:val="24"/>
          <w:szCs w:val="24"/>
        </w:rPr>
        <w:t>the</w:t>
      </w:r>
      <w:r w:rsidRPr="00CF08C5">
        <w:rPr>
          <w:rFonts w:ascii="Times New Roman" w:hAnsi="Times New Roman"/>
          <w:sz w:val="24"/>
          <w:szCs w:val="24"/>
        </w:rPr>
        <w:t xml:space="preserve"> equity investment specialists was that investors have become more cautious and stringent in their due diligence and negotiations, with </w:t>
      </w:r>
      <w:r>
        <w:rPr>
          <w:rFonts w:ascii="Times New Roman" w:hAnsi="Times New Roman"/>
          <w:sz w:val="24"/>
          <w:szCs w:val="24"/>
        </w:rPr>
        <w:t>greater</w:t>
      </w:r>
      <w:r w:rsidRPr="00CF08C5">
        <w:rPr>
          <w:rFonts w:ascii="Times New Roman" w:hAnsi="Times New Roman"/>
          <w:sz w:val="24"/>
          <w:szCs w:val="24"/>
        </w:rPr>
        <w:t xml:space="preserve"> attention to overcoming information asymmetries during the pre</w:t>
      </w:r>
      <w:r>
        <w:rPr>
          <w:rFonts w:ascii="Times New Roman" w:hAnsi="Times New Roman"/>
          <w:sz w:val="24"/>
          <w:szCs w:val="24"/>
        </w:rPr>
        <w:t>-</w:t>
      </w:r>
      <w:r w:rsidRPr="00CF08C5">
        <w:rPr>
          <w:rFonts w:ascii="Times New Roman" w:hAnsi="Times New Roman"/>
          <w:sz w:val="24"/>
          <w:szCs w:val="24"/>
        </w:rPr>
        <w:t>deal completion stage.</w:t>
      </w:r>
    </w:p>
    <w:p w:rsidR="00075DBE" w:rsidRDefault="00075DBE" w:rsidP="00085F52">
      <w:pPr>
        <w:pStyle w:val="abody"/>
        <w:spacing w:after="0" w:line="480" w:lineRule="auto"/>
        <w:ind w:firstLine="720"/>
        <w:rPr>
          <w:rFonts w:ascii="Times New Roman" w:hAnsi="Times New Roman" w:cs="Times New Roman"/>
          <w:bCs/>
          <w:sz w:val="24"/>
          <w:szCs w:val="24"/>
        </w:rPr>
      </w:pPr>
      <w:r w:rsidRPr="00CF08C5">
        <w:rPr>
          <w:rFonts w:ascii="Times New Roman" w:hAnsi="Times New Roman" w:cs="Times New Roman"/>
          <w:bCs/>
          <w:sz w:val="24"/>
          <w:szCs w:val="24"/>
        </w:rPr>
        <w:t xml:space="preserve">Having considered the rationale for government intervention to address gaps in equity finance, we now consider the recent evolution of UK HVCFs over the last decade against </w:t>
      </w:r>
      <w:r w:rsidRPr="005136A6">
        <w:rPr>
          <w:rFonts w:ascii="Times New Roman" w:hAnsi="Times New Roman" w:cs="Times New Roman"/>
          <w:bCs/>
          <w:sz w:val="24"/>
          <w:szCs w:val="24"/>
        </w:rPr>
        <w:t>five of Lerner’s</w:t>
      </w:r>
      <w:r w:rsidRPr="00CF08C5">
        <w:rPr>
          <w:rFonts w:ascii="Times New Roman" w:hAnsi="Times New Roman" w:cs="Times New Roman"/>
          <w:bCs/>
          <w:sz w:val="24"/>
          <w:szCs w:val="24"/>
        </w:rPr>
        <w:t xml:space="preserve"> (2010)</w:t>
      </w:r>
      <w:r>
        <w:rPr>
          <w:rFonts w:ascii="Times New Roman" w:hAnsi="Times New Roman" w:cs="Times New Roman"/>
          <w:bCs/>
          <w:sz w:val="24"/>
          <w:szCs w:val="24"/>
        </w:rPr>
        <w:t xml:space="preserve"> guiding principles</w:t>
      </w:r>
      <w:r w:rsidRPr="00CF08C5">
        <w:rPr>
          <w:rFonts w:ascii="Times New Roman" w:hAnsi="Times New Roman" w:cs="Times New Roman"/>
          <w:bCs/>
          <w:sz w:val="24"/>
          <w:szCs w:val="24"/>
        </w:rPr>
        <w:t>, starting with two that he particular</w:t>
      </w:r>
      <w:r>
        <w:rPr>
          <w:rFonts w:ascii="Times New Roman" w:hAnsi="Times New Roman" w:cs="Times New Roman"/>
          <w:bCs/>
          <w:sz w:val="24"/>
          <w:szCs w:val="24"/>
        </w:rPr>
        <w:t>ly</w:t>
      </w:r>
      <w:r w:rsidRPr="00CF08C5">
        <w:rPr>
          <w:rFonts w:ascii="Times New Roman" w:hAnsi="Times New Roman" w:cs="Times New Roman"/>
          <w:bCs/>
          <w:sz w:val="24"/>
          <w:szCs w:val="24"/>
        </w:rPr>
        <w:t xml:space="preserve"> emphasi</w:t>
      </w:r>
      <w:r>
        <w:rPr>
          <w:rFonts w:ascii="Times New Roman" w:hAnsi="Times New Roman" w:cs="Times New Roman"/>
          <w:bCs/>
          <w:sz w:val="24"/>
          <w:szCs w:val="24"/>
        </w:rPr>
        <w:t>zes</w:t>
      </w:r>
      <w:r w:rsidRPr="00CF08C5">
        <w:rPr>
          <w:rFonts w:ascii="Times New Roman" w:hAnsi="Times New Roman" w:cs="Times New Roman"/>
          <w:bCs/>
          <w:sz w:val="24"/>
          <w:szCs w:val="24"/>
        </w:rPr>
        <w:t>.</w:t>
      </w:r>
    </w:p>
    <w:p w:rsidR="00075DBE" w:rsidRDefault="00075DBE" w:rsidP="00085F52">
      <w:pPr>
        <w:pStyle w:val="abody"/>
        <w:spacing w:after="0" w:line="480" w:lineRule="auto"/>
        <w:rPr>
          <w:rFonts w:ascii="Times New Roman" w:hAnsi="Times New Roman" w:cs="Times New Roman"/>
          <w:bCs/>
          <w:sz w:val="24"/>
          <w:szCs w:val="24"/>
        </w:rPr>
      </w:pPr>
    </w:p>
    <w:p w:rsidR="00075DBE" w:rsidRDefault="00075DBE" w:rsidP="00085F52">
      <w:pPr>
        <w:spacing w:after="0" w:line="480" w:lineRule="auto"/>
        <w:rPr>
          <w:rFonts w:ascii="Times New Roman" w:hAnsi="Times New Roman"/>
          <w:b/>
          <w:sz w:val="24"/>
          <w:szCs w:val="24"/>
          <w:lang w:eastAsia="en-GB"/>
        </w:rPr>
      </w:pPr>
    </w:p>
    <w:p w:rsidR="00075DBE" w:rsidRPr="00DE44E3" w:rsidRDefault="00075DBE" w:rsidP="00085F52">
      <w:pPr>
        <w:spacing w:after="0" w:line="480" w:lineRule="auto"/>
        <w:rPr>
          <w:rFonts w:ascii="Times New Roman" w:hAnsi="Times New Roman"/>
          <w:sz w:val="24"/>
          <w:szCs w:val="24"/>
          <w:lang w:eastAsia="en-GB"/>
        </w:rPr>
      </w:pPr>
      <w:r w:rsidRPr="00A430D9">
        <w:rPr>
          <w:rFonts w:ascii="Times New Roman" w:hAnsi="Times New Roman"/>
          <w:sz w:val="24"/>
          <w:szCs w:val="24"/>
          <w:lang w:eastAsia="en-GB"/>
        </w:rPr>
        <w:t>&lt;A&gt;‘LET THE MARKET PROVIDE DIRECTION’ AND ‘RESIST THE TEMPTATION TO OVER-ENGINEER’</w:t>
      </w:r>
    </w:p>
    <w:p w:rsidR="00075DBE" w:rsidRDefault="00075DBE" w:rsidP="00085F52">
      <w:pPr>
        <w:spacing w:after="0" w:line="480" w:lineRule="auto"/>
        <w:rPr>
          <w:rFonts w:ascii="Times New Roman" w:hAnsi="Times New Roman"/>
          <w:sz w:val="24"/>
          <w:szCs w:val="24"/>
          <w:lang w:eastAsia="en-GB"/>
        </w:rPr>
      </w:pPr>
    </w:p>
    <w:p w:rsidR="00075DBE" w:rsidRDefault="00075DBE" w:rsidP="00085F52">
      <w:pPr>
        <w:spacing w:after="0" w:line="480" w:lineRule="auto"/>
        <w:rPr>
          <w:rFonts w:ascii="Times New Roman" w:hAnsi="Times New Roman"/>
          <w:sz w:val="24"/>
          <w:szCs w:val="24"/>
          <w:lang w:eastAsia="en-GB"/>
        </w:rPr>
      </w:pPr>
      <w:r w:rsidRPr="00CF08C5">
        <w:rPr>
          <w:rFonts w:ascii="Times New Roman" w:hAnsi="Times New Roman"/>
          <w:sz w:val="24"/>
          <w:szCs w:val="24"/>
          <w:lang w:eastAsia="en-GB"/>
        </w:rPr>
        <w:t>During the past decade UK programmes have evolved along the lines of Lerner’s principles</w:t>
      </w:r>
      <w:r>
        <w:rPr>
          <w:rFonts w:ascii="Times New Roman" w:hAnsi="Times New Roman"/>
          <w:sz w:val="24"/>
          <w:szCs w:val="24"/>
          <w:lang w:eastAsia="en-GB"/>
        </w:rPr>
        <w:t>,</w:t>
      </w:r>
      <w:r w:rsidRPr="00CF08C5">
        <w:rPr>
          <w:rFonts w:ascii="Times New Roman" w:hAnsi="Times New Roman"/>
          <w:sz w:val="24"/>
          <w:szCs w:val="24"/>
          <w:lang w:eastAsia="en-GB"/>
        </w:rPr>
        <w:t xml:space="preserve"> letting the market lead and resisting the temptation </w:t>
      </w:r>
      <w:r>
        <w:rPr>
          <w:rFonts w:ascii="Times New Roman" w:hAnsi="Times New Roman"/>
          <w:sz w:val="24"/>
          <w:szCs w:val="24"/>
          <w:lang w:eastAsia="en-GB"/>
        </w:rPr>
        <w:t>to</w:t>
      </w:r>
      <w:r w:rsidRPr="00CF08C5">
        <w:rPr>
          <w:rFonts w:ascii="Times New Roman" w:hAnsi="Times New Roman"/>
          <w:sz w:val="24"/>
          <w:szCs w:val="24"/>
          <w:lang w:eastAsia="en-GB"/>
        </w:rPr>
        <w:t xml:space="preserve"> micro manage funds. UK public officials are </w:t>
      </w:r>
      <w:r>
        <w:rPr>
          <w:rFonts w:ascii="Times New Roman" w:hAnsi="Times New Roman"/>
          <w:sz w:val="24"/>
          <w:szCs w:val="24"/>
          <w:lang w:eastAsia="en-GB"/>
        </w:rPr>
        <w:t xml:space="preserve">now </w:t>
      </w:r>
      <w:r w:rsidRPr="00CF08C5">
        <w:rPr>
          <w:rFonts w:ascii="Times New Roman" w:hAnsi="Times New Roman"/>
          <w:sz w:val="24"/>
          <w:szCs w:val="24"/>
          <w:lang w:eastAsia="en-GB"/>
        </w:rPr>
        <w:t>far less involved in the management of funds</w:t>
      </w:r>
      <w:r>
        <w:rPr>
          <w:rFonts w:ascii="Times New Roman" w:hAnsi="Times New Roman"/>
          <w:sz w:val="24"/>
          <w:szCs w:val="24"/>
          <w:lang w:eastAsia="en-GB"/>
        </w:rPr>
        <w:t xml:space="preserve"> than they were with some of the original publicly funded venture capital funds (Murray, 2007)</w:t>
      </w:r>
      <w:r w:rsidRPr="00CF08C5">
        <w:rPr>
          <w:rFonts w:ascii="Times New Roman" w:hAnsi="Times New Roman"/>
          <w:sz w:val="24"/>
          <w:szCs w:val="24"/>
          <w:lang w:eastAsia="en-GB"/>
        </w:rPr>
        <w:t xml:space="preserve">, even to the extent with UKIIF of wanting entrepreneurs to </w:t>
      </w:r>
      <w:r w:rsidRPr="00CF08C5">
        <w:rPr>
          <w:rFonts w:ascii="Times New Roman" w:hAnsi="Times New Roman"/>
          <w:sz w:val="24"/>
          <w:szCs w:val="24"/>
          <w:lang w:eastAsia="en-GB"/>
        </w:rPr>
        <w:lastRenderedPageBreak/>
        <w:t>perceive them as entirely private funds</w:t>
      </w:r>
      <w:r>
        <w:rPr>
          <w:rFonts w:ascii="Times New Roman" w:hAnsi="Times New Roman"/>
          <w:sz w:val="24"/>
          <w:szCs w:val="24"/>
          <w:lang w:eastAsia="en-GB"/>
        </w:rPr>
        <w:t>. Recent UK HVCF programmes enshrine co-investment and</w:t>
      </w:r>
      <w:r w:rsidRPr="00CF08C5">
        <w:rPr>
          <w:rFonts w:ascii="Times New Roman" w:hAnsi="Times New Roman"/>
          <w:sz w:val="24"/>
          <w:szCs w:val="24"/>
          <w:lang w:eastAsia="en-GB"/>
        </w:rPr>
        <w:t xml:space="preserve"> ‘fund of funds’ principle</w:t>
      </w:r>
      <w:r>
        <w:rPr>
          <w:rFonts w:ascii="Times New Roman" w:hAnsi="Times New Roman"/>
          <w:sz w:val="24"/>
          <w:szCs w:val="24"/>
          <w:lang w:eastAsia="en-GB"/>
        </w:rPr>
        <w:t xml:space="preserve">s, </w:t>
      </w:r>
      <w:r w:rsidRPr="00CF08C5">
        <w:rPr>
          <w:rFonts w:ascii="Times New Roman" w:hAnsi="Times New Roman"/>
          <w:sz w:val="24"/>
          <w:szCs w:val="24"/>
          <w:lang w:eastAsia="en-GB"/>
        </w:rPr>
        <w:t>requir</w:t>
      </w:r>
      <w:r>
        <w:rPr>
          <w:rFonts w:ascii="Times New Roman" w:hAnsi="Times New Roman"/>
          <w:sz w:val="24"/>
          <w:szCs w:val="24"/>
          <w:lang w:eastAsia="en-GB"/>
        </w:rPr>
        <w:t>ing</w:t>
      </w:r>
      <w:r w:rsidRPr="00CF08C5">
        <w:rPr>
          <w:rFonts w:ascii="Times New Roman" w:hAnsi="Times New Roman"/>
          <w:sz w:val="24"/>
          <w:szCs w:val="24"/>
          <w:lang w:eastAsia="en-GB"/>
        </w:rPr>
        <w:t xml:space="preserve"> minimal programme direction and setting broad fund aims such as sector, location and private matching fund requirements</w:t>
      </w:r>
      <w:r>
        <w:rPr>
          <w:rFonts w:ascii="Times New Roman" w:hAnsi="Times New Roman"/>
          <w:sz w:val="24"/>
          <w:szCs w:val="24"/>
          <w:lang w:eastAsia="en-GB"/>
        </w:rPr>
        <w:t>. Private sector managers make the investment decisions and assist in the management of their portfolio companies</w:t>
      </w:r>
      <w:r w:rsidRPr="00CF08C5">
        <w:rPr>
          <w:rFonts w:ascii="Times New Roman" w:hAnsi="Times New Roman"/>
          <w:sz w:val="24"/>
          <w:szCs w:val="24"/>
          <w:lang w:eastAsia="en-GB"/>
        </w:rPr>
        <w:t xml:space="preserve">. </w:t>
      </w:r>
      <w:r>
        <w:rPr>
          <w:rFonts w:ascii="Times New Roman" w:hAnsi="Times New Roman"/>
          <w:sz w:val="24"/>
          <w:szCs w:val="24"/>
          <w:lang w:eastAsia="en-GB"/>
        </w:rPr>
        <w:t>In the case of UKIIF, p</w:t>
      </w:r>
      <w:r w:rsidRPr="00CF08C5">
        <w:rPr>
          <w:rFonts w:ascii="Times New Roman" w:hAnsi="Times New Roman"/>
          <w:sz w:val="24"/>
          <w:szCs w:val="24"/>
          <w:lang w:eastAsia="en-GB"/>
        </w:rPr>
        <w:t xml:space="preserve">rivate sector fund managers </w:t>
      </w:r>
      <w:r>
        <w:rPr>
          <w:rFonts w:ascii="Times New Roman" w:hAnsi="Times New Roman"/>
          <w:sz w:val="24"/>
          <w:szCs w:val="24"/>
          <w:lang w:eastAsia="en-GB"/>
        </w:rPr>
        <w:t>also lead</w:t>
      </w:r>
      <w:r w:rsidRPr="00CF08C5">
        <w:rPr>
          <w:rFonts w:ascii="Times New Roman" w:hAnsi="Times New Roman"/>
          <w:sz w:val="24"/>
          <w:szCs w:val="24"/>
          <w:lang w:eastAsia="en-GB"/>
        </w:rPr>
        <w:t xml:space="preserve"> </w:t>
      </w:r>
      <w:r>
        <w:rPr>
          <w:rFonts w:ascii="Times New Roman" w:hAnsi="Times New Roman"/>
          <w:sz w:val="24"/>
          <w:szCs w:val="24"/>
          <w:lang w:eastAsia="en-GB"/>
        </w:rPr>
        <w:t xml:space="preserve">the </w:t>
      </w:r>
      <w:r w:rsidRPr="00CF08C5">
        <w:rPr>
          <w:rFonts w:ascii="Times New Roman" w:hAnsi="Times New Roman"/>
          <w:sz w:val="24"/>
          <w:szCs w:val="24"/>
          <w:lang w:eastAsia="en-GB"/>
        </w:rPr>
        <w:t>umbrella fund of funds</w:t>
      </w:r>
      <w:r>
        <w:rPr>
          <w:rFonts w:ascii="Times New Roman" w:hAnsi="Times New Roman"/>
          <w:sz w:val="24"/>
          <w:szCs w:val="24"/>
          <w:lang w:eastAsia="en-GB"/>
        </w:rPr>
        <w:t xml:space="preserve">, </w:t>
      </w:r>
      <w:r w:rsidRPr="00CF08C5">
        <w:rPr>
          <w:rFonts w:ascii="Times New Roman" w:hAnsi="Times New Roman"/>
          <w:sz w:val="24"/>
          <w:szCs w:val="24"/>
          <w:lang w:eastAsia="en-GB"/>
        </w:rPr>
        <w:t>invit</w:t>
      </w:r>
      <w:r>
        <w:rPr>
          <w:rFonts w:ascii="Times New Roman" w:hAnsi="Times New Roman"/>
          <w:sz w:val="24"/>
          <w:szCs w:val="24"/>
          <w:lang w:eastAsia="en-GB"/>
        </w:rPr>
        <w:t>ing</w:t>
      </w:r>
      <w:r w:rsidRPr="00CF08C5">
        <w:rPr>
          <w:rFonts w:ascii="Times New Roman" w:hAnsi="Times New Roman"/>
          <w:sz w:val="24"/>
          <w:szCs w:val="24"/>
          <w:lang w:eastAsia="en-GB"/>
        </w:rPr>
        <w:t xml:space="preserve"> competition from private VCs to run the specialist </w:t>
      </w:r>
      <w:r>
        <w:rPr>
          <w:rFonts w:ascii="Times New Roman" w:hAnsi="Times New Roman"/>
          <w:sz w:val="24"/>
          <w:szCs w:val="24"/>
          <w:lang w:eastAsia="en-GB"/>
        </w:rPr>
        <w:t xml:space="preserve">underlying </w:t>
      </w:r>
      <w:r w:rsidRPr="00CF08C5">
        <w:rPr>
          <w:rFonts w:ascii="Times New Roman" w:hAnsi="Times New Roman"/>
          <w:sz w:val="24"/>
          <w:szCs w:val="24"/>
          <w:lang w:eastAsia="en-GB"/>
        </w:rPr>
        <w:t>funds</w:t>
      </w:r>
      <w:r>
        <w:rPr>
          <w:rFonts w:ascii="Times New Roman" w:hAnsi="Times New Roman"/>
          <w:sz w:val="24"/>
          <w:szCs w:val="24"/>
          <w:lang w:eastAsia="en-GB"/>
        </w:rPr>
        <w:t xml:space="preserve">. </w:t>
      </w:r>
      <w:r w:rsidRPr="00CF08C5">
        <w:rPr>
          <w:rFonts w:ascii="Times New Roman" w:hAnsi="Times New Roman"/>
          <w:sz w:val="24"/>
          <w:szCs w:val="24"/>
          <w:lang w:eastAsia="en-GB"/>
        </w:rPr>
        <w:t xml:space="preserve">The </w:t>
      </w:r>
      <w:r>
        <w:rPr>
          <w:rFonts w:ascii="Times New Roman" w:hAnsi="Times New Roman"/>
          <w:sz w:val="24"/>
          <w:szCs w:val="24"/>
          <w:lang w:eastAsia="en-GB"/>
        </w:rPr>
        <w:t>British Business Bank</w:t>
      </w:r>
      <w:r w:rsidRPr="00CF08C5">
        <w:rPr>
          <w:rFonts w:ascii="Times New Roman" w:hAnsi="Times New Roman"/>
          <w:sz w:val="24"/>
          <w:szCs w:val="24"/>
          <w:lang w:eastAsia="en-GB"/>
        </w:rPr>
        <w:t xml:space="preserve"> </w:t>
      </w:r>
      <w:r>
        <w:rPr>
          <w:rFonts w:ascii="Times New Roman" w:hAnsi="Times New Roman"/>
          <w:sz w:val="24"/>
          <w:szCs w:val="24"/>
          <w:lang w:eastAsia="en-GB"/>
        </w:rPr>
        <w:t xml:space="preserve">provides light touch government </w:t>
      </w:r>
      <w:r w:rsidRPr="00CF08C5">
        <w:rPr>
          <w:rFonts w:ascii="Times New Roman" w:hAnsi="Times New Roman"/>
          <w:sz w:val="24"/>
          <w:szCs w:val="24"/>
          <w:lang w:eastAsia="en-GB"/>
        </w:rPr>
        <w:t>monitoring</w:t>
      </w:r>
      <w:r>
        <w:rPr>
          <w:rFonts w:ascii="Times New Roman" w:hAnsi="Times New Roman"/>
          <w:sz w:val="24"/>
          <w:szCs w:val="24"/>
          <w:lang w:eastAsia="en-GB"/>
        </w:rPr>
        <w:t>,</w:t>
      </w:r>
      <w:r w:rsidRPr="00CF08C5">
        <w:rPr>
          <w:rFonts w:ascii="Times New Roman" w:hAnsi="Times New Roman"/>
          <w:sz w:val="24"/>
          <w:szCs w:val="24"/>
          <w:lang w:eastAsia="en-GB"/>
        </w:rPr>
        <w:t xml:space="preserve"> </w:t>
      </w:r>
      <w:r>
        <w:rPr>
          <w:rFonts w:ascii="Times New Roman" w:hAnsi="Times New Roman"/>
          <w:sz w:val="24"/>
          <w:szCs w:val="24"/>
          <w:lang w:eastAsia="en-GB"/>
        </w:rPr>
        <w:t>including</w:t>
      </w:r>
      <w:r w:rsidRPr="00CF08C5">
        <w:rPr>
          <w:rFonts w:ascii="Times New Roman" w:hAnsi="Times New Roman"/>
          <w:sz w:val="24"/>
          <w:szCs w:val="24"/>
          <w:lang w:eastAsia="en-GB"/>
        </w:rPr>
        <w:t xml:space="preserve"> early, mid-term and end of programme reviews which could lead to strategic operation</w:t>
      </w:r>
      <w:r>
        <w:rPr>
          <w:rFonts w:ascii="Times New Roman" w:hAnsi="Times New Roman"/>
          <w:sz w:val="24"/>
          <w:szCs w:val="24"/>
          <w:lang w:eastAsia="en-GB"/>
        </w:rPr>
        <w:t>al changes</w:t>
      </w:r>
      <w:r w:rsidRPr="00CF08C5">
        <w:rPr>
          <w:rFonts w:ascii="Times New Roman" w:hAnsi="Times New Roman"/>
          <w:sz w:val="24"/>
          <w:szCs w:val="24"/>
          <w:lang w:eastAsia="en-GB"/>
        </w:rPr>
        <w:t>.</w:t>
      </w:r>
    </w:p>
    <w:p w:rsidR="00075DBE" w:rsidRDefault="00075DBE" w:rsidP="00DE44E3">
      <w:pPr>
        <w:spacing w:after="0" w:line="480" w:lineRule="auto"/>
        <w:rPr>
          <w:rFonts w:ascii="Times New Roman" w:hAnsi="Times New Roman"/>
          <w:sz w:val="24"/>
          <w:szCs w:val="24"/>
          <w:lang w:eastAsia="en-GB"/>
        </w:rPr>
      </w:pPr>
    </w:p>
    <w:p w:rsidR="00075DBE" w:rsidRPr="00DE44E3" w:rsidRDefault="00075DBE" w:rsidP="00085F52">
      <w:pPr>
        <w:spacing w:after="0" w:line="480" w:lineRule="auto"/>
        <w:rPr>
          <w:rFonts w:ascii="Times New Roman" w:hAnsi="Times New Roman"/>
          <w:b/>
          <w:sz w:val="20"/>
          <w:szCs w:val="24"/>
          <w:lang w:eastAsia="en-GB"/>
        </w:rPr>
      </w:pPr>
      <w:r w:rsidRPr="00DE44E3">
        <w:rPr>
          <w:rFonts w:ascii="Times New Roman" w:hAnsi="Times New Roman"/>
          <w:b/>
          <w:sz w:val="20"/>
          <w:szCs w:val="24"/>
          <w:lang w:eastAsia="en-GB"/>
        </w:rPr>
        <w:t xml:space="preserve">&lt;B&gt;Have UK </w:t>
      </w:r>
      <w:r w:rsidRPr="00596CB9">
        <w:rPr>
          <w:rFonts w:ascii="Times New Roman" w:hAnsi="Times New Roman"/>
          <w:b/>
          <w:sz w:val="20"/>
          <w:szCs w:val="24"/>
          <w:lang w:eastAsia="en-GB"/>
        </w:rPr>
        <w:t xml:space="preserve">Funds Become </w:t>
      </w:r>
      <w:r w:rsidRPr="00DE44E3">
        <w:rPr>
          <w:rFonts w:ascii="Times New Roman" w:hAnsi="Times New Roman"/>
          <w:b/>
          <w:sz w:val="20"/>
          <w:szCs w:val="24"/>
          <w:lang w:eastAsia="en-GB"/>
        </w:rPr>
        <w:t xml:space="preserve">too </w:t>
      </w:r>
      <w:r w:rsidRPr="00596CB9">
        <w:rPr>
          <w:rFonts w:ascii="Times New Roman" w:hAnsi="Times New Roman"/>
          <w:b/>
          <w:sz w:val="20"/>
          <w:szCs w:val="24"/>
          <w:lang w:eastAsia="en-GB"/>
        </w:rPr>
        <w:t>Private Sector Led</w:t>
      </w:r>
      <w:r w:rsidRPr="00DE44E3">
        <w:rPr>
          <w:rFonts w:ascii="Times New Roman" w:hAnsi="Times New Roman"/>
          <w:b/>
          <w:sz w:val="20"/>
          <w:szCs w:val="24"/>
          <w:lang w:eastAsia="en-GB"/>
        </w:rPr>
        <w:t>?</w:t>
      </w:r>
    </w:p>
    <w:p w:rsidR="00075DBE" w:rsidRDefault="00075DBE" w:rsidP="00085F52">
      <w:pPr>
        <w:spacing w:after="0" w:line="480" w:lineRule="auto"/>
        <w:rPr>
          <w:rFonts w:ascii="Times New Roman" w:hAnsi="Times New Roman"/>
          <w:sz w:val="24"/>
          <w:szCs w:val="24"/>
          <w:lang w:eastAsia="en-GB"/>
        </w:rPr>
      </w:pPr>
    </w:p>
    <w:p w:rsidR="00075DBE" w:rsidRDefault="00075DBE" w:rsidP="00085F52">
      <w:pPr>
        <w:spacing w:after="0" w:line="480" w:lineRule="auto"/>
        <w:rPr>
          <w:rFonts w:ascii="Times New Roman" w:hAnsi="Times New Roman"/>
          <w:sz w:val="24"/>
          <w:szCs w:val="24"/>
          <w:lang w:eastAsia="en-GB"/>
        </w:rPr>
      </w:pPr>
      <w:r w:rsidRPr="00CF08C5">
        <w:rPr>
          <w:rFonts w:ascii="Times New Roman" w:hAnsi="Times New Roman"/>
          <w:sz w:val="24"/>
          <w:szCs w:val="24"/>
          <w:lang w:eastAsia="en-GB"/>
        </w:rPr>
        <w:t xml:space="preserve">The private sector-led format of </w:t>
      </w:r>
      <w:r>
        <w:rPr>
          <w:rFonts w:ascii="Times New Roman" w:hAnsi="Times New Roman"/>
          <w:sz w:val="24"/>
          <w:szCs w:val="24"/>
          <w:lang w:eastAsia="en-GB"/>
        </w:rPr>
        <w:t xml:space="preserve">recent </w:t>
      </w:r>
      <w:r w:rsidRPr="00CF08C5">
        <w:rPr>
          <w:rFonts w:ascii="Times New Roman" w:hAnsi="Times New Roman"/>
          <w:sz w:val="24"/>
          <w:szCs w:val="24"/>
          <w:lang w:eastAsia="en-GB"/>
        </w:rPr>
        <w:t>UK</w:t>
      </w:r>
      <w:r>
        <w:rPr>
          <w:rFonts w:ascii="Times New Roman" w:hAnsi="Times New Roman"/>
          <w:sz w:val="24"/>
          <w:szCs w:val="24"/>
          <w:lang w:eastAsia="en-GB"/>
        </w:rPr>
        <w:t xml:space="preserve"> HVCFs, notably UK</w:t>
      </w:r>
      <w:r w:rsidRPr="00CF08C5">
        <w:rPr>
          <w:rFonts w:ascii="Times New Roman" w:hAnsi="Times New Roman"/>
          <w:sz w:val="24"/>
          <w:szCs w:val="24"/>
          <w:lang w:eastAsia="en-GB"/>
        </w:rPr>
        <w:t>IIF</w:t>
      </w:r>
      <w:r>
        <w:rPr>
          <w:rFonts w:ascii="Times New Roman" w:hAnsi="Times New Roman"/>
          <w:sz w:val="24"/>
          <w:szCs w:val="24"/>
          <w:lang w:eastAsia="en-GB"/>
        </w:rPr>
        <w:t>,</w:t>
      </w:r>
      <w:r w:rsidRPr="00CF08C5">
        <w:rPr>
          <w:rFonts w:ascii="Times New Roman" w:hAnsi="Times New Roman"/>
          <w:sz w:val="24"/>
          <w:szCs w:val="24"/>
          <w:lang w:eastAsia="en-GB"/>
        </w:rPr>
        <w:t xml:space="preserve"> raises question</w:t>
      </w:r>
      <w:r>
        <w:rPr>
          <w:rFonts w:ascii="Times New Roman" w:hAnsi="Times New Roman"/>
          <w:sz w:val="24"/>
          <w:szCs w:val="24"/>
          <w:lang w:eastAsia="en-GB"/>
        </w:rPr>
        <w:t>s</w:t>
      </w:r>
      <w:r w:rsidRPr="00CF08C5">
        <w:rPr>
          <w:rFonts w:ascii="Times New Roman" w:hAnsi="Times New Roman"/>
          <w:sz w:val="24"/>
          <w:szCs w:val="24"/>
          <w:lang w:eastAsia="en-GB"/>
        </w:rPr>
        <w:t xml:space="preserve"> </w:t>
      </w:r>
      <w:r>
        <w:rPr>
          <w:rFonts w:ascii="Times New Roman" w:hAnsi="Times New Roman"/>
          <w:sz w:val="24"/>
          <w:szCs w:val="24"/>
          <w:lang w:eastAsia="en-GB"/>
        </w:rPr>
        <w:t xml:space="preserve">as to </w:t>
      </w:r>
      <w:r w:rsidRPr="00CF08C5">
        <w:rPr>
          <w:rFonts w:ascii="Times New Roman" w:hAnsi="Times New Roman"/>
          <w:sz w:val="24"/>
          <w:szCs w:val="24"/>
          <w:lang w:eastAsia="en-GB"/>
        </w:rPr>
        <w:t xml:space="preserve">whether </w:t>
      </w:r>
      <w:r>
        <w:rPr>
          <w:rFonts w:ascii="Times New Roman" w:hAnsi="Times New Roman"/>
          <w:sz w:val="24"/>
          <w:szCs w:val="24"/>
          <w:lang w:eastAsia="en-GB"/>
        </w:rPr>
        <w:t>they</w:t>
      </w:r>
      <w:r w:rsidRPr="00CF08C5">
        <w:rPr>
          <w:rFonts w:ascii="Times New Roman" w:hAnsi="Times New Roman"/>
          <w:sz w:val="24"/>
          <w:szCs w:val="24"/>
          <w:lang w:eastAsia="en-GB"/>
        </w:rPr>
        <w:t xml:space="preserve"> have become too market-led, chasing high performance and returns at the expense of assisting more marginal, but fundable cases (Rigos, 2011). Lerner (2010) states that public supported funds should not compete with </w:t>
      </w:r>
      <w:r>
        <w:rPr>
          <w:rFonts w:ascii="Times New Roman" w:hAnsi="Times New Roman"/>
          <w:sz w:val="24"/>
          <w:szCs w:val="24"/>
          <w:lang w:eastAsia="en-GB"/>
        </w:rPr>
        <w:t>private</w:t>
      </w:r>
      <w:r w:rsidRPr="00CF08C5">
        <w:rPr>
          <w:rFonts w:ascii="Times New Roman" w:hAnsi="Times New Roman"/>
          <w:sz w:val="24"/>
          <w:szCs w:val="24"/>
          <w:lang w:eastAsia="en-GB"/>
        </w:rPr>
        <w:t xml:space="preserve"> funds, yet our evidence suggests that they do once they are perceived </w:t>
      </w:r>
      <w:r>
        <w:rPr>
          <w:rFonts w:ascii="Times New Roman" w:hAnsi="Times New Roman"/>
          <w:sz w:val="24"/>
          <w:szCs w:val="24"/>
          <w:lang w:eastAsia="en-GB"/>
        </w:rPr>
        <w:t xml:space="preserve">by entrepreneurs </w:t>
      </w:r>
      <w:r w:rsidRPr="00CF08C5">
        <w:rPr>
          <w:rFonts w:ascii="Times New Roman" w:hAnsi="Times New Roman"/>
          <w:sz w:val="24"/>
          <w:szCs w:val="24"/>
          <w:lang w:eastAsia="en-GB"/>
        </w:rPr>
        <w:t xml:space="preserve">to be private funds </w:t>
      </w:r>
      <w:r>
        <w:rPr>
          <w:rFonts w:ascii="Times New Roman" w:hAnsi="Times New Roman"/>
          <w:sz w:val="24"/>
          <w:szCs w:val="24"/>
          <w:lang w:eastAsia="en-GB"/>
        </w:rPr>
        <w:t xml:space="preserve">competing </w:t>
      </w:r>
      <w:r w:rsidRPr="00CF08C5">
        <w:rPr>
          <w:rFonts w:ascii="Times New Roman" w:hAnsi="Times New Roman"/>
          <w:sz w:val="24"/>
          <w:szCs w:val="24"/>
          <w:lang w:eastAsia="en-GB"/>
        </w:rPr>
        <w:t>on equal terms to other private funds. For Lerner</w:t>
      </w:r>
      <w:r>
        <w:rPr>
          <w:rFonts w:ascii="Times New Roman" w:hAnsi="Times New Roman"/>
          <w:sz w:val="24"/>
          <w:szCs w:val="24"/>
          <w:lang w:eastAsia="en-GB"/>
        </w:rPr>
        <w:t xml:space="preserve"> (2010)</w:t>
      </w:r>
      <w:r w:rsidRPr="00CF08C5">
        <w:rPr>
          <w:rFonts w:ascii="Times New Roman" w:hAnsi="Times New Roman"/>
          <w:sz w:val="24"/>
          <w:szCs w:val="24"/>
          <w:lang w:eastAsia="en-GB"/>
        </w:rPr>
        <w:t xml:space="preserve"> and Clarysse </w:t>
      </w:r>
      <w:r>
        <w:rPr>
          <w:rFonts w:ascii="Times New Roman" w:hAnsi="Times New Roman"/>
          <w:sz w:val="24"/>
          <w:szCs w:val="24"/>
          <w:lang w:eastAsia="en-GB"/>
        </w:rPr>
        <w:t>et al. (</w:t>
      </w:r>
      <w:r w:rsidRPr="00CF08C5">
        <w:rPr>
          <w:rFonts w:ascii="Times New Roman" w:hAnsi="Times New Roman"/>
          <w:sz w:val="24"/>
          <w:szCs w:val="24"/>
          <w:lang w:eastAsia="en-GB"/>
        </w:rPr>
        <w:t>2009)</w:t>
      </w:r>
      <w:r>
        <w:rPr>
          <w:rFonts w:ascii="Times New Roman" w:hAnsi="Times New Roman"/>
          <w:sz w:val="24"/>
          <w:szCs w:val="24"/>
          <w:lang w:eastAsia="en-GB"/>
        </w:rPr>
        <w:t>,</w:t>
      </w:r>
      <w:r w:rsidRPr="00CF08C5">
        <w:rPr>
          <w:rFonts w:ascii="Times New Roman" w:hAnsi="Times New Roman"/>
          <w:sz w:val="24"/>
          <w:szCs w:val="24"/>
          <w:lang w:eastAsia="en-GB"/>
        </w:rPr>
        <w:t xml:space="preserve"> the imperative is that government funds stimulate private VC activity and establish VC markets and then withdraw, rather than continue to compete and crowd out.</w:t>
      </w:r>
    </w:p>
    <w:p w:rsidR="00075DBE" w:rsidRDefault="00075DBE" w:rsidP="00085F52">
      <w:pPr>
        <w:spacing w:after="0" w:line="480" w:lineRule="auto"/>
        <w:ind w:firstLine="720"/>
        <w:rPr>
          <w:rFonts w:ascii="Times New Roman" w:hAnsi="Times New Roman"/>
          <w:bCs/>
          <w:sz w:val="24"/>
          <w:szCs w:val="24"/>
        </w:rPr>
      </w:pPr>
      <w:r w:rsidRPr="00CF08C5">
        <w:rPr>
          <w:rFonts w:ascii="Times New Roman" w:hAnsi="Times New Roman"/>
          <w:bCs/>
          <w:sz w:val="24"/>
          <w:szCs w:val="24"/>
        </w:rPr>
        <w:t xml:space="preserve">ECF, Aspire and UKIIF aim to balance generating commercial returns for investors </w:t>
      </w:r>
      <w:r>
        <w:rPr>
          <w:rFonts w:ascii="Times New Roman" w:hAnsi="Times New Roman"/>
          <w:bCs/>
          <w:sz w:val="24"/>
          <w:szCs w:val="24"/>
        </w:rPr>
        <w:t>with</w:t>
      </w:r>
      <w:r w:rsidRPr="00CF08C5">
        <w:rPr>
          <w:rFonts w:ascii="Times New Roman" w:hAnsi="Times New Roman"/>
          <w:bCs/>
          <w:sz w:val="24"/>
          <w:szCs w:val="24"/>
        </w:rPr>
        <w:t xml:space="preserve"> </w:t>
      </w:r>
      <w:r>
        <w:rPr>
          <w:rFonts w:ascii="Times New Roman" w:hAnsi="Times New Roman"/>
          <w:bCs/>
          <w:sz w:val="24"/>
          <w:szCs w:val="24"/>
        </w:rPr>
        <w:t xml:space="preserve">achieving </w:t>
      </w:r>
      <w:r w:rsidRPr="00CF08C5">
        <w:rPr>
          <w:rFonts w:ascii="Times New Roman" w:hAnsi="Times New Roman"/>
          <w:bCs/>
          <w:sz w:val="24"/>
          <w:szCs w:val="24"/>
        </w:rPr>
        <w:t xml:space="preserve">wider economic objectives. Since the funds aim to demonstrate to private investors that early stage growth potential businesses can yield </w:t>
      </w:r>
      <w:r>
        <w:rPr>
          <w:rFonts w:ascii="Times New Roman" w:hAnsi="Times New Roman"/>
          <w:bCs/>
          <w:sz w:val="24"/>
          <w:szCs w:val="24"/>
        </w:rPr>
        <w:t xml:space="preserve">attractive </w:t>
      </w:r>
      <w:r w:rsidRPr="00CF08C5">
        <w:rPr>
          <w:rFonts w:ascii="Times New Roman" w:hAnsi="Times New Roman"/>
          <w:bCs/>
          <w:sz w:val="24"/>
          <w:szCs w:val="24"/>
        </w:rPr>
        <w:t xml:space="preserve">returns, commercial investment decisions </w:t>
      </w:r>
      <w:r>
        <w:rPr>
          <w:rFonts w:ascii="Times New Roman" w:hAnsi="Times New Roman"/>
          <w:bCs/>
          <w:sz w:val="24"/>
          <w:szCs w:val="24"/>
        </w:rPr>
        <w:t>are</w:t>
      </w:r>
      <w:r w:rsidRPr="00CF08C5">
        <w:rPr>
          <w:rFonts w:ascii="Times New Roman" w:hAnsi="Times New Roman"/>
          <w:bCs/>
          <w:sz w:val="24"/>
          <w:szCs w:val="24"/>
        </w:rPr>
        <w:t xml:space="preserve"> devolved to private VC fund managers to ensure that investment decisions </w:t>
      </w:r>
      <w:r>
        <w:rPr>
          <w:rFonts w:ascii="Times New Roman" w:hAnsi="Times New Roman"/>
          <w:bCs/>
          <w:sz w:val="24"/>
          <w:szCs w:val="24"/>
        </w:rPr>
        <w:t>utilize</w:t>
      </w:r>
      <w:r w:rsidRPr="00CF08C5">
        <w:rPr>
          <w:rFonts w:ascii="Times New Roman" w:hAnsi="Times New Roman"/>
          <w:bCs/>
          <w:sz w:val="24"/>
          <w:szCs w:val="24"/>
        </w:rPr>
        <w:t xml:space="preserve"> rigorous commercial criteria</w:t>
      </w:r>
      <w:r>
        <w:rPr>
          <w:rFonts w:ascii="Times New Roman" w:hAnsi="Times New Roman"/>
          <w:bCs/>
          <w:sz w:val="24"/>
          <w:szCs w:val="24"/>
        </w:rPr>
        <w:t>.</w:t>
      </w:r>
      <w:r w:rsidRPr="00CF08C5">
        <w:rPr>
          <w:rFonts w:ascii="Times New Roman" w:hAnsi="Times New Roman"/>
          <w:bCs/>
          <w:sz w:val="24"/>
          <w:szCs w:val="24"/>
        </w:rPr>
        <w:t xml:space="preserve"> At the same time, by providing equity funding to innovative</w:t>
      </w:r>
      <w:r>
        <w:rPr>
          <w:rFonts w:ascii="Times New Roman" w:hAnsi="Times New Roman"/>
          <w:bCs/>
          <w:sz w:val="24"/>
          <w:szCs w:val="24"/>
        </w:rPr>
        <w:t>, high growth potential</w:t>
      </w:r>
      <w:r w:rsidRPr="00CF08C5">
        <w:rPr>
          <w:rFonts w:ascii="Times New Roman" w:hAnsi="Times New Roman"/>
          <w:bCs/>
          <w:sz w:val="24"/>
          <w:szCs w:val="24"/>
        </w:rPr>
        <w:t xml:space="preserve"> businesses that are struggling to raise sufficient funds from other sources, HVCFs aim to contribute to </w:t>
      </w:r>
      <w:r>
        <w:rPr>
          <w:rFonts w:ascii="Times New Roman" w:hAnsi="Times New Roman"/>
          <w:bCs/>
          <w:sz w:val="24"/>
          <w:szCs w:val="24"/>
        </w:rPr>
        <w:t xml:space="preserve">the UK’s </w:t>
      </w:r>
      <w:r w:rsidRPr="00CF08C5">
        <w:rPr>
          <w:rFonts w:ascii="Times New Roman" w:hAnsi="Times New Roman"/>
          <w:bCs/>
          <w:sz w:val="24"/>
          <w:szCs w:val="24"/>
        </w:rPr>
        <w:t>economic growth and job creation. Th</w:t>
      </w:r>
      <w:r>
        <w:rPr>
          <w:rFonts w:ascii="Times New Roman" w:hAnsi="Times New Roman"/>
          <w:bCs/>
          <w:sz w:val="24"/>
          <w:szCs w:val="24"/>
        </w:rPr>
        <w:t>is assumes</w:t>
      </w:r>
      <w:r w:rsidRPr="00CF08C5">
        <w:rPr>
          <w:rFonts w:ascii="Times New Roman" w:hAnsi="Times New Roman"/>
          <w:bCs/>
          <w:sz w:val="24"/>
          <w:szCs w:val="24"/>
        </w:rPr>
        <w:t xml:space="preserve"> that the government’s wider </w:t>
      </w:r>
      <w:r w:rsidRPr="00CF08C5">
        <w:rPr>
          <w:rFonts w:ascii="Times New Roman" w:hAnsi="Times New Roman"/>
          <w:bCs/>
          <w:sz w:val="24"/>
          <w:szCs w:val="24"/>
        </w:rPr>
        <w:lastRenderedPageBreak/>
        <w:t>economic goals can be achieved by first achieving the private fund managers’ commercial objectives (Murray and Lingelbach, 2009).</w:t>
      </w:r>
    </w:p>
    <w:p w:rsidR="00075DBE" w:rsidRDefault="00075DBE" w:rsidP="00085F52">
      <w:pPr>
        <w:spacing w:after="0" w:line="480" w:lineRule="auto"/>
        <w:ind w:firstLine="720"/>
        <w:rPr>
          <w:rFonts w:ascii="Times New Roman" w:hAnsi="Times New Roman"/>
          <w:sz w:val="24"/>
          <w:szCs w:val="24"/>
        </w:rPr>
      </w:pPr>
      <w:r w:rsidRPr="00CF08C5">
        <w:rPr>
          <w:rFonts w:ascii="Times New Roman" w:hAnsi="Times New Roman"/>
          <w:sz w:val="24"/>
          <w:szCs w:val="24"/>
          <w:lang w:eastAsia="en-GB"/>
        </w:rPr>
        <w:t xml:space="preserve">Lerner also argues that HVCFs should not finance ‘substandard firms’ that cannot raise private capital. </w:t>
      </w:r>
      <w:r>
        <w:rPr>
          <w:rFonts w:ascii="Times New Roman" w:hAnsi="Times New Roman"/>
          <w:sz w:val="24"/>
          <w:szCs w:val="24"/>
          <w:lang w:eastAsia="en-GB"/>
        </w:rPr>
        <w:t xml:space="preserve">Defining </w:t>
      </w:r>
      <w:r w:rsidRPr="00CF08C5">
        <w:rPr>
          <w:rFonts w:ascii="Times New Roman" w:hAnsi="Times New Roman"/>
          <w:sz w:val="24"/>
          <w:szCs w:val="24"/>
          <w:lang w:eastAsia="en-GB"/>
        </w:rPr>
        <w:t>‘substandard’</w:t>
      </w:r>
      <w:r>
        <w:rPr>
          <w:rFonts w:ascii="Times New Roman" w:hAnsi="Times New Roman"/>
          <w:sz w:val="24"/>
          <w:szCs w:val="24"/>
          <w:lang w:eastAsia="en-GB"/>
        </w:rPr>
        <w:t xml:space="preserve"> is challenging </w:t>
      </w:r>
      <w:r w:rsidRPr="00CF08C5">
        <w:rPr>
          <w:rFonts w:ascii="Times New Roman" w:hAnsi="Times New Roman"/>
          <w:sz w:val="24"/>
          <w:szCs w:val="24"/>
          <w:lang w:eastAsia="en-GB"/>
        </w:rPr>
        <w:t xml:space="preserve">because of the diverse range of investment propositions that fund managers are confronted with and the often subtle distinctions between them. For example, </w:t>
      </w:r>
      <w:r w:rsidRPr="00CF08C5">
        <w:rPr>
          <w:rFonts w:ascii="Times New Roman" w:hAnsi="Times New Roman"/>
          <w:bCs/>
          <w:sz w:val="24"/>
          <w:szCs w:val="24"/>
        </w:rPr>
        <w:t>Oakey’s (2003)</w:t>
      </w:r>
      <w:r w:rsidRPr="00CF08C5">
        <w:rPr>
          <w:rFonts w:ascii="Times New Roman" w:hAnsi="Times New Roman"/>
          <w:sz w:val="24"/>
          <w:szCs w:val="24"/>
        </w:rPr>
        <w:t xml:space="preserve"> model of funding viability and declining risk </w:t>
      </w:r>
      <w:r w:rsidRPr="00596CB9">
        <w:rPr>
          <w:rFonts w:ascii="Times New Roman" w:hAnsi="Times New Roman"/>
          <w:sz w:val="24"/>
          <w:szCs w:val="24"/>
        </w:rPr>
        <w:t>identifies ‘immediately fundable’ projects (hypothetically 10‒20 per cent), a critical area of ‘probably fundable’ (hypothetically 10 per cent), ‘probably un-fundable’ (30 per cent) and ‘clearly un-fundable’ (50 per cent). He argues that from an economic development perspective public supported funds should be focusing on the ‘probably fundable’ only marginally more risky firms and developing</w:t>
      </w:r>
      <w:r w:rsidRPr="00CF08C5">
        <w:rPr>
          <w:rFonts w:ascii="Times New Roman" w:hAnsi="Times New Roman"/>
          <w:sz w:val="24"/>
          <w:szCs w:val="24"/>
        </w:rPr>
        <w:t xml:space="preserve"> them to a point where they would attract private sector </w:t>
      </w:r>
      <w:r>
        <w:rPr>
          <w:rFonts w:ascii="Times New Roman" w:hAnsi="Times New Roman"/>
          <w:sz w:val="24"/>
          <w:szCs w:val="24"/>
        </w:rPr>
        <w:t>VC</w:t>
      </w:r>
      <w:r w:rsidRPr="00CF08C5">
        <w:rPr>
          <w:rFonts w:ascii="Times New Roman" w:hAnsi="Times New Roman"/>
          <w:sz w:val="24"/>
          <w:szCs w:val="24"/>
        </w:rPr>
        <w:t>.</w:t>
      </w:r>
    </w:p>
    <w:p w:rsidR="00075DBE" w:rsidRPr="00596CB9" w:rsidRDefault="00075DBE" w:rsidP="00085F52">
      <w:pPr>
        <w:spacing w:after="0" w:line="480" w:lineRule="auto"/>
        <w:ind w:firstLine="720"/>
        <w:rPr>
          <w:rFonts w:ascii="Times New Roman" w:hAnsi="Times New Roman"/>
          <w:sz w:val="24"/>
          <w:szCs w:val="24"/>
        </w:rPr>
      </w:pPr>
      <w:r w:rsidRPr="00CF08C5">
        <w:rPr>
          <w:rFonts w:ascii="Times New Roman" w:hAnsi="Times New Roman"/>
          <w:sz w:val="24"/>
          <w:szCs w:val="24"/>
        </w:rPr>
        <w:t xml:space="preserve">Rigos (2011) </w:t>
      </w:r>
      <w:r>
        <w:rPr>
          <w:rFonts w:ascii="Times New Roman" w:hAnsi="Times New Roman"/>
          <w:sz w:val="24"/>
          <w:szCs w:val="24"/>
        </w:rPr>
        <w:t>argues</w:t>
      </w:r>
      <w:r w:rsidRPr="00CF08C5">
        <w:rPr>
          <w:rFonts w:ascii="Times New Roman" w:hAnsi="Times New Roman"/>
          <w:sz w:val="24"/>
          <w:szCs w:val="24"/>
        </w:rPr>
        <w:t xml:space="preserve"> that HVCFs </w:t>
      </w:r>
      <w:r>
        <w:rPr>
          <w:rFonts w:ascii="Times New Roman" w:hAnsi="Times New Roman"/>
          <w:sz w:val="24"/>
          <w:szCs w:val="24"/>
        </w:rPr>
        <w:t xml:space="preserve">addressing </w:t>
      </w:r>
      <w:r w:rsidRPr="00CF08C5">
        <w:rPr>
          <w:rFonts w:ascii="Times New Roman" w:hAnsi="Times New Roman"/>
          <w:sz w:val="24"/>
          <w:szCs w:val="24"/>
        </w:rPr>
        <w:t xml:space="preserve">early stage equity gaps </w:t>
      </w:r>
      <w:r>
        <w:rPr>
          <w:rFonts w:ascii="Times New Roman" w:hAnsi="Times New Roman"/>
          <w:sz w:val="24"/>
          <w:szCs w:val="24"/>
        </w:rPr>
        <w:t>are</w:t>
      </w:r>
      <w:r w:rsidRPr="00CF08C5">
        <w:rPr>
          <w:rFonts w:ascii="Times New Roman" w:hAnsi="Times New Roman"/>
          <w:sz w:val="24"/>
          <w:szCs w:val="24"/>
        </w:rPr>
        <w:t xml:space="preserve"> assist</w:t>
      </w:r>
      <w:r>
        <w:rPr>
          <w:rFonts w:ascii="Times New Roman" w:hAnsi="Times New Roman"/>
          <w:sz w:val="24"/>
          <w:szCs w:val="24"/>
        </w:rPr>
        <w:t>ing</w:t>
      </w:r>
      <w:r w:rsidRPr="00CF08C5">
        <w:rPr>
          <w:rFonts w:ascii="Times New Roman" w:hAnsi="Times New Roman"/>
          <w:sz w:val="24"/>
          <w:szCs w:val="24"/>
        </w:rPr>
        <w:t xml:space="preserve"> more risky and marginal business propositions </w:t>
      </w:r>
      <w:r>
        <w:rPr>
          <w:rFonts w:ascii="Times New Roman" w:hAnsi="Times New Roman"/>
          <w:sz w:val="24"/>
          <w:szCs w:val="24"/>
        </w:rPr>
        <w:t xml:space="preserve">and, therefore, </w:t>
      </w:r>
      <w:r w:rsidRPr="00CF08C5">
        <w:rPr>
          <w:rFonts w:ascii="Times New Roman" w:hAnsi="Times New Roman"/>
          <w:sz w:val="24"/>
          <w:szCs w:val="24"/>
        </w:rPr>
        <w:t xml:space="preserve">should be expected to perform less well than their private VC counterparts operating at later stages. However, our surveyed UKIIF private fund managers’ view strongly </w:t>
      </w:r>
      <w:r>
        <w:rPr>
          <w:rFonts w:ascii="Times New Roman" w:hAnsi="Times New Roman"/>
          <w:sz w:val="24"/>
          <w:szCs w:val="24"/>
        </w:rPr>
        <w:t>favoured</w:t>
      </w:r>
      <w:r w:rsidRPr="00CF08C5">
        <w:rPr>
          <w:rFonts w:ascii="Times New Roman" w:hAnsi="Times New Roman"/>
          <w:sz w:val="24"/>
          <w:szCs w:val="24"/>
        </w:rPr>
        <w:t xml:space="preserve"> delivering for their investors. These managers </w:t>
      </w:r>
      <w:r>
        <w:rPr>
          <w:rFonts w:ascii="Times New Roman" w:hAnsi="Times New Roman"/>
          <w:sz w:val="24"/>
          <w:szCs w:val="24"/>
        </w:rPr>
        <w:t xml:space="preserve">reported </w:t>
      </w:r>
      <w:r w:rsidRPr="00CF08C5">
        <w:rPr>
          <w:rFonts w:ascii="Times New Roman" w:hAnsi="Times New Roman"/>
          <w:sz w:val="24"/>
          <w:szCs w:val="24"/>
        </w:rPr>
        <w:t>that it had been tough fund raising, particularly in 2009</w:t>
      </w:r>
      <w:r>
        <w:rPr>
          <w:rFonts w:ascii="Times New Roman" w:hAnsi="Times New Roman"/>
          <w:sz w:val="24"/>
          <w:szCs w:val="24"/>
        </w:rPr>
        <w:t>‒20</w:t>
      </w:r>
      <w:r w:rsidRPr="00CF08C5">
        <w:rPr>
          <w:rFonts w:ascii="Times New Roman" w:hAnsi="Times New Roman"/>
          <w:sz w:val="24"/>
          <w:szCs w:val="24"/>
        </w:rPr>
        <w:t>10, and that whil</w:t>
      </w:r>
      <w:r>
        <w:rPr>
          <w:rFonts w:ascii="Times New Roman" w:hAnsi="Times New Roman"/>
          <w:sz w:val="24"/>
          <w:szCs w:val="24"/>
        </w:rPr>
        <w:t>e</w:t>
      </w:r>
      <w:r w:rsidRPr="00CF08C5">
        <w:rPr>
          <w:rFonts w:ascii="Times New Roman" w:hAnsi="Times New Roman"/>
          <w:sz w:val="24"/>
          <w:szCs w:val="24"/>
        </w:rPr>
        <w:t xml:space="preserve"> the government funds were helpful, their main aim was to maintain </w:t>
      </w:r>
      <w:r w:rsidRPr="00596CB9">
        <w:rPr>
          <w:rFonts w:ascii="Times New Roman" w:hAnsi="Times New Roman"/>
          <w:sz w:val="24"/>
          <w:szCs w:val="24"/>
        </w:rPr>
        <w:t>a ‘strong brand’ and deliver high performance for their investors of ‘at least two times investment return within eight years’, with one respondent highlighting that ‘we will out-perform other VCs, operating in the top quartile’.</w:t>
      </w:r>
    </w:p>
    <w:p w:rsidR="00075DBE" w:rsidRDefault="00075DBE" w:rsidP="00085F52">
      <w:pPr>
        <w:spacing w:after="0" w:line="480" w:lineRule="auto"/>
        <w:ind w:firstLine="720"/>
        <w:rPr>
          <w:rFonts w:ascii="Times New Roman" w:hAnsi="Times New Roman"/>
          <w:sz w:val="24"/>
          <w:szCs w:val="24"/>
          <w:lang w:eastAsia="en-GB"/>
        </w:rPr>
      </w:pPr>
      <w:r w:rsidRPr="00CF08C5">
        <w:rPr>
          <w:rFonts w:ascii="Times New Roman" w:hAnsi="Times New Roman"/>
          <w:sz w:val="24"/>
          <w:szCs w:val="24"/>
        </w:rPr>
        <w:t xml:space="preserve">It would seem that </w:t>
      </w:r>
      <w:r>
        <w:rPr>
          <w:rFonts w:ascii="Times New Roman" w:hAnsi="Times New Roman"/>
          <w:sz w:val="24"/>
          <w:szCs w:val="24"/>
        </w:rPr>
        <w:t>recent</w:t>
      </w:r>
      <w:r w:rsidRPr="00CF08C5">
        <w:rPr>
          <w:rFonts w:ascii="Times New Roman" w:hAnsi="Times New Roman"/>
          <w:sz w:val="24"/>
          <w:szCs w:val="24"/>
        </w:rPr>
        <w:t xml:space="preserve"> HVCF </w:t>
      </w:r>
      <w:r>
        <w:rPr>
          <w:rFonts w:ascii="Times New Roman" w:hAnsi="Times New Roman"/>
          <w:sz w:val="24"/>
          <w:szCs w:val="24"/>
        </w:rPr>
        <w:t>evolution</w:t>
      </w:r>
      <w:r w:rsidRPr="00CF08C5">
        <w:rPr>
          <w:rFonts w:ascii="Times New Roman" w:hAnsi="Times New Roman"/>
          <w:sz w:val="24"/>
          <w:szCs w:val="24"/>
        </w:rPr>
        <w:t xml:space="preserve"> has shift</w:t>
      </w:r>
      <w:r>
        <w:rPr>
          <w:rFonts w:ascii="Times New Roman" w:hAnsi="Times New Roman"/>
          <w:sz w:val="24"/>
          <w:szCs w:val="24"/>
        </w:rPr>
        <w:t>ed</w:t>
      </w:r>
      <w:r w:rsidRPr="00CF08C5">
        <w:rPr>
          <w:rFonts w:ascii="Times New Roman" w:hAnsi="Times New Roman"/>
          <w:sz w:val="24"/>
          <w:szCs w:val="24"/>
        </w:rPr>
        <w:t xml:space="preserve"> towards greater emphasis on the </w:t>
      </w:r>
      <w:r w:rsidRPr="00596CB9">
        <w:rPr>
          <w:rFonts w:ascii="Times New Roman" w:hAnsi="Times New Roman"/>
          <w:sz w:val="24"/>
          <w:szCs w:val="24"/>
        </w:rPr>
        <w:t>‘immediately’, rather than ‘probably fundable’ applicants</w:t>
      </w:r>
      <w:r w:rsidRPr="00CF08C5">
        <w:rPr>
          <w:rFonts w:ascii="Times New Roman" w:hAnsi="Times New Roman"/>
          <w:sz w:val="24"/>
          <w:szCs w:val="24"/>
        </w:rPr>
        <w:t>. This suggests</w:t>
      </w:r>
      <w:r w:rsidRPr="00CF08C5">
        <w:rPr>
          <w:rFonts w:ascii="Times New Roman" w:hAnsi="Times New Roman"/>
          <w:sz w:val="24"/>
          <w:szCs w:val="24"/>
          <w:lang w:eastAsia="en-GB"/>
        </w:rPr>
        <w:t xml:space="preserve"> the existence of a potentially important proportion of early stage ventures which may struggle to get private funding but which could be successful with the right support. Arguably, these are what HVCFs should focus upon, rather than the best applications</w:t>
      </w:r>
      <w:r>
        <w:rPr>
          <w:rFonts w:ascii="Times New Roman" w:hAnsi="Times New Roman"/>
          <w:sz w:val="24"/>
          <w:szCs w:val="24"/>
          <w:lang w:eastAsia="en-GB"/>
        </w:rPr>
        <w:t xml:space="preserve"> that </w:t>
      </w:r>
      <w:r w:rsidRPr="00CF08C5">
        <w:rPr>
          <w:rFonts w:ascii="Times New Roman" w:hAnsi="Times New Roman"/>
          <w:sz w:val="24"/>
          <w:szCs w:val="24"/>
          <w:lang w:eastAsia="en-GB"/>
        </w:rPr>
        <w:t xml:space="preserve">are likely to </w:t>
      </w:r>
      <w:r>
        <w:rPr>
          <w:rFonts w:ascii="Times New Roman" w:hAnsi="Times New Roman"/>
          <w:sz w:val="24"/>
          <w:szCs w:val="24"/>
          <w:lang w:eastAsia="en-GB"/>
        </w:rPr>
        <w:t xml:space="preserve">obtain </w:t>
      </w:r>
      <w:r w:rsidRPr="00CF08C5">
        <w:rPr>
          <w:rFonts w:ascii="Times New Roman" w:hAnsi="Times New Roman"/>
          <w:sz w:val="24"/>
          <w:szCs w:val="24"/>
          <w:lang w:eastAsia="en-GB"/>
        </w:rPr>
        <w:t>private funding anyway</w:t>
      </w:r>
      <w:r>
        <w:rPr>
          <w:rFonts w:ascii="Times New Roman" w:hAnsi="Times New Roman"/>
          <w:sz w:val="24"/>
          <w:szCs w:val="24"/>
          <w:lang w:eastAsia="en-GB"/>
        </w:rPr>
        <w:t xml:space="preserve">, in order to reduce the risk of </w:t>
      </w:r>
      <w:r w:rsidRPr="00CF08C5">
        <w:rPr>
          <w:rFonts w:ascii="Times New Roman" w:hAnsi="Times New Roman"/>
          <w:sz w:val="24"/>
          <w:szCs w:val="24"/>
          <w:lang w:eastAsia="en-GB"/>
        </w:rPr>
        <w:t>crowding out private investors (</w:t>
      </w:r>
      <w:r w:rsidRPr="00CF08C5">
        <w:rPr>
          <w:rFonts w:ascii="Times New Roman" w:hAnsi="Times New Roman"/>
          <w:sz w:val="24"/>
          <w:szCs w:val="24"/>
        </w:rPr>
        <w:t>Leleux and Surlemont, 2003).</w:t>
      </w:r>
    </w:p>
    <w:p w:rsidR="00075DBE" w:rsidRDefault="00075DBE" w:rsidP="00085F52">
      <w:pPr>
        <w:spacing w:after="0" w:line="480" w:lineRule="auto"/>
        <w:rPr>
          <w:rFonts w:ascii="Times New Roman" w:hAnsi="Times New Roman"/>
          <w:sz w:val="24"/>
          <w:szCs w:val="24"/>
        </w:rPr>
      </w:pPr>
    </w:p>
    <w:p w:rsidR="00075DBE" w:rsidRPr="00DE44E3" w:rsidRDefault="00075DBE" w:rsidP="00085F52">
      <w:pPr>
        <w:spacing w:after="0" w:line="480" w:lineRule="auto"/>
        <w:rPr>
          <w:rFonts w:ascii="Times New Roman" w:hAnsi="Times New Roman"/>
          <w:b/>
          <w:sz w:val="20"/>
          <w:szCs w:val="24"/>
        </w:rPr>
      </w:pPr>
      <w:r w:rsidRPr="00DE44E3">
        <w:rPr>
          <w:rFonts w:ascii="Times New Roman" w:hAnsi="Times New Roman"/>
          <w:b/>
          <w:sz w:val="20"/>
          <w:szCs w:val="24"/>
        </w:rPr>
        <w:lastRenderedPageBreak/>
        <w:t>&lt;B&gt;Finance and Project Additionality</w:t>
      </w:r>
    </w:p>
    <w:p w:rsidR="00075DBE" w:rsidRDefault="00075DBE" w:rsidP="00085F52">
      <w:pPr>
        <w:spacing w:after="0" w:line="480" w:lineRule="auto"/>
        <w:rPr>
          <w:rFonts w:ascii="Times New Roman" w:hAnsi="Times New Roman"/>
          <w:sz w:val="24"/>
          <w:szCs w:val="24"/>
        </w:rPr>
      </w:pPr>
    </w:p>
    <w:p w:rsidR="00075DBE" w:rsidRDefault="00075DBE" w:rsidP="00085F52">
      <w:pPr>
        <w:spacing w:after="0" w:line="480" w:lineRule="auto"/>
        <w:rPr>
          <w:rFonts w:ascii="Times New Roman" w:hAnsi="Times New Roman"/>
          <w:sz w:val="24"/>
          <w:szCs w:val="24"/>
        </w:rPr>
      </w:pPr>
      <w:r>
        <w:rPr>
          <w:rFonts w:ascii="Times New Roman" w:hAnsi="Times New Roman"/>
          <w:sz w:val="24"/>
          <w:szCs w:val="24"/>
        </w:rPr>
        <w:t>O</w:t>
      </w:r>
      <w:r w:rsidRPr="00CF08C5">
        <w:rPr>
          <w:rFonts w:ascii="Times New Roman" w:hAnsi="Times New Roman"/>
          <w:sz w:val="24"/>
          <w:szCs w:val="24"/>
        </w:rPr>
        <w:t xml:space="preserve">ur surveyed </w:t>
      </w:r>
      <w:r>
        <w:rPr>
          <w:rFonts w:ascii="Times New Roman" w:hAnsi="Times New Roman"/>
          <w:sz w:val="24"/>
          <w:szCs w:val="24"/>
        </w:rPr>
        <w:t xml:space="preserve">HVCF </w:t>
      </w:r>
      <w:r w:rsidRPr="00CF08C5">
        <w:rPr>
          <w:rFonts w:ascii="Times New Roman" w:hAnsi="Times New Roman"/>
          <w:sz w:val="24"/>
          <w:szCs w:val="24"/>
        </w:rPr>
        <w:t>recipients</w:t>
      </w:r>
      <w:r w:rsidRPr="008161DE">
        <w:rPr>
          <w:rFonts w:ascii="Times New Roman" w:hAnsi="Times New Roman"/>
          <w:sz w:val="24"/>
          <w:szCs w:val="24"/>
        </w:rPr>
        <w:t xml:space="preserve"> </w:t>
      </w:r>
      <w:r>
        <w:rPr>
          <w:rFonts w:ascii="Times New Roman" w:hAnsi="Times New Roman"/>
          <w:sz w:val="24"/>
          <w:szCs w:val="24"/>
        </w:rPr>
        <w:t>exhibited</w:t>
      </w:r>
      <w:r w:rsidRPr="00CF08C5">
        <w:rPr>
          <w:rFonts w:ascii="Times New Roman" w:hAnsi="Times New Roman"/>
          <w:sz w:val="24"/>
          <w:szCs w:val="24"/>
        </w:rPr>
        <w:t xml:space="preserve"> </w:t>
      </w:r>
      <w:r>
        <w:rPr>
          <w:rFonts w:ascii="Times New Roman" w:hAnsi="Times New Roman"/>
          <w:sz w:val="24"/>
          <w:szCs w:val="24"/>
        </w:rPr>
        <w:t xml:space="preserve">only </w:t>
      </w:r>
      <w:r w:rsidRPr="00CF08C5">
        <w:rPr>
          <w:rFonts w:ascii="Times New Roman" w:hAnsi="Times New Roman"/>
          <w:sz w:val="24"/>
          <w:szCs w:val="24"/>
        </w:rPr>
        <w:t>moderate level</w:t>
      </w:r>
      <w:r>
        <w:rPr>
          <w:rFonts w:ascii="Times New Roman" w:hAnsi="Times New Roman"/>
          <w:sz w:val="24"/>
          <w:szCs w:val="24"/>
        </w:rPr>
        <w:t>s</w:t>
      </w:r>
      <w:r w:rsidRPr="00CF08C5">
        <w:rPr>
          <w:rFonts w:ascii="Times New Roman" w:hAnsi="Times New Roman"/>
          <w:sz w:val="24"/>
          <w:szCs w:val="24"/>
        </w:rPr>
        <w:t xml:space="preserve"> of financial additionality</w:t>
      </w:r>
      <w:r>
        <w:rPr>
          <w:rFonts w:ascii="Times New Roman" w:hAnsi="Times New Roman"/>
          <w:sz w:val="24"/>
          <w:szCs w:val="24"/>
        </w:rPr>
        <w:t xml:space="preserve">. </w:t>
      </w:r>
      <w:r w:rsidRPr="00CF08C5">
        <w:rPr>
          <w:rFonts w:ascii="Times New Roman" w:hAnsi="Times New Roman"/>
          <w:sz w:val="24"/>
          <w:szCs w:val="24"/>
        </w:rPr>
        <w:t>More than two</w:t>
      </w:r>
      <w:r>
        <w:rPr>
          <w:rFonts w:ascii="Times New Roman" w:hAnsi="Times New Roman"/>
          <w:sz w:val="24"/>
          <w:szCs w:val="24"/>
        </w:rPr>
        <w:t>-</w:t>
      </w:r>
      <w:r w:rsidRPr="00CF08C5">
        <w:rPr>
          <w:rFonts w:ascii="Times New Roman" w:hAnsi="Times New Roman"/>
          <w:sz w:val="24"/>
          <w:szCs w:val="24"/>
        </w:rPr>
        <w:t xml:space="preserve">thirds (69 per cent) of ECF and Aspire recipients </w:t>
      </w:r>
      <w:r>
        <w:rPr>
          <w:rFonts w:ascii="Times New Roman" w:hAnsi="Times New Roman"/>
          <w:sz w:val="24"/>
          <w:szCs w:val="24"/>
        </w:rPr>
        <w:t>believed</w:t>
      </w:r>
      <w:r w:rsidRPr="00CF08C5">
        <w:rPr>
          <w:rFonts w:ascii="Times New Roman" w:hAnsi="Times New Roman"/>
          <w:sz w:val="24"/>
          <w:szCs w:val="24"/>
        </w:rPr>
        <w:t xml:space="preserve"> they could have raised the</w:t>
      </w:r>
      <w:r>
        <w:rPr>
          <w:rFonts w:ascii="Times New Roman" w:hAnsi="Times New Roman"/>
          <w:sz w:val="24"/>
          <w:szCs w:val="24"/>
        </w:rPr>
        <w:t xml:space="preserve"> required</w:t>
      </w:r>
      <w:r w:rsidRPr="00CF08C5">
        <w:rPr>
          <w:rFonts w:ascii="Times New Roman" w:hAnsi="Times New Roman"/>
          <w:sz w:val="24"/>
          <w:szCs w:val="24"/>
        </w:rPr>
        <w:t xml:space="preserve"> finance from elsewhere, whil</w:t>
      </w:r>
      <w:r>
        <w:rPr>
          <w:rFonts w:ascii="Times New Roman" w:hAnsi="Times New Roman"/>
          <w:sz w:val="24"/>
          <w:szCs w:val="24"/>
        </w:rPr>
        <w:t>e</w:t>
      </w:r>
      <w:r w:rsidRPr="00CF08C5">
        <w:rPr>
          <w:rFonts w:ascii="Times New Roman" w:hAnsi="Times New Roman"/>
          <w:sz w:val="24"/>
          <w:szCs w:val="24"/>
        </w:rPr>
        <w:t xml:space="preserve"> two</w:t>
      </w:r>
      <w:r>
        <w:rPr>
          <w:rFonts w:ascii="Times New Roman" w:hAnsi="Times New Roman"/>
          <w:sz w:val="24"/>
          <w:szCs w:val="24"/>
        </w:rPr>
        <w:t>-</w:t>
      </w:r>
      <w:r w:rsidRPr="00CF08C5">
        <w:rPr>
          <w:rFonts w:ascii="Times New Roman" w:hAnsi="Times New Roman"/>
          <w:sz w:val="24"/>
          <w:szCs w:val="24"/>
        </w:rPr>
        <w:t xml:space="preserve">thirds of UKIIF recipients believed that they definitely would have raised alternative finance. </w:t>
      </w:r>
      <w:r>
        <w:rPr>
          <w:rFonts w:ascii="Times New Roman" w:hAnsi="Times New Roman"/>
          <w:sz w:val="24"/>
          <w:szCs w:val="24"/>
        </w:rPr>
        <w:t xml:space="preserve">However, </w:t>
      </w:r>
      <w:r w:rsidRPr="00CF08C5">
        <w:rPr>
          <w:rFonts w:ascii="Times New Roman" w:hAnsi="Times New Roman"/>
          <w:sz w:val="24"/>
          <w:szCs w:val="24"/>
        </w:rPr>
        <w:t xml:space="preserve">many thought that alternative funding would have been more difficult to </w:t>
      </w:r>
      <w:r>
        <w:rPr>
          <w:rFonts w:ascii="Times New Roman" w:hAnsi="Times New Roman"/>
          <w:sz w:val="24"/>
          <w:szCs w:val="24"/>
        </w:rPr>
        <w:t>arrange</w:t>
      </w:r>
      <w:r w:rsidRPr="00CF08C5">
        <w:rPr>
          <w:rFonts w:ascii="Times New Roman" w:hAnsi="Times New Roman"/>
          <w:sz w:val="24"/>
          <w:szCs w:val="24"/>
        </w:rPr>
        <w:t xml:space="preserve"> and </w:t>
      </w:r>
      <w:r>
        <w:rPr>
          <w:rFonts w:ascii="Times New Roman" w:hAnsi="Times New Roman"/>
          <w:sz w:val="24"/>
          <w:szCs w:val="24"/>
        </w:rPr>
        <w:t>involve ceding greater</w:t>
      </w:r>
      <w:r w:rsidRPr="00CF08C5">
        <w:rPr>
          <w:rFonts w:ascii="Times New Roman" w:hAnsi="Times New Roman"/>
          <w:sz w:val="24"/>
          <w:szCs w:val="24"/>
        </w:rPr>
        <w:t xml:space="preserve"> equity share, particularly if it involved </w:t>
      </w:r>
      <w:r>
        <w:rPr>
          <w:rFonts w:ascii="Times New Roman" w:hAnsi="Times New Roman"/>
          <w:sz w:val="24"/>
          <w:szCs w:val="24"/>
        </w:rPr>
        <w:t>a</w:t>
      </w:r>
      <w:r w:rsidRPr="00CF08C5">
        <w:rPr>
          <w:rFonts w:ascii="Times New Roman" w:hAnsi="Times New Roman"/>
          <w:sz w:val="24"/>
          <w:szCs w:val="24"/>
        </w:rPr>
        <w:t xml:space="preserve"> business angel</w:t>
      </w:r>
      <w:r>
        <w:rPr>
          <w:rFonts w:ascii="Times New Roman" w:hAnsi="Times New Roman"/>
          <w:sz w:val="24"/>
          <w:szCs w:val="24"/>
        </w:rPr>
        <w:t xml:space="preserve"> syndicate. Notably,</w:t>
      </w:r>
      <w:r w:rsidRPr="00CF08C5">
        <w:rPr>
          <w:rFonts w:ascii="Times New Roman" w:hAnsi="Times New Roman"/>
          <w:sz w:val="24"/>
          <w:szCs w:val="24"/>
        </w:rPr>
        <w:t xml:space="preserve"> several ECF and </w:t>
      </w:r>
      <w:r>
        <w:rPr>
          <w:rFonts w:ascii="Times New Roman" w:hAnsi="Times New Roman"/>
          <w:sz w:val="24"/>
          <w:szCs w:val="24"/>
        </w:rPr>
        <w:t>most</w:t>
      </w:r>
      <w:r w:rsidRPr="00CF08C5">
        <w:rPr>
          <w:rFonts w:ascii="Times New Roman" w:hAnsi="Times New Roman"/>
          <w:sz w:val="24"/>
          <w:szCs w:val="24"/>
        </w:rPr>
        <w:t xml:space="preserve"> UKIIF recipients mentioned other VC funds taking an interest, although they doubted</w:t>
      </w:r>
      <w:r>
        <w:rPr>
          <w:rFonts w:ascii="Times New Roman" w:hAnsi="Times New Roman"/>
          <w:sz w:val="24"/>
          <w:szCs w:val="24"/>
        </w:rPr>
        <w:t xml:space="preserve"> that the </w:t>
      </w:r>
      <w:r w:rsidRPr="00CF08C5">
        <w:rPr>
          <w:rFonts w:ascii="Times New Roman" w:hAnsi="Times New Roman"/>
          <w:sz w:val="24"/>
          <w:szCs w:val="24"/>
        </w:rPr>
        <w:t>terms and VC fit with their business</w:t>
      </w:r>
      <w:r>
        <w:rPr>
          <w:rFonts w:ascii="Times New Roman" w:hAnsi="Times New Roman"/>
          <w:sz w:val="24"/>
          <w:szCs w:val="24"/>
        </w:rPr>
        <w:t xml:space="preserve"> would be as good</w:t>
      </w:r>
      <w:r w:rsidRPr="00CF08C5">
        <w:rPr>
          <w:rFonts w:ascii="Times New Roman" w:hAnsi="Times New Roman"/>
          <w:sz w:val="24"/>
          <w:szCs w:val="24"/>
        </w:rPr>
        <w:t>. UKIIF recipients presented particularly strong business plans and managerial expertise, with globally innovative concepts</w:t>
      </w:r>
      <w:r>
        <w:rPr>
          <w:rFonts w:ascii="Times New Roman" w:hAnsi="Times New Roman"/>
          <w:sz w:val="24"/>
          <w:szCs w:val="24"/>
        </w:rPr>
        <w:t xml:space="preserve"> and being</w:t>
      </w:r>
      <w:r w:rsidRPr="00CF08C5">
        <w:rPr>
          <w:rFonts w:ascii="Times New Roman" w:hAnsi="Times New Roman"/>
          <w:sz w:val="24"/>
          <w:szCs w:val="24"/>
        </w:rPr>
        <w:t xml:space="preserve"> fully prepared to cede ownership share for the business growth rewards that equity finance can deliver. </w:t>
      </w:r>
      <w:r>
        <w:rPr>
          <w:rFonts w:ascii="Times New Roman" w:hAnsi="Times New Roman"/>
          <w:sz w:val="24"/>
          <w:szCs w:val="24"/>
        </w:rPr>
        <w:t xml:space="preserve">These </w:t>
      </w:r>
      <w:r w:rsidRPr="00CF08C5">
        <w:rPr>
          <w:rFonts w:ascii="Times New Roman" w:hAnsi="Times New Roman"/>
          <w:sz w:val="24"/>
          <w:szCs w:val="24"/>
        </w:rPr>
        <w:t>findings</w:t>
      </w:r>
      <w:r>
        <w:rPr>
          <w:rFonts w:ascii="Times New Roman" w:hAnsi="Times New Roman"/>
          <w:sz w:val="24"/>
          <w:szCs w:val="24"/>
        </w:rPr>
        <w:t>,</w:t>
      </w:r>
      <w:r w:rsidRPr="00CF08C5">
        <w:rPr>
          <w:rFonts w:ascii="Times New Roman" w:hAnsi="Times New Roman"/>
          <w:sz w:val="24"/>
          <w:szCs w:val="24"/>
        </w:rPr>
        <w:t xml:space="preserve"> </w:t>
      </w:r>
      <w:r>
        <w:rPr>
          <w:rFonts w:ascii="Times New Roman" w:hAnsi="Times New Roman"/>
          <w:sz w:val="24"/>
          <w:szCs w:val="24"/>
        </w:rPr>
        <w:t xml:space="preserve">therefore, also </w:t>
      </w:r>
      <w:r w:rsidRPr="00CF08C5">
        <w:rPr>
          <w:rFonts w:ascii="Times New Roman" w:hAnsi="Times New Roman"/>
          <w:sz w:val="24"/>
          <w:szCs w:val="24"/>
        </w:rPr>
        <w:t xml:space="preserve">suggest that these </w:t>
      </w:r>
      <w:r>
        <w:rPr>
          <w:rFonts w:ascii="Times New Roman" w:hAnsi="Times New Roman"/>
          <w:sz w:val="24"/>
          <w:szCs w:val="24"/>
        </w:rPr>
        <w:t xml:space="preserve">latest </w:t>
      </w:r>
      <w:r w:rsidRPr="00CF08C5">
        <w:rPr>
          <w:rFonts w:ascii="Times New Roman" w:hAnsi="Times New Roman"/>
          <w:sz w:val="24"/>
          <w:szCs w:val="24"/>
        </w:rPr>
        <w:t>HVCF programmes are supporting Oakey’s (2003) ‘</w:t>
      </w:r>
      <w:r w:rsidRPr="00DE44E3">
        <w:rPr>
          <w:rFonts w:ascii="Times New Roman" w:hAnsi="Times New Roman"/>
          <w:sz w:val="24"/>
          <w:szCs w:val="24"/>
        </w:rPr>
        <w:t xml:space="preserve">immediately fundable’ </w:t>
      </w:r>
      <w:r w:rsidRPr="00CF08C5">
        <w:rPr>
          <w:rFonts w:ascii="Times New Roman" w:hAnsi="Times New Roman"/>
          <w:sz w:val="24"/>
          <w:szCs w:val="24"/>
        </w:rPr>
        <w:t>rather than more marginal ‘</w:t>
      </w:r>
      <w:r w:rsidRPr="00DE44E3">
        <w:rPr>
          <w:rFonts w:ascii="Times New Roman" w:hAnsi="Times New Roman"/>
          <w:sz w:val="24"/>
          <w:szCs w:val="24"/>
        </w:rPr>
        <w:t>probably fundable</w:t>
      </w:r>
      <w:r w:rsidRPr="00CF08C5">
        <w:rPr>
          <w:rFonts w:ascii="Times New Roman" w:hAnsi="Times New Roman"/>
          <w:sz w:val="24"/>
          <w:szCs w:val="24"/>
        </w:rPr>
        <w:t xml:space="preserve">’ businesses, </w:t>
      </w:r>
      <w:r>
        <w:rPr>
          <w:rFonts w:ascii="Times New Roman" w:hAnsi="Times New Roman"/>
          <w:sz w:val="24"/>
          <w:szCs w:val="24"/>
        </w:rPr>
        <w:t xml:space="preserve">particularly </w:t>
      </w:r>
      <w:r w:rsidRPr="00CF08C5">
        <w:rPr>
          <w:rFonts w:ascii="Times New Roman" w:hAnsi="Times New Roman"/>
          <w:sz w:val="24"/>
          <w:szCs w:val="24"/>
        </w:rPr>
        <w:t>with UKIIF</w:t>
      </w:r>
      <w:r>
        <w:rPr>
          <w:rFonts w:ascii="Times New Roman" w:hAnsi="Times New Roman"/>
          <w:sz w:val="24"/>
          <w:szCs w:val="24"/>
        </w:rPr>
        <w:t>’s</w:t>
      </w:r>
      <w:r w:rsidRPr="00CF08C5">
        <w:rPr>
          <w:rFonts w:ascii="Times New Roman" w:hAnsi="Times New Roman"/>
          <w:sz w:val="24"/>
          <w:szCs w:val="24"/>
        </w:rPr>
        <w:t xml:space="preserve"> domina</w:t>
      </w:r>
      <w:r>
        <w:rPr>
          <w:rFonts w:ascii="Times New Roman" w:hAnsi="Times New Roman"/>
          <w:sz w:val="24"/>
          <w:szCs w:val="24"/>
        </w:rPr>
        <w:t>n</w:t>
      </w:r>
      <w:r w:rsidRPr="00CF08C5">
        <w:rPr>
          <w:rFonts w:ascii="Times New Roman" w:hAnsi="Times New Roman"/>
          <w:sz w:val="24"/>
          <w:szCs w:val="24"/>
        </w:rPr>
        <w:t xml:space="preserve">t private sector ethos </w:t>
      </w:r>
      <w:r>
        <w:rPr>
          <w:rFonts w:ascii="Times New Roman" w:hAnsi="Times New Roman"/>
          <w:sz w:val="24"/>
          <w:szCs w:val="24"/>
        </w:rPr>
        <w:t>investing in</w:t>
      </w:r>
      <w:r w:rsidRPr="00CF08C5">
        <w:rPr>
          <w:rFonts w:ascii="Times New Roman" w:hAnsi="Times New Roman"/>
          <w:sz w:val="24"/>
          <w:szCs w:val="24"/>
        </w:rPr>
        <w:t xml:space="preserve"> only the very best projects in commercial terms.</w:t>
      </w:r>
    </w:p>
    <w:p w:rsidR="00075DBE" w:rsidRDefault="00075DBE" w:rsidP="00085F52">
      <w:pPr>
        <w:spacing w:after="100" w:afterAutospacing="1" w:line="480" w:lineRule="auto"/>
        <w:jc w:val="center"/>
        <w:rPr>
          <w:rFonts w:ascii="Times New Roman" w:hAnsi="Times New Roman"/>
          <w:sz w:val="24"/>
          <w:szCs w:val="24"/>
        </w:rPr>
      </w:pPr>
      <w:r w:rsidRPr="007D4E49">
        <w:rPr>
          <w:rFonts w:ascii="Times New Roman" w:hAnsi="Times New Roman"/>
          <w:b/>
          <w:sz w:val="24"/>
          <w:szCs w:val="24"/>
          <w:highlight w:val="yellow"/>
          <w:u w:val="single"/>
          <w:lang w:eastAsia="en-GB"/>
        </w:rPr>
        <w:t>&lt;INSERT TABLE</w:t>
      </w:r>
      <w:r>
        <w:rPr>
          <w:rFonts w:ascii="Times New Roman" w:hAnsi="Times New Roman"/>
          <w:b/>
          <w:sz w:val="24"/>
          <w:szCs w:val="24"/>
          <w:highlight w:val="yellow"/>
          <w:u w:val="single"/>
          <w:lang w:eastAsia="en-GB"/>
        </w:rPr>
        <w:t>S</w:t>
      </w:r>
      <w:r w:rsidRPr="007D4E49">
        <w:rPr>
          <w:rFonts w:ascii="Times New Roman" w:hAnsi="Times New Roman"/>
          <w:b/>
          <w:sz w:val="24"/>
          <w:szCs w:val="24"/>
          <w:highlight w:val="yellow"/>
          <w:u w:val="single"/>
          <w:lang w:eastAsia="en-GB"/>
        </w:rPr>
        <w:t xml:space="preserve"> </w:t>
      </w:r>
      <w:r>
        <w:rPr>
          <w:rFonts w:ascii="Times New Roman" w:hAnsi="Times New Roman"/>
          <w:b/>
          <w:sz w:val="24"/>
          <w:szCs w:val="24"/>
          <w:highlight w:val="yellow"/>
          <w:u w:val="single"/>
          <w:lang w:eastAsia="en-GB"/>
        </w:rPr>
        <w:t>8</w:t>
      </w:r>
      <w:r w:rsidRPr="007D4E49">
        <w:rPr>
          <w:rFonts w:ascii="Times New Roman" w:hAnsi="Times New Roman"/>
          <w:b/>
          <w:sz w:val="24"/>
          <w:szCs w:val="24"/>
          <w:highlight w:val="yellow"/>
          <w:u w:val="single"/>
          <w:lang w:eastAsia="en-GB"/>
        </w:rPr>
        <w:t>.</w:t>
      </w:r>
      <w:r>
        <w:rPr>
          <w:rFonts w:ascii="Times New Roman" w:hAnsi="Times New Roman"/>
          <w:b/>
          <w:sz w:val="24"/>
          <w:szCs w:val="24"/>
          <w:highlight w:val="yellow"/>
          <w:u w:val="single"/>
          <w:lang w:eastAsia="en-GB"/>
        </w:rPr>
        <w:t>3 AND 8.4</w:t>
      </w:r>
      <w:r w:rsidRPr="007D4E49">
        <w:rPr>
          <w:rFonts w:ascii="Times New Roman" w:hAnsi="Times New Roman"/>
          <w:b/>
          <w:sz w:val="24"/>
          <w:szCs w:val="24"/>
          <w:highlight w:val="yellow"/>
          <w:u w:val="single"/>
          <w:lang w:eastAsia="en-GB"/>
        </w:rPr>
        <w:t xml:space="preserve"> ABOUT HERE&gt;</w:t>
      </w:r>
    </w:p>
    <w:p w:rsidR="00075DBE" w:rsidRDefault="00075DBE" w:rsidP="00085F52">
      <w:pPr>
        <w:spacing w:after="100" w:afterAutospacing="1" w:line="480" w:lineRule="auto"/>
        <w:rPr>
          <w:rFonts w:ascii="Times New Roman" w:hAnsi="Times New Roman"/>
          <w:sz w:val="24"/>
          <w:szCs w:val="24"/>
        </w:rPr>
      </w:pPr>
      <w:r>
        <w:rPr>
          <w:rFonts w:ascii="Times New Roman" w:hAnsi="Times New Roman"/>
          <w:sz w:val="24"/>
          <w:szCs w:val="24"/>
        </w:rPr>
        <w:t>H</w:t>
      </w:r>
      <w:r w:rsidRPr="00CF08C5">
        <w:rPr>
          <w:rFonts w:ascii="Times New Roman" w:hAnsi="Times New Roman"/>
          <w:sz w:val="24"/>
          <w:szCs w:val="24"/>
        </w:rPr>
        <w:t>igher levels of project additionality were recorded (</w:t>
      </w:r>
      <w:r w:rsidRPr="00DE44E3">
        <w:rPr>
          <w:rFonts w:ascii="Times New Roman" w:hAnsi="Times New Roman"/>
          <w:sz w:val="24"/>
          <w:szCs w:val="24"/>
        </w:rPr>
        <w:t>Table 8.3</w:t>
      </w:r>
      <w:r w:rsidRPr="00CF08C5">
        <w:rPr>
          <w:rFonts w:ascii="Times New Roman" w:hAnsi="Times New Roman"/>
          <w:sz w:val="24"/>
          <w:szCs w:val="24"/>
        </w:rPr>
        <w:t>). Over two</w:t>
      </w:r>
      <w:r>
        <w:rPr>
          <w:rFonts w:ascii="Times New Roman" w:hAnsi="Times New Roman"/>
          <w:sz w:val="24"/>
          <w:szCs w:val="24"/>
        </w:rPr>
        <w:t>-</w:t>
      </w:r>
      <w:r w:rsidRPr="00CF08C5">
        <w:rPr>
          <w:rFonts w:ascii="Times New Roman" w:hAnsi="Times New Roman"/>
          <w:sz w:val="24"/>
          <w:szCs w:val="24"/>
        </w:rPr>
        <w:t>thirds (69 per cent) of ECF and Aspire recipients indicated that their project would have been adversely affected in the absence of government funding</w:t>
      </w:r>
      <w:r>
        <w:rPr>
          <w:rFonts w:ascii="Times New Roman" w:hAnsi="Times New Roman"/>
          <w:sz w:val="24"/>
          <w:szCs w:val="24"/>
        </w:rPr>
        <w:t>;</w:t>
      </w:r>
      <w:r w:rsidRPr="00CF08C5">
        <w:rPr>
          <w:rFonts w:ascii="Times New Roman" w:hAnsi="Times New Roman"/>
          <w:sz w:val="24"/>
          <w:szCs w:val="24"/>
        </w:rPr>
        <w:t xml:space="preserve"> 31 per cent being slowed or reduced in scale and 38 per cent claiming </w:t>
      </w:r>
      <w:r>
        <w:rPr>
          <w:rFonts w:ascii="Times New Roman" w:hAnsi="Times New Roman"/>
          <w:sz w:val="24"/>
          <w:szCs w:val="24"/>
        </w:rPr>
        <w:t>inability</w:t>
      </w:r>
      <w:r w:rsidRPr="00CF08C5">
        <w:rPr>
          <w:rFonts w:ascii="Times New Roman" w:hAnsi="Times New Roman"/>
          <w:sz w:val="24"/>
          <w:szCs w:val="24"/>
        </w:rPr>
        <w:t xml:space="preserve"> to </w:t>
      </w:r>
      <w:r>
        <w:rPr>
          <w:rFonts w:ascii="Times New Roman" w:hAnsi="Times New Roman"/>
          <w:sz w:val="24"/>
          <w:szCs w:val="24"/>
        </w:rPr>
        <w:t>proceed</w:t>
      </w:r>
      <w:r w:rsidRPr="00CF08C5">
        <w:rPr>
          <w:rFonts w:ascii="Times New Roman" w:hAnsi="Times New Roman"/>
          <w:sz w:val="24"/>
          <w:szCs w:val="24"/>
        </w:rPr>
        <w:t xml:space="preserve"> in any format.</w:t>
      </w:r>
      <w:r>
        <w:rPr>
          <w:rFonts w:ascii="Times New Roman" w:hAnsi="Times New Roman"/>
          <w:sz w:val="24"/>
          <w:szCs w:val="24"/>
        </w:rPr>
        <w:t xml:space="preserve"> D</w:t>
      </w:r>
      <w:r w:rsidRPr="00CF08C5">
        <w:rPr>
          <w:rFonts w:ascii="Times New Roman" w:hAnsi="Times New Roman"/>
          <w:sz w:val="24"/>
          <w:szCs w:val="24"/>
        </w:rPr>
        <w:t xml:space="preserve">espite 15 out of 16 </w:t>
      </w:r>
      <w:r>
        <w:rPr>
          <w:rFonts w:ascii="Times New Roman" w:hAnsi="Times New Roman"/>
          <w:sz w:val="24"/>
          <w:szCs w:val="24"/>
        </w:rPr>
        <w:t xml:space="preserve">UKIIF </w:t>
      </w:r>
      <w:r w:rsidRPr="00CF08C5">
        <w:rPr>
          <w:rFonts w:ascii="Times New Roman" w:hAnsi="Times New Roman"/>
          <w:sz w:val="24"/>
          <w:szCs w:val="24"/>
        </w:rPr>
        <w:t xml:space="preserve">recipients potentially being able to proceed without </w:t>
      </w:r>
      <w:r>
        <w:rPr>
          <w:rFonts w:ascii="Times New Roman" w:hAnsi="Times New Roman"/>
          <w:sz w:val="24"/>
          <w:szCs w:val="24"/>
        </w:rPr>
        <w:t>the funding,</w:t>
      </w:r>
      <w:r w:rsidRPr="00CF08C5">
        <w:rPr>
          <w:rFonts w:ascii="Times New Roman" w:hAnsi="Times New Roman"/>
          <w:sz w:val="24"/>
          <w:szCs w:val="24"/>
        </w:rPr>
        <w:t xml:space="preserve"> three quarters of projects were likely to have </w:t>
      </w:r>
      <w:r>
        <w:rPr>
          <w:rFonts w:ascii="Times New Roman" w:hAnsi="Times New Roman"/>
          <w:sz w:val="24"/>
          <w:szCs w:val="24"/>
        </w:rPr>
        <w:t xml:space="preserve">been </w:t>
      </w:r>
      <w:r w:rsidRPr="00CF08C5">
        <w:rPr>
          <w:rFonts w:ascii="Times New Roman" w:hAnsi="Times New Roman"/>
          <w:sz w:val="24"/>
          <w:szCs w:val="24"/>
        </w:rPr>
        <w:t>scaled down or slowed down</w:t>
      </w:r>
      <w:r>
        <w:rPr>
          <w:rFonts w:ascii="Times New Roman" w:hAnsi="Times New Roman"/>
          <w:sz w:val="24"/>
          <w:szCs w:val="24"/>
        </w:rPr>
        <w:t xml:space="preserve"> </w:t>
      </w:r>
      <w:r w:rsidRPr="00DE44E3">
        <w:rPr>
          <w:rFonts w:ascii="Times New Roman" w:hAnsi="Times New Roman"/>
          <w:sz w:val="24"/>
          <w:szCs w:val="24"/>
        </w:rPr>
        <w:t>(Table 8.4</w:t>
      </w:r>
      <w:r>
        <w:rPr>
          <w:rFonts w:ascii="Times New Roman" w:hAnsi="Times New Roman"/>
          <w:sz w:val="24"/>
          <w:szCs w:val="24"/>
        </w:rPr>
        <w:t>). A</w:t>
      </w:r>
      <w:r w:rsidRPr="00CF08C5">
        <w:rPr>
          <w:rFonts w:ascii="Times New Roman" w:hAnsi="Times New Roman"/>
          <w:sz w:val="24"/>
          <w:szCs w:val="24"/>
        </w:rPr>
        <w:t xml:space="preserve"> crucial point was that UKIIF VC managers </w:t>
      </w:r>
      <w:r>
        <w:rPr>
          <w:rFonts w:ascii="Times New Roman" w:hAnsi="Times New Roman"/>
          <w:sz w:val="24"/>
          <w:szCs w:val="24"/>
        </w:rPr>
        <w:t>‘</w:t>
      </w:r>
      <w:r w:rsidRPr="00DE44E3">
        <w:rPr>
          <w:rFonts w:ascii="Times New Roman" w:hAnsi="Times New Roman"/>
          <w:sz w:val="24"/>
          <w:szCs w:val="24"/>
        </w:rPr>
        <w:t xml:space="preserve">really understand the business and take a hands-on approach to driving the business forward.’ </w:t>
      </w:r>
      <w:r w:rsidRPr="00CF08C5">
        <w:rPr>
          <w:rFonts w:ascii="Times New Roman" w:hAnsi="Times New Roman"/>
          <w:sz w:val="24"/>
          <w:szCs w:val="24"/>
        </w:rPr>
        <w:t>Whil</w:t>
      </w:r>
      <w:r>
        <w:rPr>
          <w:rFonts w:ascii="Times New Roman" w:hAnsi="Times New Roman"/>
          <w:sz w:val="24"/>
          <w:szCs w:val="24"/>
        </w:rPr>
        <w:t>e</w:t>
      </w:r>
      <w:r w:rsidRPr="00CF08C5">
        <w:rPr>
          <w:rFonts w:ascii="Times New Roman" w:hAnsi="Times New Roman"/>
          <w:sz w:val="24"/>
          <w:szCs w:val="24"/>
        </w:rPr>
        <w:t xml:space="preserve"> other funding might have been available, UKIFF VC managers were </w:t>
      </w:r>
      <w:r>
        <w:rPr>
          <w:rFonts w:ascii="Times New Roman" w:hAnsi="Times New Roman"/>
          <w:sz w:val="24"/>
          <w:szCs w:val="24"/>
        </w:rPr>
        <w:t>considered f</w:t>
      </w:r>
      <w:r w:rsidRPr="00CF08C5">
        <w:rPr>
          <w:rFonts w:ascii="Times New Roman" w:hAnsi="Times New Roman"/>
          <w:sz w:val="24"/>
          <w:szCs w:val="24"/>
        </w:rPr>
        <w:t>ar less constraining on business development plan</w:t>
      </w:r>
      <w:r>
        <w:rPr>
          <w:rFonts w:ascii="Times New Roman" w:hAnsi="Times New Roman"/>
          <w:sz w:val="24"/>
          <w:szCs w:val="24"/>
        </w:rPr>
        <w:t>s</w:t>
      </w:r>
      <w:r w:rsidRPr="00CF08C5">
        <w:rPr>
          <w:rFonts w:ascii="Times New Roman" w:hAnsi="Times New Roman"/>
          <w:sz w:val="24"/>
          <w:szCs w:val="24"/>
        </w:rPr>
        <w:t xml:space="preserve"> than business angels or corporate investors. </w:t>
      </w:r>
      <w:r w:rsidRPr="008161DE">
        <w:rPr>
          <w:rFonts w:ascii="Times New Roman" w:hAnsi="Times New Roman"/>
          <w:sz w:val="24"/>
          <w:szCs w:val="24"/>
        </w:rPr>
        <w:t xml:space="preserve">Consequently, </w:t>
      </w:r>
      <w:r>
        <w:rPr>
          <w:rFonts w:ascii="Times New Roman" w:hAnsi="Times New Roman"/>
          <w:sz w:val="24"/>
          <w:szCs w:val="24"/>
        </w:rPr>
        <w:t xml:space="preserve">additionality </w:t>
      </w:r>
      <w:r w:rsidRPr="008161DE">
        <w:rPr>
          <w:rFonts w:ascii="Times New Roman" w:hAnsi="Times New Roman"/>
          <w:sz w:val="24"/>
          <w:szCs w:val="24"/>
        </w:rPr>
        <w:t>arise</w:t>
      </w:r>
      <w:r>
        <w:rPr>
          <w:rFonts w:ascii="Times New Roman" w:hAnsi="Times New Roman"/>
          <w:sz w:val="24"/>
          <w:szCs w:val="24"/>
        </w:rPr>
        <w:t xml:space="preserve">s </w:t>
      </w:r>
      <w:r>
        <w:rPr>
          <w:rFonts w:ascii="Times New Roman" w:hAnsi="Times New Roman"/>
          <w:sz w:val="24"/>
          <w:szCs w:val="24"/>
        </w:rPr>
        <w:lastRenderedPageBreak/>
        <w:t xml:space="preserve">mainly </w:t>
      </w:r>
      <w:r w:rsidRPr="00CF08C5">
        <w:rPr>
          <w:rFonts w:ascii="Times New Roman" w:hAnsi="Times New Roman"/>
          <w:sz w:val="24"/>
          <w:szCs w:val="24"/>
        </w:rPr>
        <w:t xml:space="preserve">from the management of the </w:t>
      </w:r>
      <w:r>
        <w:rPr>
          <w:rFonts w:ascii="Times New Roman" w:hAnsi="Times New Roman"/>
          <w:sz w:val="24"/>
          <w:szCs w:val="24"/>
        </w:rPr>
        <w:t>HVCFs</w:t>
      </w:r>
      <w:r w:rsidRPr="00CF08C5">
        <w:rPr>
          <w:rFonts w:ascii="Times New Roman" w:hAnsi="Times New Roman"/>
          <w:sz w:val="24"/>
          <w:szCs w:val="24"/>
        </w:rPr>
        <w:t xml:space="preserve"> being better suited to the needs and investment timescales of recipient businesses.</w:t>
      </w:r>
    </w:p>
    <w:p w:rsidR="00075DBE" w:rsidRDefault="00075DBE" w:rsidP="00085F52">
      <w:pPr>
        <w:shd w:val="clear" w:color="auto" w:fill="FFFFFF"/>
        <w:spacing w:after="100" w:afterAutospacing="1" w:line="480" w:lineRule="auto"/>
        <w:rPr>
          <w:rFonts w:ascii="Times New Roman" w:hAnsi="Times New Roman"/>
          <w:b/>
          <w:sz w:val="24"/>
          <w:szCs w:val="24"/>
          <w:lang w:eastAsia="en-GB"/>
        </w:rPr>
      </w:pPr>
    </w:p>
    <w:p w:rsidR="00075DBE" w:rsidRDefault="00075DBE" w:rsidP="00085F52">
      <w:pPr>
        <w:shd w:val="clear" w:color="auto" w:fill="FFFFFF"/>
        <w:spacing w:after="100" w:afterAutospacing="1" w:line="480" w:lineRule="auto"/>
        <w:rPr>
          <w:rFonts w:ascii="Times New Roman" w:hAnsi="Times New Roman"/>
          <w:b/>
          <w:sz w:val="24"/>
          <w:szCs w:val="24"/>
          <w:lang w:eastAsia="en-GB"/>
        </w:rPr>
      </w:pPr>
    </w:p>
    <w:p w:rsidR="00075DBE" w:rsidRPr="00DE44E3" w:rsidRDefault="00075DBE" w:rsidP="00085F52">
      <w:pPr>
        <w:shd w:val="clear" w:color="auto" w:fill="FFFFFF"/>
        <w:spacing w:after="100" w:afterAutospacing="1" w:line="480" w:lineRule="auto"/>
        <w:rPr>
          <w:rFonts w:ascii="Times New Roman" w:hAnsi="Times New Roman"/>
          <w:sz w:val="24"/>
          <w:szCs w:val="24"/>
          <w:lang w:eastAsia="en-GB"/>
        </w:rPr>
      </w:pPr>
      <w:r w:rsidRPr="001A0D0E">
        <w:rPr>
          <w:rFonts w:ascii="Times New Roman" w:hAnsi="Times New Roman"/>
          <w:sz w:val="24"/>
          <w:szCs w:val="24"/>
          <w:lang w:eastAsia="en-GB"/>
        </w:rPr>
        <w:t>&lt;A&gt;‘RECOGNIZE THE LONG LEAD TIMES ASSOCIATED WITH PUBLIC VENTURE INITIATIVES’</w:t>
      </w:r>
    </w:p>
    <w:p w:rsidR="00075DBE" w:rsidRDefault="00075DBE" w:rsidP="00085F52">
      <w:pPr>
        <w:spacing w:after="0" w:line="480" w:lineRule="auto"/>
        <w:rPr>
          <w:rFonts w:ascii="Times New Roman" w:hAnsi="Times New Roman"/>
          <w:sz w:val="24"/>
          <w:szCs w:val="24"/>
          <w:lang w:eastAsia="en-GB"/>
        </w:rPr>
      </w:pPr>
    </w:p>
    <w:p w:rsidR="00075DBE" w:rsidRDefault="00075DBE" w:rsidP="00085F52">
      <w:pPr>
        <w:spacing w:after="0" w:line="480" w:lineRule="auto"/>
        <w:rPr>
          <w:rFonts w:ascii="Times New Roman" w:hAnsi="Times New Roman"/>
          <w:sz w:val="24"/>
          <w:szCs w:val="24"/>
          <w:lang w:eastAsia="en-GB"/>
        </w:rPr>
      </w:pPr>
      <w:r w:rsidRPr="009F0686">
        <w:rPr>
          <w:rFonts w:ascii="Times New Roman" w:hAnsi="Times New Roman"/>
          <w:sz w:val="24"/>
          <w:szCs w:val="24"/>
          <w:lang w:eastAsia="en-GB"/>
        </w:rPr>
        <w:t>Lerner (2010)</w:t>
      </w:r>
      <w:r w:rsidRPr="00CF08C5">
        <w:rPr>
          <w:rFonts w:ascii="Times New Roman" w:hAnsi="Times New Roman"/>
          <w:sz w:val="24"/>
          <w:szCs w:val="24"/>
          <w:lang w:eastAsia="en-GB"/>
        </w:rPr>
        <w:t xml:space="preserve"> </w:t>
      </w:r>
      <w:r>
        <w:rPr>
          <w:rFonts w:ascii="Times New Roman" w:hAnsi="Times New Roman"/>
          <w:sz w:val="24"/>
          <w:szCs w:val="24"/>
          <w:lang w:eastAsia="en-GB"/>
        </w:rPr>
        <w:t>emphasizes a</w:t>
      </w:r>
      <w:r w:rsidRPr="00CF08C5">
        <w:rPr>
          <w:rFonts w:ascii="Times New Roman" w:hAnsi="Times New Roman"/>
          <w:sz w:val="24"/>
          <w:szCs w:val="24"/>
          <w:lang w:eastAsia="en-GB"/>
        </w:rPr>
        <w:t xml:space="preserve">ddressing </w:t>
      </w:r>
      <w:r>
        <w:rPr>
          <w:rFonts w:ascii="Times New Roman" w:hAnsi="Times New Roman"/>
          <w:sz w:val="24"/>
          <w:szCs w:val="24"/>
          <w:lang w:eastAsia="en-GB"/>
        </w:rPr>
        <w:t xml:space="preserve">the </w:t>
      </w:r>
      <w:r w:rsidRPr="00CF08C5">
        <w:rPr>
          <w:rFonts w:ascii="Times New Roman" w:hAnsi="Times New Roman"/>
          <w:sz w:val="24"/>
          <w:szCs w:val="24"/>
          <w:lang w:eastAsia="en-GB"/>
        </w:rPr>
        <w:t>long investment horizon require</w:t>
      </w:r>
      <w:r>
        <w:rPr>
          <w:rFonts w:ascii="Times New Roman" w:hAnsi="Times New Roman"/>
          <w:sz w:val="24"/>
          <w:szCs w:val="24"/>
          <w:lang w:eastAsia="en-GB"/>
        </w:rPr>
        <w:t>ments for</w:t>
      </w:r>
      <w:r w:rsidRPr="00CF08C5">
        <w:rPr>
          <w:rFonts w:ascii="Times New Roman" w:hAnsi="Times New Roman"/>
          <w:sz w:val="24"/>
          <w:szCs w:val="24"/>
          <w:lang w:eastAsia="en-GB"/>
        </w:rPr>
        <w:t xml:space="preserve"> some types of innovative SMEs and the need to play the long game, despite the pressure from politicians for quick results. There can be a mismatch between the time </w:t>
      </w:r>
      <w:r>
        <w:rPr>
          <w:rFonts w:ascii="Times New Roman" w:hAnsi="Times New Roman"/>
          <w:sz w:val="24"/>
          <w:szCs w:val="24"/>
          <w:lang w:eastAsia="en-GB"/>
        </w:rPr>
        <w:t xml:space="preserve">required </w:t>
      </w:r>
      <w:r w:rsidRPr="00CF08C5">
        <w:rPr>
          <w:rFonts w:ascii="Times New Roman" w:hAnsi="Times New Roman"/>
          <w:sz w:val="24"/>
          <w:szCs w:val="24"/>
          <w:lang w:eastAsia="en-GB"/>
        </w:rPr>
        <w:t xml:space="preserve">to demonstrate investment performance, </w:t>
      </w:r>
      <w:r>
        <w:rPr>
          <w:rFonts w:ascii="Times New Roman" w:hAnsi="Times New Roman"/>
          <w:sz w:val="24"/>
          <w:szCs w:val="24"/>
          <w:lang w:eastAsia="en-GB"/>
        </w:rPr>
        <w:t>with</w:t>
      </w:r>
      <w:r w:rsidRPr="00CF08C5">
        <w:rPr>
          <w:rFonts w:ascii="Times New Roman" w:hAnsi="Times New Roman"/>
          <w:sz w:val="24"/>
          <w:szCs w:val="24"/>
          <w:lang w:eastAsia="en-GB"/>
        </w:rPr>
        <w:t xml:space="preserve"> failed investments more likely to be reali</w:t>
      </w:r>
      <w:r>
        <w:rPr>
          <w:rFonts w:ascii="Times New Roman" w:hAnsi="Times New Roman"/>
          <w:sz w:val="24"/>
          <w:szCs w:val="24"/>
          <w:lang w:eastAsia="en-GB"/>
        </w:rPr>
        <w:t>z</w:t>
      </w:r>
      <w:r w:rsidRPr="00CF08C5">
        <w:rPr>
          <w:rFonts w:ascii="Times New Roman" w:hAnsi="Times New Roman"/>
          <w:sz w:val="24"/>
          <w:szCs w:val="24"/>
          <w:lang w:eastAsia="en-GB"/>
        </w:rPr>
        <w:t xml:space="preserve">ed before investment successes, and the time given to </w:t>
      </w:r>
      <w:r>
        <w:rPr>
          <w:rFonts w:ascii="Times New Roman" w:hAnsi="Times New Roman"/>
          <w:sz w:val="24"/>
          <w:szCs w:val="24"/>
          <w:lang w:eastAsia="en-GB"/>
        </w:rPr>
        <w:t>HVCFs</w:t>
      </w:r>
      <w:r w:rsidRPr="00CF08C5">
        <w:rPr>
          <w:rFonts w:ascii="Times New Roman" w:hAnsi="Times New Roman"/>
          <w:sz w:val="24"/>
          <w:szCs w:val="24"/>
          <w:lang w:eastAsia="en-GB"/>
        </w:rPr>
        <w:t xml:space="preserve"> to provide evidence of success (Murray and Lingelbach, 2009).</w:t>
      </w:r>
    </w:p>
    <w:p w:rsidR="00075DBE" w:rsidRDefault="00075DBE" w:rsidP="00085F52">
      <w:pPr>
        <w:spacing w:after="0" w:line="480" w:lineRule="auto"/>
        <w:ind w:firstLine="720"/>
        <w:rPr>
          <w:rFonts w:ascii="Times New Roman" w:hAnsi="Times New Roman"/>
          <w:sz w:val="24"/>
          <w:szCs w:val="24"/>
          <w:lang w:eastAsia="en-GB"/>
        </w:rPr>
      </w:pPr>
      <w:r>
        <w:rPr>
          <w:rFonts w:ascii="Times New Roman" w:hAnsi="Times New Roman"/>
          <w:sz w:val="24"/>
          <w:szCs w:val="24"/>
          <w:lang w:eastAsia="en-GB"/>
        </w:rPr>
        <w:t>R</w:t>
      </w:r>
      <w:r w:rsidRPr="00CF08C5">
        <w:rPr>
          <w:rFonts w:ascii="Times New Roman" w:hAnsi="Times New Roman"/>
          <w:sz w:val="24"/>
          <w:szCs w:val="24"/>
          <w:lang w:eastAsia="en-GB"/>
        </w:rPr>
        <w:t xml:space="preserve">ecent </w:t>
      </w:r>
      <w:r>
        <w:rPr>
          <w:rFonts w:ascii="Times New Roman" w:hAnsi="Times New Roman"/>
          <w:sz w:val="24"/>
          <w:szCs w:val="24"/>
          <w:lang w:eastAsia="en-GB"/>
        </w:rPr>
        <w:t xml:space="preserve">UK TBSF financing </w:t>
      </w:r>
      <w:r w:rsidRPr="00CF08C5">
        <w:rPr>
          <w:rFonts w:ascii="Times New Roman" w:hAnsi="Times New Roman"/>
          <w:sz w:val="24"/>
          <w:szCs w:val="24"/>
          <w:lang w:eastAsia="en-GB"/>
        </w:rPr>
        <w:t xml:space="preserve">research found that </w:t>
      </w:r>
      <w:r>
        <w:rPr>
          <w:rFonts w:ascii="Times New Roman" w:hAnsi="Times New Roman"/>
          <w:sz w:val="24"/>
          <w:szCs w:val="24"/>
          <w:lang w:eastAsia="en-GB"/>
        </w:rPr>
        <w:t xml:space="preserve">while </w:t>
      </w:r>
      <w:r w:rsidRPr="00CF08C5">
        <w:rPr>
          <w:rFonts w:ascii="Times New Roman" w:hAnsi="Times New Roman"/>
          <w:sz w:val="24"/>
          <w:szCs w:val="24"/>
          <w:lang w:eastAsia="en-GB"/>
        </w:rPr>
        <w:t xml:space="preserve">expected investment returns on IT and electronics R&amp;D were typically within three years, </w:t>
      </w:r>
      <w:r>
        <w:rPr>
          <w:rFonts w:ascii="Times New Roman" w:hAnsi="Times New Roman"/>
          <w:sz w:val="24"/>
          <w:szCs w:val="24"/>
          <w:lang w:eastAsia="en-GB"/>
        </w:rPr>
        <w:t>bio/</w:t>
      </w:r>
      <w:r w:rsidRPr="00CF08C5">
        <w:rPr>
          <w:rFonts w:ascii="Times New Roman" w:hAnsi="Times New Roman"/>
          <w:sz w:val="24"/>
          <w:szCs w:val="24"/>
          <w:lang w:eastAsia="en-GB"/>
        </w:rPr>
        <w:t>life sciences could take considerably longer</w:t>
      </w:r>
      <w:r>
        <w:rPr>
          <w:rFonts w:ascii="Times New Roman" w:hAnsi="Times New Roman"/>
          <w:sz w:val="24"/>
          <w:szCs w:val="24"/>
          <w:lang w:eastAsia="en-GB"/>
        </w:rPr>
        <w:t xml:space="preserve"> (up to ten years in some cases) (North et al.,</w:t>
      </w:r>
      <w:r w:rsidRPr="00CF08C5">
        <w:rPr>
          <w:rFonts w:ascii="Times New Roman" w:hAnsi="Times New Roman"/>
          <w:sz w:val="24"/>
          <w:szCs w:val="24"/>
          <w:lang w:eastAsia="en-GB"/>
        </w:rPr>
        <w:t xml:space="preserve"> 2013). </w:t>
      </w:r>
      <w:r>
        <w:rPr>
          <w:rFonts w:ascii="Times New Roman" w:hAnsi="Times New Roman"/>
          <w:sz w:val="24"/>
          <w:szCs w:val="24"/>
          <w:lang w:eastAsia="en-GB"/>
        </w:rPr>
        <w:t>A</w:t>
      </w:r>
      <w:r w:rsidRPr="00CF08C5">
        <w:rPr>
          <w:rFonts w:ascii="Times New Roman" w:hAnsi="Times New Roman"/>
          <w:sz w:val="24"/>
          <w:szCs w:val="24"/>
          <w:lang w:eastAsia="en-GB"/>
        </w:rPr>
        <w:t xml:space="preserve"> recent European </w:t>
      </w:r>
      <w:r>
        <w:rPr>
          <w:rFonts w:ascii="Times New Roman" w:hAnsi="Times New Roman"/>
          <w:sz w:val="24"/>
          <w:szCs w:val="24"/>
          <w:lang w:eastAsia="en-GB"/>
        </w:rPr>
        <w:t>VC</w:t>
      </w:r>
      <w:r w:rsidRPr="00CF08C5">
        <w:rPr>
          <w:rFonts w:ascii="Times New Roman" w:hAnsi="Times New Roman"/>
          <w:sz w:val="24"/>
          <w:szCs w:val="24"/>
          <w:lang w:eastAsia="en-GB"/>
        </w:rPr>
        <w:t xml:space="preserve"> </w:t>
      </w:r>
      <w:r>
        <w:rPr>
          <w:rFonts w:ascii="Times New Roman" w:hAnsi="Times New Roman"/>
          <w:sz w:val="24"/>
          <w:szCs w:val="24"/>
          <w:lang w:eastAsia="en-GB"/>
        </w:rPr>
        <w:t>study also found</w:t>
      </w:r>
      <w:r w:rsidRPr="00CF08C5">
        <w:rPr>
          <w:rFonts w:ascii="Times New Roman" w:hAnsi="Times New Roman"/>
          <w:sz w:val="24"/>
          <w:szCs w:val="24"/>
          <w:lang w:eastAsia="en-GB"/>
        </w:rPr>
        <w:t xml:space="preserve"> that the time taken for investments to mature via trade sale or </w:t>
      </w:r>
      <w:r w:rsidRPr="00AE5A75">
        <w:rPr>
          <w:rFonts w:ascii="Times New Roman" w:hAnsi="Times New Roman"/>
          <w:sz w:val="24"/>
          <w:szCs w:val="24"/>
          <w:lang w:eastAsia="en-GB"/>
        </w:rPr>
        <w:t xml:space="preserve">IPO </w:t>
      </w:r>
      <w:r w:rsidRPr="00CF08C5">
        <w:rPr>
          <w:rFonts w:ascii="Times New Roman" w:hAnsi="Times New Roman"/>
          <w:sz w:val="24"/>
          <w:szCs w:val="24"/>
          <w:lang w:eastAsia="en-GB"/>
        </w:rPr>
        <w:t xml:space="preserve">exits is typically taking longer than before the 2007 financial crisis (Axelson and Martinovic, 2012). In the UK this may be due to finance escalator </w:t>
      </w:r>
      <w:r>
        <w:rPr>
          <w:rFonts w:ascii="Times New Roman" w:hAnsi="Times New Roman"/>
          <w:sz w:val="24"/>
          <w:szCs w:val="24"/>
          <w:lang w:eastAsia="en-GB"/>
        </w:rPr>
        <w:t xml:space="preserve">failures </w:t>
      </w:r>
      <w:r w:rsidRPr="00CF08C5">
        <w:rPr>
          <w:rFonts w:ascii="Times New Roman" w:hAnsi="Times New Roman"/>
          <w:sz w:val="24"/>
          <w:szCs w:val="24"/>
          <w:lang w:eastAsia="en-GB"/>
        </w:rPr>
        <w:t xml:space="preserve">to ensure a continuous flow of external finance during the R&amp;D funding </w:t>
      </w:r>
      <w:r>
        <w:rPr>
          <w:rFonts w:ascii="Times New Roman" w:hAnsi="Times New Roman"/>
          <w:sz w:val="24"/>
          <w:szCs w:val="24"/>
          <w:lang w:eastAsia="en-GB"/>
        </w:rPr>
        <w:t>rounds (Mason et al.,</w:t>
      </w:r>
      <w:r w:rsidRPr="00CF08C5">
        <w:rPr>
          <w:rFonts w:ascii="Times New Roman" w:hAnsi="Times New Roman"/>
          <w:sz w:val="24"/>
          <w:szCs w:val="24"/>
          <w:lang w:eastAsia="en-GB"/>
        </w:rPr>
        <w:t xml:space="preserve"> 2010; Gill, 2010). Not only is this problem compounded by the inability of some HVCFs to make follow-on investments (Rigos, 2011), but </w:t>
      </w:r>
      <w:r>
        <w:rPr>
          <w:rFonts w:ascii="Times New Roman" w:hAnsi="Times New Roman"/>
          <w:sz w:val="24"/>
          <w:szCs w:val="24"/>
          <w:lang w:eastAsia="en-GB"/>
        </w:rPr>
        <w:t xml:space="preserve">our research also found examples of delays </w:t>
      </w:r>
      <w:r w:rsidRPr="00CF08C5">
        <w:rPr>
          <w:rFonts w:ascii="Times New Roman" w:hAnsi="Times New Roman"/>
          <w:sz w:val="24"/>
          <w:szCs w:val="24"/>
          <w:lang w:eastAsia="en-GB"/>
        </w:rPr>
        <w:t>due to the greater demands of later stage investors and technical hurdles to get trading approvals.</w:t>
      </w:r>
    </w:p>
    <w:p w:rsidR="00075DBE" w:rsidRPr="001A0D0E" w:rsidRDefault="00075DBE" w:rsidP="00085F52">
      <w:pPr>
        <w:spacing w:after="100" w:afterAutospacing="1" w:line="480" w:lineRule="auto"/>
        <w:ind w:firstLine="720"/>
        <w:rPr>
          <w:rFonts w:ascii="Times New Roman" w:hAnsi="Times New Roman"/>
          <w:sz w:val="24"/>
          <w:szCs w:val="24"/>
          <w:lang w:eastAsia="en-GB"/>
        </w:rPr>
      </w:pPr>
      <w:r w:rsidRPr="00CF08C5">
        <w:rPr>
          <w:rFonts w:ascii="Times New Roman" w:hAnsi="Times New Roman"/>
          <w:sz w:val="24"/>
          <w:szCs w:val="24"/>
          <w:lang w:eastAsia="en-GB"/>
        </w:rPr>
        <w:t xml:space="preserve">Our fund manager interviews </w:t>
      </w:r>
      <w:r>
        <w:rPr>
          <w:rFonts w:ascii="Times New Roman" w:hAnsi="Times New Roman"/>
          <w:sz w:val="24"/>
          <w:szCs w:val="24"/>
          <w:lang w:eastAsia="en-GB"/>
        </w:rPr>
        <w:t>found that</w:t>
      </w:r>
      <w:r w:rsidRPr="00CF08C5">
        <w:rPr>
          <w:rFonts w:ascii="Times New Roman" w:hAnsi="Times New Roman"/>
          <w:sz w:val="24"/>
          <w:szCs w:val="24"/>
          <w:lang w:eastAsia="en-GB"/>
        </w:rPr>
        <w:t xml:space="preserve"> lengthening </w:t>
      </w:r>
      <w:r>
        <w:rPr>
          <w:rFonts w:ascii="Times New Roman" w:hAnsi="Times New Roman"/>
          <w:sz w:val="24"/>
          <w:szCs w:val="24"/>
          <w:lang w:eastAsia="en-GB"/>
        </w:rPr>
        <w:t>investment horizons apply</w:t>
      </w:r>
      <w:r w:rsidRPr="00CF08C5">
        <w:rPr>
          <w:rFonts w:ascii="Times New Roman" w:hAnsi="Times New Roman"/>
          <w:sz w:val="24"/>
          <w:szCs w:val="24"/>
          <w:lang w:eastAsia="en-GB"/>
        </w:rPr>
        <w:t xml:space="preserve"> to the more recent HVCF programmes.</w:t>
      </w:r>
      <w:r>
        <w:rPr>
          <w:rFonts w:ascii="Times New Roman" w:hAnsi="Times New Roman"/>
          <w:sz w:val="24"/>
          <w:szCs w:val="24"/>
          <w:lang w:eastAsia="en-GB"/>
        </w:rPr>
        <w:t xml:space="preserve"> F</w:t>
      </w:r>
      <w:r w:rsidRPr="00CF08C5">
        <w:rPr>
          <w:rFonts w:ascii="Times New Roman" w:hAnsi="Times New Roman"/>
          <w:sz w:val="24"/>
          <w:szCs w:val="24"/>
          <w:lang w:eastAsia="en-GB"/>
        </w:rPr>
        <w:t xml:space="preserve">und managers </w:t>
      </w:r>
      <w:r>
        <w:rPr>
          <w:rFonts w:ascii="Times New Roman" w:hAnsi="Times New Roman"/>
          <w:sz w:val="24"/>
          <w:szCs w:val="24"/>
          <w:lang w:eastAsia="en-GB"/>
        </w:rPr>
        <w:t>commented; ‘</w:t>
      </w:r>
      <w:r w:rsidRPr="00DE44E3">
        <w:rPr>
          <w:rFonts w:ascii="Times New Roman" w:hAnsi="Times New Roman"/>
          <w:sz w:val="24"/>
          <w:szCs w:val="24"/>
          <w:lang w:eastAsia="en-GB"/>
        </w:rPr>
        <w:t xml:space="preserve">investments are taking longer to mature as </w:t>
      </w:r>
      <w:r w:rsidRPr="00DE44E3">
        <w:rPr>
          <w:rFonts w:ascii="Times New Roman" w:hAnsi="Times New Roman"/>
          <w:sz w:val="24"/>
          <w:szCs w:val="24"/>
          <w:lang w:eastAsia="en-GB"/>
        </w:rPr>
        <w:lastRenderedPageBreak/>
        <w:t>exits are taking place further up the development cycle’, and that</w:t>
      </w:r>
      <w:r w:rsidRPr="001A0D0E">
        <w:rPr>
          <w:rFonts w:ascii="Times New Roman" w:hAnsi="Times New Roman"/>
          <w:sz w:val="24"/>
          <w:szCs w:val="24"/>
        </w:rPr>
        <w:t xml:space="preserve"> ‘</w:t>
      </w:r>
      <w:r w:rsidRPr="00DE44E3">
        <w:rPr>
          <w:rFonts w:ascii="Times New Roman" w:hAnsi="Times New Roman"/>
          <w:sz w:val="24"/>
          <w:szCs w:val="24"/>
        </w:rPr>
        <w:t xml:space="preserve">client business managers are almost always over optimistic in their expectations’. </w:t>
      </w:r>
      <w:r w:rsidRPr="001A0D0E">
        <w:rPr>
          <w:rFonts w:ascii="Times New Roman" w:hAnsi="Times New Roman"/>
          <w:sz w:val="24"/>
          <w:szCs w:val="24"/>
        </w:rPr>
        <w:t>In practice</w:t>
      </w:r>
      <w:r w:rsidRPr="00CF08C5">
        <w:rPr>
          <w:rFonts w:ascii="Times New Roman" w:hAnsi="Times New Roman"/>
          <w:sz w:val="24"/>
          <w:szCs w:val="24"/>
        </w:rPr>
        <w:t xml:space="preserve"> it takes between 18 months and three years for the benefits of investment to start to become evident, but </w:t>
      </w:r>
      <w:r>
        <w:rPr>
          <w:rFonts w:ascii="Times New Roman" w:hAnsi="Times New Roman"/>
          <w:sz w:val="24"/>
          <w:szCs w:val="24"/>
        </w:rPr>
        <w:t>often</w:t>
      </w:r>
      <w:r w:rsidRPr="00CF08C5">
        <w:rPr>
          <w:rFonts w:ascii="Times New Roman" w:hAnsi="Times New Roman"/>
          <w:sz w:val="24"/>
          <w:szCs w:val="24"/>
        </w:rPr>
        <w:t xml:space="preserve"> five years or more before the firm reaches profitability. </w:t>
      </w:r>
      <w:r>
        <w:rPr>
          <w:rFonts w:ascii="Times New Roman" w:hAnsi="Times New Roman"/>
          <w:sz w:val="24"/>
          <w:szCs w:val="24"/>
          <w:lang w:eastAsia="en-GB"/>
        </w:rPr>
        <w:t xml:space="preserve">Fund managers </w:t>
      </w:r>
      <w:r w:rsidRPr="00CF08C5">
        <w:rPr>
          <w:rFonts w:ascii="Times New Roman" w:hAnsi="Times New Roman"/>
          <w:sz w:val="24"/>
          <w:szCs w:val="24"/>
          <w:lang w:eastAsia="en-GB"/>
        </w:rPr>
        <w:t>emphasi</w:t>
      </w:r>
      <w:r>
        <w:rPr>
          <w:rFonts w:ascii="Times New Roman" w:hAnsi="Times New Roman"/>
          <w:sz w:val="24"/>
          <w:szCs w:val="24"/>
          <w:lang w:eastAsia="en-GB"/>
        </w:rPr>
        <w:t>z</w:t>
      </w:r>
      <w:r w:rsidRPr="00CF08C5">
        <w:rPr>
          <w:rFonts w:ascii="Times New Roman" w:hAnsi="Times New Roman"/>
          <w:sz w:val="24"/>
          <w:szCs w:val="24"/>
          <w:lang w:eastAsia="en-GB"/>
        </w:rPr>
        <w:t xml:space="preserve">ed the need to spread investments and </w:t>
      </w:r>
      <w:r>
        <w:rPr>
          <w:rFonts w:ascii="Times New Roman" w:hAnsi="Times New Roman"/>
          <w:sz w:val="24"/>
          <w:szCs w:val="24"/>
          <w:lang w:eastAsia="en-GB"/>
        </w:rPr>
        <w:t>had</w:t>
      </w:r>
      <w:r w:rsidRPr="00CF08C5">
        <w:rPr>
          <w:rFonts w:ascii="Times New Roman" w:hAnsi="Times New Roman"/>
          <w:sz w:val="24"/>
          <w:szCs w:val="24"/>
          <w:lang w:eastAsia="en-GB"/>
        </w:rPr>
        <w:t xml:space="preserve"> little expectation of significant returns within the first five to seven years of the fund, with pareto principles applying</w:t>
      </w:r>
      <w:r>
        <w:rPr>
          <w:rFonts w:ascii="Times New Roman" w:hAnsi="Times New Roman"/>
          <w:sz w:val="24"/>
          <w:szCs w:val="24"/>
          <w:lang w:eastAsia="en-GB"/>
        </w:rPr>
        <w:t>; ‘</w:t>
      </w:r>
      <w:r w:rsidRPr="00DE44E3">
        <w:rPr>
          <w:rFonts w:ascii="Times New Roman" w:hAnsi="Times New Roman"/>
          <w:sz w:val="24"/>
          <w:szCs w:val="24"/>
          <w:lang w:eastAsia="en-GB"/>
        </w:rPr>
        <w:t>the key to the level of returns is how well the top 20</w:t>
      </w:r>
      <w:r>
        <w:rPr>
          <w:rFonts w:ascii="Times New Roman" w:hAnsi="Times New Roman"/>
          <w:sz w:val="24"/>
          <w:szCs w:val="24"/>
          <w:lang w:eastAsia="en-GB"/>
        </w:rPr>
        <w:t>‒</w:t>
      </w:r>
      <w:r w:rsidRPr="00DE44E3">
        <w:rPr>
          <w:rFonts w:ascii="Times New Roman" w:hAnsi="Times New Roman"/>
          <w:sz w:val="24"/>
          <w:szCs w:val="24"/>
          <w:lang w:eastAsia="en-GB"/>
        </w:rPr>
        <w:t>30 per cent perform’.</w:t>
      </w:r>
    </w:p>
    <w:p w:rsidR="00075DBE" w:rsidRDefault="00075DBE" w:rsidP="00085F52">
      <w:pPr>
        <w:pStyle w:val="Heading2"/>
        <w:spacing w:after="100" w:afterAutospacing="1" w:line="480" w:lineRule="auto"/>
        <w:rPr>
          <w:rFonts w:ascii="Times New Roman" w:hAnsi="Times New Roman"/>
          <w:b w:val="0"/>
          <w:i/>
          <w:sz w:val="24"/>
          <w:szCs w:val="24"/>
        </w:rPr>
      </w:pPr>
    </w:p>
    <w:p w:rsidR="00075DBE" w:rsidRPr="00DE44E3" w:rsidRDefault="00075DBE" w:rsidP="00085F52">
      <w:pPr>
        <w:pStyle w:val="Heading2"/>
        <w:spacing w:after="100" w:afterAutospacing="1" w:line="480" w:lineRule="auto"/>
        <w:rPr>
          <w:rFonts w:ascii="Times New Roman" w:hAnsi="Times New Roman"/>
          <w:sz w:val="20"/>
          <w:szCs w:val="24"/>
        </w:rPr>
      </w:pPr>
      <w:r w:rsidRPr="00DE44E3">
        <w:rPr>
          <w:rFonts w:ascii="Times New Roman" w:hAnsi="Times New Roman"/>
          <w:sz w:val="20"/>
          <w:szCs w:val="24"/>
        </w:rPr>
        <w:t>&lt;B&gt;Actual and Likely Impact on Business Performance</w:t>
      </w:r>
    </w:p>
    <w:p w:rsidR="00075DBE" w:rsidRDefault="00075DBE" w:rsidP="00085F52">
      <w:pPr>
        <w:spacing w:after="100" w:afterAutospacing="1" w:line="480" w:lineRule="auto"/>
        <w:rPr>
          <w:rFonts w:ascii="Times New Roman" w:hAnsi="Times New Roman"/>
          <w:sz w:val="24"/>
          <w:szCs w:val="24"/>
        </w:rPr>
      </w:pPr>
    </w:p>
    <w:p w:rsidR="00075DBE" w:rsidRDefault="00075DBE" w:rsidP="00D66CC1">
      <w:pPr>
        <w:spacing w:after="100" w:afterAutospacing="1" w:line="480" w:lineRule="auto"/>
        <w:rPr>
          <w:rFonts w:ascii="Times New Roman" w:hAnsi="Times New Roman"/>
          <w:sz w:val="24"/>
          <w:szCs w:val="24"/>
        </w:rPr>
      </w:pPr>
      <w:r w:rsidRPr="00CF08C5">
        <w:rPr>
          <w:rFonts w:ascii="Times New Roman" w:hAnsi="Times New Roman"/>
          <w:sz w:val="24"/>
          <w:szCs w:val="24"/>
        </w:rPr>
        <w:t>The surveyed 32 recipient businesses managers expected the return on investment to take several years, typically present</w:t>
      </w:r>
      <w:r>
        <w:rPr>
          <w:rFonts w:ascii="Times New Roman" w:hAnsi="Times New Roman"/>
          <w:sz w:val="24"/>
          <w:szCs w:val="24"/>
        </w:rPr>
        <w:t>ing</w:t>
      </w:r>
      <w:r w:rsidRPr="00CF08C5">
        <w:rPr>
          <w:rFonts w:ascii="Times New Roman" w:hAnsi="Times New Roman"/>
          <w:sz w:val="24"/>
          <w:szCs w:val="24"/>
        </w:rPr>
        <w:t xml:space="preserve"> more optimistic growth forecasts than their fund managers. Our first round interviews were conducted within 12 months of receiving HVCF funding</w:t>
      </w:r>
      <w:r>
        <w:rPr>
          <w:rFonts w:ascii="Times New Roman" w:hAnsi="Times New Roman"/>
          <w:sz w:val="24"/>
          <w:szCs w:val="24"/>
        </w:rPr>
        <w:t>,</w:t>
      </w:r>
      <w:r w:rsidRPr="00CF08C5">
        <w:rPr>
          <w:rFonts w:ascii="Times New Roman" w:hAnsi="Times New Roman"/>
          <w:sz w:val="24"/>
          <w:szCs w:val="24"/>
        </w:rPr>
        <w:t xml:space="preserve"> </w:t>
      </w:r>
      <w:r>
        <w:rPr>
          <w:rFonts w:ascii="Times New Roman" w:hAnsi="Times New Roman"/>
          <w:sz w:val="24"/>
          <w:szCs w:val="24"/>
        </w:rPr>
        <w:t>when</w:t>
      </w:r>
      <w:r w:rsidRPr="00CF08C5">
        <w:rPr>
          <w:rFonts w:ascii="Times New Roman" w:hAnsi="Times New Roman"/>
          <w:sz w:val="24"/>
          <w:szCs w:val="24"/>
        </w:rPr>
        <w:t xml:space="preserve"> two thirds of recipients were still at the pre-trading stage</w:t>
      </w:r>
      <w:r>
        <w:rPr>
          <w:rFonts w:ascii="Times New Roman" w:hAnsi="Times New Roman"/>
          <w:sz w:val="24"/>
          <w:szCs w:val="24"/>
        </w:rPr>
        <w:t>. F</w:t>
      </w:r>
      <w:r w:rsidRPr="00CF08C5">
        <w:rPr>
          <w:rFonts w:ascii="Times New Roman" w:hAnsi="Times New Roman"/>
          <w:sz w:val="24"/>
          <w:szCs w:val="24"/>
        </w:rPr>
        <w:t xml:space="preserve">unding </w:t>
      </w:r>
      <w:r>
        <w:rPr>
          <w:rFonts w:ascii="Times New Roman" w:hAnsi="Times New Roman"/>
          <w:sz w:val="24"/>
          <w:szCs w:val="24"/>
        </w:rPr>
        <w:t>was</w:t>
      </w:r>
      <w:r w:rsidRPr="00CF08C5">
        <w:rPr>
          <w:rFonts w:ascii="Times New Roman" w:hAnsi="Times New Roman"/>
          <w:sz w:val="24"/>
          <w:szCs w:val="24"/>
        </w:rPr>
        <w:t xml:space="preserve"> mainly used for R&amp;D, IP, prototyping and patenting. </w:t>
      </w:r>
      <w:r>
        <w:rPr>
          <w:rFonts w:ascii="Times New Roman" w:hAnsi="Times New Roman"/>
          <w:sz w:val="24"/>
          <w:szCs w:val="24"/>
        </w:rPr>
        <w:t>For those</w:t>
      </w:r>
      <w:r w:rsidRPr="00CF08C5">
        <w:rPr>
          <w:rFonts w:ascii="Times New Roman" w:hAnsi="Times New Roman"/>
          <w:sz w:val="24"/>
          <w:szCs w:val="24"/>
        </w:rPr>
        <w:t xml:space="preserve"> already trading, improved sales and profitability w</w:t>
      </w:r>
      <w:r>
        <w:rPr>
          <w:rFonts w:ascii="Times New Roman" w:hAnsi="Times New Roman"/>
          <w:sz w:val="24"/>
          <w:szCs w:val="24"/>
        </w:rPr>
        <w:t>ere</w:t>
      </w:r>
      <w:r w:rsidRPr="00CF08C5">
        <w:rPr>
          <w:rFonts w:ascii="Times New Roman" w:hAnsi="Times New Roman"/>
          <w:sz w:val="24"/>
          <w:szCs w:val="24"/>
        </w:rPr>
        <w:t xml:space="preserve"> typically judged as at least 50 per cent attributable to the funding, but in one</w:t>
      </w:r>
      <w:r>
        <w:rPr>
          <w:rFonts w:ascii="Times New Roman" w:hAnsi="Times New Roman"/>
          <w:sz w:val="24"/>
          <w:szCs w:val="24"/>
        </w:rPr>
        <w:t>-</w:t>
      </w:r>
      <w:r w:rsidRPr="00CF08C5">
        <w:rPr>
          <w:rFonts w:ascii="Times New Roman" w:hAnsi="Times New Roman"/>
          <w:sz w:val="24"/>
          <w:szCs w:val="24"/>
        </w:rPr>
        <w:t xml:space="preserve">fifth of cases growth had been slower than </w:t>
      </w:r>
      <w:r>
        <w:rPr>
          <w:rFonts w:ascii="Times New Roman" w:hAnsi="Times New Roman"/>
          <w:sz w:val="24"/>
          <w:szCs w:val="24"/>
        </w:rPr>
        <w:t xml:space="preserve">expected </w:t>
      </w:r>
      <w:r w:rsidRPr="00CF08C5">
        <w:rPr>
          <w:rFonts w:ascii="Times New Roman" w:hAnsi="Times New Roman"/>
          <w:sz w:val="24"/>
          <w:szCs w:val="24"/>
        </w:rPr>
        <w:t>because of poorer market conditions than anticipated.</w:t>
      </w:r>
    </w:p>
    <w:p w:rsidR="00075DBE" w:rsidRDefault="00075DBE" w:rsidP="00085F52">
      <w:pPr>
        <w:spacing w:after="100" w:afterAutospacing="1" w:line="480" w:lineRule="auto"/>
        <w:ind w:firstLine="720"/>
        <w:rPr>
          <w:rFonts w:ascii="Times New Roman" w:hAnsi="Times New Roman"/>
          <w:sz w:val="24"/>
          <w:szCs w:val="24"/>
        </w:rPr>
      </w:pPr>
      <w:r w:rsidRPr="00CF08C5">
        <w:rPr>
          <w:rFonts w:ascii="Times New Roman" w:hAnsi="Times New Roman"/>
          <w:sz w:val="24"/>
          <w:szCs w:val="24"/>
        </w:rPr>
        <w:t xml:space="preserve">A follow-up survey in May 2013 </w:t>
      </w:r>
      <w:r>
        <w:rPr>
          <w:rFonts w:ascii="Times New Roman" w:hAnsi="Times New Roman"/>
          <w:sz w:val="24"/>
          <w:szCs w:val="24"/>
        </w:rPr>
        <w:t>sought</w:t>
      </w:r>
      <w:r w:rsidRPr="00CF08C5">
        <w:rPr>
          <w:rFonts w:ascii="Times New Roman" w:hAnsi="Times New Roman"/>
          <w:sz w:val="24"/>
          <w:szCs w:val="24"/>
        </w:rPr>
        <w:t xml:space="preserve"> clearer assessment of recipients’ progress and funding impacts. This revealed three business closures, five trade sale exits and five </w:t>
      </w:r>
      <w:r>
        <w:rPr>
          <w:rFonts w:ascii="Times New Roman" w:hAnsi="Times New Roman"/>
          <w:sz w:val="24"/>
          <w:szCs w:val="24"/>
        </w:rPr>
        <w:t>still</w:t>
      </w:r>
      <w:r w:rsidRPr="00CF08C5">
        <w:rPr>
          <w:rFonts w:ascii="Times New Roman" w:hAnsi="Times New Roman"/>
          <w:sz w:val="24"/>
          <w:szCs w:val="24"/>
        </w:rPr>
        <w:t xml:space="preserve"> pre-trading. </w:t>
      </w:r>
      <w:r>
        <w:rPr>
          <w:rFonts w:ascii="Times New Roman" w:hAnsi="Times New Roman"/>
          <w:sz w:val="24"/>
          <w:szCs w:val="24"/>
        </w:rPr>
        <w:t>Although trade</w:t>
      </w:r>
      <w:r w:rsidRPr="00CF08C5">
        <w:rPr>
          <w:rFonts w:ascii="Times New Roman" w:hAnsi="Times New Roman"/>
          <w:sz w:val="24"/>
          <w:szCs w:val="24"/>
        </w:rPr>
        <w:t xml:space="preserve"> sales may </w:t>
      </w:r>
      <w:r>
        <w:rPr>
          <w:rFonts w:ascii="Times New Roman" w:hAnsi="Times New Roman"/>
          <w:sz w:val="24"/>
          <w:szCs w:val="24"/>
        </w:rPr>
        <w:t xml:space="preserve">include </w:t>
      </w:r>
      <w:r w:rsidRPr="00CF08C5">
        <w:rPr>
          <w:rFonts w:ascii="Times New Roman" w:hAnsi="Times New Roman"/>
          <w:sz w:val="24"/>
          <w:szCs w:val="24"/>
        </w:rPr>
        <w:t>failing businesses strategically acquired at low valuations</w:t>
      </w:r>
      <w:r>
        <w:rPr>
          <w:rFonts w:ascii="Times New Roman" w:hAnsi="Times New Roman"/>
          <w:sz w:val="24"/>
          <w:szCs w:val="24"/>
        </w:rPr>
        <w:t>,</w:t>
      </w:r>
      <w:r w:rsidRPr="00CF08C5">
        <w:rPr>
          <w:rFonts w:ascii="Times New Roman" w:hAnsi="Times New Roman"/>
          <w:sz w:val="24"/>
          <w:szCs w:val="24"/>
        </w:rPr>
        <w:t xml:space="preserve"> particularly in re</w:t>
      </w:r>
      <w:r>
        <w:rPr>
          <w:rFonts w:ascii="Times New Roman" w:hAnsi="Times New Roman"/>
          <w:sz w:val="24"/>
          <w:szCs w:val="24"/>
        </w:rPr>
        <w:t>cessionary times (Baldock et al.,</w:t>
      </w:r>
      <w:r w:rsidRPr="00CF08C5">
        <w:rPr>
          <w:rFonts w:ascii="Times New Roman" w:hAnsi="Times New Roman"/>
          <w:sz w:val="24"/>
          <w:szCs w:val="24"/>
        </w:rPr>
        <w:t xml:space="preserve"> 2013)</w:t>
      </w:r>
      <w:r>
        <w:rPr>
          <w:rFonts w:ascii="Times New Roman" w:hAnsi="Times New Roman"/>
          <w:sz w:val="24"/>
          <w:szCs w:val="24"/>
        </w:rPr>
        <w:t xml:space="preserve">, the </w:t>
      </w:r>
      <w:r w:rsidRPr="00CF08C5">
        <w:rPr>
          <w:rFonts w:ascii="Times New Roman" w:hAnsi="Times New Roman"/>
          <w:sz w:val="24"/>
          <w:szCs w:val="24"/>
        </w:rPr>
        <w:t>indications were that the</w:t>
      </w:r>
      <w:r>
        <w:rPr>
          <w:rFonts w:ascii="Times New Roman" w:hAnsi="Times New Roman"/>
          <w:sz w:val="24"/>
          <w:szCs w:val="24"/>
        </w:rPr>
        <w:t>se</w:t>
      </w:r>
      <w:r w:rsidRPr="00CF08C5">
        <w:rPr>
          <w:rFonts w:ascii="Times New Roman" w:hAnsi="Times New Roman"/>
          <w:sz w:val="24"/>
          <w:szCs w:val="24"/>
        </w:rPr>
        <w:t xml:space="preserve"> represented at least double the original investment</w:t>
      </w:r>
      <w:r>
        <w:rPr>
          <w:rFonts w:ascii="Times New Roman" w:hAnsi="Times New Roman"/>
          <w:sz w:val="24"/>
          <w:szCs w:val="24"/>
        </w:rPr>
        <w:t xml:space="preserve">. </w:t>
      </w:r>
      <w:r w:rsidRPr="00D05986">
        <w:rPr>
          <w:rFonts w:ascii="Times New Roman" w:hAnsi="Times New Roman"/>
          <w:sz w:val="24"/>
          <w:szCs w:val="24"/>
        </w:rPr>
        <w:t>The</w:t>
      </w:r>
      <w:r>
        <w:rPr>
          <w:rFonts w:ascii="Times New Roman" w:hAnsi="Times New Roman"/>
          <w:sz w:val="24"/>
          <w:szCs w:val="24"/>
        </w:rPr>
        <w:t xml:space="preserve"> follow-up</w:t>
      </w:r>
      <w:r w:rsidRPr="00D05986">
        <w:rPr>
          <w:rFonts w:ascii="Times New Roman" w:hAnsi="Times New Roman"/>
          <w:sz w:val="24"/>
          <w:szCs w:val="24"/>
        </w:rPr>
        <w:t xml:space="preserve"> survey</w:t>
      </w:r>
      <w:r>
        <w:rPr>
          <w:rFonts w:ascii="Times New Roman" w:hAnsi="Times New Roman"/>
          <w:sz w:val="24"/>
          <w:szCs w:val="24"/>
        </w:rPr>
        <w:t xml:space="preserve"> in May 2013 demonstrated</w:t>
      </w:r>
      <w:r w:rsidRPr="00CF08C5">
        <w:rPr>
          <w:rFonts w:ascii="Times New Roman" w:hAnsi="Times New Roman"/>
          <w:sz w:val="24"/>
          <w:szCs w:val="24"/>
        </w:rPr>
        <w:t xml:space="preserve"> the beginnings of the expected growth trend from these potentially high growth businesses</w:t>
      </w:r>
      <w:r>
        <w:rPr>
          <w:rFonts w:ascii="Times New Roman" w:hAnsi="Times New Roman"/>
          <w:sz w:val="24"/>
          <w:szCs w:val="24"/>
        </w:rPr>
        <w:t xml:space="preserve"> (</w:t>
      </w:r>
      <w:r w:rsidRPr="00DE44E3">
        <w:rPr>
          <w:rFonts w:ascii="Times New Roman" w:hAnsi="Times New Roman"/>
          <w:sz w:val="24"/>
          <w:szCs w:val="24"/>
        </w:rPr>
        <w:t>Table 8.5</w:t>
      </w:r>
      <w:r>
        <w:rPr>
          <w:rFonts w:ascii="Times New Roman" w:hAnsi="Times New Roman"/>
          <w:sz w:val="24"/>
          <w:szCs w:val="24"/>
        </w:rPr>
        <w:t>)</w:t>
      </w:r>
      <w:r w:rsidRPr="00CF08C5">
        <w:rPr>
          <w:rFonts w:ascii="Times New Roman" w:hAnsi="Times New Roman"/>
          <w:sz w:val="24"/>
          <w:szCs w:val="24"/>
        </w:rPr>
        <w:t xml:space="preserve">. </w:t>
      </w:r>
      <w:r>
        <w:rPr>
          <w:rFonts w:ascii="Times New Roman" w:hAnsi="Times New Roman"/>
          <w:sz w:val="24"/>
          <w:szCs w:val="24"/>
        </w:rPr>
        <w:t>For</w:t>
      </w:r>
      <w:r w:rsidRPr="00CF08C5">
        <w:rPr>
          <w:rFonts w:ascii="Times New Roman" w:hAnsi="Times New Roman"/>
          <w:sz w:val="24"/>
          <w:szCs w:val="24"/>
        </w:rPr>
        <w:t xml:space="preserve"> 14 UKIIF businesses (excluding two trade sales)</w:t>
      </w:r>
      <w:r>
        <w:rPr>
          <w:rFonts w:ascii="Times New Roman" w:hAnsi="Times New Roman"/>
          <w:sz w:val="24"/>
          <w:szCs w:val="24"/>
        </w:rPr>
        <w:t>,</w:t>
      </w:r>
      <w:r w:rsidRPr="00CF08C5">
        <w:rPr>
          <w:rFonts w:ascii="Times New Roman" w:hAnsi="Times New Roman"/>
          <w:sz w:val="24"/>
          <w:szCs w:val="24"/>
        </w:rPr>
        <w:t xml:space="preserve"> two years after their first round funding, annual median sales had reached £1.5m</w:t>
      </w:r>
      <w:r>
        <w:rPr>
          <w:rFonts w:ascii="Times New Roman" w:hAnsi="Times New Roman"/>
          <w:sz w:val="24"/>
          <w:szCs w:val="24"/>
        </w:rPr>
        <w:t>,</w:t>
      </w:r>
      <w:r w:rsidRPr="00CF08C5">
        <w:rPr>
          <w:rFonts w:ascii="Times New Roman" w:hAnsi="Times New Roman"/>
          <w:sz w:val="24"/>
          <w:szCs w:val="24"/>
        </w:rPr>
        <w:t xml:space="preserve"> with median employ</w:t>
      </w:r>
      <w:r>
        <w:rPr>
          <w:rFonts w:ascii="Times New Roman" w:hAnsi="Times New Roman"/>
          <w:sz w:val="24"/>
          <w:szCs w:val="24"/>
        </w:rPr>
        <w:t>ment increasing more than three</w:t>
      </w:r>
      <w:r w:rsidRPr="00CF08C5">
        <w:rPr>
          <w:rFonts w:ascii="Times New Roman" w:hAnsi="Times New Roman"/>
          <w:sz w:val="24"/>
          <w:szCs w:val="24"/>
        </w:rPr>
        <w:t xml:space="preserve">fold to 35 </w:t>
      </w:r>
      <w:r w:rsidRPr="00CF08C5">
        <w:rPr>
          <w:rFonts w:ascii="Times New Roman" w:hAnsi="Times New Roman"/>
          <w:sz w:val="24"/>
          <w:szCs w:val="24"/>
        </w:rPr>
        <w:lastRenderedPageBreak/>
        <w:t xml:space="preserve">employees. </w:t>
      </w:r>
      <w:r>
        <w:rPr>
          <w:rFonts w:ascii="Times New Roman" w:hAnsi="Times New Roman"/>
          <w:sz w:val="24"/>
          <w:szCs w:val="24"/>
        </w:rPr>
        <w:t>I</w:t>
      </w:r>
      <w:r w:rsidRPr="00CF08C5">
        <w:rPr>
          <w:rFonts w:ascii="Times New Roman" w:hAnsi="Times New Roman"/>
          <w:sz w:val="24"/>
          <w:szCs w:val="24"/>
        </w:rPr>
        <w:t xml:space="preserve">n the case of </w:t>
      </w:r>
      <w:r>
        <w:rPr>
          <w:rFonts w:ascii="Times New Roman" w:hAnsi="Times New Roman"/>
          <w:sz w:val="24"/>
          <w:szCs w:val="24"/>
        </w:rPr>
        <w:t>ten</w:t>
      </w:r>
      <w:r w:rsidRPr="00CF08C5">
        <w:rPr>
          <w:rFonts w:ascii="Times New Roman" w:hAnsi="Times New Roman"/>
          <w:sz w:val="24"/>
          <w:szCs w:val="24"/>
        </w:rPr>
        <w:t xml:space="preserve"> ECF/Aspire businesses (excluding three trade sales and three business failures) four years after initial funding, annual median sales had reached £380,000 with median employment increasing six</w:t>
      </w:r>
      <w:r>
        <w:rPr>
          <w:rFonts w:ascii="Times New Roman" w:hAnsi="Times New Roman"/>
          <w:sz w:val="24"/>
          <w:szCs w:val="24"/>
        </w:rPr>
        <w:t xml:space="preserve"> </w:t>
      </w:r>
      <w:r w:rsidRPr="00CF08C5">
        <w:rPr>
          <w:rFonts w:ascii="Times New Roman" w:hAnsi="Times New Roman"/>
          <w:sz w:val="24"/>
          <w:szCs w:val="24"/>
        </w:rPr>
        <w:t xml:space="preserve">fold to 26 employees. The re-surveyed businesses also forecast further exponential growth over the next year, with median annual sales turnover for UKIIF businesses doubling and more than </w:t>
      </w:r>
      <w:r>
        <w:rPr>
          <w:rFonts w:ascii="Times New Roman" w:hAnsi="Times New Roman"/>
          <w:sz w:val="24"/>
          <w:szCs w:val="24"/>
        </w:rPr>
        <w:t xml:space="preserve">trebling </w:t>
      </w:r>
      <w:r w:rsidRPr="00CF08C5">
        <w:rPr>
          <w:rFonts w:ascii="Times New Roman" w:hAnsi="Times New Roman"/>
          <w:sz w:val="24"/>
          <w:szCs w:val="24"/>
        </w:rPr>
        <w:t>for ECF/Aspire businesses.</w:t>
      </w:r>
    </w:p>
    <w:p w:rsidR="00075DBE" w:rsidRDefault="00075DBE" w:rsidP="00085F52">
      <w:pPr>
        <w:spacing w:after="100" w:afterAutospacing="1" w:line="480" w:lineRule="auto"/>
        <w:jc w:val="center"/>
        <w:rPr>
          <w:rFonts w:ascii="Times New Roman" w:hAnsi="Times New Roman"/>
          <w:sz w:val="24"/>
          <w:szCs w:val="24"/>
        </w:rPr>
      </w:pPr>
      <w:r w:rsidRPr="007D4E49">
        <w:rPr>
          <w:rFonts w:ascii="Times New Roman" w:hAnsi="Times New Roman"/>
          <w:b/>
          <w:sz w:val="24"/>
          <w:szCs w:val="24"/>
          <w:highlight w:val="yellow"/>
          <w:u w:val="single"/>
          <w:lang w:eastAsia="en-GB"/>
        </w:rPr>
        <w:t xml:space="preserve">&lt;INSERT TABLE </w:t>
      </w:r>
      <w:r>
        <w:rPr>
          <w:rFonts w:ascii="Times New Roman" w:hAnsi="Times New Roman"/>
          <w:b/>
          <w:sz w:val="24"/>
          <w:szCs w:val="24"/>
          <w:highlight w:val="yellow"/>
          <w:u w:val="single"/>
          <w:lang w:eastAsia="en-GB"/>
        </w:rPr>
        <w:t>8</w:t>
      </w:r>
      <w:r w:rsidRPr="007D4E49">
        <w:rPr>
          <w:rFonts w:ascii="Times New Roman" w:hAnsi="Times New Roman"/>
          <w:b/>
          <w:sz w:val="24"/>
          <w:szCs w:val="24"/>
          <w:highlight w:val="yellow"/>
          <w:u w:val="single"/>
          <w:lang w:eastAsia="en-GB"/>
        </w:rPr>
        <w:t>.</w:t>
      </w:r>
      <w:r>
        <w:rPr>
          <w:rFonts w:ascii="Times New Roman" w:hAnsi="Times New Roman"/>
          <w:b/>
          <w:sz w:val="24"/>
          <w:szCs w:val="24"/>
          <w:highlight w:val="yellow"/>
          <w:u w:val="single"/>
          <w:lang w:eastAsia="en-GB"/>
        </w:rPr>
        <w:t xml:space="preserve">5 </w:t>
      </w:r>
      <w:r w:rsidRPr="007D4E49">
        <w:rPr>
          <w:rFonts w:ascii="Times New Roman" w:hAnsi="Times New Roman"/>
          <w:b/>
          <w:sz w:val="24"/>
          <w:szCs w:val="24"/>
          <w:highlight w:val="yellow"/>
          <w:u w:val="single"/>
          <w:lang w:eastAsia="en-GB"/>
        </w:rPr>
        <w:t>ABOUT HERE&gt;</w:t>
      </w:r>
    </w:p>
    <w:p w:rsidR="00075DBE" w:rsidRDefault="00075DBE" w:rsidP="00DE44E3">
      <w:pPr>
        <w:spacing w:after="100" w:afterAutospacing="1" w:line="480" w:lineRule="auto"/>
        <w:ind w:firstLine="720"/>
        <w:rPr>
          <w:rFonts w:ascii="Times New Roman" w:hAnsi="Times New Roman"/>
          <w:sz w:val="24"/>
          <w:szCs w:val="24"/>
        </w:rPr>
      </w:pPr>
      <w:r w:rsidRPr="00CF08C5">
        <w:rPr>
          <w:rFonts w:ascii="Times New Roman" w:hAnsi="Times New Roman"/>
          <w:sz w:val="24"/>
          <w:szCs w:val="24"/>
        </w:rPr>
        <w:t xml:space="preserve">However, aggregate growth performance </w:t>
      </w:r>
      <w:r>
        <w:rPr>
          <w:rFonts w:ascii="Times New Roman" w:hAnsi="Times New Roman"/>
          <w:sz w:val="24"/>
          <w:szCs w:val="24"/>
        </w:rPr>
        <w:t>shields a</w:t>
      </w:r>
      <w:r w:rsidRPr="00CF08C5">
        <w:rPr>
          <w:rFonts w:ascii="Times New Roman" w:hAnsi="Times New Roman"/>
          <w:sz w:val="24"/>
          <w:szCs w:val="24"/>
        </w:rPr>
        <w:t xml:space="preserve"> trend of underperformance which underscores the fund managers</w:t>
      </w:r>
      <w:r>
        <w:rPr>
          <w:rFonts w:ascii="Times New Roman" w:hAnsi="Times New Roman"/>
          <w:sz w:val="24"/>
          <w:szCs w:val="24"/>
        </w:rPr>
        <w:t>’ concerns</w:t>
      </w:r>
      <w:r w:rsidRPr="00CF08C5">
        <w:rPr>
          <w:rFonts w:ascii="Times New Roman" w:hAnsi="Times New Roman"/>
          <w:sz w:val="24"/>
          <w:szCs w:val="24"/>
        </w:rPr>
        <w:t xml:space="preserve">. Focusing on the 24 re-surveyed businesses, </w:t>
      </w:r>
      <w:r w:rsidRPr="00DE44E3">
        <w:rPr>
          <w:rFonts w:ascii="Times New Roman" w:hAnsi="Times New Roman"/>
          <w:sz w:val="24"/>
          <w:szCs w:val="24"/>
        </w:rPr>
        <w:t>Table 8.6</w:t>
      </w:r>
      <w:r w:rsidRPr="00CF08C5">
        <w:rPr>
          <w:rFonts w:ascii="Times New Roman" w:hAnsi="Times New Roman"/>
          <w:sz w:val="24"/>
          <w:szCs w:val="24"/>
        </w:rPr>
        <w:t xml:space="preserve"> exhibits a trend of worsening performance over time, with three-fifths of ECF/Aspire respondents indicating that they were behind schedule four years after initial funding and</w:t>
      </w:r>
      <w:r w:rsidRPr="008D3B5F">
        <w:rPr>
          <w:rFonts w:ascii="Times New Roman" w:hAnsi="Times New Roman"/>
          <w:sz w:val="24"/>
          <w:szCs w:val="24"/>
        </w:rPr>
        <w:t xml:space="preserve"> projecting</w:t>
      </w:r>
      <w:r w:rsidRPr="00CF08C5">
        <w:rPr>
          <w:rFonts w:ascii="Times New Roman" w:hAnsi="Times New Roman"/>
          <w:sz w:val="24"/>
          <w:szCs w:val="24"/>
        </w:rPr>
        <w:t xml:space="preserve"> a median time to exit of 6.5 years, 1.5 years beyond original forecast</w:t>
      </w:r>
      <w:r>
        <w:rPr>
          <w:rFonts w:ascii="Times New Roman" w:hAnsi="Times New Roman"/>
          <w:sz w:val="24"/>
          <w:szCs w:val="24"/>
        </w:rPr>
        <w:t>s</w:t>
      </w:r>
      <w:r w:rsidRPr="00CF08C5">
        <w:rPr>
          <w:rFonts w:ascii="Times New Roman" w:hAnsi="Times New Roman"/>
          <w:sz w:val="24"/>
          <w:szCs w:val="24"/>
        </w:rPr>
        <w:t xml:space="preserve">. </w:t>
      </w:r>
      <w:r>
        <w:rPr>
          <w:rFonts w:ascii="Times New Roman" w:hAnsi="Times New Roman"/>
          <w:sz w:val="24"/>
          <w:szCs w:val="24"/>
        </w:rPr>
        <w:t xml:space="preserve">Contributory </w:t>
      </w:r>
      <w:r w:rsidRPr="00CF08C5">
        <w:rPr>
          <w:rFonts w:ascii="Times New Roman" w:hAnsi="Times New Roman"/>
          <w:sz w:val="24"/>
          <w:szCs w:val="24"/>
        </w:rPr>
        <w:t>factors includ</w:t>
      </w:r>
      <w:r>
        <w:rPr>
          <w:rFonts w:ascii="Times New Roman" w:hAnsi="Times New Roman"/>
          <w:sz w:val="24"/>
          <w:szCs w:val="24"/>
        </w:rPr>
        <w:t>ed</w:t>
      </w:r>
      <w:r w:rsidRPr="00CF08C5">
        <w:rPr>
          <w:rFonts w:ascii="Times New Roman" w:hAnsi="Times New Roman"/>
          <w:sz w:val="24"/>
          <w:szCs w:val="24"/>
        </w:rPr>
        <w:t xml:space="preserve"> </w:t>
      </w:r>
      <w:r>
        <w:rPr>
          <w:rFonts w:ascii="Times New Roman" w:hAnsi="Times New Roman"/>
          <w:sz w:val="24"/>
          <w:szCs w:val="24"/>
        </w:rPr>
        <w:t xml:space="preserve">delays in </w:t>
      </w:r>
      <w:r w:rsidRPr="00CF08C5">
        <w:rPr>
          <w:rFonts w:ascii="Times New Roman" w:hAnsi="Times New Roman"/>
          <w:sz w:val="24"/>
          <w:szCs w:val="24"/>
        </w:rPr>
        <w:t>technical development, regulatory compliance, lack of customer acceptance, poorly performing markets and lack of follow-on finance.</w:t>
      </w:r>
    </w:p>
    <w:p w:rsidR="00075DBE" w:rsidRDefault="00075DBE" w:rsidP="00085F52">
      <w:pPr>
        <w:spacing w:after="100" w:afterAutospacing="1" w:line="480" w:lineRule="auto"/>
        <w:ind w:firstLine="720"/>
        <w:rPr>
          <w:rFonts w:ascii="Times New Roman" w:hAnsi="Times New Roman"/>
          <w:sz w:val="24"/>
          <w:szCs w:val="24"/>
        </w:rPr>
      </w:pPr>
      <w:r w:rsidRPr="00CF08C5">
        <w:rPr>
          <w:rFonts w:ascii="Times New Roman" w:hAnsi="Times New Roman"/>
          <w:sz w:val="24"/>
          <w:szCs w:val="24"/>
        </w:rPr>
        <w:t xml:space="preserve">This investment horizon </w:t>
      </w:r>
      <w:r>
        <w:rPr>
          <w:rFonts w:ascii="Times New Roman" w:hAnsi="Times New Roman"/>
          <w:sz w:val="24"/>
          <w:szCs w:val="24"/>
        </w:rPr>
        <w:t xml:space="preserve">elongation </w:t>
      </w:r>
      <w:r w:rsidRPr="00CF08C5">
        <w:rPr>
          <w:rFonts w:ascii="Times New Roman" w:hAnsi="Times New Roman"/>
          <w:sz w:val="24"/>
          <w:szCs w:val="24"/>
        </w:rPr>
        <w:t>(</w:t>
      </w:r>
      <w:r w:rsidRPr="00DE44E3">
        <w:rPr>
          <w:rFonts w:ascii="Times New Roman" w:hAnsi="Times New Roman"/>
          <w:sz w:val="24"/>
          <w:szCs w:val="24"/>
        </w:rPr>
        <w:t>Table 8.6</w:t>
      </w:r>
      <w:r w:rsidRPr="00CF08C5">
        <w:rPr>
          <w:rFonts w:ascii="Times New Roman" w:hAnsi="Times New Roman"/>
          <w:sz w:val="24"/>
          <w:szCs w:val="24"/>
        </w:rPr>
        <w:t>) supports Lerner’s view that HVCFs need to be flexible</w:t>
      </w:r>
      <w:r>
        <w:rPr>
          <w:rFonts w:ascii="Times New Roman" w:hAnsi="Times New Roman"/>
          <w:sz w:val="24"/>
          <w:szCs w:val="24"/>
        </w:rPr>
        <w:t>/a</w:t>
      </w:r>
      <w:r w:rsidRPr="00CF08C5">
        <w:rPr>
          <w:rFonts w:ascii="Times New Roman" w:hAnsi="Times New Roman"/>
          <w:sz w:val="24"/>
          <w:szCs w:val="24"/>
        </w:rPr>
        <w:t>dapt</w:t>
      </w:r>
      <w:r>
        <w:rPr>
          <w:rFonts w:ascii="Times New Roman" w:hAnsi="Times New Roman"/>
          <w:sz w:val="24"/>
          <w:szCs w:val="24"/>
        </w:rPr>
        <w:t>able</w:t>
      </w:r>
      <w:r w:rsidRPr="00CF08C5">
        <w:rPr>
          <w:rFonts w:ascii="Times New Roman" w:hAnsi="Times New Roman"/>
          <w:sz w:val="24"/>
          <w:szCs w:val="24"/>
        </w:rPr>
        <w:t xml:space="preserve"> to changing circumstances. Some re</w:t>
      </w:r>
      <w:r>
        <w:rPr>
          <w:rFonts w:ascii="Times New Roman" w:hAnsi="Times New Roman"/>
          <w:sz w:val="24"/>
          <w:szCs w:val="24"/>
        </w:rPr>
        <w:t>-</w:t>
      </w:r>
      <w:r w:rsidRPr="00CF08C5">
        <w:rPr>
          <w:rFonts w:ascii="Times New Roman" w:hAnsi="Times New Roman"/>
          <w:sz w:val="24"/>
          <w:szCs w:val="24"/>
        </w:rPr>
        <w:t xml:space="preserve">surveyed business managers voiced concerns that the </w:t>
      </w:r>
      <w:r>
        <w:rPr>
          <w:rFonts w:ascii="Times New Roman" w:hAnsi="Times New Roman"/>
          <w:sz w:val="24"/>
          <w:szCs w:val="24"/>
        </w:rPr>
        <w:t>10‒12</w:t>
      </w:r>
      <w:r w:rsidRPr="00CF08C5">
        <w:rPr>
          <w:rFonts w:ascii="Times New Roman" w:hAnsi="Times New Roman"/>
          <w:sz w:val="24"/>
          <w:szCs w:val="24"/>
        </w:rPr>
        <w:t xml:space="preserve"> year ECF life cycle might require an earlier exit than ideal, creating uncertainty and a </w:t>
      </w:r>
      <w:r>
        <w:rPr>
          <w:rFonts w:ascii="Times New Roman" w:hAnsi="Times New Roman"/>
          <w:sz w:val="24"/>
          <w:szCs w:val="24"/>
        </w:rPr>
        <w:t>sub-optimal</w:t>
      </w:r>
      <w:r w:rsidRPr="00CF08C5">
        <w:rPr>
          <w:rFonts w:ascii="Times New Roman" w:hAnsi="Times New Roman"/>
          <w:sz w:val="24"/>
          <w:szCs w:val="24"/>
        </w:rPr>
        <w:t xml:space="preserve"> value trade sale or IPO. </w:t>
      </w:r>
      <w:r>
        <w:rPr>
          <w:rFonts w:ascii="Times New Roman" w:hAnsi="Times New Roman"/>
          <w:sz w:val="24"/>
          <w:szCs w:val="24"/>
        </w:rPr>
        <w:t>Other evidence (Baldock et al.,</w:t>
      </w:r>
      <w:r w:rsidRPr="00CF08C5">
        <w:rPr>
          <w:rFonts w:ascii="Times New Roman" w:hAnsi="Times New Roman"/>
          <w:sz w:val="24"/>
          <w:szCs w:val="24"/>
        </w:rPr>
        <w:t xml:space="preserve"> 2013) </w:t>
      </w:r>
      <w:r>
        <w:rPr>
          <w:rFonts w:ascii="Times New Roman" w:hAnsi="Times New Roman"/>
          <w:sz w:val="24"/>
          <w:szCs w:val="24"/>
        </w:rPr>
        <w:t>found that the IPO exit route had</w:t>
      </w:r>
      <w:r w:rsidRPr="00CF08C5">
        <w:rPr>
          <w:rFonts w:ascii="Times New Roman" w:hAnsi="Times New Roman"/>
          <w:sz w:val="24"/>
          <w:szCs w:val="24"/>
        </w:rPr>
        <w:t xml:space="preserve"> become more difficult since the onset of the </w:t>
      </w:r>
      <w:r>
        <w:rPr>
          <w:rFonts w:ascii="Times New Roman" w:hAnsi="Times New Roman"/>
          <w:sz w:val="24"/>
          <w:szCs w:val="24"/>
        </w:rPr>
        <w:t xml:space="preserve">GFC, </w:t>
      </w:r>
      <w:r w:rsidRPr="00CF08C5">
        <w:rPr>
          <w:rFonts w:ascii="Times New Roman" w:hAnsi="Times New Roman"/>
          <w:sz w:val="24"/>
          <w:szCs w:val="24"/>
        </w:rPr>
        <w:t xml:space="preserve">adversely affecting the development momentum of some innovative SMEs. Trade sales </w:t>
      </w:r>
      <w:r>
        <w:rPr>
          <w:rFonts w:ascii="Times New Roman" w:hAnsi="Times New Roman"/>
          <w:sz w:val="24"/>
          <w:szCs w:val="24"/>
        </w:rPr>
        <w:t xml:space="preserve">were </w:t>
      </w:r>
      <w:r w:rsidRPr="00CF08C5">
        <w:rPr>
          <w:rFonts w:ascii="Times New Roman" w:hAnsi="Times New Roman"/>
          <w:sz w:val="24"/>
          <w:szCs w:val="24"/>
        </w:rPr>
        <w:t xml:space="preserve">the preferred exit route for </w:t>
      </w:r>
      <w:r>
        <w:rPr>
          <w:rFonts w:ascii="Times New Roman" w:hAnsi="Times New Roman"/>
          <w:sz w:val="24"/>
          <w:szCs w:val="24"/>
        </w:rPr>
        <w:t>most</w:t>
      </w:r>
      <w:r w:rsidRPr="00CF08C5">
        <w:rPr>
          <w:rFonts w:ascii="Times New Roman" w:hAnsi="Times New Roman"/>
          <w:sz w:val="24"/>
          <w:szCs w:val="24"/>
        </w:rPr>
        <w:t xml:space="preserve"> surveyed businesses (</w:t>
      </w:r>
      <w:r w:rsidRPr="00DE44E3">
        <w:rPr>
          <w:rFonts w:ascii="Times New Roman" w:hAnsi="Times New Roman"/>
          <w:sz w:val="24"/>
          <w:szCs w:val="24"/>
        </w:rPr>
        <w:t>Table 8.6</w:t>
      </w:r>
      <w:r w:rsidRPr="00CF08C5">
        <w:rPr>
          <w:rFonts w:ascii="Times New Roman" w:hAnsi="Times New Roman"/>
          <w:sz w:val="24"/>
          <w:szCs w:val="24"/>
        </w:rPr>
        <w:t>).</w:t>
      </w:r>
    </w:p>
    <w:p w:rsidR="00075DBE" w:rsidRDefault="00075DBE" w:rsidP="00085F52">
      <w:pPr>
        <w:spacing w:after="100" w:afterAutospacing="1" w:line="480" w:lineRule="auto"/>
        <w:jc w:val="center"/>
        <w:rPr>
          <w:rFonts w:ascii="Times New Roman" w:hAnsi="Times New Roman"/>
          <w:sz w:val="24"/>
          <w:szCs w:val="24"/>
        </w:rPr>
      </w:pPr>
      <w:r w:rsidRPr="007D4E49">
        <w:rPr>
          <w:rFonts w:ascii="Times New Roman" w:hAnsi="Times New Roman"/>
          <w:b/>
          <w:sz w:val="24"/>
          <w:szCs w:val="24"/>
          <w:highlight w:val="yellow"/>
          <w:u w:val="single"/>
          <w:lang w:eastAsia="en-GB"/>
        </w:rPr>
        <w:t xml:space="preserve">&lt;INSERT TABLE </w:t>
      </w:r>
      <w:r>
        <w:rPr>
          <w:rFonts w:ascii="Times New Roman" w:hAnsi="Times New Roman"/>
          <w:b/>
          <w:sz w:val="24"/>
          <w:szCs w:val="24"/>
          <w:highlight w:val="yellow"/>
          <w:u w:val="single"/>
          <w:lang w:eastAsia="en-GB"/>
        </w:rPr>
        <w:t>8</w:t>
      </w:r>
      <w:r w:rsidRPr="007D4E49">
        <w:rPr>
          <w:rFonts w:ascii="Times New Roman" w:hAnsi="Times New Roman"/>
          <w:b/>
          <w:sz w:val="24"/>
          <w:szCs w:val="24"/>
          <w:highlight w:val="yellow"/>
          <w:u w:val="single"/>
          <w:lang w:eastAsia="en-GB"/>
        </w:rPr>
        <w:t>.</w:t>
      </w:r>
      <w:r>
        <w:rPr>
          <w:rFonts w:ascii="Times New Roman" w:hAnsi="Times New Roman"/>
          <w:b/>
          <w:sz w:val="24"/>
          <w:szCs w:val="24"/>
          <w:highlight w:val="yellow"/>
          <w:u w:val="single"/>
          <w:lang w:eastAsia="en-GB"/>
        </w:rPr>
        <w:t>6</w:t>
      </w:r>
      <w:r w:rsidRPr="007D4E49">
        <w:rPr>
          <w:rFonts w:ascii="Times New Roman" w:hAnsi="Times New Roman"/>
          <w:b/>
          <w:sz w:val="24"/>
          <w:szCs w:val="24"/>
          <w:highlight w:val="yellow"/>
          <w:u w:val="single"/>
          <w:lang w:eastAsia="en-GB"/>
        </w:rPr>
        <w:t xml:space="preserve"> ABOUT HERE&gt;</w:t>
      </w:r>
      <w:r w:rsidRPr="00CF08C5" w:rsidDel="008E4F55">
        <w:rPr>
          <w:rFonts w:ascii="Times New Roman" w:hAnsi="Times New Roman"/>
          <w:sz w:val="24"/>
          <w:szCs w:val="24"/>
        </w:rPr>
        <w:t xml:space="preserve"> </w:t>
      </w:r>
    </w:p>
    <w:p w:rsidR="00075DBE" w:rsidRDefault="00075DBE" w:rsidP="00085F52">
      <w:pPr>
        <w:spacing w:after="0" w:line="480" w:lineRule="auto"/>
        <w:rPr>
          <w:rFonts w:ascii="Times New Roman" w:hAnsi="Times New Roman"/>
          <w:b/>
          <w:sz w:val="24"/>
          <w:szCs w:val="24"/>
          <w:lang w:eastAsia="en-GB"/>
        </w:rPr>
      </w:pPr>
    </w:p>
    <w:p w:rsidR="00075DBE" w:rsidRPr="00DE44E3" w:rsidRDefault="00075DBE" w:rsidP="00085F52">
      <w:pPr>
        <w:spacing w:after="0" w:line="480" w:lineRule="auto"/>
        <w:rPr>
          <w:rFonts w:ascii="Times New Roman" w:hAnsi="Times New Roman"/>
          <w:sz w:val="24"/>
          <w:szCs w:val="24"/>
          <w:lang w:eastAsia="en-GB"/>
        </w:rPr>
      </w:pPr>
      <w:r w:rsidRPr="001A0D0E">
        <w:rPr>
          <w:rFonts w:ascii="Times New Roman" w:hAnsi="Times New Roman"/>
          <w:sz w:val="24"/>
          <w:szCs w:val="24"/>
          <w:lang w:eastAsia="en-GB"/>
        </w:rPr>
        <w:t>&lt;A&gt;‘AVOID INITIATIVES THAT ARE TOO LARGE OR TOO SMALL’</w:t>
      </w:r>
    </w:p>
    <w:p w:rsidR="00075DBE" w:rsidRDefault="00075DBE" w:rsidP="00085F52">
      <w:pPr>
        <w:spacing w:after="0" w:line="480" w:lineRule="auto"/>
        <w:rPr>
          <w:rFonts w:ascii="Times New Roman" w:hAnsi="Times New Roman"/>
          <w:sz w:val="24"/>
          <w:szCs w:val="24"/>
          <w:lang w:eastAsia="en-GB"/>
        </w:rPr>
      </w:pPr>
    </w:p>
    <w:p w:rsidR="00075DBE" w:rsidRDefault="00075DBE" w:rsidP="00085F52">
      <w:pPr>
        <w:spacing w:after="0" w:line="480" w:lineRule="auto"/>
        <w:rPr>
          <w:rFonts w:ascii="Times New Roman" w:hAnsi="Times New Roman"/>
          <w:sz w:val="24"/>
          <w:szCs w:val="24"/>
          <w:lang w:eastAsia="en-GB"/>
        </w:rPr>
      </w:pPr>
      <w:r w:rsidRPr="00CF08C5">
        <w:rPr>
          <w:rFonts w:ascii="Times New Roman" w:hAnsi="Times New Roman"/>
          <w:sz w:val="24"/>
          <w:szCs w:val="24"/>
          <w:lang w:eastAsia="en-GB"/>
        </w:rPr>
        <w:lastRenderedPageBreak/>
        <w:t>Lerner (2010) contends that HVCFs require sufficient fund</w:t>
      </w:r>
      <w:r>
        <w:rPr>
          <w:rFonts w:ascii="Times New Roman" w:hAnsi="Times New Roman"/>
          <w:sz w:val="24"/>
          <w:szCs w:val="24"/>
          <w:lang w:eastAsia="en-GB"/>
        </w:rPr>
        <w:t>ing</w:t>
      </w:r>
      <w:r w:rsidRPr="00CF08C5">
        <w:rPr>
          <w:rFonts w:ascii="Times New Roman" w:hAnsi="Times New Roman"/>
          <w:sz w:val="24"/>
          <w:szCs w:val="24"/>
          <w:lang w:eastAsia="en-GB"/>
        </w:rPr>
        <w:t xml:space="preserve"> </w:t>
      </w:r>
      <w:r>
        <w:rPr>
          <w:rFonts w:ascii="Times New Roman" w:hAnsi="Times New Roman"/>
          <w:sz w:val="24"/>
          <w:szCs w:val="24"/>
          <w:lang w:eastAsia="en-GB"/>
        </w:rPr>
        <w:t xml:space="preserve">and </w:t>
      </w:r>
      <w:r w:rsidRPr="00CF08C5">
        <w:rPr>
          <w:rFonts w:ascii="Times New Roman" w:hAnsi="Times New Roman"/>
          <w:sz w:val="24"/>
          <w:szCs w:val="24"/>
          <w:lang w:eastAsia="en-GB"/>
        </w:rPr>
        <w:t xml:space="preserve">scale </w:t>
      </w:r>
      <w:r>
        <w:rPr>
          <w:rFonts w:ascii="Times New Roman" w:hAnsi="Times New Roman"/>
          <w:sz w:val="24"/>
          <w:szCs w:val="24"/>
          <w:lang w:eastAsia="en-GB"/>
        </w:rPr>
        <w:t xml:space="preserve">for </w:t>
      </w:r>
      <w:r w:rsidRPr="00CF08C5">
        <w:rPr>
          <w:rFonts w:ascii="Times New Roman" w:hAnsi="Times New Roman"/>
          <w:sz w:val="24"/>
          <w:szCs w:val="24"/>
          <w:lang w:eastAsia="en-GB"/>
        </w:rPr>
        <w:t>sustainab</w:t>
      </w:r>
      <w:r>
        <w:rPr>
          <w:rFonts w:ascii="Times New Roman" w:hAnsi="Times New Roman"/>
          <w:sz w:val="24"/>
          <w:szCs w:val="24"/>
          <w:lang w:eastAsia="en-GB"/>
        </w:rPr>
        <w:t>ility</w:t>
      </w:r>
      <w:r w:rsidRPr="00CF08C5">
        <w:rPr>
          <w:rFonts w:ascii="Times New Roman" w:hAnsi="Times New Roman"/>
          <w:sz w:val="24"/>
          <w:szCs w:val="24"/>
          <w:lang w:eastAsia="en-GB"/>
        </w:rPr>
        <w:t xml:space="preserve">. Rigos (2011) recommends an ideal </w:t>
      </w:r>
      <w:r>
        <w:rPr>
          <w:rFonts w:ascii="Times New Roman" w:hAnsi="Times New Roman"/>
          <w:sz w:val="24"/>
          <w:szCs w:val="24"/>
          <w:lang w:eastAsia="en-GB"/>
        </w:rPr>
        <w:t xml:space="preserve">UK </w:t>
      </w:r>
      <w:r w:rsidRPr="00CF08C5">
        <w:rPr>
          <w:rFonts w:ascii="Times New Roman" w:hAnsi="Times New Roman"/>
          <w:sz w:val="24"/>
          <w:szCs w:val="24"/>
          <w:lang w:eastAsia="en-GB"/>
        </w:rPr>
        <w:t xml:space="preserve">fund size of £50m operating over a ten year life cycle </w:t>
      </w:r>
      <w:r>
        <w:rPr>
          <w:rFonts w:ascii="Times New Roman" w:hAnsi="Times New Roman"/>
          <w:sz w:val="24"/>
          <w:szCs w:val="24"/>
          <w:lang w:eastAsia="en-GB"/>
        </w:rPr>
        <w:t>with</w:t>
      </w:r>
      <w:r w:rsidRPr="00CF08C5">
        <w:rPr>
          <w:rFonts w:ascii="Times New Roman" w:hAnsi="Times New Roman"/>
          <w:sz w:val="24"/>
          <w:szCs w:val="24"/>
          <w:lang w:eastAsia="en-GB"/>
        </w:rPr>
        <w:t xml:space="preserve"> global funds</w:t>
      </w:r>
      <w:r>
        <w:rPr>
          <w:rFonts w:ascii="Times New Roman" w:hAnsi="Times New Roman"/>
          <w:sz w:val="24"/>
          <w:szCs w:val="24"/>
          <w:lang w:eastAsia="en-GB"/>
        </w:rPr>
        <w:t xml:space="preserve"> (e.g. UKIIF) requiring </w:t>
      </w:r>
      <w:r w:rsidRPr="00CF08C5">
        <w:rPr>
          <w:rFonts w:ascii="Times New Roman" w:hAnsi="Times New Roman"/>
          <w:sz w:val="24"/>
          <w:szCs w:val="24"/>
          <w:lang w:eastAsia="en-GB"/>
        </w:rPr>
        <w:t>at least £150m. Similarly, the Technopolis (2011) review of funding models for stimulating innovative new companies in Europe recommends that HVCFs should be large (&gt;</w:t>
      </w:r>
      <w:r w:rsidRPr="003E0099">
        <w:rPr>
          <w:rFonts w:ascii="Times New Roman" w:hAnsi="Times New Roman"/>
          <w:sz w:val="24"/>
          <w:szCs w:val="24"/>
        </w:rPr>
        <w:t>€</w:t>
      </w:r>
      <w:r w:rsidRPr="00CF08C5">
        <w:rPr>
          <w:rFonts w:ascii="Times New Roman" w:hAnsi="Times New Roman"/>
          <w:sz w:val="24"/>
          <w:szCs w:val="24"/>
          <w:lang w:eastAsia="en-GB"/>
        </w:rPr>
        <w:t>50m), never regionally focused (as this constrains deal flow and the benefits of speciali</w:t>
      </w:r>
      <w:r>
        <w:rPr>
          <w:rFonts w:ascii="Times New Roman" w:hAnsi="Times New Roman"/>
          <w:sz w:val="24"/>
          <w:szCs w:val="24"/>
          <w:lang w:eastAsia="en-GB"/>
        </w:rPr>
        <w:t>z</w:t>
      </w:r>
      <w:r w:rsidRPr="00CF08C5">
        <w:rPr>
          <w:rFonts w:ascii="Times New Roman" w:hAnsi="Times New Roman"/>
          <w:sz w:val="24"/>
          <w:szCs w:val="24"/>
          <w:lang w:eastAsia="en-GB"/>
        </w:rPr>
        <w:t>ation) and properly aligned to realistic commercial incentives. The UK government’s shift from regional to national, and even to pan national HVCFs, illustrates this more recent focus on scale and size.</w:t>
      </w:r>
    </w:p>
    <w:p w:rsidR="00075DBE" w:rsidRDefault="00075DBE">
      <w:pPr>
        <w:spacing w:after="0" w:line="480" w:lineRule="auto"/>
        <w:ind w:firstLine="720"/>
        <w:rPr>
          <w:rFonts w:ascii="Times New Roman" w:hAnsi="Times New Roman"/>
          <w:sz w:val="24"/>
          <w:szCs w:val="24"/>
          <w:lang w:eastAsia="en-GB"/>
        </w:rPr>
      </w:pPr>
      <w:r w:rsidRPr="00CF08C5">
        <w:rPr>
          <w:rFonts w:ascii="Times New Roman" w:hAnsi="Times New Roman"/>
          <w:sz w:val="24"/>
          <w:szCs w:val="24"/>
          <w:lang w:eastAsia="en-GB"/>
        </w:rPr>
        <w:t xml:space="preserve">Lerner is </w:t>
      </w:r>
      <w:r>
        <w:rPr>
          <w:rFonts w:ascii="Times New Roman" w:hAnsi="Times New Roman"/>
          <w:sz w:val="24"/>
          <w:szCs w:val="24"/>
          <w:lang w:eastAsia="en-GB"/>
        </w:rPr>
        <w:t xml:space="preserve">also </w:t>
      </w:r>
      <w:r w:rsidRPr="00CF08C5">
        <w:rPr>
          <w:rFonts w:ascii="Times New Roman" w:hAnsi="Times New Roman"/>
          <w:sz w:val="24"/>
          <w:szCs w:val="24"/>
          <w:lang w:eastAsia="en-GB"/>
        </w:rPr>
        <w:t xml:space="preserve">clear that programmes must </w:t>
      </w:r>
      <w:r>
        <w:rPr>
          <w:rFonts w:ascii="Times New Roman" w:hAnsi="Times New Roman"/>
          <w:sz w:val="24"/>
          <w:szCs w:val="24"/>
          <w:lang w:eastAsia="en-GB"/>
        </w:rPr>
        <w:t>not be</w:t>
      </w:r>
      <w:r w:rsidRPr="00CF08C5">
        <w:rPr>
          <w:rFonts w:ascii="Times New Roman" w:hAnsi="Times New Roman"/>
          <w:sz w:val="24"/>
          <w:szCs w:val="24"/>
          <w:lang w:eastAsia="en-GB"/>
        </w:rPr>
        <w:t xml:space="preserve"> too large, or extend beyond their required life range</w:t>
      </w:r>
      <w:r>
        <w:rPr>
          <w:rFonts w:ascii="Times New Roman" w:hAnsi="Times New Roman"/>
          <w:sz w:val="24"/>
          <w:szCs w:val="24"/>
          <w:lang w:eastAsia="en-GB"/>
        </w:rPr>
        <w:t>,</w:t>
      </w:r>
      <w:r w:rsidRPr="00CF08C5">
        <w:rPr>
          <w:rFonts w:ascii="Times New Roman" w:hAnsi="Times New Roman"/>
          <w:sz w:val="24"/>
          <w:szCs w:val="24"/>
          <w:lang w:eastAsia="en-GB"/>
        </w:rPr>
        <w:t xml:space="preserve"> hav</w:t>
      </w:r>
      <w:r>
        <w:rPr>
          <w:rFonts w:ascii="Times New Roman" w:hAnsi="Times New Roman"/>
          <w:sz w:val="24"/>
          <w:szCs w:val="24"/>
          <w:lang w:eastAsia="en-GB"/>
        </w:rPr>
        <w:t>ing</w:t>
      </w:r>
      <w:r w:rsidRPr="00CF08C5">
        <w:rPr>
          <w:rFonts w:ascii="Times New Roman" w:hAnsi="Times New Roman"/>
          <w:sz w:val="24"/>
          <w:szCs w:val="24"/>
          <w:lang w:eastAsia="en-GB"/>
        </w:rPr>
        <w:t xml:space="preserve"> sufficient scale and size to establish a </w:t>
      </w:r>
      <w:r>
        <w:rPr>
          <w:rFonts w:ascii="Times New Roman" w:hAnsi="Times New Roman"/>
          <w:sz w:val="24"/>
          <w:szCs w:val="24"/>
          <w:lang w:eastAsia="en-GB"/>
        </w:rPr>
        <w:t xml:space="preserve">sustainable </w:t>
      </w:r>
      <w:r w:rsidRPr="00CF08C5">
        <w:rPr>
          <w:rFonts w:ascii="Times New Roman" w:hAnsi="Times New Roman"/>
          <w:sz w:val="24"/>
          <w:szCs w:val="24"/>
          <w:lang w:eastAsia="en-GB"/>
        </w:rPr>
        <w:t xml:space="preserve">VC </w:t>
      </w:r>
      <w:r>
        <w:rPr>
          <w:rFonts w:ascii="Times New Roman" w:hAnsi="Times New Roman"/>
          <w:sz w:val="24"/>
          <w:szCs w:val="24"/>
          <w:lang w:eastAsia="en-GB"/>
        </w:rPr>
        <w:t xml:space="preserve">ecosystem, enabling future </w:t>
      </w:r>
      <w:r w:rsidRPr="00CF08C5">
        <w:rPr>
          <w:rFonts w:ascii="Times New Roman" w:hAnsi="Times New Roman"/>
          <w:sz w:val="24"/>
          <w:szCs w:val="24"/>
          <w:lang w:eastAsia="en-GB"/>
        </w:rPr>
        <w:t xml:space="preserve">government </w:t>
      </w:r>
      <w:r>
        <w:rPr>
          <w:rFonts w:ascii="Times New Roman" w:hAnsi="Times New Roman"/>
          <w:sz w:val="24"/>
          <w:szCs w:val="24"/>
          <w:lang w:eastAsia="en-GB"/>
        </w:rPr>
        <w:t>withdrawal</w:t>
      </w:r>
      <w:r w:rsidRPr="00CF08C5">
        <w:rPr>
          <w:rFonts w:ascii="Times New Roman" w:hAnsi="Times New Roman"/>
          <w:sz w:val="24"/>
          <w:szCs w:val="24"/>
          <w:lang w:eastAsia="en-GB"/>
        </w:rPr>
        <w:t>. He points to the success of Israel</w:t>
      </w:r>
      <w:r>
        <w:rPr>
          <w:rFonts w:ascii="Times New Roman" w:hAnsi="Times New Roman"/>
          <w:sz w:val="24"/>
          <w:szCs w:val="24"/>
          <w:lang w:eastAsia="en-GB"/>
        </w:rPr>
        <w:t>’s</w:t>
      </w:r>
      <w:r w:rsidRPr="00CF08C5">
        <w:rPr>
          <w:rFonts w:ascii="Times New Roman" w:hAnsi="Times New Roman"/>
          <w:sz w:val="24"/>
          <w:szCs w:val="24"/>
          <w:lang w:eastAsia="en-GB"/>
        </w:rPr>
        <w:t xml:space="preserve"> Yozma funds </w:t>
      </w:r>
      <w:r>
        <w:rPr>
          <w:rFonts w:ascii="Times New Roman" w:hAnsi="Times New Roman"/>
          <w:sz w:val="24"/>
          <w:szCs w:val="24"/>
          <w:lang w:eastAsia="en-GB"/>
        </w:rPr>
        <w:t>in</w:t>
      </w:r>
      <w:r w:rsidRPr="00CF08C5">
        <w:rPr>
          <w:rFonts w:ascii="Times New Roman" w:hAnsi="Times New Roman"/>
          <w:sz w:val="24"/>
          <w:szCs w:val="24"/>
          <w:lang w:eastAsia="en-GB"/>
        </w:rPr>
        <w:t xml:space="preserve"> encourag</w:t>
      </w:r>
      <w:r>
        <w:rPr>
          <w:rFonts w:ascii="Times New Roman" w:hAnsi="Times New Roman"/>
          <w:sz w:val="24"/>
          <w:szCs w:val="24"/>
          <w:lang w:eastAsia="en-GB"/>
        </w:rPr>
        <w:t>ing</w:t>
      </w:r>
      <w:r w:rsidRPr="00CF08C5">
        <w:rPr>
          <w:rFonts w:ascii="Times New Roman" w:hAnsi="Times New Roman"/>
          <w:sz w:val="24"/>
          <w:szCs w:val="24"/>
          <w:lang w:eastAsia="en-GB"/>
        </w:rPr>
        <w:t xml:space="preserve"> high levels of foreign co-investment and achiev</w:t>
      </w:r>
      <w:r>
        <w:rPr>
          <w:rFonts w:ascii="Times New Roman" w:hAnsi="Times New Roman"/>
          <w:sz w:val="24"/>
          <w:szCs w:val="24"/>
          <w:lang w:eastAsia="en-GB"/>
        </w:rPr>
        <w:t>ing</w:t>
      </w:r>
      <w:r w:rsidRPr="00CF08C5">
        <w:rPr>
          <w:rFonts w:ascii="Times New Roman" w:hAnsi="Times New Roman"/>
          <w:sz w:val="24"/>
          <w:szCs w:val="24"/>
          <w:lang w:eastAsia="en-GB"/>
        </w:rPr>
        <w:t xml:space="preserve"> fund cycle comple</w:t>
      </w:r>
      <w:r>
        <w:rPr>
          <w:rFonts w:ascii="Times New Roman" w:hAnsi="Times New Roman"/>
          <w:sz w:val="24"/>
          <w:szCs w:val="24"/>
          <w:lang w:eastAsia="en-GB"/>
        </w:rPr>
        <w:t>tion and privatization within ten</w:t>
      </w:r>
      <w:r w:rsidRPr="00CF08C5">
        <w:rPr>
          <w:rFonts w:ascii="Times New Roman" w:hAnsi="Times New Roman"/>
          <w:sz w:val="24"/>
          <w:szCs w:val="24"/>
          <w:lang w:eastAsia="en-GB"/>
        </w:rPr>
        <w:t xml:space="preserve"> years</w:t>
      </w:r>
      <w:r>
        <w:rPr>
          <w:rFonts w:ascii="Times New Roman" w:hAnsi="Times New Roman"/>
          <w:sz w:val="24"/>
          <w:szCs w:val="24"/>
          <w:lang w:eastAsia="en-GB"/>
        </w:rPr>
        <w:t xml:space="preserve">, </w:t>
      </w:r>
      <w:r w:rsidRPr="00CF08C5">
        <w:rPr>
          <w:rFonts w:ascii="Times New Roman" w:hAnsi="Times New Roman"/>
          <w:sz w:val="24"/>
          <w:szCs w:val="24"/>
          <w:lang w:eastAsia="en-GB"/>
        </w:rPr>
        <w:t>suggesti</w:t>
      </w:r>
      <w:r>
        <w:rPr>
          <w:rFonts w:ascii="Times New Roman" w:hAnsi="Times New Roman"/>
          <w:sz w:val="24"/>
          <w:szCs w:val="24"/>
          <w:lang w:eastAsia="en-GB"/>
        </w:rPr>
        <w:t>ng</w:t>
      </w:r>
      <w:r w:rsidRPr="00CF08C5">
        <w:rPr>
          <w:rFonts w:ascii="Times New Roman" w:hAnsi="Times New Roman"/>
          <w:sz w:val="24"/>
          <w:szCs w:val="24"/>
          <w:lang w:eastAsia="en-GB"/>
        </w:rPr>
        <w:t xml:space="preserve"> that once the mechanisms are demonstrably in place governme</w:t>
      </w:r>
      <w:r>
        <w:rPr>
          <w:rFonts w:ascii="Times New Roman" w:hAnsi="Times New Roman"/>
          <w:sz w:val="24"/>
          <w:szCs w:val="24"/>
          <w:lang w:eastAsia="en-GB"/>
        </w:rPr>
        <w:t>nt can withdraw (Clarysse et al.,</w:t>
      </w:r>
      <w:r w:rsidRPr="00CF08C5">
        <w:rPr>
          <w:rFonts w:ascii="Times New Roman" w:hAnsi="Times New Roman"/>
          <w:sz w:val="24"/>
          <w:szCs w:val="24"/>
          <w:lang w:eastAsia="en-GB"/>
        </w:rPr>
        <w:t xml:space="preserve"> 2009). </w:t>
      </w:r>
      <w:r w:rsidRPr="008C685A">
        <w:rPr>
          <w:rFonts w:ascii="Times New Roman" w:hAnsi="Times New Roman"/>
          <w:sz w:val="24"/>
          <w:szCs w:val="24"/>
          <w:lang w:eastAsia="en-GB"/>
        </w:rPr>
        <w:t>Essentially,</w:t>
      </w:r>
      <w:r w:rsidRPr="00CF08C5">
        <w:rPr>
          <w:rFonts w:ascii="Times New Roman" w:hAnsi="Times New Roman"/>
          <w:sz w:val="24"/>
          <w:szCs w:val="24"/>
          <w:lang w:eastAsia="en-GB"/>
        </w:rPr>
        <w:t xml:space="preserve"> balance in the scale and size of HVCFs is required. They must not be so large as to crowd out existing private VC activities </w:t>
      </w:r>
      <w:r>
        <w:rPr>
          <w:rFonts w:ascii="Times New Roman" w:hAnsi="Times New Roman"/>
          <w:sz w:val="24"/>
          <w:szCs w:val="24"/>
          <w:lang w:eastAsia="en-GB"/>
        </w:rPr>
        <w:t>n</w:t>
      </w:r>
      <w:r w:rsidRPr="00CF08C5">
        <w:rPr>
          <w:rFonts w:ascii="Times New Roman" w:hAnsi="Times New Roman"/>
          <w:sz w:val="24"/>
          <w:szCs w:val="24"/>
          <w:lang w:eastAsia="en-GB"/>
        </w:rPr>
        <w:t>or outlast their period of usefulness.</w:t>
      </w:r>
    </w:p>
    <w:p w:rsidR="00075DBE" w:rsidRDefault="00075DBE" w:rsidP="00085F52">
      <w:pPr>
        <w:spacing w:after="100" w:afterAutospacing="1" w:line="480" w:lineRule="auto"/>
        <w:rPr>
          <w:rFonts w:ascii="Times New Roman" w:hAnsi="Times New Roman"/>
          <w:i/>
          <w:sz w:val="24"/>
          <w:szCs w:val="24"/>
        </w:rPr>
      </w:pPr>
      <w:bookmarkStart w:id="1" w:name="_Toc266261495"/>
    </w:p>
    <w:p w:rsidR="00075DBE" w:rsidRPr="00DE44E3" w:rsidRDefault="00075DBE" w:rsidP="00085F52">
      <w:pPr>
        <w:spacing w:after="100" w:afterAutospacing="1" w:line="480" w:lineRule="auto"/>
        <w:rPr>
          <w:rFonts w:ascii="Times New Roman" w:hAnsi="Times New Roman"/>
          <w:b/>
          <w:sz w:val="20"/>
          <w:szCs w:val="24"/>
        </w:rPr>
      </w:pPr>
      <w:r w:rsidRPr="00DE44E3">
        <w:rPr>
          <w:rFonts w:ascii="Times New Roman" w:hAnsi="Times New Roman"/>
          <w:b/>
          <w:sz w:val="20"/>
          <w:szCs w:val="24"/>
        </w:rPr>
        <w:t>&lt;B&gt;Funding Leverage</w:t>
      </w:r>
      <w:bookmarkEnd w:id="1"/>
    </w:p>
    <w:p w:rsidR="00075DBE" w:rsidRDefault="00075DBE" w:rsidP="00085F52">
      <w:pPr>
        <w:spacing w:after="100" w:afterAutospacing="1" w:line="480" w:lineRule="auto"/>
        <w:rPr>
          <w:rFonts w:ascii="Times New Roman" w:hAnsi="Times New Roman"/>
          <w:sz w:val="24"/>
          <w:szCs w:val="24"/>
        </w:rPr>
      </w:pPr>
    </w:p>
    <w:p w:rsidR="00075DBE" w:rsidRDefault="00075DBE" w:rsidP="00085F52">
      <w:pPr>
        <w:spacing w:after="100" w:afterAutospacing="1" w:line="480" w:lineRule="auto"/>
        <w:rPr>
          <w:rFonts w:ascii="Times New Roman" w:hAnsi="Times New Roman"/>
          <w:b/>
          <w:i/>
          <w:sz w:val="24"/>
          <w:szCs w:val="24"/>
        </w:rPr>
      </w:pPr>
      <w:r>
        <w:rPr>
          <w:rFonts w:ascii="Times New Roman" w:hAnsi="Times New Roman"/>
          <w:sz w:val="24"/>
          <w:szCs w:val="24"/>
        </w:rPr>
        <w:t>S</w:t>
      </w:r>
      <w:r w:rsidRPr="00CF08C5">
        <w:rPr>
          <w:rFonts w:ascii="Times New Roman" w:hAnsi="Times New Roman"/>
          <w:sz w:val="24"/>
          <w:szCs w:val="24"/>
        </w:rPr>
        <w:t xml:space="preserve">caling up HVCFs </w:t>
      </w:r>
      <w:r>
        <w:rPr>
          <w:rFonts w:ascii="Times New Roman" w:hAnsi="Times New Roman"/>
          <w:sz w:val="24"/>
          <w:szCs w:val="24"/>
        </w:rPr>
        <w:t>requires</w:t>
      </w:r>
      <w:r w:rsidRPr="00CF08C5">
        <w:rPr>
          <w:rFonts w:ascii="Times New Roman" w:hAnsi="Times New Roman"/>
          <w:sz w:val="24"/>
          <w:szCs w:val="24"/>
        </w:rPr>
        <w:t xml:space="preserve"> leveraging of matching private sector investment</w:t>
      </w:r>
      <w:r>
        <w:rPr>
          <w:rFonts w:ascii="Times New Roman" w:hAnsi="Times New Roman"/>
          <w:sz w:val="24"/>
          <w:szCs w:val="24"/>
        </w:rPr>
        <w:t xml:space="preserve">, </w:t>
      </w:r>
      <w:r w:rsidRPr="00CF08C5">
        <w:rPr>
          <w:rFonts w:ascii="Times New Roman" w:hAnsi="Times New Roman"/>
          <w:sz w:val="24"/>
          <w:szCs w:val="24"/>
        </w:rPr>
        <w:t xml:space="preserve">achieved either through partnership and co-investment funding, or within the underlying fund’s finance raising activities. UKIIF demonstrates the </w:t>
      </w:r>
      <w:r>
        <w:rPr>
          <w:rFonts w:ascii="Times New Roman" w:hAnsi="Times New Roman"/>
          <w:sz w:val="24"/>
          <w:szCs w:val="24"/>
        </w:rPr>
        <w:t xml:space="preserve">fund of funds model’s </w:t>
      </w:r>
      <w:r w:rsidRPr="00CF08C5">
        <w:rPr>
          <w:rFonts w:ascii="Times New Roman" w:hAnsi="Times New Roman"/>
          <w:sz w:val="24"/>
          <w:szCs w:val="24"/>
        </w:rPr>
        <w:t>scaling up potentia</w:t>
      </w:r>
      <w:r>
        <w:rPr>
          <w:rFonts w:ascii="Times New Roman" w:hAnsi="Times New Roman"/>
          <w:sz w:val="24"/>
          <w:szCs w:val="24"/>
        </w:rPr>
        <w:t xml:space="preserve">l: </w:t>
      </w:r>
      <w:r w:rsidRPr="00CF08C5">
        <w:rPr>
          <w:rFonts w:ascii="Times New Roman" w:hAnsi="Times New Roman"/>
          <w:sz w:val="24"/>
          <w:szCs w:val="24"/>
        </w:rPr>
        <w:t xml:space="preserve">over and above the </w:t>
      </w:r>
      <w:r>
        <w:rPr>
          <w:rFonts w:ascii="Times New Roman" w:hAnsi="Times New Roman"/>
          <w:sz w:val="24"/>
          <w:szCs w:val="24"/>
        </w:rPr>
        <w:t xml:space="preserve">umbrella </w:t>
      </w:r>
      <w:r w:rsidRPr="000735B9">
        <w:rPr>
          <w:rFonts w:ascii="Times New Roman" w:hAnsi="Times New Roman"/>
          <w:sz w:val="24"/>
          <w:szCs w:val="24"/>
        </w:rPr>
        <w:t>fund’s £150m government finance</w:t>
      </w:r>
      <w:r>
        <w:rPr>
          <w:rFonts w:ascii="Times New Roman" w:hAnsi="Times New Roman"/>
          <w:sz w:val="24"/>
          <w:szCs w:val="24"/>
        </w:rPr>
        <w:t xml:space="preserve"> input</w:t>
      </w:r>
      <w:r w:rsidRPr="000735B9">
        <w:rPr>
          <w:rFonts w:ascii="Times New Roman" w:hAnsi="Times New Roman"/>
          <w:sz w:val="24"/>
          <w:szCs w:val="24"/>
        </w:rPr>
        <w:t xml:space="preserve"> (</w:t>
      </w:r>
      <w:r w:rsidRPr="00DE44E3">
        <w:rPr>
          <w:rFonts w:ascii="Times New Roman" w:hAnsi="Times New Roman"/>
          <w:sz w:val="24"/>
          <w:szCs w:val="24"/>
        </w:rPr>
        <w:t>Table 8.2</w:t>
      </w:r>
      <w:r w:rsidRPr="000735B9">
        <w:rPr>
          <w:rFonts w:ascii="Times New Roman" w:hAnsi="Times New Roman"/>
          <w:sz w:val="24"/>
          <w:szCs w:val="24"/>
        </w:rPr>
        <w:t>), an additional 20x</w:t>
      </w:r>
      <w:r w:rsidRPr="00DE44E3">
        <w:rPr>
          <w:rFonts w:ascii="Times New Roman" w:hAnsi="Times New Roman"/>
          <w:sz w:val="24"/>
          <w:szCs w:val="24"/>
          <w:highlight w:val="yellow"/>
          <w:vertAlign w:val="superscript"/>
        </w:rPr>
        <w:t>7</w:t>
      </w:r>
      <w:r w:rsidRPr="000735B9">
        <w:rPr>
          <w:rFonts w:ascii="Times New Roman" w:hAnsi="Times New Roman"/>
          <w:sz w:val="24"/>
          <w:szCs w:val="24"/>
        </w:rPr>
        <w:t xml:space="preserve"> match funding was raised (e.g. from institutions, banks, family offices) including foreign investment.</w:t>
      </w:r>
    </w:p>
    <w:p w:rsidR="00075DBE" w:rsidRDefault="00075DBE" w:rsidP="00085F52">
      <w:pPr>
        <w:spacing w:after="100" w:afterAutospacing="1" w:line="480" w:lineRule="auto"/>
        <w:ind w:firstLine="720"/>
        <w:rPr>
          <w:rFonts w:ascii="Times New Roman" w:hAnsi="Times New Roman"/>
          <w:sz w:val="24"/>
          <w:szCs w:val="24"/>
        </w:rPr>
      </w:pPr>
      <w:r w:rsidRPr="000735B9">
        <w:rPr>
          <w:rFonts w:ascii="Times New Roman" w:hAnsi="Times New Roman"/>
          <w:sz w:val="24"/>
          <w:szCs w:val="24"/>
        </w:rPr>
        <w:t xml:space="preserve">Partnership funding is also important to developing a successful VC market. ECF, Aspire and UKIIF each adopted different models for leveraging additional finance for company portfolio </w:t>
      </w:r>
      <w:r w:rsidRPr="000735B9">
        <w:rPr>
          <w:rFonts w:ascii="Times New Roman" w:hAnsi="Times New Roman"/>
          <w:sz w:val="24"/>
          <w:szCs w:val="24"/>
        </w:rPr>
        <w:lastRenderedPageBreak/>
        <w:t>investments. However, whether partnership funding is a programme requirement or not, it is widely adopted in early stage VC funding, being largely supported by both public and private VCs. Potential benefits includ</w:t>
      </w:r>
      <w:r>
        <w:rPr>
          <w:rFonts w:ascii="Times New Roman" w:hAnsi="Times New Roman"/>
          <w:sz w:val="24"/>
          <w:szCs w:val="24"/>
        </w:rPr>
        <w:t>e</w:t>
      </w:r>
      <w:r w:rsidRPr="000735B9">
        <w:rPr>
          <w:rFonts w:ascii="Times New Roman" w:hAnsi="Times New Roman"/>
          <w:sz w:val="24"/>
          <w:szCs w:val="24"/>
        </w:rPr>
        <w:t xml:space="preserve"> risk sharing, gaining key VC sector skills, opening up new and international market opportunities and presenting more viable exit cases (Hopp, 2010).</w:t>
      </w:r>
    </w:p>
    <w:p w:rsidR="00075DBE" w:rsidRDefault="00075DBE" w:rsidP="00085F52">
      <w:pPr>
        <w:spacing w:after="100" w:afterAutospacing="1" w:line="480" w:lineRule="auto"/>
        <w:ind w:firstLine="720"/>
        <w:rPr>
          <w:rFonts w:ascii="Times New Roman" w:hAnsi="Times New Roman"/>
          <w:sz w:val="24"/>
          <w:szCs w:val="24"/>
        </w:rPr>
      </w:pPr>
      <w:r w:rsidRPr="000735B9">
        <w:rPr>
          <w:rFonts w:ascii="Times New Roman" w:hAnsi="Times New Roman"/>
          <w:sz w:val="24"/>
          <w:szCs w:val="24"/>
        </w:rPr>
        <w:t xml:space="preserve">Typically, Aspire and ECF recipients sought additional finance at the outset. </w:t>
      </w:r>
      <w:r>
        <w:rPr>
          <w:rFonts w:ascii="Times New Roman" w:hAnsi="Times New Roman"/>
          <w:sz w:val="24"/>
          <w:szCs w:val="24"/>
        </w:rPr>
        <w:t>For example, f</w:t>
      </w:r>
      <w:r w:rsidRPr="000735B9">
        <w:rPr>
          <w:rFonts w:ascii="Times New Roman" w:hAnsi="Times New Roman"/>
          <w:sz w:val="24"/>
          <w:szCs w:val="24"/>
        </w:rPr>
        <w:t>or seven of the 12 ECF cases other funding followed (or was conditional upon) the ECF funding, including cases where business angel and bank loan finance was unlocked on completion of the deal, with £4.7m of ECF funding raising £7.9m from other sources within o</w:t>
      </w:r>
      <w:bookmarkStart w:id="2" w:name="_Toc266261496"/>
      <w:r>
        <w:rPr>
          <w:rFonts w:ascii="Times New Roman" w:hAnsi="Times New Roman"/>
          <w:sz w:val="24"/>
          <w:szCs w:val="24"/>
        </w:rPr>
        <w:t xml:space="preserve">ne year of the initial funding. </w:t>
      </w:r>
      <w:r w:rsidRPr="000735B9">
        <w:rPr>
          <w:rFonts w:ascii="Times New Roman" w:hAnsi="Times New Roman"/>
          <w:sz w:val="24"/>
          <w:szCs w:val="24"/>
        </w:rPr>
        <w:t>UKIIF has no fund leveraging requirements, but with over four</w:t>
      </w:r>
      <w:r>
        <w:rPr>
          <w:rFonts w:ascii="Times New Roman" w:hAnsi="Times New Roman"/>
          <w:sz w:val="24"/>
          <w:szCs w:val="24"/>
        </w:rPr>
        <w:t>-</w:t>
      </w:r>
      <w:r w:rsidRPr="000735B9">
        <w:rPr>
          <w:rFonts w:ascii="Times New Roman" w:hAnsi="Times New Roman"/>
          <w:sz w:val="24"/>
          <w:szCs w:val="24"/>
        </w:rPr>
        <w:t xml:space="preserve">fifths of investments in early stage R&amp;D projects, other investors were often encouraged to prevent over exposure, </w:t>
      </w:r>
      <w:r>
        <w:rPr>
          <w:rFonts w:ascii="Times New Roman" w:hAnsi="Times New Roman"/>
          <w:sz w:val="24"/>
          <w:szCs w:val="24"/>
        </w:rPr>
        <w:t xml:space="preserve">strengthen human </w:t>
      </w:r>
      <w:r w:rsidRPr="000735B9">
        <w:rPr>
          <w:rFonts w:ascii="Times New Roman" w:hAnsi="Times New Roman"/>
          <w:sz w:val="24"/>
          <w:szCs w:val="24"/>
        </w:rPr>
        <w:t xml:space="preserve">capital (e.g. </w:t>
      </w:r>
      <w:r>
        <w:rPr>
          <w:rFonts w:ascii="Times New Roman" w:hAnsi="Times New Roman"/>
          <w:sz w:val="24"/>
          <w:szCs w:val="24"/>
        </w:rPr>
        <w:t xml:space="preserve">by </w:t>
      </w:r>
      <w:r w:rsidRPr="000735B9">
        <w:rPr>
          <w:rFonts w:ascii="Times New Roman" w:hAnsi="Times New Roman"/>
          <w:sz w:val="24"/>
          <w:szCs w:val="24"/>
        </w:rPr>
        <w:t>partnering VCs with particular market knowledge) and provide sufficient funds to develop the business. Several UKIIF lead investor funds recommended other private VCs as junior investors in the financing round, with these alliances contributing to a more robust business case for future investment rounds. At the time of the research UKIIF had invested almost £46m out of total project financing of £96m, with 55 per cent of additional finance (£25m) attributed as leveraged through UKIIF. Leveraged funds came from a variety of sources, including private VCs, business angels, banks and mezzanine funds.</w:t>
      </w:r>
    </w:p>
    <w:bookmarkEnd w:id="2"/>
    <w:p w:rsidR="00075DBE" w:rsidRDefault="00075DBE" w:rsidP="00085F52">
      <w:pPr>
        <w:spacing w:after="0" w:line="480" w:lineRule="auto"/>
        <w:rPr>
          <w:rFonts w:ascii="Times New Roman" w:hAnsi="Times New Roman"/>
          <w:b/>
          <w:i/>
          <w:sz w:val="24"/>
          <w:szCs w:val="24"/>
          <w:lang w:eastAsia="en-GB"/>
        </w:rPr>
      </w:pPr>
    </w:p>
    <w:p w:rsidR="00075DBE" w:rsidRPr="00DE44E3" w:rsidRDefault="00075DBE" w:rsidP="00085F52">
      <w:pPr>
        <w:spacing w:after="0" w:line="480" w:lineRule="auto"/>
        <w:rPr>
          <w:rFonts w:ascii="Times New Roman" w:hAnsi="Times New Roman"/>
          <w:b/>
          <w:sz w:val="20"/>
          <w:szCs w:val="24"/>
          <w:lang w:eastAsia="en-GB"/>
        </w:rPr>
      </w:pPr>
      <w:r w:rsidRPr="00DE44E3">
        <w:rPr>
          <w:rFonts w:ascii="Times New Roman" w:hAnsi="Times New Roman"/>
          <w:b/>
          <w:sz w:val="20"/>
          <w:szCs w:val="24"/>
          <w:lang w:eastAsia="en-GB"/>
        </w:rPr>
        <w:t>&lt;B&gt;Follow on Funding</w:t>
      </w:r>
    </w:p>
    <w:p w:rsidR="00075DBE" w:rsidRDefault="00075DBE" w:rsidP="00085F52">
      <w:pPr>
        <w:spacing w:after="100" w:afterAutospacing="1" w:line="480" w:lineRule="auto"/>
        <w:rPr>
          <w:rFonts w:ascii="Times New Roman" w:hAnsi="Times New Roman"/>
          <w:sz w:val="24"/>
          <w:szCs w:val="24"/>
        </w:rPr>
      </w:pPr>
    </w:p>
    <w:p w:rsidR="00075DBE" w:rsidRPr="00B30CB9" w:rsidRDefault="00075DBE" w:rsidP="00085F52">
      <w:pPr>
        <w:spacing w:after="100" w:afterAutospacing="1" w:line="480" w:lineRule="auto"/>
        <w:rPr>
          <w:rFonts w:ascii="Times New Roman" w:hAnsi="Times New Roman"/>
          <w:sz w:val="24"/>
          <w:szCs w:val="24"/>
          <w:lang w:eastAsia="en-GB"/>
        </w:rPr>
      </w:pPr>
      <w:r w:rsidRPr="00CF08C5">
        <w:rPr>
          <w:rFonts w:ascii="Times New Roman" w:hAnsi="Times New Roman"/>
          <w:sz w:val="24"/>
          <w:szCs w:val="24"/>
        </w:rPr>
        <w:t>The NAO report (2009) highlighted th</w:t>
      </w:r>
      <w:r>
        <w:rPr>
          <w:rFonts w:ascii="Times New Roman" w:hAnsi="Times New Roman"/>
          <w:sz w:val="24"/>
          <w:szCs w:val="24"/>
        </w:rPr>
        <w:t>at</w:t>
      </w:r>
      <w:r w:rsidRPr="00CF08C5">
        <w:rPr>
          <w:rFonts w:ascii="Times New Roman" w:hAnsi="Times New Roman"/>
          <w:sz w:val="24"/>
          <w:szCs w:val="24"/>
        </w:rPr>
        <w:t xml:space="preserve"> HVCFs </w:t>
      </w:r>
      <w:r>
        <w:rPr>
          <w:rFonts w:ascii="Times New Roman" w:hAnsi="Times New Roman"/>
          <w:sz w:val="24"/>
          <w:szCs w:val="24"/>
        </w:rPr>
        <w:t>require sufficient</w:t>
      </w:r>
      <w:r w:rsidRPr="00CF08C5">
        <w:rPr>
          <w:rFonts w:ascii="Times New Roman" w:hAnsi="Times New Roman"/>
          <w:sz w:val="24"/>
          <w:szCs w:val="24"/>
        </w:rPr>
        <w:t xml:space="preserve"> size to provide suitable follow-on funding. Our </w:t>
      </w:r>
      <w:r>
        <w:rPr>
          <w:rFonts w:ascii="Times New Roman" w:hAnsi="Times New Roman"/>
          <w:sz w:val="24"/>
          <w:szCs w:val="24"/>
        </w:rPr>
        <w:t xml:space="preserve">follow-on survey </w:t>
      </w:r>
      <w:r w:rsidRPr="00CF08C5">
        <w:rPr>
          <w:rFonts w:ascii="Times New Roman" w:hAnsi="Times New Roman"/>
          <w:sz w:val="24"/>
          <w:szCs w:val="24"/>
        </w:rPr>
        <w:t xml:space="preserve">revealed four businesses </w:t>
      </w:r>
      <w:r>
        <w:rPr>
          <w:rFonts w:ascii="Times New Roman" w:hAnsi="Times New Roman"/>
          <w:sz w:val="24"/>
          <w:szCs w:val="24"/>
        </w:rPr>
        <w:t>experiencing</w:t>
      </w:r>
      <w:r w:rsidRPr="00CF08C5">
        <w:rPr>
          <w:rFonts w:ascii="Times New Roman" w:hAnsi="Times New Roman"/>
          <w:sz w:val="24"/>
          <w:szCs w:val="24"/>
        </w:rPr>
        <w:t xml:space="preserve"> lack of </w:t>
      </w:r>
      <w:r>
        <w:rPr>
          <w:rFonts w:ascii="Times New Roman" w:hAnsi="Times New Roman"/>
          <w:sz w:val="24"/>
          <w:szCs w:val="24"/>
        </w:rPr>
        <w:t xml:space="preserve">HVCF further </w:t>
      </w:r>
      <w:r w:rsidRPr="00CF08C5">
        <w:rPr>
          <w:rFonts w:ascii="Times New Roman" w:hAnsi="Times New Roman"/>
          <w:sz w:val="24"/>
          <w:szCs w:val="24"/>
        </w:rPr>
        <w:t>finance</w:t>
      </w:r>
      <w:r>
        <w:rPr>
          <w:rFonts w:ascii="Times New Roman" w:hAnsi="Times New Roman"/>
          <w:sz w:val="24"/>
          <w:szCs w:val="24"/>
        </w:rPr>
        <w:t xml:space="preserve"> with</w:t>
      </w:r>
      <w:r w:rsidRPr="00CF08C5">
        <w:rPr>
          <w:rFonts w:ascii="Times New Roman" w:hAnsi="Times New Roman"/>
          <w:sz w:val="24"/>
          <w:szCs w:val="24"/>
        </w:rPr>
        <w:t xml:space="preserve"> an innovative energy business </w:t>
      </w:r>
      <w:r>
        <w:rPr>
          <w:rFonts w:ascii="Times New Roman" w:hAnsi="Times New Roman"/>
          <w:sz w:val="24"/>
          <w:szCs w:val="24"/>
        </w:rPr>
        <w:t xml:space="preserve">CEO </w:t>
      </w:r>
      <w:r w:rsidRPr="00CF08C5">
        <w:rPr>
          <w:rFonts w:ascii="Times New Roman" w:hAnsi="Times New Roman"/>
          <w:sz w:val="24"/>
          <w:szCs w:val="24"/>
        </w:rPr>
        <w:t>comment</w:t>
      </w:r>
      <w:r>
        <w:rPr>
          <w:rFonts w:ascii="Times New Roman" w:hAnsi="Times New Roman"/>
          <w:sz w:val="24"/>
          <w:szCs w:val="24"/>
        </w:rPr>
        <w:t>ing</w:t>
      </w:r>
      <w:r w:rsidRPr="00CF08C5">
        <w:rPr>
          <w:rFonts w:ascii="Times New Roman" w:hAnsi="Times New Roman"/>
          <w:sz w:val="24"/>
          <w:szCs w:val="24"/>
        </w:rPr>
        <w:t xml:space="preserve">: </w:t>
      </w:r>
      <w:r>
        <w:rPr>
          <w:rFonts w:ascii="Times New Roman" w:hAnsi="Times New Roman"/>
          <w:sz w:val="24"/>
          <w:szCs w:val="24"/>
        </w:rPr>
        <w:t>‘</w:t>
      </w:r>
      <w:r w:rsidRPr="00DE44E3">
        <w:rPr>
          <w:rFonts w:ascii="Times New Roman" w:hAnsi="Times New Roman"/>
          <w:sz w:val="24"/>
          <w:szCs w:val="24"/>
        </w:rPr>
        <w:t xml:space="preserve">It is very tough with VCs backing off to later stage financing. Our early stage VC will not take us any further and we cannot raise sufficient funds </w:t>
      </w:r>
      <w:r w:rsidRPr="00DE44E3">
        <w:rPr>
          <w:rFonts w:ascii="Times New Roman" w:hAnsi="Times New Roman"/>
          <w:sz w:val="24"/>
          <w:szCs w:val="24"/>
        </w:rPr>
        <w:lastRenderedPageBreak/>
        <w:t>from our HNW contacts. In the absence of any suitable government funding we will be forced to slow down development further</w:t>
      </w:r>
      <w:r>
        <w:rPr>
          <w:rFonts w:ascii="Times New Roman" w:hAnsi="Times New Roman"/>
          <w:sz w:val="24"/>
          <w:szCs w:val="24"/>
        </w:rPr>
        <w:t>.</w:t>
      </w:r>
      <w:r w:rsidRPr="00DE44E3">
        <w:rPr>
          <w:rFonts w:ascii="Times New Roman" w:hAnsi="Times New Roman"/>
          <w:sz w:val="24"/>
          <w:szCs w:val="24"/>
        </w:rPr>
        <w:t>’</w:t>
      </w:r>
    </w:p>
    <w:p w:rsidR="00075DBE" w:rsidRDefault="00075DBE" w:rsidP="00085F52">
      <w:pPr>
        <w:spacing w:after="100" w:afterAutospacing="1" w:line="480" w:lineRule="auto"/>
        <w:ind w:firstLine="720"/>
        <w:rPr>
          <w:rFonts w:ascii="Times New Roman" w:hAnsi="Times New Roman"/>
          <w:sz w:val="24"/>
          <w:szCs w:val="24"/>
          <w:lang w:eastAsia="en-GB"/>
        </w:rPr>
      </w:pPr>
      <w:r>
        <w:rPr>
          <w:rFonts w:ascii="Times New Roman" w:hAnsi="Times New Roman"/>
          <w:sz w:val="24"/>
          <w:szCs w:val="24"/>
          <w:lang w:eastAsia="en-GB"/>
        </w:rPr>
        <w:t>The</w:t>
      </w:r>
      <w:r w:rsidRPr="00CF08C5">
        <w:rPr>
          <w:rFonts w:ascii="Times New Roman" w:hAnsi="Times New Roman"/>
          <w:sz w:val="24"/>
          <w:szCs w:val="24"/>
          <w:lang w:eastAsia="en-GB"/>
        </w:rPr>
        <w:t xml:space="preserve"> </w:t>
      </w:r>
      <w:r>
        <w:rPr>
          <w:rFonts w:ascii="Times New Roman" w:hAnsi="Times New Roman"/>
          <w:sz w:val="24"/>
          <w:szCs w:val="24"/>
          <w:lang w:eastAsia="en-GB"/>
        </w:rPr>
        <w:t xml:space="preserve">follow-on </w:t>
      </w:r>
      <w:r w:rsidRPr="00CF08C5">
        <w:rPr>
          <w:rFonts w:ascii="Times New Roman" w:hAnsi="Times New Roman"/>
          <w:sz w:val="24"/>
          <w:szCs w:val="24"/>
          <w:lang w:eastAsia="en-GB"/>
        </w:rPr>
        <w:t xml:space="preserve">survey </w:t>
      </w:r>
      <w:r>
        <w:rPr>
          <w:rFonts w:ascii="Times New Roman" w:hAnsi="Times New Roman"/>
          <w:sz w:val="24"/>
          <w:szCs w:val="24"/>
          <w:lang w:eastAsia="en-GB"/>
        </w:rPr>
        <w:t xml:space="preserve">also </w:t>
      </w:r>
      <w:r w:rsidRPr="00CF08C5">
        <w:rPr>
          <w:rFonts w:ascii="Times New Roman" w:hAnsi="Times New Roman"/>
          <w:sz w:val="24"/>
          <w:szCs w:val="24"/>
          <w:lang w:eastAsia="en-GB"/>
        </w:rPr>
        <w:t>found that two fifths (9/24) require</w:t>
      </w:r>
      <w:r>
        <w:rPr>
          <w:rFonts w:ascii="Times New Roman" w:hAnsi="Times New Roman"/>
          <w:sz w:val="24"/>
          <w:szCs w:val="24"/>
          <w:lang w:eastAsia="en-GB"/>
        </w:rPr>
        <w:t xml:space="preserve">d further </w:t>
      </w:r>
      <w:r w:rsidRPr="00CF08C5">
        <w:rPr>
          <w:rFonts w:ascii="Times New Roman" w:hAnsi="Times New Roman"/>
          <w:sz w:val="24"/>
          <w:szCs w:val="24"/>
          <w:lang w:eastAsia="en-GB"/>
        </w:rPr>
        <w:t>funding within the next 18 months, ranging from £150,000 to £13.3m (median £3m), with the largest amounts required by life sciences</w:t>
      </w:r>
      <w:r>
        <w:rPr>
          <w:rFonts w:ascii="Times New Roman" w:hAnsi="Times New Roman"/>
          <w:sz w:val="24"/>
          <w:szCs w:val="24"/>
          <w:lang w:eastAsia="en-GB"/>
        </w:rPr>
        <w:t xml:space="preserve"> and</w:t>
      </w:r>
      <w:r w:rsidRPr="00CF08C5">
        <w:rPr>
          <w:rFonts w:ascii="Times New Roman" w:hAnsi="Times New Roman"/>
          <w:sz w:val="24"/>
          <w:szCs w:val="24"/>
          <w:lang w:eastAsia="en-GB"/>
        </w:rPr>
        <w:t xml:space="preserve"> advanced manufacturing</w:t>
      </w:r>
      <w:r>
        <w:rPr>
          <w:rFonts w:ascii="Times New Roman" w:hAnsi="Times New Roman"/>
          <w:sz w:val="24"/>
          <w:szCs w:val="24"/>
          <w:lang w:eastAsia="en-GB"/>
        </w:rPr>
        <w:t xml:space="preserve"> businesses</w:t>
      </w:r>
      <w:r w:rsidRPr="00CF08C5">
        <w:rPr>
          <w:rFonts w:ascii="Times New Roman" w:hAnsi="Times New Roman"/>
          <w:sz w:val="24"/>
          <w:szCs w:val="24"/>
          <w:lang w:eastAsia="en-GB"/>
        </w:rPr>
        <w:t>. Th</w:t>
      </w:r>
      <w:r>
        <w:rPr>
          <w:rFonts w:ascii="Times New Roman" w:hAnsi="Times New Roman"/>
          <w:sz w:val="24"/>
          <w:szCs w:val="24"/>
          <w:lang w:eastAsia="en-GB"/>
        </w:rPr>
        <w:t xml:space="preserve">e </w:t>
      </w:r>
      <w:r w:rsidRPr="00CF08C5">
        <w:rPr>
          <w:rFonts w:ascii="Times New Roman" w:hAnsi="Times New Roman"/>
          <w:sz w:val="24"/>
          <w:szCs w:val="24"/>
          <w:lang w:eastAsia="en-GB"/>
        </w:rPr>
        <w:t>suggest</w:t>
      </w:r>
      <w:r>
        <w:rPr>
          <w:rFonts w:ascii="Times New Roman" w:hAnsi="Times New Roman"/>
          <w:sz w:val="24"/>
          <w:szCs w:val="24"/>
          <w:lang w:eastAsia="en-GB"/>
        </w:rPr>
        <w:t>ion was</w:t>
      </w:r>
      <w:r w:rsidRPr="00CF08C5">
        <w:rPr>
          <w:rFonts w:ascii="Times New Roman" w:hAnsi="Times New Roman"/>
          <w:sz w:val="24"/>
          <w:szCs w:val="24"/>
          <w:lang w:eastAsia="en-GB"/>
        </w:rPr>
        <w:t xml:space="preserve"> that the larger investments required for later stage global sales development would be sourced from private and institutional investors, but that </w:t>
      </w:r>
      <w:r>
        <w:rPr>
          <w:rFonts w:ascii="Times New Roman" w:hAnsi="Times New Roman"/>
          <w:sz w:val="24"/>
          <w:szCs w:val="24"/>
          <w:lang w:eastAsia="en-GB"/>
        </w:rPr>
        <w:t>f</w:t>
      </w:r>
      <w:r w:rsidRPr="00CF08C5">
        <w:rPr>
          <w:rFonts w:ascii="Times New Roman" w:hAnsi="Times New Roman"/>
          <w:sz w:val="24"/>
          <w:szCs w:val="24"/>
          <w:lang w:eastAsia="en-GB"/>
        </w:rPr>
        <w:t xml:space="preserve">ailure to secure follow-on funds would result in </w:t>
      </w:r>
      <w:r>
        <w:rPr>
          <w:rFonts w:ascii="Times New Roman" w:hAnsi="Times New Roman"/>
          <w:sz w:val="24"/>
          <w:szCs w:val="24"/>
          <w:lang w:eastAsia="en-GB"/>
        </w:rPr>
        <w:t>premature</w:t>
      </w:r>
      <w:r w:rsidRPr="00CF08C5">
        <w:rPr>
          <w:rFonts w:ascii="Times New Roman" w:hAnsi="Times New Roman"/>
          <w:sz w:val="24"/>
          <w:szCs w:val="24"/>
          <w:lang w:eastAsia="en-GB"/>
        </w:rPr>
        <w:t xml:space="preserve"> trade sale</w:t>
      </w:r>
      <w:r>
        <w:rPr>
          <w:rFonts w:ascii="Times New Roman" w:hAnsi="Times New Roman"/>
          <w:sz w:val="24"/>
          <w:szCs w:val="24"/>
          <w:lang w:eastAsia="en-GB"/>
        </w:rPr>
        <w:t>s</w:t>
      </w:r>
      <w:r w:rsidRPr="00CF08C5">
        <w:rPr>
          <w:rFonts w:ascii="Times New Roman" w:hAnsi="Times New Roman"/>
          <w:sz w:val="24"/>
          <w:szCs w:val="24"/>
          <w:lang w:eastAsia="en-GB"/>
        </w:rPr>
        <w:t xml:space="preserve"> and </w:t>
      </w:r>
      <w:r>
        <w:rPr>
          <w:rFonts w:ascii="Times New Roman" w:hAnsi="Times New Roman"/>
          <w:sz w:val="24"/>
          <w:szCs w:val="24"/>
          <w:lang w:eastAsia="en-GB"/>
        </w:rPr>
        <w:t>the potential</w:t>
      </w:r>
      <w:r w:rsidRPr="00CF08C5">
        <w:rPr>
          <w:rFonts w:ascii="Times New Roman" w:hAnsi="Times New Roman"/>
          <w:sz w:val="24"/>
          <w:szCs w:val="24"/>
          <w:lang w:eastAsia="en-GB"/>
        </w:rPr>
        <w:t xml:space="preserve"> loss of the business overseas.</w:t>
      </w:r>
    </w:p>
    <w:p w:rsidR="00075DBE" w:rsidRDefault="00075DBE" w:rsidP="00085F52">
      <w:pPr>
        <w:spacing w:after="100" w:afterAutospacing="1" w:line="480" w:lineRule="auto"/>
        <w:ind w:firstLine="720"/>
        <w:rPr>
          <w:rFonts w:ascii="Times New Roman" w:hAnsi="Times New Roman"/>
          <w:sz w:val="24"/>
          <w:szCs w:val="24"/>
        </w:rPr>
      </w:pPr>
      <w:r>
        <w:rPr>
          <w:rFonts w:ascii="Times New Roman" w:hAnsi="Times New Roman"/>
          <w:sz w:val="24"/>
          <w:szCs w:val="24"/>
        </w:rPr>
        <w:t xml:space="preserve">Several business </w:t>
      </w:r>
      <w:r w:rsidRPr="00CF08C5">
        <w:rPr>
          <w:rFonts w:ascii="Times New Roman" w:hAnsi="Times New Roman"/>
          <w:sz w:val="24"/>
          <w:szCs w:val="24"/>
        </w:rPr>
        <w:t xml:space="preserve">managers voiced concerns that their </w:t>
      </w:r>
      <w:r>
        <w:rPr>
          <w:rFonts w:ascii="Times New Roman" w:hAnsi="Times New Roman"/>
          <w:sz w:val="24"/>
          <w:szCs w:val="24"/>
        </w:rPr>
        <w:t xml:space="preserve">fund managers </w:t>
      </w:r>
      <w:r w:rsidRPr="00CF08C5">
        <w:rPr>
          <w:rFonts w:ascii="Times New Roman" w:hAnsi="Times New Roman"/>
          <w:sz w:val="24"/>
          <w:szCs w:val="24"/>
        </w:rPr>
        <w:t xml:space="preserve">were operating purely from an investment return perspective: </w:t>
      </w:r>
      <w:r>
        <w:rPr>
          <w:rFonts w:ascii="Times New Roman" w:hAnsi="Times New Roman"/>
          <w:sz w:val="24"/>
          <w:szCs w:val="24"/>
        </w:rPr>
        <w:t>‘</w:t>
      </w:r>
      <w:r w:rsidRPr="00DE44E3">
        <w:rPr>
          <w:rFonts w:ascii="Times New Roman" w:hAnsi="Times New Roman"/>
          <w:sz w:val="24"/>
          <w:szCs w:val="24"/>
        </w:rPr>
        <w:t>VCs are more interested in their fund performance than their portfolio companies, do not like diluting their share of equity with later stage private or institutional equity investment, and may force trade sales that the business does not really want</w:t>
      </w:r>
      <w:r>
        <w:rPr>
          <w:rFonts w:ascii="Times New Roman" w:hAnsi="Times New Roman"/>
          <w:sz w:val="24"/>
          <w:szCs w:val="24"/>
        </w:rPr>
        <w:t>.</w:t>
      </w:r>
      <w:r w:rsidRPr="00DE44E3">
        <w:rPr>
          <w:rFonts w:ascii="Times New Roman" w:hAnsi="Times New Roman"/>
          <w:sz w:val="24"/>
          <w:szCs w:val="24"/>
        </w:rPr>
        <w:t>’</w:t>
      </w:r>
      <w:r>
        <w:rPr>
          <w:rFonts w:ascii="Times New Roman" w:hAnsi="Times New Roman"/>
          <w:sz w:val="24"/>
          <w:szCs w:val="24"/>
        </w:rPr>
        <w:t xml:space="preserve"> T</w:t>
      </w:r>
      <w:r w:rsidRPr="00CF08C5">
        <w:rPr>
          <w:rFonts w:ascii="Times New Roman" w:hAnsi="Times New Roman"/>
          <w:sz w:val="24"/>
          <w:szCs w:val="24"/>
        </w:rPr>
        <w:t xml:space="preserve">his minority viewpoint raises serious questions </w:t>
      </w:r>
      <w:r>
        <w:rPr>
          <w:rFonts w:ascii="Times New Roman" w:hAnsi="Times New Roman"/>
          <w:sz w:val="24"/>
          <w:szCs w:val="24"/>
        </w:rPr>
        <w:t>about</w:t>
      </w:r>
      <w:r w:rsidRPr="00CF08C5">
        <w:rPr>
          <w:rFonts w:ascii="Times New Roman" w:hAnsi="Times New Roman"/>
          <w:sz w:val="24"/>
          <w:szCs w:val="24"/>
        </w:rPr>
        <w:t xml:space="preserve"> how public backed VCs should operate. </w:t>
      </w:r>
      <w:r>
        <w:rPr>
          <w:rFonts w:ascii="Times New Roman" w:hAnsi="Times New Roman"/>
          <w:sz w:val="24"/>
          <w:szCs w:val="24"/>
        </w:rPr>
        <w:t xml:space="preserve">Those </w:t>
      </w:r>
      <w:r w:rsidRPr="00CF08C5">
        <w:rPr>
          <w:rFonts w:ascii="Times New Roman" w:hAnsi="Times New Roman"/>
          <w:sz w:val="24"/>
          <w:szCs w:val="24"/>
        </w:rPr>
        <w:t>UKIIF fund managers</w:t>
      </w:r>
      <w:r>
        <w:rPr>
          <w:rFonts w:ascii="Times New Roman" w:hAnsi="Times New Roman"/>
          <w:sz w:val="24"/>
          <w:szCs w:val="24"/>
        </w:rPr>
        <w:t xml:space="preserve"> favouring</w:t>
      </w:r>
      <w:r w:rsidRPr="00CF08C5">
        <w:rPr>
          <w:rFonts w:ascii="Times New Roman" w:hAnsi="Times New Roman"/>
          <w:sz w:val="24"/>
          <w:szCs w:val="24"/>
        </w:rPr>
        <w:t xml:space="preserve"> </w:t>
      </w:r>
      <w:r>
        <w:rPr>
          <w:rFonts w:ascii="Times New Roman" w:hAnsi="Times New Roman"/>
          <w:sz w:val="24"/>
          <w:szCs w:val="24"/>
        </w:rPr>
        <w:t xml:space="preserve">early stage </w:t>
      </w:r>
      <w:r w:rsidRPr="00CF08C5">
        <w:rPr>
          <w:rFonts w:ascii="Times New Roman" w:hAnsi="Times New Roman"/>
          <w:sz w:val="24"/>
          <w:szCs w:val="24"/>
        </w:rPr>
        <w:t>partnering with other private VCs</w:t>
      </w:r>
      <w:r>
        <w:rPr>
          <w:rFonts w:ascii="Times New Roman" w:hAnsi="Times New Roman"/>
          <w:sz w:val="24"/>
          <w:szCs w:val="24"/>
        </w:rPr>
        <w:t xml:space="preserve"> </w:t>
      </w:r>
      <w:r w:rsidRPr="00CF08C5">
        <w:rPr>
          <w:rFonts w:ascii="Times New Roman" w:hAnsi="Times New Roman"/>
          <w:sz w:val="24"/>
          <w:szCs w:val="24"/>
        </w:rPr>
        <w:t>to shar</w:t>
      </w:r>
      <w:r>
        <w:rPr>
          <w:rFonts w:ascii="Times New Roman" w:hAnsi="Times New Roman"/>
          <w:sz w:val="24"/>
          <w:szCs w:val="24"/>
        </w:rPr>
        <w:t>e</w:t>
      </w:r>
      <w:r w:rsidRPr="00CF08C5">
        <w:rPr>
          <w:rFonts w:ascii="Times New Roman" w:hAnsi="Times New Roman"/>
          <w:sz w:val="24"/>
          <w:szCs w:val="24"/>
        </w:rPr>
        <w:t xml:space="preserve"> risk</w:t>
      </w:r>
      <w:r>
        <w:rPr>
          <w:rFonts w:ascii="Times New Roman" w:hAnsi="Times New Roman"/>
          <w:sz w:val="24"/>
          <w:szCs w:val="24"/>
        </w:rPr>
        <w:t xml:space="preserve"> were</w:t>
      </w:r>
      <w:r w:rsidRPr="00CF08C5">
        <w:rPr>
          <w:rFonts w:ascii="Times New Roman" w:hAnsi="Times New Roman"/>
          <w:sz w:val="24"/>
          <w:szCs w:val="24"/>
        </w:rPr>
        <w:t xml:space="preserve"> clear that they wanted lead investor</w:t>
      </w:r>
      <w:r>
        <w:rPr>
          <w:rFonts w:ascii="Times New Roman" w:hAnsi="Times New Roman"/>
          <w:sz w:val="24"/>
          <w:szCs w:val="24"/>
        </w:rPr>
        <w:t xml:space="preserve"> </w:t>
      </w:r>
      <w:r w:rsidRPr="00CF08C5">
        <w:rPr>
          <w:rFonts w:ascii="Times New Roman" w:hAnsi="Times New Roman"/>
          <w:sz w:val="24"/>
          <w:szCs w:val="24"/>
        </w:rPr>
        <w:t>s</w:t>
      </w:r>
      <w:r>
        <w:rPr>
          <w:rFonts w:ascii="Times New Roman" w:hAnsi="Times New Roman"/>
          <w:sz w:val="24"/>
          <w:szCs w:val="24"/>
        </w:rPr>
        <w:t>tatus</w:t>
      </w:r>
      <w:r w:rsidRPr="00CF08C5">
        <w:rPr>
          <w:rFonts w:ascii="Times New Roman" w:hAnsi="Times New Roman"/>
          <w:sz w:val="24"/>
          <w:szCs w:val="24"/>
        </w:rPr>
        <w:t xml:space="preserve"> and </w:t>
      </w:r>
      <w:r>
        <w:rPr>
          <w:rFonts w:ascii="Times New Roman" w:hAnsi="Times New Roman"/>
          <w:sz w:val="24"/>
          <w:szCs w:val="24"/>
        </w:rPr>
        <w:t xml:space="preserve">to </w:t>
      </w:r>
      <w:r w:rsidRPr="00CF08C5">
        <w:rPr>
          <w:rFonts w:ascii="Times New Roman" w:hAnsi="Times New Roman"/>
          <w:sz w:val="24"/>
          <w:szCs w:val="24"/>
        </w:rPr>
        <w:t>avoid interim funding round partnership dilution where possible until they were ready to exit</w:t>
      </w:r>
      <w:r>
        <w:rPr>
          <w:rFonts w:ascii="Times New Roman" w:hAnsi="Times New Roman"/>
          <w:sz w:val="24"/>
          <w:szCs w:val="24"/>
        </w:rPr>
        <w:t>.</w:t>
      </w:r>
    </w:p>
    <w:p w:rsidR="00075DBE" w:rsidRDefault="00075DBE" w:rsidP="00085F52">
      <w:pPr>
        <w:spacing w:after="0" w:line="480" w:lineRule="auto"/>
        <w:rPr>
          <w:rFonts w:ascii="Times New Roman" w:hAnsi="Times New Roman"/>
          <w:sz w:val="24"/>
          <w:szCs w:val="24"/>
          <w:lang w:eastAsia="en-GB"/>
        </w:rPr>
      </w:pPr>
    </w:p>
    <w:p w:rsidR="00075DBE" w:rsidRDefault="00075DBE" w:rsidP="00085F52">
      <w:pPr>
        <w:spacing w:after="0" w:line="480" w:lineRule="auto"/>
        <w:rPr>
          <w:rFonts w:ascii="Times New Roman" w:hAnsi="Times New Roman"/>
          <w:b/>
          <w:sz w:val="24"/>
          <w:szCs w:val="24"/>
          <w:lang w:eastAsia="en-GB"/>
        </w:rPr>
      </w:pPr>
    </w:p>
    <w:p w:rsidR="00075DBE" w:rsidRPr="00B30CB9" w:rsidRDefault="00075DBE" w:rsidP="00085F52">
      <w:pPr>
        <w:spacing w:after="0" w:line="480" w:lineRule="auto"/>
        <w:rPr>
          <w:rFonts w:ascii="Times New Roman" w:hAnsi="Times New Roman"/>
          <w:sz w:val="24"/>
          <w:szCs w:val="24"/>
          <w:lang w:eastAsia="en-GB"/>
        </w:rPr>
      </w:pPr>
      <w:r w:rsidRPr="00B30CB9">
        <w:rPr>
          <w:rFonts w:ascii="Times New Roman" w:hAnsi="Times New Roman"/>
          <w:sz w:val="24"/>
          <w:szCs w:val="24"/>
          <w:lang w:eastAsia="en-GB"/>
        </w:rPr>
        <w:t>&lt;A&gt;‘UNDERSTAND THE IMPORTANCE OF GLOBAL INTERCONNECTIONS’</w:t>
      </w:r>
    </w:p>
    <w:p w:rsidR="00075DBE" w:rsidRDefault="00075DBE" w:rsidP="00085F52">
      <w:pPr>
        <w:pStyle w:val="abody"/>
        <w:spacing w:after="100" w:afterAutospacing="1" w:line="480" w:lineRule="auto"/>
        <w:rPr>
          <w:rFonts w:ascii="Times New Roman" w:hAnsi="Times New Roman" w:cs="Times New Roman"/>
          <w:sz w:val="24"/>
          <w:szCs w:val="24"/>
          <w:lang w:eastAsia="en-GB"/>
        </w:rPr>
      </w:pPr>
    </w:p>
    <w:p w:rsidR="00075DBE" w:rsidRDefault="00075DBE" w:rsidP="00085F52">
      <w:pPr>
        <w:pStyle w:val="abody"/>
        <w:spacing w:after="100" w:afterAutospacing="1" w:line="480" w:lineRule="auto"/>
        <w:rPr>
          <w:rFonts w:ascii="Times New Roman" w:hAnsi="Times New Roman" w:cs="Times New Roman"/>
          <w:sz w:val="24"/>
          <w:szCs w:val="24"/>
          <w:lang w:eastAsia="en-GB"/>
        </w:rPr>
      </w:pPr>
      <w:r w:rsidRPr="00CF08C5">
        <w:rPr>
          <w:rFonts w:ascii="Times New Roman" w:hAnsi="Times New Roman" w:cs="Times New Roman"/>
          <w:sz w:val="24"/>
          <w:szCs w:val="24"/>
          <w:lang w:eastAsia="en-GB"/>
        </w:rPr>
        <w:t xml:space="preserve">Lerner (2010) </w:t>
      </w:r>
      <w:r>
        <w:rPr>
          <w:rFonts w:ascii="Times New Roman" w:hAnsi="Times New Roman" w:cs="Times New Roman"/>
          <w:sz w:val="24"/>
          <w:szCs w:val="24"/>
          <w:lang w:eastAsia="en-GB"/>
        </w:rPr>
        <w:t>advocates a</w:t>
      </w:r>
      <w:r w:rsidRPr="00CF08C5">
        <w:rPr>
          <w:rFonts w:ascii="Times New Roman" w:hAnsi="Times New Roman" w:cs="Times New Roman"/>
          <w:sz w:val="24"/>
          <w:szCs w:val="24"/>
          <w:lang w:eastAsia="en-GB"/>
        </w:rPr>
        <w:t xml:space="preserve"> global perspective </w:t>
      </w:r>
      <w:r>
        <w:rPr>
          <w:rFonts w:ascii="Times New Roman" w:hAnsi="Times New Roman" w:cs="Times New Roman"/>
          <w:sz w:val="24"/>
          <w:szCs w:val="24"/>
          <w:lang w:eastAsia="en-GB"/>
        </w:rPr>
        <w:t>i</w:t>
      </w:r>
      <w:r w:rsidRPr="00CF08C5">
        <w:rPr>
          <w:rFonts w:ascii="Times New Roman" w:hAnsi="Times New Roman" w:cs="Times New Roman"/>
          <w:sz w:val="24"/>
          <w:szCs w:val="24"/>
          <w:lang w:eastAsia="en-GB"/>
        </w:rPr>
        <w:t>n establishing HVCF programmes</w:t>
      </w:r>
      <w:r>
        <w:rPr>
          <w:rFonts w:ascii="Times New Roman" w:hAnsi="Times New Roman" w:cs="Times New Roman"/>
          <w:sz w:val="24"/>
          <w:szCs w:val="24"/>
          <w:lang w:eastAsia="en-GB"/>
        </w:rPr>
        <w:t xml:space="preserve">, </w:t>
      </w:r>
      <w:r w:rsidRPr="00CF08C5">
        <w:rPr>
          <w:rFonts w:ascii="Times New Roman" w:hAnsi="Times New Roman" w:cs="Times New Roman"/>
          <w:sz w:val="24"/>
          <w:szCs w:val="24"/>
          <w:lang w:eastAsia="en-GB"/>
        </w:rPr>
        <w:t>attracti</w:t>
      </w:r>
      <w:r>
        <w:rPr>
          <w:rFonts w:ascii="Times New Roman" w:hAnsi="Times New Roman" w:cs="Times New Roman"/>
          <w:sz w:val="24"/>
          <w:szCs w:val="24"/>
          <w:lang w:eastAsia="en-GB"/>
        </w:rPr>
        <w:t>ng</w:t>
      </w:r>
      <w:r w:rsidRPr="00CF08C5">
        <w:rPr>
          <w:rFonts w:ascii="Times New Roman" w:hAnsi="Times New Roman" w:cs="Times New Roman"/>
          <w:sz w:val="24"/>
          <w:szCs w:val="24"/>
          <w:lang w:eastAsia="en-GB"/>
        </w:rPr>
        <w:t xml:space="preserve"> foreign investment and </w:t>
      </w:r>
      <w:r w:rsidRPr="00ED63EC">
        <w:rPr>
          <w:rFonts w:ascii="Times New Roman" w:hAnsi="Times New Roman" w:cs="Times New Roman"/>
          <w:sz w:val="24"/>
          <w:szCs w:val="24"/>
          <w:lang w:eastAsia="en-GB"/>
        </w:rPr>
        <w:t>VC skills</w:t>
      </w:r>
      <w:r w:rsidRPr="00CF08C5">
        <w:rPr>
          <w:rFonts w:ascii="Times New Roman" w:hAnsi="Times New Roman" w:cs="Times New Roman"/>
          <w:sz w:val="24"/>
          <w:szCs w:val="24"/>
          <w:lang w:eastAsia="en-GB"/>
        </w:rPr>
        <w:t xml:space="preserve"> which can be transferred </w:t>
      </w:r>
      <w:r>
        <w:rPr>
          <w:rFonts w:ascii="Times New Roman" w:hAnsi="Times New Roman" w:cs="Times New Roman"/>
          <w:sz w:val="24"/>
          <w:szCs w:val="24"/>
          <w:lang w:eastAsia="en-GB"/>
        </w:rPr>
        <w:t>into improved</w:t>
      </w:r>
      <w:r w:rsidRPr="00CF08C5">
        <w:rPr>
          <w:rFonts w:ascii="Times New Roman" w:hAnsi="Times New Roman" w:cs="Times New Roman"/>
          <w:sz w:val="24"/>
          <w:szCs w:val="24"/>
          <w:lang w:eastAsia="en-GB"/>
        </w:rPr>
        <w:t xml:space="preserve"> local VC spin</w:t>
      </w:r>
      <w:r>
        <w:rPr>
          <w:rFonts w:ascii="Times New Roman" w:hAnsi="Times New Roman" w:cs="Times New Roman"/>
          <w:sz w:val="24"/>
          <w:szCs w:val="24"/>
          <w:lang w:eastAsia="en-GB"/>
        </w:rPr>
        <w:t xml:space="preserve"> </w:t>
      </w:r>
      <w:r w:rsidRPr="00CF08C5">
        <w:rPr>
          <w:rFonts w:ascii="Times New Roman" w:hAnsi="Times New Roman" w:cs="Times New Roman"/>
          <w:sz w:val="24"/>
          <w:szCs w:val="24"/>
          <w:lang w:eastAsia="en-GB"/>
        </w:rPr>
        <w:t xml:space="preserve">out activities over time, as well as encouraging </w:t>
      </w:r>
      <w:r>
        <w:rPr>
          <w:rFonts w:ascii="Times New Roman" w:hAnsi="Times New Roman" w:cs="Times New Roman"/>
          <w:sz w:val="24"/>
          <w:szCs w:val="24"/>
          <w:lang w:eastAsia="en-GB"/>
        </w:rPr>
        <w:t>portfolio</w:t>
      </w:r>
      <w:r w:rsidRPr="00CF08C5">
        <w:rPr>
          <w:rFonts w:ascii="Times New Roman" w:hAnsi="Times New Roman" w:cs="Times New Roman"/>
          <w:sz w:val="24"/>
          <w:szCs w:val="24"/>
          <w:lang w:eastAsia="en-GB"/>
        </w:rPr>
        <w:t xml:space="preserve"> businesses</w:t>
      </w:r>
      <w:r>
        <w:rPr>
          <w:rFonts w:ascii="Times New Roman" w:hAnsi="Times New Roman" w:cs="Times New Roman"/>
          <w:sz w:val="24"/>
          <w:szCs w:val="24"/>
          <w:lang w:eastAsia="en-GB"/>
        </w:rPr>
        <w:t xml:space="preserve"> to establish a</w:t>
      </w:r>
      <w:r w:rsidRPr="00CF08C5">
        <w:rPr>
          <w:rFonts w:ascii="Times New Roman" w:hAnsi="Times New Roman" w:cs="Times New Roman"/>
          <w:sz w:val="24"/>
          <w:szCs w:val="24"/>
          <w:lang w:eastAsia="en-GB"/>
        </w:rPr>
        <w:t xml:space="preserve"> multinational presence. The key proviso is that investment into businesses seeks a realistic return within the country where the funds </w:t>
      </w:r>
      <w:r w:rsidRPr="00CF08C5">
        <w:rPr>
          <w:rFonts w:ascii="Times New Roman" w:hAnsi="Times New Roman" w:cs="Times New Roman"/>
          <w:sz w:val="24"/>
          <w:szCs w:val="24"/>
          <w:lang w:eastAsia="en-GB"/>
        </w:rPr>
        <w:lastRenderedPageBreak/>
        <w:t>are being established, creating a viable VC market and developing businesses which drive forward the national economy. UKIIF, which invests mainly into UK businesses but includes European private VC funds and can invest globally, embod</w:t>
      </w:r>
      <w:r>
        <w:rPr>
          <w:rFonts w:ascii="Times New Roman" w:hAnsi="Times New Roman" w:cs="Times New Roman"/>
          <w:sz w:val="24"/>
          <w:szCs w:val="24"/>
          <w:lang w:eastAsia="en-GB"/>
        </w:rPr>
        <w:t>ies</w:t>
      </w:r>
      <w:r w:rsidRPr="00CF08C5">
        <w:rPr>
          <w:rFonts w:ascii="Times New Roman" w:hAnsi="Times New Roman" w:cs="Times New Roman"/>
          <w:sz w:val="24"/>
          <w:szCs w:val="24"/>
          <w:lang w:eastAsia="en-GB"/>
        </w:rPr>
        <w:t xml:space="preserve"> this philosophy.</w:t>
      </w:r>
    </w:p>
    <w:p w:rsidR="00075DBE" w:rsidRDefault="00075DBE" w:rsidP="00085F52">
      <w:pPr>
        <w:pStyle w:val="abody"/>
        <w:spacing w:after="100" w:afterAutospacing="1" w:line="480" w:lineRule="auto"/>
        <w:ind w:firstLine="720"/>
        <w:rPr>
          <w:rFonts w:ascii="Times New Roman" w:hAnsi="Times New Roman" w:cs="Times New Roman"/>
          <w:sz w:val="24"/>
          <w:szCs w:val="24"/>
          <w:lang w:eastAsia="en-GB"/>
        </w:rPr>
      </w:pPr>
      <w:r w:rsidRPr="00CF08C5">
        <w:rPr>
          <w:rFonts w:ascii="Times New Roman" w:hAnsi="Times New Roman" w:cs="Times New Roman"/>
          <w:sz w:val="24"/>
          <w:szCs w:val="24"/>
          <w:lang w:eastAsia="en-GB"/>
        </w:rPr>
        <w:t>UKIIF provide</w:t>
      </w:r>
      <w:r>
        <w:rPr>
          <w:rFonts w:ascii="Times New Roman" w:hAnsi="Times New Roman" w:cs="Times New Roman"/>
          <w:sz w:val="24"/>
          <w:szCs w:val="24"/>
          <w:lang w:eastAsia="en-GB"/>
        </w:rPr>
        <w:t>s</w:t>
      </w:r>
      <w:r w:rsidRPr="00CF08C5">
        <w:rPr>
          <w:rFonts w:ascii="Times New Roman" w:hAnsi="Times New Roman" w:cs="Times New Roman"/>
          <w:sz w:val="24"/>
          <w:szCs w:val="24"/>
          <w:lang w:eastAsia="en-GB"/>
        </w:rPr>
        <w:t xml:space="preserve"> a government backed pan European funded programme at a size (£330m) </w:t>
      </w:r>
      <w:r>
        <w:rPr>
          <w:rFonts w:ascii="Times New Roman" w:hAnsi="Times New Roman" w:cs="Times New Roman"/>
          <w:sz w:val="24"/>
          <w:szCs w:val="24"/>
          <w:lang w:eastAsia="en-GB"/>
        </w:rPr>
        <w:t>that is</w:t>
      </w:r>
      <w:r w:rsidRPr="00CF08C5">
        <w:rPr>
          <w:rFonts w:ascii="Times New Roman" w:hAnsi="Times New Roman" w:cs="Times New Roman"/>
          <w:sz w:val="24"/>
          <w:szCs w:val="24"/>
          <w:lang w:eastAsia="en-GB"/>
        </w:rPr>
        <w:t xml:space="preserve"> comparable with successful US VC funds </w:t>
      </w:r>
      <w:r>
        <w:rPr>
          <w:rFonts w:ascii="Times New Roman" w:hAnsi="Times New Roman" w:cs="Times New Roman"/>
          <w:sz w:val="24"/>
          <w:szCs w:val="24"/>
          <w:lang w:eastAsia="en-GB"/>
        </w:rPr>
        <w:t>with</w:t>
      </w:r>
      <w:r w:rsidRPr="00CF08C5">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a </w:t>
      </w:r>
      <w:r w:rsidRPr="00CF08C5">
        <w:rPr>
          <w:rFonts w:ascii="Times New Roman" w:hAnsi="Times New Roman" w:cs="Times New Roman"/>
          <w:sz w:val="24"/>
          <w:szCs w:val="24"/>
          <w:lang w:eastAsia="en-GB"/>
        </w:rPr>
        <w:t>global reach which can assist the growth of leading edge, innovative high tech companies. Interviews with UKIIF’s continental European fund managers clearly demonstrated that the programme was</w:t>
      </w:r>
      <w:r>
        <w:rPr>
          <w:rFonts w:ascii="Times New Roman" w:hAnsi="Times New Roman" w:cs="Times New Roman"/>
          <w:sz w:val="24"/>
          <w:szCs w:val="24"/>
          <w:lang w:eastAsia="en-GB"/>
        </w:rPr>
        <w:t xml:space="preserve"> ‘</w:t>
      </w:r>
      <w:r w:rsidRPr="00DE44E3">
        <w:rPr>
          <w:rFonts w:ascii="Times New Roman" w:hAnsi="Times New Roman" w:cs="Times New Roman"/>
          <w:sz w:val="24"/>
          <w:szCs w:val="24"/>
          <w:lang w:eastAsia="en-GB"/>
        </w:rPr>
        <w:t>providing more emphasis to fund UK based companies’,</w:t>
      </w:r>
      <w:r w:rsidRPr="00CF08C5">
        <w:rPr>
          <w:rFonts w:ascii="Times New Roman" w:hAnsi="Times New Roman" w:cs="Times New Roman"/>
          <w:sz w:val="24"/>
          <w:szCs w:val="24"/>
          <w:lang w:eastAsia="en-GB"/>
        </w:rPr>
        <w:t xml:space="preserve"> leading to matched foreign funding investment and </w:t>
      </w:r>
      <w:r>
        <w:rPr>
          <w:rFonts w:ascii="Times New Roman" w:hAnsi="Times New Roman" w:cs="Times New Roman"/>
          <w:sz w:val="24"/>
          <w:szCs w:val="24"/>
          <w:lang w:eastAsia="en-GB"/>
        </w:rPr>
        <w:t>high</w:t>
      </w:r>
      <w:r w:rsidRPr="00CF08C5">
        <w:rPr>
          <w:rFonts w:ascii="Times New Roman" w:hAnsi="Times New Roman" w:cs="Times New Roman"/>
          <w:sz w:val="24"/>
          <w:szCs w:val="24"/>
          <w:lang w:eastAsia="en-GB"/>
        </w:rPr>
        <w:t xml:space="preserve"> level </w:t>
      </w:r>
      <w:r>
        <w:rPr>
          <w:rFonts w:ascii="Times New Roman" w:hAnsi="Times New Roman" w:cs="Times New Roman"/>
          <w:sz w:val="24"/>
          <w:szCs w:val="24"/>
          <w:lang w:eastAsia="en-GB"/>
        </w:rPr>
        <w:t xml:space="preserve">experienced </w:t>
      </w:r>
      <w:r w:rsidRPr="00CF08C5">
        <w:rPr>
          <w:rFonts w:ascii="Times New Roman" w:hAnsi="Times New Roman" w:cs="Times New Roman"/>
          <w:sz w:val="24"/>
          <w:szCs w:val="24"/>
          <w:lang w:eastAsia="en-GB"/>
        </w:rPr>
        <w:t>overseas fund manager participation with UK businesses.</w:t>
      </w:r>
      <w:r w:rsidRPr="00DE44E3">
        <w:rPr>
          <w:rFonts w:ascii="Times New Roman" w:hAnsi="Times New Roman" w:cs="Times New Roman"/>
          <w:sz w:val="24"/>
          <w:szCs w:val="24"/>
          <w:highlight w:val="yellow"/>
          <w:vertAlign w:val="superscript"/>
          <w:lang w:eastAsia="en-GB"/>
        </w:rPr>
        <w:t>8</w:t>
      </w:r>
    </w:p>
    <w:p w:rsidR="00075DBE" w:rsidRDefault="00075DBE" w:rsidP="00085F52">
      <w:pPr>
        <w:spacing w:after="100" w:afterAutospacing="1" w:line="480" w:lineRule="auto"/>
        <w:ind w:firstLine="720"/>
        <w:rPr>
          <w:rFonts w:ascii="Times New Roman" w:hAnsi="Times New Roman"/>
          <w:sz w:val="24"/>
          <w:szCs w:val="24"/>
        </w:rPr>
      </w:pPr>
      <w:r>
        <w:rPr>
          <w:rFonts w:ascii="Times New Roman" w:hAnsi="Times New Roman"/>
          <w:sz w:val="24"/>
          <w:szCs w:val="24"/>
          <w:lang w:eastAsia="en-GB"/>
        </w:rPr>
        <w:t>Around f</w:t>
      </w:r>
      <w:r w:rsidRPr="00CF08C5">
        <w:rPr>
          <w:rFonts w:ascii="Times New Roman" w:hAnsi="Times New Roman"/>
          <w:sz w:val="24"/>
          <w:szCs w:val="24"/>
          <w:lang w:eastAsia="en-GB"/>
        </w:rPr>
        <w:t>our</w:t>
      </w:r>
      <w:r>
        <w:rPr>
          <w:rFonts w:ascii="Times New Roman" w:hAnsi="Times New Roman"/>
          <w:sz w:val="24"/>
          <w:szCs w:val="24"/>
          <w:lang w:eastAsia="en-GB"/>
        </w:rPr>
        <w:t>-</w:t>
      </w:r>
      <w:r w:rsidRPr="00CF08C5">
        <w:rPr>
          <w:rFonts w:ascii="Times New Roman" w:hAnsi="Times New Roman"/>
          <w:sz w:val="24"/>
          <w:szCs w:val="24"/>
          <w:lang w:eastAsia="en-GB"/>
        </w:rPr>
        <w:t xml:space="preserve">fifths of surveyed ECF/Aspire (12/16) and UKIIF (14/16) </w:t>
      </w:r>
      <w:r>
        <w:rPr>
          <w:rFonts w:ascii="Times New Roman" w:hAnsi="Times New Roman"/>
          <w:sz w:val="24"/>
          <w:szCs w:val="24"/>
          <w:lang w:eastAsia="en-GB"/>
        </w:rPr>
        <w:t>recipients reported</w:t>
      </w:r>
      <w:r w:rsidRPr="00CF08C5">
        <w:rPr>
          <w:rFonts w:ascii="Times New Roman" w:hAnsi="Times New Roman"/>
          <w:sz w:val="24"/>
          <w:szCs w:val="24"/>
          <w:lang w:eastAsia="en-GB"/>
        </w:rPr>
        <w:t xml:space="preserve"> trading overseas or planning on exporting, </w:t>
      </w:r>
      <w:r>
        <w:rPr>
          <w:rFonts w:ascii="Times New Roman" w:hAnsi="Times New Roman"/>
          <w:sz w:val="24"/>
          <w:szCs w:val="24"/>
          <w:lang w:eastAsia="en-GB"/>
        </w:rPr>
        <w:t>a far higher proportion than</w:t>
      </w:r>
      <w:r w:rsidRPr="00CF08C5">
        <w:rPr>
          <w:rFonts w:ascii="Times New Roman" w:hAnsi="Times New Roman"/>
          <w:sz w:val="24"/>
          <w:szCs w:val="24"/>
          <w:lang w:eastAsia="en-GB"/>
        </w:rPr>
        <w:t xml:space="preserve"> typical UK SMEs.</w:t>
      </w:r>
      <w:r w:rsidRPr="00DE44E3">
        <w:rPr>
          <w:rFonts w:ascii="Times New Roman" w:hAnsi="Times New Roman"/>
          <w:sz w:val="24"/>
          <w:szCs w:val="24"/>
          <w:highlight w:val="yellow"/>
          <w:vertAlign w:val="superscript"/>
          <w:lang w:eastAsia="en-GB"/>
        </w:rPr>
        <w:t>9</w:t>
      </w:r>
      <w:r w:rsidRPr="00CF08C5">
        <w:rPr>
          <w:rFonts w:ascii="Times New Roman" w:hAnsi="Times New Roman"/>
          <w:sz w:val="24"/>
          <w:szCs w:val="24"/>
          <w:lang w:eastAsia="en-GB"/>
        </w:rPr>
        <w:t xml:space="preserve"> VC fund manager</w:t>
      </w:r>
      <w:r>
        <w:rPr>
          <w:rFonts w:ascii="Times New Roman" w:hAnsi="Times New Roman"/>
          <w:sz w:val="24"/>
          <w:szCs w:val="24"/>
          <w:lang w:eastAsia="en-GB"/>
        </w:rPr>
        <w:t>s</w:t>
      </w:r>
      <w:r w:rsidRPr="00CF08C5">
        <w:rPr>
          <w:rFonts w:ascii="Times New Roman" w:hAnsi="Times New Roman"/>
          <w:sz w:val="24"/>
          <w:szCs w:val="24"/>
          <w:lang w:eastAsia="en-GB"/>
        </w:rPr>
        <w:t xml:space="preserve"> </w:t>
      </w:r>
      <w:r>
        <w:rPr>
          <w:rFonts w:ascii="Times New Roman" w:hAnsi="Times New Roman"/>
          <w:sz w:val="24"/>
          <w:szCs w:val="24"/>
          <w:lang w:eastAsia="en-GB"/>
        </w:rPr>
        <w:t>were often</w:t>
      </w:r>
      <w:r w:rsidRPr="00CF08C5">
        <w:rPr>
          <w:rFonts w:ascii="Times New Roman" w:hAnsi="Times New Roman"/>
          <w:sz w:val="24"/>
          <w:szCs w:val="24"/>
          <w:lang w:eastAsia="en-GB"/>
        </w:rPr>
        <w:t xml:space="preserve"> essentia</w:t>
      </w:r>
      <w:r>
        <w:rPr>
          <w:rFonts w:ascii="Times New Roman" w:hAnsi="Times New Roman"/>
          <w:sz w:val="24"/>
          <w:szCs w:val="24"/>
          <w:lang w:eastAsia="en-GB"/>
        </w:rPr>
        <w:t>l to their development, taking non-executive d</w:t>
      </w:r>
      <w:r w:rsidRPr="00CF08C5">
        <w:rPr>
          <w:rFonts w:ascii="Times New Roman" w:hAnsi="Times New Roman"/>
          <w:sz w:val="24"/>
          <w:szCs w:val="24"/>
          <w:lang w:eastAsia="en-GB"/>
        </w:rPr>
        <w:t>irector (NED) role</w:t>
      </w:r>
      <w:r>
        <w:rPr>
          <w:rFonts w:ascii="Times New Roman" w:hAnsi="Times New Roman"/>
          <w:sz w:val="24"/>
          <w:szCs w:val="24"/>
          <w:lang w:eastAsia="en-GB"/>
        </w:rPr>
        <w:t>s</w:t>
      </w:r>
      <w:r w:rsidRPr="00CF08C5">
        <w:rPr>
          <w:rFonts w:ascii="Times New Roman" w:hAnsi="Times New Roman"/>
          <w:sz w:val="24"/>
          <w:szCs w:val="24"/>
          <w:lang w:eastAsia="en-GB"/>
        </w:rPr>
        <w:t xml:space="preserve"> or appointing specialist</w:t>
      </w:r>
      <w:r>
        <w:rPr>
          <w:rFonts w:ascii="Times New Roman" w:hAnsi="Times New Roman"/>
          <w:sz w:val="24"/>
          <w:szCs w:val="24"/>
          <w:lang w:eastAsia="en-GB"/>
        </w:rPr>
        <w:t>s</w:t>
      </w:r>
      <w:r w:rsidRPr="00CF08C5">
        <w:rPr>
          <w:rFonts w:ascii="Times New Roman" w:hAnsi="Times New Roman"/>
          <w:sz w:val="24"/>
          <w:szCs w:val="24"/>
          <w:lang w:eastAsia="en-GB"/>
        </w:rPr>
        <w:t xml:space="preserve"> onto the board </w:t>
      </w:r>
      <w:r>
        <w:rPr>
          <w:rFonts w:ascii="Times New Roman" w:hAnsi="Times New Roman"/>
          <w:sz w:val="24"/>
          <w:szCs w:val="24"/>
          <w:lang w:eastAsia="en-GB"/>
        </w:rPr>
        <w:t>for</w:t>
      </w:r>
      <w:r w:rsidRPr="00CF08C5">
        <w:rPr>
          <w:rFonts w:ascii="Times New Roman" w:hAnsi="Times New Roman"/>
          <w:sz w:val="24"/>
          <w:szCs w:val="24"/>
          <w:lang w:eastAsia="en-GB"/>
        </w:rPr>
        <w:t xml:space="preserve"> guidance (e.g. in sales and marketing)</w:t>
      </w:r>
      <w:r>
        <w:rPr>
          <w:rFonts w:ascii="Times New Roman" w:hAnsi="Times New Roman"/>
          <w:sz w:val="24"/>
          <w:szCs w:val="24"/>
          <w:lang w:eastAsia="en-GB"/>
        </w:rPr>
        <w:t>,</w:t>
      </w:r>
      <w:r w:rsidRPr="00CF08C5">
        <w:rPr>
          <w:rFonts w:ascii="Times New Roman" w:hAnsi="Times New Roman"/>
          <w:sz w:val="24"/>
          <w:szCs w:val="24"/>
          <w:lang w:eastAsia="en-GB"/>
        </w:rPr>
        <w:t xml:space="preserve"> </w:t>
      </w:r>
      <w:r>
        <w:rPr>
          <w:rFonts w:ascii="Times New Roman" w:hAnsi="Times New Roman"/>
          <w:sz w:val="24"/>
          <w:szCs w:val="24"/>
          <w:lang w:eastAsia="en-GB"/>
        </w:rPr>
        <w:t>providing</w:t>
      </w:r>
      <w:r w:rsidRPr="00CF08C5">
        <w:rPr>
          <w:rFonts w:ascii="Times New Roman" w:hAnsi="Times New Roman"/>
          <w:sz w:val="24"/>
          <w:szCs w:val="24"/>
          <w:lang w:eastAsia="en-GB"/>
        </w:rPr>
        <w:t xml:space="preserve"> considerable perceived added value to the performance of the business (Manigart and Wright, 201</w:t>
      </w:r>
      <w:r>
        <w:rPr>
          <w:rFonts w:ascii="Times New Roman" w:hAnsi="Times New Roman"/>
          <w:sz w:val="24"/>
          <w:szCs w:val="24"/>
          <w:lang w:eastAsia="en-GB"/>
        </w:rPr>
        <w:t>3</w:t>
      </w:r>
      <w:r w:rsidRPr="00CF08C5">
        <w:rPr>
          <w:rFonts w:ascii="Times New Roman" w:hAnsi="Times New Roman"/>
          <w:sz w:val="24"/>
          <w:szCs w:val="24"/>
          <w:lang w:eastAsia="en-GB"/>
        </w:rPr>
        <w:t xml:space="preserve">; Clarysse </w:t>
      </w:r>
      <w:r>
        <w:rPr>
          <w:rFonts w:ascii="Times New Roman" w:hAnsi="Times New Roman"/>
          <w:sz w:val="24"/>
          <w:szCs w:val="24"/>
          <w:lang w:eastAsia="en-GB"/>
        </w:rPr>
        <w:t>et al.,</w:t>
      </w:r>
      <w:r w:rsidRPr="00CF08C5">
        <w:rPr>
          <w:rFonts w:ascii="Times New Roman" w:hAnsi="Times New Roman"/>
          <w:sz w:val="24"/>
          <w:szCs w:val="24"/>
          <w:lang w:eastAsia="en-GB"/>
        </w:rPr>
        <w:t xml:space="preserve"> 2011). For </w:t>
      </w:r>
      <w:r>
        <w:rPr>
          <w:rFonts w:ascii="Times New Roman" w:hAnsi="Times New Roman"/>
          <w:sz w:val="24"/>
          <w:szCs w:val="24"/>
          <w:lang w:eastAsia="en-GB"/>
        </w:rPr>
        <w:t>the UKIIF recipients in particular</w:t>
      </w:r>
      <w:r w:rsidRPr="00CF08C5">
        <w:rPr>
          <w:rFonts w:ascii="Times New Roman" w:hAnsi="Times New Roman"/>
          <w:sz w:val="24"/>
          <w:szCs w:val="24"/>
          <w:lang w:eastAsia="en-GB"/>
        </w:rPr>
        <w:t xml:space="preserve">, a crucial aspect was the VC’s assistance in opening up overseas market opportunities </w:t>
      </w:r>
      <w:r>
        <w:rPr>
          <w:rFonts w:ascii="Times New Roman" w:hAnsi="Times New Roman"/>
          <w:sz w:val="24"/>
          <w:szCs w:val="24"/>
        </w:rPr>
        <w:t>(Lockett et al.,</w:t>
      </w:r>
      <w:r w:rsidRPr="00CF08C5">
        <w:rPr>
          <w:rFonts w:ascii="Times New Roman" w:hAnsi="Times New Roman"/>
          <w:sz w:val="24"/>
          <w:szCs w:val="24"/>
        </w:rPr>
        <w:t xml:space="preserve"> 2008). </w:t>
      </w:r>
      <w:r w:rsidRPr="00CF08C5">
        <w:rPr>
          <w:rFonts w:ascii="Times New Roman" w:hAnsi="Times New Roman"/>
          <w:sz w:val="24"/>
          <w:szCs w:val="24"/>
          <w:lang w:eastAsia="en-GB"/>
        </w:rPr>
        <w:t>In some cases</w:t>
      </w:r>
      <w:r>
        <w:rPr>
          <w:rFonts w:ascii="Times New Roman" w:hAnsi="Times New Roman"/>
          <w:sz w:val="24"/>
          <w:szCs w:val="24"/>
          <w:lang w:eastAsia="en-GB"/>
        </w:rPr>
        <w:t>,</w:t>
      </w:r>
      <w:r w:rsidRPr="00CF08C5">
        <w:rPr>
          <w:rFonts w:ascii="Times New Roman" w:hAnsi="Times New Roman"/>
          <w:sz w:val="24"/>
          <w:szCs w:val="24"/>
          <w:lang w:eastAsia="en-GB"/>
        </w:rPr>
        <w:t xml:space="preserve"> this was achieved with the fund managers providing guidance and expertise in finding prospective customers, undertaking international trade negotiations</w:t>
      </w:r>
      <w:r w:rsidRPr="00CF08C5">
        <w:rPr>
          <w:rFonts w:ascii="Times New Roman" w:hAnsi="Times New Roman"/>
          <w:sz w:val="24"/>
          <w:szCs w:val="24"/>
        </w:rPr>
        <w:t xml:space="preserve"> </w:t>
      </w:r>
      <w:r>
        <w:rPr>
          <w:rFonts w:ascii="Times New Roman" w:hAnsi="Times New Roman"/>
          <w:sz w:val="24"/>
          <w:szCs w:val="24"/>
        </w:rPr>
        <w:t>‘</w:t>
      </w:r>
      <w:r w:rsidRPr="00DE44E3">
        <w:rPr>
          <w:rFonts w:ascii="Times New Roman" w:hAnsi="Times New Roman"/>
          <w:sz w:val="24"/>
          <w:szCs w:val="24"/>
        </w:rPr>
        <w:t>which could be complex and daunting in the case of prospective large overseas business customers’</w:t>
      </w:r>
      <w:r w:rsidRPr="00B30CB9">
        <w:rPr>
          <w:rFonts w:ascii="Times New Roman" w:hAnsi="Times New Roman"/>
          <w:sz w:val="24"/>
          <w:szCs w:val="24"/>
          <w:lang w:eastAsia="en-GB"/>
        </w:rPr>
        <w:t xml:space="preserve"> a</w:t>
      </w:r>
      <w:r w:rsidRPr="00CF08C5">
        <w:rPr>
          <w:rFonts w:ascii="Times New Roman" w:hAnsi="Times New Roman"/>
          <w:sz w:val="24"/>
          <w:szCs w:val="24"/>
          <w:lang w:eastAsia="en-GB"/>
        </w:rPr>
        <w:t xml:space="preserve">nd in overcoming technical market barriers. </w:t>
      </w:r>
      <w:r>
        <w:rPr>
          <w:rFonts w:ascii="Times New Roman" w:hAnsi="Times New Roman"/>
          <w:sz w:val="24"/>
          <w:szCs w:val="24"/>
          <w:lang w:eastAsia="en-GB"/>
        </w:rPr>
        <w:t>For</w:t>
      </w:r>
      <w:r w:rsidRPr="00CF08C5">
        <w:rPr>
          <w:rFonts w:ascii="Times New Roman" w:hAnsi="Times New Roman"/>
          <w:sz w:val="24"/>
          <w:szCs w:val="24"/>
          <w:lang w:eastAsia="en-GB"/>
        </w:rPr>
        <w:t xml:space="preserve"> others HVCFs partnered</w:t>
      </w:r>
      <w:r>
        <w:rPr>
          <w:rFonts w:ascii="Times New Roman" w:hAnsi="Times New Roman"/>
          <w:sz w:val="24"/>
          <w:szCs w:val="24"/>
          <w:lang w:eastAsia="en-GB"/>
        </w:rPr>
        <w:t xml:space="preserve"> with</w:t>
      </w:r>
      <w:r w:rsidRPr="00CF08C5">
        <w:rPr>
          <w:rFonts w:ascii="Times New Roman" w:hAnsi="Times New Roman"/>
          <w:sz w:val="24"/>
          <w:szCs w:val="24"/>
          <w:lang w:eastAsia="en-GB"/>
        </w:rPr>
        <w:t xml:space="preserve"> overseas private VCs specifically to help establish entry into overseas markets, notably in North American for several life science and digit</w:t>
      </w:r>
      <w:r>
        <w:rPr>
          <w:rFonts w:ascii="Times New Roman" w:hAnsi="Times New Roman"/>
          <w:sz w:val="24"/>
          <w:szCs w:val="24"/>
          <w:lang w:eastAsia="en-GB"/>
        </w:rPr>
        <w:t>ech</w:t>
      </w:r>
      <w:r w:rsidRPr="00CF08C5">
        <w:rPr>
          <w:rFonts w:ascii="Times New Roman" w:hAnsi="Times New Roman"/>
          <w:sz w:val="24"/>
          <w:szCs w:val="24"/>
          <w:lang w:eastAsia="en-GB"/>
        </w:rPr>
        <w:t xml:space="preserve"> businesses.</w:t>
      </w:r>
    </w:p>
    <w:p w:rsidR="00075DBE" w:rsidRDefault="00075DBE" w:rsidP="00085F52">
      <w:pPr>
        <w:pStyle w:val="abody"/>
        <w:spacing w:after="100" w:afterAutospacing="1" w:line="480" w:lineRule="auto"/>
        <w:ind w:firstLine="720"/>
        <w:rPr>
          <w:rFonts w:ascii="Times New Roman" w:hAnsi="Times New Roman" w:cs="Times New Roman"/>
          <w:sz w:val="24"/>
          <w:szCs w:val="24"/>
          <w:lang w:eastAsia="en-GB"/>
        </w:rPr>
      </w:pPr>
      <w:r w:rsidRPr="00CF08C5">
        <w:rPr>
          <w:rFonts w:ascii="Times New Roman" w:hAnsi="Times New Roman" w:cs="Times New Roman"/>
          <w:sz w:val="24"/>
          <w:szCs w:val="24"/>
          <w:lang w:eastAsia="en-GB"/>
        </w:rPr>
        <w:t xml:space="preserve">Lerner’s (2010) </w:t>
      </w:r>
      <w:r>
        <w:rPr>
          <w:rFonts w:ascii="Times New Roman" w:hAnsi="Times New Roman" w:cs="Times New Roman"/>
          <w:sz w:val="24"/>
          <w:szCs w:val="24"/>
          <w:lang w:eastAsia="en-GB"/>
        </w:rPr>
        <w:t xml:space="preserve">proposition </w:t>
      </w:r>
      <w:r w:rsidRPr="00CF08C5">
        <w:rPr>
          <w:rFonts w:ascii="Times New Roman" w:hAnsi="Times New Roman" w:cs="Times New Roman"/>
          <w:sz w:val="24"/>
          <w:szCs w:val="24"/>
          <w:lang w:eastAsia="en-GB"/>
        </w:rPr>
        <w:t xml:space="preserve">that overseas companies be invested in and establish a presence within the host </w:t>
      </w:r>
      <w:r>
        <w:rPr>
          <w:rFonts w:ascii="Times New Roman" w:hAnsi="Times New Roman" w:cs="Times New Roman"/>
          <w:sz w:val="24"/>
          <w:szCs w:val="24"/>
          <w:lang w:eastAsia="en-GB"/>
        </w:rPr>
        <w:t>HVCF programme</w:t>
      </w:r>
      <w:r w:rsidRPr="00CF08C5">
        <w:rPr>
          <w:rFonts w:ascii="Times New Roman" w:hAnsi="Times New Roman" w:cs="Times New Roman"/>
          <w:sz w:val="24"/>
          <w:szCs w:val="24"/>
          <w:lang w:eastAsia="en-GB"/>
        </w:rPr>
        <w:t xml:space="preserve"> country is </w:t>
      </w:r>
      <w:r w:rsidRPr="00D66027">
        <w:rPr>
          <w:rFonts w:ascii="Times New Roman" w:hAnsi="Times New Roman" w:cs="Times New Roman"/>
          <w:sz w:val="24"/>
          <w:szCs w:val="24"/>
          <w:lang w:eastAsia="en-GB"/>
        </w:rPr>
        <w:t>more contentious</w:t>
      </w:r>
      <w:r w:rsidRPr="00CF08C5">
        <w:rPr>
          <w:rFonts w:ascii="Times New Roman" w:hAnsi="Times New Roman" w:cs="Times New Roman"/>
          <w:sz w:val="24"/>
          <w:szCs w:val="24"/>
          <w:lang w:eastAsia="en-GB"/>
        </w:rPr>
        <w:t>. ECF and Aspire were aimed specifically at UK owned and based businesses</w:t>
      </w:r>
      <w:r>
        <w:rPr>
          <w:rFonts w:ascii="Times New Roman" w:hAnsi="Times New Roman" w:cs="Times New Roman"/>
          <w:sz w:val="24"/>
          <w:szCs w:val="24"/>
          <w:lang w:eastAsia="en-GB"/>
        </w:rPr>
        <w:t>,</w:t>
      </w:r>
      <w:r w:rsidRPr="00CF08C5">
        <w:rPr>
          <w:rFonts w:ascii="Times New Roman" w:hAnsi="Times New Roman" w:cs="Times New Roman"/>
          <w:sz w:val="24"/>
          <w:szCs w:val="24"/>
          <w:lang w:eastAsia="en-GB"/>
        </w:rPr>
        <w:t xml:space="preserve"> the economic development argument being that these businesses will grow and generate long term jobs in the UK. A common</w:t>
      </w:r>
      <w:r>
        <w:rPr>
          <w:rFonts w:ascii="Times New Roman" w:hAnsi="Times New Roman" w:cs="Times New Roman"/>
          <w:sz w:val="24"/>
          <w:szCs w:val="24"/>
          <w:lang w:eastAsia="en-GB"/>
        </w:rPr>
        <w:t>ly highlighted</w:t>
      </w:r>
      <w:r w:rsidRPr="00CF08C5">
        <w:rPr>
          <w:rFonts w:ascii="Times New Roman" w:hAnsi="Times New Roman" w:cs="Times New Roman"/>
          <w:sz w:val="24"/>
          <w:szCs w:val="24"/>
          <w:lang w:eastAsia="en-GB"/>
        </w:rPr>
        <w:t xml:space="preserve"> problem </w:t>
      </w:r>
      <w:r>
        <w:rPr>
          <w:rFonts w:ascii="Times New Roman" w:hAnsi="Times New Roman" w:cs="Times New Roman"/>
          <w:sz w:val="24"/>
          <w:szCs w:val="24"/>
          <w:lang w:eastAsia="en-GB"/>
        </w:rPr>
        <w:lastRenderedPageBreak/>
        <w:t>(Rigos, 2011)</w:t>
      </w:r>
      <w:r w:rsidRPr="00CF08C5">
        <w:rPr>
          <w:rFonts w:ascii="Times New Roman" w:hAnsi="Times New Roman" w:cs="Times New Roman"/>
          <w:sz w:val="24"/>
          <w:szCs w:val="24"/>
          <w:lang w:eastAsia="en-GB"/>
        </w:rPr>
        <w:t xml:space="preserve"> is that many of the assisted businesses will eventually trade sale, most frequently being acquired by overseas companies with the resultant loss of jobs and IP to the UK. Lerner</w:t>
      </w:r>
      <w:r>
        <w:rPr>
          <w:rFonts w:ascii="Times New Roman" w:hAnsi="Times New Roman" w:cs="Times New Roman"/>
          <w:sz w:val="24"/>
          <w:szCs w:val="24"/>
          <w:lang w:eastAsia="en-GB"/>
        </w:rPr>
        <w:t>’s</w:t>
      </w:r>
      <w:r w:rsidRPr="00CF08C5">
        <w:rPr>
          <w:rFonts w:ascii="Times New Roman" w:hAnsi="Times New Roman" w:cs="Times New Roman"/>
          <w:sz w:val="24"/>
          <w:szCs w:val="24"/>
          <w:lang w:eastAsia="en-GB"/>
        </w:rPr>
        <w:t xml:space="preserve"> counter</w:t>
      </w:r>
      <w:r>
        <w:rPr>
          <w:rFonts w:ascii="Times New Roman" w:hAnsi="Times New Roman" w:cs="Times New Roman"/>
          <w:sz w:val="24"/>
          <w:szCs w:val="24"/>
          <w:lang w:eastAsia="en-GB"/>
        </w:rPr>
        <w:t xml:space="preserve"> argument</w:t>
      </w:r>
      <w:r w:rsidRPr="00CF08C5">
        <w:rPr>
          <w:rFonts w:ascii="Times New Roman" w:hAnsi="Times New Roman" w:cs="Times New Roman"/>
          <w:sz w:val="24"/>
          <w:szCs w:val="24"/>
          <w:lang w:eastAsia="en-GB"/>
        </w:rPr>
        <w:t>, which is broadly supported by current UK government policy, suggest</w:t>
      </w:r>
      <w:r>
        <w:rPr>
          <w:rFonts w:ascii="Times New Roman" w:hAnsi="Times New Roman" w:cs="Times New Roman"/>
          <w:sz w:val="24"/>
          <w:szCs w:val="24"/>
          <w:lang w:eastAsia="en-GB"/>
        </w:rPr>
        <w:t>s</w:t>
      </w:r>
      <w:r w:rsidRPr="00CF08C5">
        <w:rPr>
          <w:rFonts w:ascii="Times New Roman" w:hAnsi="Times New Roman" w:cs="Times New Roman"/>
          <w:sz w:val="24"/>
          <w:szCs w:val="24"/>
          <w:lang w:eastAsia="en-GB"/>
        </w:rPr>
        <w:t xml:space="preserve"> that it is better to host innovation and enjoy the benefits of trade sale wealth, reinvestments, continued activity of the associated successful UK-based serial entrepreneurs and other related spin-out activities, than to be too prescriptive on retaining a national presence for these businesses.</w:t>
      </w:r>
      <w:r w:rsidRPr="00DE44E3">
        <w:rPr>
          <w:rFonts w:ascii="Times New Roman" w:hAnsi="Times New Roman" w:cs="Times New Roman"/>
          <w:sz w:val="24"/>
          <w:szCs w:val="24"/>
          <w:highlight w:val="yellow"/>
          <w:vertAlign w:val="superscript"/>
          <w:lang w:eastAsia="en-GB"/>
        </w:rPr>
        <w:t>10</w:t>
      </w:r>
    </w:p>
    <w:p w:rsidR="00075DBE" w:rsidRDefault="00075DBE" w:rsidP="00085F52">
      <w:pPr>
        <w:pStyle w:val="abody"/>
        <w:spacing w:after="100" w:afterAutospacing="1" w:line="480" w:lineRule="auto"/>
        <w:ind w:firstLine="720"/>
        <w:rPr>
          <w:rFonts w:ascii="Times New Roman" w:hAnsi="Times New Roman" w:cs="Times New Roman"/>
          <w:sz w:val="24"/>
          <w:szCs w:val="24"/>
          <w:lang w:eastAsia="en-GB"/>
        </w:rPr>
      </w:pPr>
      <w:r w:rsidRPr="00CF08C5">
        <w:rPr>
          <w:rFonts w:ascii="Times New Roman" w:hAnsi="Times New Roman" w:cs="Times New Roman"/>
          <w:sz w:val="24"/>
          <w:szCs w:val="24"/>
          <w:lang w:eastAsia="en-GB"/>
        </w:rPr>
        <w:t xml:space="preserve">Our </w:t>
      </w:r>
      <w:r>
        <w:rPr>
          <w:rFonts w:ascii="Times New Roman" w:hAnsi="Times New Roman" w:cs="Times New Roman"/>
          <w:sz w:val="24"/>
          <w:szCs w:val="24"/>
          <w:lang w:eastAsia="en-GB"/>
        </w:rPr>
        <w:t xml:space="preserve">follow-up </w:t>
      </w:r>
      <w:r w:rsidRPr="00CF08C5">
        <w:rPr>
          <w:rFonts w:ascii="Times New Roman" w:hAnsi="Times New Roman" w:cs="Times New Roman"/>
          <w:sz w:val="24"/>
          <w:szCs w:val="24"/>
          <w:lang w:eastAsia="en-GB"/>
        </w:rPr>
        <w:t xml:space="preserve">survey </w:t>
      </w:r>
      <w:r>
        <w:rPr>
          <w:rFonts w:ascii="Times New Roman" w:hAnsi="Times New Roman" w:cs="Times New Roman"/>
          <w:sz w:val="24"/>
          <w:szCs w:val="24"/>
          <w:lang w:eastAsia="en-GB"/>
        </w:rPr>
        <w:t xml:space="preserve">indicates </w:t>
      </w:r>
      <w:r w:rsidRPr="00CF08C5">
        <w:rPr>
          <w:rFonts w:ascii="Times New Roman" w:hAnsi="Times New Roman" w:cs="Times New Roman"/>
          <w:sz w:val="24"/>
          <w:szCs w:val="24"/>
          <w:lang w:eastAsia="en-GB"/>
        </w:rPr>
        <w:t>that the vast majority (four</w:t>
      </w:r>
      <w:r>
        <w:rPr>
          <w:rFonts w:ascii="Times New Roman" w:hAnsi="Times New Roman" w:cs="Times New Roman"/>
          <w:sz w:val="24"/>
          <w:szCs w:val="24"/>
          <w:lang w:eastAsia="en-GB"/>
        </w:rPr>
        <w:t>-</w:t>
      </w:r>
      <w:r w:rsidRPr="00CF08C5">
        <w:rPr>
          <w:rFonts w:ascii="Times New Roman" w:hAnsi="Times New Roman" w:cs="Times New Roman"/>
          <w:sz w:val="24"/>
          <w:szCs w:val="24"/>
          <w:lang w:eastAsia="en-GB"/>
        </w:rPr>
        <w:t xml:space="preserve">fifths) of recipient businesses will seek trade sale exits which </w:t>
      </w:r>
      <w:r>
        <w:rPr>
          <w:rFonts w:ascii="Times New Roman" w:hAnsi="Times New Roman" w:cs="Times New Roman"/>
          <w:sz w:val="24"/>
          <w:szCs w:val="24"/>
          <w:lang w:eastAsia="en-GB"/>
        </w:rPr>
        <w:t>will most</w:t>
      </w:r>
      <w:r w:rsidRPr="00CF08C5">
        <w:rPr>
          <w:rFonts w:ascii="Times New Roman" w:hAnsi="Times New Roman" w:cs="Times New Roman"/>
          <w:sz w:val="24"/>
          <w:szCs w:val="24"/>
          <w:lang w:eastAsia="en-GB"/>
        </w:rPr>
        <w:t xml:space="preserve"> likely be to an overseas buyer. Five out of the 32 originally surveyed businesses have so far been acquired, all by overseas companies (4 US, 1 Israeli), but some have retained a UK R&amp;D and sales office presence. There is also some evidence t</w:t>
      </w:r>
      <w:r>
        <w:rPr>
          <w:rFonts w:ascii="Times New Roman" w:hAnsi="Times New Roman" w:cs="Times New Roman"/>
          <w:sz w:val="24"/>
          <w:szCs w:val="24"/>
          <w:lang w:eastAsia="en-GB"/>
        </w:rPr>
        <w:t xml:space="preserve">hat the entrepreneurs that </w:t>
      </w:r>
      <w:r w:rsidRPr="00CF08C5">
        <w:rPr>
          <w:rFonts w:ascii="Times New Roman" w:hAnsi="Times New Roman" w:cs="Times New Roman"/>
          <w:sz w:val="24"/>
          <w:szCs w:val="24"/>
          <w:lang w:eastAsia="en-GB"/>
        </w:rPr>
        <w:t>sold out</w:t>
      </w:r>
      <w:r>
        <w:rPr>
          <w:rFonts w:ascii="Times New Roman" w:hAnsi="Times New Roman" w:cs="Times New Roman"/>
          <w:sz w:val="24"/>
          <w:szCs w:val="24"/>
          <w:lang w:eastAsia="en-GB"/>
        </w:rPr>
        <w:t xml:space="preserve">, </w:t>
      </w:r>
      <w:r w:rsidRPr="00CF08C5">
        <w:rPr>
          <w:rFonts w:ascii="Times New Roman" w:hAnsi="Times New Roman" w:cs="Times New Roman"/>
          <w:sz w:val="24"/>
          <w:szCs w:val="24"/>
          <w:lang w:eastAsia="en-GB"/>
        </w:rPr>
        <w:t>or failed</w:t>
      </w:r>
      <w:r>
        <w:rPr>
          <w:rFonts w:ascii="Times New Roman" w:hAnsi="Times New Roman" w:cs="Times New Roman"/>
          <w:sz w:val="24"/>
          <w:szCs w:val="24"/>
          <w:lang w:eastAsia="en-GB"/>
        </w:rPr>
        <w:t xml:space="preserve">, </w:t>
      </w:r>
      <w:r w:rsidRPr="00CF08C5">
        <w:rPr>
          <w:rFonts w:ascii="Times New Roman" w:hAnsi="Times New Roman" w:cs="Times New Roman"/>
          <w:sz w:val="24"/>
          <w:szCs w:val="24"/>
          <w:lang w:eastAsia="en-GB"/>
        </w:rPr>
        <w:t>are remaining in the UK and establishing new businesses. It is also evident that some of UKIIF’s overseas investments have UK links which have led to strategic growth acquisitions and investments being made into the UK, indirectly resulting in jobs growth and financial spillover impacts. In an increasingly global economy, Lerner’s position</w:t>
      </w:r>
      <w:r>
        <w:rPr>
          <w:rFonts w:ascii="Times New Roman" w:hAnsi="Times New Roman" w:cs="Times New Roman"/>
          <w:sz w:val="24"/>
          <w:szCs w:val="24"/>
          <w:lang w:eastAsia="en-GB"/>
        </w:rPr>
        <w:t>,</w:t>
      </w:r>
      <w:r w:rsidRPr="00CF08C5">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therefore, </w:t>
      </w:r>
      <w:r w:rsidRPr="00CF08C5">
        <w:rPr>
          <w:rFonts w:ascii="Times New Roman" w:hAnsi="Times New Roman" w:cs="Times New Roman"/>
          <w:sz w:val="24"/>
          <w:szCs w:val="24"/>
          <w:lang w:eastAsia="en-GB"/>
        </w:rPr>
        <w:t xml:space="preserve">makes </w:t>
      </w:r>
      <w:r>
        <w:rPr>
          <w:rFonts w:ascii="Times New Roman" w:hAnsi="Times New Roman" w:cs="Times New Roman"/>
          <w:sz w:val="24"/>
          <w:szCs w:val="24"/>
          <w:lang w:eastAsia="en-GB"/>
        </w:rPr>
        <w:t>considerable</w:t>
      </w:r>
      <w:r w:rsidRPr="00CF08C5">
        <w:rPr>
          <w:rFonts w:ascii="Times New Roman" w:hAnsi="Times New Roman" w:cs="Times New Roman"/>
          <w:sz w:val="24"/>
          <w:szCs w:val="24"/>
          <w:lang w:eastAsia="en-GB"/>
        </w:rPr>
        <w:t xml:space="preserve"> sense, provided that the host country remains an attractive and competitive place to do business.</w:t>
      </w:r>
    </w:p>
    <w:p w:rsidR="00075DBE" w:rsidRDefault="00075DBE" w:rsidP="00085F52">
      <w:pPr>
        <w:pStyle w:val="abody"/>
        <w:spacing w:after="100" w:afterAutospacing="1" w:line="480" w:lineRule="auto"/>
        <w:rPr>
          <w:rFonts w:ascii="Times New Roman" w:hAnsi="Times New Roman"/>
          <w:b/>
          <w:bCs/>
          <w:sz w:val="24"/>
          <w:szCs w:val="24"/>
        </w:rPr>
      </w:pPr>
    </w:p>
    <w:p w:rsidR="00075DBE" w:rsidRDefault="00075DBE" w:rsidP="00085F52">
      <w:pPr>
        <w:pStyle w:val="abody"/>
        <w:spacing w:after="100" w:afterAutospacing="1" w:line="480" w:lineRule="auto"/>
        <w:rPr>
          <w:rFonts w:ascii="Times New Roman" w:hAnsi="Times New Roman"/>
          <w:b/>
          <w:bCs/>
          <w:sz w:val="24"/>
          <w:szCs w:val="24"/>
        </w:rPr>
      </w:pPr>
    </w:p>
    <w:p w:rsidR="00075DBE" w:rsidRDefault="00075DBE" w:rsidP="00085F52">
      <w:pPr>
        <w:pStyle w:val="abody"/>
        <w:spacing w:after="100" w:afterAutospacing="1" w:line="480" w:lineRule="auto"/>
        <w:rPr>
          <w:rFonts w:ascii="Times New Roman" w:hAnsi="Times New Roman"/>
          <w:bCs/>
          <w:sz w:val="24"/>
          <w:szCs w:val="24"/>
        </w:rPr>
      </w:pPr>
      <w:r w:rsidRPr="00116F0E">
        <w:rPr>
          <w:rFonts w:ascii="Times New Roman" w:hAnsi="Times New Roman"/>
          <w:bCs/>
          <w:sz w:val="24"/>
          <w:szCs w:val="24"/>
        </w:rPr>
        <w:t>&lt;A&gt;CONCLUSIONS</w:t>
      </w:r>
    </w:p>
    <w:p w:rsidR="00075DBE" w:rsidRPr="00116F0E" w:rsidRDefault="00075DBE" w:rsidP="00085F52">
      <w:pPr>
        <w:pStyle w:val="abody"/>
        <w:spacing w:after="100" w:afterAutospacing="1" w:line="480" w:lineRule="auto"/>
        <w:rPr>
          <w:rFonts w:ascii="Times New Roman" w:hAnsi="Times New Roman" w:cs="Times New Roman"/>
          <w:sz w:val="24"/>
          <w:szCs w:val="24"/>
          <w:lang w:eastAsia="en-GB"/>
        </w:rPr>
      </w:pPr>
    </w:p>
    <w:p w:rsidR="00075DBE" w:rsidRDefault="00075DBE" w:rsidP="00085F52">
      <w:pPr>
        <w:spacing w:line="480" w:lineRule="auto"/>
        <w:rPr>
          <w:rFonts w:ascii="Times New Roman" w:hAnsi="Times New Roman"/>
          <w:bCs/>
          <w:sz w:val="24"/>
          <w:szCs w:val="24"/>
        </w:rPr>
      </w:pPr>
      <w:r w:rsidRPr="00CF08C5">
        <w:rPr>
          <w:rFonts w:ascii="Times New Roman" w:hAnsi="Times New Roman"/>
          <w:bCs/>
          <w:sz w:val="24"/>
          <w:szCs w:val="24"/>
        </w:rPr>
        <w:t xml:space="preserve">In conclusion, UK government </w:t>
      </w:r>
      <w:r>
        <w:rPr>
          <w:rFonts w:ascii="Times New Roman" w:hAnsi="Times New Roman"/>
          <w:bCs/>
          <w:sz w:val="24"/>
          <w:szCs w:val="24"/>
        </w:rPr>
        <w:t xml:space="preserve">intervention </w:t>
      </w:r>
      <w:r w:rsidRPr="00CF08C5">
        <w:rPr>
          <w:rFonts w:ascii="Times New Roman" w:hAnsi="Times New Roman"/>
          <w:bCs/>
          <w:sz w:val="24"/>
          <w:szCs w:val="24"/>
        </w:rPr>
        <w:t>for early stage equity finance is justified in address</w:t>
      </w:r>
      <w:r>
        <w:rPr>
          <w:rFonts w:ascii="Times New Roman" w:hAnsi="Times New Roman"/>
          <w:bCs/>
          <w:sz w:val="24"/>
          <w:szCs w:val="24"/>
        </w:rPr>
        <w:t>ing</w:t>
      </w:r>
      <w:r w:rsidRPr="00CF08C5">
        <w:rPr>
          <w:rFonts w:ascii="Times New Roman" w:hAnsi="Times New Roman"/>
          <w:bCs/>
          <w:sz w:val="24"/>
          <w:szCs w:val="24"/>
        </w:rPr>
        <w:t xml:space="preserve"> </w:t>
      </w:r>
      <w:r>
        <w:rPr>
          <w:rFonts w:ascii="Times New Roman" w:hAnsi="Times New Roman"/>
          <w:bCs/>
          <w:sz w:val="24"/>
          <w:szCs w:val="24"/>
        </w:rPr>
        <w:t xml:space="preserve">the </w:t>
      </w:r>
      <w:r w:rsidRPr="00CF08C5">
        <w:rPr>
          <w:rFonts w:ascii="Times New Roman" w:hAnsi="Times New Roman"/>
          <w:bCs/>
          <w:sz w:val="24"/>
          <w:szCs w:val="24"/>
        </w:rPr>
        <w:t xml:space="preserve">finance gaps </w:t>
      </w:r>
      <w:r>
        <w:rPr>
          <w:rFonts w:ascii="Times New Roman" w:hAnsi="Times New Roman"/>
          <w:bCs/>
          <w:sz w:val="24"/>
          <w:szCs w:val="24"/>
        </w:rPr>
        <w:t xml:space="preserve">ranging from </w:t>
      </w:r>
      <w:r w:rsidRPr="00CF08C5">
        <w:rPr>
          <w:rFonts w:ascii="Times New Roman" w:hAnsi="Times New Roman"/>
          <w:bCs/>
          <w:sz w:val="24"/>
          <w:szCs w:val="24"/>
        </w:rPr>
        <w:t xml:space="preserve">seed funding where </w:t>
      </w:r>
      <w:r>
        <w:rPr>
          <w:rFonts w:ascii="Times New Roman" w:hAnsi="Times New Roman"/>
          <w:bCs/>
          <w:sz w:val="24"/>
          <w:szCs w:val="24"/>
        </w:rPr>
        <w:t xml:space="preserve">there is insufficient business angel and grant funding at below £0.25m up to and possibly exceeding £5m for intensive R&amp;D </w:t>
      </w:r>
      <w:r w:rsidRPr="00CF08C5">
        <w:rPr>
          <w:rFonts w:ascii="Times New Roman" w:hAnsi="Times New Roman"/>
          <w:bCs/>
          <w:sz w:val="24"/>
          <w:szCs w:val="24"/>
        </w:rPr>
        <w:t>sectors.</w:t>
      </w:r>
    </w:p>
    <w:p w:rsidR="00075DBE" w:rsidRDefault="00075DBE" w:rsidP="00085F52">
      <w:pPr>
        <w:spacing w:line="480" w:lineRule="auto"/>
        <w:ind w:firstLine="720"/>
        <w:rPr>
          <w:rFonts w:ascii="Times New Roman" w:hAnsi="Times New Roman"/>
          <w:bCs/>
          <w:sz w:val="24"/>
          <w:szCs w:val="24"/>
        </w:rPr>
      </w:pPr>
      <w:r w:rsidRPr="00CF08C5">
        <w:rPr>
          <w:rFonts w:ascii="Times New Roman" w:hAnsi="Times New Roman"/>
          <w:bCs/>
          <w:sz w:val="24"/>
          <w:szCs w:val="24"/>
        </w:rPr>
        <w:lastRenderedPageBreak/>
        <w:t xml:space="preserve">Lerner’s (2010) aim for </w:t>
      </w:r>
      <w:r>
        <w:rPr>
          <w:rFonts w:ascii="Times New Roman" w:hAnsi="Times New Roman"/>
          <w:bCs/>
          <w:sz w:val="24"/>
          <w:szCs w:val="24"/>
        </w:rPr>
        <w:t>HVCFs to</w:t>
      </w:r>
      <w:r w:rsidRPr="00CF08C5">
        <w:rPr>
          <w:rFonts w:ascii="Times New Roman" w:hAnsi="Times New Roman"/>
          <w:bCs/>
          <w:sz w:val="24"/>
          <w:szCs w:val="24"/>
        </w:rPr>
        <w:t xml:space="preserve"> catalys</w:t>
      </w:r>
      <w:r>
        <w:rPr>
          <w:rFonts w:ascii="Times New Roman" w:hAnsi="Times New Roman"/>
          <w:bCs/>
          <w:sz w:val="24"/>
          <w:szCs w:val="24"/>
        </w:rPr>
        <w:t>e</w:t>
      </w:r>
      <w:r w:rsidRPr="00CF08C5">
        <w:rPr>
          <w:rFonts w:ascii="Times New Roman" w:hAnsi="Times New Roman"/>
          <w:bCs/>
          <w:sz w:val="24"/>
          <w:szCs w:val="24"/>
        </w:rPr>
        <w:t xml:space="preserve"> </w:t>
      </w:r>
      <w:r>
        <w:rPr>
          <w:rFonts w:ascii="Times New Roman" w:hAnsi="Times New Roman"/>
          <w:bCs/>
          <w:sz w:val="24"/>
          <w:szCs w:val="24"/>
        </w:rPr>
        <w:t xml:space="preserve">the </w:t>
      </w:r>
      <w:r w:rsidRPr="00CF08C5">
        <w:rPr>
          <w:rFonts w:ascii="Times New Roman" w:hAnsi="Times New Roman"/>
          <w:bCs/>
          <w:sz w:val="24"/>
          <w:szCs w:val="24"/>
        </w:rPr>
        <w:t>develop</w:t>
      </w:r>
      <w:r>
        <w:rPr>
          <w:rFonts w:ascii="Times New Roman" w:hAnsi="Times New Roman"/>
          <w:bCs/>
          <w:sz w:val="24"/>
          <w:szCs w:val="24"/>
        </w:rPr>
        <w:t>ment of</w:t>
      </w:r>
      <w:r w:rsidRPr="00CF08C5">
        <w:rPr>
          <w:rFonts w:ascii="Times New Roman" w:hAnsi="Times New Roman"/>
          <w:bCs/>
          <w:sz w:val="24"/>
          <w:szCs w:val="24"/>
        </w:rPr>
        <w:t xml:space="preserve"> </w:t>
      </w:r>
      <w:r>
        <w:rPr>
          <w:rFonts w:ascii="Times New Roman" w:hAnsi="Times New Roman"/>
          <w:bCs/>
          <w:sz w:val="24"/>
          <w:szCs w:val="24"/>
        </w:rPr>
        <w:t xml:space="preserve">a </w:t>
      </w:r>
      <w:r w:rsidRPr="00CF08C5">
        <w:rPr>
          <w:rFonts w:ascii="Times New Roman" w:hAnsi="Times New Roman"/>
          <w:bCs/>
          <w:sz w:val="24"/>
          <w:szCs w:val="24"/>
        </w:rPr>
        <w:t xml:space="preserve">sustainable private VC </w:t>
      </w:r>
      <w:r>
        <w:rPr>
          <w:rFonts w:ascii="Times New Roman" w:hAnsi="Times New Roman"/>
          <w:bCs/>
          <w:sz w:val="24"/>
          <w:szCs w:val="24"/>
        </w:rPr>
        <w:t>ecosystem</w:t>
      </w:r>
      <w:r w:rsidRPr="00CF08C5">
        <w:rPr>
          <w:rFonts w:ascii="Times New Roman" w:hAnsi="Times New Roman"/>
          <w:bCs/>
          <w:sz w:val="24"/>
          <w:szCs w:val="24"/>
        </w:rPr>
        <w:t xml:space="preserve"> appears highly appropriate for the UK</w:t>
      </w:r>
      <w:r>
        <w:rPr>
          <w:rFonts w:ascii="Times New Roman" w:hAnsi="Times New Roman"/>
          <w:bCs/>
          <w:sz w:val="24"/>
          <w:szCs w:val="24"/>
        </w:rPr>
        <w:t>. The British Business Bank is developing a new post GFC funding escalator involving the three HVCF programmes considered here alongside the Angel Co-investment Fund (£200k to £2m investment range) and Business Growth Fund</w:t>
      </w:r>
      <w:r w:rsidRPr="00DE44E3">
        <w:rPr>
          <w:rFonts w:ascii="Times New Roman" w:hAnsi="Times New Roman"/>
          <w:bCs/>
          <w:sz w:val="24"/>
          <w:szCs w:val="24"/>
          <w:highlight w:val="yellow"/>
          <w:vertAlign w:val="superscript"/>
        </w:rPr>
        <w:t>11</w:t>
      </w:r>
      <w:r>
        <w:rPr>
          <w:rFonts w:ascii="Times New Roman" w:hAnsi="Times New Roman"/>
          <w:bCs/>
          <w:sz w:val="24"/>
          <w:szCs w:val="24"/>
        </w:rPr>
        <w:t xml:space="preserve"> (£2m‒£10m), both introduced in 2011. This requires a</w:t>
      </w:r>
      <w:r w:rsidRPr="00CF08C5">
        <w:rPr>
          <w:rFonts w:ascii="Times New Roman" w:hAnsi="Times New Roman"/>
          <w:bCs/>
          <w:sz w:val="24"/>
          <w:szCs w:val="24"/>
        </w:rPr>
        <w:t xml:space="preserve"> holistic approach </w:t>
      </w:r>
      <w:r w:rsidRPr="00C945E9">
        <w:rPr>
          <w:rFonts w:ascii="Times New Roman" w:hAnsi="Times New Roman"/>
          <w:bCs/>
          <w:sz w:val="24"/>
          <w:szCs w:val="24"/>
        </w:rPr>
        <w:t>(Hughes</w:t>
      </w:r>
      <w:r w:rsidRPr="00B23855">
        <w:rPr>
          <w:rFonts w:ascii="Times New Roman" w:hAnsi="Times New Roman"/>
          <w:bCs/>
          <w:sz w:val="24"/>
          <w:szCs w:val="24"/>
        </w:rPr>
        <w:t xml:space="preserve">, </w:t>
      </w:r>
      <w:r w:rsidRPr="00C70F5E">
        <w:rPr>
          <w:rFonts w:ascii="Times New Roman" w:hAnsi="Times New Roman"/>
          <w:bCs/>
          <w:sz w:val="24"/>
          <w:szCs w:val="24"/>
        </w:rPr>
        <w:t>2009)</w:t>
      </w:r>
      <w:r w:rsidRPr="00CF08C5">
        <w:rPr>
          <w:rFonts w:ascii="Times New Roman" w:hAnsi="Times New Roman"/>
          <w:bCs/>
          <w:sz w:val="24"/>
          <w:szCs w:val="24"/>
        </w:rPr>
        <w:t xml:space="preserve"> to operate cohesively in overcoming finance escalator </w:t>
      </w:r>
      <w:r>
        <w:rPr>
          <w:rFonts w:ascii="Times New Roman" w:hAnsi="Times New Roman"/>
          <w:bCs/>
          <w:sz w:val="24"/>
          <w:szCs w:val="24"/>
        </w:rPr>
        <w:t xml:space="preserve">breakages </w:t>
      </w:r>
      <w:r w:rsidRPr="00CF08C5">
        <w:rPr>
          <w:rFonts w:ascii="Times New Roman" w:hAnsi="Times New Roman"/>
          <w:bCs/>
          <w:sz w:val="24"/>
          <w:szCs w:val="24"/>
        </w:rPr>
        <w:t>and maximi</w:t>
      </w:r>
      <w:r>
        <w:rPr>
          <w:rFonts w:ascii="Times New Roman" w:hAnsi="Times New Roman"/>
          <w:bCs/>
          <w:sz w:val="24"/>
          <w:szCs w:val="24"/>
        </w:rPr>
        <w:t>z</w:t>
      </w:r>
      <w:r w:rsidRPr="00CF08C5">
        <w:rPr>
          <w:rFonts w:ascii="Times New Roman" w:hAnsi="Times New Roman"/>
          <w:bCs/>
          <w:sz w:val="24"/>
          <w:szCs w:val="24"/>
        </w:rPr>
        <w:t>ing the synergies of government finance and related support programmes.</w:t>
      </w:r>
    </w:p>
    <w:p w:rsidR="00075DBE" w:rsidRDefault="00075DBE" w:rsidP="00085F52">
      <w:pPr>
        <w:spacing w:line="480" w:lineRule="auto"/>
        <w:ind w:firstLine="720"/>
        <w:rPr>
          <w:rFonts w:ascii="Times New Roman" w:hAnsi="Times New Roman"/>
          <w:sz w:val="24"/>
          <w:szCs w:val="24"/>
        </w:rPr>
      </w:pPr>
      <w:r>
        <w:rPr>
          <w:rFonts w:ascii="Times New Roman" w:hAnsi="Times New Roman"/>
          <w:sz w:val="24"/>
          <w:szCs w:val="24"/>
        </w:rPr>
        <w:t xml:space="preserve">While </w:t>
      </w:r>
      <w:r w:rsidRPr="00CF08C5">
        <w:rPr>
          <w:rFonts w:ascii="Times New Roman" w:hAnsi="Times New Roman"/>
          <w:sz w:val="24"/>
          <w:szCs w:val="24"/>
        </w:rPr>
        <w:t xml:space="preserve">UK programmes have evolved along </w:t>
      </w:r>
      <w:r>
        <w:rPr>
          <w:rFonts w:ascii="Times New Roman" w:hAnsi="Times New Roman"/>
          <w:sz w:val="24"/>
          <w:szCs w:val="24"/>
        </w:rPr>
        <w:t xml:space="preserve">the lines of </w:t>
      </w:r>
      <w:r w:rsidRPr="00CF08C5">
        <w:rPr>
          <w:rFonts w:ascii="Times New Roman" w:hAnsi="Times New Roman"/>
          <w:sz w:val="24"/>
          <w:szCs w:val="24"/>
        </w:rPr>
        <w:t>Lerner</w:t>
      </w:r>
      <w:r>
        <w:rPr>
          <w:rFonts w:ascii="Times New Roman" w:hAnsi="Times New Roman"/>
          <w:sz w:val="24"/>
          <w:szCs w:val="24"/>
        </w:rPr>
        <w:t>’s</w:t>
      </w:r>
      <w:r w:rsidRPr="00CF08C5">
        <w:rPr>
          <w:rFonts w:ascii="Times New Roman" w:hAnsi="Times New Roman"/>
          <w:sz w:val="24"/>
          <w:szCs w:val="24"/>
        </w:rPr>
        <w:t xml:space="preserve"> (2010) </w:t>
      </w:r>
      <w:r>
        <w:rPr>
          <w:rFonts w:ascii="Times New Roman" w:hAnsi="Times New Roman"/>
          <w:sz w:val="24"/>
          <w:szCs w:val="24"/>
        </w:rPr>
        <w:t xml:space="preserve">principles </w:t>
      </w:r>
      <w:r w:rsidRPr="00CF08C5">
        <w:rPr>
          <w:rFonts w:ascii="Times New Roman" w:hAnsi="Times New Roman"/>
          <w:sz w:val="24"/>
          <w:szCs w:val="24"/>
        </w:rPr>
        <w:t xml:space="preserve">by letting the market lead, </w:t>
      </w:r>
      <w:r>
        <w:rPr>
          <w:rFonts w:ascii="Times New Roman" w:hAnsi="Times New Roman"/>
          <w:sz w:val="24"/>
          <w:szCs w:val="24"/>
        </w:rPr>
        <w:t>a</w:t>
      </w:r>
      <w:r w:rsidRPr="00CF08C5">
        <w:rPr>
          <w:rFonts w:ascii="Times New Roman" w:hAnsi="Times New Roman"/>
          <w:sz w:val="24"/>
          <w:szCs w:val="24"/>
        </w:rPr>
        <w:t xml:space="preserve"> critical question </w:t>
      </w:r>
      <w:r>
        <w:rPr>
          <w:rFonts w:ascii="Times New Roman" w:hAnsi="Times New Roman"/>
          <w:sz w:val="24"/>
          <w:szCs w:val="24"/>
        </w:rPr>
        <w:t>is</w:t>
      </w:r>
      <w:r w:rsidRPr="00CF08C5">
        <w:rPr>
          <w:rFonts w:ascii="Times New Roman" w:hAnsi="Times New Roman"/>
          <w:sz w:val="24"/>
          <w:szCs w:val="24"/>
        </w:rPr>
        <w:t xml:space="preserve"> whether the market driven, commercial private sector ethos </w:t>
      </w:r>
      <w:r>
        <w:rPr>
          <w:rFonts w:ascii="Times New Roman" w:hAnsi="Times New Roman"/>
          <w:sz w:val="24"/>
          <w:szCs w:val="24"/>
        </w:rPr>
        <w:t xml:space="preserve">is in danger of </w:t>
      </w:r>
      <w:r w:rsidRPr="00CF08C5">
        <w:rPr>
          <w:rFonts w:ascii="Times New Roman" w:hAnsi="Times New Roman"/>
          <w:sz w:val="24"/>
          <w:szCs w:val="24"/>
        </w:rPr>
        <w:t>eclips</w:t>
      </w:r>
      <w:r>
        <w:rPr>
          <w:rFonts w:ascii="Times New Roman" w:hAnsi="Times New Roman"/>
          <w:sz w:val="24"/>
          <w:szCs w:val="24"/>
        </w:rPr>
        <w:t>ing</w:t>
      </w:r>
      <w:r w:rsidRPr="00CF08C5">
        <w:rPr>
          <w:rFonts w:ascii="Times New Roman" w:hAnsi="Times New Roman"/>
          <w:sz w:val="24"/>
          <w:szCs w:val="24"/>
        </w:rPr>
        <w:t xml:space="preserve"> the wider economic development rationale for public interventions in this area</w:t>
      </w:r>
      <w:r>
        <w:rPr>
          <w:rFonts w:ascii="Times New Roman" w:hAnsi="Times New Roman"/>
          <w:sz w:val="24"/>
          <w:szCs w:val="24"/>
        </w:rPr>
        <w:t>.</w:t>
      </w:r>
      <w:r w:rsidRPr="00CF08C5">
        <w:rPr>
          <w:rFonts w:ascii="Times New Roman" w:hAnsi="Times New Roman"/>
          <w:sz w:val="24"/>
          <w:szCs w:val="24"/>
        </w:rPr>
        <w:t xml:space="preserve"> </w:t>
      </w:r>
      <w:r>
        <w:rPr>
          <w:rFonts w:ascii="Times New Roman" w:hAnsi="Times New Roman"/>
          <w:sz w:val="24"/>
          <w:szCs w:val="24"/>
        </w:rPr>
        <w:t>Our evidence suggests</w:t>
      </w:r>
      <w:r w:rsidRPr="00CF08C5">
        <w:rPr>
          <w:rFonts w:ascii="Times New Roman" w:hAnsi="Times New Roman"/>
          <w:sz w:val="24"/>
          <w:szCs w:val="24"/>
        </w:rPr>
        <w:t xml:space="preserve"> that HVCF programmes </w:t>
      </w:r>
      <w:r>
        <w:rPr>
          <w:rFonts w:ascii="Times New Roman" w:hAnsi="Times New Roman"/>
          <w:sz w:val="24"/>
          <w:szCs w:val="24"/>
        </w:rPr>
        <w:t xml:space="preserve">should </w:t>
      </w:r>
      <w:r w:rsidRPr="00CF08C5">
        <w:rPr>
          <w:rFonts w:ascii="Times New Roman" w:hAnsi="Times New Roman"/>
          <w:sz w:val="24"/>
          <w:szCs w:val="24"/>
        </w:rPr>
        <w:t xml:space="preserve">avoid cherry picking the ‘immediately fundable’ </w:t>
      </w:r>
      <w:r>
        <w:rPr>
          <w:rFonts w:ascii="Times New Roman" w:hAnsi="Times New Roman"/>
          <w:sz w:val="24"/>
          <w:szCs w:val="24"/>
        </w:rPr>
        <w:t xml:space="preserve">business projects </w:t>
      </w:r>
      <w:r w:rsidRPr="00CF08C5">
        <w:rPr>
          <w:rFonts w:ascii="Times New Roman" w:hAnsi="Times New Roman"/>
          <w:sz w:val="24"/>
          <w:szCs w:val="24"/>
        </w:rPr>
        <w:t>that private VC managers prioriti</w:t>
      </w:r>
      <w:r>
        <w:rPr>
          <w:rFonts w:ascii="Times New Roman" w:hAnsi="Times New Roman"/>
          <w:sz w:val="24"/>
          <w:szCs w:val="24"/>
        </w:rPr>
        <w:t>z</w:t>
      </w:r>
      <w:r w:rsidRPr="00CF08C5">
        <w:rPr>
          <w:rFonts w:ascii="Times New Roman" w:hAnsi="Times New Roman"/>
          <w:sz w:val="24"/>
          <w:szCs w:val="24"/>
        </w:rPr>
        <w:t>e</w:t>
      </w:r>
      <w:r>
        <w:rPr>
          <w:rFonts w:ascii="Times New Roman" w:hAnsi="Times New Roman"/>
          <w:sz w:val="24"/>
          <w:szCs w:val="24"/>
        </w:rPr>
        <w:t>, by focusing more on the ‘probably fundable’ in order to maximize wider economic benefits and minimize displacement</w:t>
      </w:r>
      <w:r w:rsidRPr="00CF08C5">
        <w:rPr>
          <w:rFonts w:ascii="Times New Roman" w:hAnsi="Times New Roman"/>
          <w:sz w:val="24"/>
          <w:szCs w:val="24"/>
        </w:rPr>
        <w:t>.</w:t>
      </w:r>
    </w:p>
    <w:p w:rsidR="00075DBE" w:rsidRDefault="00075DBE" w:rsidP="00085F52">
      <w:pPr>
        <w:spacing w:line="480" w:lineRule="auto"/>
        <w:ind w:firstLine="720"/>
        <w:rPr>
          <w:rFonts w:ascii="Times New Roman" w:hAnsi="Times New Roman"/>
          <w:sz w:val="24"/>
          <w:szCs w:val="24"/>
        </w:rPr>
      </w:pPr>
      <w:r w:rsidRPr="00CF08C5">
        <w:rPr>
          <w:rFonts w:ascii="Times New Roman" w:hAnsi="Times New Roman"/>
          <w:sz w:val="24"/>
          <w:szCs w:val="24"/>
        </w:rPr>
        <w:t xml:space="preserve">It is critical that HVCFs have the timescale to match the extending investment horizons of highly innovative </w:t>
      </w:r>
      <w:r>
        <w:rPr>
          <w:rFonts w:ascii="Times New Roman" w:hAnsi="Times New Roman"/>
          <w:sz w:val="24"/>
          <w:szCs w:val="24"/>
        </w:rPr>
        <w:t xml:space="preserve">intensive </w:t>
      </w:r>
      <w:r w:rsidRPr="00CF08C5">
        <w:rPr>
          <w:rFonts w:ascii="Times New Roman" w:hAnsi="Times New Roman"/>
          <w:sz w:val="24"/>
          <w:szCs w:val="24"/>
        </w:rPr>
        <w:t>R&amp;D sectors</w:t>
      </w:r>
      <w:r>
        <w:rPr>
          <w:rFonts w:ascii="Times New Roman" w:hAnsi="Times New Roman"/>
          <w:sz w:val="24"/>
          <w:szCs w:val="24"/>
        </w:rPr>
        <w:t xml:space="preserve"> and the associated</w:t>
      </w:r>
      <w:r w:rsidRPr="00CF08C5">
        <w:rPr>
          <w:rFonts w:ascii="Times New Roman" w:hAnsi="Times New Roman"/>
          <w:sz w:val="24"/>
          <w:szCs w:val="24"/>
        </w:rPr>
        <w:t xml:space="preserve"> technical and regulatory </w:t>
      </w:r>
      <w:r>
        <w:rPr>
          <w:rFonts w:ascii="Times New Roman" w:hAnsi="Times New Roman"/>
          <w:sz w:val="24"/>
          <w:szCs w:val="24"/>
        </w:rPr>
        <w:t>delays that</w:t>
      </w:r>
      <w:r w:rsidRPr="00CF08C5">
        <w:rPr>
          <w:rFonts w:ascii="Times New Roman" w:hAnsi="Times New Roman"/>
          <w:sz w:val="24"/>
          <w:szCs w:val="24"/>
        </w:rPr>
        <w:t xml:space="preserve"> </w:t>
      </w:r>
      <w:r>
        <w:rPr>
          <w:rFonts w:ascii="Times New Roman" w:hAnsi="Times New Roman"/>
          <w:sz w:val="24"/>
          <w:szCs w:val="24"/>
        </w:rPr>
        <w:t xml:space="preserve">lengthen </w:t>
      </w:r>
      <w:r w:rsidRPr="00CF08C5">
        <w:rPr>
          <w:rFonts w:ascii="Times New Roman" w:hAnsi="Times New Roman"/>
          <w:sz w:val="24"/>
          <w:szCs w:val="24"/>
        </w:rPr>
        <w:t>exit</w:t>
      </w:r>
      <w:r>
        <w:rPr>
          <w:rFonts w:ascii="Times New Roman" w:hAnsi="Times New Roman"/>
          <w:sz w:val="24"/>
          <w:szCs w:val="24"/>
        </w:rPr>
        <w:t xml:space="preserve"> horizons</w:t>
      </w:r>
      <w:r w:rsidRPr="00CF08C5">
        <w:rPr>
          <w:rFonts w:ascii="Times New Roman" w:hAnsi="Times New Roman"/>
          <w:sz w:val="24"/>
          <w:szCs w:val="24"/>
        </w:rPr>
        <w:t xml:space="preserve">. </w:t>
      </w:r>
      <w:r>
        <w:rPr>
          <w:rFonts w:ascii="Times New Roman" w:hAnsi="Times New Roman"/>
          <w:sz w:val="24"/>
          <w:szCs w:val="24"/>
        </w:rPr>
        <w:t>E</w:t>
      </w:r>
      <w:r w:rsidRPr="00CF08C5">
        <w:rPr>
          <w:rFonts w:ascii="Times New Roman" w:hAnsi="Times New Roman"/>
          <w:sz w:val="24"/>
          <w:szCs w:val="24"/>
        </w:rPr>
        <w:t xml:space="preserve">vidence </w:t>
      </w:r>
      <w:r>
        <w:rPr>
          <w:rFonts w:ascii="Times New Roman" w:hAnsi="Times New Roman"/>
          <w:sz w:val="24"/>
          <w:szCs w:val="24"/>
        </w:rPr>
        <w:t>suggests</w:t>
      </w:r>
      <w:r w:rsidRPr="00CF08C5">
        <w:rPr>
          <w:rFonts w:ascii="Times New Roman" w:hAnsi="Times New Roman"/>
          <w:sz w:val="24"/>
          <w:szCs w:val="24"/>
        </w:rPr>
        <w:t xml:space="preserve"> these </w:t>
      </w:r>
      <w:r>
        <w:rPr>
          <w:rFonts w:ascii="Times New Roman" w:hAnsi="Times New Roman"/>
          <w:sz w:val="24"/>
          <w:szCs w:val="24"/>
        </w:rPr>
        <w:t xml:space="preserve">business </w:t>
      </w:r>
      <w:r w:rsidRPr="00CF08C5">
        <w:rPr>
          <w:rFonts w:ascii="Times New Roman" w:hAnsi="Times New Roman"/>
          <w:sz w:val="24"/>
          <w:szCs w:val="24"/>
        </w:rPr>
        <w:t>sector</w:t>
      </w:r>
      <w:r>
        <w:rPr>
          <w:rFonts w:ascii="Times New Roman" w:hAnsi="Times New Roman"/>
          <w:sz w:val="24"/>
          <w:szCs w:val="24"/>
        </w:rPr>
        <w:t xml:space="preserve"> investments</w:t>
      </w:r>
      <w:r w:rsidRPr="00CF08C5">
        <w:rPr>
          <w:rFonts w:ascii="Times New Roman" w:hAnsi="Times New Roman"/>
          <w:sz w:val="24"/>
          <w:szCs w:val="24"/>
        </w:rPr>
        <w:t xml:space="preserve"> may well stretch beyond the </w:t>
      </w:r>
      <w:r>
        <w:rPr>
          <w:rFonts w:ascii="Times New Roman" w:hAnsi="Times New Roman"/>
          <w:sz w:val="24"/>
          <w:szCs w:val="24"/>
        </w:rPr>
        <w:t>10‒12</w:t>
      </w:r>
      <w:r w:rsidRPr="00CF08C5">
        <w:rPr>
          <w:rFonts w:ascii="Times New Roman" w:hAnsi="Times New Roman"/>
          <w:sz w:val="24"/>
          <w:szCs w:val="24"/>
        </w:rPr>
        <w:t xml:space="preserve"> year lifespan of HVCFs, </w:t>
      </w:r>
      <w:r>
        <w:rPr>
          <w:rFonts w:ascii="Times New Roman" w:hAnsi="Times New Roman"/>
          <w:sz w:val="24"/>
          <w:szCs w:val="24"/>
        </w:rPr>
        <w:t>indicating</w:t>
      </w:r>
      <w:r w:rsidRPr="00CF08C5">
        <w:rPr>
          <w:rFonts w:ascii="Times New Roman" w:hAnsi="Times New Roman"/>
          <w:sz w:val="24"/>
          <w:szCs w:val="24"/>
        </w:rPr>
        <w:t xml:space="preserve"> the need fo</w:t>
      </w:r>
      <w:r>
        <w:rPr>
          <w:rFonts w:ascii="Times New Roman" w:hAnsi="Times New Roman"/>
          <w:sz w:val="24"/>
          <w:szCs w:val="24"/>
        </w:rPr>
        <w:t>r extended programme management,</w:t>
      </w:r>
      <w:r w:rsidRPr="00CF08C5">
        <w:rPr>
          <w:rFonts w:ascii="Times New Roman" w:hAnsi="Times New Roman"/>
          <w:sz w:val="24"/>
          <w:szCs w:val="24"/>
        </w:rPr>
        <w:t xml:space="preserve"> or transition to rollover or follow-on funds, </w:t>
      </w:r>
      <w:r>
        <w:rPr>
          <w:rFonts w:ascii="Times New Roman" w:hAnsi="Times New Roman"/>
          <w:sz w:val="24"/>
          <w:szCs w:val="24"/>
        </w:rPr>
        <w:t>to achieve optimal</w:t>
      </w:r>
      <w:r w:rsidRPr="00CF08C5">
        <w:rPr>
          <w:rFonts w:ascii="Times New Roman" w:hAnsi="Times New Roman"/>
          <w:sz w:val="24"/>
          <w:szCs w:val="24"/>
        </w:rPr>
        <w:t xml:space="preserve"> outcomes for </w:t>
      </w:r>
      <w:r>
        <w:rPr>
          <w:rFonts w:ascii="Times New Roman" w:hAnsi="Times New Roman"/>
          <w:sz w:val="24"/>
          <w:szCs w:val="24"/>
        </w:rPr>
        <w:t>funds and their portfolio</w:t>
      </w:r>
      <w:r w:rsidRPr="00CF08C5">
        <w:rPr>
          <w:rFonts w:ascii="Times New Roman" w:hAnsi="Times New Roman"/>
          <w:sz w:val="24"/>
          <w:szCs w:val="24"/>
        </w:rPr>
        <w:t xml:space="preserve"> business</w:t>
      </w:r>
      <w:r>
        <w:rPr>
          <w:rFonts w:ascii="Times New Roman" w:hAnsi="Times New Roman"/>
          <w:sz w:val="24"/>
          <w:szCs w:val="24"/>
        </w:rPr>
        <w:t>es</w:t>
      </w:r>
      <w:r w:rsidRPr="00CF08C5">
        <w:rPr>
          <w:rFonts w:ascii="Times New Roman" w:hAnsi="Times New Roman"/>
          <w:sz w:val="24"/>
          <w:szCs w:val="24"/>
        </w:rPr>
        <w:t xml:space="preserve">. HVCFs </w:t>
      </w:r>
      <w:r>
        <w:rPr>
          <w:rFonts w:ascii="Times New Roman" w:hAnsi="Times New Roman"/>
          <w:sz w:val="24"/>
          <w:szCs w:val="24"/>
        </w:rPr>
        <w:t xml:space="preserve">must also </w:t>
      </w:r>
      <w:r w:rsidRPr="00CF08C5">
        <w:rPr>
          <w:rFonts w:ascii="Times New Roman" w:hAnsi="Times New Roman"/>
          <w:sz w:val="24"/>
          <w:szCs w:val="24"/>
        </w:rPr>
        <w:t xml:space="preserve">have the size and scale to </w:t>
      </w:r>
      <w:r>
        <w:rPr>
          <w:rFonts w:ascii="Times New Roman" w:hAnsi="Times New Roman"/>
          <w:sz w:val="24"/>
          <w:szCs w:val="24"/>
        </w:rPr>
        <w:t xml:space="preserve">achieve Lerner’s ultimate </w:t>
      </w:r>
      <w:r w:rsidRPr="00CF08C5">
        <w:rPr>
          <w:rFonts w:ascii="Times New Roman" w:hAnsi="Times New Roman"/>
          <w:sz w:val="24"/>
          <w:szCs w:val="24"/>
        </w:rPr>
        <w:t xml:space="preserve">sustainable legacy </w:t>
      </w:r>
      <w:r>
        <w:rPr>
          <w:rFonts w:ascii="Times New Roman" w:hAnsi="Times New Roman"/>
          <w:sz w:val="24"/>
          <w:szCs w:val="24"/>
        </w:rPr>
        <w:t xml:space="preserve">objective </w:t>
      </w:r>
      <w:r w:rsidRPr="00CF08C5">
        <w:rPr>
          <w:rFonts w:ascii="Times New Roman" w:hAnsi="Times New Roman"/>
          <w:sz w:val="24"/>
          <w:szCs w:val="24"/>
        </w:rPr>
        <w:t>from investment returns and ongoing future private sector VC fund development</w:t>
      </w:r>
      <w:r>
        <w:rPr>
          <w:rFonts w:ascii="Times New Roman" w:hAnsi="Times New Roman"/>
          <w:sz w:val="24"/>
          <w:szCs w:val="24"/>
        </w:rPr>
        <w:t>, enabling strategic government withdrawal</w:t>
      </w:r>
      <w:r w:rsidRPr="00CF08C5">
        <w:rPr>
          <w:rFonts w:ascii="Times New Roman" w:hAnsi="Times New Roman"/>
          <w:sz w:val="24"/>
          <w:szCs w:val="24"/>
        </w:rPr>
        <w:t>.</w:t>
      </w:r>
    </w:p>
    <w:p w:rsidR="00075DBE" w:rsidRDefault="00075DBE" w:rsidP="00085F52">
      <w:pPr>
        <w:spacing w:line="480" w:lineRule="auto"/>
        <w:ind w:firstLine="720"/>
        <w:rPr>
          <w:rFonts w:ascii="Times New Roman" w:hAnsi="Times New Roman"/>
          <w:sz w:val="24"/>
          <w:szCs w:val="24"/>
        </w:rPr>
      </w:pPr>
      <w:r>
        <w:rPr>
          <w:rFonts w:ascii="Times New Roman" w:hAnsi="Times New Roman"/>
          <w:sz w:val="24"/>
          <w:szCs w:val="24"/>
        </w:rPr>
        <w:t xml:space="preserve">Finally, </w:t>
      </w:r>
      <w:r w:rsidRPr="00CF08C5">
        <w:rPr>
          <w:rFonts w:ascii="Times New Roman" w:hAnsi="Times New Roman"/>
          <w:sz w:val="24"/>
          <w:szCs w:val="24"/>
        </w:rPr>
        <w:t xml:space="preserve">recent UK experience </w:t>
      </w:r>
      <w:r>
        <w:rPr>
          <w:rFonts w:ascii="Times New Roman" w:hAnsi="Times New Roman"/>
          <w:sz w:val="24"/>
          <w:szCs w:val="24"/>
        </w:rPr>
        <w:t xml:space="preserve">through the UKIIF </w:t>
      </w:r>
      <w:r w:rsidRPr="00CF08C5">
        <w:rPr>
          <w:rFonts w:ascii="Times New Roman" w:hAnsi="Times New Roman"/>
          <w:sz w:val="24"/>
          <w:szCs w:val="24"/>
        </w:rPr>
        <w:t>endorse</w:t>
      </w:r>
      <w:r>
        <w:rPr>
          <w:rFonts w:ascii="Times New Roman" w:hAnsi="Times New Roman"/>
          <w:sz w:val="24"/>
          <w:szCs w:val="24"/>
        </w:rPr>
        <w:t>s</w:t>
      </w:r>
      <w:r w:rsidRPr="00CF08C5">
        <w:rPr>
          <w:rFonts w:ascii="Times New Roman" w:hAnsi="Times New Roman"/>
          <w:sz w:val="24"/>
          <w:szCs w:val="24"/>
        </w:rPr>
        <w:t xml:space="preserve"> Lerner’s view that in an increasingly global economic environment it is vital to encourage inward investment, collaborating with and encouraging the best VC funds to invest in the UK.</w:t>
      </w:r>
      <w:r>
        <w:rPr>
          <w:rFonts w:ascii="Times New Roman" w:hAnsi="Times New Roman"/>
          <w:sz w:val="24"/>
          <w:szCs w:val="24"/>
        </w:rPr>
        <w:t xml:space="preserve"> </w:t>
      </w:r>
      <w:r w:rsidRPr="00CF08C5">
        <w:rPr>
          <w:rFonts w:ascii="Times New Roman" w:hAnsi="Times New Roman"/>
          <w:sz w:val="24"/>
          <w:szCs w:val="24"/>
        </w:rPr>
        <w:t xml:space="preserve">However, </w:t>
      </w:r>
      <w:r>
        <w:rPr>
          <w:rFonts w:ascii="Times New Roman" w:hAnsi="Times New Roman"/>
          <w:sz w:val="24"/>
          <w:szCs w:val="24"/>
        </w:rPr>
        <w:t>a</w:t>
      </w:r>
      <w:r w:rsidRPr="00CF08C5">
        <w:rPr>
          <w:rFonts w:ascii="Times New Roman" w:hAnsi="Times New Roman"/>
          <w:sz w:val="24"/>
          <w:szCs w:val="24"/>
        </w:rPr>
        <w:t xml:space="preserve"> crucial </w:t>
      </w:r>
      <w:r>
        <w:rPr>
          <w:rFonts w:ascii="Times New Roman" w:hAnsi="Times New Roman"/>
          <w:sz w:val="24"/>
          <w:szCs w:val="24"/>
        </w:rPr>
        <w:t xml:space="preserve">remaining </w:t>
      </w:r>
      <w:r w:rsidRPr="00CF08C5">
        <w:rPr>
          <w:rFonts w:ascii="Times New Roman" w:hAnsi="Times New Roman"/>
          <w:sz w:val="24"/>
          <w:szCs w:val="24"/>
        </w:rPr>
        <w:t xml:space="preserve">question </w:t>
      </w:r>
      <w:r>
        <w:rPr>
          <w:rFonts w:ascii="Times New Roman" w:hAnsi="Times New Roman"/>
          <w:sz w:val="24"/>
          <w:szCs w:val="24"/>
        </w:rPr>
        <w:t xml:space="preserve">which certainly merits further research </w:t>
      </w:r>
      <w:r w:rsidRPr="00CF08C5">
        <w:rPr>
          <w:rFonts w:ascii="Times New Roman" w:hAnsi="Times New Roman"/>
          <w:sz w:val="24"/>
          <w:szCs w:val="24"/>
        </w:rPr>
        <w:t xml:space="preserve">is whether successful </w:t>
      </w:r>
      <w:r>
        <w:rPr>
          <w:rFonts w:ascii="Times New Roman" w:hAnsi="Times New Roman"/>
          <w:sz w:val="24"/>
          <w:szCs w:val="24"/>
        </w:rPr>
        <w:t xml:space="preserve">portfolio </w:t>
      </w:r>
      <w:r w:rsidRPr="00CF08C5">
        <w:rPr>
          <w:rFonts w:ascii="Times New Roman" w:hAnsi="Times New Roman"/>
          <w:sz w:val="24"/>
          <w:szCs w:val="24"/>
        </w:rPr>
        <w:t>business</w:t>
      </w:r>
      <w:r>
        <w:rPr>
          <w:rFonts w:ascii="Times New Roman" w:hAnsi="Times New Roman"/>
          <w:sz w:val="24"/>
          <w:szCs w:val="24"/>
        </w:rPr>
        <w:t xml:space="preserve">es </w:t>
      </w:r>
      <w:r w:rsidRPr="00CF08C5">
        <w:rPr>
          <w:rFonts w:ascii="Times New Roman" w:hAnsi="Times New Roman"/>
          <w:sz w:val="24"/>
          <w:szCs w:val="24"/>
        </w:rPr>
        <w:t xml:space="preserve">will create </w:t>
      </w:r>
      <w:r w:rsidRPr="00CF08C5">
        <w:rPr>
          <w:rFonts w:ascii="Times New Roman" w:hAnsi="Times New Roman"/>
          <w:sz w:val="24"/>
          <w:szCs w:val="24"/>
        </w:rPr>
        <w:lastRenderedPageBreak/>
        <w:t>sustainable jobs</w:t>
      </w:r>
      <w:r>
        <w:rPr>
          <w:rFonts w:ascii="Times New Roman" w:hAnsi="Times New Roman"/>
          <w:sz w:val="24"/>
          <w:szCs w:val="24"/>
        </w:rPr>
        <w:t xml:space="preserve">, investment and wealth creation </w:t>
      </w:r>
      <w:r w:rsidRPr="00CF08C5">
        <w:rPr>
          <w:rFonts w:ascii="Times New Roman" w:hAnsi="Times New Roman"/>
          <w:sz w:val="24"/>
          <w:szCs w:val="24"/>
        </w:rPr>
        <w:t>within the UK</w:t>
      </w:r>
      <w:r>
        <w:rPr>
          <w:rFonts w:ascii="Times New Roman" w:hAnsi="Times New Roman"/>
          <w:sz w:val="24"/>
          <w:szCs w:val="24"/>
        </w:rPr>
        <w:t xml:space="preserve"> economy rather than there being a leakage of these longer-term benefits</w:t>
      </w:r>
      <w:r w:rsidRPr="00CF08C5">
        <w:rPr>
          <w:rFonts w:ascii="Times New Roman" w:hAnsi="Times New Roman"/>
          <w:sz w:val="24"/>
          <w:szCs w:val="24"/>
        </w:rPr>
        <w:t>.</w:t>
      </w:r>
    </w:p>
    <w:p w:rsidR="00075DBE" w:rsidRDefault="00075DBE" w:rsidP="00085F52">
      <w:pPr>
        <w:tabs>
          <w:tab w:val="num" w:pos="0"/>
        </w:tabs>
        <w:spacing w:before="100" w:beforeAutospacing="1" w:after="100" w:afterAutospacing="1" w:line="480" w:lineRule="auto"/>
        <w:ind w:right="-57"/>
        <w:rPr>
          <w:rFonts w:ascii="Times New Roman" w:hAnsi="Times New Roman"/>
          <w:b/>
          <w:sz w:val="24"/>
          <w:szCs w:val="24"/>
        </w:rPr>
      </w:pPr>
    </w:p>
    <w:p w:rsidR="00075DBE" w:rsidRDefault="00075DBE" w:rsidP="00085F52">
      <w:pPr>
        <w:tabs>
          <w:tab w:val="num" w:pos="0"/>
        </w:tabs>
        <w:spacing w:before="100" w:beforeAutospacing="1" w:after="100" w:afterAutospacing="1" w:line="480" w:lineRule="auto"/>
        <w:ind w:right="-57"/>
        <w:rPr>
          <w:rFonts w:ascii="Times New Roman" w:hAnsi="Times New Roman"/>
          <w:b/>
          <w:sz w:val="24"/>
          <w:szCs w:val="24"/>
        </w:rPr>
      </w:pPr>
    </w:p>
    <w:p w:rsidR="00075DBE" w:rsidRDefault="00075DBE" w:rsidP="00085F52">
      <w:pPr>
        <w:tabs>
          <w:tab w:val="num" w:pos="0"/>
        </w:tabs>
        <w:spacing w:before="100" w:beforeAutospacing="1" w:after="100" w:afterAutospacing="1" w:line="480" w:lineRule="auto"/>
        <w:ind w:right="-57"/>
        <w:rPr>
          <w:rFonts w:ascii="Times New Roman" w:hAnsi="Times New Roman"/>
          <w:sz w:val="24"/>
          <w:szCs w:val="24"/>
        </w:rPr>
      </w:pPr>
      <w:r w:rsidRPr="005C61F7">
        <w:rPr>
          <w:rFonts w:ascii="Times New Roman" w:hAnsi="Times New Roman"/>
          <w:sz w:val="24"/>
          <w:szCs w:val="24"/>
        </w:rPr>
        <w:t>&lt;A&gt;ACKNOWLEDGEMENTS</w:t>
      </w:r>
    </w:p>
    <w:p w:rsidR="00075DBE" w:rsidRPr="00DE44E3" w:rsidRDefault="00075DBE" w:rsidP="00085F52">
      <w:pPr>
        <w:tabs>
          <w:tab w:val="num" w:pos="0"/>
        </w:tabs>
        <w:spacing w:before="100" w:beforeAutospacing="1" w:after="100" w:afterAutospacing="1" w:line="480" w:lineRule="auto"/>
        <w:ind w:right="-57"/>
        <w:rPr>
          <w:rFonts w:ascii="Times New Roman" w:hAnsi="Times New Roman"/>
          <w:color w:val="FF0000"/>
          <w:sz w:val="24"/>
          <w:szCs w:val="24"/>
        </w:rPr>
      </w:pPr>
    </w:p>
    <w:p w:rsidR="00075DBE" w:rsidRDefault="00075DBE" w:rsidP="00085F52">
      <w:pPr>
        <w:tabs>
          <w:tab w:val="num" w:pos="0"/>
        </w:tabs>
        <w:spacing w:before="100" w:beforeAutospacing="1" w:after="100" w:afterAutospacing="1" w:line="480" w:lineRule="auto"/>
        <w:ind w:right="-57"/>
        <w:rPr>
          <w:rFonts w:ascii="Times New Roman" w:hAnsi="Times New Roman"/>
          <w:sz w:val="24"/>
          <w:szCs w:val="24"/>
        </w:rPr>
      </w:pPr>
      <w:r w:rsidRPr="00CF08C5">
        <w:rPr>
          <w:rFonts w:ascii="Times New Roman" w:hAnsi="Times New Roman"/>
          <w:sz w:val="24"/>
          <w:szCs w:val="24"/>
        </w:rPr>
        <w:t>The authors acknowledge the contribution of Adrian Lewis, a venture capital consultant, who undertook fund manager interviews. They also thank Daniel Van der Schans at the UK Department for Business Innovation and Skills (BIS) and project steering group</w:t>
      </w:r>
      <w:r>
        <w:rPr>
          <w:rFonts w:ascii="Times New Roman" w:hAnsi="Times New Roman"/>
          <w:sz w:val="24"/>
          <w:szCs w:val="24"/>
        </w:rPr>
        <w:t xml:space="preserve"> members</w:t>
      </w:r>
      <w:r w:rsidRPr="00CF08C5">
        <w:rPr>
          <w:rFonts w:ascii="Times New Roman" w:hAnsi="Times New Roman"/>
          <w:sz w:val="24"/>
          <w:szCs w:val="24"/>
        </w:rPr>
        <w:t xml:space="preserve"> for their guidance. The findings and interpretations are those of the authors.</w:t>
      </w:r>
    </w:p>
    <w:p w:rsidR="00075DBE" w:rsidRDefault="00075DBE" w:rsidP="00085F52">
      <w:pPr>
        <w:tabs>
          <w:tab w:val="num" w:pos="0"/>
        </w:tabs>
        <w:spacing w:before="100" w:beforeAutospacing="1" w:after="100" w:afterAutospacing="1" w:line="480" w:lineRule="auto"/>
        <w:ind w:right="-57"/>
        <w:rPr>
          <w:rFonts w:ascii="Times New Roman" w:hAnsi="Times New Roman"/>
          <w:sz w:val="24"/>
          <w:szCs w:val="24"/>
        </w:rPr>
      </w:pPr>
    </w:p>
    <w:p w:rsidR="00075DBE" w:rsidRDefault="00075DBE" w:rsidP="00085F52">
      <w:pPr>
        <w:tabs>
          <w:tab w:val="num" w:pos="0"/>
        </w:tabs>
        <w:spacing w:before="100" w:beforeAutospacing="1" w:after="100" w:afterAutospacing="1" w:line="480" w:lineRule="auto"/>
        <w:ind w:right="-57"/>
        <w:rPr>
          <w:rFonts w:ascii="Times New Roman" w:hAnsi="Times New Roman"/>
          <w:sz w:val="24"/>
          <w:szCs w:val="24"/>
        </w:rPr>
      </w:pPr>
    </w:p>
    <w:p w:rsidR="00075DBE" w:rsidRDefault="00075DBE" w:rsidP="00085F52">
      <w:pPr>
        <w:tabs>
          <w:tab w:val="num" w:pos="0"/>
        </w:tabs>
        <w:spacing w:before="100" w:beforeAutospacing="1" w:after="100" w:afterAutospacing="1" w:line="480" w:lineRule="auto"/>
        <w:ind w:right="-57"/>
        <w:rPr>
          <w:rFonts w:ascii="Times New Roman" w:hAnsi="Times New Roman"/>
          <w:sz w:val="24"/>
          <w:szCs w:val="24"/>
        </w:rPr>
      </w:pPr>
      <w:r>
        <w:rPr>
          <w:rFonts w:ascii="Times New Roman" w:hAnsi="Times New Roman"/>
          <w:sz w:val="24"/>
          <w:szCs w:val="24"/>
        </w:rPr>
        <w:t>&lt;A&gt;NOTES</w:t>
      </w:r>
    </w:p>
    <w:p w:rsidR="00075DBE" w:rsidRDefault="00075DBE" w:rsidP="00085F52">
      <w:pPr>
        <w:tabs>
          <w:tab w:val="num" w:pos="0"/>
        </w:tabs>
        <w:spacing w:before="100" w:beforeAutospacing="1" w:after="100" w:afterAutospacing="1" w:line="480" w:lineRule="auto"/>
        <w:ind w:right="-57"/>
        <w:rPr>
          <w:rFonts w:ascii="Times New Roman" w:hAnsi="Times New Roman"/>
          <w:sz w:val="24"/>
          <w:szCs w:val="24"/>
        </w:rPr>
      </w:pPr>
    </w:p>
    <w:p w:rsidR="00075DBE" w:rsidRDefault="00075DBE" w:rsidP="003C5BBD">
      <w:pPr>
        <w:pStyle w:val="EndnoteText"/>
      </w:pPr>
      <w:r>
        <w:rPr>
          <w:rFonts w:ascii="Times New Roman" w:hAnsi="Times New Roman"/>
        </w:rPr>
        <w:t xml:space="preserve">1. </w:t>
      </w:r>
      <w:r w:rsidRPr="00085F52">
        <w:rPr>
          <w:rFonts w:ascii="Times New Roman" w:hAnsi="Times New Roman"/>
        </w:rPr>
        <w:t>Includes the Catalyst Fund which tops up multiple private funds to enable fund raising closure.</w:t>
      </w:r>
    </w:p>
    <w:p w:rsidR="00075DBE" w:rsidRDefault="00075DBE" w:rsidP="003C5BBD">
      <w:pPr>
        <w:pStyle w:val="EndnoteText"/>
      </w:pPr>
      <w:r>
        <w:rPr>
          <w:rFonts w:ascii="Times New Roman" w:hAnsi="Times New Roman"/>
        </w:rPr>
        <w:t xml:space="preserve">2. This model relies on </w:t>
      </w:r>
      <w:r w:rsidRPr="00085F52">
        <w:rPr>
          <w:rFonts w:ascii="Times New Roman" w:hAnsi="Times New Roman"/>
        </w:rPr>
        <w:t>a lead private investor finding potential investee businesses which they present to the fund manager who then decides whether to use the BIS funds to invest alongside the private investor based on an assessment of the latter</w:t>
      </w:r>
      <w:r w:rsidRPr="009F14DE">
        <w:rPr>
          <w:rFonts w:ascii="Times New Roman" w:hAnsi="Times New Roman"/>
        </w:rPr>
        <w:t>’</w:t>
      </w:r>
      <w:r w:rsidRPr="00085F52">
        <w:rPr>
          <w:rFonts w:ascii="Times New Roman" w:hAnsi="Times New Roman"/>
        </w:rPr>
        <w:t>s investment track record and the strength of the due diligence wo</w:t>
      </w:r>
      <w:r>
        <w:rPr>
          <w:rFonts w:ascii="Times New Roman" w:hAnsi="Times New Roman"/>
        </w:rPr>
        <w:t>rk undertaken.</w:t>
      </w:r>
    </w:p>
    <w:p w:rsidR="00075DBE" w:rsidRDefault="00075DBE" w:rsidP="003C5BBD">
      <w:pPr>
        <w:pStyle w:val="EndnoteText"/>
      </w:pPr>
      <w:r>
        <w:rPr>
          <w:rFonts w:ascii="Times New Roman" w:hAnsi="Times New Roman"/>
        </w:rPr>
        <w:t xml:space="preserve">3. </w:t>
      </w:r>
      <w:r w:rsidRPr="00085F52">
        <w:rPr>
          <w:rFonts w:ascii="Times New Roman" w:hAnsi="Times New Roman"/>
        </w:rPr>
        <w:t>Prior to the British Business Bank being formed in 2014, Capital for Enterprise Ltd (CfEL) was the UK government</w:t>
      </w:r>
      <w:r w:rsidRPr="009F14DE">
        <w:rPr>
          <w:rFonts w:ascii="Times New Roman" w:hAnsi="Times New Roman"/>
        </w:rPr>
        <w:t>’</w:t>
      </w:r>
      <w:r w:rsidRPr="00085F52">
        <w:rPr>
          <w:rFonts w:ascii="Times New Roman" w:hAnsi="Times New Roman"/>
        </w:rPr>
        <w:t>s body overseeing its equity programmes.</w:t>
      </w:r>
    </w:p>
    <w:p w:rsidR="00075DBE" w:rsidRDefault="00075DBE" w:rsidP="003C5BBD">
      <w:pPr>
        <w:pStyle w:val="EndnoteText"/>
      </w:pPr>
      <w:r w:rsidRPr="00217027">
        <w:rPr>
          <w:rStyle w:val="EndnoteReference"/>
          <w:rFonts w:ascii="Times New Roman" w:hAnsi="Times New Roman"/>
          <w:vertAlign w:val="baseline"/>
        </w:rPr>
        <w:t>4.</w:t>
      </w:r>
      <w:r w:rsidRPr="00085F52">
        <w:rPr>
          <w:rFonts w:ascii="Times New Roman" w:hAnsi="Times New Roman"/>
        </w:rPr>
        <w:t xml:space="preserve"> The EU state aid limit for the UK was subsequently raised in January 2014 from £2m to £5m</w:t>
      </w:r>
      <w:r w:rsidRPr="00100F4B">
        <w:rPr>
          <w:rFonts w:ascii="Times New Roman" w:hAnsi="Times New Roman"/>
        </w:rPr>
        <w:t>.</w:t>
      </w:r>
    </w:p>
    <w:p w:rsidR="00075DBE" w:rsidRDefault="00075DBE" w:rsidP="003C5BBD">
      <w:pPr>
        <w:pStyle w:val="EndnoteText"/>
      </w:pPr>
      <w:r>
        <w:rPr>
          <w:rFonts w:ascii="Times New Roman" w:hAnsi="Times New Roman"/>
        </w:rPr>
        <w:t xml:space="preserve">5. </w:t>
      </w:r>
      <w:r w:rsidRPr="00085F52">
        <w:rPr>
          <w:rFonts w:ascii="Times New Roman" w:hAnsi="Times New Roman"/>
        </w:rPr>
        <w:t>Included the two umbrella funds not directly investing in companies.</w:t>
      </w:r>
    </w:p>
    <w:p w:rsidR="00075DBE" w:rsidRDefault="00075DBE" w:rsidP="003C5BBD">
      <w:pPr>
        <w:pStyle w:val="EndnoteText"/>
      </w:pPr>
      <w:r>
        <w:rPr>
          <w:rFonts w:ascii="Times New Roman" w:hAnsi="Times New Roman"/>
        </w:rPr>
        <w:t xml:space="preserve">6. </w:t>
      </w:r>
      <w:r w:rsidRPr="00085F52">
        <w:rPr>
          <w:rFonts w:ascii="Times New Roman" w:hAnsi="Times New Roman"/>
        </w:rPr>
        <w:t>Small Business Survey 2012 (BIS, 2013); Centre for Business Research (CBR</w:t>
      </w:r>
      <w:r>
        <w:rPr>
          <w:rFonts w:ascii="Times New Roman" w:hAnsi="Times New Roman"/>
        </w:rPr>
        <w:t xml:space="preserve">, </w:t>
      </w:r>
      <w:r w:rsidRPr="00085F52">
        <w:rPr>
          <w:rFonts w:ascii="Times New Roman" w:hAnsi="Times New Roman"/>
        </w:rPr>
        <w:t>2008); BDRC (</w:t>
      </w:r>
      <w:r>
        <w:rPr>
          <w:rFonts w:ascii="Times New Roman" w:hAnsi="Times New Roman"/>
        </w:rPr>
        <w:t xml:space="preserve">BDRC Continental, </w:t>
      </w:r>
      <w:r w:rsidRPr="00085F52">
        <w:rPr>
          <w:rFonts w:ascii="Times New Roman" w:hAnsi="Times New Roman"/>
        </w:rPr>
        <w:t>2010) Mid-cap finance survey.</w:t>
      </w:r>
    </w:p>
    <w:p w:rsidR="00075DBE" w:rsidRDefault="00075DBE" w:rsidP="003C5BBD">
      <w:pPr>
        <w:pStyle w:val="EndnoteText"/>
      </w:pPr>
      <w:r>
        <w:rPr>
          <w:rFonts w:ascii="Times New Roman" w:hAnsi="Times New Roman"/>
        </w:rPr>
        <w:lastRenderedPageBreak/>
        <w:t xml:space="preserve">7. </w:t>
      </w:r>
      <w:r w:rsidRPr="00085F52">
        <w:rPr>
          <w:rFonts w:ascii="Times New Roman" w:hAnsi="Times New Roman"/>
        </w:rPr>
        <w:t>Includes umbrella and underlying funds for which it is not possible to calculate the proportion of leveraged funds that would already have been committed.</w:t>
      </w:r>
      <w:r w:rsidRPr="00100F4B">
        <w:rPr>
          <w:rFonts w:ascii="Times New Roman" w:hAnsi="Times New Roman"/>
        </w:rPr>
        <w:t xml:space="preserve"> </w:t>
      </w:r>
    </w:p>
    <w:p w:rsidR="00075DBE" w:rsidRDefault="00075DBE" w:rsidP="003C5BBD">
      <w:pPr>
        <w:pStyle w:val="EndnoteText"/>
      </w:pPr>
      <w:r>
        <w:rPr>
          <w:rFonts w:ascii="Times New Roman" w:hAnsi="Times New Roman"/>
        </w:rPr>
        <w:t xml:space="preserve">8. </w:t>
      </w:r>
      <w:r w:rsidRPr="00085F52">
        <w:rPr>
          <w:rFonts w:ascii="Times New Roman" w:hAnsi="Times New Roman"/>
        </w:rPr>
        <w:t>Gilde Healthcare III fund, investing in the UK as well as across Europe and in the US, is managed by one of Netherland</w:t>
      </w:r>
      <w:r w:rsidRPr="009F14DE">
        <w:rPr>
          <w:rFonts w:ascii="Times New Roman" w:hAnsi="Times New Roman"/>
        </w:rPr>
        <w:t>’</w:t>
      </w:r>
      <w:r w:rsidRPr="00085F52">
        <w:rPr>
          <w:rFonts w:ascii="Times New Roman" w:hAnsi="Times New Roman"/>
        </w:rPr>
        <w:t>s most experienced VCs, established 1982.</w:t>
      </w:r>
    </w:p>
    <w:p w:rsidR="00075DBE" w:rsidRDefault="00075DBE" w:rsidP="003C5BBD">
      <w:pPr>
        <w:pStyle w:val="EndnoteText"/>
      </w:pPr>
      <w:r>
        <w:rPr>
          <w:rFonts w:ascii="Times New Roman" w:hAnsi="Times New Roman"/>
        </w:rPr>
        <w:t xml:space="preserve">9. </w:t>
      </w:r>
      <w:r w:rsidRPr="00085F52">
        <w:rPr>
          <w:rFonts w:ascii="Times New Roman" w:hAnsi="Times New Roman"/>
        </w:rPr>
        <w:t>The UK Small Business Survey 2012 (BIS, 2013) found that 19</w:t>
      </w:r>
      <w:r>
        <w:rPr>
          <w:rFonts w:ascii="Times New Roman" w:hAnsi="Times New Roman"/>
        </w:rPr>
        <w:t xml:space="preserve"> per cent</w:t>
      </w:r>
      <w:r w:rsidRPr="00085F52">
        <w:rPr>
          <w:rFonts w:ascii="Times New Roman" w:hAnsi="Times New Roman"/>
        </w:rPr>
        <w:t xml:space="preserve"> of SME employer businesses currently export</w:t>
      </w:r>
      <w:r w:rsidRPr="00085F52">
        <w:t>.</w:t>
      </w:r>
    </w:p>
    <w:p w:rsidR="00075DBE" w:rsidRDefault="00075DBE" w:rsidP="0066075D">
      <w:pPr>
        <w:pStyle w:val="EndnoteText"/>
      </w:pPr>
      <w:r>
        <w:rPr>
          <w:rFonts w:ascii="Times New Roman" w:hAnsi="Times New Roman"/>
        </w:rPr>
        <w:t xml:space="preserve">10. </w:t>
      </w:r>
      <w:r w:rsidRPr="00085F52">
        <w:rPr>
          <w:rFonts w:ascii="Times New Roman" w:hAnsi="Times New Roman"/>
        </w:rPr>
        <w:t>Whil</w:t>
      </w:r>
      <w:r>
        <w:rPr>
          <w:rFonts w:ascii="Times New Roman" w:hAnsi="Times New Roman"/>
        </w:rPr>
        <w:t>e</w:t>
      </w:r>
      <w:r w:rsidRPr="00085F52">
        <w:rPr>
          <w:rFonts w:ascii="Times New Roman" w:hAnsi="Times New Roman"/>
        </w:rPr>
        <w:t xml:space="preserve"> these arguments do apply to the UK, they are particularly relevant in the case of small economies such as New Zealand where the limited size of the equity and VC market combined with the limited size of the technological community can lead to successful TBSFs having to relocate abroad to develop further (Deakins</w:t>
      </w:r>
      <w:r>
        <w:rPr>
          <w:rFonts w:ascii="Times New Roman" w:hAnsi="Times New Roman"/>
        </w:rPr>
        <w:t xml:space="preserve"> et al.</w:t>
      </w:r>
      <w:r w:rsidRPr="00085F52">
        <w:rPr>
          <w:rFonts w:ascii="Times New Roman" w:hAnsi="Times New Roman"/>
        </w:rPr>
        <w:t>, 201</w:t>
      </w:r>
      <w:r>
        <w:rPr>
          <w:rFonts w:ascii="Times New Roman" w:hAnsi="Times New Roman"/>
        </w:rPr>
        <w:t>5</w:t>
      </w:r>
      <w:r w:rsidRPr="00085F52">
        <w:rPr>
          <w:rFonts w:ascii="Times New Roman" w:hAnsi="Times New Roman"/>
        </w:rPr>
        <w:t>).</w:t>
      </w:r>
    </w:p>
    <w:p w:rsidR="00075DBE" w:rsidRDefault="00075DBE" w:rsidP="003C5BBD">
      <w:pPr>
        <w:pStyle w:val="EndnoteText"/>
      </w:pPr>
      <w:r>
        <w:rPr>
          <w:rFonts w:ascii="Times New Roman" w:hAnsi="Times New Roman"/>
        </w:rPr>
        <w:t xml:space="preserve">11. </w:t>
      </w:r>
      <w:r w:rsidRPr="00085F52">
        <w:rPr>
          <w:rFonts w:ascii="Times New Roman" w:hAnsi="Times New Roman"/>
        </w:rPr>
        <w:t>Qualifying businesses are required to have £5m annual sales turnover.</w:t>
      </w:r>
      <w:r>
        <w:rPr>
          <w:rFonts w:ascii="Times New Roman" w:hAnsi="Times New Roman"/>
        </w:rPr>
        <w:t xml:space="preserve"> This is a private fund, established through the UK Government’s Business Finance Task Force, backed by five UK banks (Barclays, HSBC, Lloyds, Royal Bank of Scotland and Standard Chartered) to provide growth funding. </w:t>
      </w:r>
    </w:p>
    <w:p w:rsidR="00075DBE" w:rsidRDefault="00075DBE" w:rsidP="00085F52">
      <w:pPr>
        <w:tabs>
          <w:tab w:val="num" w:pos="0"/>
        </w:tabs>
        <w:spacing w:before="100" w:beforeAutospacing="1" w:after="100" w:afterAutospacing="1" w:line="480" w:lineRule="auto"/>
        <w:ind w:right="-57"/>
        <w:rPr>
          <w:rFonts w:ascii="Times New Roman" w:hAnsi="Times New Roman"/>
          <w:sz w:val="24"/>
          <w:szCs w:val="24"/>
        </w:rPr>
      </w:pPr>
    </w:p>
    <w:p w:rsidR="00075DBE" w:rsidRDefault="00075DBE" w:rsidP="00085F52">
      <w:pPr>
        <w:spacing w:line="480" w:lineRule="auto"/>
        <w:rPr>
          <w:rFonts w:ascii="Times New Roman" w:hAnsi="Times New Roman"/>
          <w:b/>
          <w:bCs/>
          <w:sz w:val="24"/>
          <w:szCs w:val="24"/>
        </w:rPr>
      </w:pPr>
    </w:p>
    <w:p w:rsidR="00075DBE" w:rsidRDefault="00075DBE" w:rsidP="00085F52">
      <w:pPr>
        <w:spacing w:line="480" w:lineRule="auto"/>
        <w:rPr>
          <w:rFonts w:ascii="Times New Roman" w:hAnsi="Times New Roman"/>
          <w:bCs/>
          <w:sz w:val="24"/>
          <w:szCs w:val="24"/>
        </w:rPr>
      </w:pPr>
      <w:r w:rsidRPr="005C61F7">
        <w:rPr>
          <w:rFonts w:ascii="Times New Roman" w:hAnsi="Times New Roman"/>
          <w:bCs/>
          <w:sz w:val="24"/>
          <w:szCs w:val="24"/>
        </w:rPr>
        <w:t>&lt;A&gt;REFERENCES</w:t>
      </w:r>
    </w:p>
    <w:p w:rsidR="00075DBE" w:rsidRPr="00DE44E3" w:rsidRDefault="00075DBE" w:rsidP="00085F52">
      <w:pPr>
        <w:spacing w:line="480" w:lineRule="auto"/>
        <w:rPr>
          <w:rFonts w:ascii="Times New Roman" w:hAnsi="Times New Roman"/>
          <w:bCs/>
          <w:sz w:val="24"/>
          <w:szCs w:val="24"/>
        </w:rPr>
      </w:pPr>
    </w:p>
    <w:p w:rsidR="00075DBE" w:rsidRPr="005C61F7" w:rsidRDefault="00075DBE">
      <w:pPr>
        <w:spacing w:before="240" w:after="240" w:line="480" w:lineRule="auto"/>
        <w:ind w:right="-57"/>
        <w:jc w:val="both"/>
        <w:rPr>
          <w:rFonts w:ascii="Times New Roman" w:hAnsi="Times New Roman"/>
          <w:sz w:val="24"/>
          <w:szCs w:val="24"/>
        </w:rPr>
      </w:pPr>
      <w:r w:rsidRPr="00CF08C5">
        <w:rPr>
          <w:rFonts w:ascii="Times New Roman" w:hAnsi="Times New Roman"/>
          <w:sz w:val="24"/>
          <w:szCs w:val="24"/>
        </w:rPr>
        <w:t>Axelson</w:t>
      </w:r>
      <w:r>
        <w:rPr>
          <w:rFonts w:ascii="Times New Roman" w:hAnsi="Times New Roman"/>
          <w:sz w:val="24"/>
          <w:szCs w:val="24"/>
        </w:rPr>
        <w:t>,</w:t>
      </w:r>
      <w:r w:rsidRPr="00CF08C5">
        <w:rPr>
          <w:rFonts w:ascii="Times New Roman" w:hAnsi="Times New Roman"/>
          <w:sz w:val="24"/>
          <w:szCs w:val="24"/>
        </w:rPr>
        <w:t xml:space="preserve"> U</w:t>
      </w:r>
      <w:r>
        <w:rPr>
          <w:rFonts w:ascii="Times New Roman" w:hAnsi="Times New Roman"/>
          <w:sz w:val="24"/>
          <w:szCs w:val="24"/>
        </w:rPr>
        <w:t xml:space="preserve">. </w:t>
      </w:r>
      <w:r w:rsidRPr="005C61F7">
        <w:rPr>
          <w:rFonts w:ascii="Times New Roman" w:hAnsi="Times New Roman"/>
          <w:sz w:val="24"/>
          <w:szCs w:val="24"/>
        </w:rPr>
        <w:t xml:space="preserve">and Martinovic, M. (2012), </w:t>
      </w:r>
      <w:r w:rsidRPr="005C61F7">
        <w:rPr>
          <w:rFonts w:ascii="Times New Roman" w:hAnsi="Times New Roman"/>
          <w:i/>
          <w:sz w:val="24"/>
          <w:szCs w:val="24"/>
        </w:rPr>
        <w:t>European Venture Capital: Myths and Facts</w:t>
      </w:r>
      <w:r w:rsidRPr="00DE44E3">
        <w:rPr>
          <w:rFonts w:ascii="Times New Roman" w:hAnsi="Times New Roman"/>
          <w:sz w:val="24"/>
          <w:szCs w:val="24"/>
        </w:rPr>
        <w:t>,</w:t>
      </w:r>
      <w:r w:rsidRPr="005C61F7">
        <w:rPr>
          <w:rFonts w:ascii="Times New Roman" w:hAnsi="Times New Roman"/>
          <w:i/>
          <w:sz w:val="24"/>
          <w:szCs w:val="24"/>
        </w:rPr>
        <w:t xml:space="preserve"> </w:t>
      </w:r>
      <w:r>
        <w:rPr>
          <w:rFonts w:ascii="Times New Roman" w:hAnsi="Times New Roman"/>
          <w:sz w:val="24"/>
          <w:szCs w:val="24"/>
        </w:rPr>
        <w:t>R</w:t>
      </w:r>
      <w:r w:rsidRPr="005C61F7">
        <w:rPr>
          <w:rFonts w:ascii="Times New Roman" w:hAnsi="Times New Roman"/>
          <w:sz w:val="24"/>
          <w:szCs w:val="24"/>
        </w:rPr>
        <w:t>eport to the British Venture Capital Association, London: British Venture Capital Association.</w:t>
      </w:r>
    </w:p>
    <w:p w:rsidR="00075DBE" w:rsidRPr="005C61F7" w:rsidRDefault="00075DBE">
      <w:pPr>
        <w:spacing w:before="240" w:after="0" w:line="480" w:lineRule="auto"/>
        <w:rPr>
          <w:rFonts w:ascii="Times New Roman" w:hAnsi="Times New Roman"/>
          <w:sz w:val="24"/>
          <w:szCs w:val="24"/>
        </w:rPr>
      </w:pPr>
      <w:r w:rsidRPr="005C61F7">
        <w:rPr>
          <w:rFonts w:ascii="Times New Roman" w:hAnsi="Times New Roman"/>
          <w:sz w:val="24"/>
          <w:szCs w:val="24"/>
        </w:rPr>
        <w:t xml:space="preserve">Baldock, R., North, D., Supri, S., Macaulay, P. and Rushton, C. (2013), </w:t>
      </w:r>
      <w:r w:rsidRPr="005C61F7">
        <w:rPr>
          <w:rFonts w:ascii="Times New Roman" w:hAnsi="Times New Roman"/>
          <w:i/>
          <w:sz w:val="24"/>
          <w:szCs w:val="24"/>
        </w:rPr>
        <w:t>Investigation into the motivations behind the listing decisions of UK companies</w:t>
      </w:r>
      <w:r w:rsidRPr="005C61F7">
        <w:rPr>
          <w:rFonts w:ascii="Times New Roman" w:hAnsi="Times New Roman"/>
          <w:sz w:val="24"/>
          <w:szCs w:val="24"/>
        </w:rPr>
        <w:t xml:space="preserve">, CEEDR </w:t>
      </w:r>
      <w:r>
        <w:rPr>
          <w:rFonts w:ascii="Times New Roman" w:hAnsi="Times New Roman"/>
          <w:sz w:val="24"/>
          <w:szCs w:val="24"/>
        </w:rPr>
        <w:t>R</w:t>
      </w:r>
      <w:r w:rsidRPr="005C61F7">
        <w:rPr>
          <w:rFonts w:ascii="Times New Roman" w:hAnsi="Times New Roman"/>
          <w:sz w:val="24"/>
          <w:szCs w:val="24"/>
        </w:rPr>
        <w:t>eport for the Department for Business Innovation and Skills, March 2013, London: CEEDR.</w:t>
      </w:r>
    </w:p>
    <w:p w:rsidR="00075DBE" w:rsidRDefault="00075DBE">
      <w:pPr>
        <w:spacing w:before="240" w:after="240" w:line="480" w:lineRule="auto"/>
        <w:ind w:right="-57"/>
        <w:jc w:val="both"/>
        <w:rPr>
          <w:rFonts w:ascii="Times New Roman" w:hAnsi="Times New Roman"/>
          <w:sz w:val="24"/>
          <w:szCs w:val="24"/>
        </w:rPr>
      </w:pPr>
      <w:r w:rsidRPr="005C61F7">
        <w:rPr>
          <w:rFonts w:ascii="Times New Roman" w:hAnsi="Times New Roman"/>
          <w:sz w:val="24"/>
          <w:szCs w:val="24"/>
        </w:rPr>
        <w:t xml:space="preserve">Bank of England (1996), </w:t>
      </w:r>
      <w:r w:rsidRPr="005C61F7">
        <w:rPr>
          <w:rFonts w:ascii="Times New Roman" w:hAnsi="Times New Roman"/>
          <w:i/>
          <w:sz w:val="24"/>
          <w:szCs w:val="24"/>
        </w:rPr>
        <w:t>The Financing of</w:t>
      </w:r>
      <w:r w:rsidRPr="00CF08C5">
        <w:rPr>
          <w:rFonts w:ascii="Times New Roman" w:hAnsi="Times New Roman"/>
          <w:i/>
          <w:sz w:val="24"/>
          <w:szCs w:val="24"/>
        </w:rPr>
        <w:t xml:space="preserve"> Technology-based Small Firms</w:t>
      </w:r>
      <w:r w:rsidRPr="00085F52">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London: </w:t>
      </w:r>
      <w:r w:rsidRPr="00CF08C5">
        <w:rPr>
          <w:rFonts w:ascii="Times New Roman" w:hAnsi="Times New Roman"/>
          <w:sz w:val="24"/>
          <w:szCs w:val="24"/>
        </w:rPr>
        <w:t>Domestic Finance Division</w:t>
      </w:r>
      <w:r>
        <w:rPr>
          <w:rFonts w:ascii="Times New Roman" w:hAnsi="Times New Roman"/>
          <w:sz w:val="24"/>
          <w:szCs w:val="24"/>
        </w:rPr>
        <w:t>, Bank of England.</w:t>
      </w:r>
    </w:p>
    <w:p w:rsidR="00075DBE" w:rsidRDefault="00075DBE">
      <w:pPr>
        <w:spacing w:before="240" w:after="240" w:line="480" w:lineRule="auto"/>
        <w:ind w:right="-57"/>
        <w:jc w:val="both"/>
        <w:rPr>
          <w:rFonts w:ascii="Times New Roman" w:hAnsi="Times New Roman"/>
          <w:sz w:val="24"/>
          <w:szCs w:val="24"/>
        </w:rPr>
      </w:pPr>
      <w:r w:rsidRPr="00CF08C5">
        <w:rPr>
          <w:rFonts w:ascii="Times New Roman" w:hAnsi="Times New Roman"/>
          <w:sz w:val="24"/>
          <w:szCs w:val="24"/>
        </w:rPr>
        <w:t xml:space="preserve">Bank of </w:t>
      </w:r>
      <w:r w:rsidRPr="00217027">
        <w:rPr>
          <w:rFonts w:ascii="Times New Roman" w:hAnsi="Times New Roman"/>
          <w:sz w:val="24"/>
          <w:szCs w:val="24"/>
        </w:rPr>
        <w:t xml:space="preserve">England (2001), </w:t>
      </w:r>
      <w:r w:rsidRPr="00217027">
        <w:rPr>
          <w:rFonts w:ascii="Times New Roman" w:hAnsi="Times New Roman"/>
          <w:i/>
          <w:sz w:val="24"/>
          <w:szCs w:val="24"/>
        </w:rPr>
        <w:t>The</w:t>
      </w:r>
      <w:r w:rsidRPr="00CF08C5">
        <w:rPr>
          <w:rFonts w:ascii="Times New Roman" w:hAnsi="Times New Roman"/>
          <w:i/>
          <w:sz w:val="24"/>
          <w:szCs w:val="24"/>
        </w:rPr>
        <w:t xml:space="preserve"> Financing of Technology-based Small Firms</w:t>
      </w:r>
      <w:r w:rsidRPr="00CF08C5">
        <w:rPr>
          <w:rFonts w:ascii="Times New Roman" w:hAnsi="Times New Roman"/>
          <w:sz w:val="24"/>
          <w:szCs w:val="24"/>
        </w:rPr>
        <w:t xml:space="preserve">, </w:t>
      </w:r>
      <w:r>
        <w:rPr>
          <w:rFonts w:ascii="Times New Roman" w:hAnsi="Times New Roman"/>
          <w:sz w:val="24"/>
          <w:szCs w:val="24"/>
        </w:rPr>
        <w:t xml:space="preserve">London: </w:t>
      </w:r>
      <w:r w:rsidRPr="00CF08C5">
        <w:rPr>
          <w:rFonts w:ascii="Times New Roman" w:hAnsi="Times New Roman"/>
          <w:sz w:val="24"/>
          <w:szCs w:val="24"/>
        </w:rPr>
        <w:t>Domestic Finance Division</w:t>
      </w:r>
      <w:r>
        <w:rPr>
          <w:rFonts w:ascii="Times New Roman" w:hAnsi="Times New Roman"/>
          <w:sz w:val="24"/>
          <w:szCs w:val="24"/>
        </w:rPr>
        <w:t>, Bank of England</w:t>
      </w:r>
      <w:r w:rsidRPr="00CF08C5">
        <w:rPr>
          <w:rFonts w:ascii="Times New Roman" w:hAnsi="Times New Roman"/>
          <w:sz w:val="24"/>
          <w:szCs w:val="24"/>
        </w:rPr>
        <w:t>.</w:t>
      </w:r>
    </w:p>
    <w:p w:rsidR="00075DBE" w:rsidRDefault="00075DBE">
      <w:pPr>
        <w:spacing w:before="240" w:after="100" w:afterAutospacing="1" w:line="480" w:lineRule="auto"/>
        <w:rPr>
          <w:rFonts w:ascii="Times New Roman" w:hAnsi="Times New Roman"/>
          <w:sz w:val="24"/>
          <w:szCs w:val="24"/>
        </w:rPr>
      </w:pPr>
      <w:r w:rsidRPr="00CF08C5">
        <w:rPr>
          <w:rFonts w:ascii="Times New Roman" w:hAnsi="Times New Roman"/>
          <w:sz w:val="24"/>
          <w:szCs w:val="24"/>
        </w:rPr>
        <w:t xml:space="preserve">BDRC Continental </w:t>
      </w:r>
      <w:r>
        <w:rPr>
          <w:rFonts w:ascii="Times New Roman" w:hAnsi="Times New Roman"/>
          <w:sz w:val="24"/>
          <w:szCs w:val="24"/>
        </w:rPr>
        <w:t>(</w:t>
      </w:r>
      <w:r w:rsidRPr="00CF08C5">
        <w:rPr>
          <w:rFonts w:ascii="Times New Roman" w:hAnsi="Times New Roman"/>
          <w:sz w:val="24"/>
          <w:szCs w:val="24"/>
        </w:rPr>
        <w:t>2010</w:t>
      </w:r>
      <w:r>
        <w:rPr>
          <w:rFonts w:ascii="Times New Roman" w:hAnsi="Times New Roman"/>
          <w:sz w:val="24"/>
          <w:szCs w:val="24"/>
        </w:rPr>
        <w:t xml:space="preserve">), </w:t>
      </w:r>
      <w:r w:rsidRPr="00CF08C5">
        <w:rPr>
          <w:rFonts w:ascii="Times New Roman" w:hAnsi="Times New Roman"/>
          <w:i/>
          <w:sz w:val="24"/>
          <w:szCs w:val="24"/>
        </w:rPr>
        <w:t>Results from the 2010 Finance Survey of Mid-cap Businesses</w:t>
      </w:r>
      <w:r w:rsidRPr="00DE44E3">
        <w:rPr>
          <w:rFonts w:ascii="Times New Roman" w:hAnsi="Times New Roman"/>
          <w:sz w:val="24"/>
          <w:szCs w:val="24"/>
        </w:rPr>
        <w:t xml:space="preserve">, </w:t>
      </w:r>
      <w:r>
        <w:rPr>
          <w:rFonts w:ascii="Times New Roman" w:hAnsi="Times New Roman"/>
          <w:sz w:val="24"/>
          <w:szCs w:val="24"/>
        </w:rPr>
        <w:t>R</w:t>
      </w:r>
      <w:r w:rsidRPr="00CF08C5">
        <w:rPr>
          <w:rFonts w:ascii="Times New Roman" w:hAnsi="Times New Roman"/>
          <w:sz w:val="24"/>
          <w:szCs w:val="24"/>
        </w:rPr>
        <w:t>eport to the Department for Business Innovation and Skills, URN10/P108</w:t>
      </w:r>
      <w:r>
        <w:rPr>
          <w:rFonts w:ascii="Times New Roman" w:hAnsi="Times New Roman"/>
          <w:sz w:val="24"/>
          <w:szCs w:val="24"/>
        </w:rPr>
        <w:t xml:space="preserve">, London: </w:t>
      </w:r>
      <w:r w:rsidRPr="00CF08C5">
        <w:rPr>
          <w:rFonts w:ascii="Times New Roman" w:hAnsi="Times New Roman"/>
          <w:sz w:val="24"/>
          <w:szCs w:val="24"/>
        </w:rPr>
        <w:t>Department for Business Innovation and Skills</w:t>
      </w:r>
      <w:r>
        <w:rPr>
          <w:rFonts w:ascii="Times New Roman" w:hAnsi="Times New Roman"/>
          <w:sz w:val="24"/>
          <w:szCs w:val="24"/>
        </w:rPr>
        <w:t>.</w:t>
      </w:r>
    </w:p>
    <w:p w:rsidR="00075DBE" w:rsidRDefault="00075DBE">
      <w:pPr>
        <w:spacing w:before="240" w:after="0" w:line="480" w:lineRule="auto"/>
        <w:rPr>
          <w:rFonts w:ascii="Times New Roman" w:hAnsi="Times New Roman"/>
          <w:sz w:val="24"/>
          <w:szCs w:val="24"/>
        </w:rPr>
      </w:pPr>
      <w:r>
        <w:rPr>
          <w:rFonts w:ascii="Times New Roman" w:hAnsi="Times New Roman"/>
          <w:sz w:val="24"/>
          <w:szCs w:val="24"/>
        </w:rPr>
        <w:lastRenderedPageBreak/>
        <w:t>BIS (</w:t>
      </w:r>
      <w:r w:rsidRPr="00C945E9">
        <w:rPr>
          <w:rFonts w:ascii="Times New Roman" w:hAnsi="Times New Roman"/>
          <w:sz w:val="24"/>
          <w:szCs w:val="24"/>
        </w:rPr>
        <w:t>2013</w:t>
      </w:r>
      <w:r w:rsidRPr="005C61F7">
        <w:rPr>
          <w:rFonts w:ascii="Times New Roman" w:hAnsi="Times New Roman"/>
          <w:sz w:val="24"/>
          <w:szCs w:val="24"/>
        </w:rPr>
        <w:t xml:space="preserve">), </w:t>
      </w:r>
      <w:r w:rsidRPr="005C61F7">
        <w:rPr>
          <w:rFonts w:ascii="Times New Roman" w:hAnsi="Times New Roman"/>
          <w:i/>
          <w:sz w:val="24"/>
          <w:szCs w:val="24"/>
        </w:rPr>
        <w:t>Small</w:t>
      </w:r>
      <w:r w:rsidRPr="00C945E9">
        <w:rPr>
          <w:rFonts w:ascii="Times New Roman" w:hAnsi="Times New Roman"/>
          <w:i/>
          <w:sz w:val="24"/>
          <w:szCs w:val="24"/>
        </w:rPr>
        <w:t xml:space="preserve"> Business Survey 2012: SME Employers</w:t>
      </w:r>
      <w:r w:rsidRPr="00C945E9">
        <w:rPr>
          <w:rFonts w:ascii="Times New Roman" w:hAnsi="Times New Roman"/>
          <w:sz w:val="24"/>
          <w:szCs w:val="24"/>
        </w:rPr>
        <w:t xml:space="preserve">, </w:t>
      </w:r>
      <w:r>
        <w:rPr>
          <w:rFonts w:ascii="Times New Roman" w:hAnsi="Times New Roman"/>
          <w:sz w:val="24"/>
          <w:szCs w:val="24"/>
        </w:rPr>
        <w:t>R</w:t>
      </w:r>
      <w:r w:rsidRPr="00C945E9">
        <w:rPr>
          <w:rFonts w:ascii="Times New Roman" w:hAnsi="Times New Roman"/>
          <w:sz w:val="24"/>
          <w:szCs w:val="24"/>
        </w:rPr>
        <w:t>eport by BMG Research</w:t>
      </w:r>
      <w:r>
        <w:rPr>
          <w:rFonts w:ascii="Times New Roman" w:hAnsi="Times New Roman"/>
          <w:sz w:val="24"/>
          <w:szCs w:val="24"/>
        </w:rPr>
        <w:t xml:space="preserve"> to the Department for Business Innovation and Skills</w:t>
      </w:r>
      <w:r w:rsidRPr="00C945E9">
        <w:rPr>
          <w:rFonts w:ascii="Times New Roman" w:hAnsi="Times New Roman"/>
          <w:sz w:val="24"/>
          <w:szCs w:val="24"/>
        </w:rPr>
        <w:t>, April</w:t>
      </w:r>
      <w:r>
        <w:rPr>
          <w:rFonts w:ascii="Times New Roman" w:hAnsi="Times New Roman"/>
          <w:sz w:val="24"/>
          <w:szCs w:val="24"/>
        </w:rPr>
        <w:t xml:space="preserve"> 2013, London: </w:t>
      </w:r>
      <w:r w:rsidRPr="00CF08C5">
        <w:rPr>
          <w:rFonts w:ascii="Times New Roman" w:hAnsi="Times New Roman"/>
          <w:sz w:val="24"/>
          <w:szCs w:val="24"/>
        </w:rPr>
        <w:t>Department for Business Innovation and Skills</w:t>
      </w:r>
      <w:r>
        <w:rPr>
          <w:rFonts w:ascii="Times New Roman" w:hAnsi="Times New Roman"/>
          <w:sz w:val="24"/>
          <w:szCs w:val="24"/>
        </w:rPr>
        <w:t>.</w:t>
      </w:r>
    </w:p>
    <w:p w:rsidR="00075DBE" w:rsidRDefault="00075DBE">
      <w:pPr>
        <w:spacing w:before="240" w:after="0" w:line="480" w:lineRule="auto"/>
        <w:rPr>
          <w:rFonts w:ascii="Times New Roman" w:hAnsi="Times New Roman"/>
          <w:sz w:val="24"/>
          <w:szCs w:val="24"/>
        </w:rPr>
      </w:pPr>
      <w:r w:rsidRPr="00C945E9">
        <w:rPr>
          <w:rFonts w:ascii="Times New Roman" w:hAnsi="Times New Roman"/>
          <w:sz w:val="24"/>
          <w:szCs w:val="24"/>
        </w:rPr>
        <w:t>BVCA</w:t>
      </w:r>
      <w:r w:rsidRPr="00C70F5E">
        <w:rPr>
          <w:rFonts w:ascii="Times New Roman" w:hAnsi="Times New Roman"/>
          <w:sz w:val="24"/>
          <w:szCs w:val="24"/>
        </w:rPr>
        <w:t xml:space="preserve"> </w:t>
      </w:r>
      <w:r w:rsidRPr="00921760">
        <w:rPr>
          <w:rFonts w:ascii="Times New Roman" w:hAnsi="Times New Roman"/>
          <w:sz w:val="24"/>
          <w:szCs w:val="24"/>
        </w:rPr>
        <w:t>(</w:t>
      </w:r>
      <w:r w:rsidRPr="00C945E9">
        <w:rPr>
          <w:rFonts w:ascii="Times New Roman" w:hAnsi="Times New Roman"/>
          <w:sz w:val="24"/>
          <w:szCs w:val="24"/>
        </w:rPr>
        <w:t>201</w:t>
      </w:r>
      <w:r w:rsidRPr="00B23855">
        <w:rPr>
          <w:rFonts w:ascii="Times New Roman" w:hAnsi="Times New Roman"/>
          <w:sz w:val="24"/>
          <w:szCs w:val="24"/>
        </w:rPr>
        <w:t>3</w:t>
      </w:r>
      <w:r>
        <w:rPr>
          <w:rFonts w:ascii="Times New Roman" w:hAnsi="Times New Roman"/>
          <w:sz w:val="24"/>
          <w:szCs w:val="24"/>
        </w:rPr>
        <w:t xml:space="preserve">), </w:t>
      </w:r>
      <w:r w:rsidRPr="00C70F5E">
        <w:rPr>
          <w:rFonts w:ascii="Times New Roman" w:hAnsi="Times New Roman"/>
          <w:i/>
          <w:sz w:val="24"/>
          <w:szCs w:val="24"/>
        </w:rPr>
        <w:t>BVCA Private Equity and Venture Capital Report on Investment Activity 2012</w:t>
      </w:r>
      <w:r w:rsidRPr="00DE44E3">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Report by the British Venture Capital Association, London: British Venture Capital Association.</w:t>
      </w:r>
    </w:p>
    <w:p w:rsidR="00075DBE" w:rsidRDefault="00075DBE">
      <w:pPr>
        <w:spacing w:before="240" w:after="0" w:line="480" w:lineRule="auto"/>
        <w:rPr>
          <w:rFonts w:ascii="Times New Roman" w:hAnsi="Times New Roman"/>
          <w:sz w:val="24"/>
          <w:szCs w:val="24"/>
        </w:rPr>
      </w:pPr>
      <w:r w:rsidRPr="00CF08C5">
        <w:rPr>
          <w:rFonts w:ascii="Times New Roman" w:hAnsi="Times New Roman"/>
          <w:sz w:val="24"/>
          <w:szCs w:val="24"/>
        </w:rPr>
        <w:t xml:space="preserve">CBR </w:t>
      </w:r>
      <w:r>
        <w:rPr>
          <w:rFonts w:ascii="Times New Roman" w:hAnsi="Times New Roman"/>
          <w:sz w:val="24"/>
          <w:szCs w:val="24"/>
        </w:rPr>
        <w:t>(</w:t>
      </w:r>
      <w:r w:rsidRPr="00CF08C5">
        <w:rPr>
          <w:rFonts w:ascii="Times New Roman" w:hAnsi="Times New Roman"/>
          <w:sz w:val="24"/>
          <w:szCs w:val="24"/>
        </w:rPr>
        <w:t>2008</w:t>
      </w:r>
      <w:r>
        <w:rPr>
          <w:rFonts w:ascii="Times New Roman" w:hAnsi="Times New Roman"/>
          <w:sz w:val="24"/>
          <w:szCs w:val="24"/>
        </w:rPr>
        <w:t xml:space="preserve">), </w:t>
      </w:r>
      <w:r w:rsidRPr="00CF08C5">
        <w:rPr>
          <w:rFonts w:ascii="Times New Roman" w:hAnsi="Times New Roman"/>
          <w:i/>
          <w:sz w:val="24"/>
          <w:szCs w:val="24"/>
        </w:rPr>
        <w:t>Financing UK Small and Medium sized Enterprises: the 2007 Survey</w:t>
      </w:r>
      <w:r w:rsidRPr="00CF08C5">
        <w:rPr>
          <w:rFonts w:ascii="Times New Roman" w:hAnsi="Times New Roman"/>
          <w:sz w:val="24"/>
          <w:szCs w:val="24"/>
        </w:rPr>
        <w:t xml:space="preserve">, </w:t>
      </w:r>
      <w:r>
        <w:rPr>
          <w:rFonts w:ascii="Times New Roman" w:hAnsi="Times New Roman"/>
          <w:sz w:val="24"/>
          <w:szCs w:val="24"/>
        </w:rPr>
        <w:t xml:space="preserve">Cambridge: </w:t>
      </w:r>
      <w:r w:rsidRPr="00CF08C5">
        <w:rPr>
          <w:rFonts w:ascii="Times New Roman" w:hAnsi="Times New Roman"/>
          <w:sz w:val="24"/>
          <w:szCs w:val="24"/>
        </w:rPr>
        <w:t>Centre for Business Research, University of Cambridge</w:t>
      </w:r>
      <w:r>
        <w:rPr>
          <w:rFonts w:ascii="Times New Roman" w:hAnsi="Times New Roman"/>
          <w:sz w:val="24"/>
          <w:szCs w:val="24"/>
        </w:rPr>
        <w:t>.</w:t>
      </w:r>
    </w:p>
    <w:p w:rsidR="00075DBE" w:rsidRPr="005C61F7" w:rsidRDefault="00075DBE">
      <w:pPr>
        <w:spacing w:before="240" w:after="0" w:line="480" w:lineRule="auto"/>
        <w:rPr>
          <w:rFonts w:ascii="Times New Roman" w:hAnsi="Times New Roman"/>
          <w:sz w:val="24"/>
          <w:szCs w:val="24"/>
        </w:rPr>
      </w:pPr>
      <w:r w:rsidRPr="00CF08C5">
        <w:rPr>
          <w:rFonts w:ascii="Times New Roman" w:hAnsi="Times New Roman"/>
          <w:sz w:val="24"/>
          <w:szCs w:val="24"/>
        </w:rPr>
        <w:t>CEEDR</w:t>
      </w:r>
      <w:r>
        <w:rPr>
          <w:rFonts w:ascii="Times New Roman" w:hAnsi="Times New Roman"/>
          <w:sz w:val="24"/>
          <w:szCs w:val="24"/>
        </w:rPr>
        <w:t xml:space="preserve"> (</w:t>
      </w:r>
      <w:r w:rsidRPr="00CF08C5">
        <w:rPr>
          <w:rFonts w:ascii="Times New Roman" w:hAnsi="Times New Roman"/>
          <w:sz w:val="24"/>
          <w:szCs w:val="24"/>
        </w:rPr>
        <w:t>2012</w:t>
      </w:r>
      <w:r>
        <w:rPr>
          <w:rFonts w:ascii="Times New Roman" w:hAnsi="Times New Roman"/>
          <w:sz w:val="24"/>
          <w:szCs w:val="24"/>
        </w:rPr>
        <w:t xml:space="preserve">), </w:t>
      </w:r>
      <w:r w:rsidRPr="005C61F7">
        <w:rPr>
          <w:rFonts w:ascii="Times New Roman" w:hAnsi="Times New Roman"/>
          <w:i/>
          <w:sz w:val="24"/>
          <w:szCs w:val="24"/>
        </w:rPr>
        <w:t>Early Assessment of the UK Innovation Investment Fund</w:t>
      </w:r>
      <w:r w:rsidRPr="005C61F7">
        <w:rPr>
          <w:rFonts w:ascii="Times New Roman" w:hAnsi="Times New Roman"/>
          <w:sz w:val="24"/>
          <w:szCs w:val="24"/>
        </w:rPr>
        <w:t xml:space="preserve">, </w:t>
      </w:r>
      <w:r>
        <w:rPr>
          <w:rFonts w:ascii="Times New Roman" w:hAnsi="Times New Roman"/>
          <w:sz w:val="24"/>
          <w:szCs w:val="24"/>
        </w:rPr>
        <w:t>R</w:t>
      </w:r>
      <w:r w:rsidRPr="005C61F7">
        <w:rPr>
          <w:rFonts w:ascii="Times New Roman" w:hAnsi="Times New Roman"/>
          <w:sz w:val="24"/>
          <w:szCs w:val="24"/>
        </w:rPr>
        <w:t>eport for the Department for Business Innovation and Skills, May 2012, London: CEEDR.</w:t>
      </w:r>
    </w:p>
    <w:p w:rsidR="00075DBE" w:rsidRDefault="00075DBE">
      <w:pPr>
        <w:spacing w:before="240" w:line="480" w:lineRule="auto"/>
        <w:rPr>
          <w:rFonts w:ascii="Times New Roman" w:hAnsi="Times New Roman"/>
          <w:sz w:val="24"/>
          <w:szCs w:val="24"/>
        </w:rPr>
      </w:pPr>
      <w:r w:rsidRPr="005C61F7">
        <w:rPr>
          <w:rFonts w:ascii="Times New Roman" w:hAnsi="Times New Roman"/>
          <w:sz w:val="24"/>
          <w:szCs w:val="24"/>
        </w:rPr>
        <w:t xml:space="preserve">CfEL (2012), </w:t>
      </w:r>
      <w:r w:rsidRPr="005C61F7">
        <w:rPr>
          <w:rFonts w:ascii="Times New Roman" w:hAnsi="Times New Roman"/>
          <w:i/>
          <w:sz w:val="24"/>
          <w:szCs w:val="24"/>
        </w:rPr>
        <w:t>Overview of Publicly</w:t>
      </w:r>
      <w:r>
        <w:rPr>
          <w:rFonts w:ascii="Times New Roman" w:hAnsi="Times New Roman"/>
          <w:i/>
          <w:sz w:val="24"/>
          <w:szCs w:val="24"/>
        </w:rPr>
        <w:t xml:space="preserve"> backed Venture Capital and Loan Funds in the UK</w:t>
      </w:r>
      <w:r w:rsidRPr="00DE44E3">
        <w:rPr>
          <w:rFonts w:ascii="Times New Roman" w:hAnsi="Times New Roman"/>
          <w:sz w:val="24"/>
          <w:szCs w:val="24"/>
        </w:rPr>
        <w:t>,</w:t>
      </w:r>
      <w:r>
        <w:rPr>
          <w:rFonts w:ascii="Times New Roman" w:hAnsi="Times New Roman"/>
          <w:sz w:val="24"/>
          <w:szCs w:val="24"/>
        </w:rPr>
        <w:t xml:space="preserve"> Capital for Enterprise Ltd, January 2012, London: CfEL.</w:t>
      </w:r>
    </w:p>
    <w:p w:rsidR="00075DBE" w:rsidRPr="007A594F" w:rsidRDefault="00075DBE" w:rsidP="005C61F7">
      <w:pPr>
        <w:spacing w:before="240" w:after="0" w:line="480" w:lineRule="auto"/>
        <w:rPr>
          <w:rFonts w:ascii="Times New Roman" w:hAnsi="Times New Roman"/>
          <w:sz w:val="24"/>
          <w:szCs w:val="24"/>
        </w:rPr>
      </w:pPr>
      <w:r w:rsidRPr="007A594F">
        <w:rPr>
          <w:rFonts w:ascii="Times New Roman" w:hAnsi="Times New Roman"/>
          <w:sz w:val="24"/>
          <w:szCs w:val="24"/>
        </w:rPr>
        <w:t xml:space="preserve">CfEL (2013), </w:t>
      </w:r>
      <w:r w:rsidRPr="007A594F">
        <w:rPr>
          <w:rFonts w:ascii="Times New Roman" w:hAnsi="Times New Roman"/>
          <w:i/>
          <w:iCs/>
          <w:sz w:val="24"/>
          <w:szCs w:val="24"/>
        </w:rPr>
        <w:t>Survey of Fund Managers,</w:t>
      </w:r>
      <w:r w:rsidRPr="007A594F">
        <w:rPr>
          <w:rFonts w:ascii="Times New Roman" w:hAnsi="Times New Roman"/>
          <w:sz w:val="24"/>
          <w:szCs w:val="24"/>
        </w:rPr>
        <w:t xml:space="preserve"> </w:t>
      </w:r>
      <w:r w:rsidRPr="007A594F">
        <w:rPr>
          <w:rFonts w:ascii="Times New Roman" w:hAnsi="Times New Roman"/>
          <w:i/>
          <w:sz w:val="24"/>
          <w:szCs w:val="24"/>
        </w:rPr>
        <w:t>Capital for Enterprise Ltd: 2013</w:t>
      </w:r>
      <w:r w:rsidRPr="007A594F">
        <w:rPr>
          <w:rFonts w:ascii="Times New Roman" w:hAnsi="Times New Roman"/>
          <w:sz w:val="24"/>
          <w:szCs w:val="24"/>
        </w:rPr>
        <w:t>, London: CfEL</w:t>
      </w:r>
      <w:r w:rsidRPr="007A594F">
        <w:rPr>
          <w:rFonts w:ascii="Times New Roman" w:hAnsi="Times New Roman"/>
          <w:i/>
          <w:sz w:val="24"/>
          <w:szCs w:val="24"/>
        </w:rPr>
        <w:t>.</w:t>
      </w:r>
    </w:p>
    <w:p w:rsidR="00075DBE" w:rsidRPr="005C61F7" w:rsidRDefault="00075DBE">
      <w:pPr>
        <w:spacing w:before="240" w:line="480" w:lineRule="auto"/>
        <w:rPr>
          <w:rFonts w:ascii="Times New Roman" w:hAnsi="Times New Roman"/>
          <w:b/>
          <w:sz w:val="24"/>
          <w:szCs w:val="24"/>
        </w:rPr>
      </w:pPr>
      <w:r w:rsidRPr="005C61F7">
        <w:rPr>
          <w:rFonts w:ascii="Times New Roman" w:hAnsi="Times New Roman"/>
          <w:sz w:val="24"/>
          <w:szCs w:val="24"/>
        </w:rPr>
        <w:t xml:space="preserve">Clarysse, B., Bruneel, J. and Wright, M. (2011), ‘Explaining growth paths of young technology-based firms: structuring resource portfolios in different competitive environments’, </w:t>
      </w:r>
      <w:r w:rsidRPr="005C61F7">
        <w:rPr>
          <w:rFonts w:ascii="Times New Roman" w:hAnsi="Times New Roman"/>
          <w:i/>
          <w:sz w:val="24"/>
          <w:szCs w:val="24"/>
        </w:rPr>
        <w:t>Strategic Entrepreneurship Journal</w:t>
      </w:r>
      <w:r w:rsidRPr="005C61F7">
        <w:rPr>
          <w:rFonts w:ascii="Times New Roman" w:hAnsi="Times New Roman"/>
          <w:sz w:val="24"/>
          <w:szCs w:val="24"/>
        </w:rPr>
        <w:t xml:space="preserve">, </w:t>
      </w:r>
      <w:r w:rsidRPr="005C61F7">
        <w:rPr>
          <w:rFonts w:ascii="Times New Roman" w:hAnsi="Times New Roman"/>
          <w:b/>
          <w:sz w:val="24"/>
          <w:szCs w:val="24"/>
        </w:rPr>
        <w:t xml:space="preserve">5 </w:t>
      </w:r>
      <w:r w:rsidRPr="005C61F7">
        <w:rPr>
          <w:rFonts w:ascii="Times New Roman" w:hAnsi="Times New Roman"/>
          <w:sz w:val="24"/>
          <w:szCs w:val="24"/>
        </w:rPr>
        <w:t>(2): 137‒157.</w:t>
      </w:r>
    </w:p>
    <w:p w:rsidR="00075DBE" w:rsidRPr="005C61F7" w:rsidRDefault="00075DBE" w:rsidP="00217027">
      <w:pPr>
        <w:spacing w:before="240" w:line="480" w:lineRule="auto"/>
        <w:rPr>
          <w:rFonts w:ascii="Times New Roman" w:hAnsi="Times New Roman"/>
          <w:sz w:val="24"/>
          <w:szCs w:val="24"/>
        </w:rPr>
      </w:pPr>
      <w:r w:rsidRPr="00CF08C5">
        <w:rPr>
          <w:rFonts w:ascii="Times New Roman" w:hAnsi="Times New Roman"/>
          <w:sz w:val="24"/>
          <w:szCs w:val="24"/>
        </w:rPr>
        <w:t>Clarysse</w:t>
      </w:r>
      <w:r>
        <w:rPr>
          <w:rFonts w:ascii="Times New Roman" w:hAnsi="Times New Roman"/>
          <w:sz w:val="24"/>
          <w:szCs w:val="24"/>
        </w:rPr>
        <w:t>,</w:t>
      </w:r>
      <w:r w:rsidRPr="00CF08C5">
        <w:rPr>
          <w:rFonts w:ascii="Times New Roman" w:hAnsi="Times New Roman"/>
          <w:sz w:val="24"/>
          <w:szCs w:val="24"/>
        </w:rPr>
        <w:t xml:space="preserve"> B</w:t>
      </w:r>
      <w:r>
        <w:rPr>
          <w:rFonts w:ascii="Times New Roman" w:hAnsi="Times New Roman"/>
          <w:sz w:val="24"/>
          <w:szCs w:val="24"/>
        </w:rPr>
        <w:t>.</w:t>
      </w:r>
      <w:r w:rsidRPr="00CF08C5">
        <w:rPr>
          <w:rFonts w:ascii="Times New Roman" w:hAnsi="Times New Roman"/>
          <w:sz w:val="24"/>
          <w:szCs w:val="24"/>
        </w:rPr>
        <w:t xml:space="preserve">, </w:t>
      </w:r>
      <w:r w:rsidRPr="005C61F7">
        <w:rPr>
          <w:rFonts w:ascii="Times New Roman" w:hAnsi="Times New Roman"/>
          <w:sz w:val="24"/>
          <w:szCs w:val="24"/>
        </w:rPr>
        <w:t xml:space="preserve">Knockaert, M. and Wright, M. (2009), </w:t>
      </w:r>
      <w:r w:rsidRPr="005C61F7">
        <w:rPr>
          <w:rFonts w:ascii="Times New Roman" w:hAnsi="Times New Roman"/>
          <w:i/>
          <w:sz w:val="24"/>
          <w:szCs w:val="24"/>
        </w:rPr>
        <w:t>Benchmarking UK Venture Capital to the US and Israel: What Lessons can be Learned?</w:t>
      </w:r>
      <w:r w:rsidRPr="00831F51">
        <w:rPr>
          <w:rFonts w:ascii="Times New Roman" w:hAnsi="Times New Roman"/>
          <w:sz w:val="24"/>
          <w:szCs w:val="24"/>
        </w:rPr>
        <w:t>,</w:t>
      </w:r>
      <w:r w:rsidRPr="005C61F7">
        <w:rPr>
          <w:rFonts w:ascii="Times New Roman" w:hAnsi="Times New Roman"/>
          <w:i/>
          <w:sz w:val="24"/>
          <w:szCs w:val="24"/>
        </w:rPr>
        <w:t xml:space="preserve"> </w:t>
      </w:r>
      <w:r w:rsidRPr="005C61F7">
        <w:rPr>
          <w:rFonts w:ascii="Times New Roman" w:hAnsi="Times New Roman"/>
          <w:sz w:val="24"/>
          <w:szCs w:val="24"/>
        </w:rPr>
        <w:t>British Venture Capital Association (online), May 2009.</w:t>
      </w:r>
    </w:p>
    <w:p w:rsidR="00075DBE" w:rsidRDefault="00075DBE">
      <w:pPr>
        <w:spacing w:before="240" w:after="120" w:line="480" w:lineRule="auto"/>
        <w:ind w:right="-58"/>
        <w:rPr>
          <w:rFonts w:ascii="Times New Roman" w:hAnsi="Times New Roman"/>
          <w:sz w:val="24"/>
          <w:szCs w:val="24"/>
        </w:rPr>
      </w:pPr>
      <w:r w:rsidRPr="005C61F7">
        <w:rPr>
          <w:rFonts w:ascii="Times New Roman" w:hAnsi="Times New Roman"/>
          <w:sz w:val="24"/>
          <w:szCs w:val="24"/>
        </w:rPr>
        <w:t>Cowling, M., Liu, W. and Ledger, A. (2012</w:t>
      </w:r>
      <w:r>
        <w:rPr>
          <w:rFonts w:ascii="Times New Roman" w:hAnsi="Times New Roman"/>
          <w:sz w:val="24"/>
          <w:szCs w:val="24"/>
        </w:rPr>
        <w:t>), ‘</w:t>
      </w:r>
      <w:r w:rsidRPr="00CF08C5">
        <w:rPr>
          <w:rFonts w:ascii="Times New Roman" w:hAnsi="Times New Roman"/>
          <w:sz w:val="24"/>
          <w:szCs w:val="24"/>
        </w:rPr>
        <w:t>Small business financing in the UK before and during the current financial crisis</w:t>
      </w:r>
      <w:r>
        <w:rPr>
          <w:rFonts w:ascii="Times New Roman" w:hAnsi="Times New Roman"/>
          <w:sz w:val="24"/>
          <w:szCs w:val="24"/>
        </w:rPr>
        <w:t>’</w:t>
      </w:r>
      <w:r w:rsidRPr="00CF08C5">
        <w:rPr>
          <w:rFonts w:ascii="Times New Roman" w:hAnsi="Times New Roman"/>
          <w:sz w:val="24"/>
          <w:szCs w:val="24"/>
        </w:rPr>
        <w:t xml:space="preserve">, </w:t>
      </w:r>
      <w:r w:rsidRPr="00CF08C5">
        <w:rPr>
          <w:rFonts w:ascii="Times New Roman" w:hAnsi="Times New Roman"/>
          <w:i/>
          <w:sz w:val="24"/>
          <w:szCs w:val="24"/>
        </w:rPr>
        <w:t>International Small Business Journal</w:t>
      </w:r>
      <w:r w:rsidRPr="00CF08C5">
        <w:rPr>
          <w:rFonts w:ascii="Times New Roman" w:hAnsi="Times New Roman"/>
          <w:sz w:val="24"/>
          <w:szCs w:val="24"/>
        </w:rPr>
        <w:t xml:space="preserve">, </w:t>
      </w:r>
      <w:r w:rsidRPr="00CF08C5">
        <w:rPr>
          <w:rFonts w:ascii="Times New Roman" w:hAnsi="Times New Roman"/>
          <w:b/>
          <w:sz w:val="24"/>
          <w:szCs w:val="24"/>
        </w:rPr>
        <w:t>30</w:t>
      </w:r>
      <w:r>
        <w:rPr>
          <w:rFonts w:ascii="Times New Roman" w:hAnsi="Times New Roman"/>
          <w:b/>
          <w:sz w:val="24"/>
          <w:szCs w:val="24"/>
        </w:rPr>
        <w:t xml:space="preserve"> </w:t>
      </w:r>
      <w:r w:rsidRPr="00CF08C5">
        <w:rPr>
          <w:rFonts w:ascii="Times New Roman" w:hAnsi="Times New Roman"/>
          <w:sz w:val="24"/>
          <w:szCs w:val="24"/>
        </w:rPr>
        <w:t>(7</w:t>
      </w:r>
      <w:r>
        <w:rPr>
          <w:rFonts w:ascii="Times New Roman" w:hAnsi="Times New Roman"/>
          <w:sz w:val="24"/>
          <w:szCs w:val="24"/>
        </w:rPr>
        <w:t xml:space="preserve">): </w:t>
      </w:r>
      <w:r w:rsidRPr="00CF08C5">
        <w:rPr>
          <w:rFonts w:ascii="Times New Roman" w:hAnsi="Times New Roman"/>
          <w:sz w:val="24"/>
          <w:szCs w:val="24"/>
        </w:rPr>
        <w:t>778</w:t>
      </w:r>
      <w:r>
        <w:rPr>
          <w:rFonts w:ascii="Times New Roman" w:hAnsi="Times New Roman"/>
          <w:sz w:val="24"/>
          <w:szCs w:val="24"/>
        </w:rPr>
        <w:t>‒</w:t>
      </w:r>
      <w:r w:rsidRPr="00CF08C5">
        <w:rPr>
          <w:rFonts w:ascii="Times New Roman" w:hAnsi="Times New Roman"/>
          <w:sz w:val="24"/>
          <w:szCs w:val="24"/>
        </w:rPr>
        <w:t>800</w:t>
      </w:r>
      <w:r>
        <w:rPr>
          <w:rFonts w:ascii="Times New Roman" w:hAnsi="Times New Roman"/>
          <w:sz w:val="24"/>
          <w:szCs w:val="24"/>
        </w:rPr>
        <w:t>.</w:t>
      </w:r>
    </w:p>
    <w:p w:rsidR="00075DBE" w:rsidRPr="005C61F7" w:rsidRDefault="00075DBE" w:rsidP="0066075D">
      <w:pPr>
        <w:spacing w:before="240" w:after="120" w:line="480" w:lineRule="auto"/>
        <w:ind w:right="-58"/>
        <w:rPr>
          <w:rFonts w:ascii="Times New Roman" w:hAnsi="Times New Roman"/>
          <w:sz w:val="24"/>
          <w:szCs w:val="24"/>
        </w:rPr>
      </w:pPr>
      <w:r w:rsidRPr="00CF08C5">
        <w:rPr>
          <w:rFonts w:ascii="Times New Roman" w:hAnsi="Times New Roman"/>
          <w:sz w:val="24"/>
          <w:szCs w:val="24"/>
        </w:rPr>
        <w:t>Deakins</w:t>
      </w:r>
      <w:r>
        <w:rPr>
          <w:rFonts w:ascii="Times New Roman" w:hAnsi="Times New Roman"/>
          <w:sz w:val="24"/>
          <w:szCs w:val="24"/>
        </w:rPr>
        <w:t>,</w:t>
      </w:r>
      <w:r w:rsidRPr="00CF08C5">
        <w:rPr>
          <w:rFonts w:ascii="Times New Roman" w:hAnsi="Times New Roman"/>
          <w:sz w:val="24"/>
          <w:szCs w:val="24"/>
        </w:rPr>
        <w:t xml:space="preserve"> D</w:t>
      </w:r>
      <w:r>
        <w:rPr>
          <w:rFonts w:ascii="Times New Roman" w:hAnsi="Times New Roman"/>
          <w:sz w:val="24"/>
          <w:szCs w:val="24"/>
        </w:rPr>
        <w:t xml:space="preserve">., </w:t>
      </w:r>
      <w:r w:rsidRPr="005C61F7">
        <w:rPr>
          <w:rFonts w:ascii="Times New Roman" w:hAnsi="Times New Roman"/>
          <w:sz w:val="24"/>
          <w:szCs w:val="24"/>
        </w:rPr>
        <w:t>North, D.</w:t>
      </w:r>
      <w:r>
        <w:rPr>
          <w:rFonts w:ascii="Times New Roman" w:hAnsi="Times New Roman"/>
          <w:sz w:val="24"/>
          <w:szCs w:val="24"/>
        </w:rPr>
        <w:t>, and Bensemann, J.</w:t>
      </w:r>
      <w:r w:rsidRPr="005C61F7">
        <w:rPr>
          <w:rFonts w:ascii="Times New Roman" w:hAnsi="Times New Roman"/>
          <w:sz w:val="24"/>
          <w:szCs w:val="24"/>
        </w:rPr>
        <w:t xml:space="preserve"> (201</w:t>
      </w:r>
      <w:r>
        <w:rPr>
          <w:rFonts w:ascii="Times New Roman" w:hAnsi="Times New Roman"/>
          <w:sz w:val="24"/>
          <w:szCs w:val="24"/>
        </w:rPr>
        <w:t>5</w:t>
      </w:r>
      <w:r w:rsidRPr="005C61F7">
        <w:rPr>
          <w:rFonts w:ascii="Times New Roman" w:hAnsi="Times New Roman"/>
          <w:sz w:val="24"/>
          <w:szCs w:val="24"/>
        </w:rPr>
        <w:t>), ‘</w:t>
      </w:r>
      <w:r>
        <w:rPr>
          <w:rFonts w:ascii="Times New Roman" w:hAnsi="Times New Roman"/>
          <w:sz w:val="24"/>
          <w:szCs w:val="24"/>
        </w:rPr>
        <w:t>Paradise lost? The case of technology-based small firms in New Zealand in the post-global financial crisis economic environment</w:t>
      </w:r>
      <w:r w:rsidRPr="005C61F7">
        <w:rPr>
          <w:rFonts w:ascii="Times New Roman" w:hAnsi="Times New Roman"/>
          <w:sz w:val="24"/>
          <w:szCs w:val="24"/>
        </w:rPr>
        <w:t xml:space="preserve">’, </w:t>
      </w:r>
      <w:r>
        <w:rPr>
          <w:rFonts w:ascii="Times New Roman" w:hAnsi="Times New Roman"/>
          <w:i/>
          <w:sz w:val="24"/>
          <w:szCs w:val="24"/>
        </w:rPr>
        <w:t>Venture Capital</w:t>
      </w:r>
      <w:r w:rsidRPr="005C61F7">
        <w:rPr>
          <w:rFonts w:ascii="Times New Roman" w:hAnsi="Times New Roman"/>
          <w:sz w:val="24"/>
          <w:szCs w:val="24"/>
        </w:rPr>
        <w:t>,</w:t>
      </w:r>
      <w:r w:rsidRPr="00243B2F">
        <w:rPr>
          <w:rFonts w:ascii="Times New Roman" w:hAnsi="Times New Roman"/>
          <w:sz w:val="24"/>
          <w:szCs w:val="24"/>
        </w:rPr>
        <w:t xml:space="preserve"> </w:t>
      </w:r>
      <w:r w:rsidRPr="00413877">
        <w:rPr>
          <w:rFonts w:ascii="Times New Roman" w:hAnsi="Times New Roman"/>
          <w:b/>
          <w:sz w:val="24"/>
          <w:szCs w:val="24"/>
        </w:rPr>
        <w:t>1</w:t>
      </w:r>
      <w:r>
        <w:rPr>
          <w:rFonts w:ascii="Times New Roman" w:hAnsi="Times New Roman"/>
          <w:b/>
          <w:sz w:val="24"/>
          <w:szCs w:val="24"/>
        </w:rPr>
        <w:t>7</w:t>
      </w:r>
      <w:r>
        <w:rPr>
          <w:rFonts w:ascii="Times New Roman" w:hAnsi="Times New Roman"/>
          <w:sz w:val="24"/>
          <w:szCs w:val="24"/>
        </w:rPr>
        <w:t xml:space="preserve"> (1-2): 129-150.</w:t>
      </w:r>
      <w:r>
        <w:rPr>
          <w:rFonts w:ascii="Times New Roman" w:hAnsi="Times New Roman"/>
          <w:i/>
          <w:sz w:val="24"/>
          <w:szCs w:val="24"/>
        </w:rPr>
        <w:t xml:space="preserve"> </w:t>
      </w:r>
      <w:r w:rsidRPr="005C61F7">
        <w:rPr>
          <w:rFonts w:ascii="Times New Roman" w:hAnsi="Times New Roman"/>
          <w:i/>
          <w:sz w:val="24"/>
          <w:szCs w:val="24"/>
        </w:rPr>
        <w:t xml:space="preserve"> </w:t>
      </w:r>
    </w:p>
    <w:p w:rsidR="00075DBE" w:rsidRDefault="00075DBE">
      <w:pPr>
        <w:spacing w:before="240" w:after="0" w:line="480" w:lineRule="auto"/>
        <w:rPr>
          <w:rFonts w:ascii="Times New Roman" w:hAnsi="Times New Roman"/>
          <w:sz w:val="24"/>
          <w:szCs w:val="24"/>
        </w:rPr>
      </w:pPr>
      <w:r w:rsidRPr="005C61F7">
        <w:rPr>
          <w:rFonts w:ascii="Times New Roman" w:hAnsi="Times New Roman"/>
          <w:sz w:val="24"/>
          <w:szCs w:val="24"/>
        </w:rPr>
        <w:lastRenderedPageBreak/>
        <w:t xml:space="preserve">Fraser, S. (2009), </w:t>
      </w:r>
      <w:r w:rsidRPr="005C61F7">
        <w:rPr>
          <w:rFonts w:ascii="Times New Roman" w:hAnsi="Times New Roman"/>
          <w:i/>
          <w:sz w:val="24"/>
          <w:szCs w:val="24"/>
        </w:rPr>
        <w:t>Small Firms in the</w:t>
      </w:r>
      <w:r w:rsidRPr="00CF08C5">
        <w:rPr>
          <w:rFonts w:ascii="Times New Roman" w:hAnsi="Times New Roman"/>
          <w:i/>
          <w:sz w:val="24"/>
          <w:szCs w:val="24"/>
        </w:rPr>
        <w:t xml:space="preserve"> Credit Crisis, Evidence from the UK </w:t>
      </w:r>
      <w:r>
        <w:rPr>
          <w:rFonts w:ascii="Times New Roman" w:hAnsi="Times New Roman"/>
          <w:i/>
          <w:sz w:val="24"/>
          <w:szCs w:val="24"/>
        </w:rPr>
        <w:t>S</w:t>
      </w:r>
      <w:r w:rsidRPr="00CF08C5">
        <w:rPr>
          <w:rFonts w:ascii="Times New Roman" w:hAnsi="Times New Roman"/>
          <w:i/>
          <w:sz w:val="24"/>
          <w:szCs w:val="24"/>
        </w:rPr>
        <w:t xml:space="preserve">urvey of SME </w:t>
      </w:r>
      <w:r>
        <w:rPr>
          <w:rFonts w:ascii="Times New Roman" w:hAnsi="Times New Roman"/>
          <w:i/>
          <w:sz w:val="24"/>
          <w:szCs w:val="24"/>
        </w:rPr>
        <w:t>F</w:t>
      </w:r>
      <w:r w:rsidRPr="00CF08C5">
        <w:rPr>
          <w:rFonts w:ascii="Times New Roman" w:hAnsi="Times New Roman"/>
          <w:i/>
          <w:sz w:val="24"/>
          <w:szCs w:val="24"/>
        </w:rPr>
        <w:t>inances</w:t>
      </w:r>
      <w:r w:rsidRPr="00CF08C5">
        <w:rPr>
          <w:rFonts w:ascii="Times New Roman" w:hAnsi="Times New Roman"/>
          <w:sz w:val="24"/>
          <w:szCs w:val="24"/>
        </w:rPr>
        <w:t xml:space="preserve">, </w:t>
      </w:r>
      <w:r>
        <w:rPr>
          <w:rFonts w:ascii="Times New Roman" w:hAnsi="Times New Roman"/>
          <w:sz w:val="24"/>
          <w:szCs w:val="24"/>
        </w:rPr>
        <w:t xml:space="preserve">Coventry: </w:t>
      </w:r>
      <w:r w:rsidRPr="00CF08C5">
        <w:rPr>
          <w:rFonts w:ascii="Times New Roman" w:hAnsi="Times New Roman"/>
          <w:sz w:val="24"/>
          <w:szCs w:val="24"/>
        </w:rPr>
        <w:t>Warwick Business School, University of Warwick</w:t>
      </w:r>
      <w:r>
        <w:rPr>
          <w:rFonts w:ascii="Times New Roman" w:hAnsi="Times New Roman"/>
          <w:sz w:val="24"/>
          <w:szCs w:val="24"/>
        </w:rPr>
        <w:t>.</w:t>
      </w:r>
    </w:p>
    <w:p w:rsidR="00075DBE" w:rsidRPr="005C61F7" w:rsidRDefault="00075DBE">
      <w:pPr>
        <w:spacing w:before="240" w:line="480" w:lineRule="auto"/>
        <w:ind w:right="-58"/>
        <w:rPr>
          <w:rFonts w:ascii="Times New Roman" w:hAnsi="Times New Roman"/>
          <w:sz w:val="24"/>
          <w:szCs w:val="24"/>
        </w:rPr>
      </w:pPr>
      <w:r w:rsidRPr="00CF08C5">
        <w:rPr>
          <w:rFonts w:ascii="Times New Roman" w:hAnsi="Times New Roman"/>
          <w:sz w:val="24"/>
          <w:szCs w:val="24"/>
        </w:rPr>
        <w:t>Gill</w:t>
      </w:r>
      <w:r>
        <w:rPr>
          <w:rFonts w:ascii="Times New Roman" w:hAnsi="Times New Roman"/>
          <w:sz w:val="24"/>
          <w:szCs w:val="24"/>
        </w:rPr>
        <w:t>,</w:t>
      </w:r>
      <w:r w:rsidRPr="00CF08C5">
        <w:rPr>
          <w:rFonts w:ascii="Times New Roman" w:hAnsi="Times New Roman"/>
          <w:sz w:val="24"/>
          <w:szCs w:val="24"/>
        </w:rPr>
        <w:t xml:space="preserve"> D</w:t>
      </w:r>
      <w:r>
        <w:rPr>
          <w:rFonts w:ascii="Times New Roman" w:hAnsi="Times New Roman"/>
          <w:sz w:val="24"/>
          <w:szCs w:val="24"/>
        </w:rPr>
        <w:t>. (</w:t>
      </w:r>
      <w:r w:rsidRPr="005C61F7">
        <w:rPr>
          <w:rFonts w:ascii="Times New Roman" w:hAnsi="Times New Roman"/>
          <w:sz w:val="24"/>
          <w:szCs w:val="24"/>
        </w:rPr>
        <w:t>2010), ‘Collapse of the Funding Escalator’</w:t>
      </w:r>
      <w:r w:rsidRPr="005C61F7">
        <w:rPr>
          <w:rFonts w:ascii="Times New Roman" w:hAnsi="Times New Roman"/>
          <w:i/>
          <w:sz w:val="24"/>
          <w:szCs w:val="24"/>
        </w:rPr>
        <w:t xml:space="preserve">, </w:t>
      </w:r>
      <w:r w:rsidRPr="005C61F7">
        <w:rPr>
          <w:rFonts w:ascii="Times New Roman" w:hAnsi="Times New Roman"/>
          <w:sz w:val="24"/>
          <w:szCs w:val="24"/>
        </w:rPr>
        <w:t>presentation to the Institute for Manufacturing, St John’s Innovation Centre, Cambridge, 24 June 2010.</w:t>
      </w:r>
    </w:p>
    <w:p w:rsidR="00075DBE" w:rsidRPr="005C61F7" w:rsidRDefault="00075DBE">
      <w:pPr>
        <w:spacing w:before="240" w:after="0" w:line="480" w:lineRule="auto"/>
        <w:rPr>
          <w:rFonts w:ascii="Times New Roman" w:hAnsi="Times New Roman"/>
          <w:sz w:val="24"/>
          <w:szCs w:val="24"/>
        </w:rPr>
      </w:pPr>
      <w:r w:rsidRPr="005C61F7">
        <w:rPr>
          <w:rFonts w:ascii="Times New Roman" w:hAnsi="Times New Roman"/>
          <w:sz w:val="24"/>
          <w:szCs w:val="24"/>
        </w:rPr>
        <w:t xml:space="preserve">Gompers, P., Kovner, A., Lerner, J. and Scharfstein, D. (2010), ‘Performance persistence in entrepreneurship’, </w:t>
      </w:r>
      <w:r w:rsidRPr="005C61F7">
        <w:rPr>
          <w:rFonts w:ascii="Times New Roman" w:hAnsi="Times New Roman"/>
          <w:i/>
          <w:sz w:val="24"/>
          <w:szCs w:val="24"/>
        </w:rPr>
        <w:t>Journal of Financial Economics</w:t>
      </w:r>
      <w:r w:rsidRPr="005C61F7">
        <w:rPr>
          <w:rFonts w:ascii="Times New Roman" w:hAnsi="Times New Roman"/>
          <w:sz w:val="24"/>
          <w:szCs w:val="24"/>
        </w:rPr>
        <w:t xml:space="preserve">, </w:t>
      </w:r>
      <w:r w:rsidRPr="005C61F7">
        <w:rPr>
          <w:rFonts w:ascii="Times New Roman" w:hAnsi="Times New Roman"/>
          <w:b/>
          <w:sz w:val="24"/>
          <w:szCs w:val="24"/>
        </w:rPr>
        <w:t xml:space="preserve">96 </w:t>
      </w:r>
      <w:r w:rsidRPr="005C61F7">
        <w:rPr>
          <w:rFonts w:ascii="Times New Roman" w:hAnsi="Times New Roman"/>
          <w:sz w:val="24"/>
          <w:szCs w:val="24"/>
        </w:rPr>
        <w:t>(1):</w:t>
      </w:r>
      <w:r w:rsidRPr="005C61F7">
        <w:rPr>
          <w:rFonts w:ascii="Times New Roman" w:hAnsi="Times New Roman"/>
          <w:b/>
          <w:sz w:val="24"/>
          <w:szCs w:val="24"/>
        </w:rPr>
        <w:t xml:space="preserve"> </w:t>
      </w:r>
      <w:r w:rsidRPr="005C61F7">
        <w:rPr>
          <w:rFonts w:ascii="Times New Roman" w:hAnsi="Times New Roman"/>
          <w:sz w:val="24"/>
          <w:szCs w:val="24"/>
        </w:rPr>
        <w:t>18‒34.</w:t>
      </w:r>
    </w:p>
    <w:p w:rsidR="00075DBE" w:rsidRDefault="00075DBE">
      <w:pPr>
        <w:spacing w:before="240" w:after="100" w:afterAutospacing="1" w:line="480" w:lineRule="auto"/>
        <w:jc w:val="both"/>
        <w:rPr>
          <w:rFonts w:ascii="Times New Roman" w:hAnsi="Times New Roman"/>
          <w:sz w:val="24"/>
          <w:szCs w:val="24"/>
        </w:rPr>
      </w:pPr>
      <w:r w:rsidRPr="005C61F7">
        <w:rPr>
          <w:rFonts w:ascii="Times New Roman" w:hAnsi="Times New Roman"/>
          <w:sz w:val="24"/>
          <w:szCs w:val="24"/>
        </w:rPr>
        <w:t>Harrison, R., Don, G., Johnston, G.K.</w:t>
      </w:r>
      <w:r>
        <w:rPr>
          <w:rFonts w:ascii="Times New Roman" w:hAnsi="Times New Roman"/>
          <w:sz w:val="24"/>
          <w:szCs w:val="24"/>
        </w:rPr>
        <w:t xml:space="preserve"> and</w:t>
      </w:r>
      <w:r w:rsidRPr="00CF08C5">
        <w:rPr>
          <w:rFonts w:ascii="Times New Roman" w:hAnsi="Times New Roman"/>
          <w:sz w:val="24"/>
          <w:szCs w:val="24"/>
        </w:rPr>
        <w:t xml:space="preserve"> Greig</w:t>
      </w:r>
      <w:r>
        <w:rPr>
          <w:rFonts w:ascii="Times New Roman" w:hAnsi="Times New Roman"/>
          <w:sz w:val="24"/>
          <w:szCs w:val="24"/>
        </w:rPr>
        <w:t>, M. (</w:t>
      </w:r>
      <w:r w:rsidRPr="00CF08C5">
        <w:rPr>
          <w:rFonts w:ascii="Times New Roman" w:hAnsi="Times New Roman"/>
          <w:sz w:val="24"/>
          <w:szCs w:val="24"/>
        </w:rPr>
        <w:t>2010</w:t>
      </w:r>
      <w:r>
        <w:rPr>
          <w:rFonts w:ascii="Times New Roman" w:hAnsi="Times New Roman"/>
          <w:sz w:val="24"/>
          <w:szCs w:val="24"/>
        </w:rPr>
        <w:t>), ‘</w:t>
      </w:r>
      <w:r w:rsidRPr="00CF08C5">
        <w:rPr>
          <w:rFonts w:ascii="Times New Roman" w:hAnsi="Times New Roman"/>
          <w:sz w:val="24"/>
          <w:szCs w:val="24"/>
        </w:rPr>
        <w:t>The early-stage risk capital market in Scotland since 2000: issues of scale, characteristics and market efficiency</w:t>
      </w:r>
      <w:r>
        <w:rPr>
          <w:rFonts w:ascii="Times New Roman" w:hAnsi="Times New Roman"/>
          <w:sz w:val="24"/>
          <w:szCs w:val="24"/>
        </w:rPr>
        <w:t>’,</w:t>
      </w:r>
      <w:r w:rsidRPr="00CF08C5">
        <w:rPr>
          <w:rFonts w:ascii="Times New Roman" w:hAnsi="Times New Roman"/>
          <w:sz w:val="24"/>
          <w:szCs w:val="24"/>
        </w:rPr>
        <w:t xml:space="preserve"> </w:t>
      </w:r>
      <w:r w:rsidRPr="00CF08C5">
        <w:rPr>
          <w:rFonts w:ascii="Times New Roman" w:hAnsi="Times New Roman"/>
          <w:i/>
          <w:sz w:val="24"/>
          <w:szCs w:val="24"/>
        </w:rPr>
        <w:t>Venture Capital</w:t>
      </w:r>
      <w:r w:rsidRPr="00CF08C5">
        <w:rPr>
          <w:rFonts w:ascii="Times New Roman" w:hAnsi="Times New Roman"/>
          <w:sz w:val="24"/>
          <w:szCs w:val="24"/>
        </w:rPr>
        <w:t xml:space="preserve">, </w:t>
      </w:r>
      <w:r w:rsidRPr="00CF08C5">
        <w:rPr>
          <w:rFonts w:ascii="Times New Roman" w:hAnsi="Times New Roman"/>
          <w:b/>
          <w:sz w:val="24"/>
          <w:szCs w:val="24"/>
        </w:rPr>
        <w:t>12</w:t>
      </w:r>
      <w:r>
        <w:rPr>
          <w:rFonts w:ascii="Times New Roman" w:hAnsi="Times New Roman"/>
          <w:b/>
          <w:sz w:val="24"/>
          <w:szCs w:val="24"/>
        </w:rPr>
        <w:t xml:space="preserve"> </w:t>
      </w:r>
      <w:r w:rsidRPr="00CF08C5">
        <w:rPr>
          <w:rFonts w:ascii="Times New Roman" w:hAnsi="Times New Roman"/>
          <w:sz w:val="24"/>
          <w:szCs w:val="24"/>
        </w:rPr>
        <w:t>(3</w:t>
      </w:r>
      <w:r>
        <w:rPr>
          <w:rFonts w:ascii="Times New Roman" w:hAnsi="Times New Roman"/>
          <w:sz w:val="24"/>
          <w:szCs w:val="24"/>
        </w:rPr>
        <w:t xml:space="preserve">): </w:t>
      </w:r>
      <w:r w:rsidRPr="00CF08C5">
        <w:rPr>
          <w:rFonts w:ascii="Times New Roman" w:hAnsi="Times New Roman"/>
          <w:sz w:val="24"/>
          <w:szCs w:val="24"/>
        </w:rPr>
        <w:t>211</w:t>
      </w:r>
      <w:r>
        <w:rPr>
          <w:rFonts w:ascii="Times New Roman" w:hAnsi="Times New Roman"/>
          <w:sz w:val="24"/>
          <w:szCs w:val="24"/>
        </w:rPr>
        <w:t>‒</w:t>
      </w:r>
      <w:r w:rsidRPr="00CF08C5">
        <w:rPr>
          <w:rFonts w:ascii="Times New Roman" w:hAnsi="Times New Roman"/>
          <w:sz w:val="24"/>
          <w:szCs w:val="24"/>
        </w:rPr>
        <w:t>239</w:t>
      </w:r>
      <w:r>
        <w:rPr>
          <w:rFonts w:ascii="Times New Roman" w:hAnsi="Times New Roman"/>
          <w:sz w:val="24"/>
          <w:szCs w:val="24"/>
        </w:rPr>
        <w:t>.</w:t>
      </w:r>
    </w:p>
    <w:p w:rsidR="00075DBE" w:rsidRPr="005C61F7" w:rsidRDefault="00075DBE">
      <w:pPr>
        <w:spacing w:before="240" w:after="100" w:afterAutospacing="1" w:line="480" w:lineRule="auto"/>
        <w:rPr>
          <w:rFonts w:ascii="Times New Roman" w:hAnsi="Times New Roman"/>
          <w:sz w:val="24"/>
          <w:szCs w:val="24"/>
        </w:rPr>
      </w:pPr>
      <w:r w:rsidRPr="00B23855">
        <w:rPr>
          <w:rFonts w:ascii="Times New Roman" w:hAnsi="Times New Roman"/>
          <w:sz w:val="24"/>
          <w:szCs w:val="24"/>
        </w:rPr>
        <w:t xml:space="preserve">HM Treasury </w:t>
      </w:r>
      <w:r>
        <w:rPr>
          <w:rFonts w:ascii="Times New Roman" w:hAnsi="Times New Roman"/>
          <w:sz w:val="24"/>
          <w:szCs w:val="24"/>
        </w:rPr>
        <w:t>(</w:t>
      </w:r>
      <w:r w:rsidRPr="005C61F7">
        <w:rPr>
          <w:rFonts w:ascii="Times New Roman" w:hAnsi="Times New Roman"/>
          <w:sz w:val="24"/>
          <w:szCs w:val="24"/>
        </w:rPr>
        <w:t xml:space="preserve">2003), </w:t>
      </w:r>
      <w:r w:rsidRPr="005C61F7">
        <w:rPr>
          <w:rFonts w:ascii="Times New Roman" w:hAnsi="Times New Roman"/>
          <w:i/>
          <w:sz w:val="24"/>
          <w:szCs w:val="24"/>
        </w:rPr>
        <w:t>Bridging the Finance Gap: Next Steps in Improving Access to Growth Capital for Small Businesses</w:t>
      </w:r>
      <w:r w:rsidRPr="005C61F7">
        <w:rPr>
          <w:rFonts w:ascii="Times New Roman" w:hAnsi="Times New Roman"/>
          <w:sz w:val="24"/>
          <w:szCs w:val="24"/>
        </w:rPr>
        <w:t>, London: HMSO.</w:t>
      </w:r>
    </w:p>
    <w:p w:rsidR="00075DBE" w:rsidRDefault="00075DBE">
      <w:pPr>
        <w:pStyle w:val="FootnoteText"/>
        <w:spacing w:before="240" w:after="100" w:afterAutospacing="1" w:line="480" w:lineRule="auto"/>
        <w:rPr>
          <w:rFonts w:ascii="Times New Roman" w:hAnsi="Times New Roman"/>
          <w:sz w:val="24"/>
          <w:szCs w:val="24"/>
        </w:rPr>
      </w:pPr>
      <w:r w:rsidRPr="005C61F7">
        <w:rPr>
          <w:rFonts w:ascii="Times New Roman" w:hAnsi="Times New Roman"/>
          <w:sz w:val="24"/>
          <w:szCs w:val="24"/>
        </w:rPr>
        <w:t>Hopp, C. (2010), ‘When do venture</w:t>
      </w:r>
      <w:r w:rsidRPr="00CF08C5">
        <w:rPr>
          <w:rFonts w:ascii="Times New Roman" w:hAnsi="Times New Roman"/>
          <w:sz w:val="24"/>
          <w:szCs w:val="24"/>
        </w:rPr>
        <w:t xml:space="preserve"> capitalists collaborate? Evidence on the driving forces of venture capital syndication</w:t>
      </w:r>
      <w:r>
        <w:rPr>
          <w:rFonts w:ascii="Times New Roman" w:hAnsi="Times New Roman"/>
          <w:sz w:val="24"/>
          <w:szCs w:val="24"/>
        </w:rPr>
        <w:t>’</w:t>
      </w:r>
      <w:r w:rsidRPr="00CF08C5">
        <w:rPr>
          <w:rFonts w:ascii="Times New Roman" w:hAnsi="Times New Roman"/>
          <w:sz w:val="24"/>
          <w:szCs w:val="24"/>
        </w:rPr>
        <w:t xml:space="preserve">, </w:t>
      </w:r>
      <w:r w:rsidRPr="00CF08C5">
        <w:rPr>
          <w:rFonts w:ascii="Times New Roman" w:hAnsi="Times New Roman"/>
          <w:i/>
          <w:sz w:val="24"/>
          <w:szCs w:val="24"/>
        </w:rPr>
        <w:t>Journal of Small Business Economics</w:t>
      </w:r>
      <w:r>
        <w:rPr>
          <w:rFonts w:ascii="Times New Roman" w:hAnsi="Times New Roman"/>
          <w:sz w:val="24"/>
          <w:szCs w:val="24"/>
        </w:rPr>
        <w:t>,</w:t>
      </w:r>
      <w:r w:rsidRPr="00CF08C5">
        <w:rPr>
          <w:rFonts w:ascii="Times New Roman" w:hAnsi="Times New Roman"/>
          <w:sz w:val="24"/>
          <w:szCs w:val="24"/>
        </w:rPr>
        <w:t xml:space="preserve"> </w:t>
      </w:r>
      <w:r w:rsidRPr="00CF08C5">
        <w:rPr>
          <w:rFonts w:ascii="Times New Roman" w:hAnsi="Times New Roman"/>
          <w:b/>
          <w:sz w:val="24"/>
          <w:szCs w:val="24"/>
        </w:rPr>
        <w:t>35</w:t>
      </w:r>
      <w:r w:rsidRPr="00CF08C5">
        <w:rPr>
          <w:rFonts w:ascii="Times New Roman" w:hAnsi="Times New Roman"/>
          <w:sz w:val="24"/>
          <w:szCs w:val="24"/>
        </w:rPr>
        <w:t xml:space="preserve"> </w:t>
      </w:r>
      <w:r>
        <w:rPr>
          <w:rFonts w:ascii="Times New Roman" w:hAnsi="Times New Roman"/>
          <w:sz w:val="24"/>
          <w:szCs w:val="24"/>
        </w:rPr>
        <w:t xml:space="preserve">(4): </w:t>
      </w:r>
      <w:r w:rsidRPr="00CF08C5">
        <w:rPr>
          <w:rFonts w:ascii="Times New Roman" w:hAnsi="Times New Roman"/>
          <w:sz w:val="24"/>
          <w:szCs w:val="24"/>
        </w:rPr>
        <w:t>417</w:t>
      </w:r>
      <w:r>
        <w:rPr>
          <w:rFonts w:ascii="Times New Roman" w:hAnsi="Times New Roman"/>
          <w:sz w:val="24"/>
          <w:szCs w:val="24"/>
        </w:rPr>
        <w:t>‒</w:t>
      </w:r>
      <w:r w:rsidRPr="00CF08C5">
        <w:rPr>
          <w:rFonts w:ascii="Times New Roman" w:hAnsi="Times New Roman"/>
          <w:sz w:val="24"/>
          <w:szCs w:val="24"/>
        </w:rPr>
        <w:t>431</w:t>
      </w:r>
      <w:r>
        <w:rPr>
          <w:rFonts w:ascii="Times New Roman" w:hAnsi="Times New Roman"/>
          <w:sz w:val="24"/>
          <w:szCs w:val="24"/>
        </w:rPr>
        <w:t>.</w:t>
      </w:r>
    </w:p>
    <w:p w:rsidR="00075DBE" w:rsidRDefault="00075DBE">
      <w:pPr>
        <w:spacing w:before="240" w:after="100" w:afterAutospacing="1" w:line="480" w:lineRule="auto"/>
        <w:jc w:val="both"/>
        <w:rPr>
          <w:rFonts w:ascii="Times New Roman" w:hAnsi="Times New Roman"/>
          <w:sz w:val="24"/>
          <w:szCs w:val="24"/>
        </w:rPr>
      </w:pPr>
      <w:r w:rsidRPr="00CF08C5">
        <w:rPr>
          <w:rFonts w:ascii="Times New Roman" w:hAnsi="Times New Roman"/>
          <w:sz w:val="24"/>
          <w:szCs w:val="24"/>
        </w:rPr>
        <w:t>Hsu</w:t>
      </w:r>
      <w:r>
        <w:rPr>
          <w:rFonts w:ascii="Times New Roman" w:hAnsi="Times New Roman"/>
          <w:sz w:val="24"/>
          <w:szCs w:val="24"/>
        </w:rPr>
        <w:t>,</w:t>
      </w:r>
      <w:r w:rsidRPr="00CF08C5">
        <w:rPr>
          <w:rFonts w:ascii="Times New Roman" w:hAnsi="Times New Roman"/>
          <w:sz w:val="24"/>
          <w:szCs w:val="24"/>
        </w:rPr>
        <w:t xml:space="preserve"> D</w:t>
      </w:r>
      <w:r w:rsidRPr="005C61F7">
        <w:rPr>
          <w:rFonts w:ascii="Times New Roman" w:hAnsi="Times New Roman"/>
          <w:sz w:val="24"/>
          <w:szCs w:val="24"/>
        </w:rPr>
        <w:t>. (2004), ‘What do entrepreneurs</w:t>
      </w:r>
      <w:r w:rsidRPr="00CF08C5">
        <w:rPr>
          <w:rFonts w:ascii="Times New Roman" w:hAnsi="Times New Roman"/>
          <w:sz w:val="24"/>
          <w:szCs w:val="24"/>
        </w:rPr>
        <w:t xml:space="preserve"> pay for venture capital affiliation?</w:t>
      </w:r>
      <w:r>
        <w:rPr>
          <w:rFonts w:ascii="Times New Roman" w:hAnsi="Times New Roman"/>
          <w:sz w:val="24"/>
          <w:szCs w:val="24"/>
        </w:rPr>
        <w:t>’</w:t>
      </w:r>
      <w:r w:rsidRPr="00CF08C5">
        <w:rPr>
          <w:rFonts w:ascii="Times New Roman" w:hAnsi="Times New Roman"/>
          <w:sz w:val="24"/>
          <w:szCs w:val="24"/>
        </w:rPr>
        <w:t xml:space="preserve"> </w:t>
      </w:r>
      <w:r w:rsidRPr="00CF08C5">
        <w:rPr>
          <w:rFonts w:ascii="Times New Roman" w:hAnsi="Times New Roman"/>
          <w:i/>
          <w:sz w:val="24"/>
          <w:szCs w:val="24"/>
        </w:rPr>
        <w:t>The Journal of Finance</w:t>
      </w:r>
      <w:r w:rsidRPr="00CF08C5">
        <w:rPr>
          <w:rFonts w:ascii="Times New Roman" w:hAnsi="Times New Roman"/>
          <w:sz w:val="24"/>
          <w:szCs w:val="24"/>
        </w:rPr>
        <w:t xml:space="preserve">, </w:t>
      </w:r>
      <w:r w:rsidRPr="00085F52">
        <w:rPr>
          <w:rFonts w:ascii="Times New Roman" w:hAnsi="Times New Roman"/>
          <w:b/>
          <w:sz w:val="24"/>
          <w:szCs w:val="24"/>
        </w:rPr>
        <w:t>59</w:t>
      </w:r>
      <w:r w:rsidRPr="00834261">
        <w:rPr>
          <w:rFonts w:ascii="Times New Roman" w:hAnsi="Times New Roman"/>
          <w:sz w:val="24"/>
          <w:szCs w:val="24"/>
        </w:rPr>
        <w:t xml:space="preserve"> (4)</w:t>
      </w:r>
      <w:r>
        <w:rPr>
          <w:rFonts w:ascii="Times New Roman" w:hAnsi="Times New Roman"/>
          <w:sz w:val="24"/>
          <w:szCs w:val="24"/>
        </w:rPr>
        <w:t>:</w:t>
      </w:r>
      <w:r w:rsidRPr="00834261">
        <w:rPr>
          <w:rFonts w:ascii="Times New Roman" w:hAnsi="Times New Roman"/>
          <w:sz w:val="24"/>
          <w:szCs w:val="24"/>
        </w:rPr>
        <w:t xml:space="preserve"> </w:t>
      </w:r>
      <w:r w:rsidRPr="00CF08C5">
        <w:rPr>
          <w:rFonts w:ascii="Times New Roman" w:hAnsi="Times New Roman"/>
          <w:sz w:val="24"/>
          <w:szCs w:val="24"/>
        </w:rPr>
        <w:t>1805</w:t>
      </w:r>
      <w:r>
        <w:rPr>
          <w:rFonts w:ascii="Times New Roman" w:hAnsi="Times New Roman"/>
          <w:sz w:val="24"/>
          <w:szCs w:val="24"/>
        </w:rPr>
        <w:t>‒</w:t>
      </w:r>
      <w:r w:rsidRPr="00CF08C5">
        <w:rPr>
          <w:rFonts w:ascii="Times New Roman" w:hAnsi="Times New Roman"/>
          <w:sz w:val="24"/>
          <w:szCs w:val="24"/>
        </w:rPr>
        <w:t>1844</w:t>
      </w:r>
      <w:r>
        <w:rPr>
          <w:rFonts w:ascii="Times New Roman" w:hAnsi="Times New Roman"/>
          <w:sz w:val="24"/>
          <w:szCs w:val="24"/>
        </w:rPr>
        <w:t>.</w:t>
      </w:r>
    </w:p>
    <w:p w:rsidR="00075DBE" w:rsidRPr="005C61F7" w:rsidRDefault="00075DBE">
      <w:pPr>
        <w:spacing w:before="240" w:after="100" w:afterAutospacing="1" w:line="480" w:lineRule="auto"/>
        <w:rPr>
          <w:rFonts w:ascii="Times New Roman" w:hAnsi="Times New Roman"/>
          <w:sz w:val="24"/>
          <w:szCs w:val="24"/>
        </w:rPr>
      </w:pPr>
      <w:r w:rsidRPr="00C945E9">
        <w:rPr>
          <w:rFonts w:ascii="Times New Roman" w:hAnsi="Times New Roman"/>
          <w:sz w:val="24"/>
          <w:szCs w:val="24"/>
        </w:rPr>
        <w:t>Hughes</w:t>
      </w:r>
      <w:r>
        <w:rPr>
          <w:rFonts w:ascii="Times New Roman" w:hAnsi="Times New Roman"/>
          <w:sz w:val="24"/>
          <w:szCs w:val="24"/>
        </w:rPr>
        <w:t>,</w:t>
      </w:r>
      <w:r w:rsidRPr="00C945E9">
        <w:rPr>
          <w:rFonts w:ascii="Times New Roman" w:hAnsi="Times New Roman"/>
          <w:sz w:val="24"/>
          <w:szCs w:val="24"/>
        </w:rPr>
        <w:t xml:space="preserve"> A</w:t>
      </w:r>
      <w:r>
        <w:rPr>
          <w:rFonts w:ascii="Times New Roman" w:hAnsi="Times New Roman"/>
          <w:sz w:val="24"/>
          <w:szCs w:val="24"/>
        </w:rPr>
        <w:t>. (</w:t>
      </w:r>
      <w:r w:rsidRPr="005C61F7">
        <w:rPr>
          <w:rFonts w:ascii="Times New Roman" w:hAnsi="Times New Roman"/>
          <w:sz w:val="24"/>
          <w:szCs w:val="24"/>
        </w:rPr>
        <w:t xml:space="preserve">2009), ‘Hunting the Snark: some reflections on the UK support for the small business sector’, </w:t>
      </w:r>
      <w:r w:rsidRPr="005C61F7">
        <w:rPr>
          <w:rFonts w:ascii="Times New Roman" w:hAnsi="Times New Roman"/>
          <w:i/>
          <w:sz w:val="24"/>
          <w:szCs w:val="24"/>
        </w:rPr>
        <w:t>Innovation, Management, Policy and Practice</w:t>
      </w:r>
      <w:r w:rsidRPr="00DE44E3">
        <w:rPr>
          <w:rFonts w:ascii="Times New Roman" w:hAnsi="Times New Roman"/>
          <w:sz w:val="24"/>
          <w:szCs w:val="24"/>
        </w:rPr>
        <w:t xml:space="preserve">, </w:t>
      </w:r>
      <w:r w:rsidRPr="005C61F7">
        <w:rPr>
          <w:rFonts w:ascii="Times New Roman" w:hAnsi="Times New Roman"/>
          <w:b/>
          <w:sz w:val="24"/>
          <w:szCs w:val="24"/>
        </w:rPr>
        <w:t xml:space="preserve">11 </w:t>
      </w:r>
      <w:r w:rsidRPr="005C61F7">
        <w:rPr>
          <w:rFonts w:ascii="Times New Roman" w:hAnsi="Times New Roman"/>
          <w:sz w:val="24"/>
          <w:szCs w:val="24"/>
        </w:rPr>
        <w:t>(1): 114‒126.</w:t>
      </w:r>
    </w:p>
    <w:p w:rsidR="00075DBE" w:rsidRPr="005C61F7" w:rsidRDefault="00075DBE" w:rsidP="00085F52">
      <w:pPr>
        <w:autoSpaceDE w:val="0"/>
        <w:autoSpaceDN w:val="0"/>
        <w:adjustRightInd w:val="0"/>
        <w:spacing w:before="240" w:after="0" w:line="480" w:lineRule="auto"/>
        <w:rPr>
          <w:rFonts w:ascii="Times New Roman" w:hAnsi="Times New Roman"/>
          <w:sz w:val="24"/>
          <w:szCs w:val="24"/>
        </w:rPr>
      </w:pPr>
      <w:r w:rsidRPr="005C61F7">
        <w:rPr>
          <w:rFonts w:ascii="Times New Roman" w:hAnsi="Times New Roman"/>
          <w:sz w:val="24"/>
          <w:szCs w:val="24"/>
          <w:lang w:eastAsia="en-GB"/>
        </w:rPr>
        <w:t xml:space="preserve">Leleux, B. and Surlemont, B. (2003), ‘Public versus private venture capital: seeding or crowding out? A pan-European analysis’, </w:t>
      </w:r>
      <w:r w:rsidRPr="005C61F7">
        <w:rPr>
          <w:rFonts w:ascii="Times New Roman" w:hAnsi="Times New Roman"/>
          <w:i/>
          <w:iCs/>
          <w:sz w:val="24"/>
          <w:szCs w:val="24"/>
          <w:lang w:eastAsia="en-GB"/>
        </w:rPr>
        <w:t>Journal of Business Venturing</w:t>
      </w:r>
      <w:r w:rsidRPr="005C61F7">
        <w:rPr>
          <w:rFonts w:ascii="Times New Roman" w:hAnsi="Times New Roman"/>
          <w:iCs/>
          <w:sz w:val="24"/>
          <w:szCs w:val="24"/>
          <w:lang w:eastAsia="en-GB"/>
        </w:rPr>
        <w:t>,</w:t>
      </w:r>
      <w:r w:rsidRPr="005C61F7">
        <w:rPr>
          <w:rFonts w:ascii="Times New Roman" w:hAnsi="Times New Roman"/>
          <w:i/>
          <w:iCs/>
          <w:sz w:val="24"/>
          <w:szCs w:val="24"/>
          <w:lang w:eastAsia="en-GB"/>
        </w:rPr>
        <w:t xml:space="preserve"> </w:t>
      </w:r>
      <w:r w:rsidRPr="005C61F7">
        <w:rPr>
          <w:rFonts w:ascii="Times New Roman" w:hAnsi="Times New Roman"/>
          <w:b/>
          <w:sz w:val="24"/>
          <w:szCs w:val="24"/>
          <w:lang w:eastAsia="en-GB"/>
        </w:rPr>
        <w:t>18</w:t>
      </w:r>
      <w:r w:rsidRPr="005C61F7">
        <w:rPr>
          <w:rFonts w:ascii="Times New Roman" w:hAnsi="Times New Roman"/>
          <w:sz w:val="24"/>
          <w:szCs w:val="24"/>
          <w:lang w:eastAsia="en-GB"/>
        </w:rPr>
        <w:t xml:space="preserve"> (1): 81‒104.</w:t>
      </w:r>
    </w:p>
    <w:p w:rsidR="00075DBE" w:rsidRDefault="00075DBE">
      <w:pPr>
        <w:autoSpaceDE w:val="0"/>
        <w:autoSpaceDN w:val="0"/>
        <w:adjustRightInd w:val="0"/>
        <w:spacing w:before="240" w:after="0" w:line="480" w:lineRule="auto"/>
        <w:rPr>
          <w:rFonts w:ascii="Times New Roman" w:hAnsi="Times New Roman"/>
          <w:sz w:val="24"/>
          <w:szCs w:val="24"/>
          <w:lang w:eastAsia="en-GB"/>
        </w:rPr>
      </w:pPr>
      <w:r w:rsidRPr="005C61F7">
        <w:rPr>
          <w:rFonts w:ascii="Times New Roman" w:hAnsi="Times New Roman"/>
          <w:sz w:val="24"/>
          <w:szCs w:val="24"/>
        </w:rPr>
        <w:t xml:space="preserve">Lerner, J. (2009), </w:t>
      </w:r>
      <w:r w:rsidRPr="005C61F7">
        <w:rPr>
          <w:rFonts w:ascii="Times New Roman" w:hAnsi="Times New Roman"/>
          <w:i/>
          <w:sz w:val="24"/>
          <w:szCs w:val="24"/>
          <w:lang w:eastAsia="en-GB"/>
        </w:rPr>
        <w:t xml:space="preserve">Boulevard of </w:t>
      </w:r>
      <w:r w:rsidRPr="00DE44E3">
        <w:rPr>
          <w:rFonts w:ascii="Times New Roman" w:hAnsi="Times New Roman"/>
          <w:i/>
          <w:sz w:val="24"/>
          <w:szCs w:val="24"/>
          <w:lang w:eastAsia="en-GB"/>
        </w:rPr>
        <w:t>Broken Dreams</w:t>
      </w:r>
      <w:r w:rsidRPr="00CF08C5">
        <w:rPr>
          <w:rFonts w:ascii="Times New Roman" w:hAnsi="Times New Roman"/>
          <w:i/>
          <w:sz w:val="24"/>
          <w:szCs w:val="24"/>
          <w:lang w:eastAsia="en-GB"/>
        </w:rPr>
        <w:t xml:space="preserve">: Why Public Efforts </w:t>
      </w:r>
      <w:r>
        <w:rPr>
          <w:rFonts w:ascii="Times New Roman" w:hAnsi="Times New Roman"/>
          <w:i/>
          <w:sz w:val="24"/>
          <w:szCs w:val="24"/>
          <w:lang w:eastAsia="en-GB"/>
        </w:rPr>
        <w:t>t</w:t>
      </w:r>
      <w:r w:rsidRPr="00CF08C5">
        <w:rPr>
          <w:rFonts w:ascii="Times New Roman" w:hAnsi="Times New Roman"/>
          <w:i/>
          <w:sz w:val="24"/>
          <w:szCs w:val="24"/>
          <w:lang w:eastAsia="en-GB"/>
        </w:rPr>
        <w:t xml:space="preserve">o Boost Entrepreneurship </w:t>
      </w:r>
      <w:r>
        <w:rPr>
          <w:rFonts w:ascii="Times New Roman" w:hAnsi="Times New Roman"/>
          <w:i/>
          <w:sz w:val="24"/>
          <w:szCs w:val="24"/>
          <w:lang w:eastAsia="en-GB"/>
        </w:rPr>
        <w:t>a</w:t>
      </w:r>
      <w:r w:rsidRPr="00CF08C5">
        <w:rPr>
          <w:rFonts w:ascii="Times New Roman" w:hAnsi="Times New Roman"/>
          <w:i/>
          <w:sz w:val="24"/>
          <w:szCs w:val="24"/>
          <w:lang w:eastAsia="en-GB"/>
        </w:rPr>
        <w:t xml:space="preserve">nd Venture Capital </w:t>
      </w:r>
      <w:r>
        <w:rPr>
          <w:rFonts w:ascii="Times New Roman" w:hAnsi="Times New Roman"/>
          <w:i/>
          <w:sz w:val="24"/>
          <w:szCs w:val="24"/>
          <w:lang w:eastAsia="en-GB"/>
        </w:rPr>
        <w:t>h</w:t>
      </w:r>
      <w:r w:rsidRPr="00CF08C5">
        <w:rPr>
          <w:rFonts w:ascii="Times New Roman" w:hAnsi="Times New Roman"/>
          <w:i/>
          <w:sz w:val="24"/>
          <w:szCs w:val="24"/>
          <w:lang w:eastAsia="en-GB"/>
        </w:rPr>
        <w:t xml:space="preserve">ave Failed </w:t>
      </w:r>
      <w:r>
        <w:rPr>
          <w:rFonts w:ascii="Times New Roman" w:hAnsi="Times New Roman"/>
          <w:i/>
          <w:sz w:val="24"/>
          <w:szCs w:val="24"/>
          <w:lang w:eastAsia="en-GB"/>
        </w:rPr>
        <w:t>–</w:t>
      </w:r>
      <w:r w:rsidRPr="00CF08C5">
        <w:rPr>
          <w:rFonts w:ascii="Times New Roman" w:hAnsi="Times New Roman"/>
          <w:i/>
          <w:sz w:val="24"/>
          <w:szCs w:val="24"/>
          <w:lang w:eastAsia="en-GB"/>
        </w:rPr>
        <w:t xml:space="preserve"> </w:t>
      </w:r>
      <w:r>
        <w:rPr>
          <w:rFonts w:ascii="Times New Roman" w:hAnsi="Times New Roman"/>
          <w:i/>
          <w:sz w:val="24"/>
          <w:szCs w:val="24"/>
          <w:lang w:eastAsia="en-GB"/>
        </w:rPr>
        <w:t>a</w:t>
      </w:r>
      <w:r w:rsidRPr="00CF08C5">
        <w:rPr>
          <w:rFonts w:ascii="Times New Roman" w:hAnsi="Times New Roman"/>
          <w:i/>
          <w:sz w:val="24"/>
          <w:szCs w:val="24"/>
          <w:lang w:eastAsia="en-GB"/>
        </w:rPr>
        <w:t>nd what to do about it</w:t>
      </w:r>
      <w:r w:rsidRPr="00DE44E3">
        <w:rPr>
          <w:rFonts w:ascii="Times New Roman" w:hAnsi="Times New Roman"/>
          <w:sz w:val="24"/>
          <w:szCs w:val="24"/>
          <w:lang w:eastAsia="en-GB"/>
        </w:rPr>
        <w:t xml:space="preserve">, </w:t>
      </w:r>
      <w:r w:rsidRPr="00CF08C5">
        <w:rPr>
          <w:rFonts w:ascii="Times New Roman" w:hAnsi="Times New Roman"/>
          <w:sz w:val="24"/>
          <w:szCs w:val="24"/>
          <w:lang w:eastAsia="en-GB"/>
        </w:rPr>
        <w:t>Princeton: Princeton University Press</w:t>
      </w:r>
      <w:r>
        <w:rPr>
          <w:rFonts w:ascii="Times New Roman" w:hAnsi="Times New Roman"/>
          <w:sz w:val="24"/>
          <w:szCs w:val="24"/>
          <w:lang w:eastAsia="en-GB"/>
        </w:rPr>
        <w:t>.</w:t>
      </w:r>
    </w:p>
    <w:p w:rsidR="00075DBE" w:rsidRDefault="00075DBE">
      <w:pPr>
        <w:spacing w:before="240" w:after="100" w:afterAutospacing="1" w:line="480" w:lineRule="auto"/>
        <w:rPr>
          <w:rFonts w:ascii="Times New Roman" w:hAnsi="Times New Roman"/>
          <w:sz w:val="24"/>
          <w:szCs w:val="24"/>
        </w:rPr>
      </w:pPr>
      <w:r w:rsidRPr="00CF08C5">
        <w:rPr>
          <w:rFonts w:ascii="Times New Roman" w:hAnsi="Times New Roman"/>
          <w:sz w:val="24"/>
          <w:szCs w:val="24"/>
        </w:rPr>
        <w:lastRenderedPageBreak/>
        <w:t>Lerner</w:t>
      </w:r>
      <w:r>
        <w:rPr>
          <w:rFonts w:ascii="Times New Roman" w:hAnsi="Times New Roman"/>
          <w:sz w:val="24"/>
          <w:szCs w:val="24"/>
        </w:rPr>
        <w:t>,</w:t>
      </w:r>
      <w:r w:rsidRPr="00CF08C5">
        <w:rPr>
          <w:rFonts w:ascii="Times New Roman" w:hAnsi="Times New Roman"/>
          <w:sz w:val="24"/>
          <w:szCs w:val="24"/>
        </w:rPr>
        <w:t xml:space="preserve"> J</w:t>
      </w:r>
      <w:r>
        <w:rPr>
          <w:rFonts w:ascii="Times New Roman" w:hAnsi="Times New Roman"/>
          <w:sz w:val="24"/>
          <w:szCs w:val="24"/>
        </w:rPr>
        <w:t>. (</w:t>
      </w:r>
      <w:r w:rsidRPr="005C61F7">
        <w:rPr>
          <w:rFonts w:ascii="Times New Roman" w:hAnsi="Times New Roman"/>
          <w:sz w:val="24"/>
          <w:szCs w:val="24"/>
        </w:rPr>
        <w:t>2010), ‘The future of public</w:t>
      </w:r>
      <w:r w:rsidRPr="00CF08C5">
        <w:rPr>
          <w:rFonts w:ascii="Times New Roman" w:hAnsi="Times New Roman"/>
          <w:sz w:val="24"/>
          <w:szCs w:val="24"/>
        </w:rPr>
        <w:t xml:space="preserve"> efforts to boost entrepreneurship and venture capital</w:t>
      </w:r>
      <w:r>
        <w:rPr>
          <w:rFonts w:ascii="Times New Roman" w:hAnsi="Times New Roman"/>
          <w:sz w:val="24"/>
          <w:szCs w:val="24"/>
        </w:rPr>
        <w:t>’</w:t>
      </w:r>
      <w:r w:rsidRPr="00CF08C5">
        <w:rPr>
          <w:rFonts w:ascii="Times New Roman" w:hAnsi="Times New Roman"/>
          <w:sz w:val="24"/>
          <w:szCs w:val="24"/>
        </w:rPr>
        <w:t xml:space="preserve">, </w:t>
      </w:r>
      <w:r w:rsidRPr="00CF08C5">
        <w:rPr>
          <w:rFonts w:ascii="Times New Roman" w:hAnsi="Times New Roman"/>
          <w:i/>
          <w:sz w:val="24"/>
          <w:szCs w:val="24"/>
        </w:rPr>
        <w:t>Small Business Economics</w:t>
      </w:r>
      <w:r w:rsidRPr="00CF08C5">
        <w:rPr>
          <w:rFonts w:ascii="Times New Roman" w:hAnsi="Times New Roman"/>
          <w:sz w:val="24"/>
          <w:szCs w:val="24"/>
        </w:rPr>
        <w:t xml:space="preserve">, </w:t>
      </w:r>
      <w:r w:rsidRPr="00CF08C5">
        <w:rPr>
          <w:rFonts w:ascii="Times New Roman" w:hAnsi="Times New Roman"/>
          <w:b/>
          <w:sz w:val="24"/>
          <w:szCs w:val="24"/>
        </w:rPr>
        <w:t>35</w:t>
      </w:r>
      <w:r w:rsidRPr="00CF08C5">
        <w:rPr>
          <w:rFonts w:ascii="Times New Roman" w:hAnsi="Times New Roman"/>
          <w:sz w:val="24"/>
          <w:szCs w:val="24"/>
        </w:rPr>
        <w:t xml:space="preserve"> </w:t>
      </w:r>
      <w:r>
        <w:rPr>
          <w:rFonts w:ascii="Times New Roman" w:hAnsi="Times New Roman"/>
          <w:sz w:val="24"/>
          <w:szCs w:val="24"/>
        </w:rPr>
        <w:t xml:space="preserve">(3): </w:t>
      </w:r>
      <w:r w:rsidRPr="00CF08C5">
        <w:rPr>
          <w:rFonts w:ascii="Times New Roman" w:hAnsi="Times New Roman"/>
          <w:sz w:val="24"/>
          <w:szCs w:val="24"/>
        </w:rPr>
        <w:t>255</w:t>
      </w:r>
      <w:r>
        <w:rPr>
          <w:rFonts w:ascii="Times New Roman" w:hAnsi="Times New Roman"/>
          <w:sz w:val="24"/>
          <w:szCs w:val="24"/>
        </w:rPr>
        <w:t>–</w:t>
      </w:r>
      <w:r w:rsidRPr="00CF08C5">
        <w:rPr>
          <w:rFonts w:ascii="Times New Roman" w:hAnsi="Times New Roman"/>
          <w:sz w:val="24"/>
          <w:szCs w:val="24"/>
        </w:rPr>
        <w:t>264</w:t>
      </w:r>
      <w:r>
        <w:rPr>
          <w:rFonts w:ascii="Times New Roman" w:hAnsi="Times New Roman"/>
          <w:sz w:val="24"/>
          <w:szCs w:val="24"/>
        </w:rPr>
        <w:t>.</w:t>
      </w:r>
    </w:p>
    <w:p w:rsidR="00075DBE" w:rsidRPr="005C61F7" w:rsidRDefault="00075DBE">
      <w:pPr>
        <w:spacing w:before="240" w:after="100" w:afterAutospacing="1" w:line="480" w:lineRule="auto"/>
        <w:rPr>
          <w:rFonts w:ascii="Times New Roman" w:hAnsi="Times New Roman"/>
          <w:sz w:val="24"/>
          <w:szCs w:val="24"/>
        </w:rPr>
      </w:pPr>
      <w:r w:rsidRPr="00CF08C5">
        <w:rPr>
          <w:rFonts w:ascii="Times New Roman" w:hAnsi="Times New Roman"/>
          <w:sz w:val="24"/>
          <w:szCs w:val="24"/>
        </w:rPr>
        <w:t>Lerner</w:t>
      </w:r>
      <w:r>
        <w:rPr>
          <w:rFonts w:ascii="Times New Roman" w:hAnsi="Times New Roman"/>
          <w:sz w:val="24"/>
          <w:szCs w:val="24"/>
        </w:rPr>
        <w:t>,</w:t>
      </w:r>
      <w:r w:rsidRPr="00CF08C5">
        <w:rPr>
          <w:rFonts w:ascii="Times New Roman" w:hAnsi="Times New Roman"/>
          <w:sz w:val="24"/>
          <w:szCs w:val="24"/>
        </w:rPr>
        <w:t xml:space="preserve"> </w:t>
      </w:r>
      <w:r w:rsidRPr="005C61F7">
        <w:rPr>
          <w:rFonts w:ascii="Times New Roman" w:hAnsi="Times New Roman"/>
          <w:sz w:val="24"/>
          <w:szCs w:val="24"/>
        </w:rPr>
        <w:t xml:space="preserve">J., Moore, D. and Shepherd, S. (2005), </w:t>
      </w:r>
      <w:r w:rsidRPr="005C61F7">
        <w:rPr>
          <w:rFonts w:ascii="Times New Roman" w:hAnsi="Times New Roman"/>
          <w:i/>
          <w:sz w:val="24"/>
          <w:szCs w:val="24"/>
        </w:rPr>
        <w:t>A Study of New Zealand’s Venture Capital Market and Implications for Public Policy</w:t>
      </w:r>
      <w:r w:rsidRPr="00DE44E3">
        <w:rPr>
          <w:rFonts w:ascii="Times New Roman" w:hAnsi="Times New Roman"/>
          <w:sz w:val="24"/>
          <w:szCs w:val="24"/>
        </w:rPr>
        <w:t>,</w:t>
      </w:r>
      <w:r w:rsidRPr="005C61F7">
        <w:rPr>
          <w:rFonts w:ascii="Times New Roman" w:hAnsi="Times New Roman"/>
          <w:i/>
          <w:sz w:val="24"/>
          <w:szCs w:val="24"/>
        </w:rPr>
        <w:t xml:space="preserve"> </w:t>
      </w:r>
      <w:r>
        <w:rPr>
          <w:rFonts w:ascii="Times New Roman" w:hAnsi="Times New Roman"/>
          <w:sz w:val="24"/>
          <w:szCs w:val="24"/>
        </w:rPr>
        <w:t>R</w:t>
      </w:r>
      <w:r w:rsidRPr="005C61F7">
        <w:rPr>
          <w:rFonts w:ascii="Times New Roman" w:hAnsi="Times New Roman"/>
          <w:sz w:val="24"/>
          <w:szCs w:val="24"/>
        </w:rPr>
        <w:t>eport to the Ministry of Research Science and Technology, Auckland: LECG.</w:t>
      </w:r>
    </w:p>
    <w:p w:rsidR="00075DBE" w:rsidRPr="005C61F7" w:rsidRDefault="00075DBE">
      <w:pPr>
        <w:autoSpaceDE w:val="0"/>
        <w:autoSpaceDN w:val="0"/>
        <w:adjustRightInd w:val="0"/>
        <w:spacing w:before="240" w:after="0" w:line="480" w:lineRule="auto"/>
        <w:rPr>
          <w:rFonts w:ascii="Times New Roman" w:hAnsi="Times New Roman"/>
          <w:sz w:val="24"/>
          <w:szCs w:val="24"/>
        </w:rPr>
      </w:pPr>
      <w:r w:rsidRPr="005C61F7">
        <w:rPr>
          <w:rFonts w:ascii="Times New Roman" w:hAnsi="Times New Roman"/>
          <w:sz w:val="24"/>
          <w:szCs w:val="24"/>
        </w:rPr>
        <w:t xml:space="preserve">Lockett, A., Wright, M., Burrows, A., Scholes, L. and Paton, D. (2008), ‘The export intensity of venture capital backed companies’, </w:t>
      </w:r>
      <w:r w:rsidRPr="005C61F7">
        <w:rPr>
          <w:rFonts w:ascii="Times New Roman" w:hAnsi="Times New Roman"/>
          <w:i/>
          <w:sz w:val="24"/>
          <w:szCs w:val="24"/>
        </w:rPr>
        <w:t>Small Business Economics</w:t>
      </w:r>
      <w:r w:rsidRPr="005C61F7">
        <w:rPr>
          <w:rFonts w:ascii="Times New Roman" w:hAnsi="Times New Roman"/>
          <w:sz w:val="24"/>
          <w:szCs w:val="24"/>
        </w:rPr>
        <w:t xml:space="preserve">, </w:t>
      </w:r>
      <w:r w:rsidRPr="005C61F7">
        <w:rPr>
          <w:rFonts w:ascii="Times New Roman" w:hAnsi="Times New Roman"/>
          <w:b/>
          <w:sz w:val="24"/>
          <w:szCs w:val="24"/>
        </w:rPr>
        <w:t xml:space="preserve">31 </w:t>
      </w:r>
      <w:r w:rsidRPr="005C61F7">
        <w:rPr>
          <w:rFonts w:ascii="Times New Roman" w:hAnsi="Times New Roman"/>
          <w:sz w:val="24"/>
          <w:szCs w:val="24"/>
        </w:rPr>
        <w:t>(1): 39–58.</w:t>
      </w:r>
    </w:p>
    <w:p w:rsidR="00075DBE" w:rsidRDefault="00075DBE">
      <w:pPr>
        <w:spacing w:before="240" w:line="480" w:lineRule="auto"/>
        <w:rPr>
          <w:rFonts w:ascii="Times New Roman" w:hAnsi="Times New Roman"/>
          <w:sz w:val="24"/>
          <w:szCs w:val="24"/>
        </w:rPr>
      </w:pPr>
      <w:r w:rsidRPr="005C61F7">
        <w:rPr>
          <w:rFonts w:ascii="Times New Roman" w:hAnsi="Times New Roman"/>
          <w:sz w:val="24"/>
          <w:szCs w:val="24"/>
        </w:rPr>
        <w:t xml:space="preserve">Macmillan, H.P. (1931), </w:t>
      </w:r>
      <w:r w:rsidRPr="005C61F7">
        <w:rPr>
          <w:rFonts w:ascii="Times New Roman" w:hAnsi="Times New Roman"/>
          <w:i/>
          <w:sz w:val="24"/>
          <w:szCs w:val="24"/>
        </w:rPr>
        <w:t>Committee on</w:t>
      </w:r>
      <w:r w:rsidRPr="00CF08C5">
        <w:rPr>
          <w:rFonts w:ascii="Times New Roman" w:hAnsi="Times New Roman"/>
          <w:i/>
          <w:sz w:val="24"/>
          <w:szCs w:val="24"/>
        </w:rPr>
        <w:t xml:space="preserve"> Finance and Industry Report</w:t>
      </w:r>
      <w:r w:rsidRPr="00CF08C5">
        <w:rPr>
          <w:rFonts w:ascii="Times New Roman" w:hAnsi="Times New Roman"/>
          <w:sz w:val="24"/>
          <w:szCs w:val="24"/>
        </w:rPr>
        <w:t>, The Macmillan Report, July</w:t>
      </w:r>
      <w:r>
        <w:rPr>
          <w:rFonts w:ascii="Times New Roman" w:hAnsi="Times New Roman"/>
          <w:sz w:val="24"/>
          <w:szCs w:val="24"/>
        </w:rPr>
        <w:t>.</w:t>
      </w:r>
    </w:p>
    <w:p w:rsidR="00075DBE" w:rsidRDefault="00075DBE">
      <w:pPr>
        <w:spacing w:before="240" w:line="480" w:lineRule="auto"/>
        <w:rPr>
          <w:rFonts w:ascii="Times New Roman" w:hAnsi="Times New Roman"/>
          <w:sz w:val="24"/>
          <w:szCs w:val="24"/>
        </w:rPr>
      </w:pPr>
      <w:r w:rsidRPr="00B23855">
        <w:rPr>
          <w:rFonts w:ascii="Times New Roman" w:hAnsi="Times New Roman"/>
          <w:sz w:val="24"/>
          <w:szCs w:val="24"/>
        </w:rPr>
        <w:t>MacMillan</w:t>
      </w:r>
      <w:r>
        <w:rPr>
          <w:rFonts w:ascii="Times New Roman" w:hAnsi="Times New Roman"/>
          <w:sz w:val="24"/>
          <w:szCs w:val="24"/>
        </w:rPr>
        <w:t>,</w:t>
      </w:r>
      <w:r w:rsidRPr="00B23855">
        <w:rPr>
          <w:rFonts w:ascii="Times New Roman" w:hAnsi="Times New Roman"/>
          <w:sz w:val="24"/>
          <w:szCs w:val="24"/>
        </w:rPr>
        <w:t xml:space="preserve"> I</w:t>
      </w:r>
      <w:r>
        <w:rPr>
          <w:rFonts w:ascii="Times New Roman" w:hAnsi="Times New Roman"/>
          <w:sz w:val="24"/>
          <w:szCs w:val="24"/>
        </w:rPr>
        <w:t>.</w:t>
      </w:r>
      <w:r w:rsidRPr="00B23855">
        <w:rPr>
          <w:rFonts w:ascii="Times New Roman" w:hAnsi="Times New Roman"/>
          <w:sz w:val="24"/>
          <w:szCs w:val="24"/>
        </w:rPr>
        <w:t>C</w:t>
      </w:r>
      <w:r w:rsidRPr="007D663A">
        <w:rPr>
          <w:rFonts w:ascii="Times New Roman" w:hAnsi="Times New Roman"/>
          <w:sz w:val="24"/>
          <w:szCs w:val="24"/>
        </w:rPr>
        <w:t>., Kulow, D.M. and K</w:t>
      </w:r>
      <w:r w:rsidRPr="00B23855">
        <w:rPr>
          <w:rFonts w:ascii="Times New Roman" w:hAnsi="Times New Roman"/>
          <w:sz w:val="24"/>
          <w:szCs w:val="24"/>
        </w:rPr>
        <w:t>hoylian</w:t>
      </w:r>
      <w:r>
        <w:rPr>
          <w:rFonts w:ascii="Times New Roman" w:hAnsi="Times New Roman"/>
          <w:sz w:val="24"/>
          <w:szCs w:val="24"/>
        </w:rPr>
        <w:t>, C. (</w:t>
      </w:r>
      <w:r w:rsidRPr="00B23855">
        <w:rPr>
          <w:rFonts w:ascii="Times New Roman" w:hAnsi="Times New Roman"/>
          <w:sz w:val="24"/>
          <w:szCs w:val="24"/>
        </w:rPr>
        <w:t>1989</w:t>
      </w:r>
      <w:r>
        <w:rPr>
          <w:rFonts w:ascii="Times New Roman" w:hAnsi="Times New Roman"/>
          <w:sz w:val="24"/>
          <w:szCs w:val="24"/>
        </w:rPr>
        <w:t>), ‘</w:t>
      </w:r>
      <w:r w:rsidRPr="00B23855">
        <w:rPr>
          <w:rFonts w:ascii="Times New Roman" w:hAnsi="Times New Roman"/>
          <w:sz w:val="24"/>
          <w:szCs w:val="24"/>
        </w:rPr>
        <w:t>Venture capitalist’s involvement in their investments: extent and performance</w:t>
      </w:r>
      <w:r>
        <w:rPr>
          <w:rFonts w:ascii="Times New Roman" w:hAnsi="Times New Roman"/>
          <w:sz w:val="24"/>
          <w:szCs w:val="24"/>
        </w:rPr>
        <w:t>’</w:t>
      </w:r>
      <w:r w:rsidRPr="00B23855">
        <w:rPr>
          <w:rFonts w:ascii="Times New Roman" w:hAnsi="Times New Roman"/>
          <w:sz w:val="24"/>
          <w:szCs w:val="24"/>
        </w:rPr>
        <w:t xml:space="preserve">, </w:t>
      </w:r>
      <w:r w:rsidRPr="00B23855">
        <w:rPr>
          <w:rFonts w:ascii="Times New Roman" w:hAnsi="Times New Roman"/>
          <w:i/>
          <w:sz w:val="24"/>
          <w:szCs w:val="24"/>
        </w:rPr>
        <w:t>Journal of Business Venturing</w:t>
      </w:r>
      <w:r w:rsidRPr="00B23855">
        <w:rPr>
          <w:rFonts w:ascii="Times New Roman" w:hAnsi="Times New Roman"/>
          <w:sz w:val="24"/>
          <w:szCs w:val="24"/>
        </w:rPr>
        <w:t xml:space="preserve">, </w:t>
      </w:r>
      <w:r w:rsidRPr="00B23855">
        <w:rPr>
          <w:rFonts w:ascii="Times New Roman" w:hAnsi="Times New Roman"/>
          <w:b/>
          <w:sz w:val="24"/>
          <w:szCs w:val="24"/>
        </w:rPr>
        <w:t xml:space="preserve">4 </w:t>
      </w:r>
      <w:r w:rsidRPr="00085F52">
        <w:rPr>
          <w:rFonts w:ascii="Times New Roman" w:hAnsi="Times New Roman"/>
          <w:sz w:val="24"/>
          <w:szCs w:val="24"/>
        </w:rPr>
        <w:t>(</w:t>
      </w:r>
      <w:r>
        <w:rPr>
          <w:rFonts w:ascii="Times New Roman" w:hAnsi="Times New Roman"/>
          <w:sz w:val="24"/>
          <w:szCs w:val="24"/>
        </w:rPr>
        <w:t>1</w:t>
      </w:r>
      <w:r w:rsidRPr="00085F52">
        <w:rPr>
          <w:rFonts w:ascii="Times New Roman" w:hAnsi="Times New Roman"/>
          <w:sz w:val="24"/>
          <w:szCs w:val="24"/>
        </w:rPr>
        <w:t xml:space="preserve">): </w:t>
      </w:r>
      <w:r w:rsidRPr="00B23855">
        <w:rPr>
          <w:rFonts w:ascii="Times New Roman" w:hAnsi="Times New Roman"/>
          <w:sz w:val="24"/>
          <w:szCs w:val="24"/>
        </w:rPr>
        <w:t>27</w:t>
      </w:r>
      <w:r>
        <w:rPr>
          <w:rFonts w:ascii="Times New Roman" w:hAnsi="Times New Roman"/>
          <w:sz w:val="24"/>
          <w:szCs w:val="24"/>
        </w:rPr>
        <w:t>–</w:t>
      </w:r>
      <w:r w:rsidRPr="00B23855">
        <w:rPr>
          <w:rFonts w:ascii="Times New Roman" w:hAnsi="Times New Roman"/>
          <w:sz w:val="24"/>
          <w:szCs w:val="24"/>
        </w:rPr>
        <w:t>47</w:t>
      </w:r>
      <w:r>
        <w:rPr>
          <w:rFonts w:ascii="Times New Roman" w:hAnsi="Times New Roman"/>
          <w:sz w:val="24"/>
          <w:szCs w:val="24"/>
        </w:rPr>
        <w:t>.</w:t>
      </w:r>
    </w:p>
    <w:p w:rsidR="00075DBE" w:rsidRDefault="00075DBE">
      <w:pPr>
        <w:spacing w:before="240" w:after="100" w:afterAutospacing="1" w:line="480" w:lineRule="auto"/>
        <w:rPr>
          <w:rFonts w:ascii="Times New Roman" w:hAnsi="Times New Roman"/>
          <w:sz w:val="24"/>
          <w:szCs w:val="24"/>
        </w:rPr>
      </w:pPr>
      <w:r w:rsidRPr="00AF148F">
        <w:rPr>
          <w:rFonts w:ascii="Times New Roman" w:hAnsi="Times New Roman"/>
          <w:sz w:val="24"/>
          <w:szCs w:val="24"/>
        </w:rPr>
        <w:t>Manigart</w:t>
      </w:r>
      <w:r>
        <w:rPr>
          <w:rFonts w:ascii="Times New Roman" w:hAnsi="Times New Roman"/>
          <w:sz w:val="24"/>
          <w:szCs w:val="24"/>
        </w:rPr>
        <w:t>,</w:t>
      </w:r>
      <w:r w:rsidRPr="00AF148F">
        <w:rPr>
          <w:rFonts w:ascii="Times New Roman" w:hAnsi="Times New Roman"/>
          <w:sz w:val="24"/>
          <w:szCs w:val="24"/>
        </w:rPr>
        <w:t xml:space="preserve"> S. and Wright</w:t>
      </w:r>
      <w:r>
        <w:rPr>
          <w:rFonts w:ascii="Times New Roman" w:hAnsi="Times New Roman"/>
          <w:sz w:val="24"/>
          <w:szCs w:val="24"/>
        </w:rPr>
        <w:t xml:space="preserve">, </w:t>
      </w:r>
      <w:r w:rsidRPr="00AF148F">
        <w:rPr>
          <w:rFonts w:ascii="Times New Roman" w:hAnsi="Times New Roman"/>
          <w:sz w:val="24"/>
          <w:szCs w:val="24"/>
        </w:rPr>
        <w:t>M. (2013</w:t>
      </w:r>
      <w:r>
        <w:rPr>
          <w:rFonts w:ascii="Times New Roman" w:hAnsi="Times New Roman"/>
          <w:sz w:val="24"/>
          <w:szCs w:val="24"/>
        </w:rPr>
        <w:t>), ‘</w:t>
      </w:r>
      <w:r w:rsidRPr="00AF148F">
        <w:rPr>
          <w:rFonts w:ascii="Times New Roman" w:hAnsi="Times New Roman"/>
          <w:sz w:val="24"/>
          <w:szCs w:val="24"/>
        </w:rPr>
        <w:t>Reassessing</w:t>
      </w:r>
      <w:r w:rsidRPr="00CF08C5">
        <w:rPr>
          <w:rFonts w:ascii="Times New Roman" w:hAnsi="Times New Roman"/>
          <w:sz w:val="24"/>
          <w:szCs w:val="24"/>
        </w:rPr>
        <w:t xml:space="preserve"> the relationships between private equity investors and their portfolio companies</w:t>
      </w:r>
      <w:r>
        <w:rPr>
          <w:rFonts w:ascii="Times New Roman" w:hAnsi="Times New Roman"/>
          <w:sz w:val="24"/>
          <w:szCs w:val="24"/>
        </w:rPr>
        <w:t>’</w:t>
      </w:r>
      <w:r w:rsidRPr="00CF08C5">
        <w:rPr>
          <w:rFonts w:ascii="Times New Roman" w:hAnsi="Times New Roman"/>
          <w:sz w:val="24"/>
          <w:szCs w:val="24"/>
        </w:rPr>
        <w:t xml:space="preserve">, </w:t>
      </w:r>
      <w:r w:rsidRPr="00CF08C5">
        <w:rPr>
          <w:rFonts w:ascii="Times New Roman" w:hAnsi="Times New Roman"/>
          <w:i/>
          <w:sz w:val="24"/>
          <w:szCs w:val="24"/>
        </w:rPr>
        <w:t>Small Business Economics</w:t>
      </w:r>
      <w:r w:rsidRPr="00DE44E3">
        <w:rPr>
          <w:rFonts w:ascii="Times New Roman" w:hAnsi="Times New Roman"/>
          <w:sz w:val="24"/>
          <w:szCs w:val="24"/>
        </w:rPr>
        <w:t xml:space="preserve">, </w:t>
      </w:r>
      <w:r w:rsidRPr="00040EA0">
        <w:rPr>
          <w:rFonts w:ascii="Times New Roman" w:hAnsi="Times New Roman"/>
          <w:b/>
          <w:sz w:val="24"/>
          <w:szCs w:val="24"/>
        </w:rPr>
        <w:t>40</w:t>
      </w:r>
      <w:r>
        <w:rPr>
          <w:rFonts w:ascii="Times New Roman" w:hAnsi="Times New Roman"/>
          <w:b/>
          <w:sz w:val="24"/>
          <w:szCs w:val="24"/>
        </w:rPr>
        <w:t xml:space="preserve"> </w:t>
      </w:r>
      <w:r>
        <w:rPr>
          <w:rFonts w:ascii="Times New Roman" w:hAnsi="Times New Roman"/>
          <w:sz w:val="24"/>
          <w:szCs w:val="24"/>
        </w:rPr>
        <w:t>(3): 479–492.</w:t>
      </w:r>
    </w:p>
    <w:p w:rsidR="00075DBE" w:rsidRDefault="00075DBE">
      <w:pPr>
        <w:spacing w:before="240" w:line="480" w:lineRule="auto"/>
        <w:rPr>
          <w:rFonts w:ascii="Times New Roman" w:hAnsi="Times New Roman"/>
          <w:sz w:val="24"/>
          <w:szCs w:val="24"/>
        </w:rPr>
      </w:pPr>
      <w:r w:rsidRPr="008A4B8E">
        <w:rPr>
          <w:rFonts w:ascii="Times New Roman" w:hAnsi="Times New Roman"/>
          <w:sz w:val="24"/>
          <w:szCs w:val="24"/>
        </w:rPr>
        <w:t>Mason</w:t>
      </w:r>
      <w:r>
        <w:rPr>
          <w:rFonts w:ascii="Times New Roman" w:hAnsi="Times New Roman"/>
          <w:sz w:val="24"/>
          <w:szCs w:val="24"/>
        </w:rPr>
        <w:t>,</w:t>
      </w:r>
      <w:r w:rsidRPr="008A4B8E">
        <w:rPr>
          <w:rFonts w:ascii="Times New Roman" w:hAnsi="Times New Roman"/>
          <w:sz w:val="24"/>
          <w:szCs w:val="24"/>
        </w:rPr>
        <w:t xml:space="preserve"> C</w:t>
      </w:r>
      <w:r>
        <w:rPr>
          <w:rFonts w:ascii="Times New Roman" w:hAnsi="Times New Roman"/>
          <w:sz w:val="24"/>
          <w:szCs w:val="24"/>
        </w:rPr>
        <w:t xml:space="preserve">.M. </w:t>
      </w:r>
      <w:r w:rsidRPr="008A4B8E">
        <w:rPr>
          <w:rFonts w:ascii="Times New Roman" w:hAnsi="Times New Roman"/>
          <w:sz w:val="24"/>
          <w:szCs w:val="24"/>
        </w:rPr>
        <w:t>and Baldock</w:t>
      </w:r>
      <w:r>
        <w:rPr>
          <w:rFonts w:ascii="Times New Roman" w:hAnsi="Times New Roman"/>
          <w:sz w:val="24"/>
          <w:szCs w:val="24"/>
        </w:rPr>
        <w:t>, R</w:t>
      </w:r>
      <w:r w:rsidRPr="00243F4C">
        <w:rPr>
          <w:rFonts w:ascii="Times New Roman" w:hAnsi="Times New Roman"/>
          <w:sz w:val="24"/>
          <w:szCs w:val="24"/>
        </w:rPr>
        <w:t>. (2014), ‘</w:t>
      </w:r>
      <w:r w:rsidRPr="00767E8A">
        <w:rPr>
          <w:rStyle w:val="Emphasis"/>
          <w:rFonts w:ascii="Times New Roman" w:hAnsi="Times New Roman"/>
          <w:i w:val="0"/>
          <w:sz w:val="24"/>
          <w:szCs w:val="24"/>
        </w:rPr>
        <w:t xml:space="preserve">Government </w:t>
      </w:r>
      <w:r>
        <w:rPr>
          <w:rStyle w:val="Emphasis"/>
          <w:rFonts w:ascii="Times New Roman" w:hAnsi="Times New Roman"/>
          <w:i w:val="0"/>
          <w:sz w:val="24"/>
          <w:szCs w:val="24"/>
        </w:rPr>
        <w:t>i</w:t>
      </w:r>
      <w:r w:rsidRPr="00767E8A">
        <w:rPr>
          <w:rStyle w:val="Emphasis"/>
          <w:rFonts w:ascii="Times New Roman" w:hAnsi="Times New Roman"/>
          <w:i w:val="0"/>
          <w:sz w:val="24"/>
          <w:szCs w:val="24"/>
        </w:rPr>
        <w:t xml:space="preserve">ntervention in the </w:t>
      </w:r>
      <w:r>
        <w:rPr>
          <w:rStyle w:val="Emphasis"/>
          <w:rFonts w:ascii="Times New Roman" w:hAnsi="Times New Roman"/>
          <w:i w:val="0"/>
          <w:sz w:val="24"/>
          <w:szCs w:val="24"/>
        </w:rPr>
        <w:t>e</w:t>
      </w:r>
      <w:r w:rsidRPr="00767E8A">
        <w:rPr>
          <w:rStyle w:val="Emphasis"/>
          <w:rFonts w:ascii="Times New Roman" w:hAnsi="Times New Roman"/>
          <w:i w:val="0"/>
          <w:sz w:val="24"/>
          <w:szCs w:val="24"/>
        </w:rPr>
        <w:t xml:space="preserve">ntrepreneurial </w:t>
      </w:r>
      <w:r>
        <w:rPr>
          <w:rStyle w:val="Emphasis"/>
          <w:rFonts w:ascii="Times New Roman" w:hAnsi="Times New Roman"/>
          <w:i w:val="0"/>
          <w:sz w:val="24"/>
          <w:szCs w:val="24"/>
        </w:rPr>
        <w:t>f</w:t>
      </w:r>
      <w:r w:rsidRPr="00767E8A">
        <w:rPr>
          <w:rStyle w:val="Emphasis"/>
          <w:rFonts w:ascii="Times New Roman" w:hAnsi="Times New Roman"/>
          <w:i w:val="0"/>
          <w:sz w:val="24"/>
          <w:szCs w:val="24"/>
        </w:rPr>
        <w:t xml:space="preserve">inance </w:t>
      </w:r>
      <w:r>
        <w:rPr>
          <w:rStyle w:val="Emphasis"/>
          <w:rFonts w:ascii="Times New Roman" w:hAnsi="Times New Roman"/>
          <w:i w:val="0"/>
          <w:sz w:val="24"/>
          <w:szCs w:val="24"/>
        </w:rPr>
        <w:t>m</w:t>
      </w:r>
      <w:r w:rsidRPr="00767E8A">
        <w:rPr>
          <w:rStyle w:val="Emphasis"/>
          <w:rFonts w:ascii="Times New Roman" w:hAnsi="Times New Roman"/>
          <w:i w:val="0"/>
          <w:sz w:val="24"/>
          <w:szCs w:val="24"/>
        </w:rPr>
        <w:t>arket: the case of the UK</w:t>
      </w:r>
      <w:r w:rsidRPr="009F14DE">
        <w:rPr>
          <w:rStyle w:val="Emphasis"/>
          <w:rFonts w:ascii="Times New Roman" w:hAnsi="Times New Roman"/>
          <w:i w:val="0"/>
          <w:sz w:val="24"/>
          <w:szCs w:val="24"/>
        </w:rPr>
        <w:t>’</w:t>
      </w:r>
      <w:r w:rsidRPr="00767E8A">
        <w:rPr>
          <w:rStyle w:val="Emphasis"/>
          <w:rFonts w:ascii="Times New Roman" w:hAnsi="Times New Roman"/>
          <w:i w:val="0"/>
          <w:sz w:val="24"/>
          <w:szCs w:val="24"/>
        </w:rPr>
        <w:t>s Angel Co-Fund</w:t>
      </w:r>
      <w:r>
        <w:rPr>
          <w:rStyle w:val="Emphasis"/>
          <w:rFonts w:ascii="Times New Roman" w:hAnsi="Times New Roman"/>
          <w:i w:val="0"/>
          <w:sz w:val="24"/>
          <w:szCs w:val="24"/>
        </w:rPr>
        <w:t>’</w:t>
      </w:r>
      <w:r w:rsidRPr="00767E8A">
        <w:rPr>
          <w:rStyle w:val="Emphasis"/>
          <w:rFonts w:ascii="Times New Roman" w:hAnsi="Times New Roman"/>
          <w:i w:val="0"/>
          <w:sz w:val="24"/>
          <w:szCs w:val="24"/>
        </w:rPr>
        <w:t>,</w:t>
      </w:r>
      <w:r>
        <w:rPr>
          <w:rStyle w:val="Emphasis"/>
          <w:rFonts w:ascii="Times New Roman" w:hAnsi="Times New Roman"/>
          <w:i w:val="0"/>
          <w:iCs/>
          <w:sz w:val="24"/>
          <w:szCs w:val="24"/>
        </w:rPr>
        <w:t xml:space="preserve"> </w:t>
      </w:r>
      <w:r>
        <w:rPr>
          <w:rFonts w:ascii="Times New Roman" w:hAnsi="Times New Roman"/>
          <w:sz w:val="24"/>
          <w:szCs w:val="24"/>
        </w:rPr>
        <w:t>Paper presented at the Institute for Small Business and Entrepreneurship Conference, Manchester, 5‒6 November.</w:t>
      </w:r>
    </w:p>
    <w:p w:rsidR="00075DBE" w:rsidRDefault="00075DBE">
      <w:pPr>
        <w:spacing w:before="240" w:after="100" w:afterAutospacing="1" w:line="480" w:lineRule="auto"/>
        <w:rPr>
          <w:rFonts w:ascii="Times New Roman" w:hAnsi="Times New Roman"/>
          <w:sz w:val="24"/>
          <w:szCs w:val="24"/>
        </w:rPr>
      </w:pPr>
      <w:r w:rsidRPr="00B23855">
        <w:rPr>
          <w:rFonts w:ascii="Times New Roman" w:hAnsi="Times New Roman"/>
          <w:sz w:val="24"/>
          <w:szCs w:val="24"/>
        </w:rPr>
        <w:t>Mason</w:t>
      </w:r>
      <w:r>
        <w:rPr>
          <w:rFonts w:ascii="Times New Roman" w:hAnsi="Times New Roman"/>
          <w:sz w:val="24"/>
          <w:szCs w:val="24"/>
        </w:rPr>
        <w:t>,</w:t>
      </w:r>
      <w:r w:rsidRPr="00B23855">
        <w:rPr>
          <w:rFonts w:ascii="Times New Roman" w:hAnsi="Times New Roman"/>
          <w:sz w:val="24"/>
          <w:szCs w:val="24"/>
        </w:rPr>
        <w:t xml:space="preserve"> C</w:t>
      </w:r>
      <w:r>
        <w:rPr>
          <w:rFonts w:ascii="Times New Roman" w:hAnsi="Times New Roman"/>
          <w:sz w:val="24"/>
          <w:szCs w:val="24"/>
        </w:rPr>
        <w:t xml:space="preserve">.M. and </w:t>
      </w:r>
      <w:r w:rsidRPr="00243F4C">
        <w:rPr>
          <w:rFonts w:ascii="Times New Roman" w:hAnsi="Times New Roman"/>
          <w:sz w:val="24"/>
          <w:szCs w:val="24"/>
        </w:rPr>
        <w:t>Harrison, R. (2003</w:t>
      </w:r>
      <w:r>
        <w:rPr>
          <w:rFonts w:ascii="Times New Roman" w:hAnsi="Times New Roman"/>
          <w:sz w:val="24"/>
          <w:szCs w:val="24"/>
        </w:rPr>
        <w:t>)</w:t>
      </w:r>
      <w:r w:rsidRPr="00B23855">
        <w:rPr>
          <w:rFonts w:ascii="Times New Roman" w:hAnsi="Times New Roman"/>
          <w:sz w:val="24"/>
          <w:szCs w:val="24"/>
        </w:rPr>
        <w:t xml:space="preserve">, </w:t>
      </w:r>
      <w:r>
        <w:rPr>
          <w:rFonts w:ascii="Times New Roman" w:hAnsi="Times New Roman"/>
          <w:sz w:val="24"/>
          <w:szCs w:val="24"/>
        </w:rPr>
        <w:t>‘</w:t>
      </w:r>
      <w:r w:rsidRPr="00B23855">
        <w:rPr>
          <w:rFonts w:ascii="Times New Roman" w:hAnsi="Times New Roman"/>
          <w:sz w:val="24"/>
          <w:szCs w:val="24"/>
        </w:rPr>
        <w:t>Closing the regional equity gap? A critique of the Department of Trade and Industry’s Regional Venture Capital Funds Initiative</w:t>
      </w:r>
      <w:r>
        <w:rPr>
          <w:rFonts w:ascii="Times New Roman" w:hAnsi="Times New Roman"/>
          <w:sz w:val="24"/>
          <w:szCs w:val="24"/>
        </w:rPr>
        <w:t>’</w:t>
      </w:r>
      <w:r w:rsidRPr="00B23855">
        <w:rPr>
          <w:rFonts w:ascii="Times New Roman" w:hAnsi="Times New Roman"/>
          <w:sz w:val="24"/>
          <w:szCs w:val="24"/>
        </w:rPr>
        <w:t xml:space="preserve">, </w:t>
      </w:r>
      <w:r w:rsidRPr="00B23855">
        <w:rPr>
          <w:rFonts w:ascii="Times New Roman" w:hAnsi="Times New Roman"/>
          <w:i/>
          <w:sz w:val="24"/>
          <w:szCs w:val="24"/>
        </w:rPr>
        <w:t>Regional Studies</w:t>
      </w:r>
      <w:r w:rsidRPr="00DE44E3">
        <w:rPr>
          <w:rFonts w:ascii="Times New Roman" w:hAnsi="Times New Roman"/>
          <w:sz w:val="24"/>
          <w:szCs w:val="24"/>
        </w:rPr>
        <w:t xml:space="preserve">, </w:t>
      </w:r>
      <w:r w:rsidRPr="00B23855">
        <w:rPr>
          <w:rFonts w:ascii="Times New Roman" w:hAnsi="Times New Roman"/>
          <w:b/>
          <w:sz w:val="24"/>
          <w:szCs w:val="24"/>
        </w:rPr>
        <w:t>37</w:t>
      </w:r>
      <w:r>
        <w:rPr>
          <w:rFonts w:ascii="Times New Roman" w:hAnsi="Times New Roman"/>
          <w:b/>
          <w:sz w:val="24"/>
          <w:szCs w:val="24"/>
        </w:rPr>
        <w:t xml:space="preserve"> </w:t>
      </w:r>
      <w:r w:rsidRPr="00C70F5E">
        <w:rPr>
          <w:rFonts w:ascii="Times New Roman" w:hAnsi="Times New Roman"/>
          <w:sz w:val="24"/>
          <w:szCs w:val="24"/>
        </w:rPr>
        <w:t>(8</w:t>
      </w:r>
      <w:r>
        <w:rPr>
          <w:rFonts w:ascii="Times New Roman" w:hAnsi="Times New Roman"/>
          <w:sz w:val="24"/>
          <w:szCs w:val="24"/>
        </w:rPr>
        <w:t xml:space="preserve">): </w:t>
      </w:r>
      <w:r w:rsidRPr="00C70F5E">
        <w:rPr>
          <w:rFonts w:ascii="Times New Roman" w:hAnsi="Times New Roman"/>
          <w:sz w:val="24"/>
          <w:szCs w:val="24"/>
        </w:rPr>
        <w:t>855</w:t>
      </w:r>
      <w:r>
        <w:rPr>
          <w:rFonts w:ascii="Times New Roman" w:hAnsi="Times New Roman"/>
          <w:sz w:val="24"/>
          <w:szCs w:val="24"/>
        </w:rPr>
        <w:t>‒</w:t>
      </w:r>
      <w:r w:rsidRPr="00C70F5E">
        <w:rPr>
          <w:rFonts w:ascii="Times New Roman" w:hAnsi="Times New Roman"/>
          <w:sz w:val="24"/>
          <w:szCs w:val="24"/>
        </w:rPr>
        <w:t>868</w:t>
      </w:r>
      <w:r>
        <w:rPr>
          <w:rFonts w:ascii="Times New Roman" w:hAnsi="Times New Roman"/>
          <w:sz w:val="24"/>
          <w:szCs w:val="24"/>
        </w:rPr>
        <w:t>.</w:t>
      </w:r>
    </w:p>
    <w:p w:rsidR="00075DBE" w:rsidRPr="00243F4C" w:rsidRDefault="00075DBE">
      <w:pPr>
        <w:spacing w:before="240" w:after="100" w:afterAutospacing="1" w:line="480" w:lineRule="auto"/>
        <w:rPr>
          <w:rFonts w:ascii="Times New Roman" w:hAnsi="Times New Roman"/>
          <w:sz w:val="24"/>
          <w:szCs w:val="24"/>
        </w:rPr>
      </w:pPr>
      <w:r w:rsidRPr="00CF08C5">
        <w:rPr>
          <w:rFonts w:ascii="Times New Roman" w:hAnsi="Times New Roman"/>
          <w:sz w:val="24"/>
          <w:szCs w:val="24"/>
        </w:rPr>
        <w:t>Mason</w:t>
      </w:r>
      <w:r>
        <w:rPr>
          <w:rFonts w:ascii="Times New Roman" w:hAnsi="Times New Roman"/>
          <w:sz w:val="24"/>
          <w:szCs w:val="24"/>
        </w:rPr>
        <w:t>,</w:t>
      </w:r>
      <w:r w:rsidRPr="00CF08C5">
        <w:rPr>
          <w:rFonts w:ascii="Times New Roman" w:hAnsi="Times New Roman"/>
          <w:sz w:val="24"/>
          <w:szCs w:val="24"/>
        </w:rPr>
        <w:t xml:space="preserve"> C</w:t>
      </w:r>
      <w:r>
        <w:rPr>
          <w:rFonts w:ascii="Times New Roman" w:hAnsi="Times New Roman"/>
          <w:sz w:val="24"/>
          <w:szCs w:val="24"/>
        </w:rPr>
        <w:t>.</w:t>
      </w:r>
      <w:r w:rsidRPr="00CF08C5">
        <w:rPr>
          <w:rFonts w:ascii="Times New Roman" w:hAnsi="Times New Roman"/>
          <w:sz w:val="24"/>
          <w:szCs w:val="24"/>
        </w:rPr>
        <w:t>M</w:t>
      </w:r>
      <w:r>
        <w:rPr>
          <w:rFonts w:ascii="Times New Roman" w:hAnsi="Times New Roman"/>
          <w:sz w:val="24"/>
          <w:szCs w:val="24"/>
        </w:rPr>
        <w:t>. and</w:t>
      </w:r>
      <w:r w:rsidRPr="00CF08C5">
        <w:rPr>
          <w:rFonts w:ascii="Times New Roman" w:hAnsi="Times New Roman"/>
          <w:sz w:val="24"/>
          <w:szCs w:val="24"/>
        </w:rPr>
        <w:t xml:space="preserve"> Kwok</w:t>
      </w:r>
      <w:r>
        <w:rPr>
          <w:rFonts w:ascii="Times New Roman" w:hAnsi="Times New Roman"/>
          <w:sz w:val="24"/>
          <w:szCs w:val="24"/>
        </w:rPr>
        <w:t>, K. (</w:t>
      </w:r>
      <w:r w:rsidRPr="00243F4C">
        <w:rPr>
          <w:rFonts w:ascii="Times New Roman" w:hAnsi="Times New Roman"/>
          <w:sz w:val="24"/>
          <w:szCs w:val="24"/>
        </w:rPr>
        <w:t xml:space="preserve">2010), ‘Investment readiness programmes and access to finance: a critical review of design issues’, </w:t>
      </w:r>
      <w:r w:rsidRPr="00243F4C">
        <w:rPr>
          <w:rFonts w:ascii="Times New Roman" w:hAnsi="Times New Roman"/>
          <w:i/>
          <w:sz w:val="24"/>
          <w:szCs w:val="24"/>
        </w:rPr>
        <w:t>Local Economy</w:t>
      </w:r>
      <w:r w:rsidRPr="00243F4C">
        <w:rPr>
          <w:rFonts w:ascii="Times New Roman" w:hAnsi="Times New Roman"/>
          <w:sz w:val="24"/>
          <w:szCs w:val="24"/>
        </w:rPr>
        <w:t xml:space="preserve">, </w:t>
      </w:r>
      <w:r w:rsidRPr="00243F4C">
        <w:rPr>
          <w:rFonts w:ascii="Times New Roman" w:hAnsi="Times New Roman"/>
          <w:b/>
          <w:sz w:val="24"/>
          <w:szCs w:val="24"/>
        </w:rPr>
        <w:t xml:space="preserve">25 </w:t>
      </w:r>
      <w:r w:rsidRPr="00243F4C">
        <w:rPr>
          <w:rFonts w:ascii="Times New Roman" w:hAnsi="Times New Roman"/>
          <w:sz w:val="24"/>
          <w:szCs w:val="24"/>
        </w:rPr>
        <w:t>(4): 269‒292.</w:t>
      </w:r>
    </w:p>
    <w:p w:rsidR="00075DBE" w:rsidRPr="00243F4C" w:rsidRDefault="00075DBE">
      <w:pPr>
        <w:spacing w:before="240" w:after="100" w:afterAutospacing="1" w:line="480" w:lineRule="auto"/>
        <w:rPr>
          <w:rFonts w:ascii="Times New Roman" w:hAnsi="Times New Roman"/>
          <w:sz w:val="24"/>
          <w:szCs w:val="24"/>
        </w:rPr>
      </w:pPr>
      <w:r w:rsidRPr="00243F4C">
        <w:rPr>
          <w:rFonts w:ascii="Times New Roman" w:hAnsi="Times New Roman"/>
          <w:sz w:val="24"/>
          <w:szCs w:val="24"/>
        </w:rPr>
        <w:t xml:space="preserve">Mason, C.M., Jones, L. and Wells, S. (2010), </w:t>
      </w:r>
      <w:r w:rsidRPr="00243F4C">
        <w:rPr>
          <w:rFonts w:ascii="Times New Roman" w:hAnsi="Times New Roman"/>
          <w:i/>
          <w:sz w:val="24"/>
          <w:szCs w:val="24"/>
        </w:rPr>
        <w:t>The City’s Role in Providing for Public Equity Financing Needs of UK SMEs</w:t>
      </w:r>
      <w:r w:rsidRPr="00DE44E3">
        <w:rPr>
          <w:rFonts w:ascii="Times New Roman" w:hAnsi="Times New Roman"/>
          <w:sz w:val="24"/>
          <w:szCs w:val="24"/>
        </w:rPr>
        <w:t xml:space="preserve">, </w:t>
      </w:r>
      <w:r>
        <w:rPr>
          <w:rFonts w:ascii="Times New Roman" w:hAnsi="Times New Roman"/>
          <w:sz w:val="24"/>
          <w:szCs w:val="24"/>
        </w:rPr>
        <w:t>R</w:t>
      </w:r>
      <w:r w:rsidRPr="00DE44E3">
        <w:rPr>
          <w:rFonts w:ascii="Times New Roman" w:hAnsi="Times New Roman"/>
          <w:sz w:val="24"/>
          <w:szCs w:val="24"/>
        </w:rPr>
        <w:t>eport to the City of London.</w:t>
      </w:r>
    </w:p>
    <w:p w:rsidR="00075DBE" w:rsidRDefault="00075DBE">
      <w:pPr>
        <w:spacing w:before="240" w:after="100" w:afterAutospacing="1" w:line="480" w:lineRule="auto"/>
        <w:rPr>
          <w:rFonts w:ascii="Times New Roman" w:hAnsi="Times New Roman"/>
          <w:sz w:val="24"/>
          <w:szCs w:val="24"/>
        </w:rPr>
      </w:pPr>
      <w:r w:rsidRPr="00243F4C">
        <w:rPr>
          <w:rFonts w:ascii="Times New Roman" w:hAnsi="Times New Roman"/>
          <w:sz w:val="24"/>
          <w:szCs w:val="24"/>
        </w:rPr>
        <w:lastRenderedPageBreak/>
        <w:t>Murray, G. (1999), ‘Early-stage venture capital</w:t>
      </w:r>
      <w:r w:rsidRPr="00CF08C5">
        <w:rPr>
          <w:rFonts w:ascii="Times New Roman" w:hAnsi="Times New Roman"/>
          <w:sz w:val="24"/>
          <w:szCs w:val="24"/>
        </w:rPr>
        <w:t xml:space="preserve"> funds, scale economies and public support</w:t>
      </w:r>
      <w:r>
        <w:rPr>
          <w:rFonts w:ascii="Times New Roman" w:hAnsi="Times New Roman"/>
          <w:sz w:val="24"/>
          <w:szCs w:val="24"/>
        </w:rPr>
        <w:t>’</w:t>
      </w:r>
      <w:r w:rsidRPr="00CF08C5">
        <w:rPr>
          <w:rFonts w:ascii="Times New Roman" w:hAnsi="Times New Roman"/>
          <w:sz w:val="24"/>
          <w:szCs w:val="24"/>
        </w:rPr>
        <w:t xml:space="preserve">, </w:t>
      </w:r>
      <w:r w:rsidRPr="00CF08C5">
        <w:rPr>
          <w:rFonts w:ascii="Times New Roman" w:hAnsi="Times New Roman"/>
          <w:i/>
          <w:sz w:val="24"/>
          <w:szCs w:val="24"/>
        </w:rPr>
        <w:t>Venture Capital</w:t>
      </w:r>
      <w:r w:rsidRPr="00DE44E3">
        <w:rPr>
          <w:rFonts w:ascii="Times New Roman" w:hAnsi="Times New Roman"/>
          <w:sz w:val="24"/>
          <w:szCs w:val="24"/>
        </w:rPr>
        <w:t xml:space="preserve">, </w:t>
      </w:r>
      <w:r w:rsidRPr="00CF08C5">
        <w:rPr>
          <w:rFonts w:ascii="Times New Roman" w:hAnsi="Times New Roman"/>
          <w:b/>
          <w:sz w:val="24"/>
          <w:szCs w:val="24"/>
        </w:rPr>
        <w:t>4</w:t>
      </w:r>
      <w:r>
        <w:rPr>
          <w:rFonts w:ascii="Times New Roman" w:hAnsi="Times New Roman"/>
          <w:b/>
          <w:sz w:val="24"/>
          <w:szCs w:val="24"/>
        </w:rPr>
        <w:t xml:space="preserve"> </w:t>
      </w:r>
      <w:r w:rsidRPr="00CF08C5">
        <w:rPr>
          <w:rFonts w:ascii="Times New Roman" w:hAnsi="Times New Roman"/>
          <w:sz w:val="24"/>
          <w:szCs w:val="24"/>
        </w:rPr>
        <w:t>(1)</w:t>
      </w:r>
      <w:r>
        <w:rPr>
          <w:rFonts w:ascii="Times New Roman" w:hAnsi="Times New Roman"/>
          <w:sz w:val="24"/>
          <w:szCs w:val="24"/>
        </w:rPr>
        <w:t>:</w:t>
      </w:r>
      <w:r w:rsidRPr="00CF08C5">
        <w:rPr>
          <w:rFonts w:ascii="Times New Roman" w:hAnsi="Times New Roman"/>
          <w:sz w:val="24"/>
          <w:szCs w:val="24"/>
        </w:rPr>
        <w:t xml:space="preserve"> 351</w:t>
      </w:r>
      <w:r>
        <w:rPr>
          <w:rFonts w:ascii="Times New Roman" w:hAnsi="Times New Roman"/>
          <w:sz w:val="24"/>
          <w:szCs w:val="24"/>
        </w:rPr>
        <w:t>‒</w:t>
      </w:r>
      <w:r w:rsidRPr="00CF08C5">
        <w:rPr>
          <w:rFonts w:ascii="Times New Roman" w:hAnsi="Times New Roman"/>
          <w:sz w:val="24"/>
          <w:szCs w:val="24"/>
        </w:rPr>
        <w:t>384</w:t>
      </w:r>
      <w:r>
        <w:rPr>
          <w:rFonts w:ascii="Times New Roman" w:hAnsi="Times New Roman"/>
          <w:sz w:val="24"/>
          <w:szCs w:val="24"/>
        </w:rPr>
        <w:t>.</w:t>
      </w:r>
    </w:p>
    <w:p w:rsidR="00075DBE" w:rsidRDefault="00075DBE">
      <w:pPr>
        <w:pStyle w:val="FootnoteText"/>
        <w:spacing w:before="240" w:after="100" w:afterAutospacing="1" w:line="480" w:lineRule="auto"/>
        <w:rPr>
          <w:rFonts w:ascii="Times New Roman" w:hAnsi="Times New Roman"/>
          <w:sz w:val="24"/>
          <w:szCs w:val="24"/>
        </w:rPr>
      </w:pPr>
      <w:r w:rsidRPr="00CF08C5">
        <w:rPr>
          <w:rFonts w:ascii="Times New Roman" w:hAnsi="Times New Roman"/>
          <w:sz w:val="24"/>
          <w:szCs w:val="24"/>
        </w:rPr>
        <w:t>Murray</w:t>
      </w:r>
      <w:r>
        <w:rPr>
          <w:rFonts w:ascii="Times New Roman" w:hAnsi="Times New Roman"/>
          <w:sz w:val="24"/>
          <w:szCs w:val="24"/>
        </w:rPr>
        <w:t>,</w:t>
      </w:r>
      <w:r w:rsidRPr="00CF08C5">
        <w:rPr>
          <w:rFonts w:ascii="Times New Roman" w:hAnsi="Times New Roman"/>
          <w:sz w:val="24"/>
          <w:szCs w:val="24"/>
        </w:rPr>
        <w:t xml:space="preserve"> G</w:t>
      </w:r>
      <w:r>
        <w:rPr>
          <w:rFonts w:ascii="Times New Roman" w:hAnsi="Times New Roman"/>
          <w:sz w:val="24"/>
          <w:szCs w:val="24"/>
        </w:rPr>
        <w:t>. (</w:t>
      </w:r>
      <w:r w:rsidRPr="00CF08C5">
        <w:rPr>
          <w:rFonts w:ascii="Times New Roman" w:hAnsi="Times New Roman"/>
          <w:sz w:val="24"/>
          <w:szCs w:val="24"/>
        </w:rPr>
        <w:t>2007</w:t>
      </w:r>
      <w:r w:rsidRPr="00243F4C">
        <w:rPr>
          <w:rFonts w:ascii="Times New Roman" w:hAnsi="Times New Roman"/>
          <w:sz w:val="24"/>
          <w:szCs w:val="24"/>
        </w:rPr>
        <w:t>), ‘Venture capital and</w:t>
      </w:r>
      <w:r w:rsidRPr="00CF08C5">
        <w:rPr>
          <w:rFonts w:ascii="Times New Roman" w:hAnsi="Times New Roman"/>
          <w:sz w:val="24"/>
          <w:szCs w:val="24"/>
        </w:rPr>
        <w:t xml:space="preserve"> government policy</w:t>
      </w:r>
      <w:r>
        <w:rPr>
          <w:rFonts w:ascii="Times New Roman" w:hAnsi="Times New Roman"/>
          <w:sz w:val="24"/>
          <w:szCs w:val="24"/>
        </w:rPr>
        <w:t>’</w:t>
      </w:r>
      <w:r w:rsidRPr="00CF08C5">
        <w:rPr>
          <w:rFonts w:ascii="Times New Roman" w:hAnsi="Times New Roman"/>
          <w:sz w:val="24"/>
          <w:szCs w:val="24"/>
        </w:rPr>
        <w:t xml:space="preserve">, in </w:t>
      </w:r>
      <w:r>
        <w:rPr>
          <w:rFonts w:ascii="Times New Roman" w:hAnsi="Times New Roman"/>
          <w:sz w:val="24"/>
          <w:szCs w:val="24"/>
        </w:rPr>
        <w:t xml:space="preserve">H. </w:t>
      </w:r>
      <w:r w:rsidRPr="00CF08C5">
        <w:rPr>
          <w:rFonts w:ascii="Times New Roman" w:hAnsi="Times New Roman"/>
          <w:sz w:val="24"/>
          <w:szCs w:val="24"/>
        </w:rPr>
        <w:t>Landstrom (ed</w:t>
      </w:r>
      <w:r>
        <w:rPr>
          <w:rFonts w:ascii="Times New Roman" w:hAnsi="Times New Roman"/>
          <w:sz w:val="24"/>
          <w:szCs w:val="24"/>
        </w:rPr>
        <w:t xml:space="preserve">.), </w:t>
      </w:r>
      <w:r w:rsidRPr="00CF08C5">
        <w:rPr>
          <w:rFonts w:ascii="Times New Roman" w:hAnsi="Times New Roman"/>
          <w:i/>
          <w:sz w:val="24"/>
          <w:szCs w:val="24"/>
        </w:rPr>
        <w:t>Handbook of Research on Venture Capital</w:t>
      </w:r>
      <w:r w:rsidRPr="00CF08C5">
        <w:rPr>
          <w:rFonts w:ascii="Times New Roman" w:hAnsi="Times New Roman"/>
          <w:sz w:val="24"/>
          <w:szCs w:val="24"/>
        </w:rPr>
        <w:t xml:space="preserve">, </w:t>
      </w:r>
      <w:r>
        <w:rPr>
          <w:rFonts w:ascii="Times New Roman" w:hAnsi="Times New Roman"/>
          <w:sz w:val="24"/>
          <w:szCs w:val="24"/>
        </w:rPr>
        <w:t xml:space="preserve">Cheltenham, UK and Northampton, MA, USA: </w:t>
      </w:r>
      <w:r w:rsidRPr="00CF08C5">
        <w:rPr>
          <w:rFonts w:ascii="Times New Roman" w:hAnsi="Times New Roman"/>
          <w:sz w:val="24"/>
          <w:szCs w:val="24"/>
        </w:rPr>
        <w:t>Edward Elgar</w:t>
      </w:r>
      <w:r>
        <w:rPr>
          <w:rFonts w:ascii="Times New Roman" w:hAnsi="Times New Roman"/>
          <w:sz w:val="24"/>
          <w:szCs w:val="24"/>
        </w:rPr>
        <w:t xml:space="preserve"> Publishing, pp. 113‒151.</w:t>
      </w:r>
    </w:p>
    <w:p w:rsidR="00075DBE" w:rsidRDefault="00075DBE">
      <w:pPr>
        <w:pStyle w:val="FootnoteText"/>
        <w:spacing w:before="240" w:after="100" w:afterAutospacing="1" w:line="480" w:lineRule="auto"/>
        <w:rPr>
          <w:rFonts w:ascii="Times New Roman" w:hAnsi="Times New Roman"/>
          <w:sz w:val="24"/>
          <w:szCs w:val="24"/>
        </w:rPr>
      </w:pPr>
      <w:r w:rsidRPr="00CF08C5">
        <w:rPr>
          <w:rFonts w:ascii="Times New Roman" w:hAnsi="Times New Roman"/>
          <w:sz w:val="24"/>
          <w:szCs w:val="24"/>
        </w:rPr>
        <w:t>Murray</w:t>
      </w:r>
      <w:r>
        <w:rPr>
          <w:rFonts w:ascii="Times New Roman" w:hAnsi="Times New Roman"/>
          <w:sz w:val="24"/>
          <w:szCs w:val="24"/>
        </w:rPr>
        <w:t>,</w:t>
      </w:r>
      <w:r w:rsidRPr="00CF08C5">
        <w:rPr>
          <w:rFonts w:ascii="Times New Roman" w:hAnsi="Times New Roman"/>
          <w:sz w:val="24"/>
          <w:szCs w:val="24"/>
        </w:rPr>
        <w:t xml:space="preserve"> G</w:t>
      </w:r>
      <w:r>
        <w:rPr>
          <w:rFonts w:ascii="Times New Roman" w:hAnsi="Times New Roman"/>
          <w:sz w:val="24"/>
          <w:szCs w:val="24"/>
        </w:rPr>
        <w:t xml:space="preserve">. and </w:t>
      </w:r>
      <w:r w:rsidRPr="00CF08C5">
        <w:rPr>
          <w:rFonts w:ascii="Times New Roman" w:hAnsi="Times New Roman"/>
          <w:sz w:val="24"/>
          <w:szCs w:val="24"/>
        </w:rPr>
        <w:t>Lingelbach</w:t>
      </w:r>
      <w:r>
        <w:rPr>
          <w:rFonts w:ascii="Times New Roman" w:hAnsi="Times New Roman"/>
          <w:sz w:val="24"/>
          <w:szCs w:val="24"/>
        </w:rPr>
        <w:t>, D</w:t>
      </w:r>
      <w:r w:rsidRPr="00243F4C">
        <w:rPr>
          <w:rFonts w:ascii="Times New Roman" w:hAnsi="Times New Roman"/>
          <w:sz w:val="24"/>
          <w:szCs w:val="24"/>
        </w:rPr>
        <w:t xml:space="preserve">. (2009), </w:t>
      </w:r>
      <w:r w:rsidRPr="00243F4C">
        <w:rPr>
          <w:rFonts w:ascii="Times New Roman" w:hAnsi="Times New Roman"/>
          <w:i/>
          <w:sz w:val="24"/>
          <w:szCs w:val="24"/>
        </w:rPr>
        <w:t>Twelve Meditations</w:t>
      </w:r>
      <w:r w:rsidRPr="00CF08C5">
        <w:rPr>
          <w:rFonts w:ascii="Times New Roman" w:hAnsi="Times New Roman"/>
          <w:i/>
          <w:sz w:val="24"/>
          <w:szCs w:val="24"/>
        </w:rPr>
        <w:t xml:space="preserve"> on Venture Capital</w:t>
      </w:r>
      <w:r w:rsidRPr="00CF08C5">
        <w:rPr>
          <w:rFonts w:ascii="Times New Roman" w:hAnsi="Times New Roman"/>
          <w:sz w:val="24"/>
          <w:szCs w:val="24"/>
        </w:rPr>
        <w:t>, University of Exeter Business School, Paper No. 09/06, September 2009.</w:t>
      </w:r>
    </w:p>
    <w:p w:rsidR="00075DBE" w:rsidRDefault="00075DBE">
      <w:pPr>
        <w:pStyle w:val="FootnoteText"/>
        <w:spacing w:before="240" w:after="100" w:afterAutospacing="1" w:line="480" w:lineRule="auto"/>
        <w:rPr>
          <w:rFonts w:ascii="Times New Roman" w:hAnsi="Times New Roman"/>
          <w:sz w:val="24"/>
          <w:szCs w:val="24"/>
        </w:rPr>
      </w:pPr>
      <w:r w:rsidRPr="00CF08C5">
        <w:rPr>
          <w:rFonts w:ascii="Times New Roman" w:hAnsi="Times New Roman"/>
          <w:sz w:val="24"/>
          <w:szCs w:val="24"/>
        </w:rPr>
        <w:t>NAO</w:t>
      </w:r>
      <w:r>
        <w:rPr>
          <w:rFonts w:ascii="Times New Roman" w:hAnsi="Times New Roman"/>
          <w:sz w:val="24"/>
          <w:szCs w:val="24"/>
        </w:rPr>
        <w:t xml:space="preserve"> (</w:t>
      </w:r>
      <w:r w:rsidRPr="00CF08C5">
        <w:rPr>
          <w:rFonts w:ascii="Times New Roman" w:hAnsi="Times New Roman"/>
          <w:sz w:val="24"/>
          <w:szCs w:val="24"/>
        </w:rPr>
        <w:t>2009</w:t>
      </w:r>
      <w:r>
        <w:rPr>
          <w:rFonts w:ascii="Times New Roman" w:hAnsi="Times New Roman"/>
          <w:sz w:val="24"/>
          <w:szCs w:val="24"/>
        </w:rPr>
        <w:t xml:space="preserve">), </w:t>
      </w:r>
      <w:r w:rsidRPr="00243F4C">
        <w:rPr>
          <w:rFonts w:ascii="Times New Roman" w:hAnsi="Times New Roman"/>
          <w:i/>
          <w:sz w:val="24"/>
          <w:szCs w:val="24"/>
        </w:rPr>
        <w:t>Venture Capital</w:t>
      </w:r>
      <w:r w:rsidRPr="00CF08C5">
        <w:rPr>
          <w:rFonts w:ascii="Times New Roman" w:hAnsi="Times New Roman"/>
          <w:i/>
          <w:sz w:val="24"/>
          <w:szCs w:val="24"/>
        </w:rPr>
        <w:t xml:space="preserve"> Support to Small Businesses</w:t>
      </w:r>
      <w:r w:rsidRPr="00CF08C5">
        <w:rPr>
          <w:rFonts w:ascii="Times New Roman" w:hAnsi="Times New Roman"/>
          <w:sz w:val="24"/>
          <w:szCs w:val="24"/>
        </w:rPr>
        <w:t xml:space="preserve">, </w:t>
      </w:r>
      <w:r>
        <w:rPr>
          <w:rFonts w:ascii="Times New Roman" w:hAnsi="Times New Roman"/>
          <w:sz w:val="24"/>
          <w:szCs w:val="24"/>
        </w:rPr>
        <w:t>R</w:t>
      </w:r>
      <w:r w:rsidRPr="00CF08C5">
        <w:rPr>
          <w:rFonts w:ascii="Times New Roman" w:hAnsi="Times New Roman"/>
          <w:sz w:val="24"/>
          <w:szCs w:val="24"/>
        </w:rPr>
        <w:t>eport of the National Audit Office to the House of Commons, 23</w:t>
      </w:r>
      <w:r w:rsidRPr="00DE44E3">
        <w:rPr>
          <w:rFonts w:ascii="Times New Roman" w:hAnsi="Times New Roman"/>
          <w:sz w:val="24"/>
          <w:szCs w:val="24"/>
        </w:rPr>
        <w:t>rd</w:t>
      </w:r>
      <w:r>
        <w:rPr>
          <w:rFonts w:ascii="Times New Roman" w:hAnsi="Times New Roman"/>
          <w:sz w:val="24"/>
          <w:szCs w:val="24"/>
        </w:rPr>
        <w:t xml:space="preserve"> </w:t>
      </w:r>
      <w:r w:rsidRPr="00CF08C5">
        <w:rPr>
          <w:rFonts w:ascii="Times New Roman" w:hAnsi="Times New Roman"/>
          <w:sz w:val="24"/>
          <w:szCs w:val="24"/>
        </w:rPr>
        <w:t>Session, 2009</w:t>
      </w:r>
      <w:r>
        <w:rPr>
          <w:rFonts w:ascii="Times New Roman" w:hAnsi="Times New Roman"/>
          <w:sz w:val="24"/>
          <w:szCs w:val="24"/>
        </w:rPr>
        <w:t>‒20</w:t>
      </w:r>
      <w:r w:rsidRPr="00CF08C5">
        <w:rPr>
          <w:rFonts w:ascii="Times New Roman" w:hAnsi="Times New Roman"/>
          <w:sz w:val="24"/>
          <w:szCs w:val="24"/>
        </w:rPr>
        <w:t>10</w:t>
      </w:r>
      <w:r>
        <w:rPr>
          <w:rFonts w:ascii="Times New Roman" w:hAnsi="Times New Roman"/>
          <w:sz w:val="24"/>
          <w:szCs w:val="24"/>
        </w:rPr>
        <w:t>, London: NAO.</w:t>
      </w:r>
    </w:p>
    <w:p w:rsidR="00075DBE" w:rsidRDefault="00075DBE">
      <w:pPr>
        <w:pStyle w:val="FootnoteText"/>
        <w:spacing w:before="240" w:after="100" w:afterAutospacing="1" w:line="480" w:lineRule="auto"/>
        <w:rPr>
          <w:rFonts w:ascii="Times New Roman" w:hAnsi="Times New Roman"/>
          <w:sz w:val="24"/>
          <w:szCs w:val="24"/>
        </w:rPr>
      </w:pPr>
      <w:r w:rsidRPr="00CF08C5">
        <w:rPr>
          <w:rFonts w:ascii="Times New Roman" w:hAnsi="Times New Roman"/>
          <w:sz w:val="24"/>
          <w:szCs w:val="24"/>
        </w:rPr>
        <w:t xml:space="preserve">NESTA </w:t>
      </w:r>
      <w:r>
        <w:rPr>
          <w:rFonts w:ascii="Times New Roman" w:hAnsi="Times New Roman"/>
          <w:sz w:val="24"/>
          <w:szCs w:val="24"/>
        </w:rPr>
        <w:t>(</w:t>
      </w:r>
      <w:r w:rsidRPr="00CF08C5">
        <w:rPr>
          <w:rFonts w:ascii="Times New Roman" w:hAnsi="Times New Roman"/>
          <w:sz w:val="24"/>
          <w:szCs w:val="24"/>
        </w:rPr>
        <w:t>2009</w:t>
      </w:r>
      <w:r>
        <w:rPr>
          <w:rFonts w:ascii="Times New Roman" w:hAnsi="Times New Roman"/>
          <w:sz w:val="24"/>
          <w:szCs w:val="24"/>
        </w:rPr>
        <w:t xml:space="preserve">), </w:t>
      </w:r>
      <w:r w:rsidRPr="00CF08C5">
        <w:rPr>
          <w:rFonts w:ascii="Times New Roman" w:hAnsi="Times New Roman"/>
          <w:i/>
          <w:sz w:val="24"/>
          <w:szCs w:val="24"/>
        </w:rPr>
        <w:t xml:space="preserve">From Funding </w:t>
      </w:r>
      <w:r w:rsidRPr="00243F4C">
        <w:rPr>
          <w:rFonts w:ascii="Times New Roman" w:hAnsi="Times New Roman"/>
          <w:i/>
          <w:sz w:val="24"/>
          <w:szCs w:val="24"/>
        </w:rPr>
        <w:t>Gaps to Thin</w:t>
      </w:r>
      <w:r w:rsidRPr="00CF08C5">
        <w:rPr>
          <w:rFonts w:ascii="Times New Roman" w:hAnsi="Times New Roman"/>
          <w:i/>
          <w:sz w:val="24"/>
          <w:szCs w:val="24"/>
        </w:rPr>
        <w:t xml:space="preserve"> Markets: UK Government Support for Early-Stage Venture Capital</w:t>
      </w:r>
      <w:r w:rsidRPr="00CF08C5">
        <w:rPr>
          <w:rFonts w:ascii="Times New Roman" w:hAnsi="Times New Roman"/>
          <w:sz w:val="24"/>
          <w:szCs w:val="24"/>
        </w:rPr>
        <w:t xml:space="preserve">, </w:t>
      </w:r>
      <w:r>
        <w:rPr>
          <w:rFonts w:ascii="Times New Roman" w:hAnsi="Times New Roman"/>
          <w:sz w:val="24"/>
          <w:szCs w:val="24"/>
        </w:rPr>
        <w:t>R</w:t>
      </w:r>
      <w:r w:rsidRPr="00CF08C5">
        <w:rPr>
          <w:rFonts w:ascii="Times New Roman" w:hAnsi="Times New Roman"/>
          <w:sz w:val="24"/>
          <w:szCs w:val="24"/>
        </w:rPr>
        <w:t xml:space="preserve">esearch </w:t>
      </w:r>
      <w:r>
        <w:rPr>
          <w:rFonts w:ascii="Times New Roman" w:hAnsi="Times New Roman"/>
          <w:sz w:val="24"/>
          <w:szCs w:val="24"/>
        </w:rPr>
        <w:t>R</w:t>
      </w:r>
      <w:r w:rsidRPr="00CF08C5">
        <w:rPr>
          <w:rFonts w:ascii="Times New Roman" w:hAnsi="Times New Roman"/>
          <w:sz w:val="24"/>
          <w:szCs w:val="24"/>
        </w:rPr>
        <w:t>eport with British Venture Capital Association (BVCA), September 2009</w:t>
      </w:r>
      <w:r>
        <w:rPr>
          <w:rFonts w:ascii="Times New Roman" w:hAnsi="Times New Roman"/>
          <w:sz w:val="24"/>
          <w:szCs w:val="24"/>
        </w:rPr>
        <w:t>, London: NESTA.</w:t>
      </w:r>
    </w:p>
    <w:p w:rsidR="00075DBE" w:rsidRDefault="00075DBE">
      <w:pPr>
        <w:tabs>
          <w:tab w:val="num" w:pos="0"/>
        </w:tabs>
        <w:spacing w:before="240" w:line="480" w:lineRule="auto"/>
        <w:rPr>
          <w:rFonts w:ascii="Times New Roman" w:hAnsi="Times New Roman"/>
          <w:sz w:val="24"/>
          <w:szCs w:val="24"/>
        </w:rPr>
      </w:pPr>
      <w:r w:rsidRPr="00CF08C5">
        <w:rPr>
          <w:rFonts w:ascii="Times New Roman" w:hAnsi="Times New Roman"/>
          <w:sz w:val="24"/>
          <w:szCs w:val="24"/>
        </w:rPr>
        <w:t>North</w:t>
      </w:r>
      <w:r>
        <w:rPr>
          <w:rFonts w:ascii="Times New Roman" w:hAnsi="Times New Roman"/>
          <w:sz w:val="24"/>
          <w:szCs w:val="24"/>
        </w:rPr>
        <w:t>,</w:t>
      </w:r>
      <w:r w:rsidRPr="00CF08C5">
        <w:rPr>
          <w:rFonts w:ascii="Times New Roman" w:hAnsi="Times New Roman"/>
          <w:sz w:val="24"/>
          <w:szCs w:val="24"/>
        </w:rPr>
        <w:t xml:space="preserve"> D</w:t>
      </w:r>
      <w:r w:rsidRPr="00243F4C">
        <w:rPr>
          <w:rFonts w:ascii="Times New Roman" w:hAnsi="Times New Roman"/>
          <w:sz w:val="24"/>
          <w:szCs w:val="24"/>
        </w:rPr>
        <w:t>., Baldock, R. and Ullah,</w:t>
      </w:r>
      <w:r>
        <w:rPr>
          <w:rFonts w:ascii="Times New Roman" w:hAnsi="Times New Roman"/>
          <w:sz w:val="24"/>
          <w:szCs w:val="24"/>
        </w:rPr>
        <w:t xml:space="preserve"> F.</w:t>
      </w:r>
      <w:r w:rsidRPr="00CF08C5">
        <w:rPr>
          <w:rFonts w:ascii="Times New Roman" w:hAnsi="Times New Roman"/>
          <w:sz w:val="24"/>
          <w:szCs w:val="24"/>
        </w:rPr>
        <w:t xml:space="preserve"> </w:t>
      </w:r>
      <w:r>
        <w:rPr>
          <w:rFonts w:ascii="Times New Roman" w:hAnsi="Times New Roman"/>
          <w:sz w:val="24"/>
          <w:szCs w:val="24"/>
        </w:rPr>
        <w:t>(</w:t>
      </w:r>
      <w:r w:rsidRPr="00CF08C5">
        <w:rPr>
          <w:rFonts w:ascii="Times New Roman" w:hAnsi="Times New Roman"/>
          <w:sz w:val="24"/>
          <w:szCs w:val="24"/>
        </w:rPr>
        <w:t>2013</w:t>
      </w:r>
      <w:r>
        <w:rPr>
          <w:rFonts w:ascii="Times New Roman" w:hAnsi="Times New Roman"/>
          <w:sz w:val="24"/>
          <w:szCs w:val="24"/>
        </w:rPr>
        <w:t>), ‘</w:t>
      </w:r>
      <w:r w:rsidRPr="00CF08C5">
        <w:rPr>
          <w:rFonts w:ascii="Times New Roman" w:hAnsi="Times New Roman"/>
          <w:sz w:val="24"/>
          <w:szCs w:val="24"/>
        </w:rPr>
        <w:t>Funding the growth of UK technology-based small firms since the financial crash: are there breakages in the finance escalator?</w:t>
      </w:r>
      <w:r>
        <w:rPr>
          <w:rFonts w:ascii="Times New Roman" w:hAnsi="Times New Roman"/>
          <w:sz w:val="24"/>
          <w:szCs w:val="24"/>
        </w:rPr>
        <w:t>’,</w:t>
      </w:r>
      <w:r w:rsidRPr="00CF08C5">
        <w:rPr>
          <w:rFonts w:ascii="Times New Roman" w:hAnsi="Times New Roman"/>
          <w:sz w:val="24"/>
          <w:szCs w:val="24"/>
        </w:rPr>
        <w:t xml:space="preserve"> </w:t>
      </w:r>
      <w:r w:rsidRPr="00CF08C5">
        <w:rPr>
          <w:rFonts w:ascii="Times New Roman" w:hAnsi="Times New Roman"/>
          <w:i/>
          <w:sz w:val="24"/>
          <w:szCs w:val="24"/>
        </w:rPr>
        <w:t>Venture Capital</w:t>
      </w:r>
      <w:r w:rsidRPr="00DE44E3">
        <w:rPr>
          <w:rFonts w:ascii="Times New Roman" w:hAnsi="Times New Roman"/>
          <w:sz w:val="24"/>
          <w:szCs w:val="24"/>
        </w:rPr>
        <w:t>,</w:t>
      </w:r>
      <w:r w:rsidRPr="00243F4C">
        <w:rPr>
          <w:rFonts w:ascii="Times New Roman" w:hAnsi="Times New Roman"/>
          <w:sz w:val="24"/>
          <w:szCs w:val="24"/>
        </w:rPr>
        <w:t xml:space="preserve"> </w:t>
      </w:r>
      <w:r w:rsidRPr="00CF08C5">
        <w:rPr>
          <w:rFonts w:ascii="Times New Roman" w:hAnsi="Times New Roman"/>
          <w:b/>
          <w:sz w:val="24"/>
          <w:szCs w:val="24"/>
        </w:rPr>
        <w:t>15</w:t>
      </w:r>
      <w:r>
        <w:rPr>
          <w:rFonts w:ascii="Times New Roman" w:hAnsi="Times New Roman"/>
          <w:b/>
          <w:sz w:val="24"/>
          <w:szCs w:val="24"/>
        </w:rPr>
        <w:t xml:space="preserve"> </w:t>
      </w:r>
      <w:r w:rsidRPr="00CF08C5">
        <w:rPr>
          <w:rFonts w:ascii="Times New Roman" w:hAnsi="Times New Roman"/>
          <w:sz w:val="24"/>
          <w:szCs w:val="24"/>
        </w:rPr>
        <w:t>(3</w:t>
      </w:r>
      <w:r>
        <w:rPr>
          <w:rFonts w:ascii="Times New Roman" w:hAnsi="Times New Roman"/>
          <w:sz w:val="24"/>
          <w:szCs w:val="24"/>
        </w:rPr>
        <w:t xml:space="preserve">): </w:t>
      </w:r>
      <w:r w:rsidRPr="00CF08C5">
        <w:rPr>
          <w:rFonts w:ascii="Times New Roman" w:hAnsi="Times New Roman"/>
          <w:sz w:val="24"/>
          <w:szCs w:val="24"/>
        </w:rPr>
        <w:t>237</w:t>
      </w:r>
      <w:r>
        <w:rPr>
          <w:rFonts w:ascii="Times New Roman" w:hAnsi="Times New Roman"/>
          <w:sz w:val="24"/>
          <w:szCs w:val="24"/>
        </w:rPr>
        <w:t>‒</w:t>
      </w:r>
      <w:r w:rsidRPr="00CF08C5">
        <w:rPr>
          <w:rFonts w:ascii="Times New Roman" w:hAnsi="Times New Roman"/>
          <w:sz w:val="24"/>
          <w:szCs w:val="24"/>
        </w:rPr>
        <w:t>260</w:t>
      </w:r>
      <w:r>
        <w:rPr>
          <w:rFonts w:ascii="Times New Roman" w:hAnsi="Times New Roman"/>
          <w:sz w:val="24"/>
          <w:szCs w:val="24"/>
        </w:rPr>
        <w:t>.</w:t>
      </w:r>
    </w:p>
    <w:p w:rsidR="00075DBE" w:rsidRPr="00243F4C" w:rsidRDefault="00075DBE">
      <w:pPr>
        <w:spacing w:before="240" w:after="0" w:line="480" w:lineRule="auto"/>
        <w:rPr>
          <w:rFonts w:ascii="Times New Roman" w:hAnsi="Times New Roman"/>
          <w:sz w:val="24"/>
          <w:szCs w:val="24"/>
        </w:rPr>
      </w:pPr>
      <w:r w:rsidRPr="00CF08C5">
        <w:rPr>
          <w:rFonts w:ascii="Times New Roman" w:hAnsi="Times New Roman"/>
          <w:sz w:val="24"/>
          <w:szCs w:val="24"/>
        </w:rPr>
        <w:t>North</w:t>
      </w:r>
      <w:r>
        <w:rPr>
          <w:rFonts w:ascii="Times New Roman" w:hAnsi="Times New Roman"/>
          <w:sz w:val="24"/>
          <w:szCs w:val="24"/>
        </w:rPr>
        <w:t>,</w:t>
      </w:r>
      <w:r w:rsidRPr="00CF08C5">
        <w:rPr>
          <w:rFonts w:ascii="Times New Roman" w:hAnsi="Times New Roman"/>
          <w:sz w:val="24"/>
          <w:szCs w:val="24"/>
        </w:rPr>
        <w:t xml:space="preserve"> D</w:t>
      </w:r>
      <w:r>
        <w:rPr>
          <w:rFonts w:ascii="Times New Roman" w:hAnsi="Times New Roman"/>
          <w:sz w:val="24"/>
          <w:szCs w:val="24"/>
        </w:rPr>
        <w:t>.</w:t>
      </w:r>
      <w:r w:rsidRPr="00CF08C5">
        <w:rPr>
          <w:rFonts w:ascii="Times New Roman" w:hAnsi="Times New Roman"/>
          <w:sz w:val="24"/>
          <w:szCs w:val="24"/>
        </w:rPr>
        <w:t xml:space="preserve">, </w:t>
      </w:r>
      <w:r w:rsidRPr="00243F4C">
        <w:rPr>
          <w:rFonts w:ascii="Times New Roman" w:hAnsi="Times New Roman"/>
          <w:sz w:val="24"/>
          <w:szCs w:val="24"/>
        </w:rPr>
        <w:t xml:space="preserve">Baldock, R., Ekanem, I. and Lewis, A. (2010), </w:t>
      </w:r>
      <w:r w:rsidRPr="00243F4C">
        <w:rPr>
          <w:rFonts w:ascii="Times New Roman" w:hAnsi="Times New Roman"/>
          <w:i/>
          <w:sz w:val="24"/>
          <w:szCs w:val="24"/>
        </w:rPr>
        <w:t>Early Assessment of the Impact of BIS Equity Fund Initiatives</w:t>
      </w:r>
      <w:r w:rsidRPr="00243F4C">
        <w:rPr>
          <w:rFonts w:ascii="Times New Roman" w:hAnsi="Times New Roman"/>
          <w:sz w:val="24"/>
          <w:szCs w:val="24"/>
        </w:rPr>
        <w:t xml:space="preserve">, CEEDR </w:t>
      </w:r>
      <w:r>
        <w:rPr>
          <w:rFonts w:ascii="Times New Roman" w:hAnsi="Times New Roman"/>
          <w:sz w:val="24"/>
          <w:szCs w:val="24"/>
        </w:rPr>
        <w:t>R</w:t>
      </w:r>
      <w:r w:rsidRPr="00243F4C">
        <w:rPr>
          <w:rFonts w:ascii="Times New Roman" w:hAnsi="Times New Roman"/>
          <w:sz w:val="24"/>
          <w:szCs w:val="24"/>
        </w:rPr>
        <w:t>eport for the Department for Business Innovation and Skills, July 2010, London: CEEDR.</w:t>
      </w:r>
    </w:p>
    <w:p w:rsidR="00075DBE" w:rsidRPr="00243F4C" w:rsidRDefault="00075DBE">
      <w:pPr>
        <w:spacing w:before="240" w:after="240" w:line="480" w:lineRule="auto"/>
        <w:ind w:right="-58"/>
        <w:rPr>
          <w:rFonts w:ascii="Times New Roman" w:hAnsi="Times New Roman"/>
          <w:sz w:val="24"/>
          <w:szCs w:val="24"/>
        </w:rPr>
      </w:pPr>
      <w:r w:rsidRPr="00243F4C">
        <w:rPr>
          <w:rFonts w:ascii="Times New Roman" w:hAnsi="Times New Roman"/>
          <w:sz w:val="24"/>
          <w:szCs w:val="24"/>
        </w:rPr>
        <w:t xml:space="preserve">Oakey, R.P. (2003), ‘Funding innovation and growth in UK new technology-based firms: some observations on contributions from the public and private sectors’, </w:t>
      </w:r>
      <w:r w:rsidRPr="00243F4C">
        <w:rPr>
          <w:rFonts w:ascii="Times New Roman" w:hAnsi="Times New Roman"/>
          <w:i/>
          <w:sz w:val="24"/>
          <w:szCs w:val="24"/>
        </w:rPr>
        <w:t>Venture Capital</w:t>
      </w:r>
      <w:r w:rsidRPr="00243F4C">
        <w:rPr>
          <w:rFonts w:ascii="Times New Roman" w:hAnsi="Times New Roman"/>
          <w:sz w:val="24"/>
          <w:szCs w:val="24"/>
        </w:rPr>
        <w:t xml:space="preserve">, </w:t>
      </w:r>
      <w:r w:rsidRPr="00243F4C">
        <w:rPr>
          <w:rFonts w:ascii="Times New Roman" w:hAnsi="Times New Roman"/>
          <w:b/>
          <w:sz w:val="24"/>
          <w:szCs w:val="24"/>
        </w:rPr>
        <w:t xml:space="preserve">5 </w:t>
      </w:r>
      <w:r w:rsidRPr="00243F4C">
        <w:rPr>
          <w:rFonts w:ascii="Times New Roman" w:hAnsi="Times New Roman"/>
          <w:sz w:val="24"/>
          <w:szCs w:val="24"/>
        </w:rPr>
        <w:t>(2): 161‒180.</w:t>
      </w:r>
    </w:p>
    <w:p w:rsidR="00075DBE" w:rsidRDefault="00075DBE">
      <w:pPr>
        <w:spacing w:before="240" w:after="0" w:line="480" w:lineRule="auto"/>
        <w:rPr>
          <w:rFonts w:ascii="Times New Roman" w:hAnsi="Times New Roman"/>
          <w:sz w:val="24"/>
          <w:szCs w:val="24"/>
        </w:rPr>
      </w:pPr>
      <w:r w:rsidRPr="00243F4C">
        <w:rPr>
          <w:rFonts w:ascii="Times New Roman" w:hAnsi="Times New Roman"/>
          <w:sz w:val="24"/>
          <w:szCs w:val="24"/>
        </w:rPr>
        <w:t>Oakey, R.P. (2007), ‘A commentary on</w:t>
      </w:r>
      <w:r w:rsidRPr="00CF08C5">
        <w:rPr>
          <w:rFonts w:ascii="Times New Roman" w:hAnsi="Times New Roman"/>
          <w:sz w:val="24"/>
          <w:szCs w:val="24"/>
        </w:rPr>
        <w:t xml:space="preserve"> gaps in funding for moderate </w:t>
      </w:r>
      <w:r>
        <w:rPr>
          <w:rFonts w:ascii="Times New Roman" w:hAnsi="Times New Roman"/>
          <w:sz w:val="24"/>
          <w:szCs w:val="24"/>
        </w:rPr>
        <w:t>“</w:t>
      </w:r>
      <w:r w:rsidRPr="00CF08C5">
        <w:rPr>
          <w:rFonts w:ascii="Times New Roman" w:hAnsi="Times New Roman"/>
          <w:sz w:val="24"/>
          <w:szCs w:val="24"/>
        </w:rPr>
        <w:t>non-stellar</w:t>
      </w:r>
      <w:r>
        <w:rPr>
          <w:rFonts w:ascii="Times New Roman" w:hAnsi="Times New Roman"/>
          <w:sz w:val="24"/>
          <w:szCs w:val="24"/>
        </w:rPr>
        <w:t>”</w:t>
      </w:r>
      <w:r w:rsidRPr="00CF08C5">
        <w:rPr>
          <w:rFonts w:ascii="Times New Roman" w:hAnsi="Times New Roman"/>
          <w:sz w:val="24"/>
          <w:szCs w:val="24"/>
        </w:rPr>
        <w:t xml:space="preserve"> growth small businesses in the United Kingdom</w:t>
      </w:r>
      <w:r>
        <w:rPr>
          <w:rFonts w:ascii="Times New Roman" w:hAnsi="Times New Roman"/>
          <w:sz w:val="24"/>
          <w:szCs w:val="24"/>
        </w:rPr>
        <w:t>’,</w:t>
      </w:r>
      <w:r w:rsidRPr="00CF08C5">
        <w:rPr>
          <w:rFonts w:ascii="Times New Roman" w:hAnsi="Times New Roman"/>
          <w:sz w:val="24"/>
          <w:szCs w:val="24"/>
        </w:rPr>
        <w:t xml:space="preserve"> </w:t>
      </w:r>
      <w:r w:rsidRPr="00CF08C5">
        <w:rPr>
          <w:rFonts w:ascii="Times New Roman" w:hAnsi="Times New Roman"/>
          <w:i/>
          <w:sz w:val="24"/>
          <w:szCs w:val="24"/>
        </w:rPr>
        <w:t>Venture Capital</w:t>
      </w:r>
      <w:r w:rsidRPr="00085F52">
        <w:rPr>
          <w:rFonts w:ascii="Times New Roman" w:hAnsi="Times New Roman"/>
          <w:sz w:val="24"/>
          <w:szCs w:val="24"/>
        </w:rPr>
        <w:t>,</w:t>
      </w:r>
      <w:r w:rsidRPr="00CF08C5">
        <w:rPr>
          <w:rFonts w:ascii="Times New Roman" w:hAnsi="Times New Roman"/>
          <w:sz w:val="24"/>
          <w:szCs w:val="24"/>
        </w:rPr>
        <w:t xml:space="preserve"> </w:t>
      </w:r>
      <w:r w:rsidRPr="00CF08C5">
        <w:rPr>
          <w:rFonts w:ascii="Times New Roman" w:hAnsi="Times New Roman"/>
          <w:b/>
          <w:sz w:val="24"/>
          <w:szCs w:val="24"/>
        </w:rPr>
        <w:t>9</w:t>
      </w:r>
      <w:r>
        <w:rPr>
          <w:rFonts w:ascii="Times New Roman" w:hAnsi="Times New Roman"/>
          <w:b/>
          <w:sz w:val="24"/>
          <w:szCs w:val="24"/>
        </w:rPr>
        <w:t xml:space="preserve"> </w:t>
      </w:r>
      <w:r w:rsidRPr="00CF08C5">
        <w:rPr>
          <w:rFonts w:ascii="Times New Roman" w:hAnsi="Times New Roman"/>
          <w:sz w:val="24"/>
          <w:szCs w:val="24"/>
        </w:rPr>
        <w:t>(3</w:t>
      </w:r>
      <w:r>
        <w:rPr>
          <w:rFonts w:ascii="Times New Roman" w:hAnsi="Times New Roman"/>
          <w:sz w:val="24"/>
          <w:szCs w:val="24"/>
        </w:rPr>
        <w:t xml:space="preserve">): </w:t>
      </w:r>
      <w:r w:rsidRPr="00CF08C5">
        <w:rPr>
          <w:rFonts w:ascii="Times New Roman" w:hAnsi="Times New Roman"/>
          <w:sz w:val="24"/>
          <w:szCs w:val="24"/>
        </w:rPr>
        <w:t>223</w:t>
      </w:r>
      <w:r>
        <w:rPr>
          <w:rFonts w:ascii="Times New Roman" w:hAnsi="Times New Roman"/>
          <w:sz w:val="24"/>
          <w:szCs w:val="24"/>
        </w:rPr>
        <w:t>‒</w:t>
      </w:r>
      <w:r w:rsidRPr="00CF08C5">
        <w:rPr>
          <w:rFonts w:ascii="Times New Roman" w:hAnsi="Times New Roman"/>
          <w:sz w:val="24"/>
          <w:szCs w:val="24"/>
        </w:rPr>
        <w:t>235</w:t>
      </w:r>
      <w:r>
        <w:rPr>
          <w:rFonts w:ascii="Times New Roman" w:hAnsi="Times New Roman"/>
          <w:sz w:val="24"/>
          <w:szCs w:val="24"/>
        </w:rPr>
        <w:t>.</w:t>
      </w:r>
    </w:p>
    <w:p w:rsidR="00075DBE" w:rsidRDefault="00075DBE">
      <w:pPr>
        <w:pStyle w:val="FootnoteText"/>
        <w:spacing w:before="240" w:after="100" w:afterAutospacing="1" w:line="480" w:lineRule="auto"/>
        <w:rPr>
          <w:rFonts w:ascii="Times New Roman" w:hAnsi="Times New Roman"/>
          <w:sz w:val="24"/>
          <w:szCs w:val="24"/>
        </w:rPr>
      </w:pPr>
      <w:r w:rsidRPr="00CF08C5">
        <w:rPr>
          <w:rFonts w:ascii="Times New Roman" w:hAnsi="Times New Roman"/>
          <w:sz w:val="24"/>
          <w:szCs w:val="24"/>
        </w:rPr>
        <w:lastRenderedPageBreak/>
        <w:t>Pierrakis</w:t>
      </w:r>
      <w:r>
        <w:rPr>
          <w:rFonts w:ascii="Times New Roman" w:hAnsi="Times New Roman"/>
          <w:sz w:val="24"/>
          <w:szCs w:val="24"/>
        </w:rPr>
        <w:t>,</w:t>
      </w:r>
      <w:r w:rsidRPr="00CF08C5">
        <w:rPr>
          <w:rFonts w:ascii="Times New Roman" w:hAnsi="Times New Roman"/>
          <w:sz w:val="24"/>
          <w:szCs w:val="24"/>
        </w:rPr>
        <w:t xml:space="preserve"> Y</w:t>
      </w:r>
      <w:r>
        <w:rPr>
          <w:rFonts w:ascii="Times New Roman" w:hAnsi="Times New Roman"/>
          <w:sz w:val="24"/>
          <w:szCs w:val="24"/>
        </w:rPr>
        <w:t>. (</w:t>
      </w:r>
      <w:r w:rsidRPr="00243F4C">
        <w:rPr>
          <w:rFonts w:ascii="Times New Roman" w:hAnsi="Times New Roman"/>
          <w:sz w:val="24"/>
          <w:szCs w:val="24"/>
        </w:rPr>
        <w:t xml:space="preserve">2010), </w:t>
      </w:r>
      <w:r w:rsidRPr="00243F4C">
        <w:rPr>
          <w:rFonts w:ascii="Times New Roman" w:hAnsi="Times New Roman"/>
          <w:i/>
          <w:sz w:val="24"/>
          <w:szCs w:val="24"/>
        </w:rPr>
        <w:t>Venture Capital</w:t>
      </w:r>
      <w:r w:rsidRPr="00CF08C5">
        <w:rPr>
          <w:rFonts w:ascii="Times New Roman" w:hAnsi="Times New Roman"/>
          <w:i/>
          <w:sz w:val="24"/>
          <w:szCs w:val="24"/>
        </w:rPr>
        <w:t>: Now and After the Dotcom Crash</w:t>
      </w:r>
      <w:r w:rsidRPr="00CF08C5">
        <w:rPr>
          <w:rFonts w:ascii="Times New Roman" w:hAnsi="Times New Roman"/>
          <w:sz w:val="24"/>
          <w:szCs w:val="24"/>
        </w:rPr>
        <w:t xml:space="preserve">, NESTA </w:t>
      </w:r>
      <w:r>
        <w:rPr>
          <w:rFonts w:ascii="Times New Roman" w:hAnsi="Times New Roman"/>
          <w:sz w:val="24"/>
          <w:szCs w:val="24"/>
        </w:rPr>
        <w:t>R</w:t>
      </w:r>
      <w:r w:rsidRPr="00CF08C5">
        <w:rPr>
          <w:rFonts w:ascii="Times New Roman" w:hAnsi="Times New Roman"/>
          <w:sz w:val="24"/>
          <w:szCs w:val="24"/>
        </w:rPr>
        <w:t xml:space="preserve">esearch </w:t>
      </w:r>
      <w:r>
        <w:rPr>
          <w:rFonts w:ascii="Times New Roman" w:hAnsi="Times New Roman"/>
          <w:sz w:val="24"/>
          <w:szCs w:val="24"/>
        </w:rPr>
        <w:t>R</w:t>
      </w:r>
      <w:r w:rsidRPr="00CF08C5">
        <w:rPr>
          <w:rFonts w:ascii="Times New Roman" w:hAnsi="Times New Roman"/>
          <w:sz w:val="24"/>
          <w:szCs w:val="24"/>
        </w:rPr>
        <w:t>eport, July 2010</w:t>
      </w:r>
      <w:r>
        <w:rPr>
          <w:rFonts w:ascii="Times New Roman" w:hAnsi="Times New Roman"/>
          <w:sz w:val="24"/>
          <w:szCs w:val="24"/>
        </w:rPr>
        <w:t>, London: NESTA.</w:t>
      </w:r>
    </w:p>
    <w:p w:rsidR="00075DBE" w:rsidRPr="00243F4C" w:rsidRDefault="00075DBE">
      <w:pPr>
        <w:spacing w:before="240" w:after="100" w:afterAutospacing="1" w:line="480" w:lineRule="auto"/>
        <w:rPr>
          <w:rFonts w:ascii="Times New Roman" w:hAnsi="Times New Roman"/>
          <w:sz w:val="24"/>
          <w:szCs w:val="24"/>
        </w:rPr>
      </w:pPr>
      <w:r w:rsidRPr="00CF08C5">
        <w:rPr>
          <w:rFonts w:ascii="Times New Roman" w:hAnsi="Times New Roman"/>
          <w:sz w:val="24"/>
          <w:szCs w:val="24"/>
        </w:rPr>
        <w:t>Pierrakis</w:t>
      </w:r>
      <w:r>
        <w:rPr>
          <w:rFonts w:ascii="Times New Roman" w:hAnsi="Times New Roman"/>
          <w:sz w:val="24"/>
          <w:szCs w:val="24"/>
        </w:rPr>
        <w:t>,</w:t>
      </w:r>
      <w:r w:rsidRPr="00CF08C5">
        <w:rPr>
          <w:rFonts w:ascii="Times New Roman" w:hAnsi="Times New Roman"/>
          <w:sz w:val="24"/>
          <w:szCs w:val="24"/>
        </w:rPr>
        <w:t xml:space="preserve"> Y</w:t>
      </w:r>
      <w:r>
        <w:rPr>
          <w:rFonts w:ascii="Times New Roman" w:hAnsi="Times New Roman"/>
          <w:sz w:val="24"/>
          <w:szCs w:val="24"/>
        </w:rPr>
        <w:t xml:space="preserve">. </w:t>
      </w:r>
      <w:r w:rsidRPr="00243F4C">
        <w:rPr>
          <w:rFonts w:ascii="Times New Roman" w:hAnsi="Times New Roman"/>
          <w:sz w:val="24"/>
          <w:szCs w:val="24"/>
        </w:rPr>
        <w:t xml:space="preserve">and Mason, C.M. (2008), </w:t>
      </w:r>
      <w:r w:rsidRPr="00243F4C">
        <w:rPr>
          <w:rFonts w:ascii="Times New Roman" w:hAnsi="Times New Roman"/>
          <w:i/>
          <w:sz w:val="24"/>
          <w:szCs w:val="24"/>
        </w:rPr>
        <w:t>Shifting Sands: the Changing Nature of the Early Stage Venture Capital Market in the UK</w:t>
      </w:r>
      <w:r w:rsidRPr="00DE44E3">
        <w:rPr>
          <w:rFonts w:ascii="Times New Roman" w:hAnsi="Times New Roman"/>
          <w:sz w:val="24"/>
          <w:szCs w:val="24"/>
        </w:rPr>
        <w:t>, NESTA Research Report, September 2008, London: NESTA.</w:t>
      </w:r>
    </w:p>
    <w:p w:rsidR="00075DBE" w:rsidRPr="00243F4C" w:rsidRDefault="00075DBE">
      <w:pPr>
        <w:spacing w:before="240" w:after="0" w:line="480" w:lineRule="auto"/>
        <w:rPr>
          <w:rFonts w:ascii="Times New Roman" w:hAnsi="Times New Roman"/>
          <w:sz w:val="24"/>
          <w:szCs w:val="24"/>
        </w:rPr>
      </w:pPr>
      <w:r w:rsidRPr="00243F4C">
        <w:rPr>
          <w:rFonts w:ascii="Times New Roman" w:hAnsi="Times New Roman"/>
          <w:sz w:val="24"/>
          <w:szCs w:val="24"/>
        </w:rPr>
        <w:t xml:space="preserve">Reynolds, P.D, Hay, M., Bygrave, W.D., Camp, S.M. and Autio, E. (2000), </w:t>
      </w:r>
      <w:r w:rsidRPr="00243F4C">
        <w:rPr>
          <w:rFonts w:ascii="Times New Roman" w:hAnsi="Times New Roman"/>
          <w:i/>
          <w:sz w:val="24"/>
          <w:szCs w:val="24"/>
        </w:rPr>
        <w:t>Global Entrepreneurship Monitor 2000 Executive Report</w:t>
      </w:r>
      <w:r w:rsidRPr="00243F4C">
        <w:rPr>
          <w:rFonts w:ascii="Times New Roman" w:hAnsi="Times New Roman"/>
          <w:sz w:val="24"/>
          <w:szCs w:val="24"/>
        </w:rPr>
        <w:t>, Kauffman Centre for Entrepreneurial Leadership, Babson Park MA: Babson College.</w:t>
      </w:r>
    </w:p>
    <w:p w:rsidR="00075DBE" w:rsidRDefault="00075DBE">
      <w:pPr>
        <w:spacing w:before="240" w:after="0" w:line="480" w:lineRule="auto"/>
        <w:rPr>
          <w:rFonts w:ascii="Times New Roman" w:hAnsi="Times New Roman"/>
          <w:sz w:val="24"/>
          <w:szCs w:val="24"/>
        </w:rPr>
      </w:pPr>
      <w:r w:rsidRPr="00243F4C">
        <w:rPr>
          <w:rFonts w:ascii="Times New Roman" w:hAnsi="Times New Roman"/>
          <w:sz w:val="24"/>
          <w:szCs w:val="24"/>
        </w:rPr>
        <w:t xml:space="preserve">Rigos, S. (2011), </w:t>
      </w:r>
      <w:r w:rsidRPr="00243F4C">
        <w:rPr>
          <w:rFonts w:ascii="Times New Roman" w:hAnsi="Times New Roman"/>
          <w:i/>
          <w:sz w:val="24"/>
          <w:szCs w:val="24"/>
        </w:rPr>
        <w:t>The UK equity gap: Why</w:t>
      </w:r>
      <w:r w:rsidRPr="00CF08C5">
        <w:rPr>
          <w:rFonts w:ascii="Times New Roman" w:hAnsi="Times New Roman"/>
          <w:i/>
          <w:sz w:val="24"/>
          <w:szCs w:val="24"/>
        </w:rPr>
        <w:t xml:space="preserve"> is there no Facebook or Google in the UK?</w:t>
      </w:r>
      <w:r w:rsidRPr="00085F52">
        <w:rPr>
          <w:rFonts w:ascii="Times New Roman" w:hAnsi="Times New Roman"/>
          <w:sz w:val="24"/>
          <w:szCs w:val="24"/>
        </w:rPr>
        <w:t>,</w:t>
      </w:r>
      <w:r>
        <w:rPr>
          <w:rFonts w:ascii="Times New Roman" w:hAnsi="Times New Roman"/>
          <w:i/>
          <w:sz w:val="24"/>
          <w:szCs w:val="24"/>
        </w:rPr>
        <w:t xml:space="preserve"> </w:t>
      </w:r>
      <w:r w:rsidRPr="00AE60B4">
        <w:rPr>
          <w:rFonts w:ascii="Times New Roman" w:hAnsi="Times New Roman"/>
          <w:sz w:val="24"/>
          <w:szCs w:val="24"/>
        </w:rPr>
        <w:t>Po</w:t>
      </w:r>
      <w:r w:rsidRPr="00CF08C5">
        <w:rPr>
          <w:rFonts w:ascii="Times New Roman" w:hAnsi="Times New Roman"/>
          <w:sz w:val="24"/>
          <w:szCs w:val="24"/>
        </w:rPr>
        <w:t xml:space="preserve">licy </w:t>
      </w:r>
      <w:r>
        <w:rPr>
          <w:rFonts w:ascii="Times New Roman" w:hAnsi="Times New Roman"/>
          <w:sz w:val="24"/>
          <w:szCs w:val="24"/>
        </w:rPr>
        <w:t>P</w:t>
      </w:r>
      <w:r w:rsidRPr="00CF08C5">
        <w:rPr>
          <w:rFonts w:ascii="Times New Roman" w:hAnsi="Times New Roman"/>
          <w:sz w:val="24"/>
          <w:szCs w:val="24"/>
        </w:rPr>
        <w:t>aper for the Greater London Authority</w:t>
      </w:r>
      <w:r>
        <w:rPr>
          <w:rFonts w:ascii="Times New Roman" w:hAnsi="Times New Roman"/>
          <w:sz w:val="24"/>
          <w:szCs w:val="24"/>
        </w:rPr>
        <w:t xml:space="preserve"> (GLA), London: GLA</w:t>
      </w:r>
      <w:r w:rsidRPr="00CF08C5">
        <w:rPr>
          <w:rFonts w:ascii="Times New Roman" w:hAnsi="Times New Roman"/>
          <w:sz w:val="24"/>
          <w:szCs w:val="24"/>
        </w:rPr>
        <w:t>.</w:t>
      </w:r>
    </w:p>
    <w:p w:rsidR="00075DBE" w:rsidRPr="00243F4C" w:rsidRDefault="00075DBE">
      <w:pPr>
        <w:spacing w:before="240" w:after="0" w:line="480" w:lineRule="auto"/>
        <w:rPr>
          <w:rFonts w:ascii="Times New Roman" w:hAnsi="Times New Roman"/>
          <w:sz w:val="24"/>
          <w:szCs w:val="24"/>
        </w:rPr>
      </w:pPr>
      <w:r w:rsidRPr="00CF08C5">
        <w:rPr>
          <w:rFonts w:ascii="Times New Roman" w:hAnsi="Times New Roman"/>
          <w:sz w:val="24"/>
          <w:szCs w:val="24"/>
        </w:rPr>
        <w:t>Rowlands</w:t>
      </w:r>
      <w:r>
        <w:rPr>
          <w:rFonts w:ascii="Times New Roman" w:hAnsi="Times New Roman"/>
          <w:sz w:val="24"/>
          <w:szCs w:val="24"/>
        </w:rPr>
        <w:t>,</w:t>
      </w:r>
      <w:r w:rsidRPr="00CF08C5">
        <w:rPr>
          <w:rFonts w:ascii="Times New Roman" w:hAnsi="Times New Roman"/>
          <w:sz w:val="24"/>
          <w:szCs w:val="24"/>
        </w:rPr>
        <w:t xml:space="preserve"> C</w:t>
      </w:r>
      <w:r w:rsidRPr="00243F4C">
        <w:rPr>
          <w:rFonts w:ascii="Times New Roman" w:hAnsi="Times New Roman"/>
          <w:sz w:val="24"/>
          <w:szCs w:val="24"/>
        </w:rPr>
        <w:t xml:space="preserve">. (2009), </w:t>
      </w:r>
      <w:r w:rsidRPr="00243F4C">
        <w:rPr>
          <w:rFonts w:ascii="Times New Roman" w:hAnsi="Times New Roman"/>
          <w:i/>
          <w:sz w:val="24"/>
          <w:szCs w:val="24"/>
        </w:rPr>
        <w:t>The Provision of Growth Capital to Small and Medium Sized Enterprises</w:t>
      </w:r>
      <w:r w:rsidRPr="00243F4C">
        <w:rPr>
          <w:rFonts w:ascii="Times New Roman" w:hAnsi="Times New Roman"/>
          <w:sz w:val="24"/>
          <w:szCs w:val="24"/>
        </w:rPr>
        <w:t>, Report for the Department for Business, Innovation and Skills, London: BIS.</w:t>
      </w:r>
    </w:p>
    <w:p w:rsidR="00075DBE" w:rsidRPr="00243F4C" w:rsidRDefault="00075DBE">
      <w:pPr>
        <w:spacing w:before="240" w:after="240" w:line="480" w:lineRule="auto"/>
        <w:ind w:right="-58"/>
        <w:rPr>
          <w:rFonts w:ascii="Times New Roman" w:hAnsi="Times New Roman"/>
          <w:sz w:val="24"/>
          <w:szCs w:val="24"/>
        </w:rPr>
      </w:pPr>
      <w:r w:rsidRPr="00243F4C">
        <w:rPr>
          <w:rFonts w:ascii="Times New Roman" w:hAnsi="Times New Roman"/>
          <w:sz w:val="24"/>
          <w:szCs w:val="24"/>
        </w:rPr>
        <w:t xml:space="preserve">Siegel, D.S, Westhead, P. and Wright, M. (2003), ‘Science parks and the performance of new technology-based firms: a review of recent UK evidence and an agenda for future research’, </w:t>
      </w:r>
      <w:r w:rsidRPr="00243F4C">
        <w:rPr>
          <w:rFonts w:ascii="Times New Roman" w:hAnsi="Times New Roman"/>
          <w:i/>
          <w:sz w:val="24"/>
          <w:szCs w:val="24"/>
        </w:rPr>
        <w:t>Small Business Economics</w:t>
      </w:r>
      <w:r w:rsidRPr="00DE44E3">
        <w:rPr>
          <w:rFonts w:ascii="Times New Roman" w:hAnsi="Times New Roman"/>
          <w:sz w:val="24"/>
          <w:szCs w:val="24"/>
        </w:rPr>
        <w:t>,</w:t>
      </w:r>
      <w:r w:rsidRPr="00243F4C">
        <w:rPr>
          <w:rFonts w:ascii="Times New Roman" w:hAnsi="Times New Roman"/>
          <w:b/>
          <w:sz w:val="24"/>
          <w:szCs w:val="24"/>
        </w:rPr>
        <w:t xml:space="preserve"> 20</w:t>
      </w:r>
      <w:r w:rsidRPr="00243F4C">
        <w:rPr>
          <w:rFonts w:ascii="Times New Roman" w:hAnsi="Times New Roman"/>
          <w:sz w:val="24"/>
          <w:szCs w:val="24"/>
        </w:rPr>
        <w:t xml:space="preserve"> (2): 177‒184.</w:t>
      </w:r>
    </w:p>
    <w:p w:rsidR="00075DBE" w:rsidRDefault="00075DBE">
      <w:pPr>
        <w:spacing w:before="240" w:after="100" w:afterAutospacing="1" w:line="480" w:lineRule="auto"/>
        <w:rPr>
          <w:rFonts w:ascii="Times New Roman" w:hAnsi="Times New Roman"/>
          <w:sz w:val="24"/>
          <w:szCs w:val="24"/>
        </w:rPr>
      </w:pPr>
      <w:r w:rsidRPr="00243F4C">
        <w:rPr>
          <w:rFonts w:ascii="Times New Roman" w:hAnsi="Times New Roman"/>
          <w:sz w:val="24"/>
          <w:szCs w:val="24"/>
        </w:rPr>
        <w:t>SQW Consulting (2009),</w:t>
      </w:r>
      <w:r>
        <w:rPr>
          <w:rFonts w:ascii="Times New Roman" w:hAnsi="Times New Roman"/>
          <w:sz w:val="24"/>
          <w:szCs w:val="24"/>
        </w:rPr>
        <w:t xml:space="preserve"> </w:t>
      </w:r>
      <w:r w:rsidRPr="00C70F5E">
        <w:rPr>
          <w:rFonts w:ascii="Times New Roman" w:hAnsi="Times New Roman"/>
          <w:i/>
          <w:sz w:val="24"/>
          <w:szCs w:val="24"/>
        </w:rPr>
        <w:t>The Supply of Equity Finance to SMEs: Revisiting the Equity Gap</w:t>
      </w:r>
      <w:r w:rsidRPr="00C70F5E">
        <w:rPr>
          <w:rFonts w:ascii="Times New Roman" w:hAnsi="Times New Roman"/>
          <w:sz w:val="24"/>
          <w:szCs w:val="24"/>
        </w:rPr>
        <w:t xml:space="preserve">, </w:t>
      </w:r>
      <w:r>
        <w:rPr>
          <w:rFonts w:ascii="Times New Roman" w:hAnsi="Times New Roman"/>
          <w:sz w:val="24"/>
          <w:szCs w:val="24"/>
        </w:rPr>
        <w:t>R</w:t>
      </w:r>
      <w:r w:rsidRPr="00C70F5E">
        <w:rPr>
          <w:rFonts w:ascii="Times New Roman" w:hAnsi="Times New Roman"/>
          <w:sz w:val="24"/>
          <w:szCs w:val="24"/>
        </w:rPr>
        <w:t>eport</w:t>
      </w:r>
      <w:r w:rsidRPr="00EB45B7">
        <w:rPr>
          <w:rFonts w:ascii="Times New Roman" w:hAnsi="Times New Roman"/>
          <w:sz w:val="24"/>
          <w:szCs w:val="24"/>
        </w:rPr>
        <w:t xml:space="preserve"> to the Department for Business Innovation and Skills</w:t>
      </w:r>
      <w:r>
        <w:rPr>
          <w:rFonts w:ascii="Times New Roman" w:hAnsi="Times New Roman"/>
          <w:sz w:val="24"/>
          <w:szCs w:val="24"/>
        </w:rPr>
        <w:t>, Cambridge: SQW Consulting</w:t>
      </w:r>
      <w:r w:rsidRPr="00EB45B7">
        <w:rPr>
          <w:rFonts w:ascii="Times New Roman" w:hAnsi="Times New Roman"/>
          <w:sz w:val="24"/>
          <w:szCs w:val="24"/>
        </w:rPr>
        <w:t>.</w:t>
      </w:r>
    </w:p>
    <w:p w:rsidR="00075DBE" w:rsidRDefault="00075DBE">
      <w:pPr>
        <w:spacing w:before="240" w:after="100" w:afterAutospacing="1" w:line="480" w:lineRule="auto"/>
        <w:rPr>
          <w:rFonts w:ascii="Times New Roman" w:hAnsi="Times New Roman"/>
          <w:sz w:val="24"/>
          <w:szCs w:val="24"/>
        </w:rPr>
      </w:pPr>
      <w:r w:rsidRPr="00CF08C5">
        <w:rPr>
          <w:rFonts w:ascii="Times New Roman" w:hAnsi="Times New Roman"/>
          <w:sz w:val="24"/>
          <w:szCs w:val="24"/>
        </w:rPr>
        <w:t>Technopolis</w:t>
      </w:r>
      <w:r>
        <w:rPr>
          <w:rFonts w:ascii="Times New Roman" w:hAnsi="Times New Roman"/>
          <w:sz w:val="24"/>
          <w:szCs w:val="24"/>
        </w:rPr>
        <w:t xml:space="preserve"> (</w:t>
      </w:r>
      <w:r w:rsidRPr="00243F4C">
        <w:rPr>
          <w:rFonts w:ascii="Times New Roman" w:hAnsi="Times New Roman"/>
          <w:sz w:val="24"/>
          <w:szCs w:val="24"/>
        </w:rPr>
        <w:t xml:space="preserve">2011), </w:t>
      </w:r>
      <w:r w:rsidRPr="00243F4C">
        <w:rPr>
          <w:rFonts w:ascii="Times New Roman" w:hAnsi="Times New Roman"/>
          <w:i/>
          <w:sz w:val="24"/>
          <w:szCs w:val="24"/>
        </w:rPr>
        <w:t>The Role of Different</w:t>
      </w:r>
      <w:r w:rsidRPr="00CF08C5">
        <w:rPr>
          <w:rFonts w:ascii="Times New Roman" w:hAnsi="Times New Roman"/>
          <w:i/>
          <w:sz w:val="24"/>
          <w:szCs w:val="24"/>
        </w:rPr>
        <w:t xml:space="preserve"> Funding Models in Stimulating the Creation of Innovative New Companies: What is the most appropriate model for Europe?</w:t>
      </w:r>
      <w:r w:rsidRPr="00085F52">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F</w:t>
      </w:r>
      <w:r w:rsidRPr="00CF08C5">
        <w:rPr>
          <w:rFonts w:ascii="Times New Roman" w:hAnsi="Times New Roman"/>
          <w:sz w:val="24"/>
          <w:szCs w:val="24"/>
        </w:rPr>
        <w:t xml:space="preserve">inal </w:t>
      </w:r>
      <w:r>
        <w:rPr>
          <w:rFonts w:ascii="Times New Roman" w:hAnsi="Times New Roman"/>
          <w:sz w:val="24"/>
          <w:szCs w:val="24"/>
        </w:rPr>
        <w:t>R</w:t>
      </w:r>
      <w:r w:rsidRPr="00CF08C5">
        <w:rPr>
          <w:rFonts w:ascii="Times New Roman" w:hAnsi="Times New Roman"/>
          <w:sz w:val="24"/>
          <w:szCs w:val="24"/>
        </w:rPr>
        <w:t>eport to the European Research Area Board, October 2011</w:t>
      </w:r>
      <w:r>
        <w:rPr>
          <w:rFonts w:ascii="Times New Roman" w:hAnsi="Times New Roman"/>
          <w:sz w:val="24"/>
          <w:szCs w:val="24"/>
        </w:rPr>
        <w:t>, Brussels / Brighton: Technopolis Group.</w:t>
      </w:r>
    </w:p>
    <w:p w:rsidR="00075DBE" w:rsidRPr="00197975" w:rsidRDefault="00075DBE" w:rsidP="006A2572">
      <w:pPr>
        <w:spacing w:after="0"/>
        <w:rPr>
          <w:rFonts w:ascii="Times New Roman" w:hAnsi="Times New Roman"/>
          <w:sz w:val="24"/>
          <w:szCs w:val="24"/>
        </w:rPr>
      </w:pPr>
    </w:p>
    <w:p w:rsidR="00075DBE" w:rsidRPr="00412484" w:rsidRDefault="00075DBE" w:rsidP="006A2572">
      <w:pPr>
        <w:spacing w:after="0"/>
        <w:rPr>
          <w:rFonts w:ascii="Arial" w:hAnsi="Arial" w:cs="Arial"/>
          <w:sz w:val="20"/>
          <w:szCs w:val="20"/>
        </w:rPr>
      </w:pPr>
    </w:p>
    <w:p w:rsidR="00075DBE" w:rsidRDefault="00075DBE" w:rsidP="006A2572">
      <w:pPr>
        <w:spacing w:after="0"/>
        <w:rPr>
          <w:rFonts w:ascii="Arial" w:hAnsi="Arial" w:cs="Arial"/>
          <w:sz w:val="20"/>
          <w:szCs w:val="20"/>
        </w:rPr>
      </w:pPr>
    </w:p>
    <w:p w:rsidR="00075DBE" w:rsidRDefault="00075DBE" w:rsidP="001F1218">
      <w:pPr>
        <w:pStyle w:val="Tableheading"/>
        <w:rPr>
          <w:sz w:val="20"/>
        </w:rPr>
      </w:pPr>
      <w:r>
        <w:rPr>
          <w:rFonts w:cs="Arial"/>
          <w:sz w:val="20"/>
        </w:rPr>
        <w:br w:type="page"/>
      </w:r>
    </w:p>
    <w:p w:rsidR="00075DBE" w:rsidRDefault="004F659A" w:rsidP="001F1218">
      <w:pPr>
        <w:pStyle w:val="Tableheading"/>
        <w:rPr>
          <w:sz w:val="20"/>
        </w:rPr>
      </w:pPr>
      <w:r>
        <w:rPr>
          <w:noProof/>
          <w:lang w:eastAsia="zh-CN"/>
        </w:rPr>
        <w:drawing>
          <wp:inline distT="0" distB="0" distL="0" distR="0">
            <wp:extent cx="4872355" cy="2661285"/>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2355" cy="2661285"/>
                    </a:xfrm>
                    <a:prstGeom prst="rect">
                      <a:avLst/>
                    </a:prstGeom>
                    <a:noFill/>
                    <a:ln>
                      <a:noFill/>
                    </a:ln>
                  </pic:spPr>
                </pic:pic>
              </a:graphicData>
            </a:graphic>
          </wp:inline>
        </w:drawing>
      </w:r>
    </w:p>
    <w:p w:rsidR="00075DBE" w:rsidRDefault="00075DBE" w:rsidP="001F1218">
      <w:pPr>
        <w:spacing w:after="0"/>
        <w:rPr>
          <w:sz w:val="18"/>
          <w:szCs w:val="18"/>
        </w:rPr>
      </w:pPr>
      <w:r w:rsidRPr="00DE44E3">
        <w:rPr>
          <w:i/>
          <w:sz w:val="18"/>
          <w:szCs w:val="18"/>
        </w:rPr>
        <w:t>Source</w:t>
      </w:r>
      <w:r w:rsidRPr="00914A48">
        <w:rPr>
          <w:sz w:val="18"/>
          <w:szCs w:val="18"/>
        </w:rPr>
        <w:t>: BVCA</w:t>
      </w:r>
      <w:r>
        <w:rPr>
          <w:sz w:val="18"/>
          <w:szCs w:val="18"/>
        </w:rPr>
        <w:t xml:space="preserve"> (2013).</w:t>
      </w:r>
    </w:p>
    <w:p w:rsidR="00075DBE" w:rsidRDefault="00075DBE" w:rsidP="0010551A">
      <w:pPr>
        <w:rPr>
          <w:rFonts w:ascii="Arial" w:hAnsi="Arial" w:cs="Arial"/>
          <w:sz w:val="20"/>
          <w:szCs w:val="20"/>
        </w:rPr>
      </w:pPr>
    </w:p>
    <w:p w:rsidR="00075DBE" w:rsidRPr="00DE44E3" w:rsidRDefault="00075DBE" w:rsidP="0010551A">
      <w:pPr>
        <w:rPr>
          <w:rFonts w:ascii="Arial" w:hAnsi="Arial" w:cs="Arial"/>
          <w:i/>
          <w:sz w:val="20"/>
          <w:szCs w:val="20"/>
        </w:rPr>
      </w:pPr>
      <w:r w:rsidRPr="00DE44E3">
        <w:rPr>
          <w:i/>
          <w:sz w:val="20"/>
        </w:rPr>
        <w:t>&lt;cap&gt;Figure 8.1 Value of UK VC (£m) funded per year by BVCA members</w:t>
      </w:r>
    </w:p>
    <w:p w:rsidR="00075DBE" w:rsidRPr="00FD66F7" w:rsidRDefault="00075DBE" w:rsidP="00900F7F">
      <w:pPr>
        <w:pStyle w:val="FootnoteText"/>
        <w:tabs>
          <w:tab w:val="left" w:pos="1800"/>
        </w:tabs>
        <w:ind w:left="1440"/>
        <w:rPr>
          <w:sz w:val="16"/>
          <w:szCs w:val="16"/>
        </w:rPr>
      </w:pPr>
      <w:r>
        <w:rPr>
          <w:rFonts w:cs="Arial"/>
        </w:rPr>
        <w:br w:type="page"/>
      </w:r>
      <w:r>
        <w:rPr>
          <w:rFonts w:cs="Arial"/>
          <w:bCs/>
          <w:sz w:val="16"/>
          <w:szCs w:val="16"/>
        </w:rPr>
        <w:lastRenderedPageBreak/>
        <w:t xml:space="preserve"> </w:t>
      </w:r>
    </w:p>
    <w:p w:rsidR="00075DBE" w:rsidRPr="00DE44E3" w:rsidRDefault="00075DBE" w:rsidP="00D63AD3">
      <w:pPr>
        <w:spacing w:after="100" w:afterAutospacing="1" w:line="240" w:lineRule="auto"/>
        <w:rPr>
          <w:rFonts w:ascii="Arial" w:hAnsi="Arial" w:cs="Arial"/>
          <w:i/>
          <w:sz w:val="20"/>
          <w:szCs w:val="20"/>
        </w:rPr>
      </w:pPr>
      <w:r>
        <w:rPr>
          <w:rFonts w:ascii="Arial" w:hAnsi="Arial" w:cs="Arial"/>
          <w:i/>
          <w:sz w:val="20"/>
          <w:szCs w:val="20"/>
        </w:rPr>
        <w:t>&lt;cap&gt;</w:t>
      </w:r>
      <w:r w:rsidRPr="00DE44E3">
        <w:rPr>
          <w:rFonts w:ascii="Arial" w:hAnsi="Arial" w:cs="Arial"/>
          <w:i/>
          <w:sz w:val="20"/>
          <w:szCs w:val="20"/>
        </w:rPr>
        <w:t xml:space="preserve">Table 8.1 Business </w:t>
      </w:r>
      <w:r w:rsidRPr="00243F4C">
        <w:rPr>
          <w:rFonts w:ascii="Arial" w:hAnsi="Arial" w:cs="Arial"/>
          <w:i/>
          <w:sz w:val="20"/>
          <w:szCs w:val="20"/>
        </w:rPr>
        <w:t>interviews by venture capital fu</w:t>
      </w:r>
      <w:r w:rsidRPr="00DE44E3">
        <w:rPr>
          <w:rFonts w:ascii="Arial" w:hAnsi="Arial" w:cs="Arial"/>
          <w:i/>
          <w:sz w:val="20"/>
          <w:szCs w:val="20"/>
        </w:rPr>
        <w:t>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3060"/>
        <w:gridCol w:w="3960"/>
      </w:tblGrid>
      <w:tr w:rsidR="00075DBE" w:rsidRPr="007A35C8" w:rsidTr="00900F7F">
        <w:tc>
          <w:tcPr>
            <w:tcW w:w="2808" w:type="dxa"/>
            <w:tcBorders>
              <w:top w:val="single" w:sz="4" w:space="0" w:color="auto"/>
              <w:left w:val="single" w:sz="4" w:space="0" w:color="auto"/>
              <w:bottom w:val="single" w:sz="4" w:space="0" w:color="auto"/>
              <w:right w:val="single" w:sz="4" w:space="0" w:color="auto"/>
            </w:tcBorders>
            <w:vAlign w:val="center"/>
          </w:tcPr>
          <w:p w:rsidR="00075DBE" w:rsidRPr="007A35C8" w:rsidRDefault="00075DBE" w:rsidP="00900F7F">
            <w:pPr>
              <w:spacing w:after="100" w:afterAutospacing="1" w:line="240" w:lineRule="auto"/>
              <w:jc w:val="center"/>
              <w:rPr>
                <w:rFonts w:ascii="Arial" w:hAnsi="Arial" w:cs="Arial"/>
                <w:b/>
                <w:sz w:val="20"/>
                <w:szCs w:val="20"/>
              </w:rPr>
            </w:pPr>
            <w:r>
              <w:rPr>
                <w:rFonts w:ascii="Arial" w:hAnsi="Arial" w:cs="Arial"/>
                <w:b/>
                <w:sz w:val="20"/>
                <w:szCs w:val="20"/>
              </w:rPr>
              <w:t>Programme</w:t>
            </w:r>
          </w:p>
        </w:tc>
        <w:tc>
          <w:tcPr>
            <w:tcW w:w="3060" w:type="dxa"/>
            <w:tcBorders>
              <w:top w:val="single" w:sz="4" w:space="0" w:color="auto"/>
              <w:left w:val="single" w:sz="4" w:space="0" w:color="auto"/>
              <w:bottom w:val="single" w:sz="4" w:space="0" w:color="auto"/>
              <w:right w:val="single" w:sz="4" w:space="0" w:color="auto"/>
            </w:tcBorders>
            <w:vAlign w:val="center"/>
          </w:tcPr>
          <w:p w:rsidR="00075DBE" w:rsidRPr="007A35C8" w:rsidRDefault="00075DBE" w:rsidP="00900F7F">
            <w:pPr>
              <w:spacing w:after="100" w:afterAutospacing="1" w:line="240" w:lineRule="auto"/>
              <w:jc w:val="center"/>
              <w:rPr>
                <w:rFonts w:ascii="Arial" w:hAnsi="Arial" w:cs="Arial"/>
                <w:b/>
                <w:sz w:val="20"/>
                <w:szCs w:val="20"/>
              </w:rPr>
            </w:pPr>
            <w:r>
              <w:rPr>
                <w:rFonts w:ascii="Arial" w:hAnsi="Arial" w:cs="Arial"/>
                <w:b/>
                <w:sz w:val="20"/>
                <w:szCs w:val="20"/>
              </w:rPr>
              <w:t>Successful r</w:t>
            </w:r>
            <w:r w:rsidRPr="007A35C8">
              <w:rPr>
                <w:rFonts w:ascii="Arial" w:hAnsi="Arial" w:cs="Arial"/>
                <w:b/>
                <w:sz w:val="20"/>
                <w:szCs w:val="20"/>
              </w:rPr>
              <w:t>ecipients</w:t>
            </w:r>
          </w:p>
        </w:tc>
        <w:tc>
          <w:tcPr>
            <w:tcW w:w="3960" w:type="dxa"/>
            <w:tcBorders>
              <w:top w:val="single" w:sz="4" w:space="0" w:color="auto"/>
              <w:left w:val="single" w:sz="4" w:space="0" w:color="auto"/>
              <w:bottom w:val="single" w:sz="4" w:space="0" w:color="auto"/>
              <w:right w:val="single" w:sz="4" w:space="0" w:color="auto"/>
            </w:tcBorders>
            <w:vAlign w:val="center"/>
          </w:tcPr>
          <w:p w:rsidR="00075DBE" w:rsidRPr="007A35C8" w:rsidRDefault="00075DBE" w:rsidP="00900F7F">
            <w:pPr>
              <w:spacing w:after="100" w:afterAutospacing="1" w:line="240" w:lineRule="auto"/>
              <w:jc w:val="center"/>
              <w:rPr>
                <w:rFonts w:ascii="Arial" w:hAnsi="Arial" w:cs="Arial"/>
                <w:b/>
                <w:sz w:val="20"/>
                <w:szCs w:val="20"/>
              </w:rPr>
            </w:pPr>
            <w:r>
              <w:rPr>
                <w:rFonts w:ascii="Arial" w:hAnsi="Arial" w:cs="Arial"/>
                <w:b/>
                <w:sz w:val="20"/>
                <w:szCs w:val="20"/>
              </w:rPr>
              <w:t>% of business investments*</w:t>
            </w:r>
          </w:p>
        </w:tc>
      </w:tr>
      <w:tr w:rsidR="00075DBE" w:rsidRPr="007A35C8" w:rsidTr="00900F7F">
        <w:tc>
          <w:tcPr>
            <w:tcW w:w="2808" w:type="dxa"/>
            <w:tcBorders>
              <w:top w:val="single" w:sz="4" w:space="0" w:color="auto"/>
            </w:tcBorders>
            <w:vAlign w:val="center"/>
          </w:tcPr>
          <w:p w:rsidR="00075DBE" w:rsidRPr="007A35C8" w:rsidRDefault="00075DBE" w:rsidP="00900F7F">
            <w:pPr>
              <w:spacing w:after="100" w:afterAutospacing="1" w:line="240" w:lineRule="auto"/>
              <w:rPr>
                <w:rFonts w:ascii="Arial" w:hAnsi="Arial" w:cs="Arial"/>
                <w:sz w:val="20"/>
                <w:szCs w:val="20"/>
              </w:rPr>
            </w:pPr>
            <w:r w:rsidRPr="007A35C8">
              <w:rPr>
                <w:rFonts w:ascii="Arial" w:hAnsi="Arial" w:cs="Arial"/>
                <w:sz w:val="20"/>
                <w:szCs w:val="20"/>
              </w:rPr>
              <w:t>ECF</w:t>
            </w:r>
          </w:p>
        </w:tc>
        <w:tc>
          <w:tcPr>
            <w:tcW w:w="3060" w:type="dxa"/>
            <w:tcBorders>
              <w:top w:val="single" w:sz="4" w:space="0" w:color="auto"/>
            </w:tcBorders>
            <w:vAlign w:val="center"/>
          </w:tcPr>
          <w:p w:rsidR="00075DBE" w:rsidRPr="007A35C8" w:rsidRDefault="00075DBE" w:rsidP="00900F7F">
            <w:pPr>
              <w:spacing w:after="100" w:afterAutospacing="1" w:line="240" w:lineRule="auto"/>
              <w:jc w:val="center"/>
              <w:rPr>
                <w:rFonts w:ascii="Arial" w:hAnsi="Arial" w:cs="Arial"/>
                <w:sz w:val="20"/>
                <w:szCs w:val="20"/>
              </w:rPr>
            </w:pPr>
            <w:r w:rsidRPr="007A35C8">
              <w:rPr>
                <w:rFonts w:ascii="Arial" w:hAnsi="Arial" w:cs="Arial"/>
                <w:sz w:val="20"/>
                <w:szCs w:val="20"/>
              </w:rPr>
              <w:t>12</w:t>
            </w:r>
          </w:p>
        </w:tc>
        <w:tc>
          <w:tcPr>
            <w:tcW w:w="3960" w:type="dxa"/>
            <w:tcBorders>
              <w:top w:val="single" w:sz="4" w:space="0" w:color="auto"/>
            </w:tcBorders>
            <w:vAlign w:val="center"/>
          </w:tcPr>
          <w:p w:rsidR="00075DBE" w:rsidRPr="007A35C8" w:rsidRDefault="00075DBE" w:rsidP="00900F7F">
            <w:pPr>
              <w:pStyle w:val="ListParagraph"/>
              <w:spacing w:after="100" w:afterAutospacing="1" w:line="240" w:lineRule="auto"/>
              <w:ind w:left="0"/>
              <w:jc w:val="center"/>
              <w:rPr>
                <w:rFonts w:ascii="Arial" w:hAnsi="Arial" w:cs="Arial"/>
                <w:sz w:val="20"/>
                <w:szCs w:val="20"/>
              </w:rPr>
            </w:pPr>
            <w:r>
              <w:rPr>
                <w:rFonts w:ascii="Arial" w:hAnsi="Arial" w:cs="Arial"/>
                <w:sz w:val="20"/>
                <w:szCs w:val="20"/>
              </w:rPr>
              <w:t>21%</w:t>
            </w:r>
          </w:p>
        </w:tc>
      </w:tr>
      <w:tr w:rsidR="00075DBE" w:rsidRPr="007A35C8" w:rsidTr="00900F7F">
        <w:tc>
          <w:tcPr>
            <w:tcW w:w="2808" w:type="dxa"/>
            <w:vAlign w:val="center"/>
          </w:tcPr>
          <w:p w:rsidR="00075DBE" w:rsidRPr="007A35C8" w:rsidRDefault="00075DBE" w:rsidP="00900F7F">
            <w:pPr>
              <w:spacing w:after="100" w:afterAutospacing="1" w:line="240" w:lineRule="auto"/>
              <w:rPr>
                <w:rFonts w:ascii="Arial" w:hAnsi="Arial" w:cs="Arial"/>
                <w:sz w:val="20"/>
                <w:szCs w:val="20"/>
              </w:rPr>
            </w:pPr>
            <w:r w:rsidRPr="007A35C8">
              <w:rPr>
                <w:rFonts w:ascii="Arial" w:hAnsi="Arial" w:cs="Arial"/>
                <w:sz w:val="20"/>
                <w:szCs w:val="20"/>
              </w:rPr>
              <w:t>Aspire</w:t>
            </w:r>
          </w:p>
        </w:tc>
        <w:tc>
          <w:tcPr>
            <w:tcW w:w="3060" w:type="dxa"/>
            <w:vAlign w:val="center"/>
          </w:tcPr>
          <w:p w:rsidR="00075DBE" w:rsidRPr="007A35C8" w:rsidRDefault="00075DBE" w:rsidP="00900F7F">
            <w:pPr>
              <w:spacing w:after="100" w:afterAutospacing="1" w:line="240" w:lineRule="auto"/>
              <w:jc w:val="center"/>
              <w:rPr>
                <w:rFonts w:ascii="Arial" w:hAnsi="Arial" w:cs="Arial"/>
                <w:sz w:val="20"/>
                <w:szCs w:val="20"/>
              </w:rPr>
            </w:pPr>
            <w:r w:rsidRPr="007A35C8">
              <w:rPr>
                <w:rFonts w:ascii="Arial" w:hAnsi="Arial" w:cs="Arial"/>
                <w:sz w:val="20"/>
                <w:szCs w:val="20"/>
              </w:rPr>
              <w:t>4</w:t>
            </w:r>
          </w:p>
        </w:tc>
        <w:tc>
          <w:tcPr>
            <w:tcW w:w="3960" w:type="dxa"/>
            <w:vAlign w:val="center"/>
          </w:tcPr>
          <w:p w:rsidR="00075DBE" w:rsidRPr="007A35C8" w:rsidRDefault="00075DBE" w:rsidP="00900F7F">
            <w:pPr>
              <w:spacing w:after="100" w:afterAutospacing="1" w:line="240" w:lineRule="auto"/>
              <w:jc w:val="center"/>
              <w:rPr>
                <w:rFonts w:ascii="Arial" w:hAnsi="Arial" w:cs="Arial"/>
                <w:sz w:val="20"/>
                <w:szCs w:val="20"/>
              </w:rPr>
            </w:pPr>
            <w:r>
              <w:rPr>
                <w:rFonts w:ascii="Arial" w:hAnsi="Arial" w:cs="Arial"/>
                <w:sz w:val="20"/>
                <w:szCs w:val="20"/>
              </w:rPr>
              <w:t>100%</w:t>
            </w:r>
          </w:p>
        </w:tc>
      </w:tr>
      <w:tr w:rsidR="00075DBE" w:rsidRPr="007A35C8" w:rsidTr="00900F7F">
        <w:tc>
          <w:tcPr>
            <w:tcW w:w="2808" w:type="dxa"/>
            <w:vAlign w:val="center"/>
          </w:tcPr>
          <w:p w:rsidR="00075DBE" w:rsidRPr="007A35C8" w:rsidRDefault="00075DBE" w:rsidP="00900F7F">
            <w:pPr>
              <w:spacing w:after="100" w:afterAutospacing="1" w:line="240" w:lineRule="auto"/>
              <w:rPr>
                <w:rFonts w:ascii="Arial" w:hAnsi="Arial" w:cs="Arial"/>
                <w:sz w:val="20"/>
                <w:szCs w:val="20"/>
              </w:rPr>
            </w:pPr>
            <w:r>
              <w:rPr>
                <w:rFonts w:ascii="Arial" w:hAnsi="Arial" w:cs="Arial"/>
                <w:sz w:val="20"/>
                <w:szCs w:val="20"/>
              </w:rPr>
              <w:t>UKIIF</w:t>
            </w:r>
          </w:p>
        </w:tc>
        <w:tc>
          <w:tcPr>
            <w:tcW w:w="3060" w:type="dxa"/>
            <w:vAlign w:val="center"/>
          </w:tcPr>
          <w:p w:rsidR="00075DBE" w:rsidRPr="007A35C8" w:rsidRDefault="00075DBE" w:rsidP="00900F7F">
            <w:pPr>
              <w:spacing w:after="100" w:afterAutospacing="1" w:line="240" w:lineRule="auto"/>
              <w:jc w:val="center"/>
              <w:rPr>
                <w:rFonts w:ascii="Arial" w:hAnsi="Arial" w:cs="Arial"/>
                <w:sz w:val="20"/>
                <w:szCs w:val="20"/>
              </w:rPr>
            </w:pPr>
            <w:r>
              <w:rPr>
                <w:rFonts w:ascii="Arial" w:hAnsi="Arial" w:cs="Arial"/>
                <w:sz w:val="20"/>
                <w:szCs w:val="20"/>
              </w:rPr>
              <w:t>16</w:t>
            </w:r>
          </w:p>
        </w:tc>
        <w:tc>
          <w:tcPr>
            <w:tcW w:w="3960" w:type="dxa"/>
            <w:vAlign w:val="center"/>
          </w:tcPr>
          <w:p w:rsidR="00075DBE" w:rsidRPr="007A35C8" w:rsidRDefault="00075DBE" w:rsidP="00900F7F">
            <w:pPr>
              <w:spacing w:after="100" w:afterAutospacing="1" w:line="240" w:lineRule="auto"/>
              <w:jc w:val="center"/>
              <w:rPr>
                <w:rFonts w:ascii="Arial" w:hAnsi="Arial" w:cs="Arial"/>
                <w:sz w:val="20"/>
                <w:szCs w:val="20"/>
              </w:rPr>
            </w:pPr>
            <w:r>
              <w:rPr>
                <w:rFonts w:ascii="Arial" w:hAnsi="Arial" w:cs="Arial"/>
                <w:sz w:val="20"/>
                <w:szCs w:val="20"/>
              </w:rPr>
              <w:t>41%</w:t>
            </w:r>
          </w:p>
        </w:tc>
      </w:tr>
      <w:tr w:rsidR="00075DBE" w:rsidRPr="007A35C8" w:rsidTr="00900F7F">
        <w:tc>
          <w:tcPr>
            <w:tcW w:w="2808" w:type="dxa"/>
            <w:vAlign w:val="center"/>
          </w:tcPr>
          <w:p w:rsidR="00075DBE" w:rsidRPr="007148FA" w:rsidRDefault="00075DBE" w:rsidP="00900F7F">
            <w:pPr>
              <w:spacing w:after="100" w:afterAutospacing="1" w:line="240" w:lineRule="auto"/>
              <w:rPr>
                <w:rFonts w:ascii="Arial" w:hAnsi="Arial" w:cs="Arial"/>
                <w:b/>
                <w:sz w:val="20"/>
                <w:szCs w:val="20"/>
              </w:rPr>
            </w:pPr>
            <w:r w:rsidRPr="007148FA">
              <w:rPr>
                <w:rFonts w:ascii="Arial" w:hAnsi="Arial" w:cs="Arial"/>
                <w:b/>
                <w:sz w:val="20"/>
                <w:szCs w:val="20"/>
              </w:rPr>
              <w:t>Total</w:t>
            </w:r>
          </w:p>
        </w:tc>
        <w:tc>
          <w:tcPr>
            <w:tcW w:w="3060" w:type="dxa"/>
            <w:vAlign w:val="center"/>
          </w:tcPr>
          <w:p w:rsidR="00075DBE" w:rsidRPr="007148FA" w:rsidRDefault="00075DBE" w:rsidP="00900F7F">
            <w:pPr>
              <w:spacing w:after="100" w:afterAutospacing="1" w:line="240" w:lineRule="auto"/>
              <w:jc w:val="center"/>
              <w:rPr>
                <w:rFonts w:ascii="Arial" w:hAnsi="Arial" w:cs="Arial"/>
                <w:b/>
                <w:sz w:val="20"/>
                <w:szCs w:val="20"/>
              </w:rPr>
            </w:pPr>
            <w:r>
              <w:rPr>
                <w:rFonts w:ascii="Arial" w:hAnsi="Arial" w:cs="Arial"/>
                <w:b/>
                <w:sz w:val="20"/>
                <w:szCs w:val="20"/>
              </w:rPr>
              <w:t>3</w:t>
            </w:r>
            <w:r w:rsidRPr="007148FA">
              <w:rPr>
                <w:rFonts w:ascii="Arial" w:hAnsi="Arial" w:cs="Arial"/>
                <w:b/>
                <w:sz w:val="20"/>
                <w:szCs w:val="20"/>
              </w:rPr>
              <w:t>2</w:t>
            </w:r>
          </w:p>
        </w:tc>
        <w:tc>
          <w:tcPr>
            <w:tcW w:w="3960" w:type="dxa"/>
            <w:vAlign w:val="center"/>
          </w:tcPr>
          <w:p w:rsidR="00075DBE" w:rsidRPr="007148FA" w:rsidRDefault="00075DBE" w:rsidP="00900F7F">
            <w:pPr>
              <w:spacing w:after="100" w:afterAutospacing="1" w:line="240" w:lineRule="auto"/>
              <w:jc w:val="center"/>
              <w:rPr>
                <w:rFonts w:ascii="Arial" w:hAnsi="Arial" w:cs="Arial"/>
                <w:b/>
                <w:sz w:val="20"/>
                <w:szCs w:val="20"/>
              </w:rPr>
            </w:pPr>
            <w:r>
              <w:rPr>
                <w:rFonts w:ascii="Arial" w:hAnsi="Arial" w:cs="Arial"/>
                <w:b/>
                <w:sz w:val="20"/>
                <w:szCs w:val="20"/>
              </w:rPr>
              <w:t>32%</w:t>
            </w:r>
          </w:p>
        </w:tc>
      </w:tr>
    </w:tbl>
    <w:p w:rsidR="00075DBE" w:rsidRDefault="00075DBE" w:rsidP="00D63AD3">
      <w:pPr>
        <w:spacing w:after="0"/>
        <w:rPr>
          <w:rFonts w:ascii="Arial" w:hAnsi="Arial" w:cs="Arial"/>
          <w:sz w:val="20"/>
          <w:szCs w:val="20"/>
        </w:rPr>
      </w:pPr>
    </w:p>
    <w:p w:rsidR="00075DBE" w:rsidRDefault="00075DBE" w:rsidP="00D63AD3">
      <w:pPr>
        <w:spacing w:after="0"/>
        <w:rPr>
          <w:rFonts w:ascii="Arial" w:hAnsi="Arial" w:cs="Arial"/>
          <w:sz w:val="20"/>
          <w:szCs w:val="20"/>
        </w:rPr>
      </w:pPr>
      <w:r w:rsidRPr="00DE44E3">
        <w:rPr>
          <w:rFonts w:ascii="Arial" w:hAnsi="Arial" w:cs="Arial"/>
          <w:i/>
          <w:sz w:val="20"/>
          <w:szCs w:val="20"/>
        </w:rPr>
        <w:t>Note</w:t>
      </w:r>
      <w:r>
        <w:rPr>
          <w:rFonts w:ascii="Arial" w:hAnsi="Arial" w:cs="Arial"/>
          <w:sz w:val="20"/>
          <w:szCs w:val="20"/>
        </w:rPr>
        <w:t>: *At the time of survey.</w:t>
      </w:r>
    </w:p>
    <w:p w:rsidR="00075DBE" w:rsidRDefault="00075DBE" w:rsidP="00D63AD3">
      <w:pPr>
        <w:spacing w:after="100" w:afterAutospacing="1" w:line="240" w:lineRule="auto"/>
        <w:jc w:val="both"/>
        <w:rPr>
          <w:rFonts w:ascii="Arial" w:hAnsi="Arial" w:cs="Arial"/>
          <w:b/>
          <w:sz w:val="20"/>
          <w:szCs w:val="20"/>
        </w:rPr>
      </w:pPr>
    </w:p>
    <w:p w:rsidR="00075DBE" w:rsidRPr="00243F4C" w:rsidRDefault="00075DBE" w:rsidP="00D63AD3">
      <w:pPr>
        <w:spacing w:after="100" w:afterAutospacing="1" w:line="240" w:lineRule="auto"/>
        <w:jc w:val="both"/>
        <w:rPr>
          <w:rFonts w:ascii="Arial" w:hAnsi="Arial" w:cs="Arial"/>
          <w:b/>
          <w:sz w:val="20"/>
          <w:szCs w:val="20"/>
        </w:rPr>
      </w:pPr>
      <w:r w:rsidRPr="00DE44E3">
        <w:rPr>
          <w:rFonts w:ascii="Arial" w:hAnsi="Arial" w:cs="Arial"/>
          <w:i/>
          <w:sz w:val="20"/>
          <w:szCs w:val="20"/>
        </w:rPr>
        <w:t>&lt;cap&gt;Table 8.2 Breakdown of fund manager interviews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8"/>
        <w:gridCol w:w="4460"/>
      </w:tblGrid>
      <w:tr w:rsidR="00075DBE" w:rsidRPr="001A6B1F" w:rsidTr="00900F7F">
        <w:tc>
          <w:tcPr>
            <w:tcW w:w="5508" w:type="dxa"/>
          </w:tcPr>
          <w:p w:rsidR="00075DBE" w:rsidRPr="001A6B1F" w:rsidRDefault="00075DBE" w:rsidP="00900F7F">
            <w:pPr>
              <w:spacing w:after="100" w:afterAutospacing="1" w:line="240" w:lineRule="auto"/>
              <w:jc w:val="both"/>
              <w:rPr>
                <w:rFonts w:ascii="Arial" w:hAnsi="Arial" w:cs="Arial"/>
                <w:b/>
                <w:sz w:val="20"/>
                <w:szCs w:val="20"/>
              </w:rPr>
            </w:pPr>
            <w:r w:rsidRPr="001A6B1F">
              <w:rPr>
                <w:rFonts w:ascii="Arial" w:hAnsi="Arial" w:cs="Arial"/>
                <w:b/>
                <w:sz w:val="20"/>
                <w:szCs w:val="20"/>
              </w:rPr>
              <w:t>Fund</w:t>
            </w:r>
          </w:p>
        </w:tc>
        <w:tc>
          <w:tcPr>
            <w:tcW w:w="4460" w:type="dxa"/>
          </w:tcPr>
          <w:p w:rsidR="00075DBE" w:rsidRPr="001A6B1F" w:rsidRDefault="00075DBE" w:rsidP="00900F7F">
            <w:pPr>
              <w:spacing w:after="100" w:afterAutospacing="1" w:line="240" w:lineRule="auto"/>
              <w:jc w:val="both"/>
              <w:rPr>
                <w:rFonts w:ascii="Arial" w:hAnsi="Arial" w:cs="Arial"/>
                <w:b/>
                <w:sz w:val="20"/>
                <w:szCs w:val="20"/>
              </w:rPr>
            </w:pPr>
            <w:r w:rsidRPr="001A6B1F">
              <w:rPr>
                <w:rFonts w:ascii="Arial" w:hAnsi="Arial" w:cs="Arial"/>
                <w:b/>
                <w:sz w:val="20"/>
                <w:szCs w:val="20"/>
              </w:rPr>
              <w:t>Location</w:t>
            </w:r>
          </w:p>
        </w:tc>
      </w:tr>
      <w:tr w:rsidR="00075DBE" w:rsidRPr="001A6B1F" w:rsidTr="00900F7F">
        <w:tc>
          <w:tcPr>
            <w:tcW w:w="5508" w:type="dxa"/>
          </w:tcPr>
          <w:p w:rsidR="00075DBE" w:rsidRPr="001A6B1F" w:rsidRDefault="00075DBE" w:rsidP="00900F7F">
            <w:pPr>
              <w:spacing w:after="0" w:line="240" w:lineRule="auto"/>
              <w:jc w:val="both"/>
              <w:rPr>
                <w:rFonts w:ascii="Arial" w:hAnsi="Arial" w:cs="Arial"/>
                <w:b/>
                <w:sz w:val="20"/>
                <w:szCs w:val="20"/>
              </w:rPr>
            </w:pPr>
            <w:r w:rsidRPr="001A6B1F">
              <w:rPr>
                <w:rFonts w:ascii="Arial" w:hAnsi="Arial" w:cs="Arial"/>
                <w:b/>
                <w:sz w:val="20"/>
                <w:szCs w:val="20"/>
              </w:rPr>
              <w:t>Enterprise Capital Funds (ECFs):</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The Catapult Growth Fund (ECF)</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IQ Capital Fund</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Oxford Technology</w:t>
            </w:r>
          </w:p>
          <w:p w:rsidR="00075DBE" w:rsidRDefault="00075DBE" w:rsidP="00900F7F">
            <w:pPr>
              <w:spacing w:after="0" w:line="240" w:lineRule="auto"/>
              <w:jc w:val="both"/>
              <w:rPr>
                <w:rFonts w:ascii="Arial" w:hAnsi="Arial" w:cs="Arial"/>
                <w:sz w:val="20"/>
                <w:szCs w:val="20"/>
              </w:rPr>
            </w:pPr>
            <w:r w:rsidRPr="001A6B1F">
              <w:rPr>
                <w:rFonts w:ascii="Arial" w:hAnsi="Arial" w:cs="Arial"/>
                <w:sz w:val="20"/>
                <w:szCs w:val="20"/>
              </w:rPr>
              <w:t>Seraphim Capital Fund</w:t>
            </w:r>
          </w:p>
          <w:p w:rsidR="00075DBE" w:rsidRDefault="00075DBE" w:rsidP="00900F7F">
            <w:pPr>
              <w:spacing w:after="0" w:line="240" w:lineRule="auto"/>
              <w:jc w:val="both"/>
              <w:rPr>
                <w:rFonts w:ascii="Arial" w:hAnsi="Arial" w:cs="Arial"/>
                <w:sz w:val="20"/>
                <w:szCs w:val="20"/>
              </w:rPr>
            </w:pPr>
            <w:r>
              <w:rPr>
                <w:rFonts w:ascii="Arial" w:hAnsi="Arial" w:cs="Arial"/>
                <w:sz w:val="20"/>
                <w:szCs w:val="20"/>
              </w:rPr>
              <w:t>Sustainable Technology Partnership</w:t>
            </w:r>
          </w:p>
          <w:p w:rsidR="00075DBE" w:rsidRDefault="00075DBE" w:rsidP="00900F7F">
            <w:pPr>
              <w:spacing w:after="0" w:line="240" w:lineRule="auto"/>
              <w:jc w:val="both"/>
              <w:rPr>
                <w:rFonts w:ascii="Arial" w:hAnsi="Arial" w:cs="Arial"/>
                <w:sz w:val="20"/>
                <w:szCs w:val="20"/>
              </w:rPr>
            </w:pPr>
            <w:r>
              <w:rPr>
                <w:rFonts w:ascii="Arial" w:hAnsi="Arial" w:cs="Arial"/>
                <w:sz w:val="20"/>
                <w:szCs w:val="20"/>
              </w:rPr>
              <w:t>Amadeus and Angels Seed Fund</w:t>
            </w:r>
          </w:p>
          <w:p w:rsidR="00075DBE" w:rsidRDefault="00075DBE" w:rsidP="00900F7F">
            <w:pPr>
              <w:spacing w:after="0" w:line="240" w:lineRule="auto"/>
              <w:jc w:val="both"/>
              <w:rPr>
                <w:rFonts w:ascii="Arial" w:hAnsi="Arial" w:cs="Arial"/>
                <w:sz w:val="20"/>
                <w:szCs w:val="20"/>
              </w:rPr>
            </w:pPr>
            <w:r>
              <w:rPr>
                <w:rFonts w:ascii="Arial" w:hAnsi="Arial" w:cs="Arial"/>
                <w:sz w:val="20"/>
                <w:szCs w:val="20"/>
              </w:rPr>
              <w:t>Dawn</w:t>
            </w:r>
          </w:p>
          <w:p w:rsidR="00075DBE" w:rsidRPr="001A6B1F" w:rsidRDefault="00075DBE" w:rsidP="00900F7F">
            <w:pPr>
              <w:spacing w:after="0" w:line="240" w:lineRule="auto"/>
              <w:jc w:val="both"/>
              <w:rPr>
                <w:rFonts w:ascii="Arial" w:hAnsi="Arial" w:cs="Arial"/>
                <w:sz w:val="20"/>
                <w:szCs w:val="20"/>
              </w:rPr>
            </w:pPr>
            <w:r>
              <w:rPr>
                <w:rFonts w:ascii="Arial" w:hAnsi="Arial" w:cs="Arial"/>
                <w:sz w:val="20"/>
                <w:szCs w:val="20"/>
              </w:rPr>
              <w:t>MMC</w:t>
            </w:r>
          </w:p>
        </w:tc>
        <w:tc>
          <w:tcPr>
            <w:tcW w:w="4460" w:type="dxa"/>
          </w:tcPr>
          <w:p w:rsidR="00075DBE" w:rsidRPr="001A6B1F" w:rsidRDefault="00075DBE" w:rsidP="00900F7F">
            <w:pPr>
              <w:spacing w:after="0" w:line="240" w:lineRule="auto"/>
              <w:jc w:val="both"/>
              <w:rPr>
                <w:rFonts w:ascii="Arial" w:hAnsi="Arial" w:cs="Arial"/>
                <w:sz w:val="20"/>
                <w:szCs w:val="20"/>
              </w:rPr>
            </w:pP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Leicester</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Cambridge</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Oxford</w:t>
            </w:r>
          </w:p>
          <w:p w:rsidR="00075DBE" w:rsidRDefault="00075DBE" w:rsidP="00900F7F">
            <w:pPr>
              <w:spacing w:after="0" w:line="240" w:lineRule="auto"/>
              <w:jc w:val="both"/>
              <w:rPr>
                <w:rFonts w:ascii="Arial" w:hAnsi="Arial" w:cs="Arial"/>
                <w:sz w:val="20"/>
                <w:szCs w:val="20"/>
              </w:rPr>
            </w:pPr>
            <w:r w:rsidRPr="001A6B1F">
              <w:rPr>
                <w:rFonts w:ascii="Arial" w:hAnsi="Arial" w:cs="Arial"/>
                <w:sz w:val="20"/>
                <w:szCs w:val="20"/>
              </w:rPr>
              <w:t>London</w:t>
            </w:r>
          </w:p>
          <w:p w:rsidR="00075DBE" w:rsidRDefault="00075DBE" w:rsidP="00900F7F">
            <w:pPr>
              <w:spacing w:after="0" w:line="240" w:lineRule="auto"/>
              <w:jc w:val="both"/>
              <w:rPr>
                <w:rFonts w:ascii="Arial" w:hAnsi="Arial" w:cs="Arial"/>
                <w:sz w:val="20"/>
                <w:szCs w:val="20"/>
              </w:rPr>
            </w:pPr>
            <w:r>
              <w:rPr>
                <w:rFonts w:ascii="Arial" w:hAnsi="Arial" w:cs="Arial"/>
                <w:sz w:val="20"/>
                <w:szCs w:val="20"/>
              </w:rPr>
              <w:t>London</w:t>
            </w:r>
          </w:p>
          <w:p w:rsidR="00075DBE" w:rsidRDefault="00075DBE" w:rsidP="00900F7F">
            <w:pPr>
              <w:spacing w:after="0" w:line="240" w:lineRule="auto"/>
              <w:jc w:val="both"/>
              <w:rPr>
                <w:rFonts w:ascii="Arial" w:hAnsi="Arial" w:cs="Arial"/>
                <w:sz w:val="20"/>
                <w:szCs w:val="20"/>
              </w:rPr>
            </w:pPr>
            <w:r>
              <w:rPr>
                <w:rFonts w:ascii="Arial" w:hAnsi="Arial" w:cs="Arial"/>
                <w:sz w:val="20"/>
                <w:szCs w:val="20"/>
              </w:rPr>
              <w:t>Cambridge</w:t>
            </w:r>
          </w:p>
          <w:p w:rsidR="00075DBE" w:rsidRDefault="00075DBE" w:rsidP="00900F7F">
            <w:pPr>
              <w:spacing w:after="0" w:line="240" w:lineRule="auto"/>
              <w:jc w:val="both"/>
              <w:rPr>
                <w:rFonts w:ascii="Arial" w:hAnsi="Arial" w:cs="Arial"/>
                <w:sz w:val="20"/>
                <w:szCs w:val="20"/>
              </w:rPr>
            </w:pPr>
            <w:r>
              <w:rPr>
                <w:rFonts w:ascii="Arial" w:hAnsi="Arial" w:cs="Arial"/>
                <w:sz w:val="20"/>
                <w:szCs w:val="20"/>
              </w:rPr>
              <w:t>London</w:t>
            </w:r>
          </w:p>
          <w:p w:rsidR="00075DBE" w:rsidRPr="001A6B1F" w:rsidRDefault="00075DBE" w:rsidP="00900F7F">
            <w:pPr>
              <w:spacing w:after="0" w:line="240" w:lineRule="auto"/>
              <w:jc w:val="both"/>
              <w:rPr>
                <w:rFonts w:ascii="Arial" w:hAnsi="Arial" w:cs="Arial"/>
                <w:sz w:val="20"/>
                <w:szCs w:val="20"/>
              </w:rPr>
            </w:pPr>
            <w:r>
              <w:rPr>
                <w:rFonts w:ascii="Arial" w:hAnsi="Arial" w:cs="Arial"/>
                <w:sz w:val="20"/>
                <w:szCs w:val="20"/>
              </w:rPr>
              <w:t>London</w:t>
            </w:r>
          </w:p>
        </w:tc>
      </w:tr>
      <w:tr w:rsidR="00075DBE" w:rsidRPr="001A6B1F" w:rsidTr="00900F7F">
        <w:tc>
          <w:tcPr>
            <w:tcW w:w="5508" w:type="dxa"/>
          </w:tcPr>
          <w:p w:rsidR="00075DBE" w:rsidRPr="001A6B1F" w:rsidRDefault="00075DBE" w:rsidP="00900F7F">
            <w:pPr>
              <w:spacing w:after="0" w:line="240" w:lineRule="auto"/>
              <w:jc w:val="both"/>
              <w:rPr>
                <w:rFonts w:ascii="Arial" w:hAnsi="Arial" w:cs="Arial"/>
                <w:sz w:val="20"/>
                <w:szCs w:val="20"/>
              </w:rPr>
            </w:pPr>
            <w:r w:rsidRPr="007F588D">
              <w:rPr>
                <w:rFonts w:ascii="Arial" w:hAnsi="Arial" w:cs="Arial"/>
                <w:b/>
                <w:sz w:val="20"/>
                <w:szCs w:val="20"/>
              </w:rPr>
              <w:t>UK Innovation Investment Fund (UKIIF)</w:t>
            </w:r>
            <w:r w:rsidRPr="001A6B1F">
              <w:rPr>
                <w:rFonts w:ascii="Arial" w:hAnsi="Arial" w:cs="Arial"/>
                <w:sz w:val="20"/>
                <w:szCs w:val="20"/>
              </w:rPr>
              <w:t>:</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Hermes GPE Environmental Innovation Fund</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European Investment Fund UK Future Technologies Funds</w:t>
            </w:r>
          </w:p>
          <w:p w:rsidR="00075DBE" w:rsidRPr="00954B39" w:rsidRDefault="00075DBE" w:rsidP="00900F7F">
            <w:pPr>
              <w:spacing w:after="0" w:line="240" w:lineRule="auto"/>
              <w:jc w:val="both"/>
              <w:rPr>
                <w:rFonts w:ascii="Arial" w:hAnsi="Arial" w:cs="Arial"/>
                <w:b/>
                <w:sz w:val="20"/>
                <w:szCs w:val="20"/>
              </w:rPr>
            </w:pPr>
            <w:r w:rsidRPr="00954B39">
              <w:rPr>
                <w:rFonts w:ascii="Arial" w:hAnsi="Arial" w:cs="Arial"/>
                <w:b/>
                <w:sz w:val="20"/>
                <w:szCs w:val="20"/>
              </w:rPr>
              <w:t>Underlying funds</w:t>
            </w:r>
            <w:r>
              <w:rPr>
                <w:rFonts w:ascii="Arial" w:hAnsi="Arial" w:cs="Arial"/>
                <w:b/>
                <w:sz w:val="20"/>
                <w:szCs w:val="20"/>
              </w:rPr>
              <w:t>:</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Zouk Cleantech II</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Scottish Equity Partners Environmental Energies</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WHEB Ventures</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DFJ Esprit</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Advent Life Sciences</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Gilde Healthcare III</w:t>
            </w:r>
          </w:p>
        </w:tc>
        <w:tc>
          <w:tcPr>
            <w:tcW w:w="4460" w:type="dxa"/>
          </w:tcPr>
          <w:p w:rsidR="00075DBE" w:rsidRPr="001A6B1F" w:rsidRDefault="00075DBE" w:rsidP="00900F7F">
            <w:pPr>
              <w:spacing w:after="0" w:line="240" w:lineRule="auto"/>
              <w:jc w:val="both"/>
              <w:rPr>
                <w:rFonts w:ascii="Arial" w:hAnsi="Arial" w:cs="Arial"/>
                <w:sz w:val="20"/>
                <w:szCs w:val="20"/>
              </w:rPr>
            </w:pP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Fund of funds manager, London</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Fund of funds manager, Luxembourg</w:t>
            </w:r>
          </w:p>
          <w:p w:rsidR="00075DBE" w:rsidRDefault="00075DBE" w:rsidP="00900F7F">
            <w:pPr>
              <w:spacing w:after="0" w:line="240" w:lineRule="auto"/>
              <w:jc w:val="both"/>
              <w:rPr>
                <w:rFonts w:ascii="Arial" w:hAnsi="Arial" w:cs="Arial"/>
                <w:sz w:val="20"/>
                <w:szCs w:val="20"/>
              </w:rPr>
            </w:pP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Hermes fund, London</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Hermes fund, Glasgow and London</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Hermes fund, London</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EIF UKFTF fund, London and Cambridge</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EIF UKFTF fund, London</w:t>
            </w:r>
          </w:p>
          <w:p w:rsidR="00075DBE" w:rsidRPr="001A6B1F" w:rsidRDefault="00075DBE" w:rsidP="00900F7F">
            <w:pPr>
              <w:spacing w:after="0" w:line="240" w:lineRule="auto"/>
              <w:jc w:val="both"/>
              <w:rPr>
                <w:rFonts w:ascii="Arial" w:hAnsi="Arial" w:cs="Arial"/>
                <w:sz w:val="20"/>
                <w:szCs w:val="20"/>
              </w:rPr>
            </w:pPr>
            <w:r w:rsidRPr="001A6B1F">
              <w:rPr>
                <w:rFonts w:ascii="Arial" w:hAnsi="Arial" w:cs="Arial"/>
                <w:sz w:val="20"/>
                <w:szCs w:val="20"/>
              </w:rPr>
              <w:t>EIF UKFTF fund, Utrecht and Cambridge USA</w:t>
            </w:r>
          </w:p>
        </w:tc>
      </w:tr>
    </w:tbl>
    <w:p w:rsidR="00075DBE" w:rsidRDefault="00075DBE" w:rsidP="00083772">
      <w:pPr>
        <w:spacing w:after="0"/>
        <w:rPr>
          <w:rFonts w:ascii="Arial" w:hAnsi="Arial" w:cs="Arial"/>
          <w:b/>
          <w:sz w:val="20"/>
          <w:szCs w:val="20"/>
        </w:rPr>
      </w:pPr>
      <w:r>
        <w:rPr>
          <w:rFonts w:ascii="Arial" w:hAnsi="Arial" w:cs="Arial"/>
          <w:sz w:val="20"/>
          <w:szCs w:val="20"/>
        </w:rPr>
        <w:br w:type="page"/>
      </w:r>
    </w:p>
    <w:p w:rsidR="00075DBE" w:rsidRDefault="00075DBE" w:rsidP="00083772">
      <w:pPr>
        <w:spacing w:after="0"/>
        <w:rPr>
          <w:rFonts w:ascii="Arial" w:hAnsi="Arial" w:cs="Arial"/>
          <w:b/>
          <w:sz w:val="20"/>
          <w:szCs w:val="20"/>
        </w:rPr>
      </w:pPr>
    </w:p>
    <w:p w:rsidR="00075DBE" w:rsidRPr="00DE44E3" w:rsidRDefault="00075DBE" w:rsidP="00083772">
      <w:pPr>
        <w:spacing w:after="0"/>
        <w:rPr>
          <w:rFonts w:ascii="Arial" w:hAnsi="Arial" w:cs="Arial"/>
          <w:i/>
          <w:sz w:val="20"/>
          <w:szCs w:val="20"/>
        </w:rPr>
      </w:pPr>
      <w:r w:rsidRPr="00DE44E3">
        <w:rPr>
          <w:rFonts w:ascii="Arial" w:hAnsi="Arial" w:cs="Arial"/>
          <w:i/>
          <w:sz w:val="20"/>
          <w:szCs w:val="20"/>
        </w:rPr>
        <w:t>&lt;cap&gt;Table 8.3 Ability of recipient businesses to raise finance from elsewhere without government VC funding</w:t>
      </w:r>
    </w:p>
    <w:p w:rsidR="00075DBE" w:rsidRDefault="00075DBE" w:rsidP="007B448B">
      <w:pPr>
        <w:spacing w:after="0"/>
        <w:jc w:val="both"/>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80"/>
        <w:gridCol w:w="2700"/>
        <w:gridCol w:w="1440"/>
      </w:tblGrid>
      <w:tr w:rsidR="00075DBE" w:rsidRPr="00DD36E4" w:rsidTr="000F60D7">
        <w:tc>
          <w:tcPr>
            <w:tcW w:w="5580" w:type="dxa"/>
          </w:tcPr>
          <w:p w:rsidR="00075DBE" w:rsidRPr="00DD36E4" w:rsidRDefault="00075DBE" w:rsidP="000F60D7">
            <w:pPr>
              <w:spacing w:after="0"/>
              <w:jc w:val="both"/>
              <w:rPr>
                <w:rFonts w:ascii="Arial" w:hAnsi="Arial" w:cs="Arial"/>
                <w:sz w:val="20"/>
                <w:szCs w:val="20"/>
              </w:rPr>
            </w:pPr>
          </w:p>
        </w:tc>
        <w:tc>
          <w:tcPr>
            <w:tcW w:w="2700" w:type="dxa"/>
          </w:tcPr>
          <w:p w:rsidR="00075DBE" w:rsidRDefault="00075DBE" w:rsidP="000F60D7">
            <w:pPr>
              <w:spacing w:after="0"/>
              <w:jc w:val="center"/>
              <w:rPr>
                <w:rFonts w:ascii="Arial" w:hAnsi="Arial" w:cs="Arial"/>
                <w:sz w:val="20"/>
                <w:szCs w:val="20"/>
              </w:rPr>
            </w:pPr>
            <w:r>
              <w:rPr>
                <w:rFonts w:ascii="Arial" w:hAnsi="Arial" w:cs="Arial"/>
                <w:sz w:val="20"/>
                <w:szCs w:val="20"/>
              </w:rPr>
              <w:t>ECF/Aspire</w:t>
            </w:r>
          </w:p>
        </w:tc>
        <w:tc>
          <w:tcPr>
            <w:tcW w:w="1440" w:type="dxa"/>
          </w:tcPr>
          <w:p w:rsidR="00075DBE" w:rsidRDefault="00075DBE" w:rsidP="000F60D7">
            <w:pPr>
              <w:spacing w:after="0"/>
              <w:jc w:val="center"/>
              <w:rPr>
                <w:rFonts w:ascii="Arial" w:hAnsi="Arial" w:cs="Arial"/>
                <w:sz w:val="20"/>
                <w:szCs w:val="20"/>
              </w:rPr>
            </w:pPr>
            <w:r>
              <w:rPr>
                <w:rFonts w:ascii="Arial" w:hAnsi="Arial" w:cs="Arial"/>
                <w:sz w:val="20"/>
                <w:szCs w:val="20"/>
              </w:rPr>
              <w:t>UKIIF</w:t>
            </w:r>
          </w:p>
        </w:tc>
      </w:tr>
      <w:tr w:rsidR="00075DBE" w:rsidRPr="00DD36E4" w:rsidTr="000F60D7">
        <w:tc>
          <w:tcPr>
            <w:tcW w:w="5580" w:type="dxa"/>
          </w:tcPr>
          <w:p w:rsidR="00075DBE" w:rsidRPr="00DD36E4" w:rsidRDefault="00075DBE" w:rsidP="000F60D7">
            <w:pPr>
              <w:spacing w:after="0"/>
              <w:jc w:val="both"/>
              <w:rPr>
                <w:rFonts w:ascii="Arial" w:hAnsi="Arial" w:cs="Arial"/>
                <w:sz w:val="20"/>
                <w:szCs w:val="20"/>
              </w:rPr>
            </w:pPr>
            <w:r w:rsidRPr="00DD36E4">
              <w:rPr>
                <w:rFonts w:ascii="Arial" w:hAnsi="Arial" w:cs="Arial"/>
                <w:sz w:val="20"/>
                <w:szCs w:val="20"/>
              </w:rPr>
              <w:t>definitely would not have raised finance from other sources</w:t>
            </w:r>
          </w:p>
        </w:tc>
        <w:tc>
          <w:tcPr>
            <w:tcW w:w="2700" w:type="dxa"/>
          </w:tcPr>
          <w:p w:rsidR="00075DBE" w:rsidRPr="00DD36E4" w:rsidRDefault="00075DBE" w:rsidP="000F60D7">
            <w:pPr>
              <w:spacing w:after="0"/>
              <w:jc w:val="center"/>
              <w:rPr>
                <w:rFonts w:ascii="Arial" w:hAnsi="Arial" w:cs="Arial"/>
                <w:sz w:val="20"/>
                <w:szCs w:val="20"/>
              </w:rPr>
            </w:pPr>
            <w:r>
              <w:rPr>
                <w:rFonts w:ascii="Arial" w:hAnsi="Arial" w:cs="Arial"/>
                <w:sz w:val="20"/>
                <w:szCs w:val="20"/>
              </w:rPr>
              <w:t>2 (12</w:t>
            </w:r>
            <w:r w:rsidRPr="00DD36E4">
              <w:rPr>
                <w:rFonts w:ascii="Arial" w:hAnsi="Arial" w:cs="Arial"/>
                <w:sz w:val="20"/>
                <w:szCs w:val="20"/>
              </w:rPr>
              <w:t>%</w:t>
            </w:r>
            <w:r>
              <w:rPr>
                <w:rFonts w:ascii="Arial" w:hAnsi="Arial" w:cs="Arial"/>
                <w:sz w:val="20"/>
                <w:szCs w:val="20"/>
              </w:rPr>
              <w:t>)</w:t>
            </w:r>
          </w:p>
        </w:tc>
        <w:tc>
          <w:tcPr>
            <w:tcW w:w="1440" w:type="dxa"/>
          </w:tcPr>
          <w:p w:rsidR="00075DBE" w:rsidRDefault="00075DBE" w:rsidP="000F60D7">
            <w:pPr>
              <w:spacing w:after="0"/>
              <w:jc w:val="center"/>
              <w:rPr>
                <w:rFonts w:ascii="Arial" w:hAnsi="Arial" w:cs="Arial"/>
                <w:sz w:val="20"/>
                <w:szCs w:val="20"/>
              </w:rPr>
            </w:pPr>
            <w:r>
              <w:rPr>
                <w:rFonts w:ascii="Arial" w:hAnsi="Arial" w:cs="Arial"/>
                <w:sz w:val="20"/>
                <w:szCs w:val="20"/>
              </w:rPr>
              <w:t>1 (6%)</w:t>
            </w:r>
          </w:p>
        </w:tc>
      </w:tr>
      <w:tr w:rsidR="00075DBE" w:rsidRPr="00DD36E4" w:rsidTr="000F60D7">
        <w:tc>
          <w:tcPr>
            <w:tcW w:w="5580" w:type="dxa"/>
          </w:tcPr>
          <w:p w:rsidR="00075DBE" w:rsidRPr="00DD36E4" w:rsidRDefault="00075DBE" w:rsidP="000F60D7">
            <w:pPr>
              <w:spacing w:after="0"/>
              <w:jc w:val="both"/>
              <w:rPr>
                <w:rFonts w:ascii="Arial" w:hAnsi="Arial" w:cs="Arial"/>
                <w:sz w:val="20"/>
                <w:szCs w:val="20"/>
              </w:rPr>
            </w:pPr>
            <w:r w:rsidRPr="00DD36E4">
              <w:rPr>
                <w:rFonts w:ascii="Arial" w:hAnsi="Arial" w:cs="Arial"/>
                <w:sz w:val="20"/>
                <w:szCs w:val="20"/>
              </w:rPr>
              <w:t>probably would not have raised finance from other sources</w:t>
            </w:r>
          </w:p>
        </w:tc>
        <w:tc>
          <w:tcPr>
            <w:tcW w:w="2700" w:type="dxa"/>
          </w:tcPr>
          <w:p w:rsidR="00075DBE" w:rsidRPr="00DD36E4" w:rsidRDefault="00075DBE" w:rsidP="000F60D7">
            <w:pPr>
              <w:spacing w:after="0"/>
              <w:jc w:val="center"/>
              <w:rPr>
                <w:rFonts w:ascii="Arial" w:hAnsi="Arial" w:cs="Arial"/>
                <w:sz w:val="20"/>
                <w:szCs w:val="20"/>
              </w:rPr>
            </w:pPr>
            <w:r>
              <w:rPr>
                <w:rFonts w:ascii="Arial" w:hAnsi="Arial" w:cs="Arial"/>
                <w:sz w:val="20"/>
                <w:szCs w:val="20"/>
              </w:rPr>
              <w:t>1</w:t>
            </w:r>
            <w:r w:rsidRPr="00DD36E4">
              <w:rPr>
                <w:rFonts w:ascii="Arial" w:hAnsi="Arial" w:cs="Arial"/>
                <w:sz w:val="20"/>
                <w:szCs w:val="20"/>
              </w:rPr>
              <w:t xml:space="preserve"> (</w:t>
            </w:r>
            <w:r>
              <w:rPr>
                <w:rFonts w:ascii="Arial" w:hAnsi="Arial" w:cs="Arial"/>
                <w:sz w:val="20"/>
                <w:szCs w:val="20"/>
              </w:rPr>
              <w:t>6</w:t>
            </w:r>
            <w:r w:rsidRPr="00DD36E4">
              <w:rPr>
                <w:rFonts w:ascii="Arial" w:hAnsi="Arial" w:cs="Arial"/>
                <w:sz w:val="20"/>
                <w:szCs w:val="20"/>
              </w:rPr>
              <w:t>%)</w:t>
            </w:r>
          </w:p>
        </w:tc>
        <w:tc>
          <w:tcPr>
            <w:tcW w:w="1440" w:type="dxa"/>
          </w:tcPr>
          <w:p w:rsidR="00075DBE" w:rsidRPr="00DD36E4" w:rsidRDefault="00075DBE" w:rsidP="000F60D7">
            <w:pPr>
              <w:spacing w:after="0"/>
              <w:jc w:val="center"/>
              <w:rPr>
                <w:rFonts w:ascii="Arial" w:hAnsi="Arial" w:cs="Arial"/>
                <w:sz w:val="20"/>
                <w:szCs w:val="20"/>
              </w:rPr>
            </w:pPr>
            <w:r>
              <w:rPr>
                <w:rFonts w:ascii="Arial" w:hAnsi="Arial" w:cs="Arial"/>
                <w:sz w:val="20"/>
                <w:szCs w:val="20"/>
              </w:rPr>
              <w:t>0 (0%)</w:t>
            </w:r>
          </w:p>
        </w:tc>
      </w:tr>
      <w:tr w:rsidR="00075DBE" w:rsidRPr="00DD36E4" w:rsidTr="000F60D7">
        <w:tc>
          <w:tcPr>
            <w:tcW w:w="5580" w:type="dxa"/>
          </w:tcPr>
          <w:p w:rsidR="00075DBE" w:rsidRPr="00C372BF" w:rsidRDefault="00075DBE" w:rsidP="000F60D7">
            <w:pPr>
              <w:spacing w:after="0"/>
              <w:jc w:val="both"/>
              <w:rPr>
                <w:rFonts w:ascii="Arial" w:hAnsi="Arial" w:cs="Arial"/>
                <w:sz w:val="20"/>
                <w:szCs w:val="20"/>
              </w:rPr>
            </w:pPr>
            <w:r>
              <w:rPr>
                <w:rFonts w:ascii="Arial" w:hAnsi="Arial" w:cs="Arial"/>
                <w:sz w:val="20"/>
                <w:szCs w:val="20"/>
              </w:rPr>
              <w:t>n</w:t>
            </w:r>
            <w:r w:rsidRPr="00C372BF">
              <w:rPr>
                <w:rFonts w:ascii="Arial" w:hAnsi="Arial" w:cs="Arial"/>
                <w:sz w:val="20"/>
                <w:szCs w:val="20"/>
              </w:rPr>
              <w:t>o strong opinion</w:t>
            </w:r>
          </w:p>
        </w:tc>
        <w:tc>
          <w:tcPr>
            <w:tcW w:w="2700" w:type="dxa"/>
          </w:tcPr>
          <w:p w:rsidR="00075DBE" w:rsidRPr="00C372BF" w:rsidRDefault="00075DBE" w:rsidP="000F60D7">
            <w:pPr>
              <w:spacing w:after="0"/>
              <w:jc w:val="center"/>
              <w:rPr>
                <w:rFonts w:ascii="Arial" w:hAnsi="Arial" w:cs="Arial"/>
                <w:sz w:val="20"/>
                <w:szCs w:val="20"/>
              </w:rPr>
            </w:pPr>
            <w:r>
              <w:rPr>
                <w:rFonts w:ascii="Arial" w:hAnsi="Arial" w:cs="Arial"/>
                <w:sz w:val="20"/>
                <w:szCs w:val="20"/>
              </w:rPr>
              <w:t>2</w:t>
            </w:r>
            <w:r w:rsidRPr="00C372BF">
              <w:rPr>
                <w:rFonts w:ascii="Arial" w:hAnsi="Arial" w:cs="Arial"/>
                <w:sz w:val="20"/>
                <w:szCs w:val="20"/>
              </w:rPr>
              <w:t xml:space="preserve"> (</w:t>
            </w:r>
            <w:r>
              <w:rPr>
                <w:rFonts w:ascii="Arial" w:hAnsi="Arial" w:cs="Arial"/>
                <w:sz w:val="20"/>
                <w:szCs w:val="20"/>
              </w:rPr>
              <w:t>12</w:t>
            </w:r>
            <w:r w:rsidRPr="00C372BF">
              <w:rPr>
                <w:rFonts w:ascii="Arial" w:hAnsi="Arial" w:cs="Arial"/>
                <w:sz w:val="20"/>
                <w:szCs w:val="20"/>
              </w:rPr>
              <w:t>%)</w:t>
            </w:r>
          </w:p>
        </w:tc>
        <w:tc>
          <w:tcPr>
            <w:tcW w:w="1440" w:type="dxa"/>
          </w:tcPr>
          <w:p w:rsidR="00075DBE" w:rsidRDefault="00075DBE" w:rsidP="000F60D7">
            <w:pPr>
              <w:spacing w:after="0"/>
              <w:jc w:val="center"/>
              <w:rPr>
                <w:rFonts w:ascii="Arial" w:hAnsi="Arial" w:cs="Arial"/>
                <w:sz w:val="20"/>
                <w:szCs w:val="20"/>
              </w:rPr>
            </w:pPr>
            <w:r>
              <w:rPr>
                <w:rFonts w:ascii="Arial" w:hAnsi="Arial" w:cs="Arial"/>
                <w:sz w:val="20"/>
                <w:szCs w:val="20"/>
              </w:rPr>
              <w:t>0 (0%)</w:t>
            </w:r>
          </w:p>
        </w:tc>
      </w:tr>
      <w:tr w:rsidR="00075DBE" w:rsidRPr="00DD36E4" w:rsidTr="000F60D7">
        <w:tc>
          <w:tcPr>
            <w:tcW w:w="5580" w:type="dxa"/>
          </w:tcPr>
          <w:p w:rsidR="00075DBE" w:rsidRPr="00DD36E4" w:rsidRDefault="00075DBE" w:rsidP="000F60D7">
            <w:pPr>
              <w:spacing w:after="0"/>
              <w:jc w:val="both"/>
              <w:rPr>
                <w:rFonts w:ascii="Arial" w:hAnsi="Arial" w:cs="Arial"/>
                <w:b/>
                <w:sz w:val="20"/>
                <w:szCs w:val="20"/>
              </w:rPr>
            </w:pPr>
            <w:r>
              <w:rPr>
                <w:rFonts w:ascii="Arial" w:hAnsi="Arial" w:cs="Arial"/>
                <w:sz w:val="20"/>
                <w:szCs w:val="20"/>
              </w:rPr>
              <w:t>probably would</w:t>
            </w:r>
            <w:r w:rsidRPr="00DD36E4">
              <w:rPr>
                <w:rFonts w:ascii="Arial" w:hAnsi="Arial" w:cs="Arial"/>
                <w:sz w:val="20"/>
                <w:szCs w:val="20"/>
              </w:rPr>
              <w:t xml:space="preserve"> have raised finance from other sources</w:t>
            </w:r>
          </w:p>
        </w:tc>
        <w:tc>
          <w:tcPr>
            <w:tcW w:w="2700" w:type="dxa"/>
          </w:tcPr>
          <w:p w:rsidR="00075DBE" w:rsidRPr="00C372BF" w:rsidRDefault="00075DBE" w:rsidP="000F60D7">
            <w:pPr>
              <w:spacing w:after="0"/>
              <w:jc w:val="center"/>
              <w:rPr>
                <w:rFonts w:ascii="Arial" w:hAnsi="Arial" w:cs="Arial"/>
                <w:sz w:val="20"/>
                <w:szCs w:val="20"/>
              </w:rPr>
            </w:pPr>
            <w:r>
              <w:rPr>
                <w:rFonts w:ascii="Arial" w:hAnsi="Arial" w:cs="Arial"/>
                <w:sz w:val="20"/>
                <w:szCs w:val="20"/>
              </w:rPr>
              <w:t>6</w:t>
            </w:r>
            <w:r w:rsidRPr="00C372BF">
              <w:rPr>
                <w:rFonts w:ascii="Arial" w:hAnsi="Arial" w:cs="Arial"/>
                <w:sz w:val="20"/>
                <w:szCs w:val="20"/>
              </w:rPr>
              <w:t xml:space="preserve"> (</w:t>
            </w:r>
            <w:r>
              <w:rPr>
                <w:rFonts w:ascii="Arial" w:hAnsi="Arial" w:cs="Arial"/>
                <w:sz w:val="20"/>
                <w:szCs w:val="20"/>
              </w:rPr>
              <w:t>38</w:t>
            </w:r>
            <w:r w:rsidRPr="00C372BF">
              <w:rPr>
                <w:rFonts w:ascii="Arial" w:hAnsi="Arial" w:cs="Arial"/>
                <w:sz w:val="20"/>
                <w:szCs w:val="20"/>
              </w:rPr>
              <w:t>%)</w:t>
            </w:r>
          </w:p>
        </w:tc>
        <w:tc>
          <w:tcPr>
            <w:tcW w:w="1440" w:type="dxa"/>
          </w:tcPr>
          <w:p w:rsidR="00075DBE" w:rsidRPr="00C372BF" w:rsidRDefault="00075DBE" w:rsidP="000F60D7">
            <w:pPr>
              <w:spacing w:after="0"/>
              <w:jc w:val="center"/>
              <w:rPr>
                <w:rFonts w:ascii="Arial" w:hAnsi="Arial" w:cs="Arial"/>
                <w:sz w:val="20"/>
                <w:szCs w:val="20"/>
              </w:rPr>
            </w:pPr>
            <w:r>
              <w:rPr>
                <w:rFonts w:ascii="Arial" w:hAnsi="Arial" w:cs="Arial"/>
                <w:sz w:val="20"/>
                <w:szCs w:val="20"/>
              </w:rPr>
              <w:t>4 (25%)</w:t>
            </w:r>
          </w:p>
        </w:tc>
      </w:tr>
      <w:tr w:rsidR="00075DBE" w:rsidRPr="00DD36E4" w:rsidTr="000F60D7">
        <w:tc>
          <w:tcPr>
            <w:tcW w:w="5580" w:type="dxa"/>
          </w:tcPr>
          <w:p w:rsidR="00075DBE" w:rsidRPr="00DD36E4" w:rsidRDefault="00075DBE" w:rsidP="000F60D7">
            <w:pPr>
              <w:spacing w:after="0"/>
              <w:jc w:val="both"/>
              <w:rPr>
                <w:rFonts w:ascii="Arial" w:hAnsi="Arial" w:cs="Arial"/>
                <w:b/>
                <w:sz w:val="20"/>
                <w:szCs w:val="20"/>
              </w:rPr>
            </w:pPr>
            <w:r>
              <w:rPr>
                <w:rFonts w:ascii="Arial" w:hAnsi="Arial" w:cs="Arial"/>
                <w:sz w:val="20"/>
                <w:szCs w:val="20"/>
              </w:rPr>
              <w:t xml:space="preserve">definitely would </w:t>
            </w:r>
            <w:r w:rsidRPr="00DD36E4">
              <w:rPr>
                <w:rFonts w:ascii="Arial" w:hAnsi="Arial" w:cs="Arial"/>
                <w:sz w:val="20"/>
                <w:szCs w:val="20"/>
              </w:rPr>
              <w:t>have raised finance from other sources</w:t>
            </w:r>
          </w:p>
        </w:tc>
        <w:tc>
          <w:tcPr>
            <w:tcW w:w="2700" w:type="dxa"/>
          </w:tcPr>
          <w:p w:rsidR="00075DBE" w:rsidRPr="00C372BF" w:rsidRDefault="00075DBE" w:rsidP="000F60D7">
            <w:pPr>
              <w:spacing w:after="0"/>
              <w:jc w:val="center"/>
              <w:rPr>
                <w:rFonts w:ascii="Arial" w:hAnsi="Arial" w:cs="Arial"/>
                <w:sz w:val="20"/>
                <w:szCs w:val="20"/>
              </w:rPr>
            </w:pPr>
            <w:r>
              <w:rPr>
                <w:rFonts w:ascii="Arial" w:hAnsi="Arial" w:cs="Arial"/>
                <w:sz w:val="20"/>
                <w:szCs w:val="20"/>
              </w:rPr>
              <w:t>5 (31</w:t>
            </w:r>
            <w:r w:rsidRPr="00C372BF">
              <w:rPr>
                <w:rFonts w:ascii="Arial" w:hAnsi="Arial" w:cs="Arial"/>
                <w:sz w:val="20"/>
                <w:szCs w:val="20"/>
              </w:rPr>
              <w:t>%</w:t>
            </w:r>
            <w:r>
              <w:rPr>
                <w:rFonts w:ascii="Arial" w:hAnsi="Arial" w:cs="Arial"/>
                <w:sz w:val="20"/>
                <w:szCs w:val="20"/>
              </w:rPr>
              <w:t>)</w:t>
            </w:r>
          </w:p>
        </w:tc>
        <w:tc>
          <w:tcPr>
            <w:tcW w:w="1440" w:type="dxa"/>
          </w:tcPr>
          <w:p w:rsidR="00075DBE" w:rsidRDefault="00075DBE" w:rsidP="000F60D7">
            <w:pPr>
              <w:spacing w:after="0"/>
              <w:jc w:val="center"/>
              <w:rPr>
                <w:rFonts w:ascii="Arial" w:hAnsi="Arial" w:cs="Arial"/>
                <w:sz w:val="20"/>
                <w:szCs w:val="20"/>
              </w:rPr>
            </w:pPr>
            <w:r>
              <w:rPr>
                <w:rFonts w:ascii="Arial" w:hAnsi="Arial" w:cs="Arial"/>
                <w:sz w:val="20"/>
                <w:szCs w:val="20"/>
              </w:rPr>
              <w:t>11 (69%)</w:t>
            </w:r>
          </w:p>
        </w:tc>
      </w:tr>
      <w:tr w:rsidR="00075DBE" w:rsidRPr="00DD36E4" w:rsidTr="000F60D7">
        <w:tc>
          <w:tcPr>
            <w:tcW w:w="5580" w:type="dxa"/>
          </w:tcPr>
          <w:p w:rsidR="00075DBE" w:rsidRPr="00C372BF" w:rsidRDefault="00075DBE" w:rsidP="000F60D7">
            <w:pPr>
              <w:spacing w:after="0"/>
              <w:jc w:val="both"/>
              <w:rPr>
                <w:rFonts w:ascii="Arial" w:hAnsi="Arial" w:cs="Arial"/>
                <w:sz w:val="20"/>
                <w:szCs w:val="20"/>
              </w:rPr>
            </w:pPr>
            <w:r w:rsidRPr="00C372BF">
              <w:rPr>
                <w:rFonts w:ascii="Arial" w:hAnsi="Arial" w:cs="Arial"/>
                <w:sz w:val="20"/>
                <w:szCs w:val="20"/>
              </w:rPr>
              <w:t>Total recipient businesses</w:t>
            </w:r>
          </w:p>
        </w:tc>
        <w:tc>
          <w:tcPr>
            <w:tcW w:w="2700" w:type="dxa"/>
          </w:tcPr>
          <w:p w:rsidR="00075DBE" w:rsidRPr="00C372BF" w:rsidRDefault="00075DBE" w:rsidP="000F60D7">
            <w:pPr>
              <w:spacing w:after="0"/>
              <w:jc w:val="center"/>
              <w:rPr>
                <w:rFonts w:ascii="Arial" w:hAnsi="Arial" w:cs="Arial"/>
                <w:sz w:val="20"/>
                <w:szCs w:val="20"/>
              </w:rPr>
            </w:pPr>
            <w:r>
              <w:rPr>
                <w:rFonts w:ascii="Arial" w:hAnsi="Arial" w:cs="Arial"/>
                <w:sz w:val="20"/>
                <w:szCs w:val="20"/>
              </w:rPr>
              <w:t>1</w:t>
            </w:r>
            <w:r w:rsidRPr="00C372BF">
              <w:rPr>
                <w:rFonts w:ascii="Arial" w:hAnsi="Arial" w:cs="Arial"/>
                <w:sz w:val="20"/>
                <w:szCs w:val="20"/>
              </w:rPr>
              <w:t>6 (100%)</w:t>
            </w:r>
          </w:p>
        </w:tc>
        <w:tc>
          <w:tcPr>
            <w:tcW w:w="1440" w:type="dxa"/>
          </w:tcPr>
          <w:p w:rsidR="00075DBE" w:rsidRPr="00C372BF" w:rsidRDefault="00075DBE" w:rsidP="000F60D7">
            <w:pPr>
              <w:spacing w:after="0"/>
              <w:jc w:val="center"/>
              <w:rPr>
                <w:rFonts w:ascii="Arial" w:hAnsi="Arial" w:cs="Arial"/>
                <w:sz w:val="20"/>
                <w:szCs w:val="20"/>
              </w:rPr>
            </w:pPr>
            <w:r>
              <w:rPr>
                <w:rFonts w:ascii="Arial" w:hAnsi="Arial" w:cs="Arial"/>
                <w:sz w:val="20"/>
                <w:szCs w:val="20"/>
              </w:rPr>
              <w:t>16 (100%)</w:t>
            </w:r>
          </w:p>
        </w:tc>
      </w:tr>
    </w:tbl>
    <w:p w:rsidR="00075DBE" w:rsidRPr="00DD36E4" w:rsidRDefault="00075DBE" w:rsidP="007B448B"/>
    <w:p w:rsidR="00075DBE" w:rsidRPr="00DE44E3" w:rsidRDefault="00075DBE" w:rsidP="007B448B">
      <w:pPr>
        <w:jc w:val="both"/>
        <w:rPr>
          <w:rFonts w:ascii="Arial" w:hAnsi="Arial" w:cs="Arial"/>
          <w:i/>
          <w:sz w:val="20"/>
          <w:szCs w:val="20"/>
        </w:rPr>
      </w:pPr>
      <w:r w:rsidRPr="00DE44E3">
        <w:rPr>
          <w:rFonts w:ascii="Arial" w:hAnsi="Arial" w:cs="Arial"/>
          <w:i/>
          <w:sz w:val="20"/>
          <w:szCs w:val="20"/>
        </w:rPr>
        <w:t>&lt;cap&gt;Table 8.4 Extent to which recipient businesses would have gone ahead with business plans without government VC funding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0"/>
        <w:gridCol w:w="2520"/>
        <w:gridCol w:w="1440"/>
      </w:tblGrid>
      <w:tr w:rsidR="00075DBE" w:rsidRPr="00DD36E4" w:rsidTr="000F60D7">
        <w:tc>
          <w:tcPr>
            <w:tcW w:w="5760" w:type="dxa"/>
          </w:tcPr>
          <w:p w:rsidR="00075DBE" w:rsidRDefault="00075DBE" w:rsidP="000F60D7">
            <w:pPr>
              <w:spacing w:after="0"/>
              <w:jc w:val="both"/>
              <w:rPr>
                <w:rFonts w:ascii="Arial" w:hAnsi="Arial" w:cs="Arial"/>
                <w:sz w:val="20"/>
                <w:szCs w:val="20"/>
              </w:rPr>
            </w:pPr>
          </w:p>
        </w:tc>
        <w:tc>
          <w:tcPr>
            <w:tcW w:w="2520" w:type="dxa"/>
          </w:tcPr>
          <w:p w:rsidR="00075DBE" w:rsidRDefault="00075DBE" w:rsidP="000F60D7">
            <w:pPr>
              <w:spacing w:after="0"/>
              <w:jc w:val="center"/>
              <w:rPr>
                <w:rFonts w:ascii="Arial" w:hAnsi="Arial" w:cs="Arial"/>
                <w:sz w:val="20"/>
                <w:szCs w:val="20"/>
              </w:rPr>
            </w:pPr>
            <w:r>
              <w:rPr>
                <w:rFonts w:ascii="Arial" w:hAnsi="Arial" w:cs="Arial"/>
                <w:sz w:val="20"/>
                <w:szCs w:val="20"/>
              </w:rPr>
              <w:t>ECF/Aspire</w:t>
            </w:r>
          </w:p>
        </w:tc>
        <w:tc>
          <w:tcPr>
            <w:tcW w:w="1440" w:type="dxa"/>
          </w:tcPr>
          <w:p w:rsidR="00075DBE" w:rsidRDefault="00075DBE" w:rsidP="000F60D7">
            <w:pPr>
              <w:spacing w:after="0"/>
              <w:jc w:val="center"/>
              <w:rPr>
                <w:rFonts w:ascii="Arial" w:hAnsi="Arial" w:cs="Arial"/>
                <w:sz w:val="20"/>
                <w:szCs w:val="20"/>
              </w:rPr>
            </w:pPr>
            <w:r>
              <w:rPr>
                <w:rFonts w:ascii="Arial" w:hAnsi="Arial" w:cs="Arial"/>
                <w:sz w:val="20"/>
                <w:szCs w:val="20"/>
              </w:rPr>
              <w:t>UKIIF</w:t>
            </w:r>
          </w:p>
        </w:tc>
      </w:tr>
      <w:tr w:rsidR="00075DBE" w:rsidRPr="00DD36E4" w:rsidTr="000F60D7">
        <w:tc>
          <w:tcPr>
            <w:tcW w:w="5760" w:type="dxa"/>
          </w:tcPr>
          <w:p w:rsidR="00075DBE" w:rsidRPr="00DD36E4" w:rsidRDefault="00075DBE" w:rsidP="000F60D7">
            <w:pPr>
              <w:spacing w:after="0"/>
              <w:jc w:val="both"/>
              <w:rPr>
                <w:rFonts w:ascii="Arial" w:hAnsi="Arial" w:cs="Arial"/>
                <w:sz w:val="20"/>
                <w:szCs w:val="20"/>
              </w:rPr>
            </w:pPr>
            <w:r>
              <w:rPr>
                <w:rFonts w:ascii="Arial" w:hAnsi="Arial" w:cs="Arial"/>
                <w:sz w:val="20"/>
                <w:szCs w:val="20"/>
              </w:rPr>
              <w:t>would not have gone ahead at all, in any format</w:t>
            </w:r>
          </w:p>
        </w:tc>
        <w:tc>
          <w:tcPr>
            <w:tcW w:w="2520" w:type="dxa"/>
          </w:tcPr>
          <w:p w:rsidR="00075DBE" w:rsidRPr="00DD36E4" w:rsidRDefault="00075DBE" w:rsidP="000F60D7">
            <w:pPr>
              <w:spacing w:after="0"/>
              <w:jc w:val="center"/>
              <w:rPr>
                <w:rFonts w:ascii="Arial" w:hAnsi="Arial" w:cs="Arial"/>
                <w:sz w:val="20"/>
                <w:szCs w:val="20"/>
              </w:rPr>
            </w:pPr>
            <w:r>
              <w:rPr>
                <w:rFonts w:ascii="Arial" w:hAnsi="Arial" w:cs="Arial"/>
                <w:sz w:val="20"/>
                <w:szCs w:val="20"/>
              </w:rPr>
              <w:t>6 (38%)</w:t>
            </w:r>
          </w:p>
        </w:tc>
        <w:tc>
          <w:tcPr>
            <w:tcW w:w="1440" w:type="dxa"/>
          </w:tcPr>
          <w:p w:rsidR="00075DBE" w:rsidRDefault="00075DBE" w:rsidP="000F60D7">
            <w:pPr>
              <w:spacing w:after="0"/>
              <w:jc w:val="center"/>
              <w:rPr>
                <w:rFonts w:ascii="Arial" w:hAnsi="Arial" w:cs="Arial"/>
                <w:sz w:val="20"/>
                <w:szCs w:val="20"/>
              </w:rPr>
            </w:pPr>
            <w:r>
              <w:rPr>
                <w:rFonts w:ascii="Arial" w:hAnsi="Arial" w:cs="Arial"/>
                <w:sz w:val="20"/>
                <w:szCs w:val="20"/>
              </w:rPr>
              <w:t>1 (6%)</w:t>
            </w:r>
          </w:p>
        </w:tc>
      </w:tr>
      <w:tr w:rsidR="00075DBE" w:rsidRPr="00DD36E4" w:rsidTr="000F60D7">
        <w:tc>
          <w:tcPr>
            <w:tcW w:w="5760" w:type="dxa"/>
          </w:tcPr>
          <w:p w:rsidR="00075DBE" w:rsidRPr="00DD36E4" w:rsidRDefault="00075DBE" w:rsidP="000F60D7">
            <w:pPr>
              <w:spacing w:after="0"/>
              <w:jc w:val="both"/>
              <w:rPr>
                <w:rFonts w:ascii="Arial" w:hAnsi="Arial" w:cs="Arial"/>
                <w:sz w:val="20"/>
                <w:szCs w:val="20"/>
              </w:rPr>
            </w:pPr>
            <w:r>
              <w:rPr>
                <w:rFonts w:ascii="Arial" w:hAnsi="Arial" w:cs="Arial"/>
                <w:sz w:val="20"/>
                <w:szCs w:val="20"/>
              </w:rPr>
              <w:t xml:space="preserve">would have gone ahead at the same time, but on a smaller scale </w:t>
            </w:r>
          </w:p>
        </w:tc>
        <w:tc>
          <w:tcPr>
            <w:tcW w:w="2520" w:type="dxa"/>
          </w:tcPr>
          <w:p w:rsidR="00075DBE" w:rsidRPr="00DD36E4" w:rsidRDefault="00075DBE" w:rsidP="000F60D7">
            <w:pPr>
              <w:spacing w:after="0"/>
              <w:jc w:val="center"/>
              <w:rPr>
                <w:rFonts w:ascii="Arial" w:hAnsi="Arial" w:cs="Arial"/>
                <w:sz w:val="20"/>
                <w:szCs w:val="20"/>
              </w:rPr>
            </w:pPr>
            <w:r>
              <w:rPr>
                <w:rFonts w:ascii="Arial" w:hAnsi="Arial" w:cs="Arial"/>
                <w:sz w:val="20"/>
                <w:szCs w:val="20"/>
              </w:rPr>
              <w:t>1 (6%)</w:t>
            </w:r>
          </w:p>
        </w:tc>
        <w:tc>
          <w:tcPr>
            <w:tcW w:w="1440" w:type="dxa"/>
          </w:tcPr>
          <w:p w:rsidR="00075DBE" w:rsidRDefault="00075DBE" w:rsidP="000F60D7">
            <w:pPr>
              <w:spacing w:after="0"/>
              <w:jc w:val="center"/>
              <w:rPr>
                <w:rFonts w:ascii="Arial" w:hAnsi="Arial" w:cs="Arial"/>
                <w:sz w:val="20"/>
                <w:szCs w:val="20"/>
              </w:rPr>
            </w:pPr>
            <w:r>
              <w:rPr>
                <w:rFonts w:ascii="Arial" w:hAnsi="Arial" w:cs="Arial"/>
                <w:sz w:val="20"/>
                <w:szCs w:val="20"/>
              </w:rPr>
              <w:t>5 (31%)</w:t>
            </w:r>
          </w:p>
        </w:tc>
      </w:tr>
      <w:tr w:rsidR="00075DBE" w:rsidRPr="00DD36E4" w:rsidTr="000F60D7">
        <w:tc>
          <w:tcPr>
            <w:tcW w:w="5760" w:type="dxa"/>
          </w:tcPr>
          <w:p w:rsidR="00075DBE" w:rsidRPr="00C372BF" w:rsidRDefault="00075DBE" w:rsidP="000F60D7">
            <w:pPr>
              <w:spacing w:after="0"/>
              <w:jc w:val="both"/>
              <w:rPr>
                <w:rFonts w:ascii="Arial" w:hAnsi="Arial" w:cs="Arial"/>
                <w:sz w:val="20"/>
                <w:szCs w:val="20"/>
              </w:rPr>
            </w:pPr>
            <w:r w:rsidRPr="00C372BF">
              <w:rPr>
                <w:rFonts w:ascii="Arial" w:hAnsi="Arial" w:cs="Arial"/>
                <w:sz w:val="20"/>
                <w:szCs w:val="20"/>
              </w:rPr>
              <w:t>would have taken longer to go ahead, but at the original planned scale</w:t>
            </w:r>
          </w:p>
        </w:tc>
        <w:tc>
          <w:tcPr>
            <w:tcW w:w="2520" w:type="dxa"/>
          </w:tcPr>
          <w:p w:rsidR="00075DBE" w:rsidRPr="00C372BF" w:rsidRDefault="00075DBE" w:rsidP="000F60D7">
            <w:pPr>
              <w:spacing w:after="0"/>
              <w:jc w:val="center"/>
              <w:rPr>
                <w:rFonts w:ascii="Arial" w:hAnsi="Arial" w:cs="Arial"/>
                <w:sz w:val="20"/>
                <w:szCs w:val="20"/>
              </w:rPr>
            </w:pPr>
            <w:r>
              <w:rPr>
                <w:rFonts w:ascii="Arial" w:hAnsi="Arial" w:cs="Arial"/>
                <w:sz w:val="20"/>
                <w:szCs w:val="20"/>
              </w:rPr>
              <w:t>2 (12%)</w:t>
            </w:r>
          </w:p>
        </w:tc>
        <w:tc>
          <w:tcPr>
            <w:tcW w:w="1440" w:type="dxa"/>
          </w:tcPr>
          <w:p w:rsidR="00075DBE" w:rsidRDefault="00075DBE" w:rsidP="000F60D7">
            <w:pPr>
              <w:spacing w:after="0"/>
              <w:jc w:val="center"/>
              <w:rPr>
                <w:rFonts w:ascii="Arial" w:hAnsi="Arial" w:cs="Arial"/>
                <w:sz w:val="20"/>
                <w:szCs w:val="20"/>
              </w:rPr>
            </w:pPr>
            <w:r>
              <w:rPr>
                <w:rFonts w:ascii="Arial" w:hAnsi="Arial" w:cs="Arial"/>
                <w:sz w:val="20"/>
                <w:szCs w:val="20"/>
              </w:rPr>
              <w:t>3 (19%)</w:t>
            </w:r>
          </w:p>
        </w:tc>
      </w:tr>
      <w:tr w:rsidR="00075DBE" w:rsidRPr="00DD36E4" w:rsidTr="000F60D7">
        <w:tc>
          <w:tcPr>
            <w:tcW w:w="5760" w:type="dxa"/>
          </w:tcPr>
          <w:p w:rsidR="00075DBE" w:rsidRPr="00C372BF" w:rsidRDefault="00075DBE" w:rsidP="000F60D7">
            <w:pPr>
              <w:spacing w:after="0"/>
              <w:jc w:val="both"/>
              <w:rPr>
                <w:rFonts w:ascii="Arial" w:hAnsi="Arial" w:cs="Arial"/>
                <w:sz w:val="20"/>
                <w:szCs w:val="20"/>
              </w:rPr>
            </w:pPr>
            <w:r>
              <w:rPr>
                <w:rFonts w:ascii="Arial" w:hAnsi="Arial" w:cs="Arial"/>
                <w:sz w:val="20"/>
                <w:szCs w:val="20"/>
              </w:rPr>
              <w:t>w</w:t>
            </w:r>
            <w:r w:rsidRPr="00C372BF">
              <w:rPr>
                <w:rFonts w:ascii="Arial" w:hAnsi="Arial" w:cs="Arial"/>
                <w:sz w:val="20"/>
                <w:szCs w:val="20"/>
              </w:rPr>
              <w:t>ould have taken longer to go ahead and on a smaller scale</w:t>
            </w:r>
          </w:p>
        </w:tc>
        <w:tc>
          <w:tcPr>
            <w:tcW w:w="2520" w:type="dxa"/>
          </w:tcPr>
          <w:p w:rsidR="00075DBE" w:rsidRPr="00C372BF" w:rsidRDefault="00075DBE" w:rsidP="000F60D7">
            <w:pPr>
              <w:spacing w:after="0"/>
              <w:jc w:val="center"/>
              <w:rPr>
                <w:rFonts w:ascii="Arial" w:hAnsi="Arial" w:cs="Arial"/>
                <w:sz w:val="20"/>
                <w:szCs w:val="20"/>
              </w:rPr>
            </w:pPr>
            <w:r>
              <w:rPr>
                <w:rFonts w:ascii="Arial" w:hAnsi="Arial" w:cs="Arial"/>
                <w:sz w:val="20"/>
                <w:szCs w:val="20"/>
              </w:rPr>
              <w:t>2 (12%)</w:t>
            </w:r>
          </w:p>
        </w:tc>
        <w:tc>
          <w:tcPr>
            <w:tcW w:w="1440" w:type="dxa"/>
          </w:tcPr>
          <w:p w:rsidR="00075DBE" w:rsidRDefault="00075DBE" w:rsidP="000F60D7">
            <w:pPr>
              <w:spacing w:after="0"/>
              <w:jc w:val="center"/>
              <w:rPr>
                <w:rFonts w:ascii="Arial" w:hAnsi="Arial" w:cs="Arial"/>
                <w:sz w:val="20"/>
                <w:szCs w:val="20"/>
              </w:rPr>
            </w:pPr>
            <w:r>
              <w:rPr>
                <w:rFonts w:ascii="Arial" w:hAnsi="Arial" w:cs="Arial"/>
                <w:sz w:val="20"/>
                <w:szCs w:val="20"/>
              </w:rPr>
              <w:t>4 (24%)</w:t>
            </w:r>
          </w:p>
        </w:tc>
      </w:tr>
      <w:tr w:rsidR="00075DBE" w:rsidRPr="00DD36E4" w:rsidTr="000F60D7">
        <w:tc>
          <w:tcPr>
            <w:tcW w:w="5760" w:type="dxa"/>
          </w:tcPr>
          <w:p w:rsidR="00075DBE" w:rsidRPr="00C372BF" w:rsidRDefault="00075DBE" w:rsidP="000F60D7">
            <w:pPr>
              <w:spacing w:after="0"/>
              <w:jc w:val="both"/>
              <w:rPr>
                <w:rFonts w:ascii="Arial" w:hAnsi="Arial" w:cs="Arial"/>
                <w:sz w:val="20"/>
                <w:szCs w:val="20"/>
              </w:rPr>
            </w:pPr>
            <w:r>
              <w:rPr>
                <w:rFonts w:ascii="Arial" w:hAnsi="Arial" w:cs="Arial"/>
                <w:sz w:val="20"/>
                <w:szCs w:val="20"/>
              </w:rPr>
              <w:t>w</w:t>
            </w:r>
            <w:r w:rsidRPr="00C372BF">
              <w:rPr>
                <w:rFonts w:ascii="Arial" w:hAnsi="Arial" w:cs="Arial"/>
                <w:sz w:val="20"/>
                <w:szCs w:val="20"/>
              </w:rPr>
              <w:t>ould have gone ahead at the same time and at the same scale</w:t>
            </w:r>
          </w:p>
        </w:tc>
        <w:tc>
          <w:tcPr>
            <w:tcW w:w="2520" w:type="dxa"/>
          </w:tcPr>
          <w:p w:rsidR="00075DBE" w:rsidRPr="00C372BF" w:rsidRDefault="00075DBE" w:rsidP="000F60D7">
            <w:pPr>
              <w:spacing w:after="0"/>
              <w:jc w:val="center"/>
              <w:rPr>
                <w:rFonts w:ascii="Arial" w:hAnsi="Arial" w:cs="Arial"/>
                <w:sz w:val="20"/>
                <w:szCs w:val="20"/>
              </w:rPr>
            </w:pPr>
            <w:r>
              <w:rPr>
                <w:rFonts w:ascii="Arial" w:hAnsi="Arial" w:cs="Arial"/>
                <w:sz w:val="20"/>
                <w:szCs w:val="20"/>
              </w:rPr>
              <w:t>5 (31%)</w:t>
            </w:r>
          </w:p>
        </w:tc>
        <w:tc>
          <w:tcPr>
            <w:tcW w:w="1440" w:type="dxa"/>
          </w:tcPr>
          <w:p w:rsidR="00075DBE" w:rsidRDefault="00075DBE" w:rsidP="000F60D7">
            <w:pPr>
              <w:spacing w:after="0"/>
              <w:jc w:val="center"/>
              <w:rPr>
                <w:rFonts w:ascii="Arial" w:hAnsi="Arial" w:cs="Arial"/>
                <w:sz w:val="20"/>
                <w:szCs w:val="20"/>
              </w:rPr>
            </w:pPr>
            <w:r>
              <w:rPr>
                <w:rFonts w:ascii="Arial" w:hAnsi="Arial" w:cs="Arial"/>
                <w:sz w:val="20"/>
                <w:szCs w:val="20"/>
              </w:rPr>
              <w:t>3 (19%)</w:t>
            </w:r>
          </w:p>
        </w:tc>
      </w:tr>
      <w:tr w:rsidR="00075DBE" w:rsidRPr="00DD36E4" w:rsidTr="000F60D7">
        <w:tc>
          <w:tcPr>
            <w:tcW w:w="5760" w:type="dxa"/>
          </w:tcPr>
          <w:p w:rsidR="00075DBE" w:rsidRPr="00C372BF" w:rsidRDefault="00075DBE" w:rsidP="000F60D7">
            <w:pPr>
              <w:spacing w:after="0"/>
              <w:jc w:val="both"/>
              <w:rPr>
                <w:rFonts w:ascii="Arial" w:hAnsi="Arial" w:cs="Arial"/>
                <w:sz w:val="20"/>
                <w:szCs w:val="20"/>
              </w:rPr>
            </w:pPr>
            <w:r>
              <w:rPr>
                <w:rFonts w:ascii="Arial" w:hAnsi="Arial" w:cs="Arial"/>
                <w:sz w:val="20"/>
                <w:szCs w:val="20"/>
              </w:rPr>
              <w:t>Total recipient businesses</w:t>
            </w:r>
          </w:p>
        </w:tc>
        <w:tc>
          <w:tcPr>
            <w:tcW w:w="2520" w:type="dxa"/>
          </w:tcPr>
          <w:p w:rsidR="00075DBE" w:rsidRPr="00C372BF" w:rsidRDefault="00075DBE" w:rsidP="000F60D7">
            <w:pPr>
              <w:spacing w:after="0"/>
              <w:jc w:val="center"/>
              <w:rPr>
                <w:rFonts w:ascii="Arial" w:hAnsi="Arial" w:cs="Arial"/>
                <w:sz w:val="20"/>
                <w:szCs w:val="20"/>
              </w:rPr>
            </w:pPr>
            <w:r>
              <w:rPr>
                <w:rFonts w:ascii="Arial" w:hAnsi="Arial" w:cs="Arial"/>
                <w:sz w:val="20"/>
                <w:szCs w:val="20"/>
              </w:rPr>
              <w:t>16 (100%)</w:t>
            </w:r>
          </w:p>
        </w:tc>
        <w:tc>
          <w:tcPr>
            <w:tcW w:w="1440" w:type="dxa"/>
          </w:tcPr>
          <w:p w:rsidR="00075DBE" w:rsidRDefault="00075DBE" w:rsidP="000F60D7">
            <w:pPr>
              <w:spacing w:after="0"/>
              <w:jc w:val="center"/>
              <w:rPr>
                <w:rFonts w:ascii="Arial" w:hAnsi="Arial" w:cs="Arial"/>
                <w:sz w:val="20"/>
                <w:szCs w:val="20"/>
              </w:rPr>
            </w:pPr>
            <w:r>
              <w:rPr>
                <w:rFonts w:ascii="Arial" w:hAnsi="Arial" w:cs="Arial"/>
                <w:sz w:val="20"/>
                <w:szCs w:val="20"/>
              </w:rPr>
              <w:t>16 (100%)</w:t>
            </w:r>
          </w:p>
        </w:tc>
      </w:tr>
    </w:tbl>
    <w:p w:rsidR="00075DBE" w:rsidRDefault="00075DBE" w:rsidP="006A2572">
      <w:pPr>
        <w:spacing w:after="0"/>
        <w:rPr>
          <w:rFonts w:ascii="Arial" w:hAnsi="Arial" w:cs="Arial"/>
          <w:sz w:val="20"/>
          <w:szCs w:val="20"/>
        </w:rPr>
      </w:pPr>
    </w:p>
    <w:p w:rsidR="00075DBE" w:rsidRPr="00DE44E3" w:rsidRDefault="00075DBE" w:rsidP="00D624C8">
      <w:pPr>
        <w:pStyle w:val="Heading2"/>
        <w:spacing w:after="100" w:afterAutospacing="1"/>
        <w:rPr>
          <w:b w:val="0"/>
          <w:i/>
          <w:sz w:val="20"/>
        </w:rPr>
      </w:pPr>
      <w:r>
        <w:br w:type="page"/>
      </w:r>
      <w:r w:rsidRPr="00DE44E3">
        <w:rPr>
          <w:b w:val="0"/>
          <w:i/>
        </w:rPr>
        <w:lastRenderedPageBreak/>
        <w:t>&lt;cap&gt;</w:t>
      </w:r>
      <w:r w:rsidRPr="00DE44E3">
        <w:rPr>
          <w:b w:val="0"/>
          <w:i/>
          <w:sz w:val="20"/>
        </w:rPr>
        <w:t>Table 8.5 Total employment and sales turnover, actual change and future forecast</w:t>
      </w:r>
    </w:p>
    <w:tbl>
      <w:tblPr>
        <w:tblW w:w="850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478"/>
        <w:gridCol w:w="872"/>
        <w:gridCol w:w="717"/>
        <w:gridCol w:w="478"/>
        <w:gridCol w:w="872"/>
        <w:gridCol w:w="717"/>
        <w:gridCol w:w="478"/>
        <w:gridCol w:w="872"/>
        <w:gridCol w:w="717"/>
      </w:tblGrid>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b/>
                <w:bCs/>
                <w:sz w:val="20"/>
                <w:szCs w:val="20"/>
                <w:lang w:eastAsia="en-GB"/>
              </w:rPr>
            </w:pPr>
            <w:r w:rsidRPr="005966B1">
              <w:rPr>
                <w:rFonts w:ascii="Arial" w:hAnsi="Arial" w:cs="Arial"/>
                <w:b/>
                <w:bCs/>
                <w:sz w:val="20"/>
                <w:szCs w:val="20"/>
                <w:lang w:eastAsia="en-GB"/>
              </w:rPr>
              <w:t>Total Employment</w:t>
            </w:r>
          </w:p>
        </w:tc>
        <w:tc>
          <w:tcPr>
            <w:tcW w:w="1350" w:type="dxa"/>
            <w:gridSpan w:val="2"/>
            <w:noWrap/>
            <w:vAlign w:val="bottom"/>
          </w:tcPr>
          <w:p w:rsidR="00075DBE" w:rsidRPr="005966B1" w:rsidRDefault="00075DBE" w:rsidP="006206D5">
            <w:pPr>
              <w:spacing w:after="0" w:line="240" w:lineRule="auto"/>
              <w:rPr>
                <w:rFonts w:ascii="Arial" w:hAnsi="Arial" w:cs="Arial"/>
                <w:b/>
                <w:bCs/>
                <w:sz w:val="20"/>
                <w:szCs w:val="20"/>
                <w:lang w:eastAsia="en-GB"/>
              </w:rPr>
            </w:pPr>
            <w:r w:rsidRPr="005966B1">
              <w:rPr>
                <w:rFonts w:ascii="Arial" w:hAnsi="Arial" w:cs="Arial"/>
                <w:b/>
                <w:bCs/>
                <w:sz w:val="20"/>
                <w:szCs w:val="20"/>
                <w:lang w:eastAsia="en-GB"/>
              </w:rPr>
              <w:t>ECF/Aspire</w:t>
            </w:r>
          </w:p>
        </w:tc>
        <w:tc>
          <w:tcPr>
            <w:tcW w:w="717" w:type="dxa"/>
            <w:noWrap/>
            <w:vAlign w:val="bottom"/>
          </w:tcPr>
          <w:p w:rsidR="00075DBE" w:rsidRPr="005966B1" w:rsidRDefault="00075DBE" w:rsidP="006206D5">
            <w:pPr>
              <w:spacing w:after="0" w:line="240" w:lineRule="auto"/>
              <w:rPr>
                <w:rFonts w:ascii="Arial" w:hAnsi="Arial" w:cs="Arial"/>
                <w:b/>
                <w:bCs/>
                <w:sz w:val="20"/>
                <w:szCs w:val="20"/>
                <w:lang w:eastAsia="en-GB"/>
              </w:rPr>
            </w:pPr>
          </w:p>
        </w:tc>
        <w:tc>
          <w:tcPr>
            <w:tcW w:w="1350" w:type="dxa"/>
            <w:gridSpan w:val="2"/>
            <w:noWrap/>
            <w:vAlign w:val="bottom"/>
          </w:tcPr>
          <w:p w:rsidR="00075DBE" w:rsidRPr="005966B1" w:rsidRDefault="00075DBE" w:rsidP="006206D5">
            <w:pPr>
              <w:spacing w:after="0" w:line="240" w:lineRule="auto"/>
              <w:rPr>
                <w:rFonts w:ascii="Arial" w:hAnsi="Arial" w:cs="Arial"/>
                <w:b/>
                <w:bCs/>
                <w:sz w:val="20"/>
                <w:szCs w:val="20"/>
                <w:lang w:eastAsia="en-GB"/>
              </w:rPr>
            </w:pPr>
            <w:r w:rsidRPr="005966B1">
              <w:rPr>
                <w:rFonts w:ascii="Arial" w:hAnsi="Arial" w:cs="Arial"/>
                <w:b/>
                <w:bCs/>
                <w:sz w:val="20"/>
                <w:szCs w:val="20"/>
                <w:lang w:eastAsia="en-GB"/>
              </w:rPr>
              <w:t>UKIIF</w:t>
            </w:r>
          </w:p>
        </w:tc>
        <w:tc>
          <w:tcPr>
            <w:tcW w:w="717" w:type="dxa"/>
            <w:noWrap/>
            <w:vAlign w:val="bottom"/>
          </w:tcPr>
          <w:p w:rsidR="00075DBE" w:rsidRPr="005966B1" w:rsidRDefault="00075DBE" w:rsidP="006206D5">
            <w:pPr>
              <w:spacing w:after="0" w:line="240" w:lineRule="auto"/>
              <w:rPr>
                <w:rFonts w:ascii="Arial" w:hAnsi="Arial" w:cs="Arial"/>
                <w:b/>
                <w:bCs/>
                <w:sz w:val="20"/>
                <w:szCs w:val="20"/>
                <w:lang w:eastAsia="en-GB"/>
              </w:rPr>
            </w:pPr>
          </w:p>
        </w:tc>
        <w:tc>
          <w:tcPr>
            <w:tcW w:w="1350" w:type="dxa"/>
            <w:gridSpan w:val="2"/>
            <w:noWrap/>
            <w:vAlign w:val="bottom"/>
          </w:tcPr>
          <w:p w:rsidR="00075DBE" w:rsidRPr="005966B1" w:rsidRDefault="00075DBE" w:rsidP="006206D5">
            <w:pPr>
              <w:spacing w:after="0" w:line="240" w:lineRule="auto"/>
              <w:rPr>
                <w:rFonts w:ascii="Arial" w:hAnsi="Arial" w:cs="Arial"/>
                <w:b/>
                <w:bCs/>
                <w:sz w:val="20"/>
                <w:szCs w:val="20"/>
                <w:lang w:eastAsia="en-GB"/>
              </w:rPr>
            </w:pPr>
            <w:r w:rsidRPr="005966B1">
              <w:rPr>
                <w:rFonts w:ascii="Arial" w:hAnsi="Arial" w:cs="Arial"/>
                <w:b/>
                <w:bCs/>
                <w:sz w:val="20"/>
                <w:szCs w:val="20"/>
                <w:lang w:eastAsia="en-GB"/>
              </w:rPr>
              <w:t>Total</w:t>
            </w:r>
          </w:p>
        </w:tc>
        <w:tc>
          <w:tcPr>
            <w:tcW w:w="717" w:type="dxa"/>
            <w:noWrap/>
            <w:vAlign w:val="bottom"/>
          </w:tcPr>
          <w:p w:rsidR="00075DBE" w:rsidRPr="005966B1" w:rsidRDefault="00075DBE" w:rsidP="006206D5">
            <w:pPr>
              <w:spacing w:after="0" w:line="240" w:lineRule="auto"/>
              <w:rPr>
                <w:rFonts w:ascii="Arial" w:hAnsi="Arial" w:cs="Arial"/>
                <w:sz w:val="20"/>
                <w:szCs w:val="20"/>
                <w:lang w:eastAsia="en-GB"/>
              </w:rPr>
            </w:pPr>
          </w:p>
        </w:tc>
      </w:tr>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sz w:val="20"/>
                <w:szCs w:val="20"/>
                <w:lang w:eastAsia="en-GB"/>
              </w:rPr>
            </w:pPr>
          </w:p>
        </w:tc>
        <w:tc>
          <w:tcPr>
            <w:tcW w:w="478"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N=</w:t>
            </w:r>
          </w:p>
        </w:tc>
        <w:tc>
          <w:tcPr>
            <w:tcW w:w="872"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med</w:t>
            </w:r>
            <w:r>
              <w:rPr>
                <w:rFonts w:ascii="Arial" w:hAnsi="Arial" w:cs="Arial"/>
                <w:sz w:val="20"/>
                <w:szCs w:val="20"/>
                <w:lang w:eastAsia="en-GB"/>
              </w:rPr>
              <w:t>ian</w:t>
            </w:r>
          </w:p>
        </w:tc>
        <w:tc>
          <w:tcPr>
            <w:tcW w:w="717"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mean</w:t>
            </w:r>
          </w:p>
        </w:tc>
        <w:tc>
          <w:tcPr>
            <w:tcW w:w="478"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N=</w:t>
            </w:r>
          </w:p>
        </w:tc>
        <w:tc>
          <w:tcPr>
            <w:tcW w:w="872"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med</w:t>
            </w:r>
            <w:r>
              <w:rPr>
                <w:rFonts w:ascii="Arial" w:hAnsi="Arial" w:cs="Arial"/>
                <w:sz w:val="20"/>
                <w:szCs w:val="20"/>
                <w:lang w:eastAsia="en-GB"/>
              </w:rPr>
              <w:t>ian</w:t>
            </w:r>
          </w:p>
        </w:tc>
        <w:tc>
          <w:tcPr>
            <w:tcW w:w="717"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mean</w:t>
            </w:r>
          </w:p>
        </w:tc>
        <w:tc>
          <w:tcPr>
            <w:tcW w:w="478"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N=</w:t>
            </w:r>
          </w:p>
        </w:tc>
        <w:tc>
          <w:tcPr>
            <w:tcW w:w="872"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med</w:t>
            </w:r>
            <w:r>
              <w:rPr>
                <w:rFonts w:ascii="Arial" w:hAnsi="Arial" w:cs="Arial"/>
                <w:sz w:val="20"/>
                <w:szCs w:val="20"/>
                <w:lang w:eastAsia="en-GB"/>
              </w:rPr>
              <w:t>ian</w:t>
            </w:r>
          </w:p>
        </w:tc>
        <w:tc>
          <w:tcPr>
            <w:tcW w:w="717"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mean</w:t>
            </w:r>
          </w:p>
        </w:tc>
      </w:tr>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Time of funding</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16</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4</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9.</w:t>
            </w:r>
            <w:r>
              <w:rPr>
                <w:rFonts w:ascii="Arial" w:hAnsi="Arial" w:cs="Arial"/>
                <w:sz w:val="20"/>
                <w:szCs w:val="20"/>
                <w:lang w:eastAsia="en-GB"/>
              </w:rPr>
              <w:t>5</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16</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11</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3</w:t>
            </w:r>
            <w:r>
              <w:rPr>
                <w:rFonts w:ascii="Arial" w:hAnsi="Arial" w:cs="Arial"/>
                <w:sz w:val="20"/>
                <w:szCs w:val="20"/>
                <w:lang w:eastAsia="en-GB"/>
              </w:rPr>
              <w:t>8</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32</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5</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2</w:t>
            </w:r>
            <w:r>
              <w:rPr>
                <w:rFonts w:ascii="Arial" w:hAnsi="Arial" w:cs="Arial"/>
                <w:sz w:val="20"/>
                <w:szCs w:val="20"/>
                <w:lang w:eastAsia="en-GB"/>
              </w:rPr>
              <w:t>6</w:t>
            </w:r>
          </w:p>
        </w:tc>
      </w:tr>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1 year after funding</w:t>
            </w:r>
            <w:r>
              <w:rPr>
                <w:rFonts w:ascii="Arial" w:hAnsi="Arial" w:cs="Arial"/>
                <w:sz w:val="20"/>
                <w:szCs w:val="20"/>
                <w:lang w:eastAsia="en-GB"/>
              </w:rPr>
              <w:t>*</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16</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w:t>
            </w:r>
            <w:r>
              <w:rPr>
                <w:rFonts w:ascii="Arial" w:hAnsi="Arial" w:cs="Arial"/>
                <w:sz w:val="20"/>
                <w:szCs w:val="20"/>
                <w:lang w:eastAsia="en-GB"/>
              </w:rPr>
              <w:t>0</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w:t>
            </w:r>
            <w:r>
              <w:rPr>
                <w:rFonts w:ascii="Arial" w:hAnsi="Arial" w:cs="Arial"/>
                <w:sz w:val="20"/>
                <w:szCs w:val="20"/>
                <w:lang w:eastAsia="en-GB"/>
              </w:rPr>
              <w:t>2.9</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16</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20</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58.4</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32</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15</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39</w:t>
            </w:r>
            <w:r>
              <w:rPr>
                <w:rFonts w:ascii="Arial" w:hAnsi="Arial" w:cs="Arial"/>
                <w:sz w:val="20"/>
                <w:szCs w:val="20"/>
                <w:lang w:eastAsia="en-GB"/>
              </w:rPr>
              <w:t>.5</w:t>
            </w:r>
          </w:p>
        </w:tc>
      </w:tr>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2 years after funding</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14</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35</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69.1</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r>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3 years after funding</w:t>
            </w:r>
            <w:r>
              <w:rPr>
                <w:rFonts w:ascii="Arial" w:hAnsi="Arial" w:cs="Arial"/>
                <w:sz w:val="20"/>
                <w:szCs w:val="20"/>
                <w:lang w:eastAsia="en-GB"/>
              </w:rPr>
              <w:t>**</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14</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60</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84</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r>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4 years after funding</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10</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26</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25.7</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r>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5 years after funding</w:t>
            </w:r>
            <w:r>
              <w:rPr>
                <w:rFonts w:ascii="Arial" w:hAnsi="Arial" w:cs="Arial"/>
                <w:sz w:val="20"/>
                <w:szCs w:val="20"/>
                <w:lang w:eastAsia="en-GB"/>
              </w:rPr>
              <w:t>**</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10</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30</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29.4</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r>
      <w:tr w:rsidR="00075DBE" w:rsidRPr="005966B1" w:rsidTr="006206D5">
        <w:trPr>
          <w:trHeight w:val="255"/>
        </w:trPr>
        <w:tc>
          <w:tcPr>
            <w:tcW w:w="8507" w:type="dxa"/>
            <w:gridSpan w:val="10"/>
            <w:noWrap/>
            <w:vAlign w:val="bottom"/>
          </w:tcPr>
          <w:p w:rsidR="00075DBE" w:rsidRPr="005966B1" w:rsidRDefault="00075DBE" w:rsidP="006206D5">
            <w:pPr>
              <w:spacing w:after="0" w:line="240" w:lineRule="auto"/>
              <w:rPr>
                <w:rFonts w:ascii="Arial" w:hAnsi="Arial" w:cs="Arial"/>
                <w:sz w:val="20"/>
                <w:szCs w:val="20"/>
                <w:lang w:eastAsia="en-GB"/>
              </w:rPr>
            </w:pPr>
          </w:p>
        </w:tc>
      </w:tr>
      <w:tr w:rsidR="00075DBE" w:rsidRPr="005966B1" w:rsidTr="006206D5">
        <w:trPr>
          <w:trHeight w:val="255"/>
        </w:trPr>
        <w:tc>
          <w:tcPr>
            <w:tcW w:w="8507" w:type="dxa"/>
            <w:gridSpan w:val="10"/>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b/>
                <w:bCs/>
                <w:sz w:val="20"/>
                <w:szCs w:val="20"/>
                <w:lang w:eastAsia="en-GB"/>
              </w:rPr>
              <w:t>Annual Sales Turnover (£m)</w:t>
            </w:r>
          </w:p>
        </w:tc>
      </w:tr>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Time of funding</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16</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0</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0.56</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16</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0</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6.2</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32</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0</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3.85</w:t>
            </w:r>
          </w:p>
        </w:tc>
      </w:tr>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1 year after funding</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16</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0</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0.7</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16</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1.3</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10</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32</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0.9</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6.2</w:t>
            </w:r>
          </w:p>
        </w:tc>
      </w:tr>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2 years after funding</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14</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1.5</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14.3</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r>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3 years after funding</w:t>
            </w:r>
            <w:r>
              <w:rPr>
                <w:rFonts w:ascii="Arial" w:hAnsi="Arial" w:cs="Arial"/>
                <w:sz w:val="20"/>
                <w:szCs w:val="20"/>
                <w:lang w:eastAsia="en-GB"/>
              </w:rPr>
              <w:t>*</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14</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3.25</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18.9</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r>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4 years after funding</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10</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0.38</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1.62</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r>
      <w:tr w:rsidR="00075DBE" w:rsidRPr="005966B1" w:rsidTr="006206D5">
        <w:trPr>
          <w:trHeight w:val="255"/>
        </w:trPr>
        <w:tc>
          <w:tcPr>
            <w:tcW w:w="2306" w:type="dxa"/>
            <w:noWrap/>
            <w:vAlign w:val="bottom"/>
          </w:tcPr>
          <w:p w:rsidR="00075DBE" w:rsidRPr="005966B1" w:rsidRDefault="00075DBE" w:rsidP="006206D5">
            <w:pPr>
              <w:spacing w:after="0" w:line="240" w:lineRule="auto"/>
              <w:rPr>
                <w:rFonts w:ascii="Arial" w:hAnsi="Arial" w:cs="Arial"/>
                <w:sz w:val="20"/>
                <w:szCs w:val="20"/>
                <w:lang w:eastAsia="en-GB"/>
              </w:rPr>
            </w:pPr>
            <w:r w:rsidRPr="005966B1">
              <w:rPr>
                <w:rFonts w:ascii="Arial" w:hAnsi="Arial" w:cs="Arial"/>
                <w:sz w:val="20"/>
                <w:szCs w:val="20"/>
                <w:lang w:eastAsia="en-GB"/>
              </w:rPr>
              <w:t>5 years after funding</w:t>
            </w:r>
            <w:r>
              <w:rPr>
                <w:rFonts w:ascii="Arial" w:hAnsi="Arial" w:cs="Arial"/>
                <w:sz w:val="20"/>
                <w:szCs w:val="20"/>
                <w:lang w:eastAsia="en-GB"/>
              </w:rPr>
              <w:t>*</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10</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1.2</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sidRPr="005966B1">
              <w:rPr>
                <w:rFonts w:ascii="Arial" w:hAnsi="Arial" w:cs="Arial"/>
                <w:sz w:val="20"/>
                <w:szCs w:val="20"/>
                <w:lang w:eastAsia="en-GB"/>
              </w:rPr>
              <w:t>2.17</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478"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872"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c>
          <w:tcPr>
            <w:tcW w:w="717" w:type="dxa"/>
            <w:noWrap/>
            <w:vAlign w:val="bottom"/>
          </w:tcPr>
          <w:p w:rsidR="00075DBE" w:rsidRPr="005966B1" w:rsidRDefault="00075DBE" w:rsidP="006206D5">
            <w:pPr>
              <w:spacing w:after="0" w:line="240" w:lineRule="auto"/>
              <w:jc w:val="center"/>
              <w:rPr>
                <w:rFonts w:ascii="Arial" w:hAnsi="Arial" w:cs="Arial"/>
                <w:sz w:val="20"/>
                <w:szCs w:val="20"/>
                <w:lang w:eastAsia="en-GB"/>
              </w:rPr>
            </w:pPr>
            <w:r>
              <w:rPr>
                <w:rFonts w:ascii="Arial" w:hAnsi="Arial" w:cs="Arial"/>
                <w:sz w:val="20"/>
                <w:szCs w:val="20"/>
                <w:lang w:eastAsia="en-GB"/>
              </w:rPr>
              <w:t>-</w:t>
            </w:r>
          </w:p>
        </w:tc>
      </w:tr>
    </w:tbl>
    <w:p w:rsidR="00075DBE" w:rsidRDefault="00075DBE" w:rsidP="00D65284">
      <w:pPr>
        <w:spacing w:after="0" w:line="240" w:lineRule="auto"/>
        <w:jc w:val="both"/>
        <w:rPr>
          <w:rFonts w:ascii="Arial" w:hAnsi="Arial" w:cs="Arial"/>
          <w:sz w:val="20"/>
          <w:szCs w:val="20"/>
        </w:rPr>
      </w:pPr>
    </w:p>
    <w:p w:rsidR="00075DBE" w:rsidRDefault="00075DBE" w:rsidP="00D65284">
      <w:pPr>
        <w:spacing w:after="0" w:line="240" w:lineRule="auto"/>
        <w:jc w:val="both"/>
        <w:rPr>
          <w:rFonts w:ascii="Arial" w:hAnsi="Arial" w:cs="Arial"/>
          <w:sz w:val="20"/>
          <w:szCs w:val="20"/>
        </w:rPr>
      </w:pPr>
      <w:r w:rsidRPr="00DE44E3">
        <w:rPr>
          <w:rFonts w:ascii="Arial" w:hAnsi="Arial" w:cs="Arial"/>
          <w:i/>
          <w:sz w:val="20"/>
          <w:szCs w:val="20"/>
        </w:rPr>
        <w:t>Notes</w:t>
      </w:r>
      <w:r w:rsidRPr="005966B1">
        <w:rPr>
          <w:rFonts w:ascii="Arial" w:hAnsi="Arial" w:cs="Arial"/>
          <w:sz w:val="20"/>
          <w:szCs w:val="20"/>
        </w:rPr>
        <w:t>:</w:t>
      </w:r>
    </w:p>
    <w:p w:rsidR="00075DBE" w:rsidRDefault="00075DBE" w:rsidP="00D65284">
      <w:pPr>
        <w:spacing w:after="0" w:line="240" w:lineRule="auto"/>
        <w:jc w:val="both"/>
        <w:rPr>
          <w:rFonts w:ascii="Arial" w:hAnsi="Arial" w:cs="Arial"/>
          <w:sz w:val="20"/>
          <w:szCs w:val="20"/>
        </w:rPr>
      </w:pPr>
      <w:r>
        <w:rPr>
          <w:rFonts w:ascii="Arial" w:hAnsi="Arial" w:cs="Arial"/>
          <w:sz w:val="20"/>
          <w:szCs w:val="20"/>
        </w:rPr>
        <w:t>* ECF/Aspire surveyed February 2010, UKIIF surveyed February 2012.</w:t>
      </w:r>
    </w:p>
    <w:p w:rsidR="00075DBE" w:rsidRDefault="00075DBE" w:rsidP="00DE44E3">
      <w:pPr>
        <w:spacing w:after="0" w:line="240" w:lineRule="auto"/>
        <w:jc w:val="both"/>
        <w:rPr>
          <w:rFonts w:ascii="Arial" w:hAnsi="Arial" w:cs="Arial"/>
          <w:sz w:val="20"/>
          <w:szCs w:val="20"/>
        </w:rPr>
      </w:pPr>
      <w:r>
        <w:rPr>
          <w:rFonts w:ascii="Arial" w:hAnsi="Arial" w:cs="Arial"/>
          <w:sz w:val="20"/>
          <w:szCs w:val="20"/>
        </w:rPr>
        <w:t>**Year 3 is the next year forecast for UKIIF.</w:t>
      </w:r>
    </w:p>
    <w:p w:rsidR="00075DBE" w:rsidRPr="005966B1" w:rsidRDefault="00075DBE" w:rsidP="00DE44E3">
      <w:pPr>
        <w:spacing w:after="0" w:line="240" w:lineRule="auto"/>
        <w:jc w:val="both"/>
        <w:rPr>
          <w:rFonts w:ascii="Arial" w:hAnsi="Arial" w:cs="Arial"/>
          <w:sz w:val="20"/>
          <w:szCs w:val="20"/>
        </w:rPr>
      </w:pPr>
      <w:r>
        <w:rPr>
          <w:rFonts w:ascii="Arial" w:hAnsi="Arial" w:cs="Arial"/>
          <w:sz w:val="20"/>
          <w:szCs w:val="20"/>
        </w:rPr>
        <w:t>**Year 5 is the next year forecast for ECF and Aspire.</w:t>
      </w:r>
    </w:p>
    <w:p w:rsidR="00075DBE" w:rsidRPr="00DE44E3" w:rsidRDefault="00075DBE" w:rsidP="0061384C">
      <w:pPr>
        <w:spacing w:after="100" w:afterAutospacing="1" w:line="240" w:lineRule="auto"/>
        <w:jc w:val="both"/>
        <w:rPr>
          <w:rFonts w:ascii="Arial" w:hAnsi="Arial" w:cs="Arial"/>
          <w:i/>
          <w:sz w:val="20"/>
          <w:szCs w:val="20"/>
        </w:rPr>
      </w:pPr>
      <w:r>
        <w:rPr>
          <w:rFonts w:ascii="Arial" w:hAnsi="Arial" w:cs="Arial"/>
          <w:sz w:val="20"/>
          <w:szCs w:val="20"/>
          <w:highlight w:val="yellow"/>
        </w:rPr>
        <w:br w:type="page"/>
      </w:r>
      <w:r w:rsidRPr="00DE44E3">
        <w:rPr>
          <w:rFonts w:ascii="Arial" w:hAnsi="Arial" w:cs="Arial"/>
          <w:i/>
          <w:sz w:val="20"/>
          <w:szCs w:val="20"/>
        </w:rPr>
        <w:lastRenderedPageBreak/>
        <w:t>&lt;cap&gt;Table 8.6 business performance, time and type of investment exit expected</w:t>
      </w:r>
    </w:p>
    <w:tbl>
      <w:tblPr>
        <w:tblW w:w="68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440"/>
        <w:gridCol w:w="1800"/>
        <w:gridCol w:w="1980"/>
      </w:tblGrid>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b/>
                <w:bCs/>
                <w:sz w:val="20"/>
                <w:szCs w:val="20"/>
                <w:lang w:eastAsia="en-GB"/>
              </w:rPr>
            </w:pPr>
            <w:r w:rsidRPr="006153FF">
              <w:rPr>
                <w:rFonts w:ascii="Arial" w:hAnsi="Arial" w:cs="Arial"/>
                <w:b/>
                <w:bCs/>
                <w:sz w:val="20"/>
                <w:szCs w:val="20"/>
                <w:lang w:eastAsia="en-GB"/>
              </w:rPr>
              <w:t>Performance</w:t>
            </w:r>
          </w:p>
        </w:tc>
        <w:tc>
          <w:tcPr>
            <w:tcW w:w="1440" w:type="dxa"/>
            <w:noWrap/>
            <w:vAlign w:val="bottom"/>
          </w:tcPr>
          <w:p w:rsidR="00075DBE"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Year 1 All</w:t>
            </w:r>
            <w:r>
              <w:rPr>
                <w:rFonts w:ascii="Arial" w:hAnsi="Arial" w:cs="Arial"/>
                <w:sz w:val="20"/>
                <w:szCs w:val="20"/>
                <w:lang w:eastAsia="en-GB"/>
              </w:rPr>
              <w:t>*</w:t>
            </w:r>
          </w:p>
          <w:p w:rsidR="00075DBE" w:rsidRPr="006153FF" w:rsidRDefault="00075DBE" w:rsidP="0071701B">
            <w:pPr>
              <w:spacing w:after="0" w:line="240" w:lineRule="auto"/>
              <w:rPr>
                <w:rFonts w:ascii="Arial" w:hAnsi="Arial" w:cs="Arial"/>
                <w:sz w:val="20"/>
                <w:szCs w:val="20"/>
                <w:lang w:eastAsia="en-GB"/>
              </w:rPr>
            </w:pPr>
            <w:r>
              <w:rPr>
                <w:rFonts w:ascii="Arial" w:hAnsi="Arial" w:cs="Arial"/>
                <w:sz w:val="20"/>
                <w:szCs w:val="20"/>
                <w:lang w:eastAsia="en-GB"/>
              </w:rPr>
              <w:t>(Column %)</w:t>
            </w:r>
          </w:p>
        </w:tc>
        <w:tc>
          <w:tcPr>
            <w:tcW w:w="1800" w:type="dxa"/>
            <w:noWrap/>
            <w:vAlign w:val="bottom"/>
          </w:tcPr>
          <w:p w:rsidR="00075DBE"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Year 2 UKIIF</w:t>
            </w:r>
          </w:p>
          <w:p w:rsidR="00075DBE" w:rsidRPr="006153FF" w:rsidRDefault="00075DBE" w:rsidP="0071701B">
            <w:pPr>
              <w:spacing w:after="0" w:line="240" w:lineRule="auto"/>
              <w:rPr>
                <w:rFonts w:ascii="Arial" w:hAnsi="Arial" w:cs="Arial"/>
                <w:sz w:val="20"/>
                <w:szCs w:val="20"/>
                <w:lang w:eastAsia="en-GB"/>
              </w:rPr>
            </w:pPr>
            <w:r>
              <w:rPr>
                <w:rFonts w:ascii="Arial" w:hAnsi="Arial" w:cs="Arial"/>
                <w:sz w:val="20"/>
                <w:szCs w:val="20"/>
                <w:lang w:eastAsia="en-GB"/>
              </w:rPr>
              <w:t>(Column %)</w:t>
            </w:r>
          </w:p>
        </w:tc>
        <w:tc>
          <w:tcPr>
            <w:tcW w:w="1980" w:type="dxa"/>
            <w:noWrap/>
            <w:vAlign w:val="bottom"/>
          </w:tcPr>
          <w:p w:rsidR="00075DBE"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Year 4 ECF/Aspire</w:t>
            </w:r>
          </w:p>
          <w:p w:rsidR="00075DBE" w:rsidRPr="006153FF" w:rsidRDefault="00075DBE" w:rsidP="0071701B">
            <w:pPr>
              <w:spacing w:after="0" w:line="240" w:lineRule="auto"/>
              <w:rPr>
                <w:rFonts w:ascii="Arial" w:hAnsi="Arial" w:cs="Arial"/>
                <w:sz w:val="20"/>
                <w:szCs w:val="20"/>
                <w:lang w:eastAsia="en-GB"/>
              </w:rPr>
            </w:pPr>
            <w:r>
              <w:rPr>
                <w:rFonts w:ascii="Arial" w:hAnsi="Arial" w:cs="Arial"/>
                <w:sz w:val="20"/>
                <w:szCs w:val="20"/>
                <w:lang w:eastAsia="en-GB"/>
              </w:rPr>
              <w:t>(Column %)</w:t>
            </w: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Better</w:t>
            </w:r>
          </w:p>
        </w:tc>
        <w:tc>
          <w:tcPr>
            <w:tcW w:w="144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30%</w:t>
            </w:r>
          </w:p>
        </w:tc>
        <w:tc>
          <w:tcPr>
            <w:tcW w:w="180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29%</w:t>
            </w:r>
          </w:p>
        </w:tc>
        <w:tc>
          <w:tcPr>
            <w:tcW w:w="198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0%</w:t>
            </w: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Same</w:t>
            </w:r>
          </w:p>
        </w:tc>
        <w:tc>
          <w:tcPr>
            <w:tcW w:w="144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48%</w:t>
            </w:r>
          </w:p>
        </w:tc>
        <w:tc>
          <w:tcPr>
            <w:tcW w:w="180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43%</w:t>
            </w:r>
          </w:p>
        </w:tc>
        <w:tc>
          <w:tcPr>
            <w:tcW w:w="198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40%</w:t>
            </w: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Worse</w:t>
            </w:r>
          </w:p>
        </w:tc>
        <w:tc>
          <w:tcPr>
            <w:tcW w:w="144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22%</w:t>
            </w:r>
          </w:p>
        </w:tc>
        <w:tc>
          <w:tcPr>
            <w:tcW w:w="180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28%</w:t>
            </w:r>
          </w:p>
        </w:tc>
        <w:tc>
          <w:tcPr>
            <w:tcW w:w="198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60%</w:t>
            </w: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b/>
                <w:bCs/>
                <w:sz w:val="20"/>
                <w:szCs w:val="20"/>
                <w:lang w:eastAsia="en-GB"/>
              </w:rPr>
            </w:pPr>
            <w:r w:rsidRPr="006153FF">
              <w:rPr>
                <w:rFonts w:ascii="Arial" w:hAnsi="Arial" w:cs="Arial"/>
                <w:b/>
                <w:bCs/>
                <w:sz w:val="20"/>
                <w:szCs w:val="20"/>
                <w:lang w:eastAsia="en-GB"/>
              </w:rPr>
              <w:t>Time to Exit</w:t>
            </w:r>
          </w:p>
        </w:tc>
        <w:tc>
          <w:tcPr>
            <w:tcW w:w="1440" w:type="dxa"/>
            <w:noWrap/>
            <w:vAlign w:val="bottom"/>
          </w:tcPr>
          <w:p w:rsidR="00075DBE" w:rsidRPr="006153FF" w:rsidRDefault="00075DBE" w:rsidP="0071701B">
            <w:pPr>
              <w:spacing w:after="0" w:line="240" w:lineRule="auto"/>
              <w:jc w:val="center"/>
              <w:rPr>
                <w:rFonts w:ascii="Arial" w:hAnsi="Arial" w:cs="Arial"/>
                <w:sz w:val="20"/>
                <w:szCs w:val="20"/>
                <w:lang w:eastAsia="en-GB"/>
              </w:rPr>
            </w:pPr>
          </w:p>
        </w:tc>
        <w:tc>
          <w:tcPr>
            <w:tcW w:w="1800" w:type="dxa"/>
            <w:noWrap/>
            <w:vAlign w:val="bottom"/>
          </w:tcPr>
          <w:p w:rsidR="00075DBE" w:rsidRPr="006153FF" w:rsidRDefault="00075DBE" w:rsidP="0071701B">
            <w:pPr>
              <w:spacing w:after="0" w:line="240" w:lineRule="auto"/>
              <w:jc w:val="center"/>
              <w:rPr>
                <w:rFonts w:ascii="Arial" w:hAnsi="Arial" w:cs="Arial"/>
                <w:sz w:val="20"/>
                <w:szCs w:val="20"/>
                <w:lang w:eastAsia="en-GB"/>
              </w:rPr>
            </w:pPr>
          </w:p>
        </w:tc>
        <w:tc>
          <w:tcPr>
            <w:tcW w:w="1980" w:type="dxa"/>
            <w:noWrap/>
            <w:vAlign w:val="bottom"/>
          </w:tcPr>
          <w:p w:rsidR="00075DBE" w:rsidRPr="006153FF" w:rsidRDefault="00075DBE" w:rsidP="0071701B">
            <w:pPr>
              <w:spacing w:after="0" w:line="240" w:lineRule="auto"/>
              <w:jc w:val="center"/>
              <w:rPr>
                <w:rFonts w:ascii="Arial" w:hAnsi="Arial" w:cs="Arial"/>
                <w:sz w:val="20"/>
                <w:szCs w:val="20"/>
                <w:lang w:eastAsia="en-GB"/>
              </w:rPr>
            </w:pP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Median</w:t>
            </w:r>
          </w:p>
        </w:tc>
        <w:tc>
          <w:tcPr>
            <w:tcW w:w="144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5 yrs</w:t>
            </w:r>
          </w:p>
        </w:tc>
        <w:tc>
          <w:tcPr>
            <w:tcW w:w="180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5 yrs</w:t>
            </w:r>
          </w:p>
        </w:tc>
        <w:tc>
          <w:tcPr>
            <w:tcW w:w="198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6.5 yrs</w:t>
            </w: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Range</w:t>
            </w:r>
          </w:p>
        </w:tc>
        <w:tc>
          <w:tcPr>
            <w:tcW w:w="1440" w:type="dxa"/>
            <w:noWrap/>
            <w:vAlign w:val="bottom"/>
          </w:tcPr>
          <w:p w:rsidR="00075DBE" w:rsidRPr="006153FF" w:rsidRDefault="00075DBE">
            <w:pPr>
              <w:spacing w:after="0" w:line="240" w:lineRule="auto"/>
              <w:jc w:val="center"/>
              <w:rPr>
                <w:rFonts w:ascii="Arial" w:hAnsi="Arial" w:cs="Arial"/>
                <w:sz w:val="20"/>
                <w:szCs w:val="20"/>
                <w:lang w:eastAsia="en-GB"/>
              </w:rPr>
            </w:pPr>
            <w:r w:rsidRPr="006153FF">
              <w:rPr>
                <w:rFonts w:ascii="Arial" w:hAnsi="Arial" w:cs="Arial"/>
                <w:sz w:val="20"/>
                <w:szCs w:val="20"/>
                <w:lang w:eastAsia="en-GB"/>
              </w:rPr>
              <w:t>2</w:t>
            </w:r>
            <w:r>
              <w:rPr>
                <w:rFonts w:ascii="Arial" w:hAnsi="Arial" w:cs="Arial"/>
                <w:sz w:val="20"/>
                <w:szCs w:val="20"/>
                <w:lang w:eastAsia="en-GB"/>
              </w:rPr>
              <w:t>‒</w:t>
            </w:r>
            <w:r w:rsidRPr="006153FF">
              <w:rPr>
                <w:rFonts w:ascii="Arial" w:hAnsi="Arial" w:cs="Arial"/>
                <w:sz w:val="20"/>
                <w:szCs w:val="20"/>
                <w:lang w:eastAsia="en-GB"/>
              </w:rPr>
              <w:t>7yrs</w:t>
            </w:r>
          </w:p>
        </w:tc>
        <w:tc>
          <w:tcPr>
            <w:tcW w:w="1800" w:type="dxa"/>
            <w:noWrap/>
            <w:vAlign w:val="bottom"/>
          </w:tcPr>
          <w:p w:rsidR="00075DBE" w:rsidRPr="006153FF" w:rsidRDefault="00075DBE">
            <w:pPr>
              <w:spacing w:after="0" w:line="240" w:lineRule="auto"/>
              <w:jc w:val="center"/>
              <w:rPr>
                <w:rFonts w:ascii="Arial" w:hAnsi="Arial" w:cs="Arial"/>
                <w:sz w:val="20"/>
                <w:szCs w:val="20"/>
                <w:lang w:eastAsia="en-GB"/>
              </w:rPr>
            </w:pPr>
            <w:r w:rsidRPr="006153FF">
              <w:rPr>
                <w:rFonts w:ascii="Arial" w:hAnsi="Arial" w:cs="Arial"/>
                <w:sz w:val="20"/>
                <w:szCs w:val="20"/>
                <w:lang w:eastAsia="en-GB"/>
              </w:rPr>
              <w:t>2</w:t>
            </w:r>
            <w:r>
              <w:rPr>
                <w:rFonts w:ascii="Arial" w:hAnsi="Arial" w:cs="Arial"/>
                <w:sz w:val="20"/>
                <w:szCs w:val="20"/>
                <w:lang w:eastAsia="en-GB"/>
              </w:rPr>
              <w:t>‒</w:t>
            </w:r>
            <w:r w:rsidRPr="006153FF">
              <w:rPr>
                <w:rFonts w:ascii="Arial" w:hAnsi="Arial" w:cs="Arial"/>
                <w:sz w:val="20"/>
                <w:szCs w:val="20"/>
                <w:lang w:eastAsia="en-GB"/>
              </w:rPr>
              <w:t>7 yrs</w:t>
            </w:r>
          </w:p>
        </w:tc>
        <w:tc>
          <w:tcPr>
            <w:tcW w:w="1980" w:type="dxa"/>
            <w:noWrap/>
            <w:vAlign w:val="bottom"/>
          </w:tcPr>
          <w:p w:rsidR="00075DBE" w:rsidRPr="006153FF" w:rsidRDefault="00075DBE">
            <w:pPr>
              <w:spacing w:after="0" w:line="240" w:lineRule="auto"/>
              <w:jc w:val="center"/>
              <w:rPr>
                <w:rFonts w:ascii="Arial" w:hAnsi="Arial" w:cs="Arial"/>
                <w:sz w:val="20"/>
                <w:szCs w:val="20"/>
                <w:lang w:eastAsia="en-GB"/>
              </w:rPr>
            </w:pPr>
            <w:r w:rsidRPr="006153FF">
              <w:rPr>
                <w:rFonts w:ascii="Arial" w:hAnsi="Arial" w:cs="Arial"/>
                <w:sz w:val="20"/>
                <w:szCs w:val="20"/>
                <w:lang w:eastAsia="en-GB"/>
              </w:rPr>
              <w:t>4</w:t>
            </w:r>
            <w:r>
              <w:rPr>
                <w:rFonts w:ascii="Arial" w:hAnsi="Arial" w:cs="Arial"/>
                <w:sz w:val="20"/>
                <w:szCs w:val="20"/>
                <w:lang w:eastAsia="en-GB"/>
              </w:rPr>
              <w:t>‒</w:t>
            </w:r>
            <w:r w:rsidRPr="006153FF">
              <w:rPr>
                <w:rFonts w:ascii="Arial" w:hAnsi="Arial" w:cs="Arial"/>
                <w:sz w:val="20"/>
                <w:szCs w:val="20"/>
                <w:lang w:eastAsia="en-GB"/>
              </w:rPr>
              <w:t>10 yrs</w:t>
            </w: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Longer</w:t>
            </w:r>
          </w:p>
        </w:tc>
        <w:tc>
          <w:tcPr>
            <w:tcW w:w="144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n/a</w:t>
            </w:r>
          </w:p>
        </w:tc>
        <w:tc>
          <w:tcPr>
            <w:tcW w:w="180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29%</w:t>
            </w:r>
          </w:p>
        </w:tc>
        <w:tc>
          <w:tcPr>
            <w:tcW w:w="198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80%</w:t>
            </w: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Same</w:t>
            </w:r>
          </w:p>
        </w:tc>
        <w:tc>
          <w:tcPr>
            <w:tcW w:w="144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n/a</w:t>
            </w:r>
          </w:p>
        </w:tc>
        <w:tc>
          <w:tcPr>
            <w:tcW w:w="180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64%</w:t>
            </w:r>
          </w:p>
        </w:tc>
        <w:tc>
          <w:tcPr>
            <w:tcW w:w="198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20%</w:t>
            </w: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Shorter</w:t>
            </w:r>
          </w:p>
        </w:tc>
        <w:tc>
          <w:tcPr>
            <w:tcW w:w="144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n/a</w:t>
            </w:r>
          </w:p>
        </w:tc>
        <w:tc>
          <w:tcPr>
            <w:tcW w:w="180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7%</w:t>
            </w:r>
          </w:p>
        </w:tc>
        <w:tc>
          <w:tcPr>
            <w:tcW w:w="198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0%</w:t>
            </w: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b/>
                <w:bCs/>
                <w:sz w:val="20"/>
                <w:szCs w:val="20"/>
                <w:lang w:eastAsia="en-GB"/>
              </w:rPr>
            </w:pPr>
            <w:r w:rsidRPr="006153FF">
              <w:rPr>
                <w:rFonts w:ascii="Arial" w:hAnsi="Arial" w:cs="Arial"/>
                <w:b/>
                <w:bCs/>
                <w:sz w:val="20"/>
                <w:szCs w:val="20"/>
                <w:lang w:eastAsia="en-GB"/>
              </w:rPr>
              <w:t>Type of Exit</w:t>
            </w:r>
          </w:p>
        </w:tc>
        <w:tc>
          <w:tcPr>
            <w:tcW w:w="1440" w:type="dxa"/>
            <w:noWrap/>
            <w:vAlign w:val="bottom"/>
          </w:tcPr>
          <w:p w:rsidR="00075DBE" w:rsidRPr="006153FF" w:rsidRDefault="00075DBE" w:rsidP="0071701B">
            <w:pPr>
              <w:spacing w:after="0" w:line="240" w:lineRule="auto"/>
              <w:jc w:val="center"/>
              <w:rPr>
                <w:rFonts w:ascii="Arial" w:hAnsi="Arial" w:cs="Arial"/>
                <w:sz w:val="20"/>
                <w:szCs w:val="20"/>
                <w:lang w:eastAsia="en-GB"/>
              </w:rPr>
            </w:pPr>
          </w:p>
        </w:tc>
        <w:tc>
          <w:tcPr>
            <w:tcW w:w="1800" w:type="dxa"/>
            <w:noWrap/>
            <w:vAlign w:val="bottom"/>
          </w:tcPr>
          <w:p w:rsidR="00075DBE" w:rsidRPr="006153FF" w:rsidRDefault="00075DBE" w:rsidP="0071701B">
            <w:pPr>
              <w:spacing w:after="0" w:line="240" w:lineRule="auto"/>
              <w:jc w:val="center"/>
              <w:rPr>
                <w:rFonts w:ascii="Arial" w:hAnsi="Arial" w:cs="Arial"/>
                <w:sz w:val="20"/>
                <w:szCs w:val="20"/>
                <w:lang w:eastAsia="en-GB"/>
              </w:rPr>
            </w:pPr>
          </w:p>
        </w:tc>
        <w:tc>
          <w:tcPr>
            <w:tcW w:w="1980" w:type="dxa"/>
            <w:noWrap/>
            <w:vAlign w:val="bottom"/>
          </w:tcPr>
          <w:p w:rsidR="00075DBE" w:rsidRPr="006153FF" w:rsidRDefault="00075DBE" w:rsidP="0071701B">
            <w:pPr>
              <w:spacing w:after="0" w:line="240" w:lineRule="auto"/>
              <w:jc w:val="center"/>
              <w:rPr>
                <w:rFonts w:ascii="Arial" w:hAnsi="Arial" w:cs="Arial"/>
                <w:sz w:val="20"/>
                <w:szCs w:val="20"/>
                <w:lang w:eastAsia="en-GB"/>
              </w:rPr>
            </w:pP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Trade Sale</w:t>
            </w:r>
          </w:p>
        </w:tc>
        <w:tc>
          <w:tcPr>
            <w:tcW w:w="144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67%</w:t>
            </w:r>
          </w:p>
        </w:tc>
        <w:tc>
          <w:tcPr>
            <w:tcW w:w="180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72%</w:t>
            </w:r>
          </w:p>
        </w:tc>
        <w:tc>
          <w:tcPr>
            <w:tcW w:w="198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80%</w:t>
            </w: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IPO</w:t>
            </w:r>
          </w:p>
        </w:tc>
        <w:tc>
          <w:tcPr>
            <w:tcW w:w="144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25%</w:t>
            </w:r>
          </w:p>
        </w:tc>
        <w:tc>
          <w:tcPr>
            <w:tcW w:w="180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21%</w:t>
            </w:r>
          </w:p>
        </w:tc>
        <w:tc>
          <w:tcPr>
            <w:tcW w:w="198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10%</w:t>
            </w: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Other</w:t>
            </w:r>
          </w:p>
        </w:tc>
        <w:tc>
          <w:tcPr>
            <w:tcW w:w="144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8%</w:t>
            </w:r>
          </w:p>
        </w:tc>
        <w:tc>
          <w:tcPr>
            <w:tcW w:w="180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7%</w:t>
            </w:r>
          </w:p>
        </w:tc>
        <w:tc>
          <w:tcPr>
            <w:tcW w:w="198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10%</w:t>
            </w:r>
          </w:p>
        </w:tc>
      </w:tr>
      <w:tr w:rsidR="00075DBE" w:rsidRPr="006153FF" w:rsidTr="00D624C8">
        <w:trPr>
          <w:trHeight w:val="255"/>
        </w:trPr>
        <w:tc>
          <w:tcPr>
            <w:tcW w:w="1630" w:type="dxa"/>
            <w:noWrap/>
            <w:vAlign w:val="bottom"/>
          </w:tcPr>
          <w:p w:rsidR="00075DBE" w:rsidRPr="006153FF" w:rsidRDefault="00075DBE" w:rsidP="0071701B">
            <w:pPr>
              <w:spacing w:after="0" w:line="240" w:lineRule="auto"/>
              <w:rPr>
                <w:rFonts w:ascii="Arial" w:hAnsi="Arial" w:cs="Arial"/>
                <w:sz w:val="20"/>
                <w:szCs w:val="20"/>
                <w:lang w:eastAsia="en-GB"/>
              </w:rPr>
            </w:pPr>
            <w:r w:rsidRPr="006153FF">
              <w:rPr>
                <w:rFonts w:ascii="Arial" w:hAnsi="Arial" w:cs="Arial"/>
                <w:sz w:val="20"/>
                <w:szCs w:val="20"/>
                <w:lang w:eastAsia="en-GB"/>
              </w:rPr>
              <w:t>N=</w:t>
            </w:r>
          </w:p>
        </w:tc>
        <w:tc>
          <w:tcPr>
            <w:tcW w:w="144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24</w:t>
            </w:r>
          </w:p>
        </w:tc>
        <w:tc>
          <w:tcPr>
            <w:tcW w:w="180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14</w:t>
            </w:r>
          </w:p>
        </w:tc>
        <w:tc>
          <w:tcPr>
            <w:tcW w:w="1980" w:type="dxa"/>
            <w:noWrap/>
            <w:vAlign w:val="bottom"/>
          </w:tcPr>
          <w:p w:rsidR="00075DBE" w:rsidRPr="006153FF" w:rsidRDefault="00075DBE" w:rsidP="0071701B">
            <w:pPr>
              <w:spacing w:after="0" w:line="240" w:lineRule="auto"/>
              <w:jc w:val="center"/>
              <w:rPr>
                <w:rFonts w:ascii="Arial" w:hAnsi="Arial" w:cs="Arial"/>
                <w:sz w:val="20"/>
                <w:szCs w:val="20"/>
                <w:lang w:eastAsia="en-GB"/>
              </w:rPr>
            </w:pPr>
            <w:r w:rsidRPr="006153FF">
              <w:rPr>
                <w:rFonts w:ascii="Arial" w:hAnsi="Arial" w:cs="Arial"/>
                <w:sz w:val="20"/>
                <w:szCs w:val="20"/>
                <w:lang w:eastAsia="en-GB"/>
              </w:rPr>
              <w:t>10</w:t>
            </w:r>
          </w:p>
        </w:tc>
      </w:tr>
    </w:tbl>
    <w:p w:rsidR="00075DBE" w:rsidRDefault="00075DBE" w:rsidP="0061384C">
      <w:pPr>
        <w:spacing w:after="0" w:line="240" w:lineRule="auto"/>
        <w:jc w:val="both"/>
        <w:rPr>
          <w:rFonts w:ascii="Arial" w:hAnsi="Arial" w:cs="Arial"/>
          <w:sz w:val="20"/>
          <w:szCs w:val="20"/>
        </w:rPr>
      </w:pPr>
    </w:p>
    <w:p w:rsidR="00075DBE" w:rsidRDefault="00075DBE" w:rsidP="0061384C">
      <w:pPr>
        <w:spacing w:after="0" w:line="240" w:lineRule="auto"/>
        <w:jc w:val="both"/>
        <w:rPr>
          <w:rFonts w:ascii="Arial" w:hAnsi="Arial" w:cs="Arial"/>
          <w:sz w:val="20"/>
          <w:szCs w:val="20"/>
        </w:rPr>
      </w:pPr>
      <w:r w:rsidRPr="00DE44E3">
        <w:rPr>
          <w:rFonts w:ascii="Arial" w:hAnsi="Arial" w:cs="Arial"/>
          <w:i/>
          <w:sz w:val="20"/>
          <w:szCs w:val="20"/>
        </w:rPr>
        <w:t>Note</w:t>
      </w:r>
      <w:r w:rsidRPr="005966B1">
        <w:rPr>
          <w:rFonts w:ascii="Arial" w:hAnsi="Arial" w:cs="Arial"/>
          <w:sz w:val="20"/>
          <w:szCs w:val="20"/>
        </w:rPr>
        <w:t xml:space="preserve">: </w:t>
      </w:r>
      <w:r>
        <w:rPr>
          <w:rFonts w:ascii="Arial" w:hAnsi="Arial" w:cs="Arial"/>
          <w:sz w:val="20"/>
          <w:szCs w:val="20"/>
        </w:rPr>
        <w:t>* ECF/Aspire surveyed February 2010, UKIIF surveyed February 2012.</w:t>
      </w:r>
    </w:p>
    <w:p w:rsidR="00075DBE" w:rsidRDefault="00075DBE" w:rsidP="0061384C">
      <w:pPr>
        <w:spacing w:after="100" w:afterAutospacing="1" w:line="240" w:lineRule="auto"/>
        <w:jc w:val="both"/>
        <w:rPr>
          <w:rFonts w:ascii="Arial" w:hAnsi="Arial" w:cs="Arial"/>
          <w:sz w:val="20"/>
          <w:szCs w:val="20"/>
        </w:rPr>
      </w:pPr>
    </w:p>
    <w:p w:rsidR="00075DBE" w:rsidRDefault="00075DBE" w:rsidP="00D65284">
      <w:pPr>
        <w:spacing w:after="100" w:afterAutospacing="1" w:line="240" w:lineRule="auto"/>
        <w:jc w:val="both"/>
        <w:rPr>
          <w:rFonts w:ascii="Arial" w:hAnsi="Arial" w:cs="Arial"/>
          <w:sz w:val="20"/>
          <w:szCs w:val="20"/>
          <w:highlight w:val="yellow"/>
        </w:rPr>
      </w:pPr>
    </w:p>
    <w:p w:rsidR="00075DBE" w:rsidRDefault="00075DBE" w:rsidP="008D040A">
      <w:pPr>
        <w:spacing w:after="100" w:afterAutospacing="1" w:line="240" w:lineRule="auto"/>
        <w:jc w:val="both"/>
        <w:rPr>
          <w:rFonts w:ascii="Arial" w:hAnsi="Arial" w:cs="Arial"/>
          <w:sz w:val="20"/>
          <w:szCs w:val="20"/>
        </w:rPr>
      </w:pPr>
    </w:p>
    <w:p w:rsidR="00075DBE" w:rsidRDefault="00075DBE" w:rsidP="00AC0937">
      <w:pPr>
        <w:pStyle w:val="Heading2"/>
        <w:spacing w:after="100" w:afterAutospacing="1"/>
        <w:rPr>
          <w:rFonts w:cs="Arial"/>
          <w:b w:val="0"/>
          <w:sz w:val="20"/>
        </w:rPr>
      </w:pPr>
    </w:p>
    <w:p w:rsidR="00075DBE" w:rsidRPr="006A2572" w:rsidRDefault="00075DBE" w:rsidP="006A2572">
      <w:pPr>
        <w:spacing w:after="0"/>
        <w:rPr>
          <w:rFonts w:ascii="Arial" w:hAnsi="Arial" w:cs="Arial"/>
          <w:sz w:val="20"/>
          <w:szCs w:val="20"/>
        </w:rPr>
      </w:pPr>
    </w:p>
    <w:sectPr w:rsidR="00075DBE" w:rsidRPr="006A2572" w:rsidSect="003273CE">
      <w:footerReference w:type="default" r:id="rId9"/>
      <w:footerReference w:type="first" r:id="rId10"/>
      <w:endnotePr>
        <w:numFmt w:val="decimal"/>
      </w:endnotePr>
      <w:pgSz w:w="11906" w:h="16838"/>
      <w:pgMar w:top="1077" w:right="1077" w:bottom="1077" w:left="107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7BD" w:rsidRPr="000E7BA9" w:rsidRDefault="003327BD" w:rsidP="00AB20A2">
      <w:pPr>
        <w:spacing w:after="0" w:line="240" w:lineRule="auto"/>
        <w:rPr>
          <w:rFonts w:ascii="Arial" w:hAnsi="Arial"/>
        </w:rPr>
      </w:pPr>
      <w:r>
        <w:separator/>
      </w:r>
    </w:p>
  </w:endnote>
  <w:endnote w:type="continuationSeparator" w:id="0">
    <w:p w:rsidR="003327BD" w:rsidRPr="000E7BA9" w:rsidRDefault="003327BD" w:rsidP="00AB20A2">
      <w:pPr>
        <w:spacing w:after="0" w:line="240" w:lineRule="auto"/>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BE" w:rsidRPr="00033AAB" w:rsidRDefault="00075DBE">
    <w:pPr>
      <w:pStyle w:val="Footer"/>
      <w:jc w:val="right"/>
      <w:rPr>
        <w:sz w:val="18"/>
        <w:szCs w:val="18"/>
      </w:rPr>
    </w:pPr>
  </w:p>
  <w:p w:rsidR="00075DBE" w:rsidRDefault="00075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BE" w:rsidRDefault="003327BD">
    <w:pPr>
      <w:pStyle w:val="Footer"/>
      <w:jc w:val="center"/>
    </w:pPr>
    <w:r>
      <w:fldChar w:fldCharType="begin"/>
    </w:r>
    <w:r>
      <w:instrText xml:space="preserve"> PAGE   \* MERGEFORMAT </w:instrText>
    </w:r>
    <w:r>
      <w:fldChar w:fldCharType="separate"/>
    </w:r>
    <w:r w:rsidR="00075DBE">
      <w:rPr>
        <w:noProof/>
      </w:rPr>
      <w:t>1</w:t>
    </w:r>
    <w:r>
      <w:rPr>
        <w:noProof/>
      </w:rPr>
      <w:fldChar w:fldCharType="end"/>
    </w:r>
  </w:p>
  <w:p w:rsidR="00075DBE" w:rsidRDefault="00075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7BD" w:rsidRPr="000E7BA9" w:rsidRDefault="003327BD" w:rsidP="00AB20A2">
      <w:pPr>
        <w:spacing w:after="0" w:line="240" w:lineRule="auto"/>
        <w:rPr>
          <w:rFonts w:ascii="Arial" w:hAnsi="Arial"/>
        </w:rPr>
      </w:pPr>
      <w:r>
        <w:separator/>
      </w:r>
    </w:p>
  </w:footnote>
  <w:footnote w:type="continuationSeparator" w:id="0">
    <w:p w:rsidR="003327BD" w:rsidRPr="000E7BA9" w:rsidRDefault="003327BD" w:rsidP="00AB20A2">
      <w:pPr>
        <w:spacing w:after="0" w:line="240" w:lineRule="auto"/>
        <w:rPr>
          <w:rFonts w:ascii="Arial" w:hAnsi="Arial"/>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7B3"/>
    <w:multiLevelType w:val="multilevel"/>
    <w:tmpl w:val="0616DC38"/>
    <w:lvl w:ilvl="0">
      <w:start w:val="10"/>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C15405A"/>
    <w:multiLevelType w:val="hybridMultilevel"/>
    <w:tmpl w:val="09D6D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83F5D87"/>
    <w:multiLevelType w:val="hybridMultilevel"/>
    <w:tmpl w:val="5512F43A"/>
    <w:lvl w:ilvl="0" w:tplc="3A6CA714">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B247AAF"/>
    <w:multiLevelType w:val="hybridMultilevel"/>
    <w:tmpl w:val="9EFA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56C08"/>
    <w:multiLevelType w:val="hybridMultilevel"/>
    <w:tmpl w:val="8118D2FC"/>
    <w:lvl w:ilvl="0" w:tplc="09CEA71C">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AD26424"/>
    <w:multiLevelType w:val="multilevel"/>
    <w:tmpl w:val="12EC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AB4608"/>
    <w:multiLevelType w:val="hybridMultilevel"/>
    <w:tmpl w:val="E2E04B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39FA5CAA"/>
    <w:multiLevelType w:val="hybridMultilevel"/>
    <w:tmpl w:val="CC929ECA"/>
    <w:lvl w:ilvl="0" w:tplc="70828DC6">
      <w:start w:val="1"/>
      <w:numFmt w:val="lowerRoman"/>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CFA7CD4"/>
    <w:multiLevelType w:val="hybridMultilevel"/>
    <w:tmpl w:val="DF02C8E4"/>
    <w:lvl w:ilvl="0" w:tplc="E376B540">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58B428DF"/>
    <w:multiLevelType w:val="hybridMultilevel"/>
    <w:tmpl w:val="4E2E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8601DC"/>
    <w:multiLevelType w:val="hybridMultilevel"/>
    <w:tmpl w:val="15445A2C"/>
    <w:lvl w:ilvl="0" w:tplc="BF8C0758">
      <w:start w:val="1"/>
      <w:numFmt w:val="lowerRoman"/>
      <w:lvlText w:val="(%1)"/>
      <w:lvlJc w:val="left"/>
      <w:pPr>
        <w:tabs>
          <w:tab w:val="num" w:pos="1125"/>
        </w:tabs>
        <w:ind w:left="1125" w:hanging="720"/>
      </w:pPr>
      <w:rPr>
        <w:rFonts w:cs="Times New Roman" w:hint="default"/>
      </w:rPr>
    </w:lvl>
    <w:lvl w:ilvl="1" w:tplc="08090019" w:tentative="1">
      <w:start w:val="1"/>
      <w:numFmt w:val="lowerLetter"/>
      <w:lvlText w:val="%2."/>
      <w:lvlJc w:val="left"/>
      <w:pPr>
        <w:tabs>
          <w:tab w:val="num" w:pos="1485"/>
        </w:tabs>
        <w:ind w:left="1485" w:hanging="360"/>
      </w:pPr>
      <w:rPr>
        <w:rFonts w:cs="Times New Roman"/>
      </w:rPr>
    </w:lvl>
    <w:lvl w:ilvl="2" w:tplc="0809001B" w:tentative="1">
      <w:start w:val="1"/>
      <w:numFmt w:val="lowerRoman"/>
      <w:lvlText w:val="%3."/>
      <w:lvlJc w:val="right"/>
      <w:pPr>
        <w:tabs>
          <w:tab w:val="num" w:pos="2205"/>
        </w:tabs>
        <w:ind w:left="2205" w:hanging="180"/>
      </w:pPr>
      <w:rPr>
        <w:rFonts w:cs="Times New Roman"/>
      </w:rPr>
    </w:lvl>
    <w:lvl w:ilvl="3" w:tplc="0809000F" w:tentative="1">
      <w:start w:val="1"/>
      <w:numFmt w:val="decimal"/>
      <w:lvlText w:val="%4."/>
      <w:lvlJc w:val="left"/>
      <w:pPr>
        <w:tabs>
          <w:tab w:val="num" w:pos="2925"/>
        </w:tabs>
        <w:ind w:left="2925" w:hanging="360"/>
      </w:pPr>
      <w:rPr>
        <w:rFonts w:cs="Times New Roman"/>
      </w:rPr>
    </w:lvl>
    <w:lvl w:ilvl="4" w:tplc="08090019" w:tentative="1">
      <w:start w:val="1"/>
      <w:numFmt w:val="lowerLetter"/>
      <w:lvlText w:val="%5."/>
      <w:lvlJc w:val="left"/>
      <w:pPr>
        <w:tabs>
          <w:tab w:val="num" w:pos="3645"/>
        </w:tabs>
        <w:ind w:left="3645" w:hanging="360"/>
      </w:pPr>
      <w:rPr>
        <w:rFonts w:cs="Times New Roman"/>
      </w:rPr>
    </w:lvl>
    <w:lvl w:ilvl="5" w:tplc="0809001B" w:tentative="1">
      <w:start w:val="1"/>
      <w:numFmt w:val="lowerRoman"/>
      <w:lvlText w:val="%6."/>
      <w:lvlJc w:val="right"/>
      <w:pPr>
        <w:tabs>
          <w:tab w:val="num" w:pos="4365"/>
        </w:tabs>
        <w:ind w:left="4365" w:hanging="180"/>
      </w:pPr>
      <w:rPr>
        <w:rFonts w:cs="Times New Roman"/>
      </w:rPr>
    </w:lvl>
    <w:lvl w:ilvl="6" w:tplc="0809000F" w:tentative="1">
      <w:start w:val="1"/>
      <w:numFmt w:val="decimal"/>
      <w:lvlText w:val="%7."/>
      <w:lvlJc w:val="left"/>
      <w:pPr>
        <w:tabs>
          <w:tab w:val="num" w:pos="5085"/>
        </w:tabs>
        <w:ind w:left="5085" w:hanging="360"/>
      </w:pPr>
      <w:rPr>
        <w:rFonts w:cs="Times New Roman"/>
      </w:rPr>
    </w:lvl>
    <w:lvl w:ilvl="7" w:tplc="08090019" w:tentative="1">
      <w:start w:val="1"/>
      <w:numFmt w:val="lowerLetter"/>
      <w:lvlText w:val="%8."/>
      <w:lvlJc w:val="left"/>
      <w:pPr>
        <w:tabs>
          <w:tab w:val="num" w:pos="5805"/>
        </w:tabs>
        <w:ind w:left="5805" w:hanging="360"/>
      </w:pPr>
      <w:rPr>
        <w:rFonts w:cs="Times New Roman"/>
      </w:rPr>
    </w:lvl>
    <w:lvl w:ilvl="8" w:tplc="0809001B" w:tentative="1">
      <w:start w:val="1"/>
      <w:numFmt w:val="lowerRoman"/>
      <w:lvlText w:val="%9."/>
      <w:lvlJc w:val="right"/>
      <w:pPr>
        <w:tabs>
          <w:tab w:val="num" w:pos="6525"/>
        </w:tabs>
        <w:ind w:left="6525" w:hanging="180"/>
      </w:pPr>
      <w:rPr>
        <w:rFonts w:cs="Times New Roman"/>
      </w:rPr>
    </w:lvl>
  </w:abstractNum>
  <w:abstractNum w:abstractNumId="11">
    <w:nsid w:val="708F6DEC"/>
    <w:multiLevelType w:val="hybridMultilevel"/>
    <w:tmpl w:val="317E3CDE"/>
    <w:lvl w:ilvl="0" w:tplc="0D7CBD84">
      <w:start w:val="1"/>
      <w:numFmt w:val="lowerRoman"/>
      <w:lvlText w:val="%1)"/>
      <w:lvlJc w:val="left"/>
      <w:pPr>
        <w:ind w:left="1080" w:hanging="72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78245F3A"/>
    <w:multiLevelType w:val="hybridMultilevel"/>
    <w:tmpl w:val="1BEC94C0"/>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7857754A"/>
    <w:multiLevelType w:val="hybridMultilevel"/>
    <w:tmpl w:val="B9C689C2"/>
    <w:lvl w:ilvl="0" w:tplc="0809000F">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7A38073D"/>
    <w:multiLevelType w:val="hybridMultilevel"/>
    <w:tmpl w:val="992810C4"/>
    <w:lvl w:ilvl="0" w:tplc="047C47C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1"/>
  </w:num>
  <w:num w:numId="3">
    <w:abstractNumId w:val="3"/>
  </w:num>
  <w:num w:numId="4">
    <w:abstractNumId w:val="6"/>
  </w:num>
  <w:num w:numId="5">
    <w:abstractNumId w:val="7"/>
  </w:num>
  <w:num w:numId="6">
    <w:abstractNumId w:val="0"/>
  </w:num>
  <w:num w:numId="7">
    <w:abstractNumId w:val="1"/>
  </w:num>
  <w:num w:numId="8">
    <w:abstractNumId w:val="5"/>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4"/>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A2"/>
    <w:rsid w:val="0000228C"/>
    <w:rsid w:val="00003CF9"/>
    <w:rsid w:val="000041AB"/>
    <w:rsid w:val="000042AB"/>
    <w:rsid w:val="00005AC6"/>
    <w:rsid w:val="00006D7F"/>
    <w:rsid w:val="00007996"/>
    <w:rsid w:val="00010AA6"/>
    <w:rsid w:val="00010F56"/>
    <w:rsid w:val="00012B4D"/>
    <w:rsid w:val="0001302C"/>
    <w:rsid w:val="000135E3"/>
    <w:rsid w:val="00016709"/>
    <w:rsid w:val="0001679D"/>
    <w:rsid w:val="00016B95"/>
    <w:rsid w:val="00020249"/>
    <w:rsid w:val="000227C3"/>
    <w:rsid w:val="00024D65"/>
    <w:rsid w:val="00025D22"/>
    <w:rsid w:val="00026725"/>
    <w:rsid w:val="00027242"/>
    <w:rsid w:val="0002751E"/>
    <w:rsid w:val="00027C7D"/>
    <w:rsid w:val="00027D7F"/>
    <w:rsid w:val="00030A56"/>
    <w:rsid w:val="00031896"/>
    <w:rsid w:val="00033AAB"/>
    <w:rsid w:val="00033AED"/>
    <w:rsid w:val="000340F8"/>
    <w:rsid w:val="00035E25"/>
    <w:rsid w:val="00036A3B"/>
    <w:rsid w:val="00037085"/>
    <w:rsid w:val="00037EC7"/>
    <w:rsid w:val="00037F2D"/>
    <w:rsid w:val="00040C73"/>
    <w:rsid w:val="00040EA0"/>
    <w:rsid w:val="00041799"/>
    <w:rsid w:val="00042F60"/>
    <w:rsid w:val="0004372A"/>
    <w:rsid w:val="00043A05"/>
    <w:rsid w:val="0004426D"/>
    <w:rsid w:val="0004446C"/>
    <w:rsid w:val="00045744"/>
    <w:rsid w:val="00045D04"/>
    <w:rsid w:val="0004620F"/>
    <w:rsid w:val="0004660B"/>
    <w:rsid w:val="0005060C"/>
    <w:rsid w:val="000511F8"/>
    <w:rsid w:val="00051761"/>
    <w:rsid w:val="00052CDA"/>
    <w:rsid w:val="00053DB8"/>
    <w:rsid w:val="000563D6"/>
    <w:rsid w:val="00056A20"/>
    <w:rsid w:val="00056D89"/>
    <w:rsid w:val="00060E7E"/>
    <w:rsid w:val="000615F3"/>
    <w:rsid w:val="00061D9C"/>
    <w:rsid w:val="0006213D"/>
    <w:rsid w:val="00062BE1"/>
    <w:rsid w:val="000655C3"/>
    <w:rsid w:val="00066399"/>
    <w:rsid w:val="00066E2E"/>
    <w:rsid w:val="00070017"/>
    <w:rsid w:val="00070703"/>
    <w:rsid w:val="00071063"/>
    <w:rsid w:val="000718C4"/>
    <w:rsid w:val="000721D9"/>
    <w:rsid w:val="000723B6"/>
    <w:rsid w:val="00072A82"/>
    <w:rsid w:val="00072E07"/>
    <w:rsid w:val="00072FD8"/>
    <w:rsid w:val="000735B9"/>
    <w:rsid w:val="0007366E"/>
    <w:rsid w:val="0007465F"/>
    <w:rsid w:val="000749D1"/>
    <w:rsid w:val="00075613"/>
    <w:rsid w:val="00075DBE"/>
    <w:rsid w:val="00076457"/>
    <w:rsid w:val="0007699C"/>
    <w:rsid w:val="00076C99"/>
    <w:rsid w:val="0007739A"/>
    <w:rsid w:val="00081228"/>
    <w:rsid w:val="000820BD"/>
    <w:rsid w:val="000826C5"/>
    <w:rsid w:val="00082FCA"/>
    <w:rsid w:val="0008308F"/>
    <w:rsid w:val="00083772"/>
    <w:rsid w:val="00085F52"/>
    <w:rsid w:val="000861EF"/>
    <w:rsid w:val="00091A91"/>
    <w:rsid w:val="00092549"/>
    <w:rsid w:val="00092EBA"/>
    <w:rsid w:val="00095A3E"/>
    <w:rsid w:val="00097CE5"/>
    <w:rsid w:val="000A0157"/>
    <w:rsid w:val="000A01EA"/>
    <w:rsid w:val="000A2943"/>
    <w:rsid w:val="000A4ACF"/>
    <w:rsid w:val="000A4CF5"/>
    <w:rsid w:val="000A51F0"/>
    <w:rsid w:val="000A55A7"/>
    <w:rsid w:val="000A68E0"/>
    <w:rsid w:val="000A722F"/>
    <w:rsid w:val="000A7241"/>
    <w:rsid w:val="000B22AE"/>
    <w:rsid w:val="000B4446"/>
    <w:rsid w:val="000C26B1"/>
    <w:rsid w:val="000C2C4C"/>
    <w:rsid w:val="000C2DEC"/>
    <w:rsid w:val="000C57E4"/>
    <w:rsid w:val="000C5BF2"/>
    <w:rsid w:val="000C6141"/>
    <w:rsid w:val="000C68B4"/>
    <w:rsid w:val="000D1A52"/>
    <w:rsid w:val="000D3385"/>
    <w:rsid w:val="000D3810"/>
    <w:rsid w:val="000D447D"/>
    <w:rsid w:val="000D4F71"/>
    <w:rsid w:val="000D53CA"/>
    <w:rsid w:val="000D55B2"/>
    <w:rsid w:val="000D6F8A"/>
    <w:rsid w:val="000D7421"/>
    <w:rsid w:val="000D7441"/>
    <w:rsid w:val="000D79EC"/>
    <w:rsid w:val="000E039E"/>
    <w:rsid w:val="000E046B"/>
    <w:rsid w:val="000E06B2"/>
    <w:rsid w:val="000E1161"/>
    <w:rsid w:val="000E36E8"/>
    <w:rsid w:val="000E3AE9"/>
    <w:rsid w:val="000E64C9"/>
    <w:rsid w:val="000E6B67"/>
    <w:rsid w:val="000E6F52"/>
    <w:rsid w:val="000E7BA9"/>
    <w:rsid w:val="000F0833"/>
    <w:rsid w:val="000F09E9"/>
    <w:rsid w:val="000F2044"/>
    <w:rsid w:val="000F26AA"/>
    <w:rsid w:val="000F5E50"/>
    <w:rsid w:val="000F60D7"/>
    <w:rsid w:val="000F6376"/>
    <w:rsid w:val="001006EE"/>
    <w:rsid w:val="00100F4B"/>
    <w:rsid w:val="001018A3"/>
    <w:rsid w:val="001025FB"/>
    <w:rsid w:val="001041C1"/>
    <w:rsid w:val="00104D58"/>
    <w:rsid w:val="0010551A"/>
    <w:rsid w:val="00105C89"/>
    <w:rsid w:val="00105D26"/>
    <w:rsid w:val="00106E94"/>
    <w:rsid w:val="0010777F"/>
    <w:rsid w:val="00107EF5"/>
    <w:rsid w:val="00110955"/>
    <w:rsid w:val="001114E4"/>
    <w:rsid w:val="001119CE"/>
    <w:rsid w:val="00111D5C"/>
    <w:rsid w:val="00112F4F"/>
    <w:rsid w:val="0011417F"/>
    <w:rsid w:val="00114F23"/>
    <w:rsid w:val="00114FE3"/>
    <w:rsid w:val="001159FA"/>
    <w:rsid w:val="00116F0E"/>
    <w:rsid w:val="0011785B"/>
    <w:rsid w:val="00117D42"/>
    <w:rsid w:val="00120833"/>
    <w:rsid w:val="001210B3"/>
    <w:rsid w:val="00121190"/>
    <w:rsid w:val="00121289"/>
    <w:rsid w:val="0012162B"/>
    <w:rsid w:val="001218C7"/>
    <w:rsid w:val="0012249A"/>
    <w:rsid w:val="00123E57"/>
    <w:rsid w:val="00124406"/>
    <w:rsid w:val="00125FCC"/>
    <w:rsid w:val="001260AA"/>
    <w:rsid w:val="00126FBD"/>
    <w:rsid w:val="0012707E"/>
    <w:rsid w:val="00132695"/>
    <w:rsid w:val="001330EA"/>
    <w:rsid w:val="001334D3"/>
    <w:rsid w:val="001342BD"/>
    <w:rsid w:val="00135DA1"/>
    <w:rsid w:val="00135EAD"/>
    <w:rsid w:val="00135EEE"/>
    <w:rsid w:val="0013656B"/>
    <w:rsid w:val="00137A7F"/>
    <w:rsid w:val="0014081D"/>
    <w:rsid w:val="00140AF6"/>
    <w:rsid w:val="00140B46"/>
    <w:rsid w:val="00140EF4"/>
    <w:rsid w:val="00141B6E"/>
    <w:rsid w:val="00141BE0"/>
    <w:rsid w:val="00142A54"/>
    <w:rsid w:val="00142BFD"/>
    <w:rsid w:val="001445A4"/>
    <w:rsid w:val="00144E45"/>
    <w:rsid w:val="00146AEF"/>
    <w:rsid w:val="001473DD"/>
    <w:rsid w:val="00147C4C"/>
    <w:rsid w:val="00150599"/>
    <w:rsid w:val="0015229A"/>
    <w:rsid w:val="00153A87"/>
    <w:rsid w:val="00154B8D"/>
    <w:rsid w:val="0015637D"/>
    <w:rsid w:val="00157B08"/>
    <w:rsid w:val="00160ABD"/>
    <w:rsid w:val="001618A3"/>
    <w:rsid w:val="00163C31"/>
    <w:rsid w:val="0016444C"/>
    <w:rsid w:val="0016457A"/>
    <w:rsid w:val="0016465E"/>
    <w:rsid w:val="00164DFD"/>
    <w:rsid w:val="0016732C"/>
    <w:rsid w:val="0017016B"/>
    <w:rsid w:val="0017042C"/>
    <w:rsid w:val="00170432"/>
    <w:rsid w:val="00170AE6"/>
    <w:rsid w:val="001726BF"/>
    <w:rsid w:val="001729F0"/>
    <w:rsid w:val="00174404"/>
    <w:rsid w:val="00174F54"/>
    <w:rsid w:val="00176414"/>
    <w:rsid w:val="0017665D"/>
    <w:rsid w:val="00177C6D"/>
    <w:rsid w:val="0018204A"/>
    <w:rsid w:val="00182A6C"/>
    <w:rsid w:val="00184808"/>
    <w:rsid w:val="00184BA0"/>
    <w:rsid w:val="00184D43"/>
    <w:rsid w:val="001861E0"/>
    <w:rsid w:val="00187355"/>
    <w:rsid w:val="00187ED2"/>
    <w:rsid w:val="00187F18"/>
    <w:rsid w:val="00191226"/>
    <w:rsid w:val="001922DE"/>
    <w:rsid w:val="00193C3A"/>
    <w:rsid w:val="001943D3"/>
    <w:rsid w:val="00196A7D"/>
    <w:rsid w:val="00197975"/>
    <w:rsid w:val="00197B05"/>
    <w:rsid w:val="001A07B2"/>
    <w:rsid w:val="001A0D0E"/>
    <w:rsid w:val="001A0ED3"/>
    <w:rsid w:val="001A31BA"/>
    <w:rsid w:val="001A34FA"/>
    <w:rsid w:val="001A4044"/>
    <w:rsid w:val="001A48F9"/>
    <w:rsid w:val="001A5531"/>
    <w:rsid w:val="001A62EB"/>
    <w:rsid w:val="001A6350"/>
    <w:rsid w:val="001A6B1F"/>
    <w:rsid w:val="001B08F4"/>
    <w:rsid w:val="001B0959"/>
    <w:rsid w:val="001B1923"/>
    <w:rsid w:val="001B343E"/>
    <w:rsid w:val="001B420D"/>
    <w:rsid w:val="001B6172"/>
    <w:rsid w:val="001B65C7"/>
    <w:rsid w:val="001B6C8F"/>
    <w:rsid w:val="001B79B4"/>
    <w:rsid w:val="001C15D7"/>
    <w:rsid w:val="001C30AA"/>
    <w:rsid w:val="001C4D67"/>
    <w:rsid w:val="001C4F66"/>
    <w:rsid w:val="001C71A9"/>
    <w:rsid w:val="001D016B"/>
    <w:rsid w:val="001D1123"/>
    <w:rsid w:val="001D25CE"/>
    <w:rsid w:val="001D2D43"/>
    <w:rsid w:val="001D30EC"/>
    <w:rsid w:val="001D430B"/>
    <w:rsid w:val="001D4860"/>
    <w:rsid w:val="001D4E67"/>
    <w:rsid w:val="001E1554"/>
    <w:rsid w:val="001E159C"/>
    <w:rsid w:val="001E2EEC"/>
    <w:rsid w:val="001E2FC2"/>
    <w:rsid w:val="001E31C5"/>
    <w:rsid w:val="001E3825"/>
    <w:rsid w:val="001E3DD1"/>
    <w:rsid w:val="001E5D7A"/>
    <w:rsid w:val="001E5EDA"/>
    <w:rsid w:val="001E6B8E"/>
    <w:rsid w:val="001E6FBD"/>
    <w:rsid w:val="001E7839"/>
    <w:rsid w:val="001F1218"/>
    <w:rsid w:val="001F1541"/>
    <w:rsid w:val="001F15C1"/>
    <w:rsid w:val="001F1E41"/>
    <w:rsid w:val="001F2A82"/>
    <w:rsid w:val="001F2A84"/>
    <w:rsid w:val="001F3468"/>
    <w:rsid w:val="001F6721"/>
    <w:rsid w:val="001F68D2"/>
    <w:rsid w:val="001F6CE1"/>
    <w:rsid w:val="001F7486"/>
    <w:rsid w:val="0020085F"/>
    <w:rsid w:val="00200F58"/>
    <w:rsid w:val="00201D84"/>
    <w:rsid w:val="00202EFA"/>
    <w:rsid w:val="00203B63"/>
    <w:rsid w:val="002042C6"/>
    <w:rsid w:val="00206006"/>
    <w:rsid w:val="00207189"/>
    <w:rsid w:val="00207353"/>
    <w:rsid w:val="0021140B"/>
    <w:rsid w:val="002114D4"/>
    <w:rsid w:val="00212786"/>
    <w:rsid w:val="002133B6"/>
    <w:rsid w:val="00213ACF"/>
    <w:rsid w:val="00215875"/>
    <w:rsid w:val="00217027"/>
    <w:rsid w:val="0021745B"/>
    <w:rsid w:val="00221250"/>
    <w:rsid w:val="00226E42"/>
    <w:rsid w:val="002308DD"/>
    <w:rsid w:val="00231855"/>
    <w:rsid w:val="00235548"/>
    <w:rsid w:val="00236FCC"/>
    <w:rsid w:val="00237076"/>
    <w:rsid w:val="00237FA0"/>
    <w:rsid w:val="002400D9"/>
    <w:rsid w:val="002407AF"/>
    <w:rsid w:val="00241566"/>
    <w:rsid w:val="00243B2F"/>
    <w:rsid w:val="00243F4C"/>
    <w:rsid w:val="0025094E"/>
    <w:rsid w:val="00250A21"/>
    <w:rsid w:val="00251891"/>
    <w:rsid w:val="00251CCA"/>
    <w:rsid w:val="00253DD7"/>
    <w:rsid w:val="0025452E"/>
    <w:rsid w:val="00255D15"/>
    <w:rsid w:val="00255FEF"/>
    <w:rsid w:val="00256065"/>
    <w:rsid w:val="00257E63"/>
    <w:rsid w:val="0026066A"/>
    <w:rsid w:val="002614D1"/>
    <w:rsid w:val="00261A0C"/>
    <w:rsid w:val="00261FE8"/>
    <w:rsid w:val="00264151"/>
    <w:rsid w:val="00264C7A"/>
    <w:rsid w:val="00267E2B"/>
    <w:rsid w:val="002707DE"/>
    <w:rsid w:val="00270BB2"/>
    <w:rsid w:val="0027116B"/>
    <w:rsid w:val="0027183B"/>
    <w:rsid w:val="00272280"/>
    <w:rsid w:val="00272283"/>
    <w:rsid w:val="002741DD"/>
    <w:rsid w:val="00274265"/>
    <w:rsid w:val="00277AD4"/>
    <w:rsid w:val="00277ED0"/>
    <w:rsid w:val="00280674"/>
    <w:rsid w:val="00281817"/>
    <w:rsid w:val="002819F3"/>
    <w:rsid w:val="0028359F"/>
    <w:rsid w:val="002859ED"/>
    <w:rsid w:val="00285FEB"/>
    <w:rsid w:val="002862C0"/>
    <w:rsid w:val="00286C20"/>
    <w:rsid w:val="002923A8"/>
    <w:rsid w:val="0029328D"/>
    <w:rsid w:val="002955FE"/>
    <w:rsid w:val="00295AF6"/>
    <w:rsid w:val="00295D70"/>
    <w:rsid w:val="00296892"/>
    <w:rsid w:val="002A01E7"/>
    <w:rsid w:val="002A0F24"/>
    <w:rsid w:val="002A1D9C"/>
    <w:rsid w:val="002A2703"/>
    <w:rsid w:val="002A29A3"/>
    <w:rsid w:val="002A3ED4"/>
    <w:rsid w:val="002A4CC8"/>
    <w:rsid w:val="002A4EB9"/>
    <w:rsid w:val="002A5D42"/>
    <w:rsid w:val="002A6228"/>
    <w:rsid w:val="002A6D61"/>
    <w:rsid w:val="002B1611"/>
    <w:rsid w:val="002B1ECC"/>
    <w:rsid w:val="002B2896"/>
    <w:rsid w:val="002B2FB5"/>
    <w:rsid w:val="002B3C6D"/>
    <w:rsid w:val="002B4C6D"/>
    <w:rsid w:val="002B53F8"/>
    <w:rsid w:val="002B57C3"/>
    <w:rsid w:val="002B5E1F"/>
    <w:rsid w:val="002B706B"/>
    <w:rsid w:val="002B777C"/>
    <w:rsid w:val="002C18B9"/>
    <w:rsid w:val="002C1DDC"/>
    <w:rsid w:val="002C2291"/>
    <w:rsid w:val="002C257C"/>
    <w:rsid w:val="002C298B"/>
    <w:rsid w:val="002C2B29"/>
    <w:rsid w:val="002C309E"/>
    <w:rsid w:val="002C42A1"/>
    <w:rsid w:val="002C4D6E"/>
    <w:rsid w:val="002C5C4B"/>
    <w:rsid w:val="002C7778"/>
    <w:rsid w:val="002D04E4"/>
    <w:rsid w:val="002D1109"/>
    <w:rsid w:val="002D189A"/>
    <w:rsid w:val="002D4D68"/>
    <w:rsid w:val="002D667F"/>
    <w:rsid w:val="002E01FC"/>
    <w:rsid w:val="002E02DF"/>
    <w:rsid w:val="002E1654"/>
    <w:rsid w:val="002E1CC7"/>
    <w:rsid w:val="002E28D1"/>
    <w:rsid w:val="002E4931"/>
    <w:rsid w:val="002E4F6A"/>
    <w:rsid w:val="002E4F7D"/>
    <w:rsid w:val="002E51AA"/>
    <w:rsid w:val="002E65DF"/>
    <w:rsid w:val="002E66CB"/>
    <w:rsid w:val="002E7F09"/>
    <w:rsid w:val="002F021D"/>
    <w:rsid w:val="002F1504"/>
    <w:rsid w:val="002F1E5B"/>
    <w:rsid w:val="002F2D1C"/>
    <w:rsid w:val="002F4407"/>
    <w:rsid w:val="002F6647"/>
    <w:rsid w:val="002F7133"/>
    <w:rsid w:val="002F76A6"/>
    <w:rsid w:val="002F7F4A"/>
    <w:rsid w:val="00300128"/>
    <w:rsid w:val="00300309"/>
    <w:rsid w:val="00300A09"/>
    <w:rsid w:val="00300CF4"/>
    <w:rsid w:val="003015C7"/>
    <w:rsid w:val="00301CB0"/>
    <w:rsid w:val="00302075"/>
    <w:rsid w:val="003029C5"/>
    <w:rsid w:val="00303504"/>
    <w:rsid w:val="00304515"/>
    <w:rsid w:val="00305620"/>
    <w:rsid w:val="003056D0"/>
    <w:rsid w:val="003125E6"/>
    <w:rsid w:val="00312AD6"/>
    <w:rsid w:val="00312CD6"/>
    <w:rsid w:val="003140E4"/>
    <w:rsid w:val="0031588C"/>
    <w:rsid w:val="00315B6F"/>
    <w:rsid w:val="00316522"/>
    <w:rsid w:val="003167ED"/>
    <w:rsid w:val="00316952"/>
    <w:rsid w:val="00320C80"/>
    <w:rsid w:val="00321E2A"/>
    <w:rsid w:val="003222A3"/>
    <w:rsid w:val="00322881"/>
    <w:rsid w:val="0032294E"/>
    <w:rsid w:val="00323613"/>
    <w:rsid w:val="00324205"/>
    <w:rsid w:val="00324A0A"/>
    <w:rsid w:val="00325134"/>
    <w:rsid w:val="003267B3"/>
    <w:rsid w:val="003273CE"/>
    <w:rsid w:val="003327BD"/>
    <w:rsid w:val="003340DE"/>
    <w:rsid w:val="003344FE"/>
    <w:rsid w:val="00335C13"/>
    <w:rsid w:val="00335E2C"/>
    <w:rsid w:val="003367CC"/>
    <w:rsid w:val="003374C9"/>
    <w:rsid w:val="003408BB"/>
    <w:rsid w:val="00340DF1"/>
    <w:rsid w:val="00342921"/>
    <w:rsid w:val="00343529"/>
    <w:rsid w:val="00343EA9"/>
    <w:rsid w:val="003448B4"/>
    <w:rsid w:val="00346582"/>
    <w:rsid w:val="003472F0"/>
    <w:rsid w:val="00347336"/>
    <w:rsid w:val="00350382"/>
    <w:rsid w:val="003504A1"/>
    <w:rsid w:val="003508BF"/>
    <w:rsid w:val="00352EC4"/>
    <w:rsid w:val="00353EB4"/>
    <w:rsid w:val="00354CBE"/>
    <w:rsid w:val="003558D6"/>
    <w:rsid w:val="003568AC"/>
    <w:rsid w:val="00356E47"/>
    <w:rsid w:val="00357155"/>
    <w:rsid w:val="003575E0"/>
    <w:rsid w:val="00360477"/>
    <w:rsid w:val="00360F02"/>
    <w:rsid w:val="00361954"/>
    <w:rsid w:val="00361959"/>
    <w:rsid w:val="003624A9"/>
    <w:rsid w:val="00362CF4"/>
    <w:rsid w:val="00362D26"/>
    <w:rsid w:val="003635CD"/>
    <w:rsid w:val="0036569D"/>
    <w:rsid w:val="00365FF2"/>
    <w:rsid w:val="00370A4C"/>
    <w:rsid w:val="00370DCD"/>
    <w:rsid w:val="003717A3"/>
    <w:rsid w:val="00373414"/>
    <w:rsid w:val="003751D0"/>
    <w:rsid w:val="003754B3"/>
    <w:rsid w:val="00375740"/>
    <w:rsid w:val="003762F5"/>
    <w:rsid w:val="003765C4"/>
    <w:rsid w:val="00376AFC"/>
    <w:rsid w:val="0038073B"/>
    <w:rsid w:val="0038119A"/>
    <w:rsid w:val="00381E7D"/>
    <w:rsid w:val="00384244"/>
    <w:rsid w:val="00384309"/>
    <w:rsid w:val="00384986"/>
    <w:rsid w:val="00385F8A"/>
    <w:rsid w:val="00386A76"/>
    <w:rsid w:val="0039091B"/>
    <w:rsid w:val="00390F84"/>
    <w:rsid w:val="003917E7"/>
    <w:rsid w:val="00394ECB"/>
    <w:rsid w:val="0039698C"/>
    <w:rsid w:val="00396F21"/>
    <w:rsid w:val="003976D3"/>
    <w:rsid w:val="00397EBD"/>
    <w:rsid w:val="00397F55"/>
    <w:rsid w:val="003A1FB1"/>
    <w:rsid w:val="003A272A"/>
    <w:rsid w:val="003A39E1"/>
    <w:rsid w:val="003A3E1E"/>
    <w:rsid w:val="003A5BFA"/>
    <w:rsid w:val="003A7ECE"/>
    <w:rsid w:val="003B1D6D"/>
    <w:rsid w:val="003B2EB1"/>
    <w:rsid w:val="003B378E"/>
    <w:rsid w:val="003B53C3"/>
    <w:rsid w:val="003B5C6C"/>
    <w:rsid w:val="003B65DB"/>
    <w:rsid w:val="003B6A11"/>
    <w:rsid w:val="003C266D"/>
    <w:rsid w:val="003C458D"/>
    <w:rsid w:val="003C5AF7"/>
    <w:rsid w:val="003C5BBD"/>
    <w:rsid w:val="003D0867"/>
    <w:rsid w:val="003D0A35"/>
    <w:rsid w:val="003D2080"/>
    <w:rsid w:val="003D2412"/>
    <w:rsid w:val="003D2550"/>
    <w:rsid w:val="003D3715"/>
    <w:rsid w:val="003D66E9"/>
    <w:rsid w:val="003D72E7"/>
    <w:rsid w:val="003E0099"/>
    <w:rsid w:val="003E0735"/>
    <w:rsid w:val="003E18AA"/>
    <w:rsid w:val="003E4EFF"/>
    <w:rsid w:val="003E539F"/>
    <w:rsid w:val="003E6178"/>
    <w:rsid w:val="003E6D67"/>
    <w:rsid w:val="003E700D"/>
    <w:rsid w:val="003E77C5"/>
    <w:rsid w:val="003F19DF"/>
    <w:rsid w:val="003F225D"/>
    <w:rsid w:val="003F2E1D"/>
    <w:rsid w:val="003F69AF"/>
    <w:rsid w:val="003F6C91"/>
    <w:rsid w:val="003F78C8"/>
    <w:rsid w:val="003F7F63"/>
    <w:rsid w:val="004011F3"/>
    <w:rsid w:val="00401ACA"/>
    <w:rsid w:val="00402776"/>
    <w:rsid w:val="00402C1C"/>
    <w:rsid w:val="0040344C"/>
    <w:rsid w:val="004037E4"/>
    <w:rsid w:val="00403DB1"/>
    <w:rsid w:val="0040487C"/>
    <w:rsid w:val="00406B66"/>
    <w:rsid w:val="00407035"/>
    <w:rsid w:val="00407244"/>
    <w:rsid w:val="00407E84"/>
    <w:rsid w:val="00407E98"/>
    <w:rsid w:val="00411132"/>
    <w:rsid w:val="00411A25"/>
    <w:rsid w:val="00412341"/>
    <w:rsid w:val="00412484"/>
    <w:rsid w:val="00412CDF"/>
    <w:rsid w:val="00412D37"/>
    <w:rsid w:val="00413877"/>
    <w:rsid w:val="0041388F"/>
    <w:rsid w:val="00414FD9"/>
    <w:rsid w:val="004155B7"/>
    <w:rsid w:val="00415B3A"/>
    <w:rsid w:val="00415D35"/>
    <w:rsid w:val="0041618F"/>
    <w:rsid w:val="004166ED"/>
    <w:rsid w:val="004206DB"/>
    <w:rsid w:val="00420880"/>
    <w:rsid w:val="00421B21"/>
    <w:rsid w:val="0042291C"/>
    <w:rsid w:val="004235DD"/>
    <w:rsid w:val="00423CFD"/>
    <w:rsid w:val="004242DD"/>
    <w:rsid w:val="004246E9"/>
    <w:rsid w:val="004254F7"/>
    <w:rsid w:val="004262F6"/>
    <w:rsid w:val="00426459"/>
    <w:rsid w:val="00426C48"/>
    <w:rsid w:val="00426DAF"/>
    <w:rsid w:val="00432DEF"/>
    <w:rsid w:val="00433062"/>
    <w:rsid w:val="0043338A"/>
    <w:rsid w:val="0043376D"/>
    <w:rsid w:val="0043422F"/>
    <w:rsid w:val="004407D4"/>
    <w:rsid w:val="004437EA"/>
    <w:rsid w:val="004441F8"/>
    <w:rsid w:val="00444A39"/>
    <w:rsid w:val="00444BCE"/>
    <w:rsid w:val="00444D53"/>
    <w:rsid w:val="00444F53"/>
    <w:rsid w:val="00445B54"/>
    <w:rsid w:val="00446108"/>
    <w:rsid w:val="00450649"/>
    <w:rsid w:val="00450EDC"/>
    <w:rsid w:val="004517C1"/>
    <w:rsid w:val="00453FB4"/>
    <w:rsid w:val="00454459"/>
    <w:rsid w:val="004544F0"/>
    <w:rsid w:val="00454A46"/>
    <w:rsid w:val="0046025D"/>
    <w:rsid w:val="00460FCF"/>
    <w:rsid w:val="0046208B"/>
    <w:rsid w:val="004641DF"/>
    <w:rsid w:val="0046719B"/>
    <w:rsid w:val="0046749A"/>
    <w:rsid w:val="00470BCA"/>
    <w:rsid w:val="00471CB9"/>
    <w:rsid w:val="004730E9"/>
    <w:rsid w:val="00475695"/>
    <w:rsid w:val="004759AE"/>
    <w:rsid w:val="00475B47"/>
    <w:rsid w:val="0047654C"/>
    <w:rsid w:val="004771E8"/>
    <w:rsid w:val="00480D8D"/>
    <w:rsid w:val="004832B5"/>
    <w:rsid w:val="00483CA9"/>
    <w:rsid w:val="004851A2"/>
    <w:rsid w:val="004865A9"/>
    <w:rsid w:val="004867F9"/>
    <w:rsid w:val="00487773"/>
    <w:rsid w:val="00487E93"/>
    <w:rsid w:val="004902D4"/>
    <w:rsid w:val="00490B6E"/>
    <w:rsid w:val="0049153F"/>
    <w:rsid w:val="0049193D"/>
    <w:rsid w:val="00493088"/>
    <w:rsid w:val="004947D7"/>
    <w:rsid w:val="0049512D"/>
    <w:rsid w:val="004957F0"/>
    <w:rsid w:val="004967DD"/>
    <w:rsid w:val="004977DF"/>
    <w:rsid w:val="004A0CBC"/>
    <w:rsid w:val="004A1467"/>
    <w:rsid w:val="004A289E"/>
    <w:rsid w:val="004A499F"/>
    <w:rsid w:val="004A7185"/>
    <w:rsid w:val="004A74D7"/>
    <w:rsid w:val="004B0A68"/>
    <w:rsid w:val="004B0FCA"/>
    <w:rsid w:val="004B1029"/>
    <w:rsid w:val="004B13A7"/>
    <w:rsid w:val="004B22D6"/>
    <w:rsid w:val="004B2BB6"/>
    <w:rsid w:val="004B300C"/>
    <w:rsid w:val="004B34D7"/>
    <w:rsid w:val="004B39AE"/>
    <w:rsid w:val="004B4A06"/>
    <w:rsid w:val="004B4E0E"/>
    <w:rsid w:val="004B55B9"/>
    <w:rsid w:val="004B5F47"/>
    <w:rsid w:val="004B6EA3"/>
    <w:rsid w:val="004B7BA3"/>
    <w:rsid w:val="004C199B"/>
    <w:rsid w:val="004C34D7"/>
    <w:rsid w:val="004C3DDF"/>
    <w:rsid w:val="004C4D8E"/>
    <w:rsid w:val="004C4E1C"/>
    <w:rsid w:val="004C7F84"/>
    <w:rsid w:val="004D0055"/>
    <w:rsid w:val="004D1CB3"/>
    <w:rsid w:val="004D214D"/>
    <w:rsid w:val="004D35A0"/>
    <w:rsid w:val="004D3C8A"/>
    <w:rsid w:val="004D3FE1"/>
    <w:rsid w:val="004D3FF0"/>
    <w:rsid w:val="004D4B21"/>
    <w:rsid w:val="004D577B"/>
    <w:rsid w:val="004E0821"/>
    <w:rsid w:val="004E1D5F"/>
    <w:rsid w:val="004E1E88"/>
    <w:rsid w:val="004E3E2C"/>
    <w:rsid w:val="004E443C"/>
    <w:rsid w:val="004E5CAB"/>
    <w:rsid w:val="004E65E1"/>
    <w:rsid w:val="004E7A62"/>
    <w:rsid w:val="004F42B6"/>
    <w:rsid w:val="004F49FD"/>
    <w:rsid w:val="004F4AF1"/>
    <w:rsid w:val="004F4B49"/>
    <w:rsid w:val="004F4B5C"/>
    <w:rsid w:val="004F5AB5"/>
    <w:rsid w:val="004F634B"/>
    <w:rsid w:val="004F659A"/>
    <w:rsid w:val="004F68FF"/>
    <w:rsid w:val="004F6DE9"/>
    <w:rsid w:val="004F6E74"/>
    <w:rsid w:val="004F7588"/>
    <w:rsid w:val="004F7B2D"/>
    <w:rsid w:val="004F7F3D"/>
    <w:rsid w:val="005001BD"/>
    <w:rsid w:val="0050039F"/>
    <w:rsid w:val="00500E29"/>
    <w:rsid w:val="00501826"/>
    <w:rsid w:val="0050243F"/>
    <w:rsid w:val="005026BF"/>
    <w:rsid w:val="005046C3"/>
    <w:rsid w:val="00505594"/>
    <w:rsid w:val="005055CE"/>
    <w:rsid w:val="00505AD7"/>
    <w:rsid w:val="0050619E"/>
    <w:rsid w:val="005068B0"/>
    <w:rsid w:val="00506A36"/>
    <w:rsid w:val="00507381"/>
    <w:rsid w:val="0051084E"/>
    <w:rsid w:val="0051125E"/>
    <w:rsid w:val="005112EF"/>
    <w:rsid w:val="00511393"/>
    <w:rsid w:val="005136A6"/>
    <w:rsid w:val="00514581"/>
    <w:rsid w:val="00514876"/>
    <w:rsid w:val="00514C03"/>
    <w:rsid w:val="00515172"/>
    <w:rsid w:val="0051643C"/>
    <w:rsid w:val="00522727"/>
    <w:rsid w:val="00522896"/>
    <w:rsid w:val="00523085"/>
    <w:rsid w:val="0052319C"/>
    <w:rsid w:val="00524A3A"/>
    <w:rsid w:val="00524CD6"/>
    <w:rsid w:val="00524D62"/>
    <w:rsid w:val="00525F33"/>
    <w:rsid w:val="005264D2"/>
    <w:rsid w:val="00527EE9"/>
    <w:rsid w:val="00531A3C"/>
    <w:rsid w:val="00532E11"/>
    <w:rsid w:val="005330F8"/>
    <w:rsid w:val="00534E36"/>
    <w:rsid w:val="00540532"/>
    <w:rsid w:val="00540882"/>
    <w:rsid w:val="005412B8"/>
    <w:rsid w:val="00541C43"/>
    <w:rsid w:val="00542C79"/>
    <w:rsid w:val="005435EE"/>
    <w:rsid w:val="00545822"/>
    <w:rsid w:val="005458F2"/>
    <w:rsid w:val="005470AB"/>
    <w:rsid w:val="00550F12"/>
    <w:rsid w:val="00553A00"/>
    <w:rsid w:val="00554325"/>
    <w:rsid w:val="00556F46"/>
    <w:rsid w:val="0055741B"/>
    <w:rsid w:val="00557FC2"/>
    <w:rsid w:val="00560EE8"/>
    <w:rsid w:val="00561039"/>
    <w:rsid w:val="00562E3A"/>
    <w:rsid w:val="00563200"/>
    <w:rsid w:val="00563F31"/>
    <w:rsid w:val="005644A5"/>
    <w:rsid w:val="00565C49"/>
    <w:rsid w:val="00567BD5"/>
    <w:rsid w:val="00570F64"/>
    <w:rsid w:val="00571248"/>
    <w:rsid w:val="005715FC"/>
    <w:rsid w:val="00571CD6"/>
    <w:rsid w:val="005723E8"/>
    <w:rsid w:val="0057311A"/>
    <w:rsid w:val="005733EE"/>
    <w:rsid w:val="005738B1"/>
    <w:rsid w:val="005744F3"/>
    <w:rsid w:val="00576B10"/>
    <w:rsid w:val="005811DB"/>
    <w:rsid w:val="0058232E"/>
    <w:rsid w:val="0058306B"/>
    <w:rsid w:val="00584246"/>
    <w:rsid w:val="00584278"/>
    <w:rsid w:val="005843E6"/>
    <w:rsid w:val="00584D29"/>
    <w:rsid w:val="005853A7"/>
    <w:rsid w:val="0058553B"/>
    <w:rsid w:val="00586211"/>
    <w:rsid w:val="005868D0"/>
    <w:rsid w:val="0058742E"/>
    <w:rsid w:val="00587FE0"/>
    <w:rsid w:val="00592A15"/>
    <w:rsid w:val="005930BF"/>
    <w:rsid w:val="005943BB"/>
    <w:rsid w:val="00595FD3"/>
    <w:rsid w:val="00596609"/>
    <w:rsid w:val="005966B1"/>
    <w:rsid w:val="00596CB9"/>
    <w:rsid w:val="00597F5F"/>
    <w:rsid w:val="00597F83"/>
    <w:rsid w:val="005A05D9"/>
    <w:rsid w:val="005A154D"/>
    <w:rsid w:val="005A3D4D"/>
    <w:rsid w:val="005A52B8"/>
    <w:rsid w:val="005A5A69"/>
    <w:rsid w:val="005A6542"/>
    <w:rsid w:val="005A6777"/>
    <w:rsid w:val="005A7A6B"/>
    <w:rsid w:val="005B0974"/>
    <w:rsid w:val="005B09AE"/>
    <w:rsid w:val="005B2220"/>
    <w:rsid w:val="005B23A3"/>
    <w:rsid w:val="005B2760"/>
    <w:rsid w:val="005B29A8"/>
    <w:rsid w:val="005B2F40"/>
    <w:rsid w:val="005B3204"/>
    <w:rsid w:val="005B322E"/>
    <w:rsid w:val="005B44F9"/>
    <w:rsid w:val="005B4594"/>
    <w:rsid w:val="005B50DC"/>
    <w:rsid w:val="005B53C2"/>
    <w:rsid w:val="005B62EC"/>
    <w:rsid w:val="005B7DDF"/>
    <w:rsid w:val="005C0801"/>
    <w:rsid w:val="005C224C"/>
    <w:rsid w:val="005C229C"/>
    <w:rsid w:val="005C3EF5"/>
    <w:rsid w:val="005C3FE5"/>
    <w:rsid w:val="005C4F02"/>
    <w:rsid w:val="005C5224"/>
    <w:rsid w:val="005C579A"/>
    <w:rsid w:val="005C57AE"/>
    <w:rsid w:val="005C5ADA"/>
    <w:rsid w:val="005C61F7"/>
    <w:rsid w:val="005C6331"/>
    <w:rsid w:val="005C6DA8"/>
    <w:rsid w:val="005C733E"/>
    <w:rsid w:val="005C75AF"/>
    <w:rsid w:val="005D0158"/>
    <w:rsid w:val="005D0380"/>
    <w:rsid w:val="005D0CE9"/>
    <w:rsid w:val="005D0F2C"/>
    <w:rsid w:val="005D1D07"/>
    <w:rsid w:val="005D25CA"/>
    <w:rsid w:val="005D2AA3"/>
    <w:rsid w:val="005D3D2B"/>
    <w:rsid w:val="005D469D"/>
    <w:rsid w:val="005D4798"/>
    <w:rsid w:val="005D47CE"/>
    <w:rsid w:val="005D5356"/>
    <w:rsid w:val="005D62BA"/>
    <w:rsid w:val="005D7963"/>
    <w:rsid w:val="005E09EE"/>
    <w:rsid w:val="005E16DF"/>
    <w:rsid w:val="005E1746"/>
    <w:rsid w:val="005E6773"/>
    <w:rsid w:val="005F062E"/>
    <w:rsid w:val="005F132F"/>
    <w:rsid w:val="005F3147"/>
    <w:rsid w:val="005F3B35"/>
    <w:rsid w:val="005F3CBC"/>
    <w:rsid w:val="005F5879"/>
    <w:rsid w:val="005F6944"/>
    <w:rsid w:val="005F6A30"/>
    <w:rsid w:val="005F6CB9"/>
    <w:rsid w:val="005F719B"/>
    <w:rsid w:val="00600521"/>
    <w:rsid w:val="00600C77"/>
    <w:rsid w:val="00601010"/>
    <w:rsid w:val="00601885"/>
    <w:rsid w:val="00602E0A"/>
    <w:rsid w:val="00603858"/>
    <w:rsid w:val="00603AC8"/>
    <w:rsid w:val="0060408B"/>
    <w:rsid w:val="00604741"/>
    <w:rsid w:val="00606940"/>
    <w:rsid w:val="00606ADD"/>
    <w:rsid w:val="00606D4F"/>
    <w:rsid w:val="006079B2"/>
    <w:rsid w:val="00612682"/>
    <w:rsid w:val="00612F56"/>
    <w:rsid w:val="006130EF"/>
    <w:rsid w:val="0061384C"/>
    <w:rsid w:val="0061389E"/>
    <w:rsid w:val="006138B7"/>
    <w:rsid w:val="00614A23"/>
    <w:rsid w:val="006153FF"/>
    <w:rsid w:val="00615449"/>
    <w:rsid w:val="00615A0C"/>
    <w:rsid w:val="0061685D"/>
    <w:rsid w:val="006206D5"/>
    <w:rsid w:val="00620712"/>
    <w:rsid w:val="006207B5"/>
    <w:rsid w:val="0062128B"/>
    <w:rsid w:val="00621A58"/>
    <w:rsid w:val="00622974"/>
    <w:rsid w:val="00622C17"/>
    <w:rsid w:val="00622C93"/>
    <w:rsid w:val="006231C8"/>
    <w:rsid w:val="00624B8A"/>
    <w:rsid w:val="00626555"/>
    <w:rsid w:val="0062708F"/>
    <w:rsid w:val="00630536"/>
    <w:rsid w:val="0063067D"/>
    <w:rsid w:val="0063120A"/>
    <w:rsid w:val="00631663"/>
    <w:rsid w:val="00631C44"/>
    <w:rsid w:val="00635FA2"/>
    <w:rsid w:val="006368A5"/>
    <w:rsid w:val="00636CBA"/>
    <w:rsid w:val="00640906"/>
    <w:rsid w:val="0064179C"/>
    <w:rsid w:val="0064272F"/>
    <w:rsid w:val="00642A0E"/>
    <w:rsid w:val="006449BC"/>
    <w:rsid w:val="00645143"/>
    <w:rsid w:val="006465BA"/>
    <w:rsid w:val="006469F5"/>
    <w:rsid w:val="006476CB"/>
    <w:rsid w:val="0065066E"/>
    <w:rsid w:val="00650A7D"/>
    <w:rsid w:val="00650B14"/>
    <w:rsid w:val="006514B7"/>
    <w:rsid w:val="0065199A"/>
    <w:rsid w:val="00651A94"/>
    <w:rsid w:val="00652CEA"/>
    <w:rsid w:val="00653FE6"/>
    <w:rsid w:val="00654F42"/>
    <w:rsid w:val="00655499"/>
    <w:rsid w:val="006557D1"/>
    <w:rsid w:val="0065643B"/>
    <w:rsid w:val="006566BD"/>
    <w:rsid w:val="00656A32"/>
    <w:rsid w:val="00656F1C"/>
    <w:rsid w:val="0066075D"/>
    <w:rsid w:val="006608BD"/>
    <w:rsid w:val="00661003"/>
    <w:rsid w:val="006612D7"/>
    <w:rsid w:val="006618B2"/>
    <w:rsid w:val="00662192"/>
    <w:rsid w:val="0066239F"/>
    <w:rsid w:val="006653E3"/>
    <w:rsid w:val="00666175"/>
    <w:rsid w:val="00666BB9"/>
    <w:rsid w:val="0067396E"/>
    <w:rsid w:val="00674023"/>
    <w:rsid w:val="0067451A"/>
    <w:rsid w:val="00675948"/>
    <w:rsid w:val="00676F07"/>
    <w:rsid w:val="006807B2"/>
    <w:rsid w:val="006814D7"/>
    <w:rsid w:val="00681D4E"/>
    <w:rsid w:val="006837AF"/>
    <w:rsid w:val="0068426F"/>
    <w:rsid w:val="00684AAD"/>
    <w:rsid w:val="00684CD8"/>
    <w:rsid w:val="00684E28"/>
    <w:rsid w:val="00685DDC"/>
    <w:rsid w:val="00686655"/>
    <w:rsid w:val="006866EC"/>
    <w:rsid w:val="00687E92"/>
    <w:rsid w:val="006909E4"/>
    <w:rsid w:val="00690B65"/>
    <w:rsid w:val="00691B0D"/>
    <w:rsid w:val="00694185"/>
    <w:rsid w:val="00694E39"/>
    <w:rsid w:val="00695654"/>
    <w:rsid w:val="00695B99"/>
    <w:rsid w:val="006967FC"/>
    <w:rsid w:val="00696CCE"/>
    <w:rsid w:val="006A1416"/>
    <w:rsid w:val="006A1759"/>
    <w:rsid w:val="006A2572"/>
    <w:rsid w:val="006A2938"/>
    <w:rsid w:val="006A38F2"/>
    <w:rsid w:val="006A4B35"/>
    <w:rsid w:val="006A5336"/>
    <w:rsid w:val="006A648A"/>
    <w:rsid w:val="006A6E0B"/>
    <w:rsid w:val="006A754F"/>
    <w:rsid w:val="006A7A56"/>
    <w:rsid w:val="006A7B7F"/>
    <w:rsid w:val="006A7FE2"/>
    <w:rsid w:val="006B0554"/>
    <w:rsid w:val="006B0FEB"/>
    <w:rsid w:val="006B2DD0"/>
    <w:rsid w:val="006B3170"/>
    <w:rsid w:val="006B32EE"/>
    <w:rsid w:val="006B3BD8"/>
    <w:rsid w:val="006B40F1"/>
    <w:rsid w:val="006B5573"/>
    <w:rsid w:val="006B596C"/>
    <w:rsid w:val="006B69CF"/>
    <w:rsid w:val="006B6D6E"/>
    <w:rsid w:val="006B7935"/>
    <w:rsid w:val="006C084A"/>
    <w:rsid w:val="006C10AC"/>
    <w:rsid w:val="006C1462"/>
    <w:rsid w:val="006C15A5"/>
    <w:rsid w:val="006C2FCA"/>
    <w:rsid w:val="006C4202"/>
    <w:rsid w:val="006C4E3B"/>
    <w:rsid w:val="006C54C6"/>
    <w:rsid w:val="006C5EE5"/>
    <w:rsid w:val="006C66F5"/>
    <w:rsid w:val="006C6B2F"/>
    <w:rsid w:val="006C6B4F"/>
    <w:rsid w:val="006D11BD"/>
    <w:rsid w:val="006D1E33"/>
    <w:rsid w:val="006D21B9"/>
    <w:rsid w:val="006D46C8"/>
    <w:rsid w:val="006D5C90"/>
    <w:rsid w:val="006D63E0"/>
    <w:rsid w:val="006D67D8"/>
    <w:rsid w:val="006D683D"/>
    <w:rsid w:val="006E3A2E"/>
    <w:rsid w:val="006E6B23"/>
    <w:rsid w:val="006F0D0F"/>
    <w:rsid w:val="006F1DF5"/>
    <w:rsid w:val="006F20E1"/>
    <w:rsid w:val="006F26E2"/>
    <w:rsid w:val="006F454D"/>
    <w:rsid w:val="006F45AD"/>
    <w:rsid w:val="006F4CA7"/>
    <w:rsid w:val="006F5074"/>
    <w:rsid w:val="006F5B7B"/>
    <w:rsid w:val="006F5D67"/>
    <w:rsid w:val="006F70C3"/>
    <w:rsid w:val="006F78E0"/>
    <w:rsid w:val="007021D9"/>
    <w:rsid w:val="007029E6"/>
    <w:rsid w:val="0070385D"/>
    <w:rsid w:val="00703A54"/>
    <w:rsid w:val="00703B8C"/>
    <w:rsid w:val="00703B98"/>
    <w:rsid w:val="00706D43"/>
    <w:rsid w:val="00711005"/>
    <w:rsid w:val="007116C2"/>
    <w:rsid w:val="007119DB"/>
    <w:rsid w:val="00712466"/>
    <w:rsid w:val="00712943"/>
    <w:rsid w:val="007148FA"/>
    <w:rsid w:val="007149DB"/>
    <w:rsid w:val="007159D2"/>
    <w:rsid w:val="00716C8A"/>
    <w:rsid w:val="0071701B"/>
    <w:rsid w:val="007173EF"/>
    <w:rsid w:val="00717ED8"/>
    <w:rsid w:val="00721EB6"/>
    <w:rsid w:val="00722EEE"/>
    <w:rsid w:val="0072329B"/>
    <w:rsid w:val="007240BA"/>
    <w:rsid w:val="00724196"/>
    <w:rsid w:val="00724B1A"/>
    <w:rsid w:val="00725FEE"/>
    <w:rsid w:val="00726951"/>
    <w:rsid w:val="00726ACF"/>
    <w:rsid w:val="00726DD7"/>
    <w:rsid w:val="00727006"/>
    <w:rsid w:val="0072701A"/>
    <w:rsid w:val="0072791A"/>
    <w:rsid w:val="0073024C"/>
    <w:rsid w:val="00730D95"/>
    <w:rsid w:val="00732AD8"/>
    <w:rsid w:val="00733321"/>
    <w:rsid w:val="00735289"/>
    <w:rsid w:val="00735545"/>
    <w:rsid w:val="0073693E"/>
    <w:rsid w:val="00736E3F"/>
    <w:rsid w:val="00736F57"/>
    <w:rsid w:val="00737E7F"/>
    <w:rsid w:val="00740CBE"/>
    <w:rsid w:val="00742E46"/>
    <w:rsid w:val="007436F6"/>
    <w:rsid w:val="007443F1"/>
    <w:rsid w:val="0074537E"/>
    <w:rsid w:val="00746395"/>
    <w:rsid w:val="007464D6"/>
    <w:rsid w:val="00751723"/>
    <w:rsid w:val="00752008"/>
    <w:rsid w:val="007523B7"/>
    <w:rsid w:val="007549B8"/>
    <w:rsid w:val="00754A82"/>
    <w:rsid w:val="0075520D"/>
    <w:rsid w:val="007565BB"/>
    <w:rsid w:val="00761E1D"/>
    <w:rsid w:val="0076211A"/>
    <w:rsid w:val="00762FE1"/>
    <w:rsid w:val="007637A2"/>
    <w:rsid w:val="00764406"/>
    <w:rsid w:val="0076565B"/>
    <w:rsid w:val="007656A1"/>
    <w:rsid w:val="00765E33"/>
    <w:rsid w:val="007662D1"/>
    <w:rsid w:val="0076700C"/>
    <w:rsid w:val="00767199"/>
    <w:rsid w:val="00767E8A"/>
    <w:rsid w:val="007702E2"/>
    <w:rsid w:val="00772658"/>
    <w:rsid w:val="00773789"/>
    <w:rsid w:val="0077399E"/>
    <w:rsid w:val="00773FE2"/>
    <w:rsid w:val="0077518B"/>
    <w:rsid w:val="00777275"/>
    <w:rsid w:val="007801BF"/>
    <w:rsid w:val="007803C4"/>
    <w:rsid w:val="00780B50"/>
    <w:rsid w:val="00782D97"/>
    <w:rsid w:val="00784416"/>
    <w:rsid w:val="0078601D"/>
    <w:rsid w:val="00786806"/>
    <w:rsid w:val="007869EB"/>
    <w:rsid w:val="00786B77"/>
    <w:rsid w:val="00786E07"/>
    <w:rsid w:val="00787A0C"/>
    <w:rsid w:val="00790320"/>
    <w:rsid w:val="007904FA"/>
    <w:rsid w:val="007913A7"/>
    <w:rsid w:val="00792A1B"/>
    <w:rsid w:val="00794593"/>
    <w:rsid w:val="00795AD8"/>
    <w:rsid w:val="00796B68"/>
    <w:rsid w:val="00797A20"/>
    <w:rsid w:val="00797CED"/>
    <w:rsid w:val="007A0190"/>
    <w:rsid w:val="007A0295"/>
    <w:rsid w:val="007A1405"/>
    <w:rsid w:val="007A2148"/>
    <w:rsid w:val="007A2D0C"/>
    <w:rsid w:val="007A35C8"/>
    <w:rsid w:val="007A3876"/>
    <w:rsid w:val="007A4110"/>
    <w:rsid w:val="007A4DB5"/>
    <w:rsid w:val="007A594F"/>
    <w:rsid w:val="007A674B"/>
    <w:rsid w:val="007A7BA7"/>
    <w:rsid w:val="007B0195"/>
    <w:rsid w:val="007B0AA4"/>
    <w:rsid w:val="007B0AE2"/>
    <w:rsid w:val="007B2991"/>
    <w:rsid w:val="007B3C51"/>
    <w:rsid w:val="007B448B"/>
    <w:rsid w:val="007B49A6"/>
    <w:rsid w:val="007B553A"/>
    <w:rsid w:val="007B58E8"/>
    <w:rsid w:val="007B5A9E"/>
    <w:rsid w:val="007B6CCB"/>
    <w:rsid w:val="007B7EC4"/>
    <w:rsid w:val="007C0C82"/>
    <w:rsid w:val="007C222D"/>
    <w:rsid w:val="007C35A5"/>
    <w:rsid w:val="007C45E4"/>
    <w:rsid w:val="007C4F85"/>
    <w:rsid w:val="007C5774"/>
    <w:rsid w:val="007C7415"/>
    <w:rsid w:val="007C7C76"/>
    <w:rsid w:val="007D17FE"/>
    <w:rsid w:val="007D18B5"/>
    <w:rsid w:val="007D3D7B"/>
    <w:rsid w:val="007D425C"/>
    <w:rsid w:val="007D4E49"/>
    <w:rsid w:val="007D59B4"/>
    <w:rsid w:val="007D663A"/>
    <w:rsid w:val="007D68F2"/>
    <w:rsid w:val="007D6C87"/>
    <w:rsid w:val="007D70E1"/>
    <w:rsid w:val="007D73DF"/>
    <w:rsid w:val="007E1158"/>
    <w:rsid w:val="007E3F6F"/>
    <w:rsid w:val="007E52D1"/>
    <w:rsid w:val="007E593B"/>
    <w:rsid w:val="007F0CDE"/>
    <w:rsid w:val="007F1B80"/>
    <w:rsid w:val="007F2F7C"/>
    <w:rsid w:val="007F31CD"/>
    <w:rsid w:val="007F3CEB"/>
    <w:rsid w:val="007F4087"/>
    <w:rsid w:val="007F415D"/>
    <w:rsid w:val="007F443F"/>
    <w:rsid w:val="007F4743"/>
    <w:rsid w:val="007F585E"/>
    <w:rsid w:val="007F588D"/>
    <w:rsid w:val="007F6B77"/>
    <w:rsid w:val="007F7B9C"/>
    <w:rsid w:val="00801645"/>
    <w:rsid w:val="008017B5"/>
    <w:rsid w:val="00801DCA"/>
    <w:rsid w:val="00802202"/>
    <w:rsid w:val="00803A25"/>
    <w:rsid w:val="00805A92"/>
    <w:rsid w:val="00807712"/>
    <w:rsid w:val="00810B0A"/>
    <w:rsid w:val="00810E32"/>
    <w:rsid w:val="0081293E"/>
    <w:rsid w:val="00812ADE"/>
    <w:rsid w:val="00813D35"/>
    <w:rsid w:val="008141BF"/>
    <w:rsid w:val="0081526D"/>
    <w:rsid w:val="008159BB"/>
    <w:rsid w:val="008161DE"/>
    <w:rsid w:val="008179D2"/>
    <w:rsid w:val="0082166F"/>
    <w:rsid w:val="008226D3"/>
    <w:rsid w:val="00822E75"/>
    <w:rsid w:val="00823B92"/>
    <w:rsid w:val="008258F7"/>
    <w:rsid w:val="00830C60"/>
    <w:rsid w:val="00830DD3"/>
    <w:rsid w:val="008316FC"/>
    <w:rsid w:val="00831F51"/>
    <w:rsid w:val="00832662"/>
    <w:rsid w:val="00832843"/>
    <w:rsid w:val="00833214"/>
    <w:rsid w:val="008337E9"/>
    <w:rsid w:val="00833E8A"/>
    <w:rsid w:val="00834261"/>
    <w:rsid w:val="008345A8"/>
    <w:rsid w:val="00835153"/>
    <w:rsid w:val="00835633"/>
    <w:rsid w:val="00835DB3"/>
    <w:rsid w:val="008370EB"/>
    <w:rsid w:val="0083758F"/>
    <w:rsid w:val="00840DBB"/>
    <w:rsid w:val="00841C31"/>
    <w:rsid w:val="00841C69"/>
    <w:rsid w:val="00844663"/>
    <w:rsid w:val="00844F03"/>
    <w:rsid w:val="008453C6"/>
    <w:rsid w:val="00845ACE"/>
    <w:rsid w:val="0085012C"/>
    <w:rsid w:val="008504FF"/>
    <w:rsid w:val="0085081E"/>
    <w:rsid w:val="008513BA"/>
    <w:rsid w:val="008515DE"/>
    <w:rsid w:val="008524C1"/>
    <w:rsid w:val="008565E0"/>
    <w:rsid w:val="00856F66"/>
    <w:rsid w:val="00857746"/>
    <w:rsid w:val="008577D7"/>
    <w:rsid w:val="00857904"/>
    <w:rsid w:val="00857973"/>
    <w:rsid w:val="00857E0A"/>
    <w:rsid w:val="00860E97"/>
    <w:rsid w:val="00861AE3"/>
    <w:rsid w:val="00862FA1"/>
    <w:rsid w:val="0086321B"/>
    <w:rsid w:val="008635E2"/>
    <w:rsid w:val="00864421"/>
    <w:rsid w:val="00865080"/>
    <w:rsid w:val="00865585"/>
    <w:rsid w:val="00865ECA"/>
    <w:rsid w:val="0086629F"/>
    <w:rsid w:val="0086661B"/>
    <w:rsid w:val="00870C0B"/>
    <w:rsid w:val="00870CAF"/>
    <w:rsid w:val="00870D91"/>
    <w:rsid w:val="00870FDD"/>
    <w:rsid w:val="00871144"/>
    <w:rsid w:val="00871148"/>
    <w:rsid w:val="00871F1E"/>
    <w:rsid w:val="008734FE"/>
    <w:rsid w:val="0087370B"/>
    <w:rsid w:val="00873CB7"/>
    <w:rsid w:val="008746A3"/>
    <w:rsid w:val="008761FC"/>
    <w:rsid w:val="00876221"/>
    <w:rsid w:val="00876793"/>
    <w:rsid w:val="00876A03"/>
    <w:rsid w:val="00876EB0"/>
    <w:rsid w:val="008771DA"/>
    <w:rsid w:val="00877218"/>
    <w:rsid w:val="00877B02"/>
    <w:rsid w:val="00881584"/>
    <w:rsid w:val="008815DE"/>
    <w:rsid w:val="00881A37"/>
    <w:rsid w:val="00882DB0"/>
    <w:rsid w:val="00883F7D"/>
    <w:rsid w:val="00884770"/>
    <w:rsid w:val="0088603A"/>
    <w:rsid w:val="00886456"/>
    <w:rsid w:val="0088737F"/>
    <w:rsid w:val="00887B48"/>
    <w:rsid w:val="00890010"/>
    <w:rsid w:val="00891E74"/>
    <w:rsid w:val="00893BC7"/>
    <w:rsid w:val="008947A7"/>
    <w:rsid w:val="00895146"/>
    <w:rsid w:val="00895A64"/>
    <w:rsid w:val="00896CA0"/>
    <w:rsid w:val="008A0385"/>
    <w:rsid w:val="008A0E31"/>
    <w:rsid w:val="008A120F"/>
    <w:rsid w:val="008A1376"/>
    <w:rsid w:val="008A1682"/>
    <w:rsid w:val="008A2492"/>
    <w:rsid w:val="008A2C32"/>
    <w:rsid w:val="008A2D1B"/>
    <w:rsid w:val="008A30E1"/>
    <w:rsid w:val="008A4521"/>
    <w:rsid w:val="008A4A51"/>
    <w:rsid w:val="008A4B8E"/>
    <w:rsid w:val="008A4E32"/>
    <w:rsid w:val="008A5D64"/>
    <w:rsid w:val="008A6E38"/>
    <w:rsid w:val="008A703E"/>
    <w:rsid w:val="008A71DE"/>
    <w:rsid w:val="008B0268"/>
    <w:rsid w:val="008B02FA"/>
    <w:rsid w:val="008B05C7"/>
    <w:rsid w:val="008B06EF"/>
    <w:rsid w:val="008B184A"/>
    <w:rsid w:val="008B3D66"/>
    <w:rsid w:val="008B4EC0"/>
    <w:rsid w:val="008B6882"/>
    <w:rsid w:val="008B792D"/>
    <w:rsid w:val="008B79FB"/>
    <w:rsid w:val="008B7BBD"/>
    <w:rsid w:val="008B7ED9"/>
    <w:rsid w:val="008C0620"/>
    <w:rsid w:val="008C25DE"/>
    <w:rsid w:val="008C2E5F"/>
    <w:rsid w:val="008C3CC7"/>
    <w:rsid w:val="008C4504"/>
    <w:rsid w:val="008C4A7E"/>
    <w:rsid w:val="008C4CDD"/>
    <w:rsid w:val="008C5590"/>
    <w:rsid w:val="008C6833"/>
    <w:rsid w:val="008C685A"/>
    <w:rsid w:val="008C6E81"/>
    <w:rsid w:val="008C6F28"/>
    <w:rsid w:val="008C6FEF"/>
    <w:rsid w:val="008C75F1"/>
    <w:rsid w:val="008D040A"/>
    <w:rsid w:val="008D0464"/>
    <w:rsid w:val="008D0AD2"/>
    <w:rsid w:val="008D119A"/>
    <w:rsid w:val="008D2054"/>
    <w:rsid w:val="008D3319"/>
    <w:rsid w:val="008D3B5F"/>
    <w:rsid w:val="008D4A57"/>
    <w:rsid w:val="008D4A93"/>
    <w:rsid w:val="008D4B23"/>
    <w:rsid w:val="008D4D59"/>
    <w:rsid w:val="008D677E"/>
    <w:rsid w:val="008D6F09"/>
    <w:rsid w:val="008D7277"/>
    <w:rsid w:val="008D7A0F"/>
    <w:rsid w:val="008E004A"/>
    <w:rsid w:val="008E034D"/>
    <w:rsid w:val="008E1ED9"/>
    <w:rsid w:val="008E2828"/>
    <w:rsid w:val="008E3207"/>
    <w:rsid w:val="008E3229"/>
    <w:rsid w:val="008E32FD"/>
    <w:rsid w:val="008E3338"/>
    <w:rsid w:val="008E4F55"/>
    <w:rsid w:val="008E57A3"/>
    <w:rsid w:val="008E586A"/>
    <w:rsid w:val="008E596C"/>
    <w:rsid w:val="008E6181"/>
    <w:rsid w:val="008F182D"/>
    <w:rsid w:val="008F1998"/>
    <w:rsid w:val="008F2714"/>
    <w:rsid w:val="008F3B9D"/>
    <w:rsid w:val="008F4996"/>
    <w:rsid w:val="008F520B"/>
    <w:rsid w:val="008F70F9"/>
    <w:rsid w:val="00900F7F"/>
    <w:rsid w:val="00901475"/>
    <w:rsid w:val="00901F3B"/>
    <w:rsid w:val="00901F83"/>
    <w:rsid w:val="009023B7"/>
    <w:rsid w:val="00903C21"/>
    <w:rsid w:val="0090409B"/>
    <w:rsid w:val="00904543"/>
    <w:rsid w:val="00904DBC"/>
    <w:rsid w:val="009050A0"/>
    <w:rsid w:val="009057B4"/>
    <w:rsid w:val="009058F7"/>
    <w:rsid w:val="00907007"/>
    <w:rsid w:val="009076A9"/>
    <w:rsid w:val="0091086E"/>
    <w:rsid w:val="00914A48"/>
    <w:rsid w:val="00915723"/>
    <w:rsid w:val="0091676F"/>
    <w:rsid w:val="00916E52"/>
    <w:rsid w:val="00917C49"/>
    <w:rsid w:val="00920042"/>
    <w:rsid w:val="00921760"/>
    <w:rsid w:val="00924EF0"/>
    <w:rsid w:val="00925103"/>
    <w:rsid w:val="0092615E"/>
    <w:rsid w:val="00926529"/>
    <w:rsid w:val="00926C80"/>
    <w:rsid w:val="00926F88"/>
    <w:rsid w:val="00927935"/>
    <w:rsid w:val="009303EF"/>
    <w:rsid w:val="009305F9"/>
    <w:rsid w:val="00931380"/>
    <w:rsid w:val="00934B16"/>
    <w:rsid w:val="00935D95"/>
    <w:rsid w:val="00940C8E"/>
    <w:rsid w:val="00940D99"/>
    <w:rsid w:val="00940E22"/>
    <w:rsid w:val="00941361"/>
    <w:rsid w:val="0094252F"/>
    <w:rsid w:val="00942827"/>
    <w:rsid w:val="00942963"/>
    <w:rsid w:val="00943589"/>
    <w:rsid w:val="0094363A"/>
    <w:rsid w:val="009439A3"/>
    <w:rsid w:val="009453E3"/>
    <w:rsid w:val="00947A2A"/>
    <w:rsid w:val="0095114C"/>
    <w:rsid w:val="00951580"/>
    <w:rsid w:val="00952B3B"/>
    <w:rsid w:val="009532E4"/>
    <w:rsid w:val="00953326"/>
    <w:rsid w:val="00953598"/>
    <w:rsid w:val="0095480F"/>
    <w:rsid w:val="00954B39"/>
    <w:rsid w:val="00956DB7"/>
    <w:rsid w:val="009578F3"/>
    <w:rsid w:val="00957F42"/>
    <w:rsid w:val="0096058A"/>
    <w:rsid w:val="0096247D"/>
    <w:rsid w:val="00962BEB"/>
    <w:rsid w:val="009636A9"/>
    <w:rsid w:val="0096422A"/>
    <w:rsid w:val="009662F8"/>
    <w:rsid w:val="009663DF"/>
    <w:rsid w:val="009663FC"/>
    <w:rsid w:val="00966655"/>
    <w:rsid w:val="00967398"/>
    <w:rsid w:val="00967E2F"/>
    <w:rsid w:val="009701B9"/>
    <w:rsid w:val="00972F82"/>
    <w:rsid w:val="00973849"/>
    <w:rsid w:val="00974203"/>
    <w:rsid w:val="009749C1"/>
    <w:rsid w:val="009750EB"/>
    <w:rsid w:val="00975AC1"/>
    <w:rsid w:val="0097601B"/>
    <w:rsid w:val="009762FA"/>
    <w:rsid w:val="00976E37"/>
    <w:rsid w:val="0097745C"/>
    <w:rsid w:val="00977A66"/>
    <w:rsid w:val="00977C32"/>
    <w:rsid w:val="00980E66"/>
    <w:rsid w:val="00981AAE"/>
    <w:rsid w:val="00983147"/>
    <w:rsid w:val="009838E2"/>
    <w:rsid w:val="00983A1E"/>
    <w:rsid w:val="00983F63"/>
    <w:rsid w:val="0098402C"/>
    <w:rsid w:val="009847E9"/>
    <w:rsid w:val="00985314"/>
    <w:rsid w:val="00985E33"/>
    <w:rsid w:val="00985F55"/>
    <w:rsid w:val="009868CF"/>
    <w:rsid w:val="00986AAF"/>
    <w:rsid w:val="009878C2"/>
    <w:rsid w:val="00991246"/>
    <w:rsid w:val="00992D85"/>
    <w:rsid w:val="009952AF"/>
    <w:rsid w:val="00995354"/>
    <w:rsid w:val="0099591B"/>
    <w:rsid w:val="00996583"/>
    <w:rsid w:val="00996CD8"/>
    <w:rsid w:val="009971B3"/>
    <w:rsid w:val="00997385"/>
    <w:rsid w:val="009A1B3D"/>
    <w:rsid w:val="009A2B59"/>
    <w:rsid w:val="009A2EDB"/>
    <w:rsid w:val="009A3E41"/>
    <w:rsid w:val="009A490D"/>
    <w:rsid w:val="009A4A34"/>
    <w:rsid w:val="009A68CC"/>
    <w:rsid w:val="009B03F6"/>
    <w:rsid w:val="009B0419"/>
    <w:rsid w:val="009B0BB1"/>
    <w:rsid w:val="009B1185"/>
    <w:rsid w:val="009B174C"/>
    <w:rsid w:val="009B3875"/>
    <w:rsid w:val="009B435A"/>
    <w:rsid w:val="009B43C1"/>
    <w:rsid w:val="009B4D34"/>
    <w:rsid w:val="009B5BAB"/>
    <w:rsid w:val="009B67E2"/>
    <w:rsid w:val="009B7007"/>
    <w:rsid w:val="009C0391"/>
    <w:rsid w:val="009C073B"/>
    <w:rsid w:val="009C183C"/>
    <w:rsid w:val="009C2C7F"/>
    <w:rsid w:val="009C41E9"/>
    <w:rsid w:val="009C4CC4"/>
    <w:rsid w:val="009D0BDC"/>
    <w:rsid w:val="009D117C"/>
    <w:rsid w:val="009D18BD"/>
    <w:rsid w:val="009D1B5C"/>
    <w:rsid w:val="009D1BD3"/>
    <w:rsid w:val="009D3349"/>
    <w:rsid w:val="009D3E80"/>
    <w:rsid w:val="009D4E8D"/>
    <w:rsid w:val="009D5169"/>
    <w:rsid w:val="009D51FA"/>
    <w:rsid w:val="009D5952"/>
    <w:rsid w:val="009D5B7A"/>
    <w:rsid w:val="009D5BA1"/>
    <w:rsid w:val="009E10F2"/>
    <w:rsid w:val="009E167C"/>
    <w:rsid w:val="009E1C70"/>
    <w:rsid w:val="009E1F9B"/>
    <w:rsid w:val="009E24E0"/>
    <w:rsid w:val="009E36F4"/>
    <w:rsid w:val="009E3E9D"/>
    <w:rsid w:val="009E5972"/>
    <w:rsid w:val="009E5F8B"/>
    <w:rsid w:val="009E63DF"/>
    <w:rsid w:val="009E6459"/>
    <w:rsid w:val="009E6472"/>
    <w:rsid w:val="009E64B2"/>
    <w:rsid w:val="009E73D1"/>
    <w:rsid w:val="009F0090"/>
    <w:rsid w:val="009F0686"/>
    <w:rsid w:val="009F14DE"/>
    <w:rsid w:val="009F17CF"/>
    <w:rsid w:val="009F3456"/>
    <w:rsid w:val="009F7269"/>
    <w:rsid w:val="00A03920"/>
    <w:rsid w:val="00A0393F"/>
    <w:rsid w:val="00A03CCA"/>
    <w:rsid w:val="00A05801"/>
    <w:rsid w:val="00A05EA1"/>
    <w:rsid w:val="00A05F11"/>
    <w:rsid w:val="00A103E5"/>
    <w:rsid w:val="00A107A7"/>
    <w:rsid w:val="00A11502"/>
    <w:rsid w:val="00A1157A"/>
    <w:rsid w:val="00A11D5D"/>
    <w:rsid w:val="00A11E25"/>
    <w:rsid w:val="00A1228C"/>
    <w:rsid w:val="00A13462"/>
    <w:rsid w:val="00A14A31"/>
    <w:rsid w:val="00A14D84"/>
    <w:rsid w:val="00A15484"/>
    <w:rsid w:val="00A17251"/>
    <w:rsid w:val="00A20EC7"/>
    <w:rsid w:val="00A21892"/>
    <w:rsid w:val="00A22EA5"/>
    <w:rsid w:val="00A238AE"/>
    <w:rsid w:val="00A23B83"/>
    <w:rsid w:val="00A24471"/>
    <w:rsid w:val="00A24C7E"/>
    <w:rsid w:val="00A25B21"/>
    <w:rsid w:val="00A26A8E"/>
    <w:rsid w:val="00A307CB"/>
    <w:rsid w:val="00A310AF"/>
    <w:rsid w:val="00A3151A"/>
    <w:rsid w:val="00A3480E"/>
    <w:rsid w:val="00A3582E"/>
    <w:rsid w:val="00A35DAB"/>
    <w:rsid w:val="00A36292"/>
    <w:rsid w:val="00A37171"/>
    <w:rsid w:val="00A37A60"/>
    <w:rsid w:val="00A4063A"/>
    <w:rsid w:val="00A430D9"/>
    <w:rsid w:val="00A432CD"/>
    <w:rsid w:val="00A43EB7"/>
    <w:rsid w:val="00A44754"/>
    <w:rsid w:val="00A4526B"/>
    <w:rsid w:val="00A455C5"/>
    <w:rsid w:val="00A466AF"/>
    <w:rsid w:val="00A5088F"/>
    <w:rsid w:val="00A50F2E"/>
    <w:rsid w:val="00A52170"/>
    <w:rsid w:val="00A52E7B"/>
    <w:rsid w:val="00A52E8A"/>
    <w:rsid w:val="00A52F9D"/>
    <w:rsid w:val="00A53662"/>
    <w:rsid w:val="00A54472"/>
    <w:rsid w:val="00A55169"/>
    <w:rsid w:val="00A56D03"/>
    <w:rsid w:val="00A57FB8"/>
    <w:rsid w:val="00A609FE"/>
    <w:rsid w:val="00A61962"/>
    <w:rsid w:val="00A621EE"/>
    <w:rsid w:val="00A65CDF"/>
    <w:rsid w:val="00A67031"/>
    <w:rsid w:val="00A67550"/>
    <w:rsid w:val="00A67B8F"/>
    <w:rsid w:val="00A705E1"/>
    <w:rsid w:val="00A71CC0"/>
    <w:rsid w:val="00A72D08"/>
    <w:rsid w:val="00A7444B"/>
    <w:rsid w:val="00A746AA"/>
    <w:rsid w:val="00A7500A"/>
    <w:rsid w:val="00A75752"/>
    <w:rsid w:val="00A7606C"/>
    <w:rsid w:val="00A7776C"/>
    <w:rsid w:val="00A8060A"/>
    <w:rsid w:val="00A80789"/>
    <w:rsid w:val="00A83555"/>
    <w:rsid w:val="00A83E7E"/>
    <w:rsid w:val="00A85FC5"/>
    <w:rsid w:val="00A86903"/>
    <w:rsid w:val="00A9121A"/>
    <w:rsid w:val="00A91931"/>
    <w:rsid w:val="00A9241E"/>
    <w:rsid w:val="00A959E2"/>
    <w:rsid w:val="00A962BA"/>
    <w:rsid w:val="00AA14E4"/>
    <w:rsid w:val="00AA20D2"/>
    <w:rsid w:val="00AA2F0E"/>
    <w:rsid w:val="00AA50E8"/>
    <w:rsid w:val="00AA58BD"/>
    <w:rsid w:val="00AA5FEC"/>
    <w:rsid w:val="00AA605A"/>
    <w:rsid w:val="00AB20A2"/>
    <w:rsid w:val="00AB2D23"/>
    <w:rsid w:val="00AB317A"/>
    <w:rsid w:val="00AB442B"/>
    <w:rsid w:val="00AB46C2"/>
    <w:rsid w:val="00AB485E"/>
    <w:rsid w:val="00AB5DE6"/>
    <w:rsid w:val="00AB6321"/>
    <w:rsid w:val="00AB7AAB"/>
    <w:rsid w:val="00AC0937"/>
    <w:rsid w:val="00AC11A8"/>
    <w:rsid w:val="00AC2B7C"/>
    <w:rsid w:val="00AC6D91"/>
    <w:rsid w:val="00AC74C4"/>
    <w:rsid w:val="00AD08B5"/>
    <w:rsid w:val="00AD24AC"/>
    <w:rsid w:val="00AD3D58"/>
    <w:rsid w:val="00AD410E"/>
    <w:rsid w:val="00AD5236"/>
    <w:rsid w:val="00AE07F6"/>
    <w:rsid w:val="00AE0C5E"/>
    <w:rsid w:val="00AE120F"/>
    <w:rsid w:val="00AE127F"/>
    <w:rsid w:val="00AE2557"/>
    <w:rsid w:val="00AE3E8D"/>
    <w:rsid w:val="00AE4CEE"/>
    <w:rsid w:val="00AE536F"/>
    <w:rsid w:val="00AE5A75"/>
    <w:rsid w:val="00AE60B4"/>
    <w:rsid w:val="00AE617C"/>
    <w:rsid w:val="00AE6311"/>
    <w:rsid w:val="00AE6EC3"/>
    <w:rsid w:val="00AE6FC3"/>
    <w:rsid w:val="00AF0003"/>
    <w:rsid w:val="00AF072B"/>
    <w:rsid w:val="00AF0A52"/>
    <w:rsid w:val="00AF0C2E"/>
    <w:rsid w:val="00AF0F3C"/>
    <w:rsid w:val="00AF148F"/>
    <w:rsid w:val="00AF1778"/>
    <w:rsid w:val="00AF253F"/>
    <w:rsid w:val="00AF2B65"/>
    <w:rsid w:val="00AF3A1D"/>
    <w:rsid w:val="00AF40F5"/>
    <w:rsid w:val="00AF4253"/>
    <w:rsid w:val="00AF5B70"/>
    <w:rsid w:val="00AF659A"/>
    <w:rsid w:val="00AF705E"/>
    <w:rsid w:val="00AF729B"/>
    <w:rsid w:val="00AF793C"/>
    <w:rsid w:val="00AF7B99"/>
    <w:rsid w:val="00B00FDC"/>
    <w:rsid w:val="00B0120D"/>
    <w:rsid w:val="00B01622"/>
    <w:rsid w:val="00B01DD2"/>
    <w:rsid w:val="00B01E3A"/>
    <w:rsid w:val="00B03E02"/>
    <w:rsid w:val="00B050FC"/>
    <w:rsid w:val="00B059C2"/>
    <w:rsid w:val="00B06E6E"/>
    <w:rsid w:val="00B07245"/>
    <w:rsid w:val="00B108AE"/>
    <w:rsid w:val="00B11EBB"/>
    <w:rsid w:val="00B12B96"/>
    <w:rsid w:val="00B12F29"/>
    <w:rsid w:val="00B137AD"/>
    <w:rsid w:val="00B13FF6"/>
    <w:rsid w:val="00B142A6"/>
    <w:rsid w:val="00B14F17"/>
    <w:rsid w:val="00B15EFE"/>
    <w:rsid w:val="00B16F30"/>
    <w:rsid w:val="00B17067"/>
    <w:rsid w:val="00B17B18"/>
    <w:rsid w:val="00B17E53"/>
    <w:rsid w:val="00B23855"/>
    <w:rsid w:val="00B23CFD"/>
    <w:rsid w:val="00B23FD4"/>
    <w:rsid w:val="00B24A9E"/>
    <w:rsid w:val="00B24B32"/>
    <w:rsid w:val="00B261CB"/>
    <w:rsid w:val="00B27DE4"/>
    <w:rsid w:val="00B30B19"/>
    <w:rsid w:val="00B30CB9"/>
    <w:rsid w:val="00B331F8"/>
    <w:rsid w:val="00B33495"/>
    <w:rsid w:val="00B3370B"/>
    <w:rsid w:val="00B35652"/>
    <w:rsid w:val="00B357F3"/>
    <w:rsid w:val="00B35ABA"/>
    <w:rsid w:val="00B35AE0"/>
    <w:rsid w:val="00B3606A"/>
    <w:rsid w:val="00B366E7"/>
    <w:rsid w:val="00B40446"/>
    <w:rsid w:val="00B404F4"/>
    <w:rsid w:val="00B40B7B"/>
    <w:rsid w:val="00B43611"/>
    <w:rsid w:val="00B437EE"/>
    <w:rsid w:val="00B44379"/>
    <w:rsid w:val="00B445F1"/>
    <w:rsid w:val="00B4484A"/>
    <w:rsid w:val="00B46E62"/>
    <w:rsid w:val="00B475E5"/>
    <w:rsid w:val="00B47C0D"/>
    <w:rsid w:val="00B50AB3"/>
    <w:rsid w:val="00B51380"/>
    <w:rsid w:val="00B517AE"/>
    <w:rsid w:val="00B51AF3"/>
    <w:rsid w:val="00B54BB3"/>
    <w:rsid w:val="00B55E56"/>
    <w:rsid w:val="00B55F04"/>
    <w:rsid w:val="00B566FE"/>
    <w:rsid w:val="00B6006F"/>
    <w:rsid w:val="00B60212"/>
    <w:rsid w:val="00B60A81"/>
    <w:rsid w:val="00B60E5B"/>
    <w:rsid w:val="00B627FC"/>
    <w:rsid w:val="00B637B7"/>
    <w:rsid w:val="00B63974"/>
    <w:rsid w:val="00B65555"/>
    <w:rsid w:val="00B65F1E"/>
    <w:rsid w:val="00B6711F"/>
    <w:rsid w:val="00B70DA6"/>
    <w:rsid w:val="00B7230B"/>
    <w:rsid w:val="00B7322E"/>
    <w:rsid w:val="00B73238"/>
    <w:rsid w:val="00B74CEF"/>
    <w:rsid w:val="00B74E78"/>
    <w:rsid w:val="00B7507F"/>
    <w:rsid w:val="00B757E5"/>
    <w:rsid w:val="00B761DA"/>
    <w:rsid w:val="00B76E7C"/>
    <w:rsid w:val="00B77071"/>
    <w:rsid w:val="00B77396"/>
    <w:rsid w:val="00B805A4"/>
    <w:rsid w:val="00B80C5D"/>
    <w:rsid w:val="00B83079"/>
    <w:rsid w:val="00B83B27"/>
    <w:rsid w:val="00B858AF"/>
    <w:rsid w:val="00B86894"/>
    <w:rsid w:val="00B869F6"/>
    <w:rsid w:val="00B91372"/>
    <w:rsid w:val="00B93E0D"/>
    <w:rsid w:val="00B95E86"/>
    <w:rsid w:val="00B9696E"/>
    <w:rsid w:val="00B9742B"/>
    <w:rsid w:val="00B979C2"/>
    <w:rsid w:val="00BA295F"/>
    <w:rsid w:val="00BA3030"/>
    <w:rsid w:val="00BA350C"/>
    <w:rsid w:val="00BA3E2D"/>
    <w:rsid w:val="00BA4F58"/>
    <w:rsid w:val="00BA5759"/>
    <w:rsid w:val="00BA5BFF"/>
    <w:rsid w:val="00BA5D43"/>
    <w:rsid w:val="00BA5F2A"/>
    <w:rsid w:val="00BA65BD"/>
    <w:rsid w:val="00BB0002"/>
    <w:rsid w:val="00BB00A1"/>
    <w:rsid w:val="00BB038E"/>
    <w:rsid w:val="00BB04D9"/>
    <w:rsid w:val="00BB1B5C"/>
    <w:rsid w:val="00BB1BA5"/>
    <w:rsid w:val="00BB2F24"/>
    <w:rsid w:val="00BB3C89"/>
    <w:rsid w:val="00BB455E"/>
    <w:rsid w:val="00BB51A2"/>
    <w:rsid w:val="00BB59D0"/>
    <w:rsid w:val="00BB5E06"/>
    <w:rsid w:val="00BB631B"/>
    <w:rsid w:val="00BC220F"/>
    <w:rsid w:val="00BC42CA"/>
    <w:rsid w:val="00BC53D9"/>
    <w:rsid w:val="00BD0B5B"/>
    <w:rsid w:val="00BD1E3F"/>
    <w:rsid w:val="00BD2299"/>
    <w:rsid w:val="00BD3896"/>
    <w:rsid w:val="00BD3FE3"/>
    <w:rsid w:val="00BD484C"/>
    <w:rsid w:val="00BD5E3C"/>
    <w:rsid w:val="00BD5EF7"/>
    <w:rsid w:val="00BE0F8C"/>
    <w:rsid w:val="00BE110A"/>
    <w:rsid w:val="00BE137D"/>
    <w:rsid w:val="00BE14B2"/>
    <w:rsid w:val="00BE1BBB"/>
    <w:rsid w:val="00BE1E06"/>
    <w:rsid w:val="00BE45E8"/>
    <w:rsid w:val="00BE47C0"/>
    <w:rsid w:val="00BE5109"/>
    <w:rsid w:val="00BE55B0"/>
    <w:rsid w:val="00BE63A2"/>
    <w:rsid w:val="00BE6B37"/>
    <w:rsid w:val="00BF0E72"/>
    <w:rsid w:val="00BF4DB7"/>
    <w:rsid w:val="00BF52E2"/>
    <w:rsid w:val="00BF5E8D"/>
    <w:rsid w:val="00BF6721"/>
    <w:rsid w:val="00BF6B92"/>
    <w:rsid w:val="00BF6ED6"/>
    <w:rsid w:val="00BF724E"/>
    <w:rsid w:val="00BF7469"/>
    <w:rsid w:val="00BF76E6"/>
    <w:rsid w:val="00BF7A3D"/>
    <w:rsid w:val="00C00738"/>
    <w:rsid w:val="00C01AAA"/>
    <w:rsid w:val="00C01AC4"/>
    <w:rsid w:val="00C026D8"/>
    <w:rsid w:val="00C02715"/>
    <w:rsid w:val="00C03993"/>
    <w:rsid w:val="00C03ECF"/>
    <w:rsid w:val="00C0449E"/>
    <w:rsid w:val="00C052BC"/>
    <w:rsid w:val="00C0570F"/>
    <w:rsid w:val="00C10CD4"/>
    <w:rsid w:val="00C12054"/>
    <w:rsid w:val="00C122F2"/>
    <w:rsid w:val="00C12C5C"/>
    <w:rsid w:val="00C13CDA"/>
    <w:rsid w:val="00C143B1"/>
    <w:rsid w:val="00C148DB"/>
    <w:rsid w:val="00C14E6F"/>
    <w:rsid w:val="00C158D7"/>
    <w:rsid w:val="00C1653D"/>
    <w:rsid w:val="00C17041"/>
    <w:rsid w:val="00C17683"/>
    <w:rsid w:val="00C216F1"/>
    <w:rsid w:val="00C2189E"/>
    <w:rsid w:val="00C21C94"/>
    <w:rsid w:val="00C23134"/>
    <w:rsid w:val="00C2576A"/>
    <w:rsid w:val="00C26556"/>
    <w:rsid w:val="00C27E96"/>
    <w:rsid w:val="00C308F0"/>
    <w:rsid w:val="00C31C09"/>
    <w:rsid w:val="00C31E55"/>
    <w:rsid w:val="00C31ED2"/>
    <w:rsid w:val="00C33E92"/>
    <w:rsid w:val="00C3492F"/>
    <w:rsid w:val="00C3593F"/>
    <w:rsid w:val="00C36680"/>
    <w:rsid w:val="00C372BF"/>
    <w:rsid w:val="00C402C3"/>
    <w:rsid w:val="00C40666"/>
    <w:rsid w:val="00C411B9"/>
    <w:rsid w:val="00C418C9"/>
    <w:rsid w:val="00C4299E"/>
    <w:rsid w:val="00C42A1B"/>
    <w:rsid w:val="00C43585"/>
    <w:rsid w:val="00C43FEC"/>
    <w:rsid w:val="00C44154"/>
    <w:rsid w:val="00C44AEC"/>
    <w:rsid w:val="00C45448"/>
    <w:rsid w:val="00C46139"/>
    <w:rsid w:val="00C46ABF"/>
    <w:rsid w:val="00C4708A"/>
    <w:rsid w:val="00C47A43"/>
    <w:rsid w:val="00C5059B"/>
    <w:rsid w:val="00C5063D"/>
    <w:rsid w:val="00C514C7"/>
    <w:rsid w:val="00C52372"/>
    <w:rsid w:val="00C52A6B"/>
    <w:rsid w:val="00C52D14"/>
    <w:rsid w:val="00C5326F"/>
    <w:rsid w:val="00C54B72"/>
    <w:rsid w:val="00C5666F"/>
    <w:rsid w:val="00C57905"/>
    <w:rsid w:val="00C57C06"/>
    <w:rsid w:val="00C57EAE"/>
    <w:rsid w:val="00C60281"/>
    <w:rsid w:val="00C6091B"/>
    <w:rsid w:val="00C60C25"/>
    <w:rsid w:val="00C6224C"/>
    <w:rsid w:val="00C62EB6"/>
    <w:rsid w:val="00C63792"/>
    <w:rsid w:val="00C646F0"/>
    <w:rsid w:val="00C65995"/>
    <w:rsid w:val="00C702ED"/>
    <w:rsid w:val="00C70F5E"/>
    <w:rsid w:val="00C712ED"/>
    <w:rsid w:val="00C72F8E"/>
    <w:rsid w:val="00C735FD"/>
    <w:rsid w:val="00C73D6B"/>
    <w:rsid w:val="00C74FE0"/>
    <w:rsid w:val="00C751D9"/>
    <w:rsid w:val="00C756B1"/>
    <w:rsid w:val="00C75960"/>
    <w:rsid w:val="00C763F6"/>
    <w:rsid w:val="00C773AC"/>
    <w:rsid w:val="00C82B26"/>
    <w:rsid w:val="00C8471E"/>
    <w:rsid w:val="00C84A21"/>
    <w:rsid w:val="00C86BE4"/>
    <w:rsid w:val="00C86C01"/>
    <w:rsid w:val="00C86F3F"/>
    <w:rsid w:val="00C87244"/>
    <w:rsid w:val="00C87C87"/>
    <w:rsid w:val="00C87E83"/>
    <w:rsid w:val="00C93479"/>
    <w:rsid w:val="00C943C1"/>
    <w:rsid w:val="00C945E9"/>
    <w:rsid w:val="00C94D1A"/>
    <w:rsid w:val="00C96148"/>
    <w:rsid w:val="00C9653F"/>
    <w:rsid w:val="00C96861"/>
    <w:rsid w:val="00C969E0"/>
    <w:rsid w:val="00C972E8"/>
    <w:rsid w:val="00CA00FB"/>
    <w:rsid w:val="00CA1542"/>
    <w:rsid w:val="00CA1ADA"/>
    <w:rsid w:val="00CA1BC0"/>
    <w:rsid w:val="00CA36B8"/>
    <w:rsid w:val="00CA426D"/>
    <w:rsid w:val="00CA4350"/>
    <w:rsid w:val="00CA442C"/>
    <w:rsid w:val="00CA46FD"/>
    <w:rsid w:val="00CA5A9A"/>
    <w:rsid w:val="00CA7DBD"/>
    <w:rsid w:val="00CB05A0"/>
    <w:rsid w:val="00CB27E0"/>
    <w:rsid w:val="00CB2CDA"/>
    <w:rsid w:val="00CB319A"/>
    <w:rsid w:val="00CB351D"/>
    <w:rsid w:val="00CB3E9D"/>
    <w:rsid w:val="00CB42F0"/>
    <w:rsid w:val="00CB4A14"/>
    <w:rsid w:val="00CB4D8B"/>
    <w:rsid w:val="00CB6CFC"/>
    <w:rsid w:val="00CC0083"/>
    <w:rsid w:val="00CC0281"/>
    <w:rsid w:val="00CC035B"/>
    <w:rsid w:val="00CC05AF"/>
    <w:rsid w:val="00CC12C7"/>
    <w:rsid w:val="00CC20C8"/>
    <w:rsid w:val="00CC2372"/>
    <w:rsid w:val="00CC2ABC"/>
    <w:rsid w:val="00CC50F9"/>
    <w:rsid w:val="00CC5916"/>
    <w:rsid w:val="00CC5A32"/>
    <w:rsid w:val="00CC5AAA"/>
    <w:rsid w:val="00CC5E6C"/>
    <w:rsid w:val="00CC6B59"/>
    <w:rsid w:val="00CC72E1"/>
    <w:rsid w:val="00CD00B8"/>
    <w:rsid w:val="00CD1C90"/>
    <w:rsid w:val="00CD1DCA"/>
    <w:rsid w:val="00CD2180"/>
    <w:rsid w:val="00CD41CE"/>
    <w:rsid w:val="00CD44D5"/>
    <w:rsid w:val="00CD5316"/>
    <w:rsid w:val="00CD71BD"/>
    <w:rsid w:val="00CD7221"/>
    <w:rsid w:val="00CD763F"/>
    <w:rsid w:val="00CE0557"/>
    <w:rsid w:val="00CE0992"/>
    <w:rsid w:val="00CE0BCB"/>
    <w:rsid w:val="00CE228D"/>
    <w:rsid w:val="00CE3A96"/>
    <w:rsid w:val="00CE42DF"/>
    <w:rsid w:val="00CE564D"/>
    <w:rsid w:val="00CE6221"/>
    <w:rsid w:val="00CE731B"/>
    <w:rsid w:val="00CF08C5"/>
    <w:rsid w:val="00CF0D7B"/>
    <w:rsid w:val="00CF2803"/>
    <w:rsid w:val="00CF2957"/>
    <w:rsid w:val="00CF358D"/>
    <w:rsid w:val="00CF3B18"/>
    <w:rsid w:val="00CF51B7"/>
    <w:rsid w:val="00CF5C60"/>
    <w:rsid w:val="00CF661F"/>
    <w:rsid w:val="00CF67E2"/>
    <w:rsid w:val="00CF74BC"/>
    <w:rsid w:val="00D004D4"/>
    <w:rsid w:val="00D019E6"/>
    <w:rsid w:val="00D0358D"/>
    <w:rsid w:val="00D038BF"/>
    <w:rsid w:val="00D04611"/>
    <w:rsid w:val="00D04933"/>
    <w:rsid w:val="00D05986"/>
    <w:rsid w:val="00D06463"/>
    <w:rsid w:val="00D0666A"/>
    <w:rsid w:val="00D06C4B"/>
    <w:rsid w:val="00D07097"/>
    <w:rsid w:val="00D12291"/>
    <w:rsid w:val="00D153FD"/>
    <w:rsid w:val="00D155C7"/>
    <w:rsid w:val="00D1665D"/>
    <w:rsid w:val="00D16751"/>
    <w:rsid w:val="00D20EFD"/>
    <w:rsid w:val="00D22CE0"/>
    <w:rsid w:val="00D230DF"/>
    <w:rsid w:val="00D23235"/>
    <w:rsid w:val="00D23A7F"/>
    <w:rsid w:val="00D24739"/>
    <w:rsid w:val="00D249EB"/>
    <w:rsid w:val="00D25C10"/>
    <w:rsid w:val="00D26419"/>
    <w:rsid w:val="00D26E4D"/>
    <w:rsid w:val="00D30032"/>
    <w:rsid w:val="00D30650"/>
    <w:rsid w:val="00D31B6A"/>
    <w:rsid w:val="00D31BE8"/>
    <w:rsid w:val="00D33895"/>
    <w:rsid w:val="00D34027"/>
    <w:rsid w:val="00D346EE"/>
    <w:rsid w:val="00D34CA0"/>
    <w:rsid w:val="00D34F61"/>
    <w:rsid w:val="00D351AD"/>
    <w:rsid w:val="00D351F3"/>
    <w:rsid w:val="00D3538F"/>
    <w:rsid w:val="00D3778A"/>
    <w:rsid w:val="00D412B1"/>
    <w:rsid w:val="00D418D5"/>
    <w:rsid w:val="00D419A6"/>
    <w:rsid w:val="00D436CE"/>
    <w:rsid w:val="00D44227"/>
    <w:rsid w:val="00D45A93"/>
    <w:rsid w:val="00D46B3E"/>
    <w:rsid w:val="00D5035D"/>
    <w:rsid w:val="00D51E66"/>
    <w:rsid w:val="00D5302B"/>
    <w:rsid w:val="00D53A58"/>
    <w:rsid w:val="00D55B43"/>
    <w:rsid w:val="00D565A5"/>
    <w:rsid w:val="00D56E7A"/>
    <w:rsid w:val="00D57A6A"/>
    <w:rsid w:val="00D60431"/>
    <w:rsid w:val="00D607AB"/>
    <w:rsid w:val="00D61A4D"/>
    <w:rsid w:val="00D61DA1"/>
    <w:rsid w:val="00D624C8"/>
    <w:rsid w:val="00D62727"/>
    <w:rsid w:val="00D62B70"/>
    <w:rsid w:val="00D63AD3"/>
    <w:rsid w:val="00D64689"/>
    <w:rsid w:val="00D64F03"/>
    <w:rsid w:val="00D65284"/>
    <w:rsid w:val="00D65373"/>
    <w:rsid w:val="00D66027"/>
    <w:rsid w:val="00D66787"/>
    <w:rsid w:val="00D66CC1"/>
    <w:rsid w:val="00D66D56"/>
    <w:rsid w:val="00D67F2D"/>
    <w:rsid w:val="00D70C1D"/>
    <w:rsid w:val="00D718DE"/>
    <w:rsid w:val="00D73050"/>
    <w:rsid w:val="00D7308A"/>
    <w:rsid w:val="00D765B3"/>
    <w:rsid w:val="00D76793"/>
    <w:rsid w:val="00D77C04"/>
    <w:rsid w:val="00D8014B"/>
    <w:rsid w:val="00D80FC9"/>
    <w:rsid w:val="00D81267"/>
    <w:rsid w:val="00D82BA6"/>
    <w:rsid w:val="00D82F19"/>
    <w:rsid w:val="00D83115"/>
    <w:rsid w:val="00D8323A"/>
    <w:rsid w:val="00D83B47"/>
    <w:rsid w:val="00D83DFB"/>
    <w:rsid w:val="00D83F7C"/>
    <w:rsid w:val="00D84522"/>
    <w:rsid w:val="00D851D6"/>
    <w:rsid w:val="00D87122"/>
    <w:rsid w:val="00D90A0F"/>
    <w:rsid w:val="00D91179"/>
    <w:rsid w:val="00D91851"/>
    <w:rsid w:val="00D92846"/>
    <w:rsid w:val="00D93C72"/>
    <w:rsid w:val="00D94DCF"/>
    <w:rsid w:val="00D95A53"/>
    <w:rsid w:val="00D967D1"/>
    <w:rsid w:val="00D97BA1"/>
    <w:rsid w:val="00DA1C0B"/>
    <w:rsid w:val="00DA1E04"/>
    <w:rsid w:val="00DA4A36"/>
    <w:rsid w:val="00DA5FE2"/>
    <w:rsid w:val="00DA659E"/>
    <w:rsid w:val="00DA7716"/>
    <w:rsid w:val="00DB08C1"/>
    <w:rsid w:val="00DB35C9"/>
    <w:rsid w:val="00DB7ABB"/>
    <w:rsid w:val="00DB7B44"/>
    <w:rsid w:val="00DC11D2"/>
    <w:rsid w:val="00DC1257"/>
    <w:rsid w:val="00DC12B4"/>
    <w:rsid w:val="00DC1E99"/>
    <w:rsid w:val="00DC1EF0"/>
    <w:rsid w:val="00DC3F82"/>
    <w:rsid w:val="00DC54C6"/>
    <w:rsid w:val="00DC63F5"/>
    <w:rsid w:val="00DC6957"/>
    <w:rsid w:val="00DC75FF"/>
    <w:rsid w:val="00DC79CC"/>
    <w:rsid w:val="00DC7F61"/>
    <w:rsid w:val="00DD36E4"/>
    <w:rsid w:val="00DD5EAF"/>
    <w:rsid w:val="00DD794B"/>
    <w:rsid w:val="00DD7EC0"/>
    <w:rsid w:val="00DE01A6"/>
    <w:rsid w:val="00DE05AB"/>
    <w:rsid w:val="00DE11F8"/>
    <w:rsid w:val="00DE165E"/>
    <w:rsid w:val="00DE19BD"/>
    <w:rsid w:val="00DE44E3"/>
    <w:rsid w:val="00DE493B"/>
    <w:rsid w:val="00DE61A2"/>
    <w:rsid w:val="00DE6F31"/>
    <w:rsid w:val="00DF0598"/>
    <w:rsid w:val="00DF0BEC"/>
    <w:rsid w:val="00DF0F35"/>
    <w:rsid w:val="00DF0FFF"/>
    <w:rsid w:val="00DF1A40"/>
    <w:rsid w:val="00DF1EA7"/>
    <w:rsid w:val="00DF1FC6"/>
    <w:rsid w:val="00DF4D9C"/>
    <w:rsid w:val="00DF4F80"/>
    <w:rsid w:val="00DF503B"/>
    <w:rsid w:val="00DF550C"/>
    <w:rsid w:val="00DF5642"/>
    <w:rsid w:val="00DF70F8"/>
    <w:rsid w:val="00DF759C"/>
    <w:rsid w:val="00E00C47"/>
    <w:rsid w:val="00E0192A"/>
    <w:rsid w:val="00E0201E"/>
    <w:rsid w:val="00E02E8D"/>
    <w:rsid w:val="00E02E97"/>
    <w:rsid w:val="00E038D2"/>
    <w:rsid w:val="00E040D9"/>
    <w:rsid w:val="00E0475E"/>
    <w:rsid w:val="00E064B4"/>
    <w:rsid w:val="00E06580"/>
    <w:rsid w:val="00E11056"/>
    <w:rsid w:val="00E12B73"/>
    <w:rsid w:val="00E141FC"/>
    <w:rsid w:val="00E14777"/>
    <w:rsid w:val="00E14817"/>
    <w:rsid w:val="00E15C31"/>
    <w:rsid w:val="00E17528"/>
    <w:rsid w:val="00E204CA"/>
    <w:rsid w:val="00E2140F"/>
    <w:rsid w:val="00E21462"/>
    <w:rsid w:val="00E21517"/>
    <w:rsid w:val="00E230C0"/>
    <w:rsid w:val="00E253D5"/>
    <w:rsid w:val="00E25C78"/>
    <w:rsid w:val="00E25E2B"/>
    <w:rsid w:val="00E262C8"/>
    <w:rsid w:val="00E301A2"/>
    <w:rsid w:val="00E30221"/>
    <w:rsid w:val="00E30550"/>
    <w:rsid w:val="00E331B3"/>
    <w:rsid w:val="00E3362A"/>
    <w:rsid w:val="00E36BB2"/>
    <w:rsid w:val="00E3746C"/>
    <w:rsid w:val="00E3790B"/>
    <w:rsid w:val="00E41C59"/>
    <w:rsid w:val="00E42B19"/>
    <w:rsid w:val="00E4324E"/>
    <w:rsid w:val="00E436B5"/>
    <w:rsid w:val="00E439CB"/>
    <w:rsid w:val="00E4439D"/>
    <w:rsid w:val="00E455F8"/>
    <w:rsid w:val="00E50711"/>
    <w:rsid w:val="00E50C25"/>
    <w:rsid w:val="00E53362"/>
    <w:rsid w:val="00E53DAD"/>
    <w:rsid w:val="00E578A8"/>
    <w:rsid w:val="00E57C2B"/>
    <w:rsid w:val="00E57F63"/>
    <w:rsid w:val="00E60ECC"/>
    <w:rsid w:val="00E6286A"/>
    <w:rsid w:val="00E6287A"/>
    <w:rsid w:val="00E64CC3"/>
    <w:rsid w:val="00E66734"/>
    <w:rsid w:val="00E66AB8"/>
    <w:rsid w:val="00E66F23"/>
    <w:rsid w:val="00E67255"/>
    <w:rsid w:val="00E6747D"/>
    <w:rsid w:val="00E67947"/>
    <w:rsid w:val="00E67CEB"/>
    <w:rsid w:val="00E67D6A"/>
    <w:rsid w:val="00E71F59"/>
    <w:rsid w:val="00E73D45"/>
    <w:rsid w:val="00E75845"/>
    <w:rsid w:val="00E75CBA"/>
    <w:rsid w:val="00E75D99"/>
    <w:rsid w:val="00E803B8"/>
    <w:rsid w:val="00E80A26"/>
    <w:rsid w:val="00E80EA1"/>
    <w:rsid w:val="00E816D7"/>
    <w:rsid w:val="00E81A8D"/>
    <w:rsid w:val="00E81DF1"/>
    <w:rsid w:val="00E847D3"/>
    <w:rsid w:val="00E87F75"/>
    <w:rsid w:val="00E90DE1"/>
    <w:rsid w:val="00E91949"/>
    <w:rsid w:val="00E9196E"/>
    <w:rsid w:val="00E92085"/>
    <w:rsid w:val="00E920A1"/>
    <w:rsid w:val="00E9355D"/>
    <w:rsid w:val="00E9417E"/>
    <w:rsid w:val="00E95954"/>
    <w:rsid w:val="00E95CB6"/>
    <w:rsid w:val="00E97C78"/>
    <w:rsid w:val="00EA0EF6"/>
    <w:rsid w:val="00EA168A"/>
    <w:rsid w:val="00EA196D"/>
    <w:rsid w:val="00EA617B"/>
    <w:rsid w:val="00EA6905"/>
    <w:rsid w:val="00EA699F"/>
    <w:rsid w:val="00EA7682"/>
    <w:rsid w:val="00EA769C"/>
    <w:rsid w:val="00EA778C"/>
    <w:rsid w:val="00EB03CD"/>
    <w:rsid w:val="00EB1C17"/>
    <w:rsid w:val="00EB20D6"/>
    <w:rsid w:val="00EB3D9E"/>
    <w:rsid w:val="00EB3EE8"/>
    <w:rsid w:val="00EB45B7"/>
    <w:rsid w:val="00EB60E8"/>
    <w:rsid w:val="00EB6592"/>
    <w:rsid w:val="00EB6880"/>
    <w:rsid w:val="00EB763A"/>
    <w:rsid w:val="00EC152D"/>
    <w:rsid w:val="00EC17EE"/>
    <w:rsid w:val="00EC3E5C"/>
    <w:rsid w:val="00EC4EE9"/>
    <w:rsid w:val="00EC50B9"/>
    <w:rsid w:val="00EC5493"/>
    <w:rsid w:val="00EC7A29"/>
    <w:rsid w:val="00ED0528"/>
    <w:rsid w:val="00ED07D6"/>
    <w:rsid w:val="00ED098A"/>
    <w:rsid w:val="00ED330D"/>
    <w:rsid w:val="00ED35EF"/>
    <w:rsid w:val="00ED3CC8"/>
    <w:rsid w:val="00ED4368"/>
    <w:rsid w:val="00ED63EC"/>
    <w:rsid w:val="00ED6A0C"/>
    <w:rsid w:val="00ED6EE6"/>
    <w:rsid w:val="00EE18AC"/>
    <w:rsid w:val="00EE21AD"/>
    <w:rsid w:val="00EE2E8A"/>
    <w:rsid w:val="00EE3D47"/>
    <w:rsid w:val="00EE4AE5"/>
    <w:rsid w:val="00EE4C4D"/>
    <w:rsid w:val="00EE4C56"/>
    <w:rsid w:val="00EE70B1"/>
    <w:rsid w:val="00EE71D3"/>
    <w:rsid w:val="00EF0901"/>
    <w:rsid w:val="00EF0DFD"/>
    <w:rsid w:val="00EF1C5C"/>
    <w:rsid w:val="00EF29F3"/>
    <w:rsid w:val="00EF3286"/>
    <w:rsid w:val="00EF36FB"/>
    <w:rsid w:val="00EF3A4B"/>
    <w:rsid w:val="00EF41AE"/>
    <w:rsid w:val="00EF4308"/>
    <w:rsid w:val="00EF439B"/>
    <w:rsid w:val="00EF49E2"/>
    <w:rsid w:val="00EF4D96"/>
    <w:rsid w:val="00EF4FA0"/>
    <w:rsid w:val="00EF61C7"/>
    <w:rsid w:val="00EF6D77"/>
    <w:rsid w:val="00EF7FE0"/>
    <w:rsid w:val="00F003DB"/>
    <w:rsid w:val="00F00815"/>
    <w:rsid w:val="00F01508"/>
    <w:rsid w:val="00F0247F"/>
    <w:rsid w:val="00F025ED"/>
    <w:rsid w:val="00F03C61"/>
    <w:rsid w:val="00F03E17"/>
    <w:rsid w:val="00F0518F"/>
    <w:rsid w:val="00F06667"/>
    <w:rsid w:val="00F07B4C"/>
    <w:rsid w:val="00F07CA0"/>
    <w:rsid w:val="00F1121F"/>
    <w:rsid w:val="00F1279D"/>
    <w:rsid w:val="00F12FF2"/>
    <w:rsid w:val="00F13CC5"/>
    <w:rsid w:val="00F16AC0"/>
    <w:rsid w:val="00F17618"/>
    <w:rsid w:val="00F20927"/>
    <w:rsid w:val="00F20A27"/>
    <w:rsid w:val="00F21299"/>
    <w:rsid w:val="00F21834"/>
    <w:rsid w:val="00F21861"/>
    <w:rsid w:val="00F229B8"/>
    <w:rsid w:val="00F23BB8"/>
    <w:rsid w:val="00F25CE3"/>
    <w:rsid w:val="00F2651A"/>
    <w:rsid w:val="00F271A1"/>
    <w:rsid w:val="00F31B98"/>
    <w:rsid w:val="00F331A6"/>
    <w:rsid w:val="00F34ADE"/>
    <w:rsid w:val="00F356BD"/>
    <w:rsid w:val="00F35F0A"/>
    <w:rsid w:val="00F36656"/>
    <w:rsid w:val="00F36727"/>
    <w:rsid w:val="00F404B3"/>
    <w:rsid w:val="00F41065"/>
    <w:rsid w:val="00F41C33"/>
    <w:rsid w:val="00F424A4"/>
    <w:rsid w:val="00F42F04"/>
    <w:rsid w:val="00F433E4"/>
    <w:rsid w:val="00F435AE"/>
    <w:rsid w:val="00F43612"/>
    <w:rsid w:val="00F44289"/>
    <w:rsid w:val="00F44B79"/>
    <w:rsid w:val="00F46AC1"/>
    <w:rsid w:val="00F47FC9"/>
    <w:rsid w:val="00F504C4"/>
    <w:rsid w:val="00F508E4"/>
    <w:rsid w:val="00F51BC5"/>
    <w:rsid w:val="00F5228C"/>
    <w:rsid w:val="00F527AD"/>
    <w:rsid w:val="00F52F8C"/>
    <w:rsid w:val="00F53D44"/>
    <w:rsid w:val="00F54710"/>
    <w:rsid w:val="00F548F0"/>
    <w:rsid w:val="00F54AB9"/>
    <w:rsid w:val="00F55799"/>
    <w:rsid w:val="00F56663"/>
    <w:rsid w:val="00F571B8"/>
    <w:rsid w:val="00F6121B"/>
    <w:rsid w:val="00F62B0A"/>
    <w:rsid w:val="00F64213"/>
    <w:rsid w:val="00F659F6"/>
    <w:rsid w:val="00F67205"/>
    <w:rsid w:val="00F6745B"/>
    <w:rsid w:val="00F704E2"/>
    <w:rsid w:val="00F707F6"/>
    <w:rsid w:val="00F71A38"/>
    <w:rsid w:val="00F721C7"/>
    <w:rsid w:val="00F724BC"/>
    <w:rsid w:val="00F72F68"/>
    <w:rsid w:val="00F7372B"/>
    <w:rsid w:val="00F74DA3"/>
    <w:rsid w:val="00F75665"/>
    <w:rsid w:val="00F77D92"/>
    <w:rsid w:val="00F77E8C"/>
    <w:rsid w:val="00F808EA"/>
    <w:rsid w:val="00F80E52"/>
    <w:rsid w:val="00F83042"/>
    <w:rsid w:val="00F83097"/>
    <w:rsid w:val="00F8355A"/>
    <w:rsid w:val="00F83C78"/>
    <w:rsid w:val="00F846B3"/>
    <w:rsid w:val="00F85CAD"/>
    <w:rsid w:val="00F8656E"/>
    <w:rsid w:val="00F86C3C"/>
    <w:rsid w:val="00F90A0F"/>
    <w:rsid w:val="00F917BE"/>
    <w:rsid w:val="00F919D2"/>
    <w:rsid w:val="00F92857"/>
    <w:rsid w:val="00F92996"/>
    <w:rsid w:val="00F92C6B"/>
    <w:rsid w:val="00F92C95"/>
    <w:rsid w:val="00F92DC8"/>
    <w:rsid w:val="00F9323E"/>
    <w:rsid w:val="00F93AEA"/>
    <w:rsid w:val="00F94507"/>
    <w:rsid w:val="00F96964"/>
    <w:rsid w:val="00F971FA"/>
    <w:rsid w:val="00F97D4E"/>
    <w:rsid w:val="00F97E54"/>
    <w:rsid w:val="00FA07C8"/>
    <w:rsid w:val="00FA1954"/>
    <w:rsid w:val="00FA25E2"/>
    <w:rsid w:val="00FA31BB"/>
    <w:rsid w:val="00FA4548"/>
    <w:rsid w:val="00FA4A9F"/>
    <w:rsid w:val="00FA5110"/>
    <w:rsid w:val="00FA5EA6"/>
    <w:rsid w:val="00FA6607"/>
    <w:rsid w:val="00FA678A"/>
    <w:rsid w:val="00FA7784"/>
    <w:rsid w:val="00FB1C7E"/>
    <w:rsid w:val="00FB1E63"/>
    <w:rsid w:val="00FB2C43"/>
    <w:rsid w:val="00FB2DC0"/>
    <w:rsid w:val="00FB366A"/>
    <w:rsid w:val="00FB3F40"/>
    <w:rsid w:val="00FC007F"/>
    <w:rsid w:val="00FC195F"/>
    <w:rsid w:val="00FC2010"/>
    <w:rsid w:val="00FC270C"/>
    <w:rsid w:val="00FC34D6"/>
    <w:rsid w:val="00FC378F"/>
    <w:rsid w:val="00FC3A08"/>
    <w:rsid w:val="00FC58AD"/>
    <w:rsid w:val="00FC64FB"/>
    <w:rsid w:val="00FC6A87"/>
    <w:rsid w:val="00FC6F34"/>
    <w:rsid w:val="00FC71D6"/>
    <w:rsid w:val="00FC756D"/>
    <w:rsid w:val="00FC7768"/>
    <w:rsid w:val="00FC77D7"/>
    <w:rsid w:val="00FC795A"/>
    <w:rsid w:val="00FD0AC5"/>
    <w:rsid w:val="00FD1AC5"/>
    <w:rsid w:val="00FD1DC7"/>
    <w:rsid w:val="00FD25C7"/>
    <w:rsid w:val="00FD28AD"/>
    <w:rsid w:val="00FD3CEC"/>
    <w:rsid w:val="00FD49B1"/>
    <w:rsid w:val="00FD64AA"/>
    <w:rsid w:val="00FD66F7"/>
    <w:rsid w:val="00FD764A"/>
    <w:rsid w:val="00FD7D90"/>
    <w:rsid w:val="00FE0BEC"/>
    <w:rsid w:val="00FE0F1A"/>
    <w:rsid w:val="00FE292A"/>
    <w:rsid w:val="00FE3232"/>
    <w:rsid w:val="00FE4132"/>
    <w:rsid w:val="00FE430D"/>
    <w:rsid w:val="00FE465D"/>
    <w:rsid w:val="00FF1643"/>
    <w:rsid w:val="00FF1969"/>
    <w:rsid w:val="00FF2BC9"/>
    <w:rsid w:val="00FF33D5"/>
    <w:rsid w:val="00FF4575"/>
    <w:rsid w:val="00FF520A"/>
    <w:rsid w:val="00FF5C70"/>
    <w:rsid w:val="00FF5EB0"/>
    <w:rsid w:val="00FF771F"/>
    <w:rsid w:val="00FF7E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C8"/>
    <w:pPr>
      <w:spacing w:after="200" w:line="276" w:lineRule="auto"/>
    </w:pPr>
    <w:rPr>
      <w:lang w:eastAsia="zh-CN"/>
    </w:rPr>
  </w:style>
  <w:style w:type="paragraph" w:styleId="Heading1">
    <w:name w:val="heading 1"/>
    <w:basedOn w:val="Normal"/>
    <w:next w:val="Normal"/>
    <w:link w:val="Heading1Char"/>
    <w:uiPriority w:val="99"/>
    <w:qFormat/>
    <w:rsid w:val="001C4D67"/>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432CD"/>
    <w:pPr>
      <w:keepNext/>
      <w:spacing w:before="240" w:after="60" w:line="240" w:lineRule="auto"/>
      <w:outlineLvl w:val="1"/>
    </w:pPr>
    <w:rPr>
      <w:rFonts w:ascii="Arial"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493"/>
    <w:rPr>
      <w:rFonts w:ascii="Cambria" w:hAnsi="Cambria" w:cs="Times New Roman"/>
      <w:b/>
      <w:kern w:val="32"/>
      <w:sz w:val="32"/>
      <w:lang w:eastAsia="zh-CN"/>
    </w:rPr>
  </w:style>
  <w:style w:type="character" w:customStyle="1" w:styleId="Heading2Char">
    <w:name w:val="Heading 2 Char"/>
    <w:basedOn w:val="DefaultParagraphFont"/>
    <w:link w:val="Heading2"/>
    <w:uiPriority w:val="99"/>
    <w:locked/>
    <w:rsid w:val="00A432CD"/>
    <w:rPr>
      <w:rFonts w:ascii="Arial" w:hAnsi="Arial" w:cs="Times New Roman"/>
      <w:b/>
      <w:sz w:val="28"/>
    </w:rPr>
  </w:style>
  <w:style w:type="paragraph" w:customStyle="1" w:styleId="abody">
    <w:name w:val="abody"/>
    <w:basedOn w:val="Normal"/>
    <w:uiPriority w:val="99"/>
    <w:rsid w:val="00AB20A2"/>
    <w:pPr>
      <w:spacing w:after="180"/>
    </w:pPr>
    <w:rPr>
      <w:rFonts w:ascii="Arial" w:hAnsi="Arial" w:cs="Arial"/>
    </w:rPr>
  </w:style>
  <w:style w:type="paragraph" w:styleId="FootnoteText">
    <w:name w:val="footnote text"/>
    <w:basedOn w:val="Normal"/>
    <w:link w:val="FootnoteTextChar"/>
    <w:uiPriority w:val="99"/>
    <w:rsid w:val="00AB20A2"/>
    <w:pPr>
      <w:spacing w:after="0" w:line="240" w:lineRule="auto"/>
    </w:pPr>
    <w:rPr>
      <w:rFonts w:ascii="Arial" w:hAnsi="Arial"/>
      <w:sz w:val="20"/>
      <w:szCs w:val="20"/>
      <w:lang w:eastAsia="en-GB"/>
    </w:rPr>
  </w:style>
  <w:style w:type="character" w:customStyle="1" w:styleId="FootnoteTextChar">
    <w:name w:val="Footnote Text Char"/>
    <w:basedOn w:val="DefaultParagraphFont"/>
    <w:link w:val="FootnoteText"/>
    <w:uiPriority w:val="99"/>
    <w:locked/>
    <w:rsid w:val="00AB20A2"/>
    <w:rPr>
      <w:rFonts w:ascii="Arial" w:eastAsia="SimSun" w:hAnsi="Arial" w:cs="Times New Roman"/>
      <w:sz w:val="20"/>
    </w:rPr>
  </w:style>
  <w:style w:type="character" w:styleId="FootnoteReference">
    <w:name w:val="footnote reference"/>
    <w:basedOn w:val="DefaultParagraphFont"/>
    <w:uiPriority w:val="99"/>
    <w:rsid w:val="00AB20A2"/>
    <w:rPr>
      <w:rFonts w:cs="Times New Roman"/>
      <w:vertAlign w:val="superscript"/>
    </w:rPr>
  </w:style>
  <w:style w:type="paragraph" w:styleId="Footer">
    <w:name w:val="footer"/>
    <w:basedOn w:val="Normal"/>
    <w:link w:val="FooterChar"/>
    <w:uiPriority w:val="99"/>
    <w:rsid w:val="003558D6"/>
    <w:pPr>
      <w:tabs>
        <w:tab w:val="center" w:pos="4513"/>
        <w:tab w:val="right" w:pos="9026"/>
      </w:tabs>
      <w:spacing w:after="0" w:line="240" w:lineRule="auto"/>
    </w:pPr>
    <w:rPr>
      <w:rFonts w:ascii="Arial" w:hAnsi="Arial"/>
      <w:sz w:val="24"/>
      <w:szCs w:val="20"/>
      <w:lang w:eastAsia="en-GB"/>
    </w:rPr>
  </w:style>
  <w:style w:type="character" w:customStyle="1" w:styleId="FooterChar">
    <w:name w:val="Footer Char"/>
    <w:basedOn w:val="DefaultParagraphFont"/>
    <w:link w:val="Footer"/>
    <w:uiPriority w:val="99"/>
    <w:locked/>
    <w:rsid w:val="003558D6"/>
    <w:rPr>
      <w:rFonts w:ascii="Arial" w:hAnsi="Arial" w:cs="Times New Roman"/>
      <w:sz w:val="24"/>
    </w:rPr>
  </w:style>
  <w:style w:type="paragraph" w:styleId="ListParagraph">
    <w:name w:val="List Paragraph"/>
    <w:basedOn w:val="Normal"/>
    <w:uiPriority w:val="99"/>
    <w:qFormat/>
    <w:rsid w:val="003558D6"/>
    <w:pPr>
      <w:ind w:left="720"/>
      <w:contextualSpacing/>
    </w:pPr>
  </w:style>
  <w:style w:type="paragraph" w:styleId="NormalWeb">
    <w:name w:val="Normal (Web)"/>
    <w:basedOn w:val="Normal"/>
    <w:uiPriority w:val="99"/>
    <w:rsid w:val="003558D6"/>
    <w:pPr>
      <w:spacing w:after="0" w:line="240" w:lineRule="atLeast"/>
    </w:pPr>
    <w:rPr>
      <w:rFonts w:ascii="Arial" w:hAnsi="Arial"/>
      <w:color w:val="000000"/>
      <w:sz w:val="18"/>
      <w:szCs w:val="18"/>
    </w:rPr>
  </w:style>
  <w:style w:type="table" w:styleId="TableGrid">
    <w:name w:val="Table Grid"/>
    <w:basedOn w:val="TableNormal"/>
    <w:uiPriority w:val="99"/>
    <w:rsid w:val="002B4C6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3273CE"/>
    <w:rPr>
      <w:rFonts w:cs="Times New Roman"/>
      <w:color w:val="0000FF"/>
      <w:u w:val="single"/>
    </w:rPr>
  </w:style>
  <w:style w:type="paragraph" w:styleId="Header">
    <w:name w:val="header"/>
    <w:basedOn w:val="Normal"/>
    <w:link w:val="HeaderChar"/>
    <w:uiPriority w:val="99"/>
    <w:semiHidden/>
    <w:rsid w:val="00033AAB"/>
    <w:pPr>
      <w:tabs>
        <w:tab w:val="center" w:pos="4513"/>
        <w:tab w:val="right" w:pos="9026"/>
      </w:tabs>
    </w:pPr>
    <w:rPr>
      <w:szCs w:val="20"/>
      <w:lang w:eastAsia="en-GB"/>
    </w:rPr>
  </w:style>
  <w:style w:type="character" w:customStyle="1" w:styleId="HeaderChar">
    <w:name w:val="Header Char"/>
    <w:basedOn w:val="DefaultParagraphFont"/>
    <w:link w:val="Header"/>
    <w:uiPriority w:val="99"/>
    <w:semiHidden/>
    <w:locked/>
    <w:rsid w:val="00033AAB"/>
    <w:rPr>
      <w:rFonts w:cs="Times New Roman"/>
      <w:sz w:val="22"/>
    </w:rPr>
  </w:style>
  <w:style w:type="paragraph" w:styleId="BalloonText">
    <w:name w:val="Balloon Text"/>
    <w:basedOn w:val="Normal"/>
    <w:link w:val="BalloonTextChar"/>
    <w:uiPriority w:val="99"/>
    <w:semiHidden/>
    <w:rsid w:val="00033AAB"/>
    <w:pPr>
      <w:spacing w:after="0" w:line="240" w:lineRule="auto"/>
    </w:pPr>
    <w:rPr>
      <w:rFonts w:ascii="Tahoma" w:hAnsi="Tahoma"/>
      <w:sz w:val="16"/>
      <w:szCs w:val="20"/>
      <w:lang w:eastAsia="en-GB"/>
    </w:rPr>
  </w:style>
  <w:style w:type="character" w:customStyle="1" w:styleId="BalloonTextChar">
    <w:name w:val="Balloon Text Char"/>
    <w:basedOn w:val="DefaultParagraphFont"/>
    <w:link w:val="BalloonText"/>
    <w:uiPriority w:val="99"/>
    <w:semiHidden/>
    <w:locked/>
    <w:rsid w:val="00033AAB"/>
    <w:rPr>
      <w:rFonts w:ascii="Tahoma" w:hAnsi="Tahoma" w:cs="Times New Roman"/>
      <w:sz w:val="16"/>
    </w:rPr>
  </w:style>
  <w:style w:type="character" w:styleId="Strong">
    <w:name w:val="Strong"/>
    <w:basedOn w:val="DefaultParagraphFont"/>
    <w:uiPriority w:val="99"/>
    <w:qFormat/>
    <w:rsid w:val="0010551A"/>
    <w:rPr>
      <w:rFonts w:cs="Times New Roman"/>
      <w:b/>
    </w:rPr>
  </w:style>
  <w:style w:type="paragraph" w:customStyle="1" w:styleId="Tableheading">
    <w:name w:val="Table heading"/>
    <w:basedOn w:val="Caption"/>
    <w:link w:val="TableheadingChar"/>
    <w:uiPriority w:val="99"/>
    <w:rsid w:val="001F1218"/>
    <w:pPr>
      <w:spacing w:after="240" w:line="240" w:lineRule="auto"/>
    </w:pPr>
    <w:rPr>
      <w:rFonts w:ascii="Arial" w:hAnsi="Arial"/>
      <w:bCs w:val="0"/>
      <w:sz w:val="24"/>
      <w:lang w:eastAsia="en-US"/>
    </w:rPr>
  </w:style>
  <w:style w:type="character" w:customStyle="1" w:styleId="TableheadingChar">
    <w:name w:val="Table heading Char"/>
    <w:link w:val="Tableheading"/>
    <w:uiPriority w:val="99"/>
    <w:locked/>
    <w:rsid w:val="001F1218"/>
    <w:rPr>
      <w:rFonts w:ascii="Arial" w:hAnsi="Arial"/>
      <w:b/>
      <w:sz w:val="24"/>
      <w:lang w:val="en-GB" w:eastAsia="en-US"/>
    </w:rPr>
  </w:style>
  <w:style w:type="paragraph" w:styleId="Caption">
    <w:name w:val="caption"/>
    <w:basedOn w:val="Normal"/>
    <w:next w:val="Normal"/>
    <w:uiPriority w:val="99"/>
    <w:qFormat/>
    <w:rsid w:val="001F1218"/>
    <w:rPr>
      <w:b/>
      <w:bCs/>
      <w:sz w:val="20"/>
      <w:szCs w:val="20"/>
    </w:rPr>
  </w:style>
  <w:style w:type="character" w:styleId="CommentReference">
    <w:name w:val="annotation reference"/>
    <w:basedOn w:val="DefaultParagraphFont"/>
    <w:uiPriority w:val="99"/>
    <w:semiHidden/>
    <w:rsid w:val="004037E4"/>
    <w:rPr>
      <w:rFonts w:cs="Times New Roman"/>
      <w:sz w:val="16"/>
    </w:rPr>
  </w:style>
  <w:style w:type="paragraph" w:styleId="CommentText">
    <w:name w:val="annotation text"/>
    <w:basedOn w:val="Normal"/>
    <w:link w:val="CommentTextChar"/>
    <w:uiPriority w:val="99"/>
    <w:semiHidden/>
    <w:rsid w:val="004037E4"/>
    <w:rPr>
      <w:sz w:val="20"/>
      <w:szCs w:val="20"/>
      <w:lang w:eastAsia="en-GB"/>
    </w:rPr>
  </w:style>
  <w:style w:type="character" w:customStyle="1" w:styleId="CommentTextChar">
    <w:name w:val="Comment Text Char"/>
    <w:basedOn w:val="DefaultParagraphFont"/>
    <w:link w:val="CommentText"/>
    <w:uiPriority w:val="99"/>
    <w:semiHidden/>
    <w:locked/>
    <w:rsid w:val="004037E4"/>
    <w:rPr>
      <w:rFonts w:cs="Times New Roman"/>
    </w:rPr>
  </w:style>
  <w:style w:type="paragraph" w:styleId="CommentSubject">
    <w:name w:val="annotation subject"/>
    <w:basedOn w:val="CommentText"/>
    <w:next w:val="CommentText"/>
    <w:link w:val="CommentSubjectChar"/>
    <w:uiPriority w:val="99"/>
    <w:semiHidden/>
    <w:rsid w:val="004037E4"/>
    <w:rPr>
      <w:b/>
    </w:rPr>
  </w:style>
  <w:style w:type="character" w:customStyle="1" w:styleId="CommentSubjectChar">
    <w:name w:val="Comment Subject Char"/>
    <w:basedOn w:val="CommentTextChar"/>
    <w:link w:val="CommentSubject"/>
    <w:uiPriority w:val="99"/>
    <w:semiHidden/>
    <w:locked/>
    <w:rsid w:val="004037E4"/>
    <w:rPr>
      <w:rFonts w:cs="Times New Roman"/>
      <w:b/>
    </w:rPr>
  </w:style>
  <w:style w:type="paragraph" w:customStyle="1" w:styleId="msolistparagraph0">
    <w:name w:val="msolistparagraph"/>
    <w:basedOn w:val="Normal"/>
    <w:uiPriority w:val="99"/>
    <w:rsid w:val="007C7415"/>
    <w:pPr>
      <w:spacing w:after="0" w:line="240" w:lineRule="auto"/>
      <w:ind w:left="720"/>
    </w:pPr>
    <w:rPr>
      <w:rFonts w:ascii="Times New Roman" w:hAnsi="Times New Roman"/>
      <w:sz w:val="24"/>
      <w:szCs w:val="24"/>
      <w:lang w:eastAsia="en-GB"/>
    </w:rPr>
  </w:style>
  <w:style w:type="paragraph" w:customStyle="1" w:styleId="Default">
    <w:name w:val="Default"/>
    <w:uiPriority w:val="99"/>
    <w:rsid w:val="002A29A3"/>
    <w:pPr>
      <w:autoSpaceDE w:val="0"/>
      <w:autoSpaceDN w:val="0"/>
      <w:adjustRightInd w:val="0"/>
    </w:pPr>
    <w:rPr>
      <w:rFonts w:ascii="Arial" w:hAnsi="Arial" w:cs="Arial"/>
      <w:color w:val="000000"/>
      <w:sz w:val="24"/>
      <w:szCs w:val="24"/>
    </w:rPr>
  </w:style>
  <w:style w:type="character" w:styleId="Emphasis">
    <w:name w:val="Emphasis"/>
    <w:basedOn w:val="DefaultParagraphFont"/>
    <w:uiPriority w:val="99"/>
    <w:qFormat/>
    <w:rsid w:val="008A4B8E"/>
    <w:rPr>
      <w:rFonts w:cs="Times New Roman"/>
      <w:i/>
    </w:rPr>
  </w:style>
  <w:style w:type="paragraph" w:styleId="EndnoteText">
    <w:name w:val="endnote text"/>
    <w:basedOn w:val="Normal"/>
    <w:link w:val="EndnoteTextChar"/>
    <w:uiPriority w:val="99"/>
    <w:rsid w:val="003C5BBD"/>
    <w:rPr>
      <w:sz w:val="20"/>
      <w:szCs w:val="20"/>
    </w:rPr>
  </w:style>
  <w:style w:type="character" w:customStyle="1" w:styleId="EndnoteTextChar">
    <w:name w:val="Endnote Text Char"/>
    <w:basedOn w:val="DefaultParagraphFont"/>
    <w:link w:val="EndnoteText"/>
    <w:uiPriority w:val="99"/>
    <w:locked/>
    <w:rsid w:val="003C5BBD"/>
    <w:rPr>
      <w:rFonts w:cs="Times New Roman"/>
      <w:sz w:val="20"/>
      <w:lang w:eastAsia="zh-CN"/>
    </w:rPr>
  </w:style>
  <w:style w:type="character" w:styleId="EndnoteReference">
    <w:name w:val="endnote reference"/>
    <w:basedOn w:val="DefaultParagraphFont"/>
    <w:uiPriority w:val="99"/>
    <w:semiHidden/>
    <w:rsid w:val="003C5BB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C8"/>
    <w:pPr>
      <w:spacing w:after="200" w:line="276" w:lineRule="auto"/>
    </w:pPr>
    <w:rPr>
      <w:lang w:eastAsia="zh-CN"/>
    </w:rPr>
  </w:style>
  <w:style w:type="paragraph" w:styleId="Heading1">
    <w:name w:val="heading 1"/>
    <w:basedOn w:val="Normal"/>
    <w:next w:val="Normal"/>
    <w:link w:val="Heading1Char"/>
    <w:uiPriority w:val="99"/>
    <w:qFormat/>
    <w:rsid w:val="001C4D67"/>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432CD"/>
    <w:pPr>
      <w:keepNext/>
      <w:spacing w:before="240" w:after="60" w:line="240" w:lineRule="auto"/>
      <w:outlineLvl w:val="1"/>
    </w:pPr>
    <w:rPr>
      <w:rFonts w:ascii="Arial"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493"/>
    <w:rPr>
      <w:rFonts w:ascii="Cambria" w:hAnsi="Cambria" w:cs="Times New Roman"/>
      <w:b/>
      <w:kern w:val="32"/>
      <w:sz w:val="32"/>
      <w:lang w:eastAsia="zh-CN"/>
    </w:rPr>
  </w:style>
  <w:style w:type="character" w:customStyle="1" w:styleId="Heading2Char">
    <w:name w:val="Heading 2 Char"/>
    <w:basedOn w:val="DefaultParagraphFont"/>
    <w:link w:val="Heading2"/>
    <w:uiPriority w:val="99"/>
    <w:locked/>
    <w:rsid w:val="00A432CD"/>
    <w:rPr>
      <w:rFonts w:ascii="Arial" w:hAnsi="Arial" w:cs="Times New Roman"/>
      <w:b/>
      <w:sz w:val="28"/>
    </w:rPr>
  </w:style>
  <w:style w:type="paragraph" w:customStyle="1" w:styleId="abody">
    <w:name w:val="abody"/>
    <w:basedOn w:val="Normal"/>
    <w:uiPriority w:val="99"/>
    <w:rsid w:val="00AB20A2"/>
    <w:pPr>
      <w:spacing w:after="180"/>
    </w:pPr>
    <w:rPr>
      <w:rFonts w:ascii="Arial" w:hAnsi="Arial" w:cs="Arial"/>
    </w:rPr>
  </w:style>
  <w:style w:type="paragraph" w:styleId="FootnoteText">
    <w:name w:val="footnote text"/>
    <w:basedOn w:val="Normal"/>
    <w:link w:val="FootnoteTextChar"/>
    <w:uiPriority w:val="99"/>
    <w:rsid w:val="00AB20A2"/>
    <w:pPr>
      <w:spacing w:after="0" w:line="240" w:lineRule="auto"/>
    </w:pPr>
    <w:rPr>
      <w:rFonts w:ascii="Arial" w:hAnsi="Arial"/>
      <w:sz w:val="20"/>
      <w:szCs w:val="20"/>
      <w:lang w:eastAsia="en-GB"/>
    </w:rPr>
  </w:style>
  <w:style w:type="character" w:customStyle="1" w:styleId="FootnoteTextChar">
    <w:name w:val="Footnote Text Char"/>
    <w:basedOn w:val="DefaultParagraphFont"/>
    <w:link w:val="FootnoteText"/>
    <w:uiPriority w:val="99"/>
    <w:locked/>
    <w:rsid w:val="00AB20A2"/>
    <w:rPr>
      <w:rFonts w:ascii="Arial" w:eastAsia="SimSun" w:hAnsi="Arial" w:cs="Times New Roman"/>
      <w:sz w:val="20"/>
    </w:rPr>
  </w:style>
  <w:style w:type="character" w:styleId="FootnoteReference">
    <w:name w:val="footnote reference"/>
    <w:basedOn w:val="DefaultParagraphFont"/>
    <w:uiPriority w:val="99"/>
    <w:rsid w:val="00AB20A2"/>
    <w:rPr>
      <w:rFonts w:cs="Times New Roman"/>
      <w:vertAlign w:val="superscript"/>
    </w:rPr>
  </w:style>
  <w:style w:type="paragraph" w:styleId="Footer">
    <w:name w:val="footer"/>
    <w:basedOn w:val="Normal"/>
    <w:link w:val="FooterChar"/>
    <w:uiPriority w:val="99"/>
    <w:rsid w:val="003558D6"/>
    <w:pPr>
      <w:tabs>
        <w:tab w:val="center" w:pos="4513"/>
        <w:tab w:val="right" w:pos="9026"/>
      </w:tabs>
      <w:spacing w:after="0" w:line="240" w:lineRule="auto"/>
    </w:pPr>
    <w:rPr>
      <w:rFonts w:ascii="Arial" w:hAnsi="Arial"/>
      <w:sz w:val="24"/>
      <w:szCs w:val="20"/>
      <w:lang w:eastAsia="en-GB"/>
    </w:rPr>
  </w:style>
  <w:style w:type="character" w:customStyle="1" w:styleId="FooterChar">
    <w:name w:val="Footer Char"/>
    <w:basedOn w:val="DefaultParagraphFont"/>
    <w:link w:val="Footer"/>
    <w:uiPriority w:val="99"/>
    <w:locked/>
    <w:rsid w:val="003558D6"/>
    <w:rPr>
      <w:rFonts w:ascii="Arial" w:hAnsi="Arial" w:cs="Times New Roman"/>
      <w:sz w:val="24"/>
    </w:rPr>
  </w:style>
  <w:style w:type="paragraph" w:styleId="ListParagraph">
    <w:name w:val="List Paragraph"/>
    <w:basedOn w:val="Normal"/>
    <w:uiPriority w:val="99"/>
    <w:qFormat/>
    <w:rsid w:val="003558D6"/>
    <w:pPr>
      <w:ind w:left="720"/>
      <w:contextualSpacing/>
    </w:pPr>
  </w:style>
  <w:style w:type="paragraph" w:styleId="NormalWeb">
    <w:name w:val="Normal (Web)"/>
    <w:basedOn w:val="Normal"/>
    <w:uiPriority w:val="99"/>
    <w:rsid w:val="003558D6"/>
    <w:pPr>
      <w:spacing w:after="0" w:line="240" w:lineRule="atLeast"/>
    </w:pPr>
    <w:rPr>
      <w:rFonts w:ascii="Arial" w:hAnsi="Arial"/>
      <w:color w:val="000000"/>
      <w:sz w:val="18"/>
      <w:szCs w:val="18"/>
    </w:rPr>
  </w:style>
  <w:style w:type="table" w:styleId="TableGrid">
    <w:name w:val="Table Grid"/>
    <w:basedOn w:val="TableNormal"/>
    <w:uiPriority w:val="99"/>
    <w:rsid w:val="002B4C6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3273CE"/>
    <w:rPr>
      <w:rFonts w:cs="Times New Roman"/>
      <w:color w:val="0000FF"/>
      <w:u w:val="single"/>
    </w:rPr>
  </w:style>
  <w:style w:type="paragraph" w:styleId="Header">
    <w:name w:val="header"/>
    <w:basedOn w:val="Normal"/>
    <w:link w:val="HeaderChar"/>
    <w:uiPriority w:val="99"/>
    <w:semiHidden/>
    <w:rsid w:val="00033AAB"/>
    <w:pPr>
      <w:tabs>
        <w:tab w:val="center" w:pos="4513"/>
        <w:tab w:val="right" w:pos="9026"/>
      </w:tabs>
    </w:pPr>
    <w:rPr>
      <w:szCs w:val="20"/>
      <w:lang w:eastAsia="en-GB"/>
    </w:rPr>
  </w:style>
  <w:style w:type="character" w:customStyle="1" w:styleId="HeaderChar">
    <w:name w:val="Header Char"/>
    <w:basedOn w:val="DefaultParagraphFont"/>
    <w:link w:val="Header"/>
    <w:uiPriority w:val="99"/>
    <w:semiHidden/>
    <w:locked/>
    <w:rsid w:val="00033AAB"/>
    <w:rPr>
      <w:rFonts w:cs="Times New Roman"/>
      <w:sz w:val="22"/>
    </w:rPr>
  </w:style>
  <w:style w:type="paragraph" w:styleId="BalloonText">
    <w:name w:val="Balloon Text"/>
    <w:basedOn w:val="Normal"/>
    <w:link w:val="BalloonTextChar"/>
    <w:uiPriority w:val="99"/>
    <w:semiHidden/>
    <w:rsid w:val="00033AAB"/>
    <w:pPr>
      <w:spacing w:after="0" w:line="240" w:lineRule="auto"/>
    </w:pPr>
    <w:rPr>
      <w:rFonts w:ascii="Tahoma" w:hAnsi="Tahoma"/>
      <w:sz w:val="16"/>
      <w:szCs w:val="20"/>
      <w:lang w:eastAsia="en-GB"/>
    </w:rPr>
  </w:style>
  <w:style w:type="character" w:customStyle="1" w:styleId="BalloonTextChar">
    <w:name w:val="Balloon Text Char"/>
    <w:basedOn w:val="DefaultParagraphFont"/>
    <w:link w:val="BalloonText"/>
    <w:uiPriority w:val="99"/>
    <w:semiHidden/>
    <w:locked/>
    <w:rsid w:val="00033AAB"/>
    <w:rPr>
      <w:rFonts w:ascii="Tahoma" w:hAnsi="Tahoma" w:cs="Times New Roman"/>
      <w:sz w:val="16"/>
    </w:rPr>
  </w:style>
  <w:style w:type="character" w:styleId="Strong">
    <w:name w:val="Strong"/>
    <w:basedOn w:val="DefaultParagraphFont"/>
    <w:uiPriority w:val="99"/>
    <w:qFormat/>
    <w:rsid w:val="0010551A"/>
    <w:rPr>
      <w:rFonts w:cs="Times New Roman"/>
      <w:b/>
    </w:rPr>
  </w:style>
  <w:style w:type="paragraph" w:customStyle="1" w:styleId="Tableheading">
    <w:name w:val="Table heading"/>
    <w:basedOn w:val="Caption"/>
    <w:link w:val="TableheadingChar"/>
    <w:uiPriority w:val="99"/>
    <w:rsid w:val="001F1218"/>
    <w:pPr>
      <w:spacing w:after="240" w:line="240" w:lineRule="auto"/>
    </w:pPr>
    <w:rPr>
      <w:rFonts w:ascii="Arial" w:hAnsi="Arial"/>
      <w:bCs w:val="0"/>
      <w:sz w:val="24"/>
      <w:lang w:eastAsia="en-US"/>
    </w:rPr>
  </w:style>
  <w:style w:type="character" w:customStyle="1" w:styleId="TableheadingChar">
    <w:name w:val="Table heading Char"/>
    <w:link w:val="Tableheading"/>
    <w:uiPriority w:val="99"/>
    <w:locked/>
    <w:rsid w:val="001F1218"/>
    <w:rPr>
      <w:rFonts w:ascii="Arial" w:hAnsi="Arial"/>
      <w:b/>
      <w:sz w:val="24"/>
      <w:lang w:val="en-GB" w:eastAsia="en-US"/>
    </w:rPr>
  </w:style>
  <w:style w:type="paragraph" w:styleId="Caption">
    <w:name w:val="caption"/>
    <w:basedOn w:val="Normal"/>
    <w:next w:val="Normal"/>
    <w:uiPriority w:val="99"/>
    <w:qFormat/>
    <w:rsid w:val="001F1218"/>
    <w:rPr>
      <w:b/>
      <w:bCs/>
      <w:sz w:val="20"/>
      <w:szCs w:val="20"/>
    </w:rPr>
  </w:style>
  <w:style w:type="character" w:styleId="CommentReference">
    <w:name w:val="annotation reference"/>
    <w:basedOn w:val="DefaultParagraphFont"/>
    <w:uiPriority w:val="99"/>
    <w:semiHidden/>
    <w:rsid w:val="004037E4"/>
    <w:rPr>
      <w:rFonts w:cs="Times New Roman"/>
      <w:sz w:val="16"/>
    </w:rPr>
  </w:style>
  <w:style w:type="paragraph" w:styleId="CommentText">
    <w:name w:val="annotation text"/>
    <w:basedOn w:val="Normal"/>
    <w:link w:val="CommentTextChar"/>
    <w:uiPriority w:val="99"/>
    <w:semiHidden/>
    <w:rsid w:val="004037E4"/>
    <w:rPr>
      <w:sz w:val="20"/>
      <w:szCs w:val="20"/>
      <w:lang w:eastAsia="en-GB"/>
    </w:rPr>
  </w:style>
  <w:style w:type="character" w:customStyle="1" w:styleId="CommentTextChar">
    <w:name w:val="Comment Text Char"/>
    <w:basedOn w:val="DefaultParagraphFont"/>
    <w:link w:val="CommentText"/>
    <w:uiPriority w:val="99"/>
    <w:semiHidden/>
    <w:locked/>
    <w:rsid w:val="004037E4"/>
    <w:rPr>
      <w:rFonts w:cs="Times New Roman"/>
    </w:rPr>
  </w:style>
  <w:style w:type="paragraph" w:styleId="CommentSubject">
    <w:name w:val="annotation subject"/>
    <w:basedOn w:val="CommentText"/>
    <w:next w:val="CommentText"/>
    <w:link w:val="CommentSubjectChar"/>
    <w:uiPriority w:val="99"/>
    <w:semiHidden/>
    <w:rsid w:val="004037E4"/>
    <w:rPr>
      <w:b/>
    </w:rPr>
  </w:style>
  <w:style w:type="character" w:customStyle="1" w:styleId="CommentSubjectChar">
    <w:name w:val="Comment Subject Char"/>
    <w:basedOn w:val="CommentTextChar"/>
    <w:link w:val="CommentSubject"/>
    <w:uiPriority w:val="99"/>
    <w:semiHidden/>
    <w:locked/>
    <w:rsid w:val="004037E4"/>
    <w:rPr>
      <w:rFonts w:cs="Times New Roman"/>
      <w:b/>
    </w:rPr>
  </w:style>
  <w:style w:type="paragraph" w:customStyle="1" w:styleId="msolistparagraph0">
    <w:name w:val="msolistparagraph"/>
    <w:basedOn w:val="Normal"/>
    <w:uiPriority w:val="99"/>
    <w:rsid w:val="007C7415"/>
    <w:pPr>
      <w:spacing w:after="0" w:line="240" w:lineRule="auto"/>
      <w:ind w:left="720"/>
    </w:pPr>
    <w:rPr>
      <w:rFonts w:ascii="Times New Roman" w:hAnsi="Times New Roman"/>
      <w:sz w:val="24"/>
      <w:szCs w:val="24"/>
      <w:lang w:eastAsia="en-GB"/>
    </w:rPr>
  </w:style>
  <w:style w:type="paragraph" w:customStyle="1" w:styleId="Default">
    <w:name w:val="Default"/>
    <w:uiPriority w:val="99"/>
    <w:rsid w:val="002A29A3"/>
    <w:pPr>
      <w:autoSpaceDE w:val="0"/>
      <w:autoSpaceDN w:val="0"/>
      <w:adjustRightInd w:val="0"/>
    </w:pPr>
    <w:rPr>
      <w:rFonts w:ascii="Arial" w:hAnsi="Arial" w:cs="Arial"/>
      <w:color w:val="000000"/>
      <w:sz w:val="24"/>
      <w:szCs w:val="24"/>
    </w:rPr>
  </w:style>
  <w:style w:type="character" w:styleId="Emphasis">
    <w:name w:val="Emphasis"/>
    <w:basedOn w:val="DefaultParagraphFont"/>
    <w:uiPriority w:val="99"/>
    <w:qFormat/>
    <w:rsid w:val="008A4B8E"/>
    <w:rPr>
      <w:rFonts w:cs="Times New Roman"/>
      <w:i/>
    </w:rPr>
  </w:style>
  <w:style w:type="paragraph" w:styleId="EndnoteText">
    <w:name w:val="endnote text"/>
    <w:basedOn w:val="Normal"/>
    <w:link w:val="EndnoteTextChar"/>
    <w:uiPriority w:val="99"/>
    <w:rsid w:val="003C5BBD"/>
    <w:rPr>
      <w:sz w:val="20"/>
      <w:szCs w:val="20"/>
    </w:rPr>
  </w:style>
  <w:style w:type="character" w:customStyle="1" w:styleId="EndnoteTextChar">
    <w:name w:val="Endnote Text Char"/>
    <w:basedOn w:val="DefaultParagraphFont"/>
    <w:link w:val="EndnoteText"/>
    <w:uiPriority w:val="99"/>
    <w:locked/>
    <w:rsid w:val="003C5BBD"/>
    <w:rPr>
      <w:rFonts w:cs="Times New Roman"/>
      <w:sz w:val="20"/>
      <w:lang w:eastAsia="zh-CN"/>
    </w:rPr>
  </w:style>
  <w:style w:type="character" w:styleId="EndnoteReference">
    <w:name w:val="endnote reference"/>
    <w:basedOn w:val="DefaultParagraphFont"/>
    <w:uiPriority w:val="99"/>
    <w:semiHidden/>
    <w:rsid w:val="003C5BB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50701">
      <w:marLeft w:val="0"/>
      <w:marRight w:val="0"/>
      <w:marTop w:val="0"/>
      <w:marBottom w:val="0"/>
      <w:divBdr>
        <w:top w:val="none" w:sz="0" w:space="0" w:color="auto"/>
        <w:left w:val="none" w:sz="0" w:space="0" w:color="auto"/>
        <w:bottom w:val="none" w:sz="0" w:space="0" w:color="auto"/>
        <w:right w:val="none" w:sz="0" w:space="0" w:color="auto"/>
      </w:divBdr>
    </w:div>
    <w:div w:id="2043750704">
      <w:marLeft w:val="0"/>
      <w:marRight w:val="0"/>
      <w:marTop w:val="0"/>
      <w:marBottom w:val="0"/>
      <w:divBdr>
        <w:top w:val="none" w:sz="0" w:space="0" w:color="auto"/>
        <w:left w:val="none" w:sz="0" w:space="0" w:color="auto"/>
        <w:bottom w:val="none" w:sz="0" w:space="0" w:color="auto"/>
        <w:right w:val="none" w:sz="0" w:space="0" w:color="auto"/>
      </w:divBdr>
    </w:div>
    <w:div w:id="2043750707">
      <w:marLeft w:val="0"/>
      <w:marRight w:val="0"/>
      <w:marTop w:val="0"/>
      <w:marBottom w:val="0"/>
      <w:divBdr>
        <w:top w:val="none" w:sz="0" w:space="0" w:color="auto"/>
        <w:left w:val="none" w:sz="0" w:space="0" w:color="auto"/>
        <w:bottom w:val="none" w:sz="0" w:space="0" w:color="auto"/>
        <w:right w:val="none" w:sz="0" w:space="0" w:color="auto"/>
      </w:divBdr>
    </w:div>
    <w:div w:id="2043750709">
      <w:marLeft w:val="0"/>
      <w:marRight w:val="0"/>
      <w:marTop w:val="0"/>
      <w:marBottom w:val="0"/>
      <w:divBdr>
        <w:top w:val="none" w:sz="0" w:space="0" w:color="auto"/>
        <w:left w:val="none" w:sz="0" w:space="0" w:color="auto"/>
        <w:bottom w:val="none" w:sz="0" w:space="0" w:color="auto"/>
        <w:right w:val="none" w:sz="0" w:space="0" w:color="auto"/>
      </w:divBdr>
      <w:divsChild>
        <w:div w:id="2043750699">
          <w:marLeft w:val="0"/>
          <w:marRight w:val="0"/>
          <w:marTop w:val="0"/>
          <w:marBottom w:val="0"/>
          <w:divBdr>
            <w:top w:val="none" w:sz="0" w:space="0" w:color="auto"/>
            <w:left w:val="none" w:sz="0" w:space="0" w:color="auto"/>
            <w:bottom w:val="none" w:sz="0" w:space="0" w:color="auto"/>
            <w:right w:val="none" w:sz="0" w:space="0" w:color="auto"/>
          </w:divBdr>
          <w:divsChild>
            <w:div w:id="2043750708">
              <w:marLeft w:val="0"/>
              <w:marRight w:val="0"/>
              <w:marTop w:val="0"/>
              <w:marBottom w:val="0"/>
              <w:divBdr>
                <w:top w:val="none" w:sz="0" w:space="0" w:color="auto"/>
                <w:left w:val="none" w:sz="0" w:space="0" w:color="auto"/>
                <w:bottom w:val="none" w:sz="0" w:space="0" w:color="auto"/>
                <w:right w:val="none" w:sz="0" w:space="0" w:color="auto"/>
              </w:divBdr>
              <w:divsChild>
                <w:div w:id="2043750700">
                  <w:marLeft w:val="0"/>
                  <w:marRight w:val="0"/>
                  <w:marTop w:val="0"/>
                  <w:marBottom w:val="0"/>
                  <w:divBdr>
                    <w:top w:val="none" w:sz="0" w:space="0" w:color="auto"/>
                    <w:left w:val="none" w:sz="0" w:space="0" w:color="auto"/>
                    <w:bottom w:val="none" w:sz="0" w:space="0" w:color="auto"/>
                    <w:right w:val="none" w:sz="0" w:space="0" w:color="auto"/>
                  </w:divBdr>
                  <w:divsChild>
                    <w:div w:id="2043750702">
                      <w:marLeft w:val="0"/>
                      <w:marRight w:val="0"/>
                      <w:marTop w:val="0"/>
                      <w:marBottom w:val="0"/>
                      <w:divBdr>
                        <w:top w:val="none" w:sz="0" w:space="0" w:color="auto"/>
                        <w:left w:val="none" w:sz="0" w:space="0" w:color="auto"/>
                        <w:bottom w:val="none" w:sz="0" w:space="0" w:color="auto"/>
                        <w:right w:val="none" w:sz="0" w:space="0" w:color="auto"/>
                      </w:divBdr>
                      <w:divsChild>
                        <w:div w:id="2043750705">
                          <w:marLeft w:val="0"/>
                          <w:marRight w:val="0"/>
                          <w:marTop w:val="0"/>
                          <w:marBottom w:val="0"/>
                          <w:divBdr>
                            <w:top w:val="none" w:sz="0" w:space="0" w:color="auto"/>
                            <w:left w:val="none" w:sz="0" w:space="0" w:color="auto"/>
                            <w:bottom w:val="none" w:sz="0" w:space="0" w:color="auto"/>
                            <w:right w:val="none" w:sz="0" w:space="0" w:color="auto"/>
                          </w:divBdr>
                          <w:divsChild>
                            <w:div w:id="2043750703">
                              <w:marLeft w:val="0"/>
                              <w:marRight w:val="0"/>
                              <w:marTop w:val="0"/>
                              <w:marBottom w:val="0"/>
                              <w:divBdr>
                                <w:top w:val="none" w:sz="0" w:space="0" w:color="auto"/>
                                <w:left w:val="none" w:sz="0" w:space="0" w:color="auto"/>
                                <w:bottom w:val="none" w:sz="0" w:space="0" w:color="auto"/>
                                <w:right w:val="none" w:sz="0" w:space="0" w:color="auto"/>
                              </w:divBdr>
                            </w:div>
                            <w:div w:id="20437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10">
      <w:marLeft w:val="0"/>
      <w:marRight w:val="0"/>
      <w:marTop w:val="0"/>
      <w:marBottom w:val="0"/>
      <w:divBdr>
        <w:top w:val="none" w:sz="0" w:space="0" w:color="auto"/>
        <w:left w:val="none" w:sz="0" w:space="0" w:color="auto"/>
        <w:bottom w:val="none" w:sz="0" w:space="0" w:color="auto"/>
        <w:right w:val="none" w:sz="0" w:space="0" w:color="auto"/>
      </w:divBdr>
    </w:div>
    <w:div w:id="2043750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8118</Words>
  <Characters>46274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The Impact of the Government’s Equity Funds in Addressing the Finance Gap facing SMEs with Growth Potential</vt:lpstr>
    </vt:vector>
  </TitlesOfParts>
  <Company>Middlesex University</Company>
  <LinksUpToDate>false</LinksUpToDate>
  <CharactersWithSpaces>54284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the Government’s Equity Funds in Addressing the Finance Gap facing SMEs with Growth Potential</dc:title>
  <dc:creator>Middlesex University</dc:creator>
  <cp:lastModifiedBy>Stanislava Angelova</cp:lastModifiedBy>
  <cp:revision>2</cp:revision>
  <cp:lastPrinted>2015-05-05T09:51:00Z</cp:lastPrinted>
  <dcterms:created xsi:type="dcterms:W3CDTF">2015-10-16T14:27:00Z</dcterms:created>
  <dcterms:modified xsi:type="dcterms:W3CDTF">2015-10-16T14:27:00Z</dcterms:modified>
</cp:coreProperties>
</file>