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7479C" w14:textId="25710550" w:rsidR="00294214" w:rsidRPr="00731A19" w:rsidRDefault="00294214" w:rsidP="00CE5095">
      <w:pPr>
        <w:pStyle w:val="Heading1"/>
      </w:pPr>
      <w:bookmarkStart w:id="0" w:name="_GoBack"/>
      <w:bookmarkEnd w:id="0"/>
      <w:r w:rsidRPr="00731A19">
        <w:t>Women on Corporate Boards of Public Listed Companies - a UK and EU Gender Diversity Conundrum</w:t>
      </w:r>
    </w:p>
    <w:p w14:paraId="3CBDB5A6" w14:textId="70BC9CC2" w:rsidR="00C94F0D" w:rsidRPr="00B31E36" w:rsidRDefault="00C651C0" w:rsidP="00CE5095">
      <w:r w:rsidRPr="00C651C0">
        <w:t>Hamiisi Junior Nsubuga</w:t>
      </w:r>
    </w:p>
    <w:p w14:paraId="5A36A049" w14:textId="304AEB66" w:rsidR="00C84A05" w:rsidRPr="003202A2" w:rsidRDefault="00294214" w:rsidP="00CE5095">
      <w:pPr>
        <w:pStyle w:val="Heading2"/>
      </w:pPr>
      <w:r w:rsidRPr="003202A2">
        <w:t xml:space="preserve">Introduction </w:t>
      </w:r>
    </w:p>
    <w:p w14:paraId="7CB006FA" w14:textId="161792D7" w:rsidR="007F73BF" w:rsidRPr="00CE5095" w:rsidRDefault="00CE5095" w:rsidP="00CE5095">
      <w:pPr>
        <w:pStyle w:val="Heading3"/>
      </w:pPr>
      <w:r w:rsidRPr="00CE5095">
        <w:t>The case for gender diversity on corporate b</w:t>
      </w:r>
      <w:r w:rsidR="00B95AE8" w:rsidRPr="00CE5095">
        <w:t xml:space="preserve">oards </w:t>
      </w:r>
    </w:p>
    <w:p w14:paraId="0808ABB2" w14:textId="502AA43E" w:rsidR="00765497" w:rsidRPr="00B31E36" w:rsidRDefault="00765497" w:rsidP="00CE5095">
      <w:r w:rsidRPr="00CE5095">
        <w:t>Gender equality between men and women is a fundamental principle of European Union (EU)</w:t>
      </w:r>
      <w:r w:rsidR="00745580" w:rsidRPr="00CE5095">
        <w:t xml:space="preserve"> law</w:t>
      </w:r>
      <w:r w:rsidRPr="00CE5095">
        <w:t xml:space="preserve"> and United Kingdom (UK) law. At EU level, gender equality is enshrined in treaties,</w:t>
      </w:r>
      <w:r w:rsidRPr="00CE5095">
        <w:footnoteReference w:id="1"/>
      </w:r>
      <w:r w:rsidRPr="00CE5095">
        <w:t xml:space="preserve"> directives</w:t>
      </w:r>
      <w:r w:rsidRPr="00CE5095">
        <w:footnoteReference w:id="2"/>
      </w:r>
      <w:r w:rsidRPr="00CE5095">
        <w:t xml:space="preserve"> and </w:t>
      </w:r>
      <w:r w:rsidR="00DA6511" w:rsidRPr="00CE5095">
        <w:t xml:space="preserve">other protocols and declarations, such as </w:t>
      </w:r>
      <w:r w:rsidRPr="00CE5095">
        <w:t>the Charter of Fundamental Rights of the European Union (CFR).</w:t>
      </w:r>
      <w:bookmarkStart w:id="1" w:name="_Ref26782938"/>
      <w:r w:rsidRPr="00CE5095">
        <w:footnoteReference w:id="3"/>
      </w:r>
      <w:bookmarkEnd w:id="1"/>
      <w:r w:rsidRPr="00CE5095">
        <w:t xml:space="preserve"> In the UK, gender equality is mainly embedded in the Equality Act 2010 (EA 2010)</w:t>
      </w:r>
      <w:bookmarkStart w:id="2" w:name="_Ref26778511"/>
      <w:r w:rsidR="005B53AA" w:rsidRPr="00CE5095">
        <w:footnoteReference w:id="4"/>
      </w:r>
      <w:bookmarkEnd w:id="2"/>
      <w:r w:rsidR="00731A19" w:rsidRPr="00CE5095">
        <w:t xml:space="preserve"> as a key principle of</w:t>
      </w:r>
      <w:r w:rsidRPr="00CE5095">
        <w:t xml:space="preserve"> UK social policy. </w:t>
      </w:r>
      <w:r w:rsidR="00FA0AA5" w:rsidRPr="00CE5095">
        <w:t xml:space="preserve">For example, the EA 2010 </w:t>
      </w:r>
      <w:r w:rsidRPr="00CE5095">
        <w:t>contain</w:t>
      </w:r>
      <w:r w:rsidR="00745580" w:rsidRPr="00CE5095">
        <w:t>s</w:t>
      </w:r>
      <w:r w:rsidRPr="00CE5095">
        <w:t xml:space="preserve"> provisions on positive action as a</w:t>
      </w:r>
      <w:r w:rsidRPr="00731A19">
        <w:t xml:space="preserve"> </w:t>
      </w:r>
      <w:r w:rsidRPr="00731A19">
        <w:lastRenderedPageBreak/>
        <w:t xml:space="preserve">measure of protecting </w:t>
      </w:r>
      <w:r w:rsidR="002B2A60" w:rsidRPr="00731A19">
        <w:t xml:space="preserve">people with </w:t>
      </w:r>
      <w:r w:rsidRPr="00731A19">
        <w:t>certain characteristics that are disadvantaged or proportionately under-represented in various categories</w:t>
      </w:r>
      <w:r w:rsidRPr="00B31E36">
        <w:t>.</w:t>
      </w:r>
      <w:bookmarkStart w:id="3" w:name="_Ref26778527"/>
      <w:r w:rsidRPr="00B31E36">
        <w:rPr>
          <w:rStyle w:val="FootnoteReference"/>
          <w:rFonts w:ascii="Corbel" w:hAnsi="Corbel"/>
          <w:sz w:val="24"/>
          <w:szCs w:val="24"/>
        </w:rPr>
        <w:footnoteReference w:id="5"/>
      </w:r>
      <w:bookmarkEnd w:id="3"/>
      <w:r w:rsidRPr="00B31E36">
        <w:t xml:space="preserve"> The representation of women on corporate boards of public listed </w:t>
      </w:r>
      <w:proofErr w:type="gramStart"/>
      <w:r w:rsidRPr="00B31E36">
        <w:t>companies</w:t>
      </w:r>
      <w:proofErr w:type="gramEnd"/>
      <w:r w:rsidR="00745580" w:rsidRPr="00B31E36">
        <w:t xml:space="preserve"> as a form </w:t>
      </w:r>
      <w:r w:rsidR="00AB3914">
        <w:t xml:space="preserve">of </w:t>
      </w:r>
      <w:r w:rsidR="00745580" w:rsidRPr="00B31E36">
        <w:t>gender equality</w:t>
      </w:r>
      <w:r w:rsidRPr="00B31E36">
        <w:t xml:space="preserve"> is one such category that positive action measures undertaken by both the UK and the EU seek to address.</w:t>
      </w:r>
    </w:p>
    <w:p w14:paraId="4FAF7D57" w14:textId="635D841A" w:rsidR="00765497" w:rsidRPr="00B31E36" w:rsidRDefault="00765497" w:rsidP="00CE5095">
      <w:r w:rsidRPr="00B31E36">
        <w:t xml:space="preserve">For decades, it has been common practice in the EU and the UK that the boards of large </w:t>
      </w:r>
      <w:r w:rsidR="001F7DFE" w:rsidRPr="00B31E36">
        <w:t xml:space="preserve">public listed </w:t>
      </w:r>
      <w:r w:rsidRPr="00B31E36">
        <w:t>corporations are homogenously occupied by white</w:t>
      </w:r>
      <w:r w:rsidR="00731A19">
        <w:t>,</w:t>
      </w:r>
      <w:r w:rsidRPr="00B31E36">
        <w:t xml:space="preserve"> middle</w:t>
      </w:r>
      <w:r w:rsidR="00AB3914">
        <w:t>-</w:t>
      </w:r>
      <w:r w:rsidRPr="00B31E36">
        <w:t>class</w:t>
      </w:r>
      <w:r w:rsidR="001F7DFE" w:rsidRPr="00B31E36">
        <w:t>,</w:t>
      </w:r>
      <w:r w:rsidRPr="00B31E36">
        <w:t xml:space="preserve"> </w:t>
      </w:r>
      <w:proofErr w:type="gramStart"/>
      <w:r w:rsidRPr="00B31E36">
        <w:t>middle</w:t>
      </w:r>
      <w:proofErr w:type="gramEnd"/>
      <w:r w:rsidRPr="00B31E36">
        <w:t>-aged male directors with none or fewer female directors.</w:t>
      </w:r>
      <w:bookmarkStart w:id="4" w:name="_Ref26778481"/>
      <w:r w:rsidRPr="00B31E36">
        <w:rPr>
          <w:vertAlign w:val="superscript"/>
        </w:rPr>
        <w:footnoteReference w:id="6"/>
      </w:r>
      <w:bookmarkEnd w:id="4"/>
      <w:r w:rsidRPr="00B31E36">
        <w:t xml:space="preserve"> The UK and the EU have both acknowledged that women are under-represented in higher executives and director roles on the boards of public listed companies</w:t>
      </w:r>
      <w:r w:rsidR="0079392E" w:rsidRPr="00B31E36">
        <w:t>.</w:t>
      </w:r>
      <w:bookmarkStart w:id="5" w:name="_Ref26782077"/>
      <w:r w:rsidR="0079392E" w:rsidRPr="00B31E36">
        <w:rPr>
          <w:rStyle w:val="FootnoteReference"/>
          <w:rFonts w:ascii="Corbel" w:hAnsi="Corbel"/>
          <w:sz w:val="24"/>
          <w:szCs w:val="24"/>
        </w:rPr>
        <w:footnoteReference w:id="7"/>
      </w:r>
      <w:bookmarkEnd w:id="5"/>
      <w:r w:rsidRPr="00B31E36">
        <w:t xml:space="preserve"> This level of homogeneity has created a degree of imbalance on corporate boards that has</w:t>
      </w:r>
      <w:r w:rsidR="00731A19">
        <w:t>,</w:t>
      </w:r>
      <w:r w:rsidRPr="00B31E36">
        <w:t xml:space="preserve"> arguably, contributed to boardroom stagnation, especially</w:t>
      </w:r>
      <w:r w:rsidR="001F7DFE" w:rsidRPr="00B31E36">
        <w:t>,</w:t>
      </w:r>
      <w:r w:rsidRPr="00B31E36">
        <w:t xml:space="preserve"> in </w:t>
      </w:r>
      <w:r w:rsidR="002B2A60" w:rsidRPr="002544D7">
        <w:t xml:space="preserve">the </w:t>
      </w:r>
      <w:r w:rsidRPr="002544D7">
        <w:t>expression of new ideas on the board that would enhance corporate performance.</w:t>
      </w:r>
      <w:bookmarkStart w:id="6" w:name="_Ref26778491"/>
      <w:r w:rsidRPr="002544D7">
        <w:rPr>
          <w:vertAlign w:val="superscript"/>
        </w:rPr>
        <w:footnoteReference w:id="8"/>
      </w:r>
      <w:bookmarkEnd w:id="6"/>
      <w:r w:rsidRPr="002544D7">
        <w:t xml:space="preserve"> The two major factors influencing best performance on corporate boards have been identifie</w:t>
      </w:r>
      <w:r w:rsidR="00305384" w:rsidRPr="002544D7">
        <w:t>d</w:t>
      </w:r>
      <w:r w:rsidRPr="002544D7">
        <w:t xml:space="preserve"> as boardroom </w:t>
      </w:r>
      <w:r w:rsidRPr="00B31E36">
        <w:t>composition and power balance.</w:t>
      </w:r>
      <w:r w:rsidRPr="00B31E36">
        <w:rPr>
          <w:vertAlign w:val="superscript"/>
        </w:rPr>
        <w:footnoteReference w:id="9"/>
      </w:r>
      <w:r w:rsidRPr="00B31E36">
        <w:t xml:space="preserve"> </w:t>
      </w:r>
    </w:p>
    <w:p w14:paraId="30BF06C4" w14:textId="374C0293" w:rsidR="00765497" w:rsidRPr="00B31E36" w:rsidRDefault="00765497" w:rsidP="00CE5095">
      <w:r w:rsidRPr="00B31E36">
        <w:lastRenderedPageBreak/>
        <w:t>It has been argued that the presence of female directors on corporate boards improves corporate performa</w:t>
      </w:r>
      <w:r w:rsidR="00305384" w:rsidRPr="00B31E36">
        <w:t xml:space="preserve">nce as women employees exhibit </w:t>
      </w:r>
      <w:r w:rsidRPr="00B31E36">
        <w:t xml:space="preserve">excellent ethical and well </w:t>
      </w:r>
      <w:proofErr w:type="gramStart"/>
      <w:r w:rsidRPr="00B31E36">
        <w:t>informed  market</w:t>
      </w:r>
      <w:proofErr w:type="gramEnd"/>
      <w:r w:rsidRPr="00B31E36">
        <w:t xml:space="preserve"> knowledge and views.</w:t>
      </w:r>
      <w:r w:rsidRPr="00B31E36">
        <w:rPr>
          <w:vertAlign w:val="superscript"/>
        </w:rPr>
        <w:footnoteReference w:id="10"/>
      </w:r>
      <w:r w:rsidRPr="00B31E36">
        <w:t xml:space="preserve"> Women tend to pay greater attention to </w:t>
      </w:r>
      <w:r w:rsidR="00305384" w:rsidRPr="00B31E36">
        <w:t>matters</w:t>
      </w:r>
      <w:r w:rsidRPr="00B31E36">
        <w:t xml:space="preserve"> such as preparing for meetings more conscientiously and they are willing to ask awkward questions where needed rather than having decisions nodded through.</w:t>
      </w:r>
      <w:bookmarkStart w:id="7" w:name="_Ref26778465"/>
      <w:r w:rsidRPr="00B31E36">
        <w:rPr>
          <w:vertAlign w:val="superscript"/>
        </w:rPr>
        <w:footnoteReference w:id="11"/>
      </w:r>
      <w:bookmarkEnd w:id="7"/>
      <w:r w:rsidRPr="00B31E36">
        <w:t xml:space="preserve"> Therefore, having female directors on corporate boards presents an additional </w:t>
      </w:r>
      <w:r w:rsidRPr="002544D7">
        <w:t xml:space="preserve">voice </w:t>
      </w:r>
      <w:r w:rsidR="00305384" w:rsidRPr="002544D7">
        <w:t>in</w:t>
      </w:r>
      <w:r w:rsidRPr="002544D7">
        <w:t xml:space="preserve"> the </w:t>
      </w:r>
      <w:r w:rsidRPr="00B31E36">
        <w:t>boardroom. This additional voice presents different perspectives to boardroom debates and decision</w:t>
      </w:r>
      <w:r w:rsidR="00591129" w:rsidRPr="00B31E36">
        <w:t>-</w:t>
      </w:r>
      <w:r w:rsidRPr="00B31E36">
        <w:t xml:space="preserve"> making.</w:t>
      </w:r>
      <w:r w:rsidRPr="00B31E36">
        <w:rPr>
          <w:vertAlign w:val="superscript"/>
        </w:rPr>
        <w:footnoteReference w:id="12"/>
      </w:r>
      <w:r w:rsidRPr="00B31E36">
        <w:t xml:space="preserve"> By having a broad range of directors from different backgrounds and experiences, better decision making on corporate issues is achieved.</w:t>
      </w:r>
      <w:r w:rsidR="0079392E" w:rsidRPr="00B31E36">
        <w:rPr>
          <w:rStyle w:val="FootnoteReference"/>
          <w:rFonts w:ascii="Corbel" w:hAnsi="Corbel"/>
          <w:sz w:val="24"/>
          <w:szCs w:val="24"/>
        </w:rPr>
        <w:footnoteReference w:id="13"/>
      </w:r>
      <w:r w:rsidRPr="00B31E36">
        <w:t xml:space="preserve"> </w:t>
      </w:r>
    </w:p>
    <w:p w14:paraId="2B735270" w14:textId="51CFE929" w:rsidR="00765497" w:rsidRPr="002544D7" w:rsidRDefault="00765497" w:rsidP="00CE5095">
      <w:r w:rsidRPr="00B31E36">
        <w:t xml:space="preserve">However, the presence of female directors on corporate boards </w:t>
      </w:r>
      <w:r w:rsidRPr="002544D7">
        <w:t>of</w:t>
      </w:r>
      <w:r w:rsidR="004804EA" w:rsidRPr="002544D7">
        <w:t xml:space="preserve"> publicly</w:t>
      </w:r>
      <w:r w:rsidRPr="002544D7">
        <w:t xml:space="preserve"> listed companies in the UK and the </w:t>
      </w:r>
      <w:r w:rsidR="00591129" w:rsidRPr="002544D7">
        <w:t>EU</w:t>
      </w:r>
      <w:r w:rsidRPr="002544D7">
        <w:t xml:space="preserve"> has </w:t>
      </w:r>
      <w:r w:rsidR="00591129" w:rsidRPr="002544D7">
        <w:t xml:space="preserve">recently </w:t>
      </w:r>
      <w:r w:rsidRPr="002544D7">
        <w:t xml:space="preserve">been seen as an opportunity to boost corporate reputation rather than </w:t>
      </w:r>
      <w:r w:rsidR="004804EA" w:rsidRPr="002544D7">
        <w:t xml:space="preserve">as </w:t>
      </w:r>
      <w:r w:rsidRPr="002544D7">
        <w:t xml:space="preserve">a policy towards gender equality and diversity. Corporate investors have shown preference to invest in gender-diverse corporations </w:t>
      </w:r>
      <w:r w:rsidR="004804EA" w:rsidRPr="002544D7">
        <w:t xml:space="preserve">rather </w:t>
      </w:r>
      <w:r w:rsidRPr="002544D7">
        <w:t>than in male-dominated corporations.</w:t>
      </w:r>
      <w:r w:rsidRPr="002544D7">
        <w:rPr>
          <w:vertAlign w:val="superscript"/>
        </w:rPr>
        <w:footnoteReference w:id="14"/>
      </w:r>
      <w:r w:rsidRPr="002544D7">
        <w:t xml:space="preserve"> In essence, the presence of women in higher positions in a company has been seen as a tool to convince other </w:t>
      </w:r>
      <w:r w:rsidRPr="002544D7">
        <w:lastRenderedPageBreak/>
        <w:t xml:space="preserve">women in lower positions that their employer </w:t>
      </w:r>
      <w:r w:rsidR="004804EA" w:rsidRPr="002544D7">
        <w:t>is</w:t>
      </w:r>
      <w:r w:rsidRPr="002544D7">
        <w:t xml:space="preserve"> conforming to equality and diversity recruitment practices rather than a corporate governance route to equality and diversity.</w:t>
      </w:r>
      <w:r w:rsidRPr="002544D7">
        <w:rPr>
          <w:vertAlign w:val="superscript"/>
        </w:rPr>
        <w:footnoteReference w:id="15"/>
      </w:r>
      <w:r w:rsidR="004804EA" w:rsidRPr="002544D7">
        <w:t xml:space="preserve"> Nevertheless, the motive is less important as long as it leads to gender diversity. </w:t>
      </w:r>
    </w:p>
    <w:p w14:paraId="72A87DD3" w14:textId="4DE5D6EE" w:rsidR="006D1CC4" w:rsidRPr="00393150" w:rsidRDefault="00731A19" w:rsidP="00CE5095">
      <w:r>
        <w:t>Despite the benefits or</w:t>
      </w:r>
      <w:r w:rsidR="00765497" w:rsidRPr="00B31E36">
        <w:t xml:space="preserve"> advantages of gender diversity on corporat</w:t>
      </w:r>
      <w:r w:rsidR="00591129" w:rsidRPr="00B31E36">
        <w:t xml:space="preserve">e boards in the UK and the EU, </w:t>
      </w:r>
      <w:r w:rsidR="00765497" w:rsidRPr="00B31E36">
        <w:t xml:space="preserve">recruitment of female directors onto corporate boards has lacked pace for years. This has </w:t>
      </w:r>
      <w:r w:rsidR="00864FD8" w:rsidRPr="00B31E36">
        <w:t>mainly been</w:t>
      </w:r>
      <w:r w:rsidR="004804EA" w:rsidRPr="00B31E36">
        <w:t xml:space="preserve"> caused by orthodox </w:t>
      </w:r>
      <w:r w:rsidR="00765497" w:rsidRPr="00B31E36">
        <w:t>recruitment practices by senior directors due to lack of confidence in female employees to fully execute the roles of board directors if appointed.</w:t>
      </w:r>
      <w:r w:rsidR="00765497" w:rsidRPr="00B31E36">
        <w:rPr>
          <w:vertAlign w:val="superscript"/>
        </w:rPr>
        <w:footnoteReference w:id="16"/>
      </w:r>
      <w:r w:rsidR="00765497" w:rsidRPr="00B31E36">
        <w:t xml:space="preserve"> Very often, these approa</w:t>
      </w:r>
      <w:r w:rsidR="00591129" w:rsidRPr="00B31E36">
        <w:t>ches would infer that there are not enough female employees to</w:t>
      </w:r>
      <w:r w:rsidR="00765497" w:rsidRPr="00B31E36">
        <w:t xml:space="preserve"> meet the criteria for promotion to senior executive and director roles.</w:t>
      </w:r>
      <w:r w:rsidR="00765497" w:rsidRPr="00B31E36">
        <w:rPr>
          <w:vertAlign w:val="superscript"/>
        </w:rPr>
        <w:footnoteReference w:id="17"/>
      </w:r>
      <w:r w:rsidR="00765497" w:rsidRPr="00B31E36">
        <w:t xml:space="preserve"> This in turn constricts female employees’ opportunities to acquire corporate and boardroom skills and experience in preparation for promotion to senior executive or nonexecutive director roles. Nevertheless, both the EU and the UK have taken initiatives to address gender diversity concerns, especi</w:t>
      </w:r>
      <w:r w:rsidR="006661C5">
        <w:t>ally</w:t>
      </w:r>
      <w:r w:rsidR="00765497" w:rsidRPr="00B31E36">
        <w:t xml:space="preserve"> on the boards of </w:t>
      </w:r>
      <w:r w:rsidR="00765497" w:rsidRPr="002544D7">
        <w:t xml:space="preserve">publicly </w:t>
      </w:r>
      <w:r w:rsidR="006D1CC4" w:rsidRPr="002544D7">
        <w:t>listed</w:t>
      </w:r>
      <w:r w:rsidR="00765497" w:rsidRPr="002544D7">
        <w:t xml:space="preserve"> companies</w:t>
      </w:r>
      <w:r w:rsidR="00765497" w:rsidRPr="00B31E36">
        <w:t>.</w:t>
      </w:r>
    </w:p>
    <w:p w14:paraId="68F10736" w14:textId="5A835D83" w:rsidR="00294214" w:rsidRPr="00CE5095" w:rsidRDefault="00CE5095" w:rsidP="00CE5095">
      <w:pPr>
        <w:pStyle w:val="Heading2"/>
      </w:pPr>
      <w:r w:rsidRPr="00CE5095">
        <w:t>Initiatives t</w:t>
      </w:r>
      <w:r w:rsidR="00294214" w:rsidRPr="00CE5095">
        <w:t xml:space="preserve">aken </w:t>
      </w:r>
      <w:r w:rsidRPr="00CE5095">
        <w:t>to improve gender d</w:t>
      </w:r>
      <w:r w:rsidR="00040ADA" w:rsidRPr="00CE5095">
        <w:t>iversity</w:t>
      </w:r>
    </w:p>
    <w:p w14:paraId="01AE9A48" w14:textId="77777777" w:rsidR="00294214" w:rsidRPr="00CE5095" w:rsidRDefault="00294214" w:rsidP="00CE5095">
      <w:pPr>
        <w:pStyle w:val="Heading3"/>
      </w:pPr>
      <w:r w:rsidRPr="00CE5095">
        <w:t>The European Union</w:t>
      </w:r>
    </w:p>
    <w:p w14:paraId="226172B5" w14:textId="3177D42A" w:rsidR="00294214" w:rsidRPr="00CE5095" w:rsidRDefault="00CE5095" w:rsidP="003E78EE">
      <w:pPr>
        <w:pStyle w:val="Heading4"/>
      </w:pPr>
      <w:r w:rsidRPr="00CE5095">
        <w:t>The proposed EU Directive on improving gender balance on corporate b</w:t>
      </w:r>
      <w:r w:rsidR="00294214" w:rsidRPr="00CE5095">
        <w:t>oards</w:t>
      </w:r>
    </w:p>
    <w:p w14:paraId="0F7A463A" w14:textId="68AC8823" w:rsidR="00294214" w:rsidRPr="00B31E36" w:rsidRDefault="00294214" w:rsidP="00CE5095">
      <w:r w:rsidRPr="00B31E36">
        <w:t>On 14 Novemb</w:t>
      </w:r>
      <w:r w:rsidR="00B30BEA" w:rsidRPr="00B31E36">
        <w:t>er 2012, the EU</w:t>
      </w:r>
      <w:r w:rsidRPr="00B31E36">
        <w:t xml:space="preserve"> Commission tabled a proposal for a Directive on improving gender balance among non-executive directors of companies listed on stock exchanges and related </w:t>
      </w:r>
      <w:r w:rsidRPr="00B31E36">
        <w:lastRenderedPageBreak/>
        <w:t>m</w:t>
      </w:r>
      <w:r w:rsidR="00CE5095">
        <w:t>easures</w:t>
      </w:r>
      <w:r w:rsidRPr="00B31E36">
        <w:t>.</w:t>
      </w:r>
      <w:bookmarkStart w:id="8" w:name="_Ref26785967"/>
      <w:r w:rsidRPr="00B31E36">
        <w:rPr>
          <w:rStyle w:val="FootnoteReference"/>
          <w:rFonts w:ascii="Corbel" w:hAnsi="Corbel"/>
          <w:sz w:val="24"/>
          <w:szCs w:val="24"/>
        </w:rPr>
        <w:footnoteReference w:id="18"/>
      </w:r>
      <w:bookmarkEnd w:id="8"/>
      <w:r w:rsidRPr="00B31E36">
        <w:t xml:space="preserve"> The </w:t>
      </w:r>
      <w:r w:rsidRPr="002544D7">
        <w:t xml:space="preserve">EU </w:t>
      </w:r>
      <w:r w:rsidR="006D1CC4" w:rsidRPr="002544D7">
        <w:t>Commission is empowered by the TFEU</w:t>
      </w:r>
      <w:r w:rsidRPr="002544D7">
        <w:t xml:space="preserve"> to </w:t>
      </w:r>
      <w:r w:rsidRPr="00B31E36">
        <w:t>adopt measures to ensure the application of the principle</w:t>
      </w:r>
      <w:r w:rsidR="00B30BEA" w:rsidRPr="00B31E36">
        <w:t>s</w:t>
      </w:r>
      <w:r w:rsidRPr="00B31E36">
        <w:t xml:space="preserve"> of equal opportunities and equal treatment of men and women on matters of employment and occupation.</w:t>
      </w:r>
      <w:r w:rsidRPr="00B31E36">
        <w:rPr>
          <w:rStyle w:val="FootnoteReference"/>
          <w:rFonts w:ascii="Corbel" w:hAnsi="Corbel"/>
          <w:sz w:val="24"/>
          <w:szCs w:val="24"/>
        </w:rPr>
        <w:footnoteReference w:id="19"/>
      </w:r>
    </w:p>
    <w:p w14:paraId="60E4D996" w14:textId="77777777" w:rsidR="00294214" w:rsidRPr="00B31E36" w:rsidRDefault="00294214" w:rsidP="00CE5095">
      <w:r w:rsidRPr="00B31E36">
        <w:t>Therefore, the proposed Directive provides that:</w:t>
      </w:r>
    </w:p>
    <w:p w14:paraId="467C4A60" w14:textId="61F6FB72" w:rsidR="00294214" w:rsidRPr="00CE5095" w:rsidRDefault="00294214" w:rsidP="00475801">
      <w:pPr>
        <w:pStyle w:val="Quote"/>
        <w:rPr>
          <w:i/>
        </w:rPr>
      </w:pPr>
      <w:r w:rsidRPr="00475801">
        <w:t>Member States shall ensure that listed companies in whose boards members of</w:t>
      </w:r>
      <w:r w:rsidR="006D1CC4" w:rsidRPr="00475801">
        <w:t xml:space="preserve"> the under-represented sex hold</w:t>
      </w:r>
      <w:r w:rsidR="00ED3988" w:rsidRPr="00475801">
        <w:t>s</w:t>
      </w:r>
      <w:r w:rsidRPr="00475801">
        <w:t xml:space="preserve"> less than 40 percent of non-executive director positions make the appointments to those positions on the basis of a comparative analysis of the qualifications of each candidate, by applying pre-established, clear, neutra</w:t>
      </w:r>
      <w:r w:rsidR="006D1CC4" w:rsidRPr="00475801">
        <w:t xml:space="preserve">lly formulated and unambiguous </w:t>
      </w:r>
      <w:r w:rsidRPr="00475801">
        <w:t>criteria, in order to attain the said percentage a</w:t>
      </w:r>
      <w:r w:rsidR="00CE5095" w:rsidRPr="00475801">
        <w:t>t the latest by 1 January 2020</w:t>
      </w:r>
      <w:r w:rsidR="00CE5095" w:rsidRPr="00475801">
        <w:rPr>
          <w:i/>
        </w:rPr>
        <w:t>…</w:t>
      </w:r>
      <w:r w:rsidRPr="00475801">
        <w:rPr>
          <w:rStyle w:val="FootnoteReference"/>
          <w:rFonts w:ascii="Corbel" w:hAnsi="Corbel"/>
        </w:rPr>
        <w:footnoteReference w:id="20"/>
      </w:r>
    </w:p>
    <w:p w14:paraId="293E1A85" w14:textId="598FCFB4" w:rsidR="00294214" w:rsidRPr="00B31E36" w:rsidRDefault="00294214" w:rsidP="00CE5095">
      <w:r w:rsidRPr="00B31E36">
        <w:t>To ensure</w:t>
      </w:r>
      <w:r w:rsidR="00B30BEA" w:rsidRPr="00B31E36">
        <w:t xml:space="preserve"> that the recommendation in a</w:t>
      </w:r>
      <w:r w:rsidR="00FB18C8" w:rsidRPr="00B31E36">
        <w:t>rticle</w:t>
      </w:r>
      <w:r w:rsidRPr="00B31E36">
        <w:t xml:space="preserve"> 4(1) is </w:t>
      </w:r>
      <w:r w:rsidR="00B30BEA" w:rsidRPr="00B31E36">
        <w:t>implemented smoothly in Member S</w:t>
      </w:r>
      <w:r w:rsidRPr="00B31E36">
        <w:t>tates</w:t>
      </w:r>
      <w:r w:rsidR="00FC1FC0" w:rsidRPr="00B31E36">
        <w:t>,</w:t>
      </w:r>
      <w:r w:rsidRPr="00B31E36">
        <w:t xml:space="preserve"> upon adoption, the proposed Directive further mandates Member States to ensure that in the selection of non-executive directors, priority is given to candidates of the under-repres</w:t>
      </w:r>
      <w:r w:rsidR="00475801">
        <w:t>ented sex if that candidate is ‘equally qualified’</w:t>
      </w:r>
      <w:r w:rsidRPr="00B31E36">
        <w:t xml:space="preserve"> as the candidate of the other sex in terms of suitability, competence and professional performance.</w:t>
      </w:r>
      <w:r w:rsidRPr="00B31E36">
        <w:rPr>
          <w:rStyle w:val="FootnoteReference"/>
          <w:rFonts w:ascii="Corbel" w:hAnsi="Corbel"/>
          <w:sz w:val="24"/>
          <w:szCs w:val="24"/>
        </w:rPr>
        <w:footnoteReference w:id="21"/>
      </w:r>
      <w:r w:rsidRPr="00B31E36">
        <w:t xml:space="preserve"> In addition, the proposed Directive provides that companies within Member States that fail to achieve the 40 percent objective by 2020 must provide satisfactory </w:t>
      </w:r>
      <w:r w:rsidRPr="00B31E36">
        <w:lastRenderedPageBreak/>
        <w:t>explanations for t</w:t>
      </w:r>
      <w:r w:rsidR="006D1CC4" w:rsidRPr="00B31E36">
        <w:t>he failure or</w:t>
      </w:r>
      <w:r w:rsidRPr="00B31E36">
        <w:t xml:space="preserve"> non-compliance with demonstrable measures put in place to ensure compliance in the future.</w:t>
      </w:r>
      <w:r w:rsidRPr="00B31E36">
        <w:rPr>
          <w:rStyle w:val="FootnoteReference"/>
          <w:rFonts w:ascii="Corbel" w:hAnsi="Corbel"/>
          <w:sz w:val="24"/>
          <w:szCs w:val="24"/>
        </w:rPr>
        <w:footnoteReference w:id="22"/>
      </w:r>
      <w:r w:rsidRPr="00B31E36">
        <w:t xml:space="preserve"> Failure to do so would lead to sanctions being imposed.</w:t>
      </w:r>
      <w:r w:rsidRPr="00B31E36">
        <w:rPr>
          <w:rStyle w:val="FootnoteReference"/>
          <w:rFonts w:ascii="Corbel" w:hAnsi="Corbel"/>
          <w:sz w:val="24"/>
          <w:szCs w:val="24"/>
        </w:rPr>
        <w:footnoteReference w:id="23"/>
      </w:r>
    </w:p>
    <w:p w14:paraId="76B23702" w14:textId="7E6A567D" w:rsidR="002577D8" w:rsidRPr="002544D7" w:rsidRDefault="00294214" w:rsidP="00CE5095">
      <w:r w:rsidRPr="00B31E36">
        <w:t xml:space="preserve">The proposed Directive attained support of the European Parliament via a resolution issued on 20 November 2014 with minor </w:t>
      </w:r>
      <w:proofErr w:type="gramStart"/>
      <w:r w:rsidRPr="00B31E36">
        <w:t>amendment which</w:t>
      </w:r>
      <w:proofErr w:type="gramEnd"/>
      <w:r w:rsidRPr="00B31E36">
        <w:t xml:space="preserve"> was to ensure that appointments of non-executive directors were made from a gender diverse selection pool.</w:t>
      </w:r>
      <w:r w:rsidRPr="00B31E36">
        <w:rPr>
          <w:rStyle w:val="FootnoteReference"/>
          <w:rFonts w:ascii="Corbel" w:hAnsi="Corbel"/>
          <w:sz w:val="24"/>
          <w:szCs w:val="24"/>
        </w:rPr>
        <w:footnoteReference w:id="24"/>
      </w:r>
      <w:r w:rsidRPr="00B31E36">
        <w:t xml:space="preserve"> However, following this resolution, not much progress was achieved in relation to the adoption of the proposed Directive as there was no consensus reached within </w:t>
      </w:r>
      <w:r w:rsidR="00FC1FC0" w:rsidRPr="00B31E36">
        <w:t xml:space="preserve">Member </w:t>
      </w:r>
      <w:r w:rsidR="00FC1FC0" w:rsidRPr="002544D7">
        <w:t>States</w:t>
      </w:r>
      <w:r w:rsidRPr="002544D7">
        <w:t xml:space="preserve"> on </w:t>
      </w:r>
      <w:r w:rsidR="006D1CC4" w:rsidRPr="002544D7">
        <w:t>approaches on how to transpose the binding nature of the Directive</w:t>
      </w:r>
      <w:r w:rsidR="002577D8" w:rsidRPr="002544D7">
        <w:t xml:space="preserve"> within</w:t>
      </w:r>
      <w:r w:rsidR="00ED3988" w:rsidRPr="002544D7">
        <w:t xml:space="preserve"> Member S</w:t>
      </w:r>
      <w:r w:rsidR="00F06A82" w:rsidRPr="002544D7">
        <w:t>tates</w:t>
      </w:r>
      <w:r w:rsidRPr="002544D7">
        <w:t xml:space="preserve">. </w:t>
      </w:r>
    </w:p>
    <w:p w14:paraId="72699BAD" w14:textId="179A592F" w:rsidR="00294214" w:rsidRPr="00B31E36" w:rsidRDefault="00294214" w:rsidP="00CE5095">
      <w:r w:rsidRPr="002544D7">
        <w:t xml:space="preserve">On 18 – 19 June 2015, the proposed Directive was the subject of a debate by the Council of the </w:t>
      </w:r>
      <w:r w:rsidR="00F06A82" w:rsidRPr="002544D7">
        <w:t>EU</w:t>
      </w:r>
      <w:r w:rsidRPr="002544D7">
        <w:t xml:space="preserve"> under the theme of employment and social policy and the Council took note of the progress reports on women on company boards across the EU.</w:t>
      </w:r>
      <w:r w:rsidRPr="002544D7">
        <w:rPr>
          <w:rStyle w:val="FootnoteReference"/>
          <w:rFonts w:ascii="Corbel" w:hAnsi="Corbel"/>
          <w:sz w:val="24"/>
          <w:szCs w:val="24"/>
        </w:rPr>
        <w:footnoteReference w:id="25"/>
      </w:r>
      <w:r w:rsidR="002577D8" w:rsidRPr="002544D7">
        <w:t xml:space="preserve"> </w:t>
      </w:r>
      <w:r w:rsidRPr="002544D7">
        <w:t>The Council further reiterated the need for Member States to oblige companies to i</w:t>
      </w:r>
      <w:r w:rsidR="00FC1FC0" w:rsidRPr="002544D7">
        <w:t>ntroduce procedural rules on</w:t>
      </w:r>
      <w:r w:rsidRPr="002544D7">
        <w:t xml:space="preserve"> selection and appointment of non-executive board members to meet the 40 percent target by 2020. Following this deb</w:t>
      </w:r>
      <w:r w:rsidR="002577D8" w:rsidRPr="002544D7">
        <w:t xml:space="preserve">ate, the proposed Directive was </w:t>
      </w:r>
      <w:r w:rsidRPr="002544D7">
        <w:t>amended during the Luxemb</w:t>
      </w:r>
      <w:r w:rsidR="00F06A82" w:rsidRPr="002544D7">
        <w:t>o</w:t>
      </w:r>
      <w:r w:rsidRPr="002544D7">
        <w:t>urg presidency</w:t>
      </w:r>
      <w:r w:rsidR="002577D8" w:rsidRPr="002544D7">
        <w:t xml:space="preserve"> </w:t>
      </w:r>
      <w:proofErr w:type="gramStart"/>
      <w:r w:rsidR="002577D8" w:rsidRPr="002544D7">
        <w:t xml:space="preserve">between 1 July 2015 – 31 </w:t>
      </w:r>
      <w:r w:rsidR="002577D8" w:rsidRPr="002544D7">
        <w:lastRenderedPageBreak/>
        <w:t>December 2015</w:t>
      </w:r>
      <w:proofErr w:type="gramEnd"/>
      <w:r w:rsidR="002577D8" w:rsidRPr="002544D7">
        <w:t>.</w:t>
      </w:r>
      <w:r w:rsidR="002577D8" w:rsidRPr="002544D7">
        <w:rPr>
          <w:rStyle w:val="FootnoteReference"/>
          <w:rFonts w:ascii="Corbel" w:hAnsi="Corbel"/>
          <w:sz w:val="24"/>
          <w:szCs w:val="24"/>
        </w:rPr>
        <w:footnoteReference w:id="26"/>
      </w:r>
      <w:r w:rsidRPr="002544D7">
        <w:t xml:space="preserve"> The rational</w:t>
      </w:r>
      <w:r w:rsidRPr="00B31E36">
        <w:t>e for the amendment</w:t>
      </w:r>
      <w:r w:rsidR="00475801">
        <w:t xml:space="preserve"> was the need to incorporate a ‘flexibility’</w:t>
      </w:r>
      <w:r w:rsidRPr="00B31E36">
        <w:t xml:space="preserve"> </w:t>
      </w:r>
      <w:proofErr w:type="gramStart"/>
      <w:r w:rsidRPr="00B31E36">
        <w:t>clause which</w:t>
      </w:r>
      <w:proofErr w:type="gramEnd"/>
      <w:r w:rsidRPr="00B31E36">
        <w:t xml:space="preserve"> would allow Member States to choose their preferred measures for impl</w:t>
      </w:r>
      <w:r w:rsidR="002577D8" w:rsidRPr="00B31E36">
        <w:t>ementing the proposed Directive.</w:t>
      </w:r>
      <w:r w:rsidRPr="00B31E36">
        <w:t xml:space="preserve"> However, despite these amendments, the proposed Directive did not progress to the next </w:t>
      </w:r>
      <w:proofErr w:type="gramStart"/>
      <w:r w:rsidRPr="00B31E36">
        <w:t>stage</w:t>
      </w:r>
      <w:proofErr w:type="gramEnd"/>
      <w:r w:rsidRPr="00B31E36">
        <w:t xml:space="preserve"> as the Council was unable to reach a consensus on the way forward. </w:t>
      </w:r>
    </w:p>
    <w:p w14:paraId="588641D1" w14:textId="3D03EC2B" w:rsidR="00294214" w:rsidRPr="002544D7" w:rsidRDefault="00294214" w:rsidP="00CE5095">
      <w:r w:rsidRPr="00B31E36">
        <w:t>The Council further discussed the proposed Directive on 7 December 2015 and again, compromise could not be reached.</w:t>
      </w:r>
      <w:r w:rsidRPr="00B31E36">
        <w:rPr>
          <w:rStyle w:val="FootnoteReference"/>
          <w:rFonts w:ascii="Corbel" w:hAnsi="Corbel"/>
          <w:sz w:val="24"/>
          <w:szCs w:val="24"/>
        </w:rPr>
        <w:footnoteReference w:id="27"/>
      </w:r>
      <w:r w:rsidRPr="00B31E36">
        <w:t xml:space="preserve"> Nevertheless, the Commission continued to keep the subject of gender diversity and the proposed Directive on its agenda. At the Employment, Social policy, Health and Consumer Affairs Council (EPSCO) meeting on 15 June 2017, the then commissioner for Employment, Social Affairs, Skills and Labour Mobility, Marianne </w:t>
      </w:r>
      <w:proofErr w:type="spellStart"/>
      <w:r w:rsidRPr="00B31E36">
        <w:t>Thyssen</w:t>
      </w:r>
      <w:proofErr w:type="spellEnd"/>
      <w:r w:rsidRPr="00B31E36">
        <w:t xml:space="preserve">, further reiterated her support for the proposed Directive. She said </w:t>
      </w:r>
      <w:r w:rsidRPr="002544D7">
        <w:t xml:space="preserve">that </w:t>
      </w:r>
      <w:r w:rsidR="00283ABC" w:rsidRPr="002544D7">
        <w:t>it</w:t>
      </w:r>
      <w:r w:rsidRPr="002544D7">
        <w:t xml:space="preserve"> was a good example of subsidiarity-friendly legislation capable of bridging the gender gap within Member States and </w:t>
      </w:r>
      <w:r w:rsidR="00283ABC" w:rsidRPr="002544D7">
        <w:t xml:space="preserve">she </w:t>
      </w:r>
      <w:r w:rsidRPr="002544D7">
        <w:t>hop</w:t>
      </w:r>
      <w:r w:rsidR="00475801">
        <w:t>ed that there would be a break-</w:t>
      </w:r>
      <w:r w:rsidRPr="002544D7">
        <w:t>through with the Directive.</w:t>
      </w:r>
      <w:r w:rsidRPr="002544D7">
        <w:rPr>
          <w:rStyle w:val="FootnoteReference"/>
          <w:rFonts w:ascii="Corbel" w:hAnsi="Corbel"/>
          <w:sz w:val="24"/>
          <w:szCs w:val="24"/>
        </w:rPr>
        <w:footnoteReference w:id="28"/>
      </w:r>
      <w:r w:rsidRPr="002544D7">
        <w:t xml:space="preserve"> </w:t>
      </w:r>
    </w:p>
    <w:p w14:paraId="3197E670" w14:textId="2E453AD7" w:rsidR="00040ADA" w:rsidRPr="002544D7" w:rsidRDefault="00294214" w:rsidP="00CE5095">
      <w:r w:rsidRPr="002544D7">
        <w:lastRenderedPageBreak/>
        <w:t xml:space="preserve">On 31 January 2019, the European Parliament held a debate on the proposed Directive during the plenary session and called </w:t>
      </w:r>
      <w:r w:rsidR="00283ABC" w:rsidRPr="002544D7">
        <w:t xml:space="preserve">again </w:t>
      </w:r>
      <w:r w:rsidRPr="002544D7">
        <w:t xml:space="preserve">for </w:t>
      </w:r>
      <w:r w:rsidR="00283ABC" w:rsidRPr="002544D7">
        <w:t>it</w:t>
      </w:r>
      <w:r w:rsidRPr="002544D7">
        <w:t xml:space="preserve"> to be adopted.</w:t>
      </w:r>
      <w:r w:rsidRPr="002544D7">
        <w:rPr>
          <w:rStyle w:val="FootnoteReference"/>
          <w:rFonts w:ascii="Corbel" w:hAnsi="Corbel"/>
          <w:sz w:val="24"/>
          <w:szCs w:val="24"/>
        </w:rPr>
        <w:footnoteReference w:id="29"/>
      </w:r>
      <w:r w:rsidRPr="002544D7">
        <w:t xml:space="preserve"> However, despite these debates and numerous calls for its adoption, </w:t>
      </w:r>
      <w:r w:rsidR="00283ABC" w:rsidRPr="002544D7">
        <w:t>this has not happened.</w:t>
      </w:r>
    </w:p>
    <w:p w14:paraId="2B7025AA" w14:textId="77777777" w:rsidR="00294214" w:rsidRPr="002544D7" w:rsidRDefault="00040ADA" w:rsidP="003E78EE">
      <w:pPr>
        <w:pStyle w:val="Heading3"/>
      </w:pPr>
      <w:r w:rsidRPr="002544D7">
        <w:t>The United Kingdom</w:t>
      </w:r>
    </w:p>
    <w:p w14:paraId="5600319A" w14:textId="77777777" w:rsidR="00DF2E7C" w:rsidRPr="002544D7" w:rsidRDefault="00040ADA" w:rsidP="00CE5095">
      <w:r w:rsidRPr="002544D7">
        <w:t xml:space="preserve">As the EU was struggling to find consensus within its Member States for the adoption of the proposed Directive, the UK was also taking initiatives to </w:t>
      </w:r>
      <w:r w:rsidR="00864FD8" w:rsidRPr="002544D7">
        <w:t xml:space="preserve">improve gender diversity on the </w:t>
      </w:r>
      <w:r w:rsidR="000A5027" w:rsidRPr="002544D7">
        <w:t>Financial Trading Stock Exchange (</w:t>
      </w:r>
      <w:r w:rsidR="00864FD8" w:rsidRPr="002544D7">
        <w:t>FTSE</w:t>
      </w:r>
      <w:r w:rsidR="000A5027" w:rsidRPr="002544D7">
        <w:t>)</w:t>
      </w:r>
      <w:r w:rsidRPr="002544D7">
        <w:t xml:space="preserve"> listed companies. For example, through legislation, the UK government enacted the Equality Act 2010 as a legislative strategy to curb all forms of </w:t>
      </w:r>
      <w:r w:rsidR="00283ABC" w:rsidRPr="002544D7">
        <w:t>discrimination on the grounds of gender or sex among other grounds.</w:t>
      </w:r>
      <w:r w:rsidR="000A5027" w:rsidRPr="002544D7">
        <w:rPr>
          <w:rStyle w:val="FootnoteReference"/>
          <w:rFonts w:ascii="Corbel" w:hAnsi="Corbel"/>
          <w:sz w:val="24"/>
          <w:szCs w:val="24"/>
        </w:rPr>
        <w:footnoteReference w:id="30"/>
      </w:r>
      <w:r w:rsidRPr="002544D7">
        <w:t xml:space="preserve"> </w:t>
      </w:r>
    </w:p>
    <w:p w14:paraId="4FA9706D" w14:textId="0997F8CA" w:rsidR="00DF2E7C" w:rsidRPr="00B31E36" w:rsidRDefault="00DF2E7C" w:rsidP="00CE5095">
      <w:r w:rsidRPr="002544D7">
        <w:t>The UK</w:t>
      </w:r>
      <w:r w:rsidR="00040ADA" w:rsidRPr="002544D7">
        <w:t xml:space="preserve"> government has also taken initiatives to commission independent enquiries through the appointment</w:t>
      </w:r>
      <w:r w:rsidRPr="002544D7">
        <w:t xml:space="preserve"> of </w:t>
      </w:r>
      <w:r w:rsidR="00040ADA" w:rsidRPr="002544D7">
        <w:t xml:space="preserve">professional personnel and agencies to undertake reviews of </w:t>
      </w:r>
      <w:r w:rsidR="00FC1FC0" w:rsidRPr="002544D7">
        <w:t>operational</w:t>
      </w:r>
      <w:r w:rsidR="00040ADA" w:rsidRPr="002544D7">
        <w:t xml:space="preserve"> government policies and strategies in relation to gender diversity and to make recommendations for improvement where needed. The Davies Review,</w:t>
      </w:r>
      <w:bookmarkStart w:id="9" w:name="_Ref26779905"/>
      <w:r w:rsidR="00040ADA" w:rsidRPr="002544D7">
        <w:rPr>
          <w:rStyle w:val="FootnoteReference"/>
          <w:rFonts w:ascii="Corbel" w:hAnsi="Corbel"/>
          <w:sz w:val="24"/>
          <w:szCs w:val="24"/>
        </w:rPr>
        <w:footnoteReference w:id="31"/>
      </w:r>
      <w:bookmarkEnd w:id="9"/>
      <w:r w:rsidR="00040ADA" w:rsidRPr="002544D7">
        <w:t xml:space="preserve"> the Higgs Review,</w:t>
      </w:r>
      <w:bookmarkStart w:id="10" w:name="_Ref26780216"/>
      <w:r w:rsidR="00040ADA" w:rsidRPr="002544D7">
        <w:rPr>
          <w:rStyle w:val="FootnoteReference"/>
          <w:rFonts w:ascii="Corbel" w:hAnsi="Corbel"/>
          <w:sz w:val="24"/>
          <w:szCs w:val="24"/>
        </w:rPr>
        <w:footnoteReference w:id="32"/>
      </w:r>
      <w:bookmarkEnd w:id="10"/>
      <w:r w:rsidR="000A5027" w:rsidRPr="002544D7">
        <w:t xml:space="preserve"> </w:t>
      </w:r>
      <w:r w:rsidRPr="002544D7">
        <w:t xml:space="preserve">the </w:t>
      </w:r>
      <w:r w:rsidR="003E78EE">
        <w:t>Hampton–</w:t>
      </w:r>
      <w:bookmarkStart w:id="11" w:name="_Ref26781025"/>
      <w:r w:rsidR="003E78EE">
        <w:t xml:space="preserve">Alexander </w:t>
      </w:r>
      <w:r w:rsidR="003E78EE">
        <w:lastRenderedPageBreak/>
        <w:t>Review</w:t>
      </w:r>
      <w:r w:rsidR="00040ADA" w:rsidRPr="002544D7">
        <w:rPr>
          <w:rStyle w:val="FootnoteReference"/>
          <w:rFonts w:ascii="Corbel" w:hAnsi="Corbel"/>
          <w:sz w:val="24"/>
          <w:szCs w:val="24"/>
        </w:rPr>
        <w:footnoteReference w:id="33"/>
      </w:r>
      <w:bookmarkEnd w:id="11"/>
      <w:r w:rsidR="00040ADA" w:rsidRPr="002544D7">
        <w:t xml:space="preserve"> and </w:t>
      </w:r>
      <w:r w:rsidRPr="002544D7">
        <w:t xml:space="preserve">the </w:t>
      </w:r>
      <w:r w:rsidR="00040ADA" w:rsidRPr="002544D7">
        <w:t>Charlotte Sweeney Review are some of the</w:t>
      </w:r>
      <w:r w:rsidRPr="002544D7">
        <w:t>se</w:t>
      </w:r>
      <w:r w:rsidR="00040ADA" w:rsidRPr="002544D7">
        <w:t xml:space="preserve"> independent reviews commissioned by the UK government to this effect.</w:t>
      </w:r>
      <w:r w:rsidR="00040ADA" w:rsidRPr="00B31E36">
        <w:t xml:space="preserve"> These are briefly analysed below. </w:t>
      </w:r>
    </w:p>
    <w:p w14:paraId="269557BA" w14:textId="294B7A8E" w:rsidR="00040ADA" w:rsidRPr="003E78EE" w:rsidRDefault="00040ADA" w:rsidP="003E78EE">
      <w:pPr>
        <w:pStyle w:val="Heading4"/>
      </w:pPr>
      <w:r w:rsidRPr="003E78EE">
        <w:t>The Davies Review 2011</w:t>
      </w:r>
    </w:p>
    <w:p w14:paraId="4A5338D6" w14:textId="338F79EE" w:rsidR="00040ADA" w:rsidRPr="002544D7" w:rsidRDefault="00040ADA" w:rsidP="00CE5095">
      <w:r w:rsidRPr="00B31E36">
        <w:t xml:space="preserve">In its attempt to make UK listed companies improve gender diversity on their boards, the UK government appointed Lord Mervyn Davies in 2011 to review its agenda on improving the appointment of women on corporate boards and to make recommendations for </w:t>
      </w:r>
      <w:r w:rsidRPr="002544D7">
        <w:t>improvement</w:t>
      </w:r>
      <w:r w:rsidR="00DF2E7C" w:rsidRPr="002544D7">
        <w:t>s</w:t>
      </w:r>
      <w:r w:rsidRPr="002544D7">
        <w:t xml:space="preserve"> </w:t>
      </w:r>
      <w:r w:rsidR="00DF2E7C" w:rsidRPr="002544D7">
        <w:t>and this</w:t>
      </w:r>
      <w:r w:rsidRPr="002544D7">
        <w:t xml:space="preserve"> became known as the Davies Review.</w:t>
      </w:r>
      <w:r w:rsidRPr="002544D7">
        <w:rPr>
          <w:rStyle w:val="FootnoteReference"/>
          <w:rFonts w:ascii="Corbel" w:hAnsi="Corbel"/>
          <w:sz w:val="24"/>
          <w:szCs w:val="24"/>
        </w:rPr>
        <w:footnoteReference w:id="34"/>
      </w:r>
      <w:r w:rsidRPr="002544D7">
        <w:t xml:space="preserve"> Following the review, Lord Davies and his team produced a </w:t>
      </w:r>
      <w:proofErr w:type="gramStart"/>
      <w:r w:rsidRPr="002544D7">
        <w:t>report which</w:t>
      </w:r>
      <w:proofErr w:type="gramEnd"/>
      <w:r w:rsidRPr="002544D7">
        <w:t xml:space="preserve"> identified and presented 10 business-led recommendations to improve ge</w:t>
      </w:r>
      <w:r w:rsidR="00914DDC" w:rsidRPr="002544D7">
        <w:t xml:space="preserve">nder diversity on the boards of </w:t>
      </w:r>
      <w:r w:rsidRPr="002544D7">
        <w:t>FTSE 350</w:t>
      </w:r>
      <w:r w:rsidR="004F50AB" w:rsidRPr="002544D7">
        <w:rPr>
          <w:rStyle w:val="FootnoteReference"/>
          <w:rFonts w:ascii="Corbel" w:hAnsi="Corbel"/>
          <w:sz w:val="24"/>
          <w:szCs w:val="24"/>
        </w:rPr>
        <w:footnoteReference w:id="35"/>
      </w:r>
      <w:r w:rsidRPr="002544D7">
        <w:t xml:space="preserve"> companies.</w:t>
      </w:r>
      <w:r w:rsidRPr="002544D7">
        <w:rPr>
          <w:rStyle w:val="FootnoteReference"/>
          <w:rFonts w:ascii="Corbel" w:hAnsi="Corbel"/>
          <w:sz w:val="24"/>
          <w:szCs w:val="24"/>
        </w:rPr>
        <w:footnoteReference w:id="36"/>
      </w:r>
      <w:r w:rsidRPr="002544D7">
        <w:t xml:space="preserve"> This w</w:t>
      </w:r>
      <w:r w:rsidR="00E17060" w:rsidRPr="002544D7">
        <w:t xml:space="preserve">as through the introduction of </w:t>
      </w:r>
      <w:r w:rsidRPr="002544D7">
        <w:t>voluntary and inclusive approaches for bu</w:t>
      </w:r>
      <w:r w:rsidR="00E17060" w:rsidRPr="002544D7">
        <w:t xml:space="preserve">siness leaders and stakeholders to adopt </w:t>
      </w:r>
      <w:r w:rsidRPr="002544D7">
        <w:t xml:space="preserve">corporate policies and strategies to improve gender balance on their boards. The recommendations sought to improve the balance of perspectives </w:t>
      </w:r>
      <w:r w:rsidR="00E17060" w:rsidRPr="002544D7">
        <w:t>in</w:t>
      </w:r>
      <w:r w:rsidRPr="002544D7">
        <w:t xml:space="preserve"> corporate recruitment by ensuring that corporate recruitment practices were based on skills, experience and </w:t>
      </w:r>
      <w:proofErr w:type="gramStart"/>
      <w:r w:rsidRPr="002544D7">
        <w:t>performance which</w:t>
      </w:r>
      <w:proofErr w:type="gramEnd"/>
      <w:r w:rsidRPr="002544D7">
        <w:t xml:space="preserve"> would encourage women to play a role at the v</w:t>
      </w:r>
      <w:r w:rsidR="0079392E" w:rsidRPr="002544D7">
        <w:t>ery top of corporate management.</w:t>
      </w:r>
    </w:p>
    <w:p w14:paraId="23500841" w14:textId="02E086B8" w:rsidR="003E191D" w:rsidRPr="002544D7" w:rsidRDefault="00040ADA" w:rsidP="00CE5095">
      <w:r w:rsidRPr="002544D7">
        <w:lastRenderedPageBreak/>
        <w:t>Therefore, supported by the Department for Business,</w:t>
      </w:r>
      <w:r w:rsidR="003E78EE">
        <w:t xml:space="preserve"> Energy and Industrial Strategy</w:t>
      </w:r>
      <w:r w:rsidRPr="002544D7">
        <w:t xml:space="preserve"> and</w:t>
      </w:r>
      <w:r w:rsidR="003E78EE">
        <w:t>,</w:t>
      </w:r>
      <w:r w:rsidRPr="002544D7">
        <w:t xml:space="preserve"> partly, by Cranfield University, the Davies Review team tracked progress on the recommendations of the original report through annual reviews highlighting improvements and setting key targets for subsequent years. For example in the 2015 review, the report identified that the percentage of women appointed to </w:t>
      </w:r>
      <w:r w:rsidR="00FC1FC0" w:rsidRPr="002544D7">
        <w:t xml:space="preserve">the boards of </w:t>
      </w:r>
      <w:r w:rsidRPr="002544D7">
        <w:t>FTSE 100</w:t>
      </w:r>
      <w:r w:rsidR="003D5DF9" w:rsidRPr="002544D7">
        <w:t xml:space="preserve"> companies had improved from 12 percent in 2011 to 25 percent</w:t>
      </w:r>
      <w:r w:rsidRPr="002544D7">
        <w:t xml:space="preserve"> in 2015. FTSE 250 boards h</w:t>
      </w:r>
      <w:r w:rsidR="003D5DF9" w:rsidRPr="002544D7">
        <w:t>ad witnessed an increase from 9 percent in 2011 to 22 percent</w:t>
      </w:r>
      <w:r w:rsidRPr="002544D7">
        <w:t xml:space="preserve"> in 2015.</w:t>
      </w:r>
      <w:r w:rsidRPr="002544D7">
        <w:rPr>
          <w:rStyle w:val="FootnoteReference"/>
          <w:rFonts w:ascii="Corbel" w:hAnsi="Corbel"/>
          <w:sz w:val="24"/>
          <w:szCs w:val="24"/>
        </w:rPr>
        <w:footnoteReference w:id="37"/>
      </w:r>
      <w:r w:rsidRPr="002544D7">
        <w:t xml:space="preserve"> However, although some improvement in the appointment of female directors on corporate boards had been witnessed, the rate of appointment and progress was relatively slow and </w:t>
      </w:r>
      <w:r w:rsidR="00E273BE" w:rsidRPr="002544D7">
        <w:t>the conclusion was that</w:t>
      </w:r>
      <w:r w:rsidRPr="002544D7">
        <w:t xml:space="preserve"> it could take the UK longer </w:t>
      </w:r>
      <w:r w:rsidR="00E273BE" w:rsidRPr="002544D7">
        <w:t xml:space="preserve">than the originally anticipated 70 years </w:t>
      </w:r>
      <w:r w:rsidRPr="002544D7">
        <w:t>to achieve gender diversity on corporate boards.</w:t>
      </w:r>
      <w:r w:rsidR="00E273BE" w:rsidRPr="002544D7">
        <w:rPr>
          <w:rStyle w:val="FootnoteReference"/>
          <w:rFonts w:ascii="Corbel" w:hAnsi="Corbel"/>
          <w:sz w:val="24"/>
          <w:szCs w:val="24"/>
        </w:rPr>
        <w:footnoteReference w:id="38"/>
      </w:r>
    </w:p>
    <w:p w14:paraId="38B2208D" w14:textId="77777777" w:rsidR="00040ADA" w:rsidRPr="00B31E36" w:rsidRDefault="00040ADA" w:rsidP="003E78EE">
      <w:pPr>
        <w:pStyle w:val="Heading4"/>
      </w:pPr>
      <w:r w:rsidRPr="00B31E36">
        <w:t>The Higgs Review</w:t>
      </w:r>
    </w:p>
    <w:p w14:paraId="24979F1C" w14:textId="5D827CDA" w:rsidR="00040ADA" w:rsidRPr="002544D7" w:rsidRDefault="00040ADA" w:rsidP="00CE5095">
      <w:r w:rsidRPr="00B31E36">
        <w:t>Alongside the Davies Review, the UK government appointed Derek Higgs in April 2002 to undertake an independent review of the role and effectiveness of non-executive di</w:t>
      </w:r>
      <w:r w:rsidR="003E78EE">
        <w:t>rectors in the UK</w:t>
      </w:r>
      <w:r w:rsidRPr="00B31E36">
        <w:t>.</w:t>
      </w:r>
      <w:r w:rsidRPr="00B31E36">
        <w:rPr>
          <w:rStyle w:val="FootnoteReference"/>
          <w:rFonts w:ascii="Corbel" w:hAnsi="Corbel"/>
          <w:sz w:val="24"/>
          <w:szCs w:val="24"/>
        </w:rPr>
        <w:footnoteReference w:id="39"/>
      </w:r>
      <w:r w:rsidRPr="00B31E36">
        <w:t xml:space="preserve"> The Review made several </w:t>
      </w:r>
      <w:r w:rsidRPr="002544D7">
        <w:t xml:space="preserve">recommendations </w:t>
      </w:r>
      <w:r w:rsidR="00213B0E" w:rsidRPr="002544D7">
        <w:t xml:space="preserve">one of which was the need for tighter corporate governance </w:t>
      </w:r>
      <w:r w:rsidRPr="002544D7">
        <w:t>(including the review of the combine</w:t>
      </w:r>
      <w:r w:rsidR="00CC678F" w:rsidRPr="002544D7">
        <w:t xml:space="preserve">d corporate governance code) </w:t>
      </w:r>
      <w:proofErr w:type="gramStart"/>
      <w:r w:rsidR="00CC678F" w:rsidRPr="002544D7">
        <w:t>as a</w:t>
      </w:r>
      <w:r w:rsidRPr="002544D7">
        <w:t xml:space="preserve"> gateways</w:t>
      </w:r>
      <w:proofErr w:type="gramEnd"/>
      <w:r w:rsidRPr="002544D7">
        <w:t xml:space="preserve"> to enhancing gender diversity on UK corporate boards.</w:t>
      </w:r>
      <w:r w:rsidR="00CC678F" w:rsidRPr="002544D7">
        <w:rPr>
          <w:rStyle w:val="FootnoteReference"/>
          <w:rFonts w:ascii="Corbel" w:hAnsi="Corbel"/>
          <w:sz w:val="24"/>
          <w:szCs w:val="24"/>
        </w:rPr>
        <w:footnoteReference w:id="40"/>
      </w:r>
      <w:r w:rsidRPr="002544D7">
        <w:t xml:space="preserve"> </w:t>
      </w:r>
    </w:p>
    <w:p w14:paraId="42227288" w14:textId="29E4A3C4" w:rsidR="00040ADA" w:rsidRPr="002544D7" w:rsidRDefault="00040ADA" w:rsidP="00CE5095">
      <w:r w:rsidRPr="002544D7">
        <w:lastRenderedPageBreak/>
        <w:t>However, a key recommendation was for the establishment of nomination committees on corporate boards to improve the nomina</w:t>
      </w:r>
      <w:r w:rsidR="00CC678F" w:rsidRPr="002544D7">
        <w:t>tion and recruitment processes.</w:t>
      </w:r>
      <w:r w:rsidR="00DC3E55" w:rsidRPr="002544D7">
        <w:rPr>
          <w:rStyle w:val="FootnoteReference"/>
          <w:rFonts w:ascii="Corbel" w:hAnsi="Corbel"/>
          <w:sz w:val="24"/>
          <w:szCs w:val="24"/>
        </w:rPr>
        <w:footnoteReference w:id="41"/>
      </w:r>
      <w:r w:rsidR="00DC3E55" w:rsidRPr="002544D7">
        <w:t xml:space="preserve"> </w:t>
      </w:r>
      <w:proofErr w:type="gramStart"/>
      <w:r w:rsidRPr="002544D7">
        <w:t xml:space="preserve">This committee should be chaired by an independent </w:t>
      </w:r>
      <w:r w:rsidR="00DC3E55" w:rsidRPr="002544D7">
        <w:t>non-executive director</w:t>
      </w:r>
      <w:proofErr w:type="gramEnd"/>
      <w:r w:rsidR="00DC3E55" w:rsidRPr="002544D7">
        <w:t xml:space="preserve"> and </w:t>
      </w:r>
      <w:r w:rsidRPr="002544D7">
        <w:t>companies should establish a wider pool of talent from which non-executive directors are appointed.</w:t>
      </w:r>
      <w:r w:rsidRPr="002544D7">
        <w:rPr>
          <w:rStyle w:val="FootnoteReference"/>
          <w:rFonts w:ascii="Corbel" w:hAnsi="Corbel"/>
          <w:sz w:val="24"/>
          <w:szCs w:val="24"/>
        </w:rPr>
        <w:footnoteReference w:id="42"/>
      </w:r>
      <w:r w:rsidRPr="002544D7">
        <w:t xml:space="preserve"> The nomination committee would evaluate the balance of skills, knowledge and experiences on the board or prepare the description of the role and competences required for a particular appointment.</w:t>
      </w:r>
      <w:r w:rsidRPr="002544D7">
        <w:rPr>
          <w:rStyle w:val="FootnoteReference"/>
          <w:rFonts w:ascii="Corbel" w:hAnsi="Corbel"/>
          <w:sz w:val="24"/>
          <w:szCs w:val="24"/>
        </w:rPr>
        <w:footnoteReference w:id="43"/>
      </w:r>
      <w:r w:rsidRPr="002544D7">
        <w:t xml:space="preserve"> </w:t>
      </w:r>
      <w:r w:rsidR="00DC3E55" w:rsidRPr="002544D7">
        <w:t>That would lead to greater gender diversity on corporate boards.</w:t>
      </w:r>
    </w:p>
    <w:p w14:paraId="3E90ADDD" w14:textId="77777777" w:rsidR="00040ADA" w:rsidRPr="002544D7" w:rsidRDefault="00040ADA" w:rsidP="00CE5095">
      <w:r w:rsidRPr="002544D7">
        <w:t>The Charlotte Sweeney Review</w:t>
      </w:r>
    </w:p>
    <w:p w14:paraId="4F6AC4AF" w14:textId="357588AA" w:rsidR="00040ADA" w:rsidRPr="002544D7" w:rsidRDefault="00DC3E55" w:rsidP="00CE5095">
      <w:r w:rsidRPr="002544D7">
        <w:t xml:space="preserve">In 2014, the Department for Business, Innovation and Skills (BIS) made a strategic response to the recommendations </w:t>
      </w:r>
      <w:r w:rsidR="003E78EE">
        <w:t xml:space="preserve">made </w:t>
      </w:r>
      <w:r w:rsidR="003D5DF9" w:rsidRPr="002544D7">
        <w:t>by the Davies Report in</w:t>
      </w:r>
      <w:r w:rsidR="00040ADA" w:rsidRPr="002544D7">
        <w:t xml:space="preserve"> 2011 for UK listed companies to improve their recruitment processes</w:t>
      </w:r>
      <w:r w:rsidRPr="002544D7">
        <w:t xml:space="preserve">. </w:t>
      </w:r>
      <w:r w:rsidR="00040ADA" w:rsidRPr="002544D7">
        <w:t>This was the appointment of Charlotte Sweeney, a Human Resource expert on equality and diversity</w:t>
      </w:r>
      <w:r w:rsidRPr="002544D7">
        <w:t>,</w:t>
      </w:r>
      <w:r w:rsidR="00040ADA" w:rsidRPr="002544D7">
        <w:t xml:space="preserve"> to conduct a review of the voluntary code of </w:t>
      </w:r>
      <w:proofErr w:type="gramStart"/>
      <w:r w:rsidR="00040ADA" w:rsidRPr="002544D7">
        <w:t>conduct which</w:t>
      </w:r>
      <w:proofErr w:type="gramEnd"/>
      <w:r w:rsidR="00040ADA" w:rsidRPr="002544D7">
        <w:t xml:space="preserve"> had been drawn up by executive search firms in 2011 as a strategy for supporting FTSE 350 companies to promote good recruitment and selection practices.</w:t>
      </w:r>
      <w:r w:rsidR="00040ADA" w:rsidRPr="002544D7">
        <w:rPr>
          <w:rStyle w:val="FootnoteReference"/>
          <w:rFonts w:ascii="Corbel" w:hAnsi="Corbel"/>
          <w:sz w:val="24"/>
          <w:szCs w:val="24"/>
        </w:rPr>
        <w:footnoteReference w:id="44"/>
      </w:r>
    </w:p>
    <w:p w14:paraId="4E085FC4" w14:textId="11EF9DCE" w:rsidR="00040ADA" w:rsidRPr="002544D7" w:rsidRDefault="00040ADA" w:rsidP="00CE5095">
      <w:r w:rsidRPr="002544D7">
        <w:t>The Sweeney review looked into the voluntary code of conduct, its impact on d</w:t>
      </w:r>
      <w:r w:rsidR="00DC3E55" w:rsidRPr="002544D7">
        <w:t>iversity and ways to improve or</w:t>
      </w:r>
      <w:r w:rsidRPr="002544D7">
        <w:t xml:space="preserve"> strengthen the code. However, the review reported that while some executive search </w:t>
      </w:r>
      <w:r w:rsidRPr="002544D7">
        <w:lastRenderedPageBreak/>
        <w:t xml:space="preserve">firms had taken commitment to the provisions of the code </w:t>
      </w:r>
      <w:r w:rsidR="00DE2B40" w:rsidRPr="002544D7">
        <w:t>very</w:t>
      </w:r>
      <w:r w:rsidRPr="002544D7">
        <w:t xml:space="preserve"> serio</w:t>
      </w:r>
      <w:r w:rsidRPr="00B31E36">
        <w:t>usly, other search firms took the code as a profiling opportunity.</w:t>
      </w:r>
      <w:r w:rsidRPr="00B31E36">
        <w:rPr>
          <w:rStyle w:val="FootnoteReference"/>
          <w:rFonts w:ascii="Corbel" w:hAnsi="Corbel"/>
          <w:sz w:val="24"/>
          <w:szCs w:val="24"/>
        </w:rPr>
        <w:footnoteReference w:id="45"/>
      </w:r>
      <w:r w:rsidRPr="00B31E36">
        <w:t xml:space="preserve"> Only 25 percent of the voluntary signatories to the code were actively following and promoting the code and only 12 percent shared their impact information on the representation of women on the boards </w:t>
      </w:r>
      <w:r w:rsidRPr="002544D7">
        <w:t xml:space="preserve">and </w:t>
      </w:r>
      <w:r w:rsidR="00DE2B40" w:rsidRPr="002544D7">
        <w:t xml:space="preserve">their </w:t>
      </w:r>
      <w:r w:rsidRPr="002544D7">
        <w:t>lists for securing an appointment.</w:t>
      </w:r>
      <w:r w:rsidRPr="002544D7">
        <w:rPr>
          <w:rStyle w:val="FootnoteReference"/>
          <w:rFonts w:ascii="Corbel" w:hAnsi="Corbel"/>
          <w:sz w:val="24"/>
          <w:szCs w:val="24"/>
        </w:rPr>
        <w:footnoteReference w:id="46"/>
      </w:r>
    </w:p>
    <w:p w14:paraId="324EB526" w14:textId="1EC01B52" w:rsidR="00040ADA" w:rsidRPr="002544D7" w:rsidRDefault="003E78EE" w:rsidP="00CE5095">
      <w:r>
        <w:t>The Hampton–</w:t>
      </w:r>
      <w:r w:rsidR="00040ADA" w:rsidRPr="002544D7">
        <w:t>Alexander Review</w:t>
      </w:r>
    </w:p>
    <w:p w14:paraId="10884F92" w14:textId="2A5362B5" w:rsidR="00040ADA" w:rsidRPr="002544D7" w:rsidRDefault="00040ADA" w:rsidP="00CE5095">
      <w:r w:rsidRPr="002544D7">
        <w:t xml:space="preserve">To further </w:t>
      </w:r>
      <w:r w:rsidR="003E78EE">
        <w:t>‘pontificate’</w:t>
      </w:r>
      <w:r w:rsidR="00DE2B40" w:rsidRPr="002544D7">
        <w:t xml:space="preserve"> the work </w:t>
      </w:r>
      <w:r w:rsidRPr="002544D7">
        <w:t>done by</w:t>
      </w:r>
      <w:r w:rsidR="00766C39" w:rsidRPr="002544D7">
        <w:t xml:space="preserve"> the Davies Review and Higgs R</w:t>
      </w:r>
      <w:r w:rsidR="00DE2B40" w:rsidRPr="002544D7">
        <w:t xml:space="preserve">eview, the </w:t>
      </w:r>
      <w:r w:rsidRPr="002544D7">
        <w:t xml:space="preserve">UK government appointed Sir Philip Hampton and </w:t>
      </w:r>
      <w:r w:rsidR="003E78EE">
        <w:t xml:space="preserve">the </w:t>
      </w:r>
      <w:r w:rsidRPr="002544D7">
        <w:t>late Dame Helen Alexander in 2016 to chair an independent review into women on company boards and leadership positions below the board. T</w:t>
      </w:r>
      <w:r w:rsidR="003E78EE">
        <w:t>his review became known as the ‘Hampton-Alexander Review’</w:t>
      </w:r>
      <w:r w:rsidRPr="002544D7">
        <w:t>.</w:t>
      </w:r>
      <w:r w:rsidRPr="002544D7">
        <w:rPr>
          <w:rStyle w:val="FootnoteReference"/>
          <w:rFonts w:ascii="Corbel" w:hAnsi="Corbel"/>
          <w:sz w:val="24"/>
          <w:szCs w:val="24"/>
        </w:rPr>
        <w:footnoteReference w:id="47"/>
      </w:r>
      <w:r w:rsidR="00DE2B40" w:rsidRPr="002544D7">
        <w:t xml:space="preserve"> </w:t>
      </w:r>
      <w:r w:rsidRPr="002544D7">
        <w:t>The main aim of the review was</w:t>
      </w:r>
      <w:r w:rsidR="007B030B">
        <w:t xml:space="preserve"> to ensure that talented women i</w:t>
      </w:r>
      <w:r w:rsidRPr="002544D7">
        <w:t>n UK FTSE listed companies’ top management were recognised and p</w:t>
      </w:r>
      <w:r w:rsidR="003E78EE">
        <w:t>romoted to top board positions.</w:t>
      </w:r>
      <w:r w:rsidRPr="002544D7">
        <w:t xml:space="preserve"> The review also sought to increase female representation on FTSE boards, especially, women in senior executive positions</w:t>
      </w:r>
      <w:r w:rsidR="003E78EE">
        <w:t>;</w:t>
      </w:r>
      <w:r w:rsidRPr="002544D7">
        <w:t xml:space="preserve"> </w:t>
      </w:r>
      <w:r w:rsidR="00DE2B40" w:rsidRPr="002544D7">
        <w:t>and</w:t>
      </w:r>
      <w:r w:rsidR="003E78EE">
        <w:t>,</w:t>
      </w:r>
      <w:r w:rsidR="00DE2B40" w:rsidRPr="002544D7">
        <w:t xml:space="preserve"> recommended </w:t>
      </w:r>
      <w:r w:rsidRPr="002544D7">
        <w:t xml:space="preserve">that FTSE 100 companies aim </w:t>
      </w:r>
      <w:r w:rsidR="00DE2B40" w:rsidRPr="002544D7">
        <w:t xml:space="preserve">to </w:t>
      </w:r>
      <w:proofErr w:type="gramStart"/>
      <w:r w:rsidR="00DE2B40" w:rsidRPr="002544D7">
        <w:t xml:space="preserve">achieve </w:t>
      </w:r>
      <w:r w:rsidRPr="002544D7">
        <w:t xml:space="preserve"> a</w:t>
      </w:r>
      <w:proofErr w:type="gramEnd"/>
      <w:r w:rsidRPr="002544D7">
        <w:t xml:space="preserve"> third of all important senior leadership roles below the boards occupied by women by year 2020.</w:t>
      </w:r>
      <w:r w:rsidRPr="002544D7">
        <w:rPr>
          <w:rStyle w:val="FootnoteReference"/>
          <w:rFonts w:ascii="Corbel" w:hAnsi="Corbel"/>
          <w:sz w:val="24"/>
          <w:szCs w:val="24"/>
        </w:rPr>
        <w:footnoteReference w:id="48"/>
      </w:r>
      <w:r w:rsidRPr="002544D7">
        <w:t xml:space="preserve">  </w:t>
      </w:r>
      <w:r w:rsidR="00DE2B40" w:rsidRPr="002544D7">
        <w:t xml:space="preserve"> </w:t>
      </w:r>
    </w:p>
    <w:p w14:paraId="11BF8FD3" w14:textId="77777777" w:rsidR="00F02D58" w:rsidRPr="00B31E36" w:rsidRDefault="00040ADA" w:rsidP="00CE5095">
      <w:r w:rsidRPr="002544D7">
        <w:t>The focus was to ensure that more women were appointed to the roles of chair, executive director and senior executive director.</w:t>
      </w:r>
      <w:r w:rsidRPr="002544D7">
        <w:rPr>
          <w:rStyle w:val="FootnoteReference"/>
          <w:rFonts w:ascii="Corbel" w:hAnsi="Corbel"/>
          <w:sz w:val="24"/>
          <w:szCs w:val="24"/>
        </w:rPr>
        <w:footnoteReference w:id="49"/>
      </w:r>
      <w:r w:rsidRPr="002544D7">
        <w:t xml:space="preserve"> All chief executive officers of FTSE 350 companies were tasked to take initiatives to improve the under-representation of women on layers below the </w:t>
      </w:r>
      <w:proofErr w:type="gramStart"/>
      <w:r w:rsidRPr="002544D7">
        <w:t xml:space="preserve">boards </w:t>
      </w:r>
      <w:r w:rsidR="00F02D58" w:rsidRPr="002544D7">
        <w:t>which</w:t>
      </w:r>
      <w:proofErr w:type="gramEnd"/>
      <w:r w:rsidR="00F02D58" w:rsidRPr="002544D7">
        <w:t xml:space="preserve"> </w:t>
      </w:r>
      <w:r w:rsidR="00F02D58" w:rsidRPr="002544D7">
        <w:lastRenderedPageBreak/>
        <w:t xml:space="preserve">directly report to </w:t>
      </w:r>
      <w:r w:rsidRPr="002544D7">
        <w:t>the executive committee.</w:t>
      </w:r>
      <w:r w:rsidRPr="002544D7">
        <w:rPr>
          <w:rStyle w:val="FootnoteReference"/>
          <w:rFonts w:ascii="Corbel" w:hAnsi="Corbel"/>
          <w:sz w:val="24"/>
          <w:szCs w:val="24"/>
        </w:rPr>
        <w:footnoteReference w:id="50"/>
      </w:r>
      <w:r w:rsidRPr="002544D7">
        <w:t xml:space="preserve"> In addit</w:t>
      </w:r>
      <w:r w:rsidRPr="00B31E36">
        <w:t xml:space="preserve">ion, FTSE 350 companies were tasked to voluntarily publish details of the number of women on their executive </w:t>
      </w:r>
      <w:proofErr w:type="gramStart"/>
      <w:r w:rsidRPr="00B31E36">
        <w:t>committees  and</w:t>
      </w:r>
      <w:proofErr w:type="gramEnd"/>
      <w:r w:rsidRPr="00B31E36">
        <w:t xml:space="preserve"> those that report directly to the executive committees on </w:t>
      </w:r>
      <w:r w:rsidR="003D5DF9" w:rsidRPr="00B31E36">
        <w:t xml:space="preserve">an </w:t>
      </w:r>
      <w:r w:rsidRPr="00B31E36">
        <w:t>annual basis to improve transparency.</w:t>
      </w:r>
      <w:r w:rsidRPr="00B31E36">
        <w:rPr>
          <w:rStyle w:val="FootnoteReference"/>
          <w:rFonts w:ascii="Corbel" w:hAnsi="Corbel"/>
          <w:sz w:val="24"/>
          <w:szCs w:val="24"/>
        </w:rPr>
        <w:footnoteReference w:id="51"/>
      </w:r>
      <w:r w:rsidRPr="00B31E36">
        <w:t xml:space="preserve"> </w:t>
      </w:r>
    </w:p>
    <w:p w14:paraId="58614292" w14:textId="0FAA4256" w:rsidR="00040ADA" w:rsidRPr="00B31E36" w:rsidRDefault="00040ADA" w:rsidP="00CE5095">
      <w:r w:rsidRPr="00B31E36">
        <w:t>This would ensure that institutional investors have a clear process in place for evaluating disclosures and progress as a policy on gender balance.</w:t>
      </w:r>
      <w:r w:rsidRPr="00B31E36">
        <w:rPr>
          <w:rStyle w:val="FootnoteReference"/>
          <w:rFonts w:ascii="Corbel" w:hAnsi="Corbel"/>
          <w:sz w:val="24"/>
          <w:szCs w:val="24"/>
        </w:rPr>
        <w:footnoteReference w:id="52"/>
      </w:r>
    </w:p>
    <w:p w14:paraId="2643AD2A" w14:textId="402BD705" w:rsidR="00040ADA" w:rsidRPr="002544D7" w:rsidRDefault="00040ADA" w:rsidP="00CE5095">
      <w:r w:rsidRPr="00B31E36">
        <w:t>The review also recommended that executive search firms increase the support to FTSE 350 companies by ensuring that they consider extending the volunta</w:t>
      </w:r>
      <w:r w:rsidR="00F02D58" w:rsidRPr="00B31E36">
        <w:t xml:space="preserve">ry code of conduct </w:t>
      </w:r>
      <w:r w:rsidRPr="002544D7">
        <w:t>to</w:t>
      </w:r>
      <w:r w:rsidR="00F02D58" w:rsidRPr="002544D7">
        <w:t xml:space="preserve"> an</w:t>
      </w:r>
      <w:r w:rsidRPr="002544D7">
        <w:t xml:space="preserve"> enhanced code of conduct to include executive committees and those that report direct</w:t>
      </w:r>
      <w:r w:rsidR="007B030B">
        <w:t>ly</w:t>
      </w:r>
      <w:r w:rsidRPr="002544D7">
        <w:t xml:space="preserve"> to executive committees.</w:t>
      </w:r>
      <w:r w:rsidRPr="002544D7">
        <w:rPr>
          <w:rStyle w:val="FootnoteReference"/>
          <w:rFonts w:ascii="Corbel" w:hAnsi="Corbel"/>
          <w:sz w:val="24"/>
          <w:szCs w:val="24"/>
        </w:rPr>
        <w:footnoteReference w:id="53"/>
      </w:r>
    </w:p>
    <w:p w14:paraId="0D56DABC" w14:textId="05A09892" w:rsidR="00040ADA" w:rsidRPr="002544D7" w:rsidRDefault="00040ADA" w:rsidP="00CE5095">
      <w:r w:rsidRPr="002544D7">
        <w:t>However, in its 3</w:t>
      </w:r>
      <w:r w:rsidRPr="002544D7">
        <w:rPr>
          <w:vertAlign w:val="superscript"/>
        </w:rPr>
        <w:t>rd</w:t>
      </w:r>
      <w:r w:rsidRPr="002544D7">
        <w:t xml:space="preserve"> annual review</w:t>
      </w:r>
      <w:r w:rsidR="00766C39" w:rsidRPr="002544D7">
        <w:t>,</w:t>
      </w:r>
      <w:r w:rsidRPr="002544D7">
        <w:t xml:space="preserve"> in November 2018,</w:t>
      </w:r>
      <w:r w:rsidRPr="002544D7">
        <w:rPr>
          <w:rStyle w:val="FootnoteReference"/>
          <w:rFonts w:ascii="Corbel" w:hAnsi="Corbel"/>
          <w:sz w:val="24"/>
          <w:szCs w:val="24"/>
        </w:rPr>
        <w:footnoteReference w:id="54"/>
      </w:r>
      <w:r w:rsidR="00766C39" w:rsidRPr="002544D7">
        <w:t xml:space="preserve"> the report </w:t>
      </w:r>
      <w:r w:rsidRPr="002544D7">
        <w:t>acknowledged that although there had been significant achievements in terms of increased female representation on boards, the intended target</w:t>
      </w:r>
      <w:r w:rsidR="00766C39" w:rsidRPr="002544D7">
        <w:t>s</w:t>
      </w:r>
      <w:r w:rsidRPr="002544D7">
        <w:t xml:space="preserve"> were yet to be reached. The number of women on FTSE 100 boards had exceeded 30 percent for the first time since 2016 but </w:t>
      </w:r>
      <w:r w:rsidR="00D36F86" w:rsidRPr="002544D7">
        <w:t xml:space="preserve">was </w:t>
      </w:r>
      <w:r w:rsidRPr="002544D7">
        <w:t>short of the 33 percent target.</w:t>
      </w:r>
      <w:r w:rsidRPr="002544D7">
        <w:rPr>
          <w:rStyle w:val="FootnoteReference"/>
          <w:rFonts w:ascii="Corbel" w:hAnsi="Corbel"/>
          <w:sz w:val="24"/>
          <w:szCs w:val="24"/>
        </w:rPr>
        <w:footnoteReference w:id="55"/>
      </w:r>
      <w:r w:rsidRPr="002544D7">
        <w:t xml:space="preserve"> Women on FTSE 100 executive committees were recorded at only 21 percent. The review reported a notable decline </w:t>
      </w:r>
      <w:r w:rsidRPr="002544D7">
        <w:lastRenderedPageBreak/>
        <w:t xml:space="preserve">in </w:t>
      </w:r>
      <w:proofErr w:type="gramStart"/>
      <w:r w:rsidR="00D36F86" w:rsidRPr="002544D7">
        <w:t>the  appointment</w:t>
      </w:r>
      <w:proofErr w:type="gramEnd"/>
      <w:r w:rsidR="00D36F86" w:rsidRPr="002544D7">
        <w:t xml:space="preserve"> of </w:t>
      </w:r>
      <w:r w:rsidRPr="002544D7">
        <w:t xml:space="preserve">women to chair roles and CEO roles. Despite an </w:t>
      </w:r>
      <w:proofErr w:type="gramStart"/>
      <w:r w:rsidRPr="002544D7">
        <w:t>ever increasing</w:t>
      </w:r>
      <w:proofErr w:type="gramEnd"/>
      <w:r w:rsidRPr="002544D7">
        <w:t xml:space="preserve"> pool of talent</w:t>
      </w:r>
      <w:r w:rsidR="00766C39" w:rsidRPr="002544D7">
        <w:t>ed</w:t>
      </w:r>
      <w:r w:rsidRPr="002544D7">
        <w:t xml:space="preserve"> women with substantial board experience, only 22 female chairs and 12 </w:t>
      </w:r>
      <w:r w:rsidR="00D36F86" w:rsidRPr="002544D7">
        <w:t>female CEO</w:t>
      </w:r>
      <w:r w:rsidRPr="002544D7">
        <w:t xml:space="preserve"> roles were recorded in FTSE 350 companies.</w:t>
      </w:r>
      <w:r w:rsidRPr="002544D7">
        <w:rPr>
          <w:rStyle w:val="FootnoteReference"/>
          <w:rFonts w:ascii="Corbel" w:hAnsi="Corbel"/>
          <w:sz w:val="24"/>
          <w:szCs w:val="24"/>
        </w:rPr>
        <w:footnoteReference w:id="56"/>
      </w:r>
    </w:p>
    <w:p w14:paraId="581213CB" w14:textId="1840CCAA" w:rsidR="00AB64CC" w:rsidRPr="002544D7" w:rsidRDefault="00040ADA" w:rsidP="00CE5095">
      <w:r w:rsidRPr="002544D7">
        <w:t>In addition, the review reported that board homogeneity was still a concern as there were still 74 FTSE 350 companies that were male dominated with only 1 woman o</w:t>
      </w:r>
      <w:r w:rsidR="00766C39" w:rsidRPr="002544D7">
        <w:t>n the</w:t>
      </w:r>
      <w:r w:rsidRPr="002544D7">
        <w:t xml:space="preserve"> board and 5 FTSE 350 </w:t>
      </w:r>
      <w:r w:rsidR="00D36F86" w:rsidRPr="002544D7">
        <w:t xml:space="preserve">with </w:t>
      </w:r>
      <w:r w:rsidRPr="002544D7">
        <w:t xml:space="preserve">all male boards. Therefore, even if FTSE 350 companies were able to add one female director on their boards by </w:t>
      </w:r>
      <w:r w:rsidR="00D36F86" w:rsidRPr="002544D7">
        <w:t xml:space="preserve">the </w:t>
      </w:r>
      <w:r w:rsidRPr="002544D7">
        <w:t xml:space="preserve">end of 2019, this would push FTSE 350 companies to achieving only 33 percent </w:t>
      </w:r>
      <w:r w:rsidR="00D36F86" w:rsidRPr="002544D7">
        <w:t>and thus fall</w:t>
      </w:r>
      <w:r w:rsidRPr="002544D7">
        <w:t xml:space="preserve"> short of the 40 percent target by 2020.</w:t>
      </w:r>
    </w:p>
    <w:p w14:paraId="05F150EB" w14:textId="5FA3807D" w:rsidR="00A57279" w:rsidRPr="00B31E36" w:rsidRDefault="00A57279" w:rsidP="00CE5095">
      <w:r w:rsidRPr="002544D7">
        <w:t>In its latest report released in November 2019, the Hampton – Alexander Review 2019</w:t>
      </w:r>
      <w:r w:rsidRPr="002544D7">
        <w:rPr>
          <w:rStyle w:val="FootnoteReference"/>
          <w:rFonts w:ascii="Corbel" w:hAnsi="Corbel"/>
          <w:sz w:val="24"/>
          <w:szCs w:val="24"/>
        </w:rPr>
        <w:footnoteReference w:id="57"/>
      </w:r>
      <w:r w:rsidRPr="002544D7">
        <w:t xml:space="preserve"> reported that FTSE 350 companies have not made significant improvement in the appointment of women on their executive committees to achieve the recommended 33 percent target by 2020. According to this report, around 65 percent of executive committee appointments within FTSE 100 companies went to men</w:t>
      </w:r>
      <w:r w:rsidR="007B030B">
        <w:t>,</w:t>
      </w:r>
      <w:r w:rsidRPr="002544D7">
        <w:t xml:space="preserve"> while 73 percent was recorded for FTSE 250 companies.</w:t>
      </w:r>
      <w:r w:rsidRPr="002544D7">
        <w:rPr>
          <w:rStyle w:val="FootnoteReference"/>
          <w:rFonts w:ascii="Corbel" w:hAnsi="Corbel"/>
          <w:sz w:val="24"/>
          <w:szCs w:val="24"/>
        </w:rPr>
        <w:footnoteReference w:id="58"/>
      </w:r>
      <w:r w:rsidRPr="002544D7">
        <w:t xml:space="preserve">  In addition, 44 executive committees of FTSE 350 companies are still occupied by men. Overall, 175 companies are well short of the 33 percent target.</w:t>
      </w:r>
      <w:r w:rsidRPr="002544D7">
        <w:rPr>
          <w:rStyle w:val="FootnoteReference"/>
          <w:rFonts w:ascii="Corbel" w:hAnsi="Corbel"/>
          <w:sz w:val="24"/>
          <w:szCs w:val="24"/>
        </w:rPr>
        <w:footnoteReference w:id="59"/>
      </w:r>
    </w:p>
    <w:p w14:paraId="154ADA63" w14:textId="5FEA7E1D" w:rsidR="000E4C49" w:rsidRPr="00B31E36" w:rsidRDefault="007B030B" w:rsidP="007B030B">
      <w:pPr>
        <w:pStyle w:val="Heading2"/>
        <w:rPr>
          <w:sz w:val="24"/>
          <w:szCs w:val="24"/>
        </w:rPr>
      </w:pPr>
      <w:r>
        <w:t>Gender d</w:t>
      </w:r>
      <w:r w:rsidR="00596749" w:rsidRPr="00B31E36">
        <w:t>iversity</w:t>
      </w:r>
      <w:r>
        <w:t xml:space="preserve"> – policy and procedural s</w:t>
      </w:r>
      <w:r w:rsidR="000B63B7" w:rsidRPr="00B31E36">
        <w:t>tagnation</w:t>
      </w:r>
    </w:p>
    <w:p w14:paraId="73A8B9F0" w14:textId="0F596C8D" w:rsidR="00596749" w:rsidRPr="00B31E36" w:rsidRDefault="0088601E" w:rsidP="007B030B">
      <w:pPr>
        <w:pStyle w:val="Heading3"/>
      </w:pPr>
      <w:r>
        <w:lastRenderedPageBreak/>
        <w:t>Why the proposed d</w:t>
      </w:r>
      <w:r w:rsidR="00596749" w:rsidRPr="00B31E36">
        <w:t>irective</w:t>
      </w:r>
      <w:r>
        <w:t xml:space="preserve"> has</w:t>
      </w:r>
      <w:r w:rsidR="00585740">
        <w:t xml:space="preserve"> </w:t>
      </w:r>
      <w:r w:rsidR="000E4C49" w:rsidRPr="00B31E36">
        <w:t>Stalled</w:t>
      </w:r>
    </w:p>
    <w:p w14:paraId="2AF23250" w14:textId="2B1B067C" w:rsidR="000E4C49" w:rsidRPr="00B31E36" w:rsidRDefault="000E4C49" w:rsidP="00CE5095">
      <w:r w:rsidRPr="00B31E36">
        <w:t xml:space="preserve">Although the subject of gender diversity on corporate boards has been on the EU’s agenda for </w:t>
      </w:r>
      <w:r w:rsidR="0079392E" w:rsidRPr="00B31E36">
        <w:t>years</w:t>
      </w:r>
      <w:r w:rsidRPr="00B31E36">
        <w:t>, the proposed Directive remains o</w:t>
      </w:r>
      <w:r w:rsidR="000B5CC7" w:rsidRPr="00B31E36">
        <w:t>n the discussion table. Member S</w:t>
      </w:r>
      <w:r w:rsidRPr="00B31E36">
        <w:t>tates across the EU have yet to find consensus on the binding nature of the Directive and its implementation. Some of the factors that are inhibiting the adoption of the proposed Directive are analysed below.</w:t>
      </w:r>
    </w:p>
    <w:p w14:paraId="2880DFEF" w14:textId="152FEBC2" w:rsidR="000E4C49" w:rsidRPr="00B31E36" w:rsidRDefault="000E4C49" w:rsidP="0088601E">
      <w:pPr>
        <w:pStyle w:val="Heading4"/>
      </w:pPr>
      <w:r w:rsidRPr="00B31E36">
        <w:t>The p</w:t>
      </w:r>
      <w:r w:rsidR="0088601E">
        <w:t>rinciple of s</w:t>
      </w:r>
      <w:r w:rsidRPr="00B31E36">
        <w:t>ubsidiarity</w:t>
      </w:r>
    </w:p>
    <w:p w14:paraId="731BA87E" w14:textId="46056894" w:rsidR="000E4C49" w:rsidRPr="002544D7" w:rsidRDefault="000E4C49" w:rsidP="00CE5095">
      <w:r w:rsidRPr="00B31E36">
        <w:t xml:space="preserve">The aim of the proposed Directive is clear. It aims to ensure a balanced representation of men and women on corporate boards of listed companies across the EU as a model of its commitment to gender diversity. However, some Member States do not consider the proposed Directive as the best tool for solving gender diversity concerns on corporate boards in their national jurisdictions. Some Member States do not support the idea that the proposed Directive should be adopted with binding measures at EU level as currently proposed. Some Member States prefer their national measures for </w:t>
      </w:r>
      <w:r w:rsidR="00D2193F" w:rsidRPr="002544D7">
        <w:t>advancing</w:t>
      </w:r>
      <w:r w:rsidRPr="002544D7">
        <w:t xml:space="preserve"> gender diversity imperatives on corporate boards rather than </w:t>
      </w:r>
      <w:r w:rsidR="00D2193F" w:rsidRPr="002544D7">
        <w:t xml:space="preserve">legislation </w:t>
      </w:r>
      <w:r w:rsidRPr="002544D7">
        <w:t>at EU level.</w:t>
      </w:r>
      <w:r w:rsidRPr="002544D7">
        <w:rPr>
          <w:rStyle w:val="FootnoteReference"/>
          <w:rFonts w:ascii="Corbel" w:hAnsi="Corbel"/>
          <w:sz w:val="24"/>
          <w:szCs w:val="24"/>
        </w:rPr>
        <w:footnoteReference w:id="60"/>
      </w:r>
    </w:p>
    <w:p w14:paraId="071BCD5B" w14:textId="7495FDE1" w:rsidR="000E4C49" w:rsidRPr="002544D7" w:rsidRDefault="000E4C49" w:rsidP="00CE5095">
      <w:r w:rsidRPr="002544D7">
        <w:t>For example, the UK, the Netherlands, Poland and Sweden, in their opinions to the EU Commiss</w:t>
      </w:r>
      <w:r w:rsidR="000B5CC7" w:rsidRPr="002544D7">
        <w:t>ion’s proposal for this Directive</w:t>
      </w:r>
      <w:r w:rsidRPr="002544D7">
        <w:t xml:space="preserve"> reasoned that the proposed Directive may infringe the principle of subsidiarity.</w:t>
      </w:r>
      <w:r w:rsidRPr="002544D7">
        <w:rPr>
          <w:rStyle w:val="FootnoteReference"/>
          <w:rFonts w:ascii="Corbel" w:hAnsi="Corbel"/>
          <w:sz w:val="24"/>
          <w:szCs w:val="24"/>
        </w:rPr>
        <w:footnoteReference w:id="61"/>
      </w:r>
      <w:r w:rsidR="0088601E">
        <w:t xml:space="preserve"> This</w:t>
      </w:r>
      <w:r w:rsidR="00D2193F" w:rsidRPr="002544D7">
        <w:t xml:space="preserve"> principle provides </w:t>
      </w:r>
      <w:r w:rsidR="0020367C" w:rsidRPr="002544D7">
        <w:t>that</w:t>
      </w:r>
      <w:r w:rsidR="00D2193F" w:rsidRPr="002544D7">
        <w:t xml:space="preserve"> the EU </w:t>
      </w:r>
      <w:r w:rsidR="0020367C" w:rsidRPr="002544D7">
        <w:t>can</w:t>
      </w:r>
      <w:r w:rsidR="00D2193F" w:rsidRPr="002544D7">
        <w:t xml:space="preserve">not take actions </w:t>
      </w:r>
      <w:r w:rsidR="0020367C" w:rsidRPr="002544D7">
        <w:t>or interfere</w:t>
      </w:r>
      <w:r w:rsidR="00D2193F" w:rsidRPr="002544D7">
        <w:t xml:space="preserve"> with</w:t>
      </w:r>
      <w:r w:rsidR="0020367C" w:rsidRPr="002544D7">
        <w:t xml:space="preserve"> Member States’ implementation of EU law measures or policies</w:t>
      </w:r>
      <w:r w:rsidR="00D2193F" w:rsidRPr="002544D7">
        <w:t xml:space="preserve"> </w:t>
      </w:r>
      <w:r w:rsidR="0020367C" w:rsidRPr="002544D7">
        <w:t>unless such action or interference</w:t>
      </w:r>
      <w:r w:rsidR="00D2193F" w:rsidRPr="002544D7">
        <w:t>, if taken</w:t>
      </w:r>
      <w:r w:rsidR="00892570" w:rsidRPr="002544D7">
        <w:t>,</w:t>
      </w:r>
      <w:r w:rsidR="00D2193F" w:rsidRPr="002544D7">
        <w:t xml:space="preserve"> </w:t>
      </w:r>
      <w:r w:rsidR="0020367C" w:rsidRPr="002544D7">
        <w:t xml:space="preserve">is </w:t>
      </w:r>
      <w:r w:rsidR="00D2193F" w:rsidRPr="002544D7">
        <w:lastRenderedPageBreak/>
        <w:t xml:space="preserve">more effective than </w:t>
      </w:r>
      <w:r w:rsidR="0020367C" w:rsidRPr="002544D7">
        <w:t>that taken by the Member State</w:t>
      </w:r>
      <w:r w:rsidR="0088601E">
        <w:t>s</w:t>
      </w:r>
      <w:r w:rsidR="0020367C" w:rsidRPr="002544D7">
        <w:t xml:space="preserve"> at national or </w:t>
      </w:r>
      <w:r w:rsidR="00D2193F" w:rsidRPr="002544D7">
        <w:t>local level.</w:t>
      </w:r>
      <w:r w:rsidR="00D2193F" w:rsidRPr="002544D7">
        <w:rPr>
          <w:rStyle w:val="FootnoteReference"/>
          <w:rFonts w:ascii="Corbel" w:hAnsi="Corbel"/>
          <w:sz w:val="24"/>
          <w:szCs w:val="24"/>
        </w:rPr>
        <w:footnoteReference w:id="62"/>
      </w:r>
      <w:r w:rsidR="00D2193F" w:rsidRPr="002544D7">
        <w:t xml:space="preserve"> This is to ensure that actions taken at EU level are justifiable in light of those available at national or local level.</w:t>
      </w:r>
      <w:r w:rsidRPr="002544D7">
        <w:t xml:space="preserve"> The UK has on several occasions been in favour of a self-regulatory approach as the best way to mandating FTSE listed companies to disclose </w:t>
      </w:r>
      <w:r w:rsidR="0088601E">
        <w:t xml:space="preserve">the </w:t>
      </w:r>
      <w:r w:rsidRPr="002544D7">
        <w:t>gender composition on their boards.</w:t>
      </w:r>
      <w:r w:rsidRPr="002544D7">
        <w:rPr>
          <w:rStyle w:val="FootnoteReference"/>
          <w:rFonts w:ascii="Corbel" w:hAnsi="Corbel"/>
          <w:sz w:val="24"/>
          <w:szCs w:val="24"/>
        </w:rPr>
        <w:footnoteReference w:id="63"/>
      </w:r>
    </w:p>
    <w:p w14:paraId="50A1DEF8" w14:textId="3BC7A5E8" w:rsidR="000E4C49" w:rsidRPr="002544D7" w:rsidRDefault="000E4C49" w:rsidP="00CE5095">
      <w:r w:rsidRPr="002544D7">
        <w:t>It is envisaged that through the principle of subsidiarity, Member States would be able to devise and implement measures at nation</w:t>
      </w:r>
      <w:r w:rsidR="000248E2" w:rsidRPr="002544D7">
        <w:t>al level to deal with the issue</w:t>
      </w:r>
      <w:r w:rsidRPr="002544D7">
        <w:t xml:space="preserve"> of gender balance on corporate boards rather than being bound by the 40 percent target proposed in the Directive. For example, France, Italy and Germany have recently adopted measures at national level for imposing mandatory quotas to be attained by </w:t>
      </w:r>
      <w:r w:rsidR="00927F86" w:rsidRPr="002544D7">
        <w:t>publicly</w:t>
      </w:r>
      <w:r w:rsidRPr="002544D7">
        <w:t xml:space="preserve"> </w:t>
      </w:r>
      <w:r w:rsidR="00927F86" w:rsidRPr="002544D7">
        <w:t xml:space="preserve">listed companies </w:t>
      </w:r>
      <w:r w:rsidRPr="002544D7">
        <w:t>with corresponding sanctions.</w:t>
      </w:r>
      <w:r w:rsidRPr="002544D7">
        <w:rPr>
          <w:rStyle w:val="FootnoteReference"/>
          <w:rFonts w:ascii="Corbel" w:hAnsi="Corbel"/>
          <w:sz w:val="24"/>
          <w:szCs w:val="24"/>
        </w:rPr>
        <w:footnoteReference w:id="64"/>
      </w:r>
      <w:r w:rsidRPr="002544D7">
        <w:t xml:space="preserve"> Therefore, the issue of subsidiarity is still a major concern amongst EU Member States and </w:t>
      </w:r>
      <w:r w:rsidR="00927F86" w:rsidRPr="002544D7">
        <w:t>affects their</w:t>
      </w:r>
      <w:r w:rsidRPr="002544D7">
        <w:t xml:space="preserve"> stance on the adoption of the proposed Directive.</w:t>
      </w:r>
    </w:p>
    <w:p w14:paraId="6CF3B1CC" w14:textId="77777777" w:rsidR="000E4C49" w:rsidRPr="002544D7" w:rsidRDefault="000E4C49" w:rsidP="00841DE0">
      <w:pPr>
        <w:pStyle w:val="Heading4"/>
      </w:pPr>
      <w:r w:rsidRPr="002544D7">
        <w:t>The Principle of Proportionality</w:t>
      </w:r>
    </w:p>
    <w:p w14:paraId="5BF8D9EA" w14:textId="08A95F60" w:rsidR="000E4C49" w:rsidRPr="00B31E36" w:rsidRDefault="000E4C49" w:rsidP="00CE5095">
      <w:r w:rsidRPr="002544D7">
        <w:t xml:space="preserve">Another concern within EU Member States in relation to the proposed Directive lies </w:t>
      </w:r>
      <w:r w:rsidR="00927F86" w:rsidRPr="002544D7">
        <w:t>in</w:t>
      </w:r>
      <w:r w:rsidRPr="002544D7">
        <w:t xml:space="preserve"> the principle of proportionality within the functioning framework of the EU. Th</w:t>
      </w:r>
      <w:r w:rsidR="00927F86" w:rsidRPr="002544D7">
        <w:t xml:space="preserve">e principle </w:t>
      </w:r>
      <w:r w:rsidR="00927F86" w:rsidRPr="00B31E36">
        <w:t xml:space="preserve">of proportionality </w:t>
      </w:r>
      <w:r w:rsidRPr="00B31E36">
        <w:t>states that any policy measure proposed or passed needs to be suitable or necessary to achieve its objectives without infringing other EU treaties or any rule of law already established.</w:t>
      </w:r>
      <w:r w:rsidRPr="00B31E36">
        <w:rPr>
          <w:rStyle w:val="FootnoteReference"/>
          <w:rFonts w:ascii="Corbel" w:hAnsi="Corbel"/>
          <w:sz w:val="24"/>
          <w:szCs w:val="24"/>
        </w:rPr>
        <w:footnoteReference w:id="65"/>
      </w:r>
      <w:r w:rsidRPr="00B31E36">
        <w:t xml:space="preserve"> Because the proposed Directive is recommending a mandatory quota of 40 percent on corporate boards, </w:t>
      </w:r>
      <w:r w:rsidRPr="00B31E36">
        <w:lastRenderedPageBreak/>
        <w:t xml:space="preserve">compliance with, or implementation of this recommendation may infringe shareholders’ or companies’ rights and interests already established by the rule of law in respective </w:t>
      </w:r>
      <w:r w:rsidR="000B5CC7" w:rsidRPr="00B31E36">
        <w:t>Member S</w:t>
      </w:r>
      <w:r w:rsidRPr="00B31E36">
        <w:t xml:space="preserve">tates. </w:t>
      </w:r>
    </w:p>
    <w:p w14:paraId="4E5D5360" w14:textId="23873631" w:rsidR="00AA09D7" w:rsidRPr="002544D7" w:rsidRDefault="000E4C49" w:rsidP="00CE5095">
      <w:r w:rsidRPr="002544D7">
        <w:t xml:space="preserve">The proportionality principle </w:t>
      </w:r>
      <w:proofErr w:type="spellStart"/>
      <w:r w:rsidRPr="002544D7">
        <w:rPr>
          <w:i/>
        </w:rPr>
        <w:t>stricto</w:t>
      </w:r>
      <w:proofErr w:type="spellEnd"/>
      <w:r w:rsidRPr="002544D7">
        <w:rPr>
          <w:i/>
        </w:rPr>
        <w:t xml:space="preserve"> </w:t>
      </w:r>
      <w:proofErr w:type="spellStart"/>
      <w:r w:rsidRPr="002544D7">
        <w:rPr>
          <w:i/>
        </w:rPr>
        <w:t>sensu</w:t>
      </w:r>
      <w:proofErr w:type="spellEnd"/>
      <w:r w:rsidRPr="002544D7">
        <w:rPr>
          <w:rStyle w:val="FootnoteReference"/>
          <w:rFonts w:ascii="Corbel" w:hAnsi="Corbel"/>
          <w:sz w:val="24"/>
          <w:szCs w:val="24"/>
        </w:rPr>
        <w:footnoteReference w:id="66"/>
      </w:r>
      <w:r w:rsidR="000B5CC7" w:rsidRPr="002544D7">
        <w:t xml:space="preserve"> </w:t>
      </w:r>
      <w:r w:rsidR="00927F86" w:rsidRPr="002544D7">
        <w:t xml:space="preserve">applicable under EU law requires assessment of burdens </w:t>
      </w:r>
      <w:r w:rsidRPr="002544D7">
        <w:t>that may impact individual or stakeholder interests in the furtherance of the policy measures</w:t>
      </w:r>
      <w:r w:rsidRPr="00B31E36">
        <w:t xml:space="preserve">. The concern might be that, trying to implement the 40 percent quota on corporate boards of EU listed companies might adversely impact the </w:t>
      </w:r>
      <w:r w:rsidR="00AA09D7" w:rsidRPr="00B31E36">
        <w:t>functioning or</w:t>
      </w:r>
      <w:r w:rsidRPr="00B31E36">
        <w:t xml:space="preserve"> running of these companies, yet one of the objectives of the proposed Directive is t</w:t>
      </w:r>
      <w:r w:rsidR="003E191D" w:rsidRPr="00B31E36">
        <w:t>o improve corporate governance.</w:t>
      </w:r>
      <w:r w:rsidRPr="00B31E36">
        <w:t xml:space="preserve"> </w:t>
      </w:r>
      <w:r w:rsidR="003E191D" w:rsidRPr="00B31E36">
        <w:t>From this perspective</w:t>
      </w:r>
      <w:r w:rsidR="00AA09D7" w:rsidRPr="00B31E36">
        <w:t xml:space="preserve">, the </w:t>
      </w:r>
      <w:r w:rsidRPr="00B31E36">
        <w:t>proportionality test would require weighing up of competing stakeholder interests (including the companies’</w:t>
      </w:r>
      <w:r w:rsidR="00841DE0">
        <w:t xml:space="preserve"> interests</w:t>
      </w:r>
      <w:r w:rsidRPr="00B31E36">
        <w:t xml:space="preserve">) against those </w:t>
      </w:r>
      <w:r w:rsidR="00AA09D7" w:rsidRPr="002544D7">
        <w:t xml:space="preserve">that </w:t>
      </w:r>
      <w:r w:rsidRPr="002544D7">
        <w:t>the proposed Directive</w:t>
      </w:r>
      <w:r w:rsidR="00AA09D7" w:rsidRPr="002544D7">
        <w:t xml:space="preserve"> is trying to achieve</w:t>
      </w:r>
      <w:r w:rsidRPr="002544D7">
        <w:t>. If the proposed Directive presents excessive burdens to the parties disproportionate to those of the proposed Directive, it may be challenged.</w:t>
      </w:r>
      <w:r w:rsidRPr="002544D7">
        <w:rPr>
          <w:rStyle w:val="FootnoteReference"/>
          <w:rFonts w:ascii="Corbel" w:hAnsi="Corbel"/>
          <w:sz w:val="24"/>
          <w:szCs w:val="24"/>
        </w:rPr>
        <w:footnoteReference w:id="67"/>
      </w:r>
    </w:p>
    <w:p w14:paraId="71FF0A6D" w14:textId="1A1C650D" w:rsidR="000E4C49" w:rsidRPr="002544D7" w:rsidRDefault="00E632FD" w:rsidP="00841DE0">
      <w:pPr>
        <w:pStyle w:val="Heading4"/>
      </w:pPr>
      <w:r w:rsidRPr="002544D7">
        <w:t>Corporate Theory Debates</w:t>
      </w:r>
    </w:p>
    <w:p w14:paraId="603FF39A" w14:textId="39C22C2D" w:rsidR="000E4C49" w:rsidRPr="00B31E36" w:rsidRDefault="000E4C49" w:rsidP="00CE5095">
      <w:r w:rsidRPr="002544D7">
        <w:t>Corporate t</w:t>
      </w:r>
      <w:r w:rsidR="00DC11D8" w:rsidRPr="002544D7">
        <w:t xml:space="preserve">heory dictates that one of the </w:t>
      </w:r>
      <w:r w:rsidRPr="002544D7">
        <w:t>key factors that drive a company’s substratum</w:t>
      </w:r>
      <w:r w:rsidRPr="002544D7">
        <w:rPr>
          <w:rStyle w:val="FootnoteReference"/>
          <w:rFonts w:ascii="Corbel" w:hAnsi="Corbel"/>
          <w:sz w:val="24"/>
          <w:szCs w:val="24"/>
        </w:rPr>
        <w:footnoteReference w:id="68"/>
      </w:r>
      <w:r w:rsidRPr="002544D7">
        <w:t xml:space="preserve"> is the ability to operate successfully, make profits and </w:t>
      </w:r>
      <w:r w:rsidR="00DC11D8" w:rsidRPr="002544D7">
        <w:t xml:space="preserve">produce </w:t>
      </w:r>
      <w:r w:rsidRPr="002544D7">
        <w:t>a positive return to shareholders.</w:t>
      </w:r>
      <w:r w:rsidRPr="002544D7">
        <w:rPr>
          <w:rStyle w:val="FootnoteReference"/>
          <w:rFonts w:ascii="Corbel" w:hAnsi="Corbel"/>
          <w:sz w:val="24"/>
          <w:szCs w:val="24"/>
        </w:rPr>
        <w:footnoteReference w:id="69"/>
      </w:r>
      <w:r w:rsidRPr="002544D7">
        <w:t xml:space="preserve"> This is </w:t>
      </w:r>
      <w:r w:rsidRPr="002544D7">
        <w:lastRenderedPageBreak/>
        <w:t xml:space="preserve">arguably the main concern to the corporate board rather than its composition or whether, or not, there is a degree of diversity on its board. </w:t>
      </w:r>
      <w:r w:rsidR="00841DE0">
        <w:t>A company is seen as ‘nexus of contracts’</w:t>
      </w:r>
      <w:r w:rsidRPr="00B31E36">
        <w:t xml:space="preserve"> amongst shareholders and extant stakeholders such as suppliers, employees, the state, et cetera.</w:t>
      </w:r>
      <w:bookmarkStart w:id="12" w:name="_Ref26782792"/>
      <w:r w:rsidRPr="00B31E36">
        <w:rPr>
          <w:rStyle w:val="FootnoteReference"/>
          <w:rFonts w:ascii="Corbel" w:hAnsi="Corbel"/>
          <w:sz w:val="24"/>
          <w:szCs w:val="24"/>
        </w:rPr>
        <w:footnoteReference w:id="70"/>
      </w:r>
      <w:bookmarkEnd w:id="12"/>
      <w:r w:rsidRPr="00B31E36">
        <w:t xml:space="preserve"> This is the contractual theory of </w:t>
      </w:r>
      <w:proofErr w:type="gramStart"/>
      <w:r w:rsidRPr="00B31E36">
        <w:t>corporation which is premised</w:t>
      </w:r>
      <w:proofErr w:type="gramEnd"/>
      <w:r w:rsidRPr="00B31E36">
        <w:t xml:space="preserve"> on the notion that a corporation is founded on private contractual undertakings between stakeholders.</w:t>
      </w:r>
      <w:r w:rsidRPr="00B31E36">
        <w:rPr>
          <w:rStyle w:val="FootnoteReference"/>
          <w:rFonts w:ascii="Corbel" w:hAnsi="Corbel"/>
          <w:sz w:val="24"/>
          <w:szCs w:val="24"/>
        </w:rPr>
        <w:footnoteReference w:id="71"/>
      </w:r>
      <w:r w:rsidRPr="00B31E36">
        <w:t xml:space="preserve"> </w:t>
      </w:r>
    </w:p>
    <w:p w14:paraId="10714C77" w14:textId="191123D9" w:rsidR="000E4C49" w:rsidRPr="002544D7" w:rsidRDefault="000E4C49" w:rsidP="00CE5095">
      <w:r w:rsidRPr="00B31E36">
        <w:t>From this perspective, the role of the state is limited as a company has its own constitution that dictates and directs the company’s object clause or substratu</w:t>
      </w:r>
      <w:r w:rsidR="00E632FD" w:rsidRPr="00B31E36">
        <w:t>m, board composition and how</w:t>
      </w:r>
      <w:r w:rsidRPr="00B31E36">
        <w:t xml:space="preserve"> internal and external disputes are handled. Moreover, freedom of contract culture dictates that parties to the contract must be allowed to structure and manage their </w:t>
      </w:r>
      <w:proofErr w:type="gramStart"/>
      <w:r w:rsidRPr="00B31E36">
        <w:t>relationships</w:t>
      </w:r>
      <w:proofErr w:type="gramEnd"/>
      <w:r w:rsidRPr="00B31E36">
        <w:t xml:space="preserve"> as they desire.</w:t>
      </w:r>
      <w:r w:rsidRPr="00B31E36">
        <w:rPr>
          <w:rStyle w:val="FootnoteReference"/>
          <w:rFonts w:ascii="Corbel" w:hAnsi="Corbel"/>
          <w:sz w:val="24"/>
          <w:szCs w:val="24"/>
        </w:rPr>
        <w:footnoteReference w:id="72"/>
      </w:r>
      <w:r w:rsidRPr="00B31E36">
        <w:t xml:space="preserve"> The state may retain supervisory and regulatory powers, and </w:t>
      </w:r>
      <w:r w:rsidR="00DC11D8" w:rsidRPr="002544D7">
        <w:t xml:space="preserve">the </w:t>
      </w:r>
      <w:r w:rsidRPr="002544D7">
        <w:t xml:space="preserve">ability </w:t>
      </w:r>
      <w:r w:rsidRPr="00B31E36">
        <w:t>to intervene where necessary as it grants corporations licences to operate. However, corporate d</w:t>
      </w:r>
      <w:r w:rsidR="00DC11D8" w:rsidRPr="00B31E36">
        <w:t xml:space="preserve">ecision-making on who to </w:t>
      </w:r>
      <w:r w:rsidR="00DC11D8" w:rsidRPr="002544D7">
        <w:t>employ and</w:t>
      </w:r>
      <w:r w:rsidRPr="002544D7">
        <w:t xml:space="preserve"> how and where to invest remains a choice of the corporation.</w:t>
      </w:r>
      <w:r w:rsidRPr="002544D7">
        <w:rPr>
          <w:rStyle w:val="FootnoteReference"/>
          <w:rFonts w:ascii="Corbel" w:hAnsi="Corbel"/>
          <w:sz w:val="24"/>
          <w:szCs w:val="24"/>
        </w:rPr>
        <w:footnoteReference w:id="73"/>
      </w:r>
    </w:p>
    <w:p w14:paraId="34561C24" w14:textId="33CE8BFD" w:rsidR="00DC11D8" w:rsidRPr="002544D7" w:rsidRDefault="000E4C49" w:rsidP="00CE5095">
      <w:r w:rsidRPr="002544D7">
        <w:t xml:space="preserve">Therefore, when a state passes legislation, directive or regulation that interferes with the company’s corporate structure such as the composition of the board, this could be seen as interfering with </w:t>
      </w:r>
      <w:r w:rsidR="00DC11D8" w:rsidRPr="002544D7">
        <w:t xml:space="preserve">a </w:t>
      </w:r>
      <w:r w:rsidRPr="002544D7">
        <w:t>company’s freedom of con</w:t>
      </w:r>
      <w:r w:rsidR="00841DE0">
        <w:t>tract as the company as a whole</w:t>
      </w:r>
      <w:r w:rsidRPr="002544D7">
        <w:t xml:space="preserve"> is best suited to decide on who to appoint to the board based on qualification, experience and essential skill set.</w:t>
      </w:r>
    </w:p>
    <w:p w14:paraId="40911924" w14:textId="1A5119C3" w:rsidR="000E4C49" w:rsidRPr="002544D7" w:rsidRDefault="000E4C49" w:rsidP="00841DE0">
      <w:pPr>
        <w:pStyle w:val="Heading4"/>
      </w:pPr>
      <w:r w:rsidRPr="002544D7">
        <w:t>Positive Discrimination or Affirmative Action?</w:t>
      </w:r>
    </w:p>
    <w:p w14:paraId="197E4B9A" w14:textId="35231F0D" w:rsidR="000E4C49" w:rsidRPr="002544D7" w:rsidRDefault="000E4C49" w:rsidP="00CE5095">
      <w:r w:rsidRPr="002544D7">
        <w:lastRenderedPageBreak/>
        <w:t xml:space="preserve">Gender diversity is a societal concern within the EU and any </w:t>
      </w:r>
      <w:proofErr w:type="gramStart"/>
      <w:r w:rsidRPr="002544D7">
        <w:t xml:space="preserve">endeavours to </w:t>
      </w:r>
      <w:r w:rsidR="00DC11D8" w:rsidRPr="002544D7">
        <w:t>address</w:t>
      </w:r>
      <w:r w:rsidRPr="002544D7">
        <w:t xml:space="preserve"> this concern is</w:t>
      </w:r>
      <w:proofErr w:type="gramEnd"/>
      <w:r w:rsidRPr="002544D7">
        <w:t xml:space="preserve"> highly welcome. However, the proposed Directive ought to ensure that it </w:t>
      </w:r>
      <w:r w:rsidRPr="00B31E36">
        <w:t>coheres to and respects established fundam</w:t>
      </w:r>
      <w:r w:rsidR="00E632FD" w:rsidRPr="00B31E36">
        <w:t xml:space="preserve">ental rights within the EU. </w:t>
      </w:r>
      <w:proofErr w:type="gramStart"/>
      <w:r w:rsidRPr="00B31E36">
        <w:t>Member States that have to implement the proposed Directive upon adoption</w:t>
      </w:r>
      <w:r w:rsidR="00E632FD" w:rsidRPr="00B31E36">
        <w:t>,</w:t>
      </w:r>
      <w:r w:rsidRPr="00B31E36">
        <w:t xml:space="preserve"> are also bound by other EU and national legislative obligations, such as rights established under </w:t>
      </w:r>
      <w:r w:rsidR="00E632FD" w:rsidRPr="00B31E36">
        <w:t xml:space="preserve">the CFR of the EU under article </w:t>
      </w:r>
      <w:r w:rsidRPr="00B31E36">
        <w:t>51</w:t>
      </w:r>
      <w:proofErr w:type="gramEnd"/>
      <w:r w:rsidRPr="00B31E36">
        <w:t>.</w:t>
      </w:r>
      <w:r w:rsidRPr="00B31E36">
        <w:rPr>
          <w:rStyle w:val="FootnoteReference"/>
          <w:rFonts w:ascii="Corbel" w:hAnsi="Corbel"/>
          <w:sz w:val="24"/>
          <w:szCs w:val="24"/>
        </w:rPr>
        <w:footnoteReference w:id="74"/>
      </w:r>
      <w:r w:rsidRPr="00B31E36">
        <w:t xml:space="preserve"> Article 51 (1) requires institutions and bodies of th</w:t>
      </w:r>
      <w:r w:rsidR="00DC11D8" w:rsidRPr="00B31E36">
        <w:t xml:space="preserve">e EU and Member States to give </w:t>
      </w:r>
      <w:r w:rsidRPr="00B31E36">
        <w:t>due regard to the principle of subsidiarity</w:t>
      </w:r>
      <w:r w:rsidR="00DC11D8" w:rsidRPr="00B31E36">
        <w:rPr>
          <w:color w:val="FF0000"/>
        </w:rPr>
        <w:t xml:space="preserve"> </w:t>
      </w:r>
      <w:r w:rsidR="00DC11D8" w:rsidRPr="002544D7">
        <w:t>and</w:t>
      </w:r>
      <w:r w:rsidRPr="002544D7">
        <w:t xml:space="preserve"> to observe and respect rights and principles while implementing EU law. </w:t>
      </w:r>
    </w:p>
    <w:p w14:paraId="1D271E67" w14:textId="461A92E6" w:rsidR="000E4C49" w:rsidRPr="00B31E36" w:rsidRDefault="000E4C49" w:rsidP="00CE5095">
      <w:r w:rsidRPr="002544D7">
        <w:t>There are concerns of potential infringement of the rights such as freedom to conduct a business</w:t>
      </w:r>
      <w:r w:rsidRPr="002544D7">
        <w:rPr>
          <w:rStyle w:val="FootnoteReference"/>
          <w:rFonts w:ascii="Corbel" w:hAnsi="Corbel"/>
          <w:sz w:val="24"/>
          <w:szCs w:val="24"/>
        </w:rPr>
        <w:footnoteReference w:id="75"/>
      </w:r>
      <w:r w:rsidRPr="002544D7">
        <w:t xml:space="preserve"> and the right</w:t>
      </w:r>
      <w:r w:rsidR="00AD3355">
        <w:t xml:space="preserve"> to</w:t>
      </w:r>
      <w:r w:rsidRPr="002544D7">
        <w:t xml:space="preserve"> property</w:t>
      </w:r>
      <w:r w:rsidRPr="002544D7">
        <w:rPr>
          <w:rStyle w:val="FootnoteReference"/>
          <w:rFonts w:ascii="Corbel" w:hAnsi="Corbel"/>
          <w:sz w:val="24"/>
          <w:szCs w:val="24"/>
        </w:rPr>
        <w:footnoteReference w:id="76"/>
      </w:r>
      <w:proofErr w:type="gramStart"/>
      <w:r w:rsidRPr="002544D7">
        <w:t xml:space="preserve"> which</w:t>
      </w:r>
      <w:proofErr w:type="gramEnd"/>
      <w:r w:rsidRPr="002544D7">
        <w:t xml:space="preserve"> have been recognised and upheld by the EU legal system and </w:t>
      </w:r>
      <w:r w:rsidR="00DC11D8" w:rsidRPr="002544D7">
        <w:t>courts</w:t>
      </w:r>
      <w:r w:rsidRPr="002544D7">
        <w:t>.</w:t>
      </w:r>
      <w:r w:rsidRPr="002544D7">
        <w:rPr>
          <w:rStyle w:val="FootnoteReference"/>
          <w:rFonts w:ascii="Corbel" w:hAnsi="Corbel"/>
          <w:sz w:val="24"/>
          <w:szCs w:val="24"/>
        </w:rPr>
        <w:footnoteReference w:id="77"/>
      </w:r>
      <w:r w:rsidRPr="002544D7">
        <w:t xml:space="preserve"> The legal obligation requiring listed companies within the EU to give priority to a candidate of the under-represented sex, although equally qualified, during selection and recruitment of non-executive directors on their board</w:t>
      </w:r>
      <w:r w:rsidR="00C0695C" w:rsidRPr="002544D7">
        <w:t>s</w:t>
      </w:r>
      <w:r w:rsidRPr="002544D7">
        <w:t xml:space="preserve"> may be seen as an interference with the rights of the male candidate who is not selected and </w:t>
      </w:r>
      <w:r w:rsidR="00DC11D8" w:rsidRPr="002544D7">
        <w:t xml:space="preserve">with the rights of </w:t>
      </w:r>
      <w:r w:rsidRPr="00B31E36">
        <w:t>the employer company itself. This may be seen as some form of positive discrimination.</w:t>
      </w:r>
    </w:p>
    <w:p w14:paraId="00C60587" w14:textId="40D816CB" w:rsidR="00BD461A" w:rsidRPr="00B31E36" w:rsidRDefault="00C0695C" w:rsidP="00CE5095">
      <w:r w:rsidRPr="00B31E36">
        <w:t>Although the EU may support positive discrimination in the form of positive action, a</w:t>
      </w:r>
      <w:r w:rsidR="000E4C49" w:rsidRPr="00B31E36">
        <w:t xml:space="preserve"> male candidate who is not selected in favour of a female candidate has a right not to be discriminated against on the ground of gender guaranteed under the </w:t>
      </w:r>
      <w:r w:rsidR="00E632FD" w:rsidRPr="00B31E36">
        <w:t>CFR of the EU.</w:t>
      </w:r>
      <w:r w:rsidR="000E4C49" w:rsidRPr="00B31E36">
        <w:rPr>
          <w:rStyle w:val="FootnoteReference"/>
          <w:rFonts w:ascii="Corbel" w:hAnsi="Corbel"/>
          <w:sz w:val="24"/>
          <w:szCs w:val="24"/>
        </w:rPr>
        <w:footnoteReference w:id="78"/>
      </w:r>
      <w:r w:rsidR="000E4C49" w:rsidRPr="00B31E36">
        <w:t xml:space="preserve"> Therefore, to justify this potential form of </w:t>
      </w:r>
      <w:r w:rsidR="000E4C49" w:rsidRPr="00B31E36">
        <w:lastRenderedPageBreak/>
        <w:t xml:space="preserve">positive discrimination, Member States and their listed companies have to ensure that priority given to a candidate of the under-represented sex is based on a legitimate objective </w:t>
      </w:r>
      <w:r w:rsidR="000E4C49" w:rsidRPr="002544D7">
        <w:t xml:space="preserve">and </w:t>
      </w:r>
      <w:r w:rsidR="00DC11D8" w:rsidRPr="002544D7">
        <w:t>is</w:t>
      </w:r>
      <w:r w:rsidR="000E4C49" w:rsidRPr="002544D7">
        <w:t xml:space="preserve"> proportionate</w:t>
      </w:r>
      <w:r w:rsidR="000E4C49" w:rsidRPr="00B31E36">
        <w:t>.</w:t>
      </w:r>
      <w:r w:rsidR="000E4C49" w:rsidRPr="00B31E36">
        <w:rPr>
          <w:rStyle w:val="FootnoteReference"/>
          <w:rFonts w:ascii="Corbel" w:hAnsi="Corbel"/>
          <w:sz w:val="24"/>
          <w:szCs w:val="24"/>
        </w:rPr>
        <w:footnoteReference w:id="79"/>
      </w:r>
      <w:r w:rsidR="000E4C49" w:rsidRPr="00B31E36">
        <w:t xml:space="preserve"> Although the proposed Directive recommends that pr</w:t>
      </w:r>
      <w:r w:rsidR="00AD3355">
        <w:t>iority should only be given to ‘equally qualified’</w:t>
      </w:r>
      <w:r w:rsidR="000E4C49" w:rsidRPr="00B31E36">
        <w:t xml:space="preserve"> female candidates, this recommendation is indispensable for the balancing of competing </w:t>
      </w:r>
      <w:proofErr w:type="gramStart"/>
      <w:r w:rsidR="000E4C49" w:rsidRPr="00B31E36">
        <w:t>objectives</w:t>
      </w:r>
      <w:r w:rsidR="00AD3355">
        <w:t>,</w:t>
      </w:r>
      <w:proofErr w:type="gramEnd"/>
      <w:r w:rsidR="00AD3355">
        <w:t xml:space="preserve"> otherwise</w:t>
      </w:r>
      <w:r w:rsidR="000E4C49" w:rsidRPr="00B31E36">
        <w:t xml:space="preserve"> it may be deemed a form of positive discrimination. </w:t>
      </w:r>
    </w:p>
    <w:p w14:paraId="47CEB0AF" w14:textId="65C463C0" w:rsidR="00BD461A" w:rsidRPr="00B31E36" w:rsidRDefault="00AD3355" w:rsidP="00AD3355">
      <w:pPr>
        <w:pStyle w:val="Heading3"/>
      </w:pPr>
      <w:r>
        <w:t>Implementation m</w:t>
      </w:r>
      <w:r w:rsidR="000B63B7" w:rsidRPr="00B31E36">
        <w:t>ethodology</w:t>
      </w:r>
    </w:p>
    <w:p w14:paraId="5F5CFC98" w14:textId="5F761B22" w:rsidR="00BD461A" w:rsidRPr="00B31E36" w:rsidRDefault="00AD3355" w:rsidP="00AD3355">
      <w:pPr>
        <w:pStyle w:val="Heading4"/>
      </w:pPr>
      <w:r>
        <w:t>Voluntary i</w:t>
      </w:r>
      <w:r w:rsidR="00BD461A" w:rsidRPr="00B31E36">
        <w:t>nstitutionalism</w:t>
      </w:r>
      <w:r>
        <w:t xml:space="preserve"> – ‘comply or explain’ m</w:t>
      </w:r>
      <w:r w:rsidR="00977815" w:rsidRPr="00B31E36">
        <w:t>odel</w:t>
      </w:r>
    </w:p>
    <w:p w14:paraId="0D53426A" w14:textId="77777777" w:rsidR="00977815" w:rsidRPr="00B31E36" w:rsidRDefault="00BD461A" w:rsidP="00CE5095">
      <w:r w:rsidRPr="00B31E36">
        <w:t xml:space="preserve">The UK and the EU have </w:t>
      </w:r>
      <w:r w:rsidR="000B63B7" w:rsidRPr="00B31E36">
        <w:t xml:space="preserve">both </w:t>
      </w:r>
      <w:r w:rsidRPr="00B31E36">
        <w:t xml:space="preserve">taken various initiatives to improve gender diversity on corporate boards of listed companies. However, it may be argued that the approaches through which these initiatives have been implemented across </w:t>
      </w:r>
      <w:r w:rsidR="000B63B7" w:rsidRPr="00B31E36">
        <w:t>both jurisdictions</w:t>
      </w:r>
      <w:r w:rsidRPr="00B31E36">
        <w:t xml:space="preserve"> may not have been rigorous enough to achieve the intended outcomes. Both the UK and the EU employ a voluntary approach to enfor</w:t>
      </w:r>
      <w:r w:rsidR="000B63B7" w:rsidRPr="00B31E36">
        <w:t xml:space="preserve">cing policy and legislative compliance by </w:t>
      </w:r>
      <w:r w:rsidR="00977815" w:rsidRPr="00B31E36">
        <w:t>institutions.</w:t>
      </w:r>
    </w:p>
    <w:p w14:paraId="4E27A543" w14:textId="34608637" w:rsidR="00BD461A" w:rsidRPr="00B31E36" w:rsidRDefault="00977815" w:rsidP="00CE5095">
      <w:r w:rsidRPr="00B31E36">
        <w:t>This volun</w:t>
      </w:r>
      <w:r w:rsidR="00AD3355">
        <w:t>tary approach can be seen as a ‘comply or explain’</w:t>
      </w:r>
      <w:r w:rsidRPr="00B31E36">
        <w:t xml:space="preserve"> approach without the coercive element of regulatory enforcement. This approach may be persuasive but not compelling to institutions or companies to adopt reco</w:t>
      </w:r>
      <w:r w:rsidR="00621C4C" w:rsidRPr="00B31E36">
        <w:t xml:space="preserve">mmended initiatives. Therefore, </w:t>
      </w:r>
      <w:r w:rsidRPr="00B31E36">
        <w:t>when</w:t>
      </w:r>
      <w:r w:rsidR="00621C4C" w:rsidRPr="00B31E36">
        <w:t xml:space="preserve">ever recommended initiatives or </w:t>
      </w:r>
      <w:r w:rsidRPr="00B31E36">
        <w:t>targets are n</w:t>
      </w:r>
      <w:r w:rsidR="00621C4C" w:rsidRPr="00B31E36">
        <w:t xml:space="preserve">ot met, these institutions </w:t>
      </w:r>
      <w:proofErr w:type="gramStart"/>
      <w:r w:rsidR="00621C4C" w:rsidRPr="00B31E36">
        <w:t xml:space="preserve">are  </w:t>
      </w:r>
      <w:r w:rsidRPr="00B31E36">
        <w:t>afforded</w:t>
      </w:r>
      <w:proofErr w:type="gramEnd"/>
      <w:r w:rsidRPr="00B31E36">
        <w:t xml:space="preserve"> opportunities to explain their inabilities to </w:t>
      </w:r>
      <w:r w:rsidRPr="002544D7">
        <w:t xml:space="preserve">achieve </w:t>
      </w:r>
      <w:r w:rsidR="00621C4C" w:rsidRPr="002544D7">
        <w:t xml:space="preserve">the </w:t>
      </w:r>
      <w:r w:rsidRPr="002544D7">
        <w:t>recommended targets. They are then given more opportunities to try</w:t>
      </w:r>
      <w:r w:rsidR="00621C4C" w:rsidRPr="002544D7">
        <w:t xml:space="preserve"> again</w:t>
      </w:r>
      <w:r w:rsidRPr="002544D7">
        <w:t xml:space="preserve">. The concern is </w:t>
      </w:r>
      <w:r w:rsidRPr="00B31E36">
        <w:t xml:space="preserve">that without the coercive element of the law, a company or an institution may fail to comply with recommended initiatives and this may lead to procedural paralysis in the state’s intended </w:t>
      </w:r>
      <w:proofErr w:type="gramStart"/>
      <w:r w:rsidRPr="00B31E36">
        <w:t>policies which</w:t>
      </w:r>
      <w:proofErr w:type="gramEnd"/>
      <w:r w:rsidRPr="00B31E36">
        <w:t xml:space="preserve"> renders the soft-law voluntary approach a weaker approach. </w:t>
      </w:r>
    </w:p>
    <w:p w14:paraId="61FBE37D" w14:textId="2431050F" w:rsidR="00BD461A" w:rsidRPr="00B31E36" w:rsidRDefault="00977815" w:rsidP="00CE5095">
      <w:r w:rsidRPr="00B31E36">
        <w:lastRenderedPageBreak/>
        <w:t>T</w:t>
      </w:r>
      <w:r w:rsidR="00BD461A" w:rsidRPr="00B31E36">
        <w:t xml:space="preserve">he UK’s recommendatory approach to achieving gender diversity on corporate boards is based on the soft-law </w:t>
      </w:r>
      <w:r w:rsidRPr="00B31E36">
        <w:t xml:space="preserve">voluntary </w:t>
      </w:r>
      <w:r w:rsidR="00BD461A" w:rsidRPr="00B31E36">
        <w:t>approach.</w:t>
      </w:r>
      <w:bookmarkStart w:id="13" w:name="_Ref26785997"/>
      <w:r w:rsidR="00BD461A" w:rsidRPr="00B31E36">
        <w:rPr>
          <w:rStyle w:val="FootnoteReference"/>
          <w:rFonts w:ascii="Corbel" w:hAnsi="Corbel"/>
          <w:sz w:val="24"/>
          <w:szCs w:val="24"/>
        </w:rPr>
        <w:footnoteReference w:id="80"/>
      </w:r>
      <w:bookmarkEnd w:id="13"/>
      <w:r w:rsidRPr="00B31E36">
        <w:t xml:space="preserve"> This </w:t>
      </w:r>
      <w:r w:rsidR="00BD461A" w:rsidRPr="00B31E36">
        <w:t>approach is premised on institutionalism based on the institution theory</w:t>
      </w:r>
      <w:r w:rsidR="00BD461A" w:rsidRPr="00B31E36">
        <w:rPr>
          <w:rStyle w:val="FootnoteReference"/>
          <w:rFonts w:ascii="Corbel" w:hAnsi="Corbel"/>
          <w:sz w:val="24"/>
          <w:szCs w:val="24"/>
        </w:rPr>
        <w:footnoteReference w:id="81"/>
      </w:r>
      <w:r w:rsidR="00BD461A" w:rsidRPr="00B31E36">
        <w:t xml:space="preserve"> were initiatives are set as authoritative guidelines by the state to be adopted by institutions or organisations over a period of time.</w:t>
      </w:r>
      <w:r w:rsidR="00BD461A" w:rsidRPr="00B31E36">
        <w:rPr>
          <w:rStyle w:val="FootnoteReference"/>
          <w:rFonts w:ascii="Corbel" w:hAnsi="Corbel"/>
          <w:sz w:val="24"/>
          <w:szCs w:val="24"/>
        </w:rPr>
        <w:footnoteReference w:id="82"/>
      </w:r>
      <w:r w:rsidR="00BD461A" w:rsidRPr="00B31E36">
        <w:t xml:space="preserve"> These initiatives </w:t>
      </w:r>
      <w:proofErr w:type="gramStart"/>
      <w:r w:rsidR="00BD461A" w:rsidRPr="00B31E36">
        <w:t>are either</w:t>
      </w:r>
      <w:proofErr w:type="gramEnd"/>
      <w:r w:rsidR="00BD461A" w:rsidRPr="00B31E36">
        <w:t xml:space="preserve"> normative, coercive or voluntary and can be adopted by institutions or organisations and evolve with other institutional practices</w:t>
      </w:r>
      <w:r w:rsidR="00AD3355">
        <w:t>,</w:t>
      </w:r>
      <w:r w:rsidR="00BD461A" w:rsidRPr="00B31E36">
        <w:t xml:space="preserve"> eventually getting institutionalised.</w:t>
      </w:r>
      <w:bookmarkStart w:id="14" w:name="_Ref26784453"/>
      <w:r w:rsidR="00BD461A" w:rsidRPr="00B31E36">
        <w:rPr>
          <w:rStyle w:val="FootnoteReference"/>
          <w:rFonts w:ascii="Corbel" w:hAnsi="Corbel"/>
          <w:sz w:val="24"/>
          <w:szCs w:val="24"/>
        </w:rPr>
        <w:footnoteReference w:id="83"/>
      </w:r>
      <w:bookmarkEnd w:id="14"/>
    </w:p>
    <w:p w14:paraId="2F904AD2" w14:textId="0DB887B9" w:rsidR="00825B10" w:rsidRPr="00B31E36" w:rsidRDefault="00C03252" w:rsidP="00CE5095">
      <w:r w:rsidRPr="00B31E36">
        <w:t>For example, in the UK, Lord</w:t>
      </w:r>
      <w:r w:rsidR="00BD461A" w:rsidRPr="00B31E36">
        <w:t xml:space="preserve"> Davies</w:t>
      </w:r>
      <w:r w:rsidR="004B3FE9" w:rsidRPr="00B31E36">
        <w:t>’</w:t>
      </w:r>
      <w:r w:rsidR="00BD461A" w:rsidRPr="00B31E36">
        <w:t xml:space="preserve"> </w:t>
      </w:r>
      <w:r w:rsidR="00AD3355">
        <w:t>first</w:t>
      </w:r>
      <w:r w:rsidRPr="00B31E36">
        <w:t xml:space="preserve"> </w:t>
      </w:r>
      <w:r w:rsidR="00AD3355">
        <w:t>r</w:t>
      </w:r>
      <w:r w:rsidR="00BD461A" w:rsidRPr="00B31E36">
        <w:t>eport recommended that FTSE 100 listed companies voluntaril</w:t>
      </w:r>
      <w:r w:rsidR="00AD3355">
        <w:t>y aim to achieve 25 percent</w:t>
      </w:r>
      <w:r w:rsidR="00BD461A" w:rsidRPr="00B31E36">
        <w:t xml:space="preserve"> female directors on their boards by 2015.</w:t>
      </w:r>
      <w:r w:rsidR="00BD461A" w:rsidRPr="00B31E36">
        <w:rPr>
          <w:rStyle w:val="FootnoteReference"/>
          <w:rFonts w:ascii="Corbel" w:hAnsi="Corbel"/>
          <w:sz w:val="24"/>
          <w:szCs w:val="24"/>
        </w:rPr>
        <w:footnoteReference w:id="84"/>
      </w:r>
      <w:r w:rsidR="00BD461A" w:rsidRPr="00B31E36">
        <w:t xml:space="preserve"> </w:t>
      </w:r>
      <w:proofErr w:type="gramStart"/>
      <w:r w:rsidR="00BD461A" w:rsidRPr="00B31E36">
        <w:t>This recommendation was swiftly adopted by FTSE 100 companies</w:t>
      </w:r>
      <w:proofErr w:type="gramEnd"/>
      <w:r w:rsidR="00BD461A" w:rsidRPr="00B31E36">
        <w:t xml:space="preserve"> and the target was met. However, in its 3</w:t>
      </w:r>
      <w:r w:rsidR="00BD461A" w:rsidRPr="00B31E36">
        <w:rPr>
          <w:vertAlign w:val="superscript"/>
        </w:rPr>
        <w:t>rd</w:t>
      </w:r>
      <w:r w:rsidR="00BD461A" w:rsidRPr="00B31E36">
        <w:t xml:space="preserve"> annual review in 2014, the Davies Review recommended that FTSE 350 companies voluntarily achieve a target of 40 percent female directors on their boards by 2020. </w:t>
      </w:r>
      <w:proofErr w:type="gramStart"/>
      <w:r w:rsidR="00BD461A" w:rsidRPr="00B31E36">
        <w:t>This recommendation was not favourably adopted by the FTSE 350 companies</w:t>
      </w:r>
      <w:proofErr w:type="gramEnd"/>
      <w:r w:rsidR="00BD461A" w:rsidRPr="00B31E36">
        <w:t xml:space="preserve"> as</w:t>
      </w:r>
      <w:r w:rsidR="00621C4C" w:rsidRPr="00B31E36">
        <w:t>,</w:t>
      </w:r>
      <w:r w:rsidR="00BD461A" w:rsidRPr="00B31E36">
        <w:t xml:space="preserve"> by 2016, the corporate world witnessed the </w:t>
      </w:r>
      <w:r w:rsidR="00BD461A" w:rsidRPr="00B31E36">
        <w:lastRenderedPageBreak/>
        <w:t>lowest appointment rate of female directors on corporate boards since 2011.</w:t>
      </w:r>
      <w:r w:rsidR="00BD461A" w:rsidRPr="00B31E36">
        <w:rPr>
          <w:rStyle w:val="FootnoteReference"/>
          <w:rFonts w:ascii="Corbel" w:hAnsi="Corbel"/>
          <w:sz w:val="24"/>
          <w:szCs w:val="24"/>
        </w:rPr>
        <w:footnoteReference w:id="85"/>
      </w:r>
      <w:r w:rsidR="00BD461A" w:rsidRPr="00B31E36">
        <w:t xml:space="preserve"> Therefore, with the uncertainty </w:t>
      </w:r>
      <w:r w:rsidR="00BD461A" w:rsidRPr="002544D7">
        <w:t xml:space="preserve">within </w:t>
      </w:r>
      <w:r w:rsidR="00621C4C" w:rsidRPr="002544D7">
        <w:t>this</w:t>
      </w:r>
      <w:r w:rsidR="00BD461A" w:rsidRPr="002544D7">
        <w:t xml:space="preserve"> approach, questions are asked whether the voluntary soft-law approach employed by the UK </w:t>
      </w:r>
      <w:r w:rsidRPr="00B31E36">
        <w:t xml:space="preserve">and the EU </w:t>
      </w:r>
      <w:r w:rsidR="00BD461A" w:rsidRPr="00B31E36">
        <w:t>is the best approach to remedying gender homogeneity on corporate boards to achieve the gender balance needed.</w:t>
      </w:r>
      <w:r w:rsidR="00BD461A" w:rsidRPr="00B31E36">
        <w:rPr>
          <w:rStyle w:val="FootnoteReference"/>
          <w:rFonts w:ascii="Corbel" w:hAnsi="Corbel"/>
          <w:sz w:val="24"/>
          <w:szCs w:val="24"/>
        </w:rPr>
        <w:footnoteReference w:id="86"/>
      </w:r>
    </w:p>
    <w:p w14:paraId="70738ACE" w14:textId="005EF8DC" w:rsidR="00DC2B0B" w:rsidRPr="00B31E36" w:rsidRDefault="00C03252" w:rsidP="00AD3355">
      <w:pPr>
        <w:pStyle w:val="Heading2"/>
      </w:pPr>
      <w:r w:rsidRPr="00B31E36">
        <w:t xml:space="preserve">Conclusion - </w:t>
      </w:r>
      <w:r w:rsidR="00DC2B0B" w:rsidRPr="00B31E36">
        <w:t>Remedy</w:t>
      </w:r>
      <w:r w:rsidR="00C0695C" w:rsidRPr="00B31E36">
        <w:t>ing</w:t>
      </w:r>
      <w:r w:rsidR="00DC2B0B" w:rsidRPr="00B31E36">
        <w:t xml:space="preserve"> Gender Homogenei</w:t>
      </w:r>
      <w:r w:rsidRPr="00B31E36">
        <w:t>ty</w:t>
      </w:r>
    </w:p>
    <w:p w14:paraId="1BA0E398" w14:textId="77777777" w:rsidR="00BD461A" w:rsidRPr="00B31E36" w:rsidRDefault="00BD461A" w:rsidP="00AD3355">
      <w:pPr>
        <w:pStyle w:val="Heading3"/>
      </w:pPr>
      <w:r w:rsidRPr="00B31E36">
        <w:t>The Need for Statutory Intervention</w:t>
      </w:r>
    </w:p>
    <w:p w14:paraId="06480149" w14:textId="7F345407" w:rsidR="004A34BE" w:rsidRPr="002544D7" w:rsidRDefault="00BD461A" w:rsidP="00CE5095">
      <w:r w:rsidRPr="00B31E36">
        <w:t xml:space="preserve">The soft-law approach has led to some improvement in gender diversity </w:t>
      </w:r>
      <w:r w:rsidR="00B31E36" w:rsidRPr="002544D7">
        <w:t xml:space="preserve">on </w:t>
      </w:r>
      <w:r w:rsidR="00621C4C" w:rsidRPr="002544D7">
        <w:t xml:space="preserve">corporate boards </w:t>
      </w:r>
      <w:r w:rsidR="00C03252" w:rsidRPr="002544D7">
        <w:t>in the UK and the EU. For example, in the UK, in the years before 2015, FTSE 100 co</w:t>
      </w:r>
      <w:r w:rsidR="00621C4C" w:rsidRPr="002544D7">
        <w:t>mpanies embraced this approach</w:t>
      </w:r>
      <w:r w:rsidR="00C03252" w:rsidRPr="002544D7">
        <w:t xml:space="preserve"> by implementing </w:t>
      </w:r>
      <w:r w:rsidRPr="002544D7">
        <w:t>the recommended target of 33 percent female representation on boards. However,</w:t>
      </w:r>
      <w:r w:rsidR="00C03252" w:rsidRPr="002544D7">
        <w:t xml:space="preserve"> the soft-law voluntary approach has witnessed </w:t>
      </w:r>
      <w:r w:rsidR="004A34BE" w:rsidRPr="002544D7">
        <w:t xml:space="preserve">slow </w:t>
      </w:r>
      <w:r w:rsidRPr="002544D7">
        <w:t xml:space="preserve">progress towards the attainment of the state recommended 40 percent </w:t>
      </w:r>
      <w:r w:rsidR="004A34BE" w:rsidRPr="002544D7">
        <w:t>f</w:t>
      </w:r>
      <w:r w:rsidR="00825B10" w:rsidRPr="002544D7">
        <w:t xml:space="preserve">emale representation on boards </w:t>
      </w:r>
      <w:r w:rsidR="004A34BE" w:rsidRPr="002544D7">
        <w:t xml:space="preserve">of FTSE 350 companies </w:t>
      </w:r>
      <w:r w:rsidRPr="002544D7">
        <w:t>to be achieved by 2020.</w:t>
      </w:r>
      <w:r w:rsidRPr="002544D7">
        <w:rPr>
          <w:rStyle w:val="FootnoteReference"/>
          <w:rFonts w:ascii="Corbel" w:hAnsi="Corbel"/>
          <w:sz w:val="24"/>
          <w:szCs w:val="24"/>
        </w:rPr>
        <w:footnoteReference w:id="87"/>
      </w:r>
      <w:r w:rsidRPr="002544D7">
        <w:t xml:space="preserve"> This slow progress has meant that viable chances of achieving the 40 percent target by 2020 are relative low. It is therefore contented that to boost corporate compliance</w:t>
      </w:r>
      <w:r w:rsidR="005D228F">
        <w:t>,</w:t>
      </w:r>
      <w:r w:rsidRPr="002544D7">
        <w:t xml:space="preserve"> the </w:t>
      </w:r>
      <w:r w:rsidR="004A34BE" w:rsidRPr="002544D7">
        <w:t xml:space="preserve">UK </w:t>
      </w:r>
      <w:r w:rsidRPr="002544D7">
        <w:t xml:space="preserve">government </w:t>
      </w:r>
      <w:r w:rsidR="004A34BE" w:rsidRPr="002544D7">
        <w:t xml:space="preserve">and the EU at large ought to review their </w:t>
      </w:r>
      <w:proofErr w:type="gramStart"/>
      <w:r w:rsidR="004A34BE" w:rsidRPr="002544D7">
        <w:t xml:space="preserve">implementation </w:t>
      </w:r>
      <w:r w:rsidRPr="002544D7">
        <w:t xml:space="preserve"> approach</w:t>
      </w:r>
      <w:r w:rsidR="004A34BE" w:rsidRPr="002544D7">
        <w:t>es</w:t>
      </w:r>
      <w:proofErr w:type="gramEnd"/>
      <w:r w:rsidR="00621C4C" w:rsidRPr="002544D7">
        <w:t xml:space="preserve"> and adopt a more regulatory or</w:t>
      </w:r>
      <w:r w:rsidRPr="002544D7">
        <w:t xml:space="preserve"> statutory approach. </w:t>
      </w:r>
    </w:p>
    <w:p w14:paraId="1365F070" w14:textId="3E52A1A5" w:rsidR="00BD461A" w:rsidRPr="002544D7" w:rsidRDefault="004D2940" w:rsidP="00CE5095">
      <w:r w:rsidRPr="002544D7">
        <w:lastRenderedPageBreak/>
        <w:t>A</w:t>
      </w:r>
      <w:r w:rsidR="00BD461A" w:rsidRPr="002544D7">
        <w:t xml:space="preserve"> country’s institutional policies and processes are interlinked and influenced by path-dependent initiatives such as statutes and regulations. As law is the most important component of governance, society and its institut</w:t>
      </w:r>
      <w:r w:rsidR="00621C4C" w:rsidRPr="002544D7">
        <w:t>ions are</w:t>
      </w:r>
      <w:r w:rsidR="005D228F">
        <w:t xml:space="preserve"> more influenced by it</w:t>
      </w:r>
      <w:r w:rsidR="00621C4C" w:rsidRPr="002544D7">
        <w:t xml:space="preserve"> </w:t>
      </w:r>
      <w:r w:rsidR="00BD461A" w:rsidRPr="002544D7">
        <w:t xml:space="preserve">than </w:t>
      </w:r>
      <w:r w:rsidR="00621C4C" w:rsidRPr="002544D7">
        <w:t xml:space="preserve">by </w:t>
      </w:r>
      <w:r w:rsidR="00BD461A" w:rsidRPr="002544D7">
        <w:t>recommendations.</w:t>
      </w:r>
      <w:r w:rsidR="00BD461A" w:rsidRPr="002544D7">
        <w:rPr>
          <w:rStyle w:val="FootnoteReference"/>
          <w:rFonts w:ascii="Corbel" w:hAnsi="Corbel"/>
          <w:sz w:val="24"/>
          <w:szCs w:val="24"/>
        </w:rPr>
        <w:footnoteReference w:id="88"/>
      </w:r>
      <w:r w:rsidR="00BD461A" w:rsidRPr="002544D7">
        <w:t xml:space="preserve"> Therefore, institutional factors that may</w:t>
      </w:r>
      <w:r w:rsidR="004A34BE" w:rsidRPr="002544D7">
        <w:t xml:space="preserve">, for example, </w:t>
      </w:r>
      <w:r w:rsidR="00BD461A" w:rsidRPr="002544D7">
        <w:t xml:space="preserve">influence gender diversity on corporate boards, such as improving the </w:t>
      </w:r>
      <w:r w:rsidR="00621C4C" w:rsidRPr="002544D7">
        <w:t xml:space="preserve">gender </w:t>
      </w:r>
      <w:r w:rsidR="00BD461A" w:rsidRPr="002544D7">
        <w:t>pay gap,</w:t>
      </w:r>
      <w:r w:rsidR="00AF234D" w:rsidRPr="002544D7">
        <w:rPr>
          <w:rStyle w:val="FootnoteReference"/>
          <w:rFonts w:ascii="Corbel" w:hAnsi="Corbel"/>
          <w:sz w:val="24"/>
          <w:szCs w:val="24"/>
        </w:rPr>
        <w:footnoteReference w:id="89"/>
      </w:r>
      <w:r w:rsidR="00BD461A" w:rsidRPr="002544D7">
        <w:t xml:space="preserve"> objective recruitment practices, et cetera, ought to be approached in a more statutory</w:t>
      </w:r>
      <w:r w:rsidR="00DF4A0C" w:rsidRPr="002544D7">
        <w:t xml:space="preserve"> and mandatory</w:t>
      </w:r>
      <w:r w:rsidR="00BD461A" w:rsidRPr="002544D7">
        <w:t xml:space="preserve"> approach </w:t>
      </w:r>
      <w:r w:rsidR="00AF234D" w:rsidRPr="002544D7">
        <w:t xml:space="preserve">rather </w:t>
      </w:r>
      <w:r w:rsidR="00BD461A" w:rsidRPr="002544D7">
        <w:t>than</w:t>
      </w:r>
      <w:r w:rsidR="00AF234D" w:rsidRPr="002544D7">
        <w:t xml:space="preserve"> being voluntary.</w:t>
      </w:r>
    </w:p>
    <w:p w14:paraId="48C5C4E4" w14:textId="4717D802" w:rsidR="00BD461A" w:rsidRPr="00B31E36" w:rsidRDefault="004D2940" w:rsidP="005D228F">
      <w:pPr>
        <w:pStyle w:val="Heading3"/>
      </w:pPr>
      <w:r w:rsidRPr="00B31E36">
        <w:t xml:space="preserve">Mandatory </w:t>
      </w:r>
      <w:r w:rsidR="00BD461A" w:rsidRPr="00B31E36">
        <w:t xml:space="preserve">Regulatory Quotas as a pathway </w:t>
      </w:r>
    </w:p>
    <w:p w14:paraId="661F2E40" w14:textId="5A613EBB" w:rsidR="00BD461A" w:rsidRPr="00B31E36" w:rsidRDefault="00BD461A" w:rsidP="00CE5095">
      <w:r w:rsidRPr="00B31E36">
        <w:t xml:space="preserve">In its </w:t>
      </w:r>
      <w:r w:rsidR="005D228F">
        <w:t>first</w:t>
      </w:r>
      <w:r w:rsidR="004D2940" w:rsidRPr="00B31E36">
        <w:t xml:space="preserve"> report, the Davies Report in 2011</w:t>
      </w:r>
      <w:r w:rsidR="004A34BE" w:rsidRPr="00B31E36">
        <w:t xml:space="preserve"> </w:t>
      </w:r>
      <w:r w:rsidRPr="00B31E36">
        <w:t>deliberated on the possibility of introducing regulatory quotas for UK listed companies to achieve within a certain timeframe as a strategy to improve gender diversity on corporate boards.</w:t>
      </w:r>
      <w:r w:rsidRPr="00B31E36">
        <w:rPr>
          <w:rStyle w:val="FootnoteReference"/>
          <w:rFonts w:ascii="Corbel" w:hAnsi="Corbel"/>
          <w:sz w:val="24"/>
          <w:szCs w:val="24"/>
        </w:rPr>
        <w:footnoteReference w:id="90"/>
      </w:r>
      <w:r w:rsidRPr="00B31E36">
        <w:t xml:space="preserve"> However, this possibility was abandoned as only 11 percent of the 2,654 professionals consulted showed interest in the subject of regulatory quotas. Lord Davies and his committee therefore concluded that the introduction of regulatory quotas was not the preferred </w:t>
      </w:r>
      <w:proofErr w:type="gramStart"/>
      <w:r w:rsidRPr="00B31E36">
        <w:t>option</w:t>
      </w:r>
      <w:proofErr w:type="gramEnd"/>
      <w:r w:rsidRPr="00B31E36">
        <w:t xml:space="preserve"> as it would lead to tokenism.</w:t>
      </w:r>
      <w:r w:rsidRPr="00B31E36">
        <w:rPr>
          <w:rStyle w:val="FootnoteReference"/>
          <w:rFonts w:ascii="Corbel" w:hAnsi="Corbel"/>
          <w:sz w:val="24"/>
          <w:szCs w:val="24"/>
        </w:rPr>
        <w:footnoteReference w:id="91"/>
      </w:r>
      <w:r w:rsidRPr="00B31E36">
        <w:t xml:space="preserve"> Other researchers on this topic are of the view that </w:t>
      </w:r>
      <w:r w:rsidRPr="00B31E36">
        <w:lastRenderedPageBreak/>
        <w:t>regulatory quotas would render women less competitive in achieving progression on merit.</w:t>
      </w:r>
      <w:r w:rsidRPr="00B31E36">
        <w:rPr>
          <w:rStyle w:val="FootnoteReference"/>
          <w:rFonts w:ascii="Corbel" w:hAnsi="Corbel"/>
          <w:sz w:val="24"/>
          <w:szCs w:val="24"/>
        </w:rPr>
        <w:footnoteReference w:id="92"/>
      </w:r>
      <w:r w:rsidR="004A34BE" w:rsidRPr="00B31E36">
        <w:t xml:space="preserve"> However, </w:t>
      </w:r>
      <w:proofErr w:type="gramStart"/>
      <w:r w:rsidR="004D2940" w:rsidRPr="00B31E36">
        <w:t>mandatory regulatory quotas is</w:t>
      </w:r>
      <w:proofErr w:type="gramEnd"/>
      <w:r w:rsidR="004D2940" w:rsidRPr="00B31E36">
        <w:t xml:space="preserve"> the preferred</w:t>
      </w:r>
      <w:r w:rsidR="004A34BE" w:rsidRPr="00B31E36">
        <w:t xml:space="preserve"> model favoured by the EU </w:t>
      </w:r>
      <w:r w:rsidR="004C7DB7" w:rsidRPr="00B31E36">
        <w:t>through the proposed Directive although with a binding effect</w:t>
      </w:r>
      <w:r w:rsidR="004A34BE" w:rsidRPr="00B31E36">
        <w:t>.</w:t>
      </w:r>
    </w:p>
    <w:p w14:paraId="553E3BC5" w14:textId="1905E4F2" w:rsidR="00BD461A" w:rsidRPr="00B31E36" w:rsidRDefault="004D2940" w:rsidP="00CE5095">
      <w:r w:rsidRPr="00B31E36">
        <w:t>I</w:t>
      </w:r>
      <w:r w:rsidR="00BD461A" w:rsidRPr="00B31E36">
        <w:t xml:space="preserve">t should be noted that the strategy of </w:t>
      </w:r>
      <w:r w:rsidRPr="00B31E36">
        <w:t xml:space="preserve">mandatory </w:t>
      </w:r>
      <w:r w:rsidR="00BD461A" w:rsidRPr="00B31E36">
        <w:t>regulatory quotas has been instrumental in achieving gender dive</w:t>
      </w:r>
      <w:r w:rsidR="004A34BE" w:rsidRPr="00B31E36">
        <w:t>rsity on corporate boards in some EU Member States.</w:t>
      </w:r>
      <w:r w:rsidR="00BD461A" w:rsidRPr="00B31E36">
        <w:t xml:space="preserve"> For example, in Norway, the government </w:t>
      </w:r>
      <w:r w:rsidR="00BD461A" w:rsidRPr="002544D7">
        <w:t xml:space="preserve">introduced </w:t>
      </w:r>
      <w:r w:rsidR="004C7DB7" w:rsidRPr="002544D7">
        <w:t xml:space="preserve">a </w:t>
      </w:r>
      <w:r w:rsidR="00BD461A" w:rsidRPr="00B31E36">
        <w:t>system of quotas in 2002 for private listed companies to achieve 40 percent female representation on their boards by 2005. While companies were struggling to achieve this target voluntarily, the government passed legislation in 2006 mandating all listed companies to comply and meet the target by 2008. Failure to do so would result in fines or closures</w:t>
      </w:r>
      <w:r w:rsidR="005D228F">
        <w:t>,</w:t>
      </w:r>
      <w:r w:rsidR="00BD461A" w:rsidRPr="00B31E36">
        <w:t xml:space="preserve"> and full compliance was attained by 2009.</w:t>
      </w:r>
      <w:r w:rsidR="00BD461A" w:rsidRPr="00B31E36">
        <w:rPr>
          <w:rStyle w:val="FootnoteReference"/>
          <w:rFonts w:ascii="Corbel" w:hAnsi="Corbel"/>
          <w:sz w:val="24"/>
          <w:szCs w:val="24"/>
        </w:rPr>
        <w:footnoteReference w:id="93"/>
      </w:r>
    </w:p>
    <w:p w14:paraId="4F87CB55" w14:textId="43B21E84" w:rsidR="009F286A" w:rsidRPr="00B31E36" w:rsidRDefault="00BD461A" w:rsidP="00CE5095">
      <w:r w:rsidRPr="00B31E36">
        <w:t xml:space="preserve">Other countries such as Spain, Finland and Iceland have all followed suit by introducing </w:t>
      </w:r>
      <w:r w:rsidR="004D2940" w:rsidRPr="00B31E36">
        <w:t xml:space="preserve">mandatory </w:t>
      </w:r>
      <w:r w:rsidRPr="00B31E36">
        <w:t>regulatory quotas. In 2010, Iceland enacted a law that required all publicly owned companies with more than 50 employees to have 40 percent representation of gender diversity on their boards by 2013.</w:t>
      </w:r>
      <w:r w:rsidRPr="00B31E36">
        <w:rPr>
          <w:rStyle w:val="FootnoteReference"/>
          <w:rFonts w:ascii="Corbel" w:hAnsi="Corbel"/>
          <w:sz w:val="24"/>
          <w:szCs w:val="24"/>
        </w:rPr>
        <w:footnoteReference w:id="94"/>
      </w:r>
      <w:r w:rsidRPr="00B31E36">
        <w:t xml:space="preserve"> The actions taken by these coun</w:t>
      </w:r>
      <w:r w:rsidR="004A34BE" w:rsidRPr="00B31E36">
        <w:t>tries and the success achieved s</w:t>
      </w:r>
      <w:r w:rsidRPr="00B31E36">
        <w:t xml:space="preserve">o far is an indication that </w:t>
      </w:r>
      <w:r w:rsidR="005D228F">
        <w:t xml:space="preserve">a </w:t>
      </w:r>
      <w:r w:rsidR="005D228F">
        <w:lastRenderedPageBreak/>
        <w:t>move away from the voluntary ‘comply or explain’ model to a ‘</w:t>
      </w:r>
      <w:r w:rsidR="004D2940" w:rsidRPr="00B31E36">
        <w:t xml:space="preserve">mandatory </w:t>
      </w:r>
      <w:r w:rsidR="005D228F">
        <w:t>regulatory quotas model’</w:t>
      </w:r>
      <w:r w:rsidRPr="00B31E36">
        <w:t xml:space="preserve"> may </w:t>
      </w:r>
      <w:r w:rsidR="004A34BE" w:rsidRPr="00B31E36">
        <w:t xml:space="preserve">remedy </w:t>
      </w:r>
      <w:r w:rsidR="004D2940" w:rsidRPr="00B31E36">
        <w:t xml:space="preserve">gender imbalance on the boards of public companies in the UK and the EU and may lead to consensus on the adoption of the proposed Directive. </w:t>
      </w:r>
    </w:p>
    <w:p w14:paraId="279062C2" w14:textId="3B7FD589" w:rsidR="009F286A" w:rsidRPr="00B31E36" w:rsidRDefault="004A34BE" w:rsidP="00CE5095">
      <w:r w:rsidRPr="00B31E36">
        <w:t xml:space="preserve">To this effect, the EU ought to consider revising the binding nature of the mandatory quotas in the proposed Direct and perhaps opt for Member States to employ their </w:t>
      </w:r>
      <w:r w:rsidR="004D2940" w:rsidRPr="00B31E36">
        <w:t xml:space="preserve">preferred measures on introducing mandatory quotas to attain </w:t>
      </w:r>
      <w:r w:rsidRPr="00B31E36">
        <w:t xml:space="preserve">the </w:t>
      </w:r>
      <w:r w:rsidR="009F286A" w:rsidRPr="00B31E36">
        <w:t xml:space="preserve">40 percent prescribed by the Directive. Member States such as Norway, Spain, Finland and Iceland have witnessed some compliance based on national </w:t>
      </w:r>
      <w:r w:rsidR="004D2940" w:rsidRPr="00B31E36">
        <w:t>mandatory measures without the binding</w:t>
      </w:r>
      <w:r w:rsidR="009F286A" w:rsidRPr="00B31E36">
        <w:t xml:space="preserve"> effect of the EU Directive.</w:t>
      </w:r>
    </w:p>
    <w:p w14:paraId="0D641AF3" w14:textId="1B79B7DC" w:rsidR="00B31E36" w:rsidRPr="002544D7" w:rsidRDefault="004D2940" w:rsidP="00CE5095">
      <w:r w:rsidRPr="00B31E36">
        <w:t xml:space="preserve">The proposed Directive does not provide for harmonisation of the laws of the Member States on selection, recruitment, and qualification </w:t>
      </w:r>
      <w:r w:rsidRPr="002544D7">
        <w:t>threshold</w:t>
      </w:r>
      <w:r w:rsidR="004C7DB7" w:rsidRPr="002544D7">
        <w:t>s</w:t>
      </w:r>
      <w:r w:rsidRPr="002544D7">
        <w:t xml:space="preserve">. </w:t>
      </w:r>
      <w:r w:rsidRPr="00B31E36">
        <w:t>It provides that measures employed by Member States to achieve the 40 pe</w:t>
      </w:r>
      <w:r w:rsidR="005D228F">
        <w:t>rcent target by 2020 should be ‘</w:t>
      </w:r>
      <w:r w:rsidRPr="00B31E36">
        <w:t>pre-established, clear, neutr</w:t>
      </w:r>
      <w:r w:rsidR="005D228F">
        <w:t>ally formulated and unambiguous’,</w:t>
      </w:r>
      <w:r w:rsidRPr="00B31E36">
        <w:rPr>
          <w:rStyle w:val="FootnoteReference"/>
          <w:rFonts w:ascii="Corbel" w:hAnsi="Corbel"/>
          <w:sz w:val="24"/>
          <w:szCs w:val="24"/>
        </w:rPr>
        <w:footnoteReference w:id="95"/>
      </w:r>
      <w:r w:rsidRPr="00B31E36">
        <w:t xml:space="preserve"> which is still a major concern to Member States. Therefore, Member States should </w:t>
      </w:r>
      <w:r w:rsidR="004C7DB7" w:rsidRPr="002544D7">
        <w:t xml:space="preserve">have mandatory measures, but they can decide for </w:t>
      </w:r>
      <w:proofErr w:type="gramStart"/>
      <w:r w:rsidR="004C7DB7" w:rsidRPr="002544D7">
        <w:t>themselves</w:t>
      </w:r>
      <w:proofErr w:type="gramEnd"/>
      <w:r w:rsidR="004C7DB7" w:rsidRPr="002544D7">
        <w:t xml:space="preserve"> what these are or what form they are going to take.</w:t>
      </w:r>
    </w:p>
    <w:p w14:paraId="69296F03" w14:textId="140F9DBE" w:rsidR="00BD461A" w:rsidRPr="00B31E36" w:rsidRDefault="004D2940" w:rsidP="005D228F">
      <w:pPr>
        <w:pStyle w:val="Heading3"/>
      </w:pPr>
      <w:r w:rsidRPr="00B31E36">
        <w:t xml:space="preserve">Mandatory </w:t>
      </w:r>
      <w:r w:rsidR="00BD461A" w:rsidRPr="00B31E36">
        <w:t>Non-financial Board Disclosures</w:t>
      </w:r>
    </w:p>
    <w:p w14:paraId="7594AB51" w14:textId="61C89440" w:rsidR="00BD461A" w:rsidRPr="00B31E36" w:rsidRDefault="00BD461A" w:rsidP="00CE5095">
      <w:r w:rsidRPr="00B31E36">
        <w:t>Another approach to improving gender diversity</w:t>
      </w:r>
      <w:r w:rsidR="00B605AA" w:rsidRPr="00B31E36">
        <w:t xml:space="preserve"> on the boards of public companies in the EU and the UK</w:t>
      </w:r>
      <w:r w:rsidRPr="00B31E36">
        <w:t xml:space="preserve"> may be in the form of periodic non-financial board disclosures. For example, </w:t>
      </w:r>
      <w:r w:rsidR="00B605AA" w:rsidRPr="00B31E36">
        <w:t xml:space="preserve">in the UK, </w:t>
      </w:r>
      <w:r w:rsidRPr="00B31E36">
        <w:t xml:space="preserve">FTSE </w:t>
      </w:r>
      <w:r w:rsidR="00B605AA" w:rsidRPr="00B31E36">
        <w:t xml:space="preserve">350 </w:t>
      </w:r>
      <w:r w:rsidRPr="00B31E36">
        <w:t xml:space="preserve">listed </w:t>
      </w:r>
      <w:proofErr w:type="gramStart"/>
      <w:r w:rsidRPr="00B31E36">
        <w:t>companies  should</w:t>
      </w:r>
      <w:proofErr w:type="gramEnd"/>
      <w:r w:rsidRPr="00B31E36">
        <w:t xml:space="preserve"> be required to submit annual no</w:t>
      </w:r>
      <w:r w:rsidR="005D228F">
        <w:t>n-financial reporting on issues</w:t>
      </w:r>
      <w:r w:rsidRPr="00B31E36">
        <w:t xml:space="preserve"> such as diversity on board composition, recruitment and selection processes and how female employees / executives have been nurtu</w:t>
      </w:r>
      <w:r w:rsidR="004C7DB7" w:rsidRPr="00B31E36">
        <w:t xml:space="preserve">red into a diverse talent pool </w:t>
      </w:r>
      <w:r w:rsidRPr="00B31E36">
        <w:t xml:space="preserve">from which senior executives and director </w:t>
      </w:r>
      <w:r w:rsidRPr="00B31E36">
        <w:lastRenderedPageBreak/>
        <w:t xml:space="preserve">positions may be </w:t>
      </w:r>
      <w:r w:rsidR="005D228F">
        <w:t>filled</w:t>
      </w:r>
      <w:r w:rsidRPr="00B31E36">
        <w:t>. This process may improve transparency in corpora</w:t>
      </w:r>
      <w:r w:rsidR="004C7DB7" w:rsidRPr="00B31E36">
        <w:t xml:space="preserve">te governance </w:t>
      </w:r>
      <w:proofErr w:type="gramStart"/>
      <w:r w:rsidRPr="00B31E36">
        <w:t>imperatives which</w:t>
      </w:r>
      <w:proofErr w:type="gramEnd"/>
      <w:r w:rsidRPr="00B31E36">
        <w:t xml:space="preserve"> also promotes openness.</w:t>
      </w:r>
      <w:r w:rsidRPr="00B31E36">
        <w:rPr>
          <w:rStyle w:val="FootnoteReference"/>
          <w:rFonts w:ascii="Corbel" w:hAnsi="Corbel"/>
          <w:sz w:val="24"/>
          <w:szCs w:val="24"/>
        </w:rPr>
        <w:footnoteReference w:id="96"/>
      </w:r>
    </w:p>
    <w:p w14:paraId="637D2B79" w14:textId="7AC14039" w:rsidR="00B605AA" w:rsidRPr="00B31E36" w:rsidRDefault="00BD461A" w:rsidP="00CE5095">
      <w:r w:rsidRPr="00B31E36">
        <w:t>It is also envisaged that adopting non-financial perio</w:t>
      </w:r>
      <w:r w:rsidR="005D228F">
        <w:t>d disclosures would remedy the ‘comply or explain’</w:t>
      </w:r>
      <w:r w:rsidRPr="00B31E36">
        <w:t xml:space="preserve"> inefficiencies by ensuring that attained progress</w:t>
      </w:r>
      <w:r w:rsidR="005D228F">
        <w:t>,</w:t>
      </w:r>
      <w:r w:rsidRPr="00B31E36">
        <w:t xml:space="preserve"> or lack of it, is openly accessible by regulatory bodies, extant stakeholders, investors, policy makers and lobbyists who would</w:t>
      </w:r>
      <w:r w:rsidR="005D228F">
        <w:t>,</w:t>
      </w:r>
      <w:r w:rsidRPr="00B31E36">
        <w:t xml:space="preserve"> in return, push for better appr</w:t>
      </w:r>
      <w:r w:rsidR="00B605AA" w:rsidRPr="00B31E36">
        <w:t>oaches to gender diversity on</w:t>
      </w:r>
      <w:r w:rsidRPr="00B31E36">
        <w:t xml:space="preserve"> corporate boards. Besides transparency and openness, non-financial periodic disclosures would improve the nomination and recruitment processes within UK</w:t>
      </w:r>
      <w:r w:rsidR="004D2940" w:rsidRPr="00B31E36">
        <w:t xml:space="preserve"> / EU</w:t>
      </w:r>
      <w:r w:rsidRPr="00B31E36">
        <w:t xml:space="preserve"> listed companies. </w:t>
      </w:r>
    </w:p>
    <w:p w14:paraId="027B2687" w14:textId="19710CF5" w:rsidR="00BD461A" w:rsidRPr="009F08E7" w:rsidRDefault="00B605AA" w:rsidP="00CE5095">
      <w:r w:rsidRPr="00B31E36">
        <w:t>In the UK,</w:t>
      </w:r>
      <w:r w:rsidR="00BD461A" w:rsidRPr="00B31E36">
        <w:t xml:space="preserve"> one of the key factors inhibiting gender heterogeneity on </w:t>
      </w:r>
      <w:r w:rsidRPr="00B31E36">
        <w:t>corpo</w:t>
      </w:r>
      <w:r w:rsidR="00BD461A" w:rsidRPr="00B31E36">
        <w:t>rate boards has been the lack of objectivity in the nomination and recruitment practices employed by UK listed companies which has in turn led to institutional discrimination against women</w:t>
      </w:r>
      <w:r w:rsidR="004D2940" w:rsidRPr="00B31E36">
        <w:t xml:space="preserve">, a position </w:t>
      </w:r>
      <w:r w:rsidR="00DF4A0C" w:rsidRPr="00B31E36">
        <w:t>t</w:t>
      </w:r>
      <w:r w:rsidR="00DF4A0C">
        <w:t xml:space="preserve">hat </w:t>
      </w:r>
      <w:r w:rsidR="004D2940" w:rsidRPr="009F08E7">
        <w:t>can be improved through openness.</w:t>
      </w:r>
      <w:r w:rsidR="00BD461A" w:rsidRPr="009F08E7">
        <w:rPr>
          <w:rStyle w:val="FootnoteReference"/>
          <w:rFonts w:ascii="Corbel" w:hAnsi="Corbel"/>
          <w:sz w:val="24"/>
          <w:szCs w:val="24"/>
        </w:rPr>
        <w:footnoteReference w:id="97"/>
      </w:r>
      <w:r w:rsidR="00BD461A" w:rsidRPr="009F08E7">
        <w:t xml:space="preserve"> </w:t>
      </w:r>
      <w:r w:rsidRPr="009F08E7">
        <w:t xml:space="preserve"> </w:t>
      </w:r>
    </w:p>
    <w:sectPr w:rsidR="00BD461A" w:rsidRPr="009F08E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C2357" w14:textId="77777777" w:rsidR="008B6C36" w:rsidRDefault="008B6C36" w:rsidP="00CE5095">
      <w:r>
        <w:separator/>
      </w:r>
    </w:p>
    <w:p w14:paraId="3C54A4B6" w14:textId="77777777" w:rsidR="008B6C36" w:rsidRDefault="008B6C36" w:rsidP="00CE5095"/>
  </w:endnote>
  <w:endnote w:type="continuationSeparator" w:id="0">
    <w:p w14:paraId="2304A568" w14:textId="77777777" w:rsidR="008B6C36" w:rsidRDefault="008B6C36" w:rsidP="00CE5095">
      <w:r>
        <w:continuationSeparator/>
      </w:r>
    </w:p>
    <w:p w14:paraId="044A3B9C" w14:textId="77777777" w:rsidR="008B6C36" w:rsidRDefault="008B6C36" w:rsidP="00CE5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rbel">
    <w:panose1 w:val="020B0503020204020204"/>
    <w:charset w:val="00"/>
    <w:family w:val="auto"/>
    <w:pitch w:val="variable"/>
    <w:sig w:usb0="A00002EF" w:usb1="4000A44B" w:usb2="00000000" w:usb3="00000000" w:csb0="000001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665782"/>
      <w:docPartObj>
        <w:docPartGallery w:val="Page Numbers (Bottom of Page)"/>
        <w:docPartUnique/>
      </w:docPartObj>
    </w:sdtPr>
    <w:sdtEndPr>
      <w:rPr>
        <w:noProof/>
      </w:rPr>
    </w:sdtEndPr>
    <w:sdtContent>
      <w:p w14:paraId="5B7A49B5" w14:textId="2CF4737A" w:rsidR="00731A19" w:rsidRDefault="00731A19" w:rsidP="00CE5095">
        <w:pPr>
          <w:pStyle w:val="Footer"/>
        </w:pPr>
        <w:r>
          <w:fldChar w:fldCharType="begin"/>
        </w:r>
        <w:r>
          <w:instrText xml:space="preserve"> PAGE   \* MERGEFORMAT </w:instrText>
        </w:r>
        <w:r>
          <w:fldChar w:fldCharType="separate"/>
        </w:r>
        <w:r w:rsidR="00563638">
          <w:rPr>
            <w:noProof/>
          </w:rPr>
          <w:t>26</w:t>
        </w:r>
        <w:r>
          <w:rPr>
            <w:noProof/>
          </w:rPr>
          <w:fldChar w:fldCharType="end"/>
        </w:r>
      </w:p>
    </w:sdtContent>
  </w:sdt>
  <w:p w14:paraId="7D6A8FE6" w14:textId="77777777" w:rsidR="00731A19" w:rsidRDefault="00731A19" w:rsidP="00CE5095">
    <w:pPr>
      <w:pStyle w:val="Footer"/>
    </w:pPr>
  </w:p>
  <w:p w14:paraId="4093240E" w14:textId="77777777" w:rsidR="00731A19" w:rsidRDefault="00731A19" w:rsidP="00CE509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D2548" w14:textId="77777777" w:rsidR="008B6C36" w:rsidRDefault="008B6C36" w:rsidP="00CE5095">
      <w:r>
        <w:separator/>
      </w:r>
    </w:p>
    <w:p w14:paraId="157C14D9" w14:textId="77777777" w:rsidR="008B6C36" w:rsidRDefault="008B6C36" w:rsidP="00CE5095"/>
  </w:footnote>
  <w:footnote w:type="continuationSeparator" w:id="0">
    <w:p w14:paraId="1875784F" w14:textId="77777777" w:rsidR="008B6C36" w:rsidRDefault="008B6C36" w:rsidP="00CE5095">
      <w:r>
        <w:continuationSeparator/>
      </w:r>
    </w:p>
    <w:p w14:paraId="6D953C2C" w14:textId="77777777" w:rsidR="008B6C36" w:rsidRDefault="008B6C36" w:rsidP="00CE5095"/>
  </w:footnote>
  <w:footnote w:id="1">
    <w:p w14:paraId="6D4FB35A" w14:textId="6B4E3BE7" w:rsidR="00731A19" w:rsidRPr="00B31E36" w:rsidRDefault="00731A19" w:rsidP="00475801">
      <w:pPr>
        <w:pStyle w:val="footnote"/>
      </w:pPr>
      <w:r w:rsidRPr="00B31E36">
        <w:rPr>
          <w:rStyle w:val="FootnoteReference"/>
          <w:rFonts w:ascii="Corbel" w:hAnsi="Corbel"/>
        </w:rPr>
        <w:footnoteRef/>
      </w:r>
      <w:r w:rsidRPr="00B31E36">
        <w:t xml:space="preserve"> </w:t>
      </w:r>
      <w:r w:rsidRPr="00CE5095">
        <w:t>See for example, European Union, Treaty on European Union, (Consolidated version), (1992), OJ C 325/5, Articles 2 and 3(3); European Union, Treaty on the Functioning of the European Union (Consolidated Version)</w:t>
      </w:r>
      <w:r w:rsidR="00CE5095" w:rsidRPr="00CE5095">
        <w:t>, (2008), OJ C 115/47, Art</w:t>
      </w:r>
      <w:r w:rsidRPr="00CE5095">
        <w:t>icle 157 (3) and (4). (Hereafter TFEU).</w:t>
      </w:r>
    </w:p>
  </w:footnote>
  <w:footnote w:id="2">
    <w:p w14:paraId="25A070CB" w14:textId="4F323B2E" w:rsidR="00731A19" w:rsidRPr="00B31E36" w:rsidRDefault="00731A19" w:rsidP="00475801">
      <w:pPr>
        <w:pStyle w:val="footnote"/>
      </w:pPr>
      <w:r w:rsidRPr="00B31E36">
        <w:rPr>
          <w:rStyle w:val="FootnoteReference"/>
          <w:rFonts w:ascii="Corbel" w:hAnsi="Corbel"/>
        </w:rPr>
        <w:footnoteRef/>
      </w:r>
      <w:r w:rsidRPr="00B31E36">
        <w:t xml:space="preserve"> Such as </w:t>
      </w:r>
      <w:r w:rsidRPr="002544D7">
        <w:t xml:space="preserve">Directive 2004/113/EC </w:t>
      </w:r>
      <w:r>
        <w:rPr>
          <w:i/>
        </w:rPr>
        <w:t>i</w:t>
      </w:r>
      <w:r w:rsidRPr="002544D7">
        <w:rPr>
          <w:i/>
        </w:rPr>
        <w:t xml:space="preserve">mplementing </w:t>
      </w:r>
      <w:r>
        <w:rPr>
          <w:i/>
        </w:rPr>
        <w:t>the principle of equal treatment between men and women in the access to and supply of goods and s</w:t>
      </w:r>
      <w:r w:rsidRPr="002544D7">
        <w:rPr>
          <w:i/>
        </w:rPr>
        <w:t>ervices</w:t>
      </w:r>
      <w:r w:rsidRPr="002544D7">
        <w:t xml:space="preserve"> [2004] OJ L 373/37; Directive 2006/54/EC of the European Parliament and the Council of 5 July 2006 on the </w:t>
      </w:r>
      <w:r w:rsidRPr="00596DE8">
        <w:rPr>
          <w:i/>
        </w:rPr>
        <w:t>implementation of the principles of equal opportunities and equal treatment of men and women in matters of employment and occupation</w:t>
      </w:r>
      <w:r w:rsidRPr="00B31E36">
        <w:t xml:space="preserve"> (</w:t>
      </w:r>
      <w:r>
        <w:rPr>
          <w:i/>
        </w:rPr>
        <w:t>r</w:t>
      </w:r>
      <w:r w:rsidRPr="00596DE8">
        <w:rPr>
          <w:i/>
        </w:rPr>
        <w:t>ecast</w:t>
      </w:r>
      <w:r w:rsidRPr="00B31E36">
        <w:t>) [2006] OJ L 204/23 (Equal Treatment Directive).</w:t>
      </w:r>
    </w:p>
  </w:footnote>
  <w:footnote w:id="3">
    <w:p w14:paraId="1713E135" w14:textId="12433A61" w:rsidR="00731A19" w:rsidRPr="00B31E36" w:rsidRDefault="00731A19" w:rsidP="00475801">
      <w:pPr>
        <w:pStyle w:val="footnote"/>
      </w:pPr>
      <w:r w:rsidRPr="00B31E36">
        <w:rPr>
          <w:rStyle w:val="FootnoteReference"/>
          <w:rFonts w:ascii="Corbel" w:hAnsi="Corbel"/>
        </w:rPr>
        <w:footnoteRef/>
      </w:r>
      <w:r w:rsidRPr="00B31E36">
        <w:t xml:space="preserve"> </w:t>
      </w:r>
      <w:proofErr w:type="gramStart"/>
      <w:r w:rsidRPr="00B31E36">
        <w:t xml:space="preserve">European Union, </w:t>
      </w:r>
      <w:r w:rsidRPr="00B31E36">
        <w:rPr>
          <w:i/>
        </w:rPr>
        <w:t>Charter of Fundamental Rights of the European Union</w:t>
      </w:r>
      <w:r w:rsidRPr="00B31E36">
        <w:t>, 18 December 2000, OJ C 364/1, Art</w:t>
      </w:r>
      <w:r>
        <w:t>icles</w:t>
      </w:r>
      <w:r w:rsidRPr="00B31E36">
        <w:t xml:space="preserve"> 21(1) and 23 (Hereafter CFR).</w:t>
      </w:r>
      <w:proofErr w:type="gramEnd"/>
    </w:p>
  </w:footnote>
  <w:footnote w:id="4">
    <w:p w14:paraId="4A46BB8B" w14:textId="1F20A6A2" w:rsidR="00731A19" w:rsidRPr="00B31E36" w:rsidRDefault="00731A19" w:rsidP="00475801">
      <w:pPr>
        <w:pStyle w:val="footnote"/>
        <w:rPr>
          <w:lang w:val="en-US"/>
        </w:rPr>
      </w:pPr>
      <w:r w:rsidRPr="00B31E36">
        <w:rPr>
          <w:rStyle w:val="FootnoteReference"/>
          <w:rFonts w:ascii="Corbel" w:hAnsi="Corbel"/>
        </w:rPr>
        <w:footnoteRef/>
      </w:r>
      <w:r w:rsidRPr="00B31E36">
        <w:t xml:space="preserve"> </w:t>
      </w:r>
      <w:r w:rsidRPr="00B31E36">
        <w:rPr>
          <w:lang w:val="en-US"/>
        </w:rPr>
        <w:t xml:space="preserve">Equality Act 2010: </w:t>
      </w:r>
      <w:hyperlink r:id="rId1" w:history="1">
        <w:r w:rsidRPr="000D66CD">
          <w:rPr>
            <w:rStyle w:val="Hyperlink"/>
          </w:rPr>
          <w:t>http://www.legislation.gov.uk/ukpga/2010/15/contents</w:t>
        </w:r>
      </w:hyperlink>
      <w:r w:rsidRPr="00C90C2C">
        <w:t>.</w:t>
      </w:r>
    </w:p>
  </w:footnote>
  <w:footnote w:id="5">
    <w:p w14:paraId="70B37057" w14:textId="281ACA8F" w:rsidR="00731A19" w:rsidRPr="00B31E36" w:rsidRDefault="00731A19" w:rsidP="00475801">
      <w:pPr>
        <w:pStyle w:val="footnote"/>
        <w:rPr>
          <w:color w:val="FF0000"/>
        </w:rPr>
      </w:pPr>
      <w:r w:rsidRPr="002544D7">
        <w:rPr>
          <w:rStyle w:val="FootnoteReference"/>
          <w:rFonts w:ascii="Corbel" w:hAnsi="Corbel"/>
        </w:rPr>
        <w:footnoteRef/>
      </w:r>
      <w:r w:rsidRPr="002544D7">
        <w:t xml:space="preserve"> Sections 158 and 159 EA 2010 on positive action measures.</w:t>
      </w:r>
      <w:r>
        <w:t xml:space="preserve"> See on this: Howard, E. Affirmative a</w:t>
      </w:r>
      <w:r w:rsidRPr="002544D7">
        <w:t>ction in t</w:t>
      </w:r>
      <w:r>
        <w:t>he UK and South Africa. In: Baez</w:t>
      </w:r>
      <w:r w:rsidRPr="002544D7">
        <w:t>, N</w:t>
      </w:r>
      <w:proofErr w:type="gramStart"/>
      <w:r w:rsidRPr="002544D7">
        <w:t>;</w:t>
      </w:r>
      <w:proofErr w:type="gramEnd"/>
      <w:r w:rsidRPr="002544D7">
        <w:t xml:space="preserve"> D</w:t>
      </w:r>
      <w:r>
        <w:t>ominguez Redondo</w:t>
      </w:r>
      <w:r w:rsidRPr="002544D7">
        <w:t xml:space="preserve">, E. (Eds.) </w:t>
      </w:r>
      <w:proofErr w:type="gramStart"/>
      <w:r>
        <w:rPr>
          <w:i/>
        </w:rPr>
        <w:t>The existence and efficacy of affirmative action m</w:t>
      </w:r>
      <w:r w:rsidRPr="002544D7">
        <w:rPr>
          <w:i/>
        </w:rPr>
        <w:t>easures in UK, South Africa, India, China, Latin America and Brazil</w:t>
      </w:r>
      <w:r w:rsidRPr="002544D7">
        <w:t>.</w:t>
      </w:r>
      <w:proofErr w:type="gramEnd"/>
      <w:r w:rsidRPr="002544D7">
        <w:t xml:space="preserve"> </w:t>
      </w:r>
      <w:proofErr w:type="spellStart"/>
      <w:r w:rsidRPr="002544D7">
        <w:t>Joacaba</w:t>
      </w:r>
      <w:proofErr w:type="spellEnd"/>
      <w:r w:rsidRPr="002544D7">
        <w:t xml:space="preserve">; </w:t>
      </w:r>
      <w:proofErr w:type="spellStart"/>
      <w:r w:rsidRPr="002544D7">
        <w:t>Editora</w:t>
      </w:r>
      <w:proofErr w:type="spellEnd"/>
      <w:r w:rsidRPr="002544D7">
        <w:t xml:space="preserve"> UNOESC, 2018. P.185</w:t>
      </w:r>
      <w:r>
        <w:t xml:space="preserve"> -214; and the Chapter by Howard</w:t>
      </w:r>
      <w:r w:rsidRPr="002544D7">
        <w:t xml:space="preserve"> in this book.</w:t>
      </w:r>
    </w:p>
  </w:footnote>
  <w:footnote w:id="6">
    <w:p w14:paraId="2EE99B63" w14:textId="3FB181CC" w:rsidR="00731A19" w:rsidRPr="00B31E36" w:rsidRDefault="00731A19" w:rsidP="00475801">
      <w:pPr>
        <w:pStyle w:val="footnote"/>
      </w:pPr>
      <w:r w:rsidRPr="00B31E36">
        <w:rPr>
          <w:rStyle w:val="FootnoteReference"/>
          <w:rFonts w:ascii="Corbel" w:hAnsi="Corbel"/>
        </w:rPr>
        <w:footnoteRef/>
      </w:r>
      <w:r>
        <w:t xml:space="preserve"> </w:t>
      </w:r>
      <w:proofErr w:type="spellStart"/>
      <w:r w:rsidRPr="00B31E36">
        <w:t>Norburn</w:t>
      </w:r>
      <w:proofErr w:type="spellEnd"/>
      <w:r w:rsidRPr="00B31E36">
        <w:t>,</w:t>
      </w:r>
      <w:r>
        <w:t xml:space="preserve"> D. The CEO: a breed apart. </w:t>
      </w:r>
      <w:r w:rsidRPr="00B31E36">
        <w:t xml:space="preserve">10 </w:t>
      </w:r>
      <w:r w:rsidRPr="00B31E36">
        <w:rPr>
          <w:i/>
        </w:rPr>
        <w:t>Strategic Management Journal</w:t>
      </w:r>
      <w:r>
        <w:t xml:space="preserve"> (1989) P. 1 – 15; </w:t>
      </w:r>
      <w:proofErr w:type="spellStart"/>
      <w:r>
        <w:t>Westpal</w:t>
      </w:r>
      <w:proofErr w:type="spellEnd"/>
      <w:r>
        <w:t xml:space="preserve">, J; </w:t>
      </w:r>
      <w:proofErr w:type="spellStart"/>
      <w:r w:rsidRPr="00B31E36">
        <w:t>Zajac</w:t>
      </w:r>
      <w:proofErr w:type="spellEnd"/>
      <w:r w:rsidRPr="00B31E36">
        <w:t>,</w:t>
      </w:r>
      <w:r>
        <w:t xml:space="preserve"> E. </w:t>
      </w:r>
      <w:proofErr w:type="gramStart"/>
      <w:r>
        <w:t>Who</w:t>
      </w:r>
      <w:proofErr w:type="gramEnd"/>
      <w:r>
        <w:t xml:space="preserve"> shall govern? </w:t>
      </w:r>
      <w:proofErr w:type="gramStart"/>
      <w:r>
        <w:t>CEO power, demographic s</w:t>
      </w:r>
      <w:r w:rsidRPr="00B31E36">
        <w:t>imi</w:t>
      </w:r>
      <w:r>
        <w:t>larities and director selection.</w:t>
      </w:r>
      <w:proofErr w:type="gramEnd"/>
      <w:r w:rsidRPr="00B31E36">
        <w:t xml:space="preserve"> 40 </w:t>
      </w:r>
      <w:r w:rsidRPr="00B31E36">
        <w:rPr>
          <w:i/>
        </w:rPr>
        <w:t>Administrative Science Quarterly</w:t>
      </w:r>
      <w:r>
        <w:t xml:space="preserve"> </w:t>
      </w:r>
      <w:r w:rsidRPr="00B31E36">
        <w:t>(1995</w:t>
      </w:r>
      <w:proofErr w:type="gramStart"/>
      <w:r w:rsidRPr="00B31E36">
        <w:t xml:space="preserve">)  </w:t>
      </w:r>
      <w:r>
        <w:t>P</w:t>
      </w:r>
      <w:proofErr w:type="gramEnd"/>
      <w:r>
        <w:t xml:space="preserve">. </w:t>
      </w:r>
      <w:r w:rsidRPr="00B31E36">
        <w:t>60 – 83.</w:t>
      </w:r>
    </w:p>
  </w:footnote>
  <w:footnote w:id="7">
    <w:p w14:paraId="282FC08C" w14:textId="7248B5A3" w:rsidR="00731A19" w:rsidRPr="00B31E36" w:rsidRDefault="00731A19" w:rsidP="00475801">
      <w:pPr>
        <w:pStyle w:val="footnote"/>
        <w:rPr>
          <w:lang w:val="en-US"/>
        </w:rPr>
      </w:pPr>
      <w:r w:rsidRPr="00B31E36">
        <w:rPr>
          <w:rStyle w:val="FootnoteReference"/>
          <w:rFonts w:ascii="Corbel" w:hAnsi="Corbel"/>
        </w:rPr>
        <w:footnoteRef/>
      </w:r>
      <w:r>
        <w:t xml:space="preserve"> </w:t>
      </w:r>
      <w:r w:rsidRPr="00B31E36">
        <w:t>Van Hoot,</w:t>
      </w:r>
      <w:r>
        <w:t xml:space="preserve"> F. Key developments at national level in l</w:t>
      </w:r>
      <w:r w:rsidRPr="00B31E36">
        <w:t>e</w:t>
      </w:r>
      <w:r>
        <w:t>gislation, case law, and policy.</w:t>
      </w:r>
      <w:r w:rsidRPr="00B31E36">
        <w:t xml:space="preserve"> 1 </w:t>
      </w:r>
      <w:r w:rsidRPr="00B31E36">
        <w:rPr>
          <w:i/>
        </w:rPr>
        <w:t>European Equality Law Review</w:t>
      </w:r>
      <w:r w:rsidRPr="00B31E36">
        <w:t xml:space="preserve"> (2018) </w:t>
      </w:r>
      <w:r>
        <w:t xml:space="preserve">P. </w:t>
      </w:r>
      <w:r w:rsidRPr="00B31E36">
        <w:t>60 – 107.</w:t>
      </w:r>
    </w:p>
  </w:footnote>
  <w:footnote w:id="8">
    <w:p w14:paraId="52FB0074" w14:textId="16E0B5BF" w:rsidR="00731A19" w:rsidRPr="00B31E36" w:rsidRDefault="00731A19" w:rsidP="00475801">
      <w:pPr>
        <w:pStyle w:val="footnote"/>
      </w:pPr>
      <w:r w:rsidRPr="00B31E36">
        <w:rPr>
          <w:rStyle w:val="FootnoteReference"/>
          <w:rFonts w:ascii="Corbel" w:hAnsi="Corbel"/>
        </w:rPr>
        <w:footnoteRef/>
      </w:r>
      <w:r>
        <w:t xml:space="preserve"> </w:t>
      </w:r>
      <w:proofErr w:type="spellStart"/>
      <w:r w:rsidRPr="00B31E36">
        <w:t>Ragins</w:t>
      </w:r>
      <w:proofErr w:type="spellEnd"/>
      <w:r>
        <w:t xml:space="preserve">, B.R; Townsend, B; </w:t>
      </w:r>
      <w:proofErr w:type="spellStart"/>
      <w:r>
        <w:t>Mattis</w:t>
      </w:r>
      <w:proofErr w:type="spellEnd"/>
      <w:r>
        <w:t>, M. Gender gap in the executive suite: CEOs and f</w:t>
      </w:r>
      <w:r w:rsidRPr="00B31E36">
        <w:t>emale</w:t>
      </w:r>
      <w:r>
        <w:t xml:space="preserve"> executive r</w:t>
      </w:r>
      <w:r w:rsidRPr="00B31E36">
        <w:t>epor</w:t>
      </w:r>
      <w:r>
        <w:t>t on breaking the glass ceiling. 12, 1</w:t>
      </w:r>
      <w:r w:rsidRPr="00B31E36">
        <w:t xml:space="preserve"> </w:t>
      </w:r>
      <w:r w:rsidRPr="00B31E36">
        <w:rPr>
          <w:i/>
        </w:rPr>
        <w:t>Academy of Management Executives</w:t>
      </w:r>
      <w:r>
        <w:t xml:space="preserve"> </w:t>
      </w:r>
      <w:r w:rsidRPr="00B31E36">
        <w:t xml:space="preserve">(1998) </w:t>
      </w:r>
      <w:r>
        <w:t xml:space="preserve">P. </w:t>
      </w:r>
      <w:r w:rsidRPr="00B31E36">
        <w:t>28 – 42.</w:t>
      </w:r>
    </w:p>
  </w:footnote>
  <w:footnote w:id="9">
    <w:p w14:paraId="024D33AB" w14:textId="69A0A3D5" w:rsidR="00731A19" w:rsidRPr="00B31E36" w:rsidRDefault="00731A19" w:rsidP="00475801">
      <w:pPr>
        <w:pStyle w:val="footnote"/>
      </w:pPr>
      <w:r w:rsidRPr="00B31E36">
        <w:rPr>
          <w:rStyle w:val="FootnoteReference"/>
          <w:rFonts w:ascii="Corbel" w:hAnsi="Corbel"/>
        </w:rPr>
        <w:footnoteRef/>
      </w:r>
      <w:r w:rsidRPr="00B31E36">
        <w:t xml:space="preserve"> </w:t>
      </w:r>
      <w:proofErr w:type="gramStart"/>
      <w:r w:rsidRPr="00B31E36">
        <w:t>Penrose,</w:t>
      </w:r>
      <w:r>
        <w:t xml:space="preserve"> E.</w:t>
      </w:r>
      <w:proofErr w:type="gramEnd"/>
      <w:r w:rsidRPr="00B31E36">
        <w:t xml:space="preserve"> </w:t>
      </w:r>
      <w:proofErr w:type="gramStart"/>
      <w:r>
        <w:rPr>
          <w:i/>
          <w:iCs/>
        </w:rPr>
        <w:t>The theory of the growth of the f</w:t>
      </w:r>
      <w:r w:rsidRPr="00B31E36">
        <w:rPr>
          <w:i/>
          <w:iCs/>
        </w:rPr>
        <w:t>irm</w:t>
      </w:r>
      <w:r>
        <w:t>.</w:t>
      </w:r>
      <w:proofErr w:type="gramEnd"/>
      <w:r>
        <w:t xml:space="preserve"> Oxford:</w:t>
      </w:r>
      <w:r w:rsidRPr="00B31E36">
        <w:t xml:space="preserve"> Basil Blackwell, 1959</w:t>
      </w:r>
      <w:r>
        <w:t>.</w:t>
      </w:r>
    </w:p>
  </w:footnote>
  <w:footnote w:id="10">
    <w:p w14:paraId="66C3CC35" w14:textId="122A366E" w:rsidR="00731A19" w:rsidRPr="00B31E36" w:rsidRDefault="00731A19" w:rsidP="00475801">
      <w:pPr>
        <w:pStyle w:val="footnote"/>
      </w:pPr>
      <w:r w:rsidRPr="00B31E36">
        <w:rPr>
          <w:rStyle w:val="FootnoteReference"/>
          <w:rFonts w:ascii="Corbel" w:hAnsi="Corbel"/>
        </w:rPr>
        <w:footnoteRef/>
      </w:r>
      <w:r>
        <w:t xml:space="preserve"> </w:t>
      </w:r>
      <w:proofErr w:type="spellStart"/>
      <w:proofErr w:type="gramStart"/>
      <w:r w:rsidRPr="00B31E36">
        <w:t>Fonda</w:t>
      </w:r>
      <w:r>
        <w:t>s</w:t>
      </w:r>
      <w:proofErr w:type="spellEnd"/>
      <w:r>
        <w:t xml:space="preserve">, N; </w:t>
      </w:r>
      <w:proofErr w:type="spellStart"/>
      <w:r w:rsidRPr="00B31E36">
        <w:t>Sassalos</w:t>
      </w:r>
      <w:proofErr w:type="spellEnd"/>
      <w:r w:rsidRPr="00B31E36">
        <w:t>,</w:t>
      </w:r>
      <w:r>
        <w:t xml:space="preserve"> S.</w:t>
      </w:r>
      <w:proofErr w:type="gramEnd"/>
      <w:r>
        <w:t xml:space="preserve"> A different voice in the boardroom: how the presence of women directors affects board influence over management. </w:t>
      </w:r>
      <w:proofErr w:type="gramStart"/>
      <w:r w:rsidRPr="00B31E36">
        <w:t xml:space="preserve">12 </w:t>
      </w:r>
      <w:r w:rsidRPr="00B31E36">
        <w:rPr>
          <w:i/>
        </w:rPr>
        <w:t>Global Focus</w:t>
      </w:r>
      <w:proofErr w:type="gramEnd"/>
      <w:r w:rsidRPr="00B31E36">
        <w:t xml:space="preserve"> (2000) </w:t>
      </w:r>
      <w:r>
        <w:t xml:space="preserve">P. </w:t>
      </w:r>
      <w:r w:rsidRPr="00B31E36">
        <w:t>13 – 22.</w:t>
      </w:r>
    </w:p>
  </w:footnote>
  <w:footnote w:id="11">
    <w:p w14:paraId="007E0A17" w14:textId="41F3F188" w:rsidR="00731A19" w:rsidRPr="00B31E36" w:rsidRDefault="00731A19" w:rsidP="00475801">
      <w:pPr>
        <w:pStyle w:val="footnote"/>
      </w:pPr>
      <w:r w:rsidRPr="00B31E36">
        <w:rPr>
          <w:rStyle w:val="FootnoteReference"/>
          <w:rFonts w:ascii="Corbel" w:hAnsi="Corbel"/>
        </w:rPr>
        <w:footnoteRef/>
      </w:r>
      <w:r>
        <w:t xml:space="preserve"> </w:t>
      </w:r>
      <w:proofErr w:type="spellStart"/>
      <w:r w:rsidRPr="00B31E36">
        <w:t>Huse</w:t>
      </w:r>
      <w:proofErr w:type="spellEnd"/>
      <w:r>
        <w:t>, M</w:t>
      </w:r>
      <w:proofErr w:type="gramStart"/>
      <w:r>
        <w:t>;</w:t>
      </w:r>
      <w:proofErr w:type="gramEnd"/>
      <w:r w:rsidRPr="00B31E36">
        <w:t xml:space="preserve"> Solberg</w:t>
      </w:r>
      <w:r>
        <w:t xml:space="preserve">, </w:t>
      </w:r>
      <w:r w:rsidRPr="00B31E36">
        <w:t>A. G.</w:t>
      </w:r>
      <w:r>
        <w:t xml:space="preserve"> Gender-related boardroom dynamics: how Scandinavian women make and can make c</w:t>
      </w:r>
      <w:r w:rsidRPr="00B31E36">
        <w:t>ont</w:t>
      </w:r>
      <w:r>
        <w:t>ributions on corporate boards. 21,2</w:t>
      </w:r>
      <w:r w:rsidRPr="00B31E36">
        <w:t xml:space="preserve"> </w:t>
      </w:r>
      <w:r w:rsidRPr="00B31E36">
        <w:rPr>
          <w:i/>
        </w:rPr>
        <w:t>Women in Management Review</w:t>
      </w:r>
      <w:r w:rsidRPr="00B31E36">
        <w:t xml:space="preserve"> </w:t>
      </w:r>
      <w:r>
        <w:t>(</w:t>
      </w:r>
      <w:r w:rsidRPr="00B31E36">
        <w:t xml:space="preserve">2006) </w:t>
      </w:r>
      <w:r>
        <w:t xml:space="preserve">P. </w:t>
      </w:r>
      <w:r w:rsidRPr="00B31E36">
        <w:t>113 – 130.</w:t>
      </w:r>
    </w:p>
  </w:footnote>
  <w:footnote w:id="12">
    <w:p w14:paraId="7E55CFFF" w14:textId="29CC1C5D" w:rsidR="00731A19" w:rsidRPr="00B31E36" w:rsidRDefault="00731A19" w:rsidP="00475801">
      <w:pPr>
        <w:pStyle w:val="footnote"/>
        <w:rPr>
          <w:color w:val="0070C0"/>
        </w:rPr>
      </w:pPr>
      <w:r w:rsidRPr="00B31E36">
        <w:rPr>
          <w:rStyle w:val="FootnoteReference"/>
          <w:rFonts w:ascii="Corbel" w:hAnsi="Corbel"/>
        </w:rPr>
        <w:footnoteRef/>
      </w:r>
      <w:r>
        <w:t xml:space="preserve"> </w:t>
      </w:r>
      <w:proofErr w:type="spellStart"/>
      <w:proofErr w:type="gramStart"/>
      <w:r>
        <w:t>Zelechowski</w:t>
      </w:r>
      <w:proofErr w:type="spellEnd"/>
      <w:r>
        <w:t xml:space="preserve"> D; </w:t>
      </w:r>
      <w:proofErr w:type="spellStart"/>
      <w:r>
        <w:t>Bilimona</w:t>
      </w:r>
      <w:proofErr w:type="spellEnd"/>
      <w:r>
        <w:t>, D. Characteristics of women and men corporate inside directors in the US.</w:t>
      </w:r>
      <w:proofErr w:type="gramEnd"/>
      <w:r>
        <w:t xml:space="preserve"> </w:t>
      </w:r>
      <w:r w:rsidRPr="00B31E36">
        <w:t>12</w:t>
      </w:r>
      <w:r>
        <w:t>, 3</w:t>
      </w:r>
      <w:r w:rsidRPr="00B31E36">
        <w:t xml:space="preserve"> </w:t>
      </w:r>
      <w:r w:rsidRPr="00B31E36">
        <w:rPr>
          <w:i/>
        </w:rPr>
        <w:t>Corporate Governance: An International Review</w:t>
      </w:r>
      <w:r>
        <w:rPr>
          <w:i/>
        </w:rPr>
        <w:t xml:space="preserve"> </w:t>
      </w:r>
      <w:r w:rsidRPr="00B31E36">
        <w:t xml:space="preserve">(2004) </w:t>
      </w:r>
      <w:r>
        <w:t xml:space="preserve">P. </w:t>
      </w:r>
      <w:r w:rsidRPr="00B31E36">
        <w:t>337, 342.</w:t>
      </w:r>
    </w:p>
  </w:footnote>
  <w:footnote w:id="13">
    <w:p w14:paraId="035F5767" w14:textId="4C483FD7" w:rsidR="00731A19" w:rsidRPr="00B31E36" w:rsidRDefault="00731A19" w:rsidP="00475801">
      <w:pPr>
        <w:pStyle w:val="footnote"/>
        <w:rPr>
          <w:lang w:val="en-US"/>
        </w:rPr>
      </w:pPr>
      <w:r w:rsidRPr="00B31E36">
        <w:rPr>
          <w:rStyle w:val="FootnoteReference"/>
          <w:rFonts w:ascii="Corbel" w:hAnsi="Corbel"/>
        </w:rPr>
        <w:footnoteRef/>
      </w:r>
      <w:r w:rsidRPr="00B31E36">
        <w:t xml:space="preserve"> </w:t>
      </w:r>
      <w:proofErr w:type="spellStart"/>
      <w:r w:rsidRPr="00B31E36">
        <w:rPr>
          <w:lang w:val="en-US"/>
        </w:rPr>
        <w:t>Huse</w:t>
      </w:r>
      <w:proofErr w:type="spellEnd"/>
      <w:r>
        <w:rPr>
          <w:lang w:val="en-US"/>
        </w:rPr>
        <w:t xml:space="preserve">; </w:t>
      </w:r>
      <w:r w:rsidRPr="00B31E36">
        <w:rPr>
          <w:lang w:val="en-US"/>
        </w:rPr>
        <w:t>Solberg (</w:t>
      </w:r>
      <w:r>
        <w:rPr>
          <w:lang w:val="en-US"/>
        </w:rPr>
        <w:t xml:space="preserve">supra note </w:t>
      </w:r>
      <w:r>
        <w:rPr>
          <w:lang w:val="en-US"/>
        </w:rPr>
        <w:fldChar w:fldCharType="begin"/>
      </w:r>
      <w:r>
        <w:rPr>
          <w:lang w:val="en-US"/>
        </w:rPr>
        <w:instrText xml:space="preserve"> NOTEREF _Ref26778465 \h  \* MERGEFORMAT </w:instrText>
      </w:r>
      <w:r>
        <w:rPr>
          <w:lang w:val="en-US"/>
        </w:rPr>
      </w:r>
      <w:r>
        <w:rPr>
          <w:lang w:val="en-US"/>
        </w:rPr>
        <w:fldChar w:fldCharType="separate"/>
      </w:r>
      <w:r>
        <w:rPr>
          <w:lang w:val="en-US"/>
        </w:rPr>
        <w:t>11</w:t>
      </w:r>
      <w:r>
        <w:rPr>
          <w:lang w:val="en-US"/>
        </w:rPr>
        <w:fldChar w:fldCharType="end"/>
      </w:r>
      <w:r w:rsidRPr="00B31E36">
        <w:rPr>
          <w:lang w:val="en-US"/>
        </w:rPr>
        <w:t>).</w:t>
      </w:r>
    </w:p>
  </w:footnote>
  <w:footnote w:id="14">
    <w:p w14:paraId="3D1959F5" w14:textId="28712380" w:rsidR="00731A19" w:rsidRPr="00B31E36" w:rsidRDefault="00731A19" w:rsidP="00475801">
      <w:pPr>
        <w:pStyle w:val="footnote"/>
      </w:pPr>
      <w:r w:rsidRPr="00B31E36">
        <w:rPr>
          <w:rStyle w:val="FootnoteReference"/>
          <w:rFonts w:ascii="Corbel" w:hAnsi="Corbel"/>
        </w:rPr>
        <w:footnoteRef/>
      </w:r>
      <w:r>
        <w:t xml:space="preserve"> </w:t>
      </w:r>
      <w:proofErr w:type="spellStart"/>
      <w:r w:rsidRPr="00B31E36">
        <w:t>Maznevski</w:t>
      </w:r>
      <w:proofErr w:type="spellEnd"/>
      <w:r w:rsidRPr="00B31E36">
        <w:t>,</w:t>
      </w:r>
      <w:r>
        <w:t xml:space="preserve"> M.L. Understanding our differences: performance in decision-making groups with diverse members.</w:t>
      </w:r>
      <w:r w:rsidRPr="00B31E36">
        <w:t xml:space="preserve"> 47</w:t>
      </w:r>
      <w:r>
        <w:t xml:space="preserve">, 5 </w:t>
      </w:r>
      <w:r w:rsidRPr="00B31E36">
        <w:rPr>
          <w:i/>
        </w:rPr>
        <w:t>Human Relations</w:t>
      </w:r>
      <w:r>
        <w:t xml:space="preserve"> </w:t>
      </w:r>
      <w:r w:rsidR="006661C5">
        <w:t>(</w:t>
      </w:r>
      <w:r w:rsidRPr="00B31E36">
        <w:t xml:space="preserve">1994) </w:t>
      </w:r>
      <w:r w:rsidR="006661C5">
        <w:t>P</w:t>
      </w:r>
      <w:r>
        <w:t xml:space="preserve">. </w:t>
      </w:r>
      <w:r w:rsidRPr="00B31E36">
        <w:t>531 – 552.</w:t>
      </w:r>
    </w:p>
  </w:footnote>
  <w:footnote w:id="15">
    <w:p w14:paraId="109CD5D0" w14:textId="3A4F6C2C" w:rsidR="00731A19" w:rsidRPr="00B31E36" w:rsidRDefault="00731A19" w:rsidP="00475801">
      <w:pPr>
        <w:pStyle w:val="footnote"/>
      </w:pPr>
      <w:r w:rsidRPr="00B31E36">
        <w:rPr>
          <w:rStyle w:val="FootnoteReference"/>
          <w:rFonts w:ascii="Corbel" w:hAnsi="Corbel"/>
        </w:rPr>
        <w:footnoteRef/>
      </w:r>
      <w:r>
        <w:t xml:space="preserve"> </w:t>
      </w:r>
      <w:proofErr w:type="spellStart"/>
      <w:r w:rsidRPr="00B31E36">
        <w:t>Charan</w:t>
      </w:r>
      <w:proofErr w:type="spellEnd"/>
      <w:r w:rsidRPr="00B31E36">
        <w:t>,</w:t>
      </w:r>
      <w:r>
        <w:t xml:space="preserve"> R.</w:t>
      </w:r>
      <w:r w:rsidRPr="00B31E36">
        <w:t xml:space="preserve"> </w:t>
      </w:r>
      <w:r>
        <w:t>Boards at work: how corporate boards create competitive a</w:t>
      </w:r>
      <w:r w:rsidRPr="00B31E36">
        <w:t>dvantage</w:t>
      </w:r>
      <w:r w:rsidR="006661C5">
        <w:t>. San Francisco:</w:t>
      </w:r>
      <w:r>
        <w:t xml:space="preserve"> Wiley, 1998</w:t>
      </w:r>
      <w:r w:rsidRPr="00B31E36">
        <w:t>.</w:t>
      </w:r>
    </w:p>
  </w:footnote>
  <w:footnote w:id="16">
    <w:p w14:paraId="6BC33CD0" w14:textId="0AC5F2B3" w:rsidR="00731A19" w:rsidRPr="00B31E36" w:rsidRDefault="00731A19" w:rsidP="00475801">
      <w:pPr>
        <w:pStyle w:val="footnote"/>
      </w:pPr>
      <w:r w:rsidRPr="00B31E36">
        <w:rPr>
          <w:rStyle w:val="FootnoteReference"/>
          <w:rFonts w:ascii="Corbel" w:hAnsi="Corbel"/>
        </w:rPr>
        <w:footnoteRef/>
      </w:r>
      <w:r w:rsidRPr="00B31E36">
        <w:t xml:space="preserve"> </w:t>
      </w:r>
      <w:proofErr w:type="spellStart"/>
      <w:r w:rsidRPr="00B31E36">
        <w:t>Ragins</w:t>
      </w:r>
      <w:proofErr w:type="spellEnd"/>
      <w:r>
        <w:t>.</w:t>
      </w:r>
      <w:r w:rsidRPr="00B31E36">
        <w:t xml:space="preserve"> </w:t>
      </w:r>
      <w:proofErr w:type="gramStart"/>
      <w:r w:rsidRPr="003202A2">
        <w:rPr>
          <w:i/>
        </w:rPr>
        <w:t>et</w:t>
      </w:r>
      <w:proofErr w:type="gramEnd"/>
      <w:r w:rsidRPr="003202A2">
        <w:rPr>
          <w:i/>
        </w:rPr>
        <w:t xml:space="preserve"> al</w:t>
      </w:r>
      <w:r>
        <w:rPr>
          <w:i/>
        </w:rPr>
        <w:t>.</w:t>
      </w:r>
      <w:r w:rsidRPr="00B31E36">
        <w:t xml:space="preserve"> (</w:t>
      </w:r>
      <w:r>
        <w:t xml:space="preserve">supra note </w:t>
      </w:r>
      <w:r>
        <w:fldChar w:fldCharType="begin"/>
      </w:r>
      <w:r>
        <w:instrText xml:space="preserve"> NOTEREF _Ref26778491 \h  \* MERGEFORMAT </w:instrText>
      </w:r>
      <w:r>
        <w:fldChar w:fldCharType="separate"/>
      </w:r>
      <w:r>
        <w:t>8</w:t>
      </w:r>
      <w:r>
        <w:fldChar w:fldCharType="end"/>
      </w:r>
      <w:r w:rsidRPr="00B31E36">
        <w:t>).</w:t>
      </w:r>
    </w:p>
  </w:footnote>
  <w:footnote w:id="17">
    <w:p w14:paraId="3C00F6DE" w14:textId="5A0CA537" w:rsidR="00731A19" w:rsidRPr="00B31E36" w:rsidRDefault="00731A19" w:rsidP="00475801">
      <w:pPr>
        <w:pStyle w:val="footnote"/>
      </w:pPr>
      <w:r w:rsidRPr="00B31E36">
        <w:rPr>
          <w:rStyle w:val="FootnoteReference"/>
          <w:rFonts w:ascii="Corbel" w:hAnsi="Corbel"/>
        </w:rPr>
        <w:footnoteRef/>
      </w:r>
      <w:r w:rsidRPr="00B31E36">
        <w:t xml:space="preserve"> R. J. Burke</w:t>
      </w:r>
      <w:r>
        <w:t xml:space="preserve">, R.J. Women on corporate boards: a needed resource. </w:t>
      </w:r>
      <w:proofErr w:type="gramStart"/>
      <w:r w:rsidRPr="00B31E36">
        <w:t>16</w:t>
      </w:r>
      <w:r>
        <w:t>, 9</w:t>
      </w:r>
      <w:r w:rsidRPr="00B31E36">
        <w:t xml:space="preserve"> </w:t>
      </w:r>
      <w:r w:rsidRPr="00B31E36">
        <w:rPr>
          <w:i/>
        </w:rPr>
        <w:t>Journal of Business Ethics</w:t>
      </w:r>
      <w:r>
        <w:t xml:space="preserve"> </w:t>
      </w:r>
      <w:r w:rsidRPr="00B31E36">
        <w:t xml:space="preserve">(1997) </w:t>
      </w:r>
      <w:r w:rsidR="006661C5">
        <w:t>P</w:t>
      </w:r>
      <w:r>
        <w:t>.</w:t>
      </w:r>
      <w:proofErr w:type="gramEnd"/>
      <w:r>
        <w:t xml:space="preserve"> </w:t>
      </w:r>
      <w:r w:rsidRPr="00B31E36">
        <w:t xml:space="preserve"> 909 – 915.</w:t>
      </w:r>
    </w:p>
  </w:footnote>
  <w:footnote w:id="18">
    <w:p w14:paraId="0C0B6D81" w14:textId="54D1581E" w:rsidR="00731A19" w:rsidRPr="00B31E36" w:rsidRDefault="00731A19" w:rsidP="00475801">
      <w:pPr>
        <w:pStyle w:val="footnote"/>
      </w:pPr>
      <w:r w:rsidRPr="00B31E36">
        <w:rPr>
          <w:rStyle w:val="FootnoteReference"/>
          <w:rFonts w:ascii="Corbel" w:hAnsi="Corbel"/>
        </w:rPr>
        <w:footnoteRef/>
      </w:r>
      <w:r w:rsidRPr="00B31E36">
        <w:t xml:space="preserve"> European Commission, Proposal of 14 No</w:t>
      </w:r>
      <w:r>
        <w:t>vember 2012 for a d</w:t>
      </w:r>
      <w:r w:rsidRPr="003202A2">
        <w:t>irective on improving the gender balance among non-executive directors of companies listed on stock exchanges and other related m</w:t>
      </w:r>
      <w:r>
        <w:t>easure</w:t>
      </w:r>
      <w:r w:rsidRPr="003202A2">
        <w:t>s</w:t>
      </w:r>
      <w:r w:rsidRPr="00B31E36">
        <w:t xml:space="preserve">. </w:t>
      </w:r>
      <w:proofErr w:type="gramStart"/>
      <w:r w:rsidRPr="00B31E36">
        <w:t>COM(</w:t>
      </w:r>
      <w:proofErr w:type="gramEnd"/>
      <w:r w:rsidRPr="00B31E36">
        <w:t>2012) 614 final. (Hereafter Proposed Directive).</w:t>
      </w:r>
    </w:p>
  </w:footnote>
  <w:footnote w:id="19">
    <w:p w14:paraId="2D74B2F3" w14:textId="49BEFFBE" w:rsidR="00731A19" w:rsidRPr="00B31E36" w:rsidRDefault="00731A19" w:rsidP="00475801">
      <w:pPr>
        <w:pStyle w:val="footnote"/>
      </w:pPr>
      <w:r w:rsidRPr="00B31E36">
        <w:rPr>
          <w:rStyle w:val="FootnoteReference"/>
          <w:rFonts w:ascii="Corbel" w:hAnsi="Corbel"/>
        </w:rPr>
        <w:footnoteRef/>
      </w:r>
      <w:r w:rsidR="00475801">
        <w:t xml:space="preserve"> </w:t>
      </w:r>
      <w:proofErr w:type="gramStart"/>
      <w:r w:rsidR="00475801">
        <w:t>TFEU, article</w:t>
      </w:r>
      <w:r w:rsidRPr="00B31E36">
        <w:t xml:space="preserve"> 157(3).</w:t>
      </w:r>
      <w:proofErr w:type="gramEnd"/>
      <w:r w:rsidRPr="00B31E36">
        <w:t xml:space="preserve"> </w:t>
      </w:r>
    </w:p>
  </w:footnote>
  <w:footnote w:id="20">
    <w:p w14:paraId="7101D9E2" w14:textId="635A0B1B" w:rsidR="00731A19" w:rsidRPr="00B31E36" w:rsidRDefault="00731A19" w:rsidP="00475801">
      <w:pPr>
        <w:pStyle w:val="footnote"/>
      </w:pPr>
      <w:r w:rsidRPr="00B31E36">
        <w:rPr>
          <w:rStyle w:val="FootnoteReference"/>
          <w:rFonts w:ascii="Corbel" w:hAnsi="Corbel"/>
        </w:rPr>
        <w:footnoteRef/>
      </w:r>
      <w:r w:rsidR="00475801">
        <w:t xml:space="preserve"> Proposed Directive (supra note </w:t>
      </w:r>
      <w:r w:rsidR="00475801">
        <w:fldChar w:fldCharType="begin"/>
      </w:r>
      <w:r w:rsidR="00475801">
        <w:instrText xml:space="preserve"> NOTEREF _Ref26785967 \h </w:instrText>
      </w:r>
      <w:r w:rsidR="00475801">
        <w:fldChar w:fldCharType="separate"/>
      </w:r>
      <w:r w:rsidR="00475801">
        <w:t>18</w:t>
      </w:r>
      <w:r w:rsidR="00475801">
        <w:fldChar w:fldCharType="end"/>
      </w:r>
      <w:r w:rsidR="00475801">
        <w:t>) article</w:t>
      </w:r>
      <w:r w:rsidRPr="00B31E36">
        <w:t xml:space="preserve"> 4(1).</w:t>
      </w:r>
    </w:p>
  </w:footnote>
  <w:footnote w:id="21">
    <w:p w14:paraId="6F10A97C" w14:textId="2D535BD9" w:rsidR="00731A19" w:rsidRPr="00B31E36" w:rsidRDefault="00731A19" w:rsidP="00475801">
      <w:pPr>
        <w:pStyle w:val="footnote"/>
      </w:pPr>
      <w:r w:rsidRPr="00B31E36">
        <w:rPr>
          <w:rStyle w:val="FootnoteReference"/>
          <w:rFonts w:ascii="Corbel" w:hAnsi="Corbel"/>
        </w:rPr>
        <w:footnoteRef/>
      </w:r>
      <w:r w:rsidRPr="00B31E36">
        <w:t xml:space="preserve"> </w:t>
      </w:r>
      <w:r w:rsidR="00475801">
        <w:t xml:space="preserve">Ibid. </w:t>
      </w:r>
      <w:proofErr w:type="gramStart"/>
      <w:r w:rsidR="00475801">
        <w:t>article</w:t>
      </w:r>
      <w:proofErr w:type="gramEnd"/>
      <w:r w:rsidRPr="00B31E36">
        <w:t xml:space="preserve"> 4(3).</w:t>
      </w:r>
    </w:p>
  </w:footnote>
  <w:footnote w:id="22">
    <w:p w14:paraId="6D42F9F2" w14:textId="6C3601A2" w:rsidR="00731A19" w:rsidRPr="00B31E36" w:rsidRDefault="00731A19" w:rsidP="00475801">
      <w:pPr>
        <w:pStyle w:val="footnote"/>
      </w:pPr>
      <w:r w:rsidRPr="00B31E36">
        <w:rPr>
          <w:rStyle w:val="FootnoteReference"/>
          <w:rFonts w:ascii="Corbel" w:hAnsi="Corbel"/>
        </w:rPr>
        <w:footnoteRef/>
      </w:r>
      <w:r w:rsidRPr="00B31E36">
        <w:t xml:space="preserve"> </w:t>
      </w:r>
      <w:r w:rsidR="00475801">
        <w:t xml:space="preserve">Ibid. </w:t>
      </w:r>
      <w:proofErr w:type="gramStart"/>
      <w:r w:rsidR="00475801">
        <w:t>article</w:t>
      </w:r>
      <w:proofErr w:type="gramEnd"/>
      <w:r w:rsidRPr="00B31E36">
        <w:t xml:space="preserve"> 5(3).</w:t>
      </w:r>
    </w:p>
  </w:footnote>
  <w:footnote w:id="23">
    <w:p w14:paraId="3D7BBB84" w14:textId="541940F8" w:rsidR="00731A19" w:rsidRPr="00B31E36" w:rsidRDefault="00731A19" w:rsidP="00475801">
      <w:pPr>
        <w:pStyle w:val="footnote"/>
      </w:pPr>
      <w:r w:rsidRPr="00B31E36">
        <w:rPr>
          <w:rStyle w:val="FootnoteReference"/>
          <w:rFonts w:ascii="Corbel" w:hAnsi="Corbel"/>
        </w:rPr>
        <w:footnoteRef/>
      </w:r>
      <w:r w:rsidRPr="00B31E36">
        <w:t xml:space="preserve"> </w:t>
      </w:r>
      <w:r w:rsidR="00475801">
        <w:t xml:space="preserve">Ibid. </w:t>
      </w:r>
      <w:proofErr w:type="gramStart"/>
      <w:r w:rsidR="00475801">
        <w:t>article</w:t>
      </w:r>
      <w:proofErr w:type="gramEnd"/>
      <w:r w:rsidR="00475801" w:rsidRPr="00B31E36">
        <w:t xml:space="preserve"> </w:t>
      </w:r>
      <w:r w:rsidRPr="00B31E36">
        <w:t>6.</w:t>
      </w:r>
    </w:p>
  </w:footnote>
  <w:footnote w:id="24">
    <w:p w14:paraId="4ED58182" w14:textId="222819AC" w:rsidR="00731A19" w:rsidRPr="00B31E36" w:rsidRDefault="00731A19" w:rsidP="00475801">
      <w:pPr>
        <w:pStyle w:val="footnote"/>
      </w:pPr>
      <w:r w:rsidRPr="00B31E36">
        <w:rPr>
          <w:rStyle w:val="FootnoteReference"/>
          <w:rFonts w:ascii="Corbel" w:hAnsi="Corbel"/>
        </w:rPr>
        <w:footnoteRef/>
      </w:r>
      <w:r w:rsidRPr="00B31E36">
        <w:t xml:space="preserve"> European Parliament, Legislative Resolut</w:t>
      </w:r>
      <w:r>
        <w:t>ion of 20 November 2013 on the proposal for a d</w:t>
      </w:r>
      <w:r w:rsidRPr="00B31E36">
        <w:t>irective on improving th</w:t>
      </w:r>
      <w:r>
        <w:t>e gender balance among non-executive d</w:t>
      </w:r>
      <w:r w:rsidRPr="00B31E36">
        <w:t>i</w:t>
      </w:r>
      <w:r>
        <w:t xml:space="preserve">rectors of companies listed on stock </w:t>
      </w:r>
      <w:proofErr w:type="gramStart"/>
      <w:r>
        <w:t>exchanges  and</w:t>
      </w:r>
      <w:proofErr w:type="gramEnd"/>
      <w:r>
        <w:t xml:space="preserve"> other related m</w:t>
      </w:r>
      <w:r w:rsidRPr="00B31E36">
        <w:t>easures, 2012/0299(COD).</w:t>
      </w:r>
    </w:p>
  </w:footnote>
  <w:footnote w:id="25">
    <w:p w14:paraId="6FD627CC" w14:textId="28A1DB37" w:rsidR="00731A19" w:rsidRPr="009C6B25" w:rsidRDefault="00731A19" w:rsidP="00475801">
      <w:pPr>
        <w:pStyle w:val="footnote"/>
      </w:pPr>
      <w:r w:rsidRPr="00B31E36">
        <w:rPr>
          <w:rStyle w:val="FootnoteReference"/>
          <w:rFonts w:ascii="Corbel" w:hAnsi="Corbel"/>
        </w:rPr>
        <w:footnoteRef/>
      </w:r>
      <w:r>
        <w:t xml:space="preserve"> European Commission, Press r</w:t>
      </w:r>
      <w:r w:rsidRPr="00B31E36">
        <w:t>elease, Outcome of the Council Meeting on 1</w:t>
      </w:r>
      <w:r>
        <w:t xml:space="preserve">8 and 19 June 2015, 10088/15: </w:t>
      </w:r>
      <w:hyperlink r:id="rId2" w:history="1">
        <w:r w:rsidRPr="000D66CD">
          <w:rPr>
            <w:rStyle w:val="Hyperlink"/>
            <w:rFonts w:ascii="Corbel" w:hAnsi="Corbel"/>
          </w:rPr>
          <w:t>https://www.consilium.europa.eu/en/meetings/epsco/2015/06/18</w:t>
        </w:r>
      </w:hyperlink>
      <w:r>
        <w:t xml:space="preserve"> </w:t>
      </w:r>
      <w:r w:rsidRPr="009C6B25">
        <w:t xml:space="preserve">(accessed 10 September 2019). </w:t>
      </w:r>
    </w:p>
  </w:footnote>
  <w:footnote w:id="26">
    <w:p w14:paraId="722537C1" w14:textId="0BDB972D" w:rsidR="00731A19" w:rsidRPr="009C6B25" w:rsidRDefault="00731A19" w:rsidP="00475801">
      <w:pPr>
        <w:pStyle w:val="footnote"/>
      </w:pPr>
      <w:r w:rsidRPr="00B31E36">
        <w:rPr>
          <w:rStyle w:val="FootnoteReference"/>
          <w:rFonts w:ascii="Corbel" w:hAnsi="Corbel"/>
        </w:rPr>
        <w:footnoteRef/>
      </w:r>
      <w:r w:rsidRPr="00B31E36">
        <w:t xml:space="preserve"> Council of </w:t>
      </w:r>
      <w:r>
        <w:t>the European Union, Presidency r</w:t>
      </w:r>
      <w:r w:rsidRPr="00B31E36">
        <w:t>eport from</w:t>
      </w:r>
      <w:r>
        <w:t xml:space="preserve"> 30 November 2015, 14343/15:</w:t>
      </w:r>
      <w:r w:rsidRPr="00B31E36">
        <w:t xml:space="preserve"> </w:t>
      </w:r>
      <w:hyperlink r:id="rId3" w:history="1">
        <w:r w:rsidRPr="000D66CD">
          <w:rPr>
            <w:rStyle w:val="Hyperlink"/>
            <w:rFonts w:ascii="Corbel" w:hAnsi="Corbel"/>
          </w:rPr>
          <w:t>http://data.consilium.europa.eu/doc/document/ST-14343-2015-INIT/en/pdf</w:t>
        </w:r>
      </w:hyperlink>
      <w:r>
        <w:t xml:space="preserve"> </w:t>
      </w:r>
      <w:r w:rsidRPr="009C6B25">
        <w:t>(accessed 29 August 2019).</w:t>
      </w:r>
    </w:p>
  </w:footnote>
  <w:footnote w:id="27">
    <w:p w14:paraId="73F8BE46" w14:textId="03F9A260" w:rsidR="00731A19" w:rsidRPr="00B31E36" w:rsidRDefault="00731A19" w:rsidP="00475801">
      <w:pPr>
        <w:pStyle w:val="footnote"/>
      </w:pPr>
      <w:r w:rsidRPr="00B31E36">
        <w:rPr>
          <w:rStyle w:val="FootnoteReference"/>
          <w:rFonts w:ascii="Corbel" w:hAnsi="Corbel"/>
        </w:rPr>
        <w:footnoteRef/>
      </w:r>
      <w:r w:rsidRPr="00B31E36">
        <w:t xml:space="preserve"> Council of the European Union, Outcome of the Council Meeting on 7 D</w:t>
      </w:r>
      <w:r>
        <w:t>ecember 2015, 14968/15:</w:t>
      </w:r>
      <w:r w:rsidRPr="00B31E36">
        <w:t xml:space="preserve"> </w:t>
      </w:r>
      <w:hyperlink r:id="rId4" w:history="1">
        <w:r w:rsidRPr="00B31E36">
          <w:rPr>
            <w:color w:val="3366FF"/>
            <w:u w:val="single"/>
          </w:rPr>
          <w:t>https://www.consilium.europa.eu/en/meetings/epsco/2015/12/07/</w:t>
        </w:r>
      </w:hyperlink>
      <w:r w:rsidRPr="00B31E36">
        <w:t xml:space="preserve"> (accessed 12 September 2019).</w:t>
      </w:r>
    </w:p>
  </w:footnote>
  <w:footnote w:id="28">
    <w:p w14:paraId="28A87207" w14:textId="27B59665" w:rsidR="00731A19" w:rsidRPr="00B31E36" w:rsidRDefault="00731A19" w:rsidP="00475801">
      <w:pPr>
        <w:pStyle w:val="footnote"/>
      </w:pPr>
      <w:r w:rsidRPr="00B31E36">
        <w:rPr>
          <w:rStyle w:val="FootnoteReference"/>
          <w:rFonts w:ascii="Corbel" w:hAnsi="Corbel"/>
        </w:rPr>
        <w:footnoteRef/>
      </w:r>
      <w:r w:rsidRPr="00B31E36">
        <w:t xml:space="preserve"> Council of the European Union, Outcome of the Council Meeting 15 and 16 2017, 10376/17</w:t>
      </w:r>
      <w:r>
        <w:t xml:space="preserve">: </w:t>
      </w:r>
      <w:hyperlink r:id="rId5" w:history="1">
        <w:r w:rsidRPr="00B31E36">
          <w:rPr>
            <w:rStyle w:val="Hyperlink"/>
            <w:rFonts w:ascii="Corbel" w:hAnsi="Corbel"/>
          </w:rPr>
          <w:t>https://www.consilium.europa.eu/media/22163/st10376en17.pdf</w:t>
        </w:r>
      </w:hyperlink>
      <w:r w:rsidRPr="00B31E36">
        <w:t xml:space="preserve"> (accessed 12 September 2019).</w:t>
      </w:r>
    </w:p>
  </w:footnote>
  <w:footnote w:id="29">
    <w:p w14:paraId="612B2DEA" w14:textId="2E9FE26B" w:rsidR="00731A19" w:rsidRPr="00B31E36" w:rsidRDefault="00731A19" w:rsidP="00475801">
      <w:pPr>
        <w:pStyle w:val="footnote"/>
      </w:pPr>
      <w:r w:rsidRPr="00B31E36">
        <w:rPr>
          <w:rStyle w:val="FootnoteReference"/>
          <w:rFonts w:ascii="Corbel" w:hAnsi="Corbel"/>
        </w:rPr>
        <w:footnoteRef/>
      </w:r>
      <w:r w:rsidRPr="00B31E36">
        <w:t xml:space="preserve"> European Parliament, Council</w:t>
      </w:r>
      <w:r>
        <w:t xml:space="preserve"> and the Commission, Debate on gender on company boards, </w:t>
      </w:r>
      <w:proofErr w:type="gramStart"/>
      <w:r>
        <w:t>Plenary</w:t>
      </w:r>
      <w:proofErr w:type="gramEnd"/>
      <w:r>
        <w:t xml:space="preserve"> s</w:t>
      </w:r>
      <w:r w:rsidRPr="00B31E36">
        <w:t>e</w:t>
      </w:r>
      <w:r>
        <w:t xml:space="preserve">ssion, 30 – 31 January 2019: </w:t>
      </w:r>
      <w:hyperlink r:id="rId6" w:history="1">
        <w:r w:rsidRPr="00B31E36">
          <w:rPr>
            <w:color w:val="0000FF"/>
            <w:u w:val="single"/>
          </w:rPr>
          <w:t>https://multimedia.europarl.europa.eu/en/gender-balance-joint-debate_I167193-V_v</w:t>
        </w:r>
      </w:hyperlink>
      <w:r w:rsidRPr="00B31E36">
        <w:rPr>
          <w:color w:val="0000FF"/>
          <w:u w:val="single"/>
        </w:rPr>
        <w:t xml:space="preserve">  </w:t>
      </w:r>
      <w:r w:rsidRPr="00B31E36">
        <w:rPr>
          <w:color w:val="000000" w:themeColor="text1"/>
        </w:rPr>
        <w:t>(accessed 18 September 2019).</w:t>
      </w:r>
    </w:p>
  </w:footnote>
  <w:footnote w:id="30">
    <w:p w14:paraId="08DEB1EA" w14:textId="7F662028" w:rsidR="00731A19" w:rsidRPr="00B31E36" w:rsidRDefault="00731A19" w:rsidP="00475801">
      <w:pPr>
        <w:pStyle w:val="footnote"/>
        <w:rPr>
          <w:lang w:val="en-US"/>
        </w:rPr>
      </w:pPr>
      <w:r w:rsidRPr="00B31E36">
        <w:rPr>
          <w:rStyle w:val="FootnoteReference"/>
          <w:rFonts w:ascii="Corbel" w:hAnsi="Corbel"/>
        </w:rPr>
        <w:footnoteRef/>
      </w:r>
      <w:r w:rsidRPr="00B31E36">
        <w:t xml:space="preserve"> Particularly, see </w:t>
      </w:r>
      <w:r>
        <w:t xml:space="preserve">EA 2010 </w:t>
      </w:r>
      <w:r w:rsidRPr="00B31E36">
        <w:t>(</w:t>
      </w:r>
      <w:r>
        <w:t xml:space="preserve">supra </w:t>
      </w:r>
      <w:r w:rsidRPr="00B31E36">
        <w:t>n</w:t>
      </w:r>
      <w:r>
        <w:t xml:space="preserve">ote </w:t>
      </w:r>
      <w:r>
        <w:fldChar w:fldCharType="begin"/>
      </w:r>
      <w:r>
        <w:instrText xml:space="preserve"> NOTEREF _Ref26778511 \h  \* MERGEFORMAT </w:instrText>
      </w:r>
      <w:r>
        <w:fldChar w:fldCharType="separate"/>
      </w:r>
      <w:r>
        <w:t>4</w:t>
      </w:r>
      <w:r>
        <w:fldChar w:fldCharType="end"/>
      </w:r>
      <w:r w:rsidRPr="00B31E36">
        <w:t>) and</w:t>
      </w:r>
      <w:r>
        <w:t xml:space="preserve"> Howard</w:t>
      </w:r>
      <w:r w:rsidRPr="00B31E36">
        <w:t xml:space="preserve"> (</w:t>
      </w:r>
      <w:r>
        <w:t xml:space="preserve">supra </w:t>
      </w:r>
      <w:r w:rsidRPr="00B31E36">
        <w:t>n</w:t>
      </w:r>
      <w:r>
        <w:t xml:space="preserve">ote </w:t>
      </w:r>
      <w:r>
        <w:fldChar w:fldCharType="begin"/>
      </w:r>
      <w:r>
        <w:instrText xml:space="preserve"> NOTEREF _Ref26778527 \h  \* MERGEFORMAT </w:instrText>
      </w:r>
      <w:r>
        <w:fldChar w:fldCharType="separate"/>
      </w:r>
      <w:r>
        <w:t>5</w:t>
      </w:r>
      <w:r>
        <w:fldChar w:fldCharType="end"/>
      </w:r>
      <w:r w:rsidRPr="00B31E36">
        <w:t>).</w:t>
      </w:r>
    </w:p>
  </w:footnote>
  <w:footnote w:id="31">
    <w:p w14:paraId="508D4CC3" w14:textId="3B84CB2B" w:rsidR="00731A19" w:rsidRPr="00B31E36" w:rsidRDefault="00731A19" w:rsidP="00475801">
      <w:pPr>
        <w:pStyle w:val="footnote"/>
      </w:pPr>
      <w:r w:rsidRPr="00C0674A">
        <w:rPr>
          <w:rStyle w:val="FootnoteReference"/>
          <w:rFonts w:ascii="Corbel" w:hAnsi="Corbel"/>
          <w:color w:val="FF0000"/>
        </w:rPr>
        <w:footnoteRef/>
      </w:r>
      <w:r w:rsidRPr="00C0674A">
        <w:rPr>
          <w:color w:val="FF0000"/>
        </w:rPr>
        <w:t xml:space="preserve"> Lord Davies, Women on boards – the Davies report (2011):</w:t>
      </w:r>
      <w:r>
        <w:t xml:space="preserve"> </w:t>
      </w:r>
      <w:r w:rsidR="00C0674A">
        <w:t>&lt;</w:t>
      </w:r>
      <w:hyperlink r:id="rId7" w:history="1">
        <w:r w:rsidRPr="00AB483C">
          <w:rPr>
            <w:rStyle w:val="Hyperlink"/>
          </w:rPr>
          <w:t>https://ftsewomenleaders.com/wp-content/uploads/2015/08/women-on-boards-review.pdf&gt;</w:t>
        </w:r>
      </w:hyperlink>
      <w:r w:rsidRPr="00B31E36">
        <w:t xml:space="preserve"> (accessed 10 August 2019). </w:t>
      </w:r>
      <w:proofErr w:type="gramStart"/>
      <w:r w:rsidRPr="00B31E36">
        <w:t>(Davies Report, 2011).</w:t>
      </w:r>
      <w:proofErr w:type="gramEnd"/>
    </w:p>
  </w:footnote>
  <w:footnote w:id="32">
    <w:p w14:paraId="57C6BE1D" w14:textId="4A8869C4" w:rsidR="00731A19" w:rsidRPr="00C0674A" w:rsidRDefault="00731A19" w:rsidP="00C0674A">
      <w:pPr>
        <w:rPr>
          <w:rFonts w:cstheme="minorHAnsi"/>
          <w:sz w:val="20"/>
          <w:szCs w:val="20"/>
        </w:rPr>
      </w:pPr>
      <w:r w:rsidRPr="00C0674A">
        <w:rPr>
          <w:rStyle w:val="FootnoteReference"/>
          <w:rFonts w:cstheme="minorHAnsi"/>
          <w:color w:val="FF0000"/>
          <w:sz w:val="20"/>
          <w:szCs w:val="20"/>
        </w:rPr>
        <w:footnoteRef/>
      </w:r>
      <w:r w:rsidRPr="00C0674A">
        <w:rPr>
          <w:rFonts w:cstheme="minorHAnsi"/>
          <w:color w:val="FF0000"/>
          <w:sz w:val="20"/>
          <w:szCs w:val="20"/>
        </w:rPr>
        <w:t xml:space="preserve"> Higgs, D. </w:t>
      </w:r>
      <w:r w:rsidRPr="00C0674A">
        <w:rPr>
          <w:rFonts w:cstheme="minorHAnsi"/>
          <w:i/>
          <w:color w:val="FF0000"/>
          <w:sz w:val="20"/>
          <w:szCs w:val="20"/>
        </w:rPr>
        <w:t>Review of the role and effectiveness of non-executive directors</w:t>
      </w:r>
      <w:r w:rsidRPr="00C0674A">
        <w:rPr>
          <w:rFonts w:cstheme="minorHAnsi"/>
          <w:color w:val="FF0000"/>
          <w:sz w:val="20"/>
          <w:szCs w:val="20"/>
        </w:rPr>
        <w:t xml:space="preserve">, </w:t>
      </w:r>
      <w:r w:rsidR="003E78EE" w:rsidRPr="00C0674A">
        <w:rPr>
          <w:rFonts w:cstheme="minorHAnsi"/>
          <w:color w:val="FF0000"/>
          <w:sz w:val="20"/>
          <w:szCs w:val="20"/>
        </w:rPr>
        <w:t>CMND</w:t>
      </w:r>
      <w:r w:rsidRPr="00C0674A">
        <w:rPr>
          <w:rFonts w:cstheme="minorHAnsi"/>
          <w:color w:val="FF0000"/>
          <w:sz w:val="20"/>
          <w:szCs w:val="20"/>
        </w:rPr>
        <w:t xml:space="preserve"> 809438, (L</w:t>
      </w:r>
      <w:r w:rsidR="00C0674A" w:rsidRPr="00C0674A">
        <w:rPr>
          <w:rFonts w:cstheme="minorHAnsi"/>
          <w:color w:val="FF0000"/>
          <w:sz w:val="20"/>
          <w:szCs w:val="20"/>
        </w:rPr>
        <w:t>ondon, DTI 2003):</w:t>
      </w:r>
      <w:r w:rsidRPr="00C0674A">
        <w:rPr>
          <w:rFonts w:cstheme="minorHAnsi"/>
          <w:color w:val="FF0000"/>
          <w:sz w:val="20"/>
          <w:szCs w:val="20"/>
        </w:rPr>
        <w:t xml:space="preserve"> </w:t>
      </w:r>
      <w:hyperlink r:id="rId8" w:history="1">
        <w:r w:rsidR="00C0674A" w:rsidRPr="00C0674A">
          <w:rPr>
            <w:rFonts w:cstheme="minorHAnsi"/>
            <w:color w:val="0000FF"/>
            <w:sz w:val="20"/>
            <w:szCs w:val="20"/>
            <w:u w:val="single"/>
          </w:rPr>
          <w:t>https://web.archive.org/web/20080726222758/http://www.berr.gov.uk/files/file23012.pdf</w:t>
        </w:r>
      </w:hyperlink>
      <w:r w:rsidR="00C0674A" w:rsidRPr="00C0674A">
        <w:rPr>
          <w:rFonts w:cstheme="minorHAnsi"/>
          <w:sz w:val="20"/>
          <w:szCs w:val="20"/>
        </w:rPr>
        <w:t xml:space="preserve"> (accessed 30 September 2019). (Higgs Review).</w:t>
      </w:r>
    </w:p>
  </w:footnote>
  <w:footnote w:id="33">
    <w:p w14:paraId="7E78403D" w14:textId="6D70C8B6" w:rsidR="00731A19" w:rsidRPr="00B31E36" w:rsidRDefault="00731A19" w:rsidP="00475801">
      <w:pPr>
        <w:pStyle w:val="footnote"/>
      </w:pPr>
      <w:r w:rsidRPr="00B31E36">
        <w:rPr>
          <w:rStyle w:val="FootnoteReference"/>
          <w:rFonts w:ascii="Corbel" w:hAnsi="Corbel"/>
        </w:rPr>
        <w:footnoteRef/>
      </w:r>
      <w:r>
        <w:t xml:space="preserve"> Hampton-Alexander r</w:t>
      </w:r>
      <w:r w:rsidRPr="00B31E36">
        <w:t xml:space="preserve">eview, </w:t>
      </w:r>
      <w:r>
        <w:rPr>
          <w:i/>
        </w:rPr>
        <w:t>FTSE women leaders – improving gender balance in FTSE l</w:t>
      </w:r>
      <w:r w:rsidRPr="00B31E36">
        <w:rPr>
          <w:i/>
        </w:rPr>
        <w:t>eadership</w:t>
      </w:r>
      <w:r>
        <w:t>, (2016):</w:t>
      </w:r>
      <w:r w:rsidRPr="00B31E36">
        <w:rPr>
          <w:color w:val="FF0000"/>
        </w:rPr>
        <w:t xml:space="preserve"> </w:t>
      </w:r>
      <w:hyperlink r:id="rId9" w:history="1">
        <w:r w:rsidRPr="00B31E36">
          <w:rPr>
            <w:color w:val="0000FF"/>
            <w:u w:val="single"/>
          </w:rPr>
          <w:t>https://ftsewomenleaders.com/</w:t>
        </w:r>
      </w:hyperlink>
      <w:r w:rsidRPr="00B31E36">
        <w:t xml:space="preserve"> (accessed 28 August 2019)</w:t>
      </w:r>
      <w:proofErr w:type="gramStart"/>
      <w:r w:rsidRPr="00B31E36">
        <w:t>.</w:t>
      </w:r>
      <w:r>
        <w:t>(</w:t>
      </w:r>
      <w:proofErr w:type="gramEnd"/>
      <w:r>
        <w:t>Hampton Alexander review 2016).</w:t>
      </w:r>
    </w:p>
  </w:footnote>
  <w:footnote w:id="34">
    <w:p w14:paraId="66455EF7" w14:textId="0BECAE3F" w:rsidR="00731A19" w:rsidRPr="00B31E36" w:rsidRDefault="00731A19" w:rsidP="00475801">
      <w:pPr>
        <w:pStyle w:val="footnote"/>
      </w:pPr>
      <w:r w:rsidRPr="00B31E36">
        <w:rPr>
          <w:rStyle w:val="FootnoteReference"/>
          <w:rFonts w:ascii="Corbel" w:hAnsi="Corbel"/>
        </w:rPr>
        <w:footnoteRef/>
      </w:r>
      <w:r>
        <w:t xml:space="preserve"> </w:t>
      </w:r>
      <w:proofErr w:type="gramStart"/>
      <w:r>
        <w:t>Davies r</w:t>
      </w:r>
      <w:r w:rsidRPr="00B31E36">
        <w:t>eport (</w:t>
      </w:r>
      <w:r>
        <w:t xml:space="preserve">supra note </w:t>
      </w:r>
      <w:r>
        <w:fldChar w:fldCharType="begin"/>
      </w:r>
      <w:r>
        <w:instrText xml:space="preserve"> NOTEREF _Ref26779905 \h  \* MERGEFORMAT </w:instrText>
      </w:r>
      <w:r>
        <w:fldChar w:fldCharType="separate"/>
      </w:r>
      <w:r>
        <w:t>31</w:t>
      </w:r>
      <w:r>
        <w:fldChar w:fldCharType="end"/>
      </w:r>
      <w:r w:rsidRPr="00B31E36">
        <w:t>).</w:t>
      </w:r>
      <w:proofErr w:type="gramEnd"/>
      <w:r w:rsidRPr="00B31E36">
        <w:t xml:space="preserve"> </w:t>
      </w:r>
    </w:p>
  </w:footnote>
  <w:footnote w:id="35">
    <w:p w14:paraId="4E36D73B" w14:textId="1F7C3E00" w:rsidR="00731A19" w:rsidRPr="00B31E36" w:rsidRDefault="00731A19" w:rsidP="00475801">
      <w:pPr>
        <w:pStyle w:val="footnote"/>
      </w:pPr>
      <w:r w:rsidRPr="002544D7">
        <w:rPr>
          <w:rStyle w:val="FootnoteReference"/>
          <w:rFonts w:ascii="Corbel" w:hAnsi="Corbel"/>
        </w:rPr>
        <w:footnoteRef/>
      </w:r>
      <w:r w:rsidRPr="002544D7">
        <w:t xml:space="preserve"> FTSE 350 refers to a market index by the Financial Times Stock Exchange (FTSE) incorporating the top 350 public listed companies in the UK. It is a combination of the top largest 100 companies (FTSE100) and the second largest top 250 companies (FTSE 250).</w:t>
      </w:r>
    </w:p>
  </w:footnote>
  <w:footnote w:id="36">
    <w:p w14:paraId="0E591ED9" w14:textId="11E5695A" w:rsidR="00731A19" w:rsidRPr="00B31E36" w:rsidRDefault="00731A19" w:rsidP="00475801">
      <w:pPr>
        <w:pStyle w:val="footnote"/>
      </w:pPr>
      <w:r w:rsidRPr="00B31E36">
        <w:rPr>
          <w:rStyle w:val="FootnoteReference"/>
          <w:rFonts w:ascii="Corbel" w:hAnsi="Corbel"/>
        </w:rPr>
        <w:footnoteRef/>
      </w:r>
      <w:r>
        <w:t xml:space="preserve"> Davies report </w:t>
      </w:r>
      <w:r w:rsidRPr="00B31E36">
        <w:t>(</w:t>
      </w:r>
      <w:r>
        <w:t xml:space="preserve">supra note </w:t>
      </w:r>
      <w:r>
        <w:fldChar w:fldCharType="begin"/>
      </w:r>
      <w:r>
        <w:instrText xml:space="preserve"> NOTEREF _Ref26779905 \h  \* MERGEFORMAT </w:instrText>
      </w:r>
      <w:r>
        <w:fldChar w:fldCharType="separate"/>
      </w:r>
      <w:r>
        <w:t>31</w:t>
      </w:r>
      <w:r>
        <w:fldChar w:fldCharType="end"/>
      </w:r>
      <w:proofErr w:type="gramStart"/>
      <w:r>
        <w:t>)  Summary</w:t>
      </w:r>
      <w:proofErr w:type="gramEnd"/>
      <w:r>
        <w:t xml:space="preserve"> of recommendations. P. 5</w:t>
      </w:r>
      <w:r w:rsidRPr="00B31E36">
        <w:t>.</w:t>
      </w:r>
    </w:p>
  </w:footnote>
  <w:footnote w:id="37">
    <w:p w14:paraId="0C011AA4" w14:textId="5C37B91D" w:rsidR="00731A19" w:rsidRPr="00B31E36" w:rsidRDefault="00731A19" w:rsidP="00475801">
      <w:pPr>
        <w:pStyle w:val="footnote"/>
      </w:pPr>
      <w:r w:rsidRPr="00B31E36">
        <w:rPr>
          <w:rStyle w:val="FootnoteReference"/>
          <w:rFonts w:ascii="Corbel" w:hAnsi="Corbel"/>
        </w:rPr>
        <w:footnoteRef/>
      </w:r>
      <w:r>
        <w:t xml:space="preserve"> Davies r</w:t>
      </w:r>
      <w:r w:rsidRPr="00B31E36">
        <w:t xml:space="preserve">eview, </w:t>
      </w:r>
      <w:r>
        <w:rPr>
          <w:i/>
        </w:rPr>
        <w:t>Women on boards – five-year s</w:t>
      </w:r>
      <w:r w:rsidRPr="00B31E36">
        <w:rPr>
          <w:i/>
        </w:rPr>
        <w:t>ummary</w:t>
      </w:r>
      <w:r w:rsidRPr="00B31E36">
        <w:t>, (15 October 2015)</w:t>
      </w:r>
      <w:r>
        <w:t>:</w:t>
      </w:r>
      <w:r w:rsidRPr="00D410D2">
        <w:t xml:space="preserve"> </w:t>
      </w:r>
      <w:hyperlink r:id="rId10" w:history="1">
        <w:r w:rsidRPr="000D66CD">
          <w:rPr>
            <w:rStyle w:val="Hyperlink"/>
            <w:rFonts w:ascii="Corbel" w:hAnsi="Corbel"/>
          </w:rPr>
          <w:t>https://ftsewomenleaders.com/wp-content/uploads/2015/11/Davies-Review-Five-year-Summary-Oct-2015.pdf</w:t>
        </w:r>
      </w:hyperlink>
      <w:r>
        <w:t xml:space="preserve">  </w:t>
      </w:r>
      <w:r w:rsidRPr="00D410D2">
        <w:t>(accessed 30 August 2019).</w:t>
      </w:r>
    </w:p>
  </w:footnote>
  <w:footnote w:id="38">
    <w:p w14:paraId="1627241F" w14:textId="29075998" w:rsidR="00731A19" w:rsidRPr="00B31E36" w:rsidRDefault="00731A19" w:rsidP="00475801">
      <w:pPr>
        <w:pStyle w:val="footnote"/>
      </w:pPr>
      <w:r w:rsidRPr="002544D7">
        <w:rPr>
          <w:rStyle w:val="FootnoteReference"/>
          <w:rFonts w:ascii="Corbel" w:hAnsi="Corbel"/>
        </w:rPr>
        <w:footnoteRef/>
      </w:r>
      <w:r>
        <w:t xml:space="preserve"> </w:t>
      </w:r>
      <w:proofErr w:type="gramStart"/>
      <w:r>
        <w:t xml:space="preserve">Davies report </w:t>
      </w:r>
      <w:r w:rsidRPr="00B31E36">
        <w:t>(</w:t>
      </w:r>
      <w:r>
        <w:t xml:space="preserve">supra note </w:t>
      </w:r>
      <w:r>
        <w:fldChar w:fldCharType="begin"/>
      </w:r>
      <w:r>
        <w:instrText xml:space="preserve"> NOTEREF _Ref26779905 \h  \* MERGEFORMAT </w:instrText>
      </w:r>
      <w:r>
        <w:fldChar w:fldCharType="separate"/>
      </w:r>
      <w:r>
        <w:t>31</w:t>
      </w:r>
      <w:r>
        <w:fldChar w:fldCharType="end"/>
      </w:r>
      <w:r>
        <w:t>) Executive s</w:t>
      </w:r>
      <w:r w:rsidRPr="002544D7">
        <w:t>ummary</w:t>
      </w:r>
      <w:r>
        <w:t>.</w:t>
      </w:r>
      <w:proofErr w:type="gramEnd"/>
      <w:r>
        <w:t xml:space="preserve"> P.</w:t>
      </w:r>
      <w:r w:rsidRPr="002544D7">
        <w:t xml:space="preserve"> 3.</w:t>
      </w:r>
    </w:p>
  </w:footnote>
  <w:footnote w:id="39">
    <w:p w14:paraId="2167B4B6" w14:textId="1A04E307" w:rsidR="00731A19" w:rsidRPr="00B31E36" w:rsidRDefault="00731A19" w:rsidP="00475801">
      <w:pPr>
        <w:pStyle w:val="footnote"/>
      </w:pPr>
      <w:r w:rsidRPr="00B31E36">
        <w:rPr>
          <w:rStyle w:val="FootnoteReference"/>
          <w:rFonts w:ascii="Corbel" w:hAnsi="Corbel"/>
        </w:rPr>
        <w:footnoteRef/>
      </w:r>
      <w:r w:rsidRPr="00B31E36">
        <w:t xml:space="preserve"> </w:t>
      </w:r>
      <w:r>
        <w:t xml:space="preserve">Higgs review (supra note </w:t>
      </w:r>
      <w:r>
        <w:fldChar w:fldCharType="begin"/>
      </w:r>
      <w:r>
        <w:instrText xml:space="preserve"> NOTEREF _Ref26780216 \h  \* MERGEFORMAT </w:instrText>
      </w:r>
      <w:r>
        <w:fldChar w:fldCharType="separate"/>
      </w:r>
      <w:r>
        <w:t>32</w:t>
      </w:r>
      <w:r>
        <w:fldChar w:fldCharType="end"/>
      </w:r>
      <w:r>
        <w:t>).</w:t>
      </w:r>
    </w:p>
  </w:footnote>
  <w:footnote w:id="40">
    <w:p w14:paraId="5F744ECF" w14:textId="0243767F" w:rsidR="00731A19" w:rsidRPr="00B31E36" w:rsidRDefault="00731A19" w:rsidP="00475801">
      <w:pPr>
        <w:pStyle w:val="footnote"/>
      </w:pPr>
      <w:r w:rsidRPr="002544D7">
        <w:rPr>
          <w:rStyle w:val="FootnoteReference"/>
          <w:rFonts w:ascii="Corbel" w:hAnsi="Corbel"/>
        </w:rPr>
        <w:footnoteRef/>
      </w:r>
      <w:r>
        <w:t xml:space="preserve"> </w:t>
      </w:r>
      <w:r w:rsidR="003E78EE">
        <w:t>Ibid.</w:t>
      </w:r>
      <w:r w:rsidRPr="002544D7">
        <w:t xml:space="preserve"> </w:t>
      </w:r>
      <w:proofErr w:type="gramStart"/>
      <w:r w:rsidRPr="002544D7">
        <w:t>Introduction, para.</w:t>
      </w:r>
      <w:proofErr w:type="gramEnd"/>
      <w:r w:rsidRPr="002544D7">
        <w:t xml:space="preserve"> 1.2 and Annex </w:t>
      </w:r>
      <w:proofErr w:type="gramStart"/>
      <w:r w:rsidRPr="002544D7">
        <w:t>A</w:t>
      </w:r>
      <w:r>
        <w:t xml:space="preserve"> </w:t>
      </w:r>
      <w:r w:rsidRPr="002544D7">
        <w:t>.</w:t>
      </w:r>
      <w:proofErr w:type="gramEnd"/>
    </w:p>
  </w:footnote>
  <w:footnote w:id="41">
    <w:p w14:paraId="3272E62B" w14:textId="11669486" w:rsidR="00731A19" w:rsidRPr="00B31E36" w:rsidRDefault="00731A19" w:rsidP="00475801">
      <w:pPr>
        <w:pStyle w:val="footnote"/>
      </w:pPr>
      <w:r w:rsidRPr="00B31E36">
        <w:rPr>
          <w:rStyle w:val="FootnoteReference"/>
          <w:rFonts w:ascii="Corbel" w:hAnsi="Corbel"/>
        </w:rPr>
        <w:footnoteRef/>
      </w:r>
      <w:r>
        <w:t xml:space="preserve"> </w:t>
      </w:r>
      <w:r w:rsidR="003E78EE">
        <w:t>Ibid.</w:t>
      </w:r>
      <w:r w:rsidRPr="00B31E36">
        <w:t xml:space="preserve"> </w:t>
      </w:r>
      <w:proofErr w:type="gramStart"/>
      <w:r w:rsidRPr="00B31E36">
        <w:t>Summary of recommendations, para.10.9 and Annex F.</w:t>
      </w:r>
      <w:proofErr w:type="gramEnd"/>
    </w:p>
  </w:footnote>
  <w:footnote w:id="42">
    <w:p w14:paraId="228C6743" w14:textId="6B9009D4" w:rsidR="00731A19" w:rsidRPr="00B31E36" w:rsidRDefault="00731A19" w:rsidP="00475801">
      <w:pPr>
        <w:pStyle w:val="footnote"/>
      </w:pPr>
      <w:r w:rsidRPr="00B31E36">
        <w:rPr>
          <w:rStyle w:val="FootnoteReference"/>
          <w:rFonts w:ascii="Corbel" w:hAnsi="Corbel"/>
        </w:rPr>
        <w:footnoteRef/>
      </w:r>
      <w:r w:rsidRPr="00B31E36">
        <w:t xml:space="preserve"> Ibid.</w:t>
      </w:r>
    </w:p>
  </w:footnote>
  <w:footnote w:id="43">
    <w:p w14:paraId="7F623134" w14:textId="0AB95668" w:rsidR="00731A19" w:rsidRPr="00B31E36" w:rsidRDefault="00731A19" w:rsidP="00475801">
      <w:pPr>
        <w:pStyle w:val="footnote"/>
        <w:rPr>
          <w:color w:val="0000FF"/>
        </w:rPr>
      </w:pPr>
      <w:r w:rsidRPr="00B31E36">
        <w:rPr>
          <w:rStyle w:val="FootnoteReference"/>
          <w:rFonts w:ascii="Corbel" w:hAnsi="Corbel"/>
        </w:rPr>
        <w:footnoteRef/>
      </w:r>
      <w:r w:rsidR="003E78EE">
        <w:t xml:space="preserve"> Ibid. P</w:t>
      </w:r>
      <w:r>
        <w:t xml:space="preserve">. </w:t>
      </w:r>
      <w:r w:rsidRPr="00B31E36">
        <w:t xml:space="preserve"> 40, para</w:t>
      </w:r>
      <w:proofErr w:type="gramStart"/>
      <w:r w:rsidRPr="00B31E36">
        <w:t>,10.9</w:t>
      </w:r>
      <w:proofErr w:type="gramEnd"/>
      <w:r w:rsidRPr="00B31E36">
        <w:t>.</w:t>
      </w:r>
    </w:p>
  </w:footnote>
  <w:footnote w:id="44">
    <w:p w14:paraId="75069D1C" w14:textId="2C0DCE50" w:rsidR="00731A19" w:rsidRPr="00E7730A" w:rsidRDefault="00731A19" w:rsidP="00475801">
      <w:pPr>
        <w:pStyle w:val="footnote"/>
      </w:pPr>
      <w:r w:rsidRPr="00B31E36">
        <w:rPr>
          <w:rStyle w:val="FootnoteReference"/>
          <w:rFonts w:ascii="Corbel" w:hAnsi="Corbel"/>
        </w:rPr>
        <w:footnoteRef/>
      </w:r>
      <w:r w:rsidRPr="00B31E36">
        <w:t xml:space="preserve"> BIS</w:t>
      </w:r>
      <w:r>
        <w:rPr>
          <w:i/>
        </w:rPr>
        <w:t>, Women on boards: voluntary code for executive search firms – taking the next s</w:t>
      </w:r>
      <w:r w:rsidRPr="00B31E36">
        <w:rPr>
          <w:i/>
        </w:rPr>
        <w:t>teps</w:t>
      </w:r>
      <w:r w:rsidRPr="00B31E36">
        <w:t>, (BIS/14/640)</w:t>
      </w:r>
      <w:r>
        <w:t>:</w:t>
      </w:r>
      <w:r w:rsidRPr="00E7730A">
        <w:t xml:space="preserve"> </w:t>
      </w:r>
      <w:hyperlink r:id="rId11" w:history="1">
        <w:r w:rsidRPr="000D66CD">
          <w:rPr>
            <w:rStyle w:val="Hyperlink"/>
            <w:rFonts w:ascii="Corbel" w:hAnsi="Corbel"/>
          </w:rPr>
          <w:t>https://www.gov.uk/government/publications/women-on-boards-voluntary-code-for-executive-search-firms</w:t>
        </w:r>
      </w:hyperlink>
      <w:r>
        <w:t xml:space="preserve"> </w:t>
      </w:r>
      <w:r w:rsidRPr="00B31E36">
        <w:t xml:space="preserve"> </w:t>
      </w:r>
      <w:r w:rsidRPr="00E7730A">
        <w:t>(accessed</w:t>
      </w:r>
      <w:r>
        <w:t xml:space="preserve"> 01 September 2019). (</w:t>
      </w:r>
      <w:r w:rsidRPr="00E7730A">
        <w:t xml:space="preserve">Sweeney Review). </w:t>
      </w:r>
    </w:p>
  </w:footnote>
  <w:footnote w:id="45">
    <w:p w14:paraId="19C639E1" w14:textId="30AF114E" w:rsidR="00731A19" w:rsidRPr="00B31E36" w:rsidRDefault="00731A19" w:rsidP="00475801">
      <w:pPr>
        <w:pStyle w:val="footnote"/>
      </w:pPr>
      <w:r w:rsidRPr="00B31E36">
        <w:rPr>
          <w:rStyle w:val="FootnoteReference"/>
          <w:rFonts w:ascii="Corbel" w:hAnsi="Corbel"/>
        </w:rPr>
        <w:footnoteRef/>
      </w:r>
      <w:r>
        <w:t xml:space="preserve"> Ibid. P.</w:t>
      </w:r>
      <w:r w:rsidRPr="00B31E36">
        <w:t xml:space="preserve"> 4.</w:t>
      </w:r>
    </w:p>
  </w:footnote>
  <w:footnote w:id="46">
    <w:p w14:paraId="64A72635" w14:textId="512BD94D" w:rsidR="00731A19" w:rsidRPr="00B31E36" w:rsidRDefault="00731A19" w:rsidP="00475801">
      <w:pPr>
        <w:pStyle w:val="footnote"/>
      </w:pPr>
      <w:r w:rsidRPr="00B31E36">
        <w:rPr>
          <w:rStyle w:val="FootnoteReference"/>
          <w:rFonts w:ascii="Corbel" w:hAnsi="Corbel"/>
        </w:rPr>
        <w:footnoteRef/>
      </w:r>
      <w:r>
        <w:t xml:space="preserve"> Ibid. P. 4–</w:t>
      </w:r>
      <w:r w:rsidRPr="00B31E36">
        <w:t>5.</w:t>
      </w:r>
    </w:p>
  </w:footnote>
  <w:footnote w:id="47">
    <w:p w14:paraId="7B71A54E" w14:textId="7B2B8A37" w:rsidR="00731A19" w:rsidRPr="00B31E36" w:rsidRDefault="00731A19" w:rsidP="00475801">
      <w:pPr>
        <w:pStyle w:val="footnote"/>
      </w:pPr>
      <w:r w:rsidRPr="00B31E36">
        <w:rPr>
          <w:rStyle w:val="FootnoteReference"/>
          <w:rFonts w:ascii="Corbel" w:hAnsi="Corbel"/>
        </w:rPr>
        <w:footnoteRef/>
      </w:r>
      <w:r w:rsidRPr="00B31E36">
        <w:t xml:space="preserve"> </w:t>
      </w:r>
      <w:proofErr w:type="gramStart"/>
      <w:r w:rsidRPr="00B31E36">
        <w:t>Hampton-Alexander</w:t>
      </w:r>
      <w:r>
        <w:t xml:space="preserve"> review 2016 (supra note </w:t>
      </w:r>
      <w:r>
        <w:fldChar w:fldCharType="begin"/>
      </w:r>
      <w:r>
        <w:instrText xml:space="preserve"> NOTEREF _Ref26781025 \h  \* MERGEFORMAT </w:instrText>
      </w:r>
      <w:r>
        <w:fldChar w:fldCharType="separate"/>
      </w:r>
      <w:r>
        <w:t>33</w:t>
      </w:r>
      <w:r>
        <w:fldChar w:fldCharType="end"/>
      </w:r>
      <w:r>
        <w:t>).</w:t>
      </w:r>
      <w:proofErr w:type="gramEnd"/>
    </w:p>
  </w:footnote>
  <w:footnote w:id="48">
    <w:p w14:paraId="51DF8A4F" w14:textId="4B47F553" w:rsidR="00731A19" w:rsidRPr="00B31E36" w:rsidRDefault="00731A19" w:rsidP="00475801">
      <w:pPr>
        <w:pStyle w:val="footnote"/>
      </w:pPr>
      <w:r w:rsidRPr="00B31E36">
        <w:rPr>
          <w:rStyle w:val="FootnoteReference"/>
          <w:rFonts w:ascii="Corbel" w:hAnsi="Corbel"/>
        </w:rPr>
        <w:footnoteRef/>
      </w:r>
      <w:r w:rsidRPr="00B31E36">
        <w:t xml:space="preserve"> </w:t>
      </w:r>
      <w:r>
        <w:t>Ibid. P.</w:t>
      </w:r>
      <w:r w:rsidRPr="00B31E36">
        <w:t xml:space="preserve"> 10.</w:t>
      </w:r>
    </w:p>
  </w:footnote>
  <w:footnote w:id="49">
    <w:p w14:paraId="07C9E4F9" w14:textId="6FFF0F36" w:rsidR="00731A19" w:rsidRPr="00B31E36" w:rsidRDefault="00731A19" w:rsidP="00475801">
      <w:pPr>
        <w:pStyle w:val="footnote"/>
      </w:pPr>
      <w:r w:rsidRPr="00B31E36">
        <w:rPr>
          <w:rStyle w:val="FootnoteReference"/>
          <w:rFonts w:ascii="Corbel" w:hAnsi="Corbel"/>
        </w:rPr>
        <w:footnoteRef/>
      </w:r>
      <w:r w:rsidRPr="00B31E36">
        <w:t xml:space="preserve"> </w:t>
      </w:r>
      <w:r>
        <w:t xml:space="preserve">Ibid. </w:t>
      </w:r>
      <w:proofErr w:type="gramStart"/>
      <w:r>
        <w:t>r</w:t>
      </w:r>
      <w:r w:rsidRPr="00B31E36">
        <w:t>ecommendation</w:t>
      </w:r>
      <w:proofErr w:type="gramEnd"/>
      <w:r w:rsidRPr="00B31E36">
        <w:t xml:space="preserve"> 1.1 and 1.2.</w:t>
      </w:r>
    </w:p>
  </w:footnote>
  <w:footnote w:id="50">
    <w:p w14:paraId="6761E9FD" w14:textId="6C994FAF" w:rsidR="00731A19" w:rsidRPr="00B31E36" w:rsidRDefault="00731A19" w:rsidP="00475801">
      <w:pPr>
        <w:pStyle w:val="footnote"/>
      </w:pPr>
      <w:r w:rsidRPr="00B31E36">
        <w:rPr>
          <w:rStyle w:val="FootnoteReference"/>
          <w:rFonts w:ascii="Corbel" w:hAnsi="Corbel"/>
        </w:rPr>
        <w:footnoteRef/>
      </w:r>
      <w:r w:rsidRPr="00B31E36">
        <w:t xml:space="preserve"> </w:t>
      </w:r>
      <w:r>
        <w:t>Ibid.</w:t>
      </w:r>
      <w:r w:rsidRPr="00B31E36">
        <w:t xml:space="preserve"> </w:t>
      </w:r>
      <w:proofErr w:type="gramStart"/>
      <w:r w:rsidRPr="00B31E36">
        <w:t>recommendation</w:t>
      </w:r>
      <w:proofErr w:type="gramEnd"/>
      <w:r w:rsidRPr="00B31E36">
        <w:t xml:space="preserve"> 2.</w:t>
      </w:r>
    </w:p>
  </w:footnote>
  <w:footnote w:id="51">
    <w:p w14:paraId="325A7E54" w14:textId="18ED7CF3" w:rsidR="00731A19" w:rsidRPr="00B31E36" w:rsidRDefault="00731A19" w:rsidP="00475801">
      <w:pPr>
        <w:pStyle w:val="footnote"/>
      </w:pPr>
      <w:r w:rsidRPr="00B31E36">
        <w:rPr>
          <w:rStyle w:val="FootnoteReference"/>
          <w:rFonts w:ascii="Corbel" w:hAnsi="Corbel"/>
        </w:rPr>
        <w:footnoteRef/>
      </w:r>
      <w:r w:rsidRPr="00B31E36">
        <w:t xml:space="preserve"> </w:t>
      </w:r>
      <w:r>
        <w:t>Ibid.</w:t>
      </w:r>
      <w:r w:rsidRPr="00B31E36">
        <w:t xml:space="preserve"> </w:t>
      </w:r>
      <w:proofErr w:type="gramStart"/>
      <w:r w:rsidRPr="00B31E36">
        <w:t>recommendation</w:t>
      </w:r>
      <w:proofErr w:type="gramEnd"/>
      <w:r w:rsidRPr="00B31E36">
        <w:t xml:space="preserve"> 2.4</w:t>
      </w:r>
    </w:p>
  </w:footnote>
  <w:footnote w:id="52">
    <w:p w14:paraId="54AD3A2D" w14:textId="1A1B9963" w:rsidR="00731A19" w:rsidRPr="00B31E36" w:rsidRDefault="00731A19" w:rsidP="00475801">
      <w:pPr>
        <w:pStyle w:val="footnote"/>
      </w:pPr>
      <w:r w:rsidRPr="00B31E36">
        <w:rPr>
          <w:rStyle w:val="FootnoteReference"/>
          <w:rFonts w:ascii="Corbel" w:hAnsi="Corbel"/>
        </w:rPr>
        <w:footnoteRef/>
      </w:r>
      <w:r w:rsidRPr="00B31E36">
        <w:t xml:space="preserve"> </w:t>
      </w:r>
      <w:r>
        <w:t>Ibid.</w:t>
      </w:r>
      <w:r w:rsidRPr="00B31E36">
        <w:t xml:space="preserve"> </w:t>
      </w:r>
      <w:proofErr w:type="gramStart"/>
      <w:r w:rsidRPr="00B31E36">
        <w:t>recommendation</w:t>
      </w:r>
      <w:proofErr w:type="gramEnd"/>
      <w:r w:rsidRPr="00B31E36">
        <w:t xml:space="preserve"> 4.2.</w:t>
      </w:r>
    </w:p>
  </w:footnote>
  <w:footnote w:id="53">
    <w:p w14:paraId="149DAC23" w14:textId="5B1A5ACF" w:rsidR="00731A19" w:rsidRPr="00B31E36" w:rsidRDefault="00731A19" w:rsidP="00475801">
      <w:pPr>
        <w:pStyle w:val="footnote"/>
      </w:pPr>
      <w:r w:rsidRPr="00B31E36">
        <w:rPr>
          <w:rStyle w:val="FootnoteReference"/>
          <w:rFonts w:ascii="Corbel" w:hAnsi="Corbel"/>
        </w:rPr>
        <w:footnoteRef/>
      </w:r>
      <w:r w:rsidRPr="00B31E36">
        <w:t xml:space="preserve"> </w:t>
      </w:r>
      <w:r>
        <w:t>Ibid.</w:t>
      </w:r>
      <w:r w:rsidRPr="00B31E36">
        <w:t xml:space="preserve"> </w:t>
      </w:r>
      <w:proofErr w:type="gramStart"/>
      <w:r w:rsidRPr="00B31E36">
        <w:t>recommendation</w:t>
      </w:r>
      <w:proofErr w:type="gramEnd"/>
      <w:r w:rsidRPr="00B31E36">
        <w:t xml:space="preserve"> 5.2.</w:t>
      </w:r>
    </w:p>
  </w:footnote>
  <w:footnote w:id="54">
    <w:p w14:paraId="7FE181BE" w14:textId="27957304" w:rsidR="00731A19" w:rsidRPr="00727AEA" w:rsidRDefault="00731A19" w:rsidP="00475801">
      <w:pPr>
        <w:pStyle w:val="footnote"/>
      </w:pPr>
      <w:r w:rsidRPr="00B31E36">
        <w:rPr>
          <w:rStyle w:val="FootnoteReference"/>
          <w:rFonts w:ascii="Corbel" w:hAnsi="Corbel"/>
        </w:rPr>
        <w:footnoteRef/>
      </w:r>
      <w:r w:rsidRPr="00B31E36">
        <w:t xml:space="preserve"> Hampton-Alexander Review, </w:t>
      </w:r>
      <w:r>
        <w:rPr>
          <w:i/>
        </w:rPr>
        <w:t>FTSE women leaders – improving gender balance in FTSE l</w:t>
      </w:r>
      <w:r w:rsidRPr="00B31E36">
        <w:rPr>
          <w:i/>
        </w:rPr>
        <w:t>eadership</w:t>
      </w:r>
      <w:r w:rsidRPr="00B31E36">
        <w:t>, (16 November 2018)</w:t>
      </w:r>
      <w:r>
        <w:t xml:space="preserve">: </w:t>
      </w:r>
      <w:hyperlink r:id="rId12" w:history="1">
        <w:r w:rsidRPr="000D66CD">
          <w:rPr>
            <w:rStyle w:val="Hyperlink"/>
            <w:rFonts w:ascii="Corbel" w:hAnsi="Corbel"/>
          </w:rPr>
          <w:t>https://ftsewomenleaders.com/wp-content/uploads/2018/11/HA-Review-Report-2018.pdf</w:t>
        </w:r>
      </w:hyperlink>
      <w:r>
        <w:t xml:space="preserve"> </w:t>
      </w:r>
      <w:r w:rsidRPr="00B31E36">
        <w:t xml:space="preserve"> </w:t>
      </w:r>
      <w:r w:rsidRPr="00727AEA">
        <w:t>(accessed 9 September 2019).</w:t>
      </w:r>
    </w:p>
  </w:footnote>
  <w:footnote w:id="55">
    <w:p w14:paraId="093B5DB9" w14:textId="337C5373" w:rsidR="00731A19" w:rsidRPr="00B31E36" w:rsidRDefault="00731A19" w:rsidP="00475801">
      <w:pPr>
        <w:pStyle w:val="footnote"/>
      </w:pPr>
      <w:r w:rsidRPr="00B31E36">
        <w:rPr>
          <w:rStyle w:val="FootnoteReference"/>
          <w:rFonts w:ascii="Corbel" w:hAnsi="Corbel"/>
        </w:rPr>
        <w:footnoteRef/>
      </w:r>
      <w:r>
        <w:t xml:space="preserve"> Ibid. P.</w:t>
      </w:r>
      <w:r w:rsidRPr="00B31E36">
        <w:t>5.</w:t>
      </w:r>
    </w:p>
  </w:footnote>
  <w:footnote w:id="56">
    <w:p w14:paraId="458733E2" w14:textId="77777777" w:rsidR="00731A19" w:rsidRPr="00B31E36" w:rsidRDefault="00731A19" w:rsidP="00475801">
      <w:pPr>
        <w:pStyle w:val="footnote"/>
      </w:pPr>
      <w:r w:rsidRPr="00B31E36">
        <w:rPr>
          <w:rStyle w:val="FootnoteReference"/>
          <w:rFonts w:ascii="Corbel" w:hAnsi="Corbel"/>
        </w:rPr>
        <w:footnoteRef/>
      </w:r>
      <w:r w:rsidRPr="00B31E36">
        <w:t xml:space="preserve"> Ibid.</w:t>
      </w:r>
    </w:p>
  </w:footnote>
  <w:footnote w:id="57">
    <w:p w14:paraId="526C7ADA" w14:textId="4108488A" w:rsidR="00731A19" w:rsidRPr="00B31E36" w:rsidRDefault="00731A19" w:rsidP="00475801">
      <w:pPr>
        <w:pStyle w:val="footnote"/>
      </w:pPr>
      <w:r w:rsidRPr="00B31E36">
        <w:rPr>
          <w:rStyle w:val="FootnoteReference"/>
          <w:rFonts w:ascii="Corbel" w:hAnsi="Corbel"/>
        </w:rPr>
        <w:footnoteRef/>
      </w:r>
      <w:r w:rsidRPr="00B31E36">
        <w:t xml:space="preserve"> Hampton-Alexander, </w:t>
      </w:r>
      <w:r>
        <w:rPr>
          <w:i/>
        </w:rPr>
        <w:t>FTSE women leaders – improving gender balance in FTSE l</w:t>
      </w:r>
      <w:r w:rsidRPr="00B31E36">
        <w:rPr>
          <w:i/>
        </w:rPr>
        <w:t>eadership</w:t>
      </w:r>
      <w:r>
        <w:t xml:space="preserve">, (20 November 2019): </w:t>
      </w:r>
      <w:hyperlink r:id="rId13" w:history="1">
        <w:r w:rsidRPr="00B31E36">
          <w:rPr>
            <w:rStyle w:val="Hyperlink"/>
            <w:rFonts w:ascii="Corbel" w:hAnsi="Corbel"/>
          </w:rPr>
          <w:t>https://ftsewomenleaders.com/wp-content/uploads/2019/11/HA-Review-Report-2019.pdf</w:t>
        </w:r>
      </w:hyperlink>
      <w:r w:rsidRPr="00B31E36">
        <w:t xml:space="preserve"> (accessed 05 December 2019).</w:t>
      </w:r>
    </w:p>
  </w:footnote>
  <w:footnote w:id="58">
    <w:p w14:paraId="26B1ECB1" w14:textId="7B4DCB72" w:rsidR="00731A19" w:rsidRPr="00B31E36" w:rsidRDefault="00731A19" w:rsidP="00475801">
      <w:pPr>
        <w:pStyle w:val="footnote"/>
      </w:pPr>
      <w:r w:rsidRPr="00B31E36">
        <w:rPr>
          <w:rStyle w:val="FootnoteReference"/>
          <w:rFonts w:ascii="Corbel" w:hAnsi="Corbel"/>
        </w:rPr>
        <w:footnoteRef/>
      </w:r>
      <w:r>
        <w:t xml:space="preserve"> Ibid. Executive Summary. P.</w:t>
      </w:r>
      <w:r w:rsidRPr="00B31E36">
        <w:t xml:space="preserve"> 8.</w:t>
      </w:r>
    </w:p>
  </w:footnote>
  <w:footnote w:id="59">
    <w:p w14:paraId="12D20092" w14:textId="641F3275" w:rsidR="00731A19" w:rsidRPr="00B31E36" w:rsidRDefault="00731A19" w:rsidP="00475801">
      <w:pPr>
        <w:pStyle w:val="footnote"/>
      </w:pPr>
      <w:r w:rsidRPr="00B31E36">
        <w:rPr>
          <w:rStyle w:val="FootnoteReference"/>
          <w:rFonts w:ascii="Corbel" w:hAnsi="Corbel"/>
        </w:rPr>
        <w:footnoteRef/>
      </w:r>
      <w:r>
        <w:t xml:space="preserve"> Ibid.</w:t>
      </w:r>
      <w:r w:rsidRPr="00B31E36">
        <w:t xml:space="preserve"> Appendix D.</w:t>
      </w:r>
    </w:p>
  </w:footnote>
  <w:footnote w:id="60">
    <w:p w14:paraId="6EDE4F59" w14:textId="1CD625E8" w:rsidR="00731A19" w:rsidRPr="00B31E36" w:rsidRDefault="00731A19" w:rsidP="00475801">
      <w:pPr>
        <w:pStyle w:val="footnote"/>
      </w:pPr>
      <w:r w:rsidRPr="00B31E36">
        <w:rPr>
          <w:rStyle w:val="FootnoteReference"/>
          <w:rFonts w:ascii="Corbel" w:hAnsi="Corbel"/>
        </w:rPr>
        <w:footnoteRef/>
      </w:r>
      <w:r>
        <w:t xml:space="preserve"> </w:t>
      </w:r>
      <w:proofErr w:type="spellStart"/>
      <w:r w:rsidRPr="00B31E36">
        <w:t>Leszczynska</w:t>
      </w:r>
      <w:proofErr w:type="spellEnd"/>
      <w:r w:rsidRPr="00B31E36">
        <w:t>,</w:t>
      </w:r>
      <w:r>
        <w:t xml:space="preserve"> M. Mandatory quotas for w</w:t>
      </w:r>
      <w:r w:rsidRPr="00B31E36">
        <w:t>omen</w:t>
      </w:r>
      <w:r>
        <w:t xml:space="preserve"> on boards of d</w:t>
      </w:r>
      <w:r w:rsidRPr="00B31E36">
        <w:t>i</w:t>
      </w:r>
      <w:r>
        <w:t>rectors in the European Union: harmful or good for company performance?</w:t>
      </w:r>
      <w:r w:rsidRPr="00B31E36">
        <w:t xml:space="preserve"> 19 </w:t>
      </w:r>
      <w:r w:rsidRPr="00B31E36">
        <w:rPr>
          <w:i/>
        </w:rPr>
        <w:t>Eur</w:t>
      </w:r>
      <w:r>
        <w:rPr>
          <w:i/>
        </w:rPr>
        <w:t>opean Business</w:t>
      </w:r>
      <w:r w:rsidRPr="00B31E36">
        <w:rPr>
          <w:i/>
        </w:rPr>
        <w:t xml:space="preserve"> Org</w:t>
      </w:r>
      <w:r>
        <w:rPr>
          <w:i/>
        </w:rPr>
        <w:t>anizations Law</w:t>
      </w:r>
      <w:r w:rsidRPr="00B31E36">
        <w:rPr>
          <w:i/>
        </w:rPr>
        <w:t xml:space="preserve"> Rev</w:t>
      </w:r>
      <w:r w:rsidR="0088601E">
        <w:t>iew (2018) P</w:t>
      </w:r>
      <w:r>
        <w:t>.</w:t>
      </w:r>
      <w:r w:rsidRPr="00B31E36">
        <w:t xml:space="preserve"> 35 – 61.</w:t>
      </w:r>
    </w:p>
  </w:footnote>
  <w:footnote w:id="61">
    <w:p w14:paraId="6196F8E6" w14:textId="5ECB9E39" w:rsidR="00731A19" w:rsidRPr="00B31E36" w:rsidRDefault="00731A19" w:rsidP="00475801">
      <w:pPr>
        <w:pStyle w:val="footnote"/>
      </w:pPr>
      <w:r w:rsidRPr="00B31E36">
        <w:rPr>
          <w:rStyle w:val="FootnoteReference"/>
          <w:rFonts w:ascii="Corbel" w:hAnsi="Corbel"/>
        </w:rPr>
        <w:footnoteRef/>
      </w:r>
      <w:r>
        <w:t xml:space="preserve"> </w:t>
      </w:r>
      <w:r w:rsidRPr="00B31E36">
        <w:t>Teasdale,</w:t>
      </w:r>
      <w:r>
        <w:t xml:space="preserve"> N; </w:t>
      </w:r>
      <w:r w:rsidRPr="00B31E36">
        <w:t>Fagan</w:t>
      </w:r>
      <w:r>
        <w:t xml:space="preserve">, C; </w:t>
      </w:r>
      <w:r w:rsidRPr="00B31E36">
        <w:t>Shepherd,</w:t>
      </w:r>
      <w:r>
        <w:t xml:space="preserve"> C. Women’s representation on the b</w:t>
      </w:r>
      <w:r w:rsidRPr="00B31E36">
        <w:t xml:space="preserve">oards of UK </w:t>
      </w:r>
      <w:r>
        <w:t>listed companies.</w:t>
      </w:r>
      <w:r w:rsidRPr="00B31E36">
        <w:t xml:space="preserve"> In</w:t>
      </w:r>
      <w:r>
        <w:t>: Fagan, C; Gonzalez Menendez, M; Gomez Anson, M.</w:t>
      </w:r>
      <w:r w:rsidRPr="00B31E36">
        <w:t xml:space="preserve"> (</w:t>
      </w:r>
      <w:proofErr w:type="spellStart"/>
      <w:r w:rsidRPr="00B31E36">
        <w:t>ed</w:t>
      </w:r>
      <w:r>
        <w:t>s</w:t>
      </w:r>
      <w:proofErr w:type="spellEnd"/>
      <w:r>
        <w:t>)</w:t>
      </w:r>
      <w:r w:rsidRPr="00B31E36">
        <w:t xml:space="preserve"> </w:t>
      </w:r>
      <w:r w:rsidRPr="00B31E36">
        <w:rPr>
          <w:i/>
        </w:rPr>
        <w:t>W</w:t>
      </w:r>
      <w:r>
        <w:rPr>
          <w:i/>
        </w:rPr>
        <w:t>omen on corporate boards and in top m</w:t>
      </w:r>
      <w:r w:rsidRPr="00B31E36">
        <w:rPr>
          <w:i/>
        </w:rPr>
        <w:t>anagement</w:t>
      </w:r>
      <w:r>
        <w:t>, Basingstoke: Palgrave MacMillan, 2012. P.</w:t>
      </w:r>
      <w:r w:rsidRPr="00B31E36">
        <w:t xml:space="preserve"> 128 – 149.</w:t>
      </w:r>
    </w:p>
  </w:footnote>
  <w:footnote w:id="62">
    <w:p w14:paraId="7E9CD04C" w14:textId="1471F156" w:rsidR="00731A19" w:rsidRPr="00B31E36" w:rsidRDefault="00731A19" w:rsidP="00475801">
      <w:pPr>
        <w:pStyle w:val="footnote"/>
      </w:pPr>
      <w:r w:rsidRPr="002544D7">
        <w:rPr>
          <w:rStyle w:val="FootnoteReference"/>
          <w:rFonts w:ascii="Corbel" w:hAnsi="Corbel"/>
        </w:rPr>
        <w:footnoteRef/>
      </w:r>
      <w:r w:rsidRPr="002544D7">
        <w:t xml:space="preserve"> TFEU, Art. 5.</w:t>
      </w:r>
    </w:p>
  </w:footnote>
  <w:footnote w:id="63">
    <w:p w14:paraId="77D77B39" w14:textId="42A4B13D" w:rsidR="00731A19" w:rsidRPr="00B31E36" w:rsidRDefault="00731A19" w:rsidP="00475801">
      <w:pPr>
        <w:pStyle w:val="footnote"/>
      </w:pPr>
      <w:r w:rsidRPr="00B31E36">
        <w:rPr>
          <w:rStyle w:val="FootnoteReference"/>
          <w:rFonts w:ascii="Corbel" w:hAnsi="Corbel"/>
        </w:rPr>
        <w:footnoteRef/>
      </w:r>
      <w:r>
        <w:t xml:space="preserve"> </w:t>
      </w:r>
      <w:r w:rsidR="0088601E" w:rsidRPr="00585740">
        <w:rPr>
          <w:color w:val="FF0000"/>
        </w:rPr>
        <w:t>Teasdale</w:t>
      </w:r>
      <w:r w:rsidRPr="00585740">
        <w:rPr>
          <w:color w:val="FF0000"/>
        </w:rPr>
        <w:t xml:space="preserve"> </w:t>
      </w:r>
      <w:r w:rsidRPr="00585740">
        <w:rPr>
          <w:i/>
          <w:color w:val="FF0000"/>
        </w:rPr>
        <w:t>et.al.</w:t>
      </w:r>
      <w:r w:rsidRPr="00585740">
        <w:rPr>
          <w:color w:val="FF0000"/>
        </w:rPr>
        <w:t xml:space="preserve"> </w:t>
      </w:r>
      <w:r w:rsidR="00585740" w:rsidRPr="00585740">
        <w:rPr>
          <w:color w:val="FF0000"/>
        </w:rPr>
        <w:t>(</w:t>
      </w:r>
      <w:proofErr w:type="gramStart"/>
      <w:r w:rsidR="00585740" w:rsidRPr="00585740">
        <w:rPr>
          <w:color w:val="FF0000"/>
        </w:rPr>
        <w:t>supra</w:t>
      </w:r>
      <w:proofErr w:type="gramEnd"/>
      <w:r w:rsidR="00585740" w:rsidRPr="00585740">
        <w:rPr>
          <w:color w:val="FF0000"/>
        </w:rPr>
        <w:t xml:space="preserve"> note 61) </w:t>
      </w:r>
      <w:r w:rsidRPr="00585740">
        <w:rPr>
          <w:color w:val="FF0000"/>
        </w:rPr>
        <w:t xml:space="preserve">P. </w:t>
      </w:r>
      <w:r w:rsidR="00585740" w:rsidRPr="00585740">
        <w:rPr>
          <w:color w:val="FF0000"/>
        </w:rPr>
        <w:t>128</w:t>
      </w:r>
      <w:r w:rsidRPr="00585740">
        <w:rPr>
          <w:color w:val="FF0000"/>
        </w:rPr>
        <w:t xml:space="preserve"> – 149.</w:t>
      </w:r>
    </w:p>
  </w:footnote>
  <w:footnote w:id="64">
    <w:p w14:paraId="209F3A96" w14:textId="26DD5CA9" w:rsidR="00731A19" w:rsidRPr="00B31E36" w:rsidRDefault="00731A19" w:rsidP="00475801">
      <w:pPr>
        <w:pStyle w:val="footnote"/>
      </w:pPr>
      <w:r w:rsidRPr="00B31E36">
        <w:rPr>
          <w:rStyle w:val="FootnoteReference"/>
          <w:rFonts w:ascii="Corbel" w:hAnsi="Corbel"/>
        </w:rPr>
        <w:footnoteRef/>
      </w:r>
      <w:r w:rsidRPr="00B31E36">
        <w:t xml:space="preserve"> Van Hoot (</w:t>
      </w:r>
      <w:r>
        <w:t xml:space="preserve">supra note </w:t>
      </w:r>
      <w:r>
        <w:fldChar w:fldCharType="begin"/>
      </w:r>
      <w:r>
        <w:instrText xml:space="preserve"> NOTEREF _Ref26782077 \h  \* MERGEFORMAT </w:instrText>
      </w:r>
      <w:r>
        <w:fldChar w:fldCharType="separate"/>
      </w:r>
      <w:r>
        <w:t>7</w:t>
      </w:r>
      <w:r>
        <w:fldChar w:fldCharType="end"/>
      </w:r>
      <w:r w:rsidRPr="00B31E36">
        <w:t xml:space="preserve">). </w:t>
      </w:r>
    </w:p>
  </w:footnote>
  <w:footnote w:id="65">
    <w:p w14:paraId="17975028" w14:textId="0E54B5E3" w:rsidR="00731A19" w:rsidRPr="00B31E36" w:rsidRDefault="00731A19" w:rsidP="00475801">
      <w:pPr>
        <w:pStyle w:val="footnote"/>
      </w:pPr>
      <w:r w:rsidRPr="00B31E36">
        <w:rPr>
          <w:rStyle w:val="FootnoteReference"/>
          <w:rFonts w:ascii="Corbel" w:hAnsi="Corbel"/>
        </w:rPr>
        <w:footnoteRef/>
      </w:r>
      <w:r w:rsidRPr="00B31E36">
        <w:t xml:space="preserve"> Rose-Ackerman</w:t>
      </w:r>
      <w:r w:rsidR="00841DE0">
        <w:t>,</w:t>
      </w:r>
      <w:r>
        <w:t xml:space="preserve"> S; </w:t>
      </w:r>
      <w:proofErr w:type="spellStart"/>
      <w:r>
        <w:t>Egidy</w:t>
      </w:r>
      <w:proofErr w:type="spellEnd"/>
      <w:r>
        <w:t xml:space="preserve">, S; </w:t>
      </w:r>
      <w:proofErr w:type="spellStart"/>
      <w:r>
        <w:t>Fowkes</w:t>
      </w:r>
      <w:proofErr w:type="spellEnd"/>
      <w:r>
        <w:t>, J.</w:t>
      </w:r>
      <w:r w:rsidRPr="00B31E36">
        <w:t xml:space="preserve"> </w:t>
      </w:r>
      <w:r>
        <w:rPr>
          <w:i/>
        </w:rPr>
        <w:t>Due process of law making: t</w:t>
      </w:r>
      <w:r w:rsidRPr="00B31E36">
        <w:rPr>
          <w:i/>
        </w:rPr>
        <w:t>he United States, South Africa, Germany and the European Union</w:t>
      </w:r>
      <w:r>
        <w:t xml:space="preserve">. </w:t>
      </w:r>
      <w:r w:rsidRPr="00B31E36">
        <w:t>1</w:t>
      </w:r>
      <w:r w:rsidRPr="00B31E36">
        <w:rPr>
          <w:vertAlign w:val="superscript"/>
        </w:rPr>
        <w:t>st</w:t>
      </w:r>
      <w:r>
        <w:t xml:space="preserve"> </w:t>
      </w:r>
      <w:proofErr w:type="spellStart"/>
      <w:r>
        <w:t>edn</w:t>
      </w:r>
      <w:proofErr w:type="spellEnd"/>
      <w:r>
        <w:t>, New York:</w:t>
      </w:r>
      <w:r w:rsidRPr="00B31E36">
        <w:t xml:space="preserve"> C</w:t>
      </w:r>
      <w:r>
        <w:t xml:space="preserve">ambridge </w:t>
      </w:r>
      <w:r w:rsidRPr="00B31E36">
        <w:t>U</w:t>
      </w:r>
      <w:r>
        <w:t xml:space="preserve">niversity </w:t>
      </w:r>
      <w:r w:rsidRPr="00B31E36">
        <w:t>P</w:t>
      </w:r>
      <w:r>
        <w:t>ress</w:t>
      </w:r>
      <w:r w:rsidR="00841DE0">
        <w:t>.</w:t>
      </w:r>
      <w:r>
        <w:t xml:space="preserve"> 2015.</w:t>
      </w:r>
      <w:r w:rsidRPr="00B31E36">
        <w:t xml:space="preserve"> </w:t>
      </w:r>
      <w:r>
        <w:t xml:space="preserve">P. </w:t>
      </w:r>
      <w:r w:rsidRPr="00B31E36">
        <w:t>220.</w:t>
      </w:r>
    </w:p>
  </w:footnote>
  <w:footnote w:id="66">
    <w:p w14:paraId="22EAC2D5" w14:textId="39F11FE5" w:rsidR="00731A19" w:rsidRPr="00B31E36" w:rsidRDefault="00731A19" w:rsidP="00475801">
      <w:pPr>
        <w:pStyle w:val="footnote"/>
      </w:pPr>
      <w:r w:rsidRPr="00B31E36">
        <w:rPr>
          <w:rStyle w:val="FootnoteReference"/>
          <w:rFonts w:ascii="Corbel" w:hAnsi="Corbel"/>
        </w:rPr>
        <w:footnoteRef/>
      </w:r>
      <w:r>
        <w:t xml:space="preserve"> </w:t>
      </w:r>
      <w:proofErr w:type="gramStart"/>
      <w:r w:rsidRPr="00B31E36">
        <w:t>Craig,</w:t>
      </w:r>
      <w:r>
        <w:t xml:space="preserve"> P.</w:t>
      </w:r>
      <w:r w:rsidRPr="00B31E36">
        <w:t xml:space="preserve"> </w:t>
      </w:r>
      <w:r>
        <w:rPr>
          <w:i/>
        </w:rPr>
        <w:t>EU a</w:t>
      </w:r>
      <w:r w:rsidRPr="00B31E36">
        <w:rPr>
          <w:i/>
        </w:rPr>
        <w:t>dministrative Law</w:t>
      </w:r>
      <w:r>
        <w:t>.</w:t>
      </w:r>
      <w:proofErr w:type="gramEnd"/>
      <w:r>
        <w:t xml:space="preserve"> </w:t>
      </w:r>
      <w:r w:rsidRPr="00B31E36">
        <w:t>2</w:t>
      </w:r>
      <w:r w:rsidRPr="00B31E36">
        <w:rPr>
          <w:vertAlign w:val="superscript"/>
        </w:rPr>
        <w:t>nd</w:t>
      </w:r>
      <w:r>
        <w:t xml:space="preserve"> </w:t>
      </w:r>
      <w:proofErr w:type="spellStart"/>
      <w:r>
        <w:t>edn</w:t>
      </w:r>
      <w:proofErr w:type="spellEnd"/>
      <w:r>
        <w:t>, Oxford:</w:t>
      </w:r>
      <w:r w:rsidRPr="00B31E36">
        <w:t xml:space="preserve"> O</w:t>
      </w:r>
      <w:r>
        <w:t xml:space="preserve">xford </w:t>
      </w:r>
      <w:r w:rsidRPr="00B31E36">
        <w:t>U</w:t>
      </w:r>
      <w:r>
        <w:t xml:space="preserve">niversity </w:t>
      </w:r>
      <w:r w:rsidRPr="00B31E36">
        <w:t>P</w:t>
      </w:r>
      <w:r>
        <w:t>ress. 2012.</w:t>
      </w:r>
      <w:r w:rsidRPr="00B31E36">
        <w:t xml:space="preserve"> </w:t>
      </w:r>
      <w:r>
        <w:t xml:space="preserve">P. </w:t>
      </w:r>
      <w:r w:rsidRPr="00B31E36">
        <w:t>591 – 592.</w:t>
      </w:r>
    </w:p>
  </w:footnote>
  <w:footnote w:id="67">
    <w:p w14:paraId="234136FA" w14:textId="705E1C3F" w:rsidR="00731A19" w:rsidRPr="00CF05D8" w:rsidRDefault="00731A19" w:rsidP="00475801">
      <w:pPr>
        <w:pStyle w:val="footnote"/>
      </w:pPr>
      <w:r w:rsidRPr="00B31E36">
        <w:rPr>
          <w:rStyle w:val="FootnoteReference"/>
          <w:rFonts w:ascii="Corbel" w:hAnsi="Corbel"/>
        </w:rPr>
        <w:footnoteRef/>
      </w:r>
      <w:r w:rsidRPr="00B31E36">
        <w:t xml:space="preserve"> See further on this</w:t>
      </w:r>
      <w:r>
        <w:t xml:space="preserve"> point, Protocol (No.2) on the application of the principles of subsidiarity and proportionality, Article </w:t>
      </w:r>
      <w:r w:rsidRPr="00B31E36">
        <w:t>5</w:t>
      </w:r>
      <w:r>
        <w:t>:</w:t>
      </w:r>
      <w:r w:rsidRPr="00CF05D8">
        <w:t xml:space="preserve"> </w:t>
      </w:r>
      <w:hyperlink r:id="rId14" w:history="1">
        <w:r w:rsidRPr="000D66CD">
          <w:rPr>
            <w:rStyle w:val="Hyperlink"/>
            <w:rFonts w:ascii="Corbel" w:hAnsi="Corbel"/>
          </w:rPr>
          <w:t>https://eur-lex.europa.eu/legal-content/EN/TXT/?uri=CELEX:12016E/PRO/02</w:t>
        </w:r>
      </w:hyperlink>
      <w:r>
        <w:t xml:space="preserve"> </w:t>
      </w:r>
      <w:r w:rsidRPr="00B31E36">
        <w:t xml:space="preserve"> </w:t>
      </w:r>
      <w:r w:rsidRPr="00CF05D8">
        <w:t>(accessed 24 September 2019).</w:t>
      </w:r>
    </w:p>
  </w:footnote>
  <w:footnote w:id="68">
    <w:p w14:paraId="17E6E73F" w14:textId="77777777" w:rsidR="00731A19" w:rsidRPr="00B31E36" w:rsidRDefault="00731A19" w:rsidP="00475801">
      <w:pPr>
        <w:pStyle w:val="footnote"/>
      </w:pPr>
      <w:r w:rsidRPr="00B31E36">
        <w:rPr>
          <w:rStyle w:val="FootnoteReference"/>
          <w:rFonts w:ascii="Corbel" w:hAnsi="Corbel"/>
        </w:rPr>
        <w:footnoteRef/>
      </w:r>
      <w:r w:rsidRPr="00B31E36">
        <w:t xml:space="preserve"> A Company’s substratum refers to the reasons, the objectives or the foundation upon which the company was formed.</w:t>
      </w:r>
    </w:p>
  </w:footnote>
  <w:footnote w:id="69">
    <w:p w14:paraId="104207DF" w14:textId="4AE894C3" w:rsidR="00731A19" w:rsidRPr="00B31E36" w:rsidRDefault="00731A19" w:rsidP="00475801">
      <w:pPr>
        <w:pStyle w:val="footnote"/>
      </w:pPr>
      <w:r w:rsidRPr="00B31E36">
        <w:rPr>
          <w:rStyle w:val="FootnoteReference"/>
          <w:rFonts w:ascii="Corbel" w:hAnsi="Corbel"/>
        </w:rPr>
        <w:footnoteRef/>
      </w:r>
      <w:r w:rsidR="00841DE0">
        <w:t xml:space="preserve"> </w:t>
      </w:r>
      <w:proofErr w:type="spellStart"/>
      <w:proofErr w:type="gramStart"/>
      <w:r w:rsidRPr="00B31E36">
        <w:t>Baysinger</w:t>
      </w:r>
      <w:proofErr w:type="spellEnd"/>
      <w:r>
        <w:t xml:space="preserve">, B; </w:t>
      </w:r>
      <w:r w:rsidRPr="00B31E36">
        <w:t xml:space="preserve">Butler, </w:t>
      </w:r>
      <w:r>
        <w:t>H.</w:t>
      </w:r>
      <w:proofErr w:type="gramEnd"/>
      <w:r>
        <w:t xml:space="preserve"> </w:t>
      </w:r>
      <w:proofErr w:type="gramStart"/>
      <w:r>
        <w:t>The role of corporate law in the theory of the firm.</w:t>
      </w:r>
      <w:proofErr w:type="gramEnd"/>
      <w:r w:rsidRPr="00B31E36">
        <w:t xml:space="preserve"> (1985) 28 </w:t>
      </w:r>
      <w:r>
        <w:rPr>
          <w:i/>
        </w:rPr>
        <w:t xml:space="preserve">Journal </w:t>
      </w:r>
      <w:proofErr w:type="gramStart"/>
      <w:r>
        <w:rPr>
          <w:i/>
        </w:rPr>
        <w:t>of  Law</w:t>
      </w:r>
      <w:proofErr w:type="gramEnd"/>
      <w:r>
        <w:rPr>
          <w:i/>
        </w:rPr>
        <w:t xml:space="preserve"> and</w:t>
      </w:r>
      <w:r w:rsidRPr="00B31E36">
        <w:rPr>
          <w:i/>
        </w:rPr>
        <w:t xml:space="preserve"> Econ</w:t>
      </w:r>
      <w:r w:rsidRPr="00CF05D8">
        <w:rPr>
          <w:i/>
        </w:rPr>
        <w:t>omics</w:t>
      </w:r>
      <w:r w:rsidRPr="00B31E36">
        <w:t xml:space="preserve"> (1985) </w:t>
      </w:r>
      <w:r>
        <w:t xml:space="preserve"> P. </w:t>
      </w:r>
      <w:r w:rsidRPr="00B31E36">
        <w:t>179.</w:t>
      </w:r>
    </w:p>
  </w:footnote>
  <w:footnote w:id="70">
    <w:p w14:paraId="5034C164" w14:textId="75B7702C" w:rsidR="00731A19" w:rsidRPr="00B31E36" w:rsidRDefault="00731A19" w:rsidP="00475801">
      <w:pPr>
        <w:pStyle w:val="footnote"/>
      </w:pPr>
      <w:r w:rsidRPr="00B31E36">
        <w:rPr>
          <w:rStyle w:val="FootnoteReference"/>
          <w:rFonts w:ascii="Corbel" w:hAnsi="Corbel"/>
        </w:rPr>
        <w:footnoteRef/>
      </w:r>
      <w:r>
        <w:t xml:space="preserve"> </w:t>
      </w:r>
      <w:proofErr w:type="gramStart"/>
      <w:r w:rsidRPr="00B31E36">
        <w:t>Bratton,</w:t>
      </w:r>
      <w:r>
        <w:t xml:space="preserve"> W.</w:t>
      </w:r>
      <w:proofErr w:type="gramEnd"/>
      <w:r>
        <w:t xml:space="preserve"> </w:t>
      </w:r>
      <w:proofErr w:type="gramStart"/>
      <w:r>
        <w:t>The ‘nexus of contracts’ corporation.</w:t>
      </w:r>
      <w:proofErr w:type="gramEnd"/>
      <w:r w:rsidRPr="00B31E36">
        <w:t xml:space="preserve"> 74 </w:t>
      </w:r>
      <w:r>
        <w:rPr>
          <w:i/>
        </w:rPr>
        <w:t>Cornell Law</w:t>
      </w:r>
      <w:r w:rsidRPr="00B31E36">
        <w:rPr>
          <w:i/>
        </w:rPr>
        <w:t xml:space="preserve"> Rev</w:t>
      </w:r>
      <w:r>
        <w:rPr>
          <w:i/>
        </w:rPr>
        <w:t xml:space="preserve">iew </w:t>
      </w:r>
      <w:r>
        <w:t>(</w:t>
      </w:r>
      <w:r w:rsidRPr="00CF05D8">
        <w:t>1989)</w:t>
      </w:r>
      <w:r>
        <w:rPr>
          <w:i/>
        </w:rPr>
        <w:t xml:space="preserve"> </w:t>
      </w:r>
      <w:r>
        <w:t>P.</w:t>
      </w:r>
      <w:r w:rsidRPr="00B31E36">
        <w:t xml:space="preserve"> 407.</w:t>
      </w:r>
    </w:p>
  </w:footnote>
  <w:footnote w:id="71">
    <w:p w14:paraId="12EBE8D5" w14:textId="29AE6579" w:rsidR="00731A19" w:rsidRPr="00B31E36" w:rsidRDefault="00731A19" w:rsidP="00475801">
      <w:pPr>
        <w:pStyle w:val="footnote"/>
      </w:pPr>
      <w:r w:rsidRPr="00B31E36">
        <w:rPr>
          <w:rStyle w:val="FootnoteReference"/>
          <w:rFonts w:ascii="Corbel" w:hAnsi="Corbel"/>
        </w:rPr>
        <w:footnoteRef/>
      </w:r>
      <w:r>
        <w:t xml:space="preserve"> </w:t>
      </w:r>
      <w:proofErr w:type="gramStart"/>
      <w:r w:rsidRPr="00B31E36">
        <w:t>C</w:t>
      </w:r>
      <w:r>
        <w:t>heung, S.</w:t>
      </w:r>
      <w:proofErr w:type="gramEnd"/>
      <w:r>
        <w:t xml:space="preserve"> </w:t>
      </w:r>
      <w:proofErr w:type="gramStart"/>
      <w:r>
        <w:t>The contractual nature of the firm.</w:t>
      </w:r>
      <w:proofErr w:type="gramEnd"/>
      <w:r w:rsidRPr="00B31E36">
        <w:t xml:space="preserve"> </w:t>
      </w:r>
      <w:proofErr w:type="gramStart"/>
      <w:r w:rsidRPr="00B31E36">
        <w:t xml:space="preserve">(1983) 26 </w:t>
      </w:r>
      <w:r w:rsidRPr="00B31E36">
        <w:rPr>
          <w:i/>
        </w:rPr>
        <w:t>J</w:t>
      </w:r>
      <w:r>
        <w:rPr>
          <w:i/>
        </w:rPr>
        <w:t>ournal</w:t>
      </w:r>
      <w:proofErr w:type="gramEnd"/>
      <w:r>
        <w:rPr>
          <w:i/>
        </w:rPr>
        <w:t xml:space="preserve"> of Law and </w:t>
      </w:r>
      <w:r w:rsidRPr="00B31E36">
        <w:rPr>
          <w:i/>
        </w:rPr>
        <w:t>Econ</w:t>
      </w:r>
      <w:r>
        <w:rPr>
          <w:i/>
        </w:rPr>
        <w:t xml:space="preserve">omics </w:t>
      </w:r>
      <w:r w:rsidRPr="00CF05D8">
        <w:t>(1983) P</w:t>
      </w:r>
      <w:r w:rsidRPr="00B31E36">
        <w:t>. 1</w:t>
      </w:r>
      <w:r>
        <w:t>.</w:t>
      </w:r>
    </w:p>
  </w:footnote>
  <w:footnote w:id="72">
    <w:p w14:paraId="7F4FDC23" w14:textId="153875DF" w:rsidR="00731A19" w:rsidRPr="00B31E36" w:rsidRDefault="00731A19" w:rsidP="00475801">
      <w:pPr>
        <w:pStyle w:val="footnote"/>
      </w:pPr>
      <w:r w:rsidRPr="00B31E36">
        <w:rPr>
          <w:rStyle w:val="FootnoteReference"/>
          <w:rFonts w:ascii="Corbel" w:hAnsi="Corbel"/>
        </w:rPr>
        <w:footnoteRef/>
      </w:r>
      <w:r>
        <w:t xml:space="preserve"> </w:t>
      </w:r>
      <w:proofErr w:type="gramStart"/>
      <w:r>
        <w:t xml:space="preserve">Bratton (supra note </w:t>
      </w:r>
      <w:r>
        <w:fldChar w:fldCharType="begin"/>
      </w:r>
      <w:r>
        <w:instrText xml:space="preserve"> NOTEREF _Ref26782792 \h  \* MERGEFORMAT </w:instrText>
      </w:r>
      <w:r>
        <w:fldChar w:fldCharType="separate"/>
      </w:r>
      <w:r>
        <w:t>70</w:t>
      </w:r>
      <w:r>
        <w:fldChar w:fldCharType="end"/>
      </w:r>
      <w:r w:rsidRPr="00B31E36">
        <w:t>).</w:t>
      </w:r>
      <w:proofErr w:type="gramEnd"/>
      <w:r w:rsidRPr="00B31E36">
        <w:t xml:space="preserve"> </w:t>
      </w:r>
    </w:p>
  </w:footnote>
  <w:footnote w:id="73">
    <w:p w14:paraId="35BD23BA" w14:textId="6AC7DC95" w:rsidR="00731A19" w:rsidRPr="00B31E36" w:rsidRDefault="00731A19" w:rsidP="00475801">
      <w:pPr>
        <w:pStyle w:val="footnote"/>
      </w:pPr>
      <w:r w:rsidRPr="00B31E36">
        <w:rPr>
          <w:rStyle w:val="FootnoteReference"/>
          <w:rFonts w:ascii="Corbel" w:hAnsi="Corbel"/>
        </w:rPr>
        <w:footnoteRef/>
      </w:r>
      <w:r>
        <w:t xml:space="preserve"> </w:t>
      </w:r>
      <w:r w:rsidRPr="00B31E36">
        <w:t xml:space="preserve">Campbell, </w:t>
      </w:r>
      <w:r>
        <w:t xml:space="preserve">D. </w:t>
      </w:r>
      <w:proofErr w:type="gramStart"/>
      <w:r>
        <w:t>The role of monitoring and morality in company law.</w:t>
      </w:r>
      <w:proofErr w:type="gramEnd"/>
      <w:r w:rsidRPr="00B31E36">
        <w:t xml:space="preserve"> 7 </w:t>
      </w:r>
      <w:r w:rsidRPr="00B31E36">
        <w:rPr>
          <w:i/>
        </w:rPr>
        <w:t>Australian J</w:t>
      </w:r>
      <w:r>
        <w:rPr>
          <w:i/>
        </w:rPr>
        <w:t>ournal</w:t>
      </w:r>
      <w:r w:rsidRPr="00B31E36">
        <w:rPr>
          <w:i/>
        </w:rPr>
        <w:t xml:space="preserve"> </w:t>
      </w:r>
      <w:r>
        <w:rPr>
          <w:i/>
        </w:rPr>
        <w:t xml:space="preserve">of Corporate Law </w:t>
      </w:r>
      <w:r>
        <w:t xml:space="preserve">(1997) P. </w:t>
      </w:r>
      <w:r w:rsidRPr="00B31E36">
        <w:t>343.</w:t>
      </w:r>
    </w:p>
  </w:footnote>
  <w:footnote w:id="74">
    <w:p w14:paraId="34105789" w14:textId="320EA183" w:rsidR="00731A19" w:rsidRPr="00B31E36" w:rsidRDefault="00731A19" w:rsidP="00475801">
      <w:pPr>
        <w:pStyle w:val="footnote"/>
      </w:pPr>
      <w:r w:rsidRPr="00B31E36">
        <w:rPr>
          <w:rStyle w:val="FootnoteReference"/>
          <w:rFonts w:ascii="Corbel" w:hAnsi="Corbel"/>
        </w:rPr>
        <w:footnoteRef/>
      </w:r>
      <w:r w:rsidRPr="00B31E36">
        <w:t xml:space="preserve"> CFR (</w:t>
      </w:r>
      <w:r>
        <w:t xml:space="preserve">supra </w:t>
      </w:r>
      <w:proofErr w:type="gramStart"/>
      <w:r w:rsidRPr="00B31E36">
        <w:t>n</w:t>
      </w:r>
      <w:r>
        <w:t xml:space="preserve">ote  </w:t>
      </w:r>
      <w:proofErr w:type="gramEnd"/>
      <w:r>
        <w:fldChar w:fldCharType="begin"/>
      </w:r>
      <w:r>
        <w:instrText xml:space="preserve"> NOTEREF _Ref26782938 \h  \* MERGEFORMAT </w:instrText>
      </w:r>
      <w:r>
        <w:fldChar w:fldCharType="separate"/>
      </w:r>
      <w:r>
        <w:t>3</w:t>
      </w:r>
      <w:r>
        <w:fldChar w:fldCharType="end"/>
      </w:r>
      <w:r w:rsidRPr="00B31E36">
        <w:t xml:space="preserve">). </w:t>
      </w:r>
    </w:p>
  </w:footnote>
  <w:footnote w:id="75">
    <w:p w14:paraId="71FAE8C0" w14:textId="774F4583" w:rsidR="00731A19" w:rsidRPr="00B31E36" w:rsidRDefault="00731A19" w:rsidP="00475801">
      <w:pPr>
        <w:pStyle w:val="footnote"/>
      </w:pPr>
      <w:r w:rsidRPr="00B31E36">
        <w:rPr>
          <w:rStyle w:val="FootnoteReference"/>
          <w:rFonts w:ascii="Corbel" w:hAnsi="Corbel"/>
        </w:rPr>
        <w:footnoteRef/>
      </w:r>
      <w:r>
        <w:t xml:space="preserve"> </w:t>
      </w:r>
      <w:proofErr w:type="gramStart"/>
      <w:r>
        <w:t>CFR, article</w:t>
      </w:r>
      <w:r w:rsidRPr="00B31E36">
        <w:t xml:space="preserve"> 16.</w:t>
      </w:r>
      <w:proofErr w:type="gramEnd"/>
    </w:p>
  </w:footnote>
  <w:footnote w:id="76">
    <w:p w14:paraId="41C0009E" w14:textId="28C782F1" w:rsidR="00731A19" w:rsidRPr="00B31E36" w:rsidRDefault="00731A19" w:rsidP="00475801">
      <w:pPr>
        <w:pStyle w:val="footnote"/>
      </w:pPr>
      <w:r w:rsidRPr="00B31E36">
        <w:rPr>
          <w:rStyle w:val="FootnoteReference"/>
          <w:rFonts w:ascii="Corbel" w:hAnsi="Corbel"/>
        </w:rPr>
        <w:footnoteRef/>
      </w:r>
      <w:r>
        <w:t xml:space="preserve"> </w:t>
      </w:r>
      <w:proofErr w:type="gramStart"/>
      <w:r>
        <w:t xml:space="preserve">CFR, article </w:t>
      </w:r>
      <w:r w:rsidRPr="00B31E36">
        <w:t>17.</w:t>
      </w:r>
      <w:proofErr w:type="gramEnd"/>
    </w:p>
  </w:footnote>
  <w:footnote w:id="77">
    <w:p w14:paraId="7DE47267" w14:textId="100A9B5F" w:rsidR="00731A19" w:rsidRPr="00B31E36" w:rsidRDefault="00731A19" w:rsidP="00475801">
      <w:pPr>
        <w:pStyle w:val="footnote"/>
      </w:pPr>
      <w:r w:rsidRPr="00B31E36">
        <w:rPr>
          <w:rStyle w:val="FootnoteReference"/>
          <w:rFonts w:ascii="Corbel" w:hAnsi="Corbel"/>
        </w:rPr>
        <w:footnoteRef/>
      </w:r>
      <w:r w:rsidRPr="00B31E36">
        <w:t xml:space="preserve"> For example see, Case C-236/09 </w:t>
      </w:r>
      <w:r w:rsidRPr="00B31E36">
        <w:rPr>
          <w:i/>
        </w:rPr>
        <w:t>Test-</w:t>
      </w:r>
      <w:proofErr w:type="spellStart"/>
      <w:r w:rsidRPr="00B31E36">
        <w:rPr>
          <w:i/>
        </w:rPr>
        <w:t>Achats</w:t>
      </w:r>
      <w:proofErr w:type="spellEnd"/>
      <w:r w:rsidRPr="00B31E36">
        <w:rPr>
          <w:i/>
        </w:rPr>
        <w:t xml:space="preserve"> v Council of Ministers</w:t>
      </w:r>
      <w:r w:rsidRPr="00B31E36">
        <w:t xml:space="preserve"> [2011] </w:t>
      </w:r>
      <w:r>
        <w:t>ECLI</w:t>
      </w:r>
      <w:proofErr w:type="gramStart"/>
      <w:r>
        <w:t>:EU:C:2011:100</w:t>
      </w:r>
      <w:proofErr w:type="gramEnd"/>
      <w:r>
        <w:t>.</w:t>
      </w:r>
    </w:p>
  </w:footnote>
  <w:footnote w:id="78">
    <w:p w14:paraId="4005E4C9" w14:textId="51BA8436" w:rsidR="00731A19" w:rsidRPr="00B31E36" w:rsidRDefault="00731A19" w:rsidP="00475801">
      <w:pPr>
        <w:pStyle w:val="footnote"/>
      </w:pPr>
      <w:r w:rsidRPr="00B31E36">
        <w:rPr>
          <w:rStyle w:val="FootnoteReference"/>
          <w:rFonts w:ascii="Corbel" w:hAnsi="Corbel"/>
        </w:rPr>
        <w:footnoteRef/>
      </w:r>
      <w:r>
        <w:t xml:space="preserve"> CFR, a</w:t>
      </w:r>
      <w:r w:rsidRPr="00B31E36">
        <w:t>rt</w:t>
      </w:r>
      <w:r>
        <w:t>icles</w:t>
      </w:r>
      <w:r w:rsidRPr="00B31E36">
        <w:t xml:space="preserve"> 21 and 23.</w:t>
      </w:r>
    </w:p>
  </w:footnote>
  <w:footnote w:id="79">
    <w:p w14:paraId="3D26C72A" w14:textId="400B64BB" w:rsidR="00731A19" w:rsidRPr="00B31E36" w:rsidRDefault="00731A19" w:rsidP="00475801">
      <w:pPr>
        <w:pStyle w:val="footnote"/>
      </w:pPr>
      <w:r w:rsidRPr="00B31E36">
        <w:rPr>
          <w:rStyle w:val="FootnoteReference"/>
          <w:rFonts w:ascii="Corbel" w:hAnsi="Corbel"/>
        </w:rPr>
        <w:footnoteRef/>
      </w:r>
      <w:r w:rsidRPr="00B31E36">
        <w:t xml:space="preserve"> See for example,</w:t>
      </w:r>
      <w:r>
        <w:t xml:space="preserve"> European Court of Human Rights (Grand Chamber),</w:t>
      </w:r>
      <w:r w:rsidRPr="00B31E36">
        <w:t xml:space="preserve"> </w:t>
      </w:r>
      <w:r w:rsidRPr="00B31E36">
        <w:rPr>
          <w:i/>
        </w:rPr>
        <w:t>Konstantin</w:t>
      </w:r>
      <w:r>
        <w:rPr>
          <w:i/>
        </w:rPr>
        <w:t xml:space="preserve"> </w:t>
      </w:r>
      <w:proofErr w:type="spellStart"/>
      <w:r>
        <w:rPr>
          <w:i/>
        </w:rPr>
        <w:t>Markin</w:t>
      </w:r>
      <w:proofErr w:type="spellEnd"/>
      <w:r w:rsidRPr="00B31E36">
        <w:rPr>
          <w:i/>
        </w:rPr>
        <w:t xml:space="preserve"> v Russia</w:t>
      </w:r>
      <w:r>
        <w:t>.</w:t>
      </w:r>
      <w:r w:rsidRPr="00B31E36">
        <w:t xml:space="preserve"> </w:t>
      </w:r>
      <w:r>
        <w:t>App. No. 30078/06. Judgment 22 March 2012. P</w:t>
      </w:r>
      <w:r w:rsidRPr="00B31E36">
        <w:t>ara. 127.</w:t>
      </w:r>
    </w:p>
  </w:footnote>
  <w:footnote w:id="80">
    <w:p w14:paraId="13B36F6D" w14:textId="2EE0D244" w:rsidR="00731A19" w:rsidRPr="00B31E36" w:rsidRDefault="00731A19" w:rsidP="00475801">
      <w:pPr>
        <w:pStyle w:val="footnote"/>
      </w:pPr>
      <w:r w:rsidRPr="00B31E36">
        <w:rPr>
          <w:rStyle w:val="FootnoteReference"/>
          <w:rFonts w:ascii="Corbel" w:hAnsi="Corbel"/>
        </w:rPr>
        <w:footnoteRef/>
      </w:r>
      <w:r>
        <w:t xml:space="preserve"> </w:t>
      </w:r>
      <w:proofErr w:type="spellStart"/>
      <w:r>
        <w:t>Goyal</w:t>
      </w:r>
      <w:proofErr w:type="spellEnd"/>
      <w:r>
        <w:t xml:space="preserve">, R; </w:t>
      </w:r>
      <w:proofErr w:type="spellStart"/>
      <w:r>
        <w:t>Kakabadse</w:t>
      </w:r>
      <w:proofErr w:type="spellEnd"/>
      <w:r>
        <w:t xml:space="preserve">, N; </w:t>
      </w:r>
      <w:proofErr w:type="spellStart"/>
      <w:r>
        <w:t>Kakabadse</w:t>
      </w:r>
      <w:proofErr w:type="spellEnd"/>
      <w:r>
        <w:t>, A. Achieving gender balance on British boards with the s</w:t>
      </w:r>
      <w:r w:rsidRPr="00B31E36">
        <w:t>oft-law</w:t>
      </w:r>
      <w:r>
        <w:t xml:space="preserve"> approach: directors’ perspective. </w:t>
      </w:r>
      <w:r w:rsidRPr="00B31E36">
        <w:t xml:space="preserve"> 18</w:t>
      </w:r>
      <w:r>
        <w:t>, 1</w:t>
      </w:r>
      <w:r w:rsidRPr="00B31E36">
        <w:t xml:space="preserve"> </w:t>
      </w:r>
      <w:r w:rsidRPr="00B31E36">
        <w:rPr>
          <w:i/>
        </w:rPr>
        <w:t>Journal of Business Diversity</w:t>
      </w:r>
      <w:r>
        <w:t xml:space="preserve"> (2018) P.</w:t>
      </w:r>
      <w:r w:rsidRPr="00B31E36">
        <w:t xml:space="preserve"> 29 – 39.</w:t>
      </w:r>
    </w:p>
  </w:footnote>
  <w:footnote w:id="81">
    <w:p w14:paraId="65C661EA" w14:textId="62BF0B7E" w:rsidR="00731A19" w:rsidRPr="00AB483C" w:rsidRDefault="00731A19" w:rsidP="00475801">
      <w:pPr>
        <w:pStyle w:val="footnote"/>
        <w:rPr>
          <w:color w:val="FF0000"/>
        </w:rPr>
      </w:pPr>
      <w:r w:rsidRPr="00B31E36">
        <w:rPr>
          <w:rStyle w:val="FootnoteReference"/>
          <w:rFonts w:ascii="Corbel" w:hAnsi="Corbel"/>
        </w:rPr>
        <w:footnoteRef/>
      </w:r>
      <w:r>
        <w:t xml:space="preserve"> </w:t>
      </w:r>
      <w:r w:rsidRPr="00B31E36">
        <w:t>Meyer</w:t>
      </w:r>
      <w:r>
        <w:t>, J;</w:t>
      </w:r>
      <w:r w:rsidRPr="00B31E36">
        <w:t xml:space="preserve"> Rowen,</w:t>
      </w:r>
      <w:r>
        <w:t xml:space="preserve"> B. Institutionalized organizations: formal structures as myth and ceremony. </w:t>
      </w:r>
      <w:r w:rsidRPr="00B31E36">
        <w:rPr>
          <w:i/>
        </w:rPr>
        <w:t>American Journal of Sociology</w:t>
      </w:r>
      <w:r>
        <w:t xml:space="preserve"> </w:t>
      </w:r>
      <w:r w:rsidRPr="00B31E36">
        <w:t xml:space="preserve">(1977) </w:t>
      </w:r>
      <w:r>
        <w:t xml:space="preserve">P. 340 – 363; </w:t>
      </w:r>
      <w:r w:rsidRPr="00AB483C">
        <w:t>Meyer, J. Reflections on institutional theories of organizations. In: Greenwood, R; Oliver, C; Lawrence, T.B; Meyer, R.E. (</w:t>
      </w:r>
      <w:proofErr w:type="spellStart"/>
      <w:r w:rsidRPr="00AB483C">
        <w:t>eds</w:t>
      </w:r>
      <w:proofErr w:type="spellEnd"/>
      <w:r w:rsidRPr="00AB483C">
        <w:t xml:space="preserve">) </w:t>
      </w:r>
      <w:r w:rsidR="00AD3355" w:rsidRPr="00AB483C">
        <w:rPr>
          <w:i/>
        </w:rPr>
        <w:t>The Sage h</w:t>
      </w:r>
      <w:r w:rsidRPr="00AB483C">
        <w:rPr>
          <w:i/>
        </w:rPr>
        <w:t>andbook of organizational institutionalism</w:t>
      </w:r>
      <w:r w:rsidRPr="00AB483C">
        <w:t xml:space="preserve">. </w:t>
      </w:r>
      <w:r w:rsidR="00AB483C">
        <w:rPr>
          <w:color w:val="FF0000"/>
        </w:rPr>
        <w:t xml:space="preserve">2nd </w:t>
      </w:r>
      <w:proofErr w:type="spellStart"/>
      <w:r w:rsidR="00AB483C">
        <w:rPr>
          <w:color w:val="FF0000"/>
        </w:rPr>
        <w:t>edn</w:t>
      </w:r>
      <w:proofErr w:type="spellEnd"/>
      <w:r w:rsidR="00AB483C">
        <w:rPr>
          <w:color w:val="FF0000"/>
        </w:rPr>
        <w:t xml:space="preserve">, </w:t>
      </w:r>
      <w:r w:rsidRPr="00AB483C">
        <w:rPr>
          <w:color w:val="FF0000"/>
        </w:rPr>
        <w:t>London: Sage Publications</w:t>
      </w:r>
      <w:r w:rsidR="00AB483C">
        <w:rPr>
          <w:color w:val="FF0000"/>
        </w:rPr>
        <w:t>, 2017</w:t>
      </w:r>
      <w:r w:rsidRPr="00AB483C">
        <w:rPr>
          <w:color w:val="FF0000"/>
        </w:rPr>
        <w:t>. P. 790 – 811.</w:t>
      </w:r>
    </w:p>
  </w:footnote>
  <w:footnote w:id="82">
    <w:p w14:paraId="06A74C7E" w14:textId="0F8D4779" w:rsidR="00731A19" w:rsidRPr="00B31E36" w:rsidRDefault="00731A19" w:rsidP="00475801">
      <w:pPr>
        <w:pStyle w:val="footnote"/>
      </w:pPr>
      <w:r w:rsidRPr="00B31E36">
        <w:rPr>
          <w:rStyle w:val="FootnoteReference"/>
          <w:rFonts w:ascii="Corbel" w:hAnsi="Corbel"/>
        </w:rPr>
        <w:footnoteRef/>
      </w:r>
      <w:r>
        <w:t xml:space="preserve"> </w:t>
      </w:r>
      <w:proofErr w:type="gramStart"/>
      <w:r>
        <w:t>Scott, R.W. Institutional theory.</w:t>
      </w:r>
      <w:proofErr w:type="gramEnd"/>
      <w:r>
        <w:t xml:space="preserve"> </w:t>
      </w:r>
      <w:r w:rsidRPr="00B31E36">
        <w:t xml:space="preserve">11 </w:t>
      </w:r>
      <w:r w:rsidRPr="00B31E36">
        <w:rPr>
          <w:i/>
        </w:rPr>
        <w:t>Encyclopaedia of Social Theory</w:t>
      </w:r>
      <w:r w:rsidRPr="00B31E36">
        <w:t xml:space="preserve"> </w:t>
      </w:r>
      <w:r>
        <w:t xml:space="preserve">(2004) P. </w:t>
      </w:r>
      <w:r w:rsidRPr="00B31E36">
        <w:t>408 – 414.</w:t>
      </w:r>
    </w:p>
  </w:footnote>
  <w:footnote w:id="83">
    <w:p w14:paraId="5B2E2243" w14:textId="32422152" w:rsidR="00731A19" w:rsidRPr="00B31E36" w:rsidRDefault="00731A19" w:rsidP="00475801">
      <w:pPr>
        <w:pStyle w:val="footnote"/>
      </w:pPr>
      <w:r w:rsidRPr="00B31E36">
        <w:rPr>
          <w:rStyle w:val="FootnoteReference"/>
          <w:rFonts w:ascii="Corbel" w:hAnsi="Corbel"/>
        </w:rPr>
        <w:footnoteRef/>
      </w:r>
      <w:r w:rsidRPr="00B31E36">
        <w:t xml:space="preserve"> </w:t>
      </w:r>
      <w:proofErr w:type="spellStart"/>
      <w:r>
        <w:t>Terjesen</w:t>
      </w:r>
      <w:proofErr w:type="spellEnd"/>
      <w:r>
        <w:t>, S; Aguilera, R.V; Lorenz, R. Legislating a woman’s seat on the board: institutional f</w:t>
      </w:r>
      <w:r w:rsidRPr="00B31E36">
        <w:t>ac</w:t>
      </w:r>
      <w:r>
        <w:t>tors driving gender quotas for boards of directors. 128, 2</w:t>
      </w:r>
      <w:r w:rsidRPr="00B31E36">
        <w:t xml:space="preserve"> </w:t>
      </w:r>
      <w:r w:rsidRPr="00B31E36">
        <w:rPr>
          <w:i/>
        </w:rPr>
        <w:t>Journal of Business Ethics</w:t>
      </w:r>
      <w:r w:rsidRPr="00B31E36">
        <w:t xml:space="preserve"> </w:t>
      </w:r>
      <w:r>
        <w:t xml:space="preserve">(2015) P. </w:t>
      </w:r>
      <w:r w:rsidRPr="00B31E36">
        <w:t>233 – 251.</w:t>
      </w:r>
    </w:p>
  </w:footnote>
  <w:footnote w:id="84">
    <w:p w14:paraId="13E54FCA" w14:textId="4525CD1F" w:rsidR="00731A19" w:rsidRPr="00B31E36" w:rsidRDefault="00731A19" w:rsidP="00475801">
      <w:pPr>
        <w:pStyle w:val="footnote"/>
        <w:rPr>
          <w:color w:val="0070C0"/>
        </w:rPr>
      </w:pPr>
      <w:r w:rsidRPr="00C0674A">
        <w:rPr>
          <w:rStyle w:val="FootnoteReference"/>
          <w:rFonts w:ascii="Corbel" w:hAnsi="Corbel"/>
          <w:color w:val="FF0000"/>
        </w:rPr>
        <w:footnoteRef/>
      </w:r>
      <w:r w:rsidRPr="00C0674A">
        <w:rPr>
          <w:color w:val="FF0000"/>
        </w:rPr>
        <w:t xml:space="preserve"> Davies </w:t>
      </w:r>
      <w:proofErr w:type="gramStart"/>
      <w:r w:rsidRPr="00C0674A">
        <w:rPr>
          <w:color w:val="FF0000"/>
        </w:rPr>
        <w:t>report</w:t>
      </w:r>
      <w:proofErr w:type="gramEnd"/>
      <w:r w:rsidRPr="00C0674A">
        <w:rPr>
          <w:color w:val="FF0000"/>
        </w:rPr>
        <w:t xml:space="preserve"> (supra note </w:t>
      </w:r>
      <w:r w:rsidRPr="00C0674A">
        <w:rPr>
          <w:color w:val="FF0000"/>
        </w:rPr>
        <w:fldChar w:fldCharType="begin"/>
      </w:r>
      <w:r w:rsidRPr="00C0674A">
        <w:rPr>
          <w:color w:val="FF0000"/>
        </w:rPr>
        <w:instrText xml:space="preserve"> NOTEREF _Ref26779905 \h  \* MERGEFORMAT </w:instrText>
      </w:r>
      <w:r w:rsidRPr="00C0674A">
        <w:rPr>
          <w:color w:val="FF0000"/>
        </w:rPr>
      </w:r>
      <w:r w:rsidRPr="00C0674A">
        <w:rPr>
          <w:color w:val="FF0000"/>
        </w:rPr>
        <w:fldChar w:fldCharType="separate"/>
      </w:r>
      <w:r w:rsidRPr="00C0674A">
        <w:rPr>
          <w:color w:val="FF0000"/>
        </w:rPr>
        <w:t>31</w:t>
      </w:r>
      <w:r w:rsidRPr="00C0674A">
        <w:rPr>
          <w:color w:val="FF0000"/>
        </w:rPr>
        <w:fldChar w:fldCharType="end"/>
      </w:r>
      <w:r w:rsidRPr="00C0674A">
        <w:rPr>
          <w:color w:val="FF0000"/>
        </w:rPr>
        <w:t>) Recommendation 1.</w:t>
      </w:r>
    </w:p>
  </w:footnote>
  <w:footnote w:id="85">
    <w:p w14:paraId="5F32BDFD" w14:textId="6B8F7254" w:rsidR="00731A19" w:rsidRPr="00B31E36" w:rsidRDefault="00731A19" w:rsidP="00475801">
      <w:pPr>
        <w:pStyle w:val="footnote"/>
      </w:pPr>
      <w:r w:rsidRPr="00B31E36">
        <w:rPr>
          <w:rStyle w:val="FootnoteReference"/>
          <w:rFonts w:ascii="Corbel" w:hAnsi="Corbel"/>
        </w:rPr>
        <w:footnoteRef/>
      </w:r>
      <w:r w:rsidR="00AD3355">
        <w:t xml:space="preserve"> </w:t>
      </w:r>
      <w:proofErr w:type="spellStart"/>
      <w:proofErr w:type="gramStart"/>
      <w:r w:rsidR="00AD3355">
        <w:t>Vinnicombe</w:t>
      </w:r>
      <w:proofErr w:type="spellEnd"/>
      <w:r w:rsidR="00AD3355">
        <w:t>,</w:t>
      </w:r>
      <w:r>
        <w:t xml:space="preserve"> S; Sealy, R; Humbert, A.L.</w:t>
      </w:r>
      <w:proofErr w:type="gramEnd"/>
      <w:r w:rsidR="00AD3355">
        <w:t xml:space="preserve"> </w:t>
      </w:r>
      <w:r>
        <w:t>The f</w:t>
      </w:r>
      <w:r w:rsidRPr="00B31E36">
        <w:t>e</w:t>
      </w:r>
      <w:r>
        <w:t>male FTSE board report 2017: women on boards – back on track?</w:t>
      </w:r>
      <w:r w:rsidRPr="00B31E36">
        <w:t xml:space="preserve"> Cranfield University Report</w:t>
      </w:r>
      <w:r>
        <w:t xml:space="preserve"> 2017:</w:t>
      </w:r>
      <w:r w:rsidRPr="00445712">
        <w:t xml:space="preserve"> </w:t>
      </w:r>
      <w:hyperlink r:id="rId15" w:history="1">
        <w:r w:rsidRPr="000D66CD">
          <w:rPr>
            <w:rStyle w:val="Hyperlink"/>
            <w:rFonts w:ascii="Corbel" w:hAnsi="Corbel"/>
          </w:rPr>
          <w:t>file:///C:/Users/Hamiisijunior1/Downloads/Cranfield%20Female%20FTSE%20report%202017.pdf</w:t>
        </w:r>
      </w:hyperlink>
      <w:r>
        <w:t xml:space="preserve">  </w:t>
      </w:r>
      <w:r w:rsidRPr="00445712">
        <w:t>(accessed 24 August 2019).</w:t>
      </w:r>
    </w:p>
  </w:footnote>
  <w:footnote w:id="86">
    <w:p w14:paraId="38AF894C" w14:textId="7656EC96" w:rsidR="00731A19" w:rsidRPr="00B31E36" w:rsidRDefault="00731A19" w:rsidP="00475801">
      <w:pPr>
        <w:pStyle w:val="footnote"/>
      </w:pPr>
      <w:r w:rsidRPr="00B31E36">
        <w:rPr>
          <w:rStyle w:val="FootnoteReference"/>
          <w:rFonts w:ascii="Corbel" w:hAnsi="Corbel"/>
        </w:rPr>
        <w:footnoteRef/>
      </w:r>
      <w:r>
        <w:t xml:space="preserve"> </w:t>
      </w:r>
      <w:proofErr w:type="spellStart"/>
      <w:r>
        <w:t>Terjesen</w:t>
      </w:r>
      <w:proofErr w:type="spellEnd"/>
      <w:r>
        <w:t xml:space="preserve"> </w:t>
      </w:r>
      <w:r w:rsidRPr="00DB2991">
        <w:rPr>
          <w:i/>
        </w:rPr>
        <w:t>et al</w:t>
      </w:r>
      <w:r>
        <w:t>.</w:t>
      </w:r>
      <w:r w:rsidRPr="00B31E36">
        <w:t xml:space="preserve"> (</w:t>
      </w:r>
      <w:r>
        <w:t xml:space="preserve">supra note </w:t>
      </w:r>
      <w:r>
        <w:fldChar w:fldCharType="begin"/>
      </w:r>
      <w:r>
        <w:instrText xml:space="preserve"> NOTEREF _Ref26784453 \h  \* MERGEFORMAT </w:instrText>
      </w:r>
      <w:r>
        <w:fldChar w:fldCharType="separate"/>
      </w:r>
      <w:r>
        <w:t>83</w:t>
      </w:r>
      <w:r>
        <w:fldChar w:fldCharType="end"/>
      </w:r>
      <w:r w:rsidRPr="00B31E36">
        <w:t xml:space="preserve">). </w:t>
      </w:r>
    </w:p>
  </w:footnote>
  <w:footnote w:id="87">
    <w:p w14:paraId="41330226" w14:textId="73885393" w:rsidR="00731A19" w:rsidRPr="00B31E36" w:rsidRDefault="00731A19" w:rsidP="00475801">
      <w:pPr>
        <w:pStyle w:val="footnote"/>
        <w:rPr>
          <w:color w:val="0070C0"/>
        </w:rPr>
      </w:pPr>
      <w:r w:rsidRPr="00B31E36">
        <w:rPr>
          <w:rStyle w:val="FootnoteReference"/>
          <w:rFonts w:ascii="Corbel" w:hAnsi="Corbel"/>
        </w:rPr>
        <w:footnoteRef/>
      </w:r>
      <w:r>
        <w:t xml:space="preserve"> Cadman, E. Female UK board appointments hit a five-year low.</w:t>
      </w:r>
      <w:r w:rsidRPr="00B31E36">
        <w:t xml:space="preserve"> </w:t>
      </w:r>
      <w:r w:rsidRPr="00B31E36">
        <w:rPr>
          <w:i/>
        </w:rPr>
        <w:t>Financial Times</w:t>
      </w:r>
      <w:r>
        <w:t>, 7 July 2016:</w:t>
      </w:r>
      <w:r w:rsidRPr="00B31E36">
        <w:t xml:space="preserve"> </w:t>
      </w:r>
      <w:hyperlink r:id="rId16" w:history="1">
        <w:r w:rsidRPr="000D66CD">
          <w:rPr>
            <w:rStyle w:val="Hyperlink"/>
            <w:rFonts w:ascii="Corbel" w:hAnsi="Corbel"/>
          </w:rPr>
          <w:t>https://www.ft.com/content/4a903bb4-4364-11e6-b22f-79eb4891c97d</w:t>
        </w:r>
      </w:hyperlink>
      <w:r>
        <w:t xml:space="preserve"> </w:t>
      </w:r>
      <w:r w:rsidRPr="00DB2991">
        <w:t>(accessed 07 September 2019).</w:t>
      </w:r>
    </w:p>
  </w:footnote>
  <w:footnote w:id="88">
    <w:p w14:paraId="5CE647F7" w14:textId="791538FD" w:rsidR="00731A19" w:rsidRPr="00B31E36" w:rsidRDefault="00731A19" w:rsidP="00475801">
      <w:pPr>
        <w:pStyle w:val="footnote"/>
      </w:pPr>
      <w:r w:rsidRPr="00B31E36">
        <w:rPr>
          <w:rStyle w:val="FootnoteReference"/>
          <w:rFonts w:ascii="Corbel" w:hAnsi="Corbel"/>
        </w:rPr>
        <w:footnoteRef/>
      </w:r>
      <w:r>
        <w:t xml:space="preserve"> </w:t>
      </w:r>
      <w:r w:rsidRPr="00B31E36">
        <w:t xml:space="preserve">Peters, </w:t>
      </w:r>
      <w:r>
        <w:t xml:space="preserve">B.G. </w:t>
      </w:r>
      <w:r>
        <w:rPr>
          <w:i/>
        </w:rPr>
        <w:t xml:space="preserve">Institutional theory, </w:t>
      </w:r>
      <w:proofErr w:type="gramStart"/>
      <w:r>
        <w:rPr>
          <w:i/>
        </w:rPr>
        <w:t>The</w:t>
      </w:r>
      <w:proofErr w:type="gramEnd"/>
      <w:r>
        <w:rPr>
          <w:i/>
        </w:rPr>
        <w:t xml:space="preserve"> new i</w:t>
      </w:r>
      <w:r w:rsidRPr="00B31E36">
        <w:rPr>
          <w:i/>
        </w:rPr>
        <w:t>nstitutionalism</w:t>
      </w:r>
      <w:r>
        <w:t>. New York: Bloomsbury Publishing 2011</w:t>
      </w:r>
      <w:r w:rsidRPr="00B31E36">
        <w:t>.</w:t>
      </w:r>
    </w:p>
  </w:footnote>
  <w:footnote w:id="89">
    <w:p w14:paraId="46B6E5CF" w14:textId="4955EEB9" w:rsidR="00731A19" w:rsidRPr="002544D7" w:rsidRDefault="00731A19" w:rsidP="00475801">
      <w:pPr>
        <w:pStyle w:val="footnote"/>
      </w:pPr>
      <w:r w:rsidRPr="002544D7">
        <w:rPr>
          <w:rStyle w:val="FootnoteReference"/>
          <w:rFonts w:ascii="Corbel" w:hAnsi="Corbel"/>
        </w:rPr>
        <w:footnoteRef/>
      </w:r>
      <w:r w:rsidRPr="002544D7">
        <w:t xml:space="preserve"> According to the Fawcett Society’s Gender Pay Gap and Causes briefing for 2019 released in October 2019, the gender pay gap in England, Scotland and Wales has increased. The mean gender pay gap for women in fulltime employment was recorded at 13.1 percent and 16.2 percent for women in part time employment. </w:t>
      </w:r>
      <w:r w:rsidRPr="00B31E36">
        <w:t>See</w:t>
      </w:r>
      <w:r>
        <w:t xml:space="preserve">: </w:t>
      </w:r>
      <w:hyperlink r:id="rId17" w:history="1">
        <w:r w:rsidRPr="000D66CD">
          <w:rPr>
            <w:rStyle w:val="Hyperlink"/>
            <w:rFonts w:ascii="Corbel" w:hAnsi="Corbel"/>
          </w:rPr>
          <w:t>https://www.fawcettsociety.org.uk/gender-pay-gap-and-causes-briefing-2019</w:t>
        </w:r>
      </w:hyperlink>
      <w:r>
        <w:t xml:space="preserve"> </w:t>
      </w:r>
      <w:r w:rsidRPr="007A2DFC">
        <w:t>(accessed 04 December 2019)</w:t>
      </w:r>
      <w:r w:rsidRPr="002544D7">
        <w:rPr>
          <w:sz w:val="22"/>
          <w:szCs w:val="22"/>
        </w:rPr>
        <w:t>.</w:t>
      </w:r>
    </w:p>
  </w:footnote>
  <w:footnote w:id="90">
    <w:p w14:paraId="0963B89C" w14:textId="486F7446" w:rsidR="00731A19" w:rsidRPr="002544D7" w:rsidRDefault="00731A19" w:rsidP="00475801">
      <w:pPr>
        <w:pStyle w:val="footnote"/>
      </w:pPr>
      <w:r w:rsidRPr="002544D7">
        <w:rPr>
          <w:rStyle w:val="FootnoteReference"/>
          <w:rFonts w:ascii="Corbel" w:hAnsi="Corbel"/>
        </w:rPr>
        <w:footnoteRef/>
      </w:r>
      <w:r w:rsidRPr="002544D7">
        <w:t xml:space="preserve"> Davies Report</w:t>
      </w:r>
      <w:r>
        <w:t xml:space="preserve"> </w:t>
      </w:r>
      <w:r w:rsidRPr="00B31E36">
        <w:t>(</w:t>
      </w:r>
      <w:r>
        <w:t xml:space="preserve">supra note </w:t>
      </w:r>
      <w:r>
        <w:fldChar w:fldCharType="begin"/>
      </w:r>
      <w:r>
        <w:instrText xml:space="preserve"> NOTEREF _Ref26779905 \h  \* MERGEFORMAT </w:instrText>
      </w:r>
      <w:r>
        <w:fldChar w:fldCharType="separate"/>
      </w:r>
      <w:r>
        <w:t>31</w:t>
      </w:r>
      <w:r>
        <w:fldChar w:fldCharType="end"/>
      </w:r>
      <w:r>
        <w:t>) P.</w:t>
      </w:r>
      <w:r w:rsidRPr="002544D7">
        <w:t xml:space="preserve"> 18.</w:t>
      </w:r>
    </w:p>
  </w:footnote>
  <w:footnote w:id="91">
    <w:p w14:paraId="51ADDF09" w14:textId="544B2281" w:rsidR="00731A19" w:rsidRPr="00B31E36" w:rsidRDefault="00731A19" w:rsidP="00475801">
      <w:pPr>
        <w:pStyle w:val="footnote"/>
      </w:pPr>
      <w:r w:rsidRPr="00B31E36">
        <w:rPr>
          <w:rStyle w:val="FootnoteReference"/>
          <w:rFonts w:ascii="Corbel" w:hAnsi="Corbel"/>
        </w:rPr>
        <w:footnoteRef/>
      </w:r>
      <w:r w:rsidRPr="00B31E36">
        <w:t xml:space="preserve"> </w:t>
      </w:r>
      <w:r>
        <w:t>Ibid. Foreword. P.</w:t>
      </w:r>
      <w:r w:rsidRPr="00B31E36">
        <w:t xml:space="preserve"> 2.</w:t>
      </w:r>
    </w:p>
  </w:footnote>
  <w:footnote w:id="92">
    <w:p w14:paraId="1652361D" w14:textId="483A44BE" w:rsidR="00731A19" w:rsidRPr="00B31E36" w:rsidRDefault="00731A19" w:rsidP="00475801">
      <w:pPr>
        <w:pStyle w:val="footnote"/>
      </w:pPr>
      <w:r w:rsidRPr="00B31E36">
        <w:rPr>
          <w:rStyle w:val="FootnoteReference"/>
          <w:rFonts w:ascii="Corbel" w:hAnsi="Corbel"/>
        </w:rPr>
        <w:footnoteRef/>
      </w:r>
      <w:r>
        <w:t xml:space="preserve"> </w:t>
      </w:r>
      <w:proofErr w:type="spellStart"/>
      <w:r>
        <w:t>Kakabadse</w:t>
      </w:r>
      <w:proofErr w:type="spellEnd"/>
      <w:r>
        <w:t xml:space="preserve">, N; </w:t>
      </w:r>
      <w:proofErr w:type="spellStart"/>
      <w:r>
        <w:t>Figueira</w:t>
      </w:r>
      <w:proofErr w:type="spellEnd"/>
      <w:r>
        <w:t xml:space="preserve">, C; </w:t>
      </w:r>
      <w:proofErr w:type="spellStart"/>
      <w:r>
        <w:t>Nicolopoulou</w:t>
      </w:r>
      <w:proofErr w:type="spellEnd"/>
      <w:r>
        <w:t xml:space="preserve">, K; Hong Yang, J; </w:t>
      </w:r>
      <w:proofErr w:type="spellStart"/>
      <w:r>
        <w:t>Kakabadse</w:t>
      </w:r>
      <w:proofErr w:type="spellEnd"/>
      <w:r>
        <w:t xml:space="preserve">, A. </w:t>
      </w:r>
      <w:proofErr w:type="spellStart"/>
      <w:r>
        <w:t>Ozgilbin</w:t>
      </w:r>
      <w:proofErr w:type="spellEnd"/>
      <w:r>
        <w:t>,</w:t>
      </w:r>
      <w:r w:rsidR="005D228F">
        <w:t xml:space="preserve"> M.</w:t>
      </w:r>
      <w:r>
        <w:t xml:space="preserve"> Gender diversity and board performance: w</w:t>
      </w:r>
      <w:r w:rsidRPr="00B31E36">
        <w:t>omen’</w:t>
      </w:r>
      <w:r>
        <w:t xml:space="preserve">s experiences and perspectives. </w:t>
      </w:r>
      <w:proofErr w:type="gramStart"/>
      <w:r w:rsidRPr="00B31E36">
        <w:t>54</w:t>
      </w:r>
      <w:r>
        <w:t xml:space="preserve">, 2 </w:t>
      </w:r>
      <w:r w:rsidRPr="00B31E36">
        <w:rPr>
          <w:i/>
        </w:rPr>
        <w:t>Human Resource Management</w:t>
      </w:r>
      <w:r w:rsidRPr="00B31E36">
        <w:t xml:space="preserve"> </w:t>
      </w:r>
      <w:r>
        <w:t xml:space="preserve">(2015) P. 265 – 281; </w:t>
      </w:r>
      <w:r w:rsidRPr="00B31E36">
        <w:t xml:space="preserve">Adams </w:t>
      </w:r>
      <w:r>
        <w:t>M;</w:t>
      </w:r>
      <w:r w:rsidRPr="00B31E36">
        <w:t xml:space="preserve"> </w:t>
      </w:r>
      <w:proofErr w:type="spellStart"/>
      <w:r w:rsidRPr="00B31E36">
        <w:t>Borsellino</w:t>
      </w:r>
      <w:proofErr w:type="spellEnd"/>
      <w:r w:rsidRPr="00B31E36">
        <w:t>,</w:t>
      </w:r>
      <w:r>
        <w:t xml:space="preserve"> G.</w:t>
      </w:r>
      <w:proofErr w:type="gramEnd"/>
      <w:r>
        <w:t xml:space="preserve"> </w:t>
      </w:r>
      <w:proofErr w:type="gramStart"/>
      <w:r>
        <w:t>The unspoken reality of diversity on boards.</w:t>
      </w:r>
      <w:proofErr w:type="gramEnd"/>
      <w:r>
        <w:t xml:space="preserve"> 67, 2</w:t>
      </w:r>
      <w:r w:rsidRPr="00B31E36">
        <w:t xml:space="preserve"> </w:t>
      </w:r>
      <w:r w:rsidRPr="00B31E36">
        <w:rPr>
          <w:i/>
        </w:rPr>
        <w:t>Governance Directions</w:t>
      </w:r>
      <w:r w:rsidRPr="00B31E36">
        <w:t xml:space="preserve"> </w:t>
      </w:r>
      <w:r>
        <w:t xml:space="preserve">(2015) </w:t>
      </w:r>
      <w:r w:rsidRPr="00B31E36">
        <w:t>78 – 81.</w:t>
      </w:r>
    </w:p>
  </w:footnote>
  <w:footnote w:id="93">
    <w:p w14:paraId="6AF2A1D7" w14:textId="0EC64D62" w:rsidR="00731A19" w:rsidRPr="00B31E36" w:rsidRDefault="00731A19" w:rsidP="00475801">
      <w:pPr>
        <w:pStyle w:val="footnote"/>
        <w:rPr>
          <w:color w:val="0070C0"/>
        </w:rPr>
      </w:pPr>
      <w:r w:rsidRPr="00B31E36">
        <w:rPr>
          <w:rStyle w:val="FootnoteReference"/>
          <w:rFonts w:ascii="Corbel" w:hAnsi="Corbel"/>
        </w:rPr>
        <w:footnoteRef/>
      </w:r>
      <w:r w:rsidR="005D228F">
        <w:t xml:space="preserve"> </w:t>
      </w:r>
      <w:proofErr w:type="spellStart"/>
      <w:proofErr w:type="gramStart"/>
      <w:r>
        <w:t>Matsa</w:t>
      </w:r>
      <w:proofErr w:type="spellEnd"/>
      <w:r>
        <w:t xml:space="preserve">, D; </w:t>
      </w:r>
      <w:r w:rsidRPr="00B31E36">
        <w:t xml:space="preserve">Miller, </w:t>
      </w:r>
      <w:r>
        <w:t>A.</w:t>
      </w:r>
      <w:proofErr w:type="gramEnd"/>
      <w:r>
        <w:t xml:space="preserve"> A female style in corporate leadership: evidence from quotas. </w:t>
      </w:r>
      <w:r w:rsidRPr="00B31E36">
        <w:t>5</w:t>
      </w:r>
      <w:r>
        <w:t>, 3</w:t>
      </w:r>
      <w:r w:rsidRPr="00B31E36">
        <w:t xml:space="preserve"> </w:t>
      </w:r>
      <w:r w:rsidRPr="00B31E36">
        <w:rPr>
          <w:i/>
        </w:rPr>
        <w:t>American Economic Journal: Applied Economics</w:t>
      </w:r>
      <w:r w:rsidRPr="00B31E36">
        <w:t xml:space="preserve"> </w:t>
      </w:r>
      <w:r>
        <w:t xml:space="preserve">(2013) P. </w:t>
      </w:r>
      <w:r w:rsidRPr="00B31E36">
        <w:t>136 – 169.</w:t>
      </w:r>
    </w:p>
  </w:footnote>
  <w:footnote w:id="94">
    <w:p w14:paraId="7937B4DB" w14:textId="52067D4A" w:rsidR="00731A19" w:rsidRPr="00B31E36" w:rsidRDefault="00731A19" w:rsidP="00475801">
      <w:pPr>
        <w:pStyle w:val="footnote"/>
      </w:pPr>
      <w:r w:rsidRPr="00B31E36">
        <w:rPr>
          <w:rStyle w:val="FootnoteReference"/>
          <w:rFonts w:ascii="Corbel" w:hAnsi="Corbel"/>
        </w:rPr>
        <w:footnoteRef/>
      </w:r>
      <w:r>
        <w:t xml:space="preserve"> S. </w:t>
      </w:r>
      <w:proofErr w:type="spellStart"/>
      <w:r>
        <w:t>Terjesen</w:t>
      </w:r>
      <w:proofErr w:type="spellEnd"/>
      <w:r>
        <w:t>, S</w:t>
      </w:r>
      <w:proofErr w:type="gramStart"/>
      <w:r>
        <w:t>;</w:t>
      </w:r>
      <w:proofErr w:type="gramEnd"/>
      <w:r>
        <w:t xml:space="preserve"> </w:t>
      </w:r>
      <w:proofErr w:type="spellStart"/>
      <w:r>
        <w:t>Sealey</w:t>
      </w:r>
      <w:proofErr w:type="spellEnd"/>
      <w:r>
        <w:t>, R. Board gender quotas: exploring ethical t</w:t>
      </w:r>
      <w:r w:rsidRPr="00B31E36">
        <w:t>ens</w:t>
      </w:r>
      <w:r>
        <w:t>ions from a multi-theoretical perspective.</w:t>
      </w:r>
      <w:r w:rsidRPr="00B31E36">
        <w:t xml:space="preserve"> 26</w:t>
      </w:r>
      <w:r>
        <w:t>, 1</w:t>
      </w:r>
      <w:r w:rsidRPr="00B31E36">
        <w:t xml:space="preserve"> </w:t>
      </w:r>
      <w:r w:rsidRPr="00B31E36">
        <w:rPr>
          <w:i/>
        </w:rPr>
        <w:t>Business Ethics Quarterly</w:t>
      </w:r>
      <w:r w:rsidRPr="00B31E36">
        <w:t xml:space="preserve"> </w:t>
      </w:r>
      <w:r>
        <w:t xml:space="preserve">(2016) P. </w:t>
      </w:r>
      <w:r w:rsidRPr="00B31E36">
        <w:t>23 – 65.</w:t>
      </w:r>
    </w:p>
  </w:footnote>
  <w:footnote w:id="95">
    <w:p w14:paraId="06E852B3" w14:textId="7FBF3A10" w:rsidR="00731A19" w:rsidRPr="00B31E36" w:rsidRDefault="00731A19" w:rsidP="00475801">
      <w:pPr>
        <w:pStyle w:val="footnote"/>
      </w:pPr>
      <w:r w:rsidRPr="00B31E36">
        <w:rPr>
          <w:rStyle w:val="FootnoteReference"/>
          <w:rFonts w:ascii="Corbel" w:hAnsi="Corbel"/>
        </w:rPr>
        <w:footnoteRef/>
      </w:r>
      <w:r>
        <w:t xml:space="preserve"> Proposed Directive (supra note </w:t>
      </w:r>
      <w:r>
        <w:fldChar w:fldCharType="begin"/>
      </w:r>
      <w:r>
        <w:instrText xml:space="preserve"> NOTEREF _Ref26785967 \h  \* MERGEFORMAT </w:instrText>
      </w:r>
      <w:r>
        <w:fldChar w:fldCharType="separate"/>
      </w:r>
      <w:r>
        <w:t>18</w:t>
      </w:r>
      <w:r>
        <w:fldChar w:fldCharType="end"/>
      </w:r>
      <w:proofErr w:type="gramStart"/>
      <w:r>
        <w:t xml:space="preserve">) </w:t>
      </w:r>
      <w:r w:rsidRPr="00B31E36">
        <w:t xml:space="preserve"> at</w:t>
      </w:r>
      <w:proofErr w:type="gramEnd"/>
      <w:r w:rsidRPr="00B31E36">
        <w:t xml:space="preserve"> 5 and 19, para. 22.</w:t>
      </w:r>
    </w:p>
  </w:footnote>
  <w:footnote w:id="96">
    <w:p w14:paraId="69222A38" w14:textId="66237684" w:rsidR="00731A19" w:rsidRPr="00B31E36" w:rsidRDefault="00731A19" w:rsidP="00475801">
      <w:pPr>
        <w:pStyle w:val="footnote"/>
      </w:pPr>
      <w:r w:rsidRPr="00B31E36">
        <w:rPr>
          <w:rStyle w:val="FootnoteReference"/>
          <w:rFonts w:ascii="Corbel" w:hAnsi="Corbel"/>
        </w:rPr>
        <w:footnoteRef/>
      </w:r>
      <w:r>
        <w:t xml:space="preserve"> </w:t>
      </w:r>
      <w:proofErr w:type="spellStart"/>
      <w:r>
        <w:t>Goyal</w:t>
      </w:r>
      <w:proofErr w:type="spellEnd"/>
      <w:r>
        <w:t xml:space="preserve"> </w:t>
      </w:r>
      <w:r w:rsidRPr="00C651C0">
        <w:rPr>
          <w:i/>
        </w:rPr>
        <w:t>et al</w:t>
      </w:r>
      <w:r>
        <w:t>.  (</w:t>
      </w:r>
      <w:proofErr w:type="gramStart"/>
      <w:r>
        <w:t>supra</w:t>
      </w:r>
      <w:proofErr w:type="gramEnd"/>
      <w:r>
        <w:t xml:space="preserve"> note </w:t>
      </w:r>
      <w:r>
        <w:fldChar w:fldCharType="begin"/>
      </w:r>
      <w:r>
        <w:instrText xml:space="preserve"> NOTEREF _Ref26785997 \h  \* MERGEFORMAT </w:instrText>
      </w:r>
      <w:r>
        <w:fldChar w:fldCharType="separate"/>
      </w:r>
      <w:r>
        <w:t>80</w:t>
      </w:r>
      <w:r>
        <w:fldChar w:fldCharType="end"/>
      </w:r>
      <w:r w:rsidRPr="00B31E36">
        <w:t>).</w:t>
      </w:r>
    </w:p>
  </w:footnote>
  <w:footnote w:id="97">
    <w:p w14:paraId="5EBA9F80" w14:textId="77777777" w:rsidR="00731A19" w:rsidRPr="00825B10" w:rsidRDefault="00731A19" w:rsidP="00475801">
      <w:pPr>
        <w:pStyle w:val="footnote"/>
      </w:pPr>
      <w:r w:rsidRPr="00B31E36">
        <w:rPr>
          <w:rStyle w:val="FootnoteReference"/>
          <w:rFonts w:ascii="Corbel" w:hAnsi="Corbel"/>
        </w:rPr>
        <w:footnoteRef/>
      </w:r>
      <w:r w:rsidRPr="00B31E36">
        <w:t xml:space="preserve"> Ibid.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594D"/>
    <w:multiLevelType w:val="hybridMultilevel"/>
    <w:tmpl w:val="E2C4226A"/>
    <w:lvl w:ilvl="0" w:tplc="776A95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546B66"/>
    <w:multiLevelType w:val="hybridMultilevel"/>
    <w:tmpl w:val="E89E966A"/>
    <w:lvl w:ilvl="0" w:tplc="CA98B2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342D4C"/>
    <w:multiLevelType w:val="hybridMultilevel"/>
    <w:tmpl w:val="82A2F9C6"/>
    <w:lvl w:ilvl="0" w:tplc="B162B0B2">
      <w:start w:val="1"/>
      <w:numFmt w:val="decimal"/>
      <w:pStyle w:val="Heading2"/>
      <w:lvlText w:val="%1."/>
      <w:lvlJc w:val="left"/>
      <w:pPr>
        <w:ind w:left="785"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40F1A29"/>
    <w:multiLevelType w:val="hybridMultilevel"/>
    <w:tmpl w:val="3D623AB8"/>
    <w:lvl w:ilvl="0" w:tplc="DA4C13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27949EF"/>
    <w:multiLevelType w:val="hybridMultilevel"/>
    <w:tmpl w:val="93909D80"/>
    <w:lvl w:ilvl="0" w:tplc="D0D630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14"/>
    <w:rsid w:val="000248E2"/>
    <w:rsid w:val="00040ADA"/>
    <w:rsid w:val="000428C3"/>
    <w:rsid w:val="000A5027"/>
    <w:rsid w:val="000A5B95"/>
    <w:rsid w:val="000B5CC7"/>
    <w:rsid w:val="000B63B7"/>
    <w:rsid w:val="000C0457"/>
    <w:rsid w:val="000E4C49"/>
    <w:rsid w:val="0012681E"/>
    <w:rsid w:val="00131C26"/>
    <w:rsid w:val="001434DF"/>
    <w:rsid w:val="001F7DFE"/>
    <w:rsid w:val="0020367C"/>
    <w:rsid w:val="00213B0E"/>
    <w:rsid w:val="00217840"/>
    <w:rsid w:val="002544D7"/>
    <w:rsid w:val="00254796"/>
    <w:rsid w:val="002577D8"/>
    <w:rsid w:val="00283ABC"/>
    <w:rsid w:val="00294214"/>
    <w:rsid w:val="002B2A60"/>
    <w:rsid w:val="00305384"/>
    <w:rsid w:val="003202A2"/>
    <w:rsid w:val="00320B7D"/>
    <w:rsid w:val="0033425B"/>
    <w:rsid w:val="00356956"/>
    <w:rsid w:val="003843B1"/>
    <w:rsid w:val="00392E01"/>
    <w:rsid w:val="00393150"/>
    <w:rsid w:val="003D5DF9"/>
    <w:rsid w:val="003E191D"/>
    <w:rsid w:val="003E3D54"/>
    <w:rsid w:val="003E78EE"/>
    <w:rsid w:val="003F2103"/>
    <w:rsid w:val="004368C6"/>
    <w:rsid w:val="00445712"/>
    <w:rsid w:val="00447C91"/>
    <w:rsid w:val="00453E69"/>
    <w:rsid w:val="00475801"/>
    <w:rsid w:val="004804EA"/>
    <w:rsid w:val="00480C08"/>
    <w:rsid w:val="004A34BE"/>
    <w:rsid w:val="004A3D95"/>
    <w:rsid w:val="004B3FE9"/>
    <w:rsid w:val="004C7DB7"/>
    <w:rsid w:val="004D2940"/>
    <w:rsid w:val="004F50AB"/>
    <w:rsid w:val="00507D3F"/>
    <w:rsid w:val="005568EB"/>
    <w:rsid w:val="00563638"/>
    <w:rsid w:val="005743DF"/>
    <w:rsid w:val="00583F2A"/>
    <w:rsid w:val="00585740"/>
    <w:rsid w:val="00591129"/>
    <w:rsid w:val="00596749"/>
    <w:rsid w:val="00596DE8"/>
    <w:rsid w:val="005B0DD6"/>
    <w:rsid w:val="005B53AA"/>
    <w:rsid w:val="005D228F"/>
    <w:rsid w:val="0062117F"/>
    <w:rsid w:val="00621C4C"/>
    <w:rsid w:val="00642974"/>
    <w:rsid w:val="006661C5"/>
    <w:rsid w:val="006D1CC4"/>
    <w:rsid w:val="00727AEA"/>
    <w:rsid w:val="00731A19"/>
    <w:rsid w:val="00745580"/>
    <w:rsid w:val="00765497"/>
    <w:rsid w:val="00766C39"/>
    <w:rsid w:val="00773346"/>
    <w:rsid w:val="0078195E"/>
    <w:rsid w:val="0079392E"/>
    <w:rsid w:val="007A2DFC"/>
    <w:rsid w:val="007B030B"/>
    <w:rsid w:val="007B5D2A"/>
    <w:rsid w:val="007D44CA"/>
    <w:rsid w:val="007F73BF"/>
    <w:rsid w:val="0082019D"/>
    <w:rsid w:val="00825B10"/>
    <w:rsid w:val="00841DE0"/>
    <w:rsid w:val="00864FD8"/>
    <w:rsid w:val="0088601E"/>
    <w:rsid w:val="00892570"/>
    <w:rsid w:val="008B6C36"/>
    <w:rsid w:val="008C5C48"/>
    <w:rsid w:val="00914DDC"/>
    <w:rsid w:val="00927F86"/>
    <w:rsid w:val="00977815"/>
    <w:rsid w:val="00984FD6"/>
    <w:rsid w:val="0099619B"/>
    <w:rsid w:val="009B7969"/>
    <w:rsid w:val="009C6B25"/>
    <w:rsid w:val="009F08E7"/>
    <w:rsid w:val="009F272A"/>
    <w:rsid w:val="009F286A"/>
    <w:rsid w:val="00A11DC2"/>
    <w:rsid w:val="00A57279"/>
    <w:rsid w:val="00A922FD"/>
    <w:rsid w:val="00AA09D7"/>
    <w:rsid w:val="00AB3914"/>
    <w:rsid w:val="00AB483C"/>
    <w:rsid w:val="00AB64CC"/>
    <w:rsid w:val="00AD3355"/>
    <w:rsid w:val="00AF234D"/>
    <w:rsid w:val="00B0329D"/>
    <w:rsid w:val="00B30BEA"/>
    <w:rsid w:val="00B31E36"/>
    <w:rsid w:val="00B605AA"/>
    <w:rsid w:val="00B619D6"/>
    <w:rsid w:val="00B95AE8"/>
    <w:rsid w:val="00BD461A"/>
    <w:rsid w:val="00BE3425"/>
    <w:rsid w:val="00C03252"/>
    <w:rsid w:val="00C0674A"/>
    <w:rsid w:val="00C0695C"/>
    <w:rsid w:val="00C213B0"/>
    <w:rsid w:val="00C3380F"/>
    <w:rsid w:val="00C53BEA"/>
    <w:rsid w:val="00C651C0"/>
    <w:rsid w:val="00C84A05"/>
    <w:rsid w:val="00C8733F"/>
    <w:rsid w:val="00C90C2C"/>
    <w:rsid w:val="00C94F0D"/>
    <w:rsid w:val="00CC678F"/>
    <w:rsid w:val="00CE5095"/>
    <w:rsid w:val="00CE559F"/>
    <w:rsid w:val="00CF05D8"/>
    <w:rsid w:val="00CF3B50"/>
    <w:rsid w:val="00D04F6A"/>
    <w:rsid w:val="00D170BE"/>
    <w:rsid w:val="00D2193F"/>
    <w:rsid w:val="00D36F86"/>
    <w:rsid w:val="00D410D2"/>
    <w:rsid w:val="00D51FA2"/>
    <w:rsid w:val="00D647C8"/>
    <w:rsid w:val="00DA6511"/>
    <w:rsid w:val="00DB2991"/>
    <w:rsid w:val="00DC11D8"/>
    <w:rsid w:val="00DC2B0B"/>
    <w:rsid w:val="00DC3E55"/>
    <w:rsid w:val="00DC7661"/>
    <w:rsid w:val="00DE2B40"/>
    <w:rsid w:val="00DF2E7C"/>
    <w:rsid w:val="00DF4A0C"/>
    <w:rsid w:val="00E17060"/>
    <w:rsid w:val="00E26A68"/>
    <w:rsid w:val="00E273BE"/>
    <w:rsid w:val="00E632FD"/>
    <w:rsid w:val="00E64C83"/>
    <w:rsid w:val="00E7730A"/>
    <w:rsid w:val="00EA4175"/>
    <w:rsid w:val="00ED3988"/>
    <w:rsid w:val="00F02D58"/>
    <w:rsid w:val="00F06A82"/>
    <w:rsid w:val="00F25CE5"/>
    <w:rsid w:val="00F42B47"/>
    <w:rsid w:val="00F61952"/>
    <w:rsid w:val="00FA0AA5"/>
    <w:rsid w:val="00FB18C8"/>
    <w:rsid w:val="00FC1F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29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095"/>
    <w:pPr>
      <w:spacing w:line="480" w:lineRule="auto"/>
      <w:jc w:val="both"/>
    </w:pPr>
  </w:style>
  <w:style w:type="paragraph" w:styleId="Heading1">
    <w:name w:val="heading 1"/>
    <w:basedOn w:val="Normal"/>
    <w:next w:val="Normal"/>
    <w:link w:val="Heading1Char"/>
    <w:uiPriority w:val="9"/>
    <w:qFormat/>
    <w:rsid w:val="003202A2"/>
    <w:pPr>
      <w:keepNext/>
      <w:keepLines/>
      <w:spacing w:before="240" w:after="0"/>
      <w:outlineLvl w:val="0"/>
    </w:pPr>
    <w:rPr>
      <w:rFonts w:ascii="Corbel" w:eastAsiaTheme="majorEastAsia" w:hAnsi="Corbel" w:cstheme="majorBidi"/>
      <w:sz w:val="32"/>
      <w:szCs w:val="32"/>
    </w:rPr>
  </w:style>
  <w:style w:type="paragraph" w:styleId="Heading2">
    <w:name w:val="heading 2"/>
    <w:basedOn w:val="ListParagraph"/>
    <w:next w:val="Normal"/>
    <w:link w:val="Heading2Char"/>
    <w:uiPriority w:val="9"/>
    <w:unhideWhenUsed/>
    <w:qFormat/>
    <w:rsid w:val="00CE5095"/>
    <w:pPr>
      <w:numPr>
        <w:numId w:val="5"/>
      </w:numPr>
      <w:spacing w:line="360" w:lineRule="auto"/>
      <w:ind w:left="360"/>
      <w:outlineLvl w:val="1"/>
    </w:pPr>
    <w:rPr>
      <w:rFonts w:cstheme="minorHAnsi"/>
      <w:b/>
      <w:sz w:val="28"/>
      <w:szCs w:val="28"/>
    </w:rPr>
  </w:style>
  <w:style w:type="paragraph" w:styleId="Heading3">
    <w:name w:val="heading 3"/>
    <w:basedOn w:val="Normal"/>
    <w:next w:val="Normal"/>
    <w:link w:val="Heading3Char"/>
    <w:uiPriority w:val="9"/>
    <w:unhideWhenUsed/>
    <w:qFormat/>
    <w:rsid w:val="00CE5095"/>
    <w:pPr>
      <w:spacing w:line="360" w:lineRule="auto"/>
      <w:outlineLvl w:val="2"/>
    </w:pPr>
    <w:rPr>
      <w:rFonts w:cstheme="minorHAnsi"/>
      <w:i/>
      <w:sz w:val="24"/>
      <w:szCs w:val="24"/>
    </w:rPr>
  </w:style>
  <w:style w:type="paragraph" w:styleId="Heading4">
    <w:name w:val="heading 4"/>
    <w:basedOn w:val="Normal"/>
    <w:next w:val="Normal"/>
    <w:link w:val="Heading4Char"/>
    <w:uiPriority w:val="9"/>
    <w:unhideWhenUsed/>
    <w:qFormat/>
    <w:rsid w:val="003E78EE"/>
    <w:pPr>
      <w:spacing w:line="360" w:lineRule="auto"/>
      <w:outlineLvl w:val="3"/>
    </w:pPr>
    <w:rPr>
      <w:rFonts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94214"/>
    <w:pPr>
      <w:spacing w:after="0" w:line="240" w:lineRule="auto"/>
    </w:pPr>
    <w:rPr>
      <w:sz w:val="20"/>
      <w:szCs w:val="20"/>
    </w:rPr>
  </w:style>
  <w:style w:type="character" w:customStyle="1" w:styleId="FootnoteTextChar">
    <w:name w:val="Footnote Text Char"/>
    <w:basedOn w:val="DefaultParagraphFont"/>
    <w:link w:val="FootnoteText"/>
    <w:uiPriority w:val="99"/>
    <w:rsid w:val="00294214"/>
    <w:rPr>
      <w:sz w:val="20"/>
      <w:szCs w:val="20"/>
    </w:rPr>
  </w:style>
  <w:style w:type="character" w:styleId="FootnoteReference">
    <w:name w:val="footnote reference"/>
    <w:basedOn w:val="DefaultParagraphFont"/>
    <w:uiPriority w:val="99"/>
    <w:unhideWhenUsed/>
    <w:rsid w:val="00294214"/>
    <w:rPr>
      <w:vertAlign w:val="superscript"/>
    </w:rPr>
  </w:style>
  <w:style w:type="character" w:styleId="Hyperlink">
    <w:name w:val="Hyperlink"/>
    <w:basedOn w:val="DefaultParagraphFont"/>
    <w:uiPriority w:val="99"/>
    <w:unhideWhenUsed/>
    <w:rsid w:val="00294214"/>
    <w:rPr>
      <w:color w:val="0000FF"/>
      <w:u w:val="single"/>
    </w:rPr>
  </w:style>
  <w:style w:type="paragraph" w:styleId="ListParagraph">
    <w:name w:val="List Paragraph"/>
    <w:basedOn w:val="Normal"/>
    <w:uiPriority w:val="34"/>
    <w:qFormat/>
    <w:rsid w:val="00040ADA"/>
    <w:pPr>
      <w:ind w:left="720"/>
      <w:contextualSpacing/>
    </w:pPr>
  </w:style>
  <w:style w:type="character" w:customStyle="1" w:styleId="Heading1Char">
    <w:name w:val="Heading 1 Char"/>
    <w:basedOn w:val="DefaultParagraphFont"/>
    <w:link w:val="Heading1"/>
    <w:uiPriority w:val="9"/>
    <w:rsid w:val="003202A2"/>
    <w:rPr>
      <w:rFonts w:ascii="Corbel" w:eastAsiaTheme="majorEastAsia" w:hAnsi="Corbel" w:cstheme="majorBidi"/>
      <w:sz w:val="32"/>
      <w:szCs w:val="32"/>
    </w:rPr>
  </w:style>
  <w:style w:type="paragraph" w:styleId="Header">
    <w:name w:val="header"/>
    <w:basedOn w:val="Normal"/>
    <w:link w:val="HeaderChar"/>
    <w:uiPriority w:val="99"/>
    <w:unhideWhenUsed/>
    <w:rsid w:val="003E3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D54"/>
  </w:style>
  <w:style w:type="paragraph" w:styleId="Footer">
    <w:name w:val="footer"/>
    <w:basedOn w:val="Normal"/>
    <w:link w:val="FooterChar"/>
    <w:uiPriority w:val="99"/>
    <w:unhideWhenUsed/>
    <w:rsid w:val="003E3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D54"/>
  </w:style>
  <w:style w:type="character" w:customStyle="1" w:styleId="Heading2Char">
    <w:name w:val="Heading 2 Char"/>
    <w:basedOn w:val="DefaultParagraphFont"/>
    <w:link w:val="Heading2"/>
    <w:uiPriority w:val="9"/>
    <w:rsid w:val="00CE5095"/>
    <w:rPr>
      <w:rFonts w:cstheme="minorHAnsi"/>
      <w:b/>
      <w:sz w:val="28"/>
      <w:szCs w:val="28"/>
    </w:rPr>
  </w:style>
  <w:style w:type="character" w:customStyle="1" w:styleId="Heading3Char">
    <w:name w:val="Heading 3 Char"/>
    <w:basedOn w:val="DefaultParagraphFont"/>
    <w:link w:val="Heading3"/>
    <w:uiPriority w:val="9"/>
    <w:rsid w:val="00CE5095"/>
    <w:rPr>
      <w:rFonts w:cstheme="minorHAnsi"/>
      <w:i/>
      <w:sz w:val="24"/>
      <w:szCs w:val="24"/>
    </w:rPr>
  </w:style>
  <w:style w:type="character" w:customStyle="1" w:styleId="Heading4Char">
    <w:name w:val="Heading 4 Char"/>
    <w:basedOn w:val="DefaultParagraphFont"/>
    <w:link w:val="Heading4"/>
    <w:uiPriority w:val="9"/>
    <w:rsid w:val="003E78EE"/>
    <w:rPr>
      <w:rFonts w:cstheme="minorHAnsi"/>
      <w:sz w:val="24"/>
      <w:szCs w:val="24"/>
    </w:rPr>
  </w:style>
  <w:style w:type="paragraph" w:styleId="Quote">
    <w:name w:val="Quote"/>
    <w:basedOn w:val="Normal"/>
    <w:next w:val="Normal"/>
    <w:link w:val="QuoteChar"/>
    <w:uiPriority w:val="29"/>
    <w:qFormat/>
    <w:rsid w:val="00475801"/>
    <w:pPr>
      <w:spacing w:before="200" w:after="100" w:afterAutospacing="1"/>
      <w:ind w:left="862" w:right="862"/>
    </w:pPr>
    <w:rPr>
      <w:iCs/>
      <w:color w:val="404040" w:themeColor="text1" w:themeTint="BF"/>
    </w:rPr>
  </w:style>
  <w:style w:type="character" w:customStyle="1" w:styleId="QuoteChar">
    <w:name w:val="Quote Char"/>
    <w:basedOn w:val="DefaultParagraphFont"/>
    <w:link w:val="Quote"/>
    <w:uiPriority w:val="29"/>
    <w:rsid w:val="00475801"/>
    <w:rPr>
      <w:iCs/>
      <w:color w:val="404040" w:themeColor="text1" w:themeTint="BF"/>
    </w:rPr>
  </w:style>
  <w:style w:type="paragraph" w:customStyle="1" w:styleId="footnote">
    <w:name w:val="footnote"/>
    <w:basedOn w:val="FootnoteText"/>
    <w:link w:val="footnoteChar"/>
    <w:qFormat/>
    <w:rsid w:val="00CE5095"/>
    <w:pPr>
      <w:spacing w:line="480" w:lineRule="auto"/>
    </w:pPr>
    <w:rPr>
      <w:rFonts w:cstheme="minorHAnsi"/>
    </w:rPr>
  </w:style>
  <w:style w:type="character" w:customStyle="1" w:styleId="footnoteChar">
    <w:name w:val="footnote Char"/>
    <w:basedOn w:val="FootnoteTextChar"/>
    <w:link w:val="footnote"/>
    <w:rsid w:val="00CE5095"/>
    <w:rPr>
      <w:rFonts w:cs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095"/>
    <w:pPr>
      <w:spacing w:line="480" w:lineRule="auto"/>
      <w:jc w:val="both"/>
    </w:pPr>
  </w:style>
  <w:style w:type="paragraph" w:styleId="Heading1">
    <w:name w:val="heading 1"/>
    <w:basedOn w:val="Normal"/>
    <w:next w:val="Normal"/>
    <w:link w:val="Heading1Char"/>
    <w:uiPriority w:val="9"/>
    <w:qFormat/>
    <w:rsid w:val="003202A2"/>
    <w:pPr>
      <w:keepNext/>
      <w:keepLines/>
      <w:spacing w:before="240" w:after="0"/>
      <w:outlineLvl w:val="0"/>
    </w:pPr>
    <w:rPr>
      <w:rFonts w:ascii="Corbel" w:eastAsiaTheme="majorEastAsia" w:hAnsi="Corbel" w:cstheme="majorBidi"/>
      <w:sz w:val="32"/>
      <w:szCs w:val="32"/>
    </w:rPr>
  </w:style>
  <w:style w:type="paragraph" w:styleId="Heading2">
    <w:name w:val="heading 2"/>
    <w:basedOn w:val="ListParagraph"/>
    <w:next w:val="Normal"/>
    <w:link w:val="Heading2Char"/>
    <w:uiPriority w:val="9"/>
    <w:unhideWhenUsed/>
    <w:qFormat/>
    <w:rsid w:val="00CE5095"/>
    <w:pPr>
      <w:numPr>
        <w:numId w:val="5"/>
      </w:numPr>
      <w:spacing w:line="360" w:lineRule="auto"/>
      <w:ind w:left="360"/>
      <w:outlineLvl w:val="1"/>
    </w:pPr>
    <w:rPr>
      <w:rFonts w:cstheme="minorHAnsi"/>
      <w:b/>
      <w:sz w:val="28"/>
      <w:szCs w:val="28"/>
    </w:rPr>
  </w:style>
  <w:style w:type="paragraph" w:styleId="Heading3">
    <w:name w:val="heading 3"/>
    <w:basedOn w:val="Normal"/>
    <w:next w:val="Normal"/>
    <w:link w:val="Heading3Char"/>
    <w:uiPriority w:val="9"/>
    <w:unhideWhenUsed/>
    <w:qFormat/>
    <w:rsid w:val="00CE5095"/>
    <w:pPr>
      <w:spacing w:line="360" w:lineRule="auto"/>
      <w:outlineLvl w:val="2"/>
    </w:pPr>
    <w:rPr>
      <w:rFonts w:cstheme="minorHAnsi"/>
      <w:i/>
      <w:sz w:val="24"/>
      <w:szCs w:val="24"/>
    </w:rPr>
  </w:style>
  <w:style w:type="paragraph" w:styleId="Heading4">
    <w:name w:val="heading 4"/>
    <w:basedOn w:val="Normal"/>
    <w:next w:val="Normal"/>
    <w:link w:val="Heading4Char"/>
    <w:uiPriority w:val="9"/>
    <w:unhideWhenUsed/>
    <w:qFormat/>
    <w:rsid w:val="003E78EE"/>
    <w:pPr>
      <w:spacing w:line="360" w:lineRule="auto"/>
      <w:outlineLvl w:val="3"/>
    </w:pPr>
    <w:rPr>
      <w:rFonts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94214"/>
    <w:pPr>
      <w:spacing w:after="0" w:line="240" w:lineRule="auto"/>
    </w:pPr>
    <w:rPr>
      <w:sz w:val="20"/>
      <w:szCs w:val="20"/>
    </w:rPr>
  </w:style>
  <w:style w:type="character" w:customStyle="1" w:styleId="FootnoteTextChar">
    <w:name w:val="Footnote Text Char"/>
    <w:basedOn w:val="DefaultParagraphFont"/>
    <w:link w:val="FootnoteText"/>
    <w:uiPriority w:val="99"/>
    <w:rsid w:val="00294214"/>
    <w:rPr>
      <w:sz w:val="20"/>
      <w:szCs w:val="20"/>
    </w:rPr>
  </w:style>
  <w:style w:type="character" w:styleId="FootnoteReference">
    <w:name w:val="footnote reference"/>
    <w:basedOn w:val="DefaultParagraphFont"/>
    <w:uiPriority w:val="99"/>
    <w:unhideWhenUsed/>
    <w:rsid w:val="00294214"/>
    <w:rPr>
      <w:vertAlign w:val="superscript"/>
    </w:rPr>
  </w:style>
  <w:style w:type="character" w:styleId="Hyperlink">
    <w:name w:val="Hyperlink"/>
    <w:basedOn w:val="DefaultParagraphFont"/>
    <w:uiPriority w:val="99"/>
    <w:unhideWhenUsed/>
    <w:rsid w:val="00294214"/>
    <w:rPr>
      <w:color w:val="0000FF"/>
      <w:u w:val="single"/>
    </w:rPr>
  </w:style>
  <w:style w:type="paragraph" w:styleId="ListParagraph">
    <w:name w:val="List Paragraph"/>
    <w:basedOn w:val="Normal"/>
    <w:uiPriority w:val="34"/>
    <w:qFormat/>
    <w:rsid w:val="00040ADA"/>
    <w:pPr>
      <w:ind w:left="720"/>
      <w:contextualSpacing/>
    </w:pPr>
  </w:style>
  <w:style w:type="character" w:customStyle="1" w:styleId="Heading1Char">
    <w:name w:val="Heading 1 Char"/>
    <w:basedOn w:val="DefaultParagraphFont"/>
    <w:link w:val="Heading1"/>
    <w:uiPriority w:val="9"/>
    <w:rsid w:val="003202A2"/>
    <w:rPr>
      <w:rFonts w:ascii="Corbel" w:eastAsiaTheme="majorEastAsia" w:hAnsi="Corbel" w:cstheme="majorBidi"/>
      <w:sz w:val="32"/>
      <w:szCs w:val="32"/>
    </w:rPr>
  </w:style>
  <w:style w:type="paragraph" w:styleId="Header">
    <w:name w:val="header"/>
    <w:basedOn w:val="Normal"/>
    <w:link w:val="HeaderChar"/>
    <w:uiPriority w:val="99"/>
    <w:unhideWhenUsed/>
    <w:rsid w:val="003E3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D54"/>
  </w:style>
  <w:style w:type="paragraph" w:styleId="Footer">
    <w:name w:val="footer"/>
    <w:basedOn w:val="Normal"/>
    <w:link w:val="FooterChar"/>
    <w:uiPriority w:val="99"/>
    <w:unhideWhenUsed/>
    <w:rsid w:val="003E3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D54"/>
  </w:style>
  <w:style w:type="character" w:customStyle="1" w:styleId="Heading2Char">
    <w:name w:val="Heading 2 Char"/>
    <w:basedOn w:val="DefaultParagraphFont"/>
    <w:link w:val="Heading2"/>
    <w:uiPriority w:val="9"/>
    <w:rsid w:val="00CE5095"/>
    <w:rPr>
      <w:rFonts w:cstheme="minorHAnsi"/>
      <w:b/>
      <w:sz w:val="28"/>
      <w:szCs w:val="28"/>
    </w:rPr>
  </w:style>
  <w:style w:type="character" w:customStyle="1" w:styleId="Heading3Char">
    <w:name w:val="Heading 3 Char"/>
    <w:basedOn w:val="DefaultParagraphFont"/>
    <w:link w:val="Heading3"/>
    <w:uiPriority w:val="9"/>
    <w:rsid w:val="00CE5095"/>
    <w:rPr>
      <w:rFonts w:cstheme="minorHAnsi"/>
      <w:i/>
      <w:sz w:val="24"/>
      <w:szCs w:val="24"/>
    </w:rPr>
  </w:style>
  <w:style w:type="character" w:customStyle="1" w:styleId="Heading4Char">
    <w:name w:val="Heading 4 Char"/>
    <w:basedOn w:val="DefaultParagraphFont"/>
    <w:link w:val="Heading4"/>
    <w:uiPriority w:val="9"/>
    <w:rsid w:val="003E78EE"/>
    <w:rPr>
      <w:rFonts w:cstheme="minorHAnsi"/>
      <w:sz w:val="24"/>
      <w:szCs w:val="24"/>
    </w:rPr>
  </w:style>
  <w:style w:type="paragraph" w:styleId="Quote">
    <w:name w:val="Quote"/>
    <w:basedOn w:val="Normal"/>
    <w:next w:val="Normal"/>
    <w:link w:val="QuoteChar"/>
    <w:uiPriority w:val="29"/>
    <w:qFormat/>
    <w:rsid w:val="00475801"/>
    <w:pPr>
      <w:spacing w:before="200" w:after="100" w:afterAutospacing="1"/>
      <w:ind w:left="862" w:right="862"/>
    </w:pPr>
    <w:rPr>
      <w:iCs/>
      <w:color w:val="404040" w:themeColor="text1" w:themeTint="BF"/>
    </w:rPr>
  </w:style>
  <w:style w:type="character" w:customStyle="1" w:styleId="QuoteChar">
    <w:name w:val="Quote Char"/>
    <w:basedOn w:val="DefaultParagraphFont"/>
    <w:link w:val="Quote"/>
    <w:uiPriority w:val="29"/>
    <w:rsid w:val="00475801"/>
    <w:rPr>
      <w:iCs/>
      <w:color w:val="404040" w:themeColor="text1" w:themeTint="BF"/>
    </w:rPr>
  </w:style>
  <w:style w:type="paragraph" w:customStyle="1" w:styleId="footnote">
    <w:name w:val="footnote"/>
    <w:basedOn w:val="FootnoteText"/>
    <w:link w:val="footnoteChar"/>
    <w:qFormat/>
    <w:rsid w:val="00CE5095"/>
    <w:pPr>
      <w:spacing w:line="480" w:lineRule="auto"/>
    </w:pPr>
    <w:rPr>
      <w:rFonts w:cstheme="minorHAnsi"/>
    </w:rPr>
  </w:style>
  <w:style w:type="character" w:customStyle="1" w:styleId="footnoteChar">
    <w:name w:val="footnote Char"/>
    <w:basedOn w:val="FootnoteTextChar"/>
    <w:link w:val="footnote"/>
    <w:rsid w:val="00CE5095"/>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1" Type="http://schemas.openxmlformats.org/officeDocument/2006/relationships/hyperlink" Target="https://www.gov.uk/government/publications/women-on-boards-voluntary-code-for-executive-search-firms" TargetMode="External"/><Relationship Id="rId12" Type="http://schemas.openxmlformats.org/officeDocument/2006/relationships/hyperlink" Target="https://ftsewomenleaders.com/wp-content/uploads/2018/11/HA-Review-Report-2018.pdf" TargetMode="External"/><Relationship Id="rId13" Type="http://schemas.openxmlformats.org/officeDocument/2006/relationships/hyperlink" Target="https://ftsewomenleaders.com/wp-content/uploads/2019/11/HA-Review-Report-2019.pdf" TargetMode="External"/><Relationship Id="rId14" Type="http://schemas.openxmlformats.org/officeDocument/2006/relationships/hyperlink" Target="https://eur-lex.europa.eu/legal-content/EN/TXT/?uri=CELEX:12016E/PRO/02" TargetMode="External"/><Relationship Id="rId15" Type="http://schemas.openxmlformats.org/officeDocument/2006/relationships/hyperlink" Target="file:///C:/Users/Hamiisijunior1/Downloads/Cranfield%20Female%20FTSE%20report%202017.pdf" TargetMode="External"/><Relationship Id="rId16" Type="http://schemas.openxmlformats.org/officeDocument/2006/relationships/hyperlink" Target="https://www.ft.com/content/4a903bb4-4364-11e6-b22f-79eb4891c97d" TargetMode="External"/><Relationship Id="rId17" Type="http://schemas.openxmlformats.org/officeDocument/2006/relationships/hyperlink" Target="https://www.fawcettsociety.org.uk/gender-pay-gap-and-causes-briefing-2019" TargetMode="External"/><Relationship Id="rId1" Type="http://schemas.openxmlformats.org/officeDocument/2006/relationships/hyperlink" Target="http://www.legislation.gov.uk/ukpga/2010/15/contents" TargetMode="External"/><Relationship Id="rId2" Type="http://schemas.openxmlformats.org/officeDocument/2006/relationships/hyperlink" Target="https://www.consilium.europa.eu/en/meetings/epsco/2015/06/18" TargetMode="External"/><Relationship Id="rId3" Type="http://schemas.openxmlformats.org/officeDocument/2006/relationships/hyperlink" Target="http://data.consilium.europa.eu/doc/document/ST-14343-2015-INIT/en/pdf" TargetMode="External"/><Relationship Id="rId4" Type="http://schemas.openxmlformats.org/officeDocument/2006/relationships/hyperlink" Target="https://www.consilium.europa.eu/en/meetings/epsco/2015/12/07/" TargetMode="External"/><Relationship Id="rId5" Type="http://schemas.openxmlformats.org/officeDocument/2006/relationships/hyperlink" Target="https://www.consilium.europa.eu/media/22163/st10376en17.pdf" TargetMode="External"/><Relationship Id="rId6" Type="http://schemas.openxmlformats.org/officeDocument/2006/relationships/hyperlink" Target="https://multimedia.europarl.europa.eu/en/gender-balance-joint-debate_I167193-V_v" TargetMode="External"/><Relationship Id="rId7" Type="http://schemas.openxmlformats.org/officeDocument/2006/relationships/hyperlink" Target="https://ftsewomenleaders.com/wp-content/uploads/2015/08/women-on-boards-review.pdf" TargetMode="External"/><Relationship Id="rId8" Type="http://schemas.openxmlformats.org/officeDocument/2006/relationships/hyperlink" Target="https://web.archive.org/web/20080726222758/http:/www.berr.gov.uk/files/file23012.pdf" TargetMode="External"/><Relationship Id="rId9" Type="http://schemas.openxmlformats.org/officeDocument/2006/relationships/hyperlink" Target="https://ftsewomenleaders.com/" TargetMode="External"/><Relationship Id="rId10" Type="http://schemas.openxmlformats.org/officeDocument/2006/relationships/hyperlink" Target="https://ftsewomenleaders.com/wp-content/uploads/2015/11/Davies-Review-Five-year-Summary-Oct-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8B472-78EC-D34F-BCDA-BB2C7388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5006</Words>
  <Characters>28537</Characters>
  <Application>Microsoft Macintosh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Hamiisi Junior Nsubuga</dc:creator>
  <cp:keywords/>
  <dc:description/>
  <cp:lastModifiedBy>Dr. Hamiisi Junioe Nsubuga</cp:lastModifiedBy>
  <cp:revision>2</cp:revision>
  <dcterms:created xsi:type="dcterms:W3CDTF">2020-02-14T09:26:00Z</dcterms:created>
  <dcterms:modified xsi:type="dcterms:W3CDTF">2020-02-14T09:26:00Z</dcterms:modified>
</cp:coreProperties>
</file>