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2C" w:rsidRPr="009A3B9C" w:rsidRDefault="00424ADB" w:rsidP="0076645A">
      <w:pPr>
        <w:pStyle w:val="Title2"/>
        <w:spacing w:line="480" w:lineRule="auto"/>
        <w:rPr>
          <w:rFonts w:ascii="Times New Roman" w:hAnsi="Times New Roman" w:cs="Times New Roman"/>
          <w:b/>
        </w:rPr>
      </w:pPr>
      <w:r w:rsidRPr="009A3B9C">
        <w:rPr>
          <w:rFonts w:ascii="Times New Roman" w:hAnsi="Times New Roman" w:cs="Times New Roman"/>
          <w:b/>
        </w:rPr>
        <w:t>Successful and un</w:t>
      </w:r>
      <w:r w:rsidR="00F12B8D" w:rsidRPr="009A3B9C">
        <w:rPr>
          <w:rFonts w:ascii="Times New Roman" w:hAnsi="Times New Roman" w:cs="Times New Roman"/>
          <w:b/>
        </w:rPr>
        <w:t xml:space="preserve">successful radical </w:t>
      </w:r>
      <w:r w:rsidR="00A9057E" w:rsidRPr="009A3B9C">
        <w:rPr>
          <w:rFonts w:ascii="Times New Roman" w:hAnsi="Times New Roman" w:cs="Times New Roman"/>
          <w:b/>
        </w:rPr>
        <w:t>transformation</w:t>
      </w:r>
      <w:r w:rsidR="00F12B8D" w:rsidRPr="009A3B9C">
        <w:rPr>
          <w:rFonts w:ascii="Times New Roman" w:hAnsi="Times New Roman" w:cs="Times New Roman"/>
          <w:b/>
        </w:rPr>
        <w:t xml:space="preserve"> of multinational mobile telephony companies. The role of institutional context.  </w:t>
      </w:r>
    </w:p>
    <w:p w:rsidR="00D4142C" w:rsidRPr="009A3B9C" w:rsidRDefault="00D4142C" w:rsidP="0076645A">
      <w:pPr>
        <w:pStyle w:val="Title2"/>
        <w:spacing w:line="480" w:lineRule="auto"/>
        <w:rPr>
          <w:rFonts w:ascii="Times New Roman" w:hAnsi="Times New Roman" w:cs="Times New Roman"/>
        </w:rPr>
      </w:pPr>
    </w:p>
    <w:p w:rsidR="00B823AA" w:rsidRPr="00E513FB" w:rsidRDefault="008D37F6" w:rsidP="0076645A">
      <w:pPr>
        <w:pStyle w:val="Title2"/>
        <w:spacing w:line="480" w:lineRule="auto"/>
        <w:rPr>
          <w:rFonts w:ascii="Times New Roman" w:hAnsi="Times New Roman" w:cs="Times New Roman"/>
          <w:lang w:val="nb-NO"/>
        </w:rPr>
      </w:pPr>
      <w:r w:rsidRPr="00E513FB">
        <w:rPr>
          <w:rFonts w:ascii="Times New Roman" w:hAnsi="Times New Roman" w:cs="Times New Roman"/>
          <w:lang w:val="nb-NO"/>
        </w:rPr>
        <w:t xml:space="preserve">Frank Elter     </w:t>
      </w:r>
      <w:r w:rsidR="00A9057E" w:rsidRPr="00E513FB">
        <w:rPr>
          <w:rFonts w:ascii="Times New Roman" w:hAnsi="Times New Roman" w:cs="Times New Roman"/>
          <w:lang w:val="nb-NO"/>
        </w:rPr>
        <w:tab/>
      </w:r>
      <w:r w:rsidRPr="00E513FB">
        <w:rPr>
          <w:rFonts w:ascii="Times New Roman" w:hAnsi="Times New Roman" w:cs="Times New Roman"/>
          <w:lang w:val="nb-NO"/>
        </w:rPr>
        <w:t xml:space="preserve">Paul </w:t>
      </w:r>
      <w:r w:rsidR="00E513FB" w:rsidRPr="00E513FB">
        <w:rPr>
          <w:rFonts w:ascii="Times New Roman" w:hAnsi="Times New Roman" w:cs="Times New Roman"/>
          <w:lang w:val="nb-NO"/>
        </w:rPr>
        <w:t xml:space="preserve">N. </w:t>
      </w:r>
      <w:r w:rsidRPr="00E513FB">
        <w:rPr>
          <w:rFonts w:ascii="Times New Roman" w:hAnsi="Times New Roman" w:cs="Times New Roman"/>
          <w:lang w:val="nb-NO"/>
        </w:rPr>
        <w:t>Gooderham</w:t>
      </w:r>
      <w:r w:rsidR="00A9057E" w:rsidRPr="00E513FB">
        <w:rPr>
          <w:rFonts w:ascii="Times New Roman" w:hAnsi="Times New Roman" w:cs="Times New Roman"/>
          <w:lang w:val="nb-NO"/>
        </w:rPr>
        <w:tab/>
        <w:t xml:space="preserve">Inger </w:t>
      </w:r>
      <w:r w:rsidR="00E513FB">
        <w:rPr>
          <w:rFonts w:ascii="Times New Roman" w:hAnsi="Times New Roman" w:cs="Times New Roman"/>
          <w:lang w:val="nb-NO"/>
        </w:rPr>
        <w:t xml:space="preserve">G. </w:t>
      </w:r>
      <w:bookmarkStart w:id="0" w:name="_GoBack"/>
      <w:bookmarkEnd w:id="0"/>
      <w:r w:rsidR="00A9057E" w:rsidRPr="00E513FB">
        <w:rPr>
          <w:rFonts w:ascii="Times New Roman" w:hAnsi="Times New Roman" w:cs="Times New Roman"/>
          <w:lang w:val="nb-NO"/>
        </w:rPr>
        <w:t>Stensaker</w:t>
      </w:r>
    </w:p>
    <w:p w:rsidR="00E81978" w:rsidRPr="009A3B9C" w:rsidRDefault="00A9057E" w:rsidP="0076645A">
      <w:pPr>
        <w:pStyle w:val="Title2"/>
        <w:spacing w:line="480" w:lineRule="auto"/>
        <w:rPr>
          <w:rFonts w:ascii="Times New Roman" w:hAnsi="Times New Roman" w:cs="Times New Roman"/>
        </w:rPr>
      </w:pPr>
      <w:r w:rsidRPr="009A3B9C">
        <w:rPr>
          <w:rFonts w:ascii="Times New Roman" w:hAnsi="Times New Roman" w:cs="Times New Roman"/>
        </w:rPr>
        <w:t>NHH Norwegian School of Economics</w:t>
      </w:r>
    </w:p>
    <w:p w:rsidR="001C72CA" w:rsidRPr="009A3B9C" w:rsidRDefault="001C72CA" w:rsidP="0076645A">
      <w:pPr>
        <w:pStyle w:val="Title2"/>
        <w:spacing w:line="480" w:lineRule="auto"/>
        <w:rPr>
          <w:rFonts w:ascii="Times New Roman" w:hAnsi="Times New Roman" w:cs="Times New Roman"/>
        </w:rPr>
      </w:pPr>
    </w:p>
    <w:p w:rsidR="000D24D8" w:rsidRPr="009A3B9C" w:rsidRDefault="000D24D8" w:rsidP="0076645A">
      <w:pPr>
        <w:pStyle w:val="Title2"/>
        <w:spacing w:line="480" w:lineRule="auto"/>
        <w:rPr>
          <w:rFonts w:ascii="Times New Roman" w:hAnsi="Times New Roman" w:cs="Times New Roman"/>
        </w:rPr>
      </w:pPr>
      <w:r w:rsidRPr="009A3B9C">
        <w:rPr>
          <w:rFonts w:ascii="Times New Roman" w:hAnsi="Times New Roman" w:cs="Times New Roman"/>
        </w:rPr>
        <w:t>Abstract</w:t>
      </w:r>
    </w:p>
    <w:p w:rsidR="000D24D8" w:rsidRPr="00EF1FD4" w:rsidRDefault="00013F74" w:rsidP="0076645A">
      <w:pPr>
        <w:pStyle w:val="Title2"/>
        <w:spacing w:line="480" w:lineRule="auto"/>
        <w:jc w:val="left"/>
        <w:rPr>
          <w:rFonts w:ascii="Times New Roman" w:hAnsi="Times New Roman" w:cs="Times New Roman"/>
        </w:rPr>
      </w:pPr>
      <w:r w:rsidRPr="009A3B9C">
        <w:rPr>
          <w:rFonts w:ascii="Times New Roman" w:hAnsi="Times New Roman" w:cs="Times New Roman"/>
        </w:rPr>
        <w:t xml:space="preserve">A number of </w:t>
      </w:r>
      <w:r w:rsidR="00EF1FD4" w:rsidRPr="009A3B9C">
        <w:rPr>
          <w:rFonts w:ascii="Times New Roman" w:hAnsi="Times New Roman" w:cs="Times New Roman"/>
        </w:rPr>
        <w:t>prominent</w:t>
      </w:r>
      <w:r w:rsidRPr="009A3B9C">
        <w:rPr>
          <w:rFonts w:ascii="Times New Roman" w:hAnsi="Times New Roman" w:cs="Times New Roman"/>
        </w:rPr>
        <w:t xml:space="preserve"> </w:t>
      </w:r>
      <w:r w:rsidR="000D24D8" w:rsidRPr="00EF1FD4">
        <w:rPr>
          <w:rFonts w:ascii="Times New Roman" w:hAnsi="Times New Roman" w:cs="Times New Roman"/>
        </w:rPr>
        <w:t xml:space="preserve">European multinational mobile telephony companies </w:t>
      </w:r>
      <w:r w:rsidR="007F3FB3" w:rsidRPr="00EF1FD4">
        <w:rPr>
          <w:rFonts w:ascii="Times New Roman" w:hAnsi="Times New Roman" w:cs="Times New Roman"/>
        </w:rPr>
        <w:t>(MNM</w:t>
      </w:r>
      <w:r w:rsidR="000D24D8" w:rsidRPr="00EF1FD4">
        <w:rPr>
          <w:rFonts w:ascii="Times New Roman" w:hAnsi="Times New Roman" w:cs="Times New Roman"/>
        </w:rPr>
        <w:t xml:space="preserve">TCs) have their origins in state-owned monopolies that </w:t>
      </w:r>
      <w:r w:rsidR="00D26190" w:rsidRPr="00EF1FD4">
        <w:rPr>
          <w:rFonts w:ascii="Times New Roman" w:hAnsi="Times New Roman" w:cs="Times New Roman"/>
        </w:rPr>
        <w:t>successfully</w:t>
      </w:r>
      <w:r w:rsidR="00A9057E" w:rsidRPr="00EF1FD4">
        <w:rPr>
          <w:rFonts w:ascii="Times New Roman" w:hAnsi="Times New Roman" w:cs="Times New Roman"/>
        </w:rPr>
        <w:t xml:space="preserve"> undertook radical </w:t>
      </w:r>
      <w:r w:rsidR="00B6333E" w:rsidRPr="00EF1FD4">
        <w:rPr>
          <w:rFonts w:ascii="Times New Roman" w:hAnsi="Times New Roman" w:cs="Times New Roman"/>
        </w:rPr>
        <w:t>transformation</w:t>
      </w:r>
      <w:r w:rsidR="000D24D8" w:rsidRPr="00EF1FD4">
        <w:rPr>
          <w:rFonts w:ascii="Times New Roman" w:hAnsi="Times New Roman" w:cs="Times New Roman"/>
        </w:rPr>
        <w:t xml:space="preserve"> in the late 1980s to late 1990s. N</w:t>
      </w:r>
      <w:r w:rsidR="00D26190" w:rsidRPr="00EF1FD4">
        <w:rPr>
          <w:rFonts w:ascii="Times New Roman" w:hAnsi="Times New Roman" w:cs="Times New Roman"/>
        </w:rPr>
        <w:t>ot</w:t>
      </w:r>
      <w:r w:rsidR="000D24D8" w:rsidRPr="00EF1FD4">
        <w:rPr>
          <w:rFonts w:ascii="Times New Roman" w:hAnsi="Times New Roman" w:cs="Times New Roman"/>
        </w:rPr>
        <w:t xml:space="preserve"> only did they face </w:t>
      </w:r>
      <w:r w:rsidR="007F3FB3" w:rsidRPr="00EF1FD4">
        <w:rPr>
          <w:rFonts w:ascii="Times New Roman" w:hAnsi="Times New Roman" w:cs="Times New Roman"/>
        </w:rPr>
        <w:t xml:space="preserve">liberalization </w:t>
      </w:r>
      <w:r w:rsidR="00D26190" w:rsidRPr="00EF1FD4">
        <w:rPr>
          <w:rFonts w:ascii="Times New Roman" w:hAnsi="Times New Roman" w:cs="Times New Roman"/>
        </w:rPr>
        <w:t xml:space="preserve">of their domestic markets </w:t>
      </w:r>
      <w:r w:rsidR="007F3FB3" w:rsidRPr="00EF1FD4">
        <w:rPr>
          <w:rFonts w:ascii="Times New Roman" w:hAnsi="Times New Roman" w:cs="Times New Roman"/>
        </w:rPr>
        <w:t xml:space="preserve">but they also moved from fixed-line telephony to mobile telephony </w:t>
      </w:r>
      <w:r w:rsidR="00D26190" w:rsidRPr="00EF1FD4">
        <w:rPr>
          <w:rFonts w:ascii="Times New Roman" w:hAnsi="Times New Roman" w:cs="Times New Roman"/>
        </w:rPr>
        <w:t>prior to rapid</w:t>
      </w:r>
      <w:r w:rsidR="007F3FB3" w:rsidRPr="00EF1FD4">
        <w:rPr>
          <w:rFonts w:ascii="Times New Roman" w:hAnsi="Times New Roman" w:cs="Times New Roman"/>
        </w:rPr>
        <w:t xml:space="preserve"> expanded overseas. Our study focuses on Telenor whose operations currently span the Nordic region and Southeast Asia. Like other MNMTCs</w:t>
      </w:r>
      <w:r w:rsidR="00D26190" w:rsidRPr="00EF1FD4">
        <w:rPr>
          <w:rFonts w:ascii="Times New Roman" w:hAnsi="Times New Roman" w:cs="Times New Roman"/>
        </w:rPr>
        <w:t xml:space="preserve">, Telenor currently </w:t>
      </w:r>
      <w:r w:rsidR="007F3FB3" w:rsidRPr="00EF1FD4">
        <w:rPr>
          <w:rFonts w:ascii="Times New Roman" w:hAnsi="Times New Roman" w:cs="Times New Roman"/>
        </w:rPr>
        <w:t xml:space="preserve">faces another period of radical change as </w:t>
      </w:r>
      <w:r w:rsidR="00D26190" w:rsidRPr="00EF1FD4">
        <w:rPr>
          <w:rFonts w:ascii="Times New Roman" w:hAnsi="Times New Roman" w:cs="Times New Roman"/>
        </w:rPr>
        <w:t xml:space="preserve">global </w:t>
      </w:r>
      <w:r w:rsidR="007F3FB3" w:rsidRPr="00EF1FD4">
        <w:rPr>
          <w:rFonts w:ascii="Times New Roman" w:hAnsi="Times New Roman" w:cs="Times New Roman"/>
        </w:rPr>
        <w:t>digital services p</w:t>
      </w:r>
      <w:r w:rsidR="00D26190" w:rsidRPr="00EF1FD4">
        <w:rPr>
          <w:rFonts w:ascii="Times New Roman" w:hAnsi="Times New Roman" w:cs="Times New Roman"/>
        </w:rPr>
        <w:t xml:space="preserve">roviders </w:t>
      </w:r>
      <w:r w:rsidR="007F3FB3" w:rsidRPr="00EF1FD4">
        <w:rPr>
          <w:rFonts w:ascii="Times New Roman" w:hAnsi="Times New Roman" w:cs="Times New Roman"/>
        </w:rPr>
        <w:t xml:space="preserve">are set to ride on the connectivity MNMTCs </w:t>
      </w:r>
      <w:r w:rsidR="00D26190" w:rsidRPr="00EF1FD4">
        <w:rPr>
          <w:rFonts w:ascii="Times New Roman" w:hAnsi="Times New Roman" w:cs="Times New Roman"/>
        </w:rPr>
        <w:t>supply</w:t>
      </w:r>
      <w:r w:rsidR="00A9057E" w:rsidRPr="00EF1FD4">
        <w:rPr>
          <w:rFonts w:ascii="Times New Roman" w:hAnsi="Times New Roman" w:cs="Times New Roman"/>
        </w:rPr>
        <w:t xml:space="preserve"> thereby reducing them to “dumb-pipes”</w:t>
      </w:r>
      <w:r w:rsidR="007F3FB3" w:rsidRPr="00EF1FD4">
        <w:rPr>
          <w:rFonts w:ascii="Times New Roman" w:hAnsi="Times New Roman" w:cs="Times New Roman"/>
        </w:rPr>
        <w:t xml:space="preserve">. </w:t>
      </w:r>
      <w:r w:rsidR="00D26190" w:rsidRPr="00EF1FD4">
        <w:rPr>
          <w:rFonts w:ascii="Times New Roman" w:hAnsi="Times New Roman" w:cs="Times New Roman"/>
        </w:rPr>
        <w:t xml:space="preserve">Our study indicates </w:t>
      </w:r>
      <w:r w:rsidR="007F3FB3" w:rsidRPr="00EF1FD4">
        <w:rPr>
          <w:rFonts w:ascii="Times New Roman" w:hAnsi="Times New Roman" w:cs="Times New Roman"/>
        </w:rPr>
        <w:t>that Telen</w:t>
      </w:r>
      <w:r w:rsidR="00A9057E" w:rsidRPr="00EF1FD4">
        <w:rPr>
          <w:rFonts w:ascii="Times New Roman" w:hAnsi="Times New Roman" w:cs="Times New Roman"/>
        </w:rPr>
        <w:t xml:space="preserve">or has abandoned radical transformation </w:t>
      </w:r>
      <w:r w:rsidR="007F3FB3" w:rsidRPr="00EF1FD4">
        <w:rPr>
          <w:rFonts w:ascii="Times New Roman" w:hAnsi="Times New Roman" w:cs="Times New Roman"/>
        </w:rPr>
        <w:t xml:space="preserve">for </w:t>
      </w:r>
      <w:r w:rsidR="005659B1" w:rsidRPr="00EF1FD4">
        <w:rPr>
          <w:rFonts w:ascii="Times New Roman" w:hAnsi="Times New Roman" w:cs="Times New Roman"/>
        </w:rPr>
        <w:t>“</w:t>
      </w:r>
      <w:r w:rsidR="007F3FB3" w:rsidRPr="00EF1FD4">
        <w:rPr>
          <w:rFonts w:ascii="Times New Roman" w:hAnsi="Times New Roman" w:cs="Times New Roman"/>
        </w:rPr>
        <w:t xml:space="preserve">modernization” of its extant operations. </w:t>
      </w:r>
      <w:r w:rsidR="00D26190" w:rsidRPr="00EF1FD4">
        <w:rPr>
          <w:rFonts w:ascii="Times New Roman" w:hAnsi="Times New Roman" w:cs="Times New Roman"/>
        </w:rPr>
        <w:t xml:space="preserve">For an understanding of why </w:t>
      </w:r>
      <w:r w:rsidR="00A9057E" w:rsidRPr="00EF1FD4">
        <w:rPr>
          <w:rFonts w:ascii="Times New Roman" w:hAnsi="Times New Roman" w:cs="Times New Roman"/>
        </w:rPr>
        <w:t xml:space="preserve">this second </w:t>
      </w:r>
      <w:r w:rsidR="00D26190" w:rsidRPr="00EF1FD4">
        <w:rPr>
          <w:rFonts w:ascii="Times New Roman" w:hAnsi="Times New Roman" w:cs="Times New Roman"/>
        </w:rPr>
        <w:t>radical change is proving arduous for MNMTCs, w</w:t>
      </w:r>
      <w:r w:rsidR="007F3FB3" w:rsidRPr="00EF1FD4">
        <w:rPr>
          <w:rFonts w:ascii="Times New Roman" w:hAnsi="Times New Roman" w:cs="Times New Roman"/>
        </w:rPr>
        <w:t xml:space="preserve">e argue that </w:t>
      </w:r>
      <w:r w:rsidR="00D26190" w:rsidRPr="00EF1FD4">
        <w:rPr>
          <w:rFonts w:ascii="Times New Roman" w:hAnsi="Times New Roman" w:cs="Times New Roman"/>
        </w:rPr>
        <w:t xml:space="preserve">there is a need to take into consideration institutional change. </w:t>
      </w:r>
    </w:p>
    <w:p w:rsidR="001C72CA" w:rsidRPr="00EF1FD4" w:rsidRDefault="001C72CA" w:rsidP="0076645A">
      <w:pPr>
        <w:pStyle w:val="Title2"/>
        <w:spacing w:line="480" w:lineRule="auto"/>
        <w:rPr>
          <w:rFonts w:ascii="Times New Roman" w:hAnsi="Times New Roman" w:cs="Times New Roman"/>
        </w:rPr>
      </w:pPr>
    </w:p>
    <w:p w:rsidR="00F12B8D" w:rsidRPr="00EF1FD4" w:rsidRDefault="00424ADB" w:rsidP="0076645A">
      <w:pPr>
        <w:pStyle w:val="Title2"/>
        <w:spacing w:line="480" w:lineRule="auto"/>
        <w:rPr>
          <w:rFonts w:ascii="Times New Roman" w:hAnsi="Times New Roman" w:cs="Times New Roman"/>
          <w:b/>
        </w:rPr>
      </w:pPr>
      <w:r w:rsidRPr="00EF1FD4">
        <w:rPr>
          <w:rFonts w:ascii="Times New Roman" w:hAnsi="Times New Roman" w:cs="Times New Roman"/>
          <w:b/>
        </w:rPr>
        <w:lastRenderedPageBreak/>
        <w:t>Successful and un</w:t>
      </w:r>
      <w:r w:rsidR="00F12B8D" w:rsidRPr="00EF1FD4">
        <w:rPr>
          <w:rFonts w:ascii="Times New Roman" w:hAnsi="Times New Roman" w:cs="Times New Roman"/>
          <w:b/>
        </w:rPr>
        <w:t xml:space="preserve">successful radical change of multinational mobile telephony companies. The role of institutional context.  </w:t>
      </w:r>
    </w:p>
    <w:p w:rsidR="00D75FCF" w:rsidRPr="00EF1FD4" w:rsidRDefault="00D75FCF" w:rsidP="0076645A">
      <w:pPr>
        <w:pStyle w:val="Heading1"/>
        <w:spacing w:line="480" w:lineRule="auto"/>
        <w:jc w:val="left"/>
        <w:rPr>
          <w:rFonts w:ascii="Times New Roman" w:hAnsi="Times New Roman" w:cs="Times New Roman"/>
        </w:rPr>
      </w:pPr>
    </w:p>
    <w:p w:rsidR="008D37F6" w:rsidRPr="00EF1FD4" w:rsidRDefault="008D37F6" w:rsidP="00DC1662">
      <w:pPr>
        <w:pStyle w:val="Heading2"/>
      </w:pPr>
      <w:r w:rsidRPr="00EF1FD4">
        <w:t>Introduction</w:t>
      </w:r>
    </w:p>
    <w:p w:rsidR="005557F9" w:rsidRPr="0072649D" w:rsidRDefault="00937B68" w:rsidP="0076645A">
      <w:pPr>
        <w:spacing w:line="480" w:lineRule="auto"/>
        <w:rPr>
          <w:rFonts w:ascii="Times New Roman" w:hAnsi="Times New Roman" w:cs="Times New Roman"/>
        </w:rPr>
      </w:pPr>
      <w:r w:rsidRPr="00EF1FD4">
        <w:rPr>
          <w:rFonts w:ascii="Times New Roman" w:hAnsi="Times New Roman" w:cs="Times New Roman"/>
        </w:rPr>
        <w:t xml:space="preserve">European multinational </w:t>
      </w:r>
      <w:r w:rsidR="007D4BA4" w:rsidRPr="00EF1FD4">
        <w:rPr>
          <w:rFonts w:ascii="Times New Roman" w:hAnsi="Times New Roman" w:cs="Times New Roman"/>
        </w:rPr>
        <w:t xml:space="preserve">mobile telephony companies </w:t>
      </w:r>
      <w:r w:rsidRPr="00EF1FD4">
        <w:rPr>
          <w:rFonts w:ascii="Times New Roman" w:hAnsi="Times New Roman" w:cs="Times New Roman"/>
        </w:rPr>
        <w:t>(MN</w:t>
      </w:r>
      <w:r w:rsidR="00D50454" w:rsidRPr="00EF1FD4">
        <w:rPr>
          <w:rFonts w:ascii="Times New Roman" w:hAnsi="Times New Roman" w:cs="Times New Roman"/>
        </w:rPr>
        <w:t>M</w:t>
      </w:r>
      <w:r w:rsidRPr="00EF1FD4">
        <w:rPr>
          <w:rFonts w:ascii="Times New Roman" w:hAnsi="Times New Roman" w:cs="Times New Roman"/>
        </w:rPr>
        <w:t>TCs</w:t>
      </w:r>
      <w:r w:rsidR="00E571D6" w:rsidRPr="00EF1FD4">
        <w:rPr>
          <w:rFonts w:ascii="Times New Roman" w:hAnsi="Times New Roman" w:cs="Times New Roman"/>
        </w:rPr>
        <w:t xml:space="preserve">) </w:t>
      </w:r>
      <w:r w:rsidR="007D4BA4" w:rsidRPr="00EF1FD4">
        <w:rPr>
          <w:rFonts w:ascii="Times New Roman" w:hAnsi="Times New Roman" w:cs="Times New Roman"/>
        </w:rPr>
        <w:t xml:space="preserve">emerged in the </w:t>
      </w:r>
      <w:r w:rsidRPr="00EF1FD4">
        <w:rPr>
          <w:rFonts w:ascii="Times New Roman" w:hAnsi="Times New Roman" w:cs="Times New Roman"/>
        </w:rPr>
        <w:t xml:space="preserve">late 1980s to </w:t>
      </w:r>
      <w:r w:rsidR="00F77B25" w:rsidRPr="00EF1FD4">
        <w:rPr>
          <w:rFonts w:ascii="Times New Roman" w:hAnsi="Times New Roman" w:cs="Times New Roman"/>
        </w:rPr>
        <w:t>late</w:t>
      </w:r>
      <w:r w:rsidR="00E571D6" w:rsidRPr="00EF1FD4">
        <w:rPr>
          <w:rFonts w:ascii="Times New Roman" w:hAnsi="Times New Roman" w:cs="Times New Roman"/>
        </w:rPr>
        <w:t xml:space="preserve">1990s </w:t>
      </w:r>
      <w:r w:rsidR="000A51F6" w:rsidRPr="00EF1FD4">
        <w:rPr>
          <w:rFonts w:ascii="Times New Roman" w:hAnsi="Times New Roman" w:cs="Times New Roman"/>
        </w:rPr>
        <w:t>with the advent of mobile telephony</w:t>
      </w:r>
      <w:r w:rsidR="003B340C" w:rsidRPr="00EF1FD4">
        <w:rPr>
          <w:rFonts w:ascii="Times New Roman" w:hAnsi="Times New Roman" w:cs="Times New Roman"/>
        </w:rPr>
        <w:t>;</w:t>
      </w:r>
      <w:r w:rsidR="000A51F6" w:rsidRPr="00EF1FD4">
        <w:rPr>
          <w:rFonts w:ascii="Times New Roman" w:hAnsi="Times New Roman" w:cs="Times New Roman"/>
        </w:rPr>
        <w:t xml:space="preserve"> </w:t>
      </w:r>
      <w:r w:rsidRPr="00EF1FD4">
        <w:rPr>
          <w:rFonts w:ascii="Times New Roman" w:hAnsi="Times New Roman" w:cs="Times New Roman"/>
        </w:rPr>
        <w:t xml:space="preserve">initially </w:t>
      </w:r>
      <w:r w:rsidR="000A51F6" w:rsidRPr="00EF1FD4">
        <w:rPr>
          <w:rFonts w:ascii="Times New Roman" w:hAnsi="Times New Roman" w:cs="Times New Roman"/>
        </w:rPr>
        <w:t xml:space="preserve">an </w:t>
      </w:r>
      <w:r w:rsidRPr="00EF1FD4">
        <w:rPr>
          <w:rFonts w:ascii="Times New Roman" w:hAnsi="Times New Roman" w:cs="Times New Roman"/>
        </w:rPr>
        <w:t xml:space="preserve">addition and then an alternative </w:t>
      </w:r>
      <w:r w:rsidR="000A51F6" w:rsidRPr="00EF1FD4">
        <w:rPr>
          <w:rFonts w:ascii="Times New Roman" w:hAnsi="Times New Roman" w:cs="Times New Roman"/>
        </w:rPr>
        <w:t>to fixed-line telephony</w:t>
      </w:r>
      <w:r w:rsidR="00F77B25" w:rsidRPr="00EF1FD4">
        <w:rPr>
          <w:rFonts w:ascii="Times New Roman" w:hAnsi="Times New Roman" w:cs="Times New Roman"/>
        </w:rPr>
        <w:t xml:space="preserve">.  This technological change took place in the broader context of institutional change as European countries liberalized their </w:t>
      </w:r>
      <w:r w:rsidR="00E571D6" w:rsidRPr="00EF1FD4">
        <w:rPr>
          <w:rFonts w:ascii="Times New Roman" w:hAnsi="Times New Roman" w:cs="Times New Roman"/>
        </w:rPr>
        <w:t>national telecom markets</w:t>
      </w:r>
      <w:r w:rsidRPr="00EF1FD4">
        <w:rPr>
          <w:rFonts w:ascii="Times New Roman" w:hAnsi="Times New Roman" w:cs="Times New Roman"/>
        </w:rPr>
        <w:t xml:space="preserve"> (</w:t>
      </w:r>
      <w:r w:rsidR="000B4F8D" w:rsidRPr="00EF1FD4">
        <w:rPr>
          <w:rFonts w:ascii="Times New Roman" w:hAnsi="Times New Roman" w:cs="Times New Roman"/>
        </w:rPr>
        <w:t>Eliassen &amp; Sjovaag, 199</w:t>
      </w:r>
      <w:r w:rsidR="00F77B25" w:rsidRPr="00EF1FD4">
        <w:rPr>
          <w:rFonts w:ascii="Times New Roman" w:hAnsi="Times New Roman" w:cs="Times New Roman"/>
        </w:rPr>
        <w:t>9</w:t>
      </w:r>
      <w:r w:rsidR="000B4F8D" w:rsidRPr="00EF1FD4">
        <w:rPr>
          <w:rFonts w:ascii="Times New Roman" w:hAnsi="Times New Roman" w:cs="Times New Roman"/>
        </w:rPr>
        <w:t>)</w:t>
      </w:r>
      <w:r w:rsidR="000A51F6" w:rsidRPr="00EF1FD4">
        <w:rPr>
          <w:rFonts w:ascii="Times New Roman" w:hAnsi="Times New Roman" w:cs="Times New Roman"/>
        </w:rPr>
        <w:t>. T</w:t>
      </w:r>
      <w:r w:rsidR="00E571D6" w:rsidRPr="00EF1FD4">
        <w:rPr>
          <w:rFonts w:ascii="Times New Roman" w:hAnsi="Times New Roman" w:cs="Times New Roman"/>
        </w:rPr>
        <w:t xml:space="preserve">he loss of monopoly status of state-owned companies </w:t>
      </w:r>
      <w:r w:rsidR="003B340C" w:rsidRPr="00EF1FD4">
        <w:rPr>
          <w:rFonts w:ascii="Times New Roman" w:hAnsi="Times New Roman" w:cs="Times New Roman"/>
        </w:rPr>
        <w:t xml:space="preserve">that took place in </w:t>
      </w:r>
      <w:r w:rsidR="00F77B25" w:rsidRPr="00EF1FD4">
        <w:rPr>
          <w:rFonts w:ascii="Times New Roman" w:hAnsi="Times New Roman" w:cs="Times New Roman"/>
        </w:rPr>
        <w:t xml:space="preserve">this </w:t>
      </w:r>
      <w:r w:rsidR="003B340C" w:rsidRPr="00EF1FD4">
        <w:rPr>
          <w:rFonts w:ascii="Times New Roman" w:hAnsi="Times New Roman" w:cs="Times New Roman"/>
        </w:rPr>
        <w:t xml:space="preserve">period </w:t>
      </w:r>
      <w:r w:rsidR="00DC379E" w:rsidRPr="00EF1FD4">
        <w:rPr>
          <w:rFonts w:ascii="Times New Roman" w:hAnsi="Times New Roman" w:cs="Times New Roman"/>
        </w:rPr>
        <w:t xml:space="preserve">was a radical change that affected incumbents </w:t>
      </w:r>
      <w:r w:rsidR="00E571D6" w:rsidRPr="00EF1FD4">
        <w:rPr>
          <w:rFonts w:ascii="Times New Roman" w:hAnsi="Times New Roman" w:cs="Times New Roman"/>
        </w:rPr>
        <w:t xml:space="preserve">such as British Telecom (UK), </w:t>
      </w:r>
      <w:r w:rsidR="00E571D6" w:rsidRPr="00EF1FD4">
        <w:rPr>
          <w:rFonts w:ascii="Times New Roman" w:hAnsi="Times New Roman" w:cs="Times New Roman"/>
          <w:bCs/>
        </w:rPr>
        <w:t>Telefónica</w:t>
      </w:r>
      <w:r w:rsidR="00E571D6" w:rsidRPr="00EF1FD4">
        <w:rPr>
          <w:rFonts w:ascii="Times New Roman" w:hAnsi="Times New Roman" w:cs="Times New Roman"/>
        </w:rPr>
        <w:t xml:space="preserve"> (Spain) and Telenor (Norway)</w:t>
      </w:r>
      <w:r w:rsidR="00DC379E" w:rsidRPr="00EF1FD4">
        <w:rPr>
          <w:rFonts w:ascii="Times New Roman" w:hAnsi="Times New Roman" w:cs="Times New Roman"/>
        </w:rPr>
        <w:t xml:space="preserve"> differently</w:t>
      </w:r>
      <w:r w:rsidR="00E571D6" w:rsidRPr="00EF1FD4">
        <w:rPr>
          <w:rFonts w:ascii="Times New Roman" w:hAnsi="Times New Roman" w:cs="Times New Roman"/>
        </w:rPr>
        <w:t xml:space="preserve">.  British Telecom </w:t>
      </w:r>
      <w:r w:rsidR="001946A1" w:rsidRPr="00EF1FD4">
        <w:rPr>
          <w:rFonts w:ascii="Times New Roman" w:hAnsi="Times New Roman" w:cs="Times New Roman"/>
        </w:rPr>
        <w:t xml:space="preserve">largely failed to transform itself into a </w:t>
      </w:r>
      <w:r w:rsidR="00D50454" w:rsidRPr="00EF1FD4">
        <w:rPr>
          <w:rFonts w:ascii="Times New Roman" w:hAnsi="Times New Roman" w:cs="Times New Roman"/>
        </w:rPr>
        <w:t>MNMTC</w:t>
      </w:r>
      <w:r w:rsidR="005557F9" w:rsidRPr="00EF1FD4">
        <w:rPr>
          <w:rFonts w:ascii="Times New Roman" w:hAnsi="Times New Roman" w:cs="Times New Roman"/>
        </w:rPr>
        <w:t>. I</w:t>
      </w:r>
      <w:r w:rsidR="001946A1" w:rsidRPr="00EF1FD4">
        <w:rPr>
          <w:rFonts w:ascii="Times New Roman" w:hAnsi="Times New Roman" w:cs="Times New Roman"/>
        </w:rPr>
        <w:t xml:space="preserve">ts mobile arm O2 </w:t>
      </w:r>
      <w:r w:rsidR="000B4F8D" w:rsidRPr="00EF1FD4">
        <w:rPr>
          <w:rFonts w:ascii="Times New Roman" w:hAnsi="Times New Roman" w:cs="Times New Roman"/>
        </w:rPr>
        <w:t xml:space="preserve">was spun-off and </w:t>
      </w:r>
      <w:r w:rsidR="001946A1" w:rsidRPr="00EF1FD4">
        <w:rPr>
          <w:rFonts w:ascii="Times New Roman" w:hAnsi="Times New Roman" w:cs="Times New Roman"/>
        </w:rPr>
        <w:t xml:space="preserve">eventually absorbed by </w:t>
      </w:r>
      <w:r w:rsidR="001946A1" w:rsidRPr="00EF1FD4">
        <w:rPr>
          <w:rFonts w:ascii="Times New Roman" w:hAnsi="Times New Roman" w:cs="Times New Roman"/>
          <w:bCs/>
        </w:rPr>
        <w:t>Telefónica</w:t>
      </w:r>
      <w:r w:rsidR="000B4F8D" w:rsidRPr="00EF1FD4">
        <w:rPr>
          <w:rFonts w:ascii="Times New Roman" w:hAnsi="Times New Roman" w:cs="Times New Roman"/>
          <w:bCs/>
        </w:rPr>
        <w:t xml:space="preserve">. </w:t>
      </w:r>
      <w:r w:rsidR="005557F9" w:rsidRPr="00EF1FD4">
        <w:rPr>
          <w:rFonts w:ascii="Times New Roman" w:hAnsi="Times New Roman" w:cs="Times New Roman"/>
          <w:bCs/>
        </w:rPr>
        <w:t>Vodafone</w:t>
      </w:r>
      <w:r w:rsidR="002C6E73" w:rsidRPr="00EF1FD4">
        <w:rPr>
          <w:rFonts w:ascii="Times New Roman" w:hAnsi="Times New Roman" w:cs="Times New Roman"/>
          <w:bCs/>
        </w:rPr>
        <w:t>,</w:t>
      </w:r>
      <w:r w:rsidR="005557F9" w:rsidRPr="0072649D">
        <w:rPr>
          <w:rFonts w:ascii="Times New Roman" w:hAnsi="Times New Roman" w:cs="Times New Roman"/>
          <w:bCs/>
        </w:rPr>
        <w:t xml:space="preserve"> a non-incumbent</w:t>
      </w:r>
      <w:r w:rsidR="002C6E73" w:rsidRPr="0072649D">
        <w:rPr>
          <w:rFonts w:ascii="Times New Roman" w:hAnsi="Times New Roman" w:cs="Times New Roman"/>
          <w:bCs/>
        </w:rPr>
        <w:t>,</w:t>
      </w:r>
      <w:r w:rsidR="005557F9" w:rsidRPr="0072649D">
        <w:rPr>
          <w:rFonts w:ascii="Times New Roman" w:hAnsi="Times New Roman" w:cs="Times New Roman"/>
          <w:bCs/>
        </w:rPr>
        <w:t xml:space="preserve"> e</w:t>
      </w:r>
      <w:r w:rsidR="000A51F6" w:rsidRPr="0072649D">
        <w:rPr>
          <w:rFonts w:ascii="Times New Roman" w:hAnsi="Times New Roman" w:cs="Times New Roman"/>
          <w:bCs/>
        </w:rPr>
        <w:t xml:space="preserve">merged as the leading UK </w:t>
      </w:r>
      <w:r w:rsidR="00D50454" w:rsidRPr="0072649D">
        <w:rPr>
          <w:rFonts w:ascii="Times New Roman" w:hAnsi="Times New Roman" w:cs="Times New Roman"/>
          <w:bCs/>
        </w:rPr>
        <w:t>MNMT</w:t>
      </w:r>
      <w:r w:rsidR="00F77B25" w:rsidRPr="0072649D">
        <w:rPr>
          <w:rFonts w:ascii="Times New Roman" w:hAnsi="Times New Roman" w:cs="Times New Roman"/>
          <w:bCs/>
        </w:rPr>
        <w:t>C.</w:t>
      </w:r>
      <w:r w:rsidR="005557F9" w:rsidRPr="0072649D">
        <w:rPr>
          <w:rFonts w:ascii="Times New Roman" w:hAnsi="Times New Roman" w:cs="Times New Roman"/>
          <w:bCs/>
        </w:rPr>
        <w:t xml:space="preserve"> However, both</w:t>
      </w:r>
      <w:r w:rsidR="001946A1" w:rsidRPr="0072649D">
        <w:rPr>
          <w:rFonts w:ascii="Times New Roman" w:hAnsi="Times New Roman" w:cs="Times New Roman"/>
        </w:rPr>
        <w:t xml:space="preserve"> </w:t>
      </w:r>
      <w:r w:rsidR="001946A1" w:rsidRPr="0072649D">
        <w:rPr>
          <w:rFonts w:ascii="Times New Roman" w:hAnsi="Times New Roman" w:cs="Times New Roman"/>
          <w:bCs/>
        </w:rPr>
        <w:t xml:space="preserve">Telefónica </w:t>
      </w:r>
      <w:r w:rsidR="001946A1" w:rsidRPr="0072649D">
        <w:rPr>
          <w:rFonts w:ascii="Times New Roman" w:hAnsi="Times New Roman" w:cs="Times New Roman"/>
        </w:rPr>
        <w:t xml:space="preserve">and Telenor </w:t>
      </w:r>
      <w:r w:rsidR="005557F9" w:rsidRPr="0072649D">
        <w:rPr>
          <w:rFonts w:ascii="Times New Roman" w:hAnsi="Times New Roman" w:cs="Times New Roman"/>
        </w:rPr>
        <w:t>did succeed</w:t>
      </w:r>
      <w:r w:rsidR="001946A1" w:rsidRPr="0072649D">
        <w:rPr>
          <w:rFonts w:ascii="Times New Roman" w:hAnsi="Times New Roman" w:cs="Times New Roman"/>
        </w:rPr>
        <w:t xml:space="preserve"> </w:t>
      </w:r>
      <w:r w:rsidR="00DC379E" w:rsidRPr="0072649D">
        <w:rPr>
          <w:rFonts w:ascii="Times New Roman" w:hAnsi="Times New Roman" w:cs="Times New Roman"/>
        </w:rPr>
        <w:t xml:space="preserve">in radical transformation and </w:t>
      </w:r>
      <w:r w:rsidR="001946A1" w:rsidRPr="0072649D">
        <w:rPr>
          <w:rFonts w:ascii="Times New Roman" w:hAnsi="Times New Roman" w:cs="Times New Roman"/>
        </w:rPr>
        <w:t xml:space="preserve">went from </w:t>
      </w:r>
      <w:r w:rsidR="005557F9" w:rsidRPr="0072649D">
        <w:rPr>
          <w:rFonts w:ascii="Times New Roman" w:hAnsi="Times New Roman" w:cs="Times New Roman"/>
        </w:rPr>
        <w:t xml:space="preserve">being </w:t>
      </w:r>
      <w:r w:rsidR="001946A1" w:rsidRPr="0072649D">
        <w:rPr>
          <w:rFonts w:ascii="Times New Roman" w:hAnsi="Times New Roman" w:cs="Times New Roman"/>
        </w:rPr>
        <w:t xml:space="preserve">state-owned monopolies </w:t>
      </w:r>
      <w:r w:rsidR="000B4F8D" w:rsidRPr="0072649D">
        <w:rPr>
          <w:rFonts w:ascii="Times New Roman" w:hAnsi="Times New Roman" w:cs="Times New Roman"/>
        </w:rPr>
        <w:t xml:space="preserve">to being </w:t>
      </w:r>
      <w:r w:rsidR="00F77B25" w:rsidRPr="0072649D">
        <w:rPr>
          <w:rFonts w:ascii="Times New Roman" w:hAnsi="Times New Roman" w:cs="Times New Roman"/>
        </w:rPr>
        <w:t xml:space="preserve">listed companies that were </w:t>
      </w:r>
      <w:r w:rsidR="000B4F8D" w:rsidRPr="0072649D">
        <w:rPr>
          <w:rFonts w:ascii="Times New Roman" w:hAnsi="Times New Roman" w:cs="Times New Roman"/>
        </w:rPr>
        <w:t>not only competitively successful in their deregulated home markets</w:t>
      </w:r>
      <w:r w:rsidR="003B340C" w:rsidRPr="0072649D">
        <w:rPr>
          <w:rFonts w:ascii="Times New Roman" w:hAnsi="Times New Roman" w:cs="Times New Roman"/>
        </w:rPr>
        <w:t>,</w:t>
      </w:r>
      <w:r w:rsidR="000B4F8D" w:rsidRPr="0072649D">
        <w:rPr>
          <w:rFonts w:ascii="Times New Roman" w:hAnsi="Times New Roman" w:cs="Times New Roman"/>
        </w:rPr>
        <w:t xml:space="preserve"> but </w:t>
      </w:r>
      <w:r w:rsidR="00F94A02" w:rsidRPr="0072649D">
        <w:rPr>
          <w:rFonts w:ascii="Times New Roman" w:hAnsi="Times New Roman" w:cs="Times New Roman"/>
        </w:rPr>
        <w:t>that evolved into</w:t>
      </w:r>
      <w:r w:rsidR="000B4F8D" w:rsidRPr="0072649D">
        <w:rPr>
          <w:rFonts w:ascii="Times New Roman" w:hAnsi="Times New Roman" w:cs="Times New Roman"/>
        </w:rPr>
        <w:t xml:space="preserve"> becoming </w:t>
      </w:r>
      <w:r w:rsidR="00D50454" w:rsidRPr="0072649D">
        <w:rPr>
          <w:rFonts w:ascii="Times New Roman" w:hAnsi="Times New Roman" w:cs="Times New Roman"/>
        </w:rPr>
        <w:t>MNMTC</w:t>
      </w:r>
      <w:r w:rsidR="00264C7C" w:rsidRPr="0072649D">
        <w:rPr>
          <w:rFonts w:ascii="Times New Roman" w:hAnsi="Times New Roman" w:cs="Times New Roman"/>
        </w:rPr>
        <w:t>s</w:t>
      </w:r>
      <w:r w:rsidR="000B4F8D" w:rsidRPr="0072649D">
        <w:rPr>
          <w:rFonts w:ascii="Times New Roman" w:hAnsi="Times New Roman" w:cs="Times New Roman"/>
        </w:rPr>
        <w:t xml:space="preserve">. </w:t>
      </w:r>
      <w:r w:rsidR="005557F9" w:rsidRPr="0072649D">
        <w:rPr>
          <w:rFonts w:ascii="Times New Roman" w:hAnsi="Times New Roman" w:cs="Times New Roman"/>
        </w:rPr>
        <w:t xml:space="preserve">In addition to operations in Europe, </w:t>
      </w:r>
      <w:r w:rsidR="005557F9" w:rsidRPr="0072649D">
        <w:rPr>
          <w:rFonts w:ascii="Times New Roman" w:hAnsi="Times New Roman" w:cs="Times New Roman"/>
          <w:bCs/>
        </w:rPr>
        <w:t xml:space="preserve">Telefónica established operations in </w:t>
      </w:r>
      <w:r w:rsidR="00AF768F" w:rsidRPr="0072649D">
        <w:rPr>
          <w:rFonts w:ascii="Times New Roman" w:hAnsi="Times New Roman" w:cs="Times New Roman"/>
          <w:bCs/>
        </w:rPr>
        <w:t xml:space="preserve">Latin </w:t>
      </w:r>
      <w:r w:rsidR="005557F9" w:rsidRPr="0072649D">
        <w:rPr>
          <w:rFonts w:ascii="Times New Roman" w:hAnsi="Times New Roman" w:cs="Times New Roman"/>
          <w:bCs/>
        </w:rPr>
        <w:t xml:space="preserve">America and </w:t>
      </w:r>
      <w:r w:rsidR="005557F9" w:rsidRPr="0072649D">
        <w:rPr>
          <w:rFonts w:ascii="Times New Roman" w:hAnsi="Times New Roman" w:cs="Times New Roman"/>
        </w:rPr>
        <w:t>Telenor</w:t>
      </w:r>
      <w:r w:rsidR="001946A1" w:rsidRPr="0072649D">
        <w:rPr>
          <w:rFonts w:ascii="Times New Roman" w:hAnsi="Times New Roman" w:cs="Times New Roman"/>
        </w:rPr>
        <w:t xml:space="preserve"> </w:t>
      </w:r>
      <w:r w:rsidR="005557F9" w:rsidRPr="0072649D">
        <w:rPr>
          <w:rFonts w:ascii="Times New Roman" w:hAnsi="Times New Roman" w:cs="Times New Roman"/>
        </w:rPr>
        <w:t>in Southeast Asia.</w:t>
      </w:r>
      <w:r w:rsidR="001946A1" w:rsidRPr="0072649D">
        <w:rPr>
          <w:rFonts w:ascii="Times New Roman" w:hAnsi="Times New Roman" w:cs="Times New Roman"/>
        </w:rPr>
        <w:t xml:space="preserve"> </w:t>
      </w:r>
    </w:p>
    <w:p w:rsidR="007D4BA4" w:rsidRPr="0072649D" w:rsidRDefault="000A51F6" w:rsidP="0076645A">
      <w:pPr>
        <w:spacing w:line="480" w:lineRule="auto"/>
        <w:rPr>
          <w:rFonts w:ascii="Times New Roman" w:hAnsi="Times New Roman" w:cs="Times New Roman"/>
        </w:rPr>
      </w:pPr>
      <w:r w:rsidRPr="0072649D">
        <w:rPr>
          <w:rFonts w:ascii="Times New Roman" w:hAnsi="Times New Roman" w:cs="Times New Roman"/>
        </w:rPr>
        <w:t xml:space="preserve">Just as national monopoly fixed-line telephony companies faced radical change some thirty years ago with some succeeding </w:t>
      </w:r>
      <w:r w:rsidR="0090069A" w:rsidRPr="0072649D">
        <w:rPr>
          <w:rFonts w:ascii="Times New Roman" w:hAnsi="Times New Roman" w:cs="Times New Roman"/>
        </w:rPr>
        <w:t xml:space="preserve">in transformation </w:t>
      </w:r>
      <w:r w:rsidRPr="0072649D">
        <w:rPr>
          <w:rFonts w:ascii="Times New Roman" w:hAnsi="Times New Roman" w:cs="Times New Roman"/>
        </w:rPr>
        <w:t xml:space="preserve">and others not, </w:t>
      </w:r>
      <w:r w:rsidR="00D50454" w:rsidRPr="0072649D">
        <w:rPr>
          <w:rFonts w:ascii="Times New Roman" w:hAnsi="Times New Roman" w:cs="Times New Roman"/>
        </w:rPr>
        <w:t>MNMTC</w:t>
      </w:r>
      <w:r w:rsidR="000B4F8D" w:rsidRPr="0072649D">
        <w:rPr>
          <w:rFonts w:ascii="Times New Roman" w:hAnsi="Times New Roman" w:cs="Times New Roman"/>
        </w:rPr>
        <w:t xml:space="preserve">s </w:t>
      </w:r>
      <w:r w:rsidRPr="0072649D">
        <w:rPr>
          <w:rFonts w:ascii="Times New Roman" w:hAnsi="Times New Roman" w:cs="Times New Roman"/>
        </w:rPr>
        <w:t xml:space="preserve">are confronting a new form of radical change. </w:t>
      </w:r>
      <w:r w:rsidR="005557F9" w:rsidRPr="0072649D">
        <w:rPr>
          <w:rFonts w:ascii="Times New Roman" w:hAnsi="Times New Roman" w:cs="Times New Roman"/>
        </w:rPr>
        <w:t>I</w:t>
      </w:r>
      <w:r w:rsidR="007D4BA4" w:rsidRPr="0072649D">
        <w:rPr>
          <w:rFonts w:ascii="Times New Roman" w:hAnsi="Times New Roman" w:cs="Times New Roman"/>
        </w:rPr>
        <w:t xml:space="preserve">n an overview of the mobile </w:t>
      </w:r>
      <w:r w:rsidRPr="0072649D">
        <w:rPr>
          <w:rFonts w:ascii="Times New Roman" w:hAnsi="Times New Roman" w:cs="Times New Roman"/>
        </w:rPr>
        <w:t xml:space="preserve">global </w:t>
      </w:r>
      <w:r w:rsidR="00D50454" w:rsidRPr="0072649D">
        <w:rPr>
          <w:rFonts w:ascii="Times New Roman" w:hAnsi="Times New Roman" w:cs="Times New Roman"/>
        </w:rPr>
        <w:t>MNMTC</w:t>
      </w:r>
      <w:r w:rsidR="007D4BA4" w:rsidRPr="0072649D">
        <w:rPr>
          <w:rFonts w:ascii="Times New Roman" w:hAnsi="Times New Roman" w:cs="Times New Roman"/>
        </w:rPr>
        <w:t xml:space="preserve"> industry, the Financial Times (2019</w:t>
      </w:r>
      <w:r w:rsidR="00B6333E" w:rsidRPr="0072649D">
        <w:rPr>
          <w:rFonts w:ascii="Times New Roman" w:hAnsi="Times New Roman" w:cs="Times New Roman"/>
        </w:rPr>
        <w:t>a</w:t>
      </w:r>
      <w:r w:rsidR="007D4BA4" w:rsidRPr="0072649D">
        <w:rPr>
          <w:rFonts w:ascii="Times New Roman" w:hAnsi="Times New Roman" w:cs="Times New Roman"/>
        </w:rPr>
        <w:t xml:space="preserve">) refers to the </w:t>
      </w:r>
      <w:r w:rsidR="004E2A81" w:rsidRPr="0072649D">
        <w:rPr>
          <w:rFonts w:ascii="Times New Roman" w:hAnsi="Times New Roman" w:cs="Times New Roman"/>
        </w:rPr>
        <w:t>“</w:t>
      </w:r>
      <w:r w:rsidR="007D4BA4" w:rsidRPr="0072649D">
        <w:rPr>
          <w:rFonts w:ascii="Times New Roman" w:hAnsi="Times New Roman" w:cs="Times New Roman"/>
        </w:rPr>
        <w:t>souring</w:t>
      </w:r>
      <w:r w:rsidR="004E2A81" w:rsidRPr="0072649D">
        <w:rPr>
          <w:rFonts w:ascii="Times New Roman" w:hAnsi="Times New Roman" w:cs="Times New Roman"/>
        </w:rPr>
        <w:t>”</w:t>
      </w:r>
      <w:r w:rsidR="007D4BA4" w:rsidRPr="0072649D">
        <w:rPr>
          <w:rFonts w:ascii="Times New Roman" w:hAnsi="Times New Roman" w:cs="Times New Roman"/>
        </w:rPr>
        <w:t xml:space="preserve"> of the </w:t>
      </w:r>
      <w:r w:rsidR="00D50454" w:rsidRPr="0072649D">
        <w:rPr>
          <w:rFonts w:ascii="Times New Roman" w:hAnsi="Times New Roman" w:cs="Times New Roman"/>
        </w:rPr>
        <w:t>MNMTC</w:t>
      </w:r>
      <w:r w:rsidR="002F1CF7" w:rsidRPr="0072649D">
        <w:rPr>
          <w:rFonts w:ascii="Times New Roman" w:hAnsi="Times New Roman" w:cs="Times New Roman"/>
        </w:rPr>
        <w:t xml:space="preserve"> </w:t>
      </w:r>
      <w:r w:rsidR="007D4BA4" w:rsidRPr="0072649D">
        <w:rPr>
          <w:rFonts w:ascii="Times New Roman" w:hAnsi="Times New Roman" w:cs="Times New Roman"/>
        </w:rPr>
        <w:t xml:space="preserve">dream: </w:t>
      </w:r>
    </w:p>
    <w:p w:rsidR="007D4BA4" w:rsidRPr="0072649D" w:rsidRDefault="007D4BA4" w:rsidP="0076645A">
      <w:pPr>
        <w:spacing w:line="480" w:lineRule="auto"/>
        <w:ind w:left="720" w:firstLine="0"/>
        <w:rPr>
          <w:rStyle w:val="Emphasis"/>
          <w:rFonts w:ascii="Times New Roman" w:hAnsi="Times New Roman" w:cs="Times New Roman"/>
          <w:i w:val="0"/>
        </w:rPr>
      </w:pPr>
      <w:r w:rsidRPr="0072649D">
        <w:rPr>
          <w:rStyle w:val="Emphasis"/>
          <w:rFonts w:ascii="Times New Roman" w:hAnsi="Times New Roman" w:cs="Times New Roman"/>
          <w:i w:val="0"/>
        </w:rPr>
        <w:lastRenderedPageBreak/>
        <w:t>“Telecoms has been one of the worst performing sectors for investors over the past five years as global bets have failed to pay off. That has left companies with huge debts even as they are under intense pressure to invest in new 5G and full-fibre networks both in their home markets and across their still-sprawling networks. Dominance of the communications market instead passed to a different breed of companies — led by Google, Apple and Facebook — that have used the pipes and masts installed by telecoms companies around the world to capture the lion’s share of digital profits…”</w:t>
      </w:r>
    </w:p>
    <w:p w:rsidR="007D4BA4" w:rsidRPr="0072649D" w:rsidRDefault="0067354C" w:rsidP="0076645A">
      <w:pPr>
        <w:spacing w:line="480" w:lineRule="auto"/>
        <w:rPr>
          <w:rFonts w:ascii="Times New Roman" w:hAnsi="Times New Roman" w:cs="Times New Roman"/>
        </w:rPr>
      </w:pPr>
      <w:r w:rsidRPr="0072649D">
        <w:rPr>
          <w:rFonts w:ascii="Times New Roman" w:hAnsi="Times New Roman" w:cs="Times New Roman"/>
        </w:rPr>
        <w:t xml:space="preserve">In the same critique, </w:t>
      </w:r>
      <w:r w:rsidR="007D4BA4" w:rsidRPr="0072649D">
        <w:rPr>
          <w:rFonts w:ascii="Times New Roman" w:hAnsi="Times New Roman" w:cs="Times New Roman"/>
        </w:rPr>
        <w:t>Chris Gent, the former Vodafone chief executive who ran the company durin</w:t>
      </w:r>
      <w:r w:rsidRPr="0072649D">
        <w:rPr>
          <w:rFonts w:ascii="Times New Roman" w:hAnsi="Times New Roman" w:cs="Times New Roman"/>
        </w:rPr>
        <w:t>g its globetrotting heyday, argues that</w:t>
      </w:r>
      <w:r w:rsidR="007D4BA4" w:rsidRPr="0072649D">
        <w:rPr>
          <w:rFonts w:ascii="Times New Roman" w:hAnsi="Times New Roman" w:cs="Times New Roman"/>
        </w:rPr>
        <w:t xml:space="preserve"> the telecoms industry had </w:t>
      </w:r>
      <w:r w:rsidR="00F94A02" w:rsidRPr="0072649D">
        <w:rPr>
          <w:rFonts w:ascii="Times New Roman" w:hAnsi="Times New Roman" w:cs="Times New Roman"/>
        </w:rPr>
        <w:t xml:space="preserve">had </w:t>
      </w:r>
      <w:r w:rsidR="007D4BA4" w:rsidRPr="0072649D">
        <w:rPr>
          <w:rFonts w:ascii="Times New Roman" w:hAnsi="Times New Roman" w:cs="Times New Roman"/>
        </w:rPr>
        <w:t xml:space="preserve">the opportunity to </w:t>
      </w:r>
      <w:r w:rsidRPr="0072649D">
        <w:rPr>
          <w:rFonts w:ascii="Times New Roman" w:hAnsi="Times New Roman" w:cs="Times New Roman"/>
        </w:rPr>
        <w:t>“</w:t>
      </w:r>
      <w:r w:rsidR="007D4BA4" w:rsidRPr="0072649D">
        <w:rPr>
          <w:rFonts w:ascii="Times New Roman" w:hAnsi="Times New Roman" w:cs="Times New Roman"/>
        </w:rPr>
        <w:t>conquer the world</w:t>
      </w:r>
      <w:r w:rsidRPr="0072649D">
        <w:rPr>
          <w:rFonts w:ascii="Times New Roman" w:hAnsi="Times New Roman" w:cs="Times New Roman"/>
        </w:rPr>
        <w:t>”</w:t>
      </w:r>
      <w:r w:rsidR="007D4BA4" w:rsidRPr="0072649D">
        <w:rPr>
          <w:rFonts w:ascii="Times New Roman" w:hAnsi="Times New Roman" w:cs="Times New Roman"/>
        </w:rPr>
        <w:t xml:space="preserve">. </w:t>
      </w:r>
      <w:r w:rsidR="0090069A" w:rsidRPr="0072649D">
        <w:rPr>
          <w:rFonts w:ascii="Times New Roman" w:hAnsi="Times New Roman" w:cs="Times New Roman"/>
        </w:rPr>
        <w:t>However,</w:t>
      </w:r>
      <w:r w:rsidR="007D4BA4" w:rsidRPr="0072649D">
        <w:rPr>
          <w:rFonts w:ascii="Times New Roman" w:hAnsi="Times New Roman" w:cs="Times New Roman"/>
        </w:rPr>
        <w:t xml:space="preserve"> while hardware players including Nokia and Huawei created international companies</w:t>
      </w:r>
      <w:r w:rsidR="00F159B6" w:rsidRPr="0072649D">
        <w:rPr>
          <w:rFonts w:ascii="Times New Roman" w:hAnsi="Times New Roman" w:cs="Times New Roman"/>
        </w:rPr>
        <w:t xml:space="preserve"> and captured scale advantages on telco hardware</w:t>
      </w:r>
      <w:r w:rsidR="007D4BA4" w:rsidRPr="0072649D">
        <w:rPr>
          <w:rFonts w:ascii="Times New Roman" w:hAnsi="Times New Roman" w:cs="Times New Roman"/>
        </w:rPr>
        <w:t xml:space="preserve">, it was the platform companies such as Facebook and Google and not the telecoms companies that developed software and apps </w:t>
      </w:r>
      <w:r w:rsidRPr="0072649D">
        <w:rPr>
          <w:rFonts w:ascii="Times New Roman" w:hAnsi="Times New Roman" w:cs="Times New Roman"/>
        </w:rPr>
        <w:t>with global appeal for consumers</w:t>
      </w:r>
      <w:r w:rsidR="00F159B6" w:rsidRPr="0072649D">
        <w:rPr>
          <w:rFonts w:ascii="Times New Roman" w:hAnsi="Times New Roman" w:cs="Times New Roman"/>
        </w:rPr>
        <w:t xml:space="preserve"> and that captured scale advantaged on software services</w:t>
      </w:r>
      <w:r w:rsidRPr="0072649D">
        <w:rPr>
          <w:rFonts w:ascii="Times New Roman" w:hAnsi="Times New Roman" w:cs="Times New Roman"/>
        </w:rPr>
        <w:t>.</w:t>
      </w:r>
      <w:r w:rsidR="00F159B6" w:rsidRPr="0072649D">
        <w:rPr>
          <w:rFonts w:ascii="Times New Roman" w:hAnsi="Times New Roman" w:cs="Times New Roman"/>
        </w:rPr>
        <w:t xml:space="preserve"> </w:t>
      </w:r>
    </w:p>
    <w:p w:rsidR="007D4BA4" w:rsidRPr="0072649D" w:rsidRDefault="007D4BA4" w:rsidP="0076645A">
      <w:pPr>
        <w:spacing w:line="480" w:lineRule="auto"/>
        <w:ind w:left="720" w:firstLine="0"/>
        <w:rPr>
          <w:rFonts w:ascii="Times New Roman" w:eastAsia="Times New Roman" w:hAnsi="Times New Roman" w:cs="Times New Roman"/>
        </w:rPr>
      </w:pPr>
      <w:r w:rsidRPr="0072649D">
        <w:rPr>
          <w:rFonts w:ascii="Times New Roman" w:hAnsi="Times New Roman" w:cs="Times New Roman"/>
        </w:rPr>
        <w:t>‘The customer felt connected to the iPhone but not to a particular network,” (Chris Gent) says. “The networks didn’t differentiate themselves…’”</w:t>
      </w:r>
    </w:p>
    <w:p w:rsidR="007D4BA4" w:rsidRPr="0072649D" w:rsidRDefault="007D4BA4" w:rsidP="0076645A">
      <w:pPr>
        <w:spacing w:line="480" w:lineRule="auto"/>
        <w:rPr>
          <w:rFonts w:ascii="Times New Roman" w:hAnsi="Times New Roman" w:cs="Times New Roman"/>
        </w:rPr>
      </w:pPr>
      <w:r w:rsidRPr="0072649D">
        <w:rPr>
          <w:rFonts w:ascii="Times New Roman" w:hAnsi="Times New Roman" w:cs="Times New Roman"/>
        </w:rPr>
        <w:t xml:space="preserve">To compound the situation, </w:t>
      </w:r>
      <w:r w:rsidR="00D50454" w:rsidRPr="0072649D">
        <w:rPr>
          <w:rFonts w:ascii="Times New Roman" w:hAnsi="Times New Roman" w:cs="Times New Roman"/>
        </w:rPr>
        <w:t>MNMTC</w:t>
      </w:r>
      <w:r w:rsidR="002F1CF7" w:rsidRPr="0072649D">
        <w:rPr>
          <w:rFonts w:ascii="Times New Roman" w:hAnsi="Times New Roman" w:cs="Times New Roman"/>
        </w:rPr>
        <w:t>s face</w:t>
      </w:r>
      <w:r w:rsidRPr="0072649D">
        <w:rPr>
          <w:rFonts w:ascii="Times New Roman" w:hAnsi="Times New Roman" w:cs="Times New Roman"/>
        </w:rPr>
        <w:t xml:space="preserve"> a period of significant investment in the transition to 5G that will require densification of networks and acquisition of new software platforms.  However, the Economist (2019:56) is sceptical about the potential of 5G to </w:t>
      </w:r>
      <w:r w:rsidR="00B6333E" w:rsidRPr="0072649D">
        <w:rPr>
          <w:rFonts w:ascii="Times New Roman" w:hAnsi="Times New Roman" w:cs="Times New Roman"/>
        </w:rPr>
        <w:t xml:space="preserve">generate “huge profits” for </w:t>
      </w:r>
      <w:r w:rsidR="00D50454" w:rsidRPr="0072649D">
        <w:rPr>
          <w:rFonts w:ascii="Times New Roman" w:hAnsi="Times New Roman" w:cs="Times New Roman"/>
        </w:rPr>
        <w:t>MNMTC</w:t>
      </w:r>
      <w:r w:rsidRPr="0072649D">
        <w:rPr>
          <w:rFonts w:ascii="Times New Roman" w:hAnsi="Times New Roman" w:cs="Times New Roman"/>
        </w:rPr>
        <w:t xml:space="preserve">s concluding: “it is not clear who will make much money from it.”  </w:t>
      </w:r>
    </w:p>
    <w:p w:rsidR="007D4BA4" w:rsidRPr="0072649D" w:rsidRDefault="0067354C" w:rsidP="0076645A">
      <w:pPr>
        <w:spacing w:line="480" w:lineRule="auto"/>
        <w:rPr>
          <w:rFonts w:ascii="Times New Roman" w:hAnsi="Times New Roman" w:cs="Times New Roman"/>
        </w:rPr>
      </w:pPr>
      <w:r w:rsidRPr="0072649D">
        <w:rPr>
          <w:rFonts w:ascii="Times New Roman" w:hAnsi="Times New Roman" w:cs="Times New Roman"/>
        </w:rPr>
        <w:lastRenderedPageBreak/>
        <w:t xml:space="preserve">If </w:t>
      </w:r>
      <w:r w:rsidR="00D50454" w:rsidRPr="0072649D">
        <w:rPr>
          <w:rFonts w:ascii="Times New Roman" w:hAnsi="Times New Roman" w:cs="Times New Roman"/>
        </w:rPr>
        <w:t>MNMTC</w:t>
      </w:r>
      <w:r w:rsidR="000978E2" w:rsidRPr="0072649D">
        <w:rPr>
          <w:rFonts w:ascii="Times New Roman" w:hAnsi="Times New Roman" w:cs="Times New Roman"/>
        </w:rPr>
        <w:t>s</w:t>
      </w:r>
      <w:r w:rsidR="007D4BA4" w:rsidRPr="0072649D">
        <w:rPr>
          <w:rFonts w:ascii="Times New Roman" w:hAnsi="Times New Roman" w:cs="Times New Roman"/>
        </w:rPr>
        <w:t xml:space="preserve"> </w:t>
      </w:r>
      <w:r w:rsidR="00B6333E" w:rsidRPr="0072649D">
        <w:rPr>
          <w:rFonts w:ascii="Times New Roman" w:hAnsi="Times New Roman" w:cs="Times New Roman"/>
        </w:rPr>
        <w:t xml:space="preserve">fail to transform </w:t>
      </w:r>
      <w:r w:rsidR="000978E2" w:rsidRPr="0072649D">
        <w:rPr>
          <w:rFonts w:ascii="Times New Roman" w:hAnsi="Times New Roman" w:cs="Times New Roman"/>
        </w:rPr>
        <w:t>their</w:t>
      </w:r>
      <w:r w:rsidR="007D4BA4" w:rsidRPr="0072649D">
        <w:rPr>
          <w:rFonts w:ascii="Times New Roman" w:hAnsi="Times New Roman" w:cs="Times New Roman"/>
        </w:rPr>
        <w:t xml:space="preserve"> business model</w:t>
      </w:r>
      <w:r w:rsidR="000978E2" w:rsidRPr="0072649D">
        <w:rPr>
          <w:rFonts w:ascii="Times New Roman" w:hAnsi="Times New Roman" w:cs="Times New Roman"/>
        </w:rPr>
        <w:t xml:space="preserve">s so that they become </w:t>
      </w:r>
      <w:r w:rsidR="007D4BA4" w:rsidRPr="0072649D">
        <w:rPr>
          <w:rFonts w:ascii="Times New Roman" w:hAnsi="Times New Roman" w:cs="Times New Roman"/>
        </w:rPr>
        <w:t>provider</w:t>
      </w:r>
      <w:r w:rsidR="000978E2" w:rsidRPr="0072649D">
        <w:rPr>
          <w:rFonts w:ascii="Times New Roman" w:hAnsi="Times New Roman" w:cs="Times New Roman"/>
        </w:rPr>
        <w:t>s</w:t>
      </w:r>
      <w:r w:rsidR="007D4BA4" w:rsidRPr="0072649D">
        <w:rPr>
          <w:rFonts w:ascii="Times New Roman" w:hAnsi="Times New Roman" w:cs="Times New Roman"/>
        </w:rPr>
        <w:t xml:space="preserve"> of digital solutions </w:t>
      </w:r>
      <w:r w:rsidR="008F1808" w:rsidRPr="0072649D">
        <w:rPr>
          <w:rFonts w:ascii="Times New Roman" w:hAnsi="Times New Roman" w:cs="Times New Roman"/>
        </w:rPr>
        <w:t xml:space="preserve">– this will involve developing the capabilities to </w:t>
      </w:r>
      <w:r w:rsidR="00013F74" w:rsidRPr="0072649D">
        <w:rPr>
          <w:rFonts w:ascii="Times New Roman" w:hAnsi="Times New Roman" w:cs="Times New Roman"/>
        </w:rPr>
        <w:t>apply</w:t>
      </w:r>
      <w:r w:rsidR="008F1808" w:rsidRPr="0072649D">
        <w:rPr>
          <w:rFonts w:ascii="Times New Roman" w:hAnsi="Times New Roman" w:cs="Times New Roman"/>
        </w:rPr>
        <w:t xml:space="preserve"> </w:t>
      </w:r>
      <w:r w:rsidR="00013F74" w:rsidRPr="0072649D">
        <w:rPr>
          <w:rFonts w:ascii="Times New Roman" w:hAnsi="Times New Roman" w:cs="Times New Roman"/>
        </w:rPr>
        <w:t xml:space="preserve">enabling technologies such as </w:t>
      </w:r>
      <w:r w:rsidR="00E32D6E" w:rsidRPr="0072649D">
        <w:rPr>
          <w:rFonts w:ascii="Times New Roman" w:hAnsi="Times New Roman" w:cs="Times New Roman"/>
        </w:rPr>
        <w:t xml:space="preserve"> </w:t>
      </w:r>
      <w:r w:rsidR="007D4BA4" w:rsidRPr="0072649D">
        <w:rPr>
          <w:rFonts w:ascii="Times New Roman" w:hAnsi="Times New Roman" w:cs="Times New Roman"/>
        </w:rPr>
        <w:t>IoT, Advanced 5G slicing, Network Function Virtualization</w:t>
      </w:r>
      <w:r w:rsidR="008F1808" w:rsidRPr="0072649D">
        <w:rPr>
          <w:rFonts w:ascii="Times New Roman" w:hAnsi="Times New Roman" w:cs="Times New Roman"/>
        </w:rPr>
        <w:t xml:space="preserve"> - </w:t>
      </w:r>
      <w:r w:rsidR="007D4BA4" w:rsidRPr="0072649D">
        <w:rPr>
          <w:rFonts w:ascii="Times New Roman" w:hAnsi="Times New Roman" w:cs="Times New Roman"/>
        </w:rPr>
        <w:t xml:space="preserve">for other businesses or public services, </w:t>
      </w:r>
      <w:r w:rsidR="000978E2" w:rsidRPr="0072649D">
        <w:rPr>
          <w:rFonts w:ascii="Times New Roman" w:hAnsi="Times New Roman" w:cs="Times New Roman"/>
        </w:rPr>
        <w:t xml:space="preserve">they will become </w:t>
      </w:r>
      <w:r w:rsidR="007D4BA4" w:rsidRPr="0072649D">
        <w:rPr>
          <w:rFonts w:ascii="Times New Roman" w:hAnsi="Times New Roman" w:cs="Times New Roman"/>
        </w:rPr>
        <w:t>“dumb-pipe” supplier</w:t>
      </w:r>
      <w:r w:rsidR="000978E2" w:rsidRPr="0072649D">
        <w:rPr>
          <w:rFonts w:ascii="Times New Roman" w:hAnsi="Times New Roman" w:cs="Times New Roman"/>
        </w:rPr>
        <w:t>s</w:t>
      </w:r>
      <w:r w:rsidR="007D4BA4" w:rsidRPr="0072649D">
        <w:rPr>
          <w:rFonts w:ascii="Times New Roman" w:hAnsi="Times New Roman" w:cs="Times New Roman"/>
        </w:rPr>
        <w:t xml:space="preserve"> </w:t>
      </w:r>
      <w:r w:rsidR="00F94A02" w:rsidRPr="0072649D">
        <w:rPr>
          <w:rFonts w:ascii="Times New Roman" w:hAnsi="Times New Roman" w:cs="Times New Roman"/>
        </w:rPr>
        <w:t xml:space="preserve">offering an undifferentiated and price sensitive utility. </w:t>
      </w:r>
      <w:r w:rsidR="00427D2A" w:rsidRPr="0072649D">
        <w:rPr>
          <w:rFonts w:ascii="Times New Roman" w:hAnsi="Times New Roman" w:cs="Times New Roman"/>
        </w:rPr>
        <w:t xml:space="preserve">While </w:t>
      </w:r>
      <w:r w:rsidR="00F94A02" w:rsidRPr="0072649D">
        <w:rPr>
          <w:rFonts w:ascii="Times New Roman" w:hAnsi="Times New Roman" w:cs="Times New Roman"/>
        </w:rPr>
        <w:t xml:space="preserve">supplying connectivity </w:t>
      </w:r>
      <w:r w:rsidR="00427D2A" w:rsidRPr="0072649D">
        <w:rPr>
          <w:rFonts w:ascii="Times New Roman" w:hAnsi="Times New Roman" w:cs="Times New Roman"/>
        </w:rPr>
        <w:t xml:space="preserve">may be profitable </w:t>
      </w:r>
      <w:r w:rsidR="00F94A02" w:rsidRPr="0072649D">
        <w:rPr>
          <w:rFonts w:ascii="Times New Roman" w:hAnsi="Times New Roman" w:cs="Times New Roman"/>
        </w:rPr>
        <w:t>when scarce spectrum can be favo</w:t>
      </w:r>
      <w:r w:rsidR="00E32D6E" w:rsidRPr="0072649D">
        <w:rPr>
          <w:rFonts w:ascii="Times New Roman" w:hAnsi="Times New Roman" w:cs="Times New Roman"/>
        </w:rPr>
        <w:t>u</w:t>
      </w:r>
      <w:r w:rsidR="00F94A02" w:rsidRPr="0072649D">
        <w:rPr>
          <w:rFonts w:ascii="Times New Roman" w:hAnsi="Times New Roman" w:cs="Times New Roman"/>
        </w:rPr>
        <w:t xml:space="preserve">rably rented from governments through auctions </w:t>
      </w:r>
      <w:r w:rsidR="00427D2A" w:rsidRPr="0072649D">
        <w:rPr>
          <w:rFonts w:ascii="Times New Roman" w:hAnsi="Times New Roman" w:cs="Times New Roman"/>
        </w:rPr>
        <w:t xml:space="preserve">a significant </w:t>
      </w:r>
      <w:r w:rsidR="00DC7AD7" w:rsidRPr="0072649D">
        <w:rPr>
          <w:rFonts w:ascii="Times New Roman" w:hAnsi="Times New Roman" w:cs="Times New Roman"/>
        </w:rPr>
        <w:t>part of v</w:t>
      </w:r>
      <w:r w:rsidR="007D4BA4" w:rsidRPr="0072649D">
        <w:rPr>
          <w:rFonts w:ascii="Times New Roman" w:hAnsi="Times New Roman" w:cs="Times New Roman"/>
        </w:rPr>
        <w:t xml:space="preserve">alue will migrate to actors such as born-global suppliers of digital services to consumers (Dasi et al, 2019) and/or </w:t>
      </w:r>
      <w:r w:rsidR="00D50454" w:rsidRPr="0072649D">
        <w:rPr>
          <w:rFonts w:ascii="Times New Roman" w:hAnsi="Times New Roman" w:cs="Times New Roman"/>
        </w:rPr>
        <w:t>MNMTC</w:t>
      </w:r>
      <w:r w:rsidR="007D4BA4" w:rsidRPr="0072649D">
        <w:rPr>
          <w:rFonts w:ascii="Times New Roman" w:hAnsi="Times New Roman" w:cs="Times New Roman"/>
        </w:rPr>
        <w:t>-equipment manufacturers such as Nokia</w:t>
      </w:r>
      <w:r w:rsidR="003A57E6" w:rsidRPr="0072649D">
        <w:rPr>
          <w:rFonts w:ascii="Times New Roman" w:hAnsi="Times New Roman" w:cs="Times New Roman"/>
        </w:rPr>
        <w:t>, Huawei,</w:t>
      </w:r>
      <w:r w:rsidR="007D4BA4" w:rsidRPr="0072649D">
        <w:rPr>
          <w:rFonts w:ascii="Times New Roman" w:hAnsi="Times New Roman" w:cs="Times New Roman"/>
        </w:rPr>
        <w:t xml:space="preserve"> and Ericsson offering their technologies as a service to companies. </w:t>
      </w:r>
    </w:p>
    <w:p w:rsidR="0089025B" w:rsidRPr="0072649D" w:rsidRDefault="007D4BA4" w:rsidP="0076645A">
      <w:pPr>
        <w:pStyle w:val="CommentText"/>
        <w:spacing w:line="480" w:lineRule="auto"/>
        <w:ind w:firstLine="720"/>
        <w:rPr>
          <w:rStyle w:val="Emphasis"/>
          <w:rFonts w:ascii="Times New Roman" w:hAnsi="Times New Roman" w:cs="Times New Roman"/>
          <w:sz w:val="24"/>
          <w:szCs w:val="24"/>
        </w:rPr>
      </w:pPr>
      <w:r w:rsidRPr="0072649D">
        <w:rPr>
          <w:rFonts w:ascii="Times New Roman" w:hAnsi="Times New Roman" w:cs="Times New Roman"/>
          <w:sz w:val="24"/>
          <w:szCs w:val="24"/>
        </w:rPr>
        <w:t>Th</w:t>
      </w:r>
      <w:r w:rsidR="000978E2" w:rsidRPr="0072649D">
        <w:rPr>
          <w:rFonts w:ascii="Times New Roman" w:hAnsi="Times New Roman" w:cs="Times New Roman"/>
          <w:sz w:val="24"/>
          <w:szCs w:val="24"/>
        </w:rPr>
        <w:t xml:space="preserve">is view of </w:t>
      </w:r>
      <w:r w:rsidRPr="0072649D">
        <w:rPr>
          <w:rFonts w:ascii="Times New Roman" w:hAnsi="Times New Roman" w:cs="Times New Roman"/>
          <w:sz w:val="24"/>
          <w:szCs w:val="24"/>
        </w:rPr>
        <w:t xml:space="preserve">radical change </w:t>
      </w:r>
      <w:r w:rsidR="002F1CF7" w:rsidRPr="0072649D">
        <w:rPr>
          <w:rFonts w:ascii="Times New Roman" w:hAnsi="Times New Roman" w:cs="Times New Roman"/>
          <w:sz w:val="24"/>
          <w:szCs w:val="24"/>
        </w:rPr>
        <w:t xml:space="preserve">affecting </w:t>
      </w:r>
      <w:r w:rsidR="00D50454" w:rsidRPr="0072649D">
        <w:rPr>
          <w:rFonts w:ascii="Times New Roman" w:hAnsi="Times New Roman" w:cs="Times New Roman"/>
          <w:sz w:val="24"/>
          <w:szCs w:val="24"/>
        </w:rPr>
        <w:t>MNMTC</w:t>
      </w:r>
      <w:r w:rsidR="002F1CF7" w:rsidRPr="0072649D">
        <w:rPr>
          <w:rFonts w:ascii="Times New Roman" w:hAnsi="Times New Roman" w:cs="Times New Roman"/>
          <w:sz w:val="24"/>
          <w:szCs w:val="24"/>
        </w:rPr>
        <w:t>s</w:t>
      </w:r>
      <w:r w:rsidRPr="0072649D">
        <w:rPr>
          <w:rFonts w:ascii="Times New Roman" w:hAnsi="Times New Roman" w:cs="Times New Roman"/>
          <w:sz w:val="24"/>
          <w:szCs w:val="24"/>
        </w:rPr>
        <w:t xml:space="preserve"> </w:t>
      </w:r>
      <w:r w:rsidR="000978E2" w:rsidRPr="0072649D">
        <w:rPr>
          <w:rFonts w:ascii="Times New Roman" w:hAnsi="Times New Roman" w:cs="Times New Roman"/>
          <w:sz w:val="24"/>
          <w:szCs w:val="24"/>
        </w:rPr>
        <w:t>and the</w:t>
      </w:r>
      <w:r w:rsidR="002F1CF7" w:rsidRPr="0072649D">
        <w:rPr>
          <w:rFonts w:ascii="Times New Roman" w:hAnsi="Times New Roman" w:cs="Times New Roman"/>
          <w:sz w:val="24"/>
          <w:szCs w:val="24"/>
        </w:rPr>
        <w:t>ir</w:t>
      </w:r>
      <w:r w:rsidR="000978E2" w:rsidRPr="0072649D">
        <w:rPr>
          <w:rFonts w:ascii="Times New Roman" w:hAnsi="Times New Roman" w:cs="Times New Roman"/>
          <w:sz w:val="24"/>
          <w:szCs w:val="24"/>
        </w:rPr>
        <w:t xml:space="preserve"> need to engage with radical transformation emerged </w:t>
      </w:r>
      <w:r w:rsidR="008F1808" w:rsidRPr="0072649D">
        <w:rPr>
          <w:rFonts w:ascii="Times New Roman" w:hAnsi="Times New Roman" w:cs="Times New Roman"/>
          <w:sz w:val="24"/>
          <w:szCs w:val="24"/>
        </w:rPr>
        <w:t xml:space="preserve">around </w:t>
      </w:r>
      <w:r w:rsidR="000978E2" w:rsidRPr="0072649D">
        <w:rPr>
          <w:rFonts w:ascii="Times New Roman" w:hAnsi="Times New Roman" w:cs="Times New Roman"/>
          <w:sz w:val="24"/>
          <w:szCs w:val="24"/>
        </w:rPr>
        <w:t>2015</w:t>
      </w:r>
      <w:r w:rsidRPr="0072649D">
        <w:rPr>
          <w:rFonts w:ascii="Times New Roman" w:hAnsi="Times New Roman" w:cs="Times New Roman"/>
          <w:sz w:val="24"/>
          <w:szCs w:val="24"/>
        </w:rPr>
        <w:t xml:space="preserve">. </w:t>
      </w:r>
      <w:r w:rsidR="000978E2" w:rsidRPr="0072649D">
        <w:rPr>
          <w:rFonts w:ascii="Times New Roman" w:hAnsi="Times New Roman" w:cs="Times New Roman"/>
          <w:sz w:val="24"/>
          <w:szCs w:val="24"/>
        </w:rPr>
        <w:t xml:space="preserve">The </w:t>
      </w:r>
      <w:r w:rsidRPr="0072649D">
        <w:rPr>
          <w:rFonts w:ascii="Times New Roman" w:hAnsi="Times New Roman" w:cs="Times New Roman"/>
          <w:sz w:val="24"/>
          <w:szCs w:val="24"/>
        </w:rPr>
        <w:t xml:space="preserve">consensus across the industry </w:t>
      </w:r>
      <w:r w:rsidR="000978E2" w:rsidRPr="0072649D">
        <w:rPr>
          <w:rFonts w:ascii="Times New Roman" w:hAnsi="Times New Roman" w:cs="Times New Roman"/>
          <w:sz w:val="24"/>
          <w:szCs w:val="24"/>
        </w:rPr>
        <w:t xml:space="preserve">is </w:t>
      </w:r>
      <w:r w:rsidRPr="0072649D">
        <w:rPr>
          <w:rFonts w:ascii="Times New Roman" w:hAnsi="Times New Roman" w:cs="Times New Roman"/>
          <w:sz w:val="24"/>
          <w:szCs w:val="24"/>
        </w:rPr>
        <w:t xml:space="preserve">that relative stability is ending as global digitally based firms </w:t>
      </w:r>
      <w:r w:rsidR="00B80867" w:rsidRPr="0072649D">
        <w:rPr>
          <w:rFonts w:ascii="Times New Roman" w:hAnsi="Times New Roman" w:cs="Times New Roman"/>
          <w:sz w:val="24"/>
          <w:szCs w:val="24"/>
        </w:rPr>
        <w:t xml:space="preserve">with huge scale advantages </w:t>
      </w:r>
      <w:r w:rsidRPr="0072649D">
        <w:rPr>
          <w:rFonts w:ascii="Times New Roman" w:hAnsi="Times New Roman" w:cs="Times New Roman"/>
          <w:sz w:val="24"/>
          <w:szCs w:val="24"/>
        </w:rPr>
        <w:t xml:space="preserve">– some known and many unknown – increasingly challenge the position of established </w:t>
      </w:r>
      <w:r w:rsidR="002F1CF7" w:rsidRPr="0072649D">
        <w:rPr>
          <w:rFonts w:ascii="Times New Roman" w:hAnsi="Times New Roman" w:cs="Times New Roman"/>
          <w:sz w:val="24"/>
          <w:szCs w:val="24"/>
        </w:rPr>
        <w:t>MN</w:t>
      </w:r>
      <w:r w:rsidR="00D50454" w:rsidRPr="0072649D">
        <w:rPr>
          <w:rFonts w:ascii="Times New Roman" w:hAnsi="Times New Roman" w:cs="Times New Roman"/>
          <w:sz w:val="24"/>
          <w:szCs w:val="24"/>
        </w:rPr>
        <w:t>M</w:t>
      </w:r>
      <w:r w:rsidR="002F1CF7" w:rsidRPr="0072649D">
        <w:rPr>
          <w:rFonts w:ascii="Times New Roman" w:hAnsi="Times New Roman" w:cs="Times New Roman"/>
          <w:sz w:val="24"/>
          <w:szCs w:val="24"/>
        </w:rPr>
        <w:t>TC</w:t>
      </w:r>
      <w:r w:rsidRPr="0072649D">
        <w:rPr>
          <w:rFonts w:ascii="Times New Roman" w:hAnsi="Times New Roman" w:cs="Times New Roman"/>
          <w:sz w:val="24"/>
          <w:szCs w:val="24"/>
        </w:rPr>
        <w:t xml:space="preserve">s not just in degree, but </w:t>
      </w:r>
      <w:r w:rsidR="0089025B" w:rsidRPr="0072649D">
        <w:rPr>
          <w:rFonts w:ascii="Times New Roman" w:hAnsi="Times New Roman" w:cs="Times New Roman"/>
          <w:sz w:val="24"/>
          <w:szCs w:val="24"/>
        </w:rPr>
        <w:t xml:space="preserve">also in kind (Shwartz, 2017; Torrance, 2018). </w:t>
      </w:r>
      <w:r w:rsidRPr="0072649D">
        <w:rPr>
          <w:rFonts w:ascii="Times New Roman" w:hAnsi="Times New Roman" w:cs="Times New Roman"/>
          <w:sz w:val="24"/>
          <w:szCs w:val="24"/>
        </w:rPr>
        <w:t xml:space="preserve"> </w:t>
      </w:r>
    </w:p>
    <w:p w:rsidR="008F5079" w:rsidRPr="0072649D" w:rsidRDefault="000978E2" w:rsidP="0076645A">
      <w:pPr>
        <w:spacing w:line="480" w:lineRule="auto"/>
        <w:rPr>
          <w:rFonts w:ascii="Times New Roman" w:hAnsi="Times New Roman" w:cs="Times New Roman"/>
        </w:rPr>
      </w:pPr>
      <w:r w:rsidRPr="0072649D">
        <w:rPr>
          <w:rFonts w:ascii="Times New Roman" w:hAnsi="Times New Roman" w:cs="Times New Roman"/>
        </w:rPr>
        <w:t>In this study, our focus is on T</w:t>
      </w:r>
      <w:r w:rsidR="00B6333E" w:rsidRPr="0072649D">
        <w:rPr>
          <w:rFonts w:ascii="Times New Roman" w:hAnsi="Times New Roman" w:cs="Times New Roman"/>
        </w:rPr>
        <w:t xml:space="preserve">elenor. </w:t>
      </w:r>
      <w:r w:rsidR="0061501F" w:rsidRPr="0072649D">
        <w:rPr>
          <w:rFonts w:ascii="Times New Roman" w:hAnsi="Times New Roman" w:cs="Times New Roman"/>
        </w:rPr>
        <w:t xml:space="preserve">We first examine how Telenor </w:t>
      </w:r>
      <w:r w:rsidRPr="0072649D">
        <w:rPr>
          <w:rFonts w:ascii="Times New Roman" w:hAnsi="Times New Roman" w:cs="Times New Roman"/>
        </w:rPr>
        <w:t xml:space="preserve">succeeded with </w:t>
      </w:r>
      <w:r w:rsidR="0061501F" w:rsidRPr="0072649D">
        <w:rPr>
          <w:rFonts w:ascii="Times New Roman" w:hAnsi="Times New Roman" w:cs="Times New Roman"/>
        </w:rPr>
        <w:t xml:space="preserve">a “disrupting cycle” that led to </w:t>
      </w:r>
      <w:r w:rsidRPr="0072649D">
        <w:rPr>
          <w:rFonts w:ascii="Times New Roman" w:hAnsi="Times New Roman" w:cs="Times New Roman"/>
        </w:rPr>
        <w:t xml:space="preserve">radical transformation in the 1990s </w:t>
      </w:r>
      <w:r w:rsidR="0061501F" w:rsidRPr="0072649D">
        <w:rPr>
          <w:rFonts w:ascii="Times New Roman" w:hAnsi="Times New Roman" w:cs="Times New Roman"/>
        </w:rPr>
        <w:t xml:space="preserve">enabling it to move </w:t>
      </w:r>
      <w:r w:rsidRPr="0072649D">
        <w:rPr>
          <w:rFonts w:ascii="Times New Roman" w:hAnsi="Times New Roman" w:cs="Times New Roman"/>
        </w:rPr>
        <w:t xml:space="preserve">from being a state monopoly operating exclusively in Norway to a </w:t>
      </w:r>
      <w:r w:rsidR="00D50454" w:rsidRPr="0072649D">
        <w:rPr>
          <w:rFonts w:ascii="Times New Roman" w:hAnsi="Times New Roman" w:cs="Times New Roman"/>
        </w:rPr>
        <w:t>MNMTC</w:t>
      </w:r>
      <w:r w:rsidR="002F1CF7" w:rsidRPr="0072649D">
        <w:rPr>
          <w:rFonts w:ascii="Times New Roman" w:hAnsi="Times New Roman" w:cs="Times New Roman"/>
        </w:rPr>
        <w:t xml:space="preserve"> </w:t>
      </w:r>
      <w:r w:rsidRPr="0072649D">
        <w:rPr>
          <w:rFonts w:ascii="Times New Roman" w:hAnsi="Times New Roman" w:cs="Times New Roman"/>
        </w:rPr>
        <w:t xml:space="preserve">with operations in 14 countries. We </w:t>
      </w:r>
      <w:r w:rsidR="00755A3F" w:rsidRPr="0072649D">
        <w:rPr>
          <w:rFonts w:ascii="Times New Roman" w:hAnsi="Times New Roman" w:cs="Times New Roman"/>
        </w:rPr>
        <w:t xml:space="preserve">then </w:t>
      </w:r>
      <w:r w:rsidRPr="0072649D">
        <w:rPr>
          <w:rFonts w:ascii="Times New Roman" w:hAnsi="Times New Roman" w:cs="Times New Roman"/>
        </w:rPr>
        <w:t xml:space="preserve">examine </w:t>
      </w:r>
      <w:r w:rsidR="0061501F" w:rsidRPr="0072649D">
        <w:rPr>
          <w:rFonts w:ascii="Times New Roman" w:hAnsi="Times New Roman" w:cs="Times New Roman"/>
        </w:rPr>
        <w:t xml:space="preserve">a new disrupting cycle that </w:t>
      </w:r>
      <w:r w:rsidR="00B6333E" w:rsidRPr="0072649D">
        <w:rPr>
          <w:rFonts w:ascii="Times New Roman" w:hAnsi="Times New Roman" w:cs="Times New Roman"/>
        </w:rPr>
        <w:t xml:space="preserve">for Telenor </w:t>
      </w:r>
      <w:r w:rsidR="0061501F" w:rsidRPr="0072649D">
        <w:rPr>
          <w:rFonts w:ascii="Times New Roman" w:hAnsi="Times New Roman" w:cs="Times New Roman"/>
        </w:rPr>
        <w:t>started in 2016</w:t>
      </w:r>
      <w:r w:rsidR="00B6333E" w:rsidRPr="0072649D">
        <w:rPr>
          <w:rFonts w:ascii="Times New Roman" w:hAnsi="Times New Roman" w:cs="Times New Roman"/>
        </w:rPr>
        <w:t>. By 2017, Telenor had retreated from its ambition on radical transformation</w:t>
      </w:r>
      <w:r w:rsidR="0061501F" w:rsidRPr="0072649D">
        <w:rPr>
          <w:rFonts w:ascii="Times New Roman" w:hAnsi="Times New Roman" w:cs="Times New Roman"/>
        </w:rPr>
        <w:t xml:space="preserve"> </w:t>
      </w:r>
      <w:r w:rsidR="00B6333E" w:rsidRPr="0072649D">
        <w:rPr>
          <w:rFonts w:ascii="Times New Roman" w:hAnsi="Times New Roman" w:cs="Times New Roman"/>
        </w:rPr>
        <w:t xml:space="preserve">and </w:t>
      </w:r>
      <w:r w:rsidR="0061501F" w:rsidRPr="0072649D">
        <w:rPr>
          <w:rFonts w:ascii="Times New Roman" w:hAnsi="Times New Roman" w:cs="Times New Roman"/>
        </w:rPr>
        <w:t xml:space="preserve">by 2020 </w:t>
      </w:r>
      <w:r w:rsidR="00B6333E" w:rsidRPr="0072649D">
        <w:rPr>
          <w:rFonts w:ascii="Times New Roman" w:hAnsi="Times New Roman" w:cs="Times New Roman"/>
        </w:rPr>
        <w:t xml:space="preserve">the ambition </w:t>
      </w:r>
      <w:r w:rsidR="0061501F" w:rsidRPr="0072649D">
        <w:rPr>
          <w:rFonts w:ascii="Times New Roman" w:hAnsi="Times New Roman" w:cs="Times New Roman"/>
        </w:rPr>
        <w:t xml:space="preserve">has not </w:t>
      </w:r>
      <w:r w:rsidR="00B6333E" w:rsidRPr="0072649D">
        <w:rPr>
          <w:rFonts w:ascii="Times New Roman" w:hAnsi="Times New Roman" w:cs="Times New Roman"/>
        </w:rPr>
        <w:t>resurfaced. W</w:t>
      </w:r>
      <w:r w:rsidR="00755A3F" w:rsidRPr="0072649D">
        <w:rPr>
          <w:rFonts w:ascii="Times New Roman" w:hAnsi="Times New Roman" w:cs="Times New Roman"/>
        </w:rPr>
        <w:t xml:space="preserve">e explore why </w:t>
      </w:r>
      <w:r w:rsidR="0061501F" w:rsidRPr="0072649D">
        <w:rPr>
          <w:rFonts w:ascii="Times New Roman" w:hAnsi="Times New Roman" w:cs="Times New Roman"/>
        </w:rPr>
        <w:t xml:space="preserve">a successful </w:t>
      </w:r>
      <w:r w:rsidR="00B6333E" w:rsidRPr="0072649D">
        <w:rPr>
          <w:rFonts w:ascii="Times New Roman" w:hAnsi="Times New Roman" w:cs="Times New Roman"/>
        </w:rPr>
        <w:t xml:space="preserve">radical transformation in response to the 1990s </w:t>
      </w:r>
      <w:r w:rsidR="0061501F" w:rsidRPr="0072649D">
        <w:rPr>
          <w:rFonts w:ascii="Times New Roman" w:hAnsi="Times New Roman" w:cs="Times New Roman"/>
        </w:rPr>
        <w:t xml:space="preserve">“disrupting cycle” </w:t>
      </w:r>
      <w:r w:rsidR="00755A3F" w:rsidRPr="0072649D">
        <w:rPr>
          <w:rFonts w:ascii="Times New Roman" w:hAnsi="Times New Roman" w:cs="Times New Roman"/>
        </w:rPr>
        <w:t xml:space="preserve">was </w:t>
      </w:r>
      <w:r w:rsidR="004800D1" w:rsidRPr="0072649D">
        <w:rPr>
          <w:rFonts w:ascii="Times New Roman" w:hAnsi="Times New Roman" w:cs="Times New Roman"/>
        </w:rPr>
        <w:t xml:space="preserve">more </w:t>
      </w:r>
      <w:r w:rsidR="00073153" w:rsidRPr="0072649D">
        <w:rPr>
          <w:rFonts w:ascii="Times New Roman" w:hAnsi="Times New Roman" w:cs="Times New Roman"/>
        </w:rPr>
        <w:t>viable</w:t>
      </w:r>
      <w:r w:rsidR="004800D1" w:rsidRPr="0072649D">
        <w:rPr>
          <w:rFonts w:ascii="Times New Roman" w:hAnsi="Times New Roman" w:cs="Times New Roman"/>
        </w:rPr>
        <w:t xml:space="preserve"> </w:t>
      </w:r>
      <w:r w:rsidR="00E772FA" w:rsidRPr="0072649D">
        <w:rPr>
          <w:rFonts w:ascii="Times New Roman" w:hAnsi="Times New Roman" w:cs="Times New Roman"/>
        </w:rPr>
        <w:t>than</w:t>
      </w:r>
      <w:r w:rsidR="00B6333E" w:rsidRPr="0072649D">
        <w:rPr>
          <w:rFonts w:ascii="Times New Roman" w:hAnsi="Times New Roman" w:cs="Times New Roman"/>
        </w:rPr>
        <w:t xml:space="preserve"> the post-2015 disrupting cycle. Our conclusion is that </w:t>
      </w:r>
      <w:r w:rsidR="00E772FA" w:rsidRPr="0072649D">
        <w:rPr>
          <w:rFonts w:ascii="Times New Roman" w:hAnsi="Times New Roman" w:cs="Times New Roman"/>
        </w:rPr>
        <w:t xml:space="preserve">a </w:t>
      </w:r>
      <w:r w:rsidR="00E772FA" w:rsidRPr="0072649D">
        <w:rPr>
          <w:rFonts w:ascii="Times New Roman" w:hAnsi="Times New Roman" w:cs="Times New Roman"/>
        </w:rPr>
        <w:lastRenderedPageBreak/>
        <w:t xml:space="preserve">significant factor is rooted in </w:t>
      </w:r>
      <w:r w:rsidR="00B6333E" w:rsidRPr="0072649D">
        <w:rPr>
          <w:rFonts w:ascii="Times New Roman" w:hAnsi="Times New Roman" w:cs="Times New Roman"/>
        </w:rPr>
        <w:t>c</w:t>
      </w:r>
      <w:r w:rsidR="00E772FA" w:rsidRPr="0072649D">
        <w:rPr>
          <w:rFonts w:ascii="Times New Roman" w:hAnsi="Times New Roman" w:cs="Times New Roman"/>
        </w:rPr>
        <w:t xml:space="preserve">hanges to the regulative </w:t>
      </w:r>
      <w:r w:rsidR="00B6333E" w:rsidRPr="0072649D">
        <w:rPr>
          <w:rFonts w:ascii="Times New Roman" w:hAnsi="Times New Roman" w:cs="Times New Roman"/>
        </w:rPr>
        <w:t xml:space="preserve">institutional </w:t>
      </w:r>
      <w:r w:rsidR="00E772FA" w:rsidRPr="0072649D">
        <w:rPr>
          <w:rFonts w:ascii="Times New Roman" w:hAnsi="Times New Roman" w:cs="Times New Roman"/>
        </w:rPr>
        <w:t xml:space="preserve">context </w:t>
      </w:r>
      <w:r w:rsidR="00083ED8" w:rsidRPr="0072649D">
        <w:rPr>
          <w:rFonts w:ascii="Times New Roman" w:hAnsi="Times New Roman" w:cs="Times New Roman"/>
        </w:rPr>
        <w:t xml:space="preserve">(Scott, 1995) </w:t>
      </w:r>
      <w:r w:rsidR="00E772FA" w:rsidRPr="0072649D">
        <w:rPr>
          <w:rFonts w:ascii="Times New Roman" w:hAnsi="Times New Roman" w:cs="Times New Roman"/>
        </w:rPr>
        <w:t xml:space="preserve">in which MNMTCs operate.  </w:t>
      </w:r>
    </w:p>
    <w:p w:rsidR="000C1C04" w:rsidRPr="0072649D" w:rsidRDefault="008F5079" w:rsidP="0076645A">
      <w:pPr>
        <w:spacing w:line="480" w:lineRule="auto"/>
        <w:rPr>
          <w:rFonts w:ascii="Times New Roman" w:hAnsi="Times New Roman" w:cs="Times New Roman"/>
        </w:rPr>
      </w:pPr>
      <w:r w:rsidRPr="0072649D">
        <w:rPr>
          <w:rFonts w:ascii="Times New Roman" w:hAnsi="Times New Roman" w:cs="Times New Roman"/>
        </w:rPr>
        <w:t>Initially we define the concept</w:t>
      </w:r>
      <w:r w:rsidR="0061501F" w:rsidRPr="0072649D">
        <w:rPr>
          <w:rFonts w:ascii="Times New Roman" w:hAnsi="Times New Roman" w:cs="Times New Roman"/>
        </w:rPr>
        <w:t>s</w:t>
      </w:r>
      <w:r w:rsidRPr="0072649D">
        <w:rPr>
          <w:rFonts w:ascii="Times New Roman" w:hAnsi="Times New Roman" w:cs="Times New Roman"/>
        </w:rPr>
        <w:t xml:space="preserve"> of </w:t>
      </w:r>
      <w:r w:rsidR="0061501F" w:rsidRPr="0072649D">
        <w:rPr>
          <w:rFonts w:ascii="Times New Roman" w:hAnsi="Times New Roman" w:cs="Times New Roman"/>
        </w:rPr>
        <w:t xml:space="preserve">disrupting cycle, </w:t>
      </w:r>
      <w:r w:rsidRPr="0072649D">
        <w:rPr>
          <w:rFonts w:ascii="Times New Roman" w:hAnsi="Times New Roman" w:cs="Times New Roman"/>
        </w:rPr>
        <w:t xml:space="preserve">radical transformation and the generic approaches to facilitating it. </w:t>
      </w:r>
      <w:r w:rsidR="00073153" w:rsidRPr="0072649D">
        <w:rPr>
          <w:rFonts w:ascii="Times New Roman" w:hAnsi="Times New Roman" w:cs="Times New Roman"/>
        </w:rPr>
        <w:t>Draw</w:t>
      </w:r>
      <w:r w:rsidR="00E772FA" w:rsidRPr="0072649D">
        <w:rPr>
          <w:rFonts w:ascii="Times New Roman" w:hAnsi="Times New Roman" w:cs="Times New Roman"/>
        </w:rPr>
        <w:t xml:space="preserve">ing on an extant study, we </w:t>
      </w:r>
      <w:r w:rsidR="00073153" w:rsidRPr="0072649D">
        <w:rPr>
          <w:rFonts w:ascii="Times New Roman" w:hAnsi="Times New Roman" w:cs="Times New Roman"/>
        </w:rPr>
        <w:t>present</w:t>
      </w:r>
      <w:r w:rsidR="00A60031" w:rsidRPr="0072649D">
        <w:rPr>
          <w:rFonts w:ascii="Times New Roman" w:hAnsi="Times New Roman" w:cs="Times New Roman"/>
        </w:rPr>
        <w:t xml:space="preserve"> the</w:t>
      </w:r>
      <w:r w:rsidR="00073153" w:rsidRPr="0072649D">
        <w:rPr>
          <w:rFonts w:ascii="Times New Roman" w:hAnsi="Times New Roman" w:cs="Times New Roman"/>
        </w:rPr>
        <w:t xml:space="preserve"> early successful radical change at</w:t>
      </w:r>
      <w:r w:rsidR="00E772FA" w:rsidRPr="0072649D">
        <w:rPr>
          <w:rFonts w:ascii="Times New Roman" w:hAnsi="Times New Roman" w:cs="Times New Roman"/>
        </w:rPr>
        <w:t xml:space="preserve"> Telenor</w:t>
      </w:r>
      <w:r w:rsidR="00F96B59" w:rsidRPr="0072649D">
        <w:rPr>
          <w:rFonts w:ascii="Times New Roman" w:hAnsi="Times New Roman" w:cs="Times New Roman"/>
        </w:rPr>
        <w:t xml:space="preserve"> during the 1990s</w:t>
      </w:r>
      <w:r w:rsidR="00E772FA" w:rsidRPr="0072649D">
        <w:rPr>
          <w:rFonts w:ascii="Times New Roman" w:hAnsi="Times New Roman" w:cs="Times New Roman"/>
        </w:rPr>
        <w:t xml:space="preserve">. Then using data </w:t>
      </w:r>
      <w:r w:rsidR="00073153" w:rsidRPr="0072649D">
        <w:rPr>
          <w:rFonts w:ascii="Times New Roman" w:hAnsi="Times New Roman" w:cs="Times New Roman"/>
        </w:rPr>
        <w:t xml:space="preserve">from Telenor internal documents and interviews with Telenor managers we explore why current radical change is unsuccessful. </w:t>
      </w:r>
    </w:p>
    <w:p w:rsidR="0061501F" w:rsidRPr="0072649D" w:rsidRDefault="0061501F" w:rsidP="00DC1662">
      <w:pPr>
        <w:pStyle w:val="Heading2"/>
      </w:pPr>
      <w:r w:rsidRPr="0072649D">
        <w:t>The Disrupting Cycle</w:t>
      </w:r>
    </w:p>
    <w:p w:rsidR="0061501F" w:rsidRPr="0072649D" w:rsidRDefault="0061501F" w:rsidP="0076645A">
      <w:pPr>
        <w:spacing w:line="480" w:lineRule="auto"/>
        <w:rPr>
          <w:rFonts w:ascii="Times New Roman" w:hAnsi="Times New Roman" w:cs="Times New Roman"/>
        </w:rPr>
      </w:pPr>
      <w:r w:rsidRPr="0072649D">
        <w:rPr>
          <w:rFonts w:ascii="Times New Roman" w:hAnsi="Times New Roman" w:cs="Times New Roman"/>
        </w:rPr>
        <w:t xml:space="preserve">Mees-Buss et al., (2019:1521-1522) argues that: </w:t>
      </w:r>
    </w:p>
    <w:p w:rsidR="000C1C04" w:rsidRPr="0072649D" w:rsidRDefault="000C1C04" w:rsidP="0076645A">
      <w:pPr>
        <w:spacing w:line="480" w:lineRule="auto"/>
        <w:ind w:left="720" w:firstLine="0"/>
        <w:rPr>
          <w:rFonts w:ascii="Times New Roman" w:hAnsi="Times New Roman" w:cs="Times New Roman"/>
        </w:rPr>
      </w:pPr>
      <w:r w:rsidRPr="0072649D">
        <w:rPr>
          <w:rFonts w:ascii="Times New Roman" w:hAnsi="Times New Roman" w:cs="Times New Roman"/>
        </w:rPr>
        <w:t xml:space="preserve">“A </w:t>
      </w:r>
      <w:r w:rsidRPr="0072649D">
        <w:rPr>
          <w:rFonts w:ascii="Times New Roman" w:hAnsi="Times New Roman" w:cs="Times New Roman"/>
          <w:i/>
        </w:rPr>
        <w:t>disrupting cycle</w:t>
      </w:r>
      <w:r w:rsidRPr="0072649D">
        <w:rPr>
          <w:rFonts w:ascii="Times New Roman" w:hAnsi="Times New Roman" w:cs="Times New Roman"/>
        </w:rPr>
        <w:t xml:space="preserve"> occurs when the (top management team) concludes that the key selection criteria of the past – hitherto believed to be critical for success – is no longer viable due to changes in the environment of the MNC. This kind of choice point can be considered a ‘break point’, because the new selection criterion breaks with the past: at least part of the old recipe for success is explicitly renounced. Ensuring decision-makers throughout the organization follow the new selection criterion requires not just far-reaching changes to the selection system but also the active selecting out of people, resources, capabilities which previously had been regarded as critical.”  </w:t>
      </w:r>
    </w:p>
    <w:p w:rsidR="000C1C04" w:rsidRPr="0072649D" w:rsidRDefault="000C1C04" w:rsidP="0076645A">
      <w:pPr>
        <w:spacing w:line="480" w:lineRule="auto"/>
        <w:rPr>
          <w:rFonts w:ascii="Times New Roman" w:hAnsi="Times New Roman" w:cs="Times New Roman"/>
        </w:rPr>
      </w:pPr>
      <w:r w:rsidRPr="0072649D">
        <w:rPr>
          <w:rFonts w:ascii="Times New Roman" w:hAnsi="Times New Roman" w:cs="Times New Roman"/>
        </w:rPr>
        <w:t>One should not expect that an initial disrupting cycle results in linear change. Instead, Mees-Buss et al. (2019) observe experimentation, trial and error and expected outcomes only partly achieved followed by the need for reinforcing cycles that aim at furthering the entrenchment of the new selection criterion.</w:t>
      </w:r>
    </w:p>
    <w:p w:rsidR="00755A3F" w:rsidRPr="0072649D" w:rsidRDefault="00755A3F" w:rsidP="00DC1662">
      <w:pPr>
        <w:pStyle w:val="Heading2"/>
      </w:pPr>
      <w:r w:rsidRPr="0072649D">
        <w:lastRenderedPageBreak/>
        <w:t xml:space="preserve">Radical transformation </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 xml:space="preserve">We define radical or transformational change as being “of sufficient depth to require a shift in the central assumptions and beliefs that the members of an organization hold about the organization, the nature of its environment and the competition and how it competes. It encompasses a fundamental shift in the business model of the organizations, touching all cultural and structural aspects of the organization” (Balogun, Hailey &amp; Gustafsson, 2015:4). It is distinct from continuous or incremental change. It may be forced or reactive in the sense that a new competitive threat forces the organization to respond. Equally, it may be proactive in recognition of </w:t>
      </w:r>
      <w:r w:rsidR="00E772FA" w:rsidRPr="0072649D">
        <w:rPr>
          <w:rFonts w:ascii="Times New Roman" w:hAnsi="Times New Roman" w:cs="Times New Roman"/>
        </w:rPr>
        <w:t xml:space="preserve">a need for pre-emptive change and it may involve </w:t>
      </w:r>
      <w:r w:rsidR="00B80867" w:rsidRPr="0072649D">
        <w:rPr>
          <w:rFonts w:ascii="Times New Roman" w:hAnsi="Times New Roman" w:cs="Times New Roman"/>
        </w:rPr>
        <w:t xml:space="preserve">developing radically new businesses understood as </w:t>
      </w:r>
      <w:r w:rsidR="00F8752D" w:rsidRPr="0072649D">
        <w:rPr>
          <w:rFonts w:ascii="Times New Roman" w:hAnsi="Times New Roman" w:cs="Times New Roman"/>
        </w:rPr>
        <w:t xml:space="preserve">new </w:t>
      </w:r>
      <w:r w:rsidR="00B80867" w:rsidRPr="0072649D">
        <w:rPr>
          <w:rFonts w:ascii="Times New Roman" w:hAnsi="Times New Roman" w:cs="Times New Roman"/>
        </w:rPr>
        <w:t xml:space="preserve">services and products </w:t>
      </w:r>
      <w:r w:rsidR="00E772FA" w:rsidRPr="0072649D">
        <w:rPr>
          <w:rFonts w:ascii="Times New Roman" w:hAnsi="Times New Roman" w:cs="Times New Roman"/>
        </w:rPr>
        <w:t xml:space="preserve">or </w:t>
      </w:r>
      <w:r w:rsidR="00B80867" w:rsidRPr="0072649D">
        <w:rPr>
          <w:rFonts w:ascii="Times New Roman" w:hAnsi="Times New Roman" w:cs="Times New Roman"/>
        </w:rPr>
        <w:t xml:space="preserve">radically transforming the core business. </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 xml:space="preserve">There are various external drivers of radical change. </w:t>
      </w:r>
      <w:r w:rsidRPr="0072649D">
        <w:rPr>
          <w:rFonts w:ascii="Times New Roman" w:hAnsi="Times New Roman" w:cs="Times New Roman"/>
          <w:color w:val="222222"/>
        </w:rPr>
        <w:t>Jacobs,</w:t>
      </w:r>
      <w:r w:rsidR="00E3796B" w:rsidRPr="0072649D">
        <w:rPr>
          <w:rFonts w:ascii="Times New Roman" w:hAnsi="Times New Roman" w:cs="Times New Roman"/>
          <w:color w:val="222222"/>
        </w:rPr>
        <w:t xml:space="preserve"> </w:t>
      </w:r>
      <w:r w:rsidRPr="0072649D">
        <w:rPr>
          <w:rFonts w:ascii="Times New Roman" w:hAnsi="Times New Roman" w:cs="Times New Roman"/>
          <w:color w:val="222222"/>
        </w:rPr>
        <w:t xml:space="preserve">Van Witteloostuijn and Christe-Zeyse (2013) </w:t>
      </w:r>
      <w:r w:rsidRPr="0072649D">
        <w:rPr>
          <w:rFonts w:ascii="Times New Roman" w:hAnsi="Times New Roman" w:cs="Times New Roman"/>
        </w:rPr>
        <w:t xml:space="preserve">observe that the strategic management literature identifies five generic drivers: political (P), economic (E), societal (S), technological (T) and legislative (L). In terms of this so-called PESTL approach to distinguishing sources of change (Johnson and Scholes, 2000; Johnson et al., 2005), we focus on technology (T) driven radical change. </w:t>
      </w:r>
    </w:p>
    <w:p w:rsidR="008D37F6" w:rsidRPr="0072649D" w:rsidRDefault="008D37F6" w:rsidP="00DC1662">
      <w:pPr>
        <w:pStyle w:val="Heading2"/>
      </w:pPr>
      <w:r w:rsidRPr="0072649D">
        <w:t xml:space="preserve">Organizational </w:t>
      </w:r>
      <w:r w:rsidR="008F5079" w:rsidRPr="0072649D">
        <w:t xml:space="preserve">approaches to radical </w:t>
      </w:r>
      <w:r w:rsidRPr="0072649D">
        <w:t>change</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The literature on the management of radical change delineates a number of organizational solu</w:t>
      </w:r>
      <w:r w:rsidR="00B34A00" w:rsidRPr="0072649D">
        <w:rPr>
          <w:rFonts w:ascii="Times New Roman" w:hAnsi="Times New Roman" w:cs="Times New Roman"/>
        </w:rPr>
        <w:t xml:space="preserve">tions that while not sufficient for radical transformation are necessary </w:t>
      </w:r>
      <w:r w:rsidRPr="0072649D">
        <w:rPr>
          <w:rFonts w:ascii="Times New Roman" w:hAnsi="Times New Roman" w:cs="Times New Roman"/>
        </w:rPr>
        <w:t xml:space="preserve">(Stensaker, 2019). Stensaker makes a distinction between organizational solutions that are internal (within firm boundaries), including the ambidextrous solution and the agile solution and external organizational solutions including, spinouts, acquisitions and ecosystem alliances that take place </w:t>
      </w:r>
      <w:r w:rsidRPr="0072649D">
        <w:rPr>
          <w:rFonts w:ascii="Times New Roman" w:hAnsi="Times New Roman" w:cs="Times New Roman"/>
        </w:rPr>
        <w:lastRenderedPageBreak/>
        <w:t>outside of the firm boundaries and thus typically involve others. In addition to organizational solutions within the radical change literature, adopting a dynamic capabilities perspective</w:t>
      </w:r>
      <w:r w:rsidR="00813D7A" w:rsidRPr="0072649D">
        <w:rPr>
          <w:rFonts w:ascii="Times New Roman" w:hAnsi="Times New Roman" w:cs="Times New Roman"/>
        </w:rPr>
        <w:t xml:space="preserve"> (Teece, 2007)</w:t>
      </w:r>
      <w:r w:rsidRPr="0072649D">
        <w:rPr>
          <w:rFonts w:ascii="Times New Roman" w:hAnsi="Times New Roman" w:cs="Times New Roman"/>
        </w:rPr>
        <w:t xml:space="preserve">, Elter et al. (2019) argue that “legacy removal” is a critical factor in the context of radical technology driven change.  We now briefly describe each of these prior to examining the roles they have played </w:t>
      </w:r>
      <w:r w:rsidR="001C72DD" w:rsidRPr="0072649D">
        <w:rPr>
          <w:rFonts w:ascii="Times New Roman" w:hAnsi="Times New Roman" w:cs="Times New Roman"/>
        </w:rPr>
        <w:t xml:space="preserve">at </w:t>
      </w:r>
      <w:r w:rsidRPr="0072649D">
        <w:rPr>
          <w:rFonts w:ascii="Times New Roman" w:hAnsi="Times New Roman" w:cs="Times New Roman"/>
        </w:rPr>
        <w:t xml:space="preserve">Telenor </w:t>
      </w:r>
      <w:r w:rsidR="001C72DD" w:rsidRPr="0072649D">
        <w:rPr>
          <w:rFonts w:ascii="Times New Roman" w:hAnsi="Times New Roman" w:cs="Times New Roman"/>
        </w:rPr>
        <w:t xml:space="preserve">in two phases of radical change. </w:t>
      </w:r>
      <w:r w:rsidRPr="0072649D">
        <w:rPr>
          <w:rFonts w:ascii="Times New Roman" w:hAnsi="Times New Roman" w:cs="Times New Roman"/>
        </w:rPr>
        <w:t xml:space="preserve"> </w:t>
      </w:r>
    </w:p>
    <w:p w:rsidR="008D37F6" w:rsidRPr="0072649D" w:rsidRDefault="008D37F6" w:rsidP="0076645A">
      <w:pPr>
        <w:pStyle w:val="Heading3"/>
        <w:spacing w:line="480" w:lineRule="auto"/>
        <w:rPr>
          <w:rFonts w:ascii="Times New Roman" w:hAnsi="Times New Roman" w:cs="Times New Roman"/>
        </w:rPr>
      </w:pPr>
      <w:r w:rsidRPr="0072649D">
        <w:rPr>
          <w:rStyle w:val="Heading2Char"/>
          <w:b/>
          <w:bCs/>
        </w:rPr>
        <w:t>The ambidextrous solution</w:t>
      </w:r>
    </w:p>
    <w:p w:rsidR="00B34A00" w:rsidRPr="0072649D" w:rsidRDefault="008D37F6" w:rsidP="00B34A00">
      <w:pPr>
        <w:spacing w:line="480" w:lineRule="auto"/>
        <w:rPr>
          <w:rFonts w:ascii="Times New Roman" w:hAnsi="Times New Roman" w:cs="Times New Roman"/>
        </w:rPr>
      </w:pPr>
      <w:r w:rsidRPr="0072649D">
        <w:rPr>
          <w:rFonts w:ascii="Times New Roman" w:hAnsi="Times New Roman" w:cs="Times New Roman"/>
        </w:rPr>
        <w:t>In established firms, radical chang</w:t>
      </w:r>
      <w:r w:rsidR="00B34A00" w:rsidRPr="0072649D">
        <w:rPr>
          <w:rFonts w:ascii="Times New Roman" w:hAnsi="Times New Roman" w:cs="Times New Roman"/>
        </w:rPr>
        <w:t xml:space="preserve">e </w:t>
      </w:r>
      <w:r w:rsidRPr="0072649D">
        <w:rPr>
          <w:rFonts w:ascii="Times New Roman" w:hAnsi="Times New Roman" w:cs="Times New Roman"/>
        </w:rPr>
        <w:t xml:space="preserve">requires the ability to </w:t>
      </w:r>
      <w:r w:rsidR="00B34A00" w:rsidRPr="0072649D">
        <w:rPr>
          <w:rFonts w:ascii="Times New Roman" w:hAnsi="Times New Roman" w:cs="Times New Roman"/>
        </w:rPr>
        <w:t xml:space="preserve">continue to </w:t>
      </w:r>
      <w:r w:rsidRPr="0072649D">
        <w:rPr>
          <w:rFonts w:ascii="Times New Roman" w:hAnsi="Times New Roman" w:cs="Times New Roman"/>
        </w:rPr>
        <w:t xml:space="preserve">exploit existing business while simultaneously exploring new opportunities that potentially cannibalize existing ones. </w:t>
      </w:r>
      <w:r w:rsidR="00B34A00" w:rsidRPr="0072649D">
        <w:rPr>
          <w:rFonts w:ascii="Times New Roman" w:hAnsi="Times New Roman" w:cs="Times New Roman"/>
        </w:rPr>
        <w:t xml:space="preserve">An extensive body of literature has addressed the ambidextrous solution both theoretically and empirically (for an overview see e.g. O’Reilly &amp; Tushman, 2013).  It involves setting up a separate organizational structure (e.g. a new unit) charged with radical innovation while the remaining organization focuses on the existing business. </w:t>
      </w:r>
      <w:r w:rsidRPr="0072649D">
        <w:rPr>
          <w:rFonts w:ascii="Times New Roman" w:hAnsi="Times New Roman" w:cs="Times New Roman"/>
        </w:rPr>
        <w:t>This allows for specialization where</w:t>
      </w:r>
      <w:r w:rsidR="00B34A00" w:rsidRPr="0072649D">
        <w:rPr>
          <w:rFonts w:ascii="Times New Roman" w:hAnsi="Times New Roman" w:cs="Times New Roman"/>
        </w:rPr>
        <w:t>by</w:t>
      </w:r>
      <w:r w:rsidRPr="0072649D">
        <w:rPr>
          <w:rFonts w:ascii="Times New Roman" w:hAnsi="Times New Roman" w:cs="Times New Roman"/>
        </w:rPr>
        <w:t xml:space="preserve"> existing units create efficiencies and exploit the current business, while the new unit explores and innovates. A key feature of this solution has to do with securing sufficient autonomy for the new unit, thus allowing for the development of a separate identity with distinct processes and capabilities. </w:t>
      </w:r>
      <w:r w:rsidR="00B34A00" w:rsidRPr="0072649D">
        <w:rPr>
          <w:rFonts w:ascii="Times New Roman" w:hAnsi="Times New Roman" w:cs="Times New Roman"/>
        </w:rPr>
        <w:t xml:space="preserve">The ambidextrous solution equips established firms to handle pressures for efficiencies parallel to innovation. In other words, it permits both exploitation of various businesses that are incompatible to organize in a single integrated unit and exploration of new business opportunities (Tushman &amp; O’Reilly 1996; O’Reilly &amp; Tushman 2004, 2016). </w:t>
      </w:r>
    </w:p>
    <w:p w:rsidR="00B34A00" w:rsidRPr="0072649D" w:rsidRDefault="00B34A00" w:rsidP="0076645A">
      <w:pPr>
        <w:spacing w:line="480" w:lineRule="auto"/>
        <w:rPr>
          <w:rFonts w:ascii="Times New Roman" w:hAnsi="Times New Roman" w:cs="Times New Roman"/>
        </w:rPr>
      </w:pPr>
    </w:p>
    <w:p w:rsidR="008D37F6" w:rsidRPr="0072649D" w:rsidRDefault="008D37F6" w:rsidP="0076645A">
      <w:pPr>
        <w:pStyle w:val="Heading3"/>
        <w:spacing w:line="480" w:lineRule="auto"/>
        <w:rPr>
          <w:rFonts w:ascii="Times New Roman" w:hAnsi="Times New Roman" w:cs="Times New Roman"/>
        </w:rPr>
      </w:pPr>
      <w:r w:rsidRPr="0072649D">
        <w:rPr>
          <w:rFonts w:ascii="Times New Roman" w:hAnsi="Times New Roman" w:cs="Times New Roman"/>
        </w:rPr>
        <w:lastRenderedPageBreak/>
        <w:t>Agile organization</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Organizational agility refers to “an enterprise’s ability to quickly respond and adapt in response to continuous and unpredictable changes of competitive market environments” (Sherehiy &amp; Karwowski. 2014</w:t>
      </w:r>
      <w:r w:rsidR="0072649D">
        <w:rPr>
          <w:rFonts w:ascii="Times New Roman" w:hAnsi="Times New Roman" w:cs="Times New Roman"/>
        </w:rPr>
        <w:t>:</w:t>
      </w:r>
      <w:r w:rsidR="008F1808" w:rsidRPr="0072649D">
        <w:rPr>
          <w:rFonts w:ascii="Times New Roman" w:hAnsi="Times New Roman" w:cs="Times New Roman"/>
        </w:rPr>
        <w:t xml:space="preserve"> </w:t>
      </w:r>
      <w:r w:rsidR="0072649D" w:rsidRPr="0072649D">
        <w:rPr>
          <w:rFonts w:ascii="Times New Roman" w:hAnsi="Times New Roman" w:cs="Times New Roman"/>
        </w:rPr>
        <w:t>466</w:t>
      </w:r>
      <w:r w:rsidRPr="0072649D">
        <w:rPr>
          <w:rFonts w:ascii="Times New Roman" w:hAnsi="Times New Roman" w:cs="Times New Roman"/>
        </w:rPr>
        <w:t>)</w:t>
      </w:r>
      <w:r w:rsidRPr="0072649D">
        <w:rPr>
          <w:rFonts w:ascii="Times New Roman" w:hAnsi="Times New Roman" w:cs="Times New Roman"/>
          <w:b/>
        </w:rPr>
        <w:t>.</w:t>
      </w:r>
      <w:r w:rsidRPr="009A3B9C">
        <w:rPr>
          <w:rFonts w:ascii="Times New Roman" w:hAnsi="Times New Roman" w:cs="Times New Roman"/>
        </w:rPr>
        <w:t xml:space="preserve"> For practitioners, the term agile</w:t>
      </w:r>
      <w:r w:rsidR="00106951" w:rsidRPr="009A3B9C">
        <w:rPr>
          <w:rFonts w:ascii="Times New Roman" w:hAnsi="Times New Roman" w:cs="Times New Roman"/>
        </w:rPr>
        <w:t>, which emerged from the software development industry</w:t>
      </w:r>
      <w:r w:rsidR="00106951" w:rsidRPr="0072649D">
        <w:rPr>
          <w:rFonts w:ascii="Times New Roman" w:hAnsi="Times New Roman" w:cs="Times New Roman"/>
        </w:rPr>
        <w:t>,</w:t>
      </w:r>
      <w:r w:rsidRPr="0072649D">
        <w:rPr>
          <w:rFonts w:ascii="Times New Roman" w:hAnsi="Times New Roman" w:cs="Times New Roman"/>
        </w:rPr>
        <w:t xml:space="preserve"> came into common usage with the publishing of the “Agile Manifesto” (2001)</w:t>
      </w:r>
      <w:r w:rsidR="00106951" w:rsidRPr="0072649D">
        <w:rPr>
          <w:rFonts w:ascii="Times New Roman" w:hAnsi="Times New Roman" w:cs="Times New Roman"/>
        </w:rPr>
        <w:t>.</w:t>
      </w:r>
      <w:r w:rsidRPr="0072649D">
        <w:rPr>
          <w:rFonts w:ascii="Times New Roman" w:hAnsi="Times New Roman" w:cs="Times New Roman"/>
        </w:rPr>
        <w:t xml:space="preserve"> Since then it has become a more </w:t>
      </w:r>
      <w:r w:rsidR="00465163" w:rsidRPr="0072649D">
        <w:rPr>
          <w:rFonts w:ascii="Times New Roman" w:hAnsi="Times New Roman" w:cs="Times New Roman"/>
        </w:rPr>
        <w:t>widespread</w:t>
      </w:r>
      <w:r w:rsidRPr="0072649D">
        <w:rPr>
          <w:rFonts w:ascii="Times New Roman" w:hAnsi="Times New Roman" w:cs="Times New Roman"/>
        </w:rPr>
        <w:t xml:space="preserve"> way of organizing work. </w:t>
      </w:r>
      <w:r w:rsidR="00465163" w:rsidRPr="0072649D">
        <w:rPr>
          <w:rFonts w:ascii="Times New Roman" w:hAnsi="Times New Roman" w:cs="Times New Roman"/>
        </w:rPr>
        <w:t>Typically,</w:t>
      </w:r>
      <w:r w:rsidRPr="0072649D">
        <w:rPr>
          <w:rFonts w:ascii="Times New Roman" w:hAnsi="Times New Roman" w:cs="Times New Roman"/>
        </w:rPr>
        <w:t xml:space="preserve"> an agile solution involves setting up autonomous cross-functional teams of roughly ten persons with a clear purpose/goal, customer orientation and tight deadlines of for example ninety days (McKinsey, 2019). The solution tends to be depicted as non-hierarchical and as breaking down bureaucracy and organizational silos, yet some initial research suggests that the solution itself is quite formal and rules-bound. </w:t>
      </w:r>
    </w:p>
    <w:p w:rsidR="008D37F6" w:rsidRPr="0072649D" w:rsidRDefault="008D37F6" w:rsidP="0076645A">
      <w:pPr>
        <w:pStyle w:val="Heading3"/>
        <w:spacing w:line="480" w:lineRule="auto"/>
        <w:rPr>
          <w:rFonts w:ascii="Times New Roman" w:hAnsi="Times New Roman" w:cs="Times New Roman"/>
        </w:rPr>
      </w:pPr>
      <w:r w:rsidRPr="0072649D">
        <w:rPr>
          <w:rFonts w:ascii="Times New Roman" w:hAnsi="Times New Roman" w:cs="Times New Roman"/>
        </w:rPr>
        <w:t>Spin-outs</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This solution involves complete separation from the established firm through a</w:t>
      </w:r>
      <w:r w:rsidRPr="0072649D">
        <w:rPr>
          <w:rFonts w:ascii="Times New Roman" w:hAnsi="Times New Roman" w:cs="Times New Roman"/>
          <w:i/>
        </w:rPr>
        <w:t xml:space="preserve"> spinout, </w:t>
      </w:r>
      <w:r w:rsidRPr="0072649D">
        <w:rPr>
          <w:rFonts w:ascii="Times New Roman" w:hAnsi="Times New Roman" w:cs="Times New Roman"/>
        </w:rPr>
        <w:t>where a new venture is created. According to Christensen and Overdorf (</w:t>
      </w:r>
      <w:r w:rsidR="00465163" w:rsidRPr="0072649D">
        <w:rPr>
          <w:rFonts w:ascii="Times New Roman" w:hAnsi="Times New Roman" w:cs="Times New Roman"/>
        </w:rPr>
        <w:t>2000),</w:t>
      </w:r>
      <w:r w:rsidRPr="0072649D">
        <w:rPr>
          <w:rFonts w:ascii="Times New Roman" w:hAnsi="Times New Roman" w:cs="Times New Roman"/>
        </w:rPr>
        <w:t xml:space="preserve"> this solution is beneficial if a firm embarks on radical change that requires a different cost structure, such as when an established firm competing in the high-end of a market pursues new opportunities in the low-end of the market. In contrast to the ambidextrous solution, a spinout does not have to compete for resources with the established firm. A recent study of a Norwegian media corporation showed that spinning out products/services that the established firm uses in its core operation can secure innovation while generating both cost savings and quality improvements (Harlan, 2018). </w:t>
      </w:r>
    </w:p>
    <w:p w:rsidR="008D37F6" w:rsidRPr="0072649D" w:rsidRDefault="008D37F6" w:rsidP="00C77F36">
      <w:pPr>
        <w:pStyle w:val="Heading3"/>
      </w:pPr>
      <w:r w:rsidRPr="0072649D">
        <w:lastRenderedPageBreak/>
        <w:t>Acquisitions</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 xml:space="preserve">This solution involves securing radical change by </w:t>
      </w:r>
      <w:r w:rsidRPr="0072649D">
        <w:rPr>
          <w:rFonts w:ascii="Times New Roman" w:hAnsi="Times New Roman" w:cs="Times New Roman"/>
          <w:i/>
        </w:rPr>
        <w:t>acquiring a firm</w:t>
      </w:r>
      <w:r w:rsidRPr="0072649D">
        <w:rPr>
          <w:rFonts w:ascii="Times New Roman" w:hAnsi="Times New Roman" w:cs="Times New Roman"/>
          <w:b/>
        </w:rPr>
        <w:t xml:space="preserve"> </w:t>
      </w:r>
      <w:r w:rsidRPr="0072649D">
        <w:rPr>
          <w:rFonts w:ascii="Times New Roman" w:hAnsi="Times New Roman" w:cs="Times New Roman"/>
        </w:rPr>
        <w:t xml:space="preserve">that possesses innovative and explorative capabilities (Christensen &amp; Overdorf, 2000). This allows the firm to rapidly obtain necessary capabilities, but it also requires competence in organizational integration, as well as knowledge about when to avoid tight integration, as this may stifle the very capabilities deemed as valuable. </w:t>
      </w:r>
    </w:p>
    <w:p w:rsidR="008D37F6" w:rsidRPr="0072649D" w:rsidRDefault="008D37F6" w:rsidP="0076645A">
      <w:pPr>
        <w:pStyle w:val="Heading3"/>
        <w:spacing w:line="480" w:lineRule="auto"/>
        <w:rPr>
          <w:rFonts w:ascii="Times New Roman" w:hAnsi="Times New Roman" w:cs="Times New Roman"/>
        </w:rPr>
      </w:pPr>
      <w:r w:rsidRPr="0072649D">
        <w:rPr>
          <w:rFonts w:ascii="Times New Roman" w:hAnsi="Times New Roman" w:cs="Times New Roman"/>
        </w:rPr>
        <w:t>Ecosystems</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i/>
        </w:rPr>
        <w:t xml:space="preserve"> </w:t>
      </w:r>
      <w:r w:rsidRPr="0072649D">
        <w:rPr>
          <w:rFonts w:ascii="Times New Roman" w:hAnsi="Times New Roman" w:cs="Times New Roman"/>
        </w:rPr>
        <w:t>In broad terms, ecosystems are groups of firms that produce products or services that together comprise a coherent solution (Adner, 2017). More precisely, after conducting a systematic review of ecosystems research, Bogers, Sims &amp; West, (2019:2) propose that, “an ecosystem is an interdependent network of self-interested actors jointly creating value.</w:t>
      </w:r>
      <w:r w:rsidRPr="0072649D">
        <w:rPr>
          <w:rFonts w:ascii="Times New Roman" w:eastAsia="TimesNewRoman" w:hAnsi="Times New Roman" w:cs="Times New Roman"/>
        </w:rPr>
        <w:t xml:space="preserve"> T</w:t>
      </w:r>
      <w:r w:rsidRPr="0072649D">
        <w:rPr>
          <w:rFonts w:ascii="Times New Roman" w:hAnsi="Times New Roman" w:cs="Times New Roman"/>
        </w:rPr>
        <w:t xml:space="preserve">his definition includes four components, linking three operational constructs </w:t>
      </w:r>
      <w:r w:rsidRPr="0072649D">
        <w:rPr>
          <w:rFonts w:ascii="Times New Roman" w:eastAsia="TimesNewRoman" w:hAnsi="Times New Roman" w:cs="Times New Roman"/>
        </w:rPr>
        <w:t xml:space="preserve">— </w:t>
      </w:r>
      <w:r w:rsidRPr="0072649D">
        <w:rPr>
          <w:rFonts w:ascii="Times New Roman" w:hAnsi="Times New Roman" w:cs="Times New Roman"/>
        </w:rPr>
        <w:t xml:space="preserve">interdependence, network and self-interested actors </w:t>
      </w:r>
      <w:r w:rsidRPr="0072649D">
        <w:rPr>
          <w:rFonts w:ascii="Times New Roman" w:eastAsia="TimesNewRoman" w:hAnsi="Times New Roman" w:cs="Times New Roman"/>
        </w:rPr>
        <w:t xml:space="preserve">— </w:t>
      </w:r>
      <w:r w:rsidRPr="0072649D">
        <w:rPr>
          <w:rFonts w:ascii="Times New Roman" w:hAnsi="Times New Roman" w:cs="Times New Roman"/>
        </w:rPr>
        <w:t>to the most commonly described success criterion for an ecosystem: to jointly create value in a way that no single actor would be able to do.”</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color w:val="222222"/>
        </w:rPr>
        <w:t>Li, Chen, Yi, Mao and Liao</w:t>
      </w:r>
      <w:r w:rsidRPr="0072649D">
        <w:rPr>
          <w:rFonts w:ascii="Times New Roman" w:hAnsi="Times New Roman" w:cs="Times New Roman"/>
        </w:rPr>
        <w:t xml:space="preserve"> (2019) argue that the ecosystem perspective is particularly applicable to digital platform organization structures where ﬁrms from different industries specialize in different domains of expertise such as hardware devices, networks, software services, or content.  Their view is that: </w:t>
      </w:r>
    </w:p>
    <w:p w:rsidR="008D37F6" w:rsidRPr="0072649D" w:rsidRDefault="008D37F6" w:rsidP="00B34A00">
      <w:pPr>
        <w:spacing w:line="480" w:lineRule="auto"/>
        <w:ind w:left="720" w:firstLine="0"/>
        <w:rPr>
          <w:rFonts w:ascii="Times New Roman" w:hAnsi="Times New Roman" w:cs="Times New Roman"/>
        </w:rPr>
      </w:pPr>
      <w:r w:rsidRPr="0072649D">
        <w:rPr>
          <w:rFonts w:ascii="Times New Roman" w:hAnsi="Times New Roman" w:cs="Times New Roman"/>
        </w:rPr>
        <w:t xml:space="preserve">“The platform ﬁrm coordinates the activities of the ecosystem participants via loosely coupled cooperative relationships </w:t>
      </w:r>
      <w:r w:rsidR="00106951" w:rsidRPr="0072649D">
        <w:rPr>
          <w:rFonts w:ascii="Times New Roman" w:hAnsi="Times New Roman" w:cs="Times New Roman"/>
        </w:rPr>
        <w:t>centred</w:t>
      </w:r>
      <w:r w:rsidRPr="0072649D">
        <w:rPr>
          <w:rFonts w:ascii="Times New Roman" w:hAnsi="Times New Roman" w:cs="Times New Roman"/>
        </w:rPr>
        <w:t xml:space="preserve"> on the platform (Kapo</w:t>
      </w:r>
      <w:r w:rsidR="00813D7A" w:rsidRPr="0072649D">
        <w:rPr>
          <w:rFonts w:ascii="Times New Roman" w:hAnsi="Times New Roman" w:cs="Times New Roman"/>
        </w:rPr>
        <w:t xml:space="preserve">or &amp; Agarwal, 2017; </w:t>
      </w:r>
      <w:r w:rsidR="00813D7A" w:rsidRPr="0072649D">
        <w:rPr>
          <w:rFonts w:ascii="Times New Roman" w:hAnsi="Times New Roman" w:cs="Times New Roman"/>
        </w:rPr>
        <w:lastRenderedPageBreak/>
        <w:t>Tiwana, 2014</w:t>
      </w:r>
      <w:r w:rsidRPr="0072649D">
        <w:rPr>
          <w:rFonts w:ascii="Times New Roman" w:hAnsi="Times New Roman" w:cs="Times New Roman"/>
        </w:rPr>
        <w:t>). The internationalization of digital platforms largely depends on whether platforms can attract ecosystem participants in local markets and align their goals with those of the platform (Ojala, Evers, &amp; Rialp, 2018)… We view ecosystems as a governance mechanism for cooperative relationships.”   (Li et al., 2019:1453)</w:t>
      </w:r>
    </w:p>
    <w:p w:rsidR="008D37F6" w:rsidRPr="0072649D" w:rsidRDefault="008D37F6" w:rsidP="0076645A">
      <w:pPr>
        <w:spacing w:line="480" w:lineRule="auto"/>
        <w:rPr>
          <w:rFonts w:ascii="Times New Roman" w:hAnsi="Times New Roman" w:cs="Times New Roman"/>
        </w:rPr>
      </w:pPr>
    </w:p>
    <w:p w:rsidR="00F406C9" w:rsidRPr="0072649D" w:rsidRDefault="008D37F6" w:rsidP="0076645A">
      <w:pPr>
        <w:pStyle w:val="Heading3"/>
        <w:spacing w:line="480" w:lineRule="auto"/>
        <w:rPr>
          <w:rFonts w:ascii="Times New Roman" w:hAnsi="Times New Roman" w:cs="Times New Roman"/>
        </w:rPr>
      </w:pPr>
      <w:r w:rsidRPr="0072649D">
        <w:rPr>
          <w:rFonts w:ascii="Times New Roman" w:hAnsi="Times New Roman" w:cs="Times New Roman"/>
        </w:rPr>
        <w:t>Legacy removal</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 xml:space="preserve">Elter et al. (2019) define legacy removal as “a managerial dynamic capability that implies an understanding of which current resources are not core for the new environment and which ones managers need to transform or adapt.” </w:t>
      </w:r>
      <w:r w:rsidR="003240FF" w:rsidRPr="0072649D">
        <w:rPr>
          <w:rFonts w:ascii="Times New Roman" w:hAnsi="Times New Roman" w:cs="Times New Roman"/>
        </w:rPr>
        <w:t xml:space="preserve">With reference to the current </w:t>
      </w:r>
      <w:r w:rsidR="00D50454" w:rsidRPr="0072649D">
        <w:rPr>
          <w:rFonts w:ascii="Times New Roman" w:hAnsi="Times New Roman" w:cs="Times New Roman"/>
        </w:rPr>
        <w:t>MNMTC</w:t>
      </w:r>
      <w:r w:rsidRPr="0072649D">
        <w:rPr>
          <w:rFonts w:ascii="Times New Roman" w:hAnsi="Times New Roman" w:cs="Times New Roman"/>
        </w:rPr>
        <w:t xml:space="preserve"> industry, </w:t>
      </w:r>
      <w:r w:rsidRPr="0072649D">
        <w:rPr>
          <w:rStyle w:val="source"/>
          <w:rFonts w:ascii="Times New Roman" w:hAnsi="Times New Roman" w:cs="Times New Roman"/>
          <w:iCs/>
        </w:rPr>
        <w:t>Poulus (2019) observes</w:t>
      </w:r>
      <w:r w:rsidR="003240FF" w:rsidRPr="0072649D">
        <w:rPr>
          <w:rStyle w:val="source"/>
          <w:rFonts w:ascii="Times New Roman" w:hAnsi="Times New Roman" w:cs="Times New Roman"/>
          <w:iCs/>
        </w:rPr>
        <w:t xml:space="preserve"> that m</w:t>
      </w:r>
      <w:r w:rsidRPr="0072649D">
        <w:rPr>
          <w:rFonts w:ascii="Times New Roman" w:hAnsi="Times New Roman" w:cs="Times New Roman"/>
        </w:rPr>
        <w:t xml:space="preserve">ore and more </w:t>
      </w:r>
      <w:r w:rsidR="00D50454" w:rsidRPr="0072649D">
        <w:rPr>
          <w:rFonts w:ascii="Times New Roman" w:hAnsi="Times New Roman" w:cs="Times New Roman"/>
        </w:rPr>
        <w:t>MNMTC</w:t>
      </w:r>
      <w:r w:rsidR="003240FF" w:rsidRPr="0072649D">
        <w:rPr>
          <w:rFonts w:ascii="Times New Roman" w:hAnsi="Times New Roman" w:cs="Times New Roman"/>
        </w:rPr>
        <w:t xml:space="preserve">s </w:t>
      </w:r>
      <w:r w:rsidRPr="0072649D">
        <w:rPr>
          <w:rFonts w:ascii="Times New Roman" w:hAnsi="Times New Roman" w:cs="Times New Roman"/>
        </w:rPr>
        <w:t xml:space="preserve">are </w:t>
      </w:r>
      <w:r w:rsidR="003240FF" w:rsidRPr="0072649D">
        <w:rPr>
          <w:rFonts w:ascii="Times New Roman" w:hAnsi="Times New Roman" w:cs="Times New Roman"/>
        </w:rPr>
        <w:t xml:space="preserve">defining their passive infrastructures as non-core and are </w:t>
      </w:r>
      <w:r w:rsidRPr="0072649D">
        <w:rPr>
          <w:rFonts w:ascii="Times New Roman" w:hAnsi="Times New Roman" w:cs="Times New Roman"/>
        </w:rPr>
        <w:t xml:space="preserve">looking at selling parts </w:t>
      </w:r>
      <w:r w:rsidR="003240FF" w:rsidRPr="0072649D">
        <w:rPr>
          <w:rFonts w:ascii="Times New Roman" w:hAnsi="Times New Roman" w:cs="Times New Roman"/>
        </w:rPr>
        <w:t>of th</w:t>
      </w:r>
      <w:r w:rsidR="00DB7EE7" w:rsidRPr="0072649D">
        <w:rPr>
          <w:rFonts w:ascii="Times New Roman" w:hAnsi="Times New Roman" w:cs="Times New Roman"/>
        </w:rPr>
        <w:t>is</w:t>
      </w:r>
      <w:r w:rsidR="003240FF" w:rsidRPr="0072649D">
        <w:rPr>
          <w:rFonts w:ascii="Times New Roman" w:hAnsi="Times New Roman" w:cs="Times New Roman"/>
        </w:rPr>
        <w:t xml:space="preserve">, not least mobile towers. </w:t>
      </w:r>
      <w:r w:rsidR="00DB7EE7" w:rsidRPr="0072649D">
        <w:rPr>
          <w:rFonts w:ascii="Times New Roman" w:hAnsi="Times New Roman" w:cs="Times New Roman"/>
        </w:rPr>
        <w:t xml:space="preserve">This does not appear to be resulting in substantial resistance. However, Elter et al. argue that there may be </w:t>
      </w:r>
      <w:r w:rsidR="003240FF" w:rsidRPr="0072649D">
        <w:rPr>
          <w:rFonts w:ascii="Times New Roman" w:hAnsi="Times New Roman" w:cs="Times New Roman"/>
        </w:rPr>
        <w:t>a political component to legacy removal</w:t>
      </w:r>
      <w:r w:rsidR="00DB7EE7" w:rsidRPr="0072649D">
        <w:rPr>
          <w:rFonts w:ascii="Times New Roman" w:hAnsi="Times New Roman" w:cs="Times New Roman"/>
        </w:rPr>
        <w:t>. D</w:t>
      </w:r>
      <w:r w:rsidR="003240FF" w:rsidRPr="0072649D">
        <w:rPr>
          <w:rFonts w:ascii="Times New Roman" w:hAnsi="Times New Roman" w:cs="Times New Roman"/>
        </w:rPr>
        <w:t xml:space="preserve">ealing with </w:t>
      </w:r>
      <w:r w:rsidR="00DB7EE7" w:rsidRPr="0072649D">
        <w:rPr>
          <w:rFonts w:ascii="Times New Roman" w:hAnsi="Times New Roman" w:cs="Times New Roman"/>
        </w:rPr>
        <w:t xml:space="preserve">negatively </w:t>
      </w:r>
      <w:r w:rsidR="003240FF" w:rsidRPr="0072649D">
        <w:rPr>
          <w:rFonts w:ascii="Times New Roman" w:hAnsi="Times New Roman" w:cs="Times New Roman"/>
        </w:rPr>
        <w:t>affected stakeholders</w:t>
      </w:r>
      <w:r w:rsidR="00106951" w:rsidRPr="0072649D">
        <w:rPr>
          <w:rFonts w:ascii="Times New Roman" w:hAnsi="Times New Roman" w:cs="Times New Roman"/>
        </w:rPr>
        <w:t xml:space="preserve"> – </w:t>
      </w:r>
      <w:r w:rsidR="003240FF" w:rsidRPr="0072649D">
        <w:rPr>
          <w:rFonts w:ascii="Times New Roman" w:hAnsi="Times New Roman" w:cs="Times New Roman"/>
        </w:rPr>
        <w:t>employees, other managers, trade unions, politicians and so on</w:t>
      </w:r>
      <w:r w:rsidR="00DB7EE7" w:rsidRPr="0072649D">
        <w:rPr>
          <w:rFonts w:ascii="Times New Roman" w:hAnsi="Times New Roman" w:cs="Times New Roman"/>
        </w:rPr>
        <w:t xml:space="preserve"> – may be challenging and could </w:t>
      </w:r>
      <w:r w:rsidR="003240FF" w:rsidRPr="0072649D">
        <w:rPr>
          <w:rFonts w:ascii="Times New Roman" w:hAnsi="Times New Roman" w:cs="Times New Roman"/>
        </w:rPr>
        <w:t>compromise current performance.</w:t>
      </w:r>
    </w:p>
    <w:p w:rsidR="008F5079" w:rsidRPr="0072649D" w:rsidRDefault="00264C7C" w:rsidP="00DC1662">
      <w:pPr>
        <w:pStyle w:val="Heading2"/>
      </w:pPr>
      <w:r w:rsidRPr="0072649D">
        <w:t xml:space="preserve">Radical </w:t>
      </w:r>
      <w:r w:rsidR="00A93059" w:rsidRPr="0072649D">
        <w:t>Change</w:t>
      </w:r>
      <w:r w:rsidR="008F5079" w:rsidRPr="0072649D">
        <w:t xml:space="preserve"> at Telenor</w:t>
      </w:r>
    </w:p>
    <w:p w:rsidR="008F5079" w:rsidRPr="0072649D" w:rsidRDefault="008F5079" w:rsidP="0076645A">
      <w:pPr>
        <w:spacing w:line="480" w:lineRule="auto"/>
        <w:rPr>
          <w:rFonts w:ascii="Times New Roman" w:hAnsi="Times New Roman" w:cs="Times New Roman"/>
        </w:rPr>
      </w:pPr>
      <w:r w:rsidRPr="0072649D">
        <w:rPr>
          <w:rFonts w:ascii="Times New Roman" w:hAnsi="Times New Roman" w:cs="Times New Roman"/>
        </w:rPr>
        <w:t xml:space="preserve">In this study, we examine the organizational solutions employed in two cases of radical technology-driven transformation at the Norwegian multinational enterprise (MNE), Telenor. The first case is historical and involves Telenor’s forced transformation in the 1990s from a monopoly fixed-line telephony operator to a mobile </w:t>
      </w:r>
      <w:r w:rsidR="00D50454" w:rsidRPr="0072649D">
        <w:rPr>
          <w:rFonts w:ascii="Times New Roman" w:hAnsi="Times New Roman" w:cs="Times New Roman"/>
        </w:rPr>
        <w:t>MNMTC</w:t>
      </w:r>
      <w:r w:rsidRPr="0072649D">
        <w:rPr>
          <w:rFonts w:ascii="Times New Roman" w:hAnsi="Times New Roman" w:cs="Times New Roman"/>
        </w:rPr>
        <w:t xml:space="preserve"> in a competitive environment. </w:t>
      </w:r>
      <w:r w:rsidR="005522C0" w:rsidRPr="0072649D">
        <w:rPr>
          <w:rFonts w:ascii="Times New Roman" w:hAnsi="Times New Roman" w:cs="Times New Roman"/>
        </w:rPr>
        <w:lastRenderedPageBreak/>
        <w:t xml:space="preserve">However, between 1995 and 2000 although </w:t>
      </w:r>
      <w:r w:rsidR="00B10B48" w:rsidRPr="0072649D">
        <w:rPr>
          <w:rFonts w:ascii="Times New Roman" w:hAnsi="Times New Roman" w:cs="Times New Roman"/>
        </w:rPr>
        <w:t xml:space="preserve">at that point </w:t>
      </w:r>
      <w:r w:rsidR="005522C0" w:rsidRPr="0072649D">
        <w:rPr>
          <w:rFonts w:ascii="Times New Roman" w:hAnsi="Times New Roman" w:cs="Times New Roman"/>
        </w:rPr>
        <w:t xml:space="preserve">formally an independent company, Telenor was able to continue to draw on the resources of its owner, the Norwegian state. </w:t>
      </w:r>
      <w:r w:rsidRPr="0072649D">
        <w:rPr>
          <w:rFonts w:ascii="Times New Roman" w:hAnsi="Times New Roman" w:cs="Times New Roman"/>
        </w:rPr>
        <w:t>Th</w:t>
      </w:r>
      <w:r w:rsidR="005522C0" w:rsidRPr="0072649D">
        <w:rPr>
          <w:rFonts w:ascii="Times New Roman" w:hAnsi="Times New Roman" w:cs="Times New Roman"/>
        </w:rPr>
        <w:t xml:space="preserve">e </w:t>
      </w:r>
      <w:r w:rsidRPr="0072649D">
        <w:rPr>
          <w:rFonts w:ascii="Times New Roman" w:hAnsi="Times New Roman" w:cs="Times New Roman"/>
        </w:rPr>
        <w:t>development</w:t>
      </w:r>
      <w:r w:rsidR="005522C0" w:rsidRPr="0072649D">
        <w:rPr>
          <w:rFonts w:ascii="Times New Roman" w:hAnsi="Times New Roman" w:cs="Times New Roman"/>
        </w:rPr>
        <w:t>s that took place in this era prior to becoming a listed company in 2000</w:t>
      </w:r>
      <w:r w:rsidRPr="0072649D">
        <w:rPr>
          <w:rFonts w:ascii="Times New Roman" w:hAnsi="Times New Roman" w:cs="Times New Roman"/>
        </w:rPr>
        <w:t xml:space="preserve"> </w:t>
      </w:r>
      <w:r w:rsidR="00B10B48" w:rsidRPr="0072649D">
        <w:rPr>
          <w:rFonts w:ascii="Times New Roman" w:hAnsi="Times New Roman" w:cs="Times New Roman"/>
        </w:rPr>
        <w:t xml:space="preserve">and being subject to new EU competition legislation </w:t>
      </w:r>
      <w:r w:rsidRPr="0072649D">
        <w:rPr>
          <w:rFonts w:ascii="Times New Roman" w:hAnsi="Times New Roman" w:cs="Times New Roman"/>
        </w:rPr>
        <w:t>laid the foundations for Telenor’s successful transformation from a domestic operation</w:t>
      </w:r>
      <w:r w:rsidR="005522C0" w:rsidRPr="0072649D">
        <w:rPr>
          <w:rFonts w:ascii="Times New Roman" w:hAnsi="Times New Roman" w:cs="Times New Roman"/>
        </w:rPr>
        <w:t xml:space="preserve"> into a MNMTC </w:t>
      </w:r>
      <w:r w:rsidRPr="0072649D">
        <w:rPr>
          <w:rFonts w:ascii="Times New Roman" w:hAnsi="Times New Roman" w:cs="Times New Roman"/>
        </w:rPr>
        <w:t xml:space="preserve">with business units in Scandinavia, central Europe and south East Asia. </w:t>
      </w:r>
    </w:p>
    <w:p w:rsidR="00E04F00" w:rsidRPr="0072649D" w:rsidRDefault="008F5079" w:rsidP="00E04F00">
      <w:pPr>
        <w:spacing w:line="480" w:lineRule="auto"/>
        <w:rPr>
          <w:rFonts w:ascii="Times New Roman" w:hAnsi="Times New Roman" w:cs="Times New Roman"/>
        </w:rPr>
      </w:pPr>
      <w:r w:rsidRPr="0072649D">
        <w:rPr>
          <w:rFonts w:ascii="Times New Roman" w:hAnsi="Times New Roman" w:cs="Times New Roman"/>
        </w:rPr>
        <w:t>The second case is ongoing and involve</w:t>
      </w:r>
      <w:r w:rsidR="005522C0" w:rsidRPr="0072649D">
        <w:rPr>
          <w:rFonts w:ascii="Times New Roman" w:hAnsi="Times New Roman" w:cs="Times New Roman"/>
        </w:rPr>
        <w:t>s</w:t>
      </w:r>
      <w:r w:rsidRPr="0072649D">
        <w:rPr>
          <w:rFonts w:ascii="Times New Roman" w:hAnsi="Times New Roman" w:cs="Times New Roman"/>
        </w:rPr>
        <w:t xml:space="preserve"> a </w:t>
      </w:r>
      <w:r w:rsidR="008F1808" w:rsidRPr="0072649D">
        <w:rPr>
          <w:rFonts w:ascii="Times New Roman" w:hAnsi="Times New Roman" w:cs="Times New Roman"/>
        </w:rPr>
        <w:t>pre-emptive</w:t>
      </w:r>
      <w:r w:rsidRPr="0072649D">
        <w:rPr>
          <w:rFonts w:ascii="Times New Roman" w:hAnsi="Times New Roman" w:cs="Times New Roman"/>
        </w:rPr>
        <w:t xml:space="preserve"> effort by Telenor to go beyond being a provider of connectivity to </w:t>
      </w:r>
      <w:r w:rsidR="008534C9" w:rsidRPr="0072649D">
        <w:rPr>
          <w:rFonts w:ascii="Times New Roman" w:hAnsi="Times New Roman" w:cs="Times New Roman"/>
        </w:rPr>
        <w:t xml:space="preserve">being </w:t>
      </w:r>
      <w:r w:rsidRPr="0072649D">
        <w:rPr>
          <w:rFonts w:ascii="Times New Roman" w:hAnsi="Times New Roman" w:cs="Times New Roman"/>
        </w:rPr>
        <w:t>a provider of digital services and content</w:t>
      </w:r>
      <w:r w:rsidR="00F8118B" w:rsidRPr="0072649D">
        <w:rPr>
          <w:rFonts w:ascii="Times New Roman" w:hAnsi="Times New Roman" w:cs="Times New Roman"/>
        </w:rPr>
        <w:t xml:space="preserve">. </w:t>
      </w:r>
      <w:r w:rsidR="00E04F00" w:rsidRPr="0072649D">
        <w:rPr>
          <w:rFonts w:ascii="Times New Roman" w:hAnsi="Times New Roman" w:cs="Times New Roman"/>
        </w:rPr>
        <w:t>By digital services</w:t>
      </w:r>
      <w:r w:rsidR="00E04F00" w:rsidRPr="0072649D">
        <w:rPr>
          <w:rFonts w:ascii="Times New Roman" w:hAnsi="Times New Roman" w:cs="Times New Roman"/>
          <w:i/>
        </w:rPr>
        <w:t>,</w:t>
      </w:r>
      <w:r w:rsidR="00E04F00" w:rsidRPr="0072649D">
        <w:rPr>
          <w:rFonts w:ascii="Times New Roman" w:hAnsi="Times New Roman" w:cs="Times New Roman"/>
        </w:rPr>
        <w:t xml:space="preserve"> we mean services that are developed with software and that uses the internet as infrastructure for distribution and transmission of information. By digital content</w:t>
      </w:r>
      <w:r w:rsidR="00E04F00" w:rsidRPr="0072649D">
        <w:rPr>
          <w:rFonts w:ascii="Times New Roman" w:hAnsi="Times New Roman" w:cs="Times New Roman"/>
          <w:i/>
        </w:rPr>
        <w:t>,</w:t>
      </w:r>
      <w:r w:rsidR="00E04F00" w:rsidRPr="0072649D">
        <w:rPr>
          <w:rFonts w:ascii="Times New Roman" w:hAnsi="Times New Roman" w:cs="Times New Roman"/>
        </w:rPr>
        <w:t xml:space="preserve"> we mean video, sound, text and pictures that use the internet to be distributed on demand (that is uni-casting opposed to multi-casting as is used for broadcasting of TV content). It is future looking and comprises a number of initiatives that aim at equipping Telenor for the impending 5G era.  It is noteworthy that the network technologies utilized to offer voice, messaging and connec</w:t>
      </w:r>
      <w:r w:rsidR="007E4528" w:rsidRPr="0072649D">
        <w:rPr>
          <w:rFonts w:ascii="Times New Roman" w:hAnsi="Times New Roman" w:cs="Times New Roman"/>
        </w:rPr>
        <w:t>tivity historically involved on premise</w:t>
      </w:r>
      <w:r w:rsidR="00E04F00" w:rsidRPr="0072649D">
        <w:rPr>
          <w:rFonts w:ascii="Times New Roman" w:hAnsi="Times New Roman" w:cs="Times New Roman"/>
        </w:rPr>
        <w:t xml:space="preserve"> hardware with proprietary software technology. The new generation telco-technology architecture </w:t>
      </w:r>
      <w:r w:rsidR="007E4528" w:rsidRPr="0072649D">
        <w:rPr>
          <w:rFonts w:ascii="Times New Roman" w:hAnsi="Times New Roman" w:cs="Times New Roman"/>
        </w:rPr>
        <w:t xml:space="preserve">available in </w:t>
      </w:r>
      <w:r w:rsidR="00E04F00" w:rsidRPr="0072649D">
        <w:rPr>
          <w:rFonts w:ascii="Times New Roman" w:hAnsi="Times New Roman" w:cs="Times New Roman"/>
        </w:rPr>
        <w:t xml:space="preserve">recent years </w:t>
      </w:r>
      <w:r w:rsidR="007E4528" w:rsidRPr="0072649D">
        <w:rPr>
          <w:rFonts w:ascii="Times New Roman" w:hAnsi="Times New Roman" w:cs="Times New Roman"/>
        </w:rPr>
        <w:t xml:space="preserve">has adopted </w:t>
      </w:r>
      <w:r w:rsidR="00E04F00" w:rsidRPr="0072649D">
        <w:rPr>
          <w:rFonts w:ascii="Times New Roman" w:hAnsi="Times New Roman" w:cs="Times New Roman"/>
        </w:rPr>
        <w:t>principles from the IT industry and int</w:t>
      </w:r>
      <w:r w:rsidR="007E4528" w:rsidRPr="0072649D">
        <w:rPr>
          <w:rFonts w:ascii="Times New Roman" w:hAnsi="Times New Roman" w:cs="Times New Roman"/>
        </w:rPr>
        <w:t xml:space="preserve">ernet cloud-technologies that </w:t>
      </w:r>
      <w:r w:rsidR="00E04F00" w:rsidRPr="0072649D">
        <w:rPr>
          <w:rFonts w:ascii="Times New Roman" w:hAnsi="Times New Roman" w:cs="Times New Roman"/>
        </w:rPr>
        <w:t xml:space="preserve">separates the hardware and software layers and allow services to be developed by software. </w:t>
      </w:r>
    </w:p>
    <w:p w:rsidR="00FD7606" w:rsidRPr="0072649D" w:rsidRDefault="00B10B48" w:rsidP="0076645A">
      <w:pPr>
        <w:spacing w:line="480" w:lineRule="auto"/>
        <w:rPr>
          <w:rFonts w:ascii="Times New Roman" w:hAnsi="Times New Roman" w:cs="Times New Roman"/>
        </w:rPr>
      </w:pPr>
      <w:r w:rsidRPr="0072649D">
        <w:rPr>
          <w:rFonts w:ascii="Times New Roman" w:hAnsi="Times New Roman" w:cs="Times New Roman"/>
        </w:rPr>
        <w:t>Th</w:t>
      </w:r>
      <w:r w:rsidR="00AD4601" w:rsidRPr="0072649D">
        <w:rPr>
          <w:rFonts w:ascii="Times New Roman" w:hAnsi="Times New Roman" w:cs="Times New Roman"/>
        </w:rPr>
        <w:t xml:space="preserve">e decision to transform Telenor to a digital services and content provider was </w:t>
      </w:r>
      <w:r w:rsidR="00FD7606" w:rsidRPr="0072649D">
        <w:rPr>
          <w:rFonts w:ascii="Times New Roman" w:hAnsi="Times New Roman" w:cs="Times New Roman"/>
        </w:rPr>
        <w:t xml:space="preserve">taken by </w:t>
      </w:r>
      <w:r w:rsidR="008F5079" w:rsidRPr="0072649D">
        <w:rPr>
          <w:rFonts w:ascii="Times New Roman" w:hAnsi="Times New Roman" w:cs="Times New Roman"/>
        </w:rPr>
        <w:t xml:space="preserve">Sigve Brekke </w:t>
      </w:r>
      <w:r w:rsidR="00FD7606" w:rsidRPr="0072649D">
        <w:rPr>
          <w:rFonts w:ascii="Times New Roman" w:hAnsi="Times New Roman" w:cs="Times New Roman"/>
        </w:rPr>
        <w:t xml:space="preserve">in early 2016 </w:t>
      </w:r>
      <w:r w:rsidR="008F5079" w:rsidRPr="0072649D">
        <w:rPr>
          <w:rFonts w:ascii="Times New Roman" w:hAnsi="Times New Roman" w:cs="Times New Roman"/>
        </w:rPr>
        <w:t>after six months into his</w:t>
      </w:r>
      <w:r w:rsidR="00FD7606" w:rsidRPr="0072649D">
        <w:rPr>
          <w:rFonts w:ascii="Times New Roman" w:hAnsi="Times New Roman" w:cs="Times New Roman"/>
        </w:rPr>
        <w:t xml:space="preserve"> new position as CEO of Telenor. He </w:t>
      </w:r>
      <w:r w:rsidR="008F5079" w:rsidRPr="0072649D">
        <w:rPr>
          <w:rFonts w:ascii="Times New Roman" w:hAnsi="Times New Roman" w:cs="Times New Roman"/>
        </w:rPr>
        <w:t xml:space="preserve">stated: </w:t>
      </w:r>
    </w:p>
    <w:p w:rsidR="00FD7606" w:rsidRPr="0072649D" w:rsidRDefault="008F5079" w:rsidP="00FD7606">
      <w:pPr>
        <w:spacing w:line="480" w:lineRule="auto"/>
        <w:ind w:left="720" w:firstLine="0"/>
        <w:rPr>
          <w:rFonts w:ascii="Times New Roman" w:hAnsi="Times New Roman" w:cs="Times New Roman"/>
        </w:rPr>
      </w:pPr>
      <w:r w:rsidRPr="0072649D">
        <w:rPr>
          <w:rFonts w:ascii="Times New Roman" w:hAnsi="Times New Roman" w:cs="Times New Roman"/>
        </w:rPr>
        <w:lastRenderedPageBreak/>
        <w:t>“We want to become a more digital service provider. We are going to move from being a mobile operator and into the digital world” (</w:t>
      </w:r>
      <w:r w:rsidRPr="0072649D">
        <w:rPr>
          <w:rFonts w:ascii="Times New Roman" w:hAnsi="Times New Roman" w:cs="Times New Roman"/>
          <w:i/>
        </w:rPr>
        <w:t>Dagens Næringsliv</w:t>
      </w:r>
      <w:r w:rsidRPr="0072649D">
        <w:rPr>
          <w:rFonts w:ascii="Times New Roman" w:hAnsi="Times New Roman" w:cs="Times New Roman"/>
        </w:rPr>
        <w:t xml:space="preserve">, 2016a). </w:t>
      </w:r>
    </w:p>
    <w:p w:rsidR="008F5079" w:rsidRPr="0072649D" w:rsidRDefault="008F5079" w:rsidP="00FD7606">
      <w:pPr>
        <w:spacing w:line="480" w:lineRule="auto"/>
        <w:ind w:firstLine="0"/>
        <w:rPr>
          <w:rFonts w:ascii="Times New Roman" w:hAnsi="Times New Roman" w:cs="Times New Roman"/>
        </w:rPr>
      </w:pPr>
      <w:r w:rsidRPr="0072649D">
        <w:rPr>
          <w:rFonts w:ascii="Times New Roman" w:hAnsi="Times New Roman" w:cs="Times New Roman"/>
        </w:rPr>
        <w:t>This, Brekke further stated, would require “completely different business models” (</w:t>
      </w:r>
      <w:r w:rsidRPr="0072649D">
        <w:rPr>
          <w:rFonts w:ascii="Times New Roman" w:hAnsi="Times New Roman" w:cs="Times New Roman"/>
          <w:i/>
        </w:rPr>
        <w:t>Dagens Næringsliv</w:t>
      </w:r>
      <w:r w:rsidRPr="0072649D">
        <w:rPr>
          <w:rFonts w:ascii="Times New Roman" w:hAnsi="Times New Roman" w:cs="Times New Roman"/>
        </w:rPr>
        <w:t xml:space="preserve">, 2016b). Underlying this call for a new “recipe for success” was an analysis by top management that if Telenor did not develop digital services then its future was that of a utility or dumb-pipe supplying internet connectivity (Dasi et al., 2019). </w:t>
      </w:r>
    </w:p>
    <w:p w:rsidR="008F5079" w:rsidRPr="0072649D" w:rsidRDefault="008F5079" w:rsidP="0076645A">
      <w:pPr>
        <w:spacing w:line="480" w:lineRule="auto"/>
        <w:rPr>
          <w:rFonts w:ascii="Times New Roman" w:hAnsi="Times New Roman" w:cs="Times New Roman"/>
        </w:rPr>
      </w:pPr>
      <w:r w:rsidRPr="0072649D">
        <w:rPr>
          <w:rFonts w:ascii="Times New Roman" w:hAnsi="Times New Roman" w:cs="Times New Roman"/>
        </w:rPr>
        <w:t xml:space="preserve">It became apparent in conducting our study </w:t>
      </w:r>
      <w:r w:rsidR="00FD7606" w:rsidRPr="0072649D">
        <w:rPr>
          <w:rFonts w:ascii="Times New Roman" w:hAnsi="Times New Roman" w:cs="Times New Roman"/>
        </w:rPr>
        <w:t xml:space="preserve">of radical change post-2016 </w:t>
      </w:r>
      <w:r w:rsidRPr="0072649D">
        <w:rPr>
          <w:rFonts w:ascii="Times New Roman" w:hAnsi="Times New Roman" w:cs="Times New Roman"/>
        </w:rPr>
        <w:t xml:space="preserve">that </w:t>
      </w:r>
      <w:r w:rsidR="00FD7606" w:rsidRPr="0072649D">
        <w:rPr>
          <w:rFonts w:ascii="Times New Roman" w:hAnsi="Times New Roman" w:cs="Times New Roman"/>
        </w:rPr>
        <w:t xml:space="preserve">despite employing a variety of organizational solutions that </w:t>
      </w:r>
      <w:r w:rsidRPr="0072649D">
        <w:rPr>
          <w:rFonts w:ascii="Times New Roman" w:hAnsi="Times New Roman" w:cs="Times New Roman"/>
        </w:rPr>
        <w:t xml:space="preserve">Telenor </w:t>
      </w:r>
      <w:r w:rsidR="00FD7606" w:rsidRPr="0072649D">
        <w:rPr>
          <w:rFonts w:ascii="Times New Roman" w:hAnsi="Times New Roman" w:cs="Times New Roman"/>
        </w:rPr>
        <w:t xml:space="preserve">in 2020 is </w:t>
      </w:r>
      <w:r w:rsidR="00B96B06" w:rsidRPr="0072649D">
        <w:rPr>
          <w:rFonts w:ascii="Times New Roman" w:hAnsi="Times New Roman" w:cs="Times New Roman"/>
        </w:rPr>
        <w:t xml:space="preserve">not succeeding with radical transformation. </w:t>
      </w:r>
      <w:r w:rsidRPr="0072649D">
        <w:rPr>
          <w:rFonts w:ascii="Times New Roman" w:hAnsi="Times New Roman" w:cs="Times New Roman"/>
        </w:rPr>
        <w:t xml:space="preserve">Arguably, even more significantly, our study indicates that Telenor </w:t>
      </w:r>
      <w:r w:rsidR="00B96B06" w:rsidRPr="0072649D">
        <w:rPr>
          <w:rFonts w:ascii="Times New Roman" w:hAnsi="Times New Roman" w:cs="Times New Roman"/>
        </w:rPr>
        <w:t>retreated from the ambition of radical transformation after little more than twelve months. On one level, t</w:t>
      </w:r>
      <w:r w:rsidRPr="0072649D">
        <w:rPr>
          <w:rFonts w:ascii="Times New Roman" w:hAnsi="Times New Roman" w:cs="Times New Roman"/>
        </w:rPr>
        <w:t xml:space="preserve">his was because it became apparent </w:t>
      </w:r>
      <w:r w:rsidR="008534C9" w:rsidRPr="0072649D">
        <w:rPr>
          <w:rFonts w:ascii="Times New Roman" w:hAnsi="Times New Roman" w:cs="Times New Roman"/>
        </w:rPr>
        <w:t xml:space="preserve">to management </w:t>
      </w:r>
      <w:r w:rsidRPr="0072649D">
        <w:rPr>
          <w:rFonts w:ascii="Times New Roman" w:hAnsi="Times New Roman" w:cs="Times New Roman"/>
        </w:rPr>
        <w:t xml:space="preserve">that </w:t>
      </w:r>
      <w:r w:rsidR="00B96B06" w:rsidRPr="0072649D">
        <w:rPr>
          <w:rFonts w:ascii="Times New Roman" w:hAnsi="Times New Roman" w:cs="Times New Roman"/>
        </w:rPr>
        <w:t xml:space="preserve">Telenor lacked the </w:t>
      </w:r>
      <w:r w:rsidRPr="0072649D">
        <w:rPr>
          <w:rFonts w:ascii="Times New Roman" w:hAnsi="Times New Roman" w:cs="Times New Roman"/>
        </w:rPr>
        <w:t xml:space="preserve">capabilities required for taking a digital services </w:t>
      </w:r>
      <w:r w:rsidR="00B96B06" w:rsidRPr="0072649D">
        <w:rPr>
          <w:rFonts w:ascii="Times New Roman" w:hAnsi="Times New Roman" w:cs="Times New Roman"/>
        </w:rPr>
        <w:t xml:space="preserve">and content </w:t>
      </w:r>
      <w:r w:rsidRPr="0072649D">
        <w:rPr>
          <w:rFonts w:ascii="Times New Roman" w:hAnsi="Times New Roman" w:cs="Times New Roman"/>
        </w:rPr>
        <w:t>position</w:t>
      </w:r>
      <w:r w:rsidR="00B96B06" w:rsidRPr="0072649D">
        <w:rPr>
          <w:rFonts w:ascii="Times New Roman" w:hAnsi="Times New Roman" w:cs="Times New Roman"/>
        </w:rPr>
        <w:t xml:space="preserve">. However, underlying this is the regulative institutional context in which it currently operates that constrains it from acquiring or developing these capabilities. </w:t>
      </w:r>
      <w:r w:rsidR="008534C9" w:rsidRPr="0072649D">
        <w:rPr>
          <w:rFonts w:ascii="Times New Roman" w:hAnsi="Times New Roman" w:cs="Times New Roman"/>
        </w:rPr>
        <w:t>According to the “rules of the game” (North, 1990) Telenor has to abide by as a listed company</w:t>
      </w:r>
      <w:r w:rsidR="001310E4" w:rsidRPr="0072649D">
        <w:rPr>
          <w:rFonts w:ascii="Times New Roman" w:hAnsi="Times New Roman" w:cs="Times New Roman"/>
        </w:rPr>
        <w:t xml:space="preserve"> in a deregulated market overseen by the EU competition authority (Eliassen &amp; Sjovaag, 1999)</w:t>
      </w:r>
      <w:r w:rsidR="008534C9" w:rsidRPr="0072649D">
        <w:rPr>
          <w:rFonts w:ascii="Times New Roman" w:hAnsi="Times New Roman" w:cs="Times New Roman"/>
        </w:rPr>
        <w:t xml:space="preserve">, the capital investment that the Norwegian state had provided pre-2000 is no longer </w:t>
      </w:r>
      <w:r w:rsidR="00B96B06" w:rsidRPr="0072649D">
        <w:rPr>
          <w:rFonts w:ascii="Times New Roman" w:hAnsi="Times New Roman" w:cs="Times New Roman"/>
        </w:rPr>
        <w:t>accessible</w:t>
      </w:r>
      <w:r w:rsidR="008534C9" w:rsidRPr="0072649D">
        <w:rPr>
          <w:rFonts w:ascii="Times New Roman" w:hAnsi="Times New Roman" w:cs="Times New Roman"/>
        </w:rPr>
        <w:t xml:space="preserve">. Further, the financial markets </w:t>
      </w:r>
      <w:r w:rsidR="00F665A6" w:rsidRPr="0072649D">
        <w:rPr>
          <w:rFonts w:ascii="Times New Roman" w:hAnsi="Times New Roman" w:cs="Times New Roman"/>
        </w:rPr>
        <w:t>are not willing to make long-term investment decisions</w:t>
      </w:r>
      <w:r w:rsidR="003710CF" w:rsidRPr="0072649D">
        <w:rPr>
          <w:rFonts w:ascii="Times New Roman" w:hAnsi="Times New Roman" w:cs="Times New Roman"/>
        </w:rPr>
        <w:t>. B</w:t>
      </w:r>
      <w:r w:rsidRPr="0072649D">
        <w:rPr>
          <w:rFonts w:ascii="Times New Roman" w:hAnsi="Times New Roman" w:cs="Times New Roman"/>
        </w:rPr>
        <w:t>y the end of 2019</w:t>
      </w:r>
      <w:r w:rsidR="00A76B88" w:rsidRPr="0072649D">
        <w:rPr>
          <w:rFonts w:ascii="Times New Roman" w:hAnsi="Times New Roman" w:cs="Times New Roman"/>
        </w:rPr>
        <w:t>, rather than radical transformation</w:t>
      </w:r>
      <w:r w:rsidR="003710CF" w:rsidRPr="0072649D">
        <w:rPr>
          <w:rFonts w:ascii="Times New Roman" w:hAnsi="Times New Roman" w:cs="Times New Roman"/>
        </w:rPr>
        <w:t xml:space="preserve"> Telenor’s ambition had become </w:t>
      </w:r>
      <w:r w:rsidRPr="0072649D">
        <w:rPr>
          <w:rFonts w:ascii="Times New Roman" w:hAnsi="Times New Roman" w:cs="Times New Roman"/>
        </w:rPr>
        <w:t xml:space="preserve">one of “modernizing” the core business through </w:t>
      </w:r>
      <w:r w:rsidR="004D264A" w:rsidRPr="0072649D">
        <w:rPr>
          <w:rFonts w:ascii="Times New Roman" w:hAnsi="Times New Roman" w:cs="Times New Roman"/>
        </w:rPr>
        <w:t xml:space="preserve">legacy removal and </w:t>
      </w:r>
      <w:r w:rsidRPr="0072649D">
        <w:rPr>
          <w:rFonts w:ascii="Times New Roman" w:hAnsi="Times New Roman" w:cs="Times New Roman"/>
        </w:rPr>
        <w:t>the application of new digital technologies</w:t>
      </w:r>
      <w:r w:rsidR="00041D7C" w:rsidRPr="0072649D">
        <w:rPr>
          <w:rFonts w:ascii="Times New Roman" w:hAnsi="Times New Roman" w:cs="Times New Roman"/>
        </w:rPr>
        <w:t xml:space="preserve"> within its </w:t>
      </w:r>
      <w:r w:rsidR="00DD685B" w:rsidRPr="0072649D">
        <w:rPr>
          <w:rFonts w:ascii="Times New Roman" w:hAnsi="Times New Roman" w:cs="Times New Roman"/>
        </w:rPr>
        <w:t xml:space="preserve">established </w:t>
      </w:r>
      <w:r w:rsidR="00041D7C" w:rsidRPr="0072649D">
        <w:rPr>
          <w:rFonts w:ascii="Times New Roman" w:hAnsi="Times New Roman" w:cs="Times New Roman"/>
        </w:rPr>
        <w:t>operations</w:t>
      </w:r>
      <w:r w:rsidRPr="0072649D">
        <w:rPr>
          <w:rFonts w:ascii="Times New Roman" w:hAnsi="Times New Roman" w:cs="Times New Roman"/>
        </w:rPr>
        <w:t>. T</w:t>
      </w:r>
      <w:r w:rsidR="008534C9" w:rsidRPr="0072649D">
        <w:rPr>
          <w:rFonts w:ascii="Times New Roman" w:hAnsi="Times New Roman" w:cs="Times New Roman"/>
        </w:rPr>
        <w:t xml:space="preserve">elenor’s reasoning </w:t>
      </w:r>
      <w:r w:rsidR="0010708E" w:rsidRPr="0072649D">
        <w:rPr>
          <w:rFonts w:ascii="Times New Roman" w:hAnsi="Times New Roman" w:cs="Times New Roman"/>
        </w:rPr>
        <w:t xml:space="preserve">is that </w:t>
      </w:r>
      <w:r w:rsidRPr="0072649D">
        <w:rPr>
          <w:rFonts w:ascii="Times New Roman" w:hAnsi="Times New Roman" w:cs="Times New Roman"/>
        </w:rPr>
        <w:t xml:space="preserve">business model “modernization” </w:t>
      </w:r>
      <w:r w:rsidR="00A76B88" w:rsidRPr="0072649D">
        <w:rPr>
          <w:rFonts w:ascii="Times New Roman" w:hAnsi="Times New Roman" w:cs="Times New Roman"/>
        </w:rPr>
        <w:t xml:space="preserve">will enable it to enter into </w:t>
      </w:r>
      <w:r w:rsidRPr="0072649D">
        <w:rPr>
          <w:rFonts w:ascii="Times New Roman" w:hAnsi="Times New Roman" w:cs="Times New Roman"/>
        </w:rPr>
        <w:t>partners</w:t>
      </w:r>
      <w:r w:rsidR="00A76B88" w:rsidRPr="0072649D">
        <w:rPr>
          <w:rFonts w:ascii="Times New Roman" w:hAnsi="Times New Roman" w:cs="Times New Roman"/>
        </w:rPr>
        <w:t>hips</w:t>
      </w:r>
      <w:r w:rsidRPr="0072649D">
        <w:rPr>
          <w:rFonts w:ascii="Times New Roman" w:hAnsi="Times New Roman" w:cs="Times New Roman"/>
        </w:rPr>
        <w:t xml:space="preserve"> and new eco-systems.   </w:t>
      </w:r>
    </w:p>
    <w:p w:rsidR="008F5079" w:rsidRPr="0072649D" w:rsidRDefault="0010708E" w:rsidP="0076645A">
      <w:pPr>
        <w:spacing w:line="480" w:lineRule="auto"/>
        <w:rPr>
          <w:rFonts w:ascii="Times New Roman" w:hAnsi="Times New Roman" w:cs="Times New Roman"/>
        </w:rPr>
      </w:pPr>
      <w:r w:rsidRPr="0072649D">
        <w:rPr>
          <w:rFonts w:ascii="Times New Roman" w:hAnsi="Times New Roman" w:cs="Times New Roman"/>
        </w:rPr>
        <w:lastRenderedPageBreak/>
        <w:t>Initially, drawing on the work of Elter (2004), we examine the</w:t>
      </w:r>
      <w:r w:rsidR="008F5079" w:rsidRPr="0072649D">
        <w:rPr>
          <w:rFonts w:ascii="Times New Roman" w:hAnsi="Times New Roman" w:cs="Times New Roman"/>
        </w:rPr>
        <w:t xml:space="preserve"> deployment </w:t>
      </w:r>
      <w:r w:rsidRPr="0072649D">
        <w:rPr>
          <w:rFonts w:ascii="Times New Roman" w:hAnsi="Times New Roman" w:cs="Times New Roman"/>
        </w:rPr>
        <w:t xml:space="preserve">of organizational solutions during </w:t>
      </w:r>
      <w:r w:rsidR="008F5079" w:rsidRPr="0072649D">
        <w:rPr>
          <w:rFonts w:ascii="Times New Roman" w:hAnsi="Times New Roman" w:cs="Times New Roman"/>
        </w:rPr>
        <w:t xml:space="preserve">the first radical change undertaken by Telenor. Thereafter we discuss the on-going radical change that Telenor is confronting. We </w:t>
      </w:r>
      <w:r w:rsidRPr="0072649D">
        <w:rPr>
          <w:rFonts w:ascii="Times New Roman" w:hAnsi="Times New Roman" w:cs="Times New Roman"/>
        </w:rPr>
        <w:t xml:space="preserve">present our </w:t>
      </w:r>
      <w:r w:rsidR="008F5079" w:rsidRPr="0072649D">
        <w:rPr>
          <w:rFonts w:ascii="Times New Roman" w:hAnsi="Times New Roman" w:cs="Times New Roman"/>
        </w:rPr>
        <w:t>methodology we employ in order to investigate the organizational solutions Telenor is employing in the current disrupting cycle prior to describing these solutions. The methodology section also d</w:t>
      </w:r>
      <w:r w:rsidRPr="0072649D">
        <w:rPr>
          <w:rFonts w:ascii="Times New Roman" w:hAnsi="Times New Roman" w:cs="Times New Roman"/>
        </w:rPr>
        <w:t xml:space="preserve">iscusses </w:t>
      </w:r>
      <w:r w:rsidR="008F5079" w:rsidRPr="0072649D">
        <w:rPr>
          <w:rFonts w:ascii="Times New Roman" w:hAnsi="Times New Roman" w:cs="Times New Roman"/>
        </w:rPr>
        <w:t xml:space="preserve">how we conducted interviews with six senior managers at Telenor’s global headquarters in order to gain an insight into their perspectives on current radical change. In the final section of our study, we discuss our findings.  </w:t>
      </w:r>
    </w:p>
    <w:p w:rsidR="008D37F6" w:rsidRPr="0072649D" w:rsidRDefault="008D37F6" w:rsidP="0076645A">
      <w:pPr>
        <w:pStyle w:val="Heading1"/>
        <w:spacing w:line="480" w:lineRule="auto"/>
        <w:rPr>
          <w:rFonts w:ascii="Times New Roman" w:hAnsi="Times New Roman" w:cs="Times New Roman"/>
        </w:rPr>
      </w:pPr>
      <w:r w:rsidRPr="0072649D">
        <w:rPr>
          <w:rFonts w:ascii="Times New Roman" w:hAnsi="Times New Roman" w:cs="Times New Roman"/>
        </w:rPr>
        <w:t xml:space="preserve">Radical change 1: From </w:t>
      </w:r>
      <w:r w:rsidR="002F1CF7" w:rsidRPr="0072649D">
        <w:rPr>
          <w:rFonts w:ascii="Times New Roman" w:hAnsi="Times New Roman" w:cs="Times New Roman"/>
        </w:rPr>
        <w:t xml:space="preserve">local monopoly to </w:t>
      </w:r>
      <w:r w:rsidR="00D50454" w:rsidRPr="0072649D">
        <w:rPr>
          <w:rFonts w:ascii="Times New Roman" w:hAnsi="Times New Roman" w:cs="Times New Roman"/>
        </w:rPr>
        <w:t>MNMTC</w:t>
      </w:r>
      <w:r w:rsidRPr="0072649D">
        <w:rPr>
          <w:rFonts w:ascii="Times New Roman" w:hAnsi="Times New Roman" w:cs="Times New Roman"/>
        </w:rPr>
        <w:t xml:space="preserve"> </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 xml:space="preserve">Founded in 1855, </w:t>
      </w:r>
      <w:r w:rsidR="009A3B9C" w:rsidRPr="0072649D">
        <w:rPr>
          <w:rFonts w:ascii="Times New Roman" w:hAnsi="Times New Roman" w:cs="Times New Roman"/>
        </w:rPr>
        <w:t xml:space="preserve">through until 1995 </w:t>
      </w:r>
      <w:r w:rsidRPr="0072649D">
        <w:rPr>
          <w:rFonts w:ascii="Times New Roman" w:hAnsi="Times New Roman" w:cs="Times New Roman"/>
        </w:rPr>
        <w:t xml:space="preserve">Telenor was part of the Norwegian state administration charged with delivering basic telephony services to the country. During the 1990s, Telenor went through a fundamental transformation driven mainly by technological changes, but also by institutional changes </w:t>
      </w:r>
      <w:r w:rsidR="0010708E" w:rsidRPr="0072649D">
        <w:rPr>
          <w:rFonts w:ascii="Times New Roman" w:hAnsi="Times New Roman" w:cs="Times New Roman"/>
        </w:rPr>
        <w:t>(Elter, 2004). In 1987, a</w:t>
      </w:r>
      <w:r w:rsidRPr="0072649D">
        <w:rPr>
          <w:rFonts w:ascii="Times New Roman" w:hAnsi="Times New Roman" w:cs="Times New Roman"/>
        </w:rPr>
        <w:t xml:space="preserve"> EU Green Paper called for the liberalization of the European telecom industry. Deregulation began to take place during the late 1980s; by 1998, national </w:t>
      </w:r>
      <w:r w:rsidR="0010708E" w:rsidRPr="0072649D">
        <w:rPr>
          <w:rFonts w:ascii="Times New Roman" w:hAnsi="Times New Roman" w:cs="Times New Roman"/>
        </w:rPr>
        <w:t xml:space="preserve">telecom </w:t>
      </w:r>
      <w:r w:rsidRPr="0072649D">
        <w:rPr>
          <w:rFonts w:ascii="Times New Roman" w:hAnsi="Times New Roman" w:cs="Times New Roman"/>
        </w:rPr>
        <w:t xml:space="preserve">monopolies in Europe had gone.  </w:t>
      </w:r>
    </w:p>
    <w:p w:rsidR="0089159C"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 xml:space="preserve">For Telenor deregulation meant that it had to radically commercialize its operation and develop an entirely new business model.  </w:t>
      </w:r>
      <w:r w:rsidR="00F96697" w:rsidRPr="0072649D">
        <w:rPr>
          <w:rFonts w:ascii="Times New Roman" w:hAnsi="Times New Roman" w:cs="Times New Roman"/>
        </w:rPr>
        <w:t>In 1991, Tel</w:t>
      </w:r>
      <w:r w:rsidR="00AF1520" w:rsidRPr="0072649D">
        <w:rPr>
          <w:rFonts w:ascii="Times New Roman" w:hAnsi="Times New Roman" w:cs="Times New Roman"/>
        </w:rPr>
        <w:t>e</w:t>
      </w:r>
      <w:r w:rsidR="0010708E" w:rsidRPr="0072649D">
        <w:rPr>
          <w:rFonts w:ascii="Times New Roman" w:hAnsi="Times New Roman" w:cs="Times New Roman"/>
        </w:rPr>
        <w:t xml:space="preserve">nor appointed </w:t>
      </w:r>
      <w:r w:rsidR="00F96697" w:rsidRPr="0072649D">
        <w:rPr>
          <w:rFonts w:ascii="Times New Roman" w:hAnsi="Times New Roman" w:cs="Times New Roman"/>
        </w:rPr>
        <w:t>a</w:t>
      </w:r>
      <w:r w:rsidR="0010708E" w:rsidRPr="0072649D">
        <w:rPr>
          <w:rFonts w:ascii="Times New Roman" w:hAnsi="Times New Roman" w:cs="Times New Roman"/>
        </w:rPr>
        <w:t xml:space="preserve">s its </w:t>
      </w:r>
      <w:r w:rsidR="00175D1B" w:rsidRPr="0072649D">
        <w:rPr>
          <w:rFonts w:ascii="Times New Roman" w:hAnsi="Times New Roman" w:cs="Times New Roman"/>
        </w:rPr>
        <w:t>CEO</w:t>
      </w:r>
      <w:r w:rsidR="00F96697" w:rsidRPr="0072649D">
        <w:rPr>
          <w:rFonts w:ascii="Times New Roman" w:hAnsi="Times New Roman" w:cs="Times New Roman"/>
        </w:rPr>
        <w:t>,</w:t>
      </w:r>
      <w:r w:rsidR="00175D1B" w:rsidRPr="0072649D">
        <w:rPr>
          <w:rFonts w:ascii="Times New Roman" w:hAnsi="Times New Roman" w:cs="Times New Roman"/>
        </w:rPr>
        <w:t xml:space="preserve"> Tormod Hermansen</w:t>
      </w:r>
      <w:r w:rsidR="00F96697" w:rsidRPr="0072649D">
        <w:rPr>
          <w:rFonts w:ascii="Times New Roman" w:hAnsi="Times New Roman" w:cs="Times New Roman"/>
        </w:rPr>
        <w:t xml:space="preserve">, a former politician and senior civil servant. Hermansen </w:t>
      </w:r>
      <w:r w:rsidR="0010708E" w:rsidRPr="0072649D">
        <w:rPr>
          <w:rFonts w:ascii="Times New Roman" w:hAnsi="Times New Roman" w:cs="Times New Roman"/>
        </w:rPr>
        <w:t xml:space="preserve">communicated </w:t>
      </w:r>
      <w:r w:rsidR="00F96697" w:rsidRPr="0072649D">
        <w:rPr>
          <w:rFonts w:ascii="Times New Roman" w:hAnsi="Times New Roman" w:cs="Times New Roman"/>
        </w:rPr>
        <w:t xml:space="preserve">immediately </w:t>
      </w:r>
      <w:r w:rsidR="0010708E" w:rsidRPr="0072649D">
        <w:rPr>
          <w:rFonts w:ascii="Times New Roman" w:hAnsi="Times New Roman" w:cs="Times New Roman"/>
        </w:rPr>
        <w:t xml:space="preserve">a “disrupting cycle” statement </w:t>
      </w:r>
      <w:r w:rsidR="00175D1B" w:rsidRPr="0072649D">
        <w:rPr>
          <w:rFonts w:ascii="Times New Roman" w:hAnsi="Times New Roman" w:cs="Times New Roman"/>
        </w:rPr>
        <w:t xml:space="preserve">that either Telenor changed radically or it would dissolve. </w:t>
      </w:r>
      <w:r w:rsidR="0010708E" w:rsidRPr="0072649D">
        <w:rPr>
          <w:rFonts w:ascii="Times New Roman" w:hAnsi="Times New Roman" w:cs="Times New Roman"/>
        </w:rPr>
        <w:t xml:space="preserve">Transformation meant significant cuts to </w:t>
      </w:r>
      <w:r w:rsidR="00F96697" w:rsidRPr="0072649D">
        <w:rPr>
          <w:rFonts w:ascii="Times New Roman" w:hAnsi="Times New Roman" w:cs="Times New Roman"/>
        </w:rPr>
        <w:t xml:space="preserve">tariff </w:t>
      </w:r>
      <w:r w:rsidR="0010708E" w:rsidRPr="0072649D">
        <w:rPr>
          <w:rFonts w:ascii="Times New Roman" w:hAnsi="Times New Roman" w:cs="Times New Roman"/>
        </w:rPr>
        <w:t xml:space="preserve">charges and </w:t>
      </w:r>
      <w:r w:rsidR="00175D1B" w:rsidRPr="0072649D">
        <w:rPr>
          <w:rFonts w:ascii="Times New Roman" w:hAnsi="Times New Roman" w:cs="Times New Roman"/>
        </w:rPr>
        <w:t xml:space="preserve">staffing levels and </w:t>
      </w:r>
      <w:r w:rsidR="0010708E" w:rsidRPr="0072649D">
        <w:rPr>
          <w:rFonts w:ascii="Times New Roman" w:hAnsi="Times New Roman" w:cs="Times New Roman"/>
        </w:rPr>
        <w:t>a complete reorganization of Telenor</w:t>
      </w:r>
      <w:r w:rsidR="00175D1B" w:rsidRPr="0072649D">
        <w:rPr>
          <w:rFonts w:ascii="Times New Roman" w:hAnsi="Times New Roman" w:cs="Times New Roman"/>
        </w:rPr>
        <w:t xml:space="preserve"> (Thue, 2005). </w:t>
      </w:r>
      <w:r w:rsidR="00012314" w:rsidRPr="0072649D">
        <w:rPr>
          <w:rFonts w:ascii="Times New Roman" w:hAnsi="Times New Roman" w:cs="Times New Roman"/>
        </w:rPr>
        <w:t xml:space="preserve">Even though fixed-line telephony was dominant, </w:t>
      </w:r>
      <w:r w:rsidR="00012314" w:rsidRPr="0072649D">
        <w:rPr>
          <w:rFonts w:ascii="Times New Roman" w:hAnsi="Times New Roman" w:cs="Times New Roman"/>
        </w:rPr>
        <w:lastRenderedPageBreak/>
        <w:t xml:space="preserve">Hermansen </w:t>
      </w:r>
      <w:r w:rsidR="00F96697" w:rsidRPr="0072649D">
        <w:rPr>
          <w:rFonts w:ascii="Times New Roman" w:hAnsi="Times New Roman" w:cs="Times New Roman"/>
        </w:rPr>
        <w:t>declared</w:t>
      </w:r>
      <w:r w:rsidR="00012314" w:rsidRPr="0072649D">
        <w:rPr>
          <w:rFonts w:ascii="Times New Roman" w:hAnsi="Times New Roman" w:cs="Times New Roman"/>
        </w:rPr>
        <w:t xml:space="preserve"> that mobile telephony </w:t>
      </w:r>
      <w:r w:rsidR="00F96697" w:rsidRPr="0072649D">
        <w:rPr>
          <w:rFonts w:ascii="Times New Roman" w:hAnsi="Times New Roman" w:cs="Times New Roman"/>
        </w:rPr>
        <w:t xml:space="preserve">tariffs </w:t>
      </w:r>
      <w:r w:rsidR="0010708E" w:rsidRPr="0072649D">
        <w:rPr>
          <w:rFonts w:ascii="Times New Roman" w:hAnsi="Times New Roman" w:cs="Times New Roman"/>
        </w:rPr>
        <w:t xml:space="preserve">also </w:t>
      </w:r>
      <w:r w:rsidR="00012314" w:rsidRPr="0072649D">
        <w:rPr>
          <w:rFonts w:ascii="Times New Roman" w:hAnsi="Times New Roman" w:cs="Times New Roman"/>
        </w:rPr>
        <w:t>needed to be reduced to such an extent that potential “competitors would think twice” before attacking Telenor on its home territory (Thue, 2005:289: our translation).  More positively, he launched a “project for innovation and renewal” (Thue, 2005:291) that would be realized through decentralization</w:t>
      </w:r>
      <w:r w:rsidR="00A24FCE" w:rsidRPr="0072649D">
        <w:rPr>
          <w:rFonts w:ascii="Times New Roman" w:hAnsi="Times New Roman" w:cs="Times New Roman"/>
        </w:rPr>
        <w:t xml:space="preserve"> </w:t>
      </w:r>
      <w:r w:rsidR="0010708E" w:rsidRPr="0072649D">
        <w:rPr>
          <w:rFonts w:ascii="Times New Roman" w:hAnsi="Times New Roman" w:cs="Times New Roman"/>
        </w:rPr>
        <w:t xml:space="preserve">and </w:t>
      </w:r>
      <w:r w:rsidR="00A24FCE" w:rsidRPr="0072649D">
        <w:rPr>
          <w:rFonts w:ascii="Times New Roman" w:hAnsi="Times New Roman" w:cs="Times New Roman"/>
        </w:rPr>
        <w:t>the</w:t>
      </w:r>
      <w:r w:rsidR="00012314" w:rsidRPr="0072649D">
        <w:rPr>
          <w:rFonts w:ascii="Times New Roman" w:hAnsi="Times New Roman" w:cs="Times New Roman"/>
        </w:rPr>
        <w:t xml:space="preserve"> establishment of</w:t>
      </w:r>
      <w:r w:rsidR="00A24FCE" w:rsidRPr="0072649D">
        <w:rPr>
          <w:rFonts w:ascii="Times New Roman" w:hAnsi="Times New Roman" w:cs="Times New Roman"/>
        </w:rPr>
        <w:t xml:space="preserve"> </w:t>
      </w:r>
      <w:r w:rsidR="00012314" w:rsidRPr="0072649D">
        <w:rPr>
          <w:rFonts w:ascii="Times New Roman" w:hAnsi="Times New Roman" w:cs="Times New Roman"/>
        </w:rPr>
        <w:t>stand-al</w:t>
      </w:r>
      <w:r w:rsidR="00A24FCE" w:rsidRPr="0072649D">
        <w:rPr>
          <w:rFonts w:ascii="Times New Roman" w:hAnsi="Times New Roman" w:cs="Times New Roman"/>
        </w:rPr>
        <w:t xml:space="preserve">one, live-or-die units (Thue, 2005). </w:t>
      </w:r>
      <w:r w:rsidR="00F96697" w:rsidRPr="0072649D">
        <w:rPr>
          <w:rFonts w:ascii="Times New Roman" w:hAnsi="Times New Roman" w:cs="Times New Roman"/>
        </w:rPr>
        <w:t xml:space="preserve">Beyond, the notion that fixed line internet, digital content and mobile telephony were the most promising options for future growth, each unit had the freedom to experiment with a range of new technologies. </w:t>
      </w:r>
    </w:p>
    <w:p w:rsidR="008D37F6" w:rsidRPr="0072649D" w:rsidRDefault="008D37F6" w:rsidP="00DC1662">
      <w:pPr>
        <w:pStyle w:val="Heading2"/>
      </w:pPr>
      <w:r w:rsidRPr="0072649D">
        <w:t>Legacy removal</w:t>
      </w:r>
    </w:p>
    <w:p w:rsidR="002F0E99" w:rsidRPr="0072649D" w:rsidRDefault="00A24FCE" w:rsidP="0076645A">
      <w:pPr>
        <w:spacing w:line="480" w:lineRule="auto"/>
        <w:rPr>
          <w:rFonts w:ascii="Times New Roman" w:hAnsi="Times New Roman" w:cs="Times New Roman"/>
        </w:rPr>
      </w:pPr>
      <w:r w:rsidRPr="0072649D">
        <w:rPr>
          <w:rFonts w:ascii="Times New Roman" w:hAnsi="Times New Roman" w:cs="Times New Roman"/>
        </w:rPr>
        <w:t xml:space="preserve">The first activity Telenor’s managers had to engage with was to persuade Norwegian politicians that it could no longer continue as part of the public sector with its employees effectively civil servants. In 1994, the state converted Telenor into a limited company and major transformation could commence. </w:t>
      </w:r>
      <w:r w:rsidR="00664A0B" w:rsidRPr="0072649D">
        <w:rPr>
          <w:rFonts w:ascii="Times New Roman" w:hAnsi="Times New Roman" w:cs="Times New Roman"/>
        </w:rPr>
        <w:t xml:space="preserve">Its </w:t>
      </w:r>
      <w:r w:rsidR="008D37F6" w:rsidRPr="0072649D">
        <w:rPr>
          <w:rFonts w:ascii="Times New Roman" w:hAnsi="Times New Roman" w:cs="Times New Roman"/>
        </w:rPr>
        <w:t xml:space="preserve">change program, </w:t>
      </w:r>
      <w:r w:rsidR="00F81538" w:rsidRPr="0072649D">
        <w:rPr>
          <w:rFonts w:ascii="Times New Roman" w:hAnsi="Times New Roman" w:cs="Times New Roman"/>
        </w:rPr>
        <w:t>labelled</w:t>
      </w:r>
      <w:r w:rsidR="008D37F6" w:rsidRPr="0072649D">
        <w:rPr>
          <w:rFonts w:ascii="Times New Roman" w:hAnsi="Times New Roman" w:cs="Times New Roman"/>
        </w:rPr>
        <w:t xml:space="preserve"> “P-98”</w:t>
      </w:r>
      <w:r w:rsidR="008D37F6" w:rsidRPr="0072649D">
        <w:rPr>
          <w:rStyle w:val="FootnoteReference"/>
          <w:rFonts w:ascii="Times New Roman" w:hAnsi="Times New Roman" w:cs="Times New Roman"/>
        </w:rPr>
        <w:t xml:space="preserve"> </w:t>
      </w:r>
      <w:r w:rsidR="008D37F6" w:rsidRPr="009A3B9C">
        <w:rPr>
          <w:rStyle w:val="FootnoteReference"/>
          <w:rFonts w:ascii="Times New Roman" w:hAnsi="Times New Roman" w:cs="Times New Roman"/>
        </w:rPr>
        <w:footnoteReference w:id="1"/>
      </w:r>
      <w:r w:rsidR="008D37F6" w:rsidRPr="009A3B9C">
        <w:rPr>
          <w:rFonts w:ascii="Times New Roman" w:hAnsi="Times New Roman" w:cs="Times New Roman"/>
        </w:rPr>
        <w:t xml:space="preserve">, undertook from 1995-1998 a reengineering of all major business processes within the legacy organization with the aim being to increase the efficiency of the traditional core business that delivered fixed line voice and data lines. Two major international consultant companies were engaged to guide the transformation. During this </w:t>
      </w:r>
      <w:r w:rsidR="00465163" w:rsidRPr="0072649D">
        <w:rPr>
          <w:rFonts w:ascii="Times New Roman" w:hAnsi="Times New Roman" w:cs="Times New Roman"/>
        </w:rPr>
        <w:t>period,</w:t>
      </w:r>
      <w:r w:rsidR="00584338" w:rsidRPr="0072649D">
        <w:rPr>
          <w:rFonts w:ascii="Times New Roman" w:hAnsi="Times New Roman" w:cs="Times New Roman"/>
        </w:rPr>
        <w:t xml:space="preserve"> Elter (2004) documents</w:t>
      </w:r>
      <w:r w:rsidR="008D37F6" w:rsidRPr="0072649D">
        <w:rPr>
          <w:rFonts w:ascii="Times New Roman" w:hAnsi="Times New Roman" w:cs="Times New Roman"/>
        </w:rPr>
        <w:t xml:space="preserve"> </w:t>
      </w:r>
      <w:r w:rsidR="00584338" w:rsidRPr="0072649D">
        <w:rPr>
          <w:rFonts w:ascii="Times New Roman" w:hAnsi="Times New Roman" w:cs="Times New Roman"/>
        </w:rPr>
        <w:t xml:space="preserve">a number of </w:t>
      </w:r>
      <w:r w:rsidR="008D37F6" w:rsidRPr="0072649D">
        <w:rPr>
          <w:rFonts w:ascii="Times New Roman" w:hAnsi="Times New Roman" w:cs="Times New Roman"/>
        </w:rPr>
        <w:t xml:space="preserve">variants of legacy </w:t>
      </w:r>
      <w:r w:rsidR="00584338" w:rsidRPr="0072649D">
        <w:rPr>
          <w:rFonts w:ascii="Times New Roman" w:hAnsi="Times New Roman" w:cs="Times New Roman"/>
        </w:rPr>
        <w:t>removal</w:t>
      </w:r>
      <w:r w:rsidR="008D37F6" w:rsidRPr="0072649D">
        <w:rPr>
          <w:rFonts w:ascii="Times New Roman" w:hAnsi="Times New Roman" w:cs="Times New Roman"/>
        </w:rPr>
        <w:t xml:space="preserve">. </w:t>
      </w:r>
    </w:p>
    <w:p w:rsidR="008D37F6" w:rsidRPr="0072649D" w:rsidRDefault="008D37F6" w:rsidP="0076645A">
      <w:pPr>
        <w:pStyle w:val="Heading3"/>
        <w:spacing w:line="480" w:lineRule="auto"/>
        <w:rPr>
          <w:rFonts w:ascii="Times New Roman" w:hAnsi="Times New Roman" w:cs="Times New Roman"/>
        </w:rPr>
      </w:pPr>
      <w:r w:rsidRPr="0072649D">
        <w:rPr>
          <w:rFonts w:ascii="Times New Roman" w:hAnsi="Times New Roman" w:cs="Times New Roman"/>
        </w:rPr>
        <w:lastRenderedPageBreak/>
        <w:t xml:space="preserve">Eliminate redundant employees and competences </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In 1995, the consultants concluded that some 15 percent of employees, 1,600 in all, would have to leave and at least as many would have to be retrained for the new business model. In terms of the civil service, labo</w:t>
      </w:r>
      <w:r w:rsidR="002B6EE3" w:rsidRPr="0072649D">
        <w:rPr>
          <w:rFonts w:ascii="Times New Roman" w:hAnsi="Times New Roman" w:cs="Times New Roman"/>
        </w:rPr>
        <w:t>u</w:t>
      </w:r>
      <w:r w:rsidRPr="0072649D">
        <w:rPr>
          <w:rFonts w:ascii="Times New Roman" w:hAnsi="Times New Roman" w:cs="Times New Roman"/>
        </w:rPr>
        <w:t xml:space="preserve">r union dominated culture that had existed at Telenor for more than a century this was unprecedented. </w:t>
      </w:r>
      <w:r w:rsidR="00E7638D" w:rsidRPr="0072649D">
        <w:rPr>
          <w:rFonts w:ascii="Times New Roman" w:hAnsi="Times New Roman" w:cs="Times New Roman"/>
        </w:rPr>
        <w:t>After intensive negotiations</w:t>
      </w:r>
      <w:r w:rsidR="002B6EE3" w:rsidRPr="0072649D">
        <w:rPr>
          <w:rFonts w:ascii="Times New Roman" w:hAnsi="Times New Roman" w:cs="Times New Roman"/>
        </w:rPr>
        <w:t>,</w:t>
      </w:r>
      <w:r w:rsidR="00E7638D" w:rsidRPr="0072649D">
        <w:rPr>
          <w:rFonts w:ascii="Times New Roman" w:hAnsi="Times New Roman" w:cs="Times New Roman"/>
        </w:rPr>
        <w:t xml:space="preserve"> </w:t>
      </w:r>
      <w:r w:rsidRPr="0072649D">
        <w:rPr>
          <w:rFonts w:ascii="Times New Roman" w:hAnsi="Times New Roman" w:cs="Times New Roman"/>
        </w:rPr>
        <w:t xml:space="preserve">Telenor managers and unions </w:t>
      </w:r>
      <w:r w:rsidR="00E7638D" w:rsidRPr="0072649D">
        <w:rPr>
          <w:rFonts w:ascii="Times New Roman" w:hAnsi="Times New Roman" w:cs="Times New Roman"/>
        </w:rPr>
        <w:t xml:space="preserve">agreed </w:t>
      </w:r>
      <w:r w:rsidRPr="0072649D">
        <w:rPr>
          <w:rFonts w:ascii="Times New Roman" w:hAnsi="Times New Roman" w:cs="Times New Roman"/>
        </w:rPr>
        <w:t>a collective package. Surplus employees were placed in a separate unit that provided career assessments, training for new positions within Telenor, assistance in finding employment outside Telenor or early retirement. By 1997, of about 4,300 people who been in the placement unit, nearly 40 percent had left Telenor, nearly half had received training to take on new positions in different Telenor units, and about 10 percent had taken early retirement.</w:t>
      </w:r>
    </w:p>
    <w:p w:rsidR="008D37F6" w:rsidRPr="0072649D" w:rsidRDefault="008D37F6" w:rsidP="0076645A">
      <w:pPr>
        <w:pStyle w:val="Heading3"/>
        <w:spacing w:line="480" w:lineRule="auto"/>
        <w:rPr>
          <w:rFonts w:ascii="Times New Roman" w:hAnsi="Times New Roman" w:cs="Times New Roman"/>
        </w:rPr>
      </w:pPr>
      <w:r w:rsidRPr="0072649D">
        <w:rPr>
          <w:rFonts w:ascii="Times New Roman" w:hAnsi="Times New Roman" w:cs="Times New Roman"/>
        </w:rPr>
        <w:t>Closing-down products, services and functions</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 xml:space="preserve">Telenor management also removed the resources that underpinned the legacy services. </w:t>
      </w:r>
      <w:r w:rsidR="00E7638D" w:rsidRPr="0072649D">
        <w:rPr>
          <w:rFonts w:ascii="Times New Roman" w:hAnsi="Times New Roman" w:cs="Times New Roman"/>
        </w:rPr>
        <w:t>F</w:t>
      </w:r>
      <w:r w:rsidRPr="0072649D">
        <w:rPr>
          <w:rFonts w:ascii="Times New Roman" w:hAnsi="Times New Roman" w:cs="Times New Roman"/>
        </w:rPr>
        <w:t>o</w:t>
      </w:r>
      <w:r w:rsidR="00E7638D" w:rsidRPr="0072649D">
        <w:rPr>
          <w:rFonts w:ascii="Times New Roman" w:hAnsi="Times New Roman" w:cs="Times New Roman"/>
        </w:rPr>
        <w:t xml:space="preserve">r example, existing </w:t>
      </w:r>
      <w:r w:rsidRPr="0072649D">
        <w:rPr>
          <w:rFonts w:ascii="Times New Roman" w:hAnsi="Times New Roman" w:cs="Times New Roman"/>
        </w:rPr>
        <w:t>transmission lines were closed down in favo</w:t>
      </w:r>
      <w:r w:rsidR="002B6EE3" w:rsidRPr="0072649D">
        <w:rPr>
          <w:rFonts w:ascii="Times New Roman" w:hAnsi="Times New Roman" w:cs="Times New Roman"/>
        </w:rPr>
        <w:t>u</w:t>
      </w:r>
      <w:r w:rsidRPr="0072649D">
        <w:rPr>
          <w:rFonts w:ascii="Times New Roman" w:hAnsi="Times New Roman" w:cs="Times New Roman"/>
        </w:rPr>
        <w:t>r of new internet connectivity. The first generation analogue mobile telephony and pager service were wound</w:t>
      </w:r>
      <w:r w:rsidR="00465163" w:rsidRPr="0072649D">
        <w:rPr>
          <w:rFonts w:ascii="Times New Roman" w:hAnsi="Times New Roman" w:cs="Times New Roman"/>
        </w:rPr>
        <w:t>-</w:t>
      </w:r>
      <w:r w:rsidRPr="0072649D">
        <w:rPr>
          <w:rFonts w:ascii="Times New Roman" w:hAnsi="Times New Roman" w:cs="Times New Roman"/>
        </w:rPr>
        <w:t>down in favo</w:t>
      </w:r>
      <w:r w:rsidR="002B6EE3" w:rsidRPr="0072649D">
        <w:rPr>
          <w:rFonts w:ascii="Times New Roman" w:hAnsi="Times New Roman" w:cs="Times New Roman"/>
        </w:rPr>
        <w:t>u</w:t>
      </w:r>
      <w:r w:rsidRPr="0072649D">
        <w:rPr>
          <w:rFonts w:ascii="Times New Roman" w:hAnsi="Times New Roman" w:cs="Times New Roman"/>
        </w:rPr>
        <w:t xml:space="preserve">r of GSM telephony with in-built-SMS services. </w:t>
      </w:r>
      <w:r w:rsidR="00DD685B" w:rsidRPr="0072649D">
        <w:rPr>
          <w:rFonts w:ascii="Times New Roman" w:hAnsi="Times New Roman" w:cs="Times New Roman"/>
        </w:rPr>
        <w:t>The fixed-line business was</w:t>
      </w:r>
      <w:r w:rsidR="009A3B9C">
        <w:rPr>
          <w:rFonts w:ascii="Times New Roman" w:hAnsi="Times New Roman" w:cs="Times New Roman"/>
        </w:rPr>
        <w:t xml:space="preserve"> </w:t>
      </w:r>
      <w:r w:rsidR="00DD685B" w:rsidRPr="009A3B9C">
        <w:rPr>
          <w:rFonts w:ascii="Times New Roman" w:hAnsi="Times New Roman" w:cs="Times New Roman"/>
        </w:rPr>
        <w:t xml:space="preserve">upgraded to connect </w:t>
      </w:r>
      <w:r w:rsidR="00E7638D" w:rsidRPr="009A3B9C">
        <w:rPr>
          <w:rFonts w:ascii="Times New Roman" w:hAnsi="Times New Roman" w:cs="Times New Roman"/>
        </w:rPr>
        <w:t>consumers and companies to the i</w:t>
      </w:r>
      <w:r w:rsidR="00DD685B" w:rsidRPr="009A3B9C">
        <w:rPr>
          <w:rFonts w:ascii="Times New Roman" w:hAnsi="Times New Roman" w:cs="Times New Roman"/>
        </w:rPr>
        <w:t xml:space="preserve">nternet. </w:t>
      </w:r>
      <w:r w:rsidRPr="009A3B9C">
        <w:rPr>
          <w:rFonts w:ascii="Times New Roman" w:hAnsi="Times New Roman" w:cs="Times New Roman"/>
        </w:rPr>
        <w:t>ADSL internet lines</w:t>
      </w:r>
      <w:r w:rsidR="00CF57D1" w:rsidRPr="009A3B9C">
        <w:rPr>
          <w:rFonts w:ascii="Times New Roman" w:hAnsi="Times New Roman" w:cs="Times New Roman"/>
        </w:rPr>
        <w:t xml:space="preserve"> with fixed monthly subscription price</w:t>
      </w:r>
      <w:r w:rsidRPr="0072649D">
        <w:rPr>
          <w:rFonts w:ascii="Times New Roman" w:hAnsi="Times New Roman" w:cs="Times New Roman"/>
        </w:rPr>
        <w:t xml:space="preserve"> replaced the ISDN service</w:t>
      </w:r>
      <w:r w:rsidR="00CF57D1" w:rsidRPr="0072649D">
        <w:rPr>
          <w:rFonts w:ascii="Times New Roman" w:hAnsi="Times New Roman" w:cs="Times New Roman"/>
        </w:rPr>
        <w:t xml:space="preserve"> with use per minute price. T</w:t>
      </w:r>
      <w:r w:rsidRPr="0072649D">
        <w:rPr>
          <w:rFonts w:ascii="Times New Roman" w:hAnsi="Times New Roman" w:cs="Times New Roman"/>
        </w:rPr>
        <w:t xml:space="preserve">he X-400 e-mail was discontinued and substituted with internet-based e-mail. </w:t>
      </w:r>
    </w:p>
    <w:p w:rsidR="008D37F6" w:rsidRPr="0072649D" w:rsidRDefault="008D37F6" w:rsidP="0076645A">
      <w:pPr>
        <w:pStyle w:val="Heading3"/>
        <w:spacing w:line="480" w:lineRule="auto"/>
        <w:rPr>
          <w:rFonts w:ascii="Times New Roman" w:hAnsi="Times New Roman" w:cs="Times New Roman"/>
        </w:rPr>
      </w:pPr>
      <w:r w:rsidRPr="0072649D">
        <w:rPr>
          <w:rFonts w:ascii="Times New Roman" w:hAnsi="Times New Roman" w:cs="Times New Roman"/>
        </w:rPr>
        <w:lastRenderedPageBreak/>
        <w:t>Cost-cutting and process efficiency</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 xml:space="preserve">Managers at Telenor had a focus on process improvement and cost cutting. They applied multiple process improvement techniques such as ‘business process reengineering’ (BPR), Quality Assurance – ISO-9000, and ‘Lean-thinking’ to remove processes that did not add to customer value. </w:t>
      </w:r>
    </w:p>
    <w:p w:rsidR="008D37F6" w:rsidRPr="0072649D" w:rsidRDefault="008D37F6" w:rsidP="0076645A">
      <w:pPr>
        <w:pStyle w:val="Heading3"/>
        <w:spacing w:line="480" w:lineRule="auto"/>
        <w:rPr>
          <w:rFonts w:ascii="Times New Roman" w:hAnsi="Times New Roman" w:cs="Times New Roman"/>
        </w:rPr>
      </w:pPr>
      <w:r w:rsidRPr="0072649D">
        <w:rPr>
          <w:rFonts w:ascii="Times New Roman" w:hAnsi="Times New Roman" w:cs="Times New Roman"/>
        </w:rPr>
        <w:t>Centr</w:t>
      </w:r>
      <w:r w:rsidR="00254154" w:rsidRPr="0072649D">
        <w:rPr>
          <w:rFonts w:ascii="Times New Roman" w:hAnsi="Times New Roman" w:cs="Times New Roman"/>
        </w:rPr>
        <w:t>alization to remove duplication</w:t>
      </w:r>
      <w:r w:rsidRPr="0072649D">
        <w:rPr>
          <w:rFonts w:ascii="Times New Roman" w:hAnsi="Times New Roman" w:cs="Times New Roman"/>
        </w:rPr>
        <w:t xml:space="preserve"> </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During the 1990s, Telenor managers consolidated its seven regional operations into</w:t>
      </w:r>
      <w:r w:rsidR="00F406C9" w:rsidRPr="0072649D">
        <w:rPr>
          <w:rFonts w:ascii="Times New Roman" w:hAnsi="Times New Roman" w:cs="Times New Roman"/>
        </w:rPr>
        <w:t xml:space="preserve"> </w:t>
      </w:r>
      <w:r w:rsidRPr="0072649D">
        <w:rPr>
          <w:rFonts w:ascii="Times New Roman" w:hAnsi="Times New Roman" w:cs="Times New Roman"/>
        </w:rPr>
        <w:t xml:space="preserve">one national operation.  </w:t>
      </w:r>
    </w:p>
    <w:p w:rsidR="00F406C9" w:rsidRPr="0072649D" w:rsidRDefault="00E7638D" w:rsidP="0076645A">
      <w:pPr>
        <w:spacing w:line="480" w:lineRule="auto"/>
        <w:ind w:firstLine="0"/>
        <w:rPr>
          <w:rFonts w:ascii="Times New Roman" w:hAnsi="Times New Roman" w:cs="Times New Roman"/>
        </w:rPr>
      </w:pPr>
      <w:r w:rsidRPr="0072649D">
        <w:rPr>
          <w:rFonts w:ascii="Times New Roman" w:hAnsi="Times New Roman" w:cs="Times New Roman"/>
        </w:rPr>
        <w:tab/>
        <w:t>In addition to legacy removal, Elter (2004) also observed the use of various generic organizational solutions.</w:t>
      </w:r>
    </w:p>
    <w:p w:rsidR="002F0E99" w:rsidRPr="0072649D" w:rsidRDefault="008D37F6" w:rsidP="00DC1662">
      <w:pPr>
        <w:pStyle w:val="Heading2"/>
      </w:pPr>
      <w:r w:rsidRPr="0072649D">
        <w:t>Organizational solutions</w:t>
      </w:r>
    </w:p>
    <w:p w:rsidR="008D37F6" w:rsidRPr="0072649D" w:rsidRDefault="008D37F6" w:rsidP="0076645A">
      <w:pPr>
        <w:pStyle w:val="Heading3"/>
        <w:spacing w:line="480" w:lineRule="auto"/>
        <w:rPr>
          <w:rFonts w:ascii="Times New Roman" w:hAnsi="Times New Roman" w:cs="Times New Roman"/>
        </w:rPr>
      </w:pPr>
      <w:r w:rsidRPr="0072649D">
        <w:rPr>
          <w:rFonts w:ascii="Times New Roman" w:hAnsi="Times New Roman" w:cs="Times New Roman"/>
        </w:rPr>
        <w:t>Spinning-off business units</w:t>
      </w:r>
      <w:r w:rsidR="00A1443D" w:rsidRPr="0072649D">
        <w:rPr>
          <w:rFonts w:ascii="Times New Roman" w:hAnsi="Times New Roman" w:cs="Times New Roman"/>
        </w:rPr>
        <w:t>.</w:t>
      </w:r>
      <w:r w:rsidRPr="0072649D">
        <w:rPr>
          <w:rFonts w:ascii="Times New Roman" w:hAnsi="Times New Roman" w:cs="Times New Roman"/>
        </w:rPr>
        <w:t xml:space="preserve"> </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Another, for Telenor, unparalleled aspect to “P-98” was that managers distinguished core from non-core activities such as assembling radio masts and mounting fixed lines. Managers span off non-differentiating functions into s</w:t>
      </w:r>
      <w:r w:rsidR="00702AC0" w:rsidRPr="0072649D">
        <w:rPr>
          <w:rFonts w:ascii="Times New Roman" w:hAnsi="Times New Roman" w:cs="Times New Roman"/>
        </w:rPr>
        <w:t xml:space="preserve">eparate, stand-alone functions that were eventually </w:t>
      </w:r>
      <w:r w:rsidRPr="0072649D">
        <w:rPr>
          <w:rFonts w:ascii="Times New Roman" w:hAnsi="Times New Roman" w:cs="Times New Roman"/>
        </w:rPr>
        <w:t>sold</w:t>
      </w:r>
      <w:r w:rsidR="00702AC0" w:rsidRPr="0072649D">
        <w:rPr>
          <w:rFonts w:ascii="Times New Roman" w:hAnsi="Times New Roman" w:cs="Times New Roman"/>
        </w:rPr>
        <w:t xml:space="preserve">. </w:t>
      </w:r>
    </w:p>
    <w:p w:rsidR="008D37F6" w:rsidRPr="0072649D" w:rsidRDefault="008D37F6" w:rsidP="0076645A">
      <w:pPr>
        <w:pStyle w:val="Heading3"/>
        <w:spacing w:line="480" w:lineRule="auto"/>
        <w:rPr>
          <w:rFonts w:ascii="Times New Roman" w:hAnsi="Times New Roman" w:cs="Times New Roman"/>
        </w:rPr>
      </w:pPr>
      <w:r w:rsidRPr="0072649D">
        <w:rPr>
          <w:rFonts w:ascii="Times New Roman" w:hAnsi="Times New Roman" w:cs="Times New Roman"/>
        </w:rPr>
        <w:lastRenderedPageBreak/>
        <w:t>Acquisitions and ambidexterity</w:t>
      </w:r>
      <w:r w:rsidR="00A1443D" w:rsidRPr="0072649D">
        <w:rPr>
          <w:rFonts w:ascii="Times New Roman" w:hAnsi="Times New Roman" w:cs="Times New Roman"/>
        </w:rPr>
        <w:t>.</w:t>
      </w:r>
      <w:r w:rsidRPr="0072649D">
        <w:rPr>
          <w:rFonts w:ascii="Times New Roman" w:hAnsi="Times New Roman" w:cs="Times New Roman"/>
        </w:rPr>
        <w:t xml:space="preserve"> </w:t>
      </w:r>
    </w:p>
    <w:p w:rsidR="000E62BD" w:rsidRPr="009A3B9C" w:rsidRDefault="008D37F6" w:rsidP="000E62BD">
      <w:pPr>
        <w:spacing w:line="480" w:lineRule="auto"/>
        <w:ind w:firstLine="0"/>
        <w:rPr>
          <w:rFonts w:ascii="Times New Roman" w:hAnsi="Times New Roman" w:cs="Times New Roman"/>
        </w:rPr>
      </w:pPr>
      <w:r w:rsidRPr="0072649D">
        <w:rPr>
          <w:rFonts w:ascii="Times New Roman" w:hAnsi="Times New Roman" w:cs="Times New Roman"/>
        </w:rPr>
        <w:t xml:space="preserve">During the 1990s, for the first time in its history Telenor started </w:t>
      </w:r>
      <w:r w:rsidR="00DD685B" w:rsidRPr="0072649D">
        <w:rPr>
          <w:rFonts w:ascii="Times New Roman" w:hAnsi="Times New Roman" w:cs="Times New Roman"/>
        </w:rPr>
        <w:t xml:space="preserve">an </w:t>
      </w:r>
      <w:r w:rsidR="001C0BCC" w:rsidRPr="0072649D">
        <w:rPr>
          <w:rFonts w:ascii="Times New Roman" w:hAnsi="Times New Roman" w:cs="Times New Roman"/>
        </w:rPr>
        <w:t>extensive</w:t>
      </w:r>
      <w:r w:rsidR="00DD685B" w:rsidRPr="0072649D">
        <w:rPr>
          <w:rFonts w:ascii="Times New Roman" w:hAnsi="Times New Roman" w:cs="Times New Roman"/>
        </w:rPr>
        <w:t xml:space="preserve"> </w:t>
      </w:r>
      <w:r w:rsidR="001C0BCC" w:rsidRPr="0072649D">
        <w:rPr>
          <w:rFonts w:ascii="Times New Roman" w:hAnsi="Times New Roman" w:cs="Times New Roman"/>
        </w:rPr>
        <w:t>broadening</w:t>
      </w:r>
      <w:r w:rsidR="00DD685B" w:rsidRPr="0072649D">
        <w:rPr>
          <w:rFonts w:ascii="Times New Roman" w:hAnsi="Times New Roman" w:cs="Times New Roman"/>
        </w:rPr>
        <w:t xml:space="preserve"> of its portfolio of products and services</w:t>
      </w:r>
      <w:r w:rsidR="001C0BCC" w:rsidRPr="0072649D">
        <w:rPr>
          <w:rFonts w:ascii="Times New Roman" w:hAnsi="Times New Roman" w:cs="Times New Roman"/>
        </w:rPr>
        <w:t xml:space="preserve"> by </w:t>
      </w:r>
      <w:r w:rsidRPr="0072649D">
        <w:rPr>
          <w:rFonts w:ascii="Times New Roman" w:hAnsi="Times New Roman" w:cs="Times New Roman"/>
        </w:rPr>
        <w:t>buy</w:t>
      </w:r>
      <w:r w:rsidR="001C0BCC" w:rsidRPr="0072649D">
        <w:rPr>
          <w:rFonts w:ascii="Times New Roman" w:hAnsi="Times New Roman" w:cs="Times New Roman"/>
        </w:rPr>
        <w:t>ing</w:t>
      </w:r>
      <w:r w:rsidRPr="0072649D">
        <w:rPr>
          <w:rFonts w:ascii="Times New Roman" w:hAnsi="Times New Roman" w:cs="Times New Roman"/>
        </w:rPr>
        <w:t xml:space="preserve"> stakes in multiple adjacent industries such as external content providers, IT companies, </w:t>
      </w:r>
      <w:r w:rsidR="00DD685B" w:rsidRPr="0072649D">
        <w:rPr>
          <w:rFonts w:ascii="Times New Roman" w:hAnsi="Times New Roman" w:cs="Times New Roman"/>
        </w:rPr>
        <w:t xml:space="preserve">and </w:t>
      </w:r>
      <w:r w:rsidRPr="0072649D">
        <w:rPr>
          <w:rFonts w:ascii="Times New Roman" w:hAnsi="Times New Roman" w:cs="Times New Roman"/>
        </w:rPr>
        <w:t xml:space="preserve">system integrators. </w:t>
      </w:r>
      <w:r w:rsidR="000F67AC" w:rsidRPr="0072649D">
        <w:rPr>
          <w:rFonts w:ascii="Times New Roman" w:hAnsi="Times New Roman" w:cs="Times New Roman"/>
        </w:rPr>
        <w:t xml:space="preserve">Within </w:t>
      </w:r>
      <w:r w:rsidR="003815A8" w:rsidRPr="0072649D">
        <w:rPr>
          <w:rFonts w:ascii="Times New Roman" w:hAnsi="Times New Roman" w:cs="Times New Roman"/>
        </w:rPr>
        <w:t>Telenor,</w:t>
      </w:r>
      <w:r w:rsidR="000F67AC" w:rsidRPr="0072649D">
        <w:rPr>
          <w:rFonts w:ascii="Times New Roman" w:hAnsi="Times New Roman" w:cs="Times New Roman"/>
        </w:rPr>
        <w:t xml:space="preserve"> the ambidextrous solution was also employed. </w:t>
      </w:r>
      <w:r w:rsidR="003815A8" w:rsidRPr="0072649D">
        <w:rPr>
          <w:rFonts w:ascii="Times New Roman" w:hAnsi="Times New Roman" w:cs="Times New Roman"/>
        </w:rPr>
        <w:t xml:space="preserve">By 1995, there were 60 new venture </w:t>
      </w:r>
      <w:r w:rsidR="00033F50" w:rsidRPr="0072649D">
        <w:rPr>
          <w:rFonts w:ascii="Times New Roman" w:hAnsi="Times New Roman" w:cs="Times New Roman"/>
        </w:rPr>
        <w:t>units</w:t>
      </w:r>
      <w:r w:rsidR="004F796B" w:rsidRPr="0072649D">
        <w:rPr>
          <w:rFonts w:ascii="Times New Roman" w:hAnsi="Times New Roman" w:cs="Times New Roman"/>
        </w:rPr>
        <w:t xml:space="preserve"> governed </w:t>
      </w:r>
      <w:r w:rsidRPr="0072649D">
        <w:rPr>
          <w:rFonts w:ascii="Times New Roman" w:hAnsi="Times New Roman" w:cs="Times New Roman"/>
        </w:rPr>
        <w:t>as a portfolio of start</w:t>
      </w:r>
      <w:r w:rsidR="009A3B9C">
        <w:rPr>
          <w:rFonts w:ascii="Times New Roman" w:hAnsi="Times New Roman" w:cs="Times New Roman"/>
        </w:rPr>
        <w:t>-</w:t>
      </w:r>
      <w:r w:rsidRPr="009A3B9C">
        <w:rPr>
          <w:rFonts w:ascii="Times New Roman" w:hAnsi="Times New Roman" w:cs="Times New Roman"/>
        </w:rPr>
        <w:t>up-companies.  The</w:t>
      </w:r>
      <w:r w:rsidR="003815A8" w:rsidRPr="009A3B9C">
        <w:rPr>
          <w:rFonts w:ascii="Times New Roman" w:hAnsi="Times New Roman" w:cs="Times New Roman"/>
        </w:rPr>
        <w:t>se autonomous</w:t>
      </w:r>
      <w:r w:rsidRPr="009A3B9C">
        <w:rPr>
          <w:rFonts w:ascii="Times New Roman" w:hAnsi="Times New Roman" w:cs="Times New Roman"/>
        </w:rPr>
        <w:t xml:space="preserve"> </w:t>
      </w:r>
      <w:r w:rsidR="003815A8" w:rsidRPr="009A3B9C">
        <w:rPr>
          <w:rFonts w:ascii="Times New Roman" w:hAnsi="Times New Roman" w:cs="Times New Roman"/>
        </w:rPr>
        <w:t>s</w:t>
      </w:r>
      <w:r w:rsidRPr="009A3B9C">
        <w:rPr>
          <w:rFonts w:ascii="Times New Roman" w:hAnsi="Times New Roman" w:cs="Times New Roman"/>
        </w:rPr>
        <w:t>tart</w:t>
      </w:r>
      <w:r w:rsidR="009A3B9C">
        <w:rPr>
          <w:rFonts w:ascii="Times New Roman" w:hAnsi="Times New Roman" w:cs="Times New Roman"/>
        </w:rPr>
        <w:t>-</w:t>
      </w:r>
      <w:r w:rsidRPr="009A3B9C">
        <w:rPr>
          <w:rFonts w:ascii="Times New Roman" w:hAnsi="Times New Roman" w:cs="Times New Roman"/>
        </w:rPr>
        <w:t>ups provided services such as fixed-line internet connectivity services, new media and directory services, IT services</w:t>
      </w:r>
      <w:r w:rsidR="003815A8" w:rsidRPr="009A3B9C">
        <w:rPr>
          <w:rFonts w:ascii="Times New Roman" w:hAnsi="Times New Roman" w:cs="Times New Roman"/>
        </w:rPr>
        <w:t>, software companies, cable TV, and s</w:t>
      </w:r>
      <w:r w:rsidRPr="009A3B9C">
        <w:rPr>
          <w:rFonts w:ascii="Times New Roman" w:hAnsi="Times New Roman" w:cs="Times New Roman"/>
        </w:rPr>
        <w:t>atellite TV communications.</w:t>
      </w:r>
      <w:r w:rsidR="004F796B" w:rsidRPr="009A3B9C">
        <w:rPr>
          <w:rFonts w:ascii="Times New Roman" w:hAnsi="Times New Roman" w:cs="Times New Roman"/>
        </w:rPr>
        <w:t xml:space="preserve"> One </w:t>
      </w:r>
      <w:r w:rsidR="003815A8" w:rsidRPr="009A3B9C">
        <w:rPr>
          <w:rFonts w:ascii="Times New Roman" w:hAnsi="Times New Roman" w:cs="Times New Roman"/>
        </w:rPr>
        <w:t xml:space="preserve">particular </w:t>
      </w:r>
      <w:r w:rsidR="004F796B" w:rsidRPr="009A3B9C">
        <w:rPr>
          <w:rFonts w:ascii="Times New Roman" w:hAnsi="Times New Roman" w:cs="Times New Roman"/>
        </w:rPr>
        <w:t>advantage these un</w:t>
      </w:r>
      <w:r w:rsidR="003815A8" w:rsidRPr="009A3B9C">
        <w:rPr>
          <w:rFonts w:ascii="Times New Roman" w:hAnsi="Times New Roman" w:cs="Times New Roman"/>
        </w:rPr>
        <w:t>its had was that they could draw on the capabilities</w:t>
      </w:r>
      <w:r w:rsidR="0078789B" w:rsidRPr="009A3B9C">
        <w:rPr>
          <w:rFonts w:ascii="Times New Roman" w:hAnsi="Times New Roman" w:cs="Times New Roman"/>
        </w:rPr>
        <w:t xml:space="preserve"> </w:t>
      </w:r>
      <w:r w:rsidR="003815A8" w:rsidRPr="009A3B9C">
        <w:rPr>
          <w:rFonts w:ascii="Times New Roman" w:hAnsi="Times New Roman" w:cs="Times New Roman"/>
        </w:rPr>
        <w:t xml:space="preserve">that Telenor’s state funded </w:t>
      </w:r>
      <w:r w:rsidR="000E62BD" w:rsidRPr="009A3B9C">
        <w:rPr>
          <w:rFonts w:ascii="Times New Roman" w:hAnsi="Times New Roman" w:cs="Times New Roman"/>
        </w:rPr>
        <w:t xml:space="preserve">strong research department </w:t>
      </w:r>
      <w:r w:rsidR="0078789B" w:rsidRPr="009A3B9C">
        <w:rPr>
          <w:rFonts w:ascii="Times New Roman" w:hAnsi="Times New Roman" w:cs="Times New Roman"/>
        </w:rPr>
        <w:t xml:space="preserve">with 400 researchers </w:t>
      </w:r>
      <w:r w:rsidR="000E62BD" w:rsidRPr="009A3B9C">
        <w:rPr>
          <w:rFonts w:ascii="Times New Roman" w:hAnsi="Times New Roman" w:cs="Times New Roman"/>
        </w:rPr>
        <w:t>had developed over a thirty year period</w:t>
      </w:r>
      <w:r w:rsidR="009A3B9C">
        <w:rPr>
          <w:rFonts w:ascii="Times New Roman" w:hAnsi="Times New Roman" w:cs="Times New Roman"/>
        </w:rPr>
        <w:t xml:space="preserve"> The department has particular strengths </w:t>
      </w:r>
      <w:r w:rsidR="0078789B" w:rsidRPr="009A3B9C">
        <w:rPr>
          <w:rFonts w:ascii="Times New Roman" w:hAnsi="Times New Roman" w:cs="Times New Roman"/>
        </w:rPr>
        <w:t xml:space="preserve"> within mobile telephony and satellite communications,</w:t>
      </w:r>
      <w:r w:rsidR="000E62BD" w:rsidRPr="009A3B9C">
        <w:rPr>
          <w:rFonts w:ascii="Times New Roman" w:hAnsi="Times New Roman" w:cs="Times New Roman"/>
        </w:rPr>
        <w:t xml:space="preserve">. </w:t>
      </w:r>
    </w:p>
    <w:p w:rsidR="000E62BD" w:rsidRPr="009A3B9C" w:rsidRDefault="000E62BD" w:rsidP="000E62BD">
      <w:pPr>
        <w:spacing w:line="480" w:lineRule="auto"/>
        <w:ind w:firstLine="0"/>
        <w:rPr>
          <w:rFonts w:ascii="Times New Roman" w:hAnsi="Times New Roman" w:cs="Times New Roman"/>
          <w:b/>
        </w:rPr>
      </w:pPr>
      <w:r w:rsidRPr="009A3B9C">
        <w:rPr>
          <w:rFonts w:ascii="Times New Roman" w:hAnsi="Times New Roman" w:cs="Times New Roman"/>
          <w:b/>
        </w:rPr>
        <w:t xml:space="preserve">Radical transformation </w:t>
      </w:r>
    </w:p>
    <w:p w:rsidR="000E62BD" w:rsidRPr="0072649D" w:rsidRDefault="000E62BD" w:rsidP="000E62BD">
      <w:pPr>
        <w:spacing w:line="480" w:lineRule="auto"/>
        <w:rPr>
          <w:rFonts w:ascii="Times New Roman" w:hAnsi="Times New Roman" w:cs="Times New Roman"/>
        </w:rPr>
      </w:pPr>
      <w:r w:rsidRPr="009A3B9C">
        <w:rPr>
          <w:rFonts w:ascii="Times New Roman" w:hAnsi="Times New Roman" w:cs="Times New Roman"/>
        </w:rPr>
        <w:t xml:space="preserve">When Telenor entered the 2000s, the mobile business emerged as the most successful of the new ventures, and Telenor accelerated the selling off or closure of less profitable businesses. </w:t>
      </w:r>
      <w:r w:rsidR="008D37F6" w:rsidRPr="009A3B9C">
        <w:rPr>
          <w:rFonts w:ascii="Times New Roman" w:hAnsi="Times New Roman" w:cs="Times New Roman"/>
        </w:rPr>
        <w:t xml:space="preserve">Telenor Mobile </w:t>
      </w:r>
      <w:r w:rsidRPr="009A3B9C">
        <w:rPr>
          <w:rFonts w:ascii="Times New Roman" w:hAnsi="Times New Roman" w:cs="Times New Roman"/>
        </w:rPr>
        <w:t xml:space="preserve">offered </w:t>
      </w:r>
      <w:r w:rsidR="008D37F6" w:rsidRPr="009A3B9C">
        <w:rPr>
          <w:rFonts w:ascii="Times New Roman" w:hAnsi="Times New Roman" w:cs="Times New Roman"/>
        </w:rPr>
        <w:t>mobile telephony services starting with 2G and at later stages, 3G and 4G. Telenor also started expanding internationally with fixed-line and internet services</w:t>
      </w:r>
      <w:r w:rsidR="004F796B" w:rsidRPr="009A3B9C">
        <w:rPr>
          <w:rFonts w:ascii="Times New Roman" w:hAnsi="Times New Roman" w:cs="Times New Roman"/>
        </w:rPr>
        <w:t xml:space="preserve"> but, more significantly with mobile operations</w:t>
      </w:r>
      <w:r w:rsidR="008D37F6" w:rsidRPr="009A3B9C">
        <w:rPr>
          <w:rFonts w:ascii="Times New Roman" w:hAnsi="Times New Roman" w:cs="Times New Roman"/>
        </w:rPr>
        <w:t xml:space="preserve">. </w:t>
      </w:r>
      <w:r w:rsidR="00664A0B" w:rsidRPr="009A3B9C">
        <w:rPr>
          <w:rFonts w:ascii="Times New Roman" w:hAnsi="Times New Roman" w:cs="Times New Roman"/>
        </w:rPr>
        <w:t xml:space="preserve">A substantial part of this internationalization took place prior to Telenor becoming a listed company </w:t>
      </w:r>
      <w:r w:rsidR="00033F50" w:rsidRPr="009A3B9C">
        <w:rPr>
          <w:rFonts w:ascii="Times New Roman" w:hAnsi="Times New Roman" w:cs="Times New Roman"/>
        </w:rPr>
        <w:t>in 2000</w:t>
      </w:r>
      <w:r w:rsidR="00664A0B" w:rsidRPr="009A3B9C">
        <w:rPr>
          <w:rFonts w:ascii="Times New Roman" w:hAnsi="Times New Roman" w:cs="Times New Roman"/>
        </w:rPr>
        <w:t xml:space="preserve">. Hermansen was able to use his political contacts </w:t>
      </w:r>
      <w:r w:rsidR="00F96697" w:rsidRPr="009A3B9C">
        <w:rPr>
          <w:rFonts w:ascii="Times New Roman" w:hAnsi="Times New Roman" w:cs="Times New Roman"/>
        </w:rPr>
        <w:t xml:space="preserve">to ensure that the Norwegian state </w:t>
      </w:r>
      <w:r w:rsidR="00033F50" w:rsidRPr="009A3B9C">
        <w:rPr>
          <w:rFonts w:ascii="Times New Roman" w:hAnsi="Times New Roman" w:cs="Times New Roman"/>
        </w:rPr>
        <w:t>provided the necessary financing</w:t>
      </w:r>
      <w:r w:rsidRPr="009A3B9C">
        <w:rPr>
          <w:rFonts w:ascii="Times New Roman" w:hAnsi="Times New Roman" w:cs="Times New Roman"/>
        </w:rPr>
        <w:t xml:space="preserve"> to establish operations beyond Norway</w:t>
      </w:r>
      <w:r w:rsidR="00033F50" w:rsidRPr="009A3B9C">
        <w:rPr>
          <w:rFonts w:ascii="Times New Roman" w:hAnsi="Times New Roman" w:cs="Times New Roman"/>
        </w:rPr>
        <w:t xml:space="preserve">. Thue (2005:342) reflects that, “Had Telenor become a listed company in 1995 instead of 2000, it is uncertain as to whether the company would have been </w:t>
      </w:r>
      <w:r w:rsidR="00033F50" w:rsidRPr="009A3B9C">
        <w:rPr>
          <w:rFonts w:ascii="Times New Roman" w:hAnsi="Times New Roman" w:cs="Times New Roman"/>
        </w:rPr>
        <w:lastRenderedPageBreak/>
        <w:t>able to…engage with what was a risky international investment strategy” (our translation). In other words, the financial markets would have been signi</w:t>
      </w:r>
      <w:r w:rsidR="004F796B" w:rsidRPr="009A3B9C">
        <w:rPr>
          <w:rFonts w:ascii="Times New Roman" w:hAnsi="Times New Roman" w:cs="Times New Roman"/>
        </w:rPr>
        <w:t xml:space="preserve">ficantly less willing to invest in what by 2000 had evolved into a </w:t>
      </w:r>
      <w:r w:rsidR="00D50454" w:rsidRPr="009A3B9C">
        <w:rPr>
          <w:rFonts w:ascii="Times New Roman" w:hAnsi="Times New Roman" w:cs="Times New Roman"/>
        </w:rPr>
        <w:t>MNMTC</w:t>
      </w:r>
      <w:r w:rsidR="004F796B" w:rsidRPr="009A3B9C">
        <w:rPr>
          <w:rFonts w:ascii="Times New Roman" w:hAnsi="Times New Roman" w:cs="Times New Roman"/>
        </w:rPr>
        <w:t>.</w:t>
      </w:r>
      <w:r w:rsidR="00033F50" w:rsidRPr="009A3B9C">
        <w:rPr>
          <w:rFonts w:ascii="Times New Roman" w:hAnsi="Times New Roman" w:cs="Times New Roman"/>
        </w:rPr>
        <w:t xml:space="preserve"> </w:t>
      </w:r>
      <w:r w:rsidRPr="009A3B9C">
        <w:rPr>
          <w:rFonts w:ascii="Times New Roman" w:hAnsi="Times New Roman" w:cs="Times New Roman"/>
        </w:rPr>
        <w:t>The radical transformation of Telenor that played out during the 1990s</w:t>
      </w:r>
      <w:r w:rsidR="0078789B" w:rsidRPr="009A3B9C">
        <w:rPr>
          <w:rFonts w:ascii="Times New Roman" w:hAnsi="Times New Roman" w:cs="Times New Roman"/>
        </w:rPr>
        <w:t>,</w:t>
      </w:r>
      <w:r w:rsidRPr="009A3B9C">
        <w:rPr>
          <w:rFonts w:ascii="Times New Roman" w:hAnsi="Times New Roman" w:cs="Times New Roman"/>
        </w:rPr>
        <w:t xml:space="preserve"> fundamentally transformed the company into a MNMTC that captured the massive growth in international mobile industry during the first decade of the n</w:t>
      </w:r>
      <w:r w:rsidRPr="0072649D">
        <w:rPr>
          <w:rFonts w:ascii="Times New Roman" w:hAnsi="Times New Roman" w:cs="Times New Roman"/>
        </w:rPr>
        <w:t xml:space="preserve">ew millennium. </w:t>
      </w:r>
    </w:p>
    <w:p w:rsidR="004F796B" w:rsidRPr="0072649D" w:rsidRDefault="004F796B" w:rsidP="0076645A">
      <w:pPr>
        <w:spacing w:line="480" w:lineRule="auto"/>
        <w:ind w:firstLine="0"/>
        <w:rPr>
          <w:rFonts w:ascii="Times New Roman" w:hAnsi="Times New Roman" w:cs="Times New Roman"/>
        </w:rPr>
      </w:pPr>
    </w:p>
    <w:p w:rsidR="004F796B" w:rsidRPr="0072649D" w:rsidRDefault="000E62BD" w:rsidP="00DC1662">
      <w:pPr>
        <w:pStyle w:val="Heading2"/>
      </w:pPr>
      <w:r w:rsidRPr="0072649D">
        <w:t>Discussion</w:t>
      </w:r>
    </w:p>
    <w:p w:rsidR="004F796B" w:rsidRPr="0072649D" w:rsidRDefault="004F796B" w:rsidP="0076645A">
      <w:pPr>
        <w:spacing w:line="480" w:lineRule="auto"/>
        <w:ind w:firstLine="0"/>
        <w:rPr>
          <w:rFonts w:ascii="Times New Roman" w:eastAsia="MinionPro-Regular" w:hAnsi="Times New Roman" w:cs="Times New Roman"/>
          <w:kern w:val="0"/>
        </w:rPr>
      </w:pPr>
      <w:r w:rsidRPr="0072649D">
        <w:rPr>
          <w:rFonts w:ascii="Times New Roman" w:hAnsi="Times New Roman" w:cs="Times New Roman"/>
        </w:rPr>
        <w:tab/>
        <w:t>D</w:t>
      </w:r>
      <w:r w:rsidR="008D37F6" w:rsidRPr="0072649D">
        <w:rPr>
          <w:rFonts w:ascii="Times New Roman" w:hAnsi="Times New Roman" w:cs="Times New Roman"/>
        </w:rPr>
        <w:t xml:space="preserve">uring the 1990s, </w:t>
      </w:r>
      <w:r w:rsidR="00A93059" w:rsidRPr="0072649D">
        <w:rPr>
          <w:rFonts w:ascii="Times New Roman" w:hAnsi="Times New Roman" w:cs="Times New Roman"/>
        </w:rPr>
        <w:t xml:space="preserve">Telenor </w:t>
      </w:r>
      <w:r w:rsidR="008D37F6" w:rsidRPr="0072649D">
        <w:rPr>
          <w:rFonts w:ascii="Times New Roman" w:hAnsi="Times New Roman" w:cs="Times New Roman"/>
        </w:rPr>
        <w:t>seized new business opportunities by using structural ambidexterity when diversifying to ensure that each venture swiftly could pursue new business opportunities and to ensure that the major transformation of the fixed-line core business did not hamper the new ventures.</w:t>
      </w:r>
      <w:r w:rsidR="001C0BCC" w:rsidRPr="0072649D">
        <w:rPr>
          <w:rFonts w:ascii="Times New Roman" w:hAnsi="Times New Roman" w:cs="Times New Roman"/>
        </w:rPr>
        <w:t xml:space="preserve"> </w:t>
      </w:r>
      <w:r w:rsidR="00702AC0" w:rsidRPr="0072649D">
        <w:rPr>
          <w:rFonts w:ascii="Times New Roman" w:hAnsi="Times New Roman" w:cs="Times New Roman"/>
        </w:rPr>
        <w:t>Nevertheless</w:t>
      </w:r>
      <w:r w:rsidR="008D37F6" w:rsidRPr="0072649D">
        <w:rPr>
          <w:rFonts w:ascii="Times New Roman" w:hAnsi="Times New Roman" w:cs="Times New Roman"/>
        </w:rPr>
        <w:t xml:space="preserve">, building the new would have been insufficient without the dynamic capability of legacy removal.  Otherwise, Telenor would have been yet another </w:t>
      </w:r>
      <w:r w:rsidR="00960B70" w:rsidRPr="0072649D">
        <w:rPr>
          <w:rFonts w:ascii="Times New Roman" w:hAnsi="Times New Roman" w:cs="Times New Roman"/>
        </w:rPr>
        <w:t>“</w:t>
      </w:r>
      <w:r w:rsidR="008D37F6" w:rsidRPr="0072649D">
        <w:rPr>
          <w:rFonts w:ascii="Times New Roman" w:hAnsi="Times New Roman" w:cs="Times New Roman"/>
        </w:rPr>
        <w:t>Kodak</w:t>
      </w:r>
      <w:r w:rsidR="00960B70" w:rsidRPr="0072649D">
        <w:rPr>
          <w:rFonts w:ascii="Times New Roman" w:hAnsi="Times New Roman" w:cs="Times New Roman"/>
        </w:rPr>
        <w:t>”</w:t>
      </w:r>
      <w:r w:rsidR="008D37F6" w:rsidRPr="0072649D">
        <w:rPr>
          <w:rFonts w:ascii="Times New Roman" w:hAnsi="Times New Roman" w:cs="Times New Roman"/>
        </w:rPr>
        <w:t xml:space="preserve"> story</w:t>
      </w:r>
      <w:r w:rsidR="00960B70" w:rsidRPr="0072649D">
        <w:rPr>
          <w:rFonts w:ascii="Times New Roman" w:hAnsi="Times New Roman" w:cs="Times New Roman"/>
        </w:rPr>
        <w:t xml:space="preserve"> (</w:t>
      </w:r>
      <w:r w:rsidR="00960B70" w:rsidRPr="0072649D">
        <w:rPr>
          <w:rFonts w:ascii="Times New Roman" w:eastAsia="MinionPro-Regular" w:hAnsi="Times New Roman" w:cs="Times New Roman"/>
          <w:kern w:val="0"/>
        </w:rPr>
        <w:t>Lucas &amp; Goh, 2009).</w:t>
      </w:r>
      <w:r w:rsidRPr="0072649D">
        <w:rPr>
          <w:rFonts w:ascii="Times New Roman" w:eastAsia="MinionPro-Regular" w:hAnsi="Times New Roman" w:cs="Times New Roman"/>
          <w:kern w:val="0"/>
        </w:rPr>
        <w:t xml:space="preserve"> </w:t>
      </w:r>
    </w:p>
    <w:p w:rsidR="0089159C" w:rsidRPr="0072649D" w:rsidRDefault="00702AC0" w:rsidP="0076645A">
      <w:pPr>
        <w:spacing w:line="480" w:lineRule="auto"/>
        <w:rPr>
          <w:rFonts w:ascii="Times New Roman" w:eastAsia="MinionPro-Regular" w:hAnsi="Times New Roman" w:cs="Times New Roman"/>
          <w:kern w:val="0"/>
        </w:rPr>
      </w:pPr>
      <w:r w:rsidRPr="0072649D">
        <w:rPr>
          <w:rFonts w:ascii="Times New Roman" w:eastAsia="MinionPro-Regular" w:hAnsi="Times New Roman" w:cs="Times New Roman"/>
          <w:kern w:val="0"/>
        </w:rPr>
        <w:t xml:space="preserve">However, underlying the emergence of Telenor as a </w:t>
      </w:r>
      <w:r w:rsidR="00D50454" w:rsidRPr="0072649D">
        <w:rPr>
          <w:rFonts w:ascii="Times New Roman" w:eastAsia="MinionPro-Regular" w:hAnsi="Times New Roman" w:cs="Times New Roman"/>
          <w:kern w:val="0"/>
        </w:rPr>
        <w:t>MNMTC</w:t>
      </w:r>
      <w:r w:rsidRPr="0072649D">
        <w:rPr>
          <w:rFonts w:ascii="Times New Roman" w:eastAsia="MinionPro-Regular" w:hAnsi="Times New Roman" w:cs="Times New Roman"/>
          <w:kern w:val="0"/>
        </w:rPr>
        <w:t xml:space="preserve"> are two </w:t>
      </w:r>
      <w:r w:rsidR="004F796B" w:rsidRPr="0072649D">
        <w:rPr>
          <w:rFonts w:ascii="Times New Roman" w:eastAsia="MinionPro-Regular" w:hAnsi="Times New Roman" w:cs="Times New Roman"/>
          <w:kern w:val="0"/>
        </w:rPr>
        <w:t>factors</w:t>
      </w:r>
      <w:r w:rsidRPr="0072649D">
        <w:rPr>
          <w:rFonts w:ascii="Times New Roman" w:eastAsia="MinionPro-Regular" w:hAnsi="Times New Roman" w:cs="Times New Roman"/>
          <w:kern w:val="0"/>
        </w:rPr>
        <w:t xml:space="preserve"> both of which are products of </w:t>
      </w:r>
      <w:r w:rsidR="00195E50" w:rsidRPr="0072649D">
        <w:rPr>
          <w:rFonts w:ascii="Times New Roman" w:eastAsia="MinionPro-Regular" w:hAnsi="Times New Roman" w:cs="Times New Roman"/>
          <w:kern w:val="0"/>
        </w:rPr>
        <w:t xml:space="preserve">Telenor’s regulatory or institutional context that enabled it to draw on the resources of the Norwegian </w:t>
      </w:r>
      <w:r w:rsidRPr="0072649D">
        <w:rPr>
          <w:rFonts w:ascii="Times New Roman" w:eastAsia="MinionPro-Regular" w:hAnsi="Times New Roman" w:cs="Times New Roman"/>
          <w:kern w:val="0"/>
        </w:rPr>
        <w:t>state</w:t>
      </w:r>
      <w:r w:rsidR="00195E50" w:rsidRPr="0072649D">
        <w:rPr>
          <w:rFonts w:ascii="Times New Roman" w:eastAsia="MinionPro-Regular" w:hAnsi="Times New Roman" w:cs="Times New Roman"/>
          <w:kern w:val="0"/>
        </w:rPr>
        <w:t xml:space="preserve">. </w:t>
      </w:r>
      <w:r w:rsidR="000E62BD" w:rsidRPr="0072649D">
        <w:rPr>
          <w:rFonts w:ascii="Times New Roman" w:eastAsia="MinionPro-Regular" w:hAnsi="Times New Roman" w:cs="Times New Roman"/>
          <w:kern w:val="0"/>
        </w:rPr>
        <w:t>The first of these wa</w:t>
      </w:r>
      <w:r w:rsidRPr="0072649D">
        <w:rPr>
          <w:rFonts w:ascii="Times New Roman" w:eastAsia="MinionPro-Regular" w:hAnsi="Times New Roman" w:cs="Times New Roman"/>
          <w:kern w:val="0"/>
        </w:rPr>
        <w:t>s Telenor</w:t>
      </w:r>
      <w:r w:rsidR="00297B97" w:rsidRPr="0072649D">
        <w:rPr>
          <w:rFonts w:ascii="Times New Roman" w:eastAsia="MinionPro-Regular" w:hAnsi="Times New Roman" w:cs="Times New Roman"/>
          <w:kern w:val="0"/>
        </w:rPr>
        <w:t>’s</w:t>
      </w:r>
      <w:r w:rsidRPr="0072649D">
        <w:rPr>
          <w:rFonts w:ascii="Times New Roman" w:eastAsia="MinionPro-Regular" w:hAnsi="Times New Roman" w:cs="Times New Roman"/>
          <w:kern w:val="0"/>
        </w:rPr>
        <w:t xml:space="preserve"> research department</w:t>
      </w:r>
      <w:r w:rsidR="001C0BCC" w:rsidRPr="0072649D">
        <w:rPr>
          <w:rFonts w:ascii="Times New Roman" w:eastAsia="MinionPro-Regular" w:hAnsi="Times New Roman" w:cs="Times New Roman"/>
          <w:kern w:val="0"/>
        </w:rPr>
        <w:t xml:space="preserve"> </w:t>
      </w:r>
      <w:r w:rsidRPr="0072649D">
        <w:rPr>
          <w:rFonts w:ascii="Times New Roman" w:eastAsia="MinionPro-Regular" w:hAnsi="Times New Roman" w:cs="Times New Roman"/>
          <w:kern w:val="0"/>
        </w:rPr>
        <w:t>that provi</w:t>
      </w:r>
      <w:r w:rsidR="000E62BD" w:rsidRPr="0072649D">
        <w:rPr>
          <w:rFonts w:ascii="Times New Roman" w:eastAsia="MinionPro-Regular" w:hAnsi="Times New Roman" w:cs="Times New Roman"/>
          <w:kern w:val="0"/>
        </w:rPr>
        <w:t>ded many of the key capabilities for radical transformation. In 2000, it housed 400 full-time researchers;</w:t>
      </w:r>
      <w:r w:rsidRPr="0072649D">
        <w:rPr>
          <w:rFonts w:ascii="Times New Roman" w:eastAsia="MinionPro-Regular" w:hAnsi="Times New Roman" w:cs="Times New Roman"/>
          <w:kern w:val="0"/>
        </w:rPr>
        <w:t xml:space="preserve"> by 2015, after 15 years as a listed company this number was reduced to </w:t>
      </w:r>
      <w:r w:rsidR="00297B97" w:rsidRPr="0072649D">
        <w:rPr>
          <w:rFonts w:ascii="Times New Roman" w:eastAsia="MinionPro-Regular" w:hAnsi="Times New Roman" w:cs="Times New Roman"/>
          <w:kern w:val="0"/>
        </w:rPr>
        <w:t>about 50</w:t>
      </w:r>
      <w:r w:rsidRPr="0072649D">
        <w:rPr>
          <w:rFonts w:ascii="Times New Roman" w:eastAsia="MinionPro-Regular" w:hAnsi="Times New Roman" w:cs="Times New Roman"/>
          <w:kern w:val="0"/>
        </w:rPr>
        <w:t>. The second factor was the availability of state finance for T</w:t>
      </w:r>
      <w:r w:rsidR="000E62BD" w:rsidRPr="0072649D">
        <w:rPr>
          <w:rFonts w:ascii="Times New Roman" w:eastAsia="MinionPro-Regular" w:hAnsi="Times New Roman" w:cs="Times New Roman"/>
          <w:kern w:val="0"/>
        </w:rPr>
        <w:t xml:space="preserve">elenor’s </w:t>
      </w:r>
      <w:r w:rsidR="004F796B" w:rsidRPr="0072649D">
        <w:rPr>
          <w:rFonts w:ascii="Times New Roman" w:eastAsia="MinionPro-Regular" w:hAnsi="Times New Roman" w:cs="Times New Roman"/>
          <w:kern w:val="0"/>
        </w:rPr>
        <w:t xml:space="preserve">international expansion. </w:t>
      </w:r>
      <w:r w:rsidR="00195E50" w:rsidRPr="0072649D">
        <w:rPr>
          <w:rFonts w:ascii="Times New Roman" w:eastAsia="MinionPro-Regular" w:hAnsi="Times New Roman" w:cs="Times New Roman"/>
          <w:kern w:val="0"/>
        </w:rPr>
        <w:t>For regulatory reasons, t</w:t>
      </w:r>
      <w:r w:rsidRPr="0072649D">
        <w:rPr>
          <w:rFonts w:ascii="Times New Roman" w:eastAsia="MinionPro-Regular" w:hAnsi="Times New Roman" w:cs="Times New Roman"/>
          <w:kern w:val="0"/>
        </w:rPr>
        <w:t>hat source of f</w:t>
      </w:r>
      <w:r w:rsidR="00195E50" w:rsidRPr="0072649D">
        <w:rPr>
          <w:rFonts w:ascii="Times New Roman" w:eastAsia="MinionPro-Regular" w:hAnsi="Times New Roman" w:cs="Times New Roman"/>
          <w:kern w:val="0"/>
        </w:rPr>
        <w:t>inance</w:t>
      </w:r>
      <w:r w:rsidRPr="0072649D">
        <w:rPr>
          <w:rFonts w:ascii="Times New Roman" w:eastAsia="MinionPro-Regular" w:hAnsi="Times New Roman" w:cs="Times New Roman"/>
          <w:kern w:val="0"/>
        </w:rPr>
        <w:t xml:space="preserve"> disappeared after 2000. </w:t>
      </w:r>
    </w:p>
    <w:p w:rsidR="00C80A47" w:rsidRPr="0072649D" w:rsidRDefault="00C80A47" w:rsidP="0076645A">
      <w:pPr>
        <w:pStyle w:val="Heading1"/>
        <w:spacing w:line="480" w:lineRule="auto"/>
        <w:rPr>
          <w:rFonts w:ascii="Times New Roman" w:hAnsi="Times New Roman" w:cs="Times New Roman"/>
        </w:rPr>
      </w:pPr>
    </w:p>
    <w:p w:rsidR="008D37F6" w:rsidRPr="0072649D" w:rsidRDefault="008D37F6" w:rsidP="0076645A">
      <w:pPr>
        <w:pStyle w:val="Heading1"/>
        <w:spacing w:line="480" w:lineRule="auto"/>
        <w:rPr>
          <w:rFonts w:ascii="Times New Roman" w:hAnsi="Times New Roman" w:cs="Times New Roman"/>
        </w:rPr>
      </w:pPr>
      <w:r w:rsidRPr="0072649D">
        <w:rPr>
          <w:rFonts w:ascii="Times New Roman" w:hAnsi="Times New Roman" w:cs="Times New Roman"/>
        </w:rPr>
        <w:t xml:space="preserve">Radical change 2: </w:t>
      </w:r>
      <w:r w:rsidR="00974085" w:rsidRPr="0072649D">
        <w:rPr>
          <w:rFonts w:ascii="Times New Roman" w:hAnsi="Times New Roman" w:cs="Times New Roman"/>
        </w:rPr>
        <w:t>Transforming</w:t>
      </w:r>
      <w:r w:rsidR="005B2562" w:rsidRPr="0072649D">
        <w:rPr>
          <w:rFonts w:ascii="Times New Roman" w:hAnsi="Times New Roman" w:cs="Times New Roman"/>
        </w:rPr>
        <w:t xml:space="preserve"> the </w:t>
      </w:r>
      <w:r w:rsidR="00D50454" w:rsidRPr="0072649D">
        <w:rPr>
          <w:rFonts w:ascii="Times New Roman" w:hAnsi="Times New Roman" w:cs="Times New Roman"/>
        </w:rPr>
        <w:t>MNMTC</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 xml:space="preserve">Telenor </w:t>
      </w:r>
      <w:r w:rsidR="003349C7" w:rsidRPr="0072649D">
        <w:rPr>
          <w:rFonts w:ascii="Times New Roman" w:hAnsi="Times New Roman" w:cs="Times New Roman"/>
        </w:rPr>
        <w:t>in 2020</w:t>
      </w:r>
      <w:r w:rsidR="00974085" w:rsidRPr="0072649D">
        <w:rPr>
          <w:rFonts w:ascii="Times New Roman" w:hAnsi="Times New Roman" w:cs="Times New Roman"/>
        </w:rPr>
        <w:t xml:space="preserve"> operated as a </w:t>
      </w:r>
      <w:r w:rsidRPr="0072649D">
        <w:rPr>
          <w:rFonts w:ascii="Times New Roman" w:hAnsi="Times New Roman" w:cs="Times New Roman"/>
        </w:rPr>
        <w:t xml:space="preserve">vertically integrated multi-domestic </w:t>
      </w:r>
      <w:r w:rsidR="00974085" w:rsidRPr="0072649D">
        <w:rPr>
          <w:rFonts w:ascii="Times New Roman" w:hAnsi="Times New Roman" w:cs="Times New Roman"/>
        </w:rPr>
        <w:t>MNMTC</w:t>
      </w:r>
      <w:r w:rsidRPr="0072649D">
        <w:rPr>
          <w:rFonts w:ascii="Times New Roman" w:hAnsi="Times New Roman" w:cs="Times New Roman"/>
        </w:rPr>
        <w:t xml:space="preserve">.  </w:t>
      </w:r>
      <w:r w:rsidR="00C80A47" w:rsidRPr="0072649D">
        <w:rPr>
          <w:rFonts w:ascii="Times New Roman" w:hAnsi="Times New Roman" w:cs="Times New Roman"/>
        </w:rPr>
        <w:t>With more than 180 million customers, i</w:t>
      </w:r>
      <w:r w:rsidR="00974085" w:rsidRPr="0072649D">
        <w:rPr>
          <w:rFonts w:ascii="Times New Roman" w:hAnsi="Times New Roman" w:cs="Times New Roman"/>
        </w:rPr>
        <w:t>t had</w:t>
      </w:r>
      <w:r w:rsidRPr="0072649D">
        <w:rPr>
          <w:rFonts w:ascii="Times New Roman" w:hAnsi="Times New Roman" w:cs="Times New Roman"/>
        </w:rPr>
        <w:t xml:space="preserve"> a portfolio of mobile operations in Norway, Sweden, Denmark, </w:t>
      </w:r>
      <w:r w:rsidR="00C80A47" w:rsidRPr="0072649D">
        <w:rPr>
          <w:rFonts w:ascii="Times New Roman" w:hAnsi="Times New Roman" w:cs="Times New Roman"/>
        </w:rPr>
        <w:t xml:space="preserve">Finland, </w:t>
      </w:r>
      <w:r w:rsidRPr="0072649D">
        <w:rPr>
          <w:rFonts w:ascii="Times New Roman" w:hAnsi="Times New Roman" w:cs="Times New Roman"/>
        </w:rPr>
        <w:t>Thailand, Malaysia, Myanmar, Pakistan and Ba</w:t>
      </w:r>
      <w:r w:rsidR="003349C7" w:rsidRPr="0072649D">
        <w:rPr>
          <w:rFonts w:ascii="Times New Roman" w:hAnsi="Times New Roman" w:cs="Times New Roman"/>
        </w:rPr>
        <w:t>ngladesh</w:t>
      </w:r>
      <w:r w:rsidR="00C80A47" w:rsidRPr="0072649D">
        <w:rPr>
          <w:rFonts w:ascii="Times New Roman" w:hAnsi="Times New Roman" w:cs="Times New Roman"/>
        </w:rPr>
        <w:t xml:space="preserve">. </w:t>
      </w:r>
      <w:r w:rsidRPr="0072649D">
        <w:rPr>
          <w:rFonts w:ascii="Times New Roman" w:hAnsi="Times New Roman" w:cs="Times New Roman"/>
        </w:rPr>
        <w:t xml:space="preserve"> </w:t>
      </w:r>
      <w:r w:rsidR="00C80A47" w:rsidRPr="0072649D">
        <w:rPr>
          <w:rFonts w:ascii="Times New Roman" w:hAnsi="Times New Roman" w:cs="Times New Roman"/>
        </w:rPr>
        <w:t xml:space="preserve">Worldwide, Telenor </w:t>
      </w:r>
      <w:r w:rsidRPr="0072649D">
        <w:rPr>
          <w:rFonts w:ascii="Times New Roman" w:hAnsi="Times New Roman" w:cs="Times New Roman"/>
        </w:rPr>
        <w:t xml:space="preserve">has in the region of 20,000 employees and achieved NOK 110 billion in revenues in 2018. During </w:t>
      </w:r>
      <w:r w:rsidR="009E1A64" w:rsidRPr="0072649D">
        <w:rPr>
          <w:rFonts w:ascii="Times New Roman" w:hAnsi="Times New Roman" w:cs="Times New Roman"/>
        </w:rPr>
        <w:t>2018-2019,</w:t>
      </w:r>
      <w:r w:rsidRPr="0072649D">
        <w:rPr>
          <w:rFonts w:ascii="Times New Roman" w:hAnsi="Times New Roman" w:cs="Times New Roman"/>
        </w:rPr>
        <w:t xml:space="preserve"> it outperformed the benchmark, STOXX Europe 600 Telecommunications index by 2 percent. </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However, the underlying picture is less sanguine. The impact of competition from global internet players</w:t>
      </w:r>
      <w:r w:rsidR="00125406" w:rsidRPr="0072649D">
        <w:rPr>
          <w:rFonts w:ascii="Times New Roman" w:hAnsi="Times New Roman" w:cs="Times New Roman"/>
        </w:rPr>
        <w:t>’ services</w:t>
      </w:r>
      <w:r w:rsidRPr="0072649D">
        <w:rPr>
          <w:rFonts w:ascii="Times New Roman" w:hAnsi="Times New Roman" w:cs="Times New Roman"/>
        </w:rPr>
        <w:t>, such as iMessage, WhatsApp and Messenger on revenue from mobile voice and messaging services has left Telenor dependent on replacing voice with internet connectivity as its core revenue generating service so that by 2018, 97 percent of its revenues came from connectivity. This service is exposed to increasing competition from other connectivity providers such that for the first time in its recent history, the group financial results suffered negative organic revenue growth of -0,6% in 2018 (</w:t>
      </w:r>
      <w:r w:rsidRPr="0072649D">
        <w:rPr>
          <w:rFonts w:ascii="Times New Roman" w:hAnsi="Times New Roman" w:cs="Times New Roman"/>
          <w:color w:val="000000"/>
        </w:rPr>
        <w:t>Telenor financial report 2018</w:t>
      </w:r>
      <w:r w:rsidRPr="0072649D">
        <w:rPr>
          <w:rFonts w:ascii="Times New Roman" w:hAnsi="Times New Roman" w:cs="Times New Roman"/>
        </w:rPr>
        <w:t xml:space="preserve">). </w:t>
      </w:r>
      <w:r w:rsidR="00950919" w:rsidRPr="0072649D">
        <w:rPr>
          <w:rFonts w:ascii="Times New Roman" w:hAnsi="Times New Roman" w:cs="Times New Roman"/>
        </w:rPr>
        <w:t xml:space="preserve">However, of much greater significance is that with the imminent introduction of 5G and e-sim, global digitally based firms such as Facebook and Netflix threaten to reduce MNMTCs to utilities supplying connectivity to serve their business models (Dasi et al., 2019). </w:t>
      </w:r>
    </w:p>
    <w:p w:rsidR="008D37F6" w:rsidRPr="0072649D" w:rsidRDefault="00C80A47" w:rsidP="0076645A">
      <w:pPr>
        <w:spacing w:line="480" w:lineRule="auto"/>
        <w:rPr>
          <w:rFonts w:ascii="Times New Roman" w:hAnsi="Times New Roman" w:cs="Times New Roman"/>
        </w:rPr>
      </w:pPr>
      <w:r w:rsidRPr="0072649D">
        <w:rPr>
          <w:rFonts w:ascii="Times New Roman" w:hAnsi="Times New Roman" w:cs="Times New Roman"/>
        </w:rPr>
        <w:t>Responding to this</w:t>
      </w:r>
      <w:r w:rsidR="004B653F" w:rsidRPr="0072649D">
        <w:rPr>
          <w:rFonts w:ascii="Times New Roman" w:hAnsi="Times New Roman" w:cs="Times New Roman"/>
        </w:rPr>
        <w:t xml:space="preserve"> radical change</w:t>
      </w:r>
      <w:r w:rsidRPr="0072649D">
        <w:rPr>
          <w:rFonts w:ascii="Times New Roman" w:hAnsi="Times New Roman" w:cs="Times New Roman"/>
        </w:rPr>
        <w:t>, i</w:t>
      </w:r>
      <w:r w:rsidR="008D37F6" w:rsidRPr="0072649D">
        <w:rPr>
          <w:rFonts w:ascii="Times New Roman" w:hAnsi="Times New Roman" w:cs="Times New Roman"/>
        </w:rPr>
        <w:t xml:space="preserve">n April 2016, Telenor’s CEO Sigve Brekke </w:t>
      </w:r>
      <w:r w:rsidRPr="0072649D">
        <w:rPr>
          <w:rFonts w:ascii="Times New Roman" w:hAnsi="Times New Roman" w:cs="Times New Roman"/>
        </w:rPr>
        <w:t>stated:</w:t>
      </w:r>
    </w:p>
    <w:p w:rsidR="008D37F6" w:rsidRPr="0072649D" w:rsidRDefault="00813D7A" w:rsidP="00813D7A">
      <w:pPr>
        <w:spacing w:line="480" w:lineRule="auto"/>
        <w:ind w:left="720" w:firstLine="0"/>
        <w:rPr>
          <w:rStyle w:val="Emphasis"/>
          <w:rFonts w:ascii="Times New Roman" w:hAnsi="Times New Roman" w:cs="Times New Roman"/>
        </w:rPr>
      </w:pPr>
      <w:r w:rsidRPr="0072649D">
        <w:rPr>
          <w:rStyle w:val="Emphasis"/>
          <w:rFonts w:ascii="Times New Roman" w:hAnsi="Times New Roman" w:cs="Times New Roman"/>
          <w:i w:val="0"/>
        </w:rPr>
        <w:lastRenderedPageBreak/>
        <w:t>“</w:t>
      </w:r>
      <w:r w:rsidR="008D37F6" w:rsidRPr="0072649D">
        <w:rPr>
          <w:rStyle w:val="Emphasis"/>
          <w:rFonts w:ascii="Times New Roman" w:hAnsi="Times New Roman" w:cs="Times New Roman"/>
          <w:i w:val="0"/>
        </w:rPr>
        <w:t>We are faced with the need to change rapidly. We will see a dramatic reduction in income from voice. We (therefore) need to embark on a journey from being a traditional mobile operator to being the preferred deliverer of digital services. This will involve putting into place completely different business models to those we have today. We cannot deliver every digital solution ourselves—for the most part, we must do this in partnership with others.</w:t>
      </w:r>
      <w:r w:rsidRPr="0072649D">
        <w:rPr>
          <w:rStyle w:val="Emphasis"/>
          <w:rFonts w:ascii="Times New Roman" w:hAnsi="Times New Roman" w:cs="Times New Roman"/>
          <w:i w:val="0"/>
        </w:rPr>
        <w:t>”</w:t>
      </w:r>
      <w:r w:rsidR="008D37F6" w:rsidRPr="0072649D">
        <w:rPr>
          <w:rStyle w:val="Emphasis"/>
          <w:rFonts w:ascii="Times New Roman" w:hAnsi="Times New Roman" w:cs="Times New Roman"/>
        </w:rPr>
        <w:t xml:space="preserve"> (Dagens Næringsliv, </w:t>
      </w:r>
      <w:r w:rsidR="004B653F" w:rsidRPr="0072649D">
        <w:rPr>
          <w:rStyle w:val="Emphasis"/>
          <w:rFonts w:ascii="Times New Roman" w:hAnsi="Times New Roman" w:cs="Times New Roman"/>
          <w:i w:val="0"/>
        </w:rPr>
        <w:t xml:space="preserve">2016b: our </w:t>
      </w:r>
      <w:r w:rsidR="008D37F6" w:rsidRPr="0072649D">
        <w:rPr>
          <w:rStyle w:val="Emphasis"/>
          <w:rFonts w:ascii="Times New Roman" w:hAnsi="Times New Roman" w:cs="Times New Roman"/>
          <w:i w:val="0"/>
        </w:rPr>
        <w:t>translation</w:t>
      </w:r>
      <w:r w:rsidR="008D37F6" w:rsidRPr="0072649D">
        <w:rPr>
          <w:rStyle w:val="Emphasis"/>
          <w:rFonts w:ascii="Times New Roman" w:hAnsi="Times New Roman" w:cs="Times New Roman"/>
        </w:rPr>
        <w:t xml:space="preserve">). </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iCs/>
        </w:rPr>
        <w:t xml:space="preserve">Failure to respond to this development would mean </w:t>
      </w:r>
      <w:r w:rsidR="004B653F" w:rsidRPr="0072649D">
        <w:rPr>
          <w:rFonts w:ascii="Times New Roman" w:hAnsi="Times New Roman" w:cs="Times New Roman"/>
        </w:rPr>
        <w:t>Telenor ending up as a “dumb-pipe”</w:t>
      </w:r>
      <w:r w:rsidRPr="0072649D">
        <w:rPr>
          <w:rFonts w:ascii="Times New Roman" w:hAnsi="Times New Roman" w:cs="Times New Roman"/>
        </w:rPr>
        <w:t xml:space="preserve">, limited to selling connectivity based on a semi-redundant industry platform and dependent on national regulators </w:t>
      </w:r>
      <w:r w:rsidR="004B653F" w:rsidRPr="0072649D">
        <w:rPr>
          <w:rFonts w:ascii="Times New Roman" w:hAnsi="Times New Roman" w:cs="Times New Roman"/>
        </w:rPr>
        <w:t xml:space="preserve">in its various markets </w:t>
      </w:r>
      <w:r w:rsidRPr="0072649D">
        <w:rPr>
          <w:rFonts w:ascii="Times New Roman" w:hAnsi="Times New Roman" w:cs="Times New Roman"/>
        </w:rPr>
        <w:t>continuing to guarantee oligopoly</w:t>
      </w:r>
      <w:r w:rsidR="00C80A47" w:rsidRPr="0072649D">
        <w:rPr>
          <w:rFonts w:ascii="Times New Roman" w:hAnsi="Times New Roman" w:cs="Times New Roman"/>
        </w:rPr>
        <w:t xml:space="preserve"> by limiting the number of operators able to acquire licenses. </w:t>
      </w:r>
      <w:r w:rsidRPr="0072649D">
        <w:rPr>
          <w:rFonts w:ascii="Times New Roman" w:hAnsi="Times New Roman" w:cs="Times New Roman"/>
        </w:rPr>
        <w:t xml:space="preserve"> </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From the perspective of an evolutionary framework for organizational change Brekke’s statement is signal</w:t>
      </w:r>
      <w:r w:rsidR="00D80705" w:rsidRPr="0072649D">
        <w:rPr>
          <w:rFonts w:ascii="Times New Roman" w:hAnsi="Times New Roman" w:cs="Times New Roman"/>
        </w:rPr>
        <w:t>l</w:t>
      </w:r>
      <w:r w:rsidRPr="0072649D">
        <w:rPr>
          <w:rFonts w:ascii="Times New Roman" w:hAnsi="Times New Roman" w:cs="Times New Roman"/>
        </w:rPr>
        <w:t xml:space="preserve">ing the start of a “‘disrupting cycle’ (in the sense of) a decisive break with the selection criterion” (Mees-Buss et al., 2019:1521) sustaining the extant </w:t>
      </w:r>
      <w:r w:rsidR="00D50454" w:rsidRPr="0072649D">
        <w:rPr>
          <w:rFonts w:ascii="Times New Roman" w:hAnsi="Times New Roman" w:cs="Times New Roman"/>
        </w:rPr>
        <w:t>MNMTC</w:t>
      </w:r>
      <w:r w:rsidRPr="0072649D">
        <w:rPr>
          <w:rFonts w:ascii="Times New Roman" w:hAnsi="Times New Roman" w:cs="Times New Roman"/>
        </w:rPr>
        <w:t xml:space="preserve"> business model. By selection criterion is meant the critical factors that are considered to be key to competitive advantage and that underpin all decision-making in the organization. </w:t>
      </w:r>
    </w:p>
    <w:p w:rsidR="002F0E99" w:rsidRPr="0072649D" w:rsidRDefault="002F0E99" w:rsidP="0076645A">
      <w:pPr>
        <w:spacing w:line="480" w:lineRule="auto"/>
        <w:rPr>
          <w:rFonts w:ascii="Times New Roman" w:hAnsi="Times New Roman" w:cs="Times New Roman"/>
        </w:rPr>
      </w:pPr>
    </w:p>
    <w:p w:rsidR="008D37F6" w:rsidRPr="0072649D" w:rsidRDefault="008D37F6" w:rsidP="0076645A">
      <w:pPr>
        <w:pStyle w:val="Heading1"/>
        <w:spacing w:line="480" w:lineRule="auto"/>
        <w:rPr>
          <w:rFonts w:ascii="Times New Roman" w:hAnsi="Times New Roman" w:cs="Times New Roman"/>
        </w:rPr>
      </w:pPr>
      <w:r w:rsidRPr="0072649D">
        <w:rPr>
          <w:rFonts w:ascii="Times New Roman" w:hAnsi="Times New Roman" w:cs="Times New Roman"/>
        </w:rPr>
        <w:t xml:space="preserve">Methodology </w:t>
      </w:r>
    </w:p>
    <w:p w:rsidR="008D37F6" w:rsidRPr="0072649D" w:rsidRDefault="008D37F6" w:rsidP="0076645A">
      <w:pPr>
        <w:spacing w:line="480" w:lineRule="auto"/>
        <w:rPr>
          <w:rFonts w:ascii="Times New Roman" w:hAnsi="Times New Roman" w:cs="Times New Roman"/>
        </w:rPr>
      </w:pPr>
      <w:r w:rsidRPr="0072649D">
        <w:rPr>
          <w:rFonts w:ascii="Times New Roman" w:hAnsi="Times New Roman" w:cs="Times New Roman"/>
        </w:rPr>
        <w:tab/>
        <w:t>At the point-in-time of our research, late 2019</w:t>
      </w:r>
      <w:r w:rsidR="003349C7" w:rsidRPr="0072649D">
        <w:rPr>
          <w:rFonts w:ascii="Times New Roman" w:hAnsi="Times New Roman" w:cs="Times New Roman"/>
        </w:rPr>
        <w:t xml:space="preserve"> to early 2020</w:t>
      </w:r>
      <w:r w:rsidRPr="0072649D">
        <w:rPr>
          <w:rFonts w:ascii="Times New Roman" w:hAnsi="Times New Roman" w:cs="Times New Roman"/>
        </w:rPr>
        <w:t xml:space="preserve">, we sought to investigate the progress of the disrupting cycle at Telenor that its CEO, Sigve Brekke, </w:t>
      </w:r>
      <w:r w:rsidR="00D0346F" w:rsidRPr="0072649D">
        <w:rPr>
          <w:rFonts w:ascii="Times New Roman" w:hAnsi="Times New Roman" w:cs="Times New Roman"/>
        </w:rPr>
        <w:t>communicated</w:t>
      </w:r>
      <w:r w:rsidR="003349C7" w:rsidRPr="0072649D">
        <w:rPr>
          <w:rFonts w:ascii="Times New Roman" w:hAnsi="Times New Roman" w:cs="Times New Roman"/>
        </w:rPr>
        <w:t xml:space="preserve"> early 2016.  U</w:t>
      </w:r>
      <w:r w:rsidRPr="0072649D">
        <w:rPr>
          <w:rFonts w:ascii="Times New Roman" w:hAnsi="Times New Roman" w:cs="Times New Roman"/>
        </w:rPr>
        <w:t xml:space="preserve">sing </w:t>
      </w:r>
      <w:r w:rsidR="003349C7" w:rsidRPr="0072649D">
        <w:rPr>
          <w:rFonts w:ascii="Times New Roman" w:hAnsi="Times New Roman" w:cs="Times New Roman"/>
        </w:rPr>
        <w:t xml:space="preserve">one of the </w:t>
      </w:r>
      <w:r w:rsidRPr="0072649D">
        <w:rPr>
          <w:rFonts w:ascii="Times New Roman" w:hAnsi="Times New Roman" w:cs="Times New Roman"/>
        </w:rPr>
        <w:t>co-author</w:t>
      </w:r>
      <w:r w:rsidR="003349C7" w:rsidRPr="0072649D">
        <w:rPr>
          <w:rFonts w:ascii="Times New Roman" w:hAnsi="Times New Roman" w:cs="Times New Roman"/>
        </w:rPr>
        <w:t xml:space="preserve">’s access to Telenor company </w:t>
      </w:r>
      <w:r w:rsidR="00C80A47" w:rsidRPr="0072649D">
        <w:rPr>
          <w:rFonts w:ascii="Times New Roman" w:hAnsi="Times New Roman" w:cs="Times New Roman"/>
        </w:rPr>
        <w:t>documents,</w:t>
      </w:r>
      <w:r w:rsidR="003349C7" w:rsidRPr="0072649D">
        <w:rPr>
          <w:rFonts w:ascii="Times New Roman" w:hAnsi="Times New Roman" w:cs="Times New Roman"/>
        </w:rPr>
        <w:t xml:space="preserve"> </w:t>
      </w:r>
      <w:r w:rsidRPr="0072649D">
        <w:rPr>
          <w:rFonts w:ascii="Times New Roman" w:hAnsi="Times New Roman" w:cs="Times New Roman"/>
        </w:rPr>
        <w:lastRenderedPageBreak/>
        <w:t xml:space="preserve">we performed a preliminary mapping of the current organizational initiatives within Telenor. </w:t>
      </w:r>
      <w:r w:rsidR="003349C7" w:rsidRPr="0072649D">
        <w:rPr>
          <w:rFonts w:ascii="Times New Roman" w:hAnsi="Times New Roman" w:cs="Times New Roman"/>
        </w:rPr>
        <w:t>We later supplemented these insights with two interviews with managers responsible respectively for Telenor’s holding company and an innovation ecosystem alliance.</w:t>
      </w:r>
      <w:r w:rsidR="00DC7DEF" w:rsidRPr="0072649D">
        <w:rPr>
          <w:rFonts w:ascii="Times New Roman" w:hAnsi="Times New Roman" w:cs="Times New Roman"/>
        </w:rPr>
        <w:t xml:space="preserve"> We distinguish initial organizational solutions that preceded </w:t>
      </w:r>
      <w:r w:rsidR="00511B31" w:rsidRPr="0072649D">
        <w:rPr>
          <w:rFonts w:ascii="Times New Roman" w:hAnsi="Times New Roman" w:cs="Times New Roman"/>
        </w:rPr>
        <w:t xml:space="preserve">early 2017 when Brekke moderated his view on what Telenor was capable of in terms of radical </w:t>
      </w:r>
      <w:r w:rsidR="00D0346F" w:rsidRPr="0072649D">
        <w:rPr>
          <w:rFonts w:ascii="Times New Roman" w:hAnsi="Times New Roman" w:cs="Times New Roman"/>
        </w:rPr>
        <w:t>transformation and post-2017 solutions</w:t>
      </w:r>
      <w:r w:rsidR="00511B31" w:rsidRPr="0072649D">
        <w:rPr>
          <w:rFonts w:ascii="Times New Roman" w:hAnsi="Times New Roman" w:cs="Times New Roman"/>
        </w:rPr>
        <w:t xml:space="preserve">. </w:t>
      </w:r>
    </w:p>
    <w:p w:rsidR="008D37F6" w:rsidRPr="0072649D" w:rsidRDefault="00C3482A" w:rsidP="0076645A">
      <w:pPr>
        <w:spacing w:line="480" w:lineRule="auto"/>
        <w:rPr>
          <w:rFonts w:ascii="Times New Roman" w:hAnsi="Times New Roman" w:cs="Times New Roman"/>
        </w:rPr>
      </w:pPr>
      <w:r w:rsidRPr="0072649D">
        <w:rPr>
          <w:rFonts w:ascii="Times New Roman" w:hAnsi="Times New Roman" w:cs="Times New Roman"/>
        </w:rPr>
        <w:t>After the preliminary mapping</w:t>
      </w:r>
      <w:r w:rsidR="008D37F6" w:rsidRPr="0072649D">
        <w:rPr>
          <w:rFonts w:ascii="Times New Roman" w:hAnsi="Times New Roman" w:cs="Times New Roman"/>
        </w:rPr>
        <w:t xml:space="preserve">, we interviewed six senior </w:t>
      </w:r>
      <w:r w:rsidRPr="0072649D">
        <w:rPr>
          <w:rFonts w:ascii="Times New Roman" w:hAnsi="Times New Roman" w:cs="Times New Roman"/>
        </w:rPr>
        <w:t xml:space="preserve">Telenor </w:t>
      </w:r>
      <w:r w:rsidR="008D37F6" w:rsidRPr="0072649D">
        <w:rPr>
          <w:rFonts w:ascii="Times New Roman" w:hAnsi="Times New Roman" w:cs="Times New Roman"/>
        </w:rPr>
        <w:t>managers (see appendix 1), one of whom had recently retired from the company. Each interview was semi-structured and divided into two main segments (see appendix 2). We firstly requested that they read and respond to Brekke’s 2016 start of a ‘disrupting cycle’ statement (see above). In the next segment</w:t>
      </w:r>
      <w:r w:rsidR="002A7B83" w:rsidRPr="0072649D">
        <w:rPr>
          <w:rFonts w:ascii="Times New Roman" w:hAnsi="Times New Roman" w:cs="Times New Roman"/>
        </w:rPr>
        <w:t>,</w:t>
      </w:r>
      <w:r w:rsidR="008D37F6" w:rsidRPr="0072649D">
        <w:rPr>
          <w:rFonts w:ascii="Times New Roman" w:hAnsi="Times New Roman" w:cs="Times New Roman"/>
        </w:rPr>
        <w:t xml:space="preserve"> we sought their views on how Telenor is engaging with radical change. We presented them with a list of organizational initiatives that had been instigated at Telenor following the ‘disrupting cycle’ statement and requested that they select and discuss the five most significant of these.  Then, we listed the five generic organizational solutions for change we have discussed above and legacy removal and asked them to select and discuss the five most important. </w:t>
      </w:r>
    </w:p>
    <w:p w:rsidR="00083ED8" w:rsidRPr="0072649D" w:rsidRDefault="00083ED8" w:rsidP="00083ED8">
      <w:pPr>
        <w:spacing w:line="480" w:lineRule="auto"/>
        <w:rPr>
          <w:rFonts w:ascii="Times New Roman" w:hAnsi="Times New Roman" w:cs="Times New Roman"/>
        </w:rPr>
      </w:pPr>
      <w:r w:rsidRPr="0072649D">
        <w:rPr>
          <w:rFonts w:ascii="Times New Roman" w:hAnsi="Times New Roman" w:cs="Times New Roman"/>
        </w:rPr>
        <w:t xml:space="preserve">All eight interviews we conducted were recorded and transcribed. </w:t>
      </w:r>
    </w:p>
    <w:p w:rsidR="008D37F6" w:rsidRPr="0072649D" w:rsidRDefault="00C80A47" w:rsidP="00DC1662">
      <w:pPr>
        <w:pStyle w:val="Heading2"/>
      </w:pPr>
      <w:r w:rsidRPr="0072649D">
        <w:t xml:space="preserve">Initial </w:t>
      </w:r>
      <w:r w:rsidR="002A7B83" w:rsidRPr="0072649D">
        <w:t>organizational solutions</w:t>
      </w:r>
    </w:p>
    <w:p w:rsidR="00C80A47" w:rsidRPr="0072649D" w:rsidRDefault="00C80A47" w:rsidP="0076645A">
      <w:pPr>
        <w:pStyle w:val="Heading3"/>
        <w:spacing w:line="480" w:lineRule="auto"/>
        <w:rPr>
          <w:rFonts w:ascii="Times New Roman" w:hAnsi="Times New Roman" w:cs="Times New Roman"/>
        </w:rPr>
      </w:pPr>
      <w:r w:rsidRPr="0072649D">
        <w:rPr>
          <w:rFonts w:ascii="Times New Roman" w:hAnsi="Times New Roman" w:cs="Times New Roman"/>
        </w:rPr>
        <w:t xml:space="preserve">Acquisitions.  </w:t>
      </w:r>
    </w:p>
    <w:p w:rsidR="00C80A47" w:rsidRPr="0072649D" w:rsidRDefault="00C80A47" w:rsidP="0076645A">
      <w:pPr>
        <w:spacing w:line="480" w:lineRule="auto"/>
        <w:rPr>
          <w:rFonts w:ascii="Times New Roman" w:hAnsi="Times New Roman" w:cs="Times New Roman"/>
        </w:rPr>
      </w:pPr>
      <w:r w:rsidRPr="009A3B9C">
        <w:rPr>
          <w:rFonts w:ascii="Times New Roman" w:hAnsi="Times New Roman" w:cs="Times New Roman"/>
        </w:rPr>
        <w:t xml:space="preserve">Even before his announcement of </w:t>
      </w:r>
      <w:r w:rsidR="00D0346F" w:rsidRPr="009A3B9C">
        <w:rPr>
          <w:rFonts w:ascii="Times New Roman" w:hAnsi="Times New Roman" w:cs="Times New Roman"/>
        </w:rPr>
        <w:t xml:space="preserve">the need for </w:t>
      </w:r>
      <w:r w:rsidRPr="009A3B9C">
        <w:rPr>
          <w:rFonts w:ascii="Times New Roman" w:hAnsi="Times New Roman" w:cs="Times New Roman"/>
        </w:rPr>
        <w:t xml:space="preserve">radical </w:t>
      </w:r>
      <w:r w:rsidR="008A5DFE" w:rsidRPr="009A3B9C">
        <w:rPr>
          <w:rFonts w:ascii="Times New Roman" w:hAnsi="Times New Roman" w:cs="Times New Roman"/>
        </w:rPr>
        <w:t>transformation</w:t>
      </w:r>
      <w:r w:rsidRPr="009A3B9C">
        <w:rPr>
          <w:rFonts w:ascii="Times New Roman" w:hAnsi="Times New Roman" w:cs="Times New Roman"/>
        </w:rPr>
        <w:t>, in the fall of 2015, Brekke formed an internal project label</w:t>
      </w:r>
      <w:r w:rsidR="008A5DFE" w:rsidRPr="009A3B9C">
        <w:rPr>
          <w:rFonts w:ascii="Times New Roman" w:hAnsi="Times New Roman" w:cs="Times New Roman"/>
        </w:rPr>
        <w:t>l</w:t>
      </w:r>
      <w:r w:rsidRPr="009A3B9C">
        <w:rPr>
          <w:rFonts w:ascii="Times New Roman" w:hAnsi="Times New Roman" w:cs="Times New Roman"/>
        </w:rPr>
        <w:t>ed “Thor” comprising experts on acquisitions and digital services. The Thor project presented Brekke with a list</w:t>
      </w:r>
      <w:r w:rsidRPr="0072649D">
        <w:rPr>
          <w:rFonts w:ascii="Times New Roman" w:hAnsi="Times New Roman" w:cs="Times New Roman"/>
        </w:rPr>
        <w:t xml:space="preserve"> of 300 potential acquisition targets and of </w:t>
      </w:r>
      <w:r w:rsidRPr="0072649D">
        <w:rPr>
          <w:rFonts w:ascii="Times New Roman" w:hAnsi="Times New Roman" w:cs="Times New Roman"/>
        </w:rPr>
        <w:lastRenderedPageBreak/>
        <w:t>these in February 2016, he made the decision to acquire the US company, Tapad for NOK 3 billion. Tapad’s business was the tailoring and targeting of classified advertisements for mobile devices and personal computers and Brekke declared that</w:t>
      </w:r>
      <w:r w:rsidR="00F81538">
        <w:rPr>
          <w:rFonts w:ascii="Times New Roman" w:hAnsi="Times New Roman" w:cs="Times New Roman"/>
        </w:rPr>
        <w:t>,</w:t>
      </w:r>
      <w:r w:rsidRPr="00F81538">
        <w:rPr>
          <w:rFonts w:ascii="Times New Roman" w:hAnsi="Times New Roman" w:cs="Times New Roman"/>
        </w:rPr>
        <w:t xml:space="preserve"> “Tapad has world class competence in what we require.” (</w:t>
      </w:r>
      <w:r w:rsidRPr="0072649D">
        <w:rPr>
          <w:rFonts w:ascii="Times New Roman" w:hAnsi="Times New Roman" w:cs="Times New Roman"/>
          <w:i/>
        </w:rPr>
        <w:t xml:space="preserve">Dagens Næringsliv, </w:t>
      </w:r>
      <w:r w:rsidRPr="0072649D">
        <w:rPr>
          <w:rFonts w:ascii="Times New Roman" w:hAnsi="Times New Roman" w:cs="Times New Roman"/>
        </w:rPr>
        <w:t xml:space="preserve">2016a). At the same time, he acknowledged that “the digital is unknown for us” and that therefore engaging in such acquisitions was </w:t>
      </w:r>
      <w:r w:rsidR="00D0346F" w:rsidRPr="0072649D">
        <w:rPr>
          <w:rFonts w:ascii="Times New Roman" w:hAnsi="Times New Roman" w:cs="Times New Roman"/>
        </w:rPr>
        <w:t>“</w:t>
      </w:r>
      <w:r w:rsidRPr="0072649D">
        <w:rPr>
          <w:rFonts w:ascii="Times New Roman" w:hAnsi="Times New Roman" w:cs="Times New Roman"/>
        </w:rPr>
        <w:t>immensely demanding</w:t>
      </w:r>
      <w:r w:rsidR="00D0346F" w:rsidRPr="0072649D">
        <w:rPr>
          <w:rFonts w:ascii="Times New Roman" w:hAnsi="Times New Roman" w:cs="Times New Roman"/>
        </w:rPr>
        <w:t>”</w:t>
      </w:r>
      <w:r w:rsidRPr="0072649D">
        <w:rPr>
          <w:rFonts w:ascii="Times New Roman" w:hAnsi="Times New Roman" w:cs="Times New Roman"/>
        </w:rPr>
        <w:t xml:space="preserve">.  In the course of 2016, Tapad’s classified market in the US shrank resulting in a year-end write-down of NOK 1 billion. By late 2017, Telenor had completely written off the Tapad investment.  </w:t>
      </w:r>
    </w:p>
    <w:p w:rsidR="00C80A47" w:rsidRPr="0072649D" w:rsidRDefault="00C80A47" w:rsidP="0076645A">
      <w:pPr>
        <w:spacing w:line="480" w:lineRule="auto"/>
        <w:rPr>
          <w:rFonts w:ascii="Times New Roman" w:hAnsi="Times New Roman" w:cs="Times New Roman"/>
        </w:rPr>
      </w:pPr>
      <w:r w:rsidRPr="0072649D">
        <w:rPr>
          <w:rFonts w:ascii="Times New Roman" w:hAnsi="Times New Roman" w:cs="Times New Roman"/>
        </w:rPr>
        <w:t>Another initiative was the establishment of Telenor Digital Business located in Singapore tasked with acquiring smaller</w:t>
      </w:r>
      <w:r w:rsidR="00D0346F" w:rsidRPr="0072649D">
        <w:rPr>
          <w:rFonts w:ascii="Times New Roman" w:hAnsi="Times New Roman" w:cs="Times New Roman"/>
        </w:rPr>
        <w:t xml:space="preserve"> innovative companies that could provide Telenor with digital service and content provider capabilities. However, due to capital constraints, during 2017 Telenor discontinued this initiative. </w:t>
      </w:r>
    </w:p>
    <w:p w:rsidR="00DC7DEF" w:rsidRPr="0072649D" w:rsidRDefault="00DC7DEF" w:rsidP="0076645A">
      <w:pPr>
        <w:pStyle w:val="Heading3"/>
        <w:spacing w:line="480" w:lineRule="auto"/>
        <w:rPr>
          <w:rFonts w:ascii="Times New Roman" w:hAnsi="Times New Roman" w:cs="Times New Roman"/>
        </w:rPr>
      </w:pPr>
      <w:r w:rsidRPr="0072649D">
        <w:rPr>
          <w:rFonts w:ascii="Times New Roman" w:hAnsi="Times New Roman" w:cs="Times New Roman"/>
        </w:rPr>
        <w:t>Partnerships</w:t>
      </w:r>
    </w:p>
    <w:p w:rsidR="00DC7DEF" w:rsidRPr="00F81538" w:rsidRDefault="00DC7DEF" w:rsidP="0076645A">
      <w:pPr>
        <w:spacing w:line="480" w:lineRule="auto"/>
        <w:rPr>
          <w:rFonts w:ascii="Times New Roman" w:hAnsi="Times New Roman" w:cs="Times New Roman"/>
        </w:rPr>
      </w:pPr>
      <w:r w:rsidRPr="0072649D">
        <w:rPr>
          <w:rFonts w:ascii="Times New Roman" w:hAnsi="Times New Roman" w:cs="Times New Roman"/>
        </w:rPr>
        <w:t xml:space="preserve">Telenor has multiple partnerships with vendors, distributors and co-developers of services including Facebook, Google and Ant Financial. Furthermore, Telenor engages </w:t>
      </w:r>
      <w:r w:rsidR="008A5DFE" w:rsidRPr="0072649D">
        <w:rPr>
          <w:rFonts w:ascii="Times New Roman" w:hAnsi="Times New Roman" w:cs="Times New Roman"/>
        </w:rPr>
        <w:t xml:space="preserve">in </w:t>
      </w:r>
      <w:r w:rsidRPr="0072649D">
        <w:rPr>
          <w:rFonts w:ascii="Times New Roman" w:hAnsi="Times New Roman" w:cs="Times New Roman"/>
        </w:rPr>
        <w:t xml:space="preserve">partnerships with academic institutions including </w:t>
      </w:r>
      <w:r w:rsidR="00F81538">
        <w:rPr>
          <w:rFonts w:ascii="Times New Roman" w:hAnsi="Times New Roman" w:cs="Times New Roman"/>
        </w:rPr>
        <w:t>The Norwegian School of Economics (</w:t>
      </w:r>
      <w:r w:rsidRPr="00F81538">
        <w:rPr>
          <w:rFonts w:ascii="Times New Roman" w:hAnsi="Times New Roman" w:cs="Times New Roman"/>
        </w:rPr>
        <w:t>NHH</w:t>
      </w:r>
      <w:r w:rsidR="00F81538">
        <w:rPr>
          <w:rFonts w:ascii="Times New Roman" w:hAnsi="Times New Roman" w:cs="Times New Roman"/>
        </w:rPr>
        <w:t>)</w:t>
      </w:r>
      <w:r w:rsidRPr="00F81538">
        <w:rPr>
          <w:rFonts w:ascii="Times New Roman" w:hAnsi="Times New Roman" w:cs="Times New Roman"/>
        </w:rPr>
        <w:t xml:space="preserve"> and </w:t>
      </w:r>
      <w:r w:rsidR="00F81538">
        <w:rPr>
          <w:rFonts w:ascii="Times New Roman" w:hAnsi="Times New Roman" w:cs="Times New Roman"/>
        </w:rPr>
        <w:t xml:space="preserve">The </w:t>
      </w:r>
      <w:r w:rsidR="00F81538" w:rsidRPr="00F81538">
        <w:rPr>
          <w:rStyle w:val="st"/>
          <w:rFonts w:ascii="Times New Roman" w:hAnsi="Times New Roman" w:cs="Times New Roman"/>
        </w:rPr>
        <w:t>Norwegian University of Sci</w:t>
      </w:r>
      <w:r w:rsidR="00F81538">
        <w:rPr>
          <w:rStyle w:val="st"/>
          <w:rFonts w:ascii="Times New Roman" w:hAnsi="Times New Roman" w:cs="Times New Roman"/>
        </w:rPr>
        <w:t>ence and Technology (</w:t>
      </w:r>
      <w:r w:rsidRPr="00F81538">
        <w:rPr>
          <w:rFonts w:ascii="Times New Roman" w:hAnsi="Times New Roman" w:cs="Times New Roman"/>
        </w:rPr>
        <w:t>NTNU</w:t>
      </w:r>
      <w:r w:rsidR="00F81538">
        <w:rPr>
          <w:rFonts w:ascii="Times New Roman" w:hAnsi="Times New Roman" w:cs="Times New Roman"/>
        </w:rPr>
        <w:t>)</w:t>
      </w:r>
      <w:r w:rsidRPr="00F81538">
        <w:rPr>
          <w:rFonts w:ascii="Times New Roman" w:hAnsi="Times New Roman" w:cs="Times New Roman"/>
        </w:rPr>
        <w:t>. To take the latter, in the fall of 2016 Telenor announced that it would invest NOK 50 million over five years in an artificial intelligence (AI) partnership</w:t>
      </w:r>
      <w:r w:rsidR="00F81538">
        <w:rPr>
          <w:rFonts w:ascii="Times New Roman" w:hAnsi="Times New Roman" w:cs="Times New Roman"/>
        </w:rPr>
        <w:t xml:space="preserve">. </w:t>
      </w:r>
      <w:r w:rsidRPr="00F81538">
        <w:rPr>
          <w:rFonts w:ascii="Times New Roman" w:hAnsi="Times New Roman" w:cs="Times New Roman"/>
        </w:rPr>
        <w:t xml:space="preserve"> </w:t>
      </w:r>
      <w:r w:rsidRPr="00F81538">
        <w:rPr>
          <w:rStyle w:val="st"/>
          <w:rFonts w:ascii="Times New Roman" w:hAnsi="Times New Roman" w:cs="Times New Roman"/>
        </w:rPr>
        <w:t xml:space="preserve">According to Brekke, the motivation for this partnership was not that Telenor was seeking to compete with major actors in AI such as Google, Facebook or Amazon, but that Telenor needs “to understand what the possibilities are and how (AI) is </w:t>
      </w:r>
      <w:r w:rsidRPr="00F81538">
        <w:rPr>
          <w:rStyle w:val="st"/>
          <w:rFonts w:ascii="Times New Roman" w:hAnsi="Times New Roman" w:cs="Times New Roman"/>
        </w:rPr>
        <w:lastRenderedPageBreak/>
        <w:t>developing” (</w:t>
      </w:r>
      <w:r w:rsidRPr="00F81538">
        <w:rPr>
          <w:rStyle w:val="st"/>
          <w:rFonts w:ascii="Times New Roman" w:hAnsi="Times New Roman" w:cs="Times New Roman"/>
          <w:i/>
        </w:rPr>
        <w:t>Dagens Næringsliv</w:t>
      </w:r>
      <w:r w:rsidRPr="00F81538">
        <w:rPr>
          <w:rStyle w:val="st"/>
          <w:rFonts w:ascii="Times New Roman" w:hAnsi="Times New Roman" w:cs="Times New Roman"/>
        </w:rPr>
        <w:t xml:space="preserve">, 2016c). By the standard of Telenor’s annual investment of about NOK 4 billion in mobile networks in Norway, this investment was characterized by </w:t>
      </w:r>
      <w:r w:rsidRPr="00F81538">
        <w:rPr>
          <w:rStyle w:val="st"/>
          <w:rFonts w:ascii="Times New Roman" w:hAnsi="Times New Roman" w:cs="Times New Roman"/>
          <w:i/>
        </w:rPr>
        <w:t xml:space="preserve">Dagens Næringsliv </w:t>
      </w:r>
      <w:r w:rsidRPr="00F81538">
        <w:rPr>
          <w:rStyle w:val="st"/>
          <w:rFonts w:ascii="Times New Roman" w:hAnsi="Times New Roman" w:cs="Times New Roman"/>
        </w:rPr>
        <w:t xml:space="preserve">(2016c) as “microscopic”.    </w:t>
      </w:r>
    </w:p>
    <w:p w:rsidR="00424048" w:rsidRPr="0072649D" w:rsidRDefault="00424048" w:rsidP="0076645A">
      <w:pPr>
        <w:spacing w:line="480" w:lineRule="auto"/>
        <w:ind w:firstLine="0"/>
        <w:rPr>
          <w:rFonts w:ascii="Times New Roman" w:hAnsi="Times New Roman" w:cs="Times New Roman"/>
          <w:b/>
        </w:rPr>
      </w:pPr>
    </w:p>
    <w:p w:rsidR="00DC7DEF" w:rsidRPr="0072649D" w:rsidRDefault="00511B31" w:rsidP="00C77F36">
      <w:pPr>
        <w:pStyle w:val="Heading2"/>
      </w:pPr>
      <w:r w:rsidRPr="0072649D">
        <w:t>Post-2017 Organizational Solutions</w:t>
      </w:r>
    </w:p>
    <w:p w:rsidR="008D37F6" w:rsidRPr="0072649D" w:rsidRDefault="008D37F6" w:rsidP="00C77F36">
      <w:pPr>
        <w:pStyle w:val="Heading3"/>
      </w:pPr>
      <w:r w:rsidRPr="0072649D">
        <w:t>Ambidextrous solutions and legacy removal</w:t>
      </w:r>
      <w:r w:rsidR="00A1443D" w:rsidRPr="0072649D">
        <w:t>.</w:t>
      </w:r>
      <w:r w:rsidRPr="0072649D">
        <w:t xml:space="preserve"> </w:t>
      </w:r>
    </w:p>
    <w:p w:rsidR="008D37F6" w:rsidRPr="0072649D" w:rsidRDefault="00424048" w:rsidP="00424048">
      <w:pPr>
        <w:spacing w:line="480" w:lineRule="auto"/>
      </w:pPr>
      <w:r w:rsidRPr="0072649D">
        <w:rPr>
          <w:rFonts w:ascii="Times New Roman" w:hAnsi="Times New Roman" w:cs="Times New Roman"/>
        </w:rPr>
        <w:t xml:space="preserve">In mid-2018, Brekke established </w:t>
      </w:r>
      <w:r w:rsidR="008D37F6" w:rsidRPr="0072649D">
        <w:rPr>
          <w:rFonts w:ascii="Times New Roman" w:hAnsi="Times New Roman" w:cs="Times New Roman"/>
        </w:rPr>
        <w:t xml:space="preserve">Telenor Group </w:t>
      </w:r>
      <w:r w:rsidR="004D3DBF" w:rsidRPr="0072649D">
        <w:rPr>
          <w:rFonts w:ascii="Times New Roman" w:hAnsi="Times New Roman" w:cs="Times New Roman"/>
        </w:rPr>
        <w:t xml:space="preserve">Holding </w:t>
      </w:r>
      <w:r w:rsidR="008D37F6" w:rsidRPr="0072649D">
        <w:rPr>
          <w:rFonts w:ascii="Times New Roman" w:hAnsi="Times New Roman" w:cs="Times New Roman"/>
        </w:rPr>
        <w:t xml:space="preserve">in order </w:t>
      </w:r>
      <w:r w:rsidRPr="0072649D">
        <w:rPr>
          <w:rFonts w:ascii="Times New Roman" w:hAnsi="Times New Roman" w:cs="Times New Roman"/>
        </w:rPr>
        <w:t xml:space="preserve">to lodge extant activities that, with the exception of Global Wholesale, </w:t>
      </w:r>
      <w:r w:rsidR="008D37F6" w:rsidRPr="0072649D">
        <w:rPr>
          <w:rFonts w:ascii="Times New Roman" w:hAnsi="Times New Roman" w:cs="Times New Roman"/>
        </w:rPr>
        <w:t>are not a part of Telenor’s current core activities. Figure 1 is an overview of this organizational structure</w:t>
      </w:r>
      <w:r w:rsidRPr="0072649D">
        <w:rPr>
          <w:rFonts w:ascii="Times New Roman" w:hAnsi="Times New Roman" w:cs="Times New Roman"/>
        </w:rPr>
        <w:t xml:space="preserve"> as it was in January 2020</w:t>
      </w:r>
      <w:r w:rsidR="008D37F6" w:rsidRPr="0072649D">
        <w:rPr>
          <w:rFonts w:ascii="Times New Roman" w:hAnsi="Times New Roman" w:cs="Times New Roman"/>
        </w:rPr>
        <w:t>.</w:t>
      </w:r>
    </w:p>
    <w:p w:rsidR="00E40024" w:rsidRPr="009A3B9C" w:rsidRDefault="00E40024" w:rsidP="00E40024">
      <w:pPr>
        <w:pStyle w:val="TableFigure"/>
      </w:pPr>
      <w:r w:rsidRPr="0072649D">
        <w:rPr>
          <w:noProof/>
          <w:lang w:val="nb-NO" w:eastAsia="nb-NO"/>
        </w:rPr>
        <w:drawing>
          <wp:inline distT="0" distB="0" distL="0" distR="0" wp14:anchorId="2E5A0A11" wp14:editId="1E9E34E4">
            <wp:extent cx="6775670" cy="3442335"/>
            <wp:effectExtent l="0" t="0" r="0" b="2476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424048" w:rsidRPr="009A3B9C">
        <w:t xml:space="preserve"> Figure 1</w:t>
      </w:r>
      <w:r w:rsidRPr="009A3B9C">
        <w:t>: An overview of Telenor Group Holding (January 2020)</w:t>
      </w:r>
    </w:p>
    <w:p w:rsidR="008D37F6" w:rsidRPr="006734B8" w:rsidRDefault="008D37F6" w:rsidP="00F406C9"/>
    <w:p w:rsidR="00E24FFB" w:rsidRPr="0072649D" w:rsidRDefault="008D37F6" w:rsidP="00E24FFB">
      <w:pPr>
        <w:spacing w:line="480" w:lineRule="auto"/>
      </w:pPr>
      <w:r w:rsidRPr="0072649D">
        <w:t xml:space="preserve">There is no intention that there should be any interaction or synergies between the </w:t>
      </w:r>
      <w:r w:rsidR="00424048" w:rsidRPr="0072649D">
        <w:t>businesses</w:t>
      </w:r>
      <w:r w:rsidRPr="0072649D">
        <w:t xml:space="preserve">: they are unrelated stand-alone businesses in an internal “private equity” system that determines how much investment in each of them there should be. </w:t>
      </w:r>
      <w:r w:rsidR="00424048" w:rsidRPr="0072649D">
        <w:t>Our interview with the head of Telenor Group Holding revealed two distinct functions. O</w:t>
      </w:r>
      <w:r w:rsidR="00E47A5E" w:rsidRPr="0072649D">
        <w:t>ne is the housing of</w:t>
      </w:r>
      <w:r w:rsidR="00424048" w:rsidRPr="0072649D">
        <w:t xml:space="preserve"> businesses that </w:t>
      </w:r>
      <w:r w:rsidR="007D3C89" w:rsidRPr="0072649D">
        <w:t xml:space="preserve">constitute </w:t>
      </w:r>
      <w:r w:rsidR="00424048" w:rsidRPr="0072649D">
        <w:t>an ambi</w:t>
      </w:r>
      <w:r w:rsidR="007D3C89" w:rsidRPr="0072649D">
        <w:t>dextr</w:t>
      </w:r>
      <w:r w:rsidR="00424048" w:rsidRPr="0072649D">
        <w:t xml:space="preserve">ous </w:t>
      </w:r>
      <w:r w:rsidR="007D3C89" w:rsidRPr="0072649D">
        <w:t xml:space="preserve">solution. </w:t>
      </w:r>
      <w:r w:rsidRPr="0072649D">
        <w:t xml:space="preserve">For example, Telenor Maritime serves </w:t>
      </w:r>
      <w:r w:rsidR="00E40024" w:rsidRPr="0072649D">
        <w:t xml:space="preserve">cruise and ferries. Recently this unit has started piloting solutions within IoT services for </w:t>
      </w:r>
      <w:r w:rsidRPr="0072649D">
        <w:t>oil platforms and shipping</w:t>
      </w:r>
      <w:r w:rsidR="00DA25B0" w:rsidRPr="0072649D">
        <w:t xml:space="preserve"> and</w:t>
      </w:r>
      <w:r w:rsidRPr="0072649D">
        <w:t xml:space="preserve"> is using its latitude as part of Telenor Group Holding to develop novel services that are viewed as having future relevance for Telenor. </w:t>
      </w:r>
    </w:p>
    <w:p w:rsidR="004D3DBF" w:rsidRPr="0072649D" w:rsidRDefault="007D3C89" w:rsidP="0076645A">
      <w:pPr>
        <w:spacing w:line="480" w:lineRule="auto"/>
      </w:pPr>
      <w:r w:rsidRPr="0072649D">
        <w:t xml:space="preserve">The other function is to house legacy businesses that Telenor plans to off-load as soon as their </w:t>
      </w:r>
      <w:r w:rsidR="008D37F6" w:rsidRPr="0072649D">
        <w:t>value has been developed</w:t>
      </w:r>
      <w:r w:rsidR="00E40024" w:rsidRPr="0072649D">
        <w:t>, the timing is right,</w:t>
      </w:r>
      <w:r w:rsidR="008D37F6" w:rsidRPr="0072649D">
        <w:t xml:space="preserve"> and suitable buyers are located. </w:t>
      </w:r>
      <w:r w:rsidRPr="0072649D">
        <w:t xml:space="preserve">For example, Telenor Eiendom that </w:t>
      </w:r>
      <w:r w:rsidR="00E47A5E" w:rsidRPr="0072649D">
        <w:t xml:space="preserve">oversees </w:t>
      </w:r>
      <w:r w:rsidRPr="0072649D">
        <w:t xml:space="preserve">the ownership of Telenor’s various real estate is viewed as surplus for Telenor’s core activities going forward. Some businesses such as Tapad </w:t>
      </w:r>
      <w:r w:rsidR="00E24FFB" w:rsidRPr="0072649D">
        <w:t xml:space="preserve">in this category are too recent to be considered as </w:t>
      </w:r>
      <w:r w:rsidRPr="0072649D">
        <w:t>legacy business</w:t>
      </w:r>
      <w:r w:rsidR="00E24FFB" w:rsidRPr="0072649D">
        <w:t xml:space="preserve">, rather they are failed experiments.  </w:t>
      </w:r>
    </w:p>
    <w:p w:rsidR="0072649D" w:rsidRDefault="000C1C04" w:rsidP="0076645A">
      <w:pPr>
        <w:spacing w:line="480" w:lineRule="auto"/>
      </w:pPr>
      <w:r w:rsidRPr="00BC3681">
        <w:t xml:space="preserve">In January 2020, Telenor established a </w:t>
      </w:r>
      <w:r w:rsidR="00BC3681">
        <w:t xml:space="preserve">new consolidated unit that operates </w:t>
      </w:r>
      <w:r w:rsidR="0072649D">
        <w:t>Telenor’s entire</w:t>
      </w:r>
      <w:r w:rsidR="00BC3681">
        <w:t xml:space="preserve"> </w:t>
      </w:r>
      <w:r w:rsidR="00E23BB9" w:rsidRPr="00BC3681">
        <w:t xml:space="preserve">passive infrastructure </w:t>
      </w:r>
      <w:r w:rsidR="00BC3681">
        <w:t xml:space="preserve">in Norway. This </w:t>
      </w:r>
      <w:r w:rsidR="00E23BB9" w:rsidRPr="00BC3681">
        <w:t>includ</w:t>
      </w:r>
      <w:r w:rsidR="00BC3681">
        <w:t xml:space="preserve">es </w:t>
      </w:r>
      <w:r w:rsidR="00E23BB9" w:rsidRPr="00BC3681">
        <w:t>mobile masts and base stations, radio and tv masts, cable and</w:t>
      </w:r>
      <w:r w:rsidR="00E24FFB" w:rsidRPr="00BC3681">
        <w:t xml:space="preserve"> fibre networks and the buildings</w:t>
      </w:r>
      <w:r w:rsidR="00E23BB9" w:rsidRPr="00BC3681">
        <w:t xml:space="preserve"> that house these activities</w:t>
      </w:r>
      <w:r w:rsidR="00BC3681">
        <w:t xml:space="preserve">. </w:t>
      </w:r>
      <w:r w:rsidRPr="009A3B9C">
        <w:t xml:space="preserve"> </w:t>
      </w:r>
    </w:p>
    <w:p w:rsidR="008D37F6" w:rsidRPr="006734B8" w:rsidRDefault="004D3DBF" w:rsidP="0076645A">
      <w:pPr>
        <w:pStyle w:val="Heading3"/>
        <w:spacing w:line="480" w:lineRule="auto"/>
      </w:pPr>
      <w:r w:rsidRPr="009A3B9C">
        <w:t xml:space="preserve">  </w:t>
      </w:r>
      <w:r w:rsidR="008D37F6" w:rsidRPr="006734B8">
        <w:t>Innovation ecosystem alliances</w:t>
      </w:r>
      <w:r w:rsidR="00A1443D" w:rsidRPr="006734B8">
        <w:t>.</w:t>
      </w:r>
    </w:p>
    <w:p w:rsidR="008D37F6" w:rsidRPr="0072649D" w:rsidRDefault="00E47A5E" w:rsidP="0076645A">
      <w:pPr>
        <w:spacing w:line="480" w:lineRule="auto"/>
      </w:pPr>
      <w:r w:rsidRPr="00F81538">
        <w:t xml:space="preserve">Since 2018 Telenor has been </w:t>
      </w:r>
      <w:r w:rsidR="008D37F6" w:rsidRPr="00F81538">
        <w:t xml:space="preserve">lead partner in an EU </w:t>
      </w:r>
      <w:r w:rsidRPr="0072649D">
        <w:t xml:space="preserve">“Horizon 2020” research and innovation </w:t>
      </w:r>
      <w:r w:rsidR="008D37F6" w:rsidRPr="0072649D">
        <w:t>program, “5G-Verticals Innovati</w:t>
      </w:r>
      <w:r w:rsidRPr="0072649D">
        <w:t xml:space="preserve">on Infrastructure” (“5G-VINNI”). </w:t>
      </w:r>
      <w:r w:rsidR="008D37F6" w:rsidRPr="0072649D">
        <w:t xml:space="preserve"> By Telenor </w:t>
      </w:r>
      <w:r w:rsidR="008D37F6" w:rsidRPr="0072649D">
        <w:lastRenderedPageBreak/>
        <w:t>standards, the project’s total budget of NOK 1 billion, is substantial. In addition to Telenor, 5G-VINNI involves partners in Spain (Telefonica), UK (BT), Greece (University of Patras), Portugal (AlticeLabs), Germany (Fraunhofer FOKUS and Huawei Germany). According to the 5G-VINNI website, the aim of the project is “to develop a viable business and ecosystem model to support the 5G-VINNI project during and beyond the span of the project.” The essence of the program is “to explore with prospective industry customers of the 5G infrastructure the relevant key performance indicators for this network facility, including technical and functional requirements from multidisciplinary backgrounds of vertical sector industries. This is expected to lead to clear operational and business key performance indicators (KPIs) which should be met in order to stimulate business innovation over future 5G infrastructures.”</w:t>
      </w:r>
    </w:p>
    <w:p w:rsidR="008D37F6" w:rsidRPr="0072649D" w:rsidRDefault="008D37F6" w:rsidP="0076645A">
      <w:pPr>
        <w:spacing w:line="480" w:lineRule="auto"/>
      </w:pPr>
      <w:r w:rsidRPr="0072649D">
        <w:t>Each country has its unique projects. For example, in Norway, Telenor is cooperating with the three globally leading and competing providers of 5G network equipment, Huawei,</w:t>
      </w:r>
      <w:r w:rsidR="00B46499" w:rsidRPr="0072649D">
        <w:t xml:space="preserve"> Nokia and Ericsson</w:t>
      </w:r>
      <w:r w:rsidR="00443585" w:rsidRPr="0072649D">
        <w:t xml:space="preserve">. Collaboration is also carried out with other companies important for 5G use-cases. For example, </w:t>
      </w:r>
      <w:r w:rsidR="00B46499" w:rsidRPr="0072649D">
        <w:t xml:space="preserve">Sealab, </w:t>
      </w:r>
      <w:r w:rsidRPr="0072649D">
        <w:t>a Norwegian man</w:t>
      </w:r>
      <w:r w:rsidR="00B46499" w:rsidRPr="0072649D">
        <w:t>ufacturer of underwater cameras</w:t>
      </w:r>
      <w:r w:rsidR="00443585" w:rsidRPr="0072649D">
        <w:t xml:space="preserve"> for remote real time monitoring of fish farms</w:t>
      </w:r>
      <w:r w:rsidR="002A29A5" w:rsidRPr="0072649D">
        <w:t>, is also part of the consortium</w:t>
      </w:r>
      <w:r w:rsidR="00B46499" w:rsidRPr="0072649D">
        <w:t xml:space="preserve">. The aim </w:t>
      </w:r>
      <w:r w:rsidR="00443585" w:rsidRPr="0072649D">
        <w:t xml:space="preserve">of the use-case </w:t>
      </w:r>
      <w:r w:rsidR="00B46499" w:rsidRPr="0072649D">
        <w:t>is</w:t>
      </w:r>
      <w:r w:rsidRPr="0072649D">
        <w:t xml:space="preserve"> to </w:t>
      </w:r>
      <w:r w:rsidR="00443585" w:rsidRPr="0072649D">
        <w:t xml:space="preserve">deploy sensors and cameras to monitor fish farms. Data are transmitted over 5G to cloud servers, </w:t>
      </w:r>
      <w:r w:rsidR="00E20D2E" w:rsidRPr="0072649D">
        <w:t>where</w:t>
      </w:r>
      <w:r w:rsidR="00443585" w:rsidRPr="0072649D">
        <w:t xml:space="preserve"> </w:t>
      </w:r>
      <w:r w:rsidR="00B46499" w:rsidRPr="0072649D">
        <w:t>AI solution</w:t>
      </w:r>
      <w:r w:rsidR="00E20D2E" w:rsidRPr="0072649D">
        <w:t>s</w:t>
      </w:r>
      <w:r w:rsidR="00B46499" w:rsidRPr="0072649D">
        <w:t xml:space="preserve"> </w:t>
      </w:r>
      <w:r w:rsidR="00443585" w:rsidRPr="0072649D">
        <w:t xml:space="preserve">treat the </w:t>
      </w:r>
      <w:r w:rsidR="0072649D">
        <w:t xml:space="preserve">substantial </w:t>
      </w:r>
      <w:r w:rsidR="00443585" w:rsidRPr="0072649D">
        <w:t xml:space="preserve">amount of data to </w:t>
      </w:r>
      <w:r w:rsidRPr="0072649D">
        <w:t>ena</w:t>
      </w:r>
      <w:r w:rsidR="00B46499" w:rsidRPr="0072649D">
        <w:t xml:space="preserve">ble fish farms to identify and assess for lice, stress and nutritional requirements </w:t>
      </w:r>
      <w:r w:rsidR="0072649D">
        <w:t xml:space="preserve">of </w:t>
      </w:r>
      <w:r w:rsidRPr="0072649D">
        <w:t>each individual fish, regardles</w:t>
      </w:r>
      <w:r w:rsidR="00B46499" w:rsidRPr="0072649D">
        <w:t xml:space="preserve">s of the murkiness of the water. </w:t>
      </w:r>
      <w:r w:rsidRPr="0072649D">
        <w:t xml:space="preserve"> At the end of 2019, Telenor’s 5G-VINNI coordinator</w:t>
      </w:r>
      <w:r w:rsidR="005761AC" w:rsidRPr="0072649D">
        <w:t xml:space="preserve"> </w:t>
      </w:r>
      <w:r w:rsidRPr="0072649D">
        <w:t xml:space="preserve">acknowledged that issues </w:t>
      </w:r>
      <w:r w:rsidR="00B46499" w:rsidRPr="0072649D">
        <w:t xml:space="preserve">around the future ownership of any </w:t>
      </w:r>
      <w:r w:rsidRPr="0072649D">
        <w:t xml:space="preserve">solution including the 5G base stations was </w:t>
      </w:r>
      <w:r w:rsidR="00B46499" w:rsidRPr="0072649D">
        <w:t>unresolved</w:t>
      </w:r>
      <w:r w:rsidR="00E20D2E" w:rsidRPr="0072649D">
        <w:t xml:space="preserve"> and requires more </w:t>
      </w:r>
      <w:r w:rsidR="002A29A5" w:rsidRPr="0072649D">
        <w:t xml:space="preserve">applied </w:t>
      </w:r>
      <w:r w:rsidR="00E20D2E" w:rsidRPr="0072649D">
        <w:t>research on the role and positions of the actors in the innovation ecosystems</w:t>
      </w:r>
      <w:r w:rsidRPr="0072649D">
        <w:t xml:space="preserve">. </w:t>
      </w:r>
    </w:p>
    <w:p w:rsidR="008D37F6" w:rsidRPr="0072649D" w:rsidRDefault="008D37F6" w:rsidP="0076645A">
      <w:pPr>
        <w:pStyle w:val="Heading3"/>
        <w:spacing w:line="480" w:lineRule="auto"/>
      </w:pPr>
      <w:r w:rsidRPr="0072649D">
        <w:lastRenderedPageBreak/>
        <w:t>Spinouts</w:t>
      </w:r>
      <w:r w:rsidR="00A1443D" w:rsidRPr="0072649D">
        <w:t>.</w:t>
      </w:r>
    </w:p>
    <w:p w:rsidR="008D37F6" w:rsidRPr="0072649D" w:rsidRDefault="008D37F6" w:rsidP="0076645A">
      <w:pPr>
        <w:spacing w:line="480" w:lineRule="auto"/>
      </w:pPr>
      <w:r w:rsidRPr="0072649D">
        <w:t>Since 2017</w:t>
      </w:r>
      <w:r w:rsidR="00DC13CB" w:rsidRPr="0072649D">
        <w:t>,</w:t>
      </w:r>
      <w:r w:rsidRPr="0072649D">
        <w:t xml:space="preserve"> Telenor has spun </w:t>
      </w:r>
      <w:r w:rsidR="00C01986" w:rsidRPr="0072649D">
        <w:t>out two new ventures: “Whereby”</w:t>
      </w:r>
      <w:r w:rsidR="00E20D2E" w:rsidRPr="0072649D">
        <w:t xml:space="preserve"> </w:t>
      </w:r>
      <w:r w:rsidR="00C01986" w:rsidRPr="0072649D">
        <w:t xml:space="preserve">a video call solution </w:t>
      </w:r>
      <w:r w:rsidRPr="0072649D">
        <w:t xml:space="preserve">and </w:t>
      </w:r>
      <w:r w:rsidR="00C01986" w:rsidRPr="0072649D">
        <w:t>“</w:t>
      </w:r>
      <w:r w:rsidRPr="0072649D">
        <w:t>Working Group 2 (WG2)</w:t>
      </w:r>
      <w:r w:rsidR="00C01986" w:rsidRPr="0072649D">
        <w:t>” that offers mobile operators a platform to leverage cloud infrastructure. Although Telenor remains a part owner, both operate</w:t>
      </w:r>
      <w:r w:rsidRPr="0072649D">
        <w:t xml:space="preserve"> independently</w:t>
      </w:r>
      <w:r w:rsidR="00BE0148" w:rsidRPr="0072649D">
        <w:t xml:space="preserve"> </w:t>
      </w:r>
      <w:r w:rsidR="00C01986" w:rsidRPr="0072649D">
        <w:t xml:space="preserve">of Telenor </w:t>
      </w:r>
      <w:r w:rsidR="00BE0148" w:rsidRPr="0072649D">
        <w:t>in partnership with others</w:t>
      </w:r>
      <w:r w:rsidR="00C01986" w:rsidRPr="0072649D">
        <w:t xml:space="preserve">. </w:t>
      </w:r>
      <w:r w:rsidRPr="0072649D">
        <w:t xml:space="preserve"> </w:t>
      </w:r>
    </w:p>
    <w:p w:rsidR="00C01986" w:rsidRPr="0072649D" w:rsidRDefault="00C01986" w:rsidP="00C01986">
      <w:pPr>
        <w:pStyle w:val="Heading3"/>
        <w:spacing w:line="480" w:lineRule="auto"/>
      </w:pPr>
      <w:r w:rsidRPr="0072649D">
        <w:t xml:space="preserve">The agile solution. </w:t>
      </w:r>
    </w:p>
    <w:p w:rsidR="00C01986" w:rsidRPr="00BC3681" w:rsidRDefault="00BC3681" w:rsidP="00C01986">
      <w:pPr>
        <w:spacing w:line="480" w:lineRule="auto"/>
      </w:pPr>
      <w:r>
        <w:t xml:space="preserve">Not only has </w:t>
      </w:r>
      <w:r w:rsidR="00C01986" w:rsidRPr="00BC3681">
        <w:t>Telenor Norway implemented agile work practices in a selected number of departments and teams</w:t>
      </w:r>
      <w:r w:rsidR="00E20D2E" w:rsidRPr="00BC3681">
        <w:t xml:space="preserve">, </w:t>
      </w:r>
      <w:r>
        <w:t xml:space="preserve">but across </w:t>
      </w:r>
      <w:r w:rsidR="0072649D">
        <w:t xml:space="preserve">Telenor’s foreign </w:t>
      </w:r>
      <w:r>
        <w:t xml:space="preserve">business units </w:t>
      </w:r>
      <w:r w:rsidR="00F92C16">
        <w:t xml:space="preserve">Telenor </w:t>
      </w:r>
      <w:r w:rsidR="00E20D2E" w:rsidRPr="00BC3681">
        <w:t xml:space="preserve">provides </w:t>
      </w:r>
      <w:r w:rsidR="00F92C16">
        <w:t xml:space="preserve">extensive </w:t>
      </w:r>
      <w:r w:rsidR="00E20D2E" w:rsidRPr="00BC3681">
        <w:t xml:space="preserve">training of </w:t>
      </w:r>
      <w:r w:rsidR="00F92C16">
        <w:t xml:space="preserve">senior managers </w:t>
      </w:r>
      <w:r w:rsidR="00E20D2E" w:rsidRPr="00BC3681">
        <w:t xml:space="preserve">and </w:t>
      </w:r>
      <w:r w:rsidR="00F92C16">
        <w:t xml:space="preserve">professionals </w:t>
      </w:r>
      <w:r w:rsidR="00E20D2E" w:rsidRPr="00BC3681">
        <w:t>in agile ways of work</w:t>
      </w:r>
      <w:r w:rsidR="00F92C16">
        <w:t>ing.</w:t>
      </w:r>
    </w:p>
    <w:p w:rsidR="005761AC" w:rsidRPr="0072649D" w:rsidRDefault="008D37F6" w:rsidP="00C77F36">
      <w:pPr>
        <w:pStyle w:val="Heading1"/>
      </w:pPr>
      <w:r w:rsidRPr="00F81538">
        <w:lastRenderedPageBreak/>
        <w:t>Managerial perspectives</w:t>
      </w:r>
      <w:r w:rsidR="00DC13CB" w:rsidRPr="0072649D">
        <w:t xml:space="preserve"> on current radical change</w:t>
      </w:r>
    </w:p>
    <w:p w:rsidR="00B602AF" w:rsidRPr="0072649D" w:rsidRDefault="005761AC" w:rsidP="00C77F36">
      <w:pPr>
        <w:pStyle w:val="Heading2"/>
      </w:pPr>
      <w:r w:rsidRPr="0072649D">
        <w:t xml:space="preserve"> </w:t>
      </w:r>
      <w:r w:rsidR="00B602AF" w:rsidRPr="0072649D">
        <w:t>The disrupting-cycle statement</w:t>
      </w:r>
      <w:r w:rsidRPr="0072649D">
        <w:tab/>
      </w:r>
    </w:p>
    <w:p w:rsidR="00B602AF" w:rsidRPr="0072649D" w:rsidRDefault="005761AC" w:rsidP="0076645A">
      <w:pPr>
        <w:pStyle w:val="Heading1"/>
        <w:spacing w:line="480" w:lineRule="auto"/>
        <w:ind w:firstLine="720"/>
        <w:jc w:val="left"/>
      </w:pPr>
      <w:r w:rsidRPr="0072649D">
        <w:rPr>
          <w:b w:val="0"/>
        </w:rPr>
        <w:t>All</w:t>
      </w:r>
      <w:r w:rsidR="00DC13CB" w:rsidRPr="0072649D">
        <w:rPr>
          <w:rStyle w:val="Heading4Char"/>
        </w:rPr>
        <w:t xml:space="preserve"> </w:t>
      </w:r>
      <w:r w:rsidRPr="0072649D">
        <w:rPr>
          <w:rStyle w:val="Heading4Char"/>
          <w:bCs/>
          <w:i w:val="0"/>
        </w:rPr>
        <w:t xml:space="preserve">six managers we interviewed </w:t>
      </w:r>
      <w:r w:rsidR="005B1E80" w:rsidRPr="0072649D">
        <w:rPr>
          <w:rStyle w:val="Heading4Char"/>
          <w:bCs/>
          <w:i w:val="0"/>
        </w:rPr>
        <w:t>recollected</w:t>
      </w:r>
      <w:r w:rsidRPr="0072649D">
        <w:rPr>
          <w:rStyle w:val="Heading4Char"/>
          <w:bCs/>
          <w:i w:val="0"/>
        </w:rPr>
        <w:t xml:space="preserve"> Brekke’s </w:t>
      </w:r>
      <w:r w:rsidR="00B602AF" w:rsidRPr="0072649D">
        <w:rPr>
          <w:b w:val="0"/>
        </w:rPr>
        <w:t>disrupting-cycle statement</w:t>
      </w:r>
      <w:r w:rsidR="00B602AF" w:rsidRPr="0072649D">
        <w:t xml:space="preserve"> </w:t>
      </w:r>
      <w:r w:rsidR="00B602AF" w:rsidRPr="0072649D">
        <w:rPr>
          <w:b w:val="0"/>
        </w:rPr>
        <w:t xml:space="preserve">in early 2016. </w:t>
      </w:r>
      <w:r w:rsidR="008D37F6" w:rsidRPr="0072649D">
        <w:rPr>
          <w:rStyle w:val="Heading4Char"/>
          <w:i w:val="0"/>
        </w:rPr>
        <w:t>Alexander</w:t>
      </w:r>
      <w:r w:rsidR="008D37F6" w:rsidRPr="0072649D">
        <w:rPr>
          <w:b w:val="0"/>
        </w:rPr>
        <w:t xml:space="preserve"> recall</w:t>
      </w:r>
      <w:r w:rsidR="005B1E80" w:rsidRPr="0072649D">
        <w:rPr>
          <w:b w:val="0"/>
        </w:rPr>
        <w:t>ed</w:t>
      </w:r>
      <w:r w:rsidR="008D37F6" w:rsidRPr="0072649D">
        <w:rPr>
          <w:b w:val="0"/>
        </w:rPr>
        <w:t xml:space="preserve"> </w:t>
      </w:r>
      <w:r w:rsidR="00B602AF" w:rsidRPr="0072649D">
        <w:rPr>
          <w:b w:val="0"/>
        </w:rPr>
        <w:t xml:space="preserve">it </w:t>
      </w:r>
      <w:r w:rsidR="008D37F6" w:rsidRPr="0072649D">
        <w:rPr>
          <w:b w:val="0"/>
        </w:rPr>
        <w:t>as creating a spirit of engagement and top-down mobilization</w:t>
      </w:r>
      <w:r w:rsidR="005B1E80" w:rsidRPr="0072649D">
        <w:rPr>
          <w:b w:val="0"/>
        </w:rPr>
        <w:t xml:space="preserve"> and reflected</w:t>
      </w:r>
      <w:r w:rsidR="00B602AF" w:rsidRPr="0072649D">
        <w:rPr>
          <w:b w:val="0"/>
        </w:rPr>
        <w:t>:</w:t>
      </w:r>
    </w:p>
    <w:p w:rsidR="00B602AF" w:rsidRPr="0072649D" w:rsidRDefault="00B602AF" w:rsidP="0076645A">
      <w:pPr>
        <w:pStyle w:val="Heading1"/>
        <w:spacing w:line="480" w:lineRule="auto"/>
        <w:ind w:left="720"/>
        <w:jc w:val="left"/>
      </w:pPr>
      <w:r w:rsidRPr="0072649D">
        <w:rPr>
          <w:b w:val="0"/>
        </w:rPr>
        <w:t>“</w:t>
      </w:r>
      <w:r w:rsidR="008D37F6" w:rsidRPr="0072649D">
        <w:rPr>
          <w:b w:val="0"/>
        </w:rPr>
        <w:t>Telenor was setting off on a journey to be</w:t>
      </w:r>
      <w:r w:rsidR="00733010" w:rsidRPr="0072649D">
        <w:rPr>
          <w:b w:val="0"/>
        </w:rPr>
        <w:t>come</w:t>
      </w:r>
      <w:r w:rsidR="008D37F6" w:rsidRPr="0072649D">
        <w:rPr>
          <w:b w:val="0"/>
        </w:rPr>
        <w:t xml:space="preserve"> a </w:t>
      </w:r>
      <w:r w:rsidR="00733010" w:rsidRPr="0072649D">
        <w:rPr>
          <w:b w:val="0"/>
        </w:rPr>
        <w:t xml:space="preserve">global and </w:t>
      </w:r>
      <w:r w:rsidR="008D37F6" w:rsidRPr="0072649D">
        <w:rPr>
          <w:b w:val="0"/>
        </w:rPr>
        <w:t xml:space="preserve">digital internet company inspired by Google. The problem was though that Telenor lacked “Google-style” capabilities. The upshot was an identity crisis – “who are we?” </w:t>
      </w:r>
    </w:p>
    <w:p w:rsidR="00B602AF" w:rsidRPr="0072649D" w:rsidRDefault="00B602AF" w:rsidP="0076645A">
      <w:pPr>
        <w:pStyle w:val="Heading1"/>
        <w:spacing w:line="480" w:lineRule="auto"/>
        <w:jc w:val="left"/>
      </w:pPr>
      <w:r w:rsidRPr="0072649D">
        <w:rPr>
          <w:rStyle w:val="Heading4Char"/>
          <w:i w:val="0"/>
        </w:rPr>
        <w:t>Carl</w:t>
      </w:r>
      <w:r w:rsidRPr="0072649D">
        <w:rPr>
          <w:b w:val="0"/>
        </w:rPr>
        <w:t xml:space="preserve"> </w:t>
      </w:r>
      <w:r w:rsidR="005B1E80" w:rsidRPr="0072649D">
        <w:rPr>
          <w:b w:val="0"/>
        </w:rPr>
        <w:t>remembered</w:t>
      </w:r>
      <w:r w:rsidRPr="0072649D">
        <w:rPr>
          <w:b w:val="0"/>
        </w:rPr>
        <w:t xml:space="preserve"> the disrupting-cycle statement as </w:t>
      </w:r>
      <w:r w:rsidR="005B1E80" w:rsidRPr="0072649D">
        <w:rPr>
          <w:b w:val="0"/>
        </w:rPr>
        <w:t>“</w:t>
      </w:r>
      <w:r w:rsidRPr="0072649D">
        <w:rPr>
          <w:b w:val="0"/>
        </w:rPr>
        <w:t>a dramatic call for change</w:t>
      </w:r>
      <w:r w:rsidR="005B1E80" w:rsidRPr="0072649D">
        <w:rPr>
          <w:b w:val="0"/>
        </w:rPr>
        <w:t>”</w:t>
      </w:r>
      <w:r w:rsidRPr="0072649D">
        <w:rPr>
          <w:b w:val="0"/>
        </w:rPr>
        <w:t xml:space="preserve"> underscored by the acquisition of Tapad. Telenor began to attract digital talents.</w:t>
      </w:r>
      <w:r w:rsidR="006B4711" w:rsidRPr="0072649D">
        <w:rPr>
          <w:b w:val="0"/>
        </w:rPr>
        <w:t xml:space="preserve"> </w:t>
      </w:r>
      <w:r w:rsidR="006B4711" w:rsidRPr="0072649D">
        <w:rPr>
          <w:rStyle w:val="Heading4Char"/>
          <w:i w:val="0"/>
        </w:rPr>
        <w:t xml:space="preserve">Dennis still </w:t>
      </w:r>
      <w:r w:rsidR="005B1E80" w:rsidRPr="0072649D">
        <w:rPr>
          <w:rStyle w:val="Heading4Char"/>
          <w:i w:val="0"/>
        </w:rPr>
        <w:t xml:space="preserve">viewed </w:t>
      </w:r>
      <w:r w:rsidR="006B4711" w:rsidRPr="0072649D">
        <w:rPr>
          <w:b w:val="0"/>
        </w:rPr>
        <w:t xml:space="preserve">the disrupting-cycle statement </w:t>
      </w:r>
      <w:r w:rsidR="002646F0" w:rsidRPr="0072649D">
        <w:rPr>
          <w:b w:val="0"/>
        </w:rPr>
        <w:t>as resting</w:t>
      </w:r>
      <w:r w:rsidR="006B4711" w:rsidRPr="0072649D">
        <w:rPr>
          <w:b w:val="0"/>
        </w:rPr>
        <w:t xml:space="preserve"> on a correct analysis of external developments.</w:t>
      </w:r>
    </w:p>
    <w:p w:rsidR="005B1E80" w:rsidRPr="0072649D" w:rsidRDefault="005B1E80" w:rsidP="00C77F36">
      <w:pPr>
        <w:pStyle w:val="Heading2"/>
      </w:pPr>
      <w:r w:rsidRPr="0072649D">
        <w:t>The retreat from radical change</w:t>
      </w:r>
    </w:p>
    <w:p w:rsidR="005B1E80" w:rsidRPr="0072649D" w:rsidRDefault="00B602AF" w:rsidP="0076645A">
      <w:pPr>
        <w:spacing w:line="480" w:lineRule="auto"/>
      </w:pPr>
      <w:r w:rsidRPr="0072649D">
        <w:t>All six</w:t>
      </w:r>
      <w:r w:rsidR="00131CA1" w:rsidRPr="0072649D">
        <w:t xml:space="preserve"> informants</w:t>
      </w:r>
      <w:r w:rsidRPr="0072649D">
        <w:t xml:space="preserve"> agree</w:t>
      </w:r>
      <w:r w:rsidR="002D20A4" w:rsidRPr="0072649D">
        <w:t>d</w:t>
      </w:r>
      <w:r w:rsidRPr="0072649D">
        <w:t xml:space="preserve"> that </w:t>
      </w:r>
      <w:r w:rsidR="002D20A4" w:rsidRPr="0072649D">
        <w:t xml:space="preserve">after less than a year </w:t>
      </w:r>
      <w:r w:rsidRPr="0072649D">
        <w:t xml:space="preserve">Telenor </w:t>
      </w:r>
      <w:r w:rsidR="002D20A4" w:rsidRPr="0072649D">
        <w:t>effectively announced that it was abandoning</w:t>
      </w:r>
      <w:r w:rsidRPr="0072649D">
        <w:t xml:space="preserve"> the disrupting-cycle s</w:t>
      </w:r>
      <w:r w:rsidR="002D20A4" w:rsidRPr="0072649D">
        <w:t xml:space="preserve">tatement </w:t>
      </w:r>
      <w:r w:rsidRPr="0072649D">
        <w:t xml:space="preserve">at the annual capital markets day in January 2017. </w:t>
      </w:r>
      <w:r w:rsidR="008D3889" w:rsidRPr="0072649D">
        <w:t xml:space="preserve">At that point, it was clear to Telenor and the markets that the investment in Tapad was failing and likewise the ambition to use Singapore as a base for acquiring smaller innovative companies. </w:t>
      </w:r>
      <w:r w:rsidR="002D20A4" w:rsidRPr="0072649D">
        <w:t>From then on,</w:t>
      </w:r>
      <w:r w:rsidR="001C4AFC" w:rsidRPr="0072649D">
        <w:t xml:space="preserve"> Fritjof </w:t>
      </w:r>
      <w:r w:rsidR="002D20A4" w:rsidRPr="0072649D">
        <w:t>commented</w:t>
      </w:r>
      <w:r w:rsidR="001C4AFC" w:rsidRPr="0072649D">
        <w:t xml:space="preserve">, “the need to reduce costs has reasserted as the overriding concern.” </w:t>
      </w:r>
      <w:r w:rsidR="002D20A4" w:rsidRPr="0072649D">
        <w:t xml:space="preserve">His colleague, </w:t>
      </w:r>
      <w:r w:rsidR="002646F0" w:rsidRPr="0072649D">
        <w:t>Ev</w:t>
      </w:r>
      <w:r w:rsidR="002D20A4" w:rsidRPr="0072649D">
        <w:t>e</w:t>
      </w:r>
      <w:r w:rsidR="002646F0" w:rsidRPr="0072649D">
        <w:t>n</w:t>
      </w:r>
      <w:r w:rsidR="002D20A4" w:rsidRPr="0072649D">
        <w:t>,</w:t>
      </w:r>
      <w:r w:rsidR="002646F0" w:rsidRPr="0072649D">
        <w:t xml:space="preserve"> </w:t>
      </w:r>
      <w:r w:rsidR="002D20A4" w:rsidRPr="0072649D">
        <w:t xml:space="preserve">had a similar view </w:t>
      </w:r>
      <w:r w:rsidR="002646F0" w:rsidRPr="0072649D">
        <w:t>arguing that cost reduction and modernization of MNMTC</w:t>
      </w:r>
      <w:r w:rsidR="008D3889" w:rsidRPr="0072649D">
        <w:t xml:space="preserve"> technology at that point</w:t>
      </w:r>
      <w:r w:rsidR="002646F0" w:rsidRPr="0072649D">
        <w:t xml:space="preserve"> reasserted itself </w:t>
      </w:r>
      <w:r w:rsidR="008D3889" w:rsidRPr="0072649D">
        <w:t>“</w:t>
      </w:r>
      <w:r w:rsidR="002646F0" w:rsidRPr="0072649D">
        <w:t>as the overriding logic of Telenor precluding radical change</w:t>
      </w:r>
      <w:r w:rsidR="008D3889" w:rsidRPr="0072649D">
        <w:t>”</w:t>
      </w:r>
      <w:r w:rsidR="002646F0" w:rsidRPr="0072649D">
        <w:t xml:space="preserve">. </w:t>
      </w:r>
      <w:r w:rsidR="008D37F6" w:rsidRPr="0072649D">
        <w:t xml:space="preserve">Alexander </w:t>
      </w:r>
      <w:r w:rsidR="00210162" w:rsidRPr="0072649D">
        <w:t>remembers</w:t>
      </w:r>
      <w:r w:rsidR="008D37F6" w:rsidRPr="0072649D">
        <w:t xml:space="preserve"> “the pendulum</w:t>
      </w:r>
      <w:r w:rsidR="00210162" w:rsidRPr="0072649D">
        <w:t xml:space="preserve"> </w:t>
      </w:r>
      <w:r w:rsidR="008D37F6" w:rsidRPr="0072649D">
        <w:t xml:space="preserve">as swinging away </w:t>
      </w:r>
      <w:r w:rsidR="008D37F6" w:rsidRPr="0072649D">
        <w:lastRenderedPageBreak/>
        <w:t xml:space="preserve">from the disrupting-cycle statement to a focus on cost reduction through increased efficiency”. </w:t>
      </w:r>
      <w:r w:rsidR="00210162" w:rsidRPr="0072649D">
        <w:rPr>
          <w:rStyle w:val="Heading4Char"/>
          <w:b w:val="0"/>
          <w:i w:val="0"/>
        </w:rPr>
        <w:t>Carl</w:t>
      </w:r>
      <w:r w:rsidR="00210162" w:rsidRPr="0072649D">
        <w:rPr>
          <w:b/>
          <w:i/>
        </w:rPr>
        <w:t xml:space="preserve"> </w:t>
      </w:r>
      <w:r w:rsidR="005B1E80" w:rsidRPr="0072649D">
        <w:t>recalled</w:t>
      </w:r>
      <w:r w:rsidR="00210162" w:rsidRPr="0072649D">
        <w:t xml:space="preserve"> that as the notion of Telenor as a provider of digital ser</w:t>
      </w:r>
      <w:r w:rsidR="002D20A4" w:rsidRPr="0072649D">
        <w:t>vices “came to an abrupt halt and</w:t>
      </w:r>
      <w:r w:rsidR="00210162" w:rsidRPr="0072649D">
        <w:t xml:space="preserve"> cost consciousness driven by the need to quarterly report to the markets reasserted itself as the dominant logic”, the digital talents departed. </w:t>
      </w:r>
    </w:p>
    <w:p w:rsidR="001D0CDE" w:rsidRPr="0072649D" w:rsidRDefault="005B1E80" w:rsidP="0076645A">
      <w:pPr>
        <w:spacing w:line="480" w:lineRule="auto"/>
      </w:pPr>
      <w:r w:rsidRPr="0072649D">
        <w:t xml:space="preserve">According to </w:t>
      </w:r>
      <w:r w:rsidR="00CE712B" w:rsidRPr="0072649D">
        <w:t>Alexander,</w:t>
      </w:r>
      <w:r w:rsidRPr="0072649D">
        <w:t xml:space="preserve"> the drive for efficiency since 2017 had been palpable. One part of this drive – the “Bridge” program – aimed and achieved a 30 percent cost reduction including 30 percent reduction in the number of employees in all staff function globally over 18 months. Another part – the “Epsilon” program – aimed at the enhancing the efficiency and role of HQ. It led to a central reduction from 800 to 500 employees. </w:t>
      </w:r>
      <w:r w:rsidR="002D20A4" w:rsidRPr="0072649D">
        <w:t xml:space="preserve">Alexander had observed that </w:t>
      </w:r>
      <w:r w:rsidRPr="0072649D">
        <w:t xml:space="preserve">Telenor </w:t>
      </w:r>
      <w:r w:rsidR="002D20A4" w:rsidRPr="0072649D">
        <w:t xml:space="preserve">since January 2019 had engaged with </w:t>
      </w:r>
      <w:r w:rsidRPr="0072649D">
        <w:t>“structural modernization”</w:t>
      </w:r>
      <w:r w:rsidR="002D20A4" w:rsidRPr="0072649D">
        <w:t xml:space="preserve"> that</w:t>
      </w:r>
      <w:r w:rsidRPr="0072649D">
        <w:t xml:space="preserve"> was </w:t>
      </w:r>
      <w:r w:rsidR="002D20A4" w:rsidRPr="0072649D">
        <w:t>designed</w:t>
      </w:r>
      <w:r w:rsidRPr="0072649D">
        <w:t xml:space="preserve"> to drive efficiency and cost reduction to the MNMTC business model across all business units</w:t>
      </w:r>
      <w:r w:rsidR="002D20A4" w:rsidRPr="0072649D">
        <w:t xml:space="preserve">. </w:t>
      </w:r>
      <w:r w:rsidRPr="0072649D">
        <w:t>Despite some local resistance usually grounded in local bus</w:t>
      </w:r>
      <w:r w:rsidR="002D20A4" w:rsidRPr="0072649D">
        <w:t xml:space="preserve">iness challenges, by the end of 2019 Alexander could observe the contours </w:t>
      </w:r>
      <w:r w:rsidR="001E69B3" w:rsidRPr="0072649D">
        <w:t>of “</w:t>
      </w:r>
      <w:r w:rsidRPr="0072649D">
        <w:t>a more efficient sales machine</w:t>
      </w:r>
      <w:r w:rsidR="002D20A4" w:rsidRPr="0072649D">
        <w:t>”</w:t>
      </w:r>
      <w:r w:rsidRPr="0072649D">
        <w:t xml:space="preserve">. </w:t>
      </w:r>
    </w:p>
    <w:p w:rsidR="001D0CDE" w:rsidRPr="0072649D" w:rsidRDefault="005B1E80" w:rsidP="0076645A">
      <w:pPr>
        <w:spacing w:line="480" w:lineRule="auto"/>
      </w:pPr>
      <w:r w:rsidRPr="0072649D">
        <w:t xml:space="preserve">However, </w:t>
      </w:r>
      <w:r w:rsidR="001D0CDE" w:rsidRPr="0072649D">
        <w:t xml:space="preserve">Alexander pointed out that none of </w:t>
      </w:r>
      <w:r w:rsidRPr="0072649D">
        <w:t xml:space="preserve">this </w:t>
      </w:r>
      <w:r w:rsidR="002D20A4" w:rsidRPr="0072649D">
        <w:t xml:space="preserve">addresses </w:t>
      </w:r>
      <w:r w:rsidRPr="0072649D">
        <w:t xml:space="preserve">the </w:t>
      </w:r>
      <w:r w:rsidR="001D0CDE" w:rsidRPr="0072649D">
        <w:t xml:space="preserve">need for radical change that </w:t>
      </w:r>
      <w:r w:rsidRPr="0072649D">
        <w:t>underpinn</w:t>
      </w:r>
      <w:r w:rsidR="001D0CDE" w:rsidRPr="0072649D">
        <w:t xml:space="preserve">ed </w:t>
      </w:r>
      <w:r w:rsidRPr="0072649D">
        <w:t xml:space="preserve">the </w:t>
      </w:r>
      <w:r w:rsidR="002D20A4" w:rsidRPr="0072649D">
        <w:t xml:space="preserve">2016 </w:t>
      </w:r>
      <w:r w:rsidRPr="0072649D">
        <w:t>disrupting-cycle statement</w:t>
      </w:r>
      <w:r w:rsidR="00FE49E7" w:rsidRPr="0072649D">
        <w:t xml:space="preserve">. Further, despite structural modernization </w:t>
      </w:r>
      <w:r w:rsidR="001D0CDE" w:rsidRPr="0072649D">
        <w:t xml:space="preserve"> </w:t>
      </w:r>
      <w:r w:rsidRPr="0072649D">
        <w:t xml:space="preserve"> revenues from Telenor’s core offerings, voice, messaging and connectivity, </w:t>
      </w:r>
      <w:r w:rsidR="00FE49E7" w:rsidRPr="0072649D">
        <w:t xml:space="preserve">were unaffected. </w:t>
      </w:r>
      <w:r w:rsidRPr="0072649D">
        <w:t xml:space="preserve">Additionally there is an impending need to invest in 5G and </w:t>
      </w:r>
      <w:r w:rsidR="00131CA1" w:rsidRPr="0072649D">
        <w:t>s</w:t>
      </w:r>
      <w:r w:rsidRPr="0072649D">
        <w:t>pectrum/license</w:t>
      </w:r>
      <w:r w:rsidR="001D0CDE" w:rsidRPr="0072649D">
        <w:t>. The other</w:t>
      </w:r>
      <w:r w:rsidR="00FE49E7" w:rsidRPr="0072649D">
        <w:t xml:space="preserve"> managers held</w:t>
      </w:r>
      <w:r w:rsidR="001D0CDE" w:rsidRPr="0072649D">
        <w:t xml:space="preserve"> similar views. </w:t>
      </w:r>
      <w:r w:rsidR="001D0CDE" w:rsidRPr="0072649D">
        <w:rPr>
          <w:rStyle w:val="Heading4Char"/>
          <w:b w:val="0"/>
          <w:i w:val="0"/>
        </w:rPr>
        <w:t>Fritjof</w:t>
      </w:r>
      <w:r w:rsidR="001D0CDE" w:rsidRPr="0072649D">
        <w:rPr>
          <w:bCs/>
        </w:rPr>
        <w:t xml:space="preserve"> thought it highly likely that </w:t>
      </w:r>
      <w:r w:rsidR="001D0CDE" w:rsidRPr="0072649D">
        <w:t xml:space="preserve">Telenor’s fate is to be a supplier of connectivity but as competition is set to increase “Telenor must be damned good at this” if it is to compete </w:t>
      </w:r>
      <w:r w:rsidR="00FE49E7" w:rsidRPr="0072649D">
        <w:t xml:space="preserve">even </w:t>
      </w:r>
      <w:r w:rsidR="001D0CDE" w:rsidRPr="0072649D">
        <w:t xml:space="preserve">as a utility.  </w:t>
      </w:r>
    </w:p>
    <w:p w:rsidR="00FE49E7" w:rsidRPr="0072649D" w:rsidRDefault="00FE49E7" w:rsidP="0076645A">
      <w:pPr>
        <w:spacing w:line="480" w:lineRule="auto"/>
        <w:ind w:firstLine="0"/>
        <w:rPr>
          <w:b/>
        </w:rPr>
      </w:pPr>
    </w:p>
    <w:p w:rsidR="001C4AFC" w:rsidRPr="0072649D" w:rsidRDefault="001C4AFC" w:rsidP="00C77F36">
      <w:pPr>
        <w:pStyle w:val="Heading2"/>
      </w:pPr>
      <w:r w:rsidRPr="0072649D">
        <w:lastRenderedPageBreak/>
        <w:t xml:space="preserve">The impact of post-2017 organizational solutions </w:t>
      </w:r>
    </w:p>
    <w:p w:rsidR="00F92C16" w:rsidRDefault="001C4AFC" w:rsidP="0072649D">
      <w:pPr>
        <w:pStyle w:val="CommentText"/>
        <w:spacing w:line="480" w:lineRule="auto"/>
      </w:pPr>
      <w:r w:rsidRPr="00553F32">
        <w:t xml:space="preserve">While all </w:t>
      </w:r>
      <w:r w:rsidR="00FE49E7" w:rsidRPr="00553F32">
        <w:t xml:space="preserve">six managers </w:t>
      </w:r>
      <w:r w:rsidRPr="00553F32">
        <w:t xml:space="preserve">recognized that the initial organizational solutions </w:t>
      </w:r>
      <w:r w:rsidR="00F92C16">
        <w:t>that had aimed at enabling Telenor to become a</w:t>
      </w:r>
      <w:r w:rsidR="00553F32">
        <w:t xml:space="preserve"> </w:t>
      </w:r>
      <w:r w:rsidR="00F92C16">
        <w:t xml:space="preserve">digital services provider </w:t>
      </w:r>
      <w:r w:rsidRPr="00F92C16">
        <w:t xml:space="preserve">had </w:t>
      </w:r>
      <w:r w:rsidR="00F92C16">
        <w:t>been unsuccessful</w:t>
      </w:r>
      <w:r w:rsidRPr="00F92C16">
        <w:t xml:space="preserve">, none viewed any of the post-2017 organizational solutions as offering </w:t>
      </w:r>
      <w:r w:rsidRPr="009A3B9C">
        <w:t xml:space="preserve">a </w:t>
      </w:r>
      <w:r w:rsidR="00553F32">
        <w:t xml:space="preserve">new viable </w:t>
      </w:r>
      <w:r w:rsidRPr="009A3B9C">
        <w:t xml:space="preserve">path to radical change. </w:t>
      </w:r>
    </w:p>
    <w:p w:rsidR="001C4AFC" w:rsidRPr="0072649D" w:rsidRDefault="002646F0" w:rsidP="0076645A">
      <w:pPr>
        <w:spacing w:line="480" w:lineRule="auto"/>
      </w:pPr>
      <w:r w:rsidRPr="00F92C16">
        <w:t xml:space="preserve">With the exception of Dennis who could perceive some </w:t>
      </w:r>
      <w:r w:rsidR="00FE49E7" w:rsidRPr="00F92C16">
        <w:t xml:space="preserve">limited </w:t>
      </w:r>
      <w:r w:rsidRPr="00F92C16">
        <w:t>progress in terms of developing AI capabilities ther</w:t>
      </w:r>
      <w:r w:rsidRPr="00F81538">
        <w:t xml:space="preserve">e was not </w:t>
      </w:r>
      <w:r w:rsidR="00F35302" w:rsidRPr="00F81538">
        <w:t xml:space="preserve">even </w:t>
      </w:r>
      <w:r w:rsidRPr="0072649D">
        <w:t xml:space="preserve">much awareness of them. </w:t>
      </w:r>
      <w:r w:rsidR="00FE49E7" w:rsidRPr="0072649D">
        <w:t xml:space="preserve">To the extent they were aware of them they did not associate them with radical transformation. </w:t>
      </w:r>
    </w:p>
    <w:p w:rsidR="00210162" w:rsidRPr="0072649D" w:rsidRDefault="005B1E80" w:rsidP="00C77F36">
      <w:pPr>
        <w:pStyle w:val="Heading2"/>
      </w:pPr>
      <w:r w:rsidRPr="0072649D">
        <w:t>Explaining the retreat from radical change</w:t>
      </w:r>
      <w:r w:rsidR="00210162" w:rsidRPr="0072649D">
        <w:t xml:space="preserve"> </w:t>
      </w:r>
    </w:p>
    <w:p w:rsidR="005B1E80" w:rsidRPr="0072649D" w:rsidRDefault="005B1E80" w:rsidP="0076645A">
      <w:pPr>
        <w:spacing w:line="480" w:lineRule="auto"/>
        <w:rPr>
          <w:rStyle w:val="Heading4Char"/>
          <w:b w:val="0"/>
          <w:i w:val="0"/>
        </w:rPr>
      </w:pPr>
      <w:r w:rsidRPr="0072649D">
        <w:rPr>
          <w:rStyle w:val="Heading4Char"/>
          <w:b w:val="0"/>
          <w:i w:val="0"/>
        </w:rPr>
        <w:t xml:space="preserve">The six managers had </w:t>
      </w:r>
      <w:r w:rsidR="003B4EE2" w:rsidRPr="0072649D">
        <w:rPr>
          <w:rStyle w:val="Heading4Char"/>
          <w:b w:val="0"/>
          <w:i w:val="0"/>
        </w:rPr>
        <w:t xml:space="preserve">various </w:t>
      </w:r>
      <w:r w:rsidRPr="0072649D">
        <w:rPr>
          <w:rStyle w:val="Heading4Char"/>
          <w:b w:val="0"/>
          <w:i w:val="0"/>
        </w:rPr>
        <w:t>explanations for why Telenor chose to retreat from radical change</w:t>
      </w:r>
      <w:r w:rsidR="003B4EE2" w:rsidRPr="0072649D">
        <w:rPr>
          <w:rStyle w:val="Heading4Char"/>
          <w:b w:val="0"/>
          <w:i w:val="0"/>
        </w:rPr>
        <w:t xml:space="preserve">. </w:t>
      </w:r>
      <w:r w:rsidR="00F35302" w:rsidRPr="0072649D">
        <w:rPr>
          <w:rStyle w:val="Heading4Char"/>
          <w:b w:val="0"/>
          <w:i w:val="0"/>
        </w:rPr>
        <w:t xml:space="preserve">We distinguish </w:t>
      </w:r>
      <w:r w:rsidR="007C2D03" w:rsidRPr="0072649D">
        <w:rPr>
          <w:rStyle w:val="Heading4Char"/>
          <w:b w:val="0"/>
          <w:i w:val="0"/>
        </w:rPr>
        <w:t xml:space="preserve">two overriding </w:t>
      </w:r>
      <w:r w:rsidR="003B4EE2" w:rsidRPr="0072649D">
        <w:rPr>
          <w:rStyle w:val="Heading4Char"/>
          <w:b w:val="0"/>
          <w:i w:val="0"/>
        </w:rPr>
        <w:t>factors</w:t>
      </w:r>
      <w:r w:rsidR="00F35302" w:rsidRPr="0072649D">
        <w:rPr>
          <w:rStyle w:val="Heading4Char"/>
          <w:b w:val="0"/>
          <w:i w:val="0"/>
        </w:rPr>
        <w:t>:</w:t>
      </w:r>
    </w:p>
    <w:p w:rsidR="00F35302" w:rsidRPr="0072649D" w:rsidRDefault="0029726D" w:rsidP="00C77F36">
      <w:pPr>
        <w:pStyle w:val="Heading3"/>
        <w:rPr>
          <w:rStyle w:val="Heading4Char"/>
          <w:i w:val="0"/>
          <w:iCs w:val="0"/>
        </w:rPr>
      </w:pPr>
      <w:r w:rsidRPr="0072649D">
        <w:rPr>
          <w:rStyle w:val="Heading4Char"/>
          <w:b/>
          <w:bCs/>
          <w:i w:val="0"/>
          <w:iCs w:val="0"/>
        </w:rPr>
        <w:t>Lack of c</w:t>
      </w:r>
      <w:r w:rsidR="00F35302" w:rsidRPr="0072649D">
        <w:rPr>
          <w:rStyle w:val="Heading4Char"/>
          <w:b/>
          <w:bCs/>
          <w:i w:val="0"/>
          <w:iCs w:val="0"/>
        </w:rPr>
        <w:t>apabilities</w:t>
      </w:r>
    </w:p>
    <w:p w:rsidR="007C2D03" w:rsidRPr="0072649D" w:rsidRDefault="007C2D03" w:rsidP="0076645A">
      <w:pPr>
        <w:spacing w:line="480" w:lineRule="auto"/>
      </w:pPr>
      <w:r w:rsidRPr="0072649D">
        <w:rPr>
          <w:rStyle w:val="Heading4Char"/>
          <w:b w:val="0"/>
          <w:i w:val="0"/>
        </w:rPr>
        <w:t>Over and above</w:t>
      </w:r>
      <w:r w:rsidR="000B5FC0" w:rsidRPr="0072649D">
        <w:rPr>
          <w:rStyle w:val="Heading4Char"/>
          <w:b w:val="0"/>
          <w:i w:val="0"/>
        </w:rPr>
        <w:t>,</w:t>
      </w:r>
      <w:r w:rsidRPr="0072649D">
        <w:rPr>
          <w:rStyle w:val="Heading4Char"/>
          <w:b w:val="0"/>
          <w:i w:val="0"/>
        </w:rPr>
        <w:t xml:space="preserve"> </w:t>
      </w:r>
      <w:r w:rsidR="003B4EE2" w:rsidRPr="0072649D">
        <w:rPr>
          <w:rStyle w:val="Heading4Char"/>
          <w:b w:val="0"/>
          <w:i w:val="0"/>
        </w:rPr>
        <w:t xml:space="preserve">questioning </w:t>
      </w:r>
      <w:r w:rsidRPr="0072649D">
        <w:rPr>
          <w:rStyle w:val="Heading4Char"/>
          <w:b w:val="0"/>
          <w:i w:val="0"/>
        </w:rPr>
        <w:t xml:space="preserve">whether Telenor’s top management has sufficient vision and the </w:t>
      </w:r>
      <w:r w:rsidR="006B4711" w:rsidRPr="0072649D">
        <w:t>capabilities to</w:t>
      </w:r>
      <w:r w:rsidR="00FE49E7" w:rsidRPr="0072649D">
        <w:t xml:space="preserve"> engage with the radical transformation </w:t>
      </w:r>
      <w:r w:rsidR="006B4711" w:rsidRPr="0072649D">
        <w:t>as outlined in the disrupting-cycle statement</w:t>
      </w:r>
      <w:r w:rsidRPr="0072649D">
        <w:t xml:space="preserve">, the </w:t>
      </w:r>
      <w:r w:rsidR="000B5FC0" w:rsidRPr="0072649D">
        <w:t>assessment</w:t>
      </w:r>
      <w:r w:rsidRPr="0072649D">
        <w:t xml:space="preserve"> of the six managers is that Telenor </w:t>
      </w:r>
      <w:r w:rsidR="000B5FC0" w:rsidRPr="0072649D">
        <w:t xml:space="preserve">in general </w:t>
      </w:r>
      <w:r w:rsidRPr="0072649D">
        <w:t xml:space="preserve">is lacking in </w:t>
      </w:r>
      <w:r w:rsidR="003B4EE2" w:rsidRPr="0072649D">
        <w:t xml:space="preserve">the </w:t>
      </w:r>
      <w:r w:rsidRPr="0072649D">
        <w:t>core capabilities</w:t>
      </w:r>
      <w:r w:rsidR="003B4EE2" w:rsidRPr="0072649D">
        <w:t xml:space="preserve"> to engage with radical change. </w:t>
      </w:r>
      <w:r w:rsidRPr="0072649D">
        <w:t>For example, Alexander viewed the notion of Telenor “becoming a global and digital internet company inspired by Google” as implausible because “Telenor lacks ‘Google-style’ capabilities.”</w:t>
      </w:r>
      <w:r w:rsidR="000B5FC0" w:rsidRPr="0072649D">
        <w:t xml:space="preserve"> Even argued that with so much focus on efficiency at Telenor, potential recruits with the type competencies </w:t>
      </w:r>
      <w:r w:rsidR="003B4EE2" w:rsidRPr="0072649D">
        <w:t xml:space="preserve">needed to develop radical change </w:t>
      </w:r>
      <w:r w:rsidR="000B5FC0" w:rsidRPr="0072649D">
        <w:t xml:space="preserve">capabilities view </w:t>
      </w:r>
      <w:r w:rsidRPr="0072649D">
        <w:t xml:space="preserve">Telenor as an unattractive prospective employer. </w:t>
      </w:r>
      <w:r w:rsidR="003B4EE2" w:rsidRPr="0072649D">
        <w:t>Similarly, De</w:t>
      </w:r>
      <w:r w:rsidR="00FE49E7" w:rsidRPr="0072649D">
        <w:t>n</w:t>
      </w:r>
      <w:r w:rsidR="003B4EE2" w:rsidRPr="0072649D">
        <w:t xml:space="preserve">nis and </w:t>
      </w:r>
      <w:r w:rsidR="000B5FC0" w:rsidRPr="0072649D">
        <w:lastRenderedPageBreak/>
        <w:t>Benjamin reported a general lack of digital competencies within T</w:t>
      </w:r>
      <w:r w:rsidR="003B4EE2" w:rsidRPr="0072649D">
        <w:t>elenor and were</w:t>
      </w:r>
      <w:r w:rsidR="000B5FC0" w:rsidRPr="0072649D">
        <w:t xml:space="preserve"> doubtful whether Telenor could acquire these except through partnering with external actors.</w:t>
      </w:r>
    </w:p>
    <w:p w:rsidR="007C2D03" w:rsidRPr="0072649D" w:rsidRDefault="007C2D03" w:rsidP="0076645A">
      <w:pPr>
        <w:spacing w:line="480" w:lineRule="auto"/>
      </w:pPr>
    </w:p>
    <w:p w:rsidR="00F35302" w:rsidRPr="0072649D" w:rsidRDefault="0029726D" w:rsidP="00C77F36">
      <w:pPr>
        <w:pStyle w:val="Heading3"/>
      </w:pPr>
      <w:r w:rsidRPr="0072649D">
        <w:t>The f</w:t>
      </w:r>
      <w:r w:rsidR="00F35302" w:rsidRPr="0072649D">
        <w:t>inancial markets</w:t>
      </w:r>
    </w:p>
    <w:p w:rsidR="003E34E2" w:rsidRPr="0072649D" w:rsidRDefault="003B4EE2" w:rsidP="0076645A">
      <w:pPr>
        <w:spacing w:line="480" w:lineRule="auto"/>
      </w:pPr>
      <w:r w:rsidRPr="0072649D">
        <w:t xml:space="preserve">The six managers were all doubtful about the willingness of the financial markets to finance the acquisition of the capabilities needed for radical change. Carl pointed to the “obvious barrier” of Telenor having to continue to fulfil its shareholders’ dividend expectations. </w:t>
      </w:r>
      <w:r w:rsidR="00B343A1" w:rsidRPr="0072649D">
        <w:t xml:space="preserve">Likewise, </w:t>
      </w:r>
      <w:r w:rsidR="007C2D03" w:rsidRPr="0072649D">
        <w:rPr>
          <w:rStyle w:val="Heading4Char"/>
          <w:b w:val="0"/>
          <w:i w:val="0"/>
        </w:rPr>
        <w:t>Even</w:t>
      </w:r>
      <w:r w:rsidR="007C2D03" w:rsidRPr="0072649D">
        <w:rPr>
          <w:rStyle w:val="Heading4Char"/>
          <w:b w:val="0"/>
        </w:rPr>
        <w:t xml:space="preserve"> </w:t>
      </w:r>
      <w:r w:rsidRPr="0072649D">
        <w:t>did</w:t>
      </w:r>
      <w:r w:rsidR="007C2D03" w:rsidRPr="0072649D">
        <w:t xml:space="preserve"> not view the</w:t>
      </w:r>
      <w:r w:rsidR="007C2D03" w:rsidRPr="0072649D">
        <w:rPr>
          <w:b/>
        </w:rPr>
        <w:t xml:space="preserve"> </w:t>
      </w:r>
      <w:r w:rsidR="007C2D03" w:rsidRPr="0072649D">
        <w:t xml:space="preserve">disrupting-cycle statement as </w:t>
      </w:r>
      <w:r w:rsidRPr="0072649D">
        <w:t>“</w:t>
      </w:r>
      <w:r w:rsidR="007C2D03" w:rsidRPr="0072649D">
        <w:t>plausible</w:t>
      </w:r>
      <w:r w:rsidRPr="0072649D">
        <w:t>” because t</w:t>
      </w:r>
      <w:r w:rsidR="007C2D03" w:rsidRPr="0072649D">
        <w:t xml:space="preserve">he position of Telenor as a listed company and the pressure from the financial markets mitigates against any “grand vision”. </w:t>
      </w:r>
      <w:r w:rsidR="00B343A1" w:rsidRPr="0072649D">
        <w:t xml:space="preserve">Dennis also pointed to the share listing of Telenor and investors’ lack of willingness to take a long-term view: “Telenor is therefore under pressure to focus on cost cutting rather than investing in the capabilities (that the disrupting-cycle statement requires)”. Therefore, Dennis suggested that the only possibility of engaging with radical change is the </w:t>
      </w:r>
      <w:r w:rsidR="00AC497B" w:rsidRPr="0072649D">
        <w:rPr>
          <w:rFonts w:ascii="TimesDigitalW04-Regular" w:hAnsi="TimesDigitalW04-Regular"/>
          <w:shd w:val="clear" w:color="auto" w:fill="FFFFFF"/>
        </w:rPr>
        <w:t xml:space="preserve">de-equitization </w:t>
      </w:r>
      <w:r w:rsidR="00B343A1" w:rsidRPr="0072649D">
        <w:rPr>
          <w:rFonts w:ascii="TimesDigitalW04-Regular" w:hAnsi="TimesDigitalW04-Regular"/>
          <w:shd w:val="clear" w:color="auto" w:fill="FFFFFF"/>
        </w:rPr>
        <w:t xml:space="preserve">of Telenor so </w:t>
      </w:r>
      <w:r w:rsidR="00FA67BA" w:rsidRPr="0072649D">
        <w:rPr>
          <w:rFonts w:ascii="TimesDigitalW04-Regular" w:hAnsi="TimesDigitalW04-Regular"/>
          <w:shd w:val="clear" w:color="auto" w:fill="FFFFFF"/>
        </w:rPr>
        <w:t xml:space="preserve">that the Norwegian state by some means could </w:t>
      </w:r>
      <w:r w:rsidR="00B343A1" w:rsidRPr="0072649D">
        <w:rPr>
          <w:rFonts w:ascii="TimesDigitalW04-Regular" w:hAnsi="TimesDigitalW04-Regular"/>
          <w:shd w:val="clear" w:color="auto" w:fill="FFFFFF"/>
        </w:rPr>
        <w:t xml:space="preserve">reacquire its ability to invest in “a key national technology enterprise”. </w:t>
      </w:r>
    </w:p>
    <w:p w:rsidR="00FA67BA" w:rsidRPr="0072649D" w:rsidRDefault="00FA67BA" w:rsidP="0076645A">
      <w:pPr>
        <w:pStyle w:val="Heading1"/>
        <w:spacing w:line="480" w:lineRule="auto"/>
      </w:pPr>
    </w:p>
    <w:p w:rsidR="008D37F6" w:rsidRPr="0072649D" w:rsidRDefault="008D37F6" w:rsidP="0076645A">
      <w:pPr>
        <w:pStyle w:val="Heading1"/>
        <w:spacing w:line="480" w:lineRule="auto"/>
      </w:pPr>
      <w:r w:rsidRPr="0072649D">
        <w:t>Discussion</w:t>
      </w:r>
    </w:p>
    <w:p w:rsidR="006C165D" w:rsidRPr="0072649D" w:rsidRDefault="00382E0E" w:rsidP="0076645A">
      <w:pPr>
        <w:spacing w:line="480" w:lineRule="auto"/>
      </w:pPr>
      <w:r w:rsidRPr="0072649D">
        <w:t xml:space="preserve">Based on their in-depth longitudinal study of Unilever, </w:t>
      </w:r>
      <w:r w:rsidR="008D37F6" w:rsidRPr="0072649D">
        <w:t xml:space="preserve">Mees-Buss et al. (2019:1534) </w:t>
      </w:r>
      <w:r w:rsidRPr="0072649D">
        <w:t>argue</w:t>
      </w:r>
      <w:r w:rsidR="00424ADB" w:rsidRPr="0072649D">
        <w:t xml:space="preserve"> t</w:t>
      </w:r>
      <w:r w:rsidRPr="0072649D">
        <w:t xml:space="preserve">hat transformative change </w:t>
      </w:r>
      <w:r w:rsidR="008D37F6" w:rsidRPr="0072649D">
        <w:t xml:space="preserve">is triggered by a break point at which the top leadership decides that the established selection criterion is no longer working and initiates a new one. The </w:t>
      </w:r>
      <w:r w:rsidR="008D37F6" w:rsidRPr="0072649D">
        <w:lastRenderedPageBreak/>
        <w:t xml:space="preserve">disrupting cycle that follows involves de-selecting or de-prioritizing </w:t>
      </w:r>
      <w:r w:rsidR="006C165D" w:rsidRPr="0072649D">
        <w:t xml:space="preserve">of </w:t>
      </w:r>
      <w:r w:rsidR="008D37F6" w:rsidRPr="0072649D">
        <w:t>e</w:t>
      </w:r>
      <w:r w:rsidR="006C165D" w:rsidRPr="0072649D">
        <w:t xml:space="preserve">stablished “recipes for success” (Mees-Buss et al. 2019:1538). </w:t>
      </w:r>
      <w:r w:rsidR="00424ADB" w:rsidRPr="0072649D">
        <w:t xml:space="preserve">Our study of Telenor </w:t>
      </w:r>
      <w:r w:rsidR="006C165D" w:rsidRPr="0072649D">
        <w:t>spans the successful radical transformation</w:t>
      </w:r>
      <w:r w:rsidR="00424ADB" w:rsidRPr="0072649D">
        <w:t xml:space="preserve"> of the 1990s and</w:t>
      </w:r>
      <w:r w:rsidR="006C165D" w:rsidRPr="0072649D">
        <w:t xml:space="preserve"> the unsuccessful radical transformation</w:t>
      </w:r>
      <w:r w:rsidR="00424ADB" w:rsidRPr="0072649D">
        <w:t xml:space="preserve"> of 2015-2020. Both were characterized by disrupting cycle statements.</w:t>
      </w:r>
      <w:r w:rsidR="00336F50" w:rsidRPr="0072649D">
        <w:t xml:space="preserve"> Whereas the first resulted in Telenor becoming a MNMTC, o</w:t>
      </w:r>
      <w:r w:rsidR="008D37F6" w:rsidRPr="0072649D">
        <w:t>ur study indicates that th</w:t>
      </w:r>
      <w:r w:rsidR="008449EA" w:rsidRPr="0072649D">
        <w:t xml:space="preserve">e second </w:t>
      </w:r>
      <w:r w:rsidR="008D37F6" w:rsidRPr="0072649D">
        <w:t xml:space="preserve">was abandoned after little more twelve months. </w:t>
      </w:r>
    </w:p>
    <w:p w:rsidR="0076645A" w:rsidRPr="0072649D" w:rsidRDefault="00CB15CC" w:rsidP="0076645A">
      <w:pPr>
        <w:spacing w:line="480" w:lineRule="auto"/>
      </w:pPr>
      <w:r w:rsidRPr="0072649D">
        <w:t>In conjunction with the second era of radical change, o</w:t>
      </w:r>
      <w:r w:rsidR="008449EA" w:rsidRPr="0072649D">
        <w:t>ur in</w:t>
      </w:r>
      <w:r w:rsidRPr="0072649D">
        <w:t>terviews with managers indicate</w:t>
      </w:r>
      <w:r w:rsidR="008449EA" w:rsidRPr="0072649D">
        <w:t xml:space="preserve"> not </w:t>
      </w:r>
      <w:r w:rsidR="00336F50" w:rsidRPr="0072649D">
        <w:t xml:space="preserve">just </w:t>
      </w:r>
      <w:r w:rsidR="008449EA" w:rsidRPr="0072649D">
        <w:t xml:space="preserve">a lack of the relevant </w:t>
      </w:r>
      <w:r w:rsidR="008D37F6" w:rsidRPr="0072649D">
        <w:t>capabilities</w:t>
      </w:r>
      <w:r w:rsidR="00336F50" w:rsidRPr="0072649D">
        <w:t xml:space="preserve"> for Telenor</w:t>
      </w:r>
      <w:r w:rsidR="008D37F6" w:rsidRPr="0072649D">
        <w:t xml:space="preserve"> to take a digital services position </w:t>
      </w:r>
      <w:r w:rsidR="008449EA" w:rsidRPr="0072649D">
        <w:t xml:space="preserve">but also a regulatory context that </w:t>
      </w:r>
      <w:r w:rsidR="00F96CC9" w:rsidRPr="0072649D">
        <w:t xml:space="preserve">had cut Telenor off from the source of </w:t>
      </w:r>
      <w:r w:rsidRPr="0072649D">
        <w:t xml:space="preserve">long-term </w:t>
      </w:r>
      <w:r w:rsidR="00F96CC9" w:rsidRPr="0072649D">
        <w:t xml:space="preserve">finance </w:t>
      </w:r>
      <w:r w:rsidRPr="0072649D">
        <w:t>provided</w:t>
      </w:r>
      <w:r w:rsidR="00F96CC9" w:rsidRPr="0072649D">
        <w:t xml:space="preserve"> by the Norwegian state during the 1990s. As a result</w:t>
      </w:r>
      <w:r w:rsidR="00B855B5" w:rsidRPr="0072649D">
        <w:t>,</w:t>
      </w:r>
      <w:r w:rsidR="008D37F6" w:rsidRPr="0072649D">
        <w:t xml:space="preserve"> by the end of 2019 the </w:t>
      </w:r>
      <w:r w:rsidRPr="0072649D">
        <w:t xml:space="preserve">transformation ambition had been reduced to </w:t>
      </w:r>
      <w:r w:rsidR="00F96CC9" w:rsidRPr="0072649D">
        <w:t xml:space="preserve">one of </w:t>
      </w:r>
      <w:r w:rsidR="008D37F6" w:rsidRPr="0072649D">
        <w:t>“moderniz</w:t>
      </w:r>
      <w:r w:rsidR="00F96CC9" w:rsidRPr="0072649D">
        <w:t>ing</w:t>
      </w:r>
      <w:r w:rsidR="008D37F6" w:rsidRPr="0072649D">
        <w:t>” the core business</w:t>
      </w:r>
      <w:r w:rsidRPr="0072649D">
        <w:t xml:space="preserve">. </w:t>
      </w:r>
    </w:p>
    <w:p w:rsidR="008D37F6" w:rsidRPr="0072649D" w:rsidRDefault="008D37F6" w:rsidP="0076645A">
      <w:pPr>
        <w:spacing w:line="480" w:lineRule="auto"/>
      </w:pPr>
      <w:r w:rsidRPr="0072649D">
        <w:t xml:space="preserve"> </w:t>
      </w:r>
      <w:r w:rsidR="0000125B" w:rsidRPr="0072649D">
        <w:t xml:space="preserve">One limitation to the second part of our study is that it may be premature to conclude about radical transformation. </w:t>
      </w:r>
      <w:r w:rsidR="00424ADB" w:rsidRPr="0072649D">
        <w:t>Mees-Buss et al. (2019:1534) observe that the transformative change of an MNC is “less a progression of stages than a non-linear and ongoing succession of evolutionary cycles</w:t>
      </w:r>
      <w:r w:rsidR="00F96CC9" w:rsidRPr="0072649D">
        <w:t xml:space="preserve">…. Without awareness of this…the early stages of transformative change risk being interpreted as failure, not only by participants but also by those observing it” (Mees-Buss et al, 2019:1535-1536). </w:t>
      </w:r>
      <w:r w:rsidR="00424ADB" w:rsidRPr="0072649D">
        <w:t>”</w:t>
      </w:r>
      <w:r w:rsidR="00F96CC9" w:rsidRPr="0072649D">
        <w:t xml:space="preserve"> It is possible that our study of Telenor’s second attempt at radical change is premature. </w:t>
      </w:r>
      <w:r w:rsidR="00CB15CC" w:rsidRPr="0072649D">
        <w:t>Although the</w:t>
      </w:r>
      <w:r w:rsidR="0000125B" w:rsidRPr="0072649D">
        <w:t xml:space="preserve"> managers we interviewed were </w:t>
      </w:r>
      <w:r w:rsidR="00CB15CC" w:rsidRPr="0072649D">
        <w:t>unconvinced, we have observed that after 2017 Telenor contains various initiatives</w:t>
      </w:r>
      <w:r w:rsidR="006B3945" w:rsidRPr="0072649D">
        <w:t>. As well as legacy removal, there are spinouts</w:t>
      </w:r>
      <w:r w:rsidR="00CB15CC" w:rsidRPr="0072649D">
        <w:t xml:space="preserve">, ambidextrous solutions, </w:t>
      </w:r>
      <w:r w:rsidR="0000125B" w:rsidRPr="0072649D">
        <w:t>an EU supported ecosystem</w:t>
      </w:r>
      <w:r w:rsidR="00CB15CC" w:rsidRPr="0072649D">
        <w:t xml:space="preserve"> </w:t>
      </w:r>
      <w:r w:rsidR="001C504D" w:rsidRPr="0072649D">
        <w:t xml:space="preserve">alliance and </w:t>
      </w:r>
      <w:r w:rsidR="0000125B" w:rsidRPr="0072649D">
        <w:t>experime</w:t>
      </w:r>
      <w:r w:rsidR="006B3945" w:rsidRPr="0072649D">
        <w:t xml:space="preserve">ntation with the agile solution. These </w:t>
      </w:r>
      <w:r w:rsidR="0000125B" w:rsidRPr="0072649D">
        <w:t xml:space="preserve">may yet contribute to </w:t>
      </w:r>
      <w:r w:rsidR="006B3945" w:rsidRPr="0072649D">
        <w:t xml:space="preserve">creating a context that is conducive to </w:t>
      </w:r>
      <w:r w:rsidR="0000125B" w:rsidRPr="0072649D">
        <w:t>radical transformation. Equally though, i</w:t>
      </w:r>
      <w:r w:rsidR="00F96CC9" w:rsidRPr="0072649D">
        <w:t xml:space="preserve">t is also feasible that </w:t>
      </w:r>
      <w:r w:rsidR="005D332D" w:rsidRPr="0072649D">
        <w:t xml:space="preserve">because of its regulative institutional </w:t>
      </w:r>
      <w:r w:rsidR="005D332D" w:rsidRPr="0072649D">
        <w:lastRenderedPageBreak/>
        <w:t xml:space="preserve">context that is significantly determined by </w:t>
      </w:r>
      <w:r w:rsidR="009B0439" w:rsidRPr="0072649D">
        <w:t xml:space="preserve">EU competition </w:t>
      </w:r>
      <w:r w:rsidR="005D332D" w:rsidRPr="0072649D">
        <w:t xml:space="preserve">law Telenor will be unable to access the long term investment in digital services and content capabilities that it needs for radical transformation. </w:t>
      </w:r>
    </w:p>
    <w:p w:rsidR="0000125B" w:rsidRPr="0072649D" w:rsidRDefault="009B0439" w:rsidP="0076645A">
      <w:pPr>
        <w:spacing w:line="480" w:lineRule="auto"/>
      </w:pPr>
      <w:r w:rsidRPr="0072649D">
        <w:t xml:space="preserve">Another limitation to our study is the issue of generalizability that can only be resolved </w:t>
      </w:r>
      <w:r w:rsidR="0000125B" w:rsidRPr="0072649D">
        <w:t xml:space="preserve">by conducting </w:t>
      </w:r>
      <w:r w:rsidRPr="0072649D">
        <w:t xml:space="preserve">further studies of </w:t>
      </w:r>
      <w:r w:rsidR="0000125B" w:rsidRPr="0072649D">
        <w:t xml:space="preserve">European </w:t>
      </w:r>
      <w:r w:rsidRPr="0072649D">
        <w:t xml:space="preserve">MNMTCs. </w:t>
      </w:r>
      <w:r w:rsidR="00AF768F" w:rsidRPr="0072649D">
        <w:t>However, another European MNMTC, Telefónica, is clearly experiencing similar challenges in relat</w:t>
      </w:r>
      <w:r w:rsidR="0000125B" w:rsidRPr="0072649D">
        <w:t xml:space="preserve">ion to radical change: </w:t>
      </w:r>
    </w:p>
    <w:p w:rsidR="0000125B" w:rsidRPr="0072649D" w:rsidRDefault="00AF768F" w:rsidP="0000125B">
      <w:pPr>
        <w:spacing w:line="480" w:lineRule="auto"/>
        <w:ind w:left="720" w:firstLine="0"/>
      </w:pPr>
      <w:r w:rsidRPr="0072649D">
        <w:t>“José María Álvarez-Pallete, chairman and chief executive of Telefónica, said the telecoms company needed to reinvent itself in an age of technological disruption. ‘Our sources of revenue are exhausted, he said. ‘Technology is changing everything . . . we have to build our own road forward.’” (Financial Times, 2019</w:t>
      </w:r>
      <w:r w:rsidR="00961E7B" w:rsidRPr="0072649D">
        <w:t>b</w:t>
      </w:r>
      <w:r w:rsidRPr="0072649D">
        <w:t xml:space="preserve">). </w:t>
      </w:r>
    </w:p>
    <w:p w:rsidR="00AF768F" w:rsidRPr="0072649D" w:rsidRDefault="0000125B" w:rsidP="0000125B">
      <w:pPr>
        <w:spacing w:line="480" w:lineRule="auto"/>
      </w:pPr>
      <w:r w:rsidRPr="0072649D">
        <w:t>I</w:t>
      </w:r>
      <w:r w:rsidR="00AF768F" w:rsidRPr="0072649D">
        <w:t>n 2020, that road is unclear beyond the unwinding of “its sprawling global telecoms network” (Financial Times, 2019</w:t>
      </w:r>
      <w:r w:rsidR="00961E7B" w:rsidRPr="0072649D">
        <w:t>b</w:t>
      </w:r>
      <w:r w:rsidR="00AF768F" w:rsidRPr="0072649D">
        <w:t xml:space="preserve">). </w:t>
      </w:r>
      <w:r w:rsidR="000653A0" w:rsidRPr="0072649D">
        <w:t>With €38bn of net debt and its shares having fallen by more than half since the summer of 2015</w:t>
      </w:r>
      <w:r w:rsidR="000E1ED4" w:rsidRPr="0072649D">
        <w:t>,</w:t>
      </w:r>
      <w:r w:rsidR="000653A0" w:rsidRPr="0072649D">
        <w:t xml:space="preserve"> Telefónica is scaling back its</w:t>
      </w:r>
      <w:r w:rsidR="00961E7B" w:rsidRPr="0072649D">
        <w:t xml:space="preserve"> global presence.</w:t>
      </w:r>
      <w:r w:rsidR="000653A0" w:rsidRPr="0072649D">
        <w:t xml:space="preserve"> E</w:t>
      </w:r>
      <w:r w:rsidR="00AF768F" w:rsidRPr="0072649D">
        <w:t xml:space="preserve">xcept for Brazil, Telefónica plans to withdraw from Latin America in order to focus on </w:t>
      </w:r>
      <w:r w:rsidR="000653A0" w:rsidRPr="0072649D">
        <w:t xml:space="preserve">its domestic market, Brazil, </w:t>
      </w:r>
      <w:r w:rsidR="00AF768F" w:rsidRPr="0072649D">
        <w:t>the UK and Germany</w:t>
      </w:r>
      <w:r w:rsidR="000653A0" w:rsidRPr="0072649D">
        <w:t xml:space="preserve">. </w:t>
      </w:r>
      <w:r w:rsidR="00AF768F" w:rsidRPr="0072649D">
        <w:t xml:space="preserve"> </w:t>
      </w:r>
      <w:r w:rsidR="000653A0" w:rsidRPr="0072649D">
        <w:t xml:space="preserve">Mr Álvarez-Pallete </w:t>
      </w:r>
      <w:r w:rsidR="00961E7B" w:rsidRPr="0072649D">
        <w:t xml:space="preserve">commented that, </w:t>
      </w:r>
      <w:r w:rsidR="00AF768F" w:rsidRPr="0072649D">
        <w:t>“The traditional way to grow is no longer valid . . </w:t>
      </w:r>
      <w:r w:rsidR="00961E7B" w:rsidRPr="0072649D">
        <w:t>. we’re looking at all options</w:t>
      </w:r>
      <w:r w:rsidR="00AF768F" w:rsidRPr="0072649D">
        <w:t xml:space="preserve">” </w:t>
      </w:r>
      <w:r w:rsidR="00961E7B" w:rsidRPr="0072649D">
        <w:t xml:space="preserve">(Financial Times, 2019b). </w:t>
      </w:r>
    </w:p>
    <w:p w:rsidR="008D37F6" w:rsidRPr="0072649D" w:rsidRDefault="008D37F6" w:rsidP="0076645A">
      <w:pPr>
        <w:spacing w:line="480" w:lineRule="auto"/>
      </w:pPr>
    </w:p>
    <w:p w:rsidR="008D37F6" w:rsidRPr="0072649D" w:rsidRDefault="008D37F6" w:rsidP="0076645A">
      <w:pPr>
        <w:spacing w:line="480" w:lineRule="auto"/>
      </w:pPr>
    </w:p>
    <w:p w:rsidR="008D37F6" w:rsidRPr="0072649D" w:rsidRDefault="008D37F6" w:rsidP="0076645A">
      <w:pPr>
        <w:spacing w:line="480" w:lineRule="auto"/>
      </w:pPr>
    </w:p>
    <w:p w:rsidR="008D37F6" w:rsidRPr="0072649D" w:rsidRDefault="008D37F6" w:rsidP="0076645A">
      <w:pPr>
        <w:spacing w:line="480" w:lineRule="auto"/>
      </w:pPr>
    </w:p>
    <w:p w:rsidR="008D37F6" w:rsidRPr="0072649D" w:rsidRDefault="008D37F6" w:rsidP="0076645A">
      <w:pPr>
        <w:spacing w:line="480" w:lineRule="auto"/>
      </w:pPr>
    </w:p>
    <w:p w:rsidR="008D37F6" w:rsidRPr="00E32D6E" w:rsidRDefault="008D37F6" w:rsidP="001C72CA">
      <w:pPr>
        <w:pStyle w:val="Heading1"/>
      </w:pPr>
      <w:r w:rsidRPr="00E32D6E">
        <w:t>References</w:t>
      </w:r>
    </w:p>
    <w:p w:rsidR="003E34E2" w:rsidRPr="00E32D6E" w:rsidRDefault="003E34E2" w:rsidP="003E34E2"/>
    <w:p w:rsidR="008D37F6" w:rsidRPr="00E32D6E" w:rsidRDefault="008D37F6" w:rsidP="001C72CA">
      <w:pPr>
        <w:pStyle w:val="Bibliography"/>
      </w:pPr>
      <w:r w:rsidRPr="00E32D6E">
        <w:t>Adner, R. (2017). Ecosystems as structure: An actionable construct for strategy</w:t>
      </w:r>
      <w:r w:rsidRPr="00E32D6E">
        <w:rPr>
          <w:i/>
        </w:rPr>
        <w:t>. Journal of Management</w:t>
      </w:r>
      <w:r w:rsidRPr="00E32D6E">
        <w:t xml:space="preserve">, 43(1): 39-58. </w:t>
      </w:r>
    </w:p>
    <w:p w:rsidR="008D37F6" w:rsidRPr="00E32D6E" w:rsidRDefault="008D37F6" w:rsidP="001C72CA">
      <w:pPr>
        <w:pStyle w:val="Bibliography"/>
      </w:pPr>
      <w:r w:rsidRPr="00E32D6E">
        <w:t xml:space="preserve">Agile Manifesto (2001).  </w:t>
      </w:r>
      <w:hyperlink r:id="rId14" w:history="1">
        <w:r w:rsidRPr="00E32D6E">
          <w:rPr>
            <w:rStyle w:val="Hyperlink"/>
            <w:rFonts w:ascii="Times New Roman" w:hAnsi="Times New Roman" w:cs="Times New Roman"/>
          </w:rPr>
          <w:t>https://agilemanifesto.org/</w:t>
        </w:r>
      </w:hyperlink>
      <w:r w:rsidRPr="00E32D6E">
        <w:rPr>
          <w:rStyle w:val="Hyperlink"/>
          <w:rFonts w:ascii="Times New Roman" w:hAnsi="Times New Roman" w:cs="Times New Roman"/>
        </w:rPr>
        <w:t xml:space="preserve"> </w:t>
      </w:r>
      <w:r w:rsidRPr="00E32D6E">
        <w:t>Accessed on 3 December 2019.</w:t>
      </w:r>
    </w:p>
    <w:p w:rsidR="008D37F6" w:rsidRPr="00E32D6E" w:rsidRDefault="008D37F6" w:rsidP="001C72CA">
      <w:pPr>
        <w:pStyle w:val="Bibliography"/>
      </w:pPr>
      <w:r w:rsidRPr="00E32D6E">
        <w:t xml:space="preserve">Balogun, J., Hailey, V. H., &amp; Gustafsson, S. (2015). </w:t>
      </w:r>
      <w:r w:rsidRPr="00E32D6E">
        <w:rPr>
          <w:i/>
          <w:iCs/>
        </w:rPr>
        <w:t>Exploring Strategic Change 4th edn</w:t>
      </w:r>
      <w:r w:rsidRPr="00E32D6E">
        <w:t>. Pearson Higher Ed.</w:t>
      </w:r>
    </w:p>
    <w:p w:rsidR="008D37F6" w:rsidRPr="00E32D6E" w:rsidRDefault="008D37F6" w:rsidP="001C72CA">
      <w:pPr>
        <w:pStyle w:val="Bibliography"/>
        <w:rPr>
          <w:lang w:eastAsia="nb-NO"/>
        </w:rPr>
      </w:pPr>
      <w:r w:rsidRPr="00E32D6E">
        <w:rPr>
          <w:lang w:eastAsia="nb-NO"/>
        </w:rPr>
        <w:t xml:space="preserve">Bogers, Marcel and Sims, Jonathan and West, Joel, What Is an Ecosystem? Incorporating 25 Years of Ecosystem Research (January 15, 2019). </w:t>
      </w:r>
      <w:r w:rsidRPr="00E32D6E">
        <w:rPr>
          <w:i/>
          <w:lang w:eastAsia="nb-NO"/>
        </w:rPr>
        <w:t>Academy of Management Proceedings</w:t>
      </w:r>
      <w:r w:rsidRPr="00E32D6E">
        <w:rPr>
          <w:lang w:eastAsia="nb-NO"/>
        </w:rPr>
        <w:t xml:space="preserve">, Vol. 2019, No. 1. Available at SSRN: </w:t>
      </w:r>
      <w:hyperlink r:id="rId15" w:tgtFrame="_blank" w:history="1">
        <w:r w:rsidRPr="00E32D6E">
          <w:rPr>
            <w:color w:val="0000FF"/>
            <w:u w:val="single"/>
            <w:lang w:eastAsia="nb-NO"/>
          </w:rPr>
          <w:t>https://ssrn.com/abstract=3437014</w:t>
        </w:r>
      </w:hyperlink>
      <w:r w:rsidRPr="00E32D6E">
        <w:rPr>
          <w:lang w:eastAsia="nb-NO"/>
        </w:rPr>
        <w:t xml:space="preserve"> or </w:t>
      </w:r>
      <w:hyperlink r:id="rId16" w:tgtFrame="_blank" w:history="1">
        <w:r w:rsidRPr="00E32D6E">
          <w:rPr>
            <w:color w:val="0000FF"/>
            <w:u w:val="single"/>
            <w:lang w:eastAsia="nb-NO"/>
          </w:rPr>
          <w:t xml:space="preserve">http://dx.doi.org/10.2139/ssrn.3437014 </w:t>
        </w:r>
      </w:hyperlink>
    </w:p>
    <w:p w:rsidR="008D37F6" w:rsidRPr="0072649D" w:rsidRDefault="008D37F6" w:rsidP="001C72CA">
      <w:pPr>
        <w:pStyle w:val="Bibliography"/>
        <w:rPr>
          <w:lang w:val="nb-NO"/>
        </w:rPr>
      </w:pPr>
      <w:r w:rsidRPr="0072649D">
        <w:rPr>
          <w:lang w:val="nb-NO"/>
        </w:rPr>
        <w:t xml:space="preserve">Christensen, C.M. &amp; Ovendorf, M. (2000). </w:t>
      </w:r>
      <w:r w:rsidRPr="00E32D6E">
        <w:t xml:space="preserve">Meeting the Challenge of Disruptive Change. </w:t>
      </w:r>
      <w:r w:rsidRPr="0072649D">
        <w:rPr>
          <w:i/>
          <w:lang w:val="nb-NO"/>
        </w:rPr>
        <w:t>Harvard Business Review</w:t>
      </w:r>
      <w:r w:rsidRPr="0072649D">
        <w:rPr>
          <w:lang w:val="nb-NO"/>
        </w:rPr>
        <w:t xml:space="preserve">. March-April. </w:t>
      </w:r>
    </w:p>
    <w:p w:rsidR="008D37F6" w:rsidRPr="0072649D" w:rsidRDefault="008D37F6" w:rsidP="001C72CA">
      <w:pPr>
        <w:pStyle w:val="Bibliography"/>
        <w:rPr>
          <w:lang w:val="nb-NO"/>
        </w:rPr>
      </w:pPr>
      <w:r w:rsidRPr="0072649D">
        <w:rPr>
          <w:i/>
          <w:iCs/>
          <w:lang w:val="nb-NO"/>
        </w:rPr>
        <w:t>Dagens Næringsliv</w:t>
      </w:r>
      <w:r w:rsidRPr="0072649D">
        <w:rPr>
          <w:lang w:val="nb-NO"/>
        </w:rPr>
        <w:t xml:space="preserve">. (2016a). </w:t>
      </w:r>
      <w:r w:rsidRPr="0072649D">
        <w:rPr>
          <w:i/>
          <w:lang w:val="nb-NO"/>
        </w:rPr>
        <w:t xml:space="preserve">Varsler ny kurs. </w:t>
      </w:r>
      <w:hyperlink r:id="rId17" w:history="1">
        <w:r w:rsidRPr="00E32D6E">
          <w:rPr>
            <w:rStyle w:val="Hyperlink"/>
            <w:rFonts w:ascii="Times New Roman" w:hAnsi="Times New Roman" w:cs="Times New Roman"/>
          </w:rPr>
          <w:t>https://www.dn.no/telekom/telenor/oppkjop/tapad/varsler-ny-kurs/1-1-5567444</w:t>
        </w:r>
      </w:hyperlink>
      <w:r w:rsidRPr="00E32D6E">
        <w:t xml:space="preserve">. </w:t>
      </w:r>
      <w:r w:rsidRPr="0072649D">
        <w:rPr>
          <w:lang w:val="nb-NO"/>
        </w:rPr>
        <w:t>Accessed on 3 December 2019</w:t>
      </w:r>
    </w:p>
    <w:p w:rsidR="008D37F6" w:rsidRPr="00E32D6E" w:rsidRDefault="008D37F6" w:rsidP="001C72CA">
      <w:pPr>
        <w:pStyle w:val="Bibliography"/>
      </w:pPr>
      <w:r w:rsidRPr="0072649D">
        <w:rPr>
          <w:i/>
          <w:iCs/>
          <w:lang w:val="nb-NO"/>
        </w:rPr>
        <w:t>Dagens Næringsliv</w:t>
      </w:r>
      <w:r w:rsidRPr="0072649D">
        <w:rPr>
          <w:lang w:val="nb-NO"/>
        </w:rPr>
        <w:t xml:space="preserve">. (2016b). </w:t>
      </w:r>
      <w:r w:rsidRPr="0072649D">
        <w:rPr>
          <w:i/>
          <w:iCs/>
          <w:lang w:val="nb-NO"/>
        </w:rPr>
        <w:t>Vi har ikke mye tid</w:t>
      </w:r>
      <w:r w:rsidRPr="0072649D">
        <w:rPr>
          <w:lang w:val="nb-NO"/>
        </w:rPr>
        <w:t xml:space="preserve">. </w:t>
      </w:r>
      <w:r w:rsidRPr="00E32D6E">
        <w:t>Retrieved from http://www.dn.no/nyheter/naringsliv/</w:t>
      </w:r>
    </w:p>
    <w:p w:rsidR="008D37F6" w:rsidRPr="0072649D" w:rsidRDefault="008D37F6" w:rsidP="001C72CA">
      <w:pPr>
        <w:pStyle w:val="Bibliography"/>
        <w:rPr>
          <w:lang w:val="nb-NO"/>
        </w:rPr>
      </w:pPr>
      <w:r w:rsidRPr="0072649D">
        <w:rPr>
          <w:lang w:val="nb-NO"/>
        </w:rPr>
        <w:t>2016/04/25/1815/Telekom/-vi-har-ikke-mye-tid. Accessed on 25 April 2016.</w:t>
      </w:r>
    </w:p>
    <w:p w:rsidR="008D37F6" w:rsidRPr="00E32D6E" w:rsidRDefault="008D37F6" w:rsidP="001C72CA">
      <w:pPr>
        <w:pStyle w:val="Bibliography"/>
      </w:pPr>
      <w:r w:rsidRPr="0072649D">
        <w:rPr>
          <w:i/>
          <w:iCs/>
          <w:lang w:val="nb-NO"/>
        </w:rPr>
        <w:lastRenderedPageBreak/>
        <w:t>Dagens Næringsliv</w:t>
      </w:r>
      <w:r w:rsidRPr="0072649D">
        <w:rPr>
          <w:lang w:val="nb-NO"/>
        </w:rPr>
        <w:t xml:space="preserve">. (2016c). Investerer 50 mill. i kunstig intelligens. </w:t>
      </w:r>
      <w:hyperlink r:id="rId18" w:history="1">
        <w:r w:rsidRPr="00C77F36">
          <w:rPr>
            <w:rStyle w:val="Hyperlink"/>
            <w:rFonts w:ascii="Times New Roman" w:hAnsi="Times New Roman" w:cs="Times New Roman"/>
          </w:rPr>
          <w:t>https://www.dn.no/telenor/kunstig-intelligens/forskning/investerer-50-mill-i-kunstig-intelligens/1-1-5709708</w:t>
        </w:r>
      </w:hyperlink>
      <w:r w:rsidRPr="00C77F36">
        <w:t xml:space="preserve">. </w:t>
      </w:r>
      <w:r w:rsidRPr="00E32D6E">
        <w:t>Accessed on 3 December 2019.</w:t>
      </w:r>
    </w:p>
    <w:p w:rsidR="008D37F6" w:rsidRPr="00E32D6E" w:rsidRDefault="008D37F6" w:rsidP="001C72CA">
      <w:pPr>
        <w:pStyle w:val="Bibliography"/>
      </w:pPr>
      <w:r w:rsidRPr="00E32D6E">
        <w:t xml:space="preserve">Dasí, À., Elter, F., Gooderham, P., &amp; Pedersen, T. (2019). VUCA and the future of the global mobile </w:t>
      </w:r>
      <w:r w:rsidR="00D50454" w:rsidRPr="00E32D6E">
        <w:t>MNMTC</w:t>
      </w:r>
      <w:r w:rsidRPr="00E32D6E">
        <w:t xml:space="preserve"> industry. </w:t>
      </w:r>
      <w:r w:rsidRPr="00E32D6E">
        <w:rPr>
          <w:i/>
          <w:iCs/>
        </w:rPr>
        <w:t>International Business in a VUCA World: The Changing Role of States and Firms. Progress in International Business Research</w:t>
      </w:r>
      <w:r w:rsidRPr="00E32D6E">
        <w:t xml:space="preserve">, </w:t>
      </w:r>
      <w:r w:rsidRPr="00E32D6E">
        <w:rPr>
          <w:i/>
          <w:iCs/>
        </w:rPr>
        <w:t>14</w:t>
      </w:r>
      <w:r w:rsidRPr="00E32D6E">
        <w:t>, 383-401.</w:t>
      </w:r>
    </w:p>
    <w:p w:rsidR="000B4F8D" w:rsidRPr="00E32D6E" w:rsidRDefault="000B4F8D" w:rsidP="000B4F8D">
      <w:pPr>
        <w:pStyle w:val="Bibliography"/>
      </w:pPr>
      <w:r w:rsidRPr="00E32D6E">
        <w:rPr>
          <w:i/>
        </w:rPr>
        <w:t>Economist</w:t>
      </w:r>
      <w:r w:rsidRPr="00E32D6E">
        <w:t xml:space="preserve"> (2019). Schumpeter – Vodafone’s search for the G-spot. August 24</w:t>
      </w:r>
      <w:r w:rsidRPr="00E32D6E">
        <w:rPr>
          <w:vertAlign w:val="superscript"/>
        </w:rPr>
        <w:t>th</w:t>
      </w:r>
      <w:r w:rsidRPr="00E32D6E">
        <w:t xml:space="preserve">, 2019. </w:t>
      </w:r>
      <w:hyperlink r:id="rId19" w:history="1">
        <w:r w:rsidRPr="00E32D6E">
          <w:rPr>
            <w:rStyle w:val="Hyperlink"/>
            <w:rFonts w:ascii="Times New Roman" w:hAnsi="Times New Roman" w:cs="Times New Roman"/>
          </w:rPr>
          <w:t>https://www.economist.com/business/2019/08/22/vodafones-search-for-the-g-spot</w:t>
        </w:r>
      </w:hyperlink>
      <w:r w:rsidRPr="00E32D6E">
        <w:t xml:space="preserve"> Accessed on 12 December 2019.</w:t>
      </w:r>
    </w:p>
    <w:p w:rsidR="000B4F8D" w:rsidRPr="00E32D6E" w:rsidRDefault="000B4F8D" w:rsidP="000B4F8D">
      <w:pPr>
        <w:ind w:firstLine="0"/>
        <w:rPr>
          <w:color w:val="222222"/>
        </w:rPr>
      </w:pPr>
      <w:r w:rsidRPr="0072649D">
        <w:rPr>
          <w:color w:val="222222"/>
          <w:lang w:val="nb-NO"/>
        </w:rPr>
        <w:t xml:space="preserve">Eliassen, K. A. &amp; Sjovaag, M. (Eds) (1999). </w:t>
      </w:r>
      <w:r w:rsidRPr="00E32D6E">
        <w:rPr>
          <w:i/>
          <w:iCs/>
          <w:color w:val="222222"/>
        </w:rPr>
        <w:t>European Telecommunications Liberalisation.</w:t>
      </w:r>
      <w:r w:rsidRPr="00E32D6E">
        <w:rPr>
          <w:color w:val="222222"/>
        </w:rPr>
        <w:t xml:space="preserve"> </w:t>
      </w:r>
    </w:p>
    <w:p w:rsidR="000B4F8D" w:rsidRPr="00E32D6E" w:rsidRDefault="000B4F8D" w:rsidP="000B4F8D">
      <w:r w:rsidRPr="00E32D6E">
        <w:rPr>
          <w:color w:val="222222"/>
        </w:rPr>
        <w:t>Routledge: London.</w:t>
      </w:r>
    </w:p>
    <w:p w:rsidR="00664A0B" w:rsidRPr="00E32D6E" w:rsidRDefault="00664A0B" w:rsidP="00664A0B">
      <w:pPr>
        <w:autoSpaceDE w:val="0"/>
        <w:autoSpaceDN w:val="0"/>
        <w:adjustRightInd w:val="0"/>
        <w:spacing w:line="240" w:lineRule="auto"/>
        <w:ind w:firstLine="0"/>
        <w:rPr>
          <w:rFonts w:ascii="Times New Roman" w:eastAsia="MinionPro-Regular" w:hAnsi="Times New Roman" w:cs="Times New Roman"/>
          <w:kern w:val="0"/>
        </w:rPr>
      </w:pPr>
      <w:r w:rsidRPr="00E32D6E">
        <w:rPr>
          <w:rFonts w:ascii="Times New Roman" w:eastAsia="MinionPro-Regular" w:hAnsi="Times New Roman" w:cs="Times New Roman"/>
          <w:kern w:val="0"/>
        </w:rPr>
        <w:t xml:space="preserve">Elter, F. (2004). </w:t>
      </w:r>
      <w:r w:rsidRPr="00E32D6E">
        <w:rPr>
          <w:rFonts w:ascii="Times New Roman" w:eastAsia="MinionPro-Regular" w:hAnsi="Times New Roman" w:cs="Times New Roman"/>
          <w:i/>
          <w:iCs/>
          <w:kern w:val="0"/>
        </w:rPr>
        <w:t xml:space="preserve">Strategizing in Complex Contexts. </w:t>
      </w:r>
      <w:r w:rsidRPr="00E32D6E">
        <w:rPr>
          <w:rFonts w:ascii="Times New Roman" w:eastAsia="MinionPro-Regular" w:hAnsi="Times New Roman" w:cs="Times New Roman"/>
          <w:kern w:val="0"/>
        </w:rPr>
        <w:t xml:space="preserve">(Dr. Oecon Doctoral thesis), Norwegian </w:t>
      </w:r>
    </w:p>
    <w:p w:rsidR="00664A0B" w:rsidRPr="00E32D6E" w:rsidRDefault="00664A0B" w:rsidP="00664A0B">
      <w:pPr>
        <w:autoSpaceDE w:val="0"/>
        <w:autoSpaceDN w:val="0"/>
        <w:adjustRightInd w:val="0"/>
        <w:spacing w:line="240" w:lineRule="auto"/>
        <w:rPr>
          <w:rFonts w:ascii="Times New Roman" w:eastAsia="MinionPro-Regular" w:hAnsi="Times New Roman" w:cs="Times New Roman"/>
          <w:kern w:val="0"/>
        </w:rPr>
      </w:pPr>
      <w:r w:rsidRPr="00E32D6E">
        <w:rPr>
          <w:rFonts w:ascii="Times New Roman" w:eastAsia="MinionPro-Regular" w:hAnsi="Times New Roman" w:cs="Times New Roman"/>
          <w:kern w:val="0"/>
        </w:rPr>
        <w:t>Business School – BI, Oslo. (Series of Dissertations 7/2004).</w:t>
      </w:r>
    </w:p>
    <w:p w:rsidR="008D37F6" w:rsidRPr="00E32D6E" w:rsidRDefault="008D37F6" w:rsidP="001C72CA">
      <w:pPr>
        <w:pStyle w:val="Bibliography"/>
        <w:rPr>
          <w:i/>
          <w:lang w:eastAsia="nb-NO"/>
        </w:rPr>
      </w:pPr>
      <w:r w:rsidRPr="00E32D6E">
        <w:rPr>
          <w:rFonts w:eastAsia="Times New Roman"/>
          <w:lang w:eastAsia="nb-NO"/>
        </w:rPr>
        <w:t xml:space="preserve">Elter, F., Gooderham, P.N., Dasi, A., &amp; Pedersen, T. (2019). </w:t>
      </w:r>
      <w:r w:rsidRPr="00E32D6E">
        <w:rPr>
          <w:lang w:eastAsia="nb-NO"/>
        </w:rPr>
        <w:t>Legacy removal as a core dynamic capability for incumbent MNCs facing disruptive change</w:t>
      </w:r>
      <w:r w:rsidRPr="00E32D6E">
        <w:rPr>
          <w:i/>
          <w:lang w:eastAsia="nb-NO"/>
        </w:rPr>
        <w:t xml:space="preserve">. Beta, </w:t>
      </w:r>
      <w:r w:rsidRPr="00E32D6E">
        <w:rPr>
          <w:iCs/>
        </w:rPr>
        <w:t>33</w:t>
      </w:r>
      <w:r w:rsidRPr="00E32D6E">
        <w:t>(02), 166-177.</w:t>
      </w:r>
    </w:p>
    <w:p w:rsidR="008D37F6" w:rsidRPr="00E32D6E" w:rsidRDefault="008D37F6" w:rsidP="001C72CA">
      <w:pPr>
        <w:pStyle w:val="Bibliography"/>
        <w:rPr>
          <w:rStyle w:val="article-classifiergap"/>
          <w:rFonts w:ascii="Times New Roman" w:hAnsi="Times New Roman" w:cs="Times New Roman"/>
          <w:bCs/>
          <w:color w:val="33302E"/>
        </w:rPr>
      </w:pPr>
      <w:r w:rsidRPr="00E32D6E">
        <w:rPr>
          <w:i/>
        </w:rPr>
        <w:t>Financial Times</w:t>
      </w:r>
      <w:r w:rsidRPr="00E32D6E">
        <w:t xml:space="preserve"> (2019</w:t>
      </w:r>
      <w:r w:rsidR="00961E7B" w:rsidRPr="00E32D6E">
        <w:t>a</w:t>
      </w:r>
      <w:r w:rsidRPr="00E32D6E">
        <w:t xml:space="preserve">). </w:t>
      </w:r>
      <w:r w:rsidRPr="00E32D6E">
        <w:rPr>
          <w:rStyle w:val="article-classifiergap"/>
          <w:rFonts w:ascii="Times New Roman" w:hAnsi="Times New Roman" w:cs="Times New Roman"/>
          <w:bCs/>
          <w:color w:val="33302E"/>
        </w:rPr>
        <w:t xml:space="preserve">Why the global telecoms dream turned sour. December 30, 2019. </w:t>
      </w:r>
      <w:hyperlink r:id="rId20" w:history="1">
        <w:r w:rsidRPr="00E32D6E">
          <w:rPr>
            <w:rStyle w:val="Hyperlink"/>
            <w:rFonts w:ascii="Times New Roman" w:hAnsi="Times New Roman" w:cs="Times New Roman"/>
            <w:bCs/>
            <w:u w:val="none"/>
          </w:rPr>
          <w:t xml:space="preserve">https://www.ft.com/content/874aa854-ff3c-11e9-b7bc-f3fa4e77dd47 </w:t>
        </w:r>
      </w:hyperlink>
      <w:r w:rsidRPr="00E32D6E">
        <w:rPr>
          <w:rStyle w:val="article-classifiergap"/>
          <w:rFonts w:ascii="Times New Roman" w:hAnsi="Times New Roman" w:cs="Times New Roman"/>
          <w:bCs/>
          <w:color w:val="33302E"/>
        </w:rPr>
        <w:t>Accessed on 3 January 2020.</w:t>
      </w:r>
    </w:p>
    <w:p w:rsidR="00A30EDF" w:rsidRPr="00E32D6E" w:rsidRDefault="00A30EDF" w:rsidP="00D26190">
      <w:pPr>
        <w:ind w:firstLine="0"/>
        <w:rPr>
          <w:rFonts w:ascii="Times New Roman" w:eastAsia="Times New Roman" w:hAnsi="Times New Roman" w:cs="Times New Roman"/>
          <w:bCs/>
          <w:kern w:val="36"/>
          <w:lang w:eastAsia="nb-NO"/>
        </w:rPr>
      </w:pPr>
      <w:r w:rsidRPr="00E32D6E">
        <w:rPr>
          <w:i/>
        </w:rPr>
        <w:t>Financial Times</w:t>
      </w:r>
      <w:r w:rsidRPr="00E32D6E">
        <w:t xml:space="preserve"> (2019b). </w:t>
      </w:r>
      <w:r w:rsidRPr="00E32D6E">
        <w:rPr>
          <w:rFonts w:ascii="Times New Roman" w:eastAsia="Times New Roman" w:hAnsi="Times New Roman" w:cs="Times New Roman"/>
          <w:bCs/>
          <w:kern w:val="36"/>
          <w:lang w:eastAsia="nb-NO"/>
        </w:rPr>
        <w:t xml:space="preserve">Telefónica to unwind sprawling telecoms empire. November 27, 2019. </w:t>
      </w:r>
    </w:p>
    <w:p w:rsidR="00A30EDF" w:rsidRPr="00E32D6E" w:rsidRDefault="00E513FB" w:rsidP="00D26190">
      <w:pPr>
        <w:ind w:left="720" w:firstLine="0"/>
        <w:rPr>
          <w:rFonts w:ascii="Times New Roman" w:eastAsia="Times New Roman" w:hAnsi="Times New Roman" w:cs="Times New Roman"/>
          <w:bCs/>
          <w:kern w:val="36"/>
          <w:lang w:eastAsia="nb-NO"/>
        </w:rPr>
      </w:pPr>
      <w:hyperlink r:id="rId21" w:history="1">
        <w:r w:rsidR="00A30EDF" w:rsidRPr="00E32D6E">
          <w:rPr>
            <w:rStyle w:val="Hyperlink"/>
            <w:rFonts w:ascii="Times New Roman" w:eastAsia="Times New Roman" w:hAnsi="Times New Roman" w:cs="Times New Roman"/>
            <w:bCs/>
            <w:kern w:val="36"/>
            <w:u w:val="none"/>
            <w:lang w:eastAsia="nb-NO"/>
          </w:rPr>
          <w:t>https://www.ft.com/content/7308de8e-1138-11ea-a7e6-62bf4f9e548a</w:t>
        </w:r>
      </w:hyperlink>
      <w:r w:rsidR="00A30EDF" w:rsidRPr="00E32D6E">
        <w:rPr>
          <w:rFonts w:ascii="Times New Roman" w:eastAsia="Times New Roman" w:hAnsi="Times New Roman" w:cs="Times New Roman"/>
          <w:bCs/>
          <w:kern w:val="36"/>
          <w:lang w:eastAsia="nb-NO"/>
        </w:rPr>
        <w:t xml:space="preserve">  Accessed on 1 February 2020.</w:t>
      </w:r>
    </w:p>
    <w:p w:rsidR="008D37F6" w:rsidRPr="00E32D6E" w:rsidRDefault="008D37F6" w:rsidP="001C72CA">
      <w:pPr>
        <w:pStyle w:val="Bibliography"/>
      </w:pPr>
      <w:r w:rsidRPr="00E32D6E">
        <w:t xml:space="preserve">Harlan, J. (2018). Securing Innovation through Corporate Spin-off. NHH Master Thesis. </w:t>
      </w:r>
    </w:p>
    <w:p w:rsidR="008D37F6" w:rsidRPr="00E32D6E" w:rsidRDefault="008D37F6" w:rsidP="001C72CA">
      <w:pPr>
        <w:pStyle w:val="Bibliography"/>
      </w:pPr>
      <w:r w:rsidRPr="00E32D6E">
        <w:lastRenderedPageBreak/>
        <w:t xml:space="preserve">Jacobs, G., Van Witteloostuijn, A., &amp; Christe-Zeyse, J. (2013). A theoretical framework of organizational change. </w:t>
      </w:r>
      <w:r w:rsidRPr="00E32D6E">
        <w:rPr>
          <w:i/>
          <w:iCs/>
        </w:rPr>
        <w:t>Journal of Organizational Change Management</w:t>
      </w:r>
      <w:r w:rsidRPr="00E32D6E">
        <w:t xml:space="preserve">, </w:t>
      </w:r>
      <w:r w:rsidRPr="00E32D6E">
        <w:rPr>
          <w:i/>
          <w:iCs/>
        </w:rPr>
        <w:t>26</w:t>
      </w:r>
      <w:r w:rsidRPr="00E32D6E">
        <w:t>(5), 772-792.</w:t>
      </w:r>
    </w:p>
    <w:p w:rsidR="008D37F6" w:rsidRPr="00E32D6E" w:rsidRDefault="008D37F6" w:rsidP="001C72CA">
      <w:pPr>
        <w:pStyle w:val="Bibliography"/>
      </w:pPr>
      <w:r w:rsidRPr="00E32D6E">
        <w:t xml:space="preserve">Johnson, G. &amp; Scholes, K. (2000) </w:t>
      </w:r>
      <w:r w:rsidRPr="00E32D6E">
        <w:rPr>
          <w:i/>
        </w:rPr>
        <w:t>Exploring Public Sector Strategy</w:t>
      </w:r>
      <w:r w:rsidRPr="00E32D6E">
        <w:t xml:space="preserve">, Prentice Hall, Englewood Cliffs, NJ. </w:t>
      </w:r>
    </w:p>
    <w:p w:rsidR="008D37F6" w:rsidRPr="00E32D6E" w:rsidRDefault="008D37F6" w:rsidP="001C72CA">
      <w:pPr>
        <w:pStyle w:val="Bibliography"/>
      </w:pPr>
      <w:r w:rsidRPr="00E32D6E">
        <w:t xml:space="preserve">Johnson, G., Scholes, K., &amp; Whittington, R. (2005), </w:t>
      </w:r>
      <w:r w:rsidRPr="00E32D6E">
        <w:rPr>
          <w:i/>
        </w:rPr>
        <w:t>Exploring Corporate Strategy</w:t>
      </w:r>
      <w:r w:rsidRPr="00E32D6E">
        <w:t>, Prentice Hall, Englewood Cliffs, NJ.</w:t>
      </w:r>
    </w:p>
    <w:p w:rsidR="008D37F6" w:rsidRPr="00E32D6E" w:rsidRDefault="008D37F6" w:rsidP="001C72CA">
      <w:pPr>
        <w:pStyle w:val="Bibliography"/>
      </w:pPr>
      <w:r w:rsidRPr="00E32D6E">
        <w:t xml:space="preserve">Kapoor, R., &amp; Agarwal, S. (2017). Sustaining superior performance in business ecosystems: Evidence from application software developers in the iOS and Android smartphone ecosystems. </w:t>
      </w:r>
      <w:r w:rsidRPr="00E32D6E">
        <w:rPr>
          <w:i/>
        </w:rPr>
        <w:t>Organization Science</w:t>
      </w:r>
      <w:r w:rsidRPr="00E32D6E">
        <w:t>, 28(3): 531–551.</w:t>
      </w:r>
    </w:p>
    <w:p w:rsidR="008D37F6" w:rsidRPr="00E32D6E" w:rsidRDefault="008D37F6" w:rsidP="001C72CA">
      <w:pPr>
        <w:pStyle w:val="Bibliography"/>
      </w:pPr>
      <w:r w:rsidRPr="00E32D6E">
        <w:t xml:space="preserve">Li, J., Chen, L., Yi, J., Mao, J., &amp; Liao, J. (2019). Ecosystem-specific advantages in international digital commerce. </w:t>
      </w:r>
      <w:r w:rsidRPr="00E32D6E">
        <w:rPr>
          <w:i/>
          <w:iCs/>
        </w:rPr>
        <w:t>Journal of International Business Studies</w:t>
      </w:r>
      <w:r w:rsidRPr="00E32D6E">
        <w:t>, 1448-1463.</w:t>
      </w:r>
    </w:p>
    <w:p w:rsidR="00762E6D" w:rsidRPr="00E32D6E" w:rsidRDefault="00762E6D" w:rsidP="00762E6D">
      <w:pPr>
        <w:autoSpaceDE w:val="0"/>
        <w:autoSpaceDN w:val="0"/>
        <w:adjustRightInd w:val="0"/>
        <w:ind w:firstLine="0"/>
        <w:rPr>
          <w:rFonts w:ascii="Times New Roman" w:eastAsia="MinionPro-Regular" w:hAnsi="Times New Roman" w:cs="Times New Roman"/>
          <w:kern w:val="0"/>
        </w:rPr>
      </w:pPr>
      <w:r w:rsidRPr="00E32D6E">
        <w:rPr>
          <w:rFonts w:ascii="Times New Roman" w:eastAsia="MinionPro-Regular" w:hAnsi="Times New Roman" w:cs="Times New Roman"/>
          <w:kern w:val="0"/>
        </w:rPr>
        <w:t xml:space="preserve">Lucas, H. C., &amp; Goh, J. M. (2009). Disruptive technology: How Kodak missed the digital    </w:t>
      </w:r>
    </w:p>
    <w:p w:rsidR="00762E6D" w:rsidRPr="00E32D6E" w:rsidRDefault="00762E6D" w:rsidP="00762E6D">
      <w:pPr>
        <w:autoSpaceDE w:val="0"/>
        <w:autoSpaceDN w:val="0"/>
        <w:adjustRightInd w:val="0"/>
        <w:rPr>
          <w:rFonts w:ascii="Times New Roman" w:hAnsi="Times New Roman" w:cs="Times New Roman"/>
        </w:rPr>
      </w:pPr>
      <w:r w:rsidRPr="00E32D6E">
        <w:rPr>
          <w:rFonts w:ascii="Times New Roman" w:eastAsia="MinionPro-Regular" w:hAnsi="Times New Roman" w:cs="Times New Roman"/>
          <w:kern w:val="0"/>
        </w:rPr>
        <w:t xml:space="preserve">photography revolution. </w:t>
      </w:r>
      <w:r w:rsidRPr="00E32D6E">
        <w:rPr>
          <w:rFonts w:ascii="Times New Roman" w:eastAsia="MinionPro-Regular" w:hAnsi="Times New Roman" w:cs="Times New Roman"/>
          <w:i/>
          <w:iCs/>
          <w:kern w:val="0"/>
        </w:rPr>
        <w:t>The Journal of Strategic Information Systems, 18</w:t>
      </w:r>
      <w:r w:rsidRPr="00E32D6E">
        <w:rPr>
          <w:rFonts w:ascii="Times New Roman" w:eastAsia="MinionPro-Regular" w:hAnsi="Times New Roman" w:cs="Times New Roman"/>
          <w:kern w:val="0"/>
        </w:rPr>
        <w:t>(1), 46–55.</w:t>
      </w:r>
    </w:p>
    <w:p w:rsidR="008D37F6" w:rsidRPr="00E32D6E" w:rsidRDefault="008D37F6" w:rsidP="001C72CA">
      <w:pPr>
        <w:pStyle w:val="Bibliography"/>
        <w:rPr>
          <w:rFonts w:ascii="Times New Roman" w:hAnsi="Times New Roman" w:cs="Times New Roman"/>
        </w:rPr>
      </w:pPr>
      <w:r w:rsidRPr="00E32D6E">
        <w:rPr>
          <w:rFonts w:ascii="Times New Roman" w:hAnsi="Times New Roman" w:cs="Times New Roman"/>
        </w:rPr>
        <w:t xml:space="preserve">McKinsey (2019. </w:t>
      </w:r>
      <w:r w:rsidRPr="00E32D6E">
        <w:rPr>
          <w:rFonts w:ascii="Times New Roman" w:hAnsi="Times New Roman" w:cs="Times New Roman"/>
          <w:color w:val="000000"/>
        </w:rPr>
        <w:t xml:space="preserve">A tale of two agile paths: How a pair of operators set up their organizational transformations. </w:t>
      </w:r>
      <w:hyperlink r:id="rId22" w:history="1">
        <w:r w:rsidRPr="00E32D6E">
          <w:rPr>
            <w:rStyle w:val="Hyperlink"/>
            <w:rFonts w:ascii="Times New Roman" w:hAnsi="Times New Roman" w:cs="Times New Roman"/>
          </w:rPr>
          <w:t>https://www.mckinsey.com/industries/technology-media-and-telecommunications/our-insights/a-tale-of-two-agile-paths-how-a-pair-of-operators-set-up-their-organizational-transformations</w:t>
        </w:r>
      </w:hyperlink>
      <w:r w:rsidRPr="00E32D6E">
        <w:rPr>
          <w:rFonts w:ascii="Times New Roman" w:hAnsi="Times New Roman" w:cs="Times New Roman"/>
        </w:rPr>
        <w:t xml:space="preserve">, February 2019. </w:t>
      </w:r>
    </w:p>
    <w:p w:rsidR="008D37F6" w:rsidRPr="00E32D6E" w:rsidRDefault="008D37F6" w:rsidP="001C72CA">
      <w:pPr>
        <w:pStyle w:val="Bibliography"/>
      </w:pPr>
      <w:r w:rsidRPr="00E32D6E">
        <w:t xml:space="preserve">Mees-Buss, J., Welch, C., &amp; Westney, D. E. (2019). What happened to the transnational? The emergence of the neo-global corporation. </w:t>
      </w:r>
      <w:r w:rsidRPr="00E32D6E">
        <w:rPr>
          <w:i/>
          <w:iCs/>
        </w:rPr>
        <w:t>Journal of International Business Studies</w:t>
      </w:r>
      <w:r w:rsidRPr="00E32D6E">
        <w:t xml:space="preserve">, </w:t>
      </w:r>
      <w:r w:rsidRPr="00E32D6E">
        <w:rPr>
          <w:i/>
          <w:iCs/>
        </w:rPr>
        <w:t>50</w:t>
      </w:r>
      <w:r w:rsidRPr="00E32D6E">
        <w:t>(9), 1513-1543.</w:t>
      </w:r>
    </w:p>
    <w:p w:rsidR="00F12B8D" w:rsidRPr="00E32D6E" w:rsidRDefault="001310E4" w:rsidP="00F12B8D">
      <w:pPr>
        <w:spacing w:line="240" w:lineRule="auto"/>
        <w:ind w:firstLine="0"/>
        <w:rPr>
          <w:color w:val="222222"/>
        </w:rPr>
      </w:pPr>
      <w:r w:rsidRPr="00E32D6E">
        <w:rPr>
          <w:color w:val="222222"/>
        </w:rPr>
        <w:t xml:space="preserve">North, D. C. (1990). </w:t>
      </w:r>
      <w:r w:rsidRPr="00E32D6E">
        <w:rPr>
          <w:i/>
          <w:iCs/>
          <w:color w:val="222222"/>
        </w:rPr>
        <w:t>Institutions, Institutional Change and Economic Performance</w:t>
      </w:r>
      <w:r w:rsidR="00F12B8D" w:rsidRPr="00E32D6E">
        <w:rPr>
          <w:color w:val="222222"/>
        </w:rPr>
        <w:t xml:space="preserve">. Cambridge  </w:t>
      </w:r>
    </w:p>
    <w:p w:rsidR="001310E4" w:rsidRPr="00E32D6E" w:rsidRDefault="001310E4" w:rsidP="00F12B8D">
      <w:pPr>
        <w:spacing w:line="240" w:lineRule="auto"/>
        <w:rPr>
          <w:color w:val="222222"/>
        </w:rPr>
      </w:pPr>
      <w:r w:rsidRPr="00E32D6E">
        <w:rPr>
          <w:color w:val="222222"/>
        </w:rPr>
        <w:t>University Press.</w:t>
      </w:r>
    </w:p>
    <w:p w:rsidR="008D37F6" w:rsidRPr="00E32D6E" w:rsidRDefault="008D37F6" w:rsidP="001C72CA">
      <w:pPr>
        <w:pStyle w:val="Bibliography"/>
      </w:pPr>
      <w:r w:rsidRPr="00E32D6E">
        <w:lastRenderedPageBreak/>
        <w:t xml:space="preserve">Ojala, A., Evers, N., &amp; Rialp, A. 2018. Extending the international new venture phenomenon to digital platform providers: A longitudinal case study. </w:t>
      </w:r>
      <w:r w:rsidRPr="00E32D6E">
        <w:rPr>
          <w:i/>
        </w:rPr>
        <w:t>Journal of World Business</w:t>
      </w:r>
      <w:r w:rsidRPr="00E32D6E">
        <w:t>, 53(5): 725–739.</w:t>
      </w:r>
    </w:p>
    <w:p w:rsidR="008D37F6" w:rsidRPr="00E32D6E" w:rsidRDefault="008D37F6" w:rsidP="001C72CA">
      <w:pPr>
        <w:pStyle w:val="Bibliography"/>
        <w:rPr>
          <w:rFonts w:eastAsia="Times New Roman"/>
          <w:lang w:eastAsia="nb-NO"/>
        </w:rPr>
      </w:pPr>
      <w:r w:rsidRPr="00E32D6E">
        <w:t xml:space="preserve">O’Reilly, C. &amp; Tushman, M.L. (2004). The ambidextrous organization. </w:t>
      </w:r>
      <w:r w:rsidRPr="00E32D6E">
        <w:rPr>
          <w:i/>
        </w:rPr>
        <w:t>Harvard Business Review</w:t>
      </w:r>
      <w:r w:rsidRPr="00E32D6E">
        <w:t>. April.</w:t>
      </w:r>
    </w:p>
    <w:p w:rsidR="008D37F6" w:rsidRPr="00E32D6E" w:rsidRDefault="008D37F6" w:rsidP="001C72CA">
      <w:pPr>
        <w:pStyle w:val="Bibliography"/>
      </w:pPr>
      <w:r w:rsidRPr="00E32D6E">
        <w:t xml:space="preserve">O’Reilly, C. &amp; Tushman, M.L. (2013). Organizational ambidexterity: Past, Present and Future. </w:t>
      </w:r>
      <w:r w:rsidRPr="00E32D6E">
        <w:rPr>
          <w:i/>
        </w:rPr>
        <w:t xml:space="preserve">The Academy of Management Perspectives. </w:t>
      </w:r>
      <w:r w:rsidRPr="00E32D6E">
        <w:t>27: 324-338.</w:t>
      </w:r>
    </w:p>
    <w:p w:rsidR="008D37F6" w:rsidRPr="00E32D6E" w:rsidRDefault="008D37F6" w:rsidP="001C72CA">
      <w:pPr>
        <w:pStyle w:val="Bibliography"/>
      </w:pPr>
      <w:r w:rsidRPr="00E32D6E">
        <w:t xml:space="preserve">O’Reilly, C. &amp; Tushman, M.L. (2016). </w:t>
      </w:r>
      <w:r w:rsidRPr="00E32D6E">
        <w:rPr>
          <w:i/>
        </w:rPr>
        <w:t xml:space="preserve">Lead and Disrupt: How to Solve the Innovator’s Dilemma”, </w:t>
      </w:r>
      <w:r w:rsidRPr="00E32D6E">
        <w:t>Stanford university Press.</w:t>
      </w:r>
    </w:p>
    <w:p w:rsidR="008D37F6" w:rsidRPr="00E32D6E" w:rsidRDefault="008D37F6" w:rsidP="001C72CA">
      <w:pPr>
        <w:pStyle w:val="Bibliography"/>
      </w:pPr>
      <w:r w:rsidRPr="00E32D6E">
        <w:rPr>
          <w:rStyle w:val="source"/>
          <w:rFonts w:ascii="Times New Roman" w:hAnsi="Times New Roman" w:cs="Times New Roman"/>
          <w:iCs/>
        </w:rPr>
        <w:t>Poulus, T. (2019).</w:t>
      </w:r>
      <w:r w:rsidRPr="00E32D6E">
        <w:rPr>
          <w:rFonts w:eastAsia="Times New Roman"/>
          <w:i/>
          <w:iCs/>
        </w:rPr>
        <w:t xml:space="preserve"> </w:t>
      </w:r>
      <w:r w:rsidRPr="00E32D6E">
        <w:rPr>
          <w:rFonts w:eastAsia="Times New Roman"/>
          <w:iCs/>
        </w:rPr>
        <w:t xml:space="preserve">Selling passive network assets: a tragic mistake for the </w:t>
      </w:r>
      <w:r w:rsidR="00D50454" w:rsidRPr="00E32D6E">
        <w:rPr>
          <w:rFonts w:eastAsia="Times New Roman"/>
          <w:iCs/>
        </w:rPr>
        <w:t>MNMTC</w:t>
      </w:r>
      <w:r w:rsidRPr="00E32D6E">
        <w:rPr>
          <w:rFonts w:eastAsia="Times New Roman"/>
          <w:iCs/>
        </w:rPr>
        <w:t>?</w:t>
      </w:r>
      <w:r w:rsidRPr="00E32D6E">
        <w:t xml:space="preserve"> </w:t>
      </w:r>
      <w:r w:rsidRPr="00E32D6E">
        <w:rPr>
          <w:i/>
        </w:rPr>
        <w:t>Telecompaper</w:t>
      </w:r>
      <w:r w:rsidRPr="00E32D6E">
        <w:t xml:space="preserve">, </w:t>
      </w:r>
      <w:r w:rsidRPr="00E32D6E">
        <w:rPr>
          <w:rStyle w:val="source"/>
          <w:rFonts w:ascii="Times New Roman" w:hAnsi="Times New Roman" w:cs="Times New Roman"/>
          <w:iCs/>
        </w:rPr>
        <w:t>Friday 6 December 2019</w:t>
      </w:r>
      <w:r w:rsidRPr="00E32D6E">
        <w:t xml:space="preserve">.    </w:t>
      </w:r>
      <w:hyperlink r:id="rId23" w:history="1">
        <w:r w:rsidRPr="00E32D6E">
          <w:rPr>
            <w:rStyle w:val="Hyperlink"/>
            <w:rFonts w:ascii="Times New Roman" w:hAnsi="Times New Roman" w:cs="Times New Roman"/>
          </w:rPr>
          <w:t>https://www.telecompaper.com/commentary/selling-passive-network-assets-a-tragic-mistake-for-the-</w:t>
        </w:r>
        <w:r w:rsidR="00D50454" w:rsidRPr="00E32D6E">
          <w:rPr>
            <w:rStyle w:val="Hyperlink"/>
            <w:rFonts w:ascii="Times New Roman" w:hAnsi="Times New Roman" w:cs="Times New Roman"/>
          </w:rPr>
          <w:t>MNMTC</w:t>
        </w:r>
        <w:r w:rsidRPr="00E32D6E">
          <w:rPr>
            <w:rStyle w:val="Hyperlink"/>
            <w:rFonts w:ascii="Times New Roman" w:hAnsi="Times New Roman" w:cs="Times New Roman"/>
          </w:rPr>
          <w:t>--1318963</w:t>
        </w:r>
      </w:hyperlink>
      <w:r w:rsidRPr="00E32D6E">
        <w:t xml:space="preserve">  Accessed 19 December 2019.</w:t>
      </w:r>
    </w:p>
    <w:p w:rsidR="008D37F6" w:rsidRPr="00E32D6E" w:rsidRDefault="008D37F6" w:rsidP="001C72CA">
      <w:pPr>
        <w:pStyle w:val="Bibliography"/>
        <w:rPr>
          <w:rFonts w:ascii="Times New Roman" w:hAnsi="Times New Roman" w:cs="Times New Roman"/>
        </w:rPr>
      </w:pPr>
      <w:r w:rsidRPr="00E32D6E">
        <w:rPr>
          <w:rFonts w:ascii="Times New Roman" w:hAnsi="Times New Roman" w:cs="Times New Roman"/>
        </w:rPr>
        <w:t xml:space="preserve">Schwartz, D. (2017). </w:t>
      </w:r>
      <w:r w:rsidRPr="00E32D6E">
        <w:rPr>
          <w:rFonts w:ascii="Times New Roman" w:hAnsi="Times New Roman" w:cs="Times New Roman"/>
          <w:spacing w:val="-5"/>
        </w:rPr>
        <w:t xml:space="preserve">As sector borders dissolve, new business ecosystems emerge. </w:t>
      </w:r>
      <w:hyperlink r:id="rId24" w:history="1">
        <w:r w:rsidRPr="00E32D6E">
          <w:rPr>
            <w:rFonts w:ascii="Times New Roman" w:eastAsia="Times New Roman" w:hAnsi="Times New Roman" w:cs="Times New Roman"/>
            <w:i/>
            <w:color w:val="5F5F5F" w:themeColor="hyperlink"/>
            <w:u w:val="single"/>
            <w:lang w:eastAsia="nb-NO"/>
          </w:rPr>
          <w:t>McKinsey Quarterly</w:t>
        </w:r>
      </w:hyperlink>
      <w:r w:rsidRPr="00E32D6E">
        <w:rPr>
          <w:rFonts w:ascii="Times New Roman" w:eastAsia="Times New Roman" w:hAnsi="Times New Roman" w:cs="Times New Roman"/>
          <w:lang w:eastAsia="nb-NO"/>
        </w:rPr>
        <w:t xml:space="preserve"> - October 2017 </w:t>
      </w:r>
      <w:hyperlink r:id="rId25" w:history="1">
        <w:r w:rsidRPr="00E32D6E">
          <w:rPr>
            <w:rFonts w:ascii="Times New Roman" w:hAnsi="Times New Roman" w:cs="Times New Roman"/>
            <w:color w:val="5F5F5F" w:themeColor="hyperlink"/>
            <w:u w:val="single"/>
          </w:rPr>
          <w:t>https://www.mckinsey.com/business-functions/strategy-and-corporate-finance/our-insights/as-sector-borders-dissolve-new-business-ecosystems-emerge?cid=eml-app</w:t>
        </w:r>
      </w:hyperlink>
      <w:r w:rsidRPr="00E32D6E">
        <w:rPr>
          <w:rFonts w:ascii="Times New Roman" w:hAnsi="Times New Roman" w:cs="Times New Roman"/>
        </w:rPr>
        <w:t xml:space="preserve"> Accessed 13 October  2017.</w:t>
      </w:r>
    </w:p>
    <w:p w:rsidR="00083ED8" w:rsidRPr="00E32D6E" w:rsidRDefault="00083ED8" w:rsidP="00083ED8">
      <w:pPr>
        <w:spacing w:after="0" w:afterAutospacing="0"/>
        <w:ind w:firstLine="0"/>
        <w:rPr>
          <w:rFonts w:ascii="Times New Roman" w:eastAsia="Times New Roman" w:hAnsi="Times New Roman" w:cs="Times New Roman"/>
          <w:i/>
          <w:iCs/>
          <w:kern w:val="0"/>
          <w:lang w:eastAsia="nb-NO"/>
        </w:rPr>
      </w:pPr>
      <w:r w:rsidRPr="00E32D6E">
        <w:rPr>
          <w:rFonts w:ascii="Times New Roman" w:eastAsia="Times New Roman" w:hAnsi="Times New Roman" w:cs="Times New Roman"/>
          <w:kern w:val="0"/>
          <w:lang w:eastAsia="nb-NO"/>
        </w:rPr>
        <w:t xml:space="preserve">Scott, W. R. (1995). Introduction: institutional theory and organizations. </w:t>
      </w:r>
      <w:r w:rsidRPr="00E32D6E">
        <w:rPr>
          <w:rFonts w:ascii="Times New Roman" w:eastAsia="Times New Roman" w:hAnsi="Times New Roman" w:cs="Times New Roman"/>
          <w:i/>
          <w:iCs/>
          <w:kern w:val="0"/>
          <w:lang w:eastAsia="nb-NO"/>
        </w:rPr>
        <w:t xml:space="preserve">The Institutional </w:t>
      </w:r>
    </w:p>
    <w:p w:rsidR="00083ED8" w:rsidRPr="00E32D6E" w:rsidRDefault="00083ED8" w:rsidP="00083ED8">
      <w:pPr>
        <w:spacing w:after="0" w:afterAutospacing="0"/>
        <w:rPr>
          <w:rFonts w:ascii="Times New Roman" w:eastAsia="Times New Roman" w:hAnsi="Times New Roman" w:cs="Times New Roman"/>
          <w:kern w:val="0"/>
          <w:lang w:eastAsia="nb-NO"/>
        </w:rPr>
      </w:pPr>
      <w:r w:rsidRPr="00E32D6E">
        <w:rPr>
          <w:rFonts w:ascii="Times New Roman" w:eastAsia="Times New Roman" w:hAnsi="Times New Roman" w:cs="Times New Roman"/>
          <w:i/>
          <w:iCs/>
          <w:kern w:val="0"/>
          <w:lang w:eastAsia="nb-NO"/>
        </w:rPr>
        <w:t>Construction of Organizations</w:t>
      </w:r>
      <w:r w:rsidRPr="00E32D6E">
        <w:rPr>
          <w:rFonts w:ascii="Times New Roman" w:eastAsia="Times New Roman" w:hAnsi="Times New Roman" w:cs="Times New Roman"/>
          <w:kern w:val="0"/>
          <w:lang w:eastAsia="nb-NO"/>
        </w:rPr>
        <w:t>, 11-23.</w:t>
      </w:r>
    </w:p>
    <w:p w:rsidR="008D37F6" w:rsidRPr="00E32D6E" w:rsidRDefault="008D37F6" w:rsidP="001C72CA">
      <w:pPr>
        <w:pStyle w:val="Bibliography"/>
      </w:pPr>
      <w:r w:rsidRPr="00E32D6E">
        <w:t>Sherehiy, B. &amp; Karwowski, W. (2014). The relationship between work organization and workforce agility in small manufacturing enterprises</w:t>
      </w:r>
      <w:r w:rsidRPr="00E32D6E">
        <w:rPr>
          <w:i/>
        </w:rPr>
        <w:t>.</w:t>
      </w:r>
      <w:r w:rsidRPr="00E32D6E">
        <w:t xml:space="preserve"> </w:t>
      </w:r>
      <w:r w:rsidRPr="00E32D6E">
        <w:rPr>
          <w:i/>
        </w:rPr>
        <w:t>International Journal of Industrial Ergonomics</w:t>
      </w:r>
      <w:r w:rsidRPr="00E32D6E">
        <w:t>, 44(3): p. 466-473.</w:t>
      </w:r>
    </w:p>
    <w:p w:rsidR="008D37F6" w:rsidRPr="00E32D6E" w:rsidRDefault="008D37F6" w:rsidP="001C72CA">
      <w:pPr>
        <w:pStyle w:val="Bibliography"/>
      </w:pPr>
      <w:r w:rsidRPr="00E32D6E">
        <w:t xml:space="preserve">Stensaker, I. (2019). Managing Radical Technology-Driven Change in Established Firms. Unpublished working paper, NHH Norwegian School of Economics. </w:t>
      </w:r>
    </w:p>
    <w:p w:rsidR="008D37F6" w:rsidRPr="0072649D" w:rsidRDefault="008D37F6" w:rsidP="001C72CA">
      <w:pPr>
        <w:pStyle w:val="Bibliography"/>
        <w:rPr>
          <w:lang w:val="nb-NO"/>
        </w:rPr>
      </w:pPr>
      <w:r w:rsidRPr="00E32D6E">
        <w:lastRenderedPageBreak/>
        <w:t xml:space="preserve">Teece, D. J. (2007). Explicating dynamic capabilities: the nature and microfoundations of (sustainable) enterprise performance. </w:t>
      </w:r>
      <w:r w:rsidRPr="0072649D">
        <w:rPr>
          <w:i/>
          <w:iCs/>
          <w:lang w:val="nb-NO"/>
        </w:rPr>
        <w:t>Strategic Management Journal, 28</w:t>
      </w:r>
      <w:r w:rsidRPr="0072649D">
        <w:rPr>
          <w:lang w:val="nb-NO"/>
        </w:rPr>
        <w:t>(13), 1319–1350.</w:t>
      </w:r>
    </w:p>
    <w:p w:rsidR="00175D1B" w:rsidRPr="0072649D" w:rsidRDefault="00813D7A" w:rsidP="00175D1B">
      <w:pPr>
        <w:ind w:firstLine="0"/>
        <w:rPr>
          <w:color w:val="222222"/>
          <w:lang w:val="nb-NO"/>
        </w:rPr>
      </w:pPr>
      <w:r w:rsidRPr="0072649D">
        <w:rPr>
          <w:color w:val="222222"/>
          <w:lang w:val="nb-NO"/>
        </w:rPr>
        <w:t>Thue, L. (2005</w:t>
      </w:r>
      <w:r w:rsidR="00175D1B" w:rsidRPr="0072649D">
        <w:rPr>
          <w:color w:val="222222"/>
          <w:lang w:val="nb-NO"/>
        </w:rPr>
        <w:t xml:space="preserve">). </w:t>
      </w:r>
      <w:r w:rsidR="00175D1B" w:rsidRPr="0072649D">
        <w:rPr>
          <w:i/>
          <w:iCs/>
          <w:color w:val="222222"/>
          <w:lang w:val="nb-NO"/>
        </w:rPr>
        <w:t>Norsk telekommunikasjonshistorie: Nye forbindelser: 1970-2005. Bind III</w:t>
      </w:r>
      <w:r w:rsidR="00175D1B" w:rsidRPr="0072649D">
        <w:rPr>
          <w:color w:val="222222"/>
          <w:lang w:val="nb-NO"/>
        </w:rPr>
        <w:t xml:space="preserve">. </w:t>
      </w:r>
    </w:p>
    <w:p w:rsidR="00175D1B" w:rsidRPr="00E32D6E" w:rsidRDefault="00175D1B" w:rsidP="00175D1B">
      <w:r w:rsidRPr="00E32D6E">
        <w:rPr>
          <w:color w:val="222222"/>
        </w:rPr>
        <w:t>Gyldendal fakta.</w:t>
      </w:r>
    </w:p>
    <w:p w:rsidR="008D37F6" w:rsidRPr="00E32D6E" w:rsidRDefault="008D37F6" w:rsidP="001C72CA">
      <w:pPr>
        <w:pStyle w:val="Bibliography"/>
      </w:pPr>
      <w:r w:rsidRPr="00E32D6E">
        <w:t>Tiwana, A. 2014. Platform ecosystems: Aligning architecture, governance, and strategy. Burlington, MA: Morgan Kaufmann</w:t>
      </w:r>
    </w:p>
    <w:p w:rsidR="008D37F6" w:rsidRPr="00E32D6E" w:rsidRDefault="008D37F6" w:rsidP="001C72CA">
      <w:pPr>
        <w:pStyle w:val="Bibliography"/>
      </w:pPr>
      <w:r w:rsidRPr="00E32D6E">
        <w:t xml:space="preserve">Torrance, S., (2018). </w:t>
      </w:r>
      <w:r w:rsidR="00D50454" w:rsidRPr="00E32D6E">
        <w:t>MNMTC</w:t>
      </w:r>
      <w:r w:rsidRPr="00E32D6E">
        <w:t xml:space="preserve">s continue to sleepwalk… </w:t>
      </w:r>
      <w:r w:rsidRPr="00E32D6E">
        <w:rPr>
          <w:i/>
        </w:rPr>
        <w:t xml:space="preserve">LinkedIn. </w:t>
      </w:r>
      <w:hyperlink r:id="rId26" w:history="1">
        <w:r w:rsidRPr="00E32D6E">
          <w:rPr>
            <w:rStyle w:val="Hyperlink"/>
            <w:rFonts w:ascii="Times New Roman" w:hAnsi="Times New Roman" w:cs="Times New Roman"/>
          </w:rPr>
          <w:t>https://www.linkedin.com/pulse/</w:t>
        </w:r>
        <w:r w:rsidR="00D50454" w:rsidRPr="00E32D6E">
          <w:rPr>
            <w:rStyle w:val="Hyperlink"/>
            <w:rFonts w:ascii="Times New Roman" w:hAnsi="Times New Roman" w:cs="Times New Roman"/>
          </w:rPr>
          <w:t>MNMTC</w:t>
        </w:r>
        <w:r w:rsidRPr="00E32D6E">
          <w:rPr>
            <w:rStyle w:val="Hyperlink"/>
            <w:rFonts w:ascii="Times New Roman" w:hAnsi="Times New Roman" w:cs="Times New Roman"/>
          </w:rPr>
          <w:t>s-continuing-sleepwalk-simon-torrance/</w:t>
        </w:r>
      </w:hyperlink>
      <w:r w:rsidRPr="00E32D6E">
        <w:t xml:space="preserve"> Accessed February 26, 2018.</w:t>
      </w:r>
    </w:p>
    <w:p w:rsidR="008D37F6" w:rsidRPr="00E32D6E" w:rsidRDefault="008D37F6" w:rsidP="001C72CA">
      <w:pPr>
        <w:pStyle w:val="Bibliography"/>
        <w:rPr>
          <w:lang w:eastAsia="nb-NO"/>
        </w:rPr>
      </w:pPr>
      <w:r w:rsidRPr="00E32D6E">
        <w:rPr>
          <w:lang w:eastAsia="nb-NO"/>
        </w:rPr>
        <w:t xml:space="preserve">Tushman, M.L. &amp; O’Reilly, C.A (1996). The Ambidextrous Organization: Managing Evolutionary and Revolutionary Change. </w:t>
      </w:r>
      <w:r w:rsidRPr="00E32D6E">
        <w:rPr>
          <w:i/>
          <w:lang w:eastAsia="nb-NO"/>
        </w:rPr>
        <w:t>California Management Review</w:t>
      </w:r>
      <w:r w:rsidRPr="00E32D6E">
        <w:rPr>
          <w:lang w:eastAsia="nb-NO"/>
        </w:rPr>
        <w:t>. 38(4): 8-30.</w:t>
      </w:r>
    </w:p>
    <w:p w:rsidR="008D37F6" w:rsidRPr="00E32D6E" w:rsidRDefault="008D37F6" w:rsidP="00F406C9"/>
    <w:p w:rsidR="008D37F6" w:rsidRPr="00E32D6E" w:rsidRDefault="008D37F6" w:rsidP="00F406C9"/>
    <w:p w:rsidR="008D37F6" w:rsidRPr="00E32D6E" w:rsidRDefault="008D37F6" w:rsidP="00F406C9"/>
    <w:p w:rsidR="001C72CA" w:rsidRPr="00E32D6E" w:rsidRDefault="001C72CA">
      <w:pPr>
        <w:spacing w:line="480" w:lineRule="auto"/>
        <w:rPr>
          <w:rFonts w:asciiTheme="majorHAnsi" w:eastAsiaTheme="majorEastAsia" w:hAnsiTheme="majorHAnsi" w:cstheme="majorBidi"/>
          <w:b/>
          <w:bCs/>
        </w:rPr>
      </w:pPr>
      <w:r w:rsidRPr="00E32D6E">
        <w:br w:type="page"/>
      </w:r>
    </w:p>
    <w:p w:rsidR="008D37F6" w:rsidRPr="00E32D6E" w:rsidRDefault="003E34E2" w:rsidP="001C72CA">
      <w:pPr>
        <w:pStyle w:val="Heading1"/>
      </w:pPr>
      <w:r w:rsidRPr="00E32D6E">
        <w:lastRenderedPageBreak/>
        <w:t>Appendix 1</w:t>
      </w:r>
    </w:p>
    <w:p w:rsidR="008D37F6" w:rsidRPr="00E32D6E" w:rsidRDefault="008D37F6" w:rsidP="00F406C9">
      <w:pPr>
        <w:rPr>
          <w:rFonts w:ascii="Times" w:hAnsi="Times"/>
        </w:rPr>
      </w:pPr>
      <w:r w:rsidRPr="00E32D6E">
        <w:t>The names of the informants have been changed to maintain anonymity</w:t>
      </w:r>
      <w:r w:rsidR="00B602AF" w:rsidRPr="00E32D6E">
        <w:t>.</w:t>
      </w:r>
      <w:r w:rsidRPr="00E32D6E">
        <w:t xml:space="preserve"> Six managers were interviewed (informant 1-6 in table below)</w:t>
      </w:r>
      <w:r w:rsidR="00B602AF" w:rsidRPr="00E32D6E">
        <w:t xml:space="preserve"> about radical change</w:t>
      </w:r>
      <w:r w:rsidRPr="00E32D6E">
        <w:t>. In addition</w:t>
      </w:r>
      <w:r w:rsidR="00B602AF" w:rsidRPr="00E32D6E">
        <w:t>,</w:t>
      </w:r>
      <w:r w:rsidRPr="00E32D6E">
        <w:t xml:space="preserve"> two informants were interviewed to provide </w:t>
      </w:r>
      <w:r w:rsidRPr="00E32D6E">
        <w:rPr>
          <w:rFonts w:ascii="Times" w:hAnsi="Times"/>
        </w:rPr>
        <w:t>supplementary details of the current organizational initiatives (informant 7-8):</w:t>
      </w:r>
    </w:p>
    <w:tbl>
      <w:tblPr>
        <w:tblStyle w:val="TableGrid"/>
        <w:tblW w:w="9493" w:type="dxa"/>
        <w:tblLook w:val="04A0" w:firstRow="1" w:lastRow="0" w:firstColumn="1" w:lastColumn="0" w:noHBand="0" w:noVBand="1"/>
      </w:tblPr>
      <w:tblGrid>
        <w:gridCol w:w="4106"/>
        <w:gridCol w:w="5387"/>
      </w:tblGrid>
      <w:tr w:rsidR="008D37F6" w:rsidRPr="00E32D6E" w:rsidTr="001C72CA">
        <w:tc>
          <w:tcPr>
            <w:tcW w:w="4106" w:type="dxa"/>
          </w:tcPr>
          <w:p w:rsidR="008D37F6" w:rsidRPr="00E32D6E" w:rsidRDefault="008D37F6" w:rsidP="001C72CA">
            <w:pPr>
              <w:pStyle w:val="NoSpacing"/>
              <w:rPr>
                <w:b/>
                <w:lang w:val="en-GB"/>
              </w:rPr>
            </w:pPr>
            <w:r w:rsidRPr="00E32D6E">
              <w:rPr>
                <w:b/>
                <w:lang w:val="en-GB"/>
              </w:rPr>
              <w:t>Alias</w:t>
            </w:r>
          </w:p>
          <w:p w:rsidR="005761AC" w:rsidRPr="00E32D6E" w:rsidRDefault="005761AC" w:rsidP="001C72CA">
            <w:pPr>
              <w:pStyle w:val="NoSpacing"/>
              <w:rPr>
                <w:b/>
                <w:lang w:val="en-GB"/>
              </w:rPr>
            </w:pPr>
          </w:p>
        </w:tc>
        <w:tc>
          <w:tcPr>
            <w:tcW w:w="5387" w:type="dxa"/>
          </w:tcPr>
          <w:p w:rsidR="008D37F6" w:rsidRPr="00E32D6E" w:rsidRDefault="008D37F6" w:rsidP="001C72CA">
            <w:pPr>
              <w:pStyle w:val="NoSpacing"/>
              <w:rPr>
                <w:b/>
                <w:lang w:val="en-GB"/>
              </w:rPr>
            </w:pPr>
            <w:r w:rsidRPr="00E32D6E">
              <w:rPr>
                <w:b/>
                <w:lang w:val="en-GB"/>
              </w:rPr>
              <w:t>Date of interview</w:t>
            </w:r>
          </w:p>
        </w:tc>
      </w:tr>
      <w:tr w:rsidR="005761AC" w:rsidRPr="00E32D6E" w:rsidTr="001C72CA">
        <w:tc>
          <w:tcPr>
            <w:tcW w:w="4106" w:type="dxa"/>
          </w:tcPr>
          <w:p w:rsidR="005761AC" w:rsidRPr="00E32D6E" w:rsidRDefault="005761AC" w:rsidP="001C72CA">
            <w:pPr>
              <w:pStyle w:val="NoSpacing"/>
              <w:rPr>
                <w:b/>
                <w:lang w:val="en-GB"/>
              </w:rPr>
            </w:pPr>
          </w:p>
        </w:tc>
        <w:tc>
          <w:tcPr>
            <w:tcW w:w="5387" w:type="dxa"/>
          </w:tcPr>
          <w:p w:rsidR="005761AC" w:rsidRPr="00E32D6E" w:rsidRDefault="005761AC" w:rsidP="001C72CA">
            <w:pPr>
              <w:pStyle w:val="NoSpacing"/>
              <w:rPr>
                <w:b/>
                <w:lang w:val="en-GB"/>
              </w:rPr>
            </w:pPr>
          </w:p>
        </w:tc>
      </w:tr>
      <w:tr w:rsidR="008D37F6" w:rsidRPr="00E32D6E" w:rsidTr="001C72CA">
        <w:tc>
          <w:tcPr>
            <w:tcW w:w="4106" w:type="dxa"/>
          </w:tcPr>
          <w:p w:rsidR="008D37F6" w:rsidRPr="00E32D6E" w:rsidRDefault="008D37F6" w:rsidP="001C72CA">
            <w:pPr>
              <w:pStyle w:val="NoSpacing"/>
              <w:rPr>
                <w:lang w:val="en-GB"/>
              </w:rPr>
            </w:pPr>
            <w:r w:rsidRPr="00E32D6E">
              <w:rPr>
                <w:lang w:val="en-GB"/>
              </w:rPr>
              <w:t>Informant 1, Alexander</w:t>
            </w:r>
          </w:p>
        </w:tc>
        <w:tc>
          <w:tcPr>
            <w:tcW w:w="5387" w:type="dxa"/>
          </w:tcPr>
          <w:p w:rsidR="008D37F6" w:rsidRPr="00E32D6E" w:rsidRDefault="008D37F6" w:rsidP="001C72CA">
            <w:pPr>
              <w:pStyle w:val="NoSpacing"/>
              <w:rPr>
                <w:lang w:val="en-GB"/>
              </w:rPr>
            </w:pPr>
            <w:r w:rsidRPr="00E32D6E">
              <w:rPr>
                <w:lang w:val="en-GB"/>
              </w:rPr>
              <w:t>November 27 09.00-10.30</w:t>
            </w:r>
          </w:p>
        </w:tc>
      </w:tr>
      <w:tr w:rsidR="008D37F6" w:rsidRPr="00E32D6E" w:rsidTr="001C72CA">
        <w:tc>
          <w:tcPr>
            <w:tcW w:w="4106" w:type="dxa"/>
          </w:tcPr>
          <w:p w:rsidR="008D37F6" w:rsidRPr="00E32D6E" w:rsidRDefault="008D37F6" w:rsidP="001C72CA">
            <w:pPr>
              <w:pStyle w:val="NoSpacing"/>
              <w:rPr>
                <w:lang w:val="en-GB"/>
              </w:rPr>
            </w:pPr>
            <w:r w:rsidRPr="00E32D6E">
              <w:rPr>
                <w:lang w:val="en-GB"/>
              </w:rPr>
              <w:t>Informant 2, Benjamin</w:t>
            </w:r>
          </w:p>
        </w:tc>
        <w:tc>
          <w:tcPr>
            <w:tcW w:w="5387" w:type="dxa"/>
          </w:tcPr>
          <w:p w:rsidR="008D37F6" w:rsidRPr="00E32D6E" w:rsidRDefault="008D37F6" w:rsidP="001C72CA">
            <w:pPr>
              <w:pStyle w:val="NoSpacing"/>
              <w:rPr>
                <w:lang w:val="en-GB"/>
              </w:rPr>
            </w:pPr>
            <w:r w:rsidRPr="00E32D6E">
              <w:rPr>
                <w:lang w:val="en-GB"/>
              </w:rPr>
              <w:t>November 27 – 13.00-14.30</w:t>
            </w:r>
          </w:p>
          <w:p w:rsidR="008D37F6" w:rsidRPr="00E32D6E" w:rsidRDefault="008D37F6" w:rsidP="001C72CA">
            <w:pPr>
              <w:pStyle w:val="NoSpacing"/>
              <w:rPr>
                <w:lang w:val="en-GB"/>
              </w:rPr>
            </w:pPr>
          </w:p>
        </w:tc>
      </w:tr>
      <w:tr w:rsidR="008D37F6" w:rsidRPr="00E32D6E" w:rsidTr="001C72CA">
        <w:tc>
          <w:tcPr>
            <w:tcW w:w="4106" w:type="dxa"/>
          </w:tcPr>
          <w:p w:rsidR="008D37F6" w:rsidRPr="00E32D6E" w:rsidRDefault="008D37F6" w:rsidP="001C72CA">
            <w:pPr>
              <w:pStyle w:val="NoSpacing"/>
              <w:rPr>
                <w:lang w:val="en-GB"/>
              </w:rPr>
            </w:pPr>
            <w:r w:rsidRPr="00E32D6E">
              <w:rPr>
                <w:lang w:val="en-GB"/>
              </w:rPr>
              <w:t>Informant 3, Carl</w:t>
            </w:r>
          </w:p>
        </w:tc>
        <w:tc>
          <w:tcPr>
            <w:tcW w:w="5387" w:type="dxa"/>
          </w:tcPr>
          <w:p w:rsidR="008D37F6" w:rsidRPr="00E32D6E" w:rsidRDefault="008D37F6" w:rsidP="001C72CA">
            <w:pPr>
              <w:pStyle w:val="NoSpacing"/>
              <w:rPr>
                <w:lang w:val="en-GB"/>
              </w:rPr>
            </w:pPr>
            <w:r w:rsidRPr="00E32D6E">
              <w:rPr>
                <w:lang w:val="en-GB"/>
              </w:rPr>
              <w:t>November 27 14.30-16.00</w:t>
            </w:r>
          </w:p>
          <w:p w:rsidR="008D37F6" w:rsidRPr="00E32D6E" w:rsidRDefault="008D37F6" w:rsidP="001C72CA">
            <w:pPr>
              <w:pStyle w:val="NoSpacing"/>
              <w:rPr>
                <w:lang w:val="en-GB"/>
              </w:rPr>
            </w:pPr>
          </w:p>
        </w:tc>
      </w:tr>
      <w:tr w:rsidR="008D37F6" w:rsidRPr="00E32D6E" w:rsidTr="001C72CA">
        <w:tc>
          <w:tcPr>
            <w:tcW w:w="4106" w:type="dxa"/>
          </w:tcPr>
          <w:p w:rsidR="008D37F6" w:rsidRPr="00E32D6E" w:rsidRDefault="008D37F6" w:rsidP="001C72CA">
            <w:pPr>
              <w:pStyle w:val="NoSpacing"/>
              <w:rPr>
                <w:lang w:val="en-GB"/>
              </w:rPr>
            </w:pPr>
            <w:r w:rsidRPr="00E32D6E">
              <w:rPr>
                <w:lang w:val="en-GB"/>
              </w:rPr>
              <w:t>Informant 4, Dennis</w:t>
            </w:r>
          </w:p>
        </w:tc>
        <w:tc>
          <w:tcPr>
            <w:tcW w:w="5387" w:type="dxa"/>
          </w:tcPr>
          <w:p w:rsidR="008D37F6" w:rsidRPr="00E32D6E" w:rsidRDefault="008D37F6" w:rsidP="001C72CA">
            <w:pPr>
              <w:pStyle w:val="NoSpacing"/>
              <w:rPr>
                <w:lang w:val="en-GB"/>
              </w:rPr>
            </w:pPr>
            <w:r w:rsidRPr="00E32D6E">
              <w:rPr>
                <w:lang w:val="en-GB"/>
              </w:rPr>
              <w:t>November 28 10.00-11.00</w:t>
            </w:r>
          </w:p>
          <w:p w:rsidR="008D37F6" w:rsidRPr="00E32D6E" w:rsidRDefault="008D37F6" w:rsidP="001C72CA">
            <w:pPr>
              <w:pStyle w:val="NoSpacing"/>
              <w:rPr>
                <w:lang w:val="en-GB"/>
              </w:rPr>
            </w:pPr>
          </w:p>
        </w:tc>
      </w:tr>
      <w:tr w:rsidR="008D37F6" w:rsidRPr="00E32D6E" w:rsidTr="001C72CA">
        <w:tc>
          <w:tcPr>
            <w:tcW w:w="4106" w:type="dxa"/>
          </w:tcPr>
          <w:p w:rsidR="008D37F6" w:rsidRPr="00E32D6E" w:rsidRDefault="008D37F6" w:rsidP="001C72CA">
            <w:pPr>
              <w:pStyle w:val="NoSpacing"/>
              <w:rPr>
                <w:lang w:val="en-GB"/>
              </w:rPr>
            </w:pPr>
            <w:r w:rsidRPr="00E32D6E">
              <w:rPr>
                <w:lang w:val="en-GB"/>
              </w:rPr>
              <w:t>Informant 5, Even</w:t>
            </w:r>
          </w:p>
        </w:tc>
        <w:tc>
          <w:tcPr>
            <w:tcW w:w="5387" w:type="dxa"/>
          </w:tcPr>
          <w:p w:rsidR="008D37F6" w:rsidRPr="00E32D6E" w:rsidRDefault="008D37F6" w:rsidP="001C72CA">
            <w:pPr>
              <w:pStyle w:val="NoSpacing"/>
              <w:rPr>
                <w:lang w:val="en-GB"/>
              </w:rPr>
            </w:pPr>
            <w:r w:rsidRPr="00E32D6E">
              <w:rPr>
                <w:lang w:val="en-GB"/>
              </w:rPr>
              <w:t>November 28 11.30-13.00</w:t>
            </w:r>
          </w:p>
        </w:tc>
      </w:tr>
      <w:tr w:rsidR="008D37F6" w:rsidRPr="00E32D6E" w:rsidTr="001C72CA">
        <w:tc>
          <w:tcPr>
            <w:tcW w:w="4106" w:type="dxa"/>
          </w:tcPr>
          <w:p w:rsidR="008D37F6" w:rsidRPr="00E32D6E" w:rsidRDefault="008D37F6" w:rsidP="001C72CA">
            <w:pPr>
              <w:pStyle w:val="NoSpacing"/>
              <w:rPr>
                <w:lang w:val="en-GB"/>
              </w:rPr>
            </w:pPr>
            <w:r w:rsidRPr="00E32D6E">
              <w:rPr>
                <w:lang w:val="en-GB"/>
              </w:rPr>
              <w:t>Informant 6, Fritjof</w:t>
            </w:r>
          </w:p>
        </w:tc>
        <w:tc>
          <w:tcPr>
            <w:tcW w:w="5387" w:type="dxa"/>
          </w:tcPr>
          <w:p w:rsidR="008D37F6" w:rsidRPr="00E32D6E" w:rsidRDefault="008D37F6" w:rsidP="001C72CA">
            <w:pPr>
              <w:pStyle w:val="NoSpacing"/>
              <w:rPr>
                <w:lang w:val="en-GB"/>
              </w:rPr>
            </w:pPr>
            <w:r w:rsidRPr="00E32D6E">
              <w:rPr>
                <w:lang w:val="en-GB"/>
              </w:rPr>
              <w:t>November 28 14:00-15:00</w:t>
            </w:r>
          </w:p>
        </w:tc>
      </w:tr>
      <w:tr w:rsidR="008D37F6" w:rsidRPr="00E32D6E" w:rsidTr="001C72CA">
        <w:tc>
          <w:tcPr>
            <w:tcW w:w="4106" w:type="dxa"/>
          </w:tcPr>
          <w:p w:rsidR="008D37F6" w:rsidRPr="00E32D6E" w:rsidRDefault="008D37F6" w:rsidP="001C72CA">
            <w:pPr>
              <w:pStyle w:val="NoSpacing"/>
              <w:rPr>
                <w:lang w:val="en-GB"/>
              </w:rPr>
            </w:pPr>
            <w:r w:rsidRPr="00E32D6E">
              <w:rPr>
                <w:lang w:val="en-GB"/>
              </w:rPr>
              <w:t>Informant 7, Geir</w:t>
            </w:r>
            <w:r w:rsidR="007A2DA8" w:rsidRPr="00E32D6E">
              <w:rPr>
                <w:lang w:val="en-GB"/>
              </w:rPr>
              <w:t xml:space="preserve"> (5G-VINNI)</w:t>
            </w:r>
          </w:p>
        </w:tc>
        <w:tc>
          <w:tcPr>
            <w:tcW w:w="5387" w:type="dxa"/>
          </w:tcPr>
          <w:p w:rsidR="008D37F6" w:rsidRPr="00E32D6E" w:rsidRDefault="008D37F6" w:rsidP="001C72CA">
            <w:pPr>
              <w:pStyle w:val="NoSpacing"/>
              <w:rPr>
                <w:lang w:val="en-GB"/>
              </w:rPr>
            </w:pPr>
            <w:r w:rsidRPr="00E32D6E">
              <w:rPr>
                <w:lang w:val="en-GB"/>
              </w:rPr>
              <w:t>December 19 12.15.-12.45</w:t>
            </w:r>
          </w:p>
        </w:tc>
      </w:tr>
      <w:tr w:rsidR="008D37F6" w:rsidRPr="00E32D6E" w:rsidTr="001C72CA">
        <w:tc>
          <w:tcPr>
            <w:tcW w:w="4106" w:type="dxa"/>
          </w:tcPr>
          <w:p w:rsidR="008D37F6" w:rsidRPr="0072649D" w:rsidRDefault="008D37F6" w:rsidP="001C72CA">
            <w:pPr>
              <w:pStyle w:val="NoSpacing"/>
              <w:rPr>
                <w:lang w:val="nb-NO"/>
              </w:rPr>
            </w:pPr>
            <w:r w:rsidRPr="0072649D">
              <w:rPr>
                <w:lang w:val="nb-NO"/>
              </w:rPr>
              <w:t>Informant 8, Henriette</w:t>
            </w:r>
            <w:r w:rsidR="007A2DA8" w:rsidRPr="0072649D">
              <w:rPr>
                <w:lang w:val="nb-NO"/>
              </w:rPr>
              <w:t xml:space="preserve"> (Telenor Holding Group)</w:t>
            </w:r>
          </w:p>
        </w:tc>
        <w:tc>
          <w:tcPr>
            <w:tcW w:w="5387" w:type="dxa"/>
          </w:tcPr>
          <w:p w:rsidR="008D37F6" w:rsidRPr="00E32D6E" w:rsidRDefault="008D37F6" w:rsidP="001C72CA">
            <w:pPr>
              <w:pStyle w:val="NoSpacing"/>
              <w:rPr>
                <w:lang w:val="en-GB"/>
              </w:rPr>
            </w:pPr>
            <w:r w:rsidRPr="00E32D6E">
              <w:rPr>
                <w:lang w:val="en-GB"/>
              </w:rPr>
              <w:t>December 19 13:00-14.00</w:t>
            </w:r>
          </w:p>
        </w:tc>
      </w:tr>
    </w:tbl>
    <w:p w:rsidR="008D37F6" w:rsidRPr="00E32D6E" w:rsidRDefault="008D37F6" w:rsidP="00F406C9"/>
    <w:p w:rsidR="008D37F6" w:rsidRPr="00E32D6E" w:rsidRDefault="008D37F6" w:rsidP="00F406C9"/>
    <w:p w:rsidR="008D37F6" w:rsidRPr="00E32D6E" w:rsidRDefault="008D37F6" w:rsidP="00F406C9"/>
    <w:p w:rsidR="008D37F6" w:rsidRPr="00E32D6E" w:rsidRDefault="008D37F6" w:rsidP="00F406C9"/>
    <w:p w:rsidR="008D37F6" w:rsidRPr="00E32D6E" w:rsidRDefault="008D37F6" w:rsidP="00F406C9"/>
    <w:p w:rsidR="008D37F6" w:rsidRPr="00E32D6E" w:rsidRDefault="008D37F6" w:rsidP="00F406C9"/>
    <w:p w:rsidR="008D37F6" w:rsidRPr="00E32D6E" w:rsidRDefault="008D37F6" w:rsidP="00F406C9"/>
    <w:p w:rsidR="008D37F6" w:rsidRPr="00E32D6E" w:rsidRDefault="008D37F6" w:rsidP="00F406C9"/>
    <w:p w:rsidR="008D37F6" w:rsidRPr="00E32D6E" w:rsidRDefault="002F0E99" w:rsidP="001C72CA">
      <w:pPr>
        <w:pStyle w:val="Heading1"/>
      </w:pPr>
      <w:r w:rsidRPr="00E32D6E">
        <w:lastRenderedPageBreak/>
        <w:t>Appendix 2</w:t>
      </w:r>
    </w:p>
    <w:p w:rsidR="002F0E99" w:rsidRPr="00E32D6E" w:rsidRDefault="002F0E99" w:rsidP="002F0E99"/>
    <w:p w:rsidR="008D37F6" w:rsidRPr="00E32D6E" w:rsidRDefault="008D37F6" w:rsidP="00DC1662">
      <w:pPr>
        <w:pStyle w:val="Heading2"/>
      </w:pPr>
      <w:r w:rsidRPr="00E32D6E">
        <w:t>Interview guide:</w:t>
      </w:r>
    </w:p>
    <w:p w:rsidR="008D37F6" w:rsidRPr="00E32D6E" w:rsidRDefault="008D37F6" w:rsidP="001C72CA">
      <w:pPr>
        <w:pStyle w:val="Heading3"/>
      </w:pPr>
      <w:r w:rsidRPr="00E32D6E">
        <w:t>Background</w:t>
      </w:r>
    </w:p>
    <w:p w:rsidR="008D37F6" w:rsidRPr="00E32D6E" w:rsidRDefault="008D37F6" w:rsidP="00F406C9">
      <w:r w:rsidRPr="00E32D6E">
        <w:t xml:space="preserve">We would like to learn about the five most important efforts Telenor has initiated over the last few years to maintain a solid company in the future. Then we would like to learn about how Telenor carry out change and organisational the important efforts. The purpose is to investigate how companies can become better at change in highly uncertain and complex environments. </w:t>
      </w:r>
    </w:p>
    <w:p w:rsidR="008D37F6" w:rsidRPr="00E32D6E" w:rsidRDefault="008D37F6" w:rsidP="00F406C9">
      <w:r w:rsidRPr="00E32D6E">
        <w:t>What is the imminent major change Telenor faces?</w:t>
      </w:r>
    </w:p>
    <w:p w:rsidR="008D37F6" w:rsidRPr="00E32D6E" w:rsidRDefault="008D37F6" w:rsidP="00F406C9">
      <w:r w:rsidRPr="00E32D6E">
        <w:t xml:space="preserve">In April 2016, the CEO of Telenor, a leading multinational </w:t>
      </w:r>
      <w:r w:rsidR="00D50454" w:rsidRPr="00E32D6E">
        <w:t>MNMTC</w:t>
      </w:r>
      <w:r w:rsidRPr="00E32D6E">
        <w:t xml:space="preserve">, Sigve Brekke stated: </w:t>
      </w:r>
    </w:p>
    <w:p w:rsidR="008D37F6" w:rsidRPr="00E32D6E" w:rsidRDefault="008D37F6" w:rsidP="002F0E99">
      <w:pPr>
        <w:ind w:left="720"/>
        <w:rPr>
          <w:rStyle w:val="Emphasis"/>
        </w:rPr>
      </w:pPr>
      <w:r w:rsidRPr="00E32D6E">
        <w:rPr>
          <w:rStyle w:val="Emphasis"/>
        </w:rPr>
        <w:t xml:space="preserve">We are faced with the need to change rapidly. We will see a dramatic reduction in income from voice. We (therefore) need to embark on a journey from being a traditional mobile operator to being the preferred deliverer of digital services. This will involve putting into place completely different business models to those we have today. We cannot deliver every digital solution ourselves—for the most part, we must do this in partnership with others. (Dagens Næringsliv, 2016: authors’ translation). </w:t>
      </w:r>
    </w:p>
    <w:p w:rsidR="002F0E99" w:rsidRPr="00E32D6E" w:rsidRDefault="002F0E99" w:rsidP="00F406C9"/>
    <w:p w:rsidR="008D37F6" w:rsidRPr="00E32D6E" w:rsidRDefault="008D37F6" w:rsidP="00F406C9">
      <w:r w:rsidRPr="00E32D6E">
        <w:t xml:space="preserve">Do you basically agree? Or would you completely rephrase the major change Telenor is facing? </w:t>
      </w:r>
    </w:p>
    <w:p w:rsidR="008D37F6" w:rsidRPr="00E32D6E" w:rsidRDefault="008D37F6" w:rsidP="002F0E99">
      <w:pPr>
        <w:pStyle w:val="ListBullet"/>
        <w:numPr>
          <w:ilvl w:val="0"/>
          <w:numId w:val="0"/>
        </w:numPr>
      </w:pPr>
      <w:r w:rsidRPr="00E32D6E">
        <w:t>Given your view of the future….</w:t>
      </w:r>
      <w:r w:rsidR="002F0E99" w:rsidRPr="00E32D6E">
        <w:t xml:space="preserve"> </w:t>
      </w:r>
      <w:r w:rsidRPr="00E32D6E">
        <w:t>What are the five most important efforts to secure the company’s future?</w:t>
      </w:r>
    </w:p>
    <w:p w:rsidR="002F0E99" w:rsidRPr="00E32D6E" w:rsidRDefault="008D37F6" w:rsidP="001C72CA">
      <w:pPr>
        <w:pStyle w:val="ListBullet"/>
      </w:pPr>
      <w:r w:rsidRPr="00E32D6E">
        <w:t xml:space="preserve">What do you consider the five most important efforts the last years? </w:t>
      </w:r>
    </w:p>
    <w:p w:rsidR="002F0E99" w:rsidRPr="00E32D6E" w:rsidRDefault="008D37F6" w:rsidP="002F0E99">
      <w:pPr>
        <w:pStyle w:val="ListBullet"/>
      </w:pPr>
      <w:r w:rsidRPr="00E32D6E">
        <w:lastRenderedPageBreak/>
        <w:t xml:space="preserve">Why are these important, what happened when working on these areas? </w:t>
      </w:r>
    </w:p>
    <w:p w:rsidR="008D37F6" w:rsidRPr="00E32D6E" w:rsidRDefault="008D37F6" w:rsidP="002F0E99">
      <w:pPr>
        <w:pStyle w:val="ListBullet"/>
      </w:pPr>
      <w:r w:rsidRPr="00E32D6E">
        <w:t xml:space="preserve">Here a list of suggestions. Please add to, change and remove the following suggestions so the list consists of what you believe are the five most important efforts: </w:t>
      </w:r>
    </w:p>
    <w:p w:rsidR="002F0E99" w:rsidRPr="00E32D6E" w:rsidRDefault="002F0E99" w:rsidP="002F0E99">
      <w:pPr>
        <w:pStyle w:val="ListBullet"/>
        <w:numPr>
          <w:ilvl w:val="0"/>
          <w:numId w:val="0"/>
        </w:numPr>
        <w:ind w:left="1440"/>
      </w:pPr>
    </w:p>
    <w:p w:rsidR="008D37F6" w:rsidRPr="00E32D6E" w:rsidRDefault="008D37F6" w:rsidP="00DB5087">
      <w:pPr>
        <w:pStyle w:val="Heading3"/>
      </w:pPr>
      <w:r w:rsidRPr="00E32D6E">
        <w:t>Changes in customers and markets served</w:t>
      </w:r>
    </w:p>
    <w:p w:rsidR="008D37F6" w:rsidRPr="00E32D6E" w:rsidRDefault="008D37F6" w:rsidP="00DB5087">
      <w:pPr>
        <w:pStyle w:val="ListNumber"/>
      </w:pPr>
      <w:r w:rsidRPr="00E32D6E">
        <w:t xml:space="preserve">Serve new market segments (e.g. business market in Asia and a new B2B market for solutions where IoT and 5G will be introduced). </w:t>
      </w:r>
    </w:p>
    <w:p w:rsidR="008D37F6" w:rsidRPr="00E32D6E" w:rsidRDefault="008D37F6" w:rsidP="00DB5087">
      <w:pPr>
        <w:pStyle w:val="ListNumber"/>
      </w:pPr>
      <w:r w:rsidRPr="00E32D6E">
        <w:t xml:space="preserve">Acquire companies outside footprint to expand the market (e.g. DNA in Finland) </w:t>
      </w:r>
    </w:p>
    <w:p w:rsidR="008D37F6" w:rsidRPr="00E32D6E" w:rsidRDefault="008D37F6" w:rsidP="00DB5087">
      <w:pPr>
        <w:pStyle w:val="Heading3"/>
      </w:pPr>
      <w:r w:rsidRPr="00E32D6E">
        <w:t>Customer channels and relations</w:t>
      </w:r>
    </w:p>
    <w:p w:rsidR="008D37F6" w:rsidRPr="00E32D6E" w:rsidRDefault="008D37F6" w:rsidP="00DB5087">
      <w:pPr>
        <w:pStyle w:val="ListNumber"/>
      </w:pPr>
      <w:r w:rsidRPr="00E32D6E">
        <w:t xml:space="preserve">Develop and operate digital customer interaction to compliment and potentially substitute physical distribution. Personalize the customer journey using digital technologies including AI. </w:t>
      </w:r>
    </w:p>
    <w:p w:rsidR="008D37F6" w:rsidRPr="00E32D6E" w:rsidRDefault="008D37F6" w:rsidP="00DB5087">
      <w:pPr>
        <w:pStyle w:val="ListNumber"/>
      </w:pPr>
      <w:r w:rsidRPr="00E32D6E">
        <w:t xml:space="preserve">Develop new capabilities to be able to sell to and serve the business market. </w:t>
      </w:r>
    </w:p>
    <w:p w:rsidR="008D37F6" w:rsidRPr="00E32D6E" w:rsidRDefault="008D37F6" w:rsidP="00DB5087">
      <w:pPr>
        <w:pStyle w:val="Heading3"/>
      </w:pPr>
      <w:r w:rsidRPr="00E32D6E">
        <w:t>New service offerings</w:t>
      </w:r>
    </w:p>
    <w:p w:rsidR="008D37F6" w:rsidRPr="00E32D6E" w:rsidRDefault="008D37F6" w:rsidP="00DB5087">
      <w:pPr>
        <w:pStyle w:val="ListNumber"/>
      </w:pPr>
      <w:r w:rsidRPr="00E32D6E">
        <w:t xml:space="preserve">Implement and offer 5G services. </w:t>
      </w:r>
    </w:p>
    <w:p w:rsidR="008D37F6" w:rsidRPr="00E32D6E" w:rsidRDefault="008D37F6" w:rsidP="00DB5087">
      <w:pPr>
        <w:pStyle w:val="ListNumber"/>
      </w:pPr>
      <w:r w:rsidRPr="00E32D6E">
        <w:t xml:space="preserve">Develop new IoT and business solution services. </w:t>
      </w:r>
    </w:p>
    <w:p w:rsidR="008D37F6" w:rsidRPr="00E32D6E" w:rsidRDefault="008D37F6" w:rsidP="00DB5087">
      <w:pPr>
        <w:pStyle w:val="ListNumber"/>
      </w:pPr>
      <w:r w:rsidRPr="00E32D6E">
        <w:t xml:space="preserve">Develop new digital services for consumers as standalone revenue generating services and/or to bundle with connectivity to differentiate the core offering. </w:t>
      </w:r>
    </w:p>
    <w:p w:rsidR="008D37F6" w:rsidRPr="00E32D6E" w:rsidRDefault="008D37F6" w:rsidP="00DB5087">
      <w:pPr>
        <w:pStyle w:val="Heading3"/>
      </w:pPr>
      <w:r w:rsidRPr="00E32D6E">
        <w:t>Improved operations / capabilities</w:t>
      </w:r>
    </w:p>
    <w:p w:rsidR="008D37F6" w:rsidRPr="00E32D6E" w:rsidRDefault="008D37F6" w:rsidP="00DB5087">
      <w:pPr>
        <w:pStyle w:val="ListNumber"/>
      </w:pPr>
      <w:r w:rsidRPr="00E32D6E">
        <w:t xml:space="preserve">Reduce cost and simplify the organisation to be able to continue to make profit when demand/ prices are declining. Remove obsolete technologies (e.g. 3G and copper network). </w:t>
      </w:r>
    </w:p>
    <w:p w:rsidR="008D37F6" w:rsidRPr="00E32D6E" w:rsidRDefault="008D37F6" w:rsidP="00DB5087">
      <w:pPr>
        <w:pStyle w:val="ListNumber"/>
      </w:pPr>
      <w:r w:rsidRPr="00E32D6E">
        <w:t xml:space="preserve">Spin off areas such as Working Group 2 and Appear.in.  Sell off operations such as in CEE. </w:t>
      </w:r>
    </w:p>
    <w:p w:rsidR="008D37F6" w:rsidRPr="00E32D6E" w:rsidRDefault="008D37F6" w:rsidP="00DB5087">
      <w:pPr>
        <w:pStyle w:val="ListNumber"/>
      </w:pPr>
      <w:r w:rsidRPr="00E32D6E">
        <w:lastRenderedPageBreak/>
        <w:t xml:space="preserve">Carry out structural changes such as carving out towers and establish this as a separate business area. </w:t>
      </w:r>
    </w:p>
    <w:p w:rsidR="008D37F6" w:rsidRPr="00E32D6E" w:rsidRDefault="008D37F6" w:rsidP="00DB5087">
      <w:pPr>
        <w:pStyle w:val="ListNumber"/>
      </w:pPr>
      <w:r w:rsidRPr="00E32D6E">
        <w:t>Introduce cloud based network operations with APIs that replaces the traditional network operation technologies (e.g. Common Delivery Centres)</w:t>
      </w:r>
    </w:p>
    <w:p w:rsidR="008D37F6" w:rsidRPr="00E32D6E" w:rsidRDefault="008D37F6" w:rsidP="00DB5087">
      <w:pPr>
        <w:pStyle w:val="ListNumber"/>
      </w:pPr>
      <w:r w:rsidRPr="00E32D6E">
        <w:t xml:space="preserve">Investments in AI-lab Trondheim. </w:t>
      </w:r>
    </w:p>
    <w:p w:rsidR="008D37F6" w:rsidRPr="00E32D6E" w:rsidRDefault="008D37F6" w:rsidP="00DB5087">
      <w:pPr>
        <w:pStyle w:val="Heading3"/>
      </w:pPr>
      <w:r w:rsidRPr="00E32D6E">
        <w:t>Develop partnership models</w:t>
      </w:r>
    </w:p>
    <w:p w:rsidR="008D37F6" w:rsidRPr="00E32D6E" w:rsidRDefault="008D37F6" w:rsidP="00DB5087">
      <w:pPr>
        <w:pStyle w:val="ListNumber"/>
      </w:pPr>
      <w:r w:rsidRPr="00E32D6E">
        <w:t>Find (sourcing) partners to take over non-differentiating parts of the value chain or to compensate for lacking internal capabilities.</w:t>
      </w:r>
    </w:p>
    <w:p w:rsidR="008D37F6" w:rsidRPr="00E32D6E" w:rsidRDefault="008D37F6" w:rsidP="00DB5087">
      <w:pPr>
        <w:pStyle w:val="ListNumber"/>
      </w:pPr>
      <w:r w:rsidRPr="00E32D6E">
        <w:t xml:space="preserve">Establish new partnerships to develop and offer new services to consumers and businesses.  </w:t>
      </w:r>
    </w:p>
    <w:p w:rsidR="008D37F6" w:rsidRPr="00E32D6E" w:rsidRDefault="008D37F6" w:rsidP="00DB5087">
      <w:pPr>
        <w:pStyle w:val="ListNumber"/>
      </w:pPr>
      <w:r w:rsidRPr="00E32D6E">
        <w:t xml:space="preserve">Establish a separate procurement company in Singapore. </w:t>
      </w:r>
    </w:p>
    <w:p w:rsidR="00DB5087" w:rsidRPr="00E32D6E" w:rsidRDefault="00DB5087" w:rsidP="00DB5087">
      <w:pPr>
        <w:pStyle w:val="ListNumber"/>
        <w:numPr>
          <w:ilvl w:val="0"/>
          <w:numId w:val="0"/>
        </w:numPr>
        <w:ind w:left="1080"/>
      </w:pPr>
    </w:p>
    <w:p w:rsidR="008D37F6" w:rsidRPr="00E32D6E" w:rsidRDefault="008D37F6" w:rsidP="00DB5087">
      <w:r w:rsidRPr="00E32D6E">
        <w:t xml:space="preserve">Telenor has also made efforts that are either scaled down or terminated, what is your view on efforts such as: </w:t>
      </w:r>
    </w:p>
    <w:p w:rsidR="008D37F6" w:rsidRPr="00E32D6E" w:rsidRDefault="008D37F6" w:rsidP="00DB5087">
      <w:pPr>
        <w:pStyle w:val="ListNumber"/>
      </w:pPr>
      <w:r w:rsidRPr="00E32D6E">
        <w:t>Investment in Tapad</w:t>
      </w:r>
    </w:p>
    <w:p w:rsidR="008D37F6" w:rsidRPr="00E32D6E" w:rsidRDefault="008D37F6" w:rsidP="00DB5087">
      <w:pPr>
        <w:pStyle w:val="ListNumber"/>
      </w:pPr>
      <w:r w:rsidRPr="00E32D6E">
        <w:t xml:space="preserve">Establish Digital in Singapore. </w:t>
      </w:r>
    </w:p>
    <w:p w:rsidR="008D37F6" w:rsidRPr="00E32D6E" w:rsidRDefault="008D37F6" w:rsidP="00F406C9"/>
    <w:p w:rsidR="008D37F6" w:rsidRPr="00E32D6E" w:rsidRDefault="008D37F6" w:rsidP="00DC1662">
      <w:pPr>
        <w:pStyle w:val="Heading2"/>
      </w:pPr>
      <w:r w:rsidRPr="00E32D6E">
        <w:t>Organizing change</w:t>
      </w:r>
    </w:p>
    <w:p w:rsidR="003E34E2" w:rsidRPr="00E32D6E" w:rsidRDefault="008D37F6" w:rsidP="003E34E2">
      <w:r w:rsidRPr="00E32D6E">
        <w:t xml:space="preserve">Now we would like to discuss how Telenor </w:t>
      </w:r>
      <w:r w:rsidR="00F81538">
        <w:t xml:space="preserve">is </w:t>
      </w:r>
      <w:r w:rsidRPr="00E32D6E">
        <w:t xml:space="preserve"> organizing the change to make </w:t>
      </w:r>
      <w:r w:rsidR="00F81538">
        <w:t xml:space="preserve">a </w:t>
      </w:r>
      <w:r w:rsidRPr="00E32D6E">
        <w:t xml:space="preserve">robust future. We anticipate that different organizing principles are used over time. E.g. an initiative may start as a project then evolve as a separate unit or spin-out. We would like your views on how Telenor is changing and organizing and what you view to be the five most important initiatives. Here follows a non-exhaustive list of organisational solutions examples. </w:t>
      </w:r>
    </w:p>
    <w:p w:rsidR="008D37F6" w:rsidRPr="00E32D6E" w:rsidRDefault="008D37F6" w:rsidP="00F406C9">
      <w:r w:rsidRPr="00E32D6E">
        <w:rPr>
          <w:rStyle w:val="Heading4Char"/>
        </w:rPr>
        <w:lastRenderedPageBreak/>
        <w:t>The ambidextrous solution.</w:t>
      </w:r>
      <w:r w:rsidRPr="00E32D6E">
        <w:rPr>
          <w:i/>
        </w:rPr>
        <w:t xml:space="preserve"> </w:t>
      </w:r>
      <w:r w:rsidRPr="00E32D6E">
        <w:t>In established firms, radical change (e.g. digital transformation) requires the ability to exploit existing business while simultaneously exploring new opportunities that potentially cannibalize existing ones. It has been shown that by setting up a separate organizational structure (e.g. a new unit) charged with radical innovation, the remaining organization can focus on the existing business. This ambidextrous solution equips established firms to handle pressures for efficiencies parallel to innovation. In other words, it permits both exploitation and exploration.</w:t>
      </w:r>
    </w:p>
    <w:p w:rsidR="008D37F6" w:rsidRPr="00E32D6E" w:rsidRDefault="008D37F6" w:rsidP="00F406C9">
      <w:r w:rsidRPr="00E32D6E">
        <w:rPr>
          <w:rStyle w:val="Heading4Char"/>
        </w:rPr>
        <w:t>Agile organization.</w:t>
      </w:r>
      <w:r w:rsidRPr="00E32D6E">
        <w:t xml:space="preserve"> Organizational agility refers to “an enterprise’s ability to quickly respond and adapt in response to continuous and unpredictable changes of competitive market environments” (Sherehiy &amp; Karwowski. 2014</w:t>
      </w:r>
      <w:r w:rsidR="00EF1FD4">
        <w:t>:466</w:t>
      </w:r>
      <w:r w:rsidRPr="00E32D6E">
        <w:t>). Typically</w:t>
      </w:r>
      <w:r w:rsidR="00EF1FD4">
        <w:t>,</w:t>
      </w:r>
      <w:r w:rsidRPr="00E32D6E">
        <w:t xml:space="preserve"> an agile solution involves setting up autonomous cross-functional teams of roughly ten persons with a clear purpose/goal, customer orientation and tight deadlines of for example ninety days (McKinsey, 2019). The solution tends to be depicted as non-hierarchical and as breaking down bureaucracy and organizational silos, yet some initial research suggests that the solution itself is quite formal and rules-bound. </w:t>
      </w:r>
    </w:p>
    <w:p w:rsidR="008D37F6" w:rsidRPr="00E32D6E" w:rsidRDefault="008D37F6" w:rsidP="00F406C9">
      <w:r w:rsidRPr="00E32D6E">
        <w:rPr>
          <w:rStyle w:val="Heading4Char"/>
        </w:rPr>
        <w:t>Spin-outs.</w:t>
      </w:r>
      <w:r w:rsidRPr="00E32D6E">
        <w:t xml:space="preserve"> This solution involves complete separation from the established firm through a</w:t>
      </w:r>
      <w:r w:rsidRPr="00E32D6E">
        <w:rPr>
          <w:i/>
        </w:rPr>
        <w:t xml:space="preserve"> spinout, </w:t>
      </w:r>
      <w:r w:rsidRPr="00E32D6E">
        <w:t xml:space="preserve">where a new venture is created. According to Christensen &amp; Overdorf (2000) this solution is beneficial if a firm embarks on radical change that requires a different cost structure, such as when an established firm competing in the high-end of a market pursues new opportunities in the low-end of the market. In contrast to the ambidextrous solution, a spinout does not have to compete for resources with the established firm. A recent study of a Norwegian media corporation showed that spinning out products/services that the established firm uses in its core operation can secure innovation while generating both cost savings and quality improvements (Harlan, 2018). </w:t>
      </w:r>
    </w:p>
    <w:p w:rsidR="008D37F6" w:rsidRPr="00E32D6E" w:rsidRDefault="008D37F6" w:rsidP="00F406C9">
      <w:r w:rsidRPr="00E32D6E">
        <w:rPr>
          <w:rStyle w:val="Heading4Char"/>
        </w:rPr>
        <w:t>Acquisitions.</w:t>
      </w:r>
      <w:r w:rsidRPr="00E32D6E">
        <w:rPr>
          <w:i/>
        </w:rPr>
        <w:t xml:space="preserve"> </w:t>
      </w:r>
      <w:r w:rsidRPr="00E32D6E">
        <w:t xml:space="preserve">This solution involves securing radical change by </w:t>
      </w:r>
      <w:r w:rsidRPr="00E32D6E">
        <w:rPr>
          <w:i/>
        </w:rPr>
        <w:t>acquiring a firm</w:t>
      </w:r>
      <w:r w:rsidRPr="00E32D6E">
        <w:rPr>
          <w:b/>
        </w:rPr>
        <w:t xml:space="preserve"> </w:t>
      </w:r>
      <w:r w:rsidRPr="00E32D6E">
        <w:t xml:space="preserve">that possesses innovative and explorative capabilities (Christensen &amp; Overdorf, 2000). This allows the firm to rapidly obtain necessary capabilities, but it also requires competence in organizational </w:t>
      </w:r>
      <w:r w:rsidRPr="00E32D6E">
        <w:lastRenderedPageBreak/>
        <w:t xml:space="preserve">integration, as well as knowledge about when to avoid tight integration, as this may stifle the very capabilities deemed as valuable. </w:t>
      </w:r>
    </w:p>
    <w:p w:rsidR="008D37F6" w:rsidRPr="00E32D6E" w:rsidRDefault="008D37F6" w:rsidP="00F406C9">
      <w:r w:rsidRPr="00E32D6E">
        <w:rPr>
          <w:rStyle w:val="Heading4Char"/>
        </w:rPr>
        <w:t>Ecosystems.</w:t>
      </w:r>
      <w:r w:rsidRPr="00E32D6E">
        <w:rPr>
          <w:i/>
        </w:rPr>
        <w:t xml:space="preserve">  </w:t>
      </w:r>
      <w:r w:rsidRPr="00E32D6E">
        <w:t>In broad terms, ecosystems are groups of firms that produce products or services that together comprise a coherent solution (Adner, 2017). More precisely, after conducting a systematic review of ecosystems research, Bogers, Sims &amp; West, (2019:2) propose that, “an ecosystem is “an interdependent network of self-interested actors jointly creating value.</w:t>
      </w:r>
      <w:r w:rsidRPr="00E32D6E">
        <w:rPr>
          <w:rFonts w:eastAsia="TimesNewRoman"/>
        </w:rPr>
        <w:t xml:space="preserve"> T</w:t>
      </w:r>
      <w:r w:rsidRPr="00E32D6E">
        <w:t xml:space="preserve">his definition includes four components, linking three operational constructs </w:t>
      </w:r>
      <w:r w:rsidRPr="00E32D6E">
        <w:rPr>
          <w:rFonts w:eastAsia="TimesNewRoman"/>
        </w:rPr>
        <w:t xml:space="preserve">— </w:t>
      </w:r>
      <w:r w:rsidRPr="00E32D6E">
        <w:t xml:space="preserve">interdependence, network and self-interested actors </w:t>
      </w:r>
      <w:r w:rsidRPr="00E32D6E">
        <w:rPr>
          <w:rFonts w:eastAsia="TimesNewRoman"/>
        </w:rPr>
        <w:t xml:space="preserve">— </w:t>
      </w:r>
      <w:r w:rsidRPr="00E32D6E">
        <w:t>to the most commonly described success criterion for an ecosystem: to jointly create value in a way that no single actor would be able to do.”</w:t>
      </w:r>
      <w:r w:rsidR="00EF1FD4">
        <w:t xml:space="preserve">  </w:t>
      </w:r>
    </w:p>
    <w:p w:rsidR="008D37F6" w:rsidRPr="00E32D6E" w:rsidRDefault="008D37F6" w:rsidP="00F406C9">
      <w:r w:rsidRPr="00C77F36">
        <w:rPr>
          <w:rStyle w:val="Heading4Char"/>
        </w:rPr>
        <w:t>Legacy removal.</w:t>
      </w:r>
      <w:r w:rsidRPr="00C77F36">
        <w:t xml:space="preserve"> Elter et al. </w:t>
      </w:r>
      <w:r w:rsidRPr="00E32D6E">
        <w:t xml:space="preserve">(2019) define legacy removal as “a managerial dynamic capability that implies an understanding of which current resources are not core for the new environment and which ones managers need to transform or adapt.” They argue that there is a political component to legacy removal that involves dealing with affected stakeholders—employees, other managers, trade unions, politicians and so on—in the divestment process and managing the timing of the process in a way that does not compromise current performance. </w:t>
      </w:r>
    </w:p>
    <w:p w:rsidR="008D37F6" w:rsidRPr="00E32D6E" w:rsidRDefault="008D37F6" w:rsidP="00F406C9"/>
    <w:p w:rsidR="008D37F6" w:rsidRPr="00E32D6E" w:rsidRDefault="008D37F6" w:rsidP="00F406C9"/>
    <w:p w:rsidR="008D37F6" w:rsidRPr="00E32D6E" w:rsidRDefault="008D37F6" w:rsidP="00F406C9"/>
    <w:p w:rsidR="008D37F6" w:rsidRPr="00E32D6E" w:rsidRDefault="008D37F6" w:rsidP="00F406C9"/>
    <w:p w:rsidR="008D37F6" w:rsidRPr="00E32D6E" w:rsidRDefault="008D37F6" w:rsidP="00F406C9"/>
    <w:p w:rsidR="008D37F6" w:rsidRPr="00E32D6E" w:rsidRDefault="008D37F6" w:rsidP="00F406C9"/>
    <w:sectPr w:rsidR="008D37F6" w:rsidRPr="00E32D6E">
      <w:headerReference w:type="default" r:id="rId27"/>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AF6" w:rsidRDefault="00220AF6" w:rsidP="00F406C9">
      <w:r>
        <w:separator/>
      </w:r>
    </w:p>
    <w:p w:rsidR="00220AF6" w:rsidRDefault="00220AF6" w:rsidP="00F406C9"/>
  </w:endnote>
  <w:endnote w:type="continuationSeparator" w:id="0">
    <w:p w:rsidR="00220AF6" w:rsidRDefault="00220AF6" w:rsidP="00F406C9">
      <w:r>
        <w:continuationSeparator/>
      </w:r>
    </w:p>
    <w:p w:rsidR="00220AF6" w:rsidRDefault="00220AF6" w:rsidP="00F40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MinionPro-Regular">
    <w:altName w:val="MS Gothic"/>
    <w:panose1 w:val="00000000000000000000"/>
    <w:charset w:val="80"/>
    <w:family w:val="auto"/>
    <w:notTrueType/>
    <w:pitch w:val="default"/>
    <w:sig w:usb0="00000001" w:usb1="08070000" w:usb2="00000010" w:usb3="00000000" w:csb0="00020000" w:csb1="00000000"/>
  </w:font>
  <w:font w:name="TimesDigitalW04-Regular">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AF6" w:rsidRDefault="00220AF6" w:rsidP="00F406C9">
      <w:r>
        <w:separator/>
      </w:r>
    </w:p>
    <w:p w:rsidR="00220AF6" w:rsidRDefault="00220AF6" w:rsidP="00F406C9"/>
  </w:footnote>
  <w:footnote w:type="continuationSeparator" w:id="0">
    <w:p w:rsidR="00220AF6" w:rsidRDefault="00220AF6" w:rsidP="00F406C9">
      <w:r>
        <w:continuationSeparator/>
      </w:r>
    </w:p>
    <w:p w:rsidR="00220AF6" w:rsidRDefault="00220AF6" w:rsidP="00F406C9"/>
  </w:footnote>
  <w:footnote w:id="1">
    <w:p w:rsidR="00E32D6E" w:rsidRPr="00CC3F1C" w:rsidRDefault="00E32D6E" w:rsidP="00F406C9">
      <w:pPr>
        <w:pStyle w:val="FootnoteText"/>
      </w:pPr>
      <w:r>
        <w:rPr>
          <w:rStyle w:val="FootnoteReference"/>
        </w:rPr>
        <w:footnoteRef/>
      </w:r>
      <w:r w:rsidRPr="00CC3F1C">
        <w:t xml:space="preserve"> Project 98 </w:t>
      </w:r>
      <w:r>
        <w:t xml:space="preserve">(P-98) </w:t>
      </w:r>
      <w:r w:rsidRPr="006250EE">
        <w:t>referred</w:t>
      </w:r>
      <w:r w:rsidRPr="00CC3F1C">
        <w:t xml:space="preserve"> to the year 1998 when </w:t>
      </w:r>
      <w:r>
        <w:t xml:space="preserve">the Norwegian government was to liberalize </w:t>
      </w:r>
      <w:r w:rsidRPr="00CC3F1C">
        <w:t xml:space="preserve">the </w:t>
      </w:r>
      <w:r>
        <w:t xml:space="preserve">national </w:t>
      </w:r>
      <w:r w:rsidRPr="00CC3F1C">
        <w:t xml:space="preserve">telecommunication </w:t>
      </w:r>
      <w:r>
        <w:t xml:space="preserve">market.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197956"/>
      <w:docPartObj>
        <w:docPartGallery w:val="Page Numbers (Top of Page)"/>
        <w:docPartUnique/>
      </w:docPartObj>
    </w:sdtPr>
    <w:sdtEndPr>
      <w:rPr>
        <w:noProof/>
      </w:rPr>
    </w:sdtEndPr>
    <w:sdtContent>
      <w:p w:rsidR="00E32D6E" w:rsidRDefault="00E32D6E">
        <w:pPr>
          <w:pStyle w:val="Header"/>
        </w:pPr>
        <w:r>
          <w:fldChar w:fldCharType="begin"/>
        </w:r>
        <w:r>
          <w:instrText xml:space="preserve"> PAGE   \* MERGEFORMAT </w:instrText>
        </w:r>
        <w:r>
          <w:fldChar w:fldCharType="separate"/>
        </w:r>
        <w:r w:rsidR="00E513FB">
          <w:rPr>
            <w:noProof/>
          </w:rPr>
          <w:t>20</w:t>
        </w:r>
        <w:r>
          <w:rPr>
            <w:noProof/>
          </w:rPr>
          <w:fldChar w:fldCharType="end"/>
        </w:r>
      </w:p>
    </w:sdtContent>
  </w:sdt>
  <w:p w:rsidR="00E32D6E" w:rsidRDefault="00E32D6E" w:rsidP="00F40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60B1000"/>
    <w:multiLevelType w:val="hybridMultilevel"/>
    <w:tmpl w:val="AB0C726C"/>
    <w:lvl w:ilvl="0" w:tplc="0652CE6C">
      <w:start w:val="1"/>
      <w:numFmt w:val="lowerRoman"/>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06AB71C1"/>
    <w:multiLevelType w:val="hybridMultilevel"/>
    <w:tmpl w:val="9ED2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ED77B0"/>
    <w:multiLevelType w:val="hybridMultilevel"/>
    <w:tmpl w:val="438CAC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C536B31"/>
    <w:multiLevelType w:val="hybridMultilevel"/>
    <w:tmpl w:val="D00AC0A2"/>
    <w:lvl w:ilvl="0" w:tplc="B4C2EAF2">
      <w:start w:val="1"/>
      <w:numFmt w:val="lowerRoman"/>
      <w:lvlText w:val="%1)"/>
      <w:lvlJc w:val="left"/>
      <w:pPr>
        <w:ind w:left="1428" w:hanging="720"/>
      </w:pPr>
      <w:rPr>
        <w:rFonts w:eastAsia="Times New Roman" w:hint="default"/>
        <w:color w:val="auto"/>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4" w15:restartNumberingAfterBreak="0">
    <w:nsid w:val="0D0111DD"/>
    <w:multiLevelType w:val="multilevel"/>
    <w:tmpl w:val="24005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367560"/>
    <w:multiLevelType w:val="hybridMultilevel"/>
    <w:tmpl w:val="FEFEFF84"/>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1D7D7C2C"/>
    <w:multiLevelType w:val="hybridMultilevel"/>
    <w:tmpl w:val="E8BC0274"/>
    <w:lvl w:ilvl="0" w:tplc="64EC3486">
      <w:start w:val="1"/>
      <w:numFmt w:val="bullet"/>
      <w:lvlText w:val="•"/>
      <w:lvlJc w:val="left"/>
      <w:pPr>
        <w:tabs>
          <w:tab w:val="num" w:pos="720"/>
        </w:tabs>
        <w:ind w:left="720" w:hanging="360"/>
      </w:pPr>
      <w:rPr>
        <w:rFonts w:ascii="Arial" w:hAnsi="Arial" w:hint="default"/>
      </w:rPr>
    </w:lvl>
    <w:lvl w:ilvl="1" w:tplc="7E04EC42">
      <w:start w:val="270"/>
      <w:numFmt w:val="bullet"/>
      <w:lvlText w:val="–"/>
      <w:lvlJc w:val="left"/>
      <w:pPr>
        <w:tabs>
          <w:tab w:val="num" w:pos="360"/>
        </w:tabs>
        <w:ind w:left="360" w:hanging="360"/>
      </w:pPr>
      <w:rPr>
        <w:rFonts w:ascii=".AppleSystemUIFont" w:hAnsi=".AppleSystemUIFont" w:hint="default"/>
      </w:rPr>
    </w:lvl>
    <w:lvl w:ilvl="2" w:tplc="56FC8888">
      <w:start w:val="1"/>
      <w:numFmt w:val="lowerLetter"/>
      <w:lvlText w:val="%3)"/>
      <w:lvlJc w:val="left"/>
      <w:pPr>
        <w:tabs>
          <w:tab w:val="num" w:pos="2160"/>
        </w:tabs>
        <w:ind w:left="2160" w:hanging="360"/>
      </w:pPr>
    </w:lvl>
    <w:lvl w:ilvl="3" w:tplc="38B4DB9E" w:tentative="1">
      <w:start w:val="1"/>
      <w:numFmt w:val="bullet"/>
      <w:lvlText w:val="•"/>
      <w:lvlJc w:val="left"/>
      <w:pPr>
        <w:tabs>
          <w:tab w:val="num" w:pos="2880"/>
        </w:tabs>
        <w:ind w:left="2880" w:hanging="360"/>
      </w:pPr>
      <w:rPr>
        <w:rFonts w:ascii="Arial" w:hAnsi="Arial" w:hint="default"/>
      </w:rPr>
    </w:lvl>
    <w:lvl w:ilvl="4" w:tplc="D8CE0360" w:tentative="1">
      <w:start w:val="1"/>
      <w:numFmt w:val="bullet"/>
      <w:lvlText w:val="•"/>
      <w:lvlJc w:val="left"/>
      <w:pPr>
        <w:tabs>
          <w:tab w:val="num" w:pos="3600"/>
        </w:tabs>
        <w:ind w:left="3600" w:hanging="360"/>
      </w:pPr>
      <w:rPr>
        <w:rFonts w:ascii="Arial" w:hAnsi="Arial" w:hint="default"/>
      </w:rPr>
    </w:lvl>
    <w:lvl w:ilvl="5" w:tplc="CFCC5F94" w:tentative="1">
      <w:start w:val="1"/>
      <w:numFmt w:val="bullet"/>
      <w:lvlText w:val="•"/>
      <w:lvlJc w:val="left"/>
      <w:pPr>
        <w:tabs>
          <w:tab w:val="num" w:pos="4320"/>
        </w:tabs>
        <w:ind w:left="4320" w:hanging="360"/>
      </w:pPr>
      <w:rPr>
        <w:rFonts w:ascii="Arial" w:hAnsi="Arial" w:hint="default"/>
      </w:rPr>
    </w:lvl>
    <w:lvl w:ilvl="6" w:tplc="03B81E9C" w:tentative="1">
      <w:start w:val="1"/>
      <w:numFmt w:val="bullet"/>
      <w:lvlText w:val="•"/>
      <w:lvlJc w:val="left"/>
      <w:pPr>
        <w:tabs>
          <w:tab w:val="num" w:pos="5040"/>
        </w:tabs>
        <w:ind w:left="5040" w:hanging="360"/>
      </w:pPr>
      <w:rPr>
        <w:rFonts w:ascii="Arial" w:hAnsi="Arial" w:hint="default"/>
      </w:rPr>
    </w:lvl>
    <w:lvl w:ilvl="7" w:tplc="A1664F0C" w:tentative="1">
      <w:start w:val="1"/>
      <w:numFmt w:val="bullet"/>
      <w:lvlText w:val="•"/>
      <w:lvlJc w:val="left"/>
      <w:pPr>
        <w:tabs>
          <w:tab w:val="num" w:pos="5760"/>
        </w:tabs>
        <w:ind w:left="5760" w:hanging="360"/>
      </w:pPr>
      <w:rPr>
        <w:rFonts w:ascii="Arial" w:hAnsi="Arial" w:hint="default"/>
      </w:rPr>
    </w:lvl>
    <w:lvl w:ilvl="8" w:tplc="DB947E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0C02004"/>
    <w:multiLevelType w:val="hybridMultilevel"/>
    <w:tmpl w:val="BEF2DB5C"/>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180"/>
      </w:pPr>
      <w:rPr>
        <w:rFonts w:ascii="Symbol" w:hAnsi="Symbol" w:hint="default"/>
      </w:r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12C54D3"/>
    <w:multiLevelType w:val="hybridMultilevel"/>
    <w:tmpl w:val="24D2DF8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257E7B4A"/>
    <w:multiLevelType w:val="hybridMultilevel"/>
    <w:tmpl w:val="B8728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346EDA"/>
    <w:multiLevelType w:val="hybridMultilevel"/>
    <w:tmpl w:val="DB26EF3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393E3F4D"/>
    <w:multiLevelType w:val="hybridMultilevel"/>
    <w:tmpl w:val="661A5908"/>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01">
      <w:start w:val="1"/>
      <w:numFmt w:val="bullet"/>
      <w:lvlText w:val=""/>
      <w:lvlJc w:val="left"/>
      <w:pPr>
        <w:ind w:left="2160" w:hanging="180"/>
      </w:pPr>
      <w:rPr>
        <w:rFonts w:ascii="Symbol" w:hAnsi="Symbol" w:hint="default"/>
      </w:r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8A769C0"/>
    <w:multiLevelType w:val="hybridMultilevel"/>
    <w:tmpl w:val="AF40B2B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EB23E17"/>
    <w:multiLevelType w:val="multilevel"/>
    <w:tmpl w:val="5156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A1229D"/>
    <w:multiLevelType w:val="hybridMultilevel"/>
    <w:tmpl w:val="ECD099E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DB2129"/>
    <w:multiLevelType w:val="hybridMultilevel"/>
    <w:tmpl w:val="19788DC4"/>
    <w:lvl w:ilvl="0" w:tplc="6428DB38">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8" w15:restartNumberingAfterBreak="0">
    <w:nsid w:val="69B51A78"/>
    <w:multiLevelType w:val="hybridMultilevel"/>
    <w:tmpl w:val="683421FA"/>
    <w:lvl w:ilvl="0" w:tplc="F9908AF2">
      <w:start w:val="1"/>
      <w:numFmt w:val="bullet"/>
      <w:lvlText w:val="•"/>
      <w:lvlJc w:val="left"/>
      <w:pPr>
        <w:tabs>
          <w:tab w:val="num" w:pos="720"/>
        </w:tabs>
        <w:ind w:left="720" w:hanging="360"/>
      </w:pPr>
      <w:rPr>
        <w:rFonts w:ascii="Arial" w:hAnsi="Arial" w:hint="default"/>
      </w:rPr>
    </w:lvl>
    <w:lvl w:ilvl="1" w:tplc="E8267AEA">
      <w:start w:val="1"/>
      <w:numFmt w:val="bullet"/>
      <w:lvlText w:val="•"/>
      <w:lvlJc w:val="left"/>
      <w:pPr>
        <w:tabs>
          <w:tab w:val="num" w:pos="1440"/>
        </w:tabs>
        <w:ind w:left="1440" w:hanging="360"/>
      </w:pPr>
      <w:rPr>
        <w:rFonts w:ascii="Arial" w:hAnsi="Arial" w:hint="default"/>
      </w:rPr>
    </w:lvl>
    <w:lvl w:ilvl="2" w:tplc="C7385264">
      <w:start w:val="58"/>
      <w:numFmt w:val="bullet"/>
      <w:lvlText w:val="•"/>
      <w:lvlJc w:val="left"/>
      <w:pPr>
        <w:tabs>
          <w:tab w:val="num" w:pos="2160"/>
        </w:tabs>
        <w:ind w:left="2160" w:hanging="360"/>
      </w:pPr>
      <w:rPr>
        <w:rFonts w:ascii="Arial" w:hAnsi="Arial" w:hint="default"/>
      </w:rPr>
    </w:lvl>
    <w:lvl w:ilvl="3" w:tplc="1656493C" w:tentative="1">
      <w:start w:val="1"/>
      <w:numFmt w:val="bullet"/>
      <w:lvlText w:val="•"/>
      <w:lvlJc w:val="left"/>
      <w:pPr>
        <w:tabs>
          <w:tab w:val="num" w:pos="2880"/>
        </w:tabs>
        <w:ind w:left="2880" w:hanging="360"/>
      </w:pPr>
      <w:rPr>
        <w:rFonts w:ascii="Arial" w:hAnsi="Arial" w:hint="default"/>
      </w:rPr>
    </w:lvl>
    <w:lvl w:ilvl="4" w:tplc="F956F488" w:tentative="1">
      <w:start w:val="1"/>
      <w:numFmt w:val="bullet"/>
      <w:lvlText w:val="•"/>
      <w:lvlJc w:val="left"/>
      <w:pPr>
        <w:tabs>
          <w:tab w:val="num" w:pos="3600"/>
        </w:tabs>
        <w:ind w:left="3600" w:hanging="360"/>
      </w:pPr>
      <w:rPr>
        <w:rFonts w:ascii="Arial" w:hAnsi="Arial" w:hint="default"/>
      </w:rPr>
    </w:lvl>
    <w:lvl w:ilvl="5" w:tplc="C5F2862C" w:tentative="1">
      <w:start w:val="1"/>
      <w:numFmt w:val="bullet"/>
      <w:lvlText w:val="•"/>
      <w:lvlJc w:val="left"/>
      <w:pPr>
        <w:tabs>
          <w:tab w:val="num" w:pos="4320"/>
        </w:tabs>
        <w:ind w:left="4320" w:hanging="360"/>
      </w:pPr>
      <w:rPr>
        <w:rFonts w:ascii="Arial" w:hAnsi="Arial" w:hint="default"/>
      </w:rPr>
    </w:lvl>
    <w:lvl w:ilvl="6" w:tplc="D892FDC4" w:tentative="1">
      <w:start w:val="1"/>
      <w:numFmt w:val="bullet"/>
      <w:lvlText w:val="•"/>
      <w:lvlJc w:val="left"/>
      <w:pPr>
        <w:tabs>
          <w:tab w:val="num" w:pos="5040"/>
        </w:tabs>
        <w:ind w:left="5040" w:hanging="360"/>
      </w:pPr>
      <w:rPr>
        <w:rFonts w:ascii="Arial" w:hAnsi="Arial" w:hint="default"/>
      </w:rPr>
    </w:lvl>
    <w:lvl w:ilvl="7" w:tplc="1158B67C" w:tentative="1">
      <w:start w:val="1"/>
      <w:numFmt w:val="bullet"/>
      <w:lvlText w:val="•"/>
      <w:lvlJc w:val="left"/>
      <w:pPr>
        <w:tabs>
          <w:tab w:val="num" w:pos="5760"/>
        </w:tabs>
        <w:ind w:left="5760" w:hanging="360"/>
      </w:pPr>
      <w:rPr>
        <w:rFonts w:ascii="Arial" w:hAnsi="Arial" w:hint="default"/>
      </w:rPr>
    </w:lvl>
    <w:lvl w:ilvl="8" w:tplc="648CDD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AA6A53"/>
    <w:multiLevelType w:val="hybridMultilevel"/>
    <w:tmpl w:val="6BC6E24E"/>
    <w:lvl w:ilvl="0" w:tplc="0414000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7AA559D0"/>
    <w:multiLevelType w:val="hybridMultilevel"/>
    <w:tmpl w:val="0B342920"/>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7DED4AC1"/>
    <w:multiLevelType w:val="hybridMultilevel"/>
    <w:tmpl w:val="82DE14CE"/>
    <w:lvl w:ilvl="0" w:tplc="77461BDE">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30"/>
  </w:num>
  <w:num w:numId="13">
    <w:abstractNumId w:val="26"/>
  </w:num>
  <w:num w:numId="14">
    <w:abstractNumId w:val="23"/>
  </w:num>
  <w:num w:numId="15">
    <w:abstractNumId w:val="29"/>
  </w:num>
  <w:num w:numId="16">
    <w:abstractNumId w:val="16"/>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1"/>
  </w:num>
  <w:num w:numId="22">
    <w:abstractNumId w:val="21"/>
  </w:num>
  <w:num w:numId="23">
    <w:abstractNumId w:val="27"/>
  </w:num>
  <w:num w:numId="24">
    <w:abstractNumId w:val="28"/>
  </w:num>
  <w:num w:numId="25">
    <w:abstractNumId w:val="10"/>
  </w:num>
  <w:num w:numId="26">
    <w:abstractNumId w:val="33"/>
  </w:num>
  <w:num w:numId="27">
    <w:abstractNumId w:val="15"/>
  </w:num>
  <w:num w:numId="28">
    <w:abstractNumId w:val="25"/>
  </w:num>
  <w:num w:numId="29">
    <w:abstractNumId w:val="13"/>
  </w:num>
  <w:num w:numId="30">
    <w:abstractNumId w:val="19"/>
  </w:num>
  <w:num w:numId="31">
    <w:abstractNumId w:val="14"/>
  </w:num>
  <w:num w:numId="32">
    <w:abstractNumId w:val="17"/>
  </w:num>
  <w:num w:numId="33">
    <w:abstractNumId w:val="24"/>
  </w:num>
  <w:num w:numId="34">
    <w:abstractNumId w:val="2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C4"/>
    <w:rsid w:val="0000125B"/>
    <w:rsid w:val="00012314"/>
    <w:rsid w:val="00013F74"/>
    <w:rsid w:val="000337BB"/>
    <w:rsid w:val="00033F50"/>
    <w:rsid w:val="00041D7C"/>
    <w:rsid w:val="00047A76"/>
    <w:rsid w:val="000653A0"/>
    <w:rsid w:val="00073153"/>
    <w:rsid w:val="00083ED8"/>
    <w:rsid w:val="00085699"/>
    <w:rsid w:val="000978E2"/>
    <w:rsid w:val="000A51F6"/>
    <w:rsid w:val="000B4F8D"/>
    <w:rsid w:val="000B5FC0"/>
    <w:rsid w:val="000C1C04"/>
    <w:rsid w:val="000D24D8"/>
    <w:rsid w:val="000D3F41"/>
    <w:rsid w:val="000E1ED4"/>
    <w:rsid w:val="000E62BD"/>
    <w:rsid w:val="000F67AC"/>
    <w:rsid w:val="00106951"/>
    <w:rsid w:val="0010708E"/>
    <w:rsid w:val="00125406"/>
    <w:rsid w:val="001310E4"/>
    <w:rsid w:val="00131CA1"/>
    <w:rsid w:val="00154BEA"/>
    <w:rsid w:val="00175D1B"/>
    <w:rsid w:val="00191736"/>
    <w:rsid w:val="001946A1"/>
    <w:rsid w:val="00195E50"/>
    <w:rsid w:val="001B6E93"/>
    <w:rsid w:val="001C0BCC"/>
    <w:rsid w:val="001C4AFC"/>
    <w:rsid w:val="001C504D"/>
    <w:rsid w:val="001C72CA"/>
    <w:rsid w:val="001C72DD"/>
    <w:rsid w:val="001D0CDE"/>
    <w:rsid w:val="001E69B3"/>
    <w:rsid w:val="0020013D"/>
    <w:rsid w:val="00210162"/>
    <w:rsid w:val="00220AF6"/>
    <w:rsid w:val="00254154"/>
    <w:rsid w:val="002646F0"/>
    <w:rsid w:val="00264C7C"/>
    <w:rsid w:val="0029726D"/>
    <w:rsid w:val="00297B97"/>
    <w:rsid w:val="002A29A5"/>
    <w:rsid w:val="002A7B83"/>
    <w:rsid w:val="002B6EE3"/>
    <w:rsid w:val="002C6E73"/>
    <w:rsid w:val="002D20A4"/>
    <w:rsid w:val="002E7F00"/>
    <w:rsid w:val="002F0E99"/>
    <w:rsid w:val="002F1CF7"/>
    <w:rsid w:val="0030294F"/>
    <w:rsid w:val="0031279A"/>
    <w:rsid w:val="003240FF"/>
    <w:rsid w:val="003349C7"/>
    <w:rsid w:val="00335D2F"/>
    <w:rsid w:val="00336F50"/>
    <w:rsid w:val="00355DCA"/>
    <w:rsid w:val="00366A68"/>
    <w:rsid w:val="003710CF"/>
    <w:rsid w:val="003815A8"/>
    <w:rsid w:val="00382E0E"/>
    <w:rsid w:val="003858AA"/>
    <w:rsid w:val="003A57E6"/>
    <w:rsid w:val="003A6F38"/>
    <w:rsid w:val="003B340C"/>
    <w:rsid w:val="003B4EE2"/>
    <w:rsid w:val="003E34E2"/>
    <w:rsid w:val="003E7A1E"/>
    <w:rsid w:val="004110F3"/>
    <w:rsid w:val="004225E3"/>
    <w:rsid w:val="00424048"/>
    <w:rsid w:val="00424ADB"/>
    <w:rsid w:val="00427D2A"/>
    <w:rsid w:val="00443585"/>
    <w:rsid w:val="00465163"/>
    <w:rsid w:val="004800D1"/>
    <w:rsid w:val="00493193"/>
    <w:rsid w:val="00494CFF"/>
    <w:rsid w:val="004A61BD"/>
    <w:rsid w:val="004B653F"/>
    <w:rsid w:val="004D264A"/>
    <w:rsid w:val="004D3DBF"/>
    <w:rsid w:val="004E2A81"/>
    <w:rsid w:val="004F4E01"/>
    <w:rsid w:val="004F796B"/>
    <w:rsid w:val="00511B31"/>
    <w:rsid w:val="00517734"/>
    <w:rsid w:val="00540529"/>
    <w:rsid w:val="00551A02"/>
    <w:rsid w:val="005522C0"/>
    <w:rsid w:val="005534FA"/>
    <w:rsid w:val="00553F32"/>
    <w:rsid w:val="005557F9"/>
    <w:rsid w:val="005659B1"/>
    <w:rsid w:val="005761AC"/>
    <w:rsid w:val="00584338"/>
    <w:rsid w:val="005B1E80"/>
    <w:rsid w:val="005B2562"/>
    <w:rsid w:val="005D332D"/>
    <w:rsid w:val="005D3A03"/>
    <w:rsid w:val="0061501F"/>
    <w:rsid w:val="00615E7B"/>
    <w:rsid w:val="00642D62"/>
    <w:rsid w:val="00664A0B"/>
    <w:rsid w:val="006734B8"/>
    <w:rsid w:val="0067354C"/>
    <w:rsid w:val="006B3945"/>
    <w:rsid w:val="006B4711"/>
    <w:rsid w:val="006C165D"/>
    <w:rsid w:val="006F250F"/>
    <w:rsid w:val="00702AC0"/>
    <w:rsid w:val="007071FC"/>
    <w:rsid w:val="00711EDC"/>
    <w:rsid w:val="00721115"/>
    <w:rsid w:val="0072649D"/>
    <w:rsid w:val="00733010"/>
    <w:rsid w:val="00755A3F"/>
    <w:rsid w:val="007601CF"/>
    <w:rsid w:val="00762E6D"/>
    <w:rsid w:val="0076645A"/>
    <w:rsid w:val="0078789B"/>
    <w:rsid w:val="007A2DA8"/>
    <w:rsid w:val="007C2D03"/>
    <w:rsid w:val="007C4539"/>
    <w:rsid w:val="007D3C89"/>
    <w:rsid w:val="007D4BA4"/>
    <w:rsid w:val="007E4528"/>
    <w:rsid w:val="007F1231"/>
    <w:rsid w:val="007F3FB3"/>
    <w:rsid w:val="008002C0"/>
    <w:rsid w:val="00813D7A"/>
    <w:rsid w:val="00816C52"/>
    <w:rsid w:val="0084165F"/>
    <w:rsid w:val="008449EA"/>
    <w:rsid w:val="008534C9"/>
    <w:rsid w:val="00874633"/>
    <w:rsid w:val="0089025B"/>
    <w:rsid w:val="0089159C"/>
    <w:rsid w:val="008A5DFE"/>
    <w:rsid w:val="008C31F9"/>
    <w:rsid w:val="008C5323"/>
    <w:rsid w:val="008D37F6"/>
    <w:rsid w:val="008D3889"/>
    <w:rsid w:val="008F1808"/>
    <w:rsid w:val="008F2CB9"/>
    <w:rsid w:val="008F5079"/>
    <w:rsid w:val="0090069A"/>
    <w:rsid w:val="0091284C"/>
    <w:rsid w:val="00937B68"/>
    <w:rsid w:val="00945A89"/>
    <w:rsid w:val="00950919"/>
    <w:rsid w:val="00952330"/>
    <w:rsid w:val="00960B70"/>
    <w:rsid w:val="00961E7B"/>
    <w:rsid w:val="00974085"/>
    <w:rsid w:val="009865E6"/>
    <w:rsid w:val="009A3B9C"/>
    <w:rsid w:val="009A6A3B"/>
    <w:rsid w:val="009A6FC4"/>
    <w:rsid w:val="009B0439"/>
    <w:rsid w:val="009B317C"/>
    <w:rsid w:val="009E1A64"/>
    <w:rsid w:val="00A1443D"/>
    <w:rsid w:val="00A24FCE"/>
    <w:rsid w:val="00A30EDF"/>
    <w:rsid w:val="00A60031"/>
    <w:rsid w:val="00A706A3"/>
    <w:rsid w:val="00A76B88"/>
    <w:rsid w:val="00A902BE"/>
    <w:rsid w:val="00A9057E"/>
    <w:rsid w:val="00A93059"/>
    <w:rsid w:val="00A93F99"/>
    <w:rsid w:val="00AC497B"/>
    <w:rsid w:val="00AD4601"/>
    <w:rsid w:val="00AE3F67"/>
    <w:rsid w:val="00AF1520"/>
    <w:rsid w:val="00AF768F"/>
    <w:rsid w:val="00B10B48"/>
    <w:rsid w:val="00B343A1"/>
    <w:rsid w:val="00B34A00"/>
    <w:rsid w:val="00B46499"/>
    <w:rsid w:val="00B602AF"/>
    <w:rsid w:val="00B6333E"/>
    <w:rsid w:val="00B80867"/>
    <w:rsid w:val="00B823AA"/>
    <w:rsid w:val="00B855B5"/>
    <w:rsid w:val="00B96B06"/>
    <w:rsid w:val="00BA45DB"/>
    <w:rsid w:val="00BB6309"/>
    <w:rsid w:val="00BC3681"/>
    <w:rsid w:val="00BC6020"/>
    <w:rsid w:val="00BE0148"/>
    <w:rsid w:val="00BF1769"/>
    <w:rsid w:val="00BF4184"/>
    <w:rsid w:val="00BF580C"/>
    <w:rsid w:val="00C01986"/>
    <w:rsid w:val="00C0601E"/>
    <w:rsid w:val="00C31D30"/>
    <w:rsid w:val="00C3482A"/>
    <w:rsid w:val="00C45212"/>
    <w:rsid w:val="00C77F36"/>
    <w:rsid w:val="00C80A47"/>
    <w:rsid w:val="00C92331"/>
    <w:rsid w:val="00CB15CC"/>
    <w:rsid w:val="00CB76F6"/>
    <w:rsid w:val="00CC17AA"/>
    <w:rsid w:val="00CD6E39"/>
    <w:rsid w:val="00CE712B"/>
    <w:rsid w:val="00CF57D1"/>
    <w:rsid w:val="00CF6E91"/>
    <w:rsid w:val="00D0346F"/>
    <w:rsid w:val="00D26190"/>
    <w:rsid w:val="00D4142C"/>
    <w:rsid w:val="00D50454"/>
    <w:rsid w:val="00D75FCF"/>
    <w:rsid w:val="00D80705"/>
    <w:rsid w:val="00D85B68"/>
    <w:rsid w:val="00DA25B0"/>
    <w:rsid w:val="00DA2EDE"/>
    <w:rsid w:val="00DB5087"/>
    <w:rsid w:val="00DB7EE7"/>
    <w:rsid w:val="00DC13CB"/>
    <w:rsid w:val="00DC1662"/>
    <w:rsid w:val="00DC379E"/>
    <w:rsid w:val="00DC7AD7"/>
    <w:rsid w:val="00DC7DEF"/>
    <w:rsid w:val="00DD2233"/>
    <w:rsid w:val="00DD685B"/>
    <w:rsid w:val="00E04F00"/>
    <w:rsid w:val="00E20D2E"/>
    <w:rsid w:val="00E23BB9"/>
    <w:rsid w:val="00E24FFB"/>
    <w:rsid w:val="00E27B48"/>
    <w:rsid w:val="00E32D6E"/>
    <w:rsid w:val="00E3796B"/>
    <w:rsid w:val="00E40024"/>
    <w:rsid w:val="00E47A5E"/>
    <w:rsid w:val="00E513FB"/>
    <w:rsid w:val="00E571D6"/>
    <w:rsid w:val="00E6004D"/>
    <w:rsid w:val="00E7395F"/>
    <w:rsid w:val="00E7638D"/>
    <w:rsid w:val="00E772FA"/>
    <w:rsid w:val="00E81978"/>
    <w:rsid w:val="00EB279C"/>
    <w:rsid w:val="00EC3254"/>
    <w:rsid w:val="00EF1FD4"/>
    <w:rsid w:val="00F06151"/>
    <w:rsid w:val="00F12B8D"/>
    <w:rsid w:val="00F159B6"/>
    <w:rsid w:val="00F35302"/>
    <w:rsid w:val="00F379B7"/>
    <w:rsid w:val="00F406C9"/>
    <w:rsid w:val="00F525FA"/>
    <w:rsid w:val="00F613E9"/>
    <w:rsid w:val="00F665A6"/>
    <w:rsid w:val="00F70E9B"/>
    <w:rsid w:val="00F77B25"/>
    <w:rsid w:val="00F8118B"/>
    <w:rsid w:val="00F81538"/>
    <w:rsid w:val="00F8752D"/>
    <w:rsid w:val="00F92C16"/>
    <w:rsid w:val="00F94A02"/>
    <w:rsid w:val="00F96697"/>
    <w:rsid w:val="00F96B59"/>
    <w:rsid w:val="00F96CC9"/>
    <w:rsid w:val="00F972FC"/>
    <w:rsid w:val="00FA67BA"/>
    <w:rsid w:val="00FD7606"/>
    <w:rsid w:val="00FE49E7"/>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CC180B"/>
  <w15:chartTrackingRefBased/>
  <w15:docId w15:val="{A4624FAD-D834-4096-8555-18ABE77C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40C"/>
    <w:pPr>
      <w:spacing w:after="100" w:afterAutospacing="1" w:line="360" w:lineRule="auto"/>
    </w:pPr>
    <w:rPr>
      <w:kern w:val="24"/>
      <w:lang w:val="en-GB"/>
    </w:rPr>
  </w:style>
  <w:style w:type="paragraph" w:styleId="Heading1">
    <w:name w:val="heading 1"/>
    <w:basedOn w:val="Normal"/>
    <w:next w:val="Normal"/>
    <w:link w:val="Heading1Char"/>
    <w:uiPriority w:val="9"/>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unhideWhenUsed/>
    <w:qFormat/>
    <w:rsid w:val="00DC1662"/>
    <w:pPr>
      <w:keepNext/>
      <w:keepLines/>
      <w:spacing w:before="120" w:line="480" w:lineRule="auto"/>
      <w:ind w:firstLine="0"/>
      <w:outlineLvl w:val="1"/>
    </w:pPr>
    <w:rPr>
      <w:rFonts w:ascii="Times New Roman" w:eastAsiaTheme="majorEastAsia" w:hAnsi="Times New Roman" w:cs="Times New Roman"/>
      <w:b/>
      <w:bCs/>
    </w:rPr>
  </w:style>
  <w:style w:type="paragraph" w:styleId="Heading3">
    <w:name w:val="heading 3"/>
    <w:basedOn w:val="Normal"/>
    <w:next w:val="Normal"/>
    <w:link w:val="Heading3Char"/>
    <w:uiPriority w:val="9"/>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9"/>
    <w:rsid w:val="00DC1662"/>
    <w:rPr>
      <w:rFonts w:ascii="Times New Roman" w:eastAsiaTheme="majorEastAsia" w:hAnsi="Times New Roman" w:cs="Times New Roman"/>
      <w:b/>
      <w:bCs/>
      <w:kern w:val="24"/>
      <w:lang w:val="en-GB"/>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9"/>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9"/>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9"/>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ind w:left="720" w:firstLine="0"/>
    </w:pPr>
  </w:style>
  <w:style w:type="paragraph" w:styleId="TOC5">
    <w:name w:val="toc 5"/>
    <w:basedOn w:val="Normal"/>
    <w:next w:val="Normal"/>
    <w:autoRedefine/>
    <w:uiPriority w:val="39"/>
    <w:semiHidden/>
    <w:unhideWhenUsed/>
    <w:pPr>
      <w:ind w:left="960" w:firstLine="0"/>
    </w:pPr>
  </w:style>
  <w:style w:type="paragraph" w:styleId="TOC6">
    <w:name w:val="toc 6"/>
    <w:basedOn w:val="Normal"/>
    <w:next w:val="Normal"/>
    <w:autoRedefine/>
    <w:uiPriority w:val="39"/>
    <w:semiHidden/>
    <w:unhideWhenUsed/>
    <w:pPr>
      <w:ind w:left="1200" w:firstLine="0"/>
    </w:pPr>
  </w:style>
  <w:style w:type="paragraph" w:styleId="TOC7">
    <w:name w:val="toc 7"/>
    <w:basedOn w:val="Normal"/>
    <w:next w:val="Normal"/>
    <w:autoRedefine/>
    <w:uiPriority w:val="39"/>
    <w:semiHidden/>
    <w:unhideWhenUsed/>
    <w:pPr>
      <w:ind w:left="1440" w:firstLine="0"/>
    </w:pPr>
  </w:style>
  <w:style w:type="paragraph" w:styleId="TOC8">
    <w:name w:val="toc 8"/>
    <w:basedOn w:val="Normal"/>
    <w:next w:val="Normal"/>
    <w:autoRedefine/>
    <w:uiPriority w:val="39"/>
    <w:semiHidden/>
    <w:unhideWhenUsed/>
    <w:pPr>
      <w:ind w:left="1680" w:firstLine="0"/>
    </w:pPr>
  </w:style>
  <w:style w:type="paragraph" w:styleId="TOC9">
    <w:name w:val="toc 9"/>
    <w:basedOn w:val="Normal"/>
    <w:next w:val="Normal"/>
    <w:autoRedefine/>
    <w:uiPriority w:val="39"/>
    <w:semiHidden/>
    <w:unhideWhenUsed/>
    <w:pPr>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8D37F6"/>
    <w:rPr>
      <w:color w:val="5F5F5F" w:themeColor="hyperlink"/>
      <w:u w:val="single"/>
    </w:rPr>
  </w:style>
  <w:style w:type="character" w:customStyle="1" w:styleId="st">
    <w:name w:val="st"/>
    <w:basedOn w:val="DefaultParagraphFont"/>
    <w:rsid w:val="008D37F6"/>
  </w:style>
  <w:style w:type="character" w:customStyle="1" w:styleId="source">
    <w:name w:val="source"/>
    <w:basedOn w:val="DefaultParagraphFont"/>
    <w:rsid w:val="008D37F6"/>
  </w:style>
  <w:style w:type="character" w:customStyle="1" w:styleId="article-classifiergap">
    <w:name w:val="article-classifier__gap"/>
    <w:basedOn w:val="DefaultParagraphFont"/>
    <w:rsid w:val="008D37F6"/>
  </w:style>
  <w:style w:type="paragraph" w:customStyle="1" w:styleId="3lrvz">
    <w:name w:val="_3lrvz"/>
    <w:basedOn w:val="Normal"/>
    <w:rsid w:val="00E23BB9"/>
    <w:pPr>
      <w:spacing w:before="100" w:beforeAutospacing="1" w:line="240" w:lineRule="auto"/>
      <w:ind w:firstLine="0"/>
    </w:pPr>
    <w:rPr>
      <w:rFonts w:ascii="Times New Roman" w:eastAsia="Times New Roman" w:hAnsi="Times New Roman" w:cs="Times New Roman"/>
      <w:kern w:val="0"/>
      <w:lang w:val="nb-NO" w:eastAsia="nb-NO"/>
    </w:rPr>
  </w:style>
  <w:style w:type="paragraph" w:styleId="Revision">
    <w:name w:val="Revision"/>
    <w:hidden/>
    <w:uiPriority w:val="99"/>
    <w:semiHidden/>
    <w:rsid w:val="00F94A02"/>
    <w:pPr>
      <w:spacing w:line="240" w:lineRule="auto"/>
      <w:ind w:firstLine="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3529">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31513857">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81235613">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59142014">
      <w:bodyDiv w:val="1"/>
      <w:marLeft w:val="0"/>
      <w:marRight w:val="0"/>
      <w:marTop w:val="0"/>
      <w:marBottom w:val="0"/>
      <w:divBdr>
        <w:top w:val="none" w:sz="0" w:space="0" w:color="auto"/>
        <w:left w:val="none" w:sz="0" w:space="0" w:color="auto"/>
        <w:bottom w:val="none" w:sz="0" w:space="0" w:color="auto"/>
        <w:right w:val="none" w:sz="0" w:space="0" w:color="auto"/>
      </w:divBdr>
      <w:divsChild>
        <w:div w:id="617298411">
          <w:marLeft w:val="0"/>
          <w:marRight w:val="0"/>
          <w:marTop w:val="0"/>
          <w:marBottom w:val="0"/>
          <w:divBdr>
            <w:top w:val="none" w:sz="0" w:space="0" w:color="auto"/>
            <w:left w:val="none" w:sz="0" w:space="0" w:color="auto"/>
            <w:bottom w:val="none" w:sz="0" w:space="0" w:color="auto"/>
            <w:right w:val="none" w:sz="0" w:space="0" w:color="auto"/>
          </w:divBdr>
        </w:div>
      </w:divsChild>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www.dn.no/telenor/kunstig-intelligens/forskning/investerer-50-mill-i-kunstig-intelligens/1-1-5709708" TargetMode="External"/><Relationship Id="rId26" Type="http://schemas.openxmlformats.org/officeDocument/2006/relationships/hyperlink" Target="https://www.linkedin.com/pulse/telcos-continuing-sleepwalk-simon-torrance/" TargetMode="External"/><Relationship Id="rId3" Type="http://schemas.openxmlformats.org/officeDocument/2006/relationships/numbering" Target="numbering.xml"/><Relationship Id="rId21" Type="http://schemas.openxmlformats.org/officeDocument/2006/relationships/hyperlink" Target="https://www.ft.com/content/7308de8e-1138-11ea-a7e6-62bf4f9e548a"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www.dn.no/telekom/telenor/oppkjop/tapad/varsler-ny-kurs/1-1-5567444" TargetMode="External"/><Relationship Id="rId25" Type="http://schemas.openxmlformats.org/officeDocument/2006/relationships/hyperlink" Target="https://www.mckinsey.com/business-functions/strategy-and-corporate-finance/our-insights/as-sector-borders-dissolve-new-business-ecosystems-emerge?cid=eml-app" TargetMode="External"/><Relationship Id="rId2" Type="http://schemas.openxmlformats.org/officeDocument/2006/relationships/customXml" Target="../customXml/item2.xml"/><Relationship Id="rId16" Type="http://schemas.openxmlformats.org/officeDocument/2006/relationships/hyperlink" Target="https://dx.doi.org/10.2139/ssrn.3437014" TargetMode="External"/><Relationship Id="rId20" Type="http://schemas.openxmlformats.org/officeDocument/2006/relationships/hyperlink" Target="https://www.ft.com/content/874aa854-ff3c-11e9-b7bc-f3fa4e77dd47%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www.mckinsey.com/quarterly/overview" TargetMode="External"/><Relationship Id="rId5" Type="http://schemas.openxmlformats.org/officeDocument/2006/relationships/settings" Target="settings.xml"/><Relationship Id="rId15" Type="http://schemas.openxmlformats.org/officeDocument/2006/relationships/hyperlink" Target="https://ssrn.com/abstract=3437014" TargetMode="External"/><Relationship Id="rId23" Type="http://schemas.openxmlformats.org/officeDocument/2006/relationships/hyperlink" Target="https://www.telecompaper.com/commentary/selling-passive-network-assets-a-tragic-mistake-for-the-telco--1318963" TargetMode="Externa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www.economist.com/business/2019/08/22/vodafones-search-for-the-g-spot" TargetMode="Externa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agilemanifesto.org/" TargetMode="External"/><Relationship Id="rId22" Type="http://schemas.openxmlformats.org/officeDocument/2006/relationships/hyperlink" Target="https://www.mckinsey.com/industries/technology-media-and-telecommunications/our-insights/a-tale-of-two-agile-paths-how-a-pair-of-operators-set-up-their-organizational-transformations" TargetMode="External"/><Relationship Id="rId27"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F908F0-64CF-4B7B-B2B9-5FBE0149886F}"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nb-NO"/>
        </a:p>
      </dgm:t>
    </dgm:pt>
    <dgm:pt modelId="{D5CCC311-980C-4016-8BF8-D750955514C2}">
      <dgm:prSet phldrT="[Text]" custT="1"/>
      <dgm:spPr/>
      <dgm:t>
        <a:bodyPr/>
        <a:lstStyle/>
        <a:p>
          <a:r>
            <a:rPr lang="nb-NO" sz="1100" dirty="0" smtClean="0">
              <a:solidFill>
                <a:schemeClr val="tx1"/>
              </a:solidFill>
            </a:rPr>
            <a:t>Telenor Maritime </a:t>
          </a:r>
        </a:p>
      </dgm:t>
    </dgm:pt>
    <dgm:pt modelId="{844E4634-15C5-4923-92D6-0F732E8889C8}" type="parTrans" cxnId="{D4460A60-396A-4C27-9BA5-0C5B173AF9A7}">
      <dgm:prSet/>
      <dgm:spPr/>
      <dgm:t>
        <a:bodyPr/>
        <a:lstStyle/>
        <a:p>
          <a:endParaRPr lang="nb-NO" sz="2400">
            <a:solidFill>
              <a:schemeClr val="tx1"/>
            </a:solidFill>
          </a:endParaRPr>
        </a:p>
      </dgm:t>
    </dgm:pt>
    <dgm:pt modelId="{D8511B6C-D5AF-421F-A629-C18D4CCDE8AA}" type="sibTrans" cxnId="{D4460A60-396A-4C27-9BA5-0C5B173AF9A7}">
      <dgm:prSet/>
      <dgm:spPr/>
      <dgm:t>
        <a:bodyPr/>
        <a:lstStyle/>
        <a:p>
          <a:endParaRPr lang="nb-NO" sz="2400">
            <a:solidFill>
              <a:schemeClr val="tx1"/>
            </a:solidFill>
          </a:endParaRPr>
        </a:p>
      </dgm:t>
    </dgm:pt>
    <dgm:pt modelId="{4AC12F38-1E53-4B25-99AC-B10247710DA2}">
      <dgm:prSet phldrT="[Text]" custT="1"/>
      <dgm:spPr/>
      <dgm:t>
        <a:bodyPr/>
        <a:lstStyle/>
        <a:p>
          <a:r>
            <a:rPr lang="nb-NO" sz="1200" smtClean="0">
              <a:solidFill>
                <a:schemeClr val="tx1"/>
              </a:solidFill>
            </a:rPr>
            <a:t>Telenor Group </a:t>
          </a:r>
          <a:r>
            <a:rPr lang="nb-NO" sz="1200" dirty="0" err="1" smtClean="0">
              <a:solidFill>
                <a:schemeClr val="tx1"/>
              </a:solidFill>
            </a:rPr>
            <a:t>Holding</a:t>
          </a:r>
          <a:endParaRPr lang="nb-NO" sz="1200" dirty="0" smtClean="0">
            <a:solidFill>
              <a:schemeClr val="tx1"/>
            </a:solidFill>
          </a:endParaRPr>
        </a:p>
      </dgm:t>
    </dgm:pt>
    <dgm:pt modelId="{C36B8379-A629-4EF6-8829-DAD620060038}" type="parTrans" cxnId="{F620E114-7058-4357-9ABD-6D7D0DF3C61B}">
      <dgm:prSet/>
      <dgm:spPr/>
      <dgm:t>
        <a:bodyPr/>
        <a:lstStyle/>
        <a:p>
          <a:endParaRPr lang="nb-NO" sz="2400">
            <a:solidFill>
              <a:schemeClr val="tx1"/>
            </a:solidFill>
          </a:endParaRPr>
        </a:p>
      </dgm:t>
    </dgm:pt>
    <dgm:pt modelId="{4E5B5CB1-B297-4081-A672-86CFCD6D9F04}" type="sibTrans" cxnId="{F620E114-7058-4357-9ABD-6D7D0DF3C61B}">
      <dgm:prSet/>
      <dgm:spPr/>
      <dgm:t>
        <a:bodyPr/>
        <a:lstStyle/>
        <a:p>
          <a:endParaRPr lang="nb-NO" sz="2400">
            <a:solidFill>
              <a:schemeClr val="tx1"/>
            </a:solidFill>
          </a:endParaRPr>
        </a:p>
      </dgm:t>
    </dgm:pt>
    <dgm:pt modelId="{2D8C1E07-E230-4989-8282-63E176B97647}">
      <dgm:prSet phldrT="[Text]" custT="1"/>
      <dgm:spPr/>
      <dgm:t>
        <a:bodyPr/>
        <a:lstStyle/>
        <a:p>
          <a:r>
            <a:rPr lang="nb-NO" sz="1100" dirty="0" err="1" smtClean="0">
              <a:solidFill>
                <a:schemeClr val="tx1"/>
              </a:solidFill>
            </a:rPr>
            <a:t>Tapad</a:t>
          </a:r>
          <a:endParaRPr lang="nb-NO" sz="1100" dirty="0" smtClean="0">
            <a:solidFill>
              <a:schemeClr val="tx1"/>
            </a:solidFill>
          </a:endParaRPr>
        </a:p>
      </dgm:t>
    </dgm:pt>
    <dgm:pt modelId="{0C5B7F35-92D9-4616-A3C0-A5F185B22FDA}" type="parTrans" cxnId="{54F6AB8E-5E4A-441F-84C0-E8071A7F2160}">
      <dgm:prSet/>
      <dgm:spPr/>
      <dgm:t>
        <a:bodyPr/>
        <a:lstStyle/>
        <a:p>
          <a:endParaRPr lang="nb-NO" sz="2400">
            <a:solidFill>
              <a:schemeClr val="tx1"/>
            </a:solidFill>
          </a:endParaRPr>
        </a:p>
      </dgm:t>
    </dgm:pt>
    <dgm:pt modelId="{5B61A327-2FCD-4FF8-8EF3-97416C491B6F}" type="sibTrans" cxnId="{54F6AB8E-5E4A-441F-84C0-E8071A7F2160}">
      <dgm:prSet/>
      <dgm:spPr/>
      <dgm:t>
        <a:bodyPr/>
        <a:lstStyle/>
        <a:p>
          <a:endParaRPr lang="nb-NO" sz="2400">
            <a:solidFill>
              <a:schemeClr val="tx1"/>
            </a:solidFill>
          </a:endParaRPr>
        </a:p>
      </dgm:t>
    </dgm:pt>
    <dgm:pt modelId="{FCB06A40-1EFA-49E8-9B57-B0106708AC44}">
      <dgm:prSet phldrT="[Text]" custT="1"/>
      <dgm:spPr/>
      <dgm:t>
        <a:bodyPr/>
        <a:lstStyle/>
        <a:p>
          <a:r>
            <a:rPr lang="nb-NO" sz="1100" dirty="0" smtClean="0">
              <a:solidFill>
                <a:schemeClr val="tx1"/>
              </a:solidFill>
            </a:rPr>
            <a:t>Global </a:t>
          </a:r>
          <a:r>
            <a:rPr lang="nb-NO" sz="1100" dirty="0" err="1" smtClean="0">
              <a:solidFill>
                <a:schemeClr val="tx1"/>
              </a:solidFill>
            </a:rPr>
            <a:t>Wholesale</a:t>
          </a:r>
          <a:endParaRPr lang="nb-NO" sz="1100" dirty="0" smtClean="0">
            <a:solidFill>
              <a:schemeClr val="tx1"/>
            </a:solidFill>
          </a:endParaRPr>
        </a:p>
      </dgm:t>
    </dgm:pt>
    <dgm:pt modelId="{4DA92E30-B4CE-43C1-9415-8C7EB285B7D8}" type="parTrans" cxnId="{CC620F86-9ABB-4DDF-9140-3FEF4023D0DD}">
      <dgm:prSet/>
      <dgm:spPr/>
      <dgm:t>
        <a:bodyPr/>
        <a:lstStyle/>
        <a:p>
          <a:endParaRPr lang="nb-NO" sz="2400">
            <a:solidFill>
              <a:schemeClr val="tx1"/>
            </a:solidFill>
          </a:endParaRPr>
        </a:p>
      </dgm:t>
    </dgm:pt>
    <dgm:pt modelId="{0EE8273B-C434-4769-BC72-FF68FE6EA8C3}" type="sibTrans" cxnId="{CC620F86-9ABB-4DDF-9140-3FEF4023D0DD}">
      <dgm:prSet/>
      <dgm:spPr/>
      <dgm:t>
        <a:bodyPr/>
        <a:lstStyle/>
        <a:p>
          <a:endParaRPr lang="nb-NO" sz="2400">
            <a:solidFill>
              <a:schemeClr val="tx1"/>
            </a:solidFill>
          </a:endParaRPr>
        </a:p>
      </dgm:t>
    </dgm:pt>
    <dgm:pt modelId="{A0997143-C027-46DB-94B5-EC091A58EB55}">
      <dgm:prSet phldrT="[Text]" custT="1"/>
      <dgm:spPr/>
      <dgm:t>
        <a:bodyPr/>
        <a:lstStyle/>
        <a:p>
          <a:r>
            <a:rPr lang="nb-NO" sz="1100" dirty="0" smtClean="0">
              <a:solidFill>
                <a:schemeClr val="tx1"/>
              </a:solidFill>
            </a:rPr>
            <a:t>Telenor Eiendom</a:t>
          </a:r>
        </a:p>
      </dgm:t>
    </dgm:pt>
    <dgm:pt modelId="{CFD20240-7B82-4DB7-AFA9-3C6B5ADFBF3F}" type="parTrans" cxnId="{564D2708-D147-4548-BB90-249852DB52A7}">
      <dgm:prSet/>
      <dgm:spPr/>
      <dgm:t>
        <a:bodyPr/>
        <a:lstStyle/>
        <a:p>
          <a:endParaRPr lang="nb-NO" sz="2400">
            <a:solidFill>
              <a:schemeClr val="tx1"/>
            </a:solidFill>
          </a:endParaRPr>
        </a:p>
      </dgm:t>
    </dgm:pt>
    <dgm:pt modelId="{109EEEE3-1EE7-49BA-A7FD-C9B5F451FAB2}" type="sibTrans" cxnId="{564D2708-D147-4548-BB90-249852DB52A7}">
      <dgm:prSet/>
      <dgm:spPr/>
      <dgm:t>
        <a:bodyPr/>
        <a:lstStyle/>
        <a:p>
          <a:endParaRPr lang="nb-NO" sz="2400">
            <a:solidFill>
              <a:schemeClr val="tx1"/>
            </a:solidFill>
          </a:endParaRPr>
        </a:p>
      </dgm:t>
    </dgm:pt>
    <dgm:pt modelId="{E39BB60D-1E64-4169-BB73-1E91793F0826}">
      <dgm:prSet phldrT="[Text]" custT="1"/>
      <dgm:spPr/>
      <dgm:t>
        <a:bodyPr/>
        <a:lstStyle/>
        <a:p>
          <a:r>
            <a:rPr lang="nb-NO" sz="1100" dirty="0" smtClean="0">
              <a:solidFill>
                <a:schemeClr val="tx1"/>
              </a:solidFill>
            </a:rPr>
            <a:t>Telenor </a:t>
          </a:r>
          <a:r>
            <a:rPr lang="nb-NO" sz="1100" dirty="0" err="1" smtClean="0">
              <a:solidFill>
                <a:schemeClr val="tx1"/>
              </a:solidFill>
            </a:rPr>
            <a:t>Satellite</a:t>
          </a:r>
          <a:endParaRPr lang="nb-NO" sz="1100" dirty="0" smtClean="0">
            <a:solidFill>
              <a:schemeClr val="tx1"/>
            </a:solidFill>
          </a:endParaRPr>
        </a:p>
      </dgm:t>
    </dgm:pt>
    <dgm:pt modelId="{6ACC395F-8BF5-45DD-BE0F-59038E7A5795}" type="parTrans" cxnId="{368620DE-F1AB-4C5F-8F22-BA23D1E1C10B}">
      <dgm:prSet/>
      <dgm:spPr/>
      <dgm:t>
        <a:bodyPr/>
        <a:lstStyle/>
        <a:p>
          <a:endParaRPr lang="nb-NO" sz="2400">
            <a:solidFill>
              <a:schemeClr val="tx1"/>
            </a:solidFill>
          </a:endParaRPr>
        </a:p>
      </dgm:t>
    </dgm:pt>
    <dgm:pt modelId="{BD836299-F0B0-4116-85D8-47E5B3376990}" type="sibTrans" cxnId="{368620DE-F1AB-4C5F-8F22-BA23D1E1C10B}">
      <dgm:prSet/>
      <dgm:spPr/>
      <dgm:t>
        <a:bodyPr/>
        <a:lstStyle/>
        <a:p>
          <a:endParaRPr lang="nb-NO" sz="2400">
            <a:solidFill>
              <a:schemeClr val="tx1"/>
            </a:solidFill>
          </a:endParaRPr>
        </a:p>
      </dgm:t>
    </dgm:pt>
    <dgm:pt modelId="{6F32B29A-6133-4EEF-9023-638474329ECD}">
      <dgm:prSet phldrT="[Text]" custT="1"/>
      <dgm:spPr/>
      <dgm:t>
        <a:bodyPr/>
        <a:lstStyle/>
        <a:p>
          <a:r>
            <a:rPr lang="nb-NO" sz="1100" dirty="0" err="1" smtClean="0">
              <a:solidFill>
                <a:schemeClr val="tx1"/>
              </a:solidFill>
            </a:rPr>
            <a:t>JV’s/Equity participation</a:t>
          </a:r>
          <a:endParaRPr lang="nb-NO" sz="1100" dirty="0">
            <a:solidFill>
              <a:schemeClr val="tx1"/>
            </a:solidFill>
          </a:endParaRPr>
        </a:p>
      </dgm:t>
    </dgm:pt>
    <dgm:pt modelId="{4AF88274-587E-4033-ACBD-7761354DE802}" type="parTrans" cxnId="{2850A593-20AB-47E7-94A9-C401D8DC7533}">
      <dgm:prSet/>
      <dgm:spPr/>
      <dgm:t>
        <a:bodyPr/>
        <a:lstStyle/>
        <a:p>
          <a:endParaRPr lang="nb-NO" sz="2400">
            <a:solidFill>
              <a:schemeClr val="tx1"/>
            </a:solidFill>
          </a:endParaRPr>
        </a:p>
      </dgm:t>
    </dgm:pt>
    <dgm:pt modelId="{CCCB1BCB-5651-4F9C-8205-1743EF244D34}" type="sibTrans" cxnId="{2850A593-20AB-47E7-94A9-C401D8DC7533}">
      <dgm:prSet/>
      <dgm:spPr/>
      <dgm:t>
        <a:bodyPr/>
        <a:lstStyle/>
        <a:p>
          <a:endParaRPr lang="nb-NO" sz="2400">
            <a:solidFill>
              <a:schemeClr val="tx1"/>
            </a:solidFill>
          </a:endParaRPr>
        </a:p>
      </dgm:t>
    </dgm:pt>
    <dgm:pt modelId="{15B1BB65-9D92-48E5-8AEB-A7F52A407D5A}">
      <dgm:prSet phldrT="[Text]" custT="1"/>
      <dgm:spPr/>
      <dgm:t>
        <a:bodyPr/>
        <a:lstStyle/>
        <a:p>
          <a:r>
            <a:rPr lang="nb-NO" sz="1100" dirty="0" smtClean="0">
              <a:solidFill>
                <a:schemeClr val="tx1"/>
              </a:solidFill>
            </a:rPr>
            <a:t>Canal Digital/Nent </a:t>
          </a:r>
          <a:r>
            <a:rPr lang="nb-NO" sz="800" dirty="0" smtClean="0">
              <a:solidFill>
                <a:schemeClr val="tx1"/>
              </a:solidFill>
            </a:rPr>
            <a:t>JV 50%</a:t>
          </a:r>
        </a:p>
        <a:p>
          <a:r>
            <a:rPr lang="nb-NO" sz="800" dirty="0" smtClean="0">
              <a:solidFill>
                <a:schemeClr val="tx1"/>
              </a:solidFill>
            </a:rPr>
            <a:t>(</a:t>
          </a:r>
          <a:r>
            <a:rPr lang="nb-NO" sz="800" dirty="0" err="1" smtClean="0">
              <a:solidFill>
                <a:schemeClr val="tx1"/>
              </a:solidFill>
            </a:rPr>
            <a:t>pending</a:t>
          </a:r>
          <a:r>
            <a:rPr lang="nb-NO" sz="800" dirty="0" smtClean="0">
              <a:solidFill>
                <a:schemeClr val="tx1"/>
              </a:solidFill>
            </a:rPr>
            <a:t> </a:t>
          </a:r>
          <a:r>
            <a:rPr lang="nb-NO" sz="800" dirty="0" err="1" smtClean="0">
              <a:solidFill>
                <a:schemeClr val="tx1"/>
              </a:solidFill>
            </a:rPr>
            <a:t>closing</a:t>
          </a:r>
          <a:r>
            <a:rPr lang="nb-NO" sz="800" dirty="0" smtClean="0">
              <a:solidFill>
                <a:schemeClr val="tx1"/>
              </a:solidFill>
            </a:rPr>
            <a:t> Summer 2020)</a:t>
          </a:r>
          <a:endParaRPr lang="nb-NO" sz="800" dirty="0">
            <a:solidFill>
              <a:schemeClr val="tx1"/>
            </a:solidFill>
          </a:endParaRPr>
        </a:p>
      </dgm:t>
    </dgm:pt>
    <dgm:pt modelId="{C90E86D3-3B37-4F16-83DE-8823695FBE77}" type="parTrans" cxnId="{6BD21998-0011-40A2-9FD4-6F589E0175CD}">
      <dgm:prSet/>
      <dgm:spPr/>
      <dgm:t>
        <a:bodyPr/>
        <a:lstStyle/>
        <a:p>
          <a:endParaRPr lang="nb-NO" sz="2400">
            <a:solidFill>
              <a:schemeClr val="tx1"/>
            </a:solidFill>
          </a:endParaRPr>
        </a:p>
      </dgm:t>
    </dgm:pt>
    <dgm:pt modelId="{56064D87-1A4E-49A3-B27C-6B6B5FB750EC}" type="sibTrans" cxnId="{6BD21998-0011-40A2-9FD4-6F589E0175CD}">
      <dgm:prSet/>
      <dgm:spPr/>
      <dgm:t>
        <a:bodyPr/>
        <a:lstStyle/>
        <a:p>
          <a:endParaRPr lang="nb-NO" sz="2400">
            <a:solidFill>
              <a:schemeClr val="tx1"/>
            </a:solidFill>
          </a:endParaRPr>
        </a:p>
      </dgm:t>
    </dgm:pt>
    <dgm:pt modelId="{EED0F514-BC71-4C94-84B7-86F7C51CAB4A}">
      <dgm:prSet phldrT="[Text]" custT="1"/>
      <dgm:spPr/>
      <dgm:t>
        <a:bodyPr/>
        <a:lstStyle/>
        <a:p>
          <a:r>
            <a:rPr lang="nb-NO" sz="1100" dirty="0" err="1" smtClean="0">
              <a:solidFill>
                <a:schemeClr val="tx1"/>
              </a:solidFill>
            </a:rPr>
            <a:t>Carousell</a:t>
          </a:r>
          <a:r>
            <a:rPr lang="nb-NO" sz="1100" dirty="0" smtClean="0">
              <a:solidFill>
                <a:schemeClr val="tx1"/>
              </a:solidFill>
            </a:rPr>
            <a:t> 32%</a:t>
          </a:r>
          <a:endParaRPr lang="nb-NO" sz="1100" dirty="0">
            <a:solidFill>
              <a:schemeClr val="tx1"/>
            </a:solidFill>
          </a:endParaRPr>
        </a:p>
      </dgm:t>
    </dgm:pt>
    <dgm:pt modelId="{572BFC3B-ACB2-4942-91A2-2D8B453D6FF8}" type="parTrans" cxnId="{2ADE589C-872C-4E77-93C3-FF63FED606F7}">
      <dgm:prSet/>
      <dgm:spPr/>
      <dgm:t>
        <a:bodyPr/>
        <a:lstStyle/>
        <a:p>
          <a:endParaRPr lang="nb-NO" sz="2400">
            <a:solidFill>
              <a:schemeClr val="tx1"/>
            </a:solidFill>
          </a:endParaRPr>
        </a:p>
      </dgm:t>
    </dgm:pt>
    <dgm:pt modelId="{1374D6A7-79D2-4288-8D34-20E063A22FDD}" type="sibTrans" cxnId="{2ADE589C-872C-4E77-93C3-FF63FED606F7}">
      <dgm:prSet/>
      <dgm:spPr/>
      <dgm:t>
        <a:bodyPr/>
        <a:lstStyle/>
        <a:p>
          <a:endParaRPr lang="nb-NO" sz="2400">
            <a:solidFill>
              <a:schemeClr val="tx1"/>
            </a:solidFill>
          </a:endParaRPr>
        </a:p>
      </dgm:t>
    </dgm:pt>
    <dgm:pt modelId="{32AA9849-C42B-44C8-9527-9539334E3D76}">
      <dgm:prSet phldrT="[Text]" custT="1"/>
      <dgm:spPr/>
      <dgm:t>
        <a:bodyPr/>
        <a:lstStyle/>
        <a:p>
          <a:r>
            <a:rPr lang="nb-NO" sz="1100" dirty="0" smtClean="0">
              <a:solidFill>
                <a:schemeClr val="tx1"/>
              </a:solidFill>
            </a:rPr>
            <a:t>Small </a:t>
          </a:r>
          <a:r>
            <a:rPr lang="nb-NO" sz="1100" dirty="0" err="1" smtClean="0">
              <a:solidFill>
                <a:schemeClr val="tx1"/>
              </a:solidFill>
            </a:rPr>
            <a:t>JV’s</a:t>
          </a:r>
          <a:r>
            <a:rPr lang="nb-NO" sz="1100" dirty="0" smtClean="0">
              <a:solidFill>
                <a:schemeClr val="tx1"/>
              </a:solidFill>
            </a:rPr>
            <a:t>:</a:t>
          </a:r>
        </a:p>
        <a:p>
          <a:r>
            <a:rPr lang="nb-NO" sz="1100" dirty="0" err="1" smtClean="0">
              <a:solidFill>
                <a:schemeClr val="tx1"/>
              </a:solidFill>
            </a:rPr>
            <a:t>Videonor</a:t>
          </a:r>
          <a:r>
            <a:rPr lang="nb-NO" sz="1100" smtClean="0">
              <a:solidFill>
                <a:schemeClr val="tx1"/>
              </a:solidFill>
            </a:rPr>
            <a:t>, WG2</a:t>
          </a:r>
          <a:endParaRPr lang="nb-NO" sz="1100" dirty="0">
            <a:solidFill>
              <a:schemeClr val="tx1"/>
            </a:solidFill>
          </a:endParaRPr>
        </a:p>
      </dgm:t>
    </dgm:pt>
    <dgm:pt modelId="{D9DD5A71-77BB-4C89-81F1-3C33A4B4D073}" type="parTrans" cxnId="{4478868E-9B03-422A-94AE-B6E2F2E5FF64}">
      <dgm:prSet/>
      <dgm:spPr/>
      <dgm:t>
        <a:bodyPr/>
        <a:lstStyle/>
        <a:p>
          <a:endParaRPr lang="nb-NO" sz="2400">
            <a:solidFill>
              <a:schemeClr val="tx1"/>
            </a:solidFill>
          </a:endParaRPr>
        </a:p>
      </dgm:t>
    </dgm:pt>
    <dgm:pt modelId="{EDAAC039-E721-4168-9AC2-1DF334E7506C}" type="sibTrans" cxnId="{4478868E-9B03-422A-94AE-B6E2F2E5FF64}">
      <dgm:prSet/>
      <dgm:spPr/>
      <dgm:t>
        <a:bodyPr/>
        <a:lstStyle/>
        <a:p>
          <a:endParaRPr lang="nb-NO" sz="2400">
            <a:solidFill>
              <a:schemeClr val="tx1"/>
            </a:solidFill>
          </a:endParaRPr>
        </a:p>
      </dgm:t>
    </dgm:pt>
    <dgm:pt modelId="{8A373E62-630C-4C55-8254-AF35BF354D64}">
      <dgm:prSet phldrT="[Text]" custT="1"/>
      <dgm:spPr/>
      <dgm:t>
        <a:bodyPr/>
        <a:lstStyle/>
        <a:p>
          <a:r>
            <a:rPr lang="nb-NO" sz="1100" dirty="0" err="1" smtClean="0">
              <a:solidFill>
                <a:schemeClr val="tx1"/>
              </a:solidFill>
            </a:rPr>
            <a:t>Fj</a:t>
          </a:r>
          <a:r>
            <a:rPr lang="nb-NO" sz="1100" dirty="0" smtClean="0">
              <a:solidFill>
                <a:schemeClr val="tx1"/>
              </a:solidFill>
            </a:rPr>
            <a:t> Labs</a:t>
          </a:r>
          <a:endParaRPr lang="nb-NO" sz="1100" dirty="0">
            <a:solidFill>
              <a:schemeClr val="tx1"/>
            </a:solidFill>
          </a:endParaRPr>
        </a:p>
      </dgm:t>
    </dgm:pt>
    <dgm:pt modelId="{B748F60D-4E9D-433D-A653-4B242F8346A1}" type="parTrans" cxnId="{CD0BFD52-2132-476C-94C4-6F0BDDE91700}">
      <dgm:prSet/>
      <dgm:spPr/>
      <dgm:t>
        <a:bodyPr/>
        <a:lstStyle/>
        <a:p>
          <a:endParaRPr lang="nb-NO" sz="2400">
            <a:solidFill>
              <a:schemeClr val="tx1"/>
            </a:solidFill>
          </a:endParaRPr>
        </a:p>
      </dgm:t>
    </dgm:pt>
    <dgm:pt modelId="{193E7B02-7CA0-4682-AE47-D0EBAE5DFA7D}" type="sibTrans" cxnId="{CD0BFD52-2132-476C-94C4-6F0BDDE91700}">
      <dgm:prSet/>
      <dgm:spPr/>
      <dgm:t>
        <a:bodyPr/>
        <a:lstStyle/>
        <a:p>
          <a:endParaRPr lang="nb-NO" sz="2400">
            <a:solidFill>
              <a:schemeClr val="tx1"/>
            </a:solidFill>
          </a:endParaRPr>
        </a:p>
      </dgm:t>
    </dgm:pt>
    <dgm:pt modelId="{F8161222-303C-49D9-8DCF-5EFAC6425E26}" type="pres">
      <dgm:prSet presAssocID="{21F908F0-64CF-4B7B-B2B9-5FBE0149886F}" presName="hierChild1" presStyleCnt="0">
        <dgm:presLayoutVars>
          <dgm:orgChart val="1"/>
          <dgm:chPref val="1"/>
          <dgm:dir/>
          <dgm:animOne val="branch"/>
          <dgm:animLvl val="lvl"/>
          <dgm:resizeHandles/>
        </dgm:presLayoutVars>
      </dgm:prSet>
      <dgm:spPr/>
      <dgm:t>
        <a:bodyPr/>
        <a:lstStyle/>
        <a:p>
          <a:endParaRPr lang="en-US"/>
        </a:p>
      </dgm:t>
    </dgm:pt>
    <dgm:pt modelId="{DF811E92-76CB-41FB-B65D-C92076D456E1}" type="pres">
      <dgm:prSet presAssocID="{4AC12F38-1E53-4B25-99AC-B10247710DA2}" presName="hierRoot1" presStyleCnt="0">
        <dgm:presLayoutVars>
          <dgm:hierBranch val="init"/>
        </dgm:presLayoutVars>
      </dgm:prSet>
      <dgm:spPr/>
    </dgm:pt>
    <dgm:pt modelId="{2B5D8979-DC3A-4FF3-B98E-E22DB018C69C}" type="pres">
      <dgm:prSet presAssocID="{4AC12F38-1E53-4B25-99AC-B10247710DA2}" presName="rootComposite1" presStyleCnt="0"/>
      <dgm:spPr/>
    </dgm:pt>
    <dgm:pt modelId="{39FC9153-F098-4992-9F1F-63E453AD0A36}" type="pres">
      <dgm:prSet presAssocID="{4AC12F38-1E53-4B25-99AC-B10247710DA2}" presName="rootText1" presStyleLbl="node0" presStyleIdx="0" presStyleCnt="1" custScaleY="146909">
        <dgm:presLayoutVars>
          <dgm:chPref val="3"/>
        </dgm:presLayoutVars>
      </dgm:prSet>
      <dgm:spPr/>
      <dgm:t>
        <a:bodyPr/>
        <a:lstStyle/>
        <a:p>
          <a:endParaRPr lang="en-US"/>
        </a:p>
      </dgm:t>
    </dgm:pt>
    <dgm:pt modelId="{F1114EF3-CC6C-49A9-9E2F-213DFF29D1A6}" type="pres">
      <dgm:prSet presAssocID="{4AC12F38-1E53-4B25-99AC-B10247710DA2}" presName="rootConnector1" presStyleLbl="node1" presStyleIdx="0" presStyleCnt="0"/>
      <dgm:spPr/>
      <dgm:t>
        <a:bodyPr/>
        <a:lstStyle/>
        <a:p>
          <a:endParaRPr lang="en-US"/>
        </a:p>
      </dgm:t>
    </dgm:pt>
    <dgm:pt modelId="{132A7FE4-8738-4AF5-898E-9AF0525C9FA3}" type="pres">
      <dgm:prSet presAssocID="{4AC12F38-1E53-4B25-99AC-B10247710DA2}" presName="hierChild2" presStyleCnt="0"/>
      <dgm:spPr/>
    </dgm:pt>
    <dgm:pt modelId="{59ADE230-C3CF-453B-ACAC-60C206F4FE78}" type="pres">
      <dgm:prSet presAssocID="{B748F60D-4E9D-433D-A653-4B242F8346A1}" presName="Name64" presStyleLbl="parChTrans1D2" presStyleIdx="0" presStyleCnt="7"/>
      <dgm:spPr/>
      <dgm:t>
        <a:bodyPr/>
        <a:lstStyle/>
        <a:p>
          <a:endParaRPr lang="en-US"/>
        </a:p>
      </dgm:t>
    </dgm:pt>
    <dgm:pt modelId="{AA30CCEE-D935-4DDE-BC81-68F7AA2B40A2}" type="pres">
      <dgm:prSet presAssocID="{8A373E62-630C-4C55-8254-AF35BF354D64}" presName="hierRoot2" presStyleCnt="0">
        <dgm:presLayoutVars>
          <dgm:hierBranch val="init"/>
        </dgm:presLayoutVars>
      </dgm:prSet>
      <dgm:spPr/>
    </dgm:pt>
    <dgm:pt modelId="{4D42F3A7-ECE7-414A-A90E-E6E0AA1A09A4}" type="pres">
      <dgm:prSet presAssocID="{8A373E62-630C-4C55-8254-AF35BF354D64}" presName="rootComposite" presStyleCnt="0"/>
      <dgm:spPr/>
    </dgm:pt>
    <dgm:pt modelId="{A943ED1C-694A-477D-A8E6-C38E6CBF0A0D}" type="pres">
      <dgm:prSet presAssocID="{8A373E62-630C-4C55-8254-AF35BF354D64}" presName="rootText" presStyleLbl="node2" presStyleIdx="0" presStyleCnt="7">
        <dgm:presLayoutVars>
          <dgm:chPref val="3"/>
        </dgm:presLayoutVars>
      </dgm:prSet>
      <dgm:spPr/>
      <dgm:t>
        <a:bodyPr/>
        <a:lstStyle/>
        <a:p>
          <a:endParaRPr lang="en-US"/>
        </a:p>
      </dgm:t>
    </dgm:pt>
    <dgm:pt modelId="{3F0C0CD9-4DBD-4F83-84CF-C477B010656A}" type="pres">
      <dgm:prSet presAssocID="{8A373E62-630C-4C55-8254-AF35BF354D64}" presName="rootConnector" presStyleLbl="node2" presStyleIdx="0" presStyleCnt="7"/>
      <dgm:spPr/>
      <dgm:t>
        <a:bodyPr/>
        <a:lstStyle/>
        <a:p>
          <a:endParaRPr lang="en-US"/>
        </a:p>
      </dgm:t>
    </dgm:pt>
    <dgm:pt modelId="{46866486-AC2B-463B-9A6C-19BA1617B4B7}" type="pres">
      <dgm:prSet presAssocID="{8A373E62-630C-4C55-8254-AF35BF354D64}" presName="hierChild4" presStyleCnt="0"/>
      <dgm:spPr/>
    </dgm:pt>
    <dgm:pt modelId="{04B44E9E-C8AC-4A2A-B4E0-F4AA2CA09CA7}" type="pres">
      <dgm:prSet presAssocID="{8A373E62-630C-4C55-8254-AF35BF354D64}" presName="hierChild5" presStyleCnt="0"/>
      <dgm:spPr/>
    </dgm:pt>
    <dgm:pt modelId="{E697269D-B69C-409D-86B1-BA20F3B0CE7D}" type="pres">
      <dgm:prSet presAssocID="{4AF88274-587E-4033-ACBD-7761354DE802}" presName="Name64" presStyleLbl="parChTrans1D2" presStyleIdx="1" presStyleCnt="7"/>
      <dgm:spPr/>
      <dgm:t>
        <a:bodyPr/>
        <a:lstStyle/>
        <a:p>
          <a:endParaRPr lang="en-US"/>
        </a:p>
      </dgm:t>
    </dgm:pt>
    <dgm:pt modelId="{EAC5E7FC-0480-4BF7-BBF7-F117906DE490}" type="pres">
      <dgm:prSet presAssocID="{6F32B29A-6133-4EEF-9023-638474329ECD}" presName="hierRoot2" presStyleCnt="0">
        <dgm:presLayoutVars>
          <dgm:hierBranch val="init"/>
        </dgm:presLayoutVars>
      </dgm:prSet>
      <dgm:spPr/>
    </dgm:pt>
    <dgm:pt modelId="{56E3BAE7-DEC1-4DEB-B013-620DF525B940}" type="pres">
      <dgm:prSet presAssocID="{6F32B29A-6133-4EEF-9023-638474329ECD}" presName="rootComposite" presStyleCnt="0"/>
      <dgm:spPr/>
    </dgm:pt>
    <dgm:pt modelId="{BA3C4BBA-737F-471D-90F3-131ED61636A5}" type="pres">
      <dgm:prSet presAssocID="{6F32B29A-6133-4EEF-9023-638474329ECD}" presName="rootText" presStyleLbl="node2" presStyleIdx="1" presStyleCnt="7">
        <dgm:presLayoutVars>
          <dgm:chPref val="3"/>
        </dgm:presLayoutVars>
      </dgm:prSet>
      <dgm:spPr/>
      <dgm:t>
        <a:bodyPr/>
        <a:lstStyle/>
        <a:p>
          <a:endParaRPr lang="en-US"/>
        </a:p>
      </dgm:t>
    </dgm:pt>
    <dgm:pt modelId="{CE9A2DA0-764C-401A-B4B3-5FDBB2446FCF}" type="pres">
      <dgm:prSet presAssocID="{6F32B29A-6133-4EEF-9023-638474329ECD}" presName="rootConnector" presStyleLbl="node2" presStyleIdx="1" presStyleCnt="7"/>
      <dgm:spPr/>
      <dgm:t>
        <a:bodyPr/>
        <a:lstStyle/>
        <a:p>
          <a:endParaRPr lang="en-US"/>
        </a:p>
      </dgm:t>
    </dgm:pt>
    <dgm:pt modelId="{B3CD6C9E-E775-45C6-938C-680CE8CB3BB7}" type="pres">
      <dgm:prSet presAssocID="{6F32B29A-6133-4EEF-9023-638474329ECD}" presName="hierChild4" presStyleCnt="0"/>
      <dgm:spPr/>
    </dgm:pt>
    <dgm:pt modelId="{582328E0-03B5-490E-99CB-C59675C92805}" type="pres">
      <dgm:prSet presAssocID="{C90E86D3-3B37-4F16-83DE-8823695FBE77}" presName="Name64" presStyleLbl="parChTrans1D3" presStyleIdx="0" presStyleCnt="3"/>
      <dgm:spPr/>
      <dgm:t>
        <a:bodyPr/>
        <a:lstStyle/>
        <a:p>
          <a:endParaRPr lang="en-US"/>
        </a:p>
      </dgm:t>
    </dgm:pt>
    <dgm:pt modelId="{CFA362A3-2CB7-48C0-910F-C0075F69064B}" type="pres">
      <dgm:prSet presAssocID="{15B1BB65-9D92-48E5-8AEB-A7F52A407D5A}" presName="hierRoot2" presStyleCnt="0">
        <dgm:presLayoutVars>
          <dgm:hierBranch val="init"/>
        </dgm:presLayoutVars>
      </dgm:prSet>
      <dgm:spPr/>
    </dgm:pt>
    <dgm:pt modelId="{986BDB5F-C9E8-4A7A-B84F-E2851AC0FBA6}" type="pres">
      <dgm:prSet presAssocID="{15B1BB65-9D92-48E5-8AEB-A7F52A407D5A}" presName="rootComposite" presStyleCnt="0"/>
      <dgm:spPr/>
    </dgm:pt>
    <dgm:pt modelId="{2202BF31-1AA8-4BF9-B455-080F824BACFE}" type="pres">
      <dgm:prSet presAssocID="{15B1BB65-9D92-48E5-8AEB-A7F52A407D5A}" presName="rootText" presStyleLbl="node3" presStyleIdx="0" presStyleCnt="3" custScaleY="175262">
        <dgm:presLayoutVars>
          <dgm:chPref val="3"/>
        </dgm:presLayoutVars>
      </dgm:prSet>
      <dgm:spPr/>
      <dgm:t>
        <a:bodyPr/>
        <a:lstStyle/>
        <a:p>
          <a:endParaRPr lang="en-US"/>
        </a:p>
      </dgm:t>
    </dgm:pt>
    <dgm:pt modelId="{7F12E0C5-C687-46B6-B532-8A85F987F32F}" type="pres">
      <dgm:prSet presAssocID="{15B1BB65-9D92-48E5-8AEB-A7F52A407D5A}" presName="rootConnector" presStyleLbl="node3" presStyleIdx="0" presStyleCnt="3"/>
      <dgm:spPr/>
      <dgm:t>
        <a:bodyPr/>
        <a:lstStyle/>
        <a:p>
          <a:endParaRPr lang="en-US"/>
        </a:p>
      </dgm:t>
    </dgm:pt>
    <dgm:pt modelId="{ACD12BA7-053A-46A0-9016-7A82779F848D}" type="pres">
      <dgm:prSet presAssocID="{15B1BB65-9D92-48E5-8AEB-A7F52A407D5A}" presName="hierChild4" presStyleCnt="0"/>
      <dgm:spPr/>
    </dgm:pt>
    <dgm:pt modelId="{EED2CC10-B61B-4E17-9651-A8DDC94A5248}" type="pres">
      <dgm:prSet presAssocID="{15B1BB65-9D92-48E5-8AEB-A7F52A407D5A}" presName="hierChild5" presStyleCnt="0"/>
      <dgm:spPr/>
    </dgm:pt>
    <dgm:pt modelId="{35C61952-80CD-4095-BCD8-F3A105153A6B}" type="pres">
      <dgm:prSet presAssocID="{572BFC3B-ACB2-4942-91A2-2D8B453D6FF8}" presName="Name64" presStyleLbl="parChTrans1D3" presStyleIdx="1" presStyleCnt="3"/>
      <dgm:spPr/>
      <dgm:t>
        <a:bodyPr/>
        <a:lstStyle/>
        <a:p>
          <a:endParaRPr lang="en-US"/>
        </a:p>
      </dgm:t>
    </dgm:pt>
    <dgm:pt modelId="{89CC3C0A-6F10-40F0-A7DA-D9A7E81880B8}" type="pres">
      <dgm:prSet presAssocID="{EED0F514-BC71-4C94-84B7-86F7C51CAB4A}" presName="hierRoot2" presStyleCnt="0">
        <dgm:presLayoutVars>
          <dgm:hierBranch val="init"/>
        </dgm:presLayoutVars>
      </dgm:prSet>
      <dgm:spPr/>
    </dgm:pt>
    <dgm:pt modelId="{84688E25-9A16-4B94-85F3-585CFCAC340C}" type="pres">
      <dgm:prSet presAssocID="{EED0F514-BC71-4C94-84B7-86F7C51CAB4A}" presName="rootComposite" presStyleCnt="0"/>
      <dgm:spPr/>
    </dgm:pt>
    <dgm:pt modelId="{06AAC287-55C4-4FC4-84EC-84DDE77A8271}" type="pres">
      <dgm:prSet presAssocID="{EED0F514-BC71-4C94-84B7-86F7C51CAB4A}" presName="rootText" presStyleLbl="node3" presStyleIdx="1" presStyleCnt="3">
        <dgm:presLayoutVars>
          <dgm:chPref val="3"/>
        </dgm:presLayoutVars>
      </dgm:prSet>
      <dgm:spPr/>
      <dgm:t>
        <a:bodyPr/>
        <a:lstStyle/>
        <a:p>
          <a:endParaRPr lang="en-US"/>
        </a:p>
      </dgm:t>
    </dgm:pt>
    <dgm:pt modelId="{C2BEB0E4-8557-4BC0-9BC2-DD8ADB259A9A}" type="pres">
      <dgm:prSet presAssocID="{EED0F514-BC71-4C94-84B7-86F7C51CAB4A}" presName="rootConnector" presStyleLbl="node3" presStyleIdx="1" presStyleCnt="3"/>
      <dgm:spPr/>
      <dgm:t>
        <a:bodyPr/>
        <a:lstStyle/>
        <a:p>
          <a:endParaRPr lang="en-US"/>
        </a:p>
      </dgm:t>
    </dgm:pt>
    <dgm:pt modelId="{F3D6D89C-5D95-497F-98A2-0DFFAC8B77A4}" type="pres">
      <dgm:prSet presAssocID="{EED0F514-BC71-4C94-84B7-86F7C51CAB4A}" presName="hierChild4" presStyleCnt="0"/>
      <dgm:spPr/>
    </dgm:pt>
    <dgm:pt modelId="{73C57890-DE57-43C4-BBC8-DCF1248331CC}" type="pres">
      <dgm:prSet presAssocID="{EED0F514-BC71-4C94-84B7-86F7C51CAB4A}" presName="hierChild5" presStyleCnt="0"/>
      <dgm:spPr/>
    </dgm:pt>
    <dgm:pt modelId="{AA593878-A796-4FB9-85D9-E5BDA629547E}" type="pres">
      <dgm:prSet presAssocID="{D9DD5A71-77BB-4C89-81F1-3C33A4B4D073}" presName="Name64" presStyleLbl="parChTrans1D3" presStyleIdx="2" presStyleCnt="3"/>
      <dgm:spPr/>
      <dgm:t>
        <a:bodyPr/>
        <a:lstStyle/>
        <a:p>
          <a:endParaRPr lang="en-US"/>
        </a:p>
      </dgm:t>
    </dgm:pt>
    <dgm:pt modelId="{D6897313-B983-4900-8D0A-3607E3CB2F83}" type="pres">
      <dgm:prSet presAssocID="{32AA9849-C42B-44C8-9527-9539334E3D76}" presName="hierRoot2" presStyleCnt="0">
        <dgm:presLayoutVars>
          <dgm:hierBranch val="init"/>
        </dgm:presLayoutVars>
      </dgm:prSet>
      <dgm:spPr/>
    </dgm:pt>
    <dgm:pt modelId="{35745B59-561B-41D6-9E30-5F52096DDAC5}" type="pres">
      <dgm:prSet presAssocID="{32AA9849-C42B-44C8-9527-9539334E3D76}" presName="rootComposite" presStyleCnt="0"/>
      <dgm:spPr/>
    </dgm:pt>
    <dgm:pt modelId="{AA8992B1-53C2-4178-BFEA-C32E74F0AE99}" type="pres">
      <dgm:prSet presAssocID="{32AA9849-C42B-44C8-9527-9539334E3D76}" presName="rootText" presStyleLbl="node3" presStyleIdx="2" presStyleCnt="3">
        <dgm:presLayoutVars>
          <dgm:chPref val="3"/>
        </dgm:presLayoutVars>
      </dgm:prSet>
      <dgm:spPr/>
      <dgm:t>
        <a:bodyPr/>
        <a:lstStyle/>
        <a:p>
          <a:endParaRPr lang="en-US"/>
        </a:p>
      </dgm:t>
    </dgm:pt>
    <dgm:pt modelId="{177A8CE1-4744-40A2-899E-554520F7860D}" type="pres">
      <dgm:prSet presAssocID="{32AA9849-C42B-44C8-9527-9539334E3D76}" presName="rootConnector" presStyleLbl="node3" presStyleIdx="2" presStyleCnt="3"/>
      <dgm:spPr/>
      <dgm:t>
        <a:bodyPr/>
        <a:lstStyle/>
        <a:p>
          <a:endParaRPr lang="en-US"/>
        </a:p>
      </dgm:t>
    </dgm:pt>
    <dgm:pt modelId="{68AC20BD-B0AE-402C-9376-1E5BCF2AEF58}" type="pres">
      <dgm:prSet presAssocID="{32AA9849-C42B-44C8-9527-9539334E3D76}" presName="hierChild4" presStyleCnt="0"/>
      <dgm:spPr/>
    </dgm:pt>
    <dgm:pt modelId="{2842B09B-D252-4C66-B311-4587B25A368A}" type="pres">
      <dgm:prSet presAssocID="{32AA9849-C42B-44C8-9527-9539334E3D76}" presName="hierChild5" presStyleCnt="0"/>
      <dgm:spPr/>
    </dgm:pt>
    <dgm:pt modelId="{4FBCA9B2-2ECB-4F40-B606-96973C1E15AF}" type="pres">
      <dgm:prSet presAssocID="{6F32B29A-6133-4EEF-9023-638474329ECD}" presName="hierChild5" presStyleCnt="0"/>
      <dgm:spPr/>
    </dgm:pt>
    <dgm:pt modelId="{0D839D44-35FC-4D44-9659-A9AFE5A3C72A}" type="pres">
      <dgm:prSet presAssocID="{844E4634-15C5-4923-92D6-0F732E8889C8}" presName="Name64" presStyleLbl="parChTrans1D2" presStyleIdx="2" presStyleCnt="7"/>
      <dgm:spPr/>
      <dgm:t>
        <a:bodyPr/>
        <a:lstStyle/>
        <a:p>
          <a:endParaRPr lang="en-US"/>
        </a:p>
      </dgm:t>
    </dgm:pt>
    <dgm:pt modelId="{3CC93604-0C97-4616-96A5-93306F0C9EA8}" type="pres">
      <dgm:prSet presAssocID="{D5CCC311-980C-4016-8BF8-D750955514C2}" presName="hierRoot2" presStyleCnt="0">
        <dgm:presLayoutVars>
          <dgm:hierBranch val="init"/>
        </dgm:presLayoutVars>
      </dgm:prSet>
      <dgm:spPr/>
    </dgm:pt>
    <dgm:pt modelId="{EF38CFD2-257B-4D8A-9842-318B6B62AA14}" type="pres">
      <dgm:prSet presAssocID="{D5CCC311-980C-4016-8BF8-D750955514C2}" presName="rootComposite" presStyleCnt="0"/>
      <dgm:spPr/>
    </dgm:pt>
    <dgm:pt modelId="{46762137-243E-4870-8092-A3B07CA565CC}" type="pres">
      <dgm:prSet presAssocID="{D5CCC311-980C-4016-8BF8-D750955514C2}" presName="rootText" presStyleLbl="node2" presStyleIdx="2" presStyleCnt="7">
        <dgm:presLayoutVars>
          <dgm:chPref val="3"/>
        </dgm:presLayoutVars>
      </dgm:prSet>
      <dgm:spPr/>
      <dgm:t>
        <a:bodyPr/>
        <a:lstStyle/>
        <a:p>
          <a:endParaRPr lang="en-US"/>
        </a:p>
      </dgm:t>
    </dgm:pt>
    <dgm:pt modelId="{A594B67C-F2B3-470D-8E72-314239EA7E93}" type="pres">
      <dgm:prSet presAssocID="{D5CCC311-980C-4016-8BF8-D750955514C2}" presName="rootConnector" presStyleLbl="node2" presStyleIdx="2" presStyleCnt="7"/>
      <dgm:spPr/>
      <dgm:t>
        <a:bodyPr/>
        <a:lstStyle/>
        <a:p>
          <a:endParaRPr lang="en-US"/>
        </a:p>
      </dgm:t>
    </dgm:pt>
    <dgm:pt modelId="{73FD7786-EFD6-4DD1-9BE8-9FE6DE6F8016}" type="pres">
      <dgm:prSet presAssocID="{D5CCC311-980C-4016-8BF8-D750955514C2}" presName="hierChild4" presStyleCnt="0"/>
      <dgm:spPr/>
    </dgm:pt>
    <dgm:pt modelId="{E23BBBD1-C6F7-466E-B54D-CB6B696F83A7}" type="pres">
      <dgm:prSet presAssocID="{D5CCC311-980C-4016-8BF8-D750955514C2}" presName="hierChild5" presStyleCnt="0"/>
      <dgm:spPr/>
    </dgm:pt>
    <dgm:pt modelId="{7B429343-16B3-4519-9AFC-3DC97FE968AB}" type="pres">
      <dgm:prSet presAssocID="{0C5B7F35-92D9-4616-A3C0-A5F185B22FDA}" presName="Name64" presStyleLbl="parChTrans1D2" presStyleIdx="3" presStyleCnt="7"/>
      <dgm:spPr/>
      <dgm:t>
        <a:bodyPr/>
        <a:lstStyle/>
        <a:p>
          <a:endParaRPr lang="en-US"/>
        </a:p>
      </dgm:t>
    </dgm:pt>
    <dgm:pt modelId="{51235EAD-A58B-4D36-B142-4AFD49702149}" type="pres">
      <dgm:prSet presAssocID="{2D8C1E07-E230-4989-8282-63E176B97647}" presName="hierRoot2" presStyleCnt="0">
        <dgm:presLayoutVars>
          <dgm:hierBranch val="init"/>
        </dgm:presLayoutVars>
      </dgm:prSet>
      <dgm:spPr/>
    </dgm:pt>
    <dgm:pt modelId="{CF1D8E12-D440-49BF-9B2E-8186B6C6A12F}" type="pres">
      <dgm:prSet presAssocID="{2D8C1E07-E230-4989-8282-63E176B97647}" presName="rootComposite" presStyleCnt="0"/>
      <dgm:spPr/>
    </dgm:pt>
    <dgm:pt modelId="{7CB2819D-2C7B-457F-8F8E-DA89B0E47DFA}" type="pres">
      <dgm:prSet presAssocID="{2D8C1E07-E230-4989-8282-63E176B97647}" presName="rootText" presStyleLbl="node2" presStyleIdx="3" presStyleCnt="7">
        <dgm:presLayoutVars>
          <dgm:chPref val="3"/>
        </dgm:presLayoutVars>
      </dgm:prSet>
      <dgm:spPr/>
      <dgm:t>
        <a:bodyPr/>
        <a:lstStyle/>
        <a:p>
          <a:endParaRPr lang="en-US"/>
        </a:p>
      </dgm:t>
    </dgm:pt>
    <dgm:pt modelId="{CFBE1FB8-111D-49DC-99BF-CC09C66B94DB}" type="pres">
      <dgm:prSet presAssocID="{2D8C1E07-E230-4989-8282-63E176B97647}" presName="rootConnector" presStyleLbl="node2" presStyleIdx="3" presStyleCnt="7"/>
      <dgm:spPr/>
      <dgm:t>
        <a:bodyPr/>
        <a:lstStyle/>
        <a:p>
          <a:endParaRPr lang="en-US"/>
        </a:p>
      </dgm:t>
    </dgm:pt>
    <dgm:pt modelId="{8283F44F-C1C7-4E11-AC73-CEFD531D6D10}" type="pres">
      <dgm:prSet presAssocID="{2D8C1E07-E230-4989-8282-63E176B97647}" presName="hierChild4" presStyleCnt="0"/>
      <dgm:spPr/>
    </dgm:pt>
    <dgm:pt modelId="{C135C295-DF6B-4B83-B5F2-7066725387A0}" type="pres">
      <dgm:prSet presAssocID="{2D8C1E07-E230-4989-8282-63E176B97647}" presName="hierChild5" presStyleCnt="0"/>
      <dgm:spPr/>
    </dgm:pt>
    <dgm:pt modelId="{7615113B-D319-4C95-95B0-BDB04268CAF7}" type="pres">
      <dgm:prSet presAssocID="{4DA92E30-B4CE-43C1-9415-8C7EB285B7D8}" presName="Name64" presStyleLbl="parChTrans1D2" presStyleIdx="4" presStyleCnt="7"/>
      <dgm:spPr/>
      <dgm:t>
        <a:bodyPr/>
        <a:lstStyle/>
        <a:p>
          <a:endParaRPr lang="en-US"/>
        </a:p>
      </dgm:t>
    </dgm:pt>
    <dgm:pt modelId="{342FCDA3-796B-4F2C-AF18-E356D84D8E4E}" type="pres">
      <dgm:prSet presAssocID="{FCB06A40-1EFA-49E8-9B57-B0106708AC44}" presName="hierRoot2" presStyleCnt="0">
        <dgm:presLayoutVars>
          <dgm:hierBranch val="init"/>
        </dgm:presLayoutVars>
      </dgm:prSet>
      <dgm:spPr/>
    </dgm:pt>
    <dgm:pt modelId="{01E7D33E-6213-424A-A695-70C52BEFF689}" type="pres">
      <dgm:prSet presAssocID="{FCB06A40-1EFA-49E8-9B57-B0106708AC44}" presName="rootComposite" presStyleCnt="0"/>
      <dgm:spPr/>
    </dgm:pt>
    <dgm:pt modelId="{30C74DD6-E192-4258-B7C6-E4B906B7EB92}" type="pres">
      <dgm:prSet presAssocID="{FCB06A40-1EFA-49E8-9B57-B0106708AC44}" presName="rootText" presStyleLbl="node2" presStyleIdx="4" presStyleCnt="7">
        <dgm:presLayoutVars>
          <dgm:chPref val="3"/>
        </dgm:presLayoutVars>
      </dgm:prSet>
      <dgm:spPr/>
      <dgm:t>
        <a:bodyPr/>
        <a:lstStyle/>
        <a:p>
          <a:endParaRPr lang="en-US"/>
        </a:p>
      </dgm:t>
    </dgm:pt>
    <dgm:pt modelId="{64AC02CB-68D5-4824-AD01-E8D3D09E57FD}" type="pres">
      <dgm:prSet presAssocID="{FCB06A40-1EFA-49E8-9B57-B0106708AC44}" presName="rootConnector" presStyleLbl="node2" presStyleIdx="4" presStyleCnt="7"/>
      <dgm:spPr/>
      <dgm:t>
        <a:bodyPr/>
        <a:lstStyle/>
        <a:p>
          <a:endParaRPr lang="en-US"/>
        </a:p>
      </dgm:t>
    </dgm:pt>
    <dgm:pt modelId="{2AF4EF7C-EDA8-45CA-BCCF-FF21EFDAC03E}" type="pres">
      <dgm:prSet presAssocID="{FCB06A40-1EFA-49E8-9B57-B0106708AC44}" presName="hierChild4" presStyleCnt="0"/>
      <dgm:spPr/>
    </dgm:pt>
    <dgm:pt modelId="{09100D17-6116-4B03-82AB-A7E1649412F0}" type="pres">
      <dgm:prSet presAssocID="{FCB06A40-1EFA-49E8-9B57-B0106708AC44}" presName="hierChild5" presStyleCnt="0"/>
      <dgm:spPr/>
    </dgm:pt>
    <dgm:pt modelId="{D9EF2983-186E-49FA-9D14-C183CCF3C9C1}" type="pres">
      <dgm:prSet presAssocID="{CFD20240-7B82-4DB7-AFA9-3C6B5ADFBF3F}" presName="Name64" presStyleLbl="parChTrans1D2" presStyleIdx="5" presStyleCnt="7"/>
      <dgm:spPr/>
      <dgm:t>
        <a:bodyPr/>
        <a:lstStyle/>
        <a:p>
          <a:endParaRPr lang="en-US"/>
        </a:p>
      </dgm:t>
    </dgm:pt>
    <dgm:pt modelId="{602846F7-E8AE-4E33-B4AA-54914AB8455B}" type="pres">
      <dgm:prSet presAssocID="{A0997143-C027-46DB-94B5-EC091A58EB55}" presName="hierRoot2" presStyleCnt="0">
        <dgm:presLayoutVars>
          <dgm:hierBranch val="init"/>
        </dgm:presLayoutVars>
      </dgm:prSet>
      <dgm:spPr/>
    </dgm:pt>
    <dgm:pt modelId="{8C8D3A82-9991-476F-945A-64F9FFE32E40}" type="pres">
      <dgm:prSet presAssocID="{A0997143-C027-46DB-94B5-EC091A58EB55}" presName="rootComposite" presStyleCnt="0"/>
      <dgm:spPr/>
    </dgm:pt>
    <dgm:pt modelId="{3579F1B5-6FF0-413D-BD56-ADA91A57D547}" type="pres">
      <dgm:prSet presAssocID="{A0997143-C027-46DB-94B5-EC091A58EB55}" presName="rootText" presStyleLbl="node2" presStyleIdx="5" presStyleCnt="7">
        <dgm:presLayoutVars>
          <dgm:chPref val="3"/>
        </dgm:presLayoutVars>
      </dgm:prSet>
      <dgm:spPr/>
      <dgm:t>
        <a:bodyPr/>
        <a:lstStyle/>
        <a:p>
          <a:endParaRPr lang="en-US"/>
        </a:p>
      </dgm:t>
    </dgm:pt>
    <dgm:pt modelId="{4590C497-E6F2-45BA-864B-41C38784F099}" type="pres">
      <dgm:prSet presAssocID="{A0997143-C027-46DB-94B5-EC091A58EB55}" presName="rootConnector" presStyleLbl="node2" presStyleIdx="5" presStyleCnt="7"/>
      <dgm:spPr/>
      <dgm:t>
        <a:bodyPr/>
        <a:lstStyle/>
        <a:p>
          <a:endParaRPr lang="en-US"/>
        </a:p>
      </dgm:t>
    </dgm:pt>
    <dgm:pt modelId="{38BD4748-AA42-42DB-8F61-B2C761C2315D}" type="pres">
      <dgm:prSet presAssocID="{A0997143-C027-46DB-94B5-EC091A58EB55}" presName="hierChild4" presStyleCnt="0"/>
      <dgm:spPr/>
    </dgm:pt>
    <dgm:pt modelId="{211114C7-A5DA-4632-A469-FF80DF7CD8DF}" type="pres">
      <dgm:prSet presAssocID="{A0997143-C027-46DB-94B5-EC091A58EB55}" presName="hierChild5" presStyleCnt="0"/>
      <dgm:spPr/>
    </dgm:pt>
    <dgm:pt modelId="{C29AEAAB-53A3-4824-86EB-12C03767AA5C}" type="pres">
      <dgm:prSet presAssocID="{6ACC395F-8BF5-45DD-BE0F-59038E7A5795}" presName="Name64" presStyleLbl="parChTrans1D2" presStyleIdx="6" presStyleCnt="7"/>
      <dgm:spPr/>
      <dgm:t>
        <a:bodyPr/>
        <a:lstStyle/>
        <a:p>
          <a:endParaRPr lang="en-US"/>
        </a:p>
      </dgm:t>
    </dgm:pt>
    <dgm:pt modelId="{A24C5DF3-CC6B-4CD6-84A1-69BFC2CC4489}" type="pres">
      <dgm:prSet presAssocID="{E39BB60D-1E64-4169-BB73-1E91793F0826}" presName="hierRoot2" presStyleCnt="0">
        <dgm:presLayoutVars>
          <dgm:hierBranch val="init"/>
        </dgm:presLayoutVars>
      </dgm:prSet>
      <dgm:spPr/>
    </dgm:pt>
    <dgm:pt modelId="{5D9C725F-574D-4199-9CD8-D98058E36EAB}" type="pres">
      <dgm:prSet presAssocID="{E39BB60D-1E64-4169-BB73-1E91793F0826}" presName="rootComposite" presStyleCnt="0"/>
      <dgm:spPr/>
    </dgm:pt>
    <dgm:pt modelId="{F05362EE-9669-4CF8-9070-94E6557BE083}" type="pres">
      <dgm:prSet presAssocID="{E39BB60D-1E64-4169-BB73-1E91793F0826}" presName="rootText" presStyleLbl="node2" presStyleIdx="6" presStyleCnt="7">
        <dgm:presLayoutVars>
          <dgm:chPref val="3"/>
        </dgm:presLayoutVars>
      </dgm:prSet>
      <dgm:spPr/>
      <dgm:t>
        <a:bodyPr/>
        <a:lstStyle/>
        <a:p>
          <a:endParaRPr lang="en-US"/>
        </a:p>
      </dgm:t>
    </dgm:pt>
    <dgm:pt modelId="{56AA2273-E5CC-4394-AD5C-EFCE68C7EFA2}" type="pres">
      <dgm:prSet presAssocID="{E39BB60D-1E64-4169-BB73-1E91793F0826}" presName="rootConnector" presStyleLbl="node2" presStyleIdx="6" presStyleCnt="7"/>
      <dgm:spPr/>
      <dgm:t>
        <a:bodyPr/>
        <a:lstStyle/>
        <a:p>
          <a:endParaRPr lang="en-US"/>
        </a:p>
      </dgm:t>
    </dgm:pt>
    <dgm:pt modelId="{66826F82-3153-4528-9995-BCDE2725999B}" type="pres">
      <dgm:prSet presAssocID="{E39BB60D-1E64-4169-BB73-1E91793F0826}" presName="hierChild4" presStyleCnt="0"/>
      <dgm:spPr/>
    </dgm:pt>
    <dgm:pt modelId="{BEA80B10-C3EF-40C6-9497-A89702140D86}" type="pres">
      <dgm:prSet presAssocID="{E39BB60D-1E64-4169-BB73-1E91793F0826}" presName="hierChild5" presStyleCnt="0"/>
      <dgm:spPr/>
    </dgm:pt>
    <dgm:pt modelId="{B8241B07-3A59-4F88-BE10-D7C39D56AB57}" type="pres">
      <dgm:prSet presAssocID="{4AC12F38-1E53-4B25-99AC-B10247710DA2}" presName="hierChild3" presStyleCnt="0"/>
      <dgm:spPr/>
    </dgm:pt>
  </dgm:ptLst>
  <dgm:cxnLst>
    <dgm:cxn modelId="{61EBC346-987D-4316-B24B-E788B389B6B1}" type="presOf" srcId="{21F908F0-64CF-4B7B-B2B9-5FBE0149886F}" destId="{F8161222-303C-49D9-8DCF-5EFAC6425E26}" srcOrd="0" destOrd="0" presId="urn:microsoft.com/office/officeart/2009/3/layout/HorizontalOrganizationChart"/>
    <dgm:cxn modelId="{3135EB7B-5BA3-4B70-B0CF-DF53B5921122}" type="presOf" srcId="{E39BB60D-1E64-4169-BB73-1E91793F0826}" destId="{56AA2273-E5CC-4394-AD5C-EFCE68C7EFA2}" srcOrd="1" destOrd="0" presId="urn:microsoft.com/office/officeart/2009/3/layout/HorizontalOrganizationChart"/>
    <dgm:cxn modelId="{A1468AC4-E5D0-4A86-80B0-CF0544A33F22}" type="presOf" srcId="{572BFC3B-ACB2-4942-91A2-2D8B453D6FF8}" destId="{35C61952-80CD-4095-BCD8-F3A105153A6B}" srcOrd="0" destOrd="0" presId="urn:microsoft.com/office/officeart/2009/3/layout/HorizontalOrganizationChart"/>
    <dgm:cxn modelId="{7494AE7F-4CA6-46BA-A723-C73676D9095F}" type="presOf" srcId="{6F32B29A-6133-4EEF-9023-638474329ECD}" destId="{BA3C4BBA-737F-471D-90F3-131ED61636A5}" srcOrd="0" destOrd="0" presId="urn:microsoft.com/office/officeart/2009/3/layout/HorizontalOrganizationChart"/>
    <dgm:cxn modelId="{F620E114-7058-4357-9ABD-6D7D0DF3C61B}" srcId="{21F908F0-64CF-4B7B-B2B9-5FBE0149886F}" destId="{4AC12F38-1E53-4B25-99AC-B10247710DA2}" srcOrd="0" destOrd="0" parTransId="{C36B8379-A629-4EF6-8829-DAD620060038}" sibTransId="{4E5B5CB1-B297-4081-A672-86CFCD6D9F04}"/>
    <dgm:cxn modelId="{3E3A7157-BC34-479B-B1D4-C1B9D9B38AC4}" type="presOf" srcId="{A0997143-C027-46DB-94B5-EC091A58EB55}" destId="{4590C497-E6F2-45BA-864B-41C38784F099}" srcOrd="1" destOrd="0" presId="urn:microsoft.com/office/officeart/2009/3/layout/HorizontalOrganizationChart"/>
    <dgm:cxn modelId="{96E13DB7-8B16-48C5-8655-C7675239276B}" type="presOf" srcId="{32AA9849-C42B-44C8-9527-9539334E3D76}" destId="{177A8CE1-4744-40A2-899E-554520F7860D}" srcOrd="1" destOrd="0" presId="urn:microsoft.com/office/officeart/2009/3/layout/HorizontalOrganizationChart"/>
    <dgm:cxn modelId="{ED6691E0-D566-4E0F-826A-820137962834}" type="presOf" srcId="{4AF88274-587E-4033-ACBD-7761354DE802}" destId="{E697269D-B69C-409D-86B1-BA20F3B0CE7D}" srcOrd="0" destOrd="0" presId="urn:microsoft.com/office/officeart/2009/3/layout/HorizontalOrganizationChart"/>
    <dgm:cxn modelId="{F54EA574-1492-40A8-8E36-4219EA9FCA37}" type="presOf" srcId="{A0997143-C027-46DB-94B5-EC091A58EB55}" destId="{3579F1B5-6FF0-413D-BD56-ADA91A57D547}" srcOrd="0" destOrd="0" presId="urn:microsoft.com/office/officeart/2009/3/layout/HorizontalOrganizationChart"/>
    <dgm:cxn modelId="{4478868E-9B03-422A-94AE-B6E2F2E5FF64}" srcId="{6F32B29A-6133-4EEF-9023-638474329ECD}" destId="{32AA9849-C42B-44C8-9527-9539334E3D76}" srcOrd="2" destOrd="0" parTransId="{D9DD5A71-77BB-4C89-81F1-3C33A4B4D073}" sibTransId="{EDAAC039-E721-4168-9AC2-1DF334E7506C}"/>
    <dgm:cxn modelId="{0581DCFA-CB6A-48B2-A1C2-5D12687CA7DD}" type="presOf" srcId="{6F32B29A-6133-4EEF-9023-638474329ECD}" destId="{CE9A2DA0-764C-401A-B4B3-5FDBB2446FCF}" srcOrd="1" destOrd="0" presId="urn:microsoft.com/office/officeart/2009/3/layout/HorizontalOrganizationChart"/>
    <dgm:cxn modelId="{CC620F86-9ABB-4DDF-9140-3FEF4023D0DD}" srcId="{4AC12F38-1E53-4B25-99AC-B10247710DA2}" destId="{FCB06A40-1EFA-49E8-9B57-B0106708AC44}" srcOrd="4" destOrd="0" parTransId="{4DA92E30-B4CE-43C1-9415-8C7EB285B7D8}" sibTransId="{0EE8273B-C434-4769-BC72-FF68FE6EA8C3}"/>
    <dgm:cxn modelId="{A06B8CA0-831E-480F-A268-C234F7D3DB29}" type="presOf" srcId="{2D8C1E07-E230-4989-8282-63E176B97647}" destId="{7CB2819D-2C7B-457F-8F8E-DA89B0E47DFA}" srcOrd="0" destOrd="0" presId="urn:microsoft.com/office/officeart/2009/3/layout/HorizontalOrganizationChart"/>
    <dgm:cxn modelId="{D4460A60-396A-4C27-9BA5-0C5B173AF9A7}" srcId="{4AC12F38-1E53-4B25-99AC-B10247710DA2}" destId="{D5CCC311-980C-4016-8BF8-D750955514C2}" srcOrd="2" destOrd="0" parTransId="{844E4634-15C5-4923-92D6-0F732E8889C8}" sibTransId="{D8511B6C-D5AF-421F-A629-C18D4CCDE8AA}"/>
    <dgm:cxn modelId="{D2DC4D7F-990B-410D-9228-1C4AC2D29D4E}" type="presOf" srcId="{4AC12F38-1E53-4B25-99AC-B10247710DA2}" destId="{F1114EF3-CC6C-49A9-9E2F-213DFF29D1A6}" srcOrd="1" destOrd="0" presId="urn:microsoft.com/office/officeart/2009/3/layout/HorizontalOrganizationChart"/>
    <dgm:cxn modelId="{7E093FBA-1F21-4703-AE57-E94938EEB346}" type="presOf" srcId="{E39BB60D-1E64-4169-BB73-1E91793F0826}" destId="{F05362EE-9669-4CF8-9070-94E6557BE083}" srcOrd="0" destOrd="0" presId="urn:microsoft.com/office/officeart/2009/3/layout/HorizontalOrganizationChart"/>
    <dgm:cxn modelId="{68A514FC-D945-47BF-80F5-976740E41C99}" type="presOf" srcId="{0C5B7F35-92D9-4616-A3C0-A5F185B22FDA}" destId="{7B429343-16B3-4519-9AFC-3DC97FE968AB}" srcOrd="0" destOrd="0" presId="urn:microsoft.com/office/officeart/2009/3/layout/HorizontalOrganizationChart"/>
    <dgm:cxn modelId="{2850A593-20AB-47E7-94A9-C401D8DC7533}" srcId="{4AC12F38-1E53-4B25-99AC-B10247710DA2}" destId="{6F32B29A-6133-4EEF-9023-638474329ECD}" srcOrd="1" destOrd="0" parTransId="{4AF88274-587E-4033-ACBD-7761354DE802}" sibTransId="{CCCB1BCB-5651-4F9C-8205-1743EF244D34}"/>
    <dgm:cxn modelId="{51EE5AA6-4C3E-454A-B13A-39B8AD1B827D}" type="presOf" srcId="{D9DD5A71-77BB-4C89-81F1-3C33A4B4D073}" destId="{AA593878-A796-4FB9-85D9-E5BDA629547E}" srcOrd="0" destOrd="0" presId="urn:microsoft.com/office/officeart/2009/3/layout/HorizontalOrganizationChart"/>
    <dgm:cxn modelId="{0AF3BBCE-2EF0-4EEB-B589-76B02CB8D3C9}" type="presOf" srcId="{32AA9849-C42B-44C8-9527-9539334E3D76}" destId="{AA8992B1-53C2-4178-BFEA-C32E74F0AE99}" srcOrd="0" destOrd="0" presId="urn:microsoft.com/office/officeart/2009/3/layout/HorizontalOrganizationChart"/>
    <dgm:cxn modelId="{F73AFA3E-88B6-4B28-A479-70A9F27994CA}" type="presOf" srcId="{8A373E62-630C-4C55-8254-AF35BF354D64}" destId="{A943ED1C-694A-477D-A8E6-C38E6CBF0A0D}" srcOrd="0" destOrd="0" presId="urn:microsoft.com/office/officeart/2009/3/layout/HorizontalOrganizationChart"/>
    <dgm:cxn modelId="{51880ECC-A9F5-42D0-9B4B-A5D4B4F26335}" type="presOf" srcId="{8A373E62-630C-4C55-8254-AF35BF354D64}" destId="{3F0C0CD9-4DBD-4F83-84CF-C477B010656A}" srcOrd="1" destOrd="0" presId="urn:microsoft.com/office/officeart/2009/3/layout/HorizontalOrganizationChart"/>
    <dgm:cxn modelId="{4C3FD752-17BB-48ED-AA3E-AA633A33D3FB}" type="presOf" srcId="{2D8C1E07-E230-4989-8282-63E176B97647}" destId="{CFBE1FB8-111D-49DC-99BF-CC09C66B94DB}" srcOrd="1" destOrd="0" presId="urn:microsoft.com/office/officeart/2009/3/layout/HorizontalOrganizationChart"/>
    <dgm:cxn modelId="{2ADE589C-872C-4E77-93C3-FF63FED606F7}" srcId="{6F32B29A-6133-4EEF-9023-638474329ECD}" destId="{EED0F514-BC71-4C94-84B7-86F7C51CAB4A}" srcOrd="1" destOrd="0" parTransId="{572BFC3B-ACB2-4942-91A2-2D8B453D6FF8}" sibTransId="{1374D6A7-79D2-4288-8D34-20E063A22FDD}"/>
    <dgm:cxn modelId="{05AB8910-D944-4D9B-A10B-693A76550790}" type="presOf" srcId="{844E4634-15C5-4923-92D6-0F732E8889C8}" destId="{0D839D44-35FC-4D44-9659-A9AFE5A3C72A}" srcOrd="0" destOrd="0" presId="urn:microsoft.com/office/officeart/2009/3/layout/HorizontalOrganizationChart"/>
    <dgm:cxn modelId="{368620DE-F1AB-4C5F-8F22-BA23D1E1C10B}" srcId="{4AC12F38-1E53-4B25-99AC-B10247710DA2}" destId="{E39BB60D-1E64-4169-BB73-1E91793F0826}" srcOrd="6" destOrd="0" parTransId="{6ACC395F-8BF5-45DD-BE0F-59038E7A5795}" sibTransId="{BD836299-F0B0-4116-85D8-47E5B3376990}"/>
    <dgm:cxn modelId="{2A3C973C-46EE-4D4A-AF89-30ABF5F07741}" type="presOf" srcId="{15B1BB65-9D92-48E5-8AEB-A7F52A407D5A}" destId="{2202BF31-1AA8-4BF9-B455-080F824BACFE}" srcOrd="0" destOrd="0" presId="urn:microsoft.com/office/officeart/2009/3/layout/HorizontalOrganizationChart"/>
    <dgm:cxn modelId="{B63EDC69-8979-4A47-BA87-9D11E14FDB0C}" type="presOf" srcId="{D5CCC311-980C-4016-8BF8-D750955514C2}" destId="{A594B67C-F2B3-470D-8E72-314239EA7E93}" srcOrd="1" destOrd="0" presId="urn:microsoft.com/office/officeart/2009/3/layout/HorizontalOrganizationChart"/>
    <dgm:cxn modelId="{A5CA23AB-B8A7-4783-8903-0A736A8AD774}" type="presOf" srcId="{B748F60D-4E9D-433D-A653-4B242F8346A1}" destId="{59ADE230-C3CF-453B-ACAC-60C206F4FE78}" srcOrd="0" destOrd="0" presId="urn:microsoft.com/office/officeart/2009/3/layout/HorizontalOrganizationChart"/>
    <dgm:cxn modelId="{CD0BFD52-2132-476C-94C4-6F0BDDE91700}" srcId="{4AC12F38-1E53-4B25-99AC-B10247710DA2}" destId="{8A373E62-630C-4C55-8254-AF35BF354D64}" srcOrd="0" destOrd="0" parTransId="{B748F60D-4E9D-433D-A653-4B242F8346A1}" sibTransId="{193E7B02-7CA0-4682-AE47-D0EBAE5DFA7D}"/>
    <dgm:cxn modelId="{374EFDC6-DCDB-4B64-8AF6-CB2E147463FD}" type="presOf" srcId="{CFD20240-7B82-4DB7-AFA9-3C6B5ADFBF3F}" destId="{D9EF2983-186E-49FA-9D14-C183CCF3C9C1}" srcOrd="0" destOrd="0" presId="urn:microsoft.com/office/officeart/2009/3/layout/HorizontalOrganizationChart"/>
    <dgm:cxn modelId="{C2CC1F6B-2EA9-489C-86D2-20E5D6E08765}" type="presOf" srcId="{6ACC395F-8BF5-45DD-BE0F-59038E7A5795}" destId="{C29AEAAB-53A3-4824-86EB-12C03767AA5C}" srcOrd="0" destOrd="0" presId="urn:microsoft.com/office/officeart/2009/3/layout/HorizontalOrganizationChart"/>
    <dgm:cxn modelId="{4F36BB17-D0D0-4D94-95FF-36DE55546730}" type="presOf" srcId="{EED0F514-BC71-4C94-84B7-86F7C51CAB4A}" destId="{C2BEB0E4-8557-4BC0-9BC2-DD8ADB259A9A}" srcOrd="1" destOrd="0" presId="urn:microsoft.com/office/officeart/2009/3/layout/HorizontalOrganizationChart"/>
    <dgm:cxn modelId="{2640EA37-6771-4C66-986E-B6089BFE4C30}" type="presOf" srcId="{FCB06A40-1EFA-49E8-9B57-B0106708AC44}" destId="{30C74DD6-E192-4258-B7C6-E4B906B7EB92}" srcOrd="0" destOrd="0" presId="urn:microsoft.com/office/officeart/2009/3/layout/HorizontalOrganizationChart"/>
    <dgm:cxn modelId="{564D2708-D147-4548-BB90-249852DB52A7}" srcId="{4AC12F38-1E53-4B25-99AC-B10247710DA2}" destId="{A0997143-C027-46DB-94B5-EC091A58EB55}" srcOrd="5" destOrd="0" parTransId="{CFD20240-7B82-4DB7-AFA9-3C6B5ADFBF3F}" sibTransId="{109EEEE3-1EE7-49BA-A7FD-C9B5F451FAB2}"/>
    <dgm:cxn modelId="{33D6A52E-5F71-4926-A14E-C6DFE7C8F70B}" type="presOf" srcId="{4AC12F38-1E53-4B25-99AC-B10247710DA2}" destId="{39FC9153-F098-4992-9F1F-63E453AD0A36}" srcOrd="0" destOrd="0" presId="urn:microsoft.com/office/officeart/2009/3/layout/HorizontalOrganizationChart"/>
    <dgm:cxn modelId="{E5FBF149-26CA-43B5-8E75-C4403366FFC5}" type="presOf" srcId="{4DA92E30-B4CE-43C1-9415-8C7EB285B7D8}" destId="{7615113B-D319-4C95-95B0-BDB04268CAF7}" srcOrd="0" destOrd="0" presId="urn:microsoft.com/office/officeart/2009/3/layout/HorizontalOrganizationChart"/>
    <dgm:cxn modelId="{D5C16C01-A203-40D4-ACD0-51A08E73916B}" type="presOf" srcId="{EED0F514-BC71-4C94-84B7-86F7C51CAB4A}" destId="{06AAC287-55C4-4FC4-84EC-84DDE77A8271}" srcOrd="0" destOrd="0" presId="urn:microsoft.com/office/officeart/2009/3/layout/HorizontalOrganizationChart"/>
    <dgm:cxn modelId="{54F6AB8E-5E4A-441F-84C0-E8071A7F2160}" srcId="{4AC12F38-1E53-4B25-99AC-B10247710DA2}" destId="{2D8C1E07-E230-4989-8282-63E176B97647}" srcOrd="3" destOrd="0" parTransId="{0C5B7F35-92D9-4616-A3C0-A5F185B22FDA}" sibTransId="{5B61A327-2FCD-4FF8-8EF3-97416C491B6F}"/>
    <dgm:cxn modelId="{76CF8AAA-67A4-48EF-BE4A-7B3EA1A6D722}" type="presOf" srcId="{15B1BB65-9D92-48E5-8AEB-A7F52A407D5A}" destId="{7F12E0C5-C687-46B6-B532-8A85F987F32F}" srcOrd="1" destOrd="0" presId="urn:microsoft.com/office/officeart/2009/3/layout/HorizontalOrganizationChart"/>
    <dgm:cxn modelId="{39BAC48B-8B76-4E8F-AA59-DB9E125BA58B}" type="presOf" srcId="{C90E86D3-3B37-4F16-83DE-8823695FBE77}" destId="{582328E0-03B5-490E-99CB-C59675C92805}" srcOrd="0" destOrd="0" presId="urn:microsoft.com/office/officeart/2009/3/layout/HorizontalOrganizationChart"/>
    <dgm:cxn modelId="{797B3B9A-8F13-45D4-A833-C04FE72AC658}" type="presOf" srcId="{FCB06A40-1EFA-49E8-9B57-B0106708AC44}" destId="{64AC02CB-68D5-4824-AD01-E8D3D09E57FD}" srcOrd="1" destOrd="0" presId="urn:microsoft.com/office/officeart/2009/3/layout/HorizontalOrganizationChart"/>
    <dgm:cxn modelId="{6BD21998-0011-40A2-9FD4-6F589E0175CD}" srcId="{6F32B29A-6133-4EEF-9023-638474329ECD}" destId="{15B1BB65-9D92-48E5-8AEB-A7F52A407D5A}" srcOrd="0" destOrd="0" parTransId="{C90E86D3-3B37-4F16-83DE-8823695FBE77}" sibTransId="{56064D87-1A4E-49A3-B27C-6B6B5FB750EC}"/>
    <dgm:cxn modelId="{C5E5DDC5-1F3E-4F43-87C9-4B9619A4AEBC}" type="presOf" srcId="{D5CCC311-980C-4016-8BF8-D750955514C2}" destId="{46762137-243E-4870-8092-A3B07CA565CC}" srcOrd="0" destOrd="0" presId="urn:microsoft.com/office/officeart/2009/3/layout/HorizontalOrganizationChart"/>
    <dgm:cxn modelId="{4240B012-05BB-4206-BFD2-2E651289CECD}" type="presParOf" srcId="{F8161222-303C-49D9-8DCF-5EFAC6425E26}" destId="{DF811E92-76CB-41FB-B65D-C92076D456E1}" srcOrd="0" destOrd="0" presId="urn:microsoft.com/office/officeart/2009/3/layout/HorizontalOrganizationChart"/>
    <dgm:cxn modelId="{FCA5AE6F-3137-48B1-9752-F52A943BCE21}" type="presParOf" srcId="{DF811E92-76CB-41FB-B65D-C92076D456E1}" destId="{2B5D8979-DC3A-4FF3-B98E-E22DB018C69C}" srcOrd="0" destOrd="0" presId="urn:microsoft.com/office/officeart/2009/3/layout/HorizontalOrganizationChart"/>
    <dgm:cxn modelId="{2A46F071-C7BF-43B2-AEC8-4843829FB3AC}" type="presParOf" srcId="{2B5D8979-DC3A-4FF3-B98E-E22DB018C69C}" destId="{39FC9153-F098-4992-9F1F-63E453AD0A36}" srcOrd="0" destOrd="0" presId="urn:microsoft.com/office/officeart/2009/3/layout/HorizontalOrganizationChart"/>
    <dgm:cxn modelId="{E90802D2-64E3-4110-BDEF-65D20CCF87AA}" type="presParOf" srcId="{2B5D8979-DC3A-4FF3-B98E-E22DB018C69C}" destId="{F1114EF3-CC6C-49A9-9E2F-213DFF29D1A6}" srcOrd="1" destOrd="0" presId="urn:microsoft.com/office/officeart/2009/3/layout/HorizontalOrganizationChart"/>
    <dgm:cxn modelId="{47AD7347-C866-4198-B405-147AF4D94596}" type="presParOf" srcId="{DF811E92-76CB-41FB-B65D-C92076D456E1}" destId="{132A7FE4-8738-4AF5-898E-9AF0525C9FA3}" srcOrd="1" destOrd="0" presId="urn:microsoft.com/office/officeart/2009/3/layout/HorizontalOrganizationChart"/>
    <dgm:cxn modelId="{298A147D-261E-490A-9BF2-3DD44831ED39}" type="presParOf" srcId="{132A7FE4-8738-4AF5-898E-9AF0525C9FA3}" destId="{59ADE230-C3CF-453B-ACAC-60C206F4FE78}" srcOrd="0" destOrd="0" presId="urn:microsoft.com/office/officeart/2009/3/layout/HorizontalOrganizationChart"/>
    <dgm:cxn modelId="{75D8F5A0-7D5A-474A-AD06-0FD46427CC2E}" type="presParOf" srcId="{132A7FE4-8738-4AF5-898E-9AF0525C9FA3}" destId="{AA30CCEE-D935-4DDE-BC81-68F7AA2B40A2}" srcOrd="1" destOrd="0" presId="urn:microsoft.com/office/officeart/2009/3/layout/HorizontalOrganizationChart"/>
    <dgm:cxn modelId="{322D4FF1-4603-45A4-A3F7-CF1F5BD067FB}" type="presParOf" srcId="{AA30CCEE-D935-4DDE-BC81-68F7AA2B40A2}" destId="{4D42F3A7-ECE7-414A-A90E-E6E0AA1A09A4}" srcOrd="0" destOrd="0" presId="urn:microsoft.com/office/officeart/2009/3/layout/HorizontalOrganizationChart"/>
    <dgm:cxn modelId="{39C0A478-4523-4E57-B15C-54A2B6B49377}" type="presParOf" srcId="{4D42F3A7-ECE7-414A-A90E-E6E0AA1A09A4}" destId="{A943ED1C-694A-477D-A8E6-C38E6CBF0A0D}" srcOrd="0" destOrd="0" presId="urn:microsoft.com/office/officeart/2009/3/layout/HorizontalOrganizationChart"/>
    <dgm:cxn modelId="{1EA4D214-3E93-4CD6-84D2-5DAB5F17C114}" type="presParOf" srcId="{4D42F3A7-ECE7-414A-A90E-E6E0AA1A09A4}" destId="{3F0C0CD9-4DBD-4F83-84CF-C477B010656A}" srcOrd="1" destOrd="0" presId="urn:microsoft.com/office/officeart/2009/3/layout/HorizontalOrganizationChart"/>
    <dgm:cxn modelId="{BF25E233-C1A8-4683-A2F2-BADEDB669D53}" type="presParOf" srcId="{AA30CCEE-D935-4DDE-BC81-68F7AA2B40A2}" destId="{46866486-AC2B-463B-9A6C-19BA1617B4B7}" srcOrd="1" destOrd="0" presId="urn:microsoft.com/office/officeart/2009/3/layout/HorizontalOrganizationChart"/>
    <dgm:cxn modelId="{64B12E12-ACF1-406C-9F9D-9B0ADB34D58C}" type="presParOf" srcId="{AA30CCEE-D935-4DDE-BC81-68F7AA2B40A2}" destId="{04B44E9E-C8AC-4A2A-B4E0-F4AA2CA09CA7}" srcOrd="2" destOrd="0" presId="urn:microsoft.com/office/officeart/2009/3/layout/HorizontalOrganizationChart"/>
    <dgm:cxn modelId="{22AF2DD7-751C-44A7-9444-ED726537760F}" type="presParOf" srcId="{132A7FE4-8738-4AF5-898E-9AF0525C9FA3}" destId="{E697269D-B69C-409D-86B1-BA20F3B0CE7D}" srcOrd="2" destOrd="0" presId="urn:microsoft.com/office/officeart/2009/3/layout/HorizontalOrganizationChart"/>
    <dgm:cxn modelId="{CCCF33A5-487F-4971-970B-CE17295CD855}" type="presParOf" srcId="{132A7FE4-8738-4AF5-898E-9AF0525C9FA3}" destId="{EAC5E7FC-0480-4BF7-BBF7-F117906DE490}" srcOrd="3" destOrd="0" presId="urn:microsoft.com/office/officeart/2009/3/layout/HorizontalOrganizationChart"/>
    <dgm:cxn modelId="{4EB0A229-1266-4D59-BB0F-E5B3988B080E}" type="presParOf" srcId="{EAC5E7FC-0480-4BF7-BBF7-F117906DE490}" destId="{56E3BAE7-DEC1-4DEB-B013-620DF525B940}" srcOrd="0" destOrd="0" presId="urn:microsoft.com/office/officeart/2009/3/layout/HorizontalOrganizationChart"/>
    <dgm:cxn modelId="{109509F1-2809-477F-B2D6-1ED5392EE8CA}" type="presParOf" srcId="{56E3BAE7-DEC1-4DEB-B013-620DF525B940}" destId="{BA3C4BBA-737F-471D-90F3-131ED61636A5}" srcOrd="0" destOrd="0" presId="urn:microsoft.com/office/officeart/2009/3/layout/HorizontalOrganizationChart"/>
    <dgm:cxn modelId="{978266FF-A9D1-443B-BFFB-C2C88823D813}" type="presParOf" srcId="{56E3BAE7-DEC1-4DEB-B013-620DF525B940}" destId="{CE9A2DA0-764C-401A-B4B3-5FDBB2446FCF}" srcOrd="1" destOrd="0" presId="urn:microsoft.com/office/officeart/2009/3/layout/HorizontalOrganizationChart"/>
    <dgm:cxn modelId="{5DEEA6A5-B949-47D4-BD8D-F34C26BEBE47}" type="presParOf" srcId="{EAC5E7FC-0480-4BF7-BBF7-F117906DE490}" destId="{B3CD6C9E-E775-45C6-938C-680CE8CB3BB7}" srcOrd="1" destOrd="0" presId="urn:microsoft.com/office/officeart/2009/3/layout/HorizontalOrganizationChart"/>
    <dgm:cxn modelId="{90971167-13C7-4075-9241-DE54D1D64D44}" type="presParOf" srcId="{B3CD6C9E-E775-45C6-938C-680CE8CB3BB7}" destId="{582328E0-03B5-490E-99CB-C59675C92805}" srcOrd="0" destOrd="0" presId="urn:microsoft.com/office/officeart/2009/3/layout/HorizontalOrganizationChart"/>
    <dgm:cxn modelId="{7A3008D4-558D-4B7D-94C4-0B93551596A2}" type="presParOf" srcId="{B3CD6C9E-E775-45C6-938C-680CE8CB3BB7}" destId="{CFA362A3-2CB7-48C0-910F-C0075F69064B}" srcOrd="1" destOrd="0" presId="urn:microsoft.com/office/officeart/2009/3/layout/HorizontalOrganizationChart"/>
    <dgm:cxn modelId="{23CAB87A-FA60-4845-BAD8-D7C96830B50C}" type="presParOf" srcId="{CFA362A3-2CB7-48C0-910F-C0075F69064B}" destId="{986BDB5F-C9E8-4A7A-B84F-E2851AC0FBA6}" srcOrd="0" destOrd="0" presId="urn:microsoft.com/office/officeart/2009/3/layout/HorizontalOrganizationChart"/>
    <dgm:cxn modelId="{2FCAE544-8767-4B8E-B922-5AAADDA0F1BC}" type="presParOf" srcId="{986BDB5F-C9E8-4A7A-B84F-E2851AC0FBA6}" destId="{2202BF31-1AA8-4BF9-B455-080F824BACFE}" srcOrd="0" destOrd="0" presId="urn:microsoft.com/office/officeart/2009/3/layout/HorizontalOrganizationChart"/>
    <dgm:cxn modelId="{371A0D2F-B954-43D5-9DDC-835B90994FD0}" type="presParOf" srcId="{986BDB5F-C9E8-4A7A-B84F-E2851AC0FBA6}" destId="{7F12E0C5-C687-46B6-B532-8A85F987F32F}" srcOrd="1" destOrd="0" presId="urn:microsoft.com/office/officeart/2009/3/layout/HorizontalOrganizationChart"/>
    <dgm:cxn modelId="{ACEA20F8-7B51-49F3-A5D5-A1C7963C50EB}" type="presParOf" srcId="{CFA362A3-2CB7-48C0-910F-C0075F69064B}" destId="{ACD12BA7-053A-46A0-9016-7A82779F848D}" srcOrd="1" destOrd="0" presId="urn:microsoft.com/office/officeart/2009/3/layout/HorizontalOrganizationChart"/>
    <dgm:cxn modelId="{A8BFD0DF-3093-47CE-9092-16868DC643D6}" type="presParOf" srcId="{CFA362A3-2CB7-48C0-910F-C0075F69064B}" destId="{EED2CC10-B61B-4E17-9651-A8DDC94A5248}" srcOrd="2" destOrd="0" presId="urn:microsoft.com/office/officeart/2009/3/layout/HorizontalOrganizationChart"/>
    <dgm:cxn modelId="{A1198658-90A2-4ACB-94AC-770791DA5575}" type="presParOf" srcId="{B3CD6C9E-E775-45C6-938C-680CE8CB3BB7}" destId="{35C61952-80CD-4095-BCD8-F3A105153A6B}" srcOrd="2" destOrd="0" presId="urn:microsoft.com/office/officeart/2009/3/layout/HorizontalOrganizationChart"/>
    <dgm:cxn modelId="{8EF5A05F-A27E-42BE-B81F-DDFD8B9C95B5}" type="presParOf" srcId="{B3CD6C9E-E775-45C6-938C-680CE8CB3BB7}" destId="{89CC3C0A-6F10-40F0-A7DA-D9A7E81880B8}" srcOrd="3" destOrd="0" presId="urn:microsoft.com/office/officeart/2009/3/layout/HorizontalOrganizationChart"/>
    <dgm:cxn modelId="{46B247FA-E7FC-4A00-BFB8-A13764E3461E}" type="presParOf" srcId="{89CC3C0A-6F10-40F0-A7DA-D9A7E81880B8}" destId="{84688E25-9A16-4B94-85F3-585CFCAC340C}" srcOrd="0" destOrd="0" presId="urn:microsoft.com/office/officeart/2009/3/layout/HorizontalOrganizationChart"/>
    <dgm:cxn modelId="{1BA5485A-A3C6-43D9-836E-54E526477609}" type="presParOf" srcId="{84688E25-9A16-4B94-85F3-585CFCAC340C}" destId="{06AAC287-55C4-4FC4-84EC-84DDE77A8271}" srcOrd="0" destOrd="0" presId="urn:microsoft.com/office/officeart/2009/3/layout/HorizontalOrganizationChart"/>
    <dgm:cxn modelId="{908F35A8-0043-4D05-8121-6240F464C371}" type="presParOf" srcId="{84688E25-9A16-4B94-85F3-585CFCAC340C}" destId="{C2BEB0E4-8557-4BC0-9BC2-DD8ADB259A9A}" srcOrd="1" destOrd="0" presId="urn:microsoft.com/office/officeart/2009/3/layout/HorizontalOrganizationChart"/>
    <dgm:cxn modelId="{65567632-AC54-4ED3-AC61-7DE28A8AC52C}" type="presParOf" srcId="{89CC3C0A-6F10-40F0-A7DA-D9A7E81880B8}" destId="{F3D6D89C-5D95-497F-98A2-0DFFAC8B77A4}" srcOrd="1" destOrd="0" presId="urn:microsoft.com/office/officeart/2009/3/layout/HorizontalOrganizationChart"/>
    <dgm:cxn modelId="{E960144B-E6A9-422F-A99D-AF77AC959EE9}" type="presParOf" srcId="{89CC3C0A-6F10-40F0-A7DA-D9A7E81880B8}" destId="{73C57890-DE57-43C4-BBC8-DCF1248331CC}" srcOrd="2" destOrd="0" presId="urn:microsoft.com/office/officeart/2009/3/layout/HorizontalOrganizationChart"/>
    <dgm:cxn modelId="{308DC21B-912C-4374-9DE7-33E942AE7922}" type="presParOf" srcId="{B3CD6C9E-E775-45C6-938C-680CE8CB3BB7}" destId="{AA593878-A796-4FB9-85D9-E5BDA629547E}" srcOrd="4" destOrd="0" presId="urn:microsoft.com/office/officeart/2009/3/layout/HorizontalOrganizationChart"/>
    <dgm:cxn modelId="{D29B09A1-C83C-406C-BA7A-A9A7374FDF99}" type="presParOf" srcId="{B3CD6C9E-E775-45C6-938C-680CE8CB3BB7}" destId="{D6897313-B983-4900-8D0A-3607E3CB2F83}" srcOrd="5" destOrd="0" presId="urn:microsoft.com/office/officeart/2009/3/layout/HorizontalOrganizationChart"/>
    <dgm:cxn modelId="{A8FDF07C-A05E-48E6-B8D9-87A7D1452715}" type="presParOf" srcId="{D6897313-B983-4900-8D0A-3607E3CB2F83}" destId="{35745B59-561B-41D6-9E30-5F52096DDAC5}" srcOrd="0" destOrd="0" presId="urn:microsoft.com/office/officeart/2009/3/layout/HorizontalOrganizationChart"/>
    <dgm:cxn modelId="{170C54D6-3A64-4AFF-BFEF-DA8B4B591DB7}" type="presParOf" srcId="{35745B59-561B-41D6-9E30-5F52096DDAC5}" destId="{AA8992B1-53C2-4178-BFEA-C32E74F0AE99}" srcOrd="0" destOrd="0" presId="urn:microsoft.com/office/officeart/2009/3/layout/HorizontalOrganizationChart"/>
    <dgm:cxn modelId="{52ED3A1B-B29E-43A5-8AD5-046271F03383}" type="presParOf" srcId="{35745B59-561B-41D6-9E30-5F52096DDAC5}" destId="{177A8CE1-4744-40A2-899E-554520F7860D}" srcOrd="1" destOrd="0" presId="urn:microsoft.com/office/officeart/2009/3/layout/HorizontalOrganizationChart"/>
    <dgm:cxn modelId="{5544F8F5-25DF-44B7-BB70-AFF7933F809F}" type="presParOf" srcId="{D6897313-B983-4900-8D0A-3607E3CB2F83}" destId="{68AC20BD-B0AE-402C-9376-1E5BCF2AEF58}" srcOrd="1" destOrd="0" presId="urn:microsoft.com/office/officeart/2009/3/layout/HorizontalOrganizationChart"/>
    <dgm:cxn modelId="{0641A053-2566-4E1F-BB12-837A7A5E145E}" type="presParOf" srcId="{D6897313-B983-4900-8D0A-3607E3CB2F83}" destId="{2842B09B-D252-4C66-B311-4587B25A368A}" srcOrd="2" destOrd="0" presId="urn:microsoft.com/office/officeart/2009/3/layout/HorizontalOrganizationChart"/>
    <dgm:cxn modelId="{8772F5C2-2387-41E8-AD67-6590A7F05103}" type="presParOf" srcId="{EAC5E7FC-0480-4BF7-BBF7-F117906DE490}" destId="{4FBCA9B2-2ECB-4F40-B606-96973C1E15AF}" srcOrd="2" destOrd="0" presId="urn:microsoft.com/office/officeart/2009/3/layout/HorizontalOrganizationChart"/>
    <dgm:cxn modelId="{45F63736-5C07-4926-862E-70FE94685F31}" type="presParOf" srcId="{132A7FE4-8738-4AF5-898E-9AF0525C9FA3}" destId="{0D839D44-35FC-4D44-9659-A9AFE5A3C72A}" srcOrd="4" destOrd="0" presId="urn:microsoft.com/office/officeart/2009/3/layout/HorizontalOrganizationChart"/>
    <dgm:cxn modelId="{CDB9261D-28EC-48F7-94AF-2FED6ED5B2B0}" type="presParOf" srcId="{132A7FE4-8738-4AF5-898E-9AF0525C9FA3}" destId="{3CC93604-0C97-4616-96A5-93306F0C9EA8}" srcOrd="5" destOrd="0" presId="urn:microsoft.com/office/officeart/2009/3/layout/HorizontalOrganizationChart"/>
    <dgm:cxn modelId="{E016FAF9-98C2-4A5E-8F67-598B58D46266}" type="presParOf" srcId="{3CC93604-0C97-4616-96A5-93306F0C9EA8}" destId="{EF38CFD2-257B-4D8A-9842-318B6B62AA14}" srcOrd="0" destOrd="0" presId="urn:microsoft.com/office/officeart/2009/3/layout/HorizontalOrganizationChart"/>
    <dgm:cxn modelId="{BB3EB0E8-0237-4D39-9E7B-84459F32B51F}" type="presParOf" srcId="{EF38CFD2-257B-4D8A-9842-318B6B62AA14}" destId="{46762137-243E-4870-8092-A3B07CA565CC}" srcOrd="0" destOrd="0" presId="urn:microsoft.com/office/officeart/2009/3/layout/HorizontalOrganizationChart"/>
    <dgm:cxn modelId="{D976F1F4-4023-4EA6-8785-19094DA58632}" type="presParOf" srcId="{EF38CFD2-257B-4D8A-9842-318B6B62AA14}" destId="{A594B67C-F2B3-470D-8E72-314239EA7E93}" srcOrd="1" destOrd="0" presId="urn:microsoft.com/office/officeart/2009/3/layout/HorizontalOrganizationChart"/>
    <dgm:cxn modelId="{36EA1322-F944-47B4-81F5-1ABB116138A1}" type="presParOf" srcId="{3CC93604-0C97-4616-96A5-93306F0C9EA8}" destId="{73FD7786-EFD6-4DD1-9BE8-9FE6DE6F8016}" srcOrd="1" destOrd="0" presId="urn:microsoft.com/office/officeart/2009/3/layout/HorizontalOrganizationChart"/>
    <dgm:cxn modelId="{40645A78-08CB-4176-BCDE-F2F1742DF340}" type="presParOf" srcId="{3CC93604-0C97-4616-96A5-93306F0C9EA8}" destId="{E23BBBD1-C6F7-466E-B54D-CB6B696F83A7}" srcOrd="2" destOrd="0" presId="urn:microsoft.com/office/officeart/2009/3/layout/HorizontalOrganizationChart"/>
    <dgm:cxn modelId="{6DCE9200-3429-42E0-8D0B-63C9357CD427}" type="presParOf" srcId="{132A7FE4-8738-4AF5-898E-9AF0525C9FA3}" destId="{7B429343-16B3-4519-9AFC-3DC97FE968AB}" srcOrd="6" destOrd="0" presId="urn:microsoft.com/office/officeart/2009/3/layout/HorizontalOrganizationChart"/>
    <dgm:cxn modelId="{6F4F2AF6-D6DF-403C-8073-DC6B1A1A18DB}" type="presParOf" srcId="{132A7FE4-8738-4AF5-898E-9AF0525C9FA3}" destId="{51235EAD-A58B-4D36-B142-4AFD49702149}" srcOrd="7" destOrd="0" presId="urn:microsoft.com/office/officeart/2009/3/layout/HorizontalOrganizationChart"/>
    <dgm:cxn modelId="{3B24085F-CBCD-44DC-B456-2A81CD39A7C1}" type="presParOf" srcId="{51235EAD-A58B-4D36-B142-4AFD49702149}" destId="{CF1D8E12-D440-49BF-9B2E-8186B6C6A12F}" srcOrd="0" destOrd="0" presId="urn:microsoft.com/office/officeart/2009/3/layout/HorizontalOrganizationChart"/>
    <dgm:cxn modelId="{25BB308C-64C0-415A-8A4A-E3C1E6029B3C}" type="presParOf" srcId="{CF1D8E12-D440-49BF-9B2E-8186B6C6A12F}" destId="{7CB2819D-2C7B-457F-8F8E-DA89B0E47DFA}" srcOrd="0" destOrd="0" presId="urn:microsoft.com/office/officeart/2009/3/layout/HorizontalOrganizationChart"/>
    <dgm:cxn modelId="{F8FA2985-EFC5-44B8-955C-495C13FB638E}" type="presParOf" srcId="{CF1D8E12-D440-49BF-9B2E-8186B6C6A12F}" destId="{CFBE1FB8-111D-49DC-99BF-CC09C66B94DB}" srcOrd="1" destOrd="0" presId="urn:microsoft.com/office/officeart/2009/3/layout/HorizontalOrganizationChart"/>
    <dgm:cxn modelId="{72CDF6EB-0C26-4E6F-BB17-9A7663920947}" type="presParOf" srcId="{51235EAD-A58B-4D36-B142-4AFD49702149}" destId="{8283F44F-C1C7-4E11-AC73-CEFD531D6D10}" srcOrd="1" destOrd="0" presId="urn:microsoft.com/office/officeart/2009/3/layout/HorizontalOrganizationChart"/>
    <dgm:cxn modelId="{907A2D24-082C-4E2B-A58E-E35850ECEC3F}" type="presParOf" srcId="{51235EAD-A58B-4D36-B142-4AFD49702149}" destId="{C135C295-DF6B-4B83-B5F2-7066725387A0}" srcOrd="2" destOrd="0" presId="urn:microsoft.com/office/officeart/2009/3/layout/HorizontalOrganizationChart"/>
    <dgm:cxn modelId="{CCC5C2EE-9BD8-4C60-86ED-9B0286628AEF}" type="presParOf" srcId="{132A7FE4-8738-4AF5-898E-9AF0525C9FA3}" destId="{7615113B-D319-4C95-95B0-BDB04268CAF7}" srcOrd="8" destOrd="0" presId="urn:microsoft.com/office/officeart/2009/3/layout/HorizontalOrganizationChart"/>
    <dgm:cxn modelId="{B5DF5704-DF11-4AAD-A90D-55FA3445AC91}" type="presParOf" srcId="{132A7FE4-8738-4AF5-898E-9AF0525C9FA3}" destId="{342FCDA3-796B-4F2C-AF18-E356D84D8E4E}" srcOrd="9" destOrd="0" presId="urn:microsoft.com/office/officeart/2009/3/layout/HorizontalOrganizationChart"/>
    <dgm:cxn modelId="{914B7EE9-7FC4-49B7-82E6-5E2BB0B82F9F}" type="presParOf" srcId="{342FCDA3-796B-4F2C-AF18-E356D84D8E4E}" destId="{01E7D33E-6213-424A-A695-70C52BEFF689}" srcOrd="0" destOrd="0" presId="urn:microsoft.com/office/officeart/2009/3/layout/HorizontalOrganizationChart"/>
    <dgm:cxn modelId="{3BD95F8E-F762-48D3-899F-7D18F287DE1D}" type="presParOf" srcId="{01E7D33E-6213-424A-A695-70C52BEFF689}" destId="{30C74DD6-E192-4258-B7C6-E4B906B7EB92}" srcOrd="0" destOrd="0" presId="urn:microsoft.com/office/officeart/2009/3/layout/HorizontalOrganizationChart"/>
    <dgm:cxn modelId="{065DA0DF-161B-4A30-ADC7-405A0D64F5F4}" type="presParOf" srcId="{01E7D33E-6213-424A-A695-70C52BEFF689}" destId="{64AC02CB-68D5-4824-AD01-E8D3D09E57FD}" srcOrd="1" destOrd="0" presId="urn:microsoft.com/office/officeart/2009/3/layout/HorizontalOrganizationChart"/>
    <dgm:cxn modelId="{7ACF8001-28AD-4AFE-8378-C0CC96F0A848}" type="presParOf" srcId="{342FCDA3-796B-4F2C-AF18-E356D84D8E4E}" destId="{2AF4EF7C-EDA8-45CA-BCCF-FF21EFDAC03E}" srcOrd="1" destOrd="0" presId="urn:microsoft.com/office/officeart/2009/3/layout/HorizontalOrganizationChart"/>
    <dgm:cxn modelId="{7D2289B3-5E80-475F-BBB3-24F07E3A6EDD}" type="presParOf" srcId="{342FCDA3-796B-4F2C-AF18-E356D84D8E4E}" destId="{09100D17-6116-4B03-82AB-A7E1649412F0}" srcOrd="2" destOrd="0" presId="urn:microsoft.com/office/officeart/2009/3/layout/HorizontalOrganizationChart"/>
    <dgm:cxn modelId="{3DC2163E-F8F7-47EA-B263-6F13454305E9}" type="presParOf" srcId="{132A7FE4-8738-4AF5-898E-9AF0525C9FA3}" destId="{D9EF2983-186E-49FA-9D14-C183CCF3C9C1}" srcOrd="10" destOrd="0" presId="urn:microsoft.com/office/officeart/2009/3/layout/HorizontalOrganizationChart"/>
    <dgm:cxn modelId="{6BC73A65-B31F-44EE-B938-E1B02101D4E8}" type="presParOf" srcId="{132A7FE4-8738-4AF5-898E-9AF0525C9FA3}" destId="{602846F7-E8AE-4E33-B4AA-54914AB8455B}" srcOrd="11" destOrd="0" presId="urn:microsoft.com/office/officeart/2009/3/layout/HorizontalOrganizationChart"/>
    <dgm:cxn modelId="{58B6F194-8859-426E-948E-DA20B566DB89}" type="presParOf" srcId="{602846F7-E8AE-4E33-B4AA-54914AB8455B}" destId="{8C8D3A82-9991-476F-945A-64F9FFE32E40}" srcOrd="0" destOrd="0" presId="urn:microsoft.com/office/officeart/2009/3/layout/HorizontalOrganizationChart"/>
    <dgm:cxn modelId="{CC65F778-0E18-442C-B425-4E7999E81E01}" type="presParOf" srcId="{8C8D3A82-9991-476F-945A-64F9FFE32E40}" destId="{3579F1B5-6FF0-413D-BD56-ADA91A57D547}" srcOrd="0" destOrd="0" presId="urn:microsoft.com/office/officeart/2009/3/layout/HorizontalOrganizationChart"/>
    <dgm:cxn modelId="{904C4705-C5B1-4139-A67B-AD06B25DFC9F}" type="presParOf" srcId="{8C8D3A82-9991-476F-945A-64F9FFE32E40}" destId="{4590C497-E6F2-45BA-864B-41C38784F099}" srcOrd="1" destOrd="0" presId="urn:microsoft.com/office/officeart/2009/3/layout/HorizontalOrganizationChart"/>
    <dgm:cxn modelId="{317EE962-45B4-463B-AB56-1778432A3DBB}" type="presParOf" srcId="{602846F7-E8AE-4E33-B4AA-54914AB8455B}" destId="{38BD4748-AA42-42DB-8F61-B2C761C2315D}" srcOrd="1" destOrd="0" presId="urn:microsoft.com/office/officeart/2009/3/layout/HorizontalOrganizationChart"/>
    <dgm:cxn modelId="{CD528F57-EF92-48E8-86BB-1C7549C2E4D7}" type="presParOf" srcId="{602846F7-E8AE-4E33-B4AA-54914AB8455B}" destId="{211114C7-A5DA-4632-A469-FF80DF7CD8DF}" srcOrd="2" destOrd="0" presId="urn:microsoft.com/office/officeart/2009/3/layout/HorizontalOrganizationChart"/>
    <dgm:cxn modelId="{472E96C6-C4F5-4F72-888F-1D7DE888B877}" type="presParOf" srcId="{132A7FE4-8738-4AF5-898E-9AF0525C9FA3}" destId="{C29AEAAB-53A3-4824-86EB-12C03767AA5C}" srcOrd="12" destOrd="0" presId="urn:microsoft.com/office/officeart/2009/3/layout/HorizontalOrganizationChart"/>
    <dgm:cxn modelId="{39528BA3-9B12-4D9B-94AB-92492D005108}" type="presParOf" srcId="{132A7FE4-8738-4AF5-898E-9AF0525C9FA3}" destId="{A24C5DF3-CC6B-4CD6-84A1-69BFC2CC4489}" srcOrd="13" destOrd="0" presId="urn:microsoft.com/office/officeart/2009/3/layout/HorizontalOrganizationChart"/>
    <dgm:cxn modelId="{D4501D2A-DE62-43F2-B1F6-CE83AA75BDB0}" type="presParOf" srcId="{A24C5DF3-CC6B-4CD6-84A1-69BFC2CC4489}" destId="{5D9C725F-574D-4199-9CD8-D98058E36EAB}" srcOrd="0" destOrd="0" presId="urn:microsoft.com/office/officeart/2009/3/layout/HorizontalOrganizationChart"/>
    <dgm:cxn modelId="{0E0759DE-C11F-44C1-AA5B-4F8B0F0B51B3}" type="presParOf" srcId="{5D9C725F-574D-4199-9CD8-D98058E36EAB}" destId="{F05362EE-9669-4CF8-9070-94E6557BE083}" srcOrd="0" destOrd="0" presId="urn:microsoft.com/office/officeart/2009/3/layout/HorizontalOrganizationChart"/>
    <dgm:cxn modelId="{DBC63C08-FB36-4844-AA51-970E09BDFB2E}" type="presParOf" srcId="{5D9C725F-574D-4199-9CD8-D98058E36EAB}" destId="{56AA2273-E5CC-4394-AD5C-EFCE68C7EFA2}" srcOrd="1" destOrd="0" presId="urn:microsoft.com/office/officeart/2009/3/layout/HorizontalOrganizationChart"/>
    <dgm:cxn modelId="{B94A2D80-0DB4-4CD8-A5D6-08099A7A514C}" type="presParOf" srcId="{A24C5DF3-CC6B-4CD6-84A1-69BFC2CC4489}" destId="{66826F82-3153-4528-9995-BCDE2725999B}" srcOrd="1" destOrd="0" presId="urn:microsoft.com/office/officeart/2009/3/layout/HorizontalOrganizationChart"/>
    <dgm:cxn modelId="{6C57D17F-7FEC-4BD9-B1D3-B406FA786F4D}" type="presParOf" srcId="{A24C5DF3-CC6B-4CD6-84A1-69BFC2CC4489}" destId="{BEA80B10-C3EF-40C6-9497-A89702140D86}" srcOrd="2" destOrd="0" presId="urn:microsoft.com/office/officeart/2009/3/layout/HorizontalOrganizationChart"/>
    <dgm:cxn modelId="{AC344588-3126-47DB-9C71-20E3AF8BE4E1}" type="presParOf" srcId="{DF811E92-76CB-41FB-B65D-C92076D456E1}" destId="{B8241B07-3A59-4F88-BE10-D7C39D56AB57}" srcOrd="2" destOrd="0" presId="urn:microsoft.com/office/officeart/2009/3/layout/Horizontal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9AEAAB-53A3-4824-86EB-12C03767AA5C}">
      <dsp:nvSpPr>
        <dsp:cNvPr id="0" name=""/>
        <dsp:cNvSpPr/>
      </dsp:nvSpPr>
      <dsp:spPr>
        <a:xfrm>
          <a:off x="2585953" y="1786907"/>
          <a:ext cx="229108" cy="1477752"/>
        </a:xfrm>
        <a:custGeom>
          <a:avLst/>
          <a:gdLst/>
          <a:ahLst/>
          <a:cxnLst/>
          <a:rect l="0" t="0" r="0" b="0"/>
          <a:pathLst>
            <a:path>
              <a:moveTo>
                <a:pt x="0" y="0"/>
              </a:moveTo>
              <a:lnTo>
                <a:pt x="114554" y="0"/>
              </a:lnTo>
              <a:lnTo>
                <a:pt x="114554" y="1477752"/>
              </a:lnTo>
              <a:lnTo>
                <a:pt x="229108" y="14777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EF2983-186E-49FA-9D14-C183CCF3C9C1}">
      <dsp:nvSpPr>
        <dsp:cNvPr id="0" name=""/>
        <dsp:cNvSpPr/>
      </dsp:nvSpPr>
      <dsp:spPr>
        <a:xfrm>
          <a:off x="2585953" y="1786907"/>
          <a:ext cx="229108" cy="985168"/>
        </a:xfrm>
        <a:custGeom>
          <a:avLst/>
          <a:gdLst/>
          <a:ahLst/>
          <a:cxnLst/>
          <a:rect l="0" t="0" r="0" b="0"/>
          <a:pathLst>
            <a:path>
              <a:moveTo>
                <a:pt x="0" y="0"/>
              </a:moveTo>
              <a:lnTo>
                <a:pt x="114554" y="0"/>
              </a:lnTo>
              <a:lnTo>
                <a:pt x="114554" y="985168"/>
              </a:lnTo>
              <a:lnTo>
                <a:pt x="229108" y="9851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15113B-D319-4C95-95B0-BDB04268CAF7}">
      <dsp:nvSpPr>
        <dsp:cNvPr id="0" name=""/>
        <dsp:cNvSpPr/>
      </dsp:nvSpPr>
      <dsp:spPr>
        <a:xfrm>
          <a:off x="2585953" y="1786907"/>
          <a:ext cx="229108" cy="492584"/>
        </a:xfrm>
        <a:custGeom>
          <a:avLst/>
          <a:gdLst/>
          <a:ahLst/>
          <a:cxnLst/>
          <a:rect l="0" t="0" r="0" b="0"/>
          <a:pathLst>
            <a:path>
              <a:moveTo>
                <a:pt x="0" y="0"/>
              </a:moveTo>
              <a:lnTo>
                <a:pt x="114554" y="0"/>
              </a:lnTo>
              <a:lnTo>
                <a:pt x="114554" y="492584"/>
              </a:lnTo>
              <a:lnTo>
                <a:pt x="229108" y="4925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429343-16B3-4519-9AFC-3DC97FE968AB}">
      <dsp:nvSpPr>
        <dsp:cNvPr id="0" name=""/>
        <dsp:cNvSpPr/>
      </dsp:nvSpPr>
      <dsp:spPr>
        <a:xfrm>
          <a:off x="2585953" y="1741187"/>
          <a:ext cx="229108" cy="91440"/>
        </a:xfrm>
        <a:custGeom>
          <a:avLst/>
          <a:gdLst/>
          <a:ahLst/>
          <a:cxnLst/>
          <a:rect l="0" t="0" r="0" b="0"/>
          <a:pathLst>
            <a:path>
              <a:moveTo>
                <a:pt x="0" y="45720"/>
              </a:moveTo>
              <a:lnTo>
                <a:pt x="229108"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839D44-35FC-4D44-9659-A9AFE5A3C72A}">
      <dsp:nvSpPr>
        <dsp:cNvPr id="0" name=""/>
        <dsp:cNvSpPr/>
      </dsp:nvSpPr>
      <dsp:spPr>
        <a:xfrm>
          <a:off x="2585953" y="1294322"/>
          <a:ext cx="229108" cy="492584"/>
        </a:xfrm>
        <a:custGeom>
          <a:avLst/>
          <a:gdLst/>
          <a:ahLst/>
          <a:cxnLst/>
          <a:rect l="0" t="0" r="0" b="0"/>
          <a:pathLst>
            <a:path>
              <a:moveTo>
                <a:pt x="0" y="492584"/>
              </a:moveTo>
              <a:lnTo>
                <a:pt x="114554" y="492584"/>
              </a:lnTo>
              <a:lnTo>
                <a:pt x="114554" y="0"/>
              </a:lnTo>
              <a:lnTo>
                <a:pt x="22910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593878-A796-4FB9-85D9-E5BDA629547E}">
      <dsp:nvSpPr>
        <dsp:cNvPr id="0" name=""/>
        <dsp:cNvSpPr/>
      </dsp:nvSpPr>
      <dsp:spPr>
        <a:xfrm>
          <a:off x="3960607" y="801738"/>
          <a:ext cx="229108" cy="624063"/>
        </a:xfrm>
        <a:custGeom>
          <a:avLst/>
          <a:gdLst/>
          <a:ahLst/>
          <a:cxnLst/>
          <a:rect l="0" t="0" r="0" b="0"/>
          <a:pathLst>
            <a:path>
              <a:moveTo>
                <a:pt x="0" y="0"/>
              </a:moveTo>
              <a:lnTo>
                <a:pt x="114554" y="0"/>
              </a:lnTo>
              <a:lnTo>
                <a:pt x="114554" y="624063"/>
              </a:lnTo>
              <a:lnTo>
                <a:pt x="229108" y="62406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C61952-80CD-4095-BCD8-F3A105153A6B}">
      <dsp:nvSpPr>
        <dsp:cNvPr id="0" name=""/>
        <dsp:cNvSpPr/>
      </dsp:nvSpPr>
      <dsp:spPr>
        <a:xfrm>
          <a:off x="3960607" y="801738"/>
          <a:ext cx="229108" cy="131479"/>
        </a:xfrm>
        <a:custGeom>
          <a:avLst/>
          <a:gdLst/>
          <a:ahLst/>
          <a:cxnLst/>
          <a:rect l="0" t="0" r="0" b="0"/>
          <a:pathLst>
            <a:path>
              <a:moveTo>
                <a:pt x="0" y="0"/>
              </a:moveTo>
              <a:lnTo>
                <a:pt x="114554" y="0"/>
              </a:lnTo>
              <a:lnTo>
                <a:pt x="114554" y="131479"/>
              </a:lnTo>
              <a:lnTo>
                <a:pt x="229108" y="1314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2328E0-03B5-490E-99CB-C59675C92805}">
      <dsp:nvSpPr>
        <dsp:cNvPr id="0" name=""/>
        <dsp:cNvSpPr/>
      </dsp:nvSpPr>
      <dsp:spPr>
        <a:xfrm>
          <a:off x="3960607" y="309154"/>
          <a:ext cx="229108" cy="492584"/>
        </a:xfrm>
        <a:custGeom>
          <a:avLst/>
          <a:gdLst/>
          <a:ahLst/>
          <a:cxnLst/>
          <a:rect l="0" t="0" r="0" b="0"/>
          <a:pathLst>
            <a:path>
              <a:moveTo>
                <a:pt x="0" y="492584"/>
              </a:moveTo>
              <a:lnTo>
                <a:pt x="114554" y="492584"/>
              </a:lnTo>
              <a:lnTo>
                <a:pt x="114554" y="0"/>
              </a:lnTo>
              <a:lnTo>
                <a:pt x="22910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97269D-B69C-409D-86B1-BA20F3B0CE7D}">
      <dsp:nvSpPr>
        <dsp:cNvPr id="0" name=""/>
        <dsp:cNvSpPr/>
      </dsp:nvSpPr>
      <dsp:spPr>
        <a:xfrm>
          <a:off x="2585953" y="801738"/>
          <a:ext cx="229108" cy="985168"/>
        </a:xfrm>
        <a:custGeom>
          <a:avLst/>
          <a:gdLst/>
          <a:ahLst/>
          <a:cxnLst/>
          <a:rect l="0" t="0" r="0" b="0"/>
          <a:pathLst>
            <a:path>
              <a:moveTo>
                <a:pt x="0" y="985168"/>
              </a:moveTo>
              <a:lnTo>
                <a:pt x="114554" y="985168"/>
              </a:lnTo>
              <a:lnTo>
                <a:pt x="114554" y="0"/>
              </a:lnTo>
              <a:lnTo>
                <a:pt x="22910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ADE230-C3CF-453B-ACAC-60C206F4FE78}">
      <dsp:nvSpPr>
        <dsp:cNvPr id="0" name=""/>
        <dsp:cNvSpPr/>
      </dsp:nvSpPr>
      <dsp:spPr>
        <a:xfrm>
          <a:off x="2585953" y="309154"/>
          <a:ext cx="229108" cy="1477752"/>
        </a:xfrm>
        <a:custGeom>
          <a:avLst/>
          <a:gdLst/>
          <a:ahLst/>
          <a:cxnLst/>
          <a:rect l="0" t="0" r="0" b="0"/>
          <a:pathLst>
            <a:path>
              <a:moveTo>
                <a:pt x="0" y="1477752"/>
              </a:moveTo>
              <a:lnTo>
                <a:pt x="114554" y="1477752"/>
              </a:lnTo>
              <a:lnTo>
                <a:pt x="114554" y="0"/>
              </a:lnTo>
              <a:lnTo>
                <a:pt x="22910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FC9153-F098-4992-9F1F-63E453AD0A36}">
      <dsp:nvSpPr>
        <dsp:cNvPr id="0" name=""/>
        <dsp:cNvSpPr/>
      </dsp:nvSpPr>
      <dsp:spPr>
        <a:xfrm>
          <a:off x="1440408" y="1530263"/>
          <a:ext cx="1145544" cy="5132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b-NO" sz="1200" kern="1200" smtClean="0">
              <a:solidFill>
                <a:schemeClr val="tx1"/>
              </a:solidFill>
            </a:rPr>
            <a:t>Telenor Group </a:t>
          </a:r>
          <a:r>
            <a:rPr lang="nb-NO" sz="1200" kern="1200" dirty="0" err="1" smtClean="0">
              <a:solidFill>
                <a:schemeClr val="tx1"/>
              </a:solidFill>
            </a:rPr>
            <a:t>Holding</a:t>
          </a:r>
          <a:endParaRPr lang="nb-NO" sz="1200" kern="1200" dirty="0" smtClean="0">
            <a:solidFill>
              <a:schemeClr val="tx1"/>
            </a:solidFill>
          </a:endParaRPr>
        </a:p>
      </dsp:txBody>
      <dsp:txXfrm>
        <a:off x="1440408" y="1530263"/>
        <a:ext cx="1145544" cy="513287"/>
      </dsp:txXfrm>
    </dsp:sp>
    <dsp:sp modelId="{A943ED1C-694A-477D-A8E6-C38E6CBF0A0D}">
      <dsp:nvSpPr>
        <dsp:cNvPr id="0" name=""/>
        <dsp:cNvSpPr/>
      </dsp:nvSpPr>
      <dsp:spPr>
        <a:xfrm>
          <a:off x="2815062" y="134458"/>
          <a:ext cx="1145544" cy="349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b-NO" sz="1100" kern="1200" dirty="0" err="1" smtClean="0">
              <a:solidFill>
                <a:schemeClr val="tx1"/>
              </a:solidFill>
            </a:rPr>
            <a:t>Fj</a:t>
          </a:r>
          <a:r>
            <a:rPr lang="nb-NO" sz="1100" kern="1200" dirty="0" smtClean="0">
              <a:solidFill>
                <a:schemeClr val="tx1"/>
              </a:solidFill>
            </a:rPr>
            <a:t> Labs</a:t>
          </a:r>
          <a:endParaRPr lang="nb-NO" sz="1100" kern="1200" dirty="0">
            <a:solidFill>
              <a:schemeClr val="tx1"/>
            </a:solidFill>
          </a:endParaRPr>
        </a:p>
      </dsp:txBody>
      <dsp:txXfrm>
        <a:off x="2815062" y="134458"/>
        <a:ext cx="1145544" cy="349391"/>
      </dsp:txXfrm>
    </dsp:sp>
    <dsp:sp modelId="{BA3C4BBA-737F-471D-90F3-131ED61636A5}">
      <dsp:nvSpPr>
        <dsp:cNvPr id="0" name=""/>
        <dsp:cNvSpPr/>
      </dsp:nvSpPr>
      <dsp:spPr>
        <a:xfrm>
          <a:off x="2815062" y="627043"/>
          <a:ext cx="1145544" cy="349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b-NO" sz="1100" kern="1200" dirty="0" err="1" smtClean="0">
              <a:solidFill>
                <a:schemeClr val="tx1"/>
              </a:solidFill>
            </a:rPr>
            <a:t>JV’s/Equity participation</a:t>
          </a:r>
          <a:endParaRPr lang="nb-NO" sz="1100" kern="1200" dirty="0">
            <a:solidFill>
              <a:schemeClr val="tx1"/>
            </a:solidFill>
          </a:endParaRPr>
        </a:p>
      </dsp:txBody>
      <dsp:txXfrm>
        <a:off x="2815062" y="627043"/>
        <a:ext cx="1145544" cy="349391"/>
      </dsp:txXfrm>
    </dsp:sp>
    <dsp:sp modelId="{2202BF31-1AA8-4BF9-B455-080F824BACFE}">
      <dsp:nvSpPr>
        <dsp:cNvPr id="0" name=""/>
        <dsp:cNvSpPr/>
      </dsp:nvSpPr>
      <dsp:spPr>
        <a:xfrm>
          <a:off x="4189716" y="2979"/>
          <a:ext cx="1145544" cy="6123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b-NO" sz="1100" kern="1200" dirty="0" smtClean="0">
              <a:solidFill>
                <a:schemeClr val="tx1"/>
              </a:solidFill>
            </a:rPr>
            <a:t>Canal Digital/Nent </a:t>
          </a:r>
          <a:r>
            <a:rPr lang="nb-NO" sz="800" kern="1200" dirty="0" smtClean="0">
              <a:solidFill>
                <a:schemeClr val="tx1"/>
              </a:solidFill>
            </a:rPr>
            <a:t>JV 50%</a:t>
          </a:r>
        </a:p>
        <a:p>
          <a:pPr lvl="0" algn="ctr" defTabSz="488950">
            <a:lnSpc>
              <a:spcPct val="90000"/>
            </a:lnSpc>
            <a:spcBef>
              <a:spcPct val="0"/>
            </a:spcBef>
            <a:spcAft>
              <a:spcPct val="35000"/>
            </a:spcAft>
          </a:pPr>
          <a:r>
            <a:rPr lang="nb-NO" sz="800" kern="1200" dirty="0" smtClean="0">
              <a:solidFill>
                <a:schemeClr val="tx1"/>
              </a:solidFill>
            </a:rPr>
            <a:t>(</a:t>
          </a:r>
          <a:r>
            <a:rPr lang="nb-NO" sz="800" kern="1200" dirty="0" err="1" smtClean="0">
              <a:solidFill>
                <a:schemeClr val="tx1"/>
              </a:solidFill>
            </a:rPr>
            <a:t>pending</a:t>
          </a:r>
          <a:r>
            <a:rPr lang="nb-NO" sz="800" kern="1200" dirty="0" smtClean="0">
              <a:solidFill>
                <a:schemeClr val="tx1"/>
              </a:solidFill>
            </a:rPr>
            <a:t> </a:t>
          </a:r>
          <a:r>
            <a:rPr lang="nb-NO" sz="800" kern="1200" dirty="0" err="1" smtClean="0">
              <a:solidFill>
                <a:schemeClr val="tx1"/>
              </a:solidFill>
            </a:rPr>
            <a:t>closing</a:t>
          </a:r>
          <a:r>
            <a:rPr lang="nb-NO" sz="800" kern="1200" dirty="0" smtClean="0">
              <a:solidFill>
                <a:schemeClr val="tx1"/>
              </a:solidFill>
            </a:rPr>
            <a:t> Summer 2020)</a:t>
          </a:r>
          <a:endParaRPr lang="nb-NO" sz="800" kern="1200" dirty="0">
            <a:solidFill>
              <a:schemeClr val="tx1"/>
            </a:solidFill>
          </a:endParaRPr>
        </a:p>
      </dsp:txBody>
      <dsp:txXfrm>
        <a:off x="4189716" y="2979"/>
        <a:ext cx="1145544" cy="612349"/>
      </dsp:txXfrm>
    </dsp:sp>
    <dsp:sp modelId="{06AAC287-55C4-4FC4-84EC-84DDE77A8271}">
      <dsp:nvSpPr>
        <dsp:cNvPr id="0" name=""/>
        <dsp:cNvSpPr/>
      </dsp:nvSpPr>
      <dsp:spPr>
        <a:xfrm>
          <a:off x="4189716" y="758522"/>
          <a:ext cx="1145544" cy="349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b-NO" sz="1100" kern="1200" dirty="0" err="1" smtClean="0">
              <a:solidFill>
                <a:schemeClr val="tx1"/>
              </a:solidFill>
            </a:rPr>
            <a:t>Carousell</a:t>
          </a:r>
          <a:r>
            <a:rPr lang="nb-NO" sz="1100" kern="1200" dirty="0" smtClean="0">
              <a:solidFill>
                <a:schemeClr val="tx1"/>
              </a:solidFill>
            </a:rPr>
            <a:t> 32%</a:t>
          </a:r>
          <a:endParaRPr lang="nb-NO" sz="1100" kern="1200" dirty="0">
            <a:solidFill>
              <a:schemeClr val="tx1"/>
            </a:solidFill>
          </a:endParaRPr>
        </a:p>
      </dsp:txBody>
      <dsp:txXfrm>
        <a:off x="4189716" y="758522"/>
        <a:ext cx="1145544" cy="349391"/>
      </dsp:txXfrm>
    </dsp:sp>
    <dsp:sp modelId="{AA8992B1-53C2-4178-BFEA-C32E74F0AE99}">
      <dsp:nvSpPr>
        <dsp:cNvPr id="0" name=""/>
        <dsp:cNvSpPr/>
      </dsp:nvSpPr>
      <dsp:spPr>
        <a:xfrm>
          <a:off x="4189716" y="1251106"/>
          <a:ext cx="1145544" cy="349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b-NO" sz="1100" kern="1200" dirty="0" smtClean="0">
              <a:solidFill>
                <a:schemeClr val="tx1"/>
              </a:solidFill>
            </a:rPr>
            <a:t>Small </a:t>
          </a:r>
          <a:r>
            <a:rPr lang="nb-NO" sz="1100" kern="1200" dirty="0" err="1" smtClean="0">
              <a:solidFill>
                <a:schemeClr val="tx1"/>
              </a:solidFill>
            </a:rPr>
            <a:t>JV’s</a:t>
          </a:r>
          <a:r>
            <a:rPr lang="nb-NO" sz="1100" kern="1200" dirty="0" smtClean="0">
              <a:solidFill>
                <a:schemeClr val="tx1"/>
              </a:solidFill>
            </a:rPr>
            <a:t>:</a:t>
          </a:r>
        </a:p>
        <a:p>
          <a:pPr lvl="0" algn="ctr" defTabSz="488950">
            <a:lnSpc>
              <a:spcPct val="90000"/>
            </a:lnSpc>
            <a:spcBef>
              <a:spcPct val="0"/>
            </a:spcBef>
            <a:spcAft>
              <a:spcPct val="35000"/>
            </a:spcAft>
          </a:pPr>
          <a:r>
            <a:rPr lang="nb-NO" sz="1100" kern="1200" dirty="0" err="1" smtClean="0">
              <a:solidFill>
                <a:schemeClr val="tx1"/>
              </a:solidFill>
            </a:rPr>
            <a:t>Videonor</a:t>
          </a:r>
          <a:r>
            <a:rPr lang="nb-NO" sz="1100" kern="1200" smtClean="0">
              <a:solidFill>
                <a:schemeClr val="tx1"/>
              </a:solidFill>
            </a:rPr>
            <a:t>, WG2</a:t>
          </a:r>
          <a:endParaRPr lang="nb-NO" sz="1100" kern="1200" dirty="0">
            <a:solidFill>
              <a:schemeClr val="tx1"/>
            </a:solidFill>
          </a:endParaRPr>
        </a:p>
      </dsp:txBody>
      <dsp:txXfrm>
        <a:off x="4189716" y="1251106"/>
        <a:ext cx="1145544" cy="349391"/>
      </dsp:txXfrm>
    </dsp:sp>
    <dsp:sp modelId="{46762137-243E-4870-8092-A3B07CA565CC}">
      <dsp:nvSpPr>
        <dsp:cNvPr id="0" name=""/>
        <dsp:cNvSpPr/>
      </dsp:nvSpPr>
      <dsp:spPr>
        <a:xfrm>
          <a:off x="2815062" y="1119627"/>
          <a:ext cx="1145544" cy="349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b-NO" sz="1100" kern="1200" dirty="0" smtClean="0">
              <a:solidFill>
                <a:schemeClr val="tx1"/>
              </a:solidFill>
            </a:rPr>
            <a:t>Telenor Maritime </a:t>
          </a:r>
        </a:p>
      </dsp:txBody>
      <dsp:txXfrm>
        <a:off x="2815062" y="1119627"/>
        <a:ext cx="1145544" cy="349391"/>
      </dsp:txXfrm>
    </dsp:sp>
    <dsp:sp modelId="{7CB2819D-2C7B-457F-8F8E-DA89B0E47DFA}">
      <dsp:nvSpPr>
        <dsp:cNvPr id="0" name=""/>
        <dsp:cNvSpPr/>
      </dsp:nvSpPr>
      <dsp:spPr>
        <a:xfrm>
          <a:off x="2815062" y="1612211"/>
          <a:ext cx="1145544" cy="349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b-NO" sz="1100" kern="1200" dirty="0" err="1" smtClean="0">
              <a:solidFill>
                <a:schemeClr val="tx1"/>
              </a:solidFill>
            </a:rPr>
            <a:t>Tapad</a:t>
          </a:r>
          <a:endParaRPr lang="nb-NO" sz="1100" kern="1200" dirty="0" smtClean="0">
            <a:solidFill>
              <a:schemeClr val="tx1"/>
            </a:solidFill>
          </a:endParaRPr>
        </a:p>
      </dsp:txBody>
      <dsp:txXfrm>
        <a:off x="2815062" y="1612211"/>
        <a:ext cx="1145544" cy="349391"/>
      </dsp:txXfrm>
    </dsp:sp>
    <dsp:sp modelId="{30C74DD6-E192-4258-B7C6-E4B906B7EB92}">
      <dsp:nvSpPr>
        <dsp:cNvPr id="0" name=""/>
        <dsp:cNvSpPr/>
      </dsp:nvSpPr>
      <dsp:spPr>
        <a:xfrm>
          <a:off x="2815062" y="2104795"/>
          <a:ext cx="1145544" cy="349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b-NO" sz="1100" kern="1200" dirty="0" smtClean="0">
              <a:solidFill>
                <a:schemeClr val="tx1"/>
              </a:solidFill>
            </a:rPr>
            <a:t>Global </a:t>
          </a:r>
          <a:r>
            <a:rPr lang="nb-NO" sz="1100" kern="1200" dirty="0" err="1" smtClean="0">
              <a:solidFill>
                <a:schemeClr val="tx1"/>
              </a:solidFill>
            </a:rPr>
            <a:t>Wholesale</a:t>
          </a:r>
          <a:endParaRPr lang="nb-NO" sz="1100" kern="1200" dirty="0" smtClean="0">
            <a:solidFill>
              <a:schemeClr val="tx1"/>
            </a:solidFill>
          </a:endParaRPr>
        </a:p>
      </dsp:txBody>
      <dsp:txXfrm>
        <a:off x="2815062" y="2104795"/>
        <a:ext cx="1145544" cy="349391"/>
      </dsp:txXfrm>
    </dsp:sp>
    <dsp:sp modelId="{3579F1B5-6FF0-413D-BD56-ADA91A57D547}">
      <dsp:nvSpPr>
        <dsp:cNvPr id="0" name=""/>
        <dsp:cNvSpPr/>
      </dsp:nvSpPr>
      <dsp:spPr>
        <a:xfrm>
          <a:off x="2815062" y="2597380"/>
          <a:ext cx="1145544" cy="349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b-NO" sz="1100" kern="1200" dirty="0" smtClean="0">
              <a:solidFill>
                <a:schemeClr val="tx1"/>
              </a:solidFill>
            </a:rPr>
            <a:t>Telenor Eiendom</a:t>
          </a:r>
        </a:p>
      </dsp:txBody>
      <dsp:txXfrm>
        <a:off x="2815062" y="2597380"/>
        <a:ext cx="1145544" cy="349391"/>
      </dsp:txXfrm>
    </dsp:sp>
    <dsp:sp modelId="{F05362EE-9669-4CF8-9070-94E6557BE083}">
      <dsp:nvSpPr>
        <dsp:cNvPr id="0" name=""/>
        <dsp:cNvSpPr/>
      </dsp:nvSpPr>
      <dsp:spPr>
        <a:xfrm>
          <a:off x="2815062" y="3089964"/>
          <a:ext cx="1145544" cy="3493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b-NO" sz="1100" kern="1200" dirty="0" smtClean="0">
              <a:solidFill>
                <a:schemeClr val="tx1"/>
              </a:solidFill>
            </a:rPr>
            <a:t>Telenor </a:t>
          </a:r>
          <a:r>
            <a:rPr lang="nb-NO" sz="1100" kern="1200" dirty="0" err="1" smtClean="0">
              <a:solidFill>
                <a:schemeClr val="tx1"/>
              </a:solidFill>
            </a:rPr>
            <a:t>Satellite</a:t>
          </a:r>
          <a:endParaRPr lang="nb-NO" sz="1100" kern="1200" dirty="0" smtClean="0">
            <a:solidFill>
              <a:schemeClr val="tx1"/>
            </a:solidFill>
          </a:endParaRPr>
        </a:p>
      </dsp:txBody>
      <dsp:txXfrm>
        <a:off x="2815062" y="3089964"/>
        <a:ext cx="1145544" cy="34939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396E25-20C5-4168-B607-701747E4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10432</Words>
  <Characters>55295</Characters>
  <Application>Microsoft Office Word</Application>
  <DocSecurity>0</DocSecurity>
  <Lines>460</Lines>
  <Paragraphs>131</Paragraphs>
  <ScaleCrop>false</ScaleCrop>
  <HeadingPairs>
    <vt:vector size="2" baseType="variant">
      <vt:variant>
        <vt:lpstr>Title</vt:lpstr>
      </vt:variant>
      <vt:variant>
        <vt:i4>1</vt:i4>
      </vt:variant>
    </vt:vector>
  </HeadingPairs>
  <TitlesOfParts>
    <vt:vector size="1" baseType="lpstr">
      <vt:lpstr>Telenor’s walks on the wild-side. 
From radical change to “modernization” of the core business model.</vt:lpstr>
    </vt:vector>
  </TitlesOfParts>
  <Company/>
  <LinksUpToDate>false</LinksUpToDate>
  <CharactersWithSpaces>65596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Telenor’s walks on the wild-side. 
From radical change to “modernization” of the core business model.</dc:title>
  <dc:subject/>
  <dc:creator>Elter Frank</dc:creator>
  <cp:keywords/>
  <dc:description/>
  <cp:lastModifiedBy>Paul N. Gooderham</cp:lastModifiedBy>
  <cp:revision>3</cp:revision>
  <cp:lastPrinted>2020-01-29T12:02:00Z</cp:lastPrinted>
  <dcterms:created xsi:type="dcterms:W3CDTF">2020-05-05T13:07:00Z</dcterms:created>
  <dcterms:modified xsi:type="dcterms:W3CDTF">2020-05-05T13:24:00Z</dcterms:modified>
</cp:coreProperties>
</file>