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B7A" w:rsidRPr="0089351A" w:rsidRDefault="008E7B7A" w:rsidP="008E7B7A">
      <w:pPr>
        <w:spacing w:line="480" w:lineRule="auto"/>
        <w:rPr>
          <w:rFonts w:asciiTheme="majorBidi" w:hAnsiTheme="majorBidi" w:cstheme="majorBidi"/>
          <w:b/>
          <w:bCs/>
          <w:sz w:val="24"/>
          <w:szCs w:val="24"/>
        </w:rPr>
      </w:pPr>
    </w:p>
    <w:p w:rsidR="008E7B7A" w:rsidRPr="0089351A" w:rsidRDefault="008E7B7A" w:rsidP="008E7B7A">
      <w:pPr>
        <w:spacing w:line="480" w:lineRule="auto"/>
        <w:rPr>
          <w:rFonts w:asciiTheme="majorBidi" w:hAnsiTheme="majorBidi" w:cstheme="majorBidi"/>
          <w:b/>
          <w:bCs/>
          <w:sz w:val="24"/>
          <w:szCs w:val="24"/>
        </w:rPr>
      </w:pPr>
    </w:p>
    <w:p w:rsidR="00873B1E" w:rsidRPr="0089351A" w:rsidRDefault="00873B1E" w:rsidP="00873B1E">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The Mauritian Truth and Justice Commission: Legitimacy, political negotiation and the consequences of slavery</w:t>
      </w:r>
    </w:p>
    <w:p w:rsidR="00873B1E" w:rsidRPr="0089351A" w:rsidRDefault="005A140B" w:rsidP="00360222">
      <w:pPr>
        <w:spacing w:line="480" w:lineRule="auto"/>
        <w:rPr>
          <w:rFonts w:asciiTheme="majorBidi" w:hAnsiTheme="majorBidi" w:cstheme="majorBidi"/>
          <w:b/>
          <w:bCs/>
          <w:sz w:val="24"/>
          <w:szCs w:val="24"/>
        </w:rPr>
      </w:pPr>
      <w:r>
        <w:rPr>
          <w:rFonts w:asciiTheme="majorBidi" w:hAnsiTheme="majorBidi" w:cstheme="majorBidi"/>
          <w:b/>
          <w:bCs/>
          <w:sz w:val="24"/>
          <w:szCs w:val="24"/>
        </w:rPr>
        <w:t>Richard Croucher, Mark Houssart and Didier Michel</w:t>
      </w:r>
    </w:p>
    <w:p w:rsidR="00873B1E" w:rsidRPr="0089351A" w:rsidRDefault="00873B1E" w:rsidP="00360222">
      <w:pPr>
        <w:spacing w:line="480" w:lineRule="auto"/>
        <w:rPr>
          <w:rFonts w:asciiTheme="majorBidi" w:hAnsiTheme="majorBidi" w:cstheme="majorBidi"/>
          <w:b/>
          <w:bCs/>
          <w:sz w:val="24"/>
          <w:szCs w:val="24"/>
        </w:rPr>
      </w:pPr>
      <w:bookmarkStart w:id="0" w:name="_GoBack"/>
      <w:bookmarkEnd w:id="0"/>
    </w:p>
    <w:p w:rsidR="003D5109" w:rsidRPr="0089351A" w:rsidRDefault="003D5109"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Abstract</w:t>
      </w:r>
    </w:p>
    <w:p w:rsidR="003D5109" w:rsidRPr="0089351A" w:rsidRDefault="004A6DF1"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We e</w:t>
      </w:r>
      <w:r w:rsidR="003D5109" w:rsidRPr="0089351A">
        <w:rPr>
          <w:rFonts w:asciiTheme="majorBidi" w:hAnsiTheme="majorBidi" w:cstheme="majorBidi"/>
          <w:sz w:val="24"/>
          <w:szCs w:val="24"/>
        </w:rPr>
        <w:t>x</w:t>
      </w:r>
      <w:r w:rsidRPr="0089351A">
        <w:rPr>
          <w:rFonts w:asciiTheme="majorBidi" w:hAnsiTheme="majorBidi" w:cstheme="majorBidi"/>
          <w:sz w:val="24"/>
          <w:szCs w:val="24"/>
        </w:rPr>
        <w:t>amine</w:t>
      </w:r>
      <w:r w:rsidR="00A24562" w:rsidRPr="0089351A">
        <w:rPr>
          <w:rFonts w:asciiTheme="majorBidi" w:hAnsiTheme="majorBidi" w:cstheme="majorBidi"/>
          <w:sz w:val="24"/>
          <w:szCs w:val="24"/>
        </w:rPr>
        <w:t xml:space="preserve"> the origins</w:t>
      </w:r>
      <w:r w:rsidR="00D406CC" w:rsidRPr="0089351A">
        <w:rPr>
          <w:rFonts w:asciiTheme="majorBidi" w:hAnsiTheme="majorBidi" w:cstheme="majorBidi"/>
          <w:sz w:val="24"/>
          <w:szCs w:val="24"/>
        </w:rPr>
        <w:t>, processes</w:t>
      </w:r>
      <w:r w:rsidR="003D5109" w:rsidRPr="0089351A">
        <w:rPr>
          <w:rFonts w:asciiTheme="majorBidi" w:hAnsiTheme="majorBidi" w:cstheme="majorBidi"/>
          <w:sz w:val="24"/>
          <w:szCs w:val="24"/>
        </w:rPr>
        <w:t xml:space="preserve"> </w:t>
      </w:r>
      <w:r w:rsidR="00F33B4C" w:rsidRPr="0089351A">
        <w:rPr>
          <w:rFonts w:asciiTheme="majorBidi" w:hAnsiTheme="majorBidi" w:cstheme="majorBidi"/>
          <w:sz w:val="24"/>
          <w:szCs w:val="24"/>
        </w:rPr>
        <w:t xml:space="preserve">and outcomes </w:t>
      </w:r>
      <w:r w:rsidR="003D5109" w:rsidRPr="0089351A">
        <w:rPr>
          <w:rFonts w:asciiTheme="majorBidi" w:hAnsiTheme="majorBidi" w:cstheme="majorBidi"/>
          <w:sz w:val="24"/>
          <w:szCs w:val="24"/>
        </w:rPr>
        <w:t>of the Mauritia</w:t>
      </w:r>
      <w:r w:rsidR="003D270F" w:rsidRPr="0089351A">
        <w:rPr>
          <w:rFonts w:asciiTheme="majorBidi" w:hAnsiTheme="majorBidi" w:cstheme="majorBidi"/>
          <w:sz w:val="24"/>
          <w:szCs w:val="24"/>
        </w:rPr>
        <w:t>n Truth and Justice Commission</w:t>
      </w:r>
      <w:r w:rsidR="00061802" w:rsidRPr="0089351A">
        <w:rPr>
          <w:rFonts w:asciiTheme="majorBidi" w:hAnsiTheme="majorBidi" w:cstheme="majorBidi"/>
          <w:sz w:val="24"/>
          <w:szCs w:val="24"/>
        </w:rPr>
        <w:t>’s</w:t>
      </w:r>
      <w:r w:rsidR="006D2A21" w:rsidRPr="0089351A">
        <w:rPr>
          <w:rFonts w:asciiTheme="majorBidi" w:hAnsiTheme="majorBidi" w:cstheme="majorBidi"/>
          <w:sz w:val="24"/>
          <w:szCs w:val="24"/>
        </w:rPr>
        <w:t xml:space="preserve"> (MTJC)</w:t>
      </w:r>
      <w:r w:rsidR="008D0ACB" w:rsidRPr="0089351A">
        <w:rPr>
          <w:rFonts w:asciiTheme="majorBidi" w:hAnsiTheme="majorBidi" w:cstheme="majorBidi"/>
          <w:sz w:val="24"/>
          <w:szCs w:val="24"/>
        </w:rPr>
        <w:t>,</w:t>
      </w:r>
      <w:r w:rsidR="003D270F" w:rsidRPr="0089351A">
        <w:rPr>
          <w:rFonts w:asciiTheme="majorBidi" w:hAnsiTheme="majorBidi" w:cstheme="majorBidi"/>
          <w:sz w:val="24"/>
          <w:szCs w:val="24"/>
        </w:rPr>
        <w:t xml:space="preserve"> </w:t>
      </w:r>
      <w:r w:rsidR="008533CF" w:rsidRPr="0089351A">
        <w:rPr>
          <w:rFonts w:asciiTheme="majorBidi" w:hAnsiTheme="majorBidi" w:cstheme="majorBidi"/>
          <w:sz w:val="24"/>
          <w:szCs w:val="24"/>
        </w:rPr>
        <w:t>examination of slavery</w:t>
      </w:r>
      <w:r w:rsidR="008D0ACB" w:rsidRPr="0089351A">
        <w:rPr>
          <w:rFonts w:asciiTheme="majorBidi" w:hAnsiTheme="majorBidi" w:cstheme="majorBidi"/>
          <w:sz w:val="24"/>
          <w:szCs w:val="24"/>
        </w:rPr>
        <w:t>, indentured labour and their</w:t>
      </w:r>
      <w:r w:rsidR="008533CF" w:rsidRPr="0089351A">
        <w:rPr>
          <w:rFonts w:asciiTheme="majorBidi" w:hAnsiTheme="majorBidi" w:cstheme="majorBidi"/>
          <w:sz w:val="24"/>
          <w:szCs w:val="24"/>
        </w:rPr>
        <w:t xml:space="preserve"> </w:t>
      </w:r>
      <w:r w:rsidR="003D270F" w:rsidRPr="0089351A">
        <w:rPr>
          <w:rFonts w:asciiTheme="majorBidi" w:hAnsiTheme="majorBidi" w:cstheme="majorBidi"/>
          <w:sz w:val="24"/>
          <w:szCs w:val="24"/>
        </w:rPr>
        <w:t xml:space="preserve">contemporary </w:t>
      </w:r>
      <w:r w:rsidR="008533CF" w:rsidRPr="0089351A">
        <w:rPr>
          <w:rFonts w:asciiTheme="majorBidi" w:hAnsiTheme="majorBidi" w:cstheme="majorBidi"/>
          <w:sz w:val="24"/>
          <w:szCs w:val="24"/>
        </w:rPr>
        <w:t xml:space="preserve">effects. </w:t>
      </w:r>
      <w:r w:rsidR="00CF72DD" w:rsidRPr="0089351A">
        <w:rPr>
          <w:rFonts w:asciiTheme="majorBidi" w:hAnsiTheme="majorBidi" w:cstheme="majorBidi"/>
          <w:sz w:val="24"/>
          <w:szCs w:val="24"/>
        </w:rPr>
        <w:t xml:space="preserve">It has not been considered a success by any commentator.  </w:t>
      </w:r>
      <w:r w:rsidR="008533CF" w:rsidRPr="0089351A">
        <w:rPr>
          <w:rFonts w:asciiTheme="majorBidi" w:hAnsiTheme="majorBidi" w:cstheme="majorBidi"/>
          <w:sz w:val="24"/>
          <w:szCs w:val="24"/>
        </w:rPr>
        <w:t xml:space="preserve">We </w:t>
      </w:r>
      <w:r w:rsidR="00CF72DD" w:rsidRPr="0089351A">
        <w:rPr>
          <w:rFonts w:asciiTheme="majorBidi" w:hAnsiTheme="majorBidi" w:cstheme="majorBidi"/>
          <w:sz w:val="24"/>
          <w:szCs w:val="24"/>
        </w:rPr>
        <w:t xml:space="preserve">therefore </w:t>
      </w:r>
      <w:r w:rsidR="008533CF" w:rsidRPr="0089351A">
        <w:rPr>
          <w:rFonts w:asciiTheme="majorBidi" w:hAnsiTheme="majorBidi" w:cstheme="majorBidi"/>
          <w:sz w:val="24"/>
          <w:szCs w:val="24"/>
        </w:rPr>
        <w:t xml:space="preserve">ask </w:t>
      </w:r>
      <w:r w:rsidR="0092683E" w:rsidRPr="0089351A">
        <w:rPr>
          <w:rFonts w:asciiTheme="majorBidi" w:hAnsiTheme="majorBidi" w:cstheme="majorBidi"/>
          <w:sz w:val="24"/>
          <w:szCs w:val="24"/>
        </w:rPr>
        <w:t xml:space="preserve">how </w:t>
      </w:r>
      <w:r w:rsidR="00841655" w:rsidRPr="0089351A">
        <w:rPr>
          <w:rFonts w:asciiTheme="majorBidi" w:hAnsiTheme="majorBidi" w:cstheme="majorBidi"/>
          <w:sz w:val="24"/>
          <w:szCs w:val="24"/>
        </w:rPr>
        <w:t>far James L. Gibson’s application of legitimacy theory to</w:t>
      </w:r>
      <w:r w:rsidR="0092683E" w:rsidRPr="0089351A">
        <w:rPr>
          <w:rFonts w:asciiTheme="majorBidi" w:hAnsiTheme="majorBidi" w:cstheme="majorBidi"/>
          <w:sz w:val="24"/>
          <w:szCs w:val="24"/>
        </w:rPr>
        <w:t xml:space="preserve"> </w:t>
      </w:r>
      <w:r w:rsidR="008C5D25" w:rsidRPr="0089351A">
        <w:rPr>
          <w:rFonts w:asciiTheme="majorBidi" w:hAnsiTheme="majorBidi" w:cstheme="majorBidi"/>
          <w:sz w:val="24"/>
          <w:szCs w:val="24"/>
        </w:rPr>
        <w:t>‘</w:t>
      </w:r>
      <w:r w:rsidR="00A27EE9" w:rsidRPr="0089351A">
        <w:rPr>
          <w:rFonts w:asciiTheme="majorBidi" w:hAnsiTheme="majorBidi" w:cstheme="majorBidi"/>
          <w:sz w:val="24"/>
          <w:szCs w:val="24"/>
        </w:rPr>
        <w:t>Truth Commissions</w:t>
      </w:r>
      <w:r w:rsidR="008C5D25" w:rsidRPr="0089351A">
        <w:rPr>
          <w:rFonts w:asciiTheme="majorBidi" w:hAnsiTheme="majorBidi" w:cstheme="majorBidi"/>
          <w:sz w:val="24"/>
          <w:szCs w:val="24"/>
        </w:rPr>
        <w:t>’</w:t>
      </w:r>
      <w:r w:rsidR="00A27EE9" w:rsidRPr="0089351A">
        <w:rPr>
          <w:rFonts w:asciiTheme="majorBidi" w:hAnsiTheme="majorBidi" w:cstheme="majorBidi"/>
          <w:sz w:val="24"/>
          <w:szCs w:val="24"/>
        </w:rPr>
        <w:t xml:space="preserve"> has purchase </w:t>
      </w:r>
      <w:r w:rsidR="008D0ACB" w:rsidRPr="0089351A">
        <w:rPr>
          <w:rFonts w:asciiTheme="majorBidi" w:hAnsiTheme="majorBidi" w:cstheme="majorBidi"/>
          <w:sz w:val="24"/>
          <w:szCs w:val="24"/>
        </w:rPr>
        <w:t xml:space="preserve">in this context </w:t>
      </w:r>
      <w:r w:rsidR="00A27EE9" w:rsidRPr="0089351A">
        <w:rPr>
          <w:rFonts w:asciiTheme="majorBidi" w:hAnsiTheme="majorBidi" w:cstheme="majorBidi"/>
          <w:sz w:val="24"/>
          <w:szCs w:val="24"/>
        </w:rPr>
        <w:t xml:space="preserve">and whether it was </w:t>
      </w:r>
      <w:r w:rsidR="00964FC3" w:rsidRPr="0089351A">
        <w:rPr>
          <w:rFonts w:asciiTheme="majorBidi" w:hAnsiTheme="majorBidi" w:cstheme="majorBidi"/>
          <w:sz w:val="24"/>
          <w:szCs w:val="24"/>
        </w:rPr>
        <w:t>cynically motivated</w:t>
      </w:r>
      <w:r w:rsidR="000929C8" w:rsidRPr="0089351A">
        <w:rPr>
          <w:rFonts w:asciiTheme="majorBidi" w:hAnsiTheme="majorBidi" w:cstheme="majorBidi"/>
          <w:sz w:val="24"/>
          <w:szCs w:val="24"/>
        </w:rPr>
        <w:t>. We use</w:t>
      </w:r>
      <w:r w:rsidR="00A27EE9" w:rsidRPr="0089351A">
        <w:rPr>
          <w:rFonts w:asciiTheme="majorBidi" w:hAnsiTheme="majorBidi" w:cstheme="majorBidi"/>
          <w:sz w:val="24"/>
          <w:szCs w:val="24"/>
        </w:rPr>
        <w:t xml:space="preserve"> </w:t>
      </w:r>
      <w:r w:rsidR="008323D7" w:rsidRPr="0089351A">
        <w:rPr>
          <w:rFonts w:asciiTheme="majorBidi" w:hAnsiTheme="majorBidi" w:cstheme="majorBidi"/>
          <w:sz w:val="24"/>
          <w:szCs w:val="24"/>
        </w:rPr>
        <w:t>MTJC</w:t>
      </w:r>
      <w:r w:rsidR="00A27EE9" w:rsidRPr="0089351A">
        <w:rPr>
          <w:rFonts w:asciiTheme="majorBidi" w:hAnsiTheme="majorBidi" w:cstheme="majorBidi"/>
          <w:sz w:val="24"/>
          <w:szCs w:val="24"/>
        </w:rPr>
        <w:t xml:space="preserve"> </w:t>
      </w:r>
      <w:r w:rsidR="003D270F" w:rsidRPr="0089351A">
        <w:rPr>
          <w:rFonts w:asciiTheme="majorBidi" w:hAnsiTheme="majorBidi" w:cstheme="majorBidi"/>
          <w:sz w:val="24"/>
          <w:szCs w:val="24"/>
        </w:rPr>
        <w:t>documentation,</w:t>
      </w:r>
      <w:r w:rsidR="00687353" w:rsidRPr="0089351A">
        <w:rPr>
          <w:rFonts w:asciiTheme="majorBidi" w:hAnsiTheme="majorBidi" w:cstheme="majorBidi"/>
          <w:sz w:val="24"/>
          <w:szCs w:val="24"/>
        </w:rPr>
        <w:t xml:space="preserve"> </w:t>
      </w:r>
      <w:r w:rsidR="003D5109" w:rsidRPr="0089351A">
        <w:rPr>
          <w:rFonts w:asciiTheme="majorBidi" w:hAnsiTheme="majorBidi" w:cstheme="majorBidi"/>
          <w:sz w:val="24"/>
          <w:szCs w:val="24"/>
        </w:rPr>
        <w:t>extensive i</w:t>
      </w:r>
      <w:r w:rsidR="00687353" w:rsidRPr="0089351A">
        <w:rPr>
          <w:rFonts w:asciiTheme="majorBidi" w:hAnsiTheme="majorBidi" w:cstheme="majorBidi"/>
          <w:sz w:val="24"/>
          <w:szCs w:val="24"/>
        </w:rPr>
        <w:t>nterviews and newspaper reports</w:t>
      </w:r>
      <w:r w:rsidR="000706ED" w:rsidRPr="0089351A">
        <w:rPr>
          <w:rFonts w:asciiTheme="majorBidi" w:hAnsiTheme="majorBidi" w:cstheme="majorBidi"/>
          <w:sz w:val="24"/>
          <w:szCs w:val="24"/>
        </w:rPr>
        <w:t xml:space="preserve"> to show that </w:t>
      </w:r>
      <w:r w:rsidR="0092683E" w:rsidRPr="0089351A">
        <w:rPr>
          <w:rFonts w:asciiTheme="majorBidi" w:hAnsiTheme="majorBidi" w:cstheme="majorBidi"/>
          <w:sz w:val="24"/>
          <w:szCs w:val="24"/>
        </w:rPr>
        <w:t xml:space="preserve">Gibson’s </w:t>
      </w:r>
      <w:r w:rsidR="007B791D" w:rsidRPr="0089351A">
        <w:rPr>
          <w:rFonts w:asciiTheme="majorBidi" w:hAnsiTheme="majorBidi" w:cstheme="majorBidi"/>
          <w:sz w:val="24"/>
          <w:szCs w:val="24"/>
        </w:rPr>
        <w:t>theory provides</w:t>
      </w:r>
      <w:r w:rsidR="00090199" w:rsidRPr="0089351A">
        <w:rPr>
          <w:rFonts w:asciiTheme="majorBidi" w:hAnsiTheme="majorBidi" w:cstheme="majorBidi"/>
          <w:sz w:val="24"/>
          <w:szCs w:val="24"/>
        </w:rPr>
        <w:t xml:space="preserve"> insight</w:t>
      </w:r>
      <w:r w:rsidR="00A27EE9" w:rsidRPr="0089351A">
        <w:rPr>
          <w:rFonts w:asciiTheme="majorBidi" w:hAnsiTheme="majorBidi" w:cstheme="majorBidi"/>
          <w:sz w:val="24"/>
          <w:szCs w:val="24"/>
        </w:rPr>
        <w:t xml:space="preserve"> into </w:t>
      </w:r>
      <w:r w:rsidR="008323D7" w:rsidRPr="0089351A">
        <w:rPr>
          <w:rFonts w:asciiTheme="majorBidi" w:hAnsiTheme="majorBidi" w:cstheme="majorBidi"/>
          <w:sz w:val="24"/>
          <w:szCs w:val="24"/>
        </w:rPr>
        <w:t>MTJC</w:t>
      </w:r>
      <w:r w:rsidR="007B791D" w:rsidRPr="0089351A">
        <w:rPr>
          <w:rFonts w:asciiTheme="majorBidi" w:hAnsiTheme="majorBidi" w:cstheme="majorBidi"/>
          <w:sz w:val="24"/>
          <w:szCs w:val="24"/>
        </w:rPr>
        <w:t xml:space="preserve"> outcomes</w:t>
      </w:r>
      <w:r w:rsidR="003862C9" w:rsidRPr="0089351A">
        <w:rPr>
          <w:rFonts w:asciiTheme="majorBidi" w:hAnsiTheme="majorBidi" w:cstheme="majorBidi"/>
          <w:sz w:val="24"/>
          <w:szCs w:val="24"/>
        </w:rPr>
        <w:t xml:space="preserve"> while demonstrating</w:t>
      </w:r>
      <w:r w:rsidR="00110147" w:rsidRPr="0089351A">
        <w:rPr>
          <w:rFonts w:asciiTheme="majorBidi" w:hAnsiTheme="majorBidi" w:cstheme="majorBidi"/>
          <w:sz w:val="24"/>
          <w:szCs w:val="24"/>
        </w:rPr>
        <w:t xml:space="preserve"> that</w:t>
      </w:r>
      <w:r w:rsidR="0092683E" w:rsidRPr="0089351A">
        <w:rPr>
          <w:rFonts w:asciiTheme="majorBidi" w:hAnsiTheme="majorBidi" w:cstheme="majorBidi"/>
          <w:sz w:val="24"/>
          <w:szCs w:val="24"/>
        </w:rPr>
        <w:t xml:space="preserve"> </w:t>
      </w:r>
      <w:r w:rsidR="007B791D" w:rsidRPr="0089351A">
        <w:rPr>
          <w:rFonts w:asciiTheme="majorBidi" w:hAnsiTheme="majorBidi" w:cstheme="majorBidi"/>
          <w:sz w:val="24"/>
          <w:szCs w:val="24"/>
        </w:rPr>
        <w:t>politico-economic power structures</w:t>
      </w:r>
      <w:r w:rsidR="00F33B4C" w:rsidRPr="0089351A">
        <w:rPr>
          <w:rFonts w:asciiTheme="majorBidi" w:hAnsiTheme="majorBidi" w:cstheme="majorBidi"/>
          <w:sz w:val="24"/>
          <w:szCs w:val="24"/>
        </w:rPr>
        <w:t xml:space="preserve"> were crucial. </w:t>
      </w:r>
      <w:r w:rsidR="000822F8" w:rsidRPr="0089351A">
        <w:rPr>
          <w:rFonts w:asciiTheme="majorBidi" w:hAnsiTheme="majorBidi" w:cstheme="majorBidi"/>
          <w:sz w:val="24"/>
          <w:szCs w:val="24"/>
        </w:rPr>
        <w:t xml:space="preserve"> Conversely, t</w:t>
      </w:r>
      <w:r w:rsidR="000706ED" w:rsidRPr="0089351A">
        <w:rPr>
          <w:rFonts w:asciiTheme="majorBidi" w:hAnsiTheme="majorBidi" w:cstheme="majorBidi"/>
          <w:sz w:val="24"/>
          <w:szCs w:val="24"/>
        </w:rPr>
        <w:t>he MTJC</w:t>
      </w:r>
      <w:r w:rsidR="0052071D" w:rsidRPr="0089351A">
        <w:rPr>
          <w:rFonts w:asciiTheme="majorBidi" w:hAnsiTheme="majorBidi" w:cstheme="majorBidi"/>
          <w:sz w:val="24"/>
          <w:szCs w:val="24"/>
        </w:rPr>
        <w:t xml:space="preserve"> does not sit easily in</w:t>
      </w:r>
      <w:r w:rsidR="00D406CC" w:rsidRPr="0089351A">
        <w:rPr>
          <w:rFonts w:asciiTheme="majorBidi" w:hAnsiTheme="majorBidi" w:cstheme="majorBidi"/>
          <w:sz w:val="24"/>
          <w:szCs w:val="24"/>
        </w:rPr>
        <w:t xml:space="preserve"> Van </w:t>
      </w:r>
      <w:proofErr w:type="spellStart"/>
      <w:r w:rsidR="00D406CC" w:rsidRPr="0089351A">
        <w:rPr>
          <w:rFonts w:asciiTheme="majorBidi" w:hAnsiTheme="majorBidi" w:cstheme="majorBidi"/>
          <w:sz w:val="24"/>
          <w:szCs w:val="24"/>
        </w:rPr>
        <w:t>Zyl’s</w:t>
      </w:r>
      <w:proofErr w:type="spellEnd"/>
      <w:r w:rsidR="008533CF" w:rsidRPr="0089351A">
        <w:rPr>
          <w:rFonts w:asciiTheme="majorBidi" w:hAnsiTheme="majorBidi" w:cstheme="majorBidi"/>
          <w:sz w:val="24"/>
          <w:szCs w:val="24"/>
        </w:rPr>
        <w:t xml:space="preserve"> </w:t>
      </w:r>
      <w:r w:rsidRPr="0089351A">
        <w:rPr>
          <w:rFonts w:asciiTheme="majorBidi" w:hAnsiTheme="majorBidi" w:cstheme="majorBidi"/>
          <w:sz w:val="24"/>
          <w:szCs w:val="24"/>
        </w:rPr>
        <w:t xml:space="preserve">‘cynical operation’ category.  </w:t>
      </w:r>
      <w:r w:rsidR="00F33B4C" w:rsidRPr="0089351A">
        <w:rPr>
          <w:rFonts w:asciiTheme="majorBidi" w:hAnsiTheme="majorBidi" w:cstheme="majorBidi"/>
          <w:sz w:val="24"/>
          <w:szCs w:val="24"/>
        </w:rPr>
        <w:t xml:space="preserve"> </w:t>
      </w:r>
      <w:r w:rsidR="00687353" w:rsidRPr="0089351A">
        <w:rPr>
          <w:rFonts w:asciiTheme="majorBidi" w:hAnsiTheme="majorBidi" w:cstheme="majorBidi"/>
          <w:sz w:val="24"/>
          <w:szCs w:val="24"/>
        </w:rPr>
        <w:t xml:space="preserve">    </w:t>
      </w:r>
    </w:p>
    <w:p w:rsidR="0066615B" w:rsidRPr="0089351A" w:rsidRDefault="0066615B" w:rsidP="0066615B">
      <w:pPr>
        <w:spacing w:line="480" w:lineRule="auto"/>
        <w:rPr>
          <w:rFonts w:asciiTheme="majorBidi" w:hAnsiTheme="majorBidi" w:cstheme="majorBidi"/>
          <w:sz w:val="24"/>
          <w:szCs w:val="24"/>
        </w:rPr>
      </w:pPr>
    </w:p>
    <w:p w:rsidR="00C3400A" w:rsidRPr="0089351A" w:rsidRDefault="00C3400A" w:rsidP="00B55C90">
      <w:pPr>
        <w:spacing w:line="480" w:lineRule="auto"/>
        <w:rPr>
          <w:rFonts w:asciiTheme="majorBidi" w:hAnsiTheme="majorBidi" w:cstheme="majorBidi"/>
          <w:sz w:val="24"/>
          <w:szCs w:val="24"/>
        </w:rPr>
      </w:pPr>
      <w:r w:rsidRPr="0089351A">
        <w:rPr>
          <w:rFonts w:asciiTheme="majorBidi" w:hAnsiTheme="majorBidi" w:cstheme="majorBidi"/>
          <w:b/>
          <w:bCs/>
          <w:sz w:val="24"/>
          <w:szCs w:val="24"/>
        </w:rPr>
        <w:t>Keywords</w:t>
      </w:r>
      <w:r w:rsidR="00B55C90" w:rsidRPr="0089351A">
        <w:rPr>
          <w:rFonts w:asciiTheme="majorBidi" w:hAnsiTheme="majorBidi" w:cstheme="majorBidi"/>
          <w:sz w:val="24"/>
          <w:szCs w:val="24"/>
        </w:rPr>
        <w:t>: S</w:t>
      </w:r>
      <w:r w:rsidRPr="0089351A">
        <w:rPr>
          <w:rFonts w:asciiTheme="majorBidi" w:hAnsiTheme="majorBidi" w:cstheme="majorBidi"/>
          <w:sz w:val="24"/>
          <w:szCs w:val="24"/>
        </w:rPr>
        <w:t xml:space="preserve">lavery; </w:t>
      </w:r>
      <w:r w:rsidR="00B55C90" w:rsidRPr="0089351A">
        <w:rPr>
          <w:rFonts w:asciiTheme="majorBidi" w:hAnsiTheme="majorBidi" w:cstheme="majorBidi"/>
          <w:sz w:val="24"/>
          <w:szCs w:val="24"/>
        </w:rPr>
        <w:t>Civic Engagement</w:t>
      </w:r>
      <w:r w:rsidRPr="0089351A">
        <w:rPr>
          <w:rFonts w:asciiTheme="majorBidi" w:hAnsiTheme="majorBidi" w:cstheme="majorBidi"/>
          <w:sz w:val="24"/>
          <w:szCs w:val="24"/>
        </w:rPr>
        <w:t xml:space="preserve">; </w:t>
      </w:r>
      <w:r w:rsidR="00B55C90" w:rsidRPr="0089351A">
        <w:rPr>
          <w:rFonts w:asciiTheme="majorBidi" w:hAnsiTheme="majorBidi" w:cstheme="majorBidi"/>
          <w:sz w:val="24"/>
          <w:szCs w:val="24"/>
        </w:rPr>
        <w:t>Historical Memory</w:t>
      </w:r>
      <w:r w:rsidRPr="0089351A">
        <w:rPr>
          <w:rFonts w:asciiTheme="majorBidi" w:hAnsiTheme="majorBidi" w:cstheme="majorBidi"/>
          <w:sz w:val="24"/>
          <w:szCs w:val="24"/>
        </w:rPr>
        <w:t>;</w:t>
      </w:r>
      <w:r w:rsidR="00B55C90" w:rsidRPr="0089351A">
        <w:rPr>
          <w:rFonts w:asciiTheme="majorBidi" w:hAnsiTheme="majorBidi" w:cstheme="majorBidi"/>
          <w:sz w:val="24"/>
          <w:szCs w:val="24"/>
        </w:rPr>
        <w:t xml:space="preserve"> Human Rights;</w:t>
      </w:r>
      <w:r w:rsidRPr="0089351A">
        <w:rPr>
          <w:rFonts w:asciiTheme="majorBidi" w:hAnsiTheme="majorBidi" w:cstheme="majorBidi"/>
          <w:sz w:val="24"/>
          <w:szCs w:val="24"/>
        </w:rPr>
        <w:t xml:space="preserve"> Mauritius; </w:t>
      </w:r>
      <w:r w:rsidR="00B55C90" w:rsidRPr="0089351A">
        <w:rPr>
          <w:rFonts w:asciiTheme="majorBidi" w:hAnsiTheme="majorBidi" w:cstheme="majorBidi"/>
          <w:sz w:val="24"/>
          <w:szCs w:val="24"/>
        </w:rPr>
        <w:t>Africa.</w:t>
      </w:r>
    </w:p>
    <w:p w:rsidR="00F0064A" w:rsidRPr="0089351A" w:rsidRDefault="00F0064A" w:rsidP="0066615B">
      <w:pPr>
        <w:spacing w:line="480" w:lineRule="auto"/>
        <w:rPr>
          <w:rFonts w:asciiTheme="majorBidi" w:hAnsiTheme="majorBidi" w:cstheme="majorBidi"/>
          <w:sz w:val="24"/>
          <w:szCs w:val="24"/>
        </w:rPr>
      </w:pPr>
    </w:p>
    <w:p w:rsidR="0066615B" w:rsidRPr="0089351A" w:rsidRDefault="0066615B" w:rsidP="0066615B">
      <w:pPr>
        <w:spacing w:line="480" w:lineRule="auto"/>
        <w:rPr>
          <w:rFonts w:asciiTheme="majorBidi" w:hAnsiTheme="majorBidi" w:cstheme="majorBidi"/>
          <w:sz w:val="24"/>
          <w:szCs w:val="24"/>
        </w:rPr>
      </w:pPr>
      <w:r w:rsidRPr="0089351A">
        <w:rPr>
          <w:rFonts w:asciiTheme="majorBidi" w:hAnsiTheme="majorBidi" w:cstheme="majorBidi"/>
          <w:sz w:val="24"/>
          <w:szCs w:val="24"/>
        </w:rPr>
        <w:t>‘</w:t>
      </w:r>
      <w:r w:rsidRPr="0089351A">
        <w:rPr>
          <w:rFonts w:asciiTheme="majorBidi" w:hAnsiTheme="majorBidi" w:cstheme="majorBidi"/>
          <w:i/>
          <w:iCs/>
          <w:sz w:val="24"/>
          <w:szCs w:val="24"/>
        </w:rPr>
        <w:t>We fought very hard for the establishment of the TJC.  And yet we have to fight for the implementation of its recommendations</w:t>
      </w:r>
      <w:r w:rsidRPr="0089351A">
        <w:rPr>
          <w:rFonts w:asciiTheme="majorBidi" w:hAnsiTheme="majorBidi" w:cstheme="majorBidi"/>
          <w:sz w:val="24"/>
          <w:szCs w:val="24"/>
        </w:rPr>
        <w:t>’ (</w:t>
      </w:r>
      <w:proofErr w:type="spellStart"/>
      <w:r w:rsidRPr="0089351A">
        <w:rPr>
          <w:rFonts w:asciiTheme="majorBidi" w:hAnsiTheme="majorBidi" w:cstheme="majorBidi"/>
          <w:sz w:val="24"/>
          <w:szCs w:val="24"/>
        </w:rPr>
        <w:t>Elie</w:t>
      </w:r>
      <w:proofErr w:type="spellEnd"/>
      <w:r w:rsidRPr="0089351A">
        <w:rPr>
          <w:rFonts w:asciiTheme="majorBidi" w:hAnsiTheme="majorBidi" w:cstheme="majorBidi"/>
          <w:sz w:val="24"/>
          <w:szCs w:val="24"/>
        </w:rPr>
        <w:t xml:space="preserve"> Michel</w:t>
      </w:r>
      <w:r w:rsidR="006E78C9" w:rsidRPr="0089351A">
        <w:rPr>
          <w:rFonts w:asciiTheme="majorBidi" w:hAnsiTheme="majorBidi" w:cstheme="majorBidi"/>
          <w:sz w:val="24"/>
          <w:szCs w:val="24"/>
        </w:rPr>
        <w:t xml:space="preserve"> speaking at a public meeting </w:t>
      </w:r>
      <w:r w:rsidR="008D5260" w:rsidRPr="0089351A">
        <w:rPr>
          <w:rFonts w:asciiTheme="majorBidi" w:hAnsiTheme="majorBidi" w:cstheme="majorBidi"/>
          <w:sz w:val="24"/>
          <w:szCs w:val="24"/>
        </w:rPr>
        <w:t>shortly before his death</w:t>
      </w:r>
      <w:r w:rsidRPr="0089351A">
        <w:rPr>
          <w:rFonts w:asciiTheme="majorBidi" w:hAnsiTheme="majorBidi" w:cstheme="majorBidi"/>
          <w:sz w:val="24"/>
          <w:szCs w:val="24"/>
        </w:rPr>
        <w:t xml:space="preserve">) </w:t>
      </w:r>
    </w:p>
    <w:p w:rsidR="003D5109" w:rsidRPr="0089351A" w:rsidRDefault="003D5109" w:rsidP="00360222">
      <w:pPr>
        <w:spacing w:line="480" w:lineRule="auto"/>
        <w:rPr>
          <w:rFonts w:asciiTheme="majorBidi" w:hAnsiTheme="majorBidi" w:cstheme="majorBidi"/>
          <w:sz w:val="24"/>
          <w:szCs w:val="24"/>
        </w:rPr>
      </w:pPr>
    </w:p>
    <w:p w:rsidR="00F33B4C" w:rsidRPr="0089351A" w:rsidRDefault="00F33B4C"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Introduction</w:t>
      </w:r>
    </w:p>
    <w:p w:rsidR="000929C8" w:rsidRPr="0089351A" w:rsidRDefault="000706ED"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We examine</w:t>
      </w:r>
      <w:r w:rsidR="00F33B4C" w:rsidRPr="0089351A">
        <w:rPr>
          <w:rFonts w:asciiTheme="majorBidi" w:hAnsiTheme="majorBidi" w:cstheme="majorBidi"/>
          <w:sz w:val="24"/>
          <w:szCs w:val="24"/>
        </w:rPr>
        <w:t xml:space="preserve"> the origins</w:t>
      </w:r>
      <w:r w:rsidR="008D0ACB" w:rsidRPr="0089351A">
        <w:rPr>
          <w:rFonts w:asciiTheme="majorBidi" w:hAnsiTheme="majorBidi" w:cstheme="majorBidi"/>
          <w:sz w:val="24"/>
          <w:szCs w:val="24"/>
        </w:rPr>
        <w:t>, processes</w:t>
      </w:r>
      <w:r w:rsidR="00F33B4C" w:rsidRPr="0089351A">
        <w:rPr>
          <w:rFonts w:asciiTheme="majorBidi" w:hAnsiTheme="majorBidi" w:cstheme="majorBidi"/>
          <w:sz w:val="24"/>
          <w:szCs w:val="24"/>
        </w:rPr>
        <w:t xml:space="preserve"> and outcomes of the Mauritian Truth and Justice Comm</w:t>
      </w:r>
      <w:r w:rsidR="00E720FA" w:rsidRPr="0089351A">
        <w:rPr>
          <w:rFonts w:asciiTheme="majorBidi" w:hAnsiTheme="majorBidi" w:cstheme="majorBidi"/>
          <w:sz w:val="24"/>
          <w:szCs w:val="24"/>
        </w:rPr>
        <w:t>ission</w:t>
      </w:r>
      <w:r w:rsidR="00AF040A" w:rsidRPr="0089351A">
        <w:rPr>
          <w:rFonts w:asciiTheme="majorBidi" w:hAnsiTheme="majorBidi" w:cstheme="majorBidi"/>
          <w:sz w:val="24"/>
          <w:szCs w:val="24"/>
        </w:rPr>
        <w:t xml:space="preserve"> (MTJC),</w:t>
      </w:r>
      <w:r w:rsidR="000929C8" w:rsidRPr="0089351A">
        <w:rPr>
          <w:rFonts w:asciiTheme="majorBidi" w:hAnsiTheme="majorBidi" w:cstheme="majorBidi"/>
          <w:sz w:val="24"/>
          <w:szCs w:val="24"/>
        </w:rPr>
        <w:t xml:space="preserve"> ask</w:t>
      </w:r>
      <w:r w:rsidR="00AF040A" w:rsidRPr="0089351A">
        <w:rPr>
          <w:rFonts w:asciiTheme="majorBidi" w:hAnsiTheme="majorBidi" w:cstheme="majorBidi"/>
          <w:sz w:val="24"/>
          <w:szCs w:val="24"/>
        </w:rPr>
        <w:t>ing</w:t>
      </w:r>
      <w:r w:rsidR="000929C8" w:rsidRPr="0089351A">
        <w:rPr>
          <w:rFonts w:asciiTheme="majorBidi" w:hAnsiTheme="majorBidi" w:cstheme="majorBidi"/>
          <w:sz w:val="24"/>
          <w:szCs w:val="24"/>
        </w:rPr>
        <w:t xml:space="preserve"> how </w:t>
      </w:r>
      <w:r w:rsidR="00776EA3" w:rsidRPr="0089351A">
        <w:rPr>
          <w:rFonts w:asciiTheme="majorBidi" w:hAnsiTheme="majorBidi" w:cstheme="majorBidi"/>
          <w:sz w:val="24"/>
          <w:szCs w:val="24"/>
        </w:rPr>
        <w:t xml:space="preserve">illuminating </w:t>
      </w:r>
      <w:r w:rsidR="00424F8D" w:rsidRPr="0089351A">
        <w:rPr>
          <w:rFonts w:asciiTheme="majorBidi" w:hAnsiTheme="majorBidi" w:cstheme="majorBidi"/>
          <w:sz w:val="24"/>
          <w:szCs w:val="24"/>
        </w:rPr>
        <w:t>ideas</w:t>
      </w:r>
      <w:r w:rsidR="000929C8" w:rsidRPr="0089351A">
        <w:rPr>
          <w:rFonts w:asciiTheme="majorBidi" w:hAnsiTheme="majorBidi" w:cstheme="majorBidi"/>
          <w:sz w:val="24"/>
          <w:szCs w:val="24"/>
        </w:rPr>
        <w:t xml:space="preserve"> from ‘tr</w:t>
      </w:r>
      <w:r w:rsidR="00424F8D" w:rsidRPr="0089351A">
        <w:rPr>
          <w:rFonts w:asciiTheme="majorBidi" w:hAnsiTheme="majorBidi" w:cstheme="majorBidi"/>
          <w:sz w:val="24"/>
          <w:szCs w:val="24"/>
        </w:rPr>
        <w:t xml:space="preserve">ansitional justice’ theory </w:t>
      </w:r>
      <w:r w:rsidR="00776EA3" w:rsidRPr="0089351A">
        <w:rPr>
          <w:rFonts w:asciiTheme="majorBidi" w:hAnsiTheme="majorBidi" w:cstheme="majorBidi"/>
          <w:sz w:val="24"/>
          <w:szCs w:val="24"/>
        </w:rPr>
        <w:t>are</w:t>
      </w:r>
      <w:r w:rsidR="000929C8" w:rsidRPr="0089351A">
        <w:rPr>
          <w:rFonts w:asciiTheme="majorBidi" w:hAnsiTheme="majorBidi" w:cstheme="majorBidi"/>
          <w:sz w:val="24"/>
          <w:szCs w:val="24"/>
        </w:rPr>
        <w:t>.</w:t>
      </w:r>
      <w:r w:rsidR="00F33B4C" w:rsidRPr="0089351A">
        <w:rPr>
          <w:rFonts w:asciiTheme="majorBidi" w:hAnsiTheme="majorBidi" w:cstheme="majorBidi"/>
          <w:sz w:val="24"/>
          <w:szCs w:val="24"/>
        </w:rPr>
        <w:t xml:space="preserve"> </w:t>
      </w:r>
      <w:r w:rsidR="00B7431D" w:rsidRPr="0089351A">
        <w:rPr>
          <w:rFonts w:asciiTheme="majorBidi" w:hAnsiTheme="majorBidi" w:cstheme="majorBidi"/>
          <w:sz w:val="24"/>
          <w:szCs w:val="24"/>
        </w:rPr>
        <w:t>O</w:t>
      </w:r>
      <w:r w:rsidR="00424F8D" w:rsidRPr="0089351A">
        <w:rPr>
          <w:rFonts w:asciiTheme="majorBidi" w:hAnsiTheme="majorBidi" w:cstheme="majorBidi"/>
          <w:sz w:val="24"/>
          <w:szCs w:val="24"/>
        </w:rPr>
        <w:t>urs</w:t>
      </w:r>
      <w:r w:rsidR="009A6326" w:rsidRPr="0089351A">
        <w:rPr>
          <w:rFonts w:asciiTheme="majorBidi" w:hAnsiTheme="majorBidi" w:cstheme="majorBidi"/>
          <w:sz w:val="24"/>
          <w:szCs w:val="24"/>
        </w:rPr>
        <w:t xml:space="preserve"> is</w:t>
      </w:r>
      <w:r w:rsidR="00B7431D" w:rsidRPr="0089351A">
        <w:rPr>
          <w:rFonts w:asciiTheme="majorBidi" w:hAnsiTheme="majorBidi" w:cstheme="majorBidi"/>
          <w:sz w:val="24"/>
          <w:szCs w:val="24"/>
        </w:rPr>
        <w:t xml:space="preserve"> apparently</w:t>
      </w:r>
      <w:r w:rsidR="009A6326" w:rsidRPr="0089351A">
        <w:rPr>
          <w:rFonts w:asciiTheme="majorBidi" w:hAnsiTheme="majorBidi" w:cstheme="majorBidi"/>
          <w:sz w:val="24"/>
          <w:szCs w:val="24"/>
        </w:rPr>
        <w:t xml:space="preserve"> the first scholarl</w:t>
      </w:r>
      <w:r w:rsidR="00424F8D" w:rsidRPr="0089351A">
        <w:rPr>
          <w:rFonts w:asciiTheme="majorBidi" w:hAnsiTheme="majorBidi" w:cstheme="majorBidi"/>
          <w:sz w:val="24"/>
          <w:szCs w:val="24"/>
        </w:rPr>
        <w:t>y account</w:t>
      </w:r>
      <w:r w:rsidR="009A6326" w:rsidRPr="0089351A">
        <w:rPr>
          <w:rFonts w:asciiTheme="majorBidi" w:hAnsiTheme="majorBidi" w:cstheme="majorBidi"/>
          <w:sz w:val="24"/>
          <w:szCs w:val="24"/>
        </w:rPr>
        <w:t xml:space="preserve">. </w:t>
      </w:r>
      <w:r w:rsidR="00B7431D" w:rsidRPr="0089351A">
        <w:rPr>
          <w:rFonts w:asciiTheme="majorBidi" w:hAnsiTheme="majorBidi" w:cstheme="majorBidi"/>
          <w:sz w:val="24"/>
          <w:szCs w:val="24"/>
        </w:rPr>
        <w:t>T</w:t>
      </w:r>
      <w:r w:rsidR="00F33B4C" w:rsidRPr="0089351A">
        <w:rPr>
          <w:rFonts w:asciiTheme="majorBidi" w:hAnsiTheme="majorBidi" w:cstheme="majorBidi"/>
          <w:sz w:val="24"/>
          <w:szCs w:val="24"/>
        </w:rPr>
        <w:t xml:space="preserve">he </w:t>
      </w:r>
      <w:r w:rsidR="008323D7" w:rsidRPr="0089351A">
        <w:rPr>
          <w:rFonts w:asciiTheme="majorBidi" w:hAnsiTheme="majorBidi" w:cstheme="majorBidi"/>
          <w:sz w:val="24"/>
          <w:szCs w:val="24"/>
        </w:rPr>
        <w:t>MTJC</w:t>
      </w:r>
      <w:r w:rsidR="00F33B4C" w:rsidRPr="0089351A">
        <w:rPr>
          <w:rFonts w:asciiTheme="majorBidi" w:hAnsiTheme="majorBidi" w:cstheme="majorBidi"/>
          <w:sz w:val="24"/>
          <w:szCs w:val="24"/>
        </w:rPr>
        <w:t xml:space="preserve"> was the first </w:t>
      </w:r>
      <w:r w:rsidR="000929C8" w:rsidRPr="0089351A">
        <w:rPr>
          <w:rFonts w:asciiTheme="majorBidi" w:hAnsiTheme="majorBidi" w:cstheme="majorBidi"/>
          <w:sz w:val="24"/>
          <w:szCs w:val="24"/>
        </w:rPr>
        <w:t>‘Truth</w:t>
      </w:r>
      <w:r w:rsidR="008D0ACB" w:rsidRPr="0089351A">
        <w:rPr>
          <w:rFonts w:asciiTheme="majorBidi" w:hAnsiTheme="majorBidi" w:cstheme="majorBidi"/>
          <w:sz w:val="24"/>
          <w:szCs w:val="24"/>
        </w:rPr>
        <w:t xml:space="preserve"> Commission’</w:t>
      </w:r>
      <w:r w:rsidR="00424F8D" w:rsidRPr="0089351A">
        <w:rPr>
          <w:rFonts w:asciiTheme="majorBidi" w:hAnsiTheme="majorBidi" w:cstheme="majorBidi"/>
          <w:sz w:val="24"/>
          <w:szCs w:val="24"/>
        </w:rPr>
        <w:t xml:space="preserve"> to examine slavery and indentured labour’s</w:t>
      </w:r>
      <w:r w:rsidR="001246A2" w:rsidRPr="0089351A">
        <w:rPr>
          <w:rFonts w:asciiTheme="majorBidi" w:hAnsiTheme="majorBidi" w:cstheme="majorBidi"/>
          <w:sz w:val="24"/>
          <w:szCs w:val="24"/>
        </w:rPr>
        <w:t xml:space="preserve"> </w:t>
      </w:r>
      <w:r w:rsidR="00F33B4C" w:rsidRPr="0089351A">
        <w:rPr>
          <w:rFonts w:asciiTheme="majorBidi" w:hAnsiTheme="majorBidi" w:cstheme="majorBidi"/>
          <w:sz w:val="24"/>
          <w:szCs w:val="24"/>
        </w:rPr>
        <w:t xml:space="preserve">history </w:t>
      </w:r>
      <w:r w:rsidR="00424F8D" w:rsidRPr="0089351A">
        <w:rPr>
          <w:rFonts w:asciiTheme="majorBidi" w:hAnsiTheme="majorBidi" w:cstheme="majorBidi"/>
          <w:sz w:val="24"/>
          <w:szCs w:val="24"/>
        </w:rPr>
        <w:t xml:space="preserve">and consequences. These </w:t>
      </w:r>
      <w:r w:rsidR="00CF72DD" w:rsidRPr="0089351A">
        <w:rPr>
          <w:rFonts w:asciiTheme="majorBidi" w:hAnsiTheme="majorBidi" w:cstheme="majorBidi"/>
          <w:sz w:val="24"/>
          <w:szCs w:val="24"/>
        </w:rPr>
        <w:t xml:space="preserve">forms of labour </w:t>
      </w:r>
      <w:r w:rsidR="003D270F" w:rsidRPr="0089351A">
        <w:rPr>
          <w:rFonts w:asciiTheme="majorBidi" w:hAnsiTheme="majorBidi" w:cstheme="majorBidi"/>
          <w:sz w:val="24"/>
          <w:szCs w:val="24"/>
        </w:rPr>
        <w:t xml:space="preserve">were internationally widespread for centuries and </w:t>
      </w:r>
      <w:r w:rsidR="00776EA3" w:rsidRPr="0089351A">
        <w:rPr>
          <w:rFonts w:asciiTheme="majorBidi" w:hAnsiTheme="majorBidi" w:cstheme="majorBidi"/>
          <w:sz w:val="24"/>
          <w:szCs w:val="24"/>
        </w:rPr>
        <w:t xml:space="preserve">their effects on millions </w:t>
      </w:r>
      <w:r w:rsidR="003D270F" w:rsidRPr="0089351A">
        <w:rPr>
          <w:rFonts w:asciiTheme="majorBidi" w:hAnsiTheme="majorBidi" w:cstheme="majorBidi"/>
          <w:sz w:val="24"/>
          <w:szCs w:val="24"/>
        </w:rPr>
        <w:t>have recently generated considerable debate</w:t>
      </w:r>
      <w:r w:rsidR="00D406CC" w:rsidRPr="0089351A">
        <w:rPr>
          <w:rFonts w:asciiTheme="majorBidi" w:hAnsiTheme="majorBidi" w:cstheme="majorBidi"/>
          <w:sz w:val="24"/>
          <w:szCs w:val="24"/>
        </w:rPr>
        <w:t xml:space="preserve">. </w:t>
      </w:r>
      <w:r w:rsidR="000929C8" w:rsidRPr="0089351A">
        <w:rPr>
          <w:rFonts w:asciiTheme="majorBidi" w:hAnsiTheme="majorBidi" w:cstheme="majorBidi"/>
          <w:sz w:val="24"/>
          <w:szCs w:val="24"/>
        </w:rPr>
        <w:t xml:space="preserve">  </w:t>
      </w:r>
    </w:p>
    <w:p w:rsidR="004B1A1A" w:rsidRPr="0089351A" w:rsidRDefault="003C1E67"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 potential for</w:t>
      </w:r>
      <w:r w:rsidR="00A207E8" w:rsidRPr="0089351A">
        <w:rPr>
          <w:rFonts w:asciiTheme="majorBidi" w:hAnsiTheme="majorBidi" w:cstheme="majorBidi"/>
          <w:sz w:val="24"/>
          <w:szCs w:val="24"/>
        </w:rPr>
        <w:t xml:space="preserve"> transitional justice </w:t>
      </w:r>
      <w:r w:rsidRPr="0089351A">
        <w:rPr>
          <w:rFonts w:asciiTheme="majorBidi" w:hAnsiTheme="majorBidi" w:cstheme="majorBidi"/>
          <w:sz w:val="24"/>
          <w:szCs w:val="24"/>
        </w:rPr>
        <w:t xml:space="preserve">mechanisms </w:t>
      </w:r>
      <w:r w:rsidR="00A207E8" w:rsidRPr="0089351A">
        <w:rPr>
          <w:rFonts w:asciiTheme="majorBidi" w:hAnsiTheme="majorBidi" w:cstheme="majorBidi"/>
          <w:sz w:val="24"/>
          <w:szCs w:val="24"/>
        </w:rPr>
        <w:t xml:space="preserve">to address historical grievances and either further or hinder social </w:t>
      </w:r>
      <w:r w:rsidR="00CF72DD" w:rsidRPr="0089351A">
        <w:rPr>
          <w:rFonts w:asciiTheme="majorBidi" w:hAnsiTheme="majorBidi" w:cstheme="majorBidi"/>
          <w:sz w:val="24"/>
          <w:szCs w:val="24"/>
        </w:rPr>
        <w:t xml:space="preserve">and economic </w:t>
      </w:r>
      <w:r w:rsidR="00A207E8" w:rsidRPr="0089351A">
        <w:rPr>
          <w:rFonts w:asciiTheme="majorBidi" w:hAnsiTheme="majorBidi" w:cstheme="majorBidi"/>
          <w:sz w:val="24"/>
          <w:szCs w:val="24"/>
        </w:rPr>
        <w:t>progress</w:t>
      </w:r>
      <w:r w:rsidR="00CF72DD" w:rsidRPr="0089351A">
        <w:rPr>
          <w:rFonts w:asciiTheme="majorBidi" w:hAnsiTheme="majorBidi" w:cstheme="majorBidi"/>
          <w:sz w:val="24"/>
          <w:szCs w:val="24"/>
        </w:rPr>
        <w:t xml:space="preserve"> or alternatively to do harm </w:t>
      </w:r>
      <w:r w:rsidR="00A207E8" w:rsidRPr="0089351A">
        <w:rPr>
          <w:rFonts w:asciiTheme="majorBidi" w:hAnsiTheme="majorBidi" w:cstheme="majorBidi"/>
          <w:sz w:val="24"/>
          <w:szCs w:val="24"/>
        </w:rPr>
        <w:t>has been examined in numerous different contexts.</w:t>
      </w:r>
      <w:r w:rsidR="00A207E8" w:rsidRPr="0089351A">
        <w:rPr>
          <w:rStyle w:val="FootnoteReference"/>
          <w:rFonts w:asciiTheme="majorBidi" w:hAnsiTheme="majorBidi" w:cstheme="majorBidi"/>
          <w:sz w:val="24"/>
          <w:szCs w:val="24"/>
        </w:rPr>
        <w:footnoteReference w:id="1"/>
      </w:r>
      <w:r w:rsidR="00A207E8" w:rsidRPr="0089351A">
        <w:rPr>
          <w:rFonts w:asciiTheme="majorBidi" w:hAnsiTheme="majorBidi" w:cstheme="majorBidi"/>
          <w:sz w:val="24"/>
          <w:szCs w:val="24"/>
        </w:rPr>
        <w:t xml:space="preserve"> </w:t>
      </w:r>
      <w:r w:rsidR="008D0ACB" w:rsidRPr="0089351A">
        <w:rPr>
          <w:rFonts w:asciiTheme="majorBidi" w:hAnsiTheme="majorBidi" w:cstheme="majorBidi"/>
          <w:sz w:val="24"/>
          <w:szCs w:val="24"/>
        </w:rPr>
        <w:t xml:space="preserve">The idea </w:t>
      </w:r>
      <w:r w:rsidR="004B1A1A" w:rsidRPr="0089351A">
        <w:rPr>
          <w:rFonts w:asciiTheme="majorBidi" w:hAnsiTheme="majorBidi" w:cstheme="majorBidi"/>
          <w:sz w:val="24"/>
          <w:szCs w:val="24"/>
        </w:rPr>
        <w:t xml:space="preserve">of transitional justice as a way of </w:t>
      </w:r>
      <w:r w:rsidR="00683A61" w:rsidRPr="0089351A">
        <w:rPr>
          <w:rFonts w:asciiTheme="majorBidi" w:hAnsiTheme="majorBidi" w:cstheme="majorBidi"/>
          <w:sz w:val="24"/>
          <w:szCs w:val="24"/>
        </w:rPr>
        <w:t xml:space="preserve">helping </w:t>
      </w:r>
      <w:r w:rsidR="008533CF" w:rsidRPr="0089351A">
        <w:rPr>
          <w:rFonts w:asciiTheme="majorBidi" w:hAnsiTheme="majorBidi" w:cstheme="majorBidi"/>
          <w:sz w:val="24"/>
          <w:szCs w:val="24"/>
        </w:rPr>
        <w:t xml:space="preserve">societies </w:t>
      </w:r>
      <w:r w:rsidR="00EF196C" w:rsidRPr="0089351A">
        <w:rPr>
          <w:rFonts w:asciiTheme="majorBidi" w:hAnsiTheme="majorBidi" w:cstheme="majorBidi"/>
          <w:sz w:val="24"/>
          <w:szCs w:val="24"/>
        </w:rPr>
        <w:t>transcend</w:t>
      </w:r>
      <w:r w:rsidR="008533CF" w:rsidRPr="0089351A">
        <w:rPr>
          <w:rFonts w:asciiTheme="majorBidi" w:hAnsiTheme="majorBidi" w:cstheme="majorBidi"/>
          <w:sz w:val="24"/>
          <w:szCs w:val="24"/>
        </w:rPr>
        <w:t xml:space="preserve"> social conflict</w:t>
      </w:r>
      <w:r w:rsidR="008C5226" w:rsidRPr="0089351A">
        <w:rPr>
          <w:rFonts w:asciiTheme="majorBidi" w:hAnsiTheme="majorBidi" w:cstheme="majorBidi"/>
          <w:sz w:val="24"/>
          <w:szCs w:val="24"/>
        </w:rPr>
        <w:t xml:space="preserve"> and thereby</w:t>
      </w:r>
      <w:r w:rsidR="008533CF" w:rsidRPr="0089351A">
        <w:rPr>
          <w:rFonts w:asciiTheme="majorBidi" w:hAnsiTheme="majorBidi" w:cstheme="majorBidi"/>
          <w:sz w:val="24"/>
          <w:szCs w:val="24"/>
        </w:rPr>
        <w:t xml:space="preserve"> </w:t>
      </w:r>
      <w:r w:rsidR="00EF196C" w:rsidRPr="0089351A">
        <w:rPr>
          <w:rFonts w:asciiTheme="majorBidi" w:hAnsiTheme="majorBidi" w:cstheme="majorBidi"/>
          <w:sz w:val="24"/>
          <w:szCs w:val="24"/>
        </w:rPr>
        <w:t xml:space="preserve">achieving </w:t>
      </w:r>
      <w:r w:rsidR="004B1A1A" w:rsidRPr="0089351A">
        <w:rPr>
          <w:rFonts w:asciiTheme="majorBidi" w:hAnsiTheme="majorBidi" w:cstheme="majorBidi"/>
          <w:sz w:val="24"/>
          <w:szCs w:val="24"/>
        </w:rPr>
        <w:t>greater mutual understanding</w:t>
      </w:r>
      <w:r w:rsidR="008533CF" w:rsidRPr="0089351A">
        <w:rPr>
          <w:rFonts w:asciiTheme="majorBidi" w:hAnsiTheme="majorBidi" w:cstheme="majorBidi"/>
          <w:sz w:val="24"/>
          <w:szCs w:val="24"/>
        </w:rPr>
        <w:t xml:space="preserve"> and</w:t>
      </w:r>
      <w:r w:rsidR="00AE1FA2" w:rsidRPr="0089351A">
        <w:rPr>
          <w:rFonts w:asciiTheme="majorBidi" w:hAnsiTheme="majorBidi" w:cstheme="majorBidi"/>
          <w:sz w:val="24"/>
          <w:szCs w:val="24"/>
        </w:rPr>
        <w:t xml:space="preserve"> </w:t>
      </w:r>
      <w:r w:rsidR="00B7431D" w:rsidRPr="0089351A">
        <w:rPr>
          <w:rFonts w:asciiTheme="majorBidi" w:hAnsiTheme="majorBidi" w:cstheme="majorBidi"/>
          <w:sz w:val="24"/>
          <w:szCs w:val="24"/>
        </w:rPr>
        <w:t>moving closer to</w:t>
      </w:r>
      <w:r w:rsidR="008533CF" w:rsidRPr="0089351A">
        <w:rPr>
          <w:rFonts w:asciiTheme="majorBidi" w:hAnsiTheme="majorBidi" w:cstheme="majorBidi"/>
          <w:sz w:val="24"/>
          <w:szCs w:val="24"/>
        </w:rPr>
        <w:t xml:space="preserve"> reconciliation</w:t>
      </w:r>
      <w:r w:rsidR="00EF196C" w:rsidRPr="0089351A">
        <w:rPr>
          <w:rFonts w:asciiTheme="majorBidi" w:hAnsiTheme="majorBidi" w:cstheme="majorBidi"/>
          <w:sz w:val="24"/>
          <w:szCs w:val="24"/>
        </w:rPr>
        <w:t>,</w:t>
      </w:r>
      <w:r w:rsidR="008D0ACB" w:rsidRPr="0089351A">
        <w:rPr>
          <w:rFonts w:asciiTheme="majorBidi" w:hAnsiTheme="majorBidi" w:cstheme="majorBidi"/>
          <w:sz w:val="24"/>
          <w:szCs w:val="24"/>
        </w:rPr>
        <w:t xml:space="preserve"> has acquired widespread currency</w:t>
      </w:r>
      <w:r w:rsidR="008533CF" w:rsidRPr="0089351A">
        <w:rPr>
          <w:rFonts w:asciiTheme="majorBidi" w:hAnsiTheme="majorBidi" w:cstheme="majorBidi"/>
          <w:sz w:val="24"/>
          <w:szCs w:val="24"/>
        </w:rPr>
        <w:t xml:space="preserve">. The </w:t>
      </w:r>
      <w:r w:rsidR="000706ED" w:rsidRPr="0089351A">
        <w:rPr>
          <w:rFonts w:asciiTheme="majorBidi" w:hAnsiTheme="majorBidi" w:cstheme="majorBidi"/>
          <w:sz w:val="24"/>
          <w:szCs w:val="24"/>
        </w:rPr>
        <w:t xml:space="preserve">initial </w:t>
      </w:r>
      <w:r w:rsidR="00261335" w:rsidRPr="0089351A">
        <w:rPr>
          <w:rFonts w:asciiTheme="majorBidi" w:hAnsiTheme="majorBidi" w:cstheme="majorBidi"/>
          <w:sz w:val="24"/>
          <w:szCs w:val="24"/>
        </w:rPr>
        <w:t xml:space="preserve">influential example </w:t>
      </w:r>
      <w:r w:rsidR="000706ED" w:rsidRPr="0089351A">
        <w:rPr>
          <w:rFonts w:asciiTheme="majorBidi" w:hAnsiTheme="majorBidi" w:cstheme="majorBidi"/>
          <w:sz w:val="24"/>
          <w:szCs w:val="24"/>
        </w:rPr>
        <w:t>of a ‘Trut</w:t>
      </w:r>
      <w:r w:rsidR="008D0ACB" w:rsidRPr="0089351A">
        <w:rPr>
          <w:rFonts w:asciiTheme="majorBidi" w:hAnsiTheme="majorBidi" w:cstheme="majorBidi"/>
          <w:sz w:val="24"/>
          <w:szCs w:val="24"/>
        </w:rPr>
        <w:t xml:space="preserve">h Commission’ </w:t>
      </w:r>
      <w:r w:rsidR="00261335" w:rsidRPr="0089351A">
        <w:rPr>
          <w:rFonts w:asciiTheme="majorBidi" w:hAnsiTheme="majorBidi" w:cstheme="majorBidi"/>
          <w:sz w:val="24"/>
          <w:szCs w:val="24"/>
        </w:rPr>
        <w:t xml:space="preserve">was the </w:t>
      </w:r>
      <w:r w:rsidR="008533CF" w:rsidRPr="0089351A">
        <w:rPr>
          <w:rFonts w:asciiTheme="majorBidi" w:hAnsiTheme="majorBidi" w:cstheme="majorBidi"/>
          <w:sz w:val="24"/>
          <w:szCs w:val="24"/>
        </w:rPr>
        <w:t xml:space="preserve">South African Truth and Reconciliation Commission (TRC). The TRC manifestly followed a major transition from the Apartheid era, </w:t>
      </w:r>
      <w:r w:rsidR="00683A61" w:rsidRPr="0089351A">
        <w:rPr>
          <w:rFonts w:asciiTheme="majorBidi" w:hAnsiTheme="majorBidi" w:cstheme="majorBidi"/>
          <w:sz w:val="24"/>
          <w:szCs w:val="24"/>
        </w:rPr>
        <w:t>following lengthy</w:t>
      </w:r>
      <w:r w:rsidR="008533CF" w:rsidRPr="0089351A">
        <w:rPr>
          <w:rFonts w:asciiTheme="majorBidi" w:hAnsiTheme="majorBidi" w:cstheme="majorBidi"/>
          <w:sz w:val="24"/>
          <w:szCs w:val="24"/>
        </w:rPr>
        <w:t xml:space="preserve"> armed conflict </w:t>
      </w:r>
      <w:r w:rsidR="00683A61" w:rsidRPr="0089351A">
        <w:rPr>
          <w:rFonts w:asciiTheme="majorBidi" w:hAnsiTheme="majorBidi" w:cstheme="majorBidi"/>
          <w:sz w:val="24"/>
          <w:szCs w:val="24"/>
        </w:rPr>
        <w:t>with</w:t>
      </w:r>
      <w:r w:rsidR="008533CF" w:rsidRPr="0089351A">
        <w:rPr>
          <w:rFonts w:asciiTheme="majorBidi" w:hAnsiTheme="majorBidi" w:cstheme="majorBidi"/>
          <w:sz w:val="24"/>
          <w:szCs w:val="24"/>
        </w:rPr>
        <w:t xml:space="preserve"> significant </w:t>
      </w:r>
      <w:r w:rsidR="00683A61" w:rsidRPr="0089351A">
        <w:rPr>
          <w:rFonts w:asciiTheme="majorBidi" w:hAnsiTheme="majorBidi" w:cstheme="majorBidi"/>
          <w:sz w:val="24"/>
          <w:szCs w:val="24"/>
        </w:rPr>
        <w:t>national and international</w:t>
      </w:r>
      <w:r w:rsidR="008533CF" w:rsidRPr="0089351A">
        <w:rPr>
          <w:rFonts w:asciiTheme="majorBidi" w:hAnsiTheme="majorBidi" w:cstheme="majorBidi"/>
          <w:sz w:val="24"/>
          <w:szCs w:val="24"/>
        </w:rPr>
        <w:t xml:space="preserve"> dimensions and resonanc</w:t>
      </w:r>
      <w:r w:rsidR="0049411E" w:rsidRPr="0089351A">
        <w:rPr>
          <w:rFonts w:asciiTheme="majorBidi" w:hAnsiTheme="majorBidi" w:cstheme="majorBidi"/>
          <w:sz w:val="24"/>
          <w:szCs w:val="24"/>
        </w:rPr>
        <w:t>e.</w:t>
      </w:r>
      <w:r w:rsidR="00FF554C" w:rsidRPr="0089351A">
        <w:rPr>
          <w:rStyle w:val="FootnoteReference"/>
          <w:rFonts w:asciiTheme="majorBidi" w:hAnsiTheme="majorBidi" w:cstheme="majorBidi"/>
          <w:sz w:val="24"/>
          <w:szCs w:val="24"/>
        </w:rPr>
        <w:footnoteReference w:id="2"/>
      </w:r>
      <w:r w:rsidR="008533CF" w:rsidRPr="0089351A">
        <w:rPr>
          <w:rFonts w:asciiTheme="majorBidi" w:hAnsiTheme="majorBidi" w:cstheme="majorBidi"/>
          <w:sz w:val="24"/>
          <w:szCs w:val="24"/>
        </w:rPr>
        <w:t xml:space="preserve"> Many</w:t>
      </w:r>
      <w:r w:rsidR="004B1A1A" w:rsidRPr="0089351A">
        <w:rPr>
          <w:rFonts w:asciiTheme="majorBidi" w:hAnsiTheme="majorBidi" w:cstheme="majorBidi"/>
          <w:sz w:val="24"/>
          <w:szCs w:val="24"/>
        </w:rPr>
        <w:t xml:space="preserve"> </w:t>
      </w:r>
      <w:r w:rsidR="008533CF" w:rsidRPr="0089351A">
        <w:rPr>
          <w:rFonts w:asciiTheme="majorBidi" w:hAnsiTheme="majorBidi" w:cstheme="majorBidi"/>
          <w:sz w:val="24"/>
          <w:szCs w:val="24"/>
        </w:rPr>
        <w:t xml:space="preserve">other </w:t>
      </w:r>
      <w:r w:rsidR="004B1A1A" w:rsidRPr="0089351A">
        <w:rPr>
          <w:rFonts w:asciiTheme="majorBidi" w:hAnsiTheme="majorBidi" w:cstheme="majorBidi"/>
          <w:sz w:val="24"/>
          <w:szCs w:val="24"/>
        </w:rPr>
        <w:t>bodies</w:t>
      </w:r>
      <w:r w:rsidR="00683A61" w:rsidRPr="0089351A">
        <w:rPr>
          <w:rFonts w:asciiTheme="majorBidi" w:hAnsiTheme="majorBidi" w:cstheme="majorBidi"/>
          <w:sz w:val="24"/>
          <w:szCs w:val="24"/>
        </w:rPr>
        <w:t>,</w:t>
      </w:r>
      <w:r w:rsidR="004B1A1A" w:rsidRPr="0089351A">
        <w:rPr>
          <w:rFonts w:asciiTheme="majorBidi" w:hAnsiTheme="majorBidi" w:cstheme="majorBidi"/>
          <w:sz w:val="24"/>
          <w:szCs w:val="24"/>
        </w:rPr>
        <w:t xml:space="preserve"> variously nam</w:t>
      </w:r>
      <w:r w:rsidR="00E7723F" w:rsidRPr="0089351A">
        <w:rPr>
          <w:rFonts w:asciiTheme="majorBidi" w:hAnsiTheme="majorBidi" w:cstheme="majorBidi"/>
          <w:sz w:val="24"/>
          <w:szCs w:val="24"/>
        </w:rPr>
        <w:t>ed ‘truth and reconciliation’,</w:t>
      </w:r>
      <w:r w:rsidR="004B1A1A" w:rsidRPr="0089351A">
        <w:rPr>
          <w:rFonts w:asciiTheme="majorBidi" w:hAnsiTheme="majorBidi" w:cstheme="majorBidi"/>
          <w:sz w:val="24"/>
          <w:szCs w:val="24"/>
        </w:rPr>
        <w:t xml:space="preserve"> ‘truth and justice’ or simply ‘truth’ commissions</w:t>
      </w:r>
      <w:r w:rsidR="00683A61" w:rsidRPr="0089351A">
        <w:rPr>
          <w:rFonts w:asciiTheme="majorBidi" w:hAnsiTheme="majorBidi" w:cstheme="majorBidi"/>
          <w:sz w:val="24"/>
          <w:szCs w:val="24"/>
        </w:rPr>
        <w:t>,</w:t>
      </w:r>
      <w:r w:rsidR="004B1A1A" w:rsidRPr="0089351A">
        <w:rPr>
          <w:rFonts w:asciiTheme="majorBidi" w:hAnsiTheme="majorBidi" w:cstheme="majorBidi"/>
          <w:sz w:val="24"/>
          <w:szCs w:val="24"/>
        </w:rPr>
        <w:t xml:space="preserve"> </w:t>
      </w:r>
      <w:r w:rsidR="006E78C9" w:rsidRPr="0089351A">
        <w:rPr>
          <w:rFonts w:asciiTheme="majorBidi" w:hAnsiTheme="majorBidi" w:cstheme="majorBidi"/>
          <w:sz w:val="24"/>
          <w:szCs w:val="24"/>
        </w:rPr>
        <w:t xml:space="preserve">some with </w:t>
      </w:r>
      <w:r w:rsidR="00780AA6" w:rsidRPr="0089351A">
        <w:rPr>
          <w:rFonts w:asciiTheme="majorBidi" w:hAnsiTheme="majorBidi" w:cstheme="majorBidi"/>
          <w:sz w:val="24"/>
          <w:szCs w:val="24"/>
        </w:rPr>
        <w:t xml:space="preserve">less immediately obvious </w:t>
      </w:r>
      <w:r w:rsidR="009C7F77" w:rsidRPr="0089351A">
        <w:rPr>
          <w:rFonts w:asciiTheme="majorBidi" w:hAnsiTheme="majorBidi" w:cstheme="majorBidi"/>
          <w:sz w:val="24"/>
          <w:szCs w:val="24"/>
        </w:rPr>
        <w:t>rationales</w:t>
      </w:r>
      <w:r w:rsidR="002406E4" w:rsidRPr="0089351A">
        <w:rPr>
          <w:rFonts w:asciiTheme="majorBidi" w:hAnsiTheme="majorBidi" w:cstheme="majorBidi"/>
          <w:sz w:val="24"/>
          <w:szCs w:val="24"/>
        </w:rPr>
        <w:t>,</w:t>
      </w:r>
      <w:r w:rsidR="009C7F77" w:rsidRPr="0089351A">
        <w:rPr>
          <w:rFonts w:asciiTheme="majorBidi" w:hAnsiTheme="majorBidi" w:cstheme="majorBidi"/>
          <w:sz w:val="24"/>
          <w:szCs w:val="24"/>
        </w:rPr>
        <w:t xml:space="preserve"> </w:t>
      </w:r>
      <w:r w:rsidR="008533CF" w:rsidRPr="0089351A">
        <w:rPr>
          <w:rFonts w:asciiTheme="majorBidi" w:hAnsiTheme="majorBidi" w:cstheme="majorBidi"/>
          <w:sz w:val="24"/>
          <w:szCs w:val="24"/>
        </w:rPr>
        <w:t xml:space="preserve">were subsequently </w:t>
      </w:r>
      <w:r w:rsidR="00B871DC" w:rsidRPr="0089351A">
        <w:rPr>
          <w:rFonts w:asciiTheme="majorBidi" w:hAnsiTheme="majorBidi" w:cstheme="majorBidi"/>
          <w:sz w:val="24"/>
          <w:szCs w:val="24"/>
        </w:rPr>
        <w:t>established</w:t>
      </w:r>
      <w:r w:rsidRPr="0089351A">
        <w:rPr>
          <w:rFonts w:asciiTheme="majorBidi" w:hAnsiTheme="majorBidi" w:cstheme="majorBidi"/>
          <w:sz w:val="24"/>
          <w:szCs w:val="24"/>
        </w:rPr>
        <w:t>. The</w:t>
      </w:r>
      <w:r w:rsidR="006E78C9" w:rsidRPr="0089351A">
        <w:rPr>
          <w:rFonts w:asciiTheme="majorBidi" w:hAnsiTheme="majorBidi" w:cstheme="majorBidi"/>
          <w:sz w:val="24"/>
          <w:szCs w:val="24"/>
        </w:rPr>
        <w:t xml:space="preserve"> sophisticated</w:t>
      </w:r>
      <w:r w:rsidR="008533CF" w:rsidRPr="0089351A">
        <w:rPr>
          <w:rFonts w:asciiTheme="majorBidi" w:hAnsiTheme="majorBidi" w:cstheme="majorBidi"/>
          <w:sz w:val="24"/>
          <w:szCs w:val="24"/>
        </w:rPr>
        <w:t xml:space="preserve"> literature </w:t>
      </w:r>
      <w:r w:rsidRPr="0089351A">
        <w:rPr>
          <w:rFonts w:asciiTheme="majorBidi" w:hAnsiTheme="majorBidi" w:cstheme="majorBidi"/>
          <w:sz w:val="24"/>
          <w:szCs w:val="24"/>
        </w:rPr>
        <w:t xml:space="preserve">which </w:t>
      </w:r>
      <w:r w:rsidR="006E78C9" w:rsidRPr="0089351A">
        <w:rPr>
          <w:rFonts w:asciiTheme="majorBidi" w:hAnsiTheme="majorBidi" w:cstheme="majorBidi"/>
          <w:sz w:val="24"/>
          <w:szCs w:val="24"/>
        </w:rPr>
        <w:t xml:space="preserve">has developed and </w:t>
      </w:r>
      <w:r w:rsidR="008533CF" w:rsidRPr="0089351A">
        <w:rPr>
          <w:rFonts w:asciiTheme="majorBidi" w:hAnsiTheme="majorBidi" w:cstheme="majorBidi"/>
          <w:sz w:val="24"/>
          <w:szCs w:val="24"/>
        </w:rPr>
        <w:t>discusses</w:t>
      </w:r>
      <w:r w:rsidR="004B1A1A" w:rsidRPr="0089351A">
        <w:rPr>
          <w:rFonts w:asciiTheme="majorBidi" w:hAnsiTheme="majorBidi" w:cstheme="majorBidi"/>
          <w:sz w:val="24"/>
          <w:szCs w:val="24"/>
        </w:rPr>
        <w:t xml:space="preserve"> their foundat</w:t>
      </w:r>
      <w:r w:rsidR="008533CF" w:rsidRPr="0089351A">
        <w:rPr>
          <w:rFonts w:asciiTheme="majorBidi" w:hAnsiTheme="majorBidi" w:cstheme="majorBidi"/>
          <w:sz w:val="24"/>
          <w:szCs w:val="24"/>
        </w:rPr>
        <w:t>ion, operation and results</w:t>
      </w:r>
      <w:r w:rsidRPr="0089351A">
        <w:rPr>
          <w:rFonts w:asciiTheme="majorBidi" w:hAnsiTheme="majorBidi" w:cstheme="majorBidi"/>
          <w:sz w:val="24"/>
          <w:szCs w:val="24"/>
        </w:rPr>
        <w:t xml:space="preserve"> may also have analytic purchase in our context</w:t>
      </w:r>
      <w:r w:rsidR="008533CF" w:rsidRPr="0089351A">
        <w:rPr>
          <w:rFonts w:asciiTheme="majorBidi" w:hAnsiTheme="majorBidi" w:cstheme="majorBidi"/>
          <w:sz w:val="24"/>
          <w:szCs w:val="24"/>
        </w:rPr>
        <w:t>.</w:t>
      </w:r>
    </w:p>
    <w:p w:rsidR="004B1A1A" w:rsidRPr="0089351A" w:rsidRDefault="004B1A1A" w:rsidP="00360222">
      <w:pPr>
        <w:spacing w:line="480" w:lineRule="auto"/>
        <w:rPr>
          <w:rFonts w:asciiTheme="majorBidi" w:hAnsiTheme="majorBidi" w:cstheme="majorBidi"/>
          <w:sz w:val="24"/>
          <w:szCs w:val="24"/>
        </w:rPr>
      </w:pPr>
    </w:p>
    <w:p w:rsidR="00917D3E" w:rsidRPr="0089351A" w:rsidRDefault="000929C8"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S</w:t>
      </w:r>
      <w:r w:rsidR="006503E8" w:rsidRPr="0089351A">
        <w:rPr>
          <w:rFonts w:asciiTheme="majorBidi" w:hAnsiTheme="majorBidi" w:cstheme="majorBidi"/>
          <w:sz w:val="24"/>
          <w:szCs w:val="24"/>
        </w:rPr>
        <w:t>lavery is</w:t>
      </w:r>
      <w:r w:rsidR="00FB5E87" w:rsidRPr="0089351A">
        <w:rPr>
          <w:rFonts w:asciiTheme="majorBidi" w:hAnsiTheme="majorBidi" w:cstheme="majorBidi"/>
          <w:sz w:val="24"/>
          <w:szCs w:val="24"/>
        </w:rPr>
        <w:t xml:space="preserve"> increasingly salient in</w:t>
      </w:r>
      <w:r w:rsidR="00F33B4C" w:rsidRPr="0089351A">
        <w:rPr>
          <w:rFonts w:asciiTheme="majorBidi" w:hAnsiTheme="majorBidi" w:cstheme="majorBidi"/>
          <w:sz w:val="24"/>
          <w:szCs w:val="24"/>
        </w:rPr>
        <w:t xml:space="preserve"> public discussion a</w:t>
      </w:r>
      <w:r w:rsidR="009C7F77" w:rsidRPr="0089351A">
        <w:rPr>
          <w:rFonts w:asciiTheme="majorBidi" w:hAnsiTheme="majorBidi" w:cstheme="majorBidi"/>
          <w:sz w:val="24"/>
          <w:szCs w:val="24"/>
        </w:rPr>
        <w:t>nd looms ever larger within</w:t>
      </w:r>
      <w:r w:rsidR="008D0ACB" w:rsidRPr="0089351A">
        <w:rPr>
          <w:rFonts w:asciiTheme="majorBidi" w:hAnsiTheme="majorBidi" w:cstheme="majorBidi"/>
          <w:sz w:val="24"/>
          <w:szCs w:val="24"/>
        </w:rPr>
        <w:t xml:space="preserve"> </w:t>
      </w:r>
      <w:r w:rsidR="00F33B4C" w:rsidRPr="0089351A">
        <w:rPr>
          <w:rFonts w:asciiTheme="majorBidi" w:hAnsiTheme="majorBidi" w:cstheme="majorBidi"/>
          <w:sz w:val="24"/>
          <w:szCs w:val="24"/>
        </w:rPr>
        <w:t>popular historical imagination</w:t>
      </w:r>
      <w:r w:rsidR="008D0ACB" w:rsidRPr="0089351A">
        <w:rPr>
          <w:rFonts w:asciiTheme="majorBidi" w:hAnsiTheme="majorBidi" w:cstheme="majorBidi"/>
          <w:sz w:val="24"/>
          <w:szCs w:val="24"/>
        </w:rPr>
        <w:t>s</w:t>
      </w:r>
      <w:r w:rsidR="00F33B4C" w:rsidRPr="0089351A">
        <w:rPr>
          <w:rFonts w:asciiTheme="majorBidi" w:hAnsiTheme="majorBidi" w:cstheme="majorBidi"/>
          <w:sz w:val="24"/>
          <w:szCs w:val="24"/>
        </w:rPr>
        <w:t>. In the USA, the UK and Franc</w:t>
      </w:r>
      <w:r w:rsidR="0027158B" w:rsidRPr="0089351A">
        <w:rPr>
          <w:rFonts w:asciiTheme="majorBidi" w:hAnsiTheme="majorBidi" w:cstheme="majorBidi"/>
          <w:sz w:val="24"/>
          <w:szCs w:val="24"/>
        </w:rPr>
        <w:t>e, countries whose</w:t>
      </w:r>
      <w:r w:rsidR="0048622B" w:rsidRPr="0089351A">
        <w:rPr>
          <w:rFonts w:asciiTheme="majorBidi" w:hAnsiTheme="majorBidi" w:cstheme="majorBidi"/>
          <w:sz w:val="24"/>
          <w:szCs w:val="24"/>
        </w:rPr>
        <w:t xml:space="preserve"> histories </w:t>
      </w:r>
      <w:r w:rsidR="0027158B" w:rsidRPr="0089351A">
        <w:rPr>
          <w:rFonts w:asciiTheme="majorBidi" w:hAnsiTheme="majorBidi" w:cstheme="majorBidi"/>
          <w:sz w:val="24"/>
          <w:szCs w:val="24"/>
        </w:rPr>
        <w:t xml:space="preserve">are </w:t>
      </w:r>
      <w:r w:rsidR="0033064C" w:rsidRPr="0089351A">
        <w:rPr>
          <w:rFonts w:asciiTheme="majorBidi" w:hAnsiTheme="majorBidi" w:cstheme="majorBidi"/>
          <w:sz w:val="24"/>
          <w:szCs w:val="24"/>
        </w:rPr>
        <w:t>tight</w:t>
      </w:r>
      <w:r w:rsidR="00F33B4C" w:rsidRPr="0089351A">
        <w:rPr>
          <w:rFonts w:asciiTheme="majorBidi" w:hAnsiTheme="majorBidi" w:cstheme="majorBidi"/>
          <w:sz w:val="24"/>
          <w:szCs w:val="24"/>
        </w:rPr>
        <w:t>ly intertwined with slavery, museums, monuments</w:t>
      </w:r>
      <w:r w:rsidR="0033064C" w:rsidRPr="0089351A">
        <w:rPr>
          <w:rFonts w:asciiTheme="majorBidi" w:hAnsiTheme="majorBidi" w:cstheme="majorBidi"/>
          <w:sz w:val="24"/>
          <w:szCs w:val="24"/>
        </w:rPr>
        <w:t>, books and films</w:t>
      </w:r>
      <w:r w:rsidR="004F0AA7" w:rsidRPr="0089351A">
        <w:rPr>
          <w:rFonts w:asciiTheme="majorBidi" w:hAnsiTheme="majorBidi" w:cstheme="majorBidi"/>
          <w:sz w:val="24"/>
          <w:szCs w:val="24"/>
        </w:rPr>
        <w:t xml:space="preserve"> have translated</w:t>
      </w:r>
      <w:r w:rsidR="00424F8D" w:rsidRPr="0089351A">
        <w:rPr>
          <w:rFonts w:asciiTheme="majorBidi" w:hAnsiTheme="majorBidi" w:cstheme="majorBidi"/>
          <w:sz w:val="24"/>
          <w:szCs w:val="24"/>
        </w:rPr>
        <w:t xml:space="preserve"> it from the realm</w:t>
      </w:r>
      <w:r w:rsidR="00F33B4C" w:rsidRPr="0089351A">
        <w:rPr>
          <w:rFonts w:asciiTheme="majorBidi" w:hAnsiTheme="majorBidi" w:cstheme="majorBidi"/>
          <w:sz w:val="24"/>
          <w:szCs w:val="24"/>
        </w:rPr>
        <w:t xml:space="preserve"> of specialist hist</w:t>
      </w:r>
      <w:r w:rsidR="00841655" w:rsidRPr="0089351A">
        <w:rPr>
          <w:rFonts w:asciiTheme="majorBidi" w:hAnsiTheme="majorBidi" w:cstheme="majorBidi"/>
          <w:sz w:val="24"/>
          <w:szCs w:val="24"/>
        </w:rPr>
        <w:t xml:space="preserve">ory </w:t>
      </w:r>
      <w:r w:rsidR="0033064C" w:rsidRPr="0089351A">
        <w:rPr>
          <w:rFonts w:asciiTheme="majorBidi" w:hAnsiTheme="majorBidi" w:cstheme="majorBidi"/>
          <w:sz w:val="24"/>
          <w:szCs w:val="24"/>
        </w:rPr>
        <w:t>into public debate</w:t>
      </w:r>
      <w:r w:rsidR="00DA4835" w:rsidRPr="0089351A">
        <w:rPr>
          <w:rFonts w:asciiTheme="majorBidi" w:hAnsiTheme="majorBidi" w:cstheme="majorBidi"/>
          <w:sz w:val="24"/>
          <w:szCs w:val="24"/>
        </w:rPr>
        <w:t>.</w:t>
      </w:r>
      <w:r w:rsidR="007655C9" w:rsidRPr="0089351A">
        <w:rPr>
          <w:rStyle w:val="FootnoteReference"/>
          <w:rFonts w:asciiTheme="majorBidi" w:hAnsiTheme="majorBidi" w:cstheme="majorBidi"/>
          <w:sz w:val="24"/>
          <w:szCs w:val="24"/>
        </w:rPr>
        <w:footnoteReference w:id="3"/>
      </w:r>
      <w:r w:rsidR="008D0ACB" w:rsidRPr="0089351A">
        <w:rPr>
          <w:rFonts w:asciiTheme="majorBidi" w:hAnsiTheme="majorBidi" w:cstheme="majorBidi"/>
          <w:sz w:val="24"/>
          <w:szCs w:val="24"/>
        </w:rPr>
        <w:t xml:space="preserve"> T</w:t>
      </w:r>
      <w:r w:rsidR="009670ED" w:rsidRPr="0089351A">
        <w:rPr>
          <w:rFonts w:asciiTheme="majorBidi" w:hAnsiTheme="majorBidi" w:cstheme="majorBidi"/>
          <w:sz w:val="24"/>
          <w:szCs w:val="24"/>
        </w:rPr>
        <w:t xml:space="preserve">he critical and commercial success of several </w:t>
      </w:r>
      <w:r w:rsidR="00424F8D" w:rsidRPr="0089351A">
        <w:rPr>
          <w:rFonts w:asciiTheme="majorBidi" w:hAnsiTheme="majorBidi" w:cstheme="majorBidi"/>
          <w:sz w:val="24"/>
          <w:szCs w:val="24"/>
        </w:rPr>
        <w:t>high-profile films</w:t>
      </w:r>
      <w:r w:rsidR="005A080C" w:rsidRPr="0089351A">
        <w:rPr>
          <w:rFonts w:asciiTheme="majorBidi" w:hAnsiTheme="majorBidi" w:cstheme="majorBidi"/>
          <w:sz w:val="24"/>
          <w:szCs w:val="24"/>
        </w:rPr>
        <w:t xml:space="preserve"> – Stephen Spielberg’s </w:t>
      </w:r>
      <w:r w:rsidR="005A080C" w:rsidRPr="0089351A">
        <w:rPr>
          <w:rFonts w:asciiTheme="majorBidi" w:hAnsiTheme="majorBidi" w:cstheme="majorBidi"/>
          <w:i/>
          <w:iCs/>
          <w:sz w:val="24"/>
          <w:szCs w:val="24"/>
        </w:rPr>
        <w:t>Lincoln</w:t>
      </w:r>
      <w:r w:rsidR="005A080C" w:rsidRPr="0089351A">
        <w:rPr>
          <w:rFonts w:asciiTheme="majorBidi" w:hAnsiTheme="majorBidi" w:cstheme="majorBidi"/>
          <w:sz w:val="24"/>
          <w:szCs w:val="24"/>
        </w:rPr>
        <w:t xml:space="preserve"> (2012), Quentin Tarantino’s </w:t>
      </w:r>
      <w:r w:rsidR="005A080C" w:rsidRPr="0089351A">
        <w:rPr>
          <w:rFonts w:asciiTheme="majorBidi" w:hAnsiTheme="majorBidi" w:cstheme="majorBidi"/>
          <w:i/>
          <w:iCs/>
          <w:sz w:val="24"/>
          <w:szCs w:val="24"/>
        </w:rPr>
        <w:t>Django Unchained</w:t>
      </w:r>
      <w:r w:rsidR="00D406CC" w:rsidRPr="0089351A">
        <w:rPr>
          <w:rFonts w:asciiTheme="majorBidi" w:hAnsiTheme="majorBidi" w:cstheme="majorBidi"/>
          <w:sz w:val="24"/>
          <w:szCs w:val="24"/>
        </w:rPr>
        <w:t xml:space="preserve"> (2012) and</w:t>
      </w:r>
      <w:r w:rsidR="005A080C" w:rsidRPr="0089351A">
        <w:rPr>
          <w:rFonts w:asciiTheme="majorBidi" w:hAnsiTheme="majorBidi" w:cstheme="majorBidi"/>
          <w:sz w:val="24"/>
          <w:szCs w:val="24"/>
        </w:rPr>
        <w:t xml:space="preserve"> Steve McQueen’s </w:t>
      </w:r>
      <w:r w:rsidR="00422298" w:rsidRPr="0089351A">
        <w:rPr>
          <w:rFonts w:asciiTheme="majorBidi" w:hAnsiTheme="majorBidi" w:cstheme="majorBidi"/>
          <w:i/>
          <w:iCs/>
          <w:sz w:val="24"/>
          <w:szCs w:val="24"/>
        </w:rPr>
        <w:t>12</w:t>
      </w:r>
      <w:r w:rsidR="005A080C" w:rsidRPr="0089351A">
        <w:rPr>
          <w:rFonts w:asciiTheme="majorBidi" w:hAnsiTheme="majorBidi" w:cstheme="majorBidi"/>
          <w:i/>
          <w:iCs/>
          <w:sz w:val="24"/>
          <w:szCs w:val="24"/>
        </w:rPr>
        <w:t xml:space="preserve"> Years a Slave</w:t>
      </w:r>
      <w:r w:rsidR="005A080C" w:rsidRPr="0089351A">
        <w:rPr>
          <w:rFonts w:asciiTheme="majorBidi" w:hAnsiTheme="majorBidi" w:cstheme="majorBidi"/>
          <w:sz w:val="24"/>
          <w:szCs w:val="24"/>
        </w:rPr>
        <w:t xml:space="preserve"> (</w:t>
      </w:r>
      <w:r w:rsidR="00422298" w:rsidRPr="0089351A">
        <w:rPr>
          <w:rFonts w:asciiTheme="majorBidi" w:hAnsiTheme="majorBidi" w:cstheme="majorBidi"/>
          <w:sz w:val="24"/>
          <w:szCs w:val="24"/>
        </w:rPr>
        <w:t>2013</w:t>
      </w:r>
      <w:r w:rsidR="005A080C" w:rsidRPr="0089351A">
        <w:rPr>
          <w:rFonts w:asciiTheme="majorBidi" w:hAnsiTheme="majorBidi" w:cstheme="majorBidi"/>
          <w:sz w:val="24"/>
          <w:szCs w:val="24"/>
        </w:rPr>
        <w:t>) -</w:t>
      </w:r>
      <w:r w:rsidR="00C53F47" w:rsidRPr="0089351A">
        <w:rPr>
          <w:rFonts w:asciiTheme="majorBidi" w:hAnsiTheme="majorBidi" w:cstheme="majorBidi"/>
          <w:sz w:val="24"/>
          <w:szCs w:val="24"/>
        </w:rPr>
        <w:t>-</w:t>
      </w:r>
      <w:r w:rsidR="009670ED" w:rsidRPr="0089351A">
        <w:rPr>
          <w:rFonts w:asciiTheme="majorBidi" w:hAnsiTheme="majorBidi" w:cstheme="majorBidi"/>
          <w:sz w:val="24"/>
          <w:szCs w:val="24"/>
        </w:rPr>
        <w:t xml:space="preserve"> generated much discussion</w:t>
      </w:r>
      <w:r w:rsidR="0049411E" w:rsidRPr="0089351A">
        <w:rPr>
          <w:rFonts w:asciiTheme="majorBidi" w:hAnsiTheme="majorBidi" w:cstheme="majorBidi"/>
          <w:sz w:val="24"/>
          <w:szCs w:val="24"/>
        </w:rPr>
        <w:t>.</w:t>
      </w:r>
      <w:r w:rsidR="00223E77" w:rsidRPr="0089351A">
        <w:rPr>
          <w:rStyle w:val="FootnoteReference"/>
          <w:rFonts w:asciiTheme="majorBidi" w:hAnsiTheme="majorBidi" w:cstheme="majorBidi"/>
          <w:sz w:val="24"/>
          <w:szCs w:val="24"/>
        </w:rPr>
        <w:footnoteReference w:id="4"/>
      </w:r>
      <w:r w:rsidR="001722B2" w:rsidRPr="0089351A">
        <w:rPr>
          <w:rFonts w:asciiTheme="majorBidi" w:hAnsiTheme="majorBidi" w:cstheme="majorBidi"/>
          <w:sz w:val="24"/>
          <w:szCs w:val="24"/>
        </w:rPr>
        <w:t xml:space="preserve"> </w:t>
      </w:r>
      <w:r w:rsidR="00D86F51" w:rsidRPr="0089351A">
        <w:rPr>
          <w:rFonts w:asciiTheme="majorBidi" w:hAnsiTheme="majorBidi" w:cstheme="majorBidi"/>
          <w:sz w:val="24"/>
          <w:szCs w:val="24"/>
        </w:rPr>
        <w:t>T</w:t>
      </w:r>
      <w:r w:rsidR="00FA3AE1" w:rsidRPr="0089351A">
        <w:rPr>
          <w:rFonts w:asciiTheme="majorBidi" w:hAnsiTheme="majorBidi" w:cstheme="majorBidi"/>
          <w:sz w:val="24"/>
          <w:szCs w:val="24"/>
        </w:rPr>
        <w:t>hese</w:t>
      </w:r>
      <w:r w:rsidR="008D0ACB" w:rsidRPr="0089351A">
        <w:rPr>
          <w:rFonts w:asciiTheme="majorBidi" w:hAnsiTheme="majorBidi" w:cstheme="majorBidi"/>
          <w:sz w:val="24"/>
          <w:szCs w:val="24"/>
        </w:rPr>
        <w:t xml:space="preserve"> referred</w:t>
      </w:r>
      <w:r w:rsidR="00D86F51" w:rsidRPr="0089351A">
        <w:rPr>
          <w:rFonts w:asciiTheme="majorBidi" w:hAnsiTheme="majorBidi" w:cstheme="majorBidi"/>
          <w:sz w:val="24"/>
          <w:szCs w:val="24"/>
        </w:rPr>
        <w:t xml:space="preserve"> to </w:t>
      </w:r>
      <w:r w:rsidR="001722B2" w:rsidRPr="0089351A">
        <w:rPr>
          <w:rFonts w:asciiTheme="majorBidi" w:hAnsiTheme="majorBidi" w:cstheme="majorBidi"/>
          <w:sz w:val="24"/>
          <w:szCs w:val="24"/>
        </w:rPr>
        <w:t xml:space="preserve">a </w:t>
      </w:r>
      <w:r w:rsidR="00C53F47" w:rsidRPr="0089351A">
        <w:rPr>
          <w:rFonts w:asciiTheme="majorBidi" w:hAnsiTheme="majorBidi" w:cstheme="majorBidi"/>
          <w:sz w:val="24"/>
          <w:szCs w:val="24"/>
        </w:rPr>
        <w:t xml:space="preserve">potentially </w:t>
      </w:r>
      <w:r w:rsidR="001722B2" w:rsidRPr="0089351A">
        <w:rPr>
          <w:rFonts w:asciiTheme="majorBidi" w:hAnsiTheme="majorBidi" w:cstheme="majorBidi"/>
          <w:sz w:val="24"/>
          <w:szCs w:val="24"/>
        </w:rPr>
        <w:t>safely-</w:t>
      </w:r>
      <w:r w:rsidR="004C5494" w:rsidRPr="0089351A">
        <w:rPr>
          <w:rFonts w:asciiTheme="majorBidi" w:hAnsiTheme="majorBidi" w:cstheme="majorBidi"/>
          <w:sz w:val="24"/>
          <w:szCs w:val="24"/>
        </w:rPr>
        <w:t>banished</w:t>
      </w:r>
      <w:r w:rsidR="001722B2" w:rsidRPr="0089351A">
        <w:rPr>
          <w:rFonts w:asciiTheme="majorBidi" w:hAnsiTheme="majorBidi" w:cstheme="majorBidi"/>
          <w:sz w:val="24"/>
          <w:szCs w:val="24"/>
        </w:rPr>
        <w:t xml:space="preserve"> past </w:t>
      </w:r>
      <w:r w:rsidR="00424F8D" w:rsidRPr="0089351A">
        <w:rPr>
          <w:rFonts w:asciiTheme="majorBidi" w:hAnsiTheme="majorBidi" w:cstheme="majorBidi"/>
          <w:sz w:val="24"/>
          <w:szCs w:val="24"/>
        </w:rPr>
        <w:t>but,</w:t>
      </w:r>
      <w:r w:rsidR="00D406CC" w:rsidRPr="0089351A">
        <w:rPr>
          <w:rFonts w:asciiTheme="majorBidi" w:hAnsiTheme="majorBidi" w:cstheme="majorBidi"/>
          <w:sz w:val="24"/>
          <w:szCs w:val="24"/>
        </w:rPr>
        <w:t xml:space="preserve"> symptomatic</w:t>
      </w:r>
      <w:r w:rsidR="00424F8D" w:rsidRPr="0089351A">
        <w:rPr>
          <w:rFonts w:asciiTheme="majorBidi" w:hAnsiTheme="majorBidi" w:cstheme="majorBidi"/>
          <w:sz w:val="24"/>
          <w:szCs w:val="24"/>
        </w:rPr>
        <w:t>ally,</w:t>
      </w:r>
      <w:r w:rsidR="00D406CC" w:rsidRPr="0089351A">
        <w:rPr>
          <w:rFonts w:asciiTheme="majorBidi" w:hAnsiTheme="majorBidi" w:cstheme="majorBidi"/>
          <w:sz w:val="24"/>
          <w:szCs w:val="24"/>
        </w:rPr>
        <w:t xml:space="preserve"> they </w:t>
      </w:r>
      <w:r w:rsidR="00B20BDA" w:rsidRPr="0089351A">
        <w:rPr>
          <w:rFonts w:asciiTheme="majorBidi" w:hAnsiTheme="majorBidi" w:cstheme="majorBidi"/>
          <w:sz w:val="24"/>
          <w:szCs w:val="24"/>
        </w:rPr>
        <w:t>served to intensify</w:t>
      </w:r>
      <w:r w:rsidR="00D406CC" w:rsidRPr="0089351A">
        <w:rPr>
          <w:rFonts w:asciiTheme="majorBidi" w:hAnsiTheme="majorBidi" w:cstheme="majorBidi"/>
          <w:sz w:val="24"/>
          <w:szCs w:val="24"/>
        </w:rPr>
        <w:t xml:space="preserve"> prior debate</w:t>
      </w:r>
      <w:r w:rsidR="001722B2" w:rsidRPr="0089351A">
        <w:rPr>
          <w:rFonts w:asciiTheme="majorBidi" w:hAnsiTheme="majorBidi" w:cstheme="majorBidi"/>
          <w:sz w:val="24"/>
          <w:szCs w:val="24"/>
        </w:rPr>
        <w:t xml:space="preserve"> about </w:t>
      </w:r>
      <w:r w:rsidR="00D86F51" w:rsidRPr="0089351A">
        <w:rPr>
          <w:rFonts w:asciiTheme="majorBidi" w:hAnsiTheme="majorBidi" w:cstheme="majorBidi"/>
          <w:sz w:val="24"/>
          <w:szCs w:val="24"/>
        </w:rPr>
        <w:t>slavery’s</w:t>
      </w:r>
      <w:r w:rsidR="00424F8D" w:rsidRPr="0089351A">
        <w:rPr>
          <w:rFonts w:asciiTheme="majorBidi" w:hAnsiTheme="majorBidi" w:cstheme="majorBidi"/>
          <w:sz w:val="24"/>
          <w:szCs w:val="24"/>
        </w:rPr>
        <w:t xml:space="preserve"> contemporary impacts</w:t>
      </w:r>
      <w:r w:rsidR="00007E55">
        <w:rPr>
          <w:rFonts w:asciiTheme="majorBidi" w:hAnsiTheme="majorBidi" w:cstheme="majorBidi"/>
          <w:sz w:val="24"/>
          <w:szCs w:val="24"/>
        </w:rPr>
        <w:t xml:space="preserve"> particularly on the descendants of slaves</w:t>
      </w:r>
      <w:r w:rsidR="0049411E" w:rsidRPr="0089351A">
        <w:rPr>
          <w:rFonts w:asciiTheme="majorBidi" w:hAnsiTheme="majorBidi" w:cstheme="majorBidi"/>
          <w:sz w:val="24"/>
          <w:szCs w:val="24"/>
        </w:rPr>
        <w:t>.</w:t>
      </w:r>
      <w:r w:rsidR="006829B3" w:rsidRPr="0089351A">
        <w:rPr>
          <w:rStyle w:val="FootnoteReference"/>
          <w:rFonts w:asciiTheme="majorBidi" w:hAnsiTheme="majorBidi" w:cstheme="majorBidi"/>
          <w:sz w:val="24"/>
          <w:szCs w:val="24"/>
        </w:rPr>
        <w:footnoteReference w:id="5"/>
      </w:r>
      <w:r w:rsidR="001722B2" w:rsidRPr="0089351A">
        <w:rPr>
          <w:rFonts w:asciiTheme="majorBidi" w:hAnsiTheme="majorBidi" w:cstheme="majorBidi"/>
          <w:sz w:val="24"/>
          <w:szCs w:val="24"/>
        </w:rPr>
        <w:t xml:space="preserve"> </w:t>
      </w:r>
      <w:r w:rsidR="008D0ACB" w:rsidRPr="0089351A">
        <w:rPr>
          <w:rFonts w:asciiTheme="majorBidi" w:hAnsiTheme="majorBidi" w:cstheme="majorBidi"/>
          <w:sz w:val="24"/>
          <w:szCs w:val="24"/>
        </w:rPr>
        <w:t>E</w:t>
      </w:r>
      <w:r w:rsidR="00D406CC" w:rsidRPr="0089351A">
        <w:rPr>
          <w:rFonts w:asciiTheme="majorBidi" w:hAnsiTheme="majorBidi" w:cstheme="majorBidi"/>
          <w:sz w:val="24"/>
          <w:szCs w:val="24"/>
        </w:rPr>
        <w:t>arlier exchanges had already</w:t>
      </w:r>
      <w:r w:rsidR="00FB5E87" w:rsidRPr="0089351A">
        <w:rPr>
          <w:rFonts w:asciiTheme="majorBidi" w:hAnsiTheme="majorBidi" w:cstheme="majorBidi"/>
          <w:sz w:val="24"/>
          <w:szCs w:val="24"/>
        </w:rPr>
        <w:t xml:space="preserve"> </w:t>
      </w:r>
      <w:r w:rsidR="00422298" w:rsidRPr="0089351A">
        <w:rPr>
          <w:rFonts w:asciiTheme="majorBidi" w:hAnsiTheme="majorBidi" w:cstheme="majorBidi"/>
          <w:sz w:val="24"/>
          <w:szCs w:val="24"/>
        </w:rPr>
        <w:t xml:space="preserve">provoked </w:t>
      </w:r>
      <w:r w:rsidR="00FB5E87" w:rsidRPr="0089351A">
        <w:rPr>
          <w:rFonts w:asciiTheme="majorBidi" w:hAnsiTheme="majorBidi" w:cstheme="majorBidi"/>
          <w:sz w:val="24"/>
          <w:szCs w:val="24"/>
        </w:rPr>
        <w:t>powerful</w:t>
      </w:r>
      <w:r w:rsidR="00F902D2" w:rsidRPr="0089351A">
        <w:rPr>
          <w:rFonts w:asciiTheme="majorBidi" w:hAnsiTheme="majorBidi" w:cstheme="majorBidi"/>
          <w:sz w:val="24"/>
          <w:szCs w:val="24"/>
        </w:rPr>
        <w:t xml:space="preserve"> emotions but </w:t>
      </w:r>
      <w:r w:rsidR="0048622B" w:rsidRPr="0089351A">
        <w:rPr>
          <w:rFonts w:asciiTheme="majorBidi" w:hAnsiTheme="majorBidi" w:cstheme="majorBidi"/>
          <w:sz w:val="24"/>
          <w:szCs w:val="24"/>
        </w:rPr>
        <w:t>also concrete responses.</w:t>
      </w:r>
      <w:r w:rsidR="00F33B4C" w:rsidRPr="0089351A">
        <w:rPr>
          <w:rFonts w:asciiTheme="majorBidi" w:hAnsiTheme="majorBidi" w:cstheme="majorBidi"/>
          <w:sz w:val="24"/>
          <w:szCs w:val="24"/>
        </w:rPr>
        <w:t xml:space="preserve"> </w:t>
      </w:r>
      <w:r w:rsidR="0048622B" w:rsidRPr="0089351A">
        <w:rPr>
          <w:rFonts w:asciiTheme="majorBidi" w:hAnsiTheme="majorBidi" w:cstheme="majorBidi"/>
          <w:sz w:val="24"/>
          <w:szCs w:val="24"/>
        </w:rPr>
        <w:t>Companies whose predecessor entities were inv</w:t>
      </w:r>
      <w:r w:rsidR="006503E8" w:rsidRPr="0089351A">
        <w:rPr>
          <w:rFonts w:asciiTheme="majorBidi" w:hAnsiTheme="majorBidi" w:cstheme="majorBidi"/>
          <w:sz w:val="24"/>
          <w:szCs w:val="24"/>
        </w:rPr>
        <w:t>olv</w:t>
      </w:r>
      <w:r w:rsidR="0033064C" w:rsidRPr="0089351A">
        <w:rPr>
          <w:rFonts w:asciiTheme="majorBidi" w:hAnsiTheme="majorBidi" w:cstheme="majorBidi"/>
          <w:sz w:val="24"/>
          <w:szCs w:val="24"/>
        </w:rPr>
        <w:t xml:space="preserve">ed have </w:t>
      </w:r>
      <w:r w:rsidR="00422298" w:rsidRPr="0089351A">
        <w:rPr>
          <w:rFonts w:asciiTheme="majorBidi" w:hAnsiTheme="majorBidi" w:cstheme="majorBidi"/>
          <w:sz w:val="24"/>
          <w:szCs w:val="24"/>
        </w:rPr>
        <w:t>defended</w:t>
      </w:r>
      <w:r w:rsidR="00424F8D" w:rsidRPr="0089351A">
        <w:rPr>
          <w:rFonts w:asciiTheme="majorBidi" w:hAnsiTheme="majorBidi" w:cstheme="majorBidi"/>
          <w:sz w:val="24"/>
          <w:szCs w:val="24"/>
        </w:rPr>
        <w:t xml:space="preserve"> their </w:t>
      </w:r>
      <w:r w:rsidR="0033064C" w:rsidRPr="0089351A">
        <w:rPr>
          <w:rFonts w:asciiTheme="majorBidi" w:hAnsiTheme="majorBidi" w:cstheme="majorBidi"/>
          <w:sz w:val="24"/>
          <w:szCs w:val="24"/>
        </w:rPr>
        <w:t>reputations</w:t>
      </w:r>
      <w:r w:rsidR="00422298" w:rsidRPr="0089351A">
        <w:rPr>
          <w:rFonts w:asciiTheme="majorBidi" w:hAnsiTheme="majorBidi" w:cstheme="majorBidi"/>
          <w:sz w:val="24"/>
          <w:szCs w:val="24"/>
        </w:rPr>
        <w:t xml:space="preserve">, some making </w:t>
      </w:r>
      <w:r w:rsidR="00FB5E87" w:rsidRPr="0089351A">
        <w:rPr>
          <w:rFonts w:asciiTheme="majorBidi" w:hAnsiTheme="majorBidi" w:cstheme="majorBidi"/>
          <w:sz w:val="24"/>
          <w:szCs w:val="24"/>
        </w:rPr>
        <w:t>apologies</w:t>
      </w:r>
      <w:r w:rsidR="0048622B" w:rsidRPr="0089351A">
        <w:rPr>
          <w:rFonts w:asciiTheme="majorBidi" w:hAnsiTheme="majorBidi" w:cstheme="majorBidi"/>
          <w:sz w:val="24"/>
          <w:szCs w:val="24"/>
        </w:rPr>
        <w:t xml:space="preserve"> and redress</w:t>
      </w:r>
      <w:r w:rsidR="0049411E" w:rsidRPr="0089351A">
        <w:rPr>
          <w:rFonts w:asciiTheme="majorBidi" w:hAnsiTheme="majorBidi" w:cstheme="majorBidi"/>
          <w:sz w:val="24"/>
          <w:szCs w:val="24"/>
        </w:rPr>
        <w:t>.</w:t>
      </w:r>
      <w:r w:rsidR="006829B3" w:rsidRPr="0089351A">
        <w:rPr>
          <w:rStyle w:val="FootnoteReference"/>
          <w:rFonts w:asciiTheme="majorBidi" w:hAnsiTheme="majorBidi" w:cstheme="majorBidi"/>
          <w:sz w:val="24"/>
          <w:szCs w:val="24"/>
        </w:rPr>
        <w:footnoteReference w:id="6"/>
      </w:r>
      <w:r w:rsidR="00397811" w:rsidRPr="0089351A">
        <w:rPr>
          <w:rFonts w:asciiTheme="majorBidi" w:hAnsiTheme="majorBidi" w:cstheme="majorBidi"/>
          <w:sz w:val="24"/>
          <w:szCs w:val="24"/>
        </w:rPr>
        <w:t xml:space="preserve"> </w:t>
      </w:r>
      <w:r w:rsidR="00EF59D7" w:rsidRPr="0089351A">
        <w:rPr>
          <w:rFonts w:asciiTheme="majorBidi" w:hAnsiTheme="majorBidi" w:cstheme="majorBidi"/>
          <w:sz w:val="24"/>
          <w:szCs w:val="24"/>
        </w:rPr>
        <w:t>In</w:t>
      </w:r>
      <w:r w:rsidR="007B791D" w:rsidRPr="0089351A">
        <w:rPr>
          <w:rFonts w:asciiTheme="majorBidi" w:hAnsiTheme="majorBidi" w:cstheme="majorBidi"/>
          <w:sz w:val="24"/>
          <w:szCs w:val="24"/>
        </w:rPr>
        <w:t xml:space="preserve"> </w:t>
      </w:r>
      <w:r w:rsidR="006503E8" w:rsidRPr="0089351A">
        <w:rPr>
          <w:rFonts w:asciiTheme="majorBidi" w:hAnsiTheme="majorBidi" w:cstheme="majorBidi"/>
          <w:sz w:val="24"/>
          <w:szCs w:val="24"/>
        </w:rPr>
        <w:t>certain</w:t>
      </w:r>
      <w:r w:rsidR="00EF59D7" w:rsidRPr="0089351A">
        <w:rPr>
          <w:rFonts w:asciiTheme="majorBidi" w:hAnsiTheme="majorBidi" w:cstheme="majorBidi"/>
          <w:sz w:val="24"/>
          <w:szCs w:val="24"/>
        </w:rPr>
        <w:t xml:space="preserve"> </w:t>
      </w:r>
      <w:r w:rsidR="00FB5E87" w:rsidRPr="0089351A">
        <w:rPr>
          <w:rFonts w:asciiTheme="majorBidi" w:hAnsiTheme="majorBidi" w:cstheme="majorBidi"/>
          <w:sz w:val="24"/>
          <w:szCs w:val="24"/>
        </w:rPr>
        <w:t xml:space="preserve">American </w:t>
      </w:r>
      <w:r w:rsidR="00EF59D7" w:rsidRPr="0089351A">
        <w:rPr>
          <w:rFonts w:asciiTheme="majorBidi" w:hAnsiTheme="majorBidi" w:cstheme="majorBidi"/>
          <w:sz w:val="24"/>
          <w:szCs w:val="24"/>
        </w:rPr>
        <w:t xml:space="preserve">states, </w:t>
      </w:r>
      <w:r w:rsidR="00D406CC" w:rsidRPr="0089351A">
        <w:rPr>
          <w:rFonts w:asciiTheme="majorBidi" w:hAnsiTheme="majorBidi" w:cstheme="majorBidi"/>
          <w:sz w:val="24"/>
          <w:szCs w:val="24"/>
        </w:rPr>
        <w:t>this was stimulated</w:t>
      </w:r>
      <w:r w:rsidR="008D0ACB" w:rsidRPr="0089351A">
        <w:rPr>
          <w:rFonts w:asciiTheme="majorBidi" w:hAnsiTheme="majorBidi" w:cstheme="majorBidi"/>
          <w:sz w:val="24"/>
          <w:szCs w:val="24"/>
        </w:rPr>
        <w:t xml:space="preserve"> by a legal</w:t>
      </w:r>
      <w:r w:rsidR="00FB5E87" w:rsidRPr="0089351A">
        <w:rPr>
          <w:rFonts w:asciiTheme="majorBidi" w:hAnsiTheme="majorBidi" w:cstheme="majorBidi"/>
          <w:sz w:val="24"/>
          <w:szCs w:val="24"/>
        </w:rPr>
        <w:t xml:space="preserve"> requirement that </w:t>
      </w:r>
      <w:r w:rsidR="00EF59D7" w:rsidRPr="0089351A">
        <w:rPr>
          <w:rFonts w:asciiTheme="majorBidi" w:hAnsiTheme="majorBidi" w:cstheme="majorBidi"/>
          <w:sz w:val="24"/>
          <w:szCs w:val="24"/>
        </w:rPr>
        <w:t xml:space="preserve">companies </w:t>
      </w:r>
      <w:r w:rsidR="00FB5E87" w:rsidRPr="0089351A">
        <w:rPr>
          <w:rFonts w:asciiTheme="majorBidi" w:hAnsiTheme="majorBidi" w:cstheme="majorBidi"/>
          <w:sz w:val="24"/>
          <w:szCs w:val="24"/>
        </w:rPr>
        <w:t xml:space="preserve">state the role they </w:t>
      </w:r>
      <w:r w:rsidR="00EF59D7" w:rsidRPr="0089351A">
        <w:rPr>
          <w:rFonts w:asciiTheme="majorBidi" w:hAnsiTheme="majorBidi" w:cstheme="majorBidi"/>
          <w:sz w:val="24"/>
          <w:szCs w:val="24"/>
        </w:rPr>
        <w:t>played in slavery</w:t>
      </w:r>
      <w:r w:rsidR="0049411E" w:rsidRPr="0089351A">
        <w:rPr>
          <w:rFonts w:asciiTheme="majorBidi" w:hAnsiTheme="majorBidi" w:cstheme="majorBidi"/>
          <w:sz w:val="24"/>
          <w:szCs w:val="24"/>
        </w:rPr>
        <w:t>.</w:t>
      </w:r>
      <w:r w:rsidR="00951B32" w:rsidRPr="0089351A">
        <w:rPr>
          <w:rStyle w:val="FootnoteReference"/>
          <w:rFonts w:asciiTheme="majorBidi" w:hAnsiTheme="majorBidi" w:cstheme="majorBidi"/>
          <w:sz w:val="24"/>
          <w:szCs w:val="24"/>
        </w:rPr>
        <w:footnoteReference w:id="7"/>
      </w:r>
      <w:r w:rsidR="00EF59D7" w:rsidRPr="0089351A">
        <w:rPr>
          <w:rFonts w:asciiTheme="majorBidi" w:hAnsiTheme="majorBidi" w:cstheme="majorBidi"/>
          <w:sz w:val="24"/>
          <w:szCs w:val="24"/>
        </w:rPr>
        <w:t xml:space="preserve"> </w:t>
      </w:r>
      <w:r w:rsidR="008168F9" w:rsidRPr="0089351A">
        <w:rPr>
          <w:rFonts w:asciiTheme="majorBidi" w:hAnsiTheme="majorBidi" w:cstheme="majorBidi"/>
          <w:sz w:val="24"/>
          <w:szCs w:val="24"/>
        </w:rPr>
        <w:t>Internationally</w:t>
      </w:r>
      <w:r w:rsidR="0048622B" w:rsidRPr="0089351A">
        <w:rPr>
          <w:rFonts w:asciiTheme="majorBidi" w:hAnsiTheme="majorBidi" w:cstheme="majorBidi"/>
          <w:sz w:val="24"/>
          <w:szCs w:val="24"/>
        </w:rPr>
        <w:t>, contemporary slavery and forc</w:t>
      </w:r>
      <w:r w:rsidR="009C7F77" w:rsidRPr="0089351A">
        <w:rPr>
          <w:rFonts w:asciiTheme="majorBidi" w:hAnsiTheme="majorBidi" w:cstheme="majorBidi"/>
          <w:sz w:val="24"/>
          <w:szCs w:val="24"/>
        </w:rPr>
        <w:t xml:space="preserve">ed labour has also </w:t>
      </w:r>
      <w:r w:rsidR="00D17F40" w:rsidRPr="0089351A">
        <w:rPr>
          <w:rFonts w:asciiTheme="majorBidi" w:hAnsiTheme="majorBidi" w:cstheme="majorBidi"/>
          <w:sz w:val="24"/>
          <w:szCs w:val="24"/>
        </w:rPr>
        <w:t xml:space="preserve">gradually </w:t>
      </w:r>
      <w:r w:rsidR="009C7F77" w:rsidRPr="0089351A">
        <w:rPr>
          <w:rFonts w:asciiTheme="majorBidi" w:hAnsiTheme="majorBidi" w:cstheme="majorBidi"/>
          <w:sz w:val="24"/>
          <w:szCs w:val="24"/>
        </w:rPr>
        <w:t>moved up</w:t>
      </w:r>
      <w:r w:rsidR="00FB5E87" w:rsidRPr="0089351A">
        <w:rPr>
          <w:rFonts w:asciiTheme="majorBidi" w:hAnsiTheme="majorBidi" w:cstheme="majorBidi"/>
          <w:sz w:val="24"/>
          <w:szCs w:val="24"/>
        </w:rPr>
        <w:t xml:space="preserve"> </w:t>
      </w:r>
      <w:r w:rsidR="0048622B" w:rsidRPr="0089351A">
        <w:rPr>
          <w:rFonts w:asciiTheme="majorBidi" w:hAnsiTheme="majorBidi" w:cstheme="majorBidi"/>
          <w:sz w:val="24"/>
          <w:szCs w:val="24"/>
        </w:rPr>
        <w:t>political agenda</w:t>
      </w:r>
      <w:r w:rsidR="00370DB3" w:rsidRPr="0089351A">
        <w:rPr>
          <w:rFonts w:asciiTheme="majorBidi" w:hAnsiTheme="majorBidi" w:cstheme="majorBidi"/>
          <w:sz w:val="24"/>
          <w:szCs w:val="24"/>
        </w:rPr>
        <w:t xml:space="preserve">s, accelerated by the 2001 World Conference </w:t>
      </w:r>
      <w:proofErr w:type="gramStart"/>
      <w:r w:rsidR="00370DB3" w:rsidRPr="0089351A">
        <w:rPr>
          <w:rFonts w:asciiTheme="majorBidi" w:hAnsiTheme="majorBidi" w:cstheme="majorBidi"/>
          <w:sz w:val="24"/>
          <w:szCs w:val="24"/>
        </w:rPr>
        <w:t>Against</w:t>
      </w:r>
      <w:proofErr w:type="gramEnd"/>
      <w:r w:rsidR="00370DB3" w:rsidRPr="0089351A">
        <w:rPr>
          <w:rFonts w:asciiTheme="majorBidi" w:hAnsiTheme="majorBidi" w:cstheme="majorBidi"/>
          <w:sz w:val="24"/>
          <w:szCs w:val="24"/>
        </w:rPr>
        <w:t xml:space="preserve"> Racism’s Declaration asserting a strong link between slavery and racism.  The realities of contemporary slavery continue to be </w:t>
      </w:r>
      <w:r w:rsidR="00370DB3" w:rsidRPr="0089351A">
        <w:rPr>
          <w:rFonts w:asciiTheme="majorBidi" w:hAnsiTheme="majorBidi" w:cstheme="majorBidi"/>
          <w:sz w:val="24"/>
          <w:szCs w:val="24"/>
        </w:rPr>
        <w:lastRenderedPageBreak/>
        <w:t>brought to public attention</w:t>
      </w:r>
      <w:r w:rsidR="006503E8" w:rsidRPr="0089351A">
        <w:rPr>
          <w:rFonts w:asciiTheme="majorBidi" w:hAnsiTheme="majorBidi" w:cstheme="majorBidi"/>
          <w:sz w:val="24"/>
          <w:szCs w:val="24"/>
        </w:rPr>
        <w:t xml:space="preserve"> </w:t>
      </w:r>
      <w:r w:rsidR="006E78C9" w:rsidRPr="0089351A">
        <w:rPr>
          <w:rFonts w:asciiTheme="majorBidi" w:hAnsiTheme="majorBidi" w:cstheme="majorBidi"/>
          <w:sz w:val="24"/>
          <w:szCs w:val="24"/>
        </w:rPr>
        <w:t xml:space="preserve">by well-known </w:t>
      </w:r>
      <w:r w:rsidR="007A22AD" w:rsidRPr="0089351A">
        <w:rPr>
          <w:rFonts w:asciiTheme="majorBidi" w:hAnsiTheme="majorBidi" w:cstheme="majorBidi"/>
          <w:sz w:val="24"/>
          <w:szCs w:val="24"/>
        </w:rPr>
        <w:t xml:space="preserve">organisations </w:t>
      </w:r>
      <w:r w:rsidR="00370DB3" w:rsidRPr="0089351A">
        <w:rPr>
          <w:rFonts w:asciiTheme="majorBidi" w:hAnsiTheme="majorBidi" w:cstheme="majorBidi"/>
          <w:sz w:val="24"/>
          <w:szCs w:val="24"/>
        </w:rPr>
        <w:t xml:space="preserve">such as Slavery International </w:t>
      </w:r>
      <w:r w:rsidR="007A22AD" w:rsidRPr="0089351A">
        <w:rPr>
          <w:rFonts w:asciiTheme="majorBidi" w:hAnsiTheme="majorBidi" w:cstheme="majorBidi"/>
          <w:sz w:val="24"/>
          <w:szCs w:val="24"/>
        </w:rPr>
        <w:t>and the International Labour Organisation</w:t>
      </w:r>
      <w:r w:rsidR="0049411E" w:rsidRPr="0089351A">
        <w:rPr>
          <w:rFonts w:asciiTheme="majorBidi" w:hAnsiTheme="majorBidi" w:cstheme="majorBidi"/>
          <w:sz w:val="24"/>
          <w:szCs w:val="24"/>
        </w:rPr>
        <w:t>.</w:t>
      </w:r>
      <w:r w:rsidR="00951B32" w:rsidRPr="0089351A">
        <w:rPr>
          <w:rStyle w:val="FootnoteReference"/>
          <w:rFonts w:asciiTheme="majorBidi" w:hAnsiTheme="majorBidi" w:cstheme="majorBidi"/>
          <w:sz w:val="24"/>
          <w:szCs w:val="24"/>
        </w:rPr>
        <w:footnoteReference w:id="8"/>
      </w:r>
      <w:r w:rsidR="0097166D" w:rsidRPr="0089351A">
        <w:rPr>
          <w:rFonts w:asciiTheme="majorBidi" w:hAnsiTheme="majorBidi" w:cstheme="majorBidi"/>
          <w:sz w:val="24"/>
          <w:szCs w:val="24"/>
        </w:rPr>
        <w:t xml:space="preserve"> </w:t>
      </w:r>
    </w:p>
    <w:p w:rsidR="007D223C" w:rsidRPr="0089351A" w:rsidRDefault="00770CBE"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Mauritian history involves three ex-</w:t>
      </w:r>
      <w:r w:rsidR="00FB5E87" w:rsidRPr="0089351A">
        <w:rPr>
          <w:rFonts w:asciiTheme="majorBidi" w:hAnsiTheme="majorBidi" w:cstheme="majorBidi"/>
          <w:sz w:val="24"/>
          <w:szCs w:val="24"/>
        </w:rPr>
        <w:t>imperia</w:t>
      </w:r>
      <w:r w:rsidR="0033064C" w:rsidRPr="0089351A">
        <w:rPr>
          <w:rFonts w:asciiTheme="majorBidi" w:hAnsiTheme="majorBidi" w:cstheme="majorBidi"/>
          <w:sz w:val="24"/>
          <w:szCs w:val="24"/>
        </w:rPr>
        <w:t>l countrie</w:t>
      </w:r>
      <w:r w:rsidR="00044E40" w:rsidRPr="0089351A">
        <w:rPr>
          <w:rFonts w:asciiTheme="majorBidi" w:hAnsiTheme="majorBidi" w:cstheme="majorBidi"/>
          <w:sz w:val="24"/>
          <w:szCs w:val="24"/>
        </w:rPr>
        <w:t>s</w:t>
      </w:r>
      <w:r w:rsidRPr="0089351A">
        <w:rPr>
          <w:rFonts w:asciiTheme="majorBidi" w:hAnsiTheme="majorBidi" w:cstheme="majorBidi"/>
          <w:sz w:val="24"/>
          <w:szCs w:val="24"/>
        </w:rPr>
        <w:t>. Mauritius was ruled by the Netherlands’ East India Company in the 17</w:t>
      </w:r>
      <w:r w:rsidRPr="0089351A">
        <w:rPr>
          <w:rFonts w:asciiTheme="majorBidi" w:hAnsiTheme="majorBidi" w:cstheme="majorBidi"/>
          <w:sz w:val="24"/>
          <w:szCs w:val="24"/>
          <w:vertAlign w:val="superscript"/>
        </w:rPr>
        <w:t>th</w:t>
      </w:r>
      <w:r w:rsidRPr="0089351A">
        <w:rPr>
          <w:rFonts w:asciiTheme="majorBidi" w:hAnsiTheme="majorBidi" w:cstheme="majorBidi"/>
          <w:sz w:val="24"/>
          <w:szCs w:val="24"/>
        </w:rPr>
        <w:t xml:space="preserve"> century</w:t>
      </w:r>
      <w:r w:rsidR="00C755AF" w:rsidRPr="0089351A">
        <w:rPr>
          <w:rFonts w:asciiTheme="majorBidi" w:hAnsiTheme="majorBidi" w:cstheme="majorBidi"/>
          <w:sz w:val="24"/>
          <w:szCs w:val="24"/>
        </w:rPr>
        <w:t>;</w:t>
      </w:r>
      <w:r w:rsidR="00FB5E87" w:rsidRPr="0089351A">
        <w:rPr>
          <w:rFonts w:asciiTheme="majorBidi" w:hAnsiTheme="majorBidi" w:cstheme="majorBidi"/>
          <w:sz w:val="24"/>
          <w:szCs w:val="24"/>
        </w:rPr>
        <w:t xml:space="preserve"> </w:t>
      </w:r>
      <w:r w:rsidRPr="0089351A">
        <w:rPr>
          <w:rFonts w:asciiTheme="majorBidi" w:hAnsiTheme="majorBidi" w:cstheme="majorBidi"/>
          <w:sz w:val="24"/>
          <w:szCs w:val="24"/>
        </w:rPr>
        <w:t>France colonised the island (1690-1810) to be displaced by Britain (1810-1968)</w:t>
      </w:r>
      <w:r w:rsidR="000929C8" w:rsidRPr="0089351A">
        <w:rPr>
          <w:rFonts w:asciiTheme="majorBidi" w:hAnsiTheme="majorBidi" w:cstheme="majorBidi"/>
          <w:sz w:val="24"/>
          <w:szCs w:val="24"/>
        </w:rPr>
        <w:t xml:space="preserve"> who </w:t>
      </w:r>
      <w:r w:rsidR="00422298" w:rsidRPr="0089351A">
        <w:rPr>
          <w:rFonts w:asciiTheme="majorBidi" w:hAnsiTheme="majorBidi" w:cstheme="majorBidi"/>
          <w:sz w:val="24"/>
          <w:szCs w:val="24"/>
        </w:rPr>
        <w:t>allowed</w:t>
      </w:r>
      <w:r w:rsidR="000929C8" w:rsidRPr="0089351A">
        <w:rPr>
          <w:rFonts w:asciiTheme="majorBidi" w:hAnsiTheme="majorBidi" w:cstheme="majorBidi"/>
          <w:sz w:val="24"/>
          <w:szCs w:val="24"/>
        </w:rPr>
        <w:t xml:space="preserve"> the land</w:t>
      </w:r>
      <w:r w:rsidR="00FB5E87" w:rsidRPr="0089351A">
        <w:rPr>
          <w:rFonts w:asciiTheme="majorBidi" w:hAnsiTheme="majorBidi" w:cstheme="majorBidi"/>
          <w:sz w:val="24"/>
          <w:szCs w:val="24"/>
        </w:rPr>
        <w:t xml:space="preserve"> and slave-</w:t>
      </w:r>
      <w:r w:rsidR="000929C8" w:rsidRPr="0089351A">
        <w:rPr>
          <w:rFonts w:asciiTheme="majorBidi" w:hAnsiTheme="majorBidi" w:cstheme="majorBidi"/>
          <w:sz w:val="24"/>
          <w:szCs w:val="24"/>
        </w:rPr>
        <w:t xml:space="preserve">owning Franco-Mauritian elite to retain their </w:t>
      </w:r>
      <w:r w:rsidR="0033064C" w:rsidRPr="0089351A">
        <w:rPr>
          <w:rFonts w:asciiTheme="majorBidi" w:hAnsiTheme="majorBidi" w:cstheme="majorBidi"/>
          <w:sz w:val="24"/>
          <w:szCs w:val="24"/>
        </w:rPr>
        <w:t xml:space="preserve">leading </w:t>
      </w:r>
      <w:r w:rsidR="000929C8" w:rsidRPr="0089351A">
        <w:rPr>
          <w:rFonts w:asciiTheme="majorBidi" w:hAnsiTheme="majorBidi" w:cstheme="majorBidi"/>
          <w:sz w:val="24"/>
          <w:szCs w:val="24"/>
        </w:rPr>
        <w:t>position in the island’s economy and polity</w:t>
      </w:r>
      <w:r w:rsidR="0049411E" w:rsidRPr="0089351A">
        <w:rPr>
          <w:rFonts w:asciiTheme="majorBidi" w:hAnsiTheme="majorBidi" w:cstheme="majorBidi"/>
          <w:sz w:val="24"/>
          <w:szCs w:val="24"/>
        </w:rPr>
        <w:t>.</w:t>
      </w:r>
      <w:r w:rsidR="00951B32" w:rsidRPr="0089351A">
        <w:rPr>
          <w:rStyle w:val="FootnoteReference"/>
          <w:rFonts w:asciiTheme="majorBidi" w:hAnsiTheme="majorBidi" w:cstheme="majorBidi"/>
          <w:sz w:val="24"/>
          <w:szCs w:val="24"/>
        </w:rPr>
        <w:footnoteReference w:id="9"/>
      </w:r>
      <w:r w:rsidR="00110147" w:rsidRPr="0089351A">
        <w:rPr>
          <w:rFonts w:asciiTheme="majorBidi" w:hAnsiTheme="majorBidi" w:cstheme="majorBidi"/>
          <w:sz w:val="24"/>
          <w:szCs w:val="24"/>
        </w:rPr>
        <w:t xml:space="preserve"> </w:t>
      </w:r>
      <w:r w:rsidR="00C71D0E" w:rsidRPr="0089351A">
        <w:rPr>
          <w:rFonts w:asciiTheme="majorBidi" w:hAnsiTheme="majorBidi" w:cstheme="majorBidi"/>
          <w:sz w:val="24"/>
          <w:szCs w:val="24"/>
        </w:rPr>
        <w:t xml:space="preserve"> </w:t>
      </w:r>
      <w:r w:rsidR="00FF452C" w:rsidRPr="0089351A">
        <w:rPr>
          <w:rFonts w:asciiTheme="majorBidi" w:hAnsiTheme="majorBidi" w:cstheme="majorBidi"/>
          <w:sz w:val="24"/>
          <w:szCs w:val="24"/>
        </w:rPr>
        <w:t>The extent and limits of the colonial powers’</w:t>
      </w:r>
      <w:r w:rsidR="00044E40" w:rsidRPr="0089351A">
        <w:rPr>
          <w:rFonts w:asciiTheme="majorBidi" w:hAnsiTheme="majorBidi" w:cstheme="majorBidi"/>
          <w:sz w:val="24"/>
          <w:szCs w:val="24"/>
        </w:rPr>
        <w:t xml:space="preserve"> </w:t>
      </w:r>
      <w:r w:rsidR="00FF452C" w:rsidRPr="0089351A">
        <w:rPr>
          <w:rFonts w:asciiTheme="majorBidi" w:hAnsiTheme="majorBidi" w:cstheme="majorBidi"/>
          <w:sz w:val="24"/>
          <w:szCs w:val="24"/>
        </w:rPr>
        <w:t xml:space="preserve">responsibilities </w:t>
      </w:r>
      <w:r w:rsidR="00C71D0E" w:rsidRPr="0089351A">
        <w:rPr>
          <w:rFonts w:asciiTheme="majorBidi" w:hAnsiTheme="majorBidi" w:cstheme="majorBidi"/>
          <w:sz w:val="24"/>
          <w:szCs w:val="24"/>
        </w:rPr>
        <w:t>for presiding over</w:t>
      </w:r>
      <w:r w:rsidR="00044E40" w:rsidRPr="0089351A">
        <w:rPr>
          <w:rFonts w:asciiTheme="majorBidi" w:hAnsiTheme="majorBidi" w:cstheme="majorBidi"/>
          <w:sz w:val="24"/>
          <w:szCs w:val="24"/>
        </w:rPr>
        <w:t>,</w:t>
      </w:r>
      <w:r w:rsidR="00BE2C67" w:rsidRPr="0089351A">
        <w:rPr>
          <w:rFonts w:asciiTheme="majorBidi" w:hAnsiTheme="majorBidi" w:cstheme="majorBidi"/>
          <w:sz w:val="24"/>
          <w:szCs w:val="24"/>
        </w:rPr>
        <w:t xml:space="preserve"> legitimating </w:t>
      </w:r>
      <w:r w:rsidR="00044E40" w:rsidRPr="0089351A">
        <w:rPr>
          <w:rFonts w:asciiTheme="majorBidi" w:hAnsiTheme="majorBidi" w:cstheme="majorBidi"/>
          <w:sz w:val="24"/>
          <w:szCs w:val="24"/>
        </w:rPr>
        <w:t xml:space="preserve">and facilitating </w:t>
      </w:r>
      <w:r w:rsidR="00C71D0E" w:rsidRPr="0089351A">
        <w:rPr>
          <w:rFonts w:asciiTheme="majorBidi" w:hAnsiTheme="majorBidi" w:cstheme="majorBidi"/>
          <w:sz w:val="24"/>
          <w:szCs w:val="24"/>
        </w:rPr>
        <w:t>sl</w:t>
      </w:r>
      <w:r w:rsidR="00D406CC" w:rsidRPr="0089351A">
        <w:rPr>
          <w:rFonts w:asciiTheme="majorBidi" w:hAnsiTheme="majorBidi" w:cstheme="majorBidi"/>
          <w:sz w:val="24"/>
          <w:szCs w:val="24"/>
        </w:rPr>
        <w:t>avery and indentured labour</w:t>
      </w:r>
      <w:r w:rsidR="00FF452C" w:rsidRPr="0089351A">
        <w:rPr>
          <w:rFonts w:asciiTheme="majorBidi" w:hAnsiTheme="majorBidi" w:cstheme="majorBidi"/>
          <w:sz w:val="24"/>
          <w:szCs w:val="24"/>
        </w:rPr>
        <w:t xml:space="preserve"> have been documented</w:t>
      </w:r>
      <w:r w:rsidR="00864702" w:rsidRPr="0089351A">
        <w:rPr>
          <w:rFonts w:asciiTheme="majorBidi" w:hAnsiTheme="majorBidi" w:cstheme="majorBidi"/>
          <w:sz w:val="24"/>
          <w:szCs w:val="24"/>
        </w:rPr>
        <w:t>.</w:t>
      </w:r>
      <w:r w:rsidR="00455532" w:rsidRPr="0089351A">
        <w:rPr>
          <w:rStyle w:val="FootnoteReference"/>
          <w:rFonts w:asciiTheme="majorBidi" w:hAnsiTheme="majorBidi" w:cstheme="majorBidi"/>
          <w:sz w:val="24"/>
          <w:szCs w:val="24"/>
        </w:rPr>
        <w:footnoteReference w:id="10"/>
      </w:r>
      <w:r w:rsidR="00C71D0E" w:rsidRPr="0089351A">
        <w:rPr>
          <w:rFonts w:asciiTheme="majorBidi" w:hAnsiTheme="majorBidi" w:cstheme="majorBidi"/>
          <w:sz w:val="24"/>
          <w:szCs w:val="24"/>
        </w:rPr>
        <w:t xml:space="preserve"> </w:t>
      </w:r>
      <w:r w:rsidR="00FF452C" w:rsidRPr="0089351A">
        <w:rPr>
          <w:rFonts w:asciiTheme="majorBidi" w:hAnsiTheme="majorBidi" w:cstheme="majorBidi"/>
          <w:sz w:val="24"/>
          <w:szCs w:val="24"/>
        </w:rPr>
        <w:t>After the British abolished</w:t>
      </w:r>
      <w:r w:rsidR="00044E40" w:rsidRPr="0089351A">
        <w:rPr>
          <w:rFonts w:asciiTheme="majorBidi" w:hAnsiTheme="majorBidi" w:cstheme="majorBidi"/>
          <w:sz w:val="24"/>
          <w:szCs w:val="24"/>
        </w:rPr>
        <w:t xml:space="preserve"> slavery</w:t>
      </w:r>
      <w:r w:rsidR="00CF72DD" w:rsidRPr="0089351A">
        <w:rPr>
          <w:rFonts w:asciiTheme="majorBidi" w:hAnsiTheme="majorBidi" w:cstheme="majorBidi"/>
          <w:sz w:val="24"/>
          <w:szCs w:val="24"/>
        </w:rPr>
        <w:t xml:space="preserve"> in their empire</w:t>
      </w:r>
      <w:r w:rsidR="00044E40" w:rsidRPr="0089351A">
        <w:rPr>
          <w:rFonts w:asciiTheme="majorBidi" w:hAnsiTheme="majorBidi" w:cstheme="majorBidi"/>
          <w:sz w:val="24"/>
          <w:szCs w:val="24"/>
        </w:rPr>
        <w:t xml:space="preserve">, </w:t>
      </w:r>
      <w:r w:rsidR="00424F8D" w:rsidRPr="0089351A">
        <w:rPr>
          <w:rFonts w:asciiTheme="majorBidi" w:hAnsiTheme="majorBidi" w:cstheme="majorBidi"/>
          <w:sz w:val="24"/>
          <w:szCs w:val="24"/>
        </w:rPr>
        <w:t xml:space="preserve">both it </w:t>
      </w:r>
      <w:r w:rsidR="00FF452C" w:rsidRPr="0089351A">
        <w:rPr>
          <w:rFonts w:asciiTheme="majorBidi" w:hAnsiTheme="majorBidi" w:cstheme="majorBidi"/>
          <w:sz w:val="24"/>
          <w:szCs w:val="24"/>
        </w:rPr>
        <w:t xml:space="preserve">and the slave trade continued </w:t>
      </w:r>
      <w:r w:rsidR="009C7F77" w:rsidRPr="0089351A">
        <w:rPr>
          <w:rFonts w:asciiTheme="majorBidi" w:hAnsiTheme="majorBidi" w:cstheme="majorBidi"/>
          <w:sz w:val="24"/>
          <w:szCs w:val="24"/>
        </w:rPr>
        <w:t>for decades in its</w:t>
      </w:r>
      <w:r w:rsidR="00C755AF" w:rsidRPr="0089351A">
        <w:rPr>
          <w:rFonts w:asciiTheme="majorBidi" w:hAnsiTheme="majorBidi" w:cstheme="majorBidi"/>
          <w:sz w:val="24"/>
          <w:szCs w:val="24"/>
        </w:rPr>
        <w:t xml:space="preserve"> French</w:t>
      </w:r>
      <w:r w:rsidR="009C7F77" w:rsidRPr="0089351A">
        <w:rPr>
          <w:rFonts w:asciiTheme="majorBidi" w:hAnsiTheme="majorBidi" w:cstheme="majorBidi"/>
          <w:sz w:val="24"/>
          <w:szCs w:val="24"/>
        </w:rPr>
        <w:t xml:space="preserve"> counterpart</w:t>
      </w:r>
      <w:r w:rsidR="00C755AF" w:rsidRPr="0089351A">
        <w:rPr>
          <w:rFonts w:asciiTheme="majorBidi" w:hAnsiTheme="majorBidi" w:cstheme="majorBidi"/>
          <w:sz w:val="24"/>
          <w:szCs w:val="24"/>
        </w:rPr>
        <w:t>. As Mauritian</w:t>
      </w:r>
      <w:r w:rsidR="00FF452C" w:rsidRPr="0089351A">
        <w:rPr>
          <w:rFonts w:asciiTheme="majorBidi" w:hAnsiTheme="majorBidi" w:cstheme="majorBidi"/>
          <w:sz w:val="24"/>
          <w:szCs w:val="24"/>
        </w:rPr>
        <w:t xml:space="preserve"> ex-slaves rejected </w:t>
      </w:r>
      <w:r w:rsidR="002E58ED" w:rsidRPr="0089351A">
        <w:rPr>
          <w:rFonts w:asciiTheme="majorBidi" w:hAnsiTheme="majorBidi" w:cstheme="majorBidi"/>
          <w:sz w:val="24"/>
          <w:szCs w:val="24"/>
        </w:rPr>
        <w:t>plantation work</w:t>
      </w:r>
      <w:r w:rsidR="00FF452C" w:rsidRPr="0089351A">
        <w:rPr>
          <w:rFonts w:asciiTheme="majorBidi" w:hAnsiTheme="majorBidi" w:cstheme="majorBidi"/>
          <w:sz w:val="24"/>
          <w:szCs w:val="24"/>
        </w:rPr>
        <w:t>, t</w:t>
      </w:r>
      <w:r w:rsidR="00BC0C84" w:rsidRPr="0089351A">
        <w:rPr>
          <w:rFonts w:asciiTheme="majorBidi" w:hAnsiTheme="majorBidi" w:cstheme="majorBidi"/>
          <w:sz w:val="24"/>
          <w:szCs w:val="24"/>
        </w:rPr>
        <w:t>he British imperial authorities</w:t>
      </w:r>
      <w:r w:rsidR="00FF452C" w:rsidRPr="0089351A">
        <w:rPr>
          <w:rFonts w:asciiTheme="majorBidi" w:hAnsiTheme="majorBidi" w:cstheme="majorBidi"/>
          <w:sz w:val="24"/>
          <w:szCs w:val="24"/>
        </w:rPr>
        <w:t xml:space="preserve"> </w:t>
      </w:r>
      <w:r w:rsidR="002E58ED" w:rsidRPr="0089351A">
        <w:rPr>
          <w:rFonts w:asciiTheme="majorBidi" w:hAnsiTheme="majorBidi" w:cstheme="majorBidi"/>
          <w:sz w:val="24"/>
          <w:szCs w:val="24"/>
        </w:rPr>
        <w:t xml:space="preserve">helped </w:t>
      </w:r>
      <w:r w:rsidR="00FF452C" w:rsidRPr="0089351A">
        <w:rPr>
          <w:rFonts w:asciiTheme="majorBidi" w:hAnsiTheme="majorBidi" w:cstheme="majorBidi"/>
          <w:sz w:val="24"/>
          <w:szCs w:val="24"/>
        </w:rPr>
        <w:t>the Franco-Mauritian</w:t>
      </w:r>
      <w:r w:rsidR="00BC0C84" w:rsidRPr="0089351A">
        <w:rPr>
          <w:rFonts w:asciiTheme="majorBidi" w:hAnsiTheme="majorBidi" w:cstheme="majorBidi"/>
          <w:sz w:val="24"/>
          <w:szCs w:val="24"/>
        </w:rPr>
        <w:t xml:space="preserve"> </w:t>
      </w:r>
      <w:proofErr w:type="spellStart"/>
      <w:r w:rsidR="00BC0C84" w:rsidRPr="0089351A">
        <w:rPr>
          <w:rFonts w:asciiTheme="majorBidi" w:hAnsiTheme="majorBidi" w:cstheme="majorBidi"/>
          <w:sz w:val="24"/>
          <w:szCs w:val="24"/>
        </w:rPr>
        <w:t>plantocracy</w:t>
      </w:r>
      <w:proofErr w:type="spellEnd"/>
      <w:r w:rsidR="00BC0C84" w:rsidRPr="0089351A">
        <w:rPr>
          <w:rFonts w:asciiTheme="majorBidi" w:hAnsiTheme="majorBidi" w:cstheme="majorBidi"/>
          <w:sz w:val="24"/>
          <w:szCs w:val="24"/>
        </w:rPr>
        <w:t xml:space="preserve"> </w:t>
      </w:r>
      <w:r w:rsidR="00CF72DD" w:rsidRPr="0089351A">
        <w:rPr>
          <w:rFonts w:asciiTheme="majorBidi" w:hAnsiTheme="majorBidi" w:cstheme="majorBidi"/>
          <w:sz w:val="24"/>
          <w:szCs w:val="24"/>
        </w:rPr>
        <w:t xml:space="preserve">to </w:t>
      </w:r>
      <w:r w:rsidR="00FF452C" w:rsidRPr="0089351A">
        <w:rPr>
          <w:rFonts w:asciiTheme="majorBidi" w:hAnsiTheme="majorBidi" w:cstheme="majorBidi"/>
          <w:sz w:val="24"/>
          <w:szCs w:val="24"/>
        </w:rPr>
        <w:t>import</w:t>
      </w:r>
      <w:r w:rsidR="00BC0C84" w:rsidRPr="0089351A">
        <w:rPr>
          <w:rFonts w:asciiTheme="majorBidi" w:hAnsiTheme="majorBidi" w:cstheme="majorBidi"/>
          <w:sz w:val="24"/>
          <w:szCs w:val="24"/>
        </w:rPr>
        <w:t xml:space="preserve"> Indian </w:t>
      </w:r>
      <w:proofErr w:type="gramStart"/>
      <w:r w:rsidR="00BC0C84" w:rsidRPr="0089351A">
        <w:rPr>
          <w:rFonts w:asciiTheme="majorBidi" w:hAnsiTheme="majorBidi" w:cstheme="majorBidi"/>
          <w:sz w:val="24"/>
          <w:szCs w:val="24"/>
        </w:rPr>
        <w:t>labour</w:t>
      </w:r>
      <w:r w:rsidR="00424F8D" w:rsidRPr="0089351A">
        <w:rPr>
          <w:rFonts w:asciiTheme="majorBidi" w:hAnsiTheme="majorBidi" w:cstheme="majorBidi"/>
          <w:sz w:val="24"/>
          <w:szCs w:val="24"/>
        </w:rPr>
        <w:t>ers</w:t>
      </w:r>
      <w:r w:rsidR="00BC0C84" w:rsidRPr="0089351A">
        <w:rPr>
          <w:rFonts w:asciiTheme="majorBidi" w:hAnsiTheme="majorBidi" w:cstheme="majorBidi"/>
          <w:sz w:val="24"/>
          <w:szCs w:val="24"/>
        </w:rPr>
        <w:t>,</w:t>
      </w:r>
      <w:proofErr w:type="gramEnd"/>
      <w:r w:rsidR="00BC0C84" w:rsidRPr="0089351A">
        <w:rPr>
          <w:rFonts w:asciiTheme="majorBidi" w:hAnsiTheme="majorBidi" w:cstheme="majorBidi"/>
          <w:sz w:val="24"/>
          <w:szCs w:val="24"/>
        </w:rPr>
        <w:t xml:space="preserve"> instituting what some Victorians felt was a ‘new system of slavery</w:t>
      </w:r>
      <w:r w:rsidR="00864702" w:rsidRPr="0089351A">
        <w:rPr>
          <w:rFonts w:asciiTheme="majorBidi" w:hAnsiTheme="majorBidi" w:cstheme="majorBidi"/>
          <w:sz w:val="24"/>
          <w:szCs w:val="24"/>
        </w:rPr>
        <w:t>.</w:t>
      </w:r>
      <w:r w:rsidR="00BC0C84" w:rsidRPr="0089351A">
        <w:rPr>
          <w:rFonts w:asciiTheme="majorBidi" w:hAnsiTheme="majorBidi" w:cstheme="majorBidi"/>
          <w:sz w:val="24"/>
          <w:szCs w:val="24"/>
        </w:rPr>
        <w:t>’</w:t>
      </w:r>
      <w:r w:rsidR="002750AB" w:rsidRPr="0089351A">
        <w:rPr>
          <w:rStyle w:val="FootnoteReference"/>
          <w:rFonts w:asciiTheme="majorBidi" w:hAnsiTheme="majorBidi" w:cstheme="majorBidi"/>
          <w:sz w:val="24"/>
          <w:szCs w:val="24"/>
        </w:rPr>
        <w:footnoteReference w:id="11"/>
      </w:r>
      <w:r w:rsidR="00911403" w:rsidRPr="0089351A">
        <w:rPr>
          <w:rFonts w:asciiTheme="majorBidi" w:hAnsiTheme="majorBidi" w:cstheme="majorBidi"/>
          <w:sz w:val="24"/>
          <w:szCs w:val="24"/>
        </w:rPr>
        <w:t xml:space="preserve"> </w:t>
      </w:r>
      <w:r w:rsidR="00B63E59" w:rsidRPr="0089351A">
        <w:rPr>
          <w:rFonts w:asciiTheme="majorBidi" w:hAnsiTheme="majorBidi" w:cstheme="majorBidi"/>
          <w:sz w:val="24"/>
          <w:szCs w:val="24"/>
        </w:rPr>
        <w:t>Foreign relations, especi</w:t>
      </w:r>
      <w:r w:rsidR="00F5478E" w:rsidRPr="0089351A">
        <w:rPr>
          <w:rFonts w:asciiTheme="majorBidi" w:hAnsiTheme="majorBidi" w:cstheme="majorBidi"/>
          <w:sz w:val="24"/>
          <w:szCs w:val="24"/>
        </w:rPr>
        <w:t xml:space="preserve">ally with these two </w:t>
      </w:r>
      <w:r w:rsidR="00FF452C" w:rsidRPr="0089351A">
        <w:rPr>
          <w:rFonts w:asciiTheme="majorBidi" w:hAnsiTheme="majorBidi" w:cstheme="majorBidi"/>
          <w:sz w:val="24"/>
          <w:szCs w:val="24"/>
        </w:rPr>
        <w:t xml:space="preserve">ex-colonial </w:t>
      </w:r>
      <w:r w:rsidR="00F5478E" w:rsidRPr="0089351A">
        <w:rPr>
          <w:rFonts w:asciiTheme="majorBidi" w:hAnsiTheme="majorBidi" w:cstheme="majorBidi"/>
          <w:sz w:val="24"/>
          <w:szCs w:val="24"/>
        </w:rPr>
        <w:t xml:space="preserve">countries, </w:t>
      </w:r>
      <w:r w:rsidR="00FF452C" w:rsidRPr="0089351A">
        <w:rPr>
          <w:rFonts w:asciiTheme="majorBidi" w:hAnsiTheme="majorBidi" w:cstheme="majorBidi"/>
          <w:sz w:val="24"/>
          <w:szCs w:val="24"/>
        </w:rPr>
        <w:t xml:space="preserve">remain important and </w:t>
      </w:r>
      <w:r w:rsidR="00B63E59" w:rsidRPr="0089351A">
        <w:rPr>
          <w:rFonts w:asciiTheme="majorBidi" w:hAnsiTheme="majorBidi" w:cstheme="majorBidi"/>
          <w:sz w:val="24"/>
          <w:szCs w:val="24"/>
        </w:rPr>
        <w:t xml:space="preserve">have </w:t>
      </w:r>
      <w:r w:rsidR="00422298" w:rsidRPr="0089351A">
        <w:rPr>
          <w:rFonts w:asciiTheme="majorBidi" w:hAnsiTheme="majorBidi" w:cstheme="majorBidi"/>
          <w:sz w:val="24"/>
          <w:szCs w:val="24"/>
        </w:rPr>
        <w:t>helped maintain</w:t>
      </w:r>
      <w:r w:rsidR="00B63E59" w:rsidRPr="0089351A">
        <w:rPr>
          <w:rFonts w:asciiTheme="majorBidi" w:hAnsiTheme="majorBidi" w:cstheme="majorBidi"/>
          <w:sz w:val="24"/>
          <w:szCs w:val="24"/>
        </w:rPr>
        <w:t xml:space="preserve"> </w:t>
      </w:r>
      <w:r w:rsidR="002E58ED" w:rsidRPr="0089351A">
        <w:rPr>
          <w:rFonts w:asciiTheme="majorBidi" w:hAnsiTheme="majorBidi" w:cstheme="majorBidi"/>
          <w:sz w:val="24"/>
          <w:szCs w:val="24"/>
        </w:rPr>
        <w:t xml:space="preserve">Mauritius’s economically essential </w:t>
      </w:r>
      <w:r w:rsidR="00B63E59" w:rsidRPr="0089351A">
        <w:rPr>
          <w:rFonts w:asciiTheme="majorBidi" w:hAnsiTheme="majorBidi" w:cstheme="majorBidi"/>
          <w:sz w:val="24"/>
          <w:szCs w:val="24"/>
        </w:rPr>
        <w:t>international trade links</w:t>
      </w:r>
      <w:r w:rsidR="00DA4835" w:rsidRPr="0089351A">
        <w:rPr>
          <w:rFonts w:asciiTheme="majorBidi" w:hAnsiTheme="majorBidi" w:cstheme="majorBidi"/>
          <w:sz w:val="24"/>
          <w:szCs w:val="24"/>
        </w:rPr>
        <w:t>.</w:t>
      </w:r>
      <w:r w:rsidR="002750AB" w:rsidRPr="0089351A">
        <w:rPr>
          <w:rStyle w:val="FootnoteReference"/>
          <w:rFonts w:asciiTheme="majorBidi" w:hAnsiTheme="majorBidi" w:cstheme="majorBidi"/>
          <w:sz w:val="24"/>
          <w:szCs w:val="24"/>
        </w:rPr>
        <w:footnoteReference w:id="12"/>
      </w:r>
      <w:r w:rsidR="00B63E59" w:rsidRPr="0089351A">
        <w:rPr>
          <w:rFonts w:asciiTheme="majorBidi" w:hAnsiTheme="majorBidi" w:cstheme="majorBidi"/>
          <w:sz w:val="24"/>
          <w:szCs w:val="24"/>
        </w:rPr>
        <w:t xml:space="preserve"> </w:t>
      </w:r>
    </w:p>
    <w:p w:rsidR="00D0311C" w:rsidRPr="0089351A" w:rsidRDefault="007D223C"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w:t>
      </w:r>
      <w:r w:rsidR="00C71D0E" w:rsidRPr="0089351A">
        <w:rPr>
          <w:rFonts w:asciiTheme="majorBidi" w:hAnsiTheme="majorBidi" w:cstheme="majorBidi"/>
          <w:sz w:val="24"/>
          <w:szCs w:val="24"/>
        </w:rPr>
        <w:t xml:space="preserve"> local elite</w:t>
      </w:r>
      <w:r w:rsidRPr="0089351A">
        <w:rPr>
          <w:rFonts w:asciiTheme="majorBidi" w:hAnsiTheme="majorBidi" w:cstheme="majorBidi"/>
          <w:sz w:val="24"/>
          <w:szCs w:val="24"/>
        </w:rPr>
        <w:t>’s responsibility</w:t>
      </w:r>
      <w:r w:rsidR="00C71D0E" w:rsidRPr="0089351A">
        <w:rPr>
          <w:rFonts w:asciiTheme="majorBidi" w:hAnsiTheme="majorBidi" w:cstheme="majorBidi"/>
          <w:sz w:val="24"/>
          <w:szCs w:val="24"/>
        </w:rPr>
        <w:t xml:space="preserve"> is less well documented</w:t>
      </w:r>
      <w:r w:rsidR="00FF452C" w:rsidRPr="0089351A">
        <w:rPr>
          <w:rFonts w:asciiTheme="majorBidi" w:hAnsiTheme="majorBidi" w:cstheme="majorBidi"/>
          <w:sz w:val="24"/>
          <w:szCs w:val="24"/>
        </w:rPr>
        <w:t xml:space="preserve"> and understood internationally</w:t>
      </w:r>
      <w:r w:rsidR="00C71D0E" w:rsidRPr="0089351A">
        <w:rPr>
          <w:rFonts w:asciiTheme="majorBidi" w:hAnsiTheme="majorBidi" w:cstheme="majorBidi"/>
          <w:sz w:val="24"/>
          <w:szCs w:val="24"/>
        </w:rPr>
        <w:t xml:space="preserve">. </w:t>
      </w:r>
      <w:r w:rsidR="009C7F77" w:rsidRPr="0089351A">
        <w:rPr>
          <w:rFonts w:asciiTheme="majorBidi" w:hAnsiTheme="majorBidi" w:cstheme="majorBidi"/>
          <w:sz w:val="24"/>
          <w:szCs w:val="24"/>
        </w:rPr>
        <w:t>French (inc</w:t>
      </w:r>
      <w:r w:rsidR="00CF72DD" w:rsidRPr="0089351A">
        <w:rPr>
          <w:rFonts w:asciiTheme="majorBidi" w:hAnsiTheme="majorBidi" w:cstheme="majorBidi"/>
          <w:sz w:val="24"/>
          <w:szCs w:val="24"/>
        </w:rPr>
        <w:t>luding the Code Napolé</w:t>
      </w:r>
      <w:r w:rsidR="009C7F77" w:rsidRPr="0089351A">
        <w:rPr>
          <w:rFonts w:asciiTheme="majorBidi" w:hAnsiTheme="majorBidi" w:cstheme="majorBidi"/>
          <w:sz w:val="24"/>
          <w:szCs w:val="24"/>
        </w:rPr>
        <w:t xml:space="preserve">on) and English law currently apply, structuring the terms of employment along with Mauritian law; </w:t>
      </w:r>
      <w:r w:rsidR="00681525" w:rsidRPr="0089351A">
        <w:rPr>
          <w:rFonts w:asciiTheme="majorBidi" w:hAnsiTheme="majorBidi" w:cstheme="majorBidi"/>
          <w:sz w:val="24"/>
          <w:szCs w:val="24"/>
        </w:rPr>
        <w:t xml:space="preserve">the </w:t>
      </w:r>
      <w:r w:rsidR="009C7F77" w:rsidRPr="0089351A">
        <w:rPr>
          <w:rFonts w:asciiTheme="majorBidi" w:hAnsiTheme="majorBidi" w:cstheme="majorBidi"/>
          <w:sz w:val="24"/>
          <w:szCs w:val="24"/>
        </w:rPr>
        <w:t xml:space="preserve">French </w:t>
      </w:r>
      <w:r w:rsidR="00681525" w:rsidRPr="0089351A">
        <w:rPr>
          <w:rFonts w:asciiTheme="majorBidi" w:hAnsiTheme="majorBidi" w:cstheme="majorBidi"/>
          <w:sz w:val="24"/>
          <w:szCs w:val="24"/>
        </w:rPr>
        <w:t xml:space="preserve">language </w:t>
      </w:r>
      <w:r w:rsidR="009C7F77" w:rsidRPr="0089351A">
        <w:rPr>
          <w:rFonts w:asciiTheme="majorBidi" w:hAnsiTheme="majorBidi" w:cstheme="majorBidi"/>
          <w:sz w:val="24"/>
          <w:szCs w:val="24"/>
        </w:rPr>
        <w:t>is widely use</w:t>
      </w:r>
      <w:r w:rsidR="00681525" w:rsidRPr="0089351A">
        <w:rPr>
          <w:rFonts w:asciiTheme="majorBidi" w:hAnsiTheme="majorBidi" w:cstheme="majorBidi"/>
          <w:sz w:val="24"/>
          <w:szCs w:val="24"/>
        </w:rPr>
        <w:t xml:space="preserve">d together with </w:t>
      </w:r>
      <w:r w:rsidR="00681525" w:rsidRPr="0089351A">
        <w:rPr>
          <w:rFonts w:asciiTheme="majorBidi" w:hAnsiTheme="majorBidi" w:cstheme="majorBidi"/>
          <w:sz w:val="24"/>
          <w:szCs w:val="24"/>
        </w:rPr>
        <w:lastRenderedPageBreak/>
        <w:t>English in legal and</w:t>
      </w:r>
      <w:r w:rsidR="009C7F77" w:rsidRPr="0089351A">
        <w:rPr>
          <w:rFonts w:asciiTheme="majorBidi" w:hAnsiTheme="majorBidi" w:cstheme="majorBidi"/>
          <w:sz w:val="24"/>
          <w:szCs w:val="24"/>
        </w:rPr>
        <w:t xml:space="preserve"> public discussion although the vernacular idiom is Mauritian </w:t>
      </w:r>
      <w:proofErr w:type="spellStart"/>
      <w:r w:rsidR="009C7F77" w:rsidRPr="0089351A">
        <w:rPr>
          <w:rFonts w:asciiTheme="majorBidi" w:hAnsiTheme="majorBidi" w:cstheme="majorBidi"/>
          <w:sz w:val="24"/>
          <w:szCs w:val="24"/>
        </w:rPr>
        <w:t>Kreol</w:t>
      </w:r>
      <w:proofErr w:type="spellEnd"/>
      <w:r w:rsidR="009C7F77" w:rsidRPr="0089351A">
        <w:rPr>
          <w:rFonts w:asciiTheme="majorBidi" w:hAnsiTheme="majorBidi" w:cstheme="majorBidi"/>
          <w:sz w:val="24"/>
          <w:szCs w:val="24"/>
        </w:rPr>
        <w:t xml:space="preserve">.  </w:t>
      </w:r>
      <w:r w:rsidRPr="0089351A">
        <w:rPr>
          <w:rFonts w:asciiTheme="majorBidi" w:hAnsiTheme="majorBidi" w:cstheme="majorBidi"/>
          <w:sz w:val="24"/>
          <w:szCs w:val="24"/>
        </w:rPr>
        <w:t>Although</w:t>
      </w:r>
      <w:r w:rsidR="00110147" w:rsidRPr="0089351A">
        <w:rPr>
          <w:rFonts w:asciiTheme="majorBidi" w:hAnsiTheme="majorBidi" w:cstheme="majorBidi"/>
          <w:sz w:val="24"/>
          <w:szCs w:val="24"/>
        </w:rPr>
        <w:t xml:space="preserve"> </w:t>
      </w:r>
      <w:r w:rsidR="00234879" w:rsidRPr="0089351A">
        <w:rPr>
          <w:rFonts w:asciiTheme="majorBidi" w:hAnsiTheme="majorBidi" w:cstheme="majorBidi"/>
          <w:sz w:val="24"/>
          <w:szCs w:val="24"/>
        </w:rPr>
        <w:t>diminished in power</w:t>
      </w:r>
      <w:r w:rsidR="00110147" w:rsidRPr="0089351A">
        <w:rPr>
          <w:rFonts w:asciiTheme="majorBidi" w:hAnsiTheme="majorBidi" w:cstheme="majorBidi"/>
          <w:sz w:val="24"/>
          <w:szCs w:val="24"/>
        </w:rPr>
        <w:t xml:space="preserve"> </w:t>
      </w:r>
      <w:r w:rsidR="00234879" w:rsidRPr="0089351A">
        <w:rPr>
          <w:rFonts w:asciiTheme="majorBidi" w:hAnsiTheme="majorBidi" w:cstheme="majorBidi"/>
          <w:sz w:val="24"/>
          <w:szCs w:val="24"/>
        </w:rPr>
        <w:t>by</w:t>
      </w:r>
      <w:r w:rsidR="00110147" w:rsidRPr="0089351A">
        <w:rPr>
          <w:rFonts w:asciiTheme="majorBidi" w:hAnsiTheme="majorBidi" w:cstheme="majorBidi"/>
          <w:sz w:val="24"/>
          <w:szCs w:val="24"/>
        </w:rPr>
        <w:t xml:space="preserve"> the r</w:t>
      </w:r>
      <w:r w:rsidR="00C71D0E" w:rsidRPr="0089351A">
        <w:rPr>
          <w:rFonts w:asciiTheme="majorBidi" w:hAnsiTheme="majorBidi" w:cstheme="majorBidi"/>
          <w:sz w:val="24"/>
          <w:szCs w:val="24"/>
        </w:rPr>
        <w:t xml:space="preserve">ise of other ethnic groups, the </w:t>
      </w:r>
      <w:r w:rsidRPr="0089351A">
        <w:rPr>
          <w:rFonts w:asciiTheme="majorBidi" w:hAnsiTheme="majorBidi" w:cstheme="majorBidi"/>
          <w:sz w:val="24"/>
          <w:szCs w:val="24"/>
        </w:rPr>
        <w:t xml:space="preserve">numerically tiny </w:t>
      </w:r>
      <w:r w:rsidR="00C71D0E" w:rsidRPr="0089351A">
        <w:rPr>
          <w:rFonts w:asciiTheme="majorBidi" w:hAnsiTheme="majorBidi" w:cstheme="majorBidi"/>
          <w:sz w:val="24"/>
          <w:szCs w:val="24"/>
        </w:rPr>
        <w:t>Franco-Mauritian</w:t>
      </w:r>
      <w:r w:rsidR="00110147" w:rsidRPr="0089351A">
        <w:rPr>
          <w:rFonts w:asciiTheme="majorBidi" w:hAnsiTheme="majorBidi" w:cstheme="majorBidi"/>
          <w:sz w:val="24"/>
          <w:szCs w:val="24"/>
        </w:rPr>
        <w:t xml:space="preserve"> elite</w:t>
      </w:r>
      <w:r w:rsidR="0033064C" w:rsidRPr="0089351A">
        <w:rPr>
          <w:rFonts w:asciiTheme="majorBidi" w:hAnsiTheme="majorBidi" w:cstheme="majorBidi"/>
          <w:sz w:val="24"/>
          <w:szCs w:val="24"/>
        </w:rPr>
        <w:t xml:space="preserve"> remains </w:t>
      </w:r>
      <w:r w:rsidR="00234879" w:rsidRPr="0089351A">
        <w:rPr>
          <w:rFonts w:asciiTheme="majorBidi" w:hAnsiTheme="majorBidi" w:cstheme="majorBidi"/>
          <w:sz w:val="24"/>
          <w:szCs w:val="24"/>
        </w:rPr>
        <w:t xml:space="preserve">economically </w:t>
      </w:r>
      <w:r w:rsidR="002E58ED" w:rsidRPr="0089351A">
        <w:rPr>
          <w:rFonts w:asciiTheme="majorBidi" w:hAnsiTheme="majorBidi" w:cstheme="majorBidi"/>
          <w:sz w:val="24"/>
          <w:szCs w:val="24"/>
        </w:rPr>
        <w:t>central</w:t>
      </w:r>
      <w:r w:rsidR="00D94E32" w:rsidRPr="0089351A">
        <w:rPr>
          <w:rFonts w:asciiTheme="majorBidi" w:hAnsiTheme="majorBidi" w:cstheme="majorBidi"/>
          <w:sz w:val="24"/>
          <w:szCs w:val="24"/>
        </w:rPr>
        <w:t>, this internally cohesive and culturally distinct ex-slave owning group having becom</w:t>
      </w:r>
      <w:r w:rsidR="005E07E6" w:rsidRPr="0089351A">
        <w:rPr>
          <w:rFonts w:asciiTheme="majorBidi" w:hAnsiTheme="majorBidi" w:cstheme="majorBidi"/>
          <w:sz w:val="24"/>
          <w:szCs w:val="24"/>
        </w:rPr>
        <w:t>e</w:t>
      </w:r>
      <w:r w:rsidR="00D94E32" w:rsidRPr="0089351A">
        <w:rPr>
          <w:rFonts w:asciiTheme="majorBidi" w:hAnsiTheme="majorBidi" w:cstheme="majorBidi"/>
          <w:sz w:val="24"/>
          <w:szCs w:val="24"/>
        </w:rPr>
        <w:t xml:space="preserve"> the co</w:t>
      </w:r>
      <w:r w:rsidR="005E07E6" w:rsidRPr="0089351A">
        <w:rPr>
          <w:rFonts w:asciiTheme="majorBidi" w:hAnsiTheme="majorBidi" w:cstheme="majorBidi"/>
          <w:sz w:val="24"/>
          <w:szCs w:val="24"/>
        </w:rPr>
        <w:t>untry</w:t>
      </w:r>
      <w:r w:rsidR="00D94E32" w:rsidRPr="0089351A">
        <w:rPr>
          <w:rFonts w:asciiTheme="majorBidi" w:hAnsiTheme="majorBidi" w:cstheme="majorBidi"/>
          <w:sz w:val="24"/>
          <w:szCs w:val="24"/>
        </w:rPr>
        <w:t>’s main provider of investment.</w:t>
      </w:r>
      <w:r w:rsidR="002750AB" w:rsidRPr="0089351A">
        <w:rPr>
          <w:rStyle w:val="FootnoteReference"/>
          <w:rFonts w:asciiTheme="majorBidi" w:hAnsiTheme="majorBidi" w:cstheme="majorBidi"/>
          <w:sz w:val="24"/>
          <w:szCs w:val="24"/>
        </w:rPr>
        <w:footnoteReference w:id="13"/>
      </w:r>
      <w:r w:rsidR="00FA3AE1" w:rsidRPr="0089351A">
        <w:rPr>
          <w:rFonts w:asciiTheme="majorBidi" w:hAnsiTheme="majorBidi" w:cstheme="majorBidi"/>
          <w:sz w:val="24"/>
          <w:szCs w:val="24"/>
        </w:rPr>
        <w:t xml:space="preserve"> </w:t>
      </w:r>
      <w:r w:rsidR="00BC0C84" w:rsidRPr="0089351A">
        <w:rPr>
          <w:rFonts w:asciiTheme="majorBidi" w:hAnsiTheme="majorBidi" w:cstheme="majorBidi"/>
          <w:sz w:val="24"/>
          <w:szCs w:val="24"/>
        </w:rPr>
        <w:t xml:space="preserve"> Mauritius depended and</w:t>
      </w:r>
      <w:r w:rsidR="006441B9" w:rsidRPr="0089351A">
        <w:rPr>
          <w:rFonts w:asciiTheme="majorBidi" w:hAnsiTheme="majorBidi" w:cstheme="majorBidi"/>
          <w:sz w:val="24"/>
          <w:szCs w:val="24"/>
        </w:rPr>
        <w:t xml:space="preserve"> continues to draw</w:t>
      </w:r>
      <w:r w:rsidR="00BC0C84" w:rsidRPr="0089351A">
        <w:rPr>
          <w:rFonts w:asciiTheme="majorBidi" w:hAnsiTheme="majorBidi" w:cstheme="majorBidi"/>
          <w:sz w:val="24"/>
          <w:szCs w:val="24"/>
        </w:rPr>
        <w:t xml:space="preserve"> on local capital</w:t>
      </w:r>
      <w:r w:rsidR="00200C89" w:rsidRPr="0089351A">
        <w:rPr>
          <w:rFonts w:asciiTheme="majorBidi" w:hAnsiTheme="majorBidi" w:cstheme="majorBidi"/>
          <w:sz w:val="24"/>
          <w:szCs w:val="24"/>
        </w:rPr>
        <w:t>.</w:t>
      </w:r>
      <w:r w:rsidR="00EF4474" w:rsidRPr="0089351A">
        <w:rPr>
          <w:rStyle w:val="FootnoteReference"/>
          <w:rFonts w:asciiTheme="majorBidi" w:hAnsiTheme="majorBidi" w:cstheme="majorBidi"/>
          <w:sz w:val="24"/>
          <w:szCs w:val="24"/>
        </w:rPr>
        <w:footnoteReference w:id="14"/>
      </w:r>
      <w:r w:rsidR="00BC0C84" w:rsidRPr="0089351A">
        <w:rPr>
          <w:rFonts w:asciiTheme="majorBidi" w:hAnsiTheme="majorBidi" w:cstheme="majorBidi"/>
          <w:sz w:val="24"/>
          <w:szCs w:val="24"/>
        </w:rPr>
        <w:t xml:space="preserve"> </w:t>
      </w:r>
      <w:r w:rsidR="006441B9" w:rsidRPr="0089351A">
        <w:rPr>
          <w:rFonts w:asciiTheme="majorBidi" w:hAnsiTheme="majorBidi" w:cstheme="majorBidi"/>
          <w:sz w:val="24"/>
          <w:szCs w:val="24"/>
        </w:rPr>
        <w:t>The Francophone elite</w:t>
      </w:r>
      <w:r w:rsidR="00520F76" w:rsidRPr="0089351A">
        <w:rPr>
          <w:rFonts w:asciiTheme="majorBidi" w:hAnsiTheme="majorBidi" w:cstheme="majorBidi"/>
          <w:sz w:val="24"/>
          <w:szCs w:val="24"/>
        </w:rPr>
        <w:t xml:space="preserve"> </w:t>
      </w:r>
      <w:r w:rsidR="00FC7C9D" w:rsidRPr="0089351A">
        <w:rPr>
          <w:rFonts w:asciiTheme="majorBidi" w:hAnsiTheme="majorBidi" w:cstheme="majorBidi"/>
          <w:sz w:val="24"/>
          <w:szCs w:val="24"/>
        </w:rPr>
        <w:t xml:space="preserve">which </w:t>
      </w:r>
      <w:proofErr w:type="gramStart"/>
      <w:r w:rsidR="002E58ED" w:rsidRPr="0089351A">
        <w:rPr>
          <w:rFonts w:asciiTheme="majorBidi" w:hAnsiTheme="majorBidi" w:cstheme="majorBidi"/>
          <w:sz w:val="24"/>
          <w:szCs w:val="24"/>
        </w:rPr>
        <w:t>own</w:t>
      </w:r>
      <w:r w:rsidR="005E07E6" w:rsidRPr="0089351A">
        <w:rPr>
          <w:rFonts w:asciiTheme="majorBidi" w:hAnsiTheme="majorBidi" w:cstheme="majorBidi"/>
          <w:sz w:val="24"/>
          <w:szCs w:val="24"/>
        </w:rPr>
        <w:t>s</w:t>
      </w:r>
      <w:proofErr w:type="gramEnd"/>
      <w:r w:rsidR="00FC7C9D" w:rsidRPr="0089351A">
        <w:rPr>
          <w:rFonts w:asciiTheme="majorBidi" w:hAnsiTheme="majorBidi" w:cstheme="majorBidi"/>
          <w:sz w:val="24"/>
          <w:szCs w:val="24"/>
        </w:rPr>
        <w:t xml:space="preserve"> this capital </w:t>
      </w:r>
      <w:r w:rsidR="00520F76" w:rsidRPr="0089351A">
        <w:rPr>
          <w:rFonts w:asciiTheme="majorBidi" w:hAnsiTheme="majorBidi" w:cstheme="majorBidi"/>
          <w:sz w:val="24"/>
          <w:szCs w:val="24"/>
        </w:rPr>
        <w:t>is</w:t>
      </w:r>
      <w:r w:rsidR="00424F8D" w:rsidRPr="0089351A">
        <w:rPr>
          <w:rFonts w:asciiTheme="majorBidi" w:hAnsiTheme="majorBidi" w:cstheme="majorBidi"/>
          <w:sz w:val="24"/>
          <w:szCs w:val="24"/>
        </w:rPr>
        <w:t xml:space="preserve"> ethnically and culturally</w:t>
      </w:r>
      <w:r w:rsidR="00520F76" w:rsidRPr="0089351A">
        <w:rPr>
          <w:rFonts w:asciiTheme="majorBidi" w:hAnsiTheme="majorBidi" w:cstheme="majorBidi"/>
          <w:sz w:val="24"/>
          <w:szCs w:val="24"/>
        </w:rPr>
        <w:t xml:space="preserve"> distinct from</w:t>
      </w:r>
      <w:r w:rsidR="00C755AF" w:rsidRPr="0089351A">
        <w:rPr>
          <w:rFonts w:asciiTheme="majorBidi" w:hAnsiTheme="majorBidi" w:cstheme="majorBidi"/>
          <w:sz w:val="24"/>
          <w:szCs w:val="24"/>
        </w:rPr>
        <w:t xml:space="preserve"> the rest of the population; </w:t>
      </w:r>
      <w:r w:rsidR="00520F76" w:rsidRPr="0089351A">
        <w:rPr>
          <w:rFonts w:asciiTheme="majorBidi" w:hAnsiTheme="majorBidi" w:cstheme="majorBidi"/>
          <w:sz w:val="24"/>
          <w:szCs w:val="24"/>
        </w:rPr>
        <w:t>a</w:t>
      </w:r>
      <w:r w:rsidR="00FA3AE1" w:rsidRPr="0089351A">
        <w:rPr>
          <w:rFonts w:asciiTheme="majorBidi" w:hAnsiTheme="majorBidi" w:cstheme="majorBidi"/>
          <w:sz w:val="24"/>
          <w:szCs w:val="24"/>
        </w:rPr>
        <w:t xml:space="preserve">s in the United States, slavery had a strong </w:t>
      </w:r>
      <w:r w:rsidR="00455532" w:rsidRPr="0089351A">
        <w:rPr>
          <w:rFonts w:asciiTheme="majorBidi" w:hAnsiTheme="majorBidi" w:cstheme="majorBidi"/>
          <w:sz w:val="24"/>
          <w:szCs w:val="24"/>
        </w:rPr>
        <w:t>ethnic dimension</w:t>
      </w:r>
      <w:r w:rsidR="00200C89" w:rsidRPr="0089351A">
        <w:rPr>
          <w:rFonts w:asciiTheme="majorBidi" w:hAnsiTheme="majorBidi" w:cstheme="majorBidi"/>
          <w:sz w:val="24"/>
          <w:szCs w:val="24"/>
        </w:rPr>
        <w:t>.</w:t>
      </w:r>
      <w:r w:rsidR="00455532" w:rsidRPr="0089351A">
        <w:rPr>
          <w:rStyle w:val="FootnoteReference"/>
          <w:rFonts w:asciiTheme="majorBidi" w:hAnsiTheme="majorBidi" w:cstheme="majorBidi"/>
          <w:sz w:val="24"/>
          <w:szCs w:val="24"/>
        </w:rPr>
        <w:footnoteReference w:id="15"/>
      </w:r>
      <w:r w:rsidR="00FA3AE1" w:rsidRPr="0089351A">
        <w:rPr>
          <w:rFonts w:asciiTheme="majorBidi" w:hAnsiTheme="majorBidi" w:cstheme="majorBidi"/>
          <w:sz w:val="24"/>
          <w:szCs w:val="24"/>
        </w:rPr>
        <w:t xml:space="preserve"> </w:t>
      </w:r>
      <w:r w:rsidR="00770CBE" w:rsidRPr="0089351A">
        <w:rPr>
          <w:rFonts w:asciiTheme="majorBidi" w:hAnsiTheme="majorBidi" w:cstheme="majorBidi"/>
          <w:sz w:val="24"/>
          <w:szCs w:val="24"/>
        </w:rPr>
        <w:t xml:space="preserve">The descendants of </w:t>
      </w:r>
      <w:r w:rsidR="00424F8D" w:rsidRPr="0089351A">
        <w:rPr>
          <w:rFonts w:asciiTheme="majorBidi" w:hAnsiTheme="majorBidi" w:cstheme="majorBidi"/>
          <w:sz w:val="24"/>
          <w:szCs w:val="24"/>
        </w:rPr>
        <w:t>their</w:t>
      </w:r>
      <w:r w:rsidR="006441B9" w:rsidRPr="0089351A">
        <w:rPr>
          <w:rFonts w:asciiTheme="majorBidi" w:hAnsiTheme="majorBidi" w:cstheme="majorBidi"/>
          <w:sz w:val="24"/>
          <w:szCs w:val="24"/>
        </w:rPr>
        <w:t xml:space="preserve"> </w:t>
      </w:r>
      <w:r w:rsidR="00770CBE" w:rsidRPr="0089351A">
        <w:rPr>
          <w:rFonts w:asciiTheme="majorBidi" w:hAnsiTheme="majorBidi" w:cstheme="majorBidi"/>
          <w:sz w:val="24"/>
          <w:szCs w:val="24"/>
        </w:rPr>
        <w:t xml:space="preserve">slaves </w:t>
      </w:r>
      <w:r w:rsidR="00EE26DF" w:rsidRPr="0089351A">
        <w:rPr>
          <w:rFonts w:asciiTheme="majorBidi" w:hAnsiTheme="majorBidi" w:cstheme="majorBidi"/>
          <w:sz w:val="24"/>
          <w:szCs w:val="24"/>
        </w:rPr>
        <w:t xml:space="preserve">were estimated by the TJC to </w:t>
      </w:r>
      <w:r w:rsidR="00770CBE" w:rsidRPr="0089351A">
        <w:rPr>
          <w:rFonts w:asciiTheme="majorBidi" w:hAnsiTheme="majorBidi" w:cstheme="majorBidi"/>
          <w:sz w:val="24"/>
          <w:szCs w:val="24"/>
        </w:rPr>
        <w:t xml:space="preserve">amount to 25% of  </w:t>
      </w:r>
      <w:r w:rsidR="005E07E6" w:rsidRPr="0089351A">
        <w:rPr>
          <w:rFonts w:asciiTheme="majorBidi" w:hAnsiTheme="majorBidi" w:cstheme="majorBidi"/>
          <w:sz w:val="24"/>
          <w:szCs w:val="24"/>
        </w:rPr>
        <w:t xml:space="preserve">a population of </w:t>
      </w:r>
      <w:r w:rsidR="00770CBE" w:rsidRPr="0089351A">
        <w:rPr>
          <w:rFonts w:asciiTheme="majorBidi" w:hAnsiTheme="majorBidi" w:cstheme="majorBidi"/>
          <w:sz w:val="24"/>
          <w:szCs w:val="24"/>
        </w:rPr>
        <w:t>1, 275,000</w:t>
      </w:r>
      <w:r w:rsidR="00455532" w:rsidRPr="0089351A">
        <w:rPr>
          <w:rStyle w:val="FootnoteReference"/>
          <w:rFonts w:asciiTheme="majorBidi" w:hAnsiTheme="majorBidi" w:cstheme="majorBidi"/>
          <w:sz w:val="24"/>
          <w:szCs w:val="24"/>
        </w:rPr>
        <w:footnoteReference w:id="16"/>
      </w:r>
      <w:r w:rsidR="006441B9" w:rsidRPr="0089351A">
        <w:rPr>
          <w:rFonts w:asciiTheme="majorBidi" w:hAnsiTheme="majorBidi" w:cstheme="majorBidi"/>
          <w:sz w:val="24"/>
          <w:szCs w:val="24"/>
        </w:rPr>
        <w:t xml:space="preserve"> The</w:t>
      </w:r>
      <w:r w:rsidR="00424F8D" w:rsidRPr="0089351A">
        <w:rPr>
          <w:rFonts w:asciiTheme="majorBidi" w:hAnsiTheme="majorBidi" w:cstheme="majorBidi"/>
          <w:sz w:val="24"/>
          <w:szCs w:val="24"/>
        </w:rPr>
        <w:t>y are</w:t>
      </w:r>
      <w:r w:rsidR="00770CBE" w:rsidRPr="0089351A">
        <w:rPr>
          <w:rFonts w:asciiTheme="majorBidi" w:hAnsiTheme="majorBidi" w:cstheme="majorBidi"/>
          <w:sz w:val="24"/>
          <w:szCs w:val="24"/>
        </w:rPr>
        <w:t xml:space="preserve"> known as ‘Creoles’, a problematic term because of ethnic miscegenation</w:t>
      </w:r>
      <w:r w:rsidR="00FA3AE1" w:rsidRPr="0089351A">
        <w:rPr>
          <w:rFonts w:asciiTheme="majorBidi" w:hAnsiTheme="majorBidi" w:cstheme="majorBidi"/>
          <w:sz w:val="24"/>
          <w:szCs w:val="24"/>
        </w:rPr>
        <w:t>; the island has a claim to be the most ethnical</w:t>
      </w:r>
      <w:r w:rsidR="002F1B7A" w:rsidRPr="0089351A">
        <w:rPr>
          <w:rFonts w:asciiTheme="majorBidi" w:hAnsiTheme="majorBidi" w:cstheme="majorBidi"/>
          <w:sz w:val="24"/>
          <w:szCs w:val="24"/>
        </w:rPr>
        <w:t>ly diverse on the planet</w:t>
      </w:r>
      <w:r w:rsidR="00200C89" w:rsidRPr="0089351A">
        <w:rPr>
          <w:rFonts w:asciiTheme="majorBidi" w:hAnsiTheme="majorBidi" w:cstheme="majorBidi"/>
          <w:sz w:val="24"/>
          <w:szCs w:val="24"/>
        </w:rPr>
        <w:t>.</w:t>
      </w:r>
      <w:r w:rsidR="00455532" w:rsidRPr="0089351A">
        <w:rPr>
          <w:rStyle w:val="FootnoteReference"/>
          <w:rFonts w:asciiTheme="majorBidi" w:hAnsiTheme="majorBidi" w:cstheme="majorBidi"/>
          <w:sz w:val="24"/>
          <w:szCs w:val="24"/>
        </w:rPr>
        <w:footnoteReference w:id="17"/>
      </w:r>
      <w:r w:rsidR="00770CBE" w:rsidRPr="0089351A">
        <w:rPr>
          <w:rFonts w:asciiTheme="majorBidi" w:hAnsiTheme="majorBidi" w:cstheme="majorBidi"/>
          <w:sz w:val="24"/>
          <w:szCs w:val="24"/>
        </w:rPr>
        <w:t xml:space="preserve"> </w:t>
      </w:r>
      <w:r w:rsidR="00C755AF" w:rsidRPr="0089351A">
        <w:rPr>
          <w:rFonts w:asciiTheme="majorBidi" w:hAnsiTheme="majorBidi" w:cstheme="majorBidi"/>
          <w:sz w:val="24"/>
          <w:szCs w:val="24"/>
        </w:rPr>
        <w:t>The Creoles’</w:t>
      </w:r>
      <w:r w:rsidR="00F1773D" w:rsidRPr="0089351A">
        <w:rPr>
          <w:rFonts w:asciiTheme="majorBidi" w:hAnsiTheme="majorBidi" w:cstheme="majorBidi"/>
          <w:sz w:val="24"/>
          <w:szCs w:val="24"/>
        </w:rPr>
        <w:t xml:space="preserve"> economic and social position is comparatively poor. </w:t>
      </w:r>
      <w:r w:rsidR="00964FED" w:rsidRPr="0089351A">
        <w:rPr>
          <w:rFonts w:asciiTheme="majorBidi" w:hAnsiTheme="majorBidi" w:cstheme="majorBidi"/>
          <w:sz w:val="24"/>
          <w:szCs w:val="24"/>
        </w:rPr>
        <w:t>Those of Indian descent</w:t>
      </w:r>
      <w:r w:rsidR="006441B9" w:rsidRPr="0089351A">
        <w:rPr>
          <w:rFonts w:asciiTheme="majorBidi" w:hAnsiTheme="majorBidi" w:cstheme="majorBidi"/>
          <w:sz w:val="24"/>
          <w:szCs w:val="24"/>
        </w:rPr>
        <w:t>—often the descendants of bonded labourers--</w:t>
      </w:r>
      <w:r w:rsidR="00424F8D" w:rsidRPr="0089351A">
        <w:rPr>
          <w:rFonts w:asciiTheme="majorBidi" w:hAnsiTheme="majorBidi" w:cstheme="majorBidi"/>
          <w:sz w:val="24"/>
          <w:szCs w:val="24"/>
        </w:rPr>
        <w:t xml:space="preserve"> constitute</w:t>
      </w:r>
      <w:r w:rsidR="00964FED" w:rsidRPr="0089351A">
        <w:rPr>
          <w:rFonts w:asciiTheme="majorBidi" w:hAnsiTheme="majorBidi" w:cstheme="majorBidi"/>
          <w:sz w:val="24"/>
          <w:szCs w:val="24"/>
        </w:rPr>
        <w:t xml:space="preserve"> the majority of the population and </w:t>
      </w:r>
      <w:r w:rsidR="002E58ED" w:rsidRPr="0089351A">
        <w:rPr>
          <w:rFonts w:asciiTheme="majorBidi" w:hAnsiTheme="majorBidi" w:cstheme="majorBidi"/>
          <w:sz w:val="24"/>
          <w:szCs w:val="24"/>
        </w:rPr>
        <w:t xml:space="preserve">play </w:t>
      </w:r>
      <w:r w:rsidR="006441B9" w:rsidRPr="0089351A">
        <w:rPr>
          <w:rFonts w:asciiTheme="majorBidi" w:hAnsiTheme="majorBidi" w:cstheme="majorBidi"/>
          <w:sz w:val="24"/>
          <w:szCs w:val="24"/>
        </w:rPr>
        <w:t>a key</w:t>
      </w:r>
      <w:r w:rsidR="00C755AF" w:rsidRPr="0089351A">
        <w:rPr>
          <w:rFonts w:asciiTheme="majorBidi" w:hAnsiTheme="majorBidi" w:cstheme="majorBidi"/>
          <w:sz w:val="24"/>
          <w:szCs w:val="24"/>
        </w:rPr>
        <w:t xml:space="preserve"> role in</w:t>
      </w:r>
      <w:r w:rsidR="005E07E6" w:rsidRPr="0089351A">
        <w:rPr>
          <w:rFonts w:asciiTheme="majorBidi" w:hAnsiTheme="majorBidi" w:cstheme="majorBidi"/>
          <w:sz w:val="24"/>
          <w:szCs w:val="24"/>
        </w:rPr>
        <w:t xml:space="preserve"> large companies and public service</w:t>
      </w:r>
      <w:r w:rsidR="00CF72DD" w:rsidRPr="0089351A">
        <w:rPr>
          <w:rFonts w:asciiTheme="majorBidi" w:hAnsiTheme="majorBidi" w:cstheme="majorBidi"/>
          <w:sz w:val="24"/>
          <w:szCs w:val="24"/>
        </w:rPr>
        <w:t>.</w:t>
      </w:r>
      <w:r w:rsidR="00964FED" w:rsidRPr="0089351A">
        <w:rPr>
          <w:rFonts w:asciiTheme="majorBidi" w:hAnsiTheme="majorBidi" w:cstheme="majorBidi"/>
          <w:sz w:val="24"/>
          <w:szCs w:val="24"/>
        </w:rPr>
        <w:t xml:space="preserve"> </w:t>
      </w:r>
      <w:r w:rsidR="00520F76" w:rsidRPr="0089351A">
        <w:rPr>
          <w:rFonts w:asciiTheme="majorBidi" w:hAnsiTheme="majorBidi" w:cstheme="majorBidi"/>
          <w:sz w:val="24"/>
          <w:szCs w:val="24"/>
        </w:rPr>
        <w:t xml:space="preserve">They also dominate </w:t>
      </w:r>
      <w:r w:rsidR="002E58ED" w:rsidRPr="0089351A">
        <w:rPr>
          <w:rFonts w:asciiTheme="majorBidi" w:hAnsiTheme="majorBidi" w:cstheme="majorBidi"/>
          <w:sz w:val="24"/>
          <w:szCs w:val="24"/>
        </w:rPr>
        <w:t>politics</w:t>
      </w:r>
      <w:r w:rsidR="00520F76" w:rsidRPr="0089351A">
        <w:rPr>
          <w:rFonts w:asciiTheme="majorBidi" w:hAnsiTheme="majorBidi" w:cstheme="majorBidi"/>
          <w:sz w:val="24"/>
          <w:szCs w:val="24"/>
        </w:rPr>
        <w:t>, whilst</w:t>
      </w:r>
      <w:r w:rsidR="00C755AF" w:rsidRPr="0089351A">
        <w:rPr>
          <w:rFonts w:asciiTheme="majorBidi" w:hAnsiTheme="majorBidi" w:cstheme="majorBidi"/>
          <w:sz w:val="24"/>
          <w:szCs w:val="24"/>
        </w:rPr>
        <w:t xml:space="preserve"> the Francophone group have both</w:t>
      </w:r>
      <w:r w:rsidR="00520F76" w:rsidRPr="0089351A">
        <w:rPr>
          <w:rFonts w:asciiTheme="majorBidi" w:hAnsiTheme="majorBidi" w:cstheme="majorBidi"/>
          <w:sz w:val="24"/>
          <w:szCs w:val="24"/>
        </w:rPr>
        <w:t xml:space="preserve"> economic power </w:t>
      </w:r>
      <w:r w:rsidR="00424F8D" w:rsidRPr="0089351A">
        <w:rPr>
          <w:rFonts w:asciiTheme="majorBidi" w:hAnsiTheme="majorBidi" w:cstheme="majorBidi"/>
          <w:sz w:val="24"/>
          <w:szCs w:val="24"/>
        </w:rPr>
        <w:t>and a</w:t>
      </w:r>
      <w:r w:rsidR="00C755AF" w:rsidRPr="0089351A">
        <w:rPr>
          <w:rFonts w:asciiTheme="majorBidi" w:hAnsiTheme="majorBidi" w:cstheme="majorBidi"/>
          <w:sz w:val="24"/>
          <w:szCs w:val="24"/>
        </w:rPr>
        <w:t xml:space="preserve"> maj</w:t>
      </w:r>
      <w:r w:rsidR="00F32F1C" w:rsidRPr="0089351A">
        <w:rPr>
          <w:rFonts w:asciiTheme="majorBidi" w:hAnsiTheme="majorBidi" w:cstheme="majorBidi"/>
          <w:sz w:val="24"/>
          <w:szCs w:val="24"/>
        </w:rPr>
        <w:t>or if background political role</w:t>
      </w:r>
      <w:r w:rsidR="00200C89" w:rsidRPr="0089351A">
        <w:rPr>
          <w:rFonts w:asciiTheme="majorBidi" w:hAnsiTheme="majorBidi" w:cstheme="majorBidi"/>
          <w:sz w:val="24"/>
          <w:szCs w:val="24"/>
        </w:rPr>
        <w:t>.</w:t>
      </w:r>
      <w:r w:rsidR="00F32F1C" w:rsidRPr="0089351A">
        <w:rPr>
          <w:rStyle w:val="FootnoteReference"/>
          <w:rFonts w:asciiTheme="majorBidi" w:hAnsiTheme="majorBidi" w:cstheme="majorBidi"/>
          <w:sz w:val="24"/>
          <w:szCs w:val="24"/>
        </w:rPr>
        <w:footnoteReference w:id="18"/>
      </w:r>
      <w:r w:rsidR="00520F76" w:rsidRPr="0089351A">
        <w:rPr>
          <w:rFonts w:asciiTheme="majorBidi" w:hAnsiTheme="majorBidi" w:cstheme="majorBidi"/>
          <w:sz w:val="24"/>
          <w:szCs w:val="24"/>
        </w:rPr>
        <w:t xml:space="preserve"> </w:t>
      </w:r>
    </w:p>
    <w:p w:rsidR="007D223C" w:rsidRPr="0089351A" w:rsidRDefault="007D223C" w:rsidP="00360222">
      <w:pPr>
        <w:spacing w:line="480" w:lineRule="auto"/>
        <w:rPr>
          <w:rFonts w:asciiTheme="majorBidi" w:hAnsiTheme="majorBidi" w:cstheme="majorBidi"/>
          <w:sz w:val="24"/>
          <w:szCs w:val="24"/>
        </w:rPr>
      </w:pPr>
    </w:p>
    <w:p w:rsidR="00770CBE" w:rsidRPr="0089351A" w:rsidRDefault="00D0311C"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Collective memories of slavery and indentured labour have long </w:t>
      </w:r>
      <w:r w:rsidR="002E58ED" w:rsidRPr="0089351A">
        <w:rPr>
          <w:rFonts w:asciiTheme="majorBidi" w:hAnsiTheme="majorBidi" w:cstheme="majorBidi"/>
          <w:sz w:val="24"/>
          <w:szCs w:val="24"/>
        </w:rPr>
        <w:t>impacted on</w:t>
      </w:r>
      <w:r w:rsidRPr="0089351A">
        <w:rPr>
          <w:rFonts w:asciiTheme="majorBidi" w:hAnsiTheme="majorBidi" w:cstheme="majorBidi"/>
          <w:sz w:val="24"/>
          <w:szCs w:val="24"/>
        </w:rPr>
        <w:t xml:space="preserve"> contemporary events; the major Mauritian labour revolts of the late 1930s were presaged by meetings in 1935</w:t>
      </w:r>
      <w:r w:rsidR="00424F8D" w:rsidRPr="0089351A">
        <w:rPr>
          <w:rFonts w:asciiTheme="majorBidi" w:hAnsiTheme="majorBidi" w:cstheme="majorBidi"/>
          <w:sz w:val="24"/>
          <w:szCs w:val="24"/>
        </w:rPr>
        <w:t xml:space="preserve"> commemorating </w:t>
      </w:r>
      <w:r w:rsidRPr="0089351A">
        <w:rPr>
          <w:rFonts w:asciiTheme="majorBidi" w:hAnsiTheme="majorBidi" w:cstheme="majorBidi"/>
          <w:sz w:val="24"/>
          <w:szCs w:val="24"/>
        </w:rPr>
        <w:t>slavery</w:t>
      </w:r>
      <w:r w:rsidR="00424F8D" w:rsidRPr="0089351A">
        <w:rPr>
          <w:rFonts w:asciiTheme="majorBidi" w:hAnsiTheme="majorBidi" w:cstheme="majorBidi"/>
          <w:sz w:val="24"/>
          <w:szCs w:val="24"/>
        </w:rPr>
        <w:t>’s abolition</w:t>
      </w:r>
      <w:r w:rsidR="00200C89" w:rsidRPr="0089351A">
        <w:rPr>
          <w:rFonts w:asciiTheme="majorBidi" w:hAnsiTheme="majorBidi" w:cstheme="majorBidi"/>
          <w:sz w:val="24"/>
          <w:szCs w:val="24"/>
        </w:rPr>
        <w:t>.</w:t>
      </w:r>
      <w:r w:rsidRPr="0089351A">
        <w:rPr>
          <w:rFonts w:asciiTheme="majorBidi" w:hAnsiTheme="majorBidi" w:cstheme="majorBidi"/>
          <w:sz w:val="24"/>
          <w:szCs w:val="24"/>
          <w:vertAlign w:val="superscript"/>
        </w:rPr>
        <w:footnoteReference w:id="19"/>
      </w:r>
      <w:r w:rsidRPr="0089351A">
        <w:rPr>
          <w:rFonts w:asciiTheme="majorBidi" w:hAnsiTheme="majorBidi" w:cstheme="majorBidi"/>
          <w:sz w:val="24"/>
          <w:szCs w:val="24"/>
        </w:rPr>
        <w:t xml:space="preserve"> </w:t>
      </w:r>
      <w:r w:rsidR="006441B9" w:rsidRPr="0089351A">
        <w:rPr>
          <w:rFonts w:asciiTheme="majorBidi" w:hAnsiTheme="majorBidi" w:cstheme="majorBidi"/>
          <w:sz w:val="24"/>
          <w:szCs w:val="24"/>
        </w:rPr>
        <w:t>It has been suggested tha</w:t>
      </w:r>
      <w:r w:rsidR="00424F8D" w:rsidRPr="0089351A">
        <w:rPr>
          <w:rFonts w:asciiTheme="majorBidi" w:hAnsiTheme="majorBidi" w:cstheme="majorBidi"/>
          <w:sz w:val="24"/>
          <w:szCs w:val="24"/>
        </w:rPr>
        <w:t>t slavery still</w:t>
      </w:r>
      <w:r w:rsidR="006441B9" w:rsidRPr="0089351A">
        <w:rPr>
          <w:rFonts w:asciiTheme="majorBidi" w:hAnsiTheme="majorBidi" w:cstheme="majorBidi"/>
          <w:sz w:val="24"/>
          <w:szCs w:val="24"/>
        </w:rPr>
        <w:t xml:space="preserve"> exert</w:t>
      </w:r>
      <w:r w:rsidR="00424F8D" w:rsidRPr="0089351A">
        <w:rPr>
          <w:rFonts w:asciiTheme="majorBidi" w:hAnsiTheme="majorBidi" w:cstheme="majorBidi"/>
          <w:sz w:val="24"/>
          <w:szCs w:val="24"/>
        </w:rPr>
        <w:t>s</w:t>
      </w:r>
      <w:r w:rsidR="006441B9" w:rsidRPr="0089351A">
        <w:rPr>
          <w:rFonts w:asciiTheme="majorBidi" w:hAnsiTheme="majorBidi" w:cstheme="majorBidi"/>
          <w:sz w:val="24"/>
          <w:szCs w:val="24"/>
        </w:rPr>
        <w:t xml:space="preserve"> a cultural influence on relations between managers and employees on the island</w:t>
      </w:r>
      <w:r w:rsidR="00007E55">
        <w:rPr>
          <w:rFonts w:asciiTheme="majorBidi" w:hAnsiTheme="majorBidi" w:cstheme="majorBidi"/>
          <w:sz w:val="24"/>
          <w:szCs w:val="24"/>
        </w:rPr>
        <w:t xml:space="preserve"> and in particular on the descendants of slaves</w:t>
      </w:r>
      <w:r w:rsidR="006441B9" w:rsidRPr="0089351A">
        <w:rPr>
          <w:rStyle w:val="FootnoteReference"/>
          <w:rFonts w:asciiTheme="majorBidi" w:hAnsiTheme="majorBidi" w:cstheme="majorBidi"/>
          <w:sz w:val="24"/>
          <w:szCs w:val="24"/>
        </w:rPr>
        <w:footnoteReference w:id="20"/>
      </w:r>
      <w:r w:rsidR="006441B9" w:rsidRPr="0089351A">
        <w:rPr>
          <w:rFonts w:asciiTheme="majorBidi" w:hAnsiTheme="majorBidi" w:cstheme="majorBidi"/>
          <w:sz w:val="24"/>
          <w:szCs w:val="24"/>
        </w:rPr>
        <w:t xml:space="preserve"> </w:t>
      </w:r>
      <w:proofErr w:type="gramStart"/>
      <w:r w:rsidR="006441B9" w:rsidRPr="0089351A">
        <w:rPr>
          <w:rFonts w:asciiTheme="majorBidi" w:hAnsiTheme="majorBidi" w:cstheme="majorBidi"/>
          <w:sz w:val="24"/>
          <w:szCs w:val="24"/>
        </w:rPr>
        <w:t>Thus</w:t>
      </w:r>
      <w:proofErr w:type="gramEnd"/>
      <w:r w:rsidR="006441B9" w:rsidRPr="0089351A">
        <w:rPr>
          <w:rFonts w:asciiTheme="majorBidi" w:hAnsiTheme="majorBidi" w:cstheme="majorBidi"/>
          <w:sz w:val="24"/>
          <w:szCs w:val="24"/>
        </w:rPr>
        <w:t xml:space="preserve">, </w:t>
      </w:r>
      <w:r w:rsidR="0011407B" w:rsidRPr="0089351A">
        <w:rPr>
          <w:rFonts w:asciiTheme="majorBidi" w:hAnsiTheme="majorBidi" w:cstheme="majorBidi"/>
          <w:sz w:val="24"/>
          <w:szCs w:val="24"/>
        </w:rPr>
        <w:t>partly because of this multi-racial society’s ethnic issues,</w:t>
      </w:r>
      <w:r w:rsidR="00F1773D" w:rsidRPr="0089351A">
        <w:rPr>
          <w:rFonts w:asciiTheme="majorBidi" w:hAnsiTheme="majorBidi" w:cstheme="majorBidi"/>
          <w:sz w:val="24"/>
          <w:szCs w:val="24"/>
        </w:rPr>
        <w:t xml:space="preserve"> questions of the legacy of previous forms of labour continue to loom </w:t>
      </w:r>
      <w:r w:rsidR="00FB5E87" w:rsidRPr="0089351A">
        <w:rPr>
          <w:rFonts w:asciiTheme="majorBidi" w:hAnsiTheme="majorBidi" w:cstheme="majorBidi"/>
          <w:sz w:val="24"/>
          <w:szCs w:val="24"/>
        </w:rPr>
        <w:t xml:space="preserve">especially </w:t>
      </w:r>
      <w:r w:rsidR="00F1773D" w:rsidRPr="0089351A">
        <w:rPr>
          <w:rFonts w:asciiTheme="majorBidi" w:hAnsiTheme="majorBidi" w:cstheme="majorBidi"/>
          <w:sz w:val="24"/>
          <w:szCs w:val="24"/>
        </w:rPr>
        <w:t>large</w:t>
      </w:r>
      <w:r w:rsidR="00200C89" w:rsidRPr="0089351A">
        <w:rPr>
          <w:rFonts w:asciiTheme="majorBidi" w:hAnsiTheme="majorBidi" w:cstheme="majorBidi"/>
          <w:sz w:val="24"/>
          <w:szCs w:val="24"/>
        </w:rPr>
        <w:t>.</w:t>
      </w:r>
      <w:r w:rsidR="00F1773D" w:rsidRPr="0089351A">
        <w:rPr>
          <w:rFonts w:asciiTheme="majorBidi" w:hAnsiTheme="majorBidi" w:cstheme="majorBidi"/>
          <w:sz w:val="24"/>
          <w:szCs w:val="24"/>
          <w:vertAlign w:val="superscript"/>
        </w:rPr>
        <w:footnoteReference w:id="21"/>
      </w:r>
      <w:r w:rsidR="00F1773D" w:rsidRPr="0089351A">
        <w:rPr>
          <w:rFonts w:asciiTheme="majorBidi" w:hAnsiTheme="majorBidi" w:cstheme="majorBidi"/>
          <w:sz w:val="24"/>
          <w:szCs w:val="24"/>
        </w:rPr>
        <w:t xml:space="preserve"> </w:t>
      </w:r>
      <w:r w:rsidR="000929C8" w:rsidRPr="0089351A">
        <w:rPr>
          <w:rFonts w:asciiTheme="majorBidi" w:hAnsiTheme="majorBidi" w:cstheme="majorBidi"/>
          <w:sz w:val="24"/>
          <w:szCs w:val="24"/>
        </w:rPr>
        <w:t xml:space="preserve"> So, too, do issues of land ownership as members of all ethnic communities pu</w:t>
      </w:r>
      <w:r w:rsidR="00FB5E87" w:rsidRPr="0089351A">
        <w:rPr>
          <w:rFonts w:asciiTheme="majorBidi" w:hAnsiTheme="majorBidi" w:cstheme="majorBidi"/>
          <w:sz w:val="24"/>
          <w:szCs w:val="24"/>
        </w:rPr>
        <w:t>rchased land in the Nineteenth C</w:t>
      </w:r>
      <w:r w:rsidR="000929C8" w:rsidRPr="0089351A">
        <w:rPr>
          <w:rFonts w:asciiTheme="majorBidi" w:hAnsiTheme="majorBidi" w:cstheme="majorBidi"/>
          <w:sz w:val="24"/>
          <w:szCs w:val="24"/>
        </w:rPr>
        <w:t>entury</w:t>
      </w:r>
      <w:r w:rsidR="0011407B" w:rsidRPr="0089351A">
        <w:rPr>
          <w:rFonts w:asciiTheme="majorBidi" w:hAnsiTheme="majorBidi" w:cstheme="majorBidi"/>
          <w:sz w:val="24"/>
          <w:szCs w:val="24"/>
        </w:rPr>
        <w:t>, often losing it subsequently</w:t>
      </w:r>
      <w:r w:rsidR="000929C8" w:rsidRPr="0089351A">
        <w:rPr>
          <w:rFonts w:asciiTheme="majorBidi" w:hAnsiTheme="majorBidi" w:cstheme="majorBidi"/>
          <w:sz w:val="24"/>
          <w:szCs w:val="24"/>
        </w:rPr>
        <w:t xml:space="preserve"> </w:t>
      </w:r>
      <w:r w:rsidR="00C82E79" w:rsidRPr="0089351A">
        <w:rPr>
          <w:rFonts w:asciiTheme="majorBidi" w:hAnsiTheme="majorBidi" w:cstheme="majorBidi"/>
          <w:sz w:val="24"/>
          <w:szCs w:val="24"/>
        </w:rPr>
        <w:t>to more powerful landowners including the sugar companies</w:t>
      </w:r>
      <w:r w:rsidR="00FB5E87" w:rsidRPr="0089351A">
        <w:rPr>
          <w:rFonts w:asciiTheme="majorBidi" w:hAnsiTheme="majorBidi" w:cstheme="majorBidi"/>
          <w:sz w:val="24"/>
          <w:szCs w:val="24"/>
        </w:rPr>
        <w:t xml:space="preserve"> through </w:t>
      </w:r>
      <w:proofErr w:type="gramStart"/>
      <w:r w:rsidR="00C426AC" w:rsidRPr="0089351A">
        <w:rPr>
          <w:rFonts w:asciiTheme="majorBidi" w:hAnsiTheme="majorBidi" w:cstheme="majorBidi"/>
          <w:sz w:val="24"/>
          <w:szCs w:val="24"/>
        </w:rPr>
        <w:t>having</w:t>
      </w:r>
      <w:r w:rsidR="0011407B" w:rsidRPr="0089351A">
        <w:rPr>
          <w:rFonts w:asciiTheme="majorBidi" w:hAnsiTheme="majorBidi" w:cstheme="majorBidi"/>
          <w:sz w:val="24"/>
          <w:szCs w:val="24"/>
        </w:rPr>
        <w:t xml:space="preserve"> </w:t>
      </w:r>
      <w:r w:rsidR="00C426AC" w:rsidRPr="0089351A">
        <w:rPr>
          <w:rFonts w:asciiTheme="majorBidi" w:hAnsiTheme="majorBidi" w:cstheme="majorBidi"/>
          <w:sz w:val="24"/>
          <w:szCs w:val="24"/>
        </w:rPr>
        <w:t xml:space="preserve"> </w:t>
      </w:r>
      <w:r w:rsidR="00FB5E87" w:rsidRPr="0089351A">
        <w:rPr>
          <w:rFonts w:asciiTheme="majorBidi" w:hAnsiTheme="majorBidi" w:cstheme="majorBidi"/>
          <w:sz w:val="24"/>
          <w:szCs w:val="24"/>
        </w:rPr>
        <w:t>poor</w:t>
      </w:r>
      <w:proofErr w:type="gramEnd"/>
      <w:r w:rsidR="00FB5E87" w:rsidRPr="0089351A">
        <w:rPr>
          <w:rFonts w:asciiTheme="majorBidi" w:hAnsiTheme="majorBidi" w:cstheme="majorBidi"/>
          <w:sz w:val="24"/>
          <w:szCs w:val="24"/>
        </w:rPr>
        <w:t xml:space="preserve"> or non-existent</w:t>
      </w:r>
      <w:r w:rsidR="000929C8" w:rsidRPr="0089351A">
        <w:rPr>
          <w:rFonts w:asciiTheme="majorBidi" w:hAnsiTheme="majorBidi" w:cstheme="majorBidi"/>
          <w:sz w:val="24"/>
          <w:szCs w:val="24"/>
        </w:rPr>
        <w:t xml:space="preserve"> legal title </w:t>
      </w:r>
      <w:r w:rsidR="005E07E6" w:rsidRPr="0089351A">
        <w:rPr>
          <w:rFonts w:asciiTheme="majorBidi" w:hAnsiTheme="majorBidi" w:cstheme="majorBidi"/>
          <w:sz w:val="24"/>
          <w:szCs w:val="24"/>
        </w:rPr>
        <w:t>and</w:t>
      </w:r>
      <w:r w:rsidR="00C82E79" w:rsidRPr="0089351A">
        <w:rPr>
          <w:rFonts w:asciiTheme="majorBidi" w:hAnsiTheme="majorBidi" w:cstheme="majorBidi"/>
          <w:sz w:val="24"/>
          <w:szCs w:val="24"/>
        </w:rPr>
        <w:t xml:space="preserve"> financial inability to pursue legal cases</w:t>
      </w:r>
      <w:r w:rsidR="00EF4474" w:rsidRPr="0089351A">
        <w:rPr>
          <w:rFonts w:asciiTheme="majorBidi" w:hAnsiTheme="majorBidi" w:cstheme="majorBidi"/>
          <w:sz w:val="24"/>
          <w:szCs w:val="24"/>
        </w:rPr>
        <w:t xml:space="preserve"> </w:t>
      </w:r>
      <w:r w:rsidR="00200C89" w:rsidRPr="0089351A">
        <w:rPr>
          <w:rFonts w:asciiTheme="majorBidi" w:hAnsiTheme="majorBidi" w:cstheme="majorBidi"/>
          <w:sz w:val="24"/>
          <w:szCs w:val="24"/>
        </w:rPr>
        <w:t>.</w:t>
      </w:r>
      <w:r w:rsidR="00EF4474" w:rsidRPr="0089351A">
        <w:rPr>
          <w:rStyle w:val="FootnoteReference"/>
          <w:rFonts w:asciiTheme="majorBidi" w:hAnsiTheme="majorBidi" w:cstheme="majorBidi"/>
          <w:sz w:val="24"/>
          <w:szCs w:val="24"/>
        </w:rPr>
        <w:footnoteReference w:id="22"/>
      </w:r>
      <w:r w:rsidR="000929C8" w:rsidRPr="0089351A">
        <w:rPr>
          <w:rFonts w:asciiTheme="majorBidi" w:hAnsiTheme="majorBidi" w:cstheme="majorBidi"/>
          <w:sz w:val="24"/>
          <w:szCs w:val="24"/>
        </w:rPr>
        <w:t xml:space="preserve">  </w:t>
      </w:r>
    </w:p>
    <w:p w:rsidR="00F305AF" w:rsidRPr="0089351A" w:rsidRDefault="00EB75E7"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w:t>
      </w:r>
      <w:r w:rsidR="00FB5E87" w:rsidRPr="0089351A">
        <w:rPr>
          <w:rFonts w:asciiTheme="majorBidi" w:hAnsiTheme="majorBidi" w:cstheme="majorBidi"/>
          <w:sz w:val="24"/>
          <w:szCs w:val="24"/>
        </w:rPr>
        <w:t xml:space="preserve"> Mauritian</w:t>
      </w:r>
      <w:r w:rsidRPr="0089351A">
        <w:rPr>
          <w:rFonts w:asciiTheme="majorBidi" w:hAnsiTheme="majorBidi" w:cstheme="majorBidi"/>
          <w:sz w:val="24"/>
          <w:szCs w:val="24"/>
        </w:rPr>
        <w:t xml:space="preserve"> use of a ‘Truth</w:t>
      </w:r>
      <w:r w:rsidR="00F1773D" w:rsidRPr="0089351A">
        <w:rPr>
          <w:rFonts w:asciiTheme="majorBidi" w:hAnsiTheme="majorBidi" w:cstheme="majorBidi"/>
          <w:sz w:val="24"/>
          <w:szCs w:val="24"/>
        </w:rPr>
        <w:t xml:space="preserve"> Commission’ to </w:t>
      </w:r>
      <w:r w:rsidR="0011407B" w:rsidRPr="0089351A">
        <w:rPr>
          <w:rFonts w:asciiTheme="majorBidi" w:hAnsiTheme="majorBidi" w:cstheme="majorBidi"/>
          <w:sz w:val="24"/>
          <w:szCs w:val="24"/>
        </w:rPr>
        <w:t>confront slavery- and indentured labour-related issues was unique internationally</w:t>
      </w:r>
      <w:r w:rsidR="00C426AC" w:rsidRPr="0089351A">
        <w:rPr>
          <w:rFonts w:asciiTheme="majorBidi" w:hAnsiTheme="majorBidi" w:cstheme="majorBidi"/>
          <w:sz w:val="24"/>
          <w:szCs w:val="24"/>
        </w:rPr>
        <w:t>. T</w:t>
      </w:r>
      <w:r w:rsidRPr="0089351A">
        <w:rPr>
          <w:rFonts w:asciiTheme="majorBidi" w:hAnsiTheme="majorBidi" w:cstheme="majorBidi"/>
          <w:sz w:val="24"/>
          <w:szCs w:val="24"/>
        </w:rPr>
        <w:t>hese Commissions have been defined as ‘truth-seeking bodies set up to investigate past records of human rights violations’</w:t>
      </w:r>
      <w:r w:rsidR="00864702" w:rsidRPr="0089351A">
        <w:rPr>
          <w:rFonts w:asciiTheme="majorBidi" w:hAnsiTheme="majorBidi" w:cstheme="majorBidi"/>
          <w:sz w:val="24"/>
          <w:szCs w:val="24"/>
        </w:rPr>
        <w:t xml:space="preserve"> in the hope that the</w:t>
      </w:r>
      <w:r w:rsidR="005E07E6" w:rsidRPr="0089351A">
        <w:rPr>
          <w:rFonts w:asciiTheme="majorBidi" w:hAnsiTheme="majorBidi" w:cstheme="majorBidi"/>
          <w:sz w:val="24"/>
          <w:szCs w:val="24"/>
        </w:rPr>
        <w:t>y</w:t>
      </w:r>
      <w:r w:rsidR="00864702" w:rsidRPr="0089351A">
        <w:rPr>
          <w:rFonts w:asciiTheme="majorBidi" w:hAnsiTheme="majorBidi" w:cstheme="majorBidi"/>
          <w:sz w:val="24"/>
          <w:szCs w:val="24"/>
        </w:rPr>
        <w:t xml:space="preserve"> will create a shared understanding and a degree of reconciliation.</w:t>
      </w:r>
      <w:r w:rsidR="00EF4474" w:rsidRPr="0089351A">
        <w:rPr>
          <w:rStyle w:val="FootnoteReference"/>
          <w:rFonts w:asciiTheme="majorBidi" w:hAnsiTheme="majorBidi" w:cstheme="majorBidi"/>
          <w:sz w:val="24"/>
          <w:szCs w:val="24"/>
        </w:rPr>
        <w:footnoteReference w:id="23"/>
      </w:r>
      <w:r w:rsidR="00EF4474" w:rsidRPr="0089351A">
        <w:rPr>
          <w:rStyle w:val="FootnoteReference"/>
          <w:rFonts w:asciiTheme="majorBidi" w:hAnsiTheme="majorBidi" w:cstheme="majorBidi"/>
          <w:sz w:val="24"/>
          <w:szCs w:val="24"/>
        </w:rPr>
        <w:footnoteReference w:id="24"/>
      </w:r>
      <w:r w:rsidRPr="0089351A">
        <w:rPr>
          <w:rFonts w:asciiTheme="majorBidi" w:hAnsiTheme="majorBidi" w:cstheme="majorBidi"/>
          <w:sz w:val="24"/>
          <w:szCs w:val="24"/>
        </w:rPr>
        <w:t xml:space="preserve"> To this extent, the MTJ</w:t>
      </w:r>
      <w:r w:rsidR="00B11F9D" w:rsidRPr="0089351A">
        <w:rPr>
          <w:rFonts w:asciiTheme="majorBidi" w:hAnsiTheme="majorBidi" w:cstheme="majorBidi"/>
          <w:sz w:val="24"/>
          <w:szCs w:val="24"/>
        </w:rPr>
        <w:t xml:space="preserve">C may be argued to have </w:t>
      </w:r>
      <w:r w:rsidR="00D7681C" w:rsidRPr="0089351A">
        <w:rPr>
          <w:rFonts w:asciiTheme="majorBidi" w:hAnsiTheme="majorBidi" w:cstheme="majorBidi"/>
          <w:sz w:val="24"/>
          <w:szCs w:val="24"/>
        </w:rPr>
        <w:t>attempted</w:t>
      </w:r>
      <w:r w:rsidR="00C755AF" w:rsidRPr="0089351A">
        <w:rPr>
          <w:rFonts w:asciiTheme="majorBidi" w:hAnsiTheme="majorBidi" w:cstheme="majorBidi"/>
          <w:sz w:val="24"/>
          <w:szCs w:val="24"/>
        </w:rPr>
        <w:t xml:space="preserve"> to effect</w:t>
      </w:r>
      <w:r w:rsidRPr="0089351A">
        <w:rPr>
          <w:rFonts w:asciiTheme="majorBidi" w:hAnsiTheme="majorBidi" w:cstheme="majorBidi"/>
          <w:sz w:val="24"/>
          <w:szCs w:val="24"/>
        </w:rPr>
        <w:t xml:space="preserve"> transitional justice</w:t>
      </w:r>
      <w:r w:rsidR="009C7C20" w:rsidRPr="0089351A">
        <w:rPr>
          <w:rFonts w:asciiTheme="majorBidi" w:hAnsiTheme="majorBidi" w:cstheme="majorBidi"/>
          <w:sz w:val="24"/>
          <w:szCs w:val="24"/>
        </w:rPr>
        <w:t>.  However,</w:t>
      </w:r>
      <w:r w:rsidR="00F305AF" w:rsidRPr="0089351A">
        <w:rPr>
          <w:rFonts w:asciiTheme="majorBidi" w:hAnsiTheme="majorBidi" w:cstheme="majorBidi"/>
          <w:sz w:val="24"/>
          <w:szCs w:val="24"/>
        </w:rPr>
        <w:t xml:space="preserve"> three</w:t>
      </w:r>
      <w:r w:rsidR="007D223C" w:rsidRPr="0089351A">
        <w:rPr>
          <w:rFonts w:asciiTheme="majorBidi" w:hAnsiTheme="majorBidi" w:cstheme="majorBidi"/>
          <w:sz w:val="24"/>
          <w:szCs w:val="24"/>
        </w:rPr>
        <w:t xml:space="preserve"> major </w:t>
      </w:r>
      <w:r w:rsidR="007D223C" w:rsidRPr="0089351A">
        <w:rPr>
          <w:rFonts w:asciiTheme="majorBidi" w:hAnsiTheme="majorBidi" w:cstheme="majorBidi"/>
          <w:sz w:val="24"/>
          <w:szCs w:val="24"/>
        </w:rPr>
        <w:lastRenderedPageBreak/>
        <w:t xml:space="preserve">differences </w:t>
      </w:r>
      <w:r w:rsidR="00520F76" w:rsidRPr="0089351A">
        <w:rPr>
          <w:rFonts w:asciiTheme="majorBidi" w:hAnsiTheme="majorBidi" w:cstheme="majorBidi"/>
          <w:sz w:val="24"/>
          <w:szCs w:val="24"/>
        </w:rPr>
        <w:t xml:space="preserve">between this and normal ‘transitional justice’ contexts </w:t>
      </w:r>
      <w:r w:rsidR="007D223C" w:rsidRPr="0089351A">
        <w:rPr>
          <w:rFonts w:asciiTheme="majorBidi" w:hAnsiTheme="majorBidi" w:cstheme="majorBidi"/>
          <w:sz w:val="24"/>
          <w:szCs w:val="24"/>
        </w:rPr>
        <w:t>are evident</w:t>
      </w:r>
      <w:r w:rsidR="00841655" w:rsidRPr="0089351A">
        <w:rPr>
          <w:rFonts w:asciiTheme="majorBidi" w:hAnsiTheme="majorBidi" w:cstheme="majorBidi"/>
          <w:sz w:val="24"/>
          <w:szCs w:val="24"/>
        </w:rPr>
        <w:t xml:space="preserve">. The first </w:t>
      </w:r>
      <w:proofErr w:type="gramStart"/>
      <w:r w:rsidR="00841655" w:rsidRPr="0089351A">
        <w:rPr>
          <w:rFonts w:asciiTheme="majorBidi" w:hAnsiTheme="majorBidi" w:cstheme="majorBidi"/>
          <w:sz w:val="24"/>
          <w:szCs w:val="24"/>
        </w:rPr>
        <w:t xml:space="preserve">is  </w:t>
      </w:r>
      <w:r w:rsidR="00E720FA" w:rsidRPr="0089351A">
        <w:rPr>
          <w:rFonts w:asciiTheme="majorBidi" w:hAnsiTheme="majorBidi" w:cstheme="majorBidi"/>
          <w:sz w:val="24"/>
          <w:szCs w:val="24"/>
        </w:rPr>
        <w:t>the</w:t>
      </w:r>
      <w:proofErr w:type="gramEnd"/>
      <w:r w:rsidR="00E720FA" w:rsidRPr="0089351A">
        <w:rPr>
          <w:rFonts w:asciiTheme="majorBidi" w:hAnsiTheme="majorBidi" w:cstheme="majorBidi"/>
          <w:sz w:val="24"/>
          <w:szCs w:val="24"/>
        </w:rPr>
        <w:t xml:space="preserve"> simple fact that slavery </w:t>
      </w:r>
      <w:r w:rsidR="00CE359C" w:rsidRPr="0089351A">
        <w:rPr>
          <w:rFonts w:asciiTheme="majorBidi" w:hAnsiTheme="majorBidi" w:cstheme="majorBidi"/>
          <w:sz w:val="24"/>
          <w:szCs w:val="24"/>
        </w:rPr>
        <w:t>is more historically distant</w:t>
      </w:r>
      <w:r w:rsidR="00E720FA" w:rsidRPr="0089351A">
        <w:rPr>
          <w:rFonts w:asciiTheme="majorBidi" w:hAnsiTheme="majorBidi" w:cstheme="majorBidi"/>
          <w:sz w:val="24"/>
          <w:szCs w:val="24"/>
        </w:rPr>
        <w:t xml:space="preserve"> than event</w:t>
      </w:r>
      <w:r w:rsidR="005E07E6" w:rsidRPr="0089351A">
        <w:rPr>
          <w:rFonts w:asciiTheme="majorBidi" w:hAnsiTheme="majorBidi" w:cstheme="majorBidi"/>
          <w:sz w:val="24"/>
          <w:szCs w:val="24"/>
        </w:rPr>
        <w:t>s often</w:t>
      </w:r>
      <w:r w:rsidR="007D223C" w:rsidRPr="0089351A">
        <w:rPr>
          <w:rFonts w:asciiTheme="majorBidi" w:hAnsiTheme="majorBidi" w:cstheme="majorBidi"/>
          <w:sz w:val="24"/>
          <w:szCs w:val="24"/>
        </w:rPr>
        <w:t xml:space="preserve"> considered within</w:t>
      </w:r>
      <w:r w:rsidR="00C426AC" w:rsidRPr="0089351A">
        <w:rPr>
          <w:rFonts w:asciiTheme="majorBidi" w:hAnsiTheme="majorBidi" w:cstheme="majorBidi"/>
          <w:sz w:val="24"/>
          <w:szCs w:val="24"/>
        </w:rPr>
        <w:t xml:space="preserve"> transitional justice</w:t>
      </w:r>
      <w:r w:rsidR="00E720FA" w:rsidRPr="0089351A">
        <w:rPr>
          <w:rFonts w:asciiTheme="majorBidi" w:hAnsiTheme="majorBidi" w:cstheme="majorBidi"/>
          <w:sz w:val="24"/>
          <w:szCs w:val="24"/>
        </w:rPr>
        <w:t xml:space="preserve"> framework</w:t>
      </w:r>
      <w:r w:rsidR="007D223C" w:rsidRPr="0089351A">
        <w:rPr>
          <w:rFonts w:asciiTheme="majorBidi" w:hAnsiTheme="majorBidi" w:cstheme="majorBidi"/>
          <w:sz w:val="24"/>
          <w:szCs w:val="24"/>
        </w:rPr>
        <w:t>s</w:t>
      </w:r>
      <w:r w:rsidR="00E720FA" w:rsidRPr="0089351A">
        <w:rPr>
          <w:rFonts w:asciiTheme="majorBidi" w:hAnsiTheme="majorBidi" w:cstheme="majorBidi"/>
          <w:sz w:val="24"/>
          <w:szCs w:val="24"/>
        </w:rPr>
        <w:t xml:space="preserve">. </w:t>
      </w:r>
      <w:r w:rsidR="00C426AC" w:rsidRPr="0089351A">
        <w:rPr>
          <w:rFonts w:asciiTheme="majorBidi" w:hAnsiTheme="majorBidi" w:cstheme="majorBidi"/>
          <w:sz w:val="24"/>
          <w:szCs w:val="24"/>
        </w:rPr>
        <w:t>I</w:t>
      </w:r>
      <w:r w:rsidR="00841655" w:rsidRPr="0089351A">
        <w:rPr>
          <w:rFonts w:asciiTheme="majorBidi" w:hAnsiTheme="majorBidi" w:cstheme="majorBidi"/>
          <w:sz w:val="24"/>
          <w:szCs w:val="24"/>
        </w:rPr>
        <w:t xml:space="preserve">nvestigating </w:t>
      </w:r>
      <w:r w:rsidR="00D7681C" w:rsidRPr="0089351A">
        <w:rPr>
          <w:rFonts w:asciiTheme="majorBidi" w:hAnsiTheme="majorBidi" w:cstheme="majorBidi"/>
          <w:sz w:val="24"/>
          <w:szCs w:val="24"/>
        </w:rPr>
        <w:t xml:space="preserve">a contemporary problem’s historical origins </w:t>
      </w:r>
      <w:r w:rsidR="00841655" w:rsidRPr="0089351A">
        <w:rPr>
          <w:rFonts w:asciiTheme="majorBidi" w:hAnsiTheme="majorBidi" w:cstheme="majorBidi"/>
          <w:sz w:val="24"/>
          <w:szCs w:val="24"/>
        </w:rPr>
        <w:t xml:space="preserve">inevitably involves </w:t>
      </w:r>
      <w:r w:rsidR="00AA1775" w:rsidRPr="0089351A">
        <w:rPr>
          <w:rFonts w:asciiTheme="majorBidi" w:hAnsiTheme="majorBidi" w:cstheme="majorBidi"/>
          <w:sz w:val="24"/>
          <w:szCs w:val="24"/>
        </w:rPr>
        <w:t xml:space="preserve">major </w:t>
      </w:r>
      <w:r w:rsidR="00841655" w:rsidRPr="0089351A">
        <w:rPr>
          <w:rFonts w:asciiTheme="majorBidi" w:hAnsiTheme="majorBidi" w:cstheme="majorBidi"/>
          <w:sz w:val="24"/>
          <w:szCs w:val="24"/>
        </w:rPr>
        <w:t xml:space="preserve">difficulties in establishing </w:t>
      </w:r>
      <w:r w:rsidR="00520F76" w:rsidRPr="0089351A">
        <w:rPr>
          <w:rFonts w:asciiTheme="majorBidi" w:hAnsiTheme="majorBidi" w:cstheme="majorBidi"/>
          <w:sz w:val="24"/>
          <w:szCs w:val="24"/>
        </w:rPr>
        <w:t>robust c</w:t>
      </w:r>
      <w:r w:rsidR="00841655" w:rsidRPr="0089351A">
        <w:rPr>
          <w:rFonts w:asciiTheme="majorBidi" w:hAnsiTheme="majorBidi" w:cstheme="majorBidi"/>
          <w:sz w:val="24"/>
          <w:szCs w:val="24"/>
        </w:rPr>
        <w:t xml:space="preserve">ausal links. </w:t>
      </w:r>
      <w:r w:rsidR="00FB5E87" w:rsidRPr="0089351A">
        <w:rPr>
          <w:rFonts w:asciiTheme="majorBidi" w:hAnsiTheme="majorBidi" w:cstheme="majorBidi"/>
          <w:sz w:val="24"/>
          <w:szCs w:val="24"/>
        </w:rPr>
        <w:t>This is linked to</w:t>
      </w:r>
      <w:r w:rsidR="00EE09CB" w:rsidRPr="0089351A">
        <w:rPr>
          <w:rFonts w:asciiTheme="majorBidi" w:hAnsiTheme="majorBidi" w:cstheme="majorBidi"/>
          <w:sz w:val="24"/>
          <w:szCs w:val="24"/>
        </w:rPr>
        <w:t xml:space="preserve"> other</w:t>
      </w:r>
      <w:r w:rsidR="00841655" w:rsidRPr="0089351A">
        <w:rPr>
          <w:rFonts w:asciiTheme="majorBidi" w:hAnsiTheme="majorBidi" w:cstheme="majorBidi"/>
          <w:sz w:val="24"/>
          <w:szCs w:val="24"/>
        </w:rPr>
        <w:t xml:space="preserve"> </w:t>
      </w:r>
      <w:r w:rsidR="00E720FA" w:rsidRPr="0089351A">
        <w:rPr>
          <w:rFonts w:asciiTheme="majorBidi" w:hAnsiTheme="majorBidi" w:cstheme="majorBidi"/>
          <w:sz w:val="24"/>
          <w:szCs w:val="24"/>
        </w:rPr>
        <w:t>serious philosop</w:t>
      </w:r>
      <w:r w:rsidR="00AA1775" w:rsidRPr="0089351A">
        <w:rPr>
          <w:rFonts w:asciiTheme="majorBidi" w:hAnsiTheme="majorBidi" w:cstheme="majorBidi"/>
          <w:sz w:val="24"/>
          <w:szCs w:val="24"/>
        </w:rPr>
        <w:t>hical and methodological</w:t>
      </w:r>
      <w:r w:rsidR="009C7C20" w:rsidRPr="0089351A">
        <w:rPr>
          <w:rFonts w:asciiTheme="majorBidi" w:hAnsiTheme="majorBidi" w:cstheme="majorBidi"/>
          <w:sz w:val="24"/>
          <w:szCs w:val="24"/>
        </w:rPr>
        <w:t xml:space="preserve"> issues, notably in setting national events</w:t>
      </w:r>
      <w:r w:rsidR="00AA1775" w:rsidRPr="0089351A">
        <w:rPr>
          <w:rFonts w:asciiTheme="majorBidi" w:hAnsiTheme="majorBidi" w:cstheme="majorBidi"/>
          <w:sz w:val="24"/>
          <w:szCs w:val="24"/>
        </w:rPr>
        <w:t xml:space="preserve"> in a wider perspective </w:t>
      </w:r>
      <w:r w:rsidR="00E720FA" w:rsidRPr="0089351A">
        <w:rPr>
          <w:rFonts w:asciiTheme="majorBidi" w:hAnsiTheme="majorBidi" w:cstheme="majorBidi"/>
          <w:sz w:val="24"/>
          <w:szCs w:val="24"/>
        </w:rPr>
        <w:t>(</w:t>
      </w:r>
      <w:proofErr w:type="spellStart"/>
      <w:r w:rsidR="006A660A" w:rsidRPr="0089351A">
        <w:rPr>
          <w:rFonts w:asciiTheme="majorBidi" w:hAnsiTheme="majorBidi" w:cstheme="majorBidi"/>
          <w:sz w:val="24"/>
          <w:szCs w:val="24"/>
        </w:rPr>
        <w:t>Kershnar</w:t>
      </w:r>
      <w:proofErr w:type="spellEnd"/>
      <w:r w:rsidR="006A660A" w:rsidRPr="0089351A">
        <w:rPr>
          <w:rFonts w:asciiTheme="majorBidi" w:hAnsiTheme="majorBidi" w:cstheme="majorBidi"/>
          <w:sz w:val="24"/>
          <w:szCs w:val="24"/>
        </w:rPr>
        <w:t>, 2002 argues that investigations into</w:t>
      </w:r>
      <w:r w:rsidR="00F5212F" w:rsidRPr="0089351A">
        <w:rPr>
          <w:rFonts w:asciiTheme="majorBidi" w:hAnsiTheme="majorBidi" w:cstheme="majorBidi"/>
          <w:sz w:val="24"/>
          <w:szCs w:val="24"/>
        </w:rPr>
        <w:t xml:space="preserve"> slavery’s consequences</w:t>
      </w:r>
      <w:r w:rsidR="006A660A" w:rsidRPr="0089351A">
        <w:rPr>
          <w:rFonts w:asciiTheme="majorBidi" w:hAnsiTheme="majorBidi" w:cstheme="majorBidi"/>
          <w:sz w:val="24"/>
          <w:szCs w:val="24"/>
        </w:rPr>
        <w:t xml:space="preserve"> are innately flawed, since they cannot observe a world without slavery</w:t>
      </w:r>
      <w:r w:rsidR="00864702" w:rsidRPr="0089351A">
        <w:rPr>
          <w:rFonts w:asciiTheme="majorBidi" w:hAnsiTheme="majorBidi" w:cstheme="majorBidi"/>
          <w:sz w:val="24"/>
          <w:szCs w:val="24"/>
        </w:rPr>
        <w:t>).</w:t>
      </w:r>
      <w:r w:rsidR="00EF4474" w:rsidRPr="0089351A">
        <w:rPr>
          <w:rStyle w:val="FootnoteReference"/>
          <w:rFonts w:asciiTheme="majorBidi" w:hAnsiTheme="majorBidi" w:cstheme="majorBidi"/>
          <w:sz w:val="24"/>
          <w:szCs w:val="24"/>
        </w:rPr>
        <w:footnoteReference w:id="25"/>
      </w:r>
      <w:r w:rsidR="005A6BD4" w:rsidRPr="0089351A">
        <w:rPr>
          <w:rFonts w:asciiTheme="majorBidi" w:hAnsiTheme="majorBidi" w:cstheme="majorBidi"/>
          <w:sz w:val="24"/>
          <w:szCs w:val="24"/>
        </w:rPr>
        <w:t xml:space="preserve"> </w:t>
      </w:r>
      <w:r w:rsidR="006A660A" w:rsidRPr="0089351A">
        <w:rPr>
          <w:rFonts w:asciiTheme="majorBidi" w:hAnsiTheme="majorBidi" w:cstheme="majorBidi"/>
          <w:sz w:val="24"/>
          <w:szCs w:val="24"/>
        </w:rPr>
        <w:t xml:space="preserve"> </w:t>
      </w:r>
      <w:r w:rsidR="00F5212F" w:rsidRPr="0089351A">
        <w:rPr>
          <w:rFonts w:asciiTheme="majorBidi" w:hAnsiTheme="majorBidi" w:cstheme="majorBidi"/>
          <w:sz w:val="24"/>
          <w:szCs w:val="24"/>
        </w:rPr>
        <w:t>Secondly,</w:t>
      </w:r>
      <w:r w:rsidR="00EE09CB" w:rsidRPr="0089351A">
        <w:rPr>
          <w:rFonts w:asciiTheme="majorBidi" w:hAnsiTheme="majorBidi" w:cstheme="majorBidi"/>
          <w:sz w:val="24"/>
          <w:szCs w:val="24"/>
        </w:rPr>
        <w:t xml:space="preserve"> the</w:t>
      </w:r>
      <w:r w:rsidR="00E720FA" w:rsidRPr="0089351A">
        <w:rPr>
          <w:rFonts w:asciiTheme="majorBidi" w:hAnsiTheme="majorBidi" w:cstheme="majorBidi"/>
          <w:sz w:val="24"/>
          <w:szCs w:val="24"/>
        </w:rPr>
        <w:t xml:space="preserve"> ex</w:t>
      </w:r>
      <w:r w:rsidR="009C7C20" w:rsidRPr="0089351A">
        <w:rPr>
          <w:rFonts w:asciiTheme="majorBidi" w:hAnsiTheme="majorBidi" w:cstheme="majorBidi"/>
          <w:sz w:val="24"/>
          <w:szCs w:val="24"/>
        </w:rPr>
        <w:t>ercise might be</w:t>
      </w:r>
      <w:r w:rsidR="00B11F9D" w:rsidRPr="0089351A">
        <w:rPr>
          <w:rFonts w:asciiTheme="majorBidi" w:hAnsiTheme="majorBidi" w:cstheme="majorBidi"/>
          <w:sz w:val="24"/>
          <w:szCs w:val="24"/>
        </w:rPr>
        <w:t xml:space="preserve"> </w:t>
      </w:r>
      <w:r w:rsidR="007D223C" w:rsidRPr="0089351A">
        <w:rPr>
          <w:rFonts w:asciiTheme="majorBidi" w:hAnsiTheme="majorBidi" w:cstheme="majorBidi"/>
          <w:sz w:val="24"/>
          <w:szCs w:val="24"/>
        </w:rPr>
        <w:t xml:space="preserve">merely </w:t>
      </w:r>
      <w:r w:rsidR="00B11F9D" w:rsidRPr="0089351A">
        <w:rPr>
          <w:rFonts w:asciiTheme="majorBidi" w:hAnsiTheme="majorBidi" w:cstheme="majorBidi"/>
          <w:sz w:val="24"/>
          <w:szCs w:val="24"/>
        </w:rPr>
        <w:t>cosmetic</w:t>
      </w:r>
      <w:r w:rsidR="00C426AC" w:rsidRPr="0089351A">
        <w:rPr>
          <w:rFonts w:asciiTheme="majorBidi" w:hAnsiTheme="majorBidi" w:cstheme="majorBidi"/>
          <w:sz w:val="24"/>
          <w:szCs w:val="24"/>
        </w:rPr>
        <w:t>, an attempt to lay a contemporary concern to rest without any serious intention of changing society or its perceptions</w:t>
      </w:r>
      <w:r w:rsidRPr="0089351A">
        <w:rPr>
          <w:rFonts w:asciiTheme="majorBidi" w:hAnsiTheme="majorBidi" w:cstheme="majorBidi"/>
          <w:sz w:val="24"/>
          <w:szCs w:val="24"/>
        </w:rPr>
        <w:t xml:space="preserve">.  </w:t>
      </w:r>
      <w:r w:rsidR="009C7C20" w:rsidRPr="0089351A">
        <w:rPr>
          <w:rFonts w:asciiTheme="majorBidi" w:hAnsiTheme="majorBidi" w:cstheme="majorBidi"/>
          <w:sz w:val="24"/>
          <w:szCs w:val="24"/>
        </w:rPr>
        <w:t>Intentions are difficult to establish with any degree of certainty. However i</w:t>
      </w:r>
      <w:r w:rsidRPr="0089351A">
        <w:rPr>
          <w:rFonts w:asciiTheme="majorBidi" w:hAnsiTheme="majorBidi" w:cstheme="majorBidi"/>
          <w:sz w:val="24"/>
          <w:szCs w:val="24"/>
        </w:rPr>
        <w:t xml:space="preserve">t is conceivable that the MTJC might be </w:t>
      </w:r>
      <w:r w:rsidR="00C426AC" w:rsidRPr="0089351A">
        <w:rPr>
          <w:rFonts w:asciiTheme="majorBidi" w:hAnsiTheme="majorBidi" w:cstheme="majorBidi"/>
          <w:sz w:val="24"/>
          <w:szCs w:val="24"/>
        </w:rPr>
        <w:t>seen as</w:t>
      </w:r>
      <w:r w:rsidRPr="0089351A">
        <w:rPr>
          <w:rFonts w:asciiTheme="majorBidi" w:hAnsiTheme="majorBidi" w:cstheme="majorBidi"/>
          <w:sz w:val="24"/>
          <w:szCs w:val="24"/>
        </w:rPr>
        <w:t xml:space="preserve"> </w:t>
      </w:r>
      <w:r w:rsidR="00BA35EE" w:rsidRPr="0089351A">
        <w:rPr>
          <w:rFonts w:asciiTheme="majorBidi" w:hAnsiTheme="majorBidi" w:cstheme="majorBidi"/>
          <w:sz w:val="24"/>
          <w:szCs w:val="24"/>
        </w:rPr>
        <w:t>one of those Commissions evaluat</w:t>
      </w:r>
      <w:r w:rsidRPr="0089351A">
        <w:rPr>
          <w:rFonts w:asciiTheme="majorBidi" w:hAnsiTheme="majorBidi" w:cstheme="majorBidi"/>
          <w:sz w:val="24"/>
          <w:szCs w:val="24"/>
        </w:rPr>
        <w:t xml:space="preserve">ed by Paul Van </w:t>
      </w:r>
      <w:proofErr w:type="spellStart"/>
      <w:r w:rsidRPr="0089351A">
        <w:rPr>
          <w:rFonts w:asciiTheme="majorBidi" w:hAnsiTheme="majorBidi" w:cstheme="majorBidi"/>
          <w:sz w:val="24"/>
          <w:szCs w:val="24"/>
        </w:rPr>
        <w:t>Zyl</w:t>
      </w:r>
      <w:proofErr w:type="spellEnd"/>
      <w:r w:rsidRPr="0089351A">
        <w:rPr>
          <w:rFonts w:asciiTheme="majorBidi" w:hAnsiTheme="majorBidi" w:cstheme="majorBidi"/>
          <w:sz w:val="24"/>
          <w:szCs w:val="24"/>
        </w:rPr>
        <w:t xml:space="preserve"> as ‘cynical efforts to evade responsibility for dealing with the past’</w:t>
      </w:r>
      <w:r w:rsidR="00864702" w:rsidRPr="0089351A">
        <w:rPr>
          <w:rFonts w:asciiTheme="majorBidi" w:hAnsiTheme="majorBidi" w:cstheme="majorBidi"/>
          <w:sz w:val="24"/>
          <w:szCs w:val="24"/>
        </w:rPr>
        <w:t xml:space="preserve"> (227), a possibility we discuss.</w:t>
      </w:r>
      <w:r w:rsidR="00F32F1C" w:rsidRPr="0089351A">
        <w:rPr>
          <w:rStyle w:val="FootnoteReference"/>
          <w:rFonts w:asciiTheme="majorBidi" w:hAnsiTheme="majorBidi" w:cstheme="majorBidi"/>
          <w:sz w:val="24"/>
          <w:szCs w:val="24"/>
        </w:rPr>
        <w:footnoteReference w:id="26"/>
      </w:r>
      <w:r w:rsidR="00F305AF" w:rsidRPr="0089351A">
        <w:rPr>
          <w:rFonts w:asciiTheme="majorBidi" w:hAnsiTheme="majorBidi" w:cstheme="majorBidi"/>
          <w:sz w:val="24"/>
          <w:szCs w:val="24"/>
        </w:rPr>
        <w:t xml:space="preserve"> </w:t>
      </w:r>
      <w:r w:rsidR="00B92AB8" w:rsidRPr="0089351A">
        <w:rPr>
          <w:rFonts w:asciiTheme="majorBidi" w:hAnsiTheme="majorBidi" w:cstheme="majorBidi"/>
          <w:sz w:val="24"/>
          <w:szCs w:val="24"/>
        </w:rPr>
        <w:t>Thirdly,</w:t>
      </w:r>
      <w:r w:rsidR="00F305AF" w:rsidRPr="0089351A">
        <w:rPr>
          <w:rFonts w:asciiTheme="majorBidi" w:hAnsiTheme="majorBidi" w:cstheme="majorBidi"/>
          <w:sz w:val="24"/>
          <w:szCs w:val="24"/>
        </w:rPr>
        <w:t xml:space="preserve"> if, as Van der Merwe and </w:t>
      </w:r>
      <w:proofErr w:type="spellStart"/>
      <w:r w:rsidR="00F305AF" w:rsidRPr="0089351A">
        <w:rPr>
          <w:rFonts w:asciiTheme="majorBidi" w:hAnsiTheme="majorBidi" w:cstheme="majorBidi"/>
          <w:sz w:val="24"/>
          <w:szCs w:val="24"/>
        </w:rPr>
        <w:t>Brankovic</w:t>
      </w:r>
      <w:proofErr w:type="spellEnd"/>
      <w:r w:rsidR="00F305AF" w:rsidRPr="0089351A">
        <w:rPr>
          <w:rFonts w:asciiTheme="majorBidi" w:hAnsiTheme="majorBidi" w:cstheme="majorBidi"/>
          <w:sz w:val="24"/>
          <w:szCs w:val="24"/>
        </w:rPr>
        <w:t xml:space="preserve"> </w:t>
      </w:r>
      <w:r w:rsidR="00520F76" w:rsidRPr="0089351A">
        <w:rPr>
          <w:rFonts w:asciiTheme="majorBidi" w:hAnsiTheme="majorBidi" w:cstheme="majorBidi"/>
          <w:sz w:val="24"/>
          <w:szCs w:val="24"/>
        </w:rPr>
        <w:t xml:space="preserve">(2014) </w:t>
      </w:r>
      <w:r w:rsidR="00B92AB8" w:rsidRPr="0089351A">
        <w:rPr>
          <w:rFonts w:asciiTheme="majorBidi" w:hAnsiTheme="majorBidi" w:cstheme="majorBidi"/>
          <w:sz w:val="24"/>
          <w:szCs w:val="24"/>
        </w:rPr>
        <w:t>argue</w:t>
      </w:r>
      <w:r w:rsidR="00F305AF" w:rsidRPr="0089351A">
        <w:rPr>
          <w:rFonts w:asciiTheme="majorBidi" w:hAnsiTheme="majorBidi" w:cstheme="majorBidi"/>
          <w:sz w:val="24"/>
          <w:szCs w:val="24"/>
        </w:rPr>
        <w:t xml:space="preserve">, transitional justice is caught between the normative claims of international human rights and </w:t>
      </w:r>
      <w:r w:rsidR="00520F76" w:rsidRPr="0089351A">
        <w:rPr>
          <w:rFonts w:asciiTheme="majorBidi" w:hAnsiTheme="majorBidi" w:cstheme="majorBidi"/>
          <w:sz w:val="24"/>
          <w:szCs w:val="24"/>
        </w:rPr>
        <w:t xml:space="preserve">local norms and constraints, </w:t>
      </w:r>
      <w:r w:rsidR="00F305AF" w:rsidRPr="0089351A">
        <w:rPr>
          <w:rFonts w:asciiTheme="majorBidi" w:hAnsiTheme="majorBidi" w:cstheme="majorBidi"/>
          <w:sz w:val="24"/>
          <w:szCs w:val="24"/>
        </w:rPr>
        <w:t xml:space="preserve">the argument applies </w:t>
      </w:r>
      <w:r w:rsidR="00F305AF" w:rsidRPr="0089351A">
        <w:rPr>
          <w:rFonts w:asciiTheme="majorBidi" w:hAnsiTheme="majorBidi" w:cstheme="majorBidi"/>
          <w:i/>
          <w:iCs/>
          <w:sz w:val="24"/>
          <w:szCs w:val="24"/>
        </w:rPr>
        <w:t>a fortiori</w:t>
      </w:r>
      <w:r w:rsidR="00F305AF" w:rsidRPr="0089351A">
        <w:rPr>
          <w:rFonts w:asciiTheme="majorBidi" w:hAnsiTheme="majorBidi" w:cstheme="majorBidi"/>
          <w:sz w:val="24"/>
          <w:szCs w:val="24"/>
        </w:rPr>
        <w:t xml:space="preserve"> to the world’s first public inquiry into slavery’s consequences because of th</w:t>
      </w:r>
      <w:r w:rsidR="00F8538D" w:rsidRPr="0089351A">
        <w:rPr>
          <w:rFonts w:asciiTheme="majorBidi" w:hAnsiTheme="majorBidi" w:cstheme="majorBidi"/>
          <w:sz w:val="24"/>
          <w:szCs w:val="24"/>
        </w:rPr>
        <w:t>e absence of any clear</w:t>
      </w:r>
      <w:r w:rsidR="00F305AF" w:rsidRPr="0089351A">
        <w:rPr>
          <w:rFonts w:asciiTheme="majorBidi" w:hAnsiTheme="majorBidi" w:cstheme="majorBidi"/>
          <w:sz w:val="24"/>
          <w:szCs w:val="24"/>
        </w:rPr>
        <w:t xml:space="preserve"> </w:t>
      </w:r>
      <w:r w:rsidR="00F8538D" w:rsidRPr="0089351A">
        <w:rPr>
          <w:rFonts w:asciiTheme="majorBidi" w:hAnsiTheme="majorBidi" w:cstheme="majorBidi"/>
          <w:sz w:val="24"/>
          <w:szCs w:val="24"/>
        </w:rPr>
        <w:t xml:space="preserve">international </w:t>
      </w:r>
      <w:r w:rsidR="00F305AF" w:rsidRPr="0089351A">
        <w:rPr>
          <w:rFonts w:asciiTheme="majorBidi" w:hAnsiTheme="majorBidi" w:cstheme="majorBidi"/>
          <w:sz w:val="24"/>
          <w:szCs w:val="24"/>
        </w:rPr>
        <w:t xml:space="preserve">consensus on that subject in comparison </w:t>
      </w:r>
      <w:r w:rsidR="00F8538D" w:rsidRPr="0089351A">
        <w:rPr>
          <w:rFonts w:asciiTheme="majorBidi" w:hAnsiTheme="majorBidi" w:cstheme="majorBidi"/>
          <w:sz w:val="24"/>
          <w:szCs w:val="24"/>
        </w:rPr>
        <w:t>to universal condemnation of the</w:t>
      </w:r>
      <w:r w:rsidR="00F305AF" w:rsidRPr="0089351A">
        <w:rPr>
          <w:rFonts w:asciiTheme="majorBidi" w:hAnsiTheme="majorBidi" w:cstheme="majorBidi"/>
          <w:sz w:val="24"/>
          <w:szCs w:val="24"/>
        </w:rPr>
        <w:t xml:space="preserve"> contemporary </w:t>
      </w:r>
      <w:r w:rsidR="00F8538D" w:rsidRPr="0089351A">
        <w:rPr>
          <w:rFonts w:asciiTheme="majorBidi" w:hAnsiTheme="majorBidi" w:cstheme="majorBidi"/>
          <w:sz w:val="24"/>
          <w:szCs w:val="24"/>
        </w:rPr>
        <w:t>phenomenon</w:t>
      </w:r>
      <w:r w:rsidR="00F305AF" w:rsidRPr="0089351A">
        <w:rPr>
          <w:rFonts w:asciiTheme="majorBidi" w:hAnsiTheme="majorBidi" w:cstheme="majorBidi"/>
          <w:sz w:val="24"/>
          <w:szCs w:val="24"/>
        </w:rPr>
        <w:t>.</w:t>
      </w:r>
      <w:r w:rsidR="00F32F1C" w:rsidRPr="0089351A">
        <w:rPr>
          <w:rStyle w:val="FootnoteReference"/>
          <w:rFonts w:asciiTheme="majorBidi" w:hAnsiTheme="majorBidi" w:cstheme="majorBidi"/>
          <w:sz w:val="24"/>
          <w:szCs w:val="24"/>
        </w:rPr>
        <w:footnoteReference w:id="27"/>
      </w:r>
      <w:r w:rsidR="00F305AF" w:rsidRPr="0089351A">
        <w:rPr>
          <w:rFonts w:asciiTheme="majorBidi" w:hAnsiTheme="majorBidi" w:cstheme="majorBidi"/>
          <w:sz w:val="24"/>
          <w:szCs w:val="24"/>
        </w:rPr>
        <w:t xml:space="preserve">  </w:t>
      </w:r>
    </w:p>
    <w:p w:rsidR="00EB75E7" w:rsidRPr="0089351A" w:rsidRDefault="00EB75E7" w:rsidP="00360222">
      <w:pPr>
        <w:spacing w:line="480" w:lineRule="auto"/>
        <w:rPr>
          <w:rFonts w:asciiTheme="majorBidi" w:hAnsiTheme="majorBidi" w:cstheme="majorBidi"/>
          <w:sz w:val="24"/>
          <w:szCs w:val="24"/>
        </w:rPr>
      </w:pPr>
    </w:p>
    <w:p w:rsidR="00EB75E7" w:rsidRPr="0089351A" w:rsidRDefault="00EE09CB" w:rsidP="00360222">
      <w:pPr>
        <w:spacing w:line="480" w:lineRule="auto"/>
        <w:rPr>
          <w:rFonts w:asciiTheme="majorBidi" w:hAnsiTheme="majorBidi" w:cstheme="majorBidi"/>
          <w:sz w:val="24"/>
          <w:szCs w:val="24"/>
        </w:rPr>
      </w:pPr>
      <w:proofErr w:type="gramStart"/>
      <w:r w:rsidRPr="0089351A">
        <w:rPr>
          <w:rFonts w:asciiTheme="majorBidi" w:hAnsiTheme="majorBidi" w:cstheme="majorBidi"/>
          <w:sz w:val="24"/>
          <w:szCs w:val="24"/>
        </w:rPr>
        <w:t>Whether the MTJC was a</w:t>
      </w:r>
      <w:r w:rsidR="003D4CE9" w:rsidRPr="0089351A">
        <w:rPr>
          <w:rFonts w:asciiTheme="majorBidi" w:hAnsiTheme="majorBidi" w:cstheme="majorBidi"/>
          <w:sz w:val="24"/>
          <w:szCs w:val="24"/>
        </w:rPr>
        <w:t xml:space="preserve"> ‘success’ is debatable</w:t>
      </w:r>
      <w:r w:rsidR="00B92AB8" w:rsidRPr="0089351A">
        <w:rPr>
          <w:rFonts w:asciiTheme="majorBidi" w:hAnsiTheme="majorBidi" w:cstheme="majorBidi"/>
          <w:sz w:val="24"/>
          <w:szCs w:val="24"/>
        </w:rPr>
        <w:t>;</w:t>
      </w:r>
      <w:r w:rsidRPr="0089351A">
        <w:rPr>
          <w:rFonts w:asciiTheme="majorBidi" w:hAnsiTheme="majorBidi" w:cstheme="majorBidi"/>
          <w:sz w:val="24"/>
          <w:szCs w:val="24"/>
        </w:rPr>
        <w:t xml:space="preserve"> but we have been unable to find any </w:t>
      </w:r>
      <w:r w:rsidR="00520F76" w:rsidRPr="0089351A">
        <w:rPr>
          <w:rFonts w:asciiTheme="majorBidi" w:hAnsiTheme="majorBidi" w:cstheme="majorBidi"/>
          <w:sz w:val="24"/>
          <w:szCs w:val="24"/>
        </w:rPr>
        <w:t xml:space="preserve">local </w:t>
      </w:r>
      <w:r w:rsidR="004E7DC2" w:rsidRPr="0089351A">
        <w:rPr>
          <w:rFonts w:asciiTheme="majorBidi" w:hAnsiTheme="majorBidi" w:cstheme="majorBidi"/>
          <w:sz w:val="24"/>
          <w:szCs w:val="24"/>
        </w:rPr>
        <w:t>commentator arguing that it was</w:t>
      </w:r>
      <w:r w:rsidRPr="0089351A">
        <w:rPr>
          <w:rFonts w:asciiTheme="majorBidi" w:hAnsiTheme="majorBidi" w:cstheme="majorBidi"/>
          <w:sz w:val="24"/>
          <w:szCs w:val="24"/>
        </w:rPr>
        <w:t>.</w:t>
      </w:r>
      <w:proofErr w:type="gramEnd"/>
      <w:r w:rsidRPr="0089351A">
        <w:rPr>
          <w:rFonts w:asciiTheme="majorBidi" w:hAnsiTheme="majorBidi" w:cstheme="majorBidi"/>
          <w:sz w:val="24"/>
          <w:szCs w:val="24"/>
        </w:rPr>
        <w:t xml:space="preserve"> None of our </w:t>
      </w:r>
      <w:r w:rsidR="00C426AC" w:rsidRPr="0089351A">
        <w:rPr>
          <w:rFonts w:asciiTheme="majorBidi" w:hAnsiTheme="majorBidi" w:cstheme="majorBidi"/>
          <w:sz w:val="24"/>
          <w:szCs w:val="24"/>
        </w:rPr>
        <w:t xml:space="preserve">many </w:t>
      </w:r>
      <w:r w:rsidRPr="0089351A">
        <w:rPr>
          <w:rFonts w:asciiTheme="majorBidi" w:hAnsiTheme="majorBidi" w:cstheme="majorBidi"/>
          <w:sz w:val="24"/>
          <w:szCs w:val="24"/>
        </w:rPr>
        <w:t xml:space="preserve">respondents </w:t>
      </w:r>
      <w:r w:rsidR="00C426AC" w:rsidRPr="0089351A">
        <w:rPr>
          <w:rFonts w:asciiTheme="majorBidi" w:hAnsiTheme="majorBidi" w:cstheme="majorBidi"/>
          <w:sz w:val="24"/>
          <w:szCs w:val="24"/>
        </w:rPr>
        <w:t xml:space="preserve">drawn from different social </w:t>
      </w:r>
      <w:r w:rsidR="00C426AC" w:rsidRPr="0089351A">
        <w:rPr>
          <w:rFonts w:asciiTheme="majorBidi" w:hAnsiTheme="majorBidi" w:cstheme="majorBidi"/>
          <w:sz w:val="24"/>
          <w:szCs w:val="24"/>
        </w:rPr>
        <w:lastRenderedPageBreak/>
        <w:t xml:space="preserve">strata </w:t>
      </w:r>
      <w:r w:rsidRPr="0089351A">
        <w:rPr>
          <w:rFonts w:asciiTheme="majorBidi" w:hAnsiTheme="majorBidi" w:cstheme="majorBidi"/>
          <w:sz w:val="24"/>
          <w:szCs w:val="24"/>
        </w:rPr>
        <w:t xml:space="preserve">thought it so. </w:t>
      </w:r>
      <w:r w:rsidR="004E7DC2" w:rsidRPr="0089351A">
        <w:rPr>
          <w:rFonts w:asciiTheme="majorBidi" w:hAnsiTheme="majorBidi" w:cstheme="majorBidi"/>
          <w:sz w:val="24"/>
          <w:szCs w:val="24"/>
        </w:rPr>
        <w:t>Moreover, t</w:t>
      </w:r>
      <w:r w:rsidR="00AA1775" w:rsidRPr="0089351A">
        <w:rPr>
          <w:rFonts w:asciiTheme="majorBidi" w:hAnsiTheme="majorBidi" w:cstheme="majorBidi"/>
          <w:sz w:val="24"/>
          <w:szCs w:val="24"/>
        </w:rPr>
        <w:t>he Commission’s</w:t>
      </w:r>
      <w:r w:rsidR="006B5531" w:rsidRPr="0089351A">
        <w:rPr>
          <w:rFonts w:asciiTheme="majorBidi" w:hAnsiTheme="majorBidi" w:cstheme="majorBidi"/>
          <w:sz w:val="24"/>
          <w:szCs w:val="24"/>
        </w:rPr>
        <w:t xml:space="preserve"> recommend</w:t>
      </w:r>
      <w:r w:rsidR="004E7DC2" w:rsidRPr="0089351A">
        <w:rPr>
          <w:rFonts w:asciiTheme="majorBidi" w:hAnsiTheme="majorBidi" w:cstheme="majorBidi"/>
          <w:sz w:val="24"/>
          <w:szCs w:val="24"/>
        </w:rPr>
        <w:t>ations</w:t>
      </w:r>
      <w:r w:rsidR="006B5531" w:rsidRPr="0089351A">
        <w:rPr>
          <w:rFonts w:asciiTheme="majorBidi" w:hAnsiTheme="majorBidi" w:cstheme="majorBidi"/>
          <w:sz w:val="24"/>
          <w:szCs w:val="24"/>
        </w:rPr>
        <w:t xml:space="preserve"> had not been implemented at the time of writing in early 2015</w:t>
      </w:r>
      <w:r w:rsidR="003274A8" w:rsidRPr="0089351A">
        <w:rPr>
          <w:rFonts w:asciiTheme="majorBidi" w:hAnsiTheme="majorBidi" w:cstheme="majorBidi"/>
          <w:sz w:val="24"/>
          <w:szCs w:val="24"/>
        </w:rPr>
        <w:t xml:space="preserve"> despite pressure from </w:t>
      </w:r>
      <w:r w:rsidR="00987B89" w:rsidRPr="0089351A">
        <w:rPr>
          <w:rFonts w:asciiTheme="majorBidi" w:hAnsiTheme="majorBidi" w:cstheme="majorBidi"/>
          <w:sz w:val="24"/>
          <w:szCs w:val="24"/>
        </w:rPr>
        <w:t>opposition politicians</w:t>
      </w:r>
      <w:r w:rsidR="006441B9" w:rsidRPr="0089351A">
        <w:rPr>
          <w:rFonts w:asciiTheme="majorBidi" w:hAnsiTheme="majorBidi" w:cstheme="majorBidi"/>
          <w:sz w:val="24"/>
          <w:szCs w:val="24"/>
        </w:rPr>
        <w:t xml:space="preserve"> and a</w:t>
      </w:r>
      <w:r w:rsidR="00406009" w:rsidRPr="0089351A">
        <w:rPr>
          <w:rFonts w:asciiTheme="majorBidi" w:hAnsiTheme="majorBidi" w:cstheme="majorBidi"/>
          <w:sz w:val="24"/>
          <w:szCs w:val="24"/>
        </w:rPr>
        <w:t xml:space="preserve"> hunger strike by ex-Minister </w:t>
      </w:r>
      <w:proofErr w:type="spellStart"/>
      <w:r w:rsidR="00406009" w:rsidRPr="0089351A">
        <w:rPr>
          <w:rFonts w:asciiTheme="majorBidi" w:hAnsiTheme="majorBidi" w:cstheme="majorBidi"/>
          <w:sz w:val="24"/>
          <w:szCs w:val="24"/>
        </w:rPr>
        <w:t>Sylvio</w:t>
      </w:r>
      <w:proofErr w:type="spellEnd"/>
      <w:r w:rsidR="00406009" w:rsidRPr="0089351A">
        <w:rPr>
          <w:rFonts w:asciiTheme="majorBidi" w:hAnsiTheme="majorBidi" w:cstheme="majorBidi"/>
          <w:sz w:val="24"/>
          <w:szCs w:val="24"/>
        </w:rPr>
        <w:t xml:space="preserve"> Michel</w:t>
      </w:r>
      <w:r w:rsidR="00200C89" w:rsidRPr="0089351A">
        <w:rPr>
          <w:rFonts w:asciiTheme="majorBidi" w:hAnsiTheme="majorBidi" w:cstheme="majorBidi"/>
          <w:sz w:val="24"/>
          <w:szCs w:val="24"/>
        </w:rPr>
        <w:t>.</w:t>
      </w:r>
      <w:r w:rsidR="00F32F1C" w:rsidRPr="0089351A">
        <w:rPr>
          <w:rStyle w:val="FootnoteReference"/>
          <w:rFonts w:asciiTheme="majorBidi" w:hAnsiTheme="majorBidi" w:cstheme="majorBidi"/>
          <w:sz w:val="24"/>
          <w:szCs w:val="24"/>
        </w:rPr>
        <w:footnoteReference w:id="28"/>
      </w:r>
      <w:r w:rsidR="006B5531" w:rsidRPr="0089351A">
        <w:rPr>
          <w:rFonts w:asciiTheme="majorBidi" w:hAnsiTheme="majorBidi" w:cstheme="majorBidi"/>
          <w:sz w:val="24"/>
          <w:szCs w:val="24"/>
        </w:rPr>
        <w:t xml:space="preserve"> The Commission’s </w:t>
      </w:r>
      <w:r w:rsidR="00ED5C24" w:rsidRPr="0089351A">
        <w:rPr>
          <w:rFonts w:asciiTheme="majorBidi" w:hAnsiTheme="majorBidi" w:cstheme="majorBidi"/>
          <w:sz w:val="24"/>
          <w:szCs w:val="24"/>
        </w:rPr>
        <w:t>ex-</w:t>
      </w:r>
      <w:r w:rsidR="004E7DC2" w:rsidRPr="0089351A">
        <w:rPr>
          <w:rFonts w:asciiTheme="majorBidi" w:hAnsiTheme="majorBidi" w:cstheme="majorBidi"/>
          <w:sz w:val="24"/>
          <w:szCs w:val="24"/>
        </w:rPr>
        <w:t>President drew attention to governmental inaction</w:t>
      </w:r>
      <w:r w:rsidR="006B5531" w:rsidRPr="0089351A">
        <w:rPr>
          <w:rFonts w:asciiTheme="majorBidi" w:hAnsiTheme="majorBidi" w:cstheme="majorBidi"/>
          <w:sz w:val="24"/>
          <w:szCs w:val="24"/>
        </w:rPr>
        <w:t xml:space="preserve"> in the island’s press in late summer </w:t>
      </w:r>
      <w:proofErr w:type="gramStart"/>
      <w:r w:rsidR="006B5531" w:rsidRPr="0089351A">
        <w:rPr>
          <w:rFonts w:asciiTheme="majorBidi" w:hAnsiTheme="majorBidi" w:cstheme="majorBidi"/>
          <w:sz w:val="24"/>
          <w:szCs w:val="24"/>
        </w:rPr>
        <w:t>2014,</w:t>
      </w:r>
      <w:proofErr w:type="gramEnd"/>
      <w:r w:rsidR="006B5531" w:rsidRPr="0089351A">
        <w:rPr>
          <w:rFonts w:asciiTheme="majorBidi" w:hAnsiTheme="majorBidi" w:cstheme="majorBidi"/>
          <w:sz w:val="24"/>
          <w:szCs w:val="24"/>
        </w:rPr>
        <w:t xml:space="preserve"> expressing scepticism that implementation would </w:t>
      </w:r>
      <w:r w:rsidR="007D223C" w:rsidRPr="0089351A">
        <w:rPr>
          <w:rFonts w:asciiTheme="majorBidi" w:hAnsiTheme="majorBidi" w:cstheme="majorBidi"/>
          <w:sz w:val="24"/>
          <w:szCs w:val="24"/>
        </w:rPr>
        <w:t xml:space="preserve">ever </w:t>
      </w:r>
      <w:r w:rsidR="006B5531" w:rsidRPr="0089351A">
        <w:rPr>
          <w:rFonts w:asciiTheme="majorBidi" w:hAnsiTheme="majorBidi" w:cstheme="majorBidi"/>
          <w:sz w:val="24"/>
          <w:szCs w:val="24"/>
        </w:rPr>
        <w:t>occur</w:t>
      </w:r>
      <w:r w:rsidR="006C0E1D" w:rsidRPr="0089351A">
        <w:rPr>
          <w:rFonts w:asciiTheme="majorBidi" w:hAnsiTheme="majorBidi" w:cstheme="majorBidi"/>
          <w:sz w:val="24"/>
          <w:szCs w:val="24"/>
        </w:rPr>
        <w:t xml:space="preserve">. The </w:t>
      </w:r>
      <w:r w:rsidR="004E7DC2" w:rsidRPr="0089351A">
        <w:rPr>
          <w:rFonts w:asciiTheme="majorBidi" w:hAnsiTheme="majorBidi" w:cstheme="majorBidi"/>
          <w:sz w:val="24"/>
          <w:szCs w:val="24"/>
        </w:rPr>
        <w:t>interviewing journalist</w:t>
      </w:r>
      <w:r w:rsidR="006C0E1D" w:rsidRPr="0089351A">
        <w:rPr>
          <w:rFonts w:asciiTheme="majorBidi" w:hAnsiTheme="majorBidi" w:cstheme="majorBidi"/>
          <w:sz w:val="24"/>
          <w:szCs w:val="24"/>
        </w:rPr>
        <w:t xml:space="preserve"> </w:t>
      </w:r>
      <w:r w:rsidR="006B5531" w:rsidRPr="0089351A">
        <w:rPr>
          <w:rFonts w:asciiTheme="majorBidi" w:hAnsiTheme="majorBidi" w:cstheme="majorBidi"/>
          <w:sz w:val="24"/>
          <w:szCs w:val="24"/>
        </w:rPr>
        <w:t xml:space="preserve">described the results of the Commission’s work </w:t>
      </w:r>
      <w:r w:rsidR="002F50B9" w:rsidRPr="0089351A">
        <w:rPr>
          <w:rFonts w:asciiTheme="majorBidi" w:hAnsiTheme="majorBidi" w:cstheme="majorBidi"/>
          <w:sz w:val="24"/>
          <w:szCs w:val="24"/>
        </w:rPr>
        <w:t xml:space="preserve">overall </w:t>
      </w:r>
      <w:r w:rsidR="00C53F47" w:rsidRPr="0089351A">
        <w:rPr>
          <w:rFonts w:asciiTheme="majorBidi" w:hAnsiTheme="majorBidi" w:cstheme="majorBidi"/>
          <w:sz w:val="24"/>
          <w:szCs w:val="24"/>
        </w:rPr>
        <w:t xml:space="preserve">as ‘almost nil’ (--‘quasi </w:t>
      </w:r>
      <w:proofErr w:type="spellStart"/>
      <w:r w:rsidR="00C53F47" w:rsidRPr="0089351A">
        <w:rPr>
          <w:rFonts w:asciiTheme="majorBidi" w:hAnsiTheme="majorBidi" w:cstheme="majorBidi"/>
          <w:sz w:val="24"/>
          <w:szCs w:val="24"/>
        </w:rPr>
        <w:t>nul</w:t>
      </w:r>
      <w:proofErr w:type="spellEnd"/>
      <w:r w:rsidR="00C53F47" w:rsidRPr="0089351A">
        <w:rPr>
          <w:rFonts w:asciiTheme="majorBidi" w:hAnsiTheme="majorBidi" w:cstheme="majorBidi"/>
          <w:sz w:val="24"/>
          <w:szCs w:val="24"/>
        </w:rPr>
        <w:t>’</w:t>
      </w:r>
      <w:r w:rsidR="00DE2D87" w:rsidRPr="0089351A">
        <w:rPr>
          <w:rFonts w:asciiTheme="majorBidi" w:hAnsiTheme="majorBidi" w:cstheme="majorBidi"/>
          <w:sz w:val="24"/>
          <w:szCs w:val="24"/>
        </w:rPr>
        <w:t>)</w:t>
      </w:r>
      <w:r w:rsidR="00200C89" w:rsidRPr="0089351A">
        <w:rPr>
          <w:rFonts w:asciiTheme="majorBidi" w:hAnsiTheme="majorBidi" w:cstheme="majorBidi"/>
          <w:sz w:val="24"/>
          <w:szCs w:val="24"/>
        </w:rPr>
        <w:t>.</w:t>
      </w:r>
      <w:r w:rsidR="00DE2D87" w:rsidRPr="0089351A">
        <w:rPr>
          <w:rStyle w:val="FootnoteReference"/>
          <w:rFonts w:asciiTheme="majorBidi" w:hAnsiTheme="majorBidi" w:cstheme="majorBidi"/>
          <w:sz w:val="24"/>
          <w:szCs w:val="24"/>
        </w:rPr>
        <w:footnoteReference w:id="29"/>
      </w:r>
      <w:r w:rsidR="006B5531" w:rsidRPr="0089351A">
        <w:rPr>
          <w:rFonts w:asciiTheme="majorBidi" w:hAnsiTheme="majorBidi" w:cstheme="majorBidi"/>
          <w:sz w:val="24"/>
          <w:szCs w:val="24"/>
        </w:rPr>
        <w:t xml:space="preserve"> </w:t>
      </w:r>
      <w:r w:rsidR="0003472D" w:rsidRPr="0089351A">
        <w:rPr>
          <w:rFonts w:asciiTheme="majorBidi" w:hAnsiTheme="majorBidi" w:cstheme="majorBidi"/>
          <w:sz w:val="24"/>
          <w:szCs w:val="24"/>
        </w:rPr>
        <w:t>This lack of governmental action</w:t>
      </w:r>
      <w:r w:rsidR="005D59EB" w:rsidRPr="0089351A">
        <w:rPr>
          <w:rFonts w:asciiTheme="majorBidi" w:hAnsiTheme="majorBidi" w:cstheme="majorBidi"/>
          <w:sz w:val="24"/>
          <w:szCs w:val="24"/>
        </w:rPr>
        <w:t xml:space="preserve"> does not</w:t>
      </w:r>
      <w:r w:rsidR="00B92AB8" w:rsidRPr="0089351A">
        <w:rPr>
          <w:rFonts w:asciiTheme="majorBidi" w:hAnsiTheme="majorBidi" w:cstheme="majorBidi"/>
          <w:sz w:val="24"/>
          <w:szCs w:val="24"/>
        </w:rPr>
        <w:t xml:space="preserve"> preclude certain achievements</w:t>
      </w:r>
      <w:r w:rsidR="007D223C" w:rsidRPr="0089351A">
        <w:rPr>
          <w:rFonts w:asciiTheme="majorBidi" w:hAnsiTheme="majorBidi" w:cstheme="majorBidi"/>
          <w:sz w:val="24"/>
          <w:szCs w:val="24"/>
        </w:rPr>
        <w:t>. First among these c</w:t>
      </w:r>
      <w:r w:rsidR="006A660A" w:rsidRPr="0089351A">
        <w:rPr>
          <w:rFonts w:asciiTheme="majorBidi" w:hAnsiTheme="majorBidi" w:cstheme="majorBidi"/>
          <w:sz w:val="24"/>
          <w:szCs w:val="24"/>
        </w:rPr>
        <w:t xml:space="preserve">ould have been a </w:t>
      </w:r>
      <w:r w:rsidR="004F534A" w:rsidRPr="0089351A">
        <w:rPr>
          <w:rFonts w:asciiTheme="majorBidi" w:hAnsiTheme="majorBidi" w:cstheme="majorBidi"/>
          <w:sz w:val="24"/>
          <w:szCs w:val="24"/>
        </w:rPr>
        <w:t xml:space="preserve">convincing </w:t>
      </w:r>
      <w:r w:rsidR="006A660A" w:rsidRPr="0089351A">
        <w:rPr>
          <w:rFonts w:asciiTheme="majorBidi" w:hAnsiTheme="majorBidi" w:cstheme="majorBidi"/>
          <w:sz w:val="24"/>
          <w:szCs w:val="24"/>
        </w:rPr>
        <w:t>version of Mauritian history that could serve as a reference point to Mauritians in c</w:t>
      </w:r>
      <w:r w:rsidR="00A55703" w:rsidRPr="0089351A">
        <w:rPr>
          <w:rFonts w:asciiTheme="majorBidi" w:hAnsiTheme="majorBidi" w:cstheme="majorBidi"/>
          <w:sz w:val="24"/>
          <w:szCs w:val="24"/>
        </w:rPr>
        <w:t>urrent p</w:t>
      </w:r>
      <w:r w:rsidR="004E7DC2" w:rsidRPr="0089351A">
        <w:rPr>
          <w:rFonts w:asciiTheme="majorBidi" w:hAnsiTheme="majorBidi" w:cstheme="majorBidi"/>
          <w:sz w:val="24"/>
          <w:szCs w:val="24"/>
        </w:rPr>
        <w:t xml:space="preserve">olitical debate. </w:t>
      </w:r>
      <w:r w:rsidR="000A5A68" w:rsidRPr="0089351A">
        <w:rPr>
          <w:rFonts w:asciiTheme="majorBidi" w:hAnsiTheme="majorBidi" w:cstheme="majorBidi"/>
          <w:sz w:val="24"/>
          <w:szCs w:val="24"/>
        </w:rPr>
        <w:t>I</w:t>
      </w:r>
      <w:r w:rsidR="00A55703" w:rsidRPr="0089351A">
        <w:rPr>
          <w:rFonts w:asciiTheme="majorBidi" w:hAnsiTheme="majorBidi" w:cstheme="majorBidi"/>
          <w:sz w:val="24"/>
          <w:szCs w:val="24"/>
        </w:rPr>
        <w:t xml:space="preserve">t could also </w:t>
      </w:r>
      <w:r w:rsidR="00CE359C" w:rsidRPr="0089351A">
        <w:rPr>
          <w:rFonts w:asciiTheme="majorBidi" w:hAnsiTheme="majorBidi" w:cstheme="majorBidi"/>
          <w:sz w:val="24"/>
          <w:szCs w:val="24"/>
        </w:rPr>
        <w:t>empirically support</w:t>
      </w:r>
      <w:r w:rsidR="006A660A" w:rsidRPr="0089351A">
        <w:rPr>
          <w:rFonts w:asciiTheme="majorBidi" w:hAnsiTheme="majorBidi" w:cstheme="majorBidi"/>
          <w:sz w:val="24"/>
          <w:szCs w:val="24"/>
        </w:rPr>
        <w:t xml:space="preserve"> dem</w:t>
      </w:r>
      <w:r w:rsidR="004E7DC2" w:rsidRPr="0089351A">
        <w:rPr>
          <w:rFonts w:asciiTheme="majorBidi" w:hAnsiTheme="majorBidi" w:cstheme="majorBidi"/>
          <w:sz w:val="24"/>
          <w:szCs w:val="24"/>
        </w:rPr>
        <w:t>ands for reparations and</w:t>
      </w:r>
      <w:r w:rsidR="006A660A" w:rsidRPr="0089351A">
        <w:rPr>
          <w:rFonts w:asciiTheme="majorBidi" w:hAnsiTheme="majorBidi" w:cstheme="majorBidi"/>
          <w:sz w:val="24"/>
          <w:szCs w:val="24"/>
        </w:rPr>
        <w:t xml:space="preserve"> legal cases to be pursued </w:t>
      </w:r>
      <w:r w:rsidR="00A55703" w:rsidRPr="0089351A">
        <w:rPr>
          <w:rFonts w:asciiTheme="majorBidi" w:hAnsiTheme="majorBidi" w:cstheme="majorBidi"/>
          <w:sz w:val="24"/>
          <w:szCs w:val="24"/>
        </w:rPr>
        <w:t xml:space="preserve">with the ex-imperial powers and with companies </w:t>
      </w:r>
      <w:r w:rsidR="006A660A" w:rsidRPr="0089351A">
        <w:rPr>
          <w:rFonts w:asciiTheme="majorBidi" w:hAnsiTheme="majorBidi" w:cstheme="majorBidi"/>
          <w:sz w:val="24"/>
          <w:szCs w:val="24"/>
        </w:rPr>
        <w:t>as Croucher and Michel</w:t>
      </w:r>
      <w:r w:rsidR="00987B89" w:rsidRPr="0089351A">
        <w:rPr>
          <w:rFonts w:asciiTheme="majorBidi" w:hAnsiTheme="majorBidi" w:cstheme="majorBidi"/>
          <w:sz w:val="24"/>
          <w:szCs w:val="24"/>
        </w:rPr>
        <w:t xml:space="preserve"> argue remains possible</w:t>
      </w:r>
      <w:r w:rsidR="00200C89" w:rsidRPr="0089351A">
        <w:rPr>
          <w:rFonts w:asciiTheme="majorBidi" w:hAnsiTheme="majorBidi" w:cstheme="majorBidi"/>
          <w:sz w:val="24"/>
          <w:szCs w:val="24"/>
        </w:rPr>
        <w:t>.</w:t>
      </w:r>
      <w:r w:rsidR="00DE2D87" w:rsidRPr="0089351A">
        <w:rPr>
          <w:rStyle w:val="FootnoteReference"/>
          <w:rFonts w:asciiTheme="majorBidi" w:hAnsiTheme="majorBidi" w:cstheme="majorBidi"/>
          <w:sz w:val="24"/>
          <w:szCs w:val="24"/>
        </w:rPr>
        <w:footnoteReference w:id="30"/>
      </w:r>
      <w:r w:rsidR="0037391F" w:rsidRPr="0089351A">
        <w:rPr>
          <w:rFonts w:asciiTheme="majorBidi" w:hAnsiTheme="majorBidi" w:cstheme="majorBidi"/>
          <w:sz w:val="24"/>
          <w:szCs w:val="24"/>
        </w:rPr>
        <w:t xml:space="preserve">  </w:t>
      </w:r>
      <w:r w:rsidR="006441B9" w:rsidRPr="0089351A">
        <w:rPr>
          <w:rFonts w:asciiTheme="majorBidi" w:hAnsiTheme="majorBidi" w:cstheme="majorBidi"/>
          <w:sz w:val="24"/>
          <w:szCs w:val="24"/>
        </w:rPr>
        <w:t>Prima facie a</w:t>
      </w:r>
      <w:r w:rsidR="00ED5C24" w:rsidRPr="0089351A">
        <w:rPr>
          <w:rFonts w:asciiTheme="majorBidi" w:hAnsiTheme="majorBidi" w:cstheme="majorBidi"/>
          <w:sz w:val="24"/>
          <w:szCs w:val="24"/>
        </w:rPr>
        <w:t xml:space="preserve">rchival evidence of some crimes exists and certain offences are not time-limited </w:t>
      </w:r>
      <w:r w:rsidR="006267DA" w:rsidRPr="0089351A">
        <w:rPr>
          <w:rFonts w:asciiTheme="majorBidi" w:hAnsiTheme="majorBidi" w:cstheme="majorBidi"/>
          <w:sz w:val="24"/>
          <w:szCs w:val="24"/>
        </w:rPr>
        <w:t xml:space="preserve">under </w:t>
      </w:r>
      <w:r w:rsidR="00ED5C24" w:rsidRPr="0089351A">
        <w:rPr>
          <w:rFonts w:asciiTheme="majorBidi" w:hAnsiTheme="majorBidi" w:cstheme="majorBidi"/>
          <w:sz w:val="24"/>
          <w:szCs w:val="24"/>
        </w:rPr>
        <w:t>French and English law</w:t>
      </w:r>
      <w:r w:rsidR="00200C89" w:rsidRPr="0089351A">
        <w:rPr>
          <w:rFonts w:asciiTheme="majorBidi" w:hAnsiTheme="majorBidi" w:cstheme="majorBidi"/>
          <w:sz w:val="24"/>
          <w:szCs w:val="24"/>
        </w:rPr>
        <w:t>.</w:t>
      </w:r>
      <w:r w:rsidR="00987B89" w:rsidRPr="0089351A">
        <w:rPr>
          <w:rStyle w:val="FootnoteReference"/>
          <w:rFonts w:asciiTheme="majorBidi" w:hAnsiTheme="majorBidi" w:cstheme="majorBidi"/>
          <w:sz w:val="24"/>
          <w:szCs w:val="24"/>
        </w:rPr>
        <w:footnoteReference w:id="31"/>
      </w:r>
      <w:r w:rsidR="00ED5C24" w:rsidRPr="0089351A">
        <w:rPr>
          <w:rFonts w:asciiTheme="majorBidi" w:hAnsiTheme="majorBidi" w:cstheme="majorBidi"/>
          <w:sz w:val="24"/>
          <w:szCs w:val="24"/>
        </w:rPr>
        <w:t xml:space="preserve"> </w:t>
      </w:r>
      <w:r w:rsidR="000A5A68" w:rsidRPr="0089351A">
        <w:rPr>
          <w:rFonts w:asciiTheme="majorBidi" w:hAnsiTheme="majorBidi" w:cstheme="majorBidi"/>
          <w:sz w:val="24"/>
          <w:szCs w:val="24"/>
        </w:rPr>
        <w:t>It</w:t>
      </w:r>
      <w:r w:rsidR="0037391F" w:rsidRPr="0089351A">
        <w:rPr>
          <w:rFonts w:asciiTheme="majorBidi" w:hAnsiTheme="majorBidi" w:cstheme="majorBidi"/>
          <w:sz w:val="24"/>
          <w:szCs w:val="24"/>
        </w:rPr>
        <w:t xml:space="preserve"> could</w:t>
      </w:r>
      <w:r w:rsidR="000A5A68" w:rsidRPr="0089351A">
        <w:rPr>
          <w:rFonts w:asciiTheme="majorBidi" w:hAnsiTheme="majorBidi" w:cstheme="majorBidi"/>
          <w:sz w:val="24"/>
          <w:szCs w:val="24"/>
        </w:rPr>
        <w:t xml:space="preserve"> also</w:t>
      </w:r>
      <w:r w:rsidR="0037391F" w:rsidRPr="0089351A">
        <w:rPr>
          <w:rFonts w:asciiTheme="majorBidi" w:hAnsiTheme="majorBidi" w:cstheme="majorBidi"/>
          <w:sz w:val="24"/>
          <w:szCs w:val="24"/>
        </w:rPr>
        <w:t xml:space="preserve"> help resol</w:t>
      </w:r>
      <w:r w:rsidR="004E7DC2" w:rsidRPr="0089351A">
        <w:rPr>
          <w:rFonts w:asciiTheme="majorBidi" w:hAnsiTheme="majorBidi" w:cstheme="majorBidi"/>
          <w:sz w:val="24"/>
          <w:szCs w:val="24"/>
        </w:rPr>
        <w:t xml:space="preserve">ve legal claims for ‘lost’ land </w:t>
      </w:r>
      <w:r w:rsidR="000A5A68" w:rsidRPr="0089351A">
        <w:rPr>
          <w:rFonts w:asciiTheme="majorBidi" w:hAnsiTheme="majorBidi" w:cstheme="majorBidi"/>
          <w:sz w:val="24"/>
          <w:szCs w:val="24"/>
        </w:rPr>
        <w:t>and</w:t>
      </w:r>
      <w:r w:rsidR="0003472D" w:rsidRPr="0089351A">
        <w:rPr>
          <w:rFonts w:asciiTheme="majorBidi" w:hAnsiTheme="majorBidi" w:cstheme="majorBidi"/>
          <w:sz w:val="24"/>
          <w:szCs w:val="24"/>
        </w:rPr>
        <w:t xml:space="preserve"> memorialise </w:t>
      </w:r>
      <w:r w:rsidR="000A5A68" w:rsidRPr="0089351A">
        <w:rPr>
          <w:rFonts w:asciiTheme="majorBidi" w:hAnsiTheme="majorBidi" w:cstheme="majorBidi"/>
          <w:sz w:val="24"/>
          <w:szCs w:val="24"/>
        </w:rPr>
        <w:t>slavery’s history</w:t>
      </w:r>
      <w:r w:rsidR="0003472D" w:rsidRPr="0089351A">
        <w:rPr>
          <w:rFonts w:asciiTheme="majorBidi" w:hAnsiTheme="majorBidi" w:cstheme="majorBidi"/>
          <w:sz w:val="24"/>
          <w:szCs w:val="24"/>
        </w:rPr>
        <w:t xml:space="preserve">. </w:t>
      </w:r>
      <w:r w:rsidR="004E7DC2" w:rsidRPr="0089351A">
        <w:rPr>
          <w:rFonts w:asciiTheme="majorBidi" w:hAnsiTheme="majorBidi" w:cstheme="majorBidi"/>
          <w:sz w:val="24"/>
          <w:szCs w:val="24"/>
        </w:rPr>
        <w:t xml:space="preserve">  </w:t>
      </w:r>
      <w:r w:rsidR="007D223C" w:rsidRPr="0089351A">
        <w:rPr>
          <w:rFonts w:asciiTheme="majorBidi" w:hAnsiTheme="majorBidi" w:cstheme="majorBidi"/>
          <w:sz w:val="24"/>
          <w:szCs w:val="24"/>
        </w:rPr>
        <w:t xml:space="preserve">  </w:t>
      </w:r>
      <w:r w:rsidR="004C61F7" w:rsidRPr="0089351A">
        <w:rPr>
          <w:rFonts w:asciiTheme="majorBidi" w:hAnsiTheme="majorBidi" w:cstheme="majorBidi"/>
          <w:sz w:val="24"/>
          <w:szCs w:val="24"/>
        </w:rPr>
        <w:t xml:space="preserve"> </w:t>
      </w:r>
      <w:r w:rsidR="00E126CB" w:rsidRPr="0089351A">
        <w:rPr>
          <w:rFonts w:asciiTheme="majorBidi" w:hAnsiTheme="majorBidi" w:cstheme="majorBidi"/>
          <w:sz w:val="24"/>
          <w:szCs w:val="24"/>
        </w:rPr>
        <w:t xml:space="preserve">  </w:t>
      </w:r>
      <w:r w:rsidR="0037391F" w:rsidRPr="0089351A">
        <w:rPr>
          <w:rFonts w:asciiTheme="majorBidi" w:hAnsiTheme="majorBidi" w:cstheme="majorBidi"/>
          <w:sz w:val="24"/>
          <w:szCs w:val="24"/>
        </w:rPr>
        <w:t xml:space="preserve"> </w:t>
      </w:r>
      <w:r w:rsidR="006A660A" w:rsidRPr="0089351A">
        <w:rPr>
          <w:rFonts w:asciiTheme="majorBidi" w:hAnsiTheme="majorBidi" w:cstheme="majorBidi"/>
          <w:sz w:val="24"/>
          <w:szCs w:val="24"/>
        </w:rPr>
        <w:t xml:space="preserve"> </w:t>
      </w:r>
      <w:r w:rsidR="006C0E1D" w:rsidRPr="0089351A">
        <w:rPr>
          <w:rFonts w:asciiTheme="majorBidi" w:hAnsiTheme="majorBidi" w:cstheme="majorBidi"/>
          <w:sz w:val="24"/>
          <w:szCs w:val="24"/>
        </w:rPr>
        <w:t xml:space="preserve">  </w:t>
      </w:r>
    </w:p>
    <w:p w:rsidR="00F33B4C" w:rsidRPr="0089351A" w:rsidRDefault="004F534A"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Criteria for </w:t>
      </w:r>
      <w:r w:rsidR="004E7DC2" w:rsidRPr="0089351A">
        <w:rPr>
          <w:rFonts w:asciiTheme="majorBidi" w:hAnsiTheme="majorBidi" w:cstheme="majorBidi"/>
          <w:sz w:val="24"/>
          <w:szCs w:val="24"/>
        </w:rPr>
        <w:t xml:space="preserve">Truth Commission </w:t>
      </w:r>
      <w:r w:rsidRPr="0089351A">
        <w:rPr>
          <w:rFonts w:asciiTheme="majorBidi" w:hAnsiTheme="majorBidi" w:cstheme="majorBidi"/>
          <w:sz w:val="24"/>
          <w:szCs w:val="24"/>
        </w:rPr>
        <w:t>success h</w:t>
      </w:r>
      <w:r w:rsidR="00E44276" w:rsidRPr="0089351A">
        <w:rPr>
          <w:rFonts w:asciiTheme="majorBidi" w:hAnsiTheme="majorBidi" w:cstheme="majorBidi"/>
          <w:sz w:val="24"/>
          <w:szCs w:val="24"/>
        </w:rPr>
        <w:t>ave been discussed by</w:t>
      </w:r>
      <w:r w:rsidRPr="0089351A">
        <w:rPr>
          <w:rFonts w:asciiTheme="majorBidi" w:hAnsiTheme="majorBidi" w:cstheme="majorBidi"/>
          <w:sz w:val="24"/>
          <w:szCs w:val="24"/>
        </w:rPr>
        <w:t xml:space="preserve"> transitional justice</w:t>
      </w:r>
      <w:r w:rsidR="00E44276" w:rsidRPr="0089351A">
        <w:rPr>
          <w:rFonts w:asciiTheme="majorBidi" w:hAnsiTheme="majorBidi" w:cstheme="majorBidi"/>
          <w:sz w:val="24"/>
          <w:szCs w:val="24"/>
        </w:rPr>
        <w:t xml:space="preserve"> experts</w:t>
      </w:r>
      <w:r w:rsidR="006441B9" w:rsidRPr="0089351A">
        <w:rPr>
          <w:rFonts w:asciiTheme="majorBidi" w:hAnsiTheme="majorBidi" w:cstheme="majorBidi"/>
          <w:sz w:val="24"/>
          <w:szCs w:val="24"/>
        </w:rPr>
        <w:t xml:space="preserve"> and we therefore use</w:t>
      </w:r>
      <w:r w:rsidR="00C755AF" w:rsidRPr="0089351A">
        <w:rPr>
          <w:rFonts w:asciiTheme="majorBidi" w:hAnsiTheme="majorBidi" w:cstheme="majorBidi"/>
          <w:sz w:val="24"/>
          <w:szCs w:val="24"/>
        </w:rPr>
        <w:t xml:space="preserve"> an</w:t>
      </w:r>
      <w:r w:rsidR="00CF02E4" w:rsidRPr="0089351A">
        <w:rPr>
          <w:rFonts w:asciiTheme="majorBidi" w:hAnsiTheme="majorBidi" w:cstheme="majorBidi"/>
          <w:sz w:val="24"/>
          <w:szCs w:val="24"/>
        </w:rPr>
        <w:t xml:space="preserve"> ou</w:t>
      </w:r>
      <w:r w:rsidR="00C755AF" w:rsidRPr="0089351A">
        <w:rPr>
          <w:rFonts w:asciiTheme="majorBidi" w:hAnsiTheme="majorBidi" w:cstheme="majorBidi"/>
          <w:sz w:val="24"/>
          <w:szCs w:val="24"/>
        </w:rPr>
        <w:t>ter analytic frame</w:t>
      </w:r>
      <w:r w:rsidR="00CF02E4" w:rsidRPr="0089351A">
        <w:rPr>
          <w:rFonts w:asciiTheme="majorBidi" w:hAnsiTheme="majorBidi" w:cstheme="majorBidi"/>
          <w:sz w:val="24"/>
          <w:szCs w:val="24"/>
        </w:rPr>
        <w:t xml:space="preserve"> </w:t>
      </w:r>
      <w:r w:rsidR="006441B9" w:rsidRPr="0089351A">
        <w:rPr>
          <w:rFonts w:asciiTheme="majorBidi" w:hAnsiTheme="majorBidi" w:cstheme="majorBidi"/>
          <w:sz w:val="24"/>
          <w:szCs w:val="24"/>
        </w:rPr>
        <w:t xml:space="preserve">drawn </w:t>
      </w:r>
      <w:r w:rsidR="00CF02E4" w:rsidRPr="0089351A">
        <w:rPr>
          <w:rFonts w:asciiTheme="majorBidi" w:hAnsiTheme="majorBidi" w:cstheme="majorBidi"/>
          <w:sz w:val="24"/>
          <w:szCs w:val="24"/>
        </w:rPr>
        <w:t>f</w:t>
      </w:r>
      <w:r w:rsidR="007D223C" w:rsidRPr="0089351A">
        <w:rPr>
          <w:rFonts w:asciiTheme="majorBidi" w:hAnsiTheme="majorBidi" w:cstheme="majorBidi"/>
          <w:sz w:val="24"/>
          <w:szCs w:val="24"/>
        </w:rPr>
        <w:t>rom this</w:t>
      </w:r>
      <w:r w:rsidR="002F50B9" w:rsidRPr="0089351A">
        <w:rPr>
          <w:rFonts w:asciiTheme="majorBidi" w:hAnsiTheme="majorBidi" w:cstheme="majorBidi"/>
          <w:sz w:val="24"/>
          <w:szCs w:val="24"/>
        </w:rPr>
        <w:t xml:space="preserve"> literature. </w:t>
      </w:r>
      <w:r w:rsidR="00AA1775" w:rsidRPr="0089351A">
        <w:rPr>
          <w:rFonts w:asciiTheme="majorBidi" w:hAnsiTheme="majorBidi" w:cstheme="majorBidi"/>
          <w:sz w:val="24"/>
          <w:szCs w:val="24"/>
        </w:rPr>
        <w:t>We evaluate the Commission’</w:t>
      </w:r>
      <w:r w:rsidR="001B0500" w:rsidRPr="0089351A">
        <w:rPr>
          <w:rFonts w:asciiTheme="majorBidi" w:hAnsiTheme="majorBidi" w:cstheme="majorBidi"/>
          <w:sz w:val="24"/>
          <w:szCs w:val="24"/>
        </w:rPr>
        <w:t>s origins and outcomes</w:t>
      </w:r>
      <w:r w:rsidR="00AA1775" w:rsidRPr="0089351A">
        <w:rPr>
          <w:rFonts w:asciiTheme="majorBidi" w:hAnsiTheme="majorBidi" w:cstheme="majorBidi"/>
          <w:sz w:val="24"/>
          <w:szCs w:val="24"/>
        </w:rPr>
        <w:t xml:space="preserve"> using </w:t>
      </w:r>
      <w:r w:rsidR="00DE2D87" w:rsidRPr="0089351A">
        <w:rPr>
          <w:rFonts w:asciiTheme="majorBidi" w:hAnsiTheme="majorBidi" w:cstheme="majorBidi"/>
          <w:sz w:val="24"/>
          <w:szCs w:val="24"/>
        </w:rPr>
        <w:t>Gibson’s framework</w:t>
      </w:r>
      <w:r w:rsidR="00987B89" w:rsidRPr="0089351A">
        <w:rPr>
          <w:rFonts w:asciiTheme="majorBidi" w:hAnsiTheme="majorBidi" w:cstheme="majorBidi"/>
          <w:sz w:val="24"/>
          <w:szCs w:val="24"/>
        </w:rPr>
        <w:t xml:space="preserve"> based on legitimacy theory</w:t>
      </w:r>
      <w:r w:rsidR="00200C89" w:rsidRPr="0089351A">
        <w:rPr>
          <w:rFonts w:asciiTheme="majorBidi" w:hAnsiTheme="majorBidi" w:cstheme="majorBidi"/>
          <w:sz w:val="24"/>
          <w:szCs w:val="24"/>
        </w:rPr>
        <w:t>.</w:t>
      </w:r>
      <w:r w:rsidR="00DE2D87" w:rsidRPr="0089351A">
        <w:rPr>
          <w:rStyle w:val="FootnoteReference"/>
          <w:rFonts w:asciiTheme="majorBidi" w:hAnsiTheme="majorBidi" w:cstheme="majorBidi"/>
          <w:sz w:val="24"/>
          <w:szCs w:val="24"/>
        </w:rPr>
        <w:footnoteReference w:id="32"/>
      </w:r>
      <w:r w:rsidR="0045376B" w:rsidRPr="0089351A">
        <w:rPr>
          <w:rFonts w:asciiTheme="majorBidi" w:hAnsiTheme="majorBidi" w:cstheme="majorBidi"/>
          <w:sz w:val="24"/>
          <w:szCs w:val="24"/>
        </w:rPr>
        <w:t xml:space="preserve"> </w:t>
      </w:r>
      <w:r w:rsidR="002F50B9" w:rsidRPr="0089351A">
        <w:rPr>
          <w:rFonts w:asciiTheme="majorBidi" w:hAnsiTheme="majorBidi" w:cstheme="majorBidi"/>
          <w:sz w:val="24"/>
          <w:szCs w:val="24"/>
        </w:rPr>
        <w:t xml:space="preserve">We do so </w:t>
      </w:r>
      <w:r w:rsidR="003D0620" w:rsidRPr="0089351A">
        <w:rPr>
          <w:rFonts w:asciiTheme="majorBidi" w:hAnsiTheme="majorBidi" w:cstheme="majorBidi"/>
          <w:sz w:val="24"/>
          <w:szCs w:val="24"/>
        </w:rPr>
        <w:t xml:space="preserve">even though the Mauritian </w:t>
      </w:r>
      <w:r w:rsidR="004E7DC2" w:rsidRPr="0089351A">
        <w:rPr>
          <w:rFonts w:asciiTheme="majorBidi" w:hAnsiTheme="majorBidi" w:cstheme="majorBidi"/>
          <w:sz w:val="24"/>
          <w:szCs w:val="24"/>
        </w:rPr>
        <w:t xml:space="preserve">case is clearly not </w:t>
      </w:r>
      <w:r w:rsidR="00E44276" w:rsidRPr="0089351A">
        <w:rPr>
          <w:rFonts w:asciiTheme="majorBidi" w:hAnsiTheme="majorBidi" w:cstheme="majorBidi"/>
          <w:sz w:val="24"/>
          <w:szCs w:val="24"/>
        </w:rPr>
        <w:t>‘transition</w:t>
      </w:r>
      <w:r w:rsidR="004E7DC2" w:rsidRPr="0089351A">
        <w:rPr>
          <w:rFonts w:asciiTheme="majorBidi" w:hAnsiTheme="majorBidi" w:cstheme="majorBidi"/>
          <w:sz w:val="24"/>
          <w:szCs w:val="24"/>
        </w:rPr>
        <w:t>al</w:t>
      </w:r>
      <w:r w:rsidR="00E44276" w:rsidRPr="0089351A">
        <w:rPr>
          <w:rFonts w:asciiTheme="majorBidi" w:hAnsiTheme="majorBidi" w:cstheme="majorBidi"/>
          <w:sz w:val="24"/>
          <w:szCs w:val="24"/>
        </w:rPr>
        <w:t>’</w:t>
      </w:r>
      <w:r w:rsidR="002F50B9" w:rsidRPr="0089351A">
        <w:rPr>
          <w:rFonts w:asciiTheme="majorBidi" w:hAnsiTheme="majorBidi" w:cstheme="majorBidi"/>
          <w:sz w:val="24"/>
          <w:szCs w:val="24"/>
        </w:rPr>
        <w:t xml:space="preserve">. </w:t>
      </w:r>
      <w:r w:rsidR="00C264B3" w:rsidRPr="0089351A">
        <w:rPr>
          <w:rFonts w:asciiTheme="majorBidi" w:hAnsiTheme="majorBidi" w:cstheme="majorBidi"/>
          <w:sz w:val="24"/>
          <w:szCs w:val="24"/>
        </w:rPr>
        <w:t>A</w:t>
      </w:r>
      <w:r w:rsidR="009B2DF2" w:rsidRPr="0089351A">
        <w:rPr>
          <w:rFonts w:asciiTheme="majorBidi" w:hAnsiTheme="majorBidi" w:cstheme="majorBidi"/>
          <w:sz w:val="24"/>
          <w:szCs w:val="24"/>
        </w:rPr>
        <w:t xml:space="preserve">s </w:t>
      </w:r>
      <w:proofErr w:type="spellStart"/>
      <w:r w:rsidR="0092683E" w:rsidRPr="0089351A">
        <w:rPr>
          <w:rFonts w:asciiTheme="majorBidi" w:hAnsiTheme="majorBidi" w:cstheme="majorBidi"/>
          <w:sz w:val="24"/>
          <w:szCs w:val="24"/>
        </w:rPr>
        <w:t>Aukerman</w:t>
      </w:r>
      <w:proofErr w:type="spellEnd"/>
      <w:r w:rsidR="00864702" w:rsidRPr="0089351A">
        <w:rPr>
          <w:rFonts w:asciiTheme="majorBidi" w:hAnsiTheme="majorBidi" w:cstheme="majorBidi"/>
          <w:sz w:val="24"/>
          <w:szCs w:val="24"/>
        </w:rPr>
        <w:t xml:space="preserve"> argues, local socio-economic specificity must be fully accounted for in transitional justice </w:t>
      </w:r>
      <w:r w:rsidR="00864702" w:rsidRPr="0089351A">
        <w:rPr>
          <w:rFonts w:asciiTheme="majorBidi" w:hAnsiTheme="majorBidi" w:cstheme="majorBidi"/>
          <w:sz w:val="24"/>
          <w:szCs w:val="24"/>
        </w:rPr>
        <w:lastRenderedPageBreak/>
        <w:t>situations.</w:t>
      </w:r>
      <w:r w:rsidR="00987B89" w:rsidRPr="0089351A">
        <w:rPr>
          <w:rStyle w:val="FootnoteReference"/>
          <w:rFonts w:asciiTheme="majorBidi" w:hAnsiTheme="majorBidi" w:cstheme="majorBidi"/>
          <w:sz w:val="24"/>
          <w:szCs w:val="24"/>
        </w:rPr>
        <w:footnoteReference w:id="33"/>
      </w:r>
      <w:r w:rsidR="006722AE" w:rsidRPr="0089351A">
        <w:rPr>
          <w:rFonts w:asciiTheme="majorBidi" w:hAnsiTheme="majorBidi" w:cstheme="majorBidi"/>
          <w:sz w:val="24"/>
          <w:szCs w:val="24"/>
        </w:rPr>
        <w:t xml:space="preserve"> </w:t>
      </w:r>
      <w:r w:rsidR="00C264B3" w:rsidRPr="0089351A">
        <w:rPr>
          <w:rFonts w:asciiTheme="majorBidi" w:hAnsiTheme="majorBidi" w:cstheme="majorBidi"/>
          <w:sz w:val="24"/>
          <w:szCs w:val="24"/>
        </w:rPr>
        <w:t>Gibson assert</w:t>
      </w:r>
      <w:r w:rsidR="008A17F0" w:rsidRPr="0089351A">
        <w:rPr>
          <w:rFonts w:asciiTheme="majorBidi" w:hAnsiTheme="majorBidi" w:cstheme="majorBidi"/>
          <w:sz w:val="24"/>
          <w:szCs w:val="24"/>
        </w:rPr>
        <w:t>s that ‘truth processe</w:t>
      </w:r>
      <w:r w:rsidR="00E537C6" w:rsidRPr="0089351A">
        <w:rPr>
          <w:rFonts w:asciiTheme="majorBidi" w:hAnsiTheme="majorBidi" w:cstheme="majorBidi"/>
          <w:sz w:val="24"/>
          <w:szCs w:val="24"/>
        </w:rPr>
        <w:t>s are endogenou</w:t>
      </w:r>
      <w:r w:rsidR="007D223C" w:rsidRPr="0089351A">
        <w:rPr>
          <w:rFonts w:asciiTheme="majorBidi" w:hAnsiTheme="majorBidi" w:cstheme="majorBidi"/>
          <w:sz w:val="24"/>
          <w:szCs w:val="24"/>
        </w:rPr>
        <w:t xml:space="preserve">s’ and </w:t>
      </w:r>
      <w:r w:rsidR="008A17F0" w:rsidRPr="0089351A">
        <w:rPr>
          <w:rFonts w:asciiTheme="majorBidi" w:hAnsiTheme="majorBidi" w:cstheme="majorBidi"/>
          <w:sz w:val="24"/>
          <w:szCs w:val="24"/>
        </w:rPr>
        <w:t>a function of the society in which they operate</w:t>
      </w:r>
      <w:r w:rsidR="00864702" w:rsidRPr="0089351A">
        <w:rPr>
          <w:rFonts w:asciiTheme="majorBidi" w:hAnsiTheme="majorBidi" w:cstheme="majorBidi"/>
          <w:sz w:val="24"/>
          <w:szCs w:val="24"/>
        </w:rPr>
        <w:t xml:space="preserve"> (2009: 128).</w:t>
      </w:r>
      <w:r w:rsidR="00987B89" w:rsidRPr="0089351A">
        <w:rPr>
          <w:rStyle w:val="FootnoteReference"/>
          <w:rFonts w:asciiTheme="majorBidi" w:hAnsiTheme="majorBidi" w:cstheme="majorBidi"/>
          <w:sz w:val="24"/>
          <w:szCs w:val="24"/>
        </w:rPr>
        <w:footnoteReference w:id="34"/>
      </w:r>
      <w:r w:rsidR="008A17F0" w:rsidRPr="0089351A">
        <w:rPr>
          <w:rFonts w:asciiTheme="majorBidi" w:hAnsiTheme="majorBidi" w:cstheme="majorBidi"/>
          <w:sz w:val="24"/>
          <w:szCs w:val="24"/>
        </w:rPr>
        <w:t xml:space="preserve">  A</w:t>
      </w:r>
      <w:r w:rsidR="003D0620" w:rsidRPr="0089351A">
        <w:rPr>
          <w:rFonts w:asciiTheme="majorBidi" w:hAnsiTheme="majorBidi" w:cstheme="majorBidi"/>
          <w:sz w:val="24"/>
          <w:szCs w:val="24"/>
        </w:rPr>
        <w:t xml:space="preserve"> detailed contemporary historical account </w:t>
      </w:r>
      <w:r w:rsidR="00E44276" w:rsidRPr="0089351A">
        <w:rPr>
          <w:rFonts w:asciiTheme="majorBidi" w:hAnsiTheme="majorBidi" w:cstheme="majorBidi"/>
          <w:sz w:val="24"/>
          <w:szCs w:val="24"/>
        </w:rPr>
        <w:t xml:space="preserve">of the Commission’s origins </w:t>
      </w:r>
      <w:r w:rsidR="003D0620" w:rsidRPr="0089351A">
        <w:rPr>
          <w:rFonts w:asciiTheme="majorBidi" w:hAnsiTheme="majorBidi" w:cstheme="majorBidi"/>
          <w:sz w:val="24"/>
          <w:szCs w:val="24"/>
        </w:rPr>
        <w:t xml:space="preserve">is </w:t>
      </w:r>
      <w:r w:rsidR="0092683E" w:rsidRPr="0089351A">
        <w:rPr>
          <w:rFonts w:asciiTheme="majorBidi" w:hAnsiTheme="majorBidi" w:cstheme="majorBidi"/>
          <w:sz w:val="24"/>
          <w:szCs w:val="24"/>
        </w:rPr>
        <w:t xml:space="preserve">therefore </w:t>
      </w:r>
      <w:r w:rsidR="002F50B9" w:rsidRPr="0089351A">
        <w:rPr>
          <w:rFonts w:asciiTheme="majorBidi" w:hAnsiTheme="majorBidi" w:cstheme="majorBidi"/>
          <w:sz w:val="24"/>
          <w:szCs w:val="24"/>
        </w:rPr>
        <w:t>nested within the</w:t>
      </w:r>
      <w:r w:rsidR="003D0620" w:rsidRPr="0089351A">
        <w:rPr>
          <w:rFonts w:asciiTheme="majorBidi" w:hAnsiTheme="majorBidi" w:cstheme="majorBidi"/>
          <w:sz w:val="24"/>
          <w:szCs w:val="24"/>
        </w:rPr>
        <w:t xml:space="preserve"> </w:t>
      </w:r>
      <w:r w:rsidR="00CF02E4" w:rsidRPr="0089351A">
        <w:rPr>
          <w:rFonts w:asciiTheme="majorBidi" w:hAnsiTheme="majorBidi" w:cstheme="majorBidi"/>
          <w:sz w:val="24"/>
          <w:szCs w:val="24"/>
        </w:rPr>
        <w:t xml:space="preserve">outer </w:t>
      </w:r>
      <w:r w:rsidR="009B2DF2" w:rsidRPr="0089351A">
        <w:rPr>
          <w:rFonts w:asciiTheme="majorBidi" w:hAnsiTheme="majorBidi" w:cstheme="majorBidi"/>
          <w:sz w:val="24"/>
          <w:szCs w:val="24"/>
        </w:rPr>
        <w:t xml:space="preserve">analytic </w:t>
      </w:r>
      <w:r w:rsidR="003D0620" w:rsidRPr="0089351A">
        <w:rPr>
          <w:rFonts w:asciiTheme="majorBidi" w:hAnsiTheme="majorBidi" w:cstheme="majorBidi"/>
          <w:sz w:val="24"/>
          <w:szCs w:val="24"/>
        </w:rPr>
        <w:t>frame</w:t>
      </w:r>
      <w:r w:rsidR="0092683E" w:rsidRPr="0089351A">
        <w:rPr>
          <w:rFonts w:asciiTheme="majorBidi" w:hAnsiTheme="majorBidi" w:cstheme="majorBidi"/>
          <w:sz w:val="24"/>
          <w:szCs w:val="24"/>
        </w:rPr>
        <w:t xml:space="preserve">. </w:t>
      </w:r>
      <w:r w:rsidR="00CF72DD" w:rsidRPr="0089351A">
        <w:rPr>
          <w:rFonts w:asciiTheme="majorBidi" w:hAnsiTheme="majorBidi" w:cstheme="majorBidi"/>
          <w:sz w:val="24"/>
          <w:szCs w:val="24"/>
        </w:rPr>
        <w:t xml:space="preserve">We show that the M </w:t>
      </w:r>
      <w:r w:rsidR="009B2DF2" w:rsidRPr="0089351A">
        <w:rPr>
          <w:rFonts w:asciiTheme="majorBidi" w:hAnsiTheme="majorBidi" w:cstheme="majorBidi"/>
          <w:sz w:val="24"/>
          <w:szCs w:val="24"/>
        </w:rPr>
        <w:t>T</w:t>
      </w:r>
      <w:r w:rsidR="00CF72DD" w:rsidRPr="0089351A">
        <w:rPr>
          <w:rFonts w:asciiTheme="majorBidi" w:hAnsiTheme="majorBidi" w:cstheme="majorBidi"/>
          <w:sz w:val="24"/>
          <w:szCs w:val="24"/>
        </w:rPr>
        <w:t>J</w:t>
      </w:r>
      <w:r w:rsidR="009B2DF2" w:rsidRPr="0089351A">
        <w:rPr>
          <w:rFonts w:asciiTheme="majorBidi" w:hAnsiTheme="majorBidi" w:cstheme="majorBidi"/>
          <w:sz w:val="24"/>
          <w:szCs w:val="24"/>
        </w:rPr>
        <w:t xml:space="preserve">C resulted from an élite political negotiating process and </w:t>
      </w:r>
      <w:r w:rsidR="008B536A" w:rsidRPr="0089351A">
        <w:rPr>
          <w:rFonts w:asciiTheme="majorBidi" w:hAnsiTheme="majorBidi" w:cstheme="majorBidi"/>
          <w:sz w:val="24"/>
          <w:szCs w:val="24"/>
        </w:rPr>
        <w:t>sought to forge</w:t>
      </w:r>
      <w:r w:rsidR="009B2DF2" w:rsidRPr="0089351A">
        <w:rPr>
          <w:rFonts w:asciiTheme="majorBidi" w:hAnsiTheme="majorBidi" w:cstheme="majorBidi"/>
          <w:sz w:val="24"/>
          <w:szCs w:val="24"/>
        </w:rPr>
        <w:t xml:space="preserve"> national unity in the face o</w:t>
      </w:r>
      <w:r w:rsidR="00C755AF" w:rsidRPr="0089351A">
        <w:rPr>
          <w:rFonts w:asciiTheme="majorBidi" w:hAnsiTheme="majorBidi" w:cstheme="majorBidi"/>
          <w:sz w:val="24"/>
          <w:szCs w:val="24"/>
        </w:rPr>
        <w:t>f past human rights abuses. T</w:t>
      </w:r>
      <w:r w:rsidR="009B2DF2" w:rsidRPr="0089351A">
        <w:rPr>
          <w:rFonts w:asciiTheme="majorBidi" w:hAnsiTheme="majorBidi" w:cstheme="majorBidi"/>
          <w:sz w:val="24"/>
          <w:szCs w:val="24"/>
        </w:rPr>
        <w:t xml:space="preserve">here is therefore a degree of commonality between this and other Truth Commissions’ investigations.  </w:t>
      </w:r>
      <w:r w:rsidR="005F34E1" w:rsidRPr="0089351A">
        <w:rPr>
          <w:rFonts w:asciiTheme="majorBidi" w:hAnsiTheme="majorBidi" w:cstheme="majorBidi"/>
          <w:sz w:val="24"/>
          <w:szCs w:val="24"/>
        </w:rPr>
        <w:t xml:space="preserve">     </w:t>
      </w:r>
      <w:r w:rsidR="007D705C" w:rsidRPr="0089351A">
        <w:rPr>
          <w:rFonts w:asciiTheme="majorBidi" w:hAnsiTheme="majorBidi" w:cstheme="majorBidi"/>
          <w:sz w:val="24"/>
          <w:szCs w:val="24"/>
        </w:rPr>
        <w:t xml:space="preserve">      </w:t>
      </w:r>
      <w:r w:rsidR="00917D3E" w:rsidRPr="0089351A">
        <w:rPr>
          <w:rFonts w:asciiTheme="majorBidi" w:hAnsiTheme="majorBidi" w:cstheme="majorBidi"/>
          <w:sz w:val="24"/>
          <w:szCs w:val="24"/>
        </w:rPr>
        <w:t xml:space="preserve"> </w:t>
      </w:r>
      <w:r w:rsidR="00F33B4C" w:rsidRPr="0089351A">
        <w:rPr>
          <w:rFonts w:asciiTheme="majorBidi" w:hAnsiTheme="majorBidi" w:cstheme="majorBidi"/>
          <w:sz w:val="24"/>
          <w:szCs w:val="24"/>
        </w:rPr>
        <w:t xml:space="preserve">      </w:t>
      </w:r>
    </w:p>
    <w:p w:rsidR="009D52EC" w:rsidRPr="0089351A" w:rsidRDefault="009D52EC"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 article i</w:t>
      </w:r>
      <w:r w:rsidR="009B2DF2" w:rsidRPr="0089351A">
        <w:rPr>
          <w:rFonts w:asciiTheme="majorBidi" w:hAnsiTheme="majorBidi" w:cstheme="majorBidi"/>
          <w:sz w:val="24"/>
          <w:szCs w:val="24"/>
        </w:rPr>
        <w:t xml:space="preserve">s structured as follows. </w:t>
      </w:r>
      <w:r w:rsidR="000A5A68" w:rsidRPr="0089351A">
        <w:rPr>
          <w:rFonts w:asciiTheme="majorBidi" w:hAnsiTheme="majorBidi" w:cstheme="majorBidi"/>
          <w:sz w:val="24"/>
          <w:szCs w:val="24"/>
        </w:rPr>
        <w:t>W</w:t>
      </w:r>
      <w:r w:rsidR="009B2DF2" w:rsidRPr="0089351A">
        <w:rPr>
          <w:rFonts w:asciiTheme="majorBidi" w:hAnsiTheme="majorBidi" w:cstheme="majorBidi"/>
          <w:sz w:val="24"/>
          <w:szCs w:val="24"/>
        </w:rPr>
        <w:t>e outline Gibson’s</w:t>
      </w:r>
      <w:r w:rsidRPr="0089351A">
        <w:rPr>
          <w:rFonts w:asciiTheme="majorBidi" w:hAnsiTheme="majorBidi" w:cstheme="majorBidi"/>
          <w:sz w:val="24"/>
          <w:szCs w:val="24"/>
        </w:rPr>
        <w:t xml:space="preserve"> conditions for</w:t>
      </w:r>
      <w:r w:rsidR="00CF02E4" w:rsidRPr="0089351A">
        <w:rPr>
          <w:rFonts w:asciiTheme="majorBidi" w:hAnsiTheme="majorBidi" w:cstheme="majorBidi"/>
          <w:sz w:val="24"/>
          <w:szCs w:val="24"/>
        </w:rPr>
        <w:t xml:space="preserve"> Truth Commission success. After explaining</w:t>
      </w:r>
      <w:r w:rsidR="00192AB6" w:rsidRPr="0089351A">
        <w:rPr>
          <w:rFonts w:asciiTheme="majorBidi" w:hAnsiTheme="majorBidi" w:cstheme="majorBidi"/>
          <w:sz w:val="24"/>
          <w:szCs w:val="24"/>
        </w:rPr>
        <w:t xml:space="preserve"> our methods, w</w:t>
      </w:r>
      <w:r w:rsidR="00E44276" w:rsidRPr="0089351A">
        <w:rPr>
          <w:rFonts w:asciiTheme="majorBidi" w:hAnsiTheme="majorBidi" w:cstheme="majorBidi"/>
          <w:sz w:val="24"/>
          <w:szCs w:val="24"/>
        </w:rPr>
        <w:t>e analyse</w:t>
      </w:r>
      <w:r w:rsidR="001B0500" w:rsidRPr="0089351A">
        <w:rPr>
          <w:rFonts w:asciiTheme="majorBidi" w:hAnsiTheme="majorBidi" w:cstheme="majorBidi"/>
          <w:sz w:val="24"/>
          <w:szCs w:val="24"/>
        </w:rPr>
        <w:t xml:space="preserve"> the Commission’s origins</w:t>
      </w:r>
      <w:r w:rsidR="000A5A68" w:rsidRPr="0089351A">
        <w:rPr>
          <w:rFonts w:asciiTheme="majorBidi" w:hAnsiTheme="majorBidi" w:cstheme="majorBidi"/>
          <w:sz w:val="24"/>
          <w:szCs w:val="24"/>
        </w:rPr>
        <w:t>,</w:t>
      </w:r>
      <w:r w:rsidR="006722AE" w:rsidRPr="0089351A">
        <w:rPr>
          <w:rFonts w:asciiTheme="majorBidi" w:hAnsiTheme="majorBidi" w:cstheme="majorBidi"/>
          <w:sz w:val="24"/>
          <w:szCs w:val="24"/>
        </w:rPr>
        <w:t xml:space="preserve"> drawing </w:t>
      </w:r>
      <w:r w:rsidR="00E44276" w:rsidRPr="0089351A">
        <w:rPr>
          <w:rFonts w:asciiTheme="majorBidi" w:hAnsiTheme="majorBidi" w:cstheme="majorBidi"/>
          <w:sz w:val="24"/>
          <w:szCs w:val="24"/>
        </w:rPr>
        <w:t xml:space="preserve">primarily </w:t>
      </w:r>
      <w:r w:rsidR="006722AE" w:rsidRPr="0089351A">
        <w:rPr>
          <w:rFonts w:asciiTheme="majorBidi" w:hAnsiTheme="majorBidi" w:cstheme="majorBidi"/>
          <w:sz w:val="24"/>
          <w:szCs w:val="24"/>
        </w:rPr>
        <w:t>on two sets of</w:t>
      </w:r>
      <w:r w:rsidR="002F50B9" w:rsidRPr="0089351A">
        <w:rPr>
          <w:rFonts w:asciiTheme="majorBidi" w:hAnsiTheme="majorBidi" w:cstheme="majorBidi"/>
          <w:sz w:val="24"/>
          <w:szCs w:val="24"/>
        </w:rPr>
        <w:t xml:space="preserve"> interviews</w:t>
      </w:r>
      <w:r w:rsidR="009B2DF2" w:rsidRPr="0089351A">
        <w:rPr>
          <w:rFonts w:asciiTheme="majorBidi" w:hAnsiTheme="majorBidi" w:cstheme="majorBidi"/>
          <w:sz w:val="24"/>
          <w:szCs w:val="24"/>
        </w:rPr>
        <w:t xml:space="preserve">. </w:t>
      </w:r>
      <w:r w:rsidR="000A5A68" w:rsidRPr="0089351A">
        <w:rPr>
          <w:rFonts w:asciiTheme="majorBidi" w:hAnsiTheme="majorBidi" w:cstheme="majorBidi"/>
          <w:sz w:val="24"/>
          <w:szCs w:val="24"/>
        </w:rPr>
        <w:t>I</w:t>
      </w:r>
      <w:r w:rsidR="001B0500" w:rsidRPr="0089351A">
        <w:rPr>
          <w:rFonts w:asciiTheme="majorBidi" w:hAnsiTheme="majorBidi" w:cstheme="majorBidi"/>
          <w:sz w:val="24"/>
          <w:szCs w:val="24"/>
        </w:rPr>
        <w:t xml:space="preserve">n the article’s central section, we </w:t>
      </w:r>
      <w:r w:rsidR="00D3761E" w:rsidRPr="0089351A">
        <w:rPr>
          <w:rFonts w:asciiTheme="majorBidi" w:hAnsiTheme="majorBidi" w:cstheme="majorBidi"/>
          <w:sz w:val="24"/>
          <w:szCs w:val="24"/>
        </w:rPr>
        <w:t>provide a critical account of</w:t>
      </w:r>
      <w:r w:rsidR="001B0500" w:rsidRPr="0089351A">
        <w:rPr>
          <w:rFonts w:asciiTheme="majorBidi" w:hAnsiTheme="majorBidi" w:cstheme="majorBidi"/>
          <w:sz w:val="24"/>
          <w:szCs w:val="24"/>
        </w:rPr>
        <w:t xml:space="preserve"> the</w:t>
      </w:r>
      <w:r w:rsidR="00192AB6" w:rsidRPr="0089351A">
        <w:rPr>
          <w:rFonts w:asciiTheme="majorBidi" w:hAnsiTheme="majorBidi" w:cstheme="majorBidi"/>
          <w:sz w:val="24"/>
          <w:szCs w:val="24"/>
        </w:rPr>
        <w:t xml:space="preserve"> MTJC</w:t>
      </w:r>
      <w:r w:rsidR="00E44276" w:rsidRPr="0089351A">
        <w:rPr>
          <w:rFonts w:asciiTheme="majorBidi" w:hAnsiTheme="majorBidi" w:cstheme="majorBidi"/>
          <w:sz w:val="24"/>
          <w:szCs w:val="24"/>
        </w:rPr>
        <w:t xml:space="preserve">’s </w:t>
      </w:r>
      <w:r w:rsidR="001B0500" w:rsidRPr="0089351A">
        <w:rPr>
          <w:rFonts w:asciiTheme="majorBidi" w:hAnsiTheme="majorBidi" w:cstheme="majorBidi"/>
          <w:sz w:val="24"/>
          <w:szCs w:val="24"/>
        </w:rPr>
        <w:t>operation and results</w:t>
      </w:r>
      <w:r w:rsidR="00192AB6" w:rsidRPr="0089351A">
        <w:rPr>
          <w:rFonts w:asciiTheme="majorBidi" w:hAnsiTheme="majorBidi" w:cstheme="majorBidi"/>
          <w:sz w:val="24"/>
          <w:szCs w:val="24"/>
        </w:rPr>
        <w:t xml:space="preserve">. </w:t>
      </w:r>
      <w:r w:rsidR="009B2DF2" w:rsidRPr="0089351A">
        <w:rPr>
          <w:rFonts w:asciiTheme="majorBidi" w:hAnsiTheme="majorBidi" w:cstheme="majorBidi"/>
          <w:sz w:val="24"/>
          <w:szCs w:val="24"/>
        </w:rPr>
        <w:t>W</w:t>
      </w:r>
      <w:r w:rsidR="00D3761E" w:rsidRPr="0089351A">
        <w:rPr>
          <w:rFonts w:asciiTheme="majorBidi" w:hAnsiTheme="majorBidi" w:cstheme="majorBidi"/>
          <w:sz w:val="24"/>
          <w:szCs w:val="24"/>
        </w:rPr>
        <w:t>e offer an analysis of the MTJC’s hist</w:t>
      </w:r>
      <w:r w:rsidR="00C755AF" w:rsidRPr="0089351A">
        <w:rPr>
          <w:rFonts w:asciiTheme="majorBidi" w:hAnsiTheme="majorBidi" w:cstheme="majorBidi"/>
          <w:sz w:val="24"/>
          <w:szCs w:val="24"/>
        </w:rPr>
        <w:t xml:space="preserve">orical approach, since the resultant account constitutes </w:t>
      </w:r>
      <w:r w:rsidR="000A5A68" w:rsidRPr="0089351A">
        <w:rPr>
          <w:rFonts w:asciiTheme="majorBidi" w:hAnsiTheme="majorBidi" w:cstheme="majorBidi"/>
          <w:sz w:val="24"/>
          <w:szCs w:val="24"/>
        </w:rPr>
        <w:t>its recommendations’ foundation</w:t>
      </w:r>
      <w:r w:rsidR="00D3761E" w:rsidRPr="0089351A">
        <w:rPr>
          <w:rFonts w:asciiTheme="majorBidi" w:hAnsiTheme="majorBidi" w:cstheme="majorBidi"/>
          <w:sz w:val="24"/>
          <w:szCs w:val="24"/>
        </w:rPr>
        <w:t xml:space="preserve">. </w:t>
      </w:r>
      <w:r w:rsidR="00192AB6" w:rsidRPr="0089351A">
        <w:rPr>
          <w:rFonts w:asciiTheme="majorBidi" w:hAnsiTheme="majorBidi" w:cstheme="majorBidi"/>
          <w:sz w:val="24"/>
          <w:szCs w:val="24"/>
        </w:rPr>
        <w:t>We conclude</w:t>
      </w:r>
      <w:r w:rsidRPr="0089351A">
        <w:rPr>
          <w:rFonts w:asciiTheme="majorBidi" w:hAnsiTheme="majorBidi" w:cstheme="majorBidi"/>
          <w:sz w:val="24"/>
          <w:szCs w:val="24"/>
        </w:rPr>
        <w:t xml:space="preserve"> </w:t>
      </w:r>
      <w:r w:rsidR="00192AB6" w:rsidRPr="0089351A">
        <w:rPr>
          <w:rFonts w:asciiTheme="majorBidi" w:hAnsiTheme="majorBidi" w:cstheme="majorBidi"/>
          <w:sz w:val="24"/>
          <w:szCs w:val="24"/>
        </w:rPr>
        <w:t xml:space="preserve">by </w:t>
      </w:r>
      <w:r w:rsidR="00D3761E" w:rsidRPr="0089351A">
        <w:rPr>
          <w:rFonts w:asciiTheme="majorBidi" w:hAnsiTheme="majorBidi" w:cstheme="majorBidi"/>
          <w:sz w:val="24"/>
          <w:szCs w:val="24"/>
        </w:rPr>
        <w:t xml:space="preserve">answering </w:t>
      </w:r>
      <w:r w:rsidR="000838CE" w:rsidRPr="0089351A">
        <w:rPr>
          <w:rFonts w:asciiTheme="majorBidi" w:hAnsiTheme="majorBidi" w:cstheme="majorBidi"/>
          <w:sz w:val="24"/>
          <w:szCs w:val="24"/>
        </w:rPr>
        <w:t xml:space="preserve">our </w:t>
      </w:r>
      <w:r w:rsidR="00DC6F2D" w:rsidRPr="0089351A">
        <w:rPr>
          <w:rFonts w:asciiTheme="majorBidi" w:hAnsiTheme="majorBidi" w:cstheme="majorBidi"/>
          <w:sz w:val="24"/>
          <w:szCs w:val="24"/>
        </w:rPr>
        <w:t xml:space="preserve">initial </w:t>
      </w:r>
      <w:r w:rsidR="000838CE" w:rsidRPr="0089351A">
        <w:rPr>
          <w:rFonts w:asciiTheme="majorBidi" w:hAnsiTheme="majorBidi" w:cstheme="majorBidi"/>
          <w:sz w:val="24"/>
          <w:szCs w:val="24"/>
        </w:rPr>
        <w:t>research question</w:t>
      </w:r>
      <w:r w:rsidR="003C7BBC" w:rsidRPr="0089351A">
        <w:rPr>
          <w:rFonts w:asciiTheme="majorBidi" w:hAnsiTheme="majorBidi" w:cstheme="majorBidi"/>
          <w:sz w:val="24"/>
          <w:szCs w:val="24"/>
        </w:rPr>
        <w:t xml:space="preserve"> concerning the utility of transitional justice ideas to this and by extension</w:t>
      </w:r>
      <w:r w:rsidR="002F50B9" w:rsidRPr="0089351A">
        <w:rPr>
          <w:rFonts w:asciiTheme="majorBidi" w:hAnsiTheme="majorBidi" w:cstheme="majorBidi"/>
          <w:sz w:val="24"/>
          <w:szCs w:val="24"/>
        </w:rPr>
        <w:t xml:space="preserve"> to any future Truth Commission on slavery</w:t>
      </w:r>
      <w:r w:rsidR="00D3761E" w:rsidRPr="0089351A">
        <w:rPr>
          <w:rFonts w:asciiTheme="majorBidi" w:hAnsiTheme="majorBidi" w:cstheme="majorBidi"/>
          <w:sz w:val="24"/>
          <w:szCs w:val="24"/>
        </w:rPr>
        <w:t xml:space="preserve">. </w:t>
      </w:r>
    </w:p>
    <w:p w:rsidR="004A667D" w:rsidRPr="0089351A" w:rsidRDefault="004B1A1A"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 xml:space="preserve">Gibson’s </w:t>
      </w:r>
      <w:r w:rsidR="00CF02E4" w:rsidRPr="0089351A">
        <w:rPr>
          <w:rFonts w:asciiTheme="majorBidi" w:hAnsiTheme="majorBidi" w:cstheme="majorBidi"/>
          <w:b/>
          <w:bCs/>
          <w:sz w:val="24"/>
          <w:szCs w:val="24"/>
        </w:rPr>
        <w:t>theory</w:t>
      </w:r>
    </w:p>
    <w:p w:rsidR="00DC6F2D" w:rsidRPr="0089351A" w:rsidRDefault="005F3535"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Gibson</w:t>
      </w:r>
      <w:r w:rsidR="00D717CA" w:rsidRPr="0089351A">
        <w:rPr>
          <w:rFonts w:asciiTheme="majorBidi" w:hAnsiTheme="majorBidi" w:cstheme="majorBidi"/>
          <w:sz w:val="24"/>
          <w:szCs w:val="24"/>
        </w:rPr>
        <w:t>’s theory</w:t>
      </w:r>
      <w:r w:rsidRPr="0089351A">
        <w:rPr>
          <w:rFonts w:asciiTheme="majorBidi" w:hAnsiTheme="majorBidi" w:cstheme="majorBidi"/>
          <w:sz w:val="24"/>
          <w:szCs w:val="24"/>
        </w:rPr>
        <w:t xml:space="preserve"> </w:t>
      </w:r>
      <w:r w:rsidR="00EE1172" w:rsidRPr="0089351A">
        <w:rPr>
          <w:rFonts w:asciiTheme="majorBidi" w:hAnsiTheme="majorBidi" w:cstheme="majorBidi"/>
          <w:sz w:val="24"/>
          <w:szCs w:val="24"/>
        </w:rPr>
        <w:t>reflects a wider consensus in ‘transitional justice’ think</w:t>
      </w:r>
      <w:r w:rsidR="00C53F47" w:rsidRPr="0089351A">
        <w:rPr>
          <w:rFonts w:asciiTheme="majorBidi" w:hAnsiTheme="majorBidi" w:cstheme="majorBidi"/>
          <w:sz w:val="24"/>
          <w:szCs w:val="24"/>
        </w:rPr>
        <w:t>ing and in that sense is paradigmatic of</w:t>
      </w:r>
      <w:r w:rsidR="00EE1172" w:rsidRPr="0089351A">
        <w:rPr>
          <w:rFonts w:asciiTheme="majorBidi" w:hAnsiTheme="majorBidi" w:cstheme="majorBidi"/>
          <w:sz w:val="24"/>
          <w:szCs w:val="24"/>
        </w:rPr>
        <w:t xml:space="preserve"> a wider school of thought. It </w:t>
      </w:r>
      <w:r w:rsidR="00DC6F2D" w:rsidRPr="0089351A">
        <w:rPr>
          <w:rFonts w:asciiTheme="majorBidi" w:hAnsiTheme="majorBidi" w:cstheme="majorBidi"/>
          <w:sz w:val="24"/>
          <w:szCs w:val="24"/>
        </w:rPr>
        <w:t>is</w:t>
      </w:r>
      <w:r w:rsidR="009B2DF2" w:rsidRPr="0089351A">
        <w:rPr>
          <w:rFonts w:asciiTheme="majorBidi" w:hAnsiTheme="majorBidi" w:cstheme="majorBidi"/>
          <w:sz w:val="24"/>
          <w:szCs w:val="24"/>
        </w:rPr>
        <w:t xml:space="preserve"> </w:t>
      </w:r>
      <w:r w:rsidR="00406009" w:rsidRPr="0089351A">
        <w:rPr>
          <w:rFonts w:asciiTheme="majorBidi" w:hAnsiTheme="majorBidi" w:cstheme="majorBidi"/>
          <w:sz w:val="24"/>
          <w:szCs w:val="24"/>
        </w:rPr>
        <w:t xml:space="preserve">used and </w:t>
      </w:r>
      <w:r w:rsidR="00C53F47" w:rsidRPr="0089351A">
        <w:rPr>
          <w:rFonts w:asciiTheme="majorBidi" w:hAnsiTheme="majorBidi" w:cstheme="majorBidi"/>
          <w:sz w:val="24"/>
          <w:szCs w:val="24"/>
        </w:rPr>
        <w:t>examined</w:t>
      </w:r>
      <w:r w:rsidRPr="0089351A">
        <w:rPr>
          <w:rFonts w:asciiTheme="majorBidi" w:hAnsiTheme="majorBidi" w:cstheme="majorBidi"/>
          <w:sz w:val="24"/>
          <w:szCs w:val="24"/>
        </w:rPr>
        <w:t xml:space="preserve"> </w:t>
      </w:r>
      <w:r w:rsidR="00CF02E4" w:rsidRPr="0089351A">
        <w:rPr>
          <w:rFonts w:asciiTheme="majorBidi" w:hAnsiTheme="majorBidi" w:cstheme="majorBidi"/>
          <w:sz w:val="24"/>
          <w:szCs w:val="24"/>
        </w:rPr>
        <w:t>here</w:t>
      </w:r>
      <w:r w:rsidR="008E4D5D" w:rsidRPr="0089351A">
        <w:rPr>
          <w:rFonts w:asciiTheme="majorBidi" w:hAnsiTheme="majorBidi" w:cstheme="majorBidi"/>
          <w:sz w:val="24"/>
          <w:szCs w:val="24"/>
        </w:rPr>
        <w:t xml:space="preserve"> because it draws on wide experience of such</w:t>
      </w:r>
      <w:r w:rsidR="00A55703" w:rsidRPr="0089351A">
        <w:rPr>
          <w:rFonts w:asciiTheme="majorBidi" w:hAnsiTheme="majorBidi" w:cstheme="majorBidi"/>
          <w:sz w:val="24"/>
          <w:szCs w:val="24"/>
        </w:rPr>
        <w:t xml:space="preserve"> commissions an</w:t>
      </w:r>
      <w:r w:rsidR="005D646E" w:rsidRPr="0089351A">
        <w:rPr>
          <w:rFonts w:asciiTheme="majorBidi" w:hAnsiTheme="majorBidi" w:cstheme="majorBidi"/>
          <w:sz w:val="24"/>
          <w:szCs w:val="24"/>
        </w:rPr>
        <w:t>d locates them firmly in their broad</w:t>
      </w:r>
      <w:r w:rsidRPr="0089351A">
        <w:rPr>
          <w:rFonts w:asciiTheme="majorBidi" w:hAnsiTheme="majorBidi" w:cstheme="majorBidi"/>
          <w:sz w:val="24"/>
          <w:szCs w:val="24"/>
        </w:rPr>
        <w:t xml:space="preserve"> socio-political context. </w:t>
      </w:r>
      <w:r w:rsidR="005E4067" w:rsidRPr="0089351A">
        <w:rPr>
          <w:rFonts w:asciiTheme="majorBidi" w:hAnsiTheme="majorBidi" w:cstheme="majorBidi"/>
          <w:sz w:val="24"/>
          <w:szCs w:val="24"/>
        </w:rPr>
        <w:t xml:space="preserve"> </w:t>
      </w:r>
    </w:p>
    <w:p w:rsidR="00AD34F6" w:rsidRPr="0089351A" w:rsidRDefault="005E4067"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Gibson begins </w:t>
      </w:r>
      <w:r w:rsidR="00253178" w:rsidRPr="0089351A">
        <w:rPr>
          <w:rFonts w:asciiTheme="majorBidi" w:hAnsiTheme="majorBidi" w:cstheme="majorBidi"/>
          <w:sz w:val="24"/>
          <w:szCs w:val="24"/>
        </w:rPr>
        <w:t xml:space="preserve">by suggesting that it is unrealistic to </w:t>
      </w:r>
      <w:r w:rsidR="00CE359C" w:rsidRPr="0089351A">
        <w:rPr>
          <w:rFonts w:asciiTheme="majorBidi" w:hAnsiTheme="majorBidi" w:cstheme="majorBidi"/>
          <w:sz w:val="24"/>
          <w:szCs w:val="24"/>
        </w:rPr>
        <w:t>expect</w:t>
      </w:r>
      <w:r w:rsidR="00253178" w:rsidRPr="0089351A">
        <w:rPr>
          <w:rFonts w:asciiTheme="majorBidi" w:hAnsiTheme="majorBidi" w:cstheme="majorBidi"/>
          <w:sz w:val="24"/>
          <w:szCs w:val="24"/>
        </w:rPr>
        <w:t xml:space="preserve"> major results; he argues </w:t>
      </w:r>
      <w:r w:rsidR="005F3535" w:rsidRPr="0089351A">
        <w:rPr>
          <w:rFonts w:asciiTheme="majorBidi" w:hAnsiTheme="majorBidi" w:cstheme="majorBidi"/>
          <w:sz w:val="24"/>
          <w:szCs w:val="24"/>
        </w:rPr>
        <w:t xml:space="preserve">only </w:t>
      </w:r>
      <w:r w:rsidR="00DC6F2D" w:rsidRPr="0089351A">
        <w:rPr>
          <w:rFonts w:asciiTheme="majorBidi" w:hAnsiTheme="majorBidi" w:cstheme="majorBidi"/>
          <w:sz w:val="24"/>
          <w:szCs w:val="24"/>
        </w:rPr>
        <w:t>that Commissions</w:t>
      </w:r>
      <w:r w:rsidR="00253178" w:rsidRPr="0089351A">
        <w:rPr>
          <w:rFonts w:asciiTheme="majorBidi" w:hAnsiTheme="majorBidi" w:cstheme="majorBidi"/>
          <w:sz w:val="24"/>
          <w:szCs w:val="24"/>
        </w:rPr>
        <w:t xml:space="preserve"> can contribute to societal transformation ‘under at least some conditions and to </w:t>
      </w:r>
      <w:r w:rsidR="00987B89" w:rsidRPr="0089351A">
        <w:rPr>
          <w:rFonts w:asciiTheme="majorBidi" w:hAnsiTheme="majorBidi" w:cstheme="majorBidi"/>
          <w:sz w:val="24"/>
          <w:szCs w:val="24"/>
        </w:rPr>
        <w:lastRenderedPageBreak/>
        <w:t>at least a limited degree’</w:t>
      </w:r>
      <w:r w:rsidR="00864702" w:rsidRPr="0089351A">
        <w:rPr>
          <w:rFonts w:asciiTheme="majorBidi" w:hAnsiTheme="majorBidi" w:cstheme="majorBidi"/>
          <w:sz w:val="24"/>
          <w:szCs w:val="24"/>
        </w:rPr>
        <w:t>.</w:t>
      </w:r>
      <w:r w:rsidR="00987B89" w:rsidRPr="0089351A">
        <w:rPr>
          <w:rStyle w:val="FootnoteReference"/>
          <w:rFonts w:asciiTheme="majorBidi" w:hAnsiTheme="majorBidi" w:cstheme="majorBidi"/>
          <w:sz w:val="24"/>
          <w:szCs w:val="24"/>
        </w:rPr>
        <w:footnoteReference w:id="35"/>
      </w:r>
      <w:r w:rsidRPr="0089351A">
        <w:rPr>
          <w:rFonts w:asciiTheme="majorBidi" w:hAnsiTheme="majorBidi" w:cstheme="majorBidi"/>
          <w:sz w:val="24"/>
          <w:szCs w:val="24"/>
        </w:rPr>
        <w:t xml:space="preserve"> </w:t>
      </w:r>
      <w:r w:rsidR="00CF02E4" w:rsidRPr="0089351A">
        <w:rPr>
          <w:rFonts w:asciiTheme="majorBidi" w:hAnsiTheme="majorBidi" w:cstheme="majorBidi"/>
          <w:sz w:val="24"/>
          <w:szCs w:val="24"/>
        </w:rPr>
        <w:t xml:space="preserve">It may be realistic to hope for ‘some common understanding of a country’s conflictual past’. </w:t>
      </w:r>
      <w:r w:rsidR="005F3535" w:rsidRPr="0089351A">
        <w:rPr>
          <w:rFonts w:asciiTheme="majorBidi" w:hAnsiTheme="majorBidi" w:cstheme="majorBidi"/>
          <w:sz w:val="24"/>
          <w:szCs w:val="24"/>
        </w:rPr>
        <w:t xml:space="preserve">Commissions </w:t>
      </w:r>
      <w:r w:rsidR="00CC21A6" w:rsidRPr="0089351A">
        <w:rPr>
          <w:rFonts w:asciiTheme="majorBidi" w:hAnsiTheme="majorBidi" w:cstheme="majorBidi"/>
          <w:sz w:val="24"/>
          <w:szCs w:val="24"/>
        </w:rPr>
        <w:t>must</w:t>
      </w:r>
      <w:r w:rsidR="003B7E0C" w:rsidRPr="0089351A">
        <w:rPr>
          <w:rFonts w:asciiTheme="majorBidi" w:hAnsiTheme="majorBidi" w:cstheme="majorBidi"/>
          <w:sz w:val="24"/>
          <w:szCs w:val="24"/>
        </w:rPr>
        <w:t xml:space="preserve"> change beliefs and attitudes as a </w:t>
      </w:r>
      <w:r w:rsidR="005F3535" w:rsidRPr="0089351A">
        <w:rPr>
          <w:rFonts w:asciiTheme="majorBidi" w:hAnsiTheme="majorBidi" w:cstheme="majorBidi"/>
          <w:sz w:val="24"/>
          <w:szCs w:val="24"/>
        </w:rPr>
        <w:t xml:space="preserve">part of a </w:t>
      </w:r>
      <w:r w:rsidR="003B7E0C" w:rsidRPr="0089351A">
        <w:rPr>
          <w:rFonts w:asciiTheme="majorBidi" w:hAnsiTheme="majorBidi" w:cstheme="majorBidi"/>
          <w:sz w:val="24"/>
          <w:szCs w:val="24"/>
        </w:rPr>
        <w:t xml:space="preserve">process of societal transformation, </w:t>
      </w:r>
      <w:r w:rsidR="00731468" w:rsidRPr="0089351A">
        <w:rPr>
          <w:rFonts w:asciiTheme="majorBidi" w:hAnsiTheme="majorBidi" w:cstheme="majorBidi"/>
          <w:sz w:val="24"/>
          <w:szCs w:val="24"/>
        </w:rPr>
        <w:t>elicit</w:t>
      </w:r>
      <w:r w:rsidR="00CC21A6" w:rsidRPr="0089351A">
        <w:rPr>
          <w:rFonts w:asciiTheme="majorBidi" w:hAnsiTheme="majorBidi" w:cstheme="majorBidi"/>
          <w:sz w:val="24"/>
          <w:szCs w:val="24"/>
        </w:rPr>
        <w:t>ing</w:t>
      </w:r>
      <w:r w:rsidR="003B7E0C" w:rsidRPr="0089351A">
        <w:rPr>
          <w:rFonts w:asciiTheme="majorBidi" w:hAnsiTheme="majorBidi" w:cstheme="majorBidi"/>
          <w:sz w:val="24"/>
          <w:szCs w:val="24"/>
        </w:rPr>
        <w:t xml:space="preserve"> ‘credible information about the past’</w:t>
      </w:r>
      <w:r w:rsidR="00987B89" w:rsidRPr="0089351A">
        <w:rPr>
          <w:rFonts w:asciiTheme="majorBidi" w:hAnsiTheme="majorBidi" w:cstheme="majorBidi"/>
          <w:sz w:val="24"/>
          <w:szCs w:val="24"/>
        </w:rPr>
        <w:t>.</w:t>
      </w:r>
      <w:r w:rsidR="00987B89" w:rsidRPr="0089351A">
        <w:rPr>
          <w:rStyle w:val="FootnoteReference"/>
          <w:rFonts w:asciiTheme="majorBidi" w:hAnsiTheme="majorBidi" w:cstheme="majorBidi"/>
          <w:sz w:val="24"/>
          <w:szCs w:val="24"/>
        </w:rPr>
        <w:footnoteReference w:id="36"/>
      </w:r>
      <w:r w:rsidR="003B7E0C" w:rsidRPr="0089351A">
        <w:rPr>
          <w:rFonts w:asciiTheme="majorBidi" w:hAnsiTheme="majorBidi" w:cstheme="majorBidi"/>
          <w:sz w:val="24"/>
          <w:szCs w:val="24"/>
        </w:rPr>
        <w:t xml:space="preserve"> </w:t>
      </w:r>
      <w:r w:rsidRPr="0089351A">
        <w:rPr>
          <w:rFonts w:asciiTheme="majorBidi" w:hAnsiTheme="majorBidi" w:cstheme="majorBidi"/>
          <w:sz w:val="24"/>
          <w:szCs w:val="24"/>
        </w:rPr>
        <w:t>H</w:t>
      </w:r>
      <w:r w:rsidR="00253178" w:rsidRPr="0089351A">
        <w:rPr>
          <w:rFonts w:asciiTheme="majorBidi" w:hAnsiTheme="majorBidi" w:cstheme="majorBidi"/>
          <w:sz w:val="24"/>
          <w:szCs w:val="24"/>
        </w:rPr>
        <w:t>e suggests that the South African TRC ‘generated a truth about the past that is fairly</w:t>
      </w:r>
      <w:r w:rsidRPr="0089351A">
        <w:rPr>
          <w:rFonts w:asciiTheme="majorBidi" w:hAnsiTheme="majorBidi" w:cstheme="majorBidi"/>
          <w:sz w:val="24"/>
          <w:szCs w:val="24"/>
        </w:rPr>
        <w:t xml:space="preserve"> widely accepted’, whose proceedings </w:t>
      </w:r>
      <w:r w:rsidR="00DE3EF0" w:rsidRPr="0089351A">
        <w:rPr>
          <w:rFonts w:asciiTheme="majorBidi" w:hAnsiTheme="majorBidi" w:cstheme="majorBidi"/>
          <w:sz w:val="24"/>
          <w:szCs w:val="24"/>
        </w:rPr>
        <w:t xml:space="preserve">bought the transition process </w:t>
      </w:r>
      <w:r w:rsidR="00253178" w:rsidRPr="0089351A">
        <w:rPr>
          <w:rFonts w:asciiTheme="majorBidi" w:hAnsiTheme="majorBidi" w:cstheme="majorBidi"/>
          <w:sz w:val="24"/>
          <w:szCs w:val="24"/>
        </w:rPr>
        <w:t xml:space="preserve">‘breathing space’ </w:t>
      </w:r>
      <w:r w:rsidR="00233532" w:rsidRPr="0089351A">
        <w:rPr>
          <w:rFonts w:asciiTheme="majorBidi" w:hAnsiTheme="majorBidi" w:cstheme="majorBidi"/>
          <w:sz w:val="24"/>
          <w:szCs w:val="24"/>
        </w:rPr>
        <w:t xml:space="preserve">during </w:t>
      </w:r>
      <w:r w:rsidR="00253178" w:rsidRPr="0089351A">
        <w:rPr>
          <w:rFonts w:asciiTheme="majorBidi" w:hAnsiTheme="majorBidi" w:cstheme="majorBidi"/>
          <w:sz w:val="24"/>
          <w:szCs w:val="24"/>
        </w:rPr>
        <w:t>which democratic institutions and</w:t>
      </w:r>
      <w:r w:rsidR="00987B89" w:rsidRPr="0089351A">
        <w:rPr>
          <w:rFonts w:asciiTheme="majorBidi" w:hAnsiTheme="majorBidi" w:cstheme="majorBidi"/>
          <w:sz w:val="24"/>
          <w:szCs w:val="24"/>
        </w:rPr>
        <w:t xml:space="preserve"> processes could be built</w:t>
      </w:r>
      <w:r w:rsidR="00200C89" w:rsidRPr="0089351A">
        <w:rPr>
          <w:rFonts w:asciiTheme="majorBidi" w:hAnsiTheme="majorBidi" w:cstheme="majorBidi"/>
          <w:sz w:val="24"/>
          <w:szCs w:val="24"/>
        </w:rPr>
        <w:t>.</w:t>
      </w:r>
      <w:r w:rsidR="00987B89" w:rsidRPr="0089351A">
        <w:rPr>
          <w:rStyle w:val="FootnoteReference"/>
          <w:rFonts w:asciiTheme="majorBidi" w:hAnsiTheme="majorBidi" w:cstheme="majorBidi"/>
          <w:sz w:val="24"/>
          <w:szCs w:val="24"/>
        </w:rPr>
        <w:footnoteReference w:id="37"/>
      </w:r>
      <w:r w:rsidR="009D52EC" w:rsidRPr="0089351A">
        <w:rPr>
          <w:rFonts w:asciiTheme="majorBidi" w:hAnsiTheme="majorBidi" w:cstheme="majorBidi"/>
          <w:sz w:val="24"/>
          <w:szCs w:val="24"/>
        </w:rPr>
        <w:t xml:space="preserve"> </w:t>
      </w:r>
      <w:r w:rsidR="00CC21A6" w:rsidRPr="0089351A">
        <w:rPr>
          <w:rFonts w:asciiTheme="majorBidi" w:hAnsiTheme="majorBidi" w:cstheme="majorBidi"/>
          <w:sz w:val="24"/>
          <w:szCs w:val="24"/>
        </w:rPr>
        <w:t>C</w:t>
      </w:r>
      <w:r w:rsidR="00253178" w:rsidRPr="0089351A">
        <w:rPr>
          <w:rFonts w:asciiTheme="majorBidi" w:hAnsiTheme="majorBidi" w:cstheme="majorBidi"/>
          <w:sz w:val="24"/>
          <w:szCs w:val="24"/>
        </w:rPr>
        <w:t>onditions for success are related to a ‘simple micro mod</w:t>
      </w:r>
      <w:r w:rsidR="006D2F01" w:rsidRPr="0089351A">
        <w:rPr>
          <w:rFonts w:asciiTheme="majorBidi" w:hAnsiTheme="majorBidi" w:cstheme="majorBidi"/>
          <w:sz w:val="24"/>
          <w:szCs w:val="24"/>
        </w:rPr>
        <w:t>el’ of legitimacy where the latter is defined as ‘the belief that authorities, institutions and social arrangements are appropriate</w:t>
      </w:r>
      <w:r w:rsidR="00987B89" w:rsidRPr="0089351A">
        <w:rPr>
          <w:rFonts w:asciiTheme="majorBidi" w:hAnsiTheme="majorBidi" w:cstheme="majorBidi"/>
          <w:sz w:val="24"/>
          <w:szCs w:val="24"/>
        </w:rPr>
        <w:t>, proper and just’</w:t>
      </w:r>
      <w:r w:rsidR="00200C89" w:rsidRPr="0089351A">
        <w:rPr>
          <w:rFonts w:asciiTheme="majorBidi" w:hAnsiTheme="majorBidi" w:cstheme="majorBidi"/>
          <w:sz w:val="24"/>
          <w:szCs w:val="24"/>
        </w:rPr>
        <w:t>.</w:t>
      </w:r>
      <w:r w:rsidR="00987B89" w:rsidRPr="0089351A">
        <w:rPr>
          <w:rStyle w:val="FootnoteReference"/>
          <w:rFonts w:asciiTheme="majorBidi" w:hAnsiTheme="majorBidi" w:cstheme="majorBidi"/>
          <w:sz w:val="24"/>
          <w:szCs w:val="24"/>
        </w:rPr>
        <w:footnoteReference w:id="38"/>
      </w:r>
      <w:r w:rsidR="006D2F01" w:rsidRPr="0089351A">
        <w:rPr>
          <w:rFonts w:asciiTheme="majorBidi" w:hAnsiTheme="majorBidi" w:cstheme="majorBidi"/>
          <w:sz w:val="24"/>
          <w:szCs w:val="24"/>
        </w:rPr>
        <w:t xml:space="preserve"> </w:t>
      </w:r>
      <w:r w:rsidR="005F3535" w:rsidRPr="0089351A">
        <w:rPr>
          <w:rFonts w:asciiTheme="majorBidi" w:hAnsiTheme="majorBidi" w:cstheme="majorBidi"/>
          <w:sz w:val="24"/>
          <w:szCs w:val="24"/>
        </w:rPr>
        <w:t>E</w:t>
      </w:r>
      <w:r w:rsidR="009D52EC" w:rsidRPr="0089351A">
        <w:rPr>
          <w:rFonts w:asciiTheme="majorBidi" w:hAnsiTheme="majorBidi" w:cstheme="majorBidi"/>
          <w:sz w:val="24"/>
          <w:szCs w:val="24"/>
        </w:rPr>
        <w:t>ffectiveness</w:t>
      </w:r>
      <w:r w:rsidR="00253178" w:rsidRPr="0089351A">
        <w:rPr>
          <w:rFonts w:asciiTheme="majorBidi" w:hAnsiTheme="majorBidi" w:cstheme="majorBidi"/>
          <w:sz w:val="24"/>
          <w:szCs w:val="24"/>
        </w:rPr>
        <w:t xml:space="preserve"> depends on two ‘crucial’ factors</w:t>
      </w:r>
      <w:r w:rsidR="00987B89" w:rsidRPr="0089351A">
        <w:rPr>
          <w:rStyle w:val="FootnoteReference"/>
          <w:rFonts w:asciiTheme="majorBidi" w:hAnsiTheme="majorBidi" w:cstheme="majorBidi"/>
          <w:sz w:val="24"/>
          <w:szCs w:val="24"/>
        </w:rPr>
        <w:footnoteReference w:id="39"/>
      </w:r>
      <w:r w:rsidR="00253178" w:rsidRPr="0089351A">
        <w:rPr>
          <w:rFonts w:asciiTheme="majorBidi" w:hAnsiTheme="majorBidi" w:cstheme="majorBidi"/>
          <w:sz w:val="24"/>
          <w:szCs w:val="24"/>
        </w:rPr>
        <w:t xml:space="preserve">: whether the commission can attract the attention of its constituents and whether it is </w:t>
      </w:r>
      <w:r w:rsidR="00233532" w:rsidRPr="0089351A">
        <w:rPr>
          <w:rFonts w:asciiTheme="majorBidi" w:hAnsiTheme="majorBidi" w:cstheme="majorBidi"/>
          <w:sz w:val="24"/>
          <w:szCs w:val="24"/>
        </w:rPr>
        <w:t xml:space="preserve">popularly </w:t>
      </w:r>
      <w:r w:rsidR="00253178" w:rsidRPr="0089351A">
        <w:rPr>
          <w:rFonts w:asciiTheme="majorBidi" w:hAnsiTheme="majorBidi" w:cstheme="majorBidi"/>
          <w:sz w:val="24"/>
          <w:szCs w:val="24"/>
        </w:rPr>
        <w:t>perceived as legitimate.</w:t>
      </w:r>
      <w:r w:rsidR="00F07C24" w:rsidRPr="0089351A">
        <w:rPr>
          <w:rFonts w:asciiTheme="majorBidi" w:hAnsiTheme="majorBidi" w:cstheme="majorBidi"/>
          <w:sz w:val="24"/>
          <w:szCs w:val="24"/>
        </w:rPr>
        <w:t xml:space="preserve"> The Commission’s modus operandi should</w:t>
      </w:r>
      <w:r w:rsidR="006056D1" w:rsidRPr="0089351A">
        <w:rPr>
          <w:rFonts w:asciiTheme="majorBidi" w:hAnsiTheme="majorBidi" w:cstheme="majorBidi"/>
          <w:sz w:val="24"/>
          <w:szCs w:val="24"/>
        </w:rPr>
        <w:t xml:space="preserve"> buttress its legitimacy</w:t>
      </w:r>
      <w:r w:rsidR="00F07C24" w:rsidRPr="0089351A">
        <w:rPr>
          <w:rFonts w:asciiTheme="majorBidi" w:hAnsiTheme="majorBidi" w:cstheme="majorBidi"/>
          <w:sz w:val="24"/>
          <w:szCs w:val="24"/>
        </w:rPr>
        <w:t xml:space="preserve"> by enhancing perceptions of </w:t>
      </w:r>
      <w:r w:rsidR="006056D1" w:rsidRPr="0089351A">
        <w:rPr>
          <w:rFonts w:asciiTheme="majorBidi" w:hAnsiTheme="majorBidi" w:cstheme="majorBidi"/>
          <w:sz w:val="24"/>
          <w:szCs w:val="24"/>
        </w:rPr>
        <w:t>fairness through even</w:t>
      </w:r>
      <w:r w:rsidR="005F3535" w:rsidRPr="0089351A">
        <w:rPr>
          <w:rFonts w:asciiTheme="majorBidi" w:hAnsiTheme="majorBidi" w:cstheme="majorBidi"/>
          <w:sz w:val="24"/>
          <w:szCs w:val="24"/>
        </w:rPr>
        <w:t>-handedness, but the two</w:t>
      </w:r>
      <w:r w:rsidR="006056D1" w:rsidRPr="0089351A">
        <w:rPr>
          <w:rFonts w:asciiTheme="majorBidi" w:hAnsiTheme="majorBidi" w:cstheme="majorBidi"/>
          <w:sz w:val="24"/>
          <w:szCs w:val="24"/>
        </w:rPr>
        <w:t xml:space="preserve"> preconditions must </w:t>
      </w:r>
      <w:r w:rsidR="005F3535" w:rsidRPr="0089351A">
        <w:rPr>
          <w:rFonts w:asciiTheme="majorBidi" w:hAnsiTheme="majorBidi" w:cstheme="majorBidi"/>
          <w:sz w:val="24"/>
          <w:szCs w:val="24"/>
        </w:rPr>
        <w:t xml:space="preserve">first </w:t>
      </w:r>
      <w:r w:rsidR="006056D1" w:rsidRPr="0089351A">
        <w:rPr>
          <w:rFonts w:asciiTheme="majorBidi" w:hAnsiTheme="majorBidi" w:cstheme="majorBidi"/>
          <w:sz w:val="24"/>
          <w:szCs w:val="24"/>
        </w:rPr>
        <w:t>be met</w:t>
      </w:r>
      <w:r w:rsidR="00200C89" w:rsidRPr="0089351A">
        <w:rPr>
          <w:rFonts w:asciiTheme="majorBidi" w:hAnsiTheme="majorBidi" w:cstheme="majorBidi"/>
          <w:sz w:val="24"/>
          <w:szCs w:val="24"/>
        </w:rPr>
        <w:t>.</w:t>
      </w:r>
      <w:r w:rsidR="00987B89" w:rsidRPr="0089351A">
        <w:rPr>
          <w:rStyle w:val="FootnoteReference"/>
          <w:rFonts w:asciiTheme="majorBidi" w:hAnsiTheme="majorBidi" w:cstheme="majorBidi"/>
          <w:sz w:val="24"/>
          <w:szCs w:val="24"/>
        </w:rPr>
        <w:footnoteReference w:id="40"/>
      </w:r>
      <w:r w:rsidR="00CE4606" w:rsidRPr="0089351A">
        <w:rPr>
          <w:rFonts w:asciiTheme="majorBidi" w:hAnsiTheme="majorBidi" w:cstheme="majorBidi"/>
          <w:sz w:val="24"/>
          <w:szCs w:val="24"/>
        </w:rPr>
        <w:t xml:space="preserve"> </w:t>
      </w:r>
      <w:r w:rsidR="00F07C24" w:rsidRPr="0089351A">
        <w:rPr>
          <w:rFonts w:asciiTheme="majorBidi" w:hAnsiTheme="majorBidi" w:cstheme="majorBidi"/>
          <w:sz w:val="24"/>
          <w:szCs w:val="24"/>
        </w:rPr>
        <w:t xml:space="preserve">Those not defining themselves as political activists form a Truth Commission’s real constituency. </w:t>
      </w:r>
      <w:r w:rsidR="005D646E" w:rsidRPr="0089351A">
        <w:rPr>
          <w:rFonts w:asciiTheme="majorBidi" w:hAnsiTheme="majorBidi" w:cstheme="majorBidi"/>
          <w:sz w:val="24"/>
          <w:szCs w:val="24"/>
        </w:rPr>
        <w:t>Constituents’ i</w:t>
      </w:r>
      <w:r w:rsidR="008C5D25" w:rsidRPr="0089351A">
        <w:rPr>
          <w:rFonts w:asciiTheme="majorBidi" w:hAnsiTheme="majorBidi" w:cstheme="majorBidi"/>
          <w:sz w:val="24"/>
          <w:szCs w:val="24"/>
        </w:rPr>
        <w:t xml:space="preserve">nvolvement can ensure </w:t>
      </w:r>
      <w:r w:rsidR="0031223C" w:rsidRPr="0089351A">
        <w:rPr>
          <w:rFonts w:asciiTheme="majorBidi" w:hAnsiTheme="majorBidi" w:cstheme="majorBidi"/>
          <w:sz w:val="24"/>
          <w:szCs w:val="24"/>
        </w:rPr>
        <w:t xml:space="preserve">perceptions of </w:t>
      </w:r>
      <w:r w:rsidR="008C5D25" w:rsidRPr="0089351A">
        <w:rPr>
          <w:rFonts w:asciiTheme="majorBidi" w:hAnsiTheme="majorBidi" w:cstheme="majorBidi"/>
          <w:sz w:val="24"/>
          <w:szCs w:val="24"/>
        </w:rPr>
        <w:t>fairness by</w:t>
      </w:r>
      <w:r w:rsidR="00233532" w:rsidRPr="0089351A">
        <w:rPr>
          <w:rFonts w:asciiTheme="majorBidi" w:hAnsiTheme="majorBidi" w:cstheme="majorBidi"/>
          <w:sz w:val="24"/>
          <w:szCs w:val="24"/>
        </w:rPr>
        <w:t xml:space="preserve"> </w:t>
      </w:r>
      <w:r w:rsidR="00C53F47" w:rsidRPr="0089351A">
        <w:rPr>
          <w:rFonts w:asciiTheme="majorBidi" w:hAnsiTheme="majorBidi" w:cstheme="majorBidi"/>
          <w:sz w:val="24"/>
          <w:szCs w:val="24"/>
        </w:rPr>
        <w:t>pressurising</w:t>
      </w:r>
      <w:r w:rsidR="00233532" w:rsidRPr="0089351A">
        <w:rPr>
          <w:rFonts w:asciiTheme="majorBidi" w:hAnsiTheme="majorBidi" w:cstheme="majorBidi"/>
          <w:sz w:val="24"/>
          <w:szCs w:val="24"/>
        </w:rPr>
        <w:t xml:space="preserve"> the inquiry </w:t>
      </w:r>
      <w:r w:rsidR="00C53F47" w:rsidRPr="0089351A">
        <w:rPr>
          <w:rFonts w:asciiTheme="majorBidi" w:hAnsiTheme="majorBidi" w:cstheme="majorBidi"/>
          <w:sz w:val="24"/>
          <w:szCs w:val="24"/>
        </w:rPr>
        <w:t xml:space="preserve">to operate </w:t>
      </w:r>
      <w:r w:rsidR="00233532" w:rsidRPr="0089351A">
        <w:rPr>
          <w:rFonts w:asciiTheme="majorBidi" w:hAnsiTheme="majorBidi" w:cstheme="majorBidi"/>
          <w:sz w:val="24"/>
          <w:szCs w:val="24"/>
        </w:rPr>
        <w:t>carefully and conscientiously</w:t>
      </w:r>
      <w:r w:rsidR="00C53F47" w:rsidRPr="0089351A">
        <w:rPr>
          <w:rFonts w:asciiTheme="majorBidi" w:hAnsiTheme="majorBidi" w:cstheme="majorBidi"/>
          <w:sz w:val="24"/>
          <w:szCs w:val="24"/>
        </w:rPr>
        <w:t xml:space="preserve">, to move in relevant directions and operate in ways consistent with their interests. </w:t>
      </w:r>
      <w:r w:rsidR="008C5D25" w:rsidRPr="0089351A">
        <w:rPr>
          <w:rFonts w:asciiTheme="majorBidi" w:hAnsiTheme="majorBidi" w:cstheme="majorBidi"/>
          <w:sz w:val="24"/>
          <w:szCs w:val="24"/>
        </w:rPr>
        <w:t xml:space="preserve">  </w:t>
      </w:r>
    </w:p>
    <w:p w:rsidR="00991D8C" w:rsidRPr="0089351A" w:rsidRDefault="00991D8C"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Method</w:t>
      </w:r>
    </w:p>
    <w:p w:rsidR="00F55FCC" w:rsidRPr="0089351A" w:rsidRDefault="00DE3EF0"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O</w:t>
      </w:r>
      <w:r w:rsidR="00406009" w:rsidRPr="0089351A">
        <w:rPr>
          <w:rFonts w:asciiTheme="majorBidi" w:hAnsiTheme="majorBidi" w:cstheme="majorBidi"/>
          <w:sz w:val="24"/>
          <w:szCs w:val="24"/>
        </w:rPr>
        <w:t xml:space="preserve">ur research has </w:t>
      </w:r>
      <w:r w:rsidRPr="0089351A">
        <w:rPr>
          <w:rFonts w:asciiTheme="majorBidi" w:hAnsiTheme="majorBidi" w:cstheme="majorBidi"/>
          <w:sz w:val="24"/>
          <w:szCs w:val="24"/>
        </w:rPr>
        <w:t>contemporary and historical</w:t>
      </w:r>
      <w:r w:rsidR="00406009" w:rsidRPr="0089351A">
        <w:rPr>
          <w:rFonts w:asciiTheme="majorBidi" w:hAnsiTheme="majorBidi" w:cstheme="majorBidi"/>
          <w:sz w:val="24"/>
          <w:szCs w:val="24"/>
        </w:rPr>
        <w:t xml:space="preserve"> dimensions</w:t>
      </w:r>
      <w:r w:rsidRPr="0089351A">
        <w:rPr>
          <w:rFonts w:asciiTheme="majorBidi" w:hAnsiTheme="majorBidi" w:cstheme="majorBidi"/>
          <w:sz w:val="24"/>
          <w:szCs w:val="24"/>
        </w:rPr>
        <w:t xml:space="preserve">, requiring different methods. </w:t>
      </w:r>
      <w:r w:rsidR="00F8538D" w:rsidRPr="0089351A">
        <w:rPr>
          <w:rFonts w:asciiTheme="majorBidi" w:hAnsiTheme="majorBidi" w:cstheme="majorBidi"/>
          <w:sz w:val="24"/>
          <w:szCs w:val="24"/>
        </w:rPr>
        <w:t>To investigate c</w:t>
      </w:r>
      <w:r w:rsidR="005D646E" w:rsidRPr="0089351A">
        <w:rPr>
          <w:rFonts w:asciiTheme="majorBidi" w:hAnsiTheme="majorBidi" w:cstheme="majorBidi"/>
          <w:sz w:val="24"/>
          <w:szCs w:val="24"/>
        </w:rPr>
        <w:t>ontemporary</w:t>
      </w:r>
      <w:r w:rsidR="00B63773" w:rsidRPr="0089351A">
        <w:rPr>
          <w:rFonts w:asciiTheme="majorBidi" w:hAnsiTheme="majorBidi" w:cstheme="majorBidi"/>
          <w:sz w:val="24"/>
          <w:szCs w:val="24"/>
        </w:rPr>
        <w:t xml:space="preserve"> issues</w:t>
      </w:r>
      <w:r w:rsidR="00991D8C" w:rsidRPr="0089351A">
        <w:rPr>
          <w:rFonts w:asciiTheme="majorBidi" w:hAnsiTheme="majorBidi" w:cstheme="majorBidi"/>
          <w:sz w:val="24"/>
          <w:szCs w:val="24"/>
        </w:rPr>
        <w:t xml:space="preserve">, we </w:t>
      </w:r>
      <w:r w:rsidR="00CC21A6" w:rsidRPr="0089351A">
        <w:rPr>
          <w:rFonts w:asciiTheme="majorBidi" w:hAnsiTheme="majorBidi" w:cstheme="majorBidi"/>
          <w:sz w:val="24"/>
          <w:szCs w:val="24"/>
        </w:rPr>
        <w:t>used</w:t>
      </w:r>
      <w:r w:rsidR="00991D8C" w:rsidRPr="0089351A">
        <w:rPr>
          <w:rFonts w:asciiTheme="majorBidi" w:hAnsiTheme="majorBidi" w:cstheme="majorBidi"/>
          <w:sz w:val="24"/>
          <w:szCs w:val="24"/>
        </w:rPr>
        <w:t xml:space="preserve"> </w:t>
      </w:r>
      <w:r w:rsidR="00F07C24" w:rsidRPr="0089351A">
        <w:rPr>
          <w:rFonts w:asciiTheme="majorBidi" w:hAnsiTheme="majorBidi" w:cstheme="majorBidi"/>
          <w:sz w:val="24"/>
          <w:szCs w:val="24"/>
        </w:rPr>
        <w:t xml:space="preserve">transcripts of </w:t>
      </w:r>
      <w:r w:rsidR="00991D8C" w:rsidRPr="0089351A">
        <w:rPr>
          <w:rFonts w:asciiTheme="majorBidi" w:hAnsiTheme="majorBidi" w:cstheme="majorBidi"/>
          <w:sz w:val="24"/>
          <w:szCs w:val="24"/>
        </w:rPr>
        <w:t xml:space="preserve">a series of </w:t>
      </w:r>
      <w:r w:rsidR="00F55FCC" w:rsidRPr="0089351A">
        <w:rPr>
          <w:rFonts w:asciiTheme="majorBidi" w:hAnsiTheme="majorBidi" w:cstheme="majorBidi"/>
          <w:sz w:val="24"/>
          <w:szCs w:val="24"/>
        </w:rPr>
        <w:t xml:space="preserve">fifteen </w:t>
      </w:r>
      <w:r w:rsidR="00991D8C" w:rsidRPr="0089351A">
        <w:rPr>
          <w:rFonts w:asciiTheme="majorBidi" w:hAnsiTheme="majorBidi" w:cstheme="majorBidi"/>
          <w:sz w:val="24"/>
          <w:szCs w:val="24"/>
        </w:rPr>
        <w:t xml:space="preserve">interviews </w:t>
      </w:r>
      <w:r w:rsidRPr="0089351A">
        <w:rPr>
          <w:rFonts w:asciiTheme="majorBidi" w:hAnsiTheme="majorBidi" w:cstheme="majorBidi"/>
          <w:sz w:val="24"/>
          <w:szCs w:val="24"/>
        </w:rPr>
        <w:t xml:space="preserve">with members of the local political elite </w:t>
      </w:r>
      <w:r w:rsidR="00991D8C" w:rsidRPr="0089351A">
        <w:rPr>
          <w:rFonts w:asciiTheme="majorBidi" w:hAnsiTheme="majorBidi" w:cstheme="majorBidi"/>
          <w:sz w:val="24"/>
          <w:szCs w:val="24"/>
        </w:rPr>
        <w:t xml:space="preserve">conducted </w:t>
      </w:r>
      <w:r w:rsidR="00F55FCC" w:rsidRPr="0089351A">
        <w:rPr>
          <w:rFonts w:asciiTheme="majorBidi" w:hAnsiTheme="majorBidi" w:cstheme="majorBidi"/>
          <w:sz w:val="24"/>
          <w:szCs w:val="24"/>
        </w:rPr>
        <w:t xml:space="preserve">in </w:t>
      </w:r>
      <w:r w:rsidR="00F07C24" w:rsidRPr="0089351A">
        <w:rPr>
          <w:rFonts w:asciiTheme="majorBidi" w:hAnsiTheme="majorBidi" w:cstheme="majorBidi"/>
          <w:sz w:val="24"/>
          <w:szCs w:val="24"/>
        </w:rPr>
        <w:t xml:space="preserve">2013 in </w:t>
      </w:r>
      <w:r w:rsidR="00F55FCC" w:rsidRPr="0089351A">
        <w:rPr>
          <w:rFonts w:asciiTheme="majorBidi" w:hAnsiTheme="majorBidi" w:cstheme="majorBidi"/>
          <w:sz w:val="24"/>
          <w:szCs w:val="24"/>
        </w:rPr>
        <w:t xml:space="preserve">English </w:t>
      </w:r>
      <w:r w:rsidR="00F07C24" w:rsidRPr="0089351A">
        <w:rPr>
          <w:rFonts w:asciiTheme="majorBidi" w:hAnsiTheme="majorBidi" w:cstheme="majorBidi"/>
          <w:sz w:val="24"/>
          <w:szCs w:val="24"/>
        </w:rPr>
        <w:t xml:space="preserve">by another researcher. </w:t>
      </w:r>
      <w:r w:rsidR="00F07C24" w:rsidRPr="0089351A">
        <w:rPr>
          <w:rFonts w:asciiTheme="majorBidi" w:hAnsiTheme="majorBidi" w:cstheme="majorBidi"/>
          <w:sz w:val="24"/>
          <w:szCs w:val="24"/>
        </w:rPr>
        <w:lastRenderedPageBreak/>
        <w:t xml:space="preserve">Although they contained information about the MTJC, they were </w:t>
      </w:r>
      <w:r w:rsidR="00B34236" w:rsidRPr="0089351A">
        <w:rPr>
          <w:rFonts w:asciiTheme="majorBidi" w:hAnsiTheme="majorBidi" w:cstheme="majorBidi"/>
          <w:sz w:val="24"/>
          <w:szCs w:val="24"/>
        </w:rPr>
        <w:t>mainly valuable because</w:t>
      </w:r>
      <w:r w:rsidR="00F07C24" w:rsidRPr="0089351A">
        <w:rPr>
          <w:rFonts w:asciiTheme="majorBidi" w:hAnsiTheme="majorBidi" w:cstheme="majorBidi"/>
          <w:sz w:val="24"/>
          <w:szCs w:val="24"/>
        </w:rPr>
        <w:t xml:space="preserve"> they provided an external, contextual perspective</w:t>
      </w:r>
      <w:r w:rsidR="00196A48" w:rsidRPr="0089351A">
        <w:rPr>
          <w:rFonts w:asciiTheme="majorBidi" w:hAnsiTheme="majorBidi" w:cstheme="majorBidi"/>
          <w:sz w:val="24"/>
          <w:szCs w:val="24"/>
        </w:rPr>
        <w:t>; they are used as background here</w:t>
      </w:r>
      <w:r w:rsidR="00F07C24" w:rsidRPr="0089351A">
        <w:rPr>
          <w:rFonts w:asciiTheme="majorBidi" w:hAnsiTheme="majorBidi" w:cstheme="majorBidi"/>
          <w:sz w:val="24"/>
          <w:szCs w:val="24"/>
        </w:rPr>
        <w:t xml:space="preserve">. These </w:t>
      </w:r>
      <w:r w:rsidR="00B34236" w:rsidRPr="0089351A">
        <w:rPr>
          <w:rFonts w:asciiTheme="majorBidi" w:hAnsiTheme="majorBidi" w:cstheme="majorBidi"/>
          <w:sz w:val="24"/>
          <w:szCs w:val="24"/>
        </w:rPr>
        <w:t xml:space="preserve">helped </w:t>
      </w:r>
      <w:r w:rsidR="00F07C24" w:rsidRPr="0089351A">
        <w:rPr>
          <w:rFonts w:asciiTheme="majorBidi" w:hAnsiTheme="majorBidi" w:cstheme="majorBidi"/>
          <w:sz w:val="24"/>
          <w:szCs w:val="24"/>
        </w:rPr>
        <w:t>us locat</w:t>
      </w:r>
      <w:r w:rsidR="00991D8C" w:rsidRPr="0089351A">
        <w:rPr>
          <w:rFonts w:asciiTheme="majorBidi" w:hAnsiTheme="majorBidi" w:cstheme="majorBidi"/>
          <w:sz w:val="24"/>
          <w:szCs w:val="24"/>
        </w:rPr>
        <w:t>e t</w:t>
      </w:r>
      <w:r w:rsidR="00F07C24" w:rsidRPr="0089351A">
        <w:rPr>
          <w:rFonts w:asciiTheme="majorBidi" w:hAnsiTheme="majorBidi" w:cstheme="majorBidi"/>
          <w:sz w:val="24"/>
          <w:szCs w:val="24"/>
        </w:rPr>
        <w:t xml:space="preserve">he </w:t>
      </w:r>
      <w:r w:rsidR="008323D7" w:rsidRPr="0089351A">
        <w:rPr>
          <w:rFonts w:asciiTheme="majorBidi" w:hAnsiTheme="majorBidi" w:cstheme="majorBidi"/>
          <w:sz w:val="24"/>
          <w:szCs w:val="24"/>
        </w:rPr>
        <w:t>MTJC</w:t>
      </w:r>
      <w:r w:rsidR="00F07C24" w:rsidRPr="0089351A">
        <w:rPr>
          <w:rFonts w:asciiTheme="majorBidi" w:hAnsiTheme="majorBidi" w:cstheme="majorBidi"/>
          <w:sz w:val="24"/>
          <w:szCs w:val="24"/>
        </w:rPr>
        <w:t>’s origins</w:t>
      </w:r>
      <w:r w:rsidR="008323D7" w:rsidRPr="0089351A">
        <w:rPr>
          <w:rFonts w:asciiTheme="majorBidi" w:hAnsiTheme="majorBidi" w:cstheme="majorBidi"/>
          <w:sz w:val="24"/>
          <w:szCs w:val="24"/>
        </w:rPr>
        <w:t xml:space="preserve"> in a broad</w:t>
      </w:r>
      <w:r w:rsidR="00991D8C" w:rsidRPr="0089351A">
        <w:rPr>
          <w:rFonts w:asciiTheme="majorBidi" w:hAnsiTheme="majorBidi" w:cstheme="majorBidi"/>
          <w:sz w:val="24"/>
          <w:szCs w:val="24"/>
        </w:rPr>
        <w:t xml:space="preserve"> political context</w:t>
      </w:r>
      <w:r w:rsidR="00200C89" w:rsidRPr="0089351A">
        <w:rPr>
          <w:rFonts w:asciiTheme="majorBidi" w:hAnsiTheme="majorBidi" w:cstheme="majorBidi"/>
          <w:sz w:val="24"/>
          <w:szCs w:val="24"/>
        </w:rPr>
        <w:t>.</w:t>
      </w:r>
      <w:r w:rsidR="00DE2D87" w:rsidRPr="0089351A">
        <w:rPr>
          <w:rStyle w:val="FootnoteReference"/>
          <w:rFonts w:asciiTheme="majorBidi" w:hAnsiTheme="majorBidi" w:cstheme="majorBidi"/>
          <w:sz w:val="24"/>
          <w:szCs w:val="24"/>
        </w:rPr>
        <w:footnoteReference w:id="41"/>
      </w:r>
      <w:r w:rsidR="00991D8C" w:rsidRPr="0089351A">
        <w:rPr>
          <w:rFonts w:asciiTheme="majorBidi" w:hAnsiTheme="majorBidi" w:cstheme="majorBidi"/>
          <w:sz w:val="24"/>
          <w:szCs w:val="24"/>
        </w:rPr>
        <w:t xml:space="preserve">  </w:t>
      </w:r>
      <w:r w:rsidR="00EF05E7" w:rsidRPr="0089351A">
        <w:rPr>
          <w:rFonts w:asciiTheme="majorBidi" w:hAnsiTheme="majorBidi" w:cstheme="majorBidi"/>
          <w:sz w:val="24"/>
          <w:szCs w:val="24"/>
        </w:rPr>
        <w:t>W</w:t>
      </w:r>
      <w:r w:rsidR="00991D8C" w:rsidRPr="0089351A">
        <w:rPr>
          <w:rFonts w:asciiTheme="majorBidi" w:hAnsiTheme="majorBidi" w:cstheme="majorBidi"/>
          <w:sz w:val="24"/>
          <w:szCs w:val="24"/>
        </w:rPr>
        <w:t xml:space="preserve">e conducted </w:t>
      </w:r>
      <w:r w:rsidR="008323D7" w:rsidRPr="0089351A">
        <w:rPr>
          <w:rFonts w:asciiTheme="majorBidi" w:hAnsiTheme="majorBidi" w:cstheme="majorBidi"/>
          <w:sz w:val="24"/>
          <w:szCs w:val="24"/>
        </w:rPr>
        <w:t xml:space="preserve">intensive </w:t>
      </w:r>
      <w:r w:rsidR="00991D8C" w:rsidRPr="0089351A">
        <w:rPr>
          <w:rFonts w:asciiTheme="majorBidi" w:hAnsiTheme="majorBidi" w:cstheme="majorBidi"/>
          <w:sz w:val="24"/>
          <w:szCs w:val="24"/>
        </w:rPr>
        <w:t xml:space="preserve">semi-structured interviews </w:t>
      </w:r>
      <w:r w:rsidR="007A22AD" w:rsidRPr="0089351A">
        <w:rPr>
          <w:rFonts w:asciiTheme="majorBidi" w:hAnsiTheme="majorBidi" w:cstheme="majorBidi"/>
          <w:sz w:val="24"/>
          <w:szCs w:val="24"/>
        </w:rPr>
        <w:t xml:space="preserve">in </w:t>
      </w:r>
      <w:proofErr w:type="spellStart"/>
      <w:r w:rsidR="007A22AD" w:rsidRPr="0089351A">
        <w:rPr>
          <w:rFonts w:asciiTheme="majorBidi" w:hAnsiTheme="majorBidi" w:cstheme="majorBidi"/>
          <w:sz w:val="24"/>
          <w:szCs w:val="24"/>
        </w:rPr>
        <w:t>Kreol</w:t>
      </w:r>
      <w:proofErr w:type="spellEnd"/>
      <w:r w:rsidR="007A22AD" w:rsidRPr="0089351A">
        <w:rPr>
          <w:rFonts w:asciiTheme="majorBidi" w:hAnsiTheme="majorBidi" w:cstheme="majorBidi"/>
          <w:sz w:val="24"/>
          <w:szCs w:val="24"/>
        </w:rPr>
        <w:t xml:space="preserve"> </w:t>
      </w:r>
      <w:r w:rsidR="00991D8C" w:rsidRPr="0089351A">
        <w:rPr>
          <w:rFonts w:asciiTheme="majorBidi" w:hAnsiTheme="majorBidi" w:cstheme="majorBidi"/>
          <w:sz w:val="24"/>
          <w:szCs w:val="24"/>
        </w:rPr>
        <w:t xml:space="preserve">with six individuals involved </w:t>
      </w:r>
      <w:r w:rsidR="005D646E" w:rsidRPr="0089351A">
        <w:rPr>
          <w:rFonts w:asciiTheme="majorBidi" w:hAnsiTheme="majorBidi" w:cstheme="majorBidi"/>
          <w:sz w:val="24"/>
          <w:szCs w:val="24"/>
        </w:rPr>
        <w:t>with the</w:t>
      </w:r>
      <w:r w:rsidR="00991D8C" w:rsidRPr="0089351A">
        <w:rPr>
          <w:rFonts w:asciiTheme="majorBidi" w:hAnsiTheme="majorBidi" w:cstheme="majorBidi"/>
          <w:sz w:val="24"/>
          <w:szCs w:val="24"/>
        </w:rPr>
        <w:t xml:space="preserve"> MTJC, several of whom also made depositions to it. The interviews were transcribed and coded manually to co</w:t>
      </w:r>
      <w:r w:rsidR="00F55FCC" w:rsidRPr="0089351A">
        <w:rPr>
          <w:rFonts w:asciiTheme="majorBidi" w:hAnsiTheme="majorBidi" w:cstheme="majorBidi"/>
          <w:sz w:val="24"/>
          <w:szCs w:val="24"/>
        </w:rPr>
        <w:t xml:space="preserve">rrespond to our themes. </w:t>
      </w:r>
      <w:r w:rsidR="008323D7" w:rsidRPr="0089351A">
        <w:rPr>
          <w:rFonts w:asciiTheme="majorBidi" w:hAnsiTheme="majorBidi" w:cstheme="majorBidi"/>
          <w:sz w:val="24"/>
          <w:szCs w:val="24"/>
        </w:rPr>
        <w:t>They</w:t>
      </w:r>
      <w:r w:rsidR="005D646E" w:rsidRPr="0089351A">
        <w:rPr>
          <w:rFonts w:asciiTheme="majorBidi" w:hAnsiTheme="majorBidi" w:cstheme="majorBidi"/>
          <w:sz w:val="24"/>
          <w:szCs w:val="24"/>
        </w:rPr>
        <w:t xml:space="preserve"> were used </w:t>
      </w:r>
      <w:r w:rsidR="00D85630" w:rsidRPr="0089351A">
        <w:rPr>
          <w:rFonts w:asciiTheme="majorBidi" w:hAnsiTheme="majorBidi" w:cstheme="majorBidi"/>
          <w:sz w:val="24"/>
          <w:szCs w:val="24"/>
        </w:rPr>
        <w:t>in constructing our section on the MTJC’s origins</w:t>
      </w:r>
      <w:r w:rsidR="0031223C" w:rsidRPr="0089351A">
        <w:rPr>
          <w:rFonts w:asciiTheme="majorBidi" w:hAnsiTheme="majorBidi" w:cstheme="majorBidi"/>
          <w:sz w:val="24"/>
          <w:szCs w:val="24"/>
        </w:rPr>
        <w:t xml:space="preserve"> and form its main basis</w:t>
      </w:r>
      <w:r w:rsidR="00D85630" w:rsidRPr="0089351A">
        <w:rPr>
          <w:rFonts w:asciiTheme="majorBidi" w:hAnsiTheme="majorBidi" w:cstheme="majorBidi"/>
          <w:sz w:val="24"/>
          <w:szCs w:val="24"/>
        </w:rPr>
        <w:t xml:space="preserve">. </w:t>
      </w:r>
      <w:r w:rsidR="00F55FCC" w:rsidRPr="0089351A">
        <w:rPr>
          <w:rFonts w:asciiTheme="majorBidi" w:hAnsiTheme="majorBidi" w:cstheme="majorBidi"/>
          <w:sz w:val="24"/>
          <w:szCs w:val="24"/>
        </w:rPr>
        <w:t>We</w:t>
      </w:r>
      <w:r w:rsidR="00991D8C" w:rsidRPr="0089351A">
        <w:rPr>
          <w:rFonts w:asciiTheme="majorBidi" w:hAnsiTheme="majorBidi" w:cstheme="majorBidi"/>
          <w:sz w:val="24"/>
          <w:szCs w:val="24"/>
        </w:rPr>
        <w:t xml:space="preserve"> </w:t>
      </w:r>
      <w:r w:rsidR="005D646E" w:rsidRPr="0089351A">
        <w:rPr>
          <w:rFonts w:asciiTheme="majorBidi" w:hAnsiTheme="majorBidi" w:cstheme="majorBidi"/>
          <w:sz w:val="24"/>
          <w:szCs w:val="24"/>
        </w:rPr>
        <w:t xml:space="preserve">also </w:t>
      </w:r>
      <w:r w:rsidR="00991D8C" w:rsidRPr="0089351A">
        <w:rPr>
          <w:rFonts w:asciiTheme="majorBidi" w:hAnsiTheme="majorBidi" w:cstheme="majorBidi"/>
          <w:sz w:val="24"/>
          <w:szCs w:val="24"/>
        </w:rPr>
        <w:t xml:space="preserve">conducted thirty brief interviews </w:t>
      </w:r>
      <w:r w:rsidR="007A22AD" w:rsidRPr="0089351A">
        <w:rPr>
          <w:rFonts w:asciiTheme="majorBidi" w:hAnsiTheme="majorBidi" w:cstheme="majorBidi"/>
          <w:sz w:val="24"/>
          <w:szCs w:val="24"/>
        </w:rPr>
        <w:t xml:space="preserve">in </w:t>
      </w:r>
      <w:proofErr w:type="spellStart"/>
      <w:r w:rsidR="007A22AD" w:rsidRPr="0089351A">
        <w:rPr>
          <w:rFonts w:asciiTheme="majorBidi" w:hAnsiTheme="majorBidi" w:cstheme="majorBidi"/>
          <w:sz w:val="24"/>
          <w:szCs w:val="24"/>
        </w:rPr>
        <w:t>Kreol</w:t>
      </w:r>
      <w:proofErr w:type="spellEnd"/>
      <w:r w:rsidR="00F55FCC" w:rsidRPr="0089351A">
        <w:rPr>
          <w:rFonts w:asciiTheme="majorBidi" w:hAnsiTheme="majorBidi" w:cstheme="majorBidi"/>
          <w:sz w:val="24"/>
          <w:szCs w:val="24"/>
        </w:rPr>
        <w:t xml:space="preserve"> </w:t>
      </w:r>
      <w:r w:rsidR="00991D8C" w:rsidRPr="0089351A">
        <w:rPr>
          <w:rFonts w:asciiTheme="majorBidi" w:hAnsiTheme="majorBidi" w:cstheme="majorBidi"/>
          <w:sz w:val="24"/>
          <w:szCs w:val="24"/>
        </w:rPr>
        <w:t xml:space="preserve">with </w:t>
      </w:r>
      <w:r w:rsidR="00F55FCC" w:rsidRPr="0089351A">
        <w:rPr>
          <w:rFonts w:asciiTheme="majorBidi" w:hAnsiTheme="majorBidi" w:cstheme="majorBidi"/>
          <w:sz w:val="24"/>
          <w:szCs w:val="24"/>
        </w:rPr>
        <w:t xml:space="preserve">an opportunity sample of </w:t>
      </w:r>
      <w:r w:rsidR="00991D8C" w:rsidRPr="0089351A">
        <w:rPr>
          <w:rFonts w:asciiTheme="majorBidi" w:hAnsiTheme="majorBidi" w:cstheme="majorBidi"/>
          <w:sz w:val="24"/>
          <w:szCs w:val="24"/>
        </w:rPr>
        <w:t>Creoles</w:t>
      </w:r>
      <w:r w:rsidR="00F55FCC" w:rsidRPr="0089351A">
        <w:rPr>
          <w:rFonts w:asciiTheme="majorBidi" w:hAnsiTheme="majorBidi" w:cstheme="majorBidi"/>
          <w:sz w:val="24"/>
          <w:szCs w:val="24"/>
        </w:rPr>
        <w:t xml:space="preserve"> in order to assess their awareness of the MTJC. </w:t>
      </w:r>
      <w:r w:rsidR="00F07C24" w:rsidRPr="0089351A">
        <w:rPr>
          <w:rFonts w:asciiTheme="majorBidi" w:hAnsiTheme="majorBidi" w:cstheme="majorBidi"/>
          <w:sz w:val="24"/>
          <w:szCs w:val="24"/>
        </w:rPr>
        <w:t xml:space="preserve">All </w:t>
      </w:r>
      <w:r w:rsidR="00C472EC" w:rsidRPr="0089351A">
        <w:rPr>
          <w:rFonts w:asciiTheme="majorBidi" w:hAnsiTheme="majorBidi" w:cstheme="majorBidi"/>
          <w:sz w:val="24"/>
          <w:szCs w:val="24"/>
        </w:rPr>
        <w:t xml:space="preserve">interviews </w:t>
      </w:r>
      <w:r w:rsidR="00406009" w:rsidRPr="0089351A">
        <w:rPr>
          <w:rFonts w:asciiTheme="majorBidi" w:hAnsiTheme="majorBidi" w:cstheme="majorBidi"/>
          <w:sz w:val="24"/>
          <w:szCs w:val="24"/>
        </w:rPr>
        <w:t>were carri</w:t>
      </w:r>
      <w:r w:rsidR="00C472EC" w:rsidRPr="0089351A">
        <w:rPr>
          <w:rFonts w:asciiTheme="majorBidi" w:hAnsiTheme="majorBidi" w:cstheme="majorBidi"/>
          <w:sz w:val="24"/>
          <w:szCs w:val="24"/>
        </w:rPr>
        <w:t xml:space="preserve">ed </w:t>
      </w:r>
      <w:r w:rsidR="00406009" w:rsidRPr="0089351A">
        <w:rPr>
          <w:rFonts w:asciiTheme="majorBidi" w:hAnsiTheme="majorBidi" w:cstheme="majorBidi"/>
          <w:sz w:val="24"/>
          <w:szCs w:val="24"/>
        </w:rPr>
        <w:t xml:space="preserve">out </w:t>
      </w:r>
      <w:r w:rsidR="00C472EC" w:rsidRPr="0089351A">
        <w:rPr>
          <w:rFonts w:asciiTheme="majorBidi" w:hAnsiTheme="majorBidi" w:cstheme="majorBidi"/>
          <w:sz w:val="24"/>
          <w:szCs w:val="24"/>
        </w:rPr>
        <w:t xml:space="preserve">after the </w:t>
      </w:r>
      <w:r w:rsidR="008323D7" w:rsidRPr="0089351A">
        <w:rPr>
          <w:rFonts w:asciiTheme="majorBidi" w:hAnsiTheme="majorBidi" w:cstheme="majorBidi"/>
          <w:sz w:val="24"/>
          <w:szCs w:val="24"/>
        </w:rPr>
        <w:t>MTJC</w:t>
      </w:r>
      <w:r w:rsidR="00C472EC" w:rsidRPr="0089351A">
        <w:rPr>
          <w:rFonts w:asciiTheme="majorBidi" w:hAnsiTheme="majorBidi" w:cstheme="majorBidi"/>
          <w:sz w:val="24"/>
          <w:szCs w:val="24"/>
        </w:rPr>
        <w:t xml:space="preserve"> had reported. </w:t>
      </w:r>
      <w:r w:rsidR="00F07C24" w:rsidRPr="0089351A">
        <w:rPr>
          <w:rFonts w:asciiTheme="majorBidi" w:hAnsiTheme="majorBidi" w:cstheme="majorBidi"/>
          <w:sz w:val="24"/>
          <w:szCs w:val="24"/>
        </w:rPr>
        <w:t xml:space="preserve">We </w:t>
      </w:r>
      <w:r w:rsidR="00F55FCC" w:rsidRPr="0089351A">
        <w:rPr>
          <w:rFonts w:asciiTheme="majorBidi" w:hAnsiTheme="majorBidi" w:cstheme="majorBidi"/>
          <w:sz w:val="24"/>
          <w:szCs w:val="24"/>
        </w:rPr>
        <w:t xml:space="preserve">used numerous documents prepared for the MTJC in English and French </w:t>
      </w:r>
      <w:r w:rsidR="00CC21A6" w:rsidRPr="0089351A">
        <w:rPr>
          <w:rFonts w:asciiTheme="majorBidi" w:hAnsiTheme="majorBidi" w:cstheme="majorBidi"/>
          <w:sz w:val="24"/>
          <w:szCs w:val="24"/>
        </w:rPr>
        <w:t>concerning</w:t>
      </w:r>
      <w:r w:rsidR="00F07C24" w:rsidRPr="0089351A">
        <w:rPr>
          <w:rFonts w:asciiTheme="majorBidi" w:hAnsiTheme="majorBidi" w:cstheme="majorBidi"/>
          <w:sz w:val="24"/>
          <w:szCs w:val="24"/>
        </w:rPr>
        <w:t xml:space="preserve"> its establishment</w:t>
      </w:r>
      <w:r w:rsidR="00CC21A6" w:rsidRPr="0089351A">
        <w:rPr>
          <w:rFonts w:asciiTheme="majorBidi" w:hAnsiTheme="majorBidi" w:cstheme="majorBidi"/>
          <w:sz w:val="24"/>
          <w:szCs w:val="24"/>
        </w:rPr>
        <w:t xml:space="preserve"> and</w:t>
      </w:r>
      <w:r w:rsidR="00F07C24" w:rsidRPr="0089351A">
        <w:rPr>
          <w:rFonts w:asciiTheme="majorBidi" w:hAnsiTheme="majorBidi" w:cstheme="majorBidi"/>
          <w:sz w:val="24"/>
          <w:szCs w:val="24"/>
        </w:rPr>
        <w:t xml:space="preserve"> </w:t>
      </w:r>
      <w:r w:rsidR="00F55FCC" w:rsidRPr="0089351A">
        <w:rPr>
          <w:rFonts w:asciiTheme="majorBidi" w:hAnsiTheme="majorBidi" w:cstheme="majorBidi"/>
          <w:sz w:val="24"/>
          <w:szCs w:val="24"/>
        </w:rPr>
        <w:t>depositions made to it.</w:t>
      </w:r>
      <w:r w:rsidR="00F07C24" w:rsidRPr="0089351A">
        <w:rPr>
          <w:rFonts w:asciiTheme="majorBidi" w:hAnsiTheme="majorBidi" w:cstheme="majorBidi"/>
          <w:sz w:val="24"/>
          <w:szCs w:val="24"/>
        </w:rPr>
        <w:t xml:space="preserve"> P</w:t>
      </w:r>
      <w:r w:rsidR="006E5F05" w:rsidRPr="0089351A">
        <w:rPr>
          <w:rFonts w:asciiTheme="majorBidi" w:hAnsiTheme="majorBidi" w:cstheme="majorBidi"/>
          <w:sz w:val="24"/>
          <w:szCs w:val="24"/>
        </w:rPr>
        <w:t xml:space="preserve">ress reports of </w:t>
      </w:r>
      <w:r w:rsidR="000131F4" w:rsidRPr="0089351A">
        <w:rPr>
          <w:rFonts w:asciiTheme="majorBidi" w:hAnsiTheme="majorBidi" w:cstheme="majorBidi"/>
          <w:sz w:val="24"/>
          <w:szCs w:val="24"/>
        </w:rPr>
        <w:t xml:space="preserve">the </w:t>
      </w:r>
      <w:r w:rsidR="006E5F05" w:rsidRPr="0089351A">
        <w:rPr>
          <w:rFonts w:asciiTheme="majorBidi" w:hAnsiTheme="majorBidi" w:cstheme="majorBidi"/>
          <w:sz w:val="24"/>
          <w:szCs w:val="24"/>
        </w:rPr>
        <w:t>MTJC’s work an</w:t>
      </w:r>
      <w:r w:rsidR="00EF05E7" w:rsidRPr="0089351A">
        <w:rPr>
          <w:rFonts w:asciiTheme="majorBidi" w:hAnsiTheme="majorBidi" w:cstheme="majorBidi"/>
          <w:sz w:val="24"/>
          <w:szCs w:val="24"/>
        </w:rPr>
        <w:t>d</w:t>
      </w:r>
      <w:r w:rsidRPr="0089351A">
        <w:rPr>
          <w:rFonts w:asciiTheme="majorBidi" w:hAnsiTheme="majorBidi" w:cstheme="majorBidi"/>
          <w:sz w:val="24"/>
          <w:szCs w:val="24"/>
        </w:rPr>
        <w:t xml:space="preserve"> its</w:t>
      </w:r>
      <w:r w:rsidR="00EF05E7" w:rsidRPr="0089351A">
        <w:rPr>
          <w:rFonts w:asciiTheme="majorBidi" w:hAnsiTheme="majorBidi" w:cstheme="majorBidi"/>
          <w:sz w:val="24"/>
          <w:szCs w:val="24"/>
        </w:rPr>
        <w:t xml:space="preserve"> aftermath </w:t>
      </w:r>
      <w:r w:rsidR="00F07C24" w:rsidRPr="0089351A">
        <w:rPr>
          <w:rFonts w:asciiTheme="majorBidi" w:hAnsiTheme="majorBidi" w:cstheme="majorBidi"/>
          <w:sz w:val="24"/>
          <w:szCs w:val="24"/>
        </w:rPr>
        <w:t xml:space="preserve">published </w:t>
      </w:r>
      <w:r w:rsidR="00EF05E7" w:rsidRPr="0089351A">
        <w:rPr>
          <w:rFonts w:asciiTheme="majorBidi" w:hAnsiTheme="majorBidi" w:cstheme="majorBidi"/>
          <w:sz w:val="24"/>
          <w:szCs w:val="24"/>
        </w:rPr>
        <w:t>in Mauritian</w:t>
      </w:r>
      <w:r w:rsidR="006E5F05" w:rsidRPr="0089351A">
        <w:rPr>
          <w:rFonts w:asciiTheme="majorBidi" w:hAnsiTheme="majorBidi" w:cstheme="majorBidi"/>
          <w:sz w:val="24"/>
          <w:szCs w:val="24"/>
        </w:rPr>
        <w:t xml:space="preserve"> newspapers</w:t>
      </w:r>
      <w:r w:rsidR="00F07C24" w:rsidRPr="0089351A">
        <w:rPr>
          <w:rFonts w:asciiTheme="majorBidi" w:hAnsiTheme="majorBidi" w:cstheme="majorBidi"/>
          <w:sz w:val="24"/>
          <w:szCs w:val="24"/>
        </w:rPr>
        <w:t xml:space="preserve"> were also studied. O</w:t>
      </w:r>
      <w:r w:rsidRPr="0089351A">
        <w:rPr>
          <w:rFonts w:asciiTheme="majorBidi" w:hAnsiTheme="majorBidi" w:cstheme="majorBidi"/>
          <w:sz w:val="24"/>
          <w:szCs w:val="24"/>
        </w:rPr>
        <w:t>ur account has</w:t>
      </w:r>
      <w:r w:rsidR="00E537C6" w:rsidRPr="0089351A">
        <w:rPr>
          <w:rFonts w:asciiTheme="majorBidi" w:hAnsiTheme="majorBidi" w:cstheme="majorBidi"/>
          <w:sz w:val="24"/>
          <w:szCs w:val="24"/>
        </w:rPr>
        <w:t xml:space="preserve"> </w:t>
      </w:r>
      <w:r w:rsidR="00F07C24" w:rsidRPr="0089351A">
        <w:rPr>
          <w:rFonts w:asciiTheme="majorBidi" w:hAnsiTheme="majorBidi" w:cstheme="majorBidi"/>
          <w:sz w:val="24"/>
          <w:szCs w:val="24"/>
        </w:rPr>
        <w:t xml:space="preserve">inevitably </w:t>
      </w:r>
      <w:r w:rsidR="00E537C6" w:rsidRPr="0089351A">
        <w:rPr>
          <w:rFonts w:asciiTheme="majorBidi" w:hAnsiTheme="majorBidi" w:cstheme="majorBidi"/>
          <w:sz w:val="24"/>
          <w:szCs w:val="24"/>
        </w:rPr>
        <w:t>been limited b</w:t>
      </w:r>
      <w:r w:rsidR="00EF05E7" w:rsidRPr="0089351A">
        <w:rPr>
          <w:rFonts w:asciiTheme="majorBidi" w:hAnsiTheme="majorBidi" w:cstheme="majorBidi"/>
          <w:sz w:val="24"/>
          <w:szCs w:val="24"/>
        </w:rPr>
        <w:t xml:space="preserve">y the </w:t>
      </w:r>
      <w:r w:rsidR="0031223C" w:rsidRPr="0089351A">
        <w:rPr>
          <w:rFonts w:asciiTheme="majorBidi" w:hAnsiTheme="majorBidi" w:cstheme="majorBidi"/>
          <w:sz w:val="24"/>
          <w:szCs w:val="24"/>
        </w:rPr>
        <w:t>non-availability</w:t>
      </w:r>
      <w:r w:rsidR="0057797E" w:rsidRPr="0089351A">
        <w:rPr>
          <w:rFonts w:asciiTheme="majorBidi" w:hAnsiTheme="majorBidi" w:cstheme="majorBidi"/>
          <w:sz w:val="24"/>
          <w:szCs w:val="24"/>
        </w:rPr>
        <w:t xml:space="preserve"> </w:t>
      </w:r>
      <w:r w:rsidR="00EF05E7" w:rsidRPr="0089351A">
        <w:rPr>
          <w:rFonts w:asciiTheme="majorBidi" w:hAnsiTheme="majorBidi" w:cstheme="majorBidi"/>
          <w:sz w:val="24"/>
          <w:szCs w:val="24"/>
        </w:rPr>
        <w:t xml:space="preserve">of </w:t>
      </w:r>
      <w:r w:rsidR="00F07C24" w:rsidRPr="0089351A">
        <w:rPr>
          <w:rFonts w:asciiTheme="majorBidi" w:hAnsiTheme="majorBidi" w:cstheme="majorBidi"/>
          <w:sz w:val="24"/>
          <w:szCs w:val="24"/>
        </w:rPr>
        <w:t xml:space="preserve">internal government </w:t>
      </w:r>
      <w:r w:rsidR="0057797E" w:rsidRPr="0089351A">
        <w:rPr>
          <w:rFonts w:asciiTheme="majorBidi" w:hAnsiTheme="majorBidi" w:cstheme="majorBidi"/>
          <w:sz w:val="24"/>
          <w:szCs w:val="24"/>
        </w:rPr>
        <w:t xml:space="preserve">documentation to </w:t>
      </w:r>
      <w:r w:rsidR="00196A48" w:rsidRPr="0089351A">
        <w:rPr>
          <w:rFonts w:asciiTheme="majorBidi" w:hAnsiTheme="majorBidi" w:cstheme="majorBidi"/>
          <w:sz w:val="24"/>
          <w:szCs w:val="24"/>
        </w:rPr>
        <w:t xml:space="preserve">ourselves and to other </w:t>
      </w:r>
      <w:r w:rsidR="0057797E" w:rsidRPr="0089351A">
        <w:rPr>
          <w:rFonts w:asciiTheme="majorBidi" w:hAnsiTheme="majorBidi" w:cstheme="majorBidi"/>
          <w:sz w:val="24"/>
          <w:szCs w:val="24"/>
        </w:rPr>
        <w:t>contemporary historians.</w:t>
      </w:r>
      <w:r w:rsidR="00E537C6" w:rsidRPr="0089351A">
        <w:rPr>
          <w:rFonts w:asciiTheme="majorBidi" w:hAnsiTheme="majorBidi" w:cstheme="majorBidi"/>
          <w:sz w:val="24"/>
          <w:szCs w:val="24"/>
        </w:rPr>
        <w:t xml:space="preserve"> </w:t>
      </w:r>
      <w:r w:rsidR="00F55FCC" w:rsidRPr="0089351A">
        <w:rPr>
          <w:rFonts w:asciiTheme="majorBidi" w:hAnsiTheme="majorBidi" w:cstheme="majorBidi"/>
          <w:sz w:val="24"/>
          <w:szCs w:val="24"/>
        </w:rPr>
        <w:t xml:space="preserve">   </w:t>
      </w:r>
    </w:p>
    <w:p w:rsidR="00991D8C" w:rsidRPr="0089351A" w:rsidRDefault="005D646E" w:rsidP="00360222">
      <w:pPr>
        <w:spacing w:line="480" w:lineRule="auto"/>
        <w:rPr>
          <w:rFonts w:asciiTheme="majorBidi" w:hAnsiTheme="majorBidi" w:cstheme="majorBidi"/>
          <w:b/>
          <w:bCs/>
          <w:sz w:val="24"/>
          <w:szCs w:val="24"/>
        </w:rPr>
      </w:pPr>
      <w:r w:rsidRPr="0089351A">
        <w:rPr>
          <w:rFonts w:asciiTheme="majorBidi" w:hAnsiTheme="majorBidi" w:cstheme="majorBidi"/>
          <w:sz w:val="24"/>
          <w:szCs w:val="24"/>
        </w:rPr>
        <w:t xml:space="preserve">For </w:t>
      </w:r>
      <w:r w:rsidR="00E013F3" w:rsidRPr="0089351A">
        <w:rPr>
          <w:rFonts w:asciiTheme="majorBidi" w:hAnsiTheme="majorBidi" w:cstheme="majorBidi"/>
          <w:sz w:val="24"/>
          <w:szCs w:val="24"/>
        </w:rPr>
        <w:t>the historical strand</w:t>
      </w:r>
      <w:r w:rsidR="00B63773" w:rsidRPr="0089351A">
        <w:rPr>
          <w:rFonts w:asciiTheme="majorBidi" w:hAnsiTheme="majorBidi" w:cstheme="majorBidi"/>
          <w:sz w:val="24"/>
          <w:szCs w:val="24"/>
        </w:rPr>
        <w:t xml:space="preserve"> </w:t>
      </w:r>
      <w:r w:rsidR="00F55FCC" w:rsidRPr="0089351A">
        <w:rPr>
          <w:rFonts w:asciiTheme="majorBidi" w:hAnsiTheme="majorBidi" w:cstheme="majorBidi"/>
          <w:sz w:val="24"/>
          <w:szCs w:val="24"/>
        </w:rPr>
        <w:t xml:space="preserve">we used </w:t>
      </w:r>
      <w:r w:rsidRPr="0089351A">
        <w:rPr>
          <w:rFonts w:asciiTheme="majorBidi" w:hAnsiTheme="majorBidi" w:cstheme="majorBidi"/>
          <w:sz w:val="24"/>
          <w:szCs w:val="24"/>
        </w:rPr>
        <w:t>the extensive and growing</w:t>
      </w:r>
      <w:r w:rsidR="00F55FCC" w:rsidRPr="0089351A">
        <w:rPr>
          <w:rFonts w:asciiTheme="majorBidi" w:hAnsiTheme="majorBidi" w:cstheme="majorBidi"/>
          <w:sz w:val="24"/>
          <w:szCs w:val="24"/>
        </w:rPr>
        <w:t xml:space="preserve"> literature on Mauritian history in French and English, including dissertations </w:t>
      </w:r>
      <w:r w:rsidR="00B34236" w:rsidRPr="0089351A">
        <w:rPr>
          <w:rFonts w:asciiTheme="majorBidi" w:hAnsiTheme="majorBidi" w:cstheme="majorBidi"/>
          <w:sz w:val="24"/>
          <w:szCs w:val="24"/>
        </w:rPr>
        <w:t>from</w:t>
      </w:r>
      <w:r w:rsidR="00F55FCC" w:rsidRPr="0089351A">
        <w:rPr>
          <w:rFonts w:asciiTheme="majorBidi" w:hAnsiTheme="majorBidi" w:cstheme="majorBidi"/>
          <w:sz w:val="24"/>
          <w:szCs w:val="24"/>
        </w:rPr>
        <w:t xml:space="preserve"> the University of Mauritius. </w:t>
      </w:r>
      <w:r w:rsidR="00EE1172" w:rsidRPr="0089351A">
        <w:rPr>
          <w:rFonts w:asciiTheme="majorBidi" w:hAnsiTheme="majorBidi" w:cstheme="majorBidi"/>
          <w:sz w:val="24"/>
          <w:szCs w:val="24"/>
        </w:rPr>
        <w:t xml:space="preserve">We also consulted </w:t>
      </w:r>
      <w:r w:rsidR="00E013F3" w:rsidRPr="0089351A">
        <w:rPr>
          <w:rFonts w:asciiTheme="majorBidi" w:hAnsiTheme="majorBidi" w:cstheme="majorBidi"/>
          <w:sz w:val="24"/>
          <w:szCs w:val="24"/>
        </w:rPr>
        <w:t xml:space="preserve">documentation </w:t>
      </w:r>
      <w:r w:rsidR="00F55FCC" w:rsidRPr="0089351A">
        <w:rPr>
          <w:rFonts w:asciiTheme="majorBidi" w:hAnsiTheme="majorBidi" w:cstheme="majorBidi"/>
          <w:sz w:val="24"/>
          <w:szCs w:val="24"/>
        </w:rPr>
        <w:t>in t</w:t>
      </w:r>
      <w:r w:rsidR="00EE1172" w:rsidRPr="0089351A">
        <w:rPr>
          <w:rFonts w:asciiTheme="majorBidi" w:hAnsiTheme="majorBidi" w:cstheme="majorBidi"/>
          <w:sz w:val="24"/>
          <w:szCs w:val="24"/>
        </w:rPr>
        <w:t>he UK and</w:t>
      </w:r>
      <w:r w:rsidR="00F55FCC" w:rsidRPr="0089351A">
        <w:rPr>
          <w:rFonts w:asciiTheme="majorBidi" w:hAnsiTheme="majorBidi" w:cstheme="majorBidi"/>
          <w:sz w:val="24"/>
          <w:szCs w:val="24"/>
        </w:rPr>
        <w:t xml:space="preserve"> Mauritian National Archive</w:t>
      </w:r>
      <w:r w:rsidR="00EE1172" w:rsidRPr="0089351A">
        <w:rPr>
          <w:rFonts w:asciiTheme="majorBidi" w:hAnsiTheme="majorBidi" w:cstheme="majorBidi"/>
          <w:sz w:val="24"/>
          <w:szCs w:val="24"/>
        </w:rPr>
        <w:t>s</w:t>
      </w:r>
      <w:r w:rsidR="00F55FCC" w:rsidRPr="0089351A">
        <w:rPr>
          <w:rFonts w:asciiTheme="majorBidi" w:hAnsiTheme="majorBidi" w:cstheme="majorBidi"/>
          <w:sz w:val="24"/>
          <w:szCs w:val="24"/>
        </w:rPr>
        <w:t>.</w:t>
      </w:r>
    </w:p>
    <w:p w:rsidR="00834589" w:rsidRPr="0089351A" w:rsidRDefault="001B0500"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 xml:space="preserve">The </w:t>
      </w:r>
      <w:r w:rsidR="00E013F3" w:rsidRPr="0089351A">
        <w:rPr>
          <w:rFonts w:asciiTheme="majorBidi" w:hAnsiTheme="majorBidi" w:cstheme="majorBidi"/>
          <w:b/>
          <w:bCs/>
          <w:sz w:val="24"/>
          <w:szCs w:val="24"/>
        </w:rPr>
        <w:t>MTJC’s</w:t>
      </w:r>
      <w:r w:rsidRPr="0089351A">
        <w:rPr>
          <w:rFonts w:asciiTheme="majorBidi" w:hAnsiTheme="majorBidi" w:cstheme="majorBidi"/>
          <w:b/>
          <w:bCs/>
          <w:sz w:val="24"/>
          <w:szCs w:val="24"/>
        </w:rPr>
        <w:t xml:space="preserve"> origins, operation and results</w:t>
      </w:r>
    </w:p>
    <w:p w:rsidR="00E81FA1" w:rsidRPr="0089351A" w:rsidRDefault="00E81FA1"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In this section, we </w:t>
      </w:r>
      <w:r w:rsidR="00267FBC" w:rsidRPr="0089351A">
        <w:rPr>
          <w:rFonts w:asciiTheme="majorBidi" w:hAnsiTheme="majorBidi" w:cstheme="majorBidi"/>
          <w:sz w:val="24"/>
          <w:szCs w:val="24"/>
        </w:rPr>
        <w:t>report on our i</w:t>
      </w:r>
      <w:r w:rsidR="000E0971" w:rsidRPr="0089351A">
        <w:rPr>
          <w:rFonts w:asciiTheme="majorBidi" w:hAnsiTheme="majorBidi" w:cstheme="majorBidi"/>
          <w:sz w:val="24"/>
          <w:szCs w:val="24"/>
        </w:rPr>
        <w:t>nvestigation into</w:t>
      </w:r>
      <w:r w:rsidR="00267FBC" w:rsidRPr="0089351A">
        <w:rPr>
          <w:rFonts w:asciiTheme="majorBidi" w:hAnsiTheme="majorBidi" w:cstheme="majorBidi"/>
          <w:sz w:val="24"/>
          <w:szCs w:val="24"/>
        </w:rPr>
        <w:t xml:space="preserve"> the MTJC</w:t>
      </w:r>
      <w:r w:rsidR="000E0971" w:rsidRPr="0089351A">
        <w:rPr>
          <w:rFonts w:asciiTheme="majorBidi" w:hAnsiTheme="majorBidi" w:cstheme="majorBidi"/>
          <w:sz w:val="24"/>
          <w:szCs w:val="24"/>
        </w:rPr>
        <w:t>’s origins</w:t>
      </w:r>
      <w:r w:rsidR="0031223C" w:rsidRPr="0089351A">
        <w:rPr>
          <w:rFonts w:asciiTheme="majorBidi" w:hAnsiTheme="majorBidi" w:cstheme="majorBidi"/>
          <w:sz w:val="24"/>
          <w:szCs w:val="24"/>
        </w:rPr>
        <w:t>, demonstrating</w:t>
      </w:r>
      <w:r w:rsidRPr="0089351A">
        <w:rPr>
          <w:rFonts w:asciiTheme="majorBidi" w:hAnsiTheme="majorBidi" w:cstheme="majorBidi"/>
          <w:sz w:val="24"/>
          <w:szCs w:val="24"/>
        </w:rPr>
        <w:t xml:space="preserve"> that the Mauritian </w:t>
      </w:r>
      <w:r w:rsidR="00CD0DEE" w:rsidRPr="0089351A">
        <w:rPr>
          <w:rFonts w:asciiTheme="majorBidi" w:hAnsiTheme="majorBidi" w:cstheme="majorBidi"/>
          <w:sz w:val="24"/>
          <w:szCs w:val="24"/>
        </w:rPr>
        <w:t>M</w:t>
      </w:r>
      <w:r w:rsidRPr="0089351A">
        <w:rPr>
          <w:rFonts w:asciiTheme="majorBidi" w:hAnsiTheme="majorBidi" w:cstheme="majorBidi"/>
          <w:sz w:val="24"/>
          <w:szCs w:val="24"/>
        </w:rPr>
        <w:t xml:space="preserve">TJC originated in an </w:t>
      </w:r>
      <w:r w:rsidR="000131F4" w:rsidRPr="0089351A">
        <w:rPr>
          <w:rFonts w:asciiTheme="majorBidi" w:hAnsiTheme="majorBidi" w:cstheme="majorBidi"/>
          <w:sz w:val="24"/>
          <w:szCs w:val="24"/>
        </w:rPr>
        <w:t>elite political process that strict</w:t>
      </w:r>
      <w:r w:rsidR="00EF05E7" w:rsidRPr="0089351A">
        <w:rPr>
          <w:rFonts w:asciiTheme="majorBidi" w:hAnsiTheme="majorBidi" w:cstheme="majorBidi"/>
          <w:sz w:val="24"/>
          <w:szCs w:val="24"/>
        </w:rPr>
        <w:t xml:space="preserve">ly limited any </w:t>
      </w:r>
      <w:r w:rsidR="000131F4" w:rsidRPr="0089351A">
        <w:rPr>
          <w:rFonts w:asciiTheme="majorBidi" w:hAnsiTheme="majorBidi" w:cstheme="majorBidi"/>
          <w:sz w:val="24"/>
          <w:szCs w:val="24"/>
        </w:rPr>
        <w:t xml:space="preserve">later </w:t>
      </w:r>
      <w:r w:rsidR="00EF05E7" w:rsidRPr="0089351A">
        <w:rPr>
          <w:rFonts w:asciiTheme="majorBidi" w:hAnsiTheme="majorBidi" w:cstheme="majorBidi"/>
          <w:sz w:val="24"/>
          <w:szCs w:val="24"/>
        </w:rPr>
        <w:t>efforts it</w:t>
      </w:r>
      <w:r w:rsidRPr="0089351A">
        <w:rPr>
          <w:rFonts w:asciiTheme="majorBidi" w:hAnsiTheme="majorBidi" w:cstheme="majorBidi"/>
          <w:sz w:val="24"/>
          <w:szCs w:val="24"/>
        </w:rPr>
        <w:t xml:space="preserve"> might make to involve </w:t>
      </w:r>
      <w:r w:rsidR="000E0971" w:rsidRPr="0089351A">
        <w:rPr>
          <w:rFonts w:asciiTheme="majorBidi" w:hAnsiTheme="majorBidi" w:cstheme="majorBidi"/>
          <w:sz w:val="24"/>
          <w:szCs w:val="24"/>
        </w:rPr>
        <w:t xml:space="preserve">the wider public </w:t>
      </w:r>
      <w:r w:rsidR="00A55703" w:rsidRPr="0089351A">
        <w:rPr>
          <w:rFonts w:asciiTheme="majorBidi" w:hAnsiTheme="majorBidi" w:cstheme="majorBidi"/>
          <w:sz w:val="24"/>
          <w:szCs w:val="24"/>
        </w:rPr>
        <w:t xml:space="preserve">or </w:t>
      </w:r>
      <w:r w:rsidR="000E0971" w:rsidRPr="0089351A">
        <w:rPr>
          <w:rFonts w:asciiTheme="majorBidi" w:hAnsiTheme="majorBidi" w:cstheme="majorBidi"/>
          <w:sz w:val="24"/>
          <w:szCs w:val="24"/>
        </w:rPr>
        <w:t xml:space="preserve">to </w:t>
      </w:r>
      <w:r w:rsidR="00A55703" w:rsidRPr="0089351A">
        <w:rPr>
          <w:rFonts w:asciiTheme="majorBidi" w:hAnsiTheme="majorBidi" w:cstheme="majorBidi"/>
          <w:sz w:val="24"/>
          <w:szCs w:val="24"/>
        </w:rPr>
        <w:t xml:space="preserve">effect </w:t>
      </w:r>
      <w:r w:rsidR="00EF05E7" w:rsidRPr="0089351A">
        <w:rPr>
          <w:rFonts w:asciiTheme="majorBidi" w:hAnsiTheme="majorBidi" w:cstheme="majorBidi"/>
          <w:sz w:val="24"/>
          <w:szCs w:val="24"/>
        </w:rPr>
        <w:t>attitud</w:t>
      </w:r>
      <w:r w:rsidR="000E0971" w:rsidRPr="0089351A">
        <w:rPr>
          <w:rFonts w:asciiTheme="majorBidi" w:hAnsiTheme="majorBidi" w:cstheme="majorBidi"/>
          <w:sz w:val="24"/>
          <w:szCs w:val="24"/>
        </w:rPr>
        <w:t>inal changes within it</w:t>
      </w:r>
      <w:r w:rsidR="00EF05E7" w:rsidRPr="0089351A">
        <w:rPr>
          <w:rFonts w:asciiTheme="majorBidi" w:hAnsiTheme="majorBidi" w:cstheme="majorBidi"/>
          <w:sz w:val="24"/>
          <w:szCs w:val="24"/>
        </w:rPr>
        <w:t xml:space="preserve">. </w:t>
      </w:r>
      <w:r w:rsidRPr="0089351A">
        <w:rPr>
          <w:rFonts w:asciiTheme="majorBidi" w:hAnsiTheme="majorBidi" w:cstheme="majorBidi"/>
          <w:sz w:val="24"/>
          <w:szCs w:val="24"/>
        </w:rPr>
        <w:t xml:space="preserve">  </w:t>
      </w:r>
    </w:p>
    <w:p w:rsidR="005435FD" w:rsidRPr="0089351A" w:rsidRDefault="00206A20"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 i</w:t>
      </w:r>
      <w:r w:rsidR="00406009" w:rsidRPr="0089351A">
        <w:rPr>
          <w:rFonts w:asciiTheme="majorBidi" w:hAnsiTheme="majorBidi" w:cstheme="majorBidi"/>
          <w:sz w:val="24"/>
          <w:szCs w:val="24"/>
        </w:rPr>
        <w:t>sland has</w:t>
      </w:r>
      <w:r w:rsidR="00CC21A6" w:rsidRPr="0089351A">
        <w:rPr>
          <w:rFonts w:asciiTheme="majorBidi" w:hAnsiTheme="majorBidi" w:cstheme="majorBidi"/>
          <w:sz w:val="24"/>
          <w:szCs w:val="24"/>
        </w:rPr>
        <w:t>,</w:t>
      </w:r>
      <w:r w:rsidRPr="0089351A">
        <w:rPr>
          <w:rFonts w:asciiTheme="majorBidi" w:hAnsiTheme="majorBidi" w:cstheme="majorBidi"/>
          <w:sz w:val="24"/>
          <w:szCs w:val="24"/>
        </w:rPr>
        <w:t xml:space="preserve"> </w:t>
      </w:r>
      <w:r w:rsidR="00196A48" w:rsidRPr="0089351A">
        <w:rPr>
          <w:rFonts w:asciiTheme="majorBidi" w:hAnsiTheme="majorBidi" w:cstheme="majorBidi"/>
          <w:sz w:val="24"/>
          <w:szCs w:val="24"/>
        </w:rPr>
        <w:t>since independence</w:t>
      </w:r>
      <w:r w:rsidR="00CC21A6" w:rsidRPr="0089351A">
        <w:rPr>
          <w:rFonts w:asciiTheme="majorBidi" w:hAnsiTheme="majorBidi" w:cstheme="majorBidi"/>
          <w:sz w:val="24"/>
          <w:szCs w:val="24"/>
        </w:rPr>
        <w:t>,</w:t>
      </w:r>
      <w:r w:rsidR="00196A48" w:rsidRPr="0089351A">
        <w:rPr>
          <w:rFonts w:asciiTheme="majorBidi" w:hAnsiTheme="majorBidi" w:cstheme="majorBidi"/>
          <w:sz w:val="24"/>
          <w:szCs w:val="24"/>
        </w:rPr>
        <w:t xml:space="preserve"> </w:t>
      </w:r>
      <w:r w:rsidR="00406009" w:rsidRPr="0089351A">
        <w:rPr>
          <w:rFonts w:asciiTheme="majorBidi" w:hAnsiTheme="majorBidi" w:cstheme="majorBidi"/>
          <w:sz w:val="24"/>
          <w:szCs w:val="24"/>
        </w:rPr>
        <w:t xml:space="preserve">been </w:t>
      </w:r>
      <w:r w:rsidRPr="0089351A">
        <w:rPr>
          <w:rFonts w:asciiTheme="majorBidi" w:hAnsiTheme="majorBidi" w:cstheme="majorBidi"/>
          <w:sz w:val="24"/>
          <w:szCs w:val="24"/>
        </w:rPr>
        <w:t xml:space="preserve">an essentially social democratic state </w:t>
      </w:r>
      <w:r w:rsidR="00CC21A6" w:rsidRPr="0089351A">
        <w:rPr>
          <w:rFonts w:asciiTheme="majorBidi" w:hAnsiTheme="majorBidi" w:cstheme="majorBidi"/>
          <w:sz w:val="24"/>
          <w:szCs w:val="24"/>
        </w:rPr>
        <w:t>where</w:t>
      </w:r>
      <w:r w:rsidR="00BF32B8" w:rsidRPr="0089351A">
        <w:rPr>
          <w:rFonts w:asciiTheme="majorBidi" w:hAnsiTheme="majorBidi" w:cstheme="majorBidi"/>
          <w:sz w:val="24"/>
          <w:szCs w:val="24"/>
        </w:rPr>
        <w:t xml:space="preserve"> left-wing parties</w:t>
      </w:r>
      <w:r w:rsidR="00CC21A6" w:rsidRPr="0089351A">
        <w:rPr>
          <w:rFonts w:asciiTheme="majorBidi" w:hAnsiTheme="majorBidi" w:cstheme="majorBidi"/>
          <w:sz w:val="24"/>
          <w:szCs w:val="24"/>
        </w:rPr>
        <w:t>,</w:t>
      </w:r>
      <w:r w:rsidR="00072C01" w:rsidRPr="0089351A">
        <w:rPr>
          <w:rFonts w:asciiTheme="majorBidi" w:hAnsiTheme="majorBidi" w:cstheme="majorBidi"/>
          <w:sz w:val="24"/>
          <w:szCs w:val="24"/>
        </w:rPr>
        <w:t xml:space="preserve"> </w:t>
      </w:r>
      <w:r w:rsidR="00C82150" w:rsidRPr="0089351A">
        <w:rPr>
          <w:rFonts w:asciiTheme="majorBidi" w:hAnsiTheme="majorBidi" w:cstheme="majorBidi"/>
          <w:sz w:val="24"/>
          <w:szCs w:val="24"/>
        </w:rPr>
        <w:t xml:space="preserve">notably the </w:t>
      </w:r>
      <w:r w:rsidR="00072C01" w:rsidRPr="0089351A">
        <w:rPr>
          <w:rFonts w:asciiTheme="majorBidi" w:hAnsiTheme="majorBidi" w:cstheme="majorBidi"/>
          <w:sz w:val="24"/>
          <w:szCs w:val="24"/>
        </w:rPr>
        <w:t>powerful Mauritian Labour Party</w:t>
      </w:r>
      <w:r w:rsidR="00CC21A6" w:rsidRPr="0089351A">
        <w:rPr>
          <w:rFonts w:asciiTheme="majorBidi" w:hAnsiTheme="majorBidi" w:cstheme="majorBidi"/>
          <w:sz w:val="24"/>
          <w:szCs w:val="24"/>
        </w:rPr>
        <w:t>,</w:t>
      </w:r>
      <w:r w:rsidR="00072C01" w:rsidRPr="0089351A">
        <w:rPr>
          <w:rFonts w:asciiTheme="majorBidi" w:hAnsiTheme="majorBidi" w:cstheme="majorBidi"/>
          <w:sz w:val="24"/>
          <w:szCs w:val="24"/>
        </w:rPr>
        <w:t xml:space="preserve"> </w:t>
      </w:r>
      <w:r w:rsidRPr="0089351A">
        <w:rPr>
          <w:rFonts w:asciiTheme="majorBidi" w:hAnsiTheme="majorBidi" w:cstheme="majorBidi"/>
          <w:sz w:val="24"/>
          <w:szCs w:val="24"/>
        </w:rPr>
        <w:t>have dominated</w:t>
      </w:r>
      <w:r w:rsidR="005F309C" w:rsidRPr="0089351A">
        <w:rPr>
          <w:rFonts w:asciiTheme="majorBidi" w:hAnsiTheme="majorBidi" w:cstheme="majorBidi"/>
          <w:sz w:val="24"/>
          <w:szCs w:val="24"/>
        </w:rPr>
        <w:t>;</w:t>
      </w:r>
      <w:r w:rsidR="000E0971" w:rsidRPr="0089351A">
        <w:rPr>
          <w:rFonts w:asciiTheme="majorBidi" w:hAnsiTheme="majorBidi" w:cstheme="majorBidi"/>
          <w:sz w:val="24"/>
          <w:szCs w:val="24"/>
        </w:rPr>
        <w:t xml:space="preserve"> the latter</w:t>
      </w:r>
      <w:r w:rsidR="00BF32B8" w:rsidRPr="0089351A">
        <w:rPr>
          <w:rFonts w:asciiTheme="majorBidi" w:hAnsiTheme="majorBidi" w:cstheme="majorBidi"/>
          <w:sz w:val="24"/>
          <w:szCs w:val="24"/>
        </w:rPr>
        <w:t xml:space="preserve"> has </w:t>
      </w:r>
      <w:r w:rsidR="00BF32B8" w:rsidRPr="0089351A">
        <w:rPr>
          <w:rFonts w:asciiTheme="majorBidi" w:hAnsiTheme="majorBidi" w:cstheme="majorBidi"/>
          <w:sz w:val="24"/>
          <w:szCs w:val="24"/>
        </w:rPr>
        <w:lastRenderedPageBreak/>
        <w:t>been the ‘natural party of government’</w:t>
      </w:r>
      <w:r w:rsidRPr="0089351A">
        <w:rPr>
          <w:rFonts w:asciiTheme="majorBidi" w:hAnsiTheme="majorBidi" w:cstheme="majorBidi"/>
          <w:sz w:val="24"/>
          <w:szCs w:val="24"/>
        </w:rPr>
        <w:t>.</w:t>
      </w:r>
      <w:r w:rsidR="00C82150" w:rsidRPr="0089351A">
        <w:rPr>
          <w:rFonts w:asciiTheme="majorBidi" w:hAnsiTheme="majorBidi" w:cstheme="majorBidi"/>
          <w:sz w:val="24"/>
          <w:szCs w:val="24"/>
        </w:rPr>
        <w:t xml:space="preserve"> The Franco-Maur</w:t>
      </w:r>
      <w:r w:rsidR="0031223C" w:rsidRPr="0089351A">
        <w:rPr>
          <w:rFonts w:asciiTheme="majorBidi" w:hAnsiTheme="majorBidi" w:cstheme="majorBidi"/>
          <w:sz w:val="24"/>
          <w:szCs w:val="24"/>
        </w:rPr>
        <w:t>itian industrial and financial é</w:t>
      </w:r>
      <w:r w:rsidR="00C82150" w:rsidRPr="0089351A">
        <w:rPr>
          <w:rFonts w:asciiTheme="majorBidi" w:hAnsiTheme="majorBidi" w:cstheme="majorBidi"/>
          <w:sz w:val="24"/>
          <w:szCs w:val="24"/>
        </w:rPr>
        <w:t>lite have comp</w:t>
      </w:r>
      <w:r w:rsidR="00EF05E7" w:rsidRPr="0089351A">
        <w:rPr>
          <w:rFonts w:asciiTheme="majorBidi" w:hAnsiTheme="majorBidi" w:cstheme="majorBidi"/>
          <w:sz w:val="24"/>
          <w:szCs w:val="24"/>
        </w:rPr>
        <w:t>romised with their political counterparts</w:t>
      </w:r>
      <w:r w:rsidR="0003483B" w:rsidRPr="0089351A">
        <w:rPr>
          <w:rFonts w:asciiTheme="majorBidi" w:hAnsiTheme="majorBidi" w:cstheme="majorBidi"/>
          <w:sz w:val="24"/>
          <w:szCs w:val="24"/>
        </w:rPr>
        <w:t>: they</w:t>
      </w:r>
      <w:r w:rsidR="0031223C" w:rsidRPr="0089351A">
        <w:rPr>
          <w:rFonts w:asciiTheme="majorBidi" w:hAnsiTheme="majorBidi" w:cstheme="majorBidi"/>
          <w:sz w:val="24"/>
          <w:szCs w:val="24"/>
        </w:rPr>
        <w:t xml:space="preserve"> </w:t>
      </w:r>
      <w:r w:rsidR="0003483B" w:rsidRPr="0089351A">
        <w:rPr>
          <w:rFonts w:asciiTheme="majorBidi" w:hAnsiTheme="majorBidi" w:cstheme="majorBidi"/>
          <w:sz w:val="24"/>
          <w:szCs w:val="24"/>
        </w:rPr>
        <w:t xml:space="preserve">continue </w:t>
      </w:r>
      <w:r w:rsidR="0031223C" w:rsidRPr="0089351A">
        <w:rPr>
          <w:rFonts w:asciiTheme="majorBidi" w:hAnsiTheme="majorBidi" w:cstheme="majorBidi"/>
          <w:sz w:val="24"/>
          <w:szCs w:val="24"/>
        </w:rPr>
        <w:t>to invest</w:t>
      </w:r>
      <w:r w:rsidR="00C82150" w:rsidRPr="0089351A">
        <w:rPr>
          <w:rFonts w:asciiTheme="majorBidi" w:hAnsiTheme="majorBidi" w:cstheme="majorBidi"/>
          <w:sz w:val="24"/>
          <w:szCs w:val="24"/>
        </w:rPr>
        <w:t xml:space="preserve"> provided that they are permitt</w:t>
      </w:r>
      <w:r w:rsidR="0003483B" w:rsidRPr="0089351A">
        <w:rPr>
          <w:rFonts w:asciiTheme="majorBidi" w:hAnsiTheme="majorBidi" w:cstheme="majorBidi"/>
          <w:sz w:val="24"/>
          <w:szCs w:val="24"/>
        </w:rPr>
        <w:t xml:space="preserve">ed to carry on business with minimal </w:t>
      </w:r>
      <w:r w:rsidR="00CC21A6" w:rsidRPr="0089351A">
        <w:rPr>
          <w:rFonts w:asciiTheme="majorBidi" w:hAnsiTheme="majorBidi" w:cstheme="majorBidi"/>
          <w:sz w:val="24"/>
          <w:szCs w:val="24"/>
        </w:rPr>
        <w:t>interference</w:t>
      </w:r>
      <w:r w:rsidR="00200C89" w:rsidRPr="0089351A">
        <w:rPr>
          <w:rFonts w:asciiTheme="majorBidi" w:hAnsiTheme="majorBidi" w:cstheme="majorBidi"/>
          <w:sz w:val="24"/>
          <w:szCs w:val="24"/>
        </w:rPr>
        <w:t>.</w:t>
      </w:r>
      <w:r w:rsidR="00CD0DEE" w:rsidRPr="0089351A">
        <w:rPr>
          <w:rStyle w:val="FootnoteReference"/>
          <w:rFonts w:asciiTheme="majorBidi" w:hAnsiTheme="majorBidi" w:cstheme="majorBidi"/>
          <w:sz w:val="24"/>
          <w:szCs w:val="24"/>
        </w:rPr>
        <w:footnoteReference w:id="42"/>
      </w:r>
      <w:r w:rsidR="005435FD" w:rsidRPr="0089351A">
        <w:rPr>
          <w:rFonts w:asciiTheme="majorBidi" w:hAnsiTheme="majorBidi" w:cstheme="majorBidi"/>
          <w:sz w:val="24"/>
          <w:szCs w:val="24"/>
        </w:rPr>
        <w:t xml:space="preserve"> </w:t>
      </w:r>
      <w:r w:rsidR="00406009" w:rsidRPr="0089351A">
        <w:rPr>
          <w:rFonts w:asciiTheme="majorBidi" w:hAnsiTheme="majorBidi" w:cstheme="majorBidi"/>
          <w:sz w:val="24"/>
          <w:szCs w:val="24"/>
        </w:rPr>
        <w:t>They have experienc</w:t>
      </w:r>
      <w:r w:rsidR="00DE6DFE" w:rsidRPr="0089351A">
        <w:rPr>
          <w:rFonts w:asciiTheme="majorBidi" w:hAnsiTheme="majorBidi" w:cstheme="majorBidi"/>
          <w:sz w:val="24"/>
          <w:szCs w:val="24"/>
        </w:rPr>
        <w:t>ed none of t</w:t>
      </w:r>
      <w:r w:rsidR="00406009" w:rsidRPr="0089351A">
        <w:rPr>
          <w:rFonts w:asciiTheme="majorBidi" w:hAnsiTheme="majorBidi" w:cstheme="majorBidi"/>
          <w:sz w:val="24"/>
          <w:szCs w:val="24"/>
        </w:rPr>
        <w:t>he devastation involving</w:t>
      </w:r>
      <w:r w:rsidR="00DE6DFE" w:rsidRPr="0089351A">
        <w:rPr>
          <w:rFonts w:asciiTheme="majorBidi" w:hAnsiTheme="majorBidi" w:cstheme="majorBidi"/>
          <w:sz w:val="24"/>
          <w:szCs w:val="24"/>
        </w:rPr>
        <w:t xml:space="preserve"> </w:t>
      </w:r>
      <w:r w:rsidR="00406009" w:rsidRPr="0089351A">
        <w:rPr>
          <w:rFonts w:asciiTheme="majorBidi" w:hAnsiTheme="majorBidi" w:cstheme="majorBidi"/>
          <w:sz w:val="24"/>
          <w:szCs w:val="24"/>
        </w:rPr>
        <w:t xml:space="preserve">military </w:t>
      </w:r>
      <w:r w:rsidR="00DE6DFE" w:rsidRPr="0089351A">
        <w:rPr>
          <w:rFonts w:asciiTheme="majorBidi" w:hAnsiTheme="majorBidi" w:cstheme="majorBidi"/>
          <w:sz w:val="24"/>
          <w:szCs w:val="24"/>
        </w:rPr>
        <w:t xml:space="preserve">‘politicians on horseback’ </w:t>
      </w:r>
      <w:r w:rsidR="00406009" w:rsidRPr="0089351A">
        <w:rPr>
          <w:rFonts w:asciiTheme="majorBidi" w:hAnsiTheme="majorBidi" w:cstheme="majorBidi"/>
          <w:sz w:val="24"/>
          <w:szCs w:val="24"/>
        </w:rPr>
        <w:t xml:space="preserve">and wars </w:t>
      </w:r>
      <w:r w:rsidR="00DE6DFE" w:rsidRPr="0089351A">
        <w:rPr>
          <w:rFonts w:asciiTheme="majorBidi" w:hAnsiTheme="majorBidi" w:cstheme="majorBidi"/>
          <w:sz w:val="24"/>
          <w:szCs w:val="24"/>
        </w:rPr>
        <w:t xml:space="preserve">that </w:t>
      </w:r>
      <w:r w:rsidR="005F309C" w:rsidRPr="0089351A">
        <w:rPr>
          <w:rFonts w:asciiTheme="majorBidi" w:hAnsiTheme="majorBidi" w:cstheme="majorBidi"/>
          <w:sz w:val="24"/>
          <w:szCs w:val="24"/>
        </w:rPr>
        <w:t xml:space="preserve">many </w:t>
      </w:r>
      <w:r w:rsidR="00DE6DFE" w:rsidRPr="0089351A">
        <w:rPr>
          <w:rFonts w:asciiTheme="majorBidi" w:hAnsiTheme="majorBidi" w:cstheme="majorBidi"/>
          <w:sz w:val="24"/>
          <w:szCs w:val="24"/>
        </w:rPr>
        <w:t>oth</w:t>
      </w:r>
      <w:r w:rsidR="005F309C" w:rsidRPr="0089351A">
        <w:rPr>
          <w:rFonts w:asciiTheme="majorBidi" w:hAnsiTheme="majorBidi" w:cstheme="majorBidi"/>
          <w:sz w:val="24"/>
          <w:szCs w:val="24"/>
        </w:rPr>
        <w:t>er African states have suffer</w:t>
      </w:r>
      <w:r w:rsidR="00DE6DFE" w:rsidRPr="0089351A">
        <w:rPr>
          <w:rFonts w:asciiTheme="majorBidi" w:hAnsiTheme="majorBidi" w:cstheme="majorBidi"/>
          <w:sz w:val="24"/>
          <w:szCs w:val="24"/>
        </w:rPr>
        <w:t xml:space="preserve">ed. </w:t>
      </w:r>
      <w:r w:rsidR="000131F4" w:rsidRPr="0089351A">
        <w:rPr>
          <w:rFonts w:asciiTheme="majorBidi" w:hAnsiTheme="majorBidi" w:cstheme="majorBidi"/>
          <w:sz w:val="24"/>
          <w:szCs w:val="24"/>
        </w:rPr>
        <w:t>It</w:t>
      </w:r>
      <w:r w:rsidR="00DE6DFE" w:rsidRPr="0089351A">
        <w:rPr>
          <w:rFonts w:asciiTheme="majorBidi" w:hAnsiTheme="majorBidi" w:cstheme="majorBidi"/>
          <w:sz w:val="24"/>
          <w:szCs w:val="24"/>
        </w:rPr>
        <w:t xml:space="preserve"> </w:t>
      </w:r>
      <w:r w:rsidR="00521842" w:rsidRPr="0089351A">
        <w:rPr>
          <w:rFonts w:asciiTheme="majorBidi" w:hAnsiTheme="majorBidi" w:cstheme="majorBidi"/>
          <w:sz w:val="24"/>
          <w:szCs w:val="24"/>
        </w:rPr>
        <w:t>bears repeating that t</w:t>
      </w:r>
      <w:r w:rsidR="005F309C" w:rsidRPr="0089351A">
        <w:rPr>
          <w:rFonts w:asciiTheme="majorBidi" w:hAnsiTheme="majorBidi" w:cstheme="majorBidi"/>
          <w:sz w:val="24"/>
          <w:szCs w:val="24"/>
        </w:rPr>
        <w:t>he island</w:t>
      </w:r>
      <w:r w:rsidR="00521842" w:rsidRPr="0089351A">
        <w:rPr>
          <w:rFonts w:asciiTheme="majorBidi" w:hAnsiTheme="majorBidi" w:cstheme="majorBidi"/>
          <w:sz w:val="24"/>
          <w:szCs w:val="24"/>
        </w:rPr>
        <w:t>’s economic success has depend</w:t>
      </w:r>
      <w:r w:rsidR="0003483B" w:rsidRPr="0089351A">
        <w:rPr>
          <w:rFonts w:asciiTheme="majorBidi" w:hAnsiTheme="majorBidi" w:cstheme="majorBidi"/>
          <w:sz w:val="24"/>
          <w:szCs w:val="24"/>
        </w:rPr>
        <w:t>ed on</w:t>
      </w:r>
      <w:r w:rsidR="005F309C" w:rsidRPr="0089351A">
        <w:rPr>
          <w:rFonts w:asciiTheme="majorBidi" w:hAnsiTheme="majorBidi" w:cstheme="majorBidi"/>
          <w:sz w:val="24"/>
          <w:szCs w:val="24"/>
        </w:rPr>
        <w:t xml:space="preserve"> combining these internal advantages </w:t>
      </w:r>
      <w:r w:rsidR="00B63E59" w:rsidRPr="0089351A">
        <w:rPr>
          <w:rFonts w:asciiTheme="majorBidi" w:hAnsiTheme="majorBidi" w:cstheme="majorBidi"/>
          <w:sz w:val="24"/>
          <w:szCs w:val="24"/>
        </w:rPr>
        <w:t>with</w:t>
      </w:r>
      <w:r w:rsidR="00995E6C" w:rsidRPr="0089351A">
        <w:rPr>
          <w:rFonts w:asciiTheme="majorBidi" w:hAnsiTheme="majorBidi" w:cstheme="majorBidi"/>
          <w:sz w:val="24"/>
          <w:szCs w:val="24"/>
        </w:rPr>
        <w:t xml:space="preserve"> trade links supported by an effective foreign diplo</w:t>
      </w:r>
      <w:r w:rsidR="00740B15" w:rsidRPr="0089351A">
        <w:rPr>
          <w:rFonts w:asciiTheme="majorBidi" w:hAnsiTheme="majorBidi" w:cstheme="majorBidi"/>
          <w:sz w:val="24"/>
          <w:szCs w:val="24"/>
        </w:rPr>
        <w:t xml:space="preserve">macy within which relations </w:t>
      </w:r>
      <w:r w:rsidR="0031223C" w:rsidRPr="0089351A">
        <w:rPr>
          <w:rFonts w:asciiTheme="majorBidi" w:hAnsiTheme="majorBidi" w:cstheme="majorBidi"/>
          <w:sz w:val="24"/>
          <w:szCs w:val="24"/>
        </w:rPr>
        <w:t>with the ex-colonial powers have proved</w:t>
      </w:r>
      <w:r w:rsidR="00740B15" w:rsidRPr="0089351A">
        <w:rPr>
          <w:rFonts w:asciiTheme="majorBidi" w:hAnsiTheme="majorBidi" w:cstheme="majorBidi"/>
          <w:sz w:val="24"/>
          <w:szCs w:val="24"/>
        </w:rPr>
        <w:t xml:space="preserve"> especially useful</w:t>
      </w:r>
      <w:r w:rsidR="00864702" w:rsidRPr="0089351A">
        <w:rPr>
          <w:rFonts w:asciiTheme="majorBidi" w:hAnsiTheme="majorBidi" w:cstheme="majorBidi"/>
          <w:sz w:val="24"/>
          <w:szCs w:val="24"/>
        </w:rPr>
        <w:t>.</w:t>
      </w:r>
      <w:r w:rsidR="00CD0DEE" w:rsidRPr="0089351A">
        <w:rPr>
          <w:rStyle w:val="FootnoteReference"/>
          <w:rFonts w:asciiTheme="majorBidi" w:hAnsiTheme="majorBidi" w:cstheme="majorBidi"/>
          <w:sz w:val="24"/>
          <w:szCs w:val="24"/>
        </w:rPr>
        <w:footnoteReference w:id="43"/>
      </w:r>
      <w:r w:rsidR="00CD0DEE" w:rsidRPr="0089351A">
        <w:rPr>
          <w:rFonts w:asciiTheme="majorBidi" w:hAnsiTheme="majorBidi" w:cstheme="majorBidi"/>
          <w:sz w:val="24"/>
          <w:szCs w:val="24"/>
        </w:rPr>
        <w:t xml:space="preserve"> </w:t>
      </w:r>
      <w:r w:rsidR="00995E6C" w:rsidRPr="0089351A">
        <w:rPr>
          <w:rFonts w:asciiTheme="majorBidi" w:hAnsiTheme="majorBidi" w:cstheme="majorBidi"/>
          <w:sz w:val="24"/>
          <w:szCs w:val="24"/>
        </w:rPr>
        <w:t xml:space="preserve"> </w:t>
      </w:r>
      <w:r w:rsidR="00EE1172" w:rsidRPr="0089351A">
        <w:rPr>
          <w:rFonts w:asciiTheme="majorBidi" w:hAnsiTheme="majorBidi" w:cstheme="majorBidi"/>
          <w:sz w:val="24"/>
          <w:szCs w:val="24"/>
        </w:rPr>
        <w:t>Creoles</w:t>
      </w:r>
      <w:r w:rsidR="000E0971" w:rsidRPr="0089351A">
        <w:rPr>
          <w:rFonts w:asciiTheme="majorBidi" w:hAnsiTheme="majorBidi" w:cstheme="majorBidi"/>
          <w:sz w:val="24"/>
          <w:szCs w:val="24"/>
        </w:rPr>
        <w:t xml:space="preserve"> </w:t>
      </w:r>
      <w:r w:rsidR="005F309C" w:rsidRPr="0089351A">
        <w:rPr>
          <w:rFonts w:asciiTheme="majorBidi" w:hAnsiTheme="majorBidi" w:cstheme="majorBidi"/>
          <w:sz w:val="24"/>
          <w:szCs w:val="24"/>
        </w:rPr>
        <w:t xml:space="preserve">on the other hand </w:t>
      </w:r>
      <w:r w:rsidR="0031223C" w:rsidRPr="0089351A">
        <w:rPr>
          <w:rFonts w:asciiTheme="majorBidi" w:hAnsiTheme="majorBidi" w:cstheme="majorBidi"/>
          <w:sz w:val="24"/>
          <w:szCs w:val="24"/>
        </w:rPr>
        <w:t xml:space="preserve">have been economically excluded and </w:t>
      </w:r>
      <w:r w:rsidR="0003483B" w:rsidRPr="0089351A">
        <w:rPr>
          <w:rFonts w:asciiTheme="majorBidi" w:hAnsiTheme="majorBidi" w:cstheme="majorBidi"/>
          <w:sz w:val="24"/>
          <w:szCs w:val="24"/>
        </w:rPr>
        <w:t>are further</w:t>
      </w:r>
      <w:r w:rsidR="007D7BBD" w:rsidRPr="0089351A">
        <w:rPr>
          <w:rFonts w:asciiTheme="majorBidi" w:hAnsiTheme="majorBidi" w:cstheme="majorBidi"/>
          <w:sz w:val="24"/>
          <w:szCs w:val="24"/>
        </w:rPr>
        <w:t xml:space="preserve"> disadv</w:t>
      </w:r>
      <w:r w:rsidR="0031223C" w:rsidRPr="0089351A">
        <w:rPr>
          <w:rFonts w:asciiTheme="majorBidi" w:hAnsiTheme="majorBidi" w:cstheme="majorBidi"/>
          <w:sz w:val="24"/>
          <w:szCs w:val="24"/>
        </w:rPr>
        <w:t>antaged by the electoral system. They have</w:t>
      </w:r>
      <w:r w:rsidR="007D7BBD" w:rsidRPr="0089351A">
        <w:rPr>
          <w:rFonts w:asciiTheme="majorBidi" w:hAnsiTheme="majorBidi" w:cstheme="majorBidi"/>
          <w:sz w:val="24"/>
          <w:szCs w:val="24"/>
        </w:rPr>
        <w:t xml:space="preserve"> no equivalent to the</w:t>
      </w:r>
      <w:r w:rsidR="0031223C" w:rsidRPr="0089351A">
        <w:rPr>
          <w:rFonts w:asciiTheme="majorBidi" w:hAnsiTheme="majorBidi" w:cstheme="majorBidi"/>
          <w:sz w:val="24"/>
          <w:szCs w:val="24"/>
        </w:rPr>
        <w:t xml:space="preserve"> Labour Party, largely abstain from voting and have only exceptionally</w:t>
      </w:r>
      <w:r w:rsidR="007D7BBD" w:rsidRPr="0089351A">
        <w:rPr>
          <w:rFonts w:asciiTheme="majorBidi" w:hAnsiTheme="majorBidi" w:cstheme="majorBidi"/>
          <w:sz w:val="24"/>
          <w:szCs w:val="24"/>
        </w:rPr>
        <w:t xml:space="preserve"> acquire</w:t>
      </w:r>
      <w:r w:rsidR="0031223C" w:rsidRPr="0089351A">
        <w:rPr>
          <w:rFonts w:asciiTheme="majorBidi" w:hAnsiTheme="majorBidi" w:cstheme="majorBidi"/>
          <w:sz w:val="24"/>
          <w:szCs w:val="24"/>
        </w:rPr>
        <w:t>d</w:t>
      </w:r>
      <w:r w:rsidR="007D7BBD" w:rsidRPr="0089351A">
        <w:rPr>
          <w:rFonts w:asciiTheme="majorBidi" w:hAnsiTheme="majorBidi" w:cstheme="majorBidi"/>
          <w:sz w:val="24"/>
          <w:szCs w:val="24"/>
        </w:rPr>
        <w:t xml:space="preserve"> positions in the public service</w:t>
      </w:r>
      <w:r w:rsidR="00200C89" w:rsidRPr="0089351A">
        <w:rPr>
          <w:rFonts w:asciiTheme="majorBidi" w:hAnsiTheme="majorBidi" w:cstheme="majorBidi"/>
          <w:sz w:val="24"/>
          <w:szCs w:val="24"/>
        </w:rPr>
        <w:t>.</w:t>
      </w:r>
      <w:r w:rsidR="00CD0DEE" w:rsidRPr="0089351A">
        <w:rPr>
          <w:rStyle w:val="FootnoteReference"/>
          <w:rFonts w:asciiTheme="majorBidi" w:hAnsiTheme="majorBidi" w:cstheme="majorBidi"/>
          <w:sz w:val="24"/>
          <w:szCs w:val="24"/>
        </w:rPr>
        <w:footnoteReference w:id="44"/>
      </w:r>
      <w:r w:rsidR="007D7BBD" w:rsidRPr="0089351A">
        <w:rPr>
          <w:rFonts w:asciiTheme="majorBidi" w:hAnsiTheme="majorBidi" w:cstheme="majorBidi"/>
          <w:sz w:val="24"/>
          <w:szCs w:val="24"/>
        </w:rPr>
        <w:t xml:space="preserve"> </w:t>
      </w:r>
    </w:p>
    <w:p w:rsidR="00E93CE3" w:rsidRPr="0089351A" w:rsidRDefault="00B802D7"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Nevertheless, </w:t>
      </w:r>
      <w:r w:rsidR="005435FD" w:rsidRPr="0089351A">
        <w:rPr>
          <w:rFonts w:asciiTheme="majorBidi" w:hAnsiTheme="majorBidi" w:cstheme="majorBidi"/>
          <w:sz w:val="24"/>
          <w:szCs w:val="24"/>
        </w:rPr>
        <w:t xml:space="preserve">a small </w:t>
      </w:r>
      <w:r w:rsidR="00A64311" w:rsidRPr="0089351A">
        <w:rPr>
          <w:rFonts w:asciiTheme="majorBidi" w:hAnsiTheme="majorBidi" w:cstheme="majorBidi"/>
          <w:sz w:val="24"/>
          <w:szCs w:val="24"/>
        </w:rPr>
        <w:t xml:space="preserve">but cohesive </w:t>
      </w:r>
      <w:r w:rsidR="005435FD" w:rsidRPr="0089351A">
        <w:rPr>
          <w:rFonts w:asciiTheme="majorBidi" w:hAnsiTheme="majorBidi" w:cstheme="majorBidi"/>
          <w:sz w:val="24"/>
          <w:szCs w:val="24"/>
        </w:rPr>
        <w:t>political party with an active membership of a few hundr</w:t>
      </w:r>
      <w:r w:rsidRPr="0089351A">
        <w:rPr>
          <w:rFonts w:asciiTheme="majorBidi" w:hAnsiTheme="majorBidi" w:cstheme="majorBidi"/>
          <w:sz w:val="24"/>
          <w:szCs w:val="24"/>
        </w:rPr>
        <w:t>ed</w:t>
      </w:r>
      <w:r w:rsidR="00E03493" w:rsidRPr="0089351A">
        <w:rPr>
          <w:rFonts w:asciiTheme="majorBidi" w:hAnsiTheme="majorBidi" w:cstheme="majorBidi"/>
          <w:sz w:val="24"/>
          <w:szCs w:val="24"/>
        </w:rPr>
        <w:t xml:space="preserve"> (the membership in early 2015 is some 200)</w:t>
      </w:r>
      <w:r w:rsidRPr="0089351A">
        <w:rPr>
          <w:rFonts w:asciiTheme="majorBidi" w:hAnsiTheme="majorBidi" w:cstheme="majorBidi"/>
          <w:sz w:val="24"/>
          <w:szCs w:val="24"/>
        </w:rPr>
        <w:t xml:space="preserve"> was able, by focusing on </w:t>
      </w:r>
      <w:r w:rsidR="00EF05E7" w:rsidRPr="0089351A">
        <w:rPr>
          <w:rFonts w:asciiTheme="majorBidi" w:hAnsiTheme="majorBidi" w:cstheme="majorBidi"/>
          <w:sz w:val="24"/>
          <w:szCs w:val="24"/>
        </w:rPr>
        <w:t>Creoles</w:t>
      </w:r>
      <w:r w:rsidRPr="0089351A">
        <w:rPr>
          <w:rFonts w:asciiTheme="majorBidi" w:hAnsiTheme="majorBidi" w:cstheme="majorBidi"/>
          <w:sz w:val="24"/>
          <w:szCs w:val="24"/>
        </w:rPr>
        <w:t>’ position</w:t>
      </w:r>
      <w:r w:rsidR="00EF05E7" w:rsidRPr="0089351A">
        <w:rPr>
          <w:rFonts w:asciiTheme="majorBidi" w:hAnsiTheme="majorBidi" w:cstheme="majorBidi"/>
          <w:sz w:val="24"/>
          <w:szCs w:val="24"/>
        </w:rPr>
        <w:t xml:space="preserve">, to create </w:t>
      </w:r>
      <w:r w:rsidR="005435FD" w:rsidRPr="0089351A">
        <w:rPr>
          <w:rFonts w:asciiTheme="majorBidi" w:hAnsiTheme="majorBidi" w:cstheme="majorBidi"/>
          <w:sz w:val="24"/>
          <w:szCs w:val="24"/>
        </w:rPr>
        <w:t>conditions fo</w:t>
      </w:r>
      <w:r w:rsidR="000E0971" w:rsidRPr="0089351A">
        <w:rPr>
          <w:rFonts w:asciiTheme="majorBidi" w:hAnsiTheme="majorBidi" w:cstheme="majorBidi"/>
          <w:sz w:val="24"/>
          <w:szCs w:val="24"/>
        </w:rPr>
        <w:t xml:space="preserve">r the </w:t>
      </w:r>
      <w:r w:rsidR="00DA5907" w:rsidRPr="0089351A">
        <w:rPr>
          <w:rFonts w:asciiTheme="majorBidi" w:hAnsiTheme="majorBidi" w:cstheme="majorBidi"/>
          <w:sz w:val="24"/>
          <w:szCs w:val="24"/>
        </w:rPr>
        <w:t>M</w:t>
      </w:r>
      <w:r w:rsidR="000E0971" w:rsidRPr="0089351A">
        <w:rPr>
          <w:rFonts w:asciiTheme="majorBidi" w:hAnsiTheme="majorBidi" w:cstheme="majorBidi"/>
          <w:sz w:val="24"/>
          <w:szCs w:val="24"/>
        </w:rPr>
        <w:t xml:space="preserve">TJC’s establishment. </w:t>
      </w:r>
      <w:r w:rsidR="00862843" w:rsidRPr="0089351A">
        <w:rPr>
          <w:rFonts w:asciiTheme="majorBidi" w:hAnsiTheme="majorBidi" w:cstheme="majorBidi"/>
          <w:sz w:val="24"/>
          <w:szCs w:val="24"/>
        </w:rPr>
        <w:t xml:space="preserve">The </w:t>
      </w:r>
      <w:proofErr w:type="gramStart"/>
      <w:r w:rsidR="00862843" w:rsidRPr="0089351A">
        <w:rPr>
          <w:rFonts w:asciiTheme="majorBidi" w:hAnsiTheme="majorBidi" w:cstheme="majorBidi"/>
          <w:sz w:val="24"/>
          <w:szCs w:val="24"/>
        </w:rPr>
        <w:t>party,</w:t>
      </w:r>
      <w:proofErr w:type="gramEnd"/>
      <w:r w:rsidR="00862843" w:rsidRPr="0089351A">
        <w:rPr>
          <w:rFonts w:asciiTheme="majorBidi" w:hAnsiTheme="majorBidi" w:cstheme="majorBidi"/>
          <w:sz w:val="24"/>
          <w:szCs w:val="24"/>
        </w:rPr>
        <w:t xml:space="preserve"> originally call</w:t>
      </w:r>
      <w:r w:rsidR="00E93CE3" w:rsidRPr="0089351A">
        <w:rPr>
          <w:rFonts w:asciiTheme="majorBidi" w:hAnsiTheme="majorBidi" w:cstheme="majorBidi"/>
          <w:sz w:val="24"/>
          <w:szCs w:val="24"/>
        </w:rPr>
        <w:t xml:space="preserve">ed the </w:t>
      </w:r>
      <w:r w:rsidR="00E93CE3" w:rsidRPr="0089351A">
        <w:rPr>
          <w:rFonts w:asciiTheme="majorBidi" w:hAnsiTheme="majorBidi" w:cstheme="majorBidi"/>
          <w:i/>
          <w:iCs/>
          <w:sz w:val="24"/>
          <w:szCs w:val="24"/>
        </w:rPr>
        <w:t xml:space="preserve">Organisation </w:t>
      </w:r>
      <w:proofErr w:type="spellStart"/>
      <w:r w:rsidR="00E93CE3" w:rsidRPr="0089351A">
        <w:rPr>
          <w:rFonts w:asciiTheme="majorBidi" w:hAnsiTheme="majorBidi" w:cstheme="majorBidi"/>
          <w:i/>
          <w:iCs/>
          <w:sz w:val="24"/>
          <w:szCs w:val="24"/>
        </w:rPr>
        <w:t>Fraternelle</w:t>
      </w:r>
      <w:proofErr w:type="spellEnd"/>
      <w:r w:rsidR="00E93CE3" w:rsidRPr="0089351A">
        <w:rPr>
          <w:rFonts w:asciiTheme="majorBidi" w:hAnsiTheme="majorBidi" w:cstheme="majorBidi"/>
          <w:sz w:val="24"/>
          <w:szCs w:val="24"/>
        </w:rPr>
        <w:t xml:space="preserve"> </w:t>
      </w:r>
      <w:r w:rsidR="00E44910" w:rsidRPr="0089351A">
        <w:rPr>
          <w:rFonts w:asciiTheme="majorBidi" w:hAnsiTheme="majorBidi" w:cstheme="majorBidi"/>
          <w:sz w:val="24"/>
          <w:szCs w:val="24"/>
        </w:rPr>
        <w:t xml:space="preserve">(OF) </w:t>
      </w:r>
      <w:r w:rsidR="00E93CE3" w:rsidRPr="0089351A">
        <w:rPr>
          <w:rFonts w:asciiTheme="majorBidi" w:hAnsiTheme="majorBidi" w:cstheme="majorBidi"/>
          <w:sz w:val="24"/>
          <w:szCs w:val="24"/>
        </w:rPr>
        <w:t xml:space="preserve">and later re-named </w:t>
      </w:r>
      <w:r w:rsidR="00E93CE3" w:rsidRPr="0089351A">
        <w:rPr>
          <w:rFonts w:asciiTheme="majorBidi" w:hAnsiTheme="majorBidi" w:cstheme="majorBidi"/>
          <w:i/>
          <w:iCs/>
          <w:sz w:val="24"/>
          <w:szCs w:val="24"/>
        </w:rPr>
        <w:t xml:space="preserve">Les Verts </w:t>
      </w:r>
      <w:proofErr w:type="spellStart"/>
      <w:r w:rsidR="00E93CE3" w:rsidRPr="0089351A">
        <w:rPr>
          <w:rFonts w:asciiTheme="majorBidi" w:hAnsiTheme="majorBidi" w:cstheme="majorBidi"/>
          <w:i/>
          <w:iCs/>
          <w:sz w:val="24"/>
          <w:szCs w:val="24"/>
        </w:rPr>
        <w:t>Fraternels</w:t>
      </w:r>
      <w:proofErr w:type="spellEnd"/>
      <w:r w:rsidR="005D78A2" w:rsidRPr="0089351A">
        <w:rPr>
          <w:rFonts w:asciiTheme="majorBidi" w:hAnsiTheme="majorBidi" w:cstheme="majorBidi"/>
          <w:sz w:val="24"/>
          <w:szCs w:val="24"/>
        </w:rPr>
        <w:t xml:space="preserve"> (VF)</w:t>
      </w:r>
      <w:r w:rsidR="00DF2442" w:rsidRPr="0089351A">
        <w:rPr>
          <w:rFonts w:asciiTheme="majorBidi" w:hAnsiTheme="majorBidi" w:cstheme="majorBidi"/>
          <w:sz w:val="24"/>
          <w:szCs w:val="24"/>
        </w:rPr>
        <w:t>, was formed in April 1968</w:t>
      </w:r>
      <w:r w:rsidR="00E93CE3" w:rsidRPr="0089351A">
        <w:rPr>
          <w:rFonts w:asciiTheme="majorBidi" w:hAnsiTheme="majorBidi" w:cstheme="majorBidi"/>
          <w:sz w:val="24"/>
          <w:szCs w:val="24"/>
        </w:rPr>
        <w:t xml:space="preserve"> at a public meeting held at Mont </w:t>
      </w:r>
      <w:proofErr w:type="spellStart"/>
      <w:r w:rsidR="00E93CE3" w:rsidRPr="0089351A">
        <w:rPr>
          <w:rFonts w:asciiTheme="majorBidi" w:hAnsiTheme="majorBidi" w:cstheme="majorBidi"/>
          <w:sz w:val="24"/>
          <w:szCs w:val="24"/>
        </w:rPr>
        <w:t>Choisy</w:t>
      </w:r>
      <w:proofErr w:type="spellEnd"/>
      <w:r w:rsidR="00CF139C" w:rsidRPr="0089351A">
        <w:rPr>
          <w:rFonts w:asciiTheme="majorBidi" w:hAnsiTheme="majorBidi" w:cstheme="majorBidi"/>
          <w:sz w:val="24"/>
          <w:szCs w:val="24"/>
        </w:rPr>
        <w:t xml:space="preserve"> where their brown</w:t>
      </w:r>
      <w:r w:rsidR="00E93CE3" w:rsidRPr="0089351A">
        <w:rPr>
          <w:rFonts w:asciiTheme="majorBidi" w:hAnsiTheme="majorBidi" w:cstheme="majorBidi"/>
          <w:sz w:val="24"/>
          <w:szCs w:val="24"/>
        </w:rPr>
        <w:t xml:space="preserve"> was erected in commemoration of the slave maroons who had temporarily escaped their maste</w:t>
      </w:r>
      <w:r w:rsidR="00406009" w:rsidRPr="0089351A">
        <w:rPr>
          <w:rFonts w:asciiTheme="majorBidi" w:hAnsiTheme="majorBidi" w:cstheme="majorBidi"/>
          <w:sz w:val="24"/>
          <w:szCs w:val="24"/>
        </w:rPr>
        <w:t xml:space="preserve">rs. </w:t>
      </w:r>
      <w:r w:rsidR="00CF139C" w:rsidRPr="0089351A">
        <w:rPr>
          <w:rFonts w:asciiTheme="majorBidi" w:hAnsiTheme="majorBidi" w:cstheme="majorBidi"/>
          <w:sz w:val="24"/>
          <w:szCs w:val="24"/>
        </w:rPr>
        <w:t>The context was of racial violence from which they arguably suffered disproportionately.  OF/VF’s</w:t>
      </w:r>
      <w:r w:rsidR="006E78C9" w:rsidRPr="0089351A">
        <w:rPr>
          <w:rFonts w:asciiTheme="majorBidi" w:hAnsiTheme="majorBidi" w:cstheme="majorBidi"/>
          <w:sz w:val="24"/>
          <w:szCs w:val="24"/>
        </w:rPr>
        <w:t xml:space="preserve"> leaders were and remain politically multi-lingual sophisticated intellectuals. </w:t>
      </w:r>
      <w:r w:rsidR="00406009" w:rsidRPr="0089351A">
        <w:rPr>
          <w:rFonts w:asciiTheme="majorBidi" w:hAnsiTheme="majorBidi" w:cstheme="majorBidi"/>
          <w:sz w:val="24"/>
          <w:szCs w:val="24"/>
        </w:rPr>
        <w:t>The party’s main objective wa</w:t>
      </w:r>
      <w:r w:rsidR="00E93CE3" w:rsidRPr="0089351A">
        <w:rPr>
          <w:rFonts w:asciiTheme="majorBidi" w:hAnsiTheme="majorBidi" w:cstheme="majorBidi"/>
          <w:sz w:val="24"/>
          <w:szCs w:val="24"/>
        </w:rPr>
        <w:t>s</w:t>
      </w:r>
      <w:r w:rsidR="00406009" w:rsidRPr="0089351A">
        <w:rPr>
          <w:rFonts w:asciiTheme="majorBidi" w:hAnsiTheme="majorBidi" w:cstheme="majorBidi"/>
          <w:sz w:val="24"/>
          <w:szCs w:val="24"/>
        </w:rPr>
        <w:t xml:space="preserve"> and remains</w:t>
      </w:r>
      <w:r w:rsidR="00E93CE3" w:rsidRPr="0089351A">
        <w:rPr>
          <w:rFonts w:asciiTheme="majorBidi" w:hAnsiTheme="majorBidi" w:cstheme="majorBidi"/>
          <w:sz w:val="24"/>
          <w:szCs w:val="24"/>
        </w:rPr>
        <w:t xml:space="preserve"> to act for the benefit of the descendants of slaves. In</w:t>
      </w:r>
      <w:r w:rsidR="00200C89" w:rsidRPr="0089351A">
        <w:rPr>
          <w:rFonts w:asciiTheme="majorBidi" w:hAnsiTheme="majorBidi" w:cstheme="majorBidi"/>
          <w:sz w:val="24"/>
          <w:szCs w:val="24"/>
        </w:rPr>
        <w:t xml:space="preserve"> </w:t>
      </w:r>
      <w:r w:rsidR="00E93CE3" w:rsidRPr="0089351A">
        <w:rPr>
          <w:rFonts w:asciiTheme="majorBidi" w:hAnsiTheme="majorBidi" w:cstheme="majorBidi"/>
          <w:sz w:val="24"/>
          <w:szCs w:val="24"/>
        </w:rPr>
        <w:t xml:space="preserve">1976 they were the first to erect a monument to commemorate the abolition of slavery in Mauritius. In that year, the party’s leader </w:t>
      </w:r>
      <w:proofErr w:type="spellStart"/>
      <w:r w:rsidR="00E93CE3" w:rsidRPr="0089351A">
        <w:rPr>
          <w:rFonts w:asciiTheme="majorBidi" w:hAnsiTheme="majorBidi" w:cstheme="majorBidi"/>
          <w:sz w:val="24"/>
          <w:szCs w:val="24"/>
        </w:rPr>
        <w:t>Sylvio</w:t>
      </w:r>
      <w:proofErr w:type="spellEnd"/>
      <w:r w:rsidR="00E93CE3" w:rsidRPr="0089351A">
        <w:rPr>
          <w:rFonts w:asciiTheme="majorBidi" w:hAnsiTheme="majorBidi" w:cstheme="majorBidi"/>
          <w:sz w:val="24"/>
          <w:szCs w:val="24"/>
        </w:rPr>
        <w:t xml:space="preserve"> Michel was elec</w:t>
      </w:r>
      <w:r w:rsidR="00A64311" w:rsidRPr="0089351A">
        <w:rPr>
          <w:rFonts w:asciiTheme="majorBidi" w:hAnsiTheme="majorBidi" w:cstheme="majorBidi"/>
          <w:sz w:val="24"/>
          <w:szCs w:val="24"/>
        </w:rPr>
        <w:t xml:space="preserve">ted to parliament and his </w:t>
      </w:r>
      <w:r w:rsidR="00A64311" w:rsidRPr="0089351A">
        <w:rPr>
          <w:rFonts w:asciiTheme="majorBidi" w:hAnsiTheme="majorBidi" w:cstheme="majorBidi"/>
          <w:sz w:val="24"/>
          <w:szCs w:val="24"/>
        </w:rPr>
        <w:lastRenderedPageBreak/>
        <w:t>first motion was to propose</w:t>
      </w:r>
      <w:r w:rsidR="00E93CE3" w:rsidRPr="0089351A">
        <w:rPr>
          <w:rFonts w:asciiTheme="majorBidi" w:hAnsiTheme="majorBidi" w:cstheme="majorBidi"/>
          <w:sz w:val="24"/>
          <w:szCs w:val="24"/>
        </w:rPr>
        <w:t xml:space="preserve"> the institution of 1 February as a</w:t>
      </w:r>
      <w:r w:rsidR="00862843" w:rsidRPr="0089351A">
        <w:rPr>
          <w:rFonts w:asciiTheme="majorBidi" w:hAnsiTheme="majorBidi" w:cstheme="majorBidi"/>
          <w:sz w:val="24"/>
          <w:szCs w:val="24"/>
        </w:rPr>
        <w:t xml:space="preserve"> public</w:t>
      </w:r>
      <w:r w:rsidR="00DA5907" w:rsidRPr="0089351A">
        <w:rPr>
          <w:rFonts w:asciiTheme="majorBidi" w:hAnsiTheme="majorBidi" w:cstheme="majorBidi"/>
          <w:sz w:val="24"/>
          <w:szCs w:val="24"/>
        </w:rPr>
        <w:t xml:space="preserve"> ho</w:t>
      </w:r>
      <w:r w:rsidR="00406009" w:rsidRPr="0089351A">
        <w:rPr>
          <w:rFonts w:asciiTheme="majorBidi" w:hAnsiTheme="majorBidi" w:cstheme="majorBidi"/>
          <w:sz w:val="24"/>
          <w:szCs w:val="24"/>
        </w:rPr>
        <w:t xml:space="preserve">liday to commemorate slavery’s </w:t>
      </w:r>
      <w:r w:rsidR="00DA5907" w:rsidRPr="0089351A">
        <w:rPr>
          <w:rFonts w:asciiTheme="majorBidi" w:hAnsiTheme="majorBidi" w:cstheme="majorBidi"/>
          <w:sz w:val="24"/>
          <w:szCs w:val="24"/>
        </w:rPr>
        <w:t>abolition</w:t>
      </w:r>
      <w:r w:rsidR="00DF2442" w:rsidRPr="0089351A">
        <w:rPr>
          <w:rFonts w:asciiTheme="majorBidi" w:hAnsiTheme="majorBidi" w:cstheme="majorBidi"/>
          <w:sz w:val="24"/>
          <w:szCs w:val="24"/>
        </w:rPr>
        <w:t>; the then Legislative Assembly decided to establish a committee to investigate the matter (probably because slavery was considered a sensitive issue)</w:t>
      </w:r>
      <w:r w:rsidR="00E93CE3" w:rsidRPr="0089351A">
        <w:rPr>
          <w:rFonts w:asciiTheme="majorBidi" w:hAnsiTheme="majorBidi" w:cstheme="majorBidi"/>
          <w:sz w:val="24"/>
          <w:szCs w:val="24"/>
        </w:rPr>
        <w:t>. The MT</w:t>
      </w:r>
      <w:r w:rsidR="00592020" w:rsidRPr="0089351A">
        <w:rPr>
          <w:rFonts w:asciiTheme="majorBidi" w:hAnsiTheme="majorBidi" w:cstheme="majorBidi"/>
          <w:sz w:val="24"/>
          <w:szCs w:val="24"/>
        </w:rPr>
        <w:t xml:space="preserve">JC mentioned </w:t>
      </w:r>
      <w:r w:rsidR="00E93CE3" w:rsidRPr="0089351A">
        <w:rPr>
          <w:rFonts w:asciiTheme="majorBidi" w:hAnsiTheme="majorBidi" w:cstheme="majorBidi"/>
          <w:sz w:val="24"/>
          <w:szCs w:val="24"/>
        </w:rPr>
        <w:t>his initiative to establish a ‘committee on repara</w:t>
      </w:r>
      <w:r w:rsidR="00CD0DEE" w:rsidRPr="0089351A">
        <w:rPr>
          <w:rFonts w:asciiTheme="majorBidi" w:hAnsiTheme="majorBidi" w:cstheme="majorBidi"/>
          <w:sz w:val="24"/>
          <w:szCs w:val="24"/>
        </w:rPr>
        <w:t>tions for slavery’ in early 1999</w:t>
      </w:r>
      <w:r w:rsidR="00200C89" w:rsidRPr="0089351A">
        <w:rPr>
          <w:rFonts w:asciiTheme="majorBidi" w:hAnsiTheme="majorBidi" w:cstheme="majorBidi"/>
          <w:sz w:val="24"/>
          <w:szCs w:val="24"/>
        </w:rPr>
        <w:t>.</w:t>
      </w:r>
      <w:r w:rsidR="00CD0DEE" w:rsidRPr="0089351A">
        <w:rPr>
          <w:rStyle w:val="FootnoteReference"/>
          <w:rFonts w:asciiTheme="majorBidi" w:hAnsiTheme="majorBidi" w:cstheme="majorBidi"/>
          <w:sz w:val="24"/>
          <w:szCs w:val="24"/>
        </w:rPr>
        <w:footnoteReference w:id="45"/>
      </w:r>
      <w:r w:rsidR="00E93CE3" w:rsidRPr="0089351A">
        <w:rPr>
          <w:rFonts w:asciiTheme="majorBidi" w:hAnsiTheme="majorBidi" w:cstheme="majorBidi"/>
          <w:sz w:val="24"/>
          <w:szCs w:val="24"/>
        </w:rPr>
        <w:t xml:space="preserve"> The aim of this parliamentary select committee was ‘to consider compensation for slaves’. The </w:t>
      </w:r>
      <w:r w:rsidR="00CD0DEE" w:rsidRPr="0089351A">
        <w:rPr>
          <w:rFonts w:asciiTheme="majorBidi" w:hAnsiTheme="majorBidi" w:cstheme="majorBidi"/>
          <w:sz w:val="24"/>
          <w:szCs w:val="24"/>
        </w:rPr>
        <w:t>MTJC</w:t>
      </w:r>
      <w:r w:rsidR="00E93CE3" w:rsidRPr="0089351A">
        <w:rPr>
          <w:rFonts w:asciiTheme="majorBidi" w:hAnsiTheme="majorBidi" w:cstheme="majorBidi"/>
          <w:sz w:val="24"/>
          <w:szCs w:val="24"/>
        </w:rPr>
        <w:t xml:space="preserve"> described the committ</w:t>
      </w:r>
      <w:r w:rsidR="00DA5907" w:rsidRPr="0089351A">
        <w:rPr>
          <w:rFonts w:asciiTheme="majorBidi" w:hAnsiTheme="majorBidi" w:cstheme="majorBidi"/>
          <w:sz w:val="24"/>
          <w:szCs w:val="24"/>
        </w:rPr>
        <w:t>ee’s fate</w:t>
      </w:r>
      <w:r w:rsidR="00E93CE3" w:rsidRPr="0089351A">
        <w:rPr>
          <w:rFonts w:asciiTheme="majorBidi" w:hAnsiTheme="majorBidi" w:cstheme="majorBidi"/>
          <w:sz w:val="24"/>
          <w:szCs w:val="24"/>
        </w:rPr>
        <w:t>: ‘Days after this committee was established, bloody riots broke out in Mauritius and the Chairman of the committee was appointed to head an investigation into the riots. As a consequence, this early a</w:t>
      </w:r>
      <w:r w:rsidR="00CD0DEE" w:rsidRPr="0089351A">
        <w:rPr>
          <w:rFonts w:asciiTheme="majorBidi" w:hAnsiTheme="majorBidi" w:cstheme="majorBidi"/>
          <w:sz w:val="24"/>
          <w:szCs w:val="24"/>
        </w:rPr>
        <w:t>ttempt never got off the ground</w:t>
      </w:r>
      <w:r w:rsidR="00E93CE3" w:rsidRPr="0089351A">
        <w:rPr>
          <w:rFonts w:asciiTheme="majorBidi" w:hAnsiTheme="majorBidi" w:cstheme="majorBidi"/>
          <w:sz w:val="24"/>
          <w:szCs w:val="24"/>
        </w:rPr>
        <w:t>’</w:t>
      </w:r>
      <w:r w:rsidR="00200C89" w:rsidRPr="0089351A">
        <w:rPr>
          <w:rFonts w:asciiTheme="majorBidi" w:hAnsiTheme="majorBidi" w:cstheme="majorBidi"/>
          <w:sz w:val="24"/>
          <w:szCs w:val="24"/>
        </w:rPr>
        <w:t>.</w:t>
      </w:r>
      <w:r w:rsidR="00CD0DEE" w:rsidRPr="0089351A">
        <w:rPr>
          <w:rStyle w:val="FootnoteReference"/>
          <w:rFonts w:asciiTheme="majorBidi" w:hAnsiTheme="majorBidi" w:cstheme="majorBidi"/>
          <w:sz w:val="24"/>
          <w:szCs w:val="24"/>
        </w:rPr>
        <w:footnoteReference w:id="46"/>
      </w:r>
      <w:r w:rsidR="00E93CE3" w:rsidRPr="0089351A">
        <w:rPr>
          <w:rFonts w:asciiTheme="majorBidi" w:hAnsiTheme="majorBidi" w:cstheme="majorBidi"/>
          <w:sz w:val="24"/>
          <w:szCs w:val="24"/>
        </w:rPr>
        <w:t xml:space="preserve"> The</w:t>
      </w:r>
      <w:r w:rsidR="000131F4" w:rsidRPr="0089351A">
        <w:rPr>
          <w:rFonts w:asciiTheme="majorBidi" w:hAnsiTheme="majorBidi" w:cstheme="majorBidi"/>
          <w:sz w:val="24"/>
          <w:szCs w:val="24"/>
        </w:rPr>
        <w:t xml:space="preserve"> </w:t>
      </w:r>
      <w:r w:rsidR="00CD0DEE" w:rsidRPr="0089351A">
        <w:rPr>
          <w:rFonts w:asciiTheme="majorBidi" w:hAnsiTheme="majorBidi" w:cstheme="majorBidi"/>
          <w:sz w:val="24"/>
          <w:szCs w:val="24"/>
        </w:rPr>
        <w:t>MTJC</w:t>
      </w:r>
      <w:r w:rsidR="000131F4" w:rsidRPr="0089351A">
        <w:rPr>
          <w:rFonts w:asciiTheme="majorBidi" w:hAnsiTheme="majorBidi" w:cstheme="majorBidi"/>
          <w:sz w:val="24"/>
          <w:szCs w:val="24"/>
        </w:rPr>
        <w:t>’s a</w:t>
      </w:r>
      <w:r w:rsidR="00592020" w:rsidRPr="0089351A">
        <w:rPr>
          <w:rFonts w:asciiTheme="majorBidi" w:hAnsiTheme="majorBidi" w:cstheme="majorBidi"/>
          <w:sz w:val="24"/>
          <w:szCs w:val="24"/>
        </w:rPr>
        <w:t xml:space="preserve">ccount presents this in terms </w:t>
      </w:r>
      <w:r w:rsidR="00406009" w:rsidRPr="0089351A">
        <w:rPr>
          <w:rFonts w:asciiTheme="majorBidi" w:hAnsiTheme="majorBidi" w:cstheme="majorBidi"/>
          <w:sz w:val="24"/>
          <w:szCs w:val="24"/>
        </w:rPr>
        <w:t xml:space="preserve">of the Chairman’s commitments, </w:t>
      </w:r>
      <w:r w:rsidR="00DA5907" w:rsidRPr="0089351A">
        <w:rPr>
          <w:rFonts w:asciiTheme="majorBidi" w:hAnsiTheme="majorBidi" w:cstheme="majorBidi"/>
          <w:sz w:val="24"/>
          <w:szCs w:val="24"/>
        </w:rPr>
        <w:t>y</w:t>
      </w:r>
      <w:r w:rsidR="00E93CE3" w:rsidRPr="0089351A">
        <w:rPr>
          <w:rFonts w:asciiTheme="majorBidi" w:hAnsiTheme="majorBidi" w:cstheme="majorBidi"/>
          <w:sz w:val="24"/>
          <w:szCs w:val="24"/>
        </w:rPr>
        <w:t xml:space="preserve">et the </w:t>
      </w:r>
      <w:r w:rsidR="00CF72DD" w:rsidRPr="0089351A">
        <w:rPr>
          <w:rFonts w:asciiTheme="majorBidi" w:hAnsiTheme="majorBidi" w:cstheme="majorBidi"/>
          <w:sz w:val="24"/>
          <w:szCs w:val="24"/>
        </w:rPr>
        <w:t>1999 ethnic riots</w:t>
      </w:r>
      <w:r w:rsidR="00E93CE3" w:rsidRPr="0089351A">
        <w:rPr>
          <w:rFonts w:asciiTheme="majorBidi" w:hAnsiTheme="majorBidi" w:cstheme="majorBidi"/>
          <w:sz w:val="24"/>
          <w:szCs w:val="24"/>
        </w:rPr>
        <w:t xml:space="preserve"> </w:t>
      </w:r>
      <w:r w:rsidR="005D78A2" w:rsidRPr="0089351A">
        <w:rPr>
          <w:rFonts w:asciiTheme="majorBidi" w:hAnsiTheme="majorBidi" w:cstheme="majorBidi"/>
          <w:sz w:val="24"/>
          <w:szCs w:val="24"/>
        </w:rPr>
        <w:t>manifest</w:t>
      </w:r>
      <w:r w:rsidR="00862843" w:rsidRPr="0089351A">
        <w:rPr>
          <w:rFonts w:asciiTheme="majorBidi" w:hAnsiTheme="majorBidi" w:cstheme="majorBidi"/>
          <w:sz w:val="24"/>
          <w:szCs w:val="24"/>
        </w:rPr>
        <w:t xml:space="preserve">ed more fundamental issues. They </w:t>
      </w:r>
      <w:r w:rsidR="00E93CE3" w:rsidRPr="0089351A">
        <w:rPr>
          <w:rFonts w:asciiTheme="majorBidi" w:hAnsiTheme="majorBidi" w:cstheme="majorBidi"/>
          <w:sz w:val="24"/>
          <w:szCs w:val="24"/>
        </w:rPr>
        <w:t>dramatically underlined how any discussion of compensation for the descendants of slavery threatened to exacerbate tensions between t</w:t>
      </w:r>
      <w:r w:rsidR="00DA5907" w:rsidRPr="0089351A">
        <w:rPr>
          <w:rFonts w:asciiTheme="majorBidi" w:hAnsiTheme="majorBidi" w:cstheme="majorBidi"/>
          <w:sz w:val="24"/>
          <w:szCs w:val="24"/>
        </w:rPr>
        <w:t>he</w:t>
      </w:r>
      <w:r w:rsidR="000131F4" w:rsidRPr="0089351A">
        <w:rPr>
          <w:rFonts w:asciiTheme="majorBidi" w:hAnsiTheme="majorBidi" w:cstheme="majorBidi"/>
          <w:sz w:val="24"/>
          <w:szCs w:val="24"/>
        </w:rPr>
        <w:t xml:space="preserve"> </w:t>
      </w:r>
      <w:r w:rsidR="00862843" w:rsidRPr="0089351A">
        <w:rPr>
          <w:rFonts w:asciiTheme="majorBidi" w:hAnsiTheme="majorBidi" w:cstheme="majorBidi"/>
          <w:sz w:val="24"/>
          <w:szCs w:val="24"/>
        </w:rPr>
        <w:t xml:space="preserve">island’s two </w:t>
      </w:r>
      <w:r w:rsidR="000131F4" w:rsidRPr="0089351A">
        <w:rPr>
          <w:rFonts w:asciiTheme="majorBidi" w:hAnsiTheme="majorBidi" w:cstheme="majorBidi"/>
          <w:sz w:val="24"/>
          <w:szCs w:val="24"/>
        </w:rPr>
        <w:t>main ethnic communities</w:t>
      </w:r>
      <w:r w:rsidR="00E93CE3" w:rsidRPr="0089351A">
        <w:rPr>
          <w:rFonts w:asciiTheme="majorBidi" w:hAnsiTheme="majorBidi" w:cstheme="majorBidi"/>
          <w:sz w:val="24"/>
          <w:szCs w:val="24"/>
        </w:rPr>
        <w:t xml:space="preserve">. Here was a </w:t>
      </w:r>
      <w:r w:rsidR="005D78A2" w:rsidRPr="0089351A">
        <w:rPr>
          <w:rFonts w:asciiTheme="majorBidi" w:hAnsiTheme="majorBidi" w:cstheme="majorBidi"/>
          <w:sz w:val="24"/>
          <w:szCs w:val="24"/>
        </w:rPr>
        <w:t>sizeable</w:t>
      </w:r>
      <w:r w:rsidR="000131F4" w:rsidRPr="0089351A">
        <w:rPr>
          <w:rFonts w:asciiTheme="majorBidi" w:hAnsiTheme="majorBidi" w:cstheme="majorBidi"/>
          <w:sz w:val="24"/>
          <w:szCs w:val="24"/>
        </w:rPr>
        <w:t xml:space="preserve"> </w:t>
      </w:r>
      <w:r w:rsidR="00862843" w:rsidRPr="0089351A">
        <w:rPr>
          <w:rFonts w:asciiTheme="majorBidi" w:hAnsiTheme="majorBidi" w:cstheme="majorBidi"/>
          <w:sz w:val="24"/>
          <w:szCs w:val="24"/>
        </w:rPr>
        <w:t>barrier to compensation-based</w:t>
      </w:r>
      <w:r w:rsidR="00E93CE3" w:rsidRPr="0089351A">
        <w:rPr>
          <w:rFonts w:asciiTheme="majorBidi" w:hAnsiTheme="majorBidi" w:cstheme="majorBidi"/>
          <w:sz w:val="24"/>
          <w:szCs w:val="24"/>
        </w:rPr>
        <w:t xml:space="preserve"> solutions linked </w:t>
      </w:r>
      <w:r w:rsidR="00E93CE3" w:rsidRPr="0089351A">
        <w:rPr>
          <w:rFonts w:asciiTheme="majorBidi" w:hAnsiTheme="majorBidi" w:cstheme="majorBidi"/>
          <w:i/>
          <w:iCs/>
          <w:sz w:val="24"/>
          <w:szCs w:val="24"/>
        </w:rPr>
        <w:t>solely</w:t>
      </w:r>
      <w:r w:rsidR="00E93CE3" w:rsidRPr="0089351A">
        <w:rPr>
          <w:rFonts w:asciiTheme="majorBidi" w:hAnsiTheme="majorBidi" w:cstheme="majorBidi"/>
          <w:sz w:val="24"/>
          <w:szCs w:val="24"/>
        </w:rPr>
        <w:t xml:space="preserve"> to slav</w:t>
      </w:r>
      <w:r w:rsidR="00592020" w:rsidRPr="0089351A">
        <w:rPr>
          <w:rFonts w:asciiTheme="majorBidi" w:hAnsiTheme="majorBidi" w:cstheme="majorBidi"/>
          <w:sz w:val="24"/>
          <w:szCs w:val="24"/>
        </w:rPr>
        <w:t xml:space="preserve">ery. In 2000, VF allied </w:t>
      </w:r>
      <w:r w:rsidR="00E93CE3" w:rsidRPr="0089351A">
        <w:rPr>
          <w:rFonts w:asciiTheme="majorBidi" w:hAnsiTheme="majorBidi" w:cstheme="majorBidi"/>
          <w:sz w:val="24"/>
          <w:szCs w:val="24"/>
        </w:rPr>
        <w:t xml:space="preserve">with the </w:t>
      </w:r>
      <w:proofErr w:type="spellStart"/>
      <w:r w:rsidR="00B3530E" w:rsidRPr="0089351A">
        <w:rPr>
          <w:rFonts w:asciiTheme="majorBidi" w:hAnsiTheme="majorBidi" w:cstheme="majorBidi"/>
          <w:sz w:val="24"/>
          <w:szCs w:val="24"/>
        </w:rPr>
        <w:t>Mouvement</w:t>
      </w:r>
      <w:proofErr w:type="spellEnd"/>
      <w:r w:rsidR="00B3530E" w:rsidRPr="0089351A">
        <w:rPr>
          <w:rFonts w:asciiTheme="majorBidi" w:hAnsiTheme="majorBidi" w:cstheme="majorBidi"/>
          <w:sz w:val="24"/>
          <w:szCs w:val="24"/>
        </w:rPr>
        <w:t xml:space="preserve"> </w:t>
      </w:r>
      <w:proofErr w:type="spellStart"/>
      <w:r w:rsidR="00B3530E" w:rsidRPr="0089351A">
        <w:rPr>
          <w:rFonts w:asciiTheme="majorBidi" w:hAnsiTheme="majorBidi" w:cstheme="majorBidi"/>
          <w:sz w:val="24"/>
          <w:szCs w:val="24"/>
        </w:rPr>
        <w:t>Socialiste</w:t>
      </w:r>
      <w:proofErr w:type="spellEnd"/>
      <w:r w:rsidR="00B3530E" w:rsidRPr="0089351A">
        <w:rPr>
          <w:rFonts w:asciiTheme="majorBidi" w:hAnsiTheme="majorBidi" w:cstheme="majorBidi"/>
          <w:sz w:val="24"/>
          <w:szCs w:val="24"/>
        </w:rPr>
        <w:t xml:space="preserve"> Militant (</w:t>
      </w:r>
      <w:r w:rsidR="00E93CE3" w:rsidRPr="0089351A">
        <w:rPr>
          <w:rFonts w:asciiTheme="majorBidi" w:hAnsiTheme="majorBidi" w:cstheme="majorBidi"/>
          <w:sz w:val="24"/>
          <w:szCs w:val="24"/>
        </w:rPr>
        <w:t>MSM</w:t>
      </w:r>
      <w:r w:rsidR="00B3530E" w:rsidRPr="0089351A">
        <w:rPr>
          <w:rFonts w:asciiTheme="majorBidi" w:hAnsiTheme="majorBidi" w:cstheme="majorBidi"/>
          <w:sz w:val="24"/>
          <w:szCs w:val="24"/>
        </w:rPr>
        <w:t xml:space="preserve">) and </w:t>
      </w:r>
      <w:proofErr w:type="spellStart"/>
      <w:r w:rsidR="00E93CE3" w:rsidRPr="0089351A">
        <w:rPr>
          <w:rFonts w:asciiTheme="majorBidi" w:hAnsiTheme="majorBidi" w:cstheme="majorBidi"/>
          <w:sz w:val="24"/>
          <w:szCs w:val="24"/>
        </w:rPr>
        <w:t>M</w:t>
      </w:r>
      <w:r w:rsidR="00B3530E" w:rsidRPr="0089351A">
        <w:rPr>
          <w:rFonts w:asciiTheme="majorBidi" w:hAnsiTheme="majorBidi" w:cstheme="majorBidi"/>
          <w:sz w:val="24"/>
          <w:szCs w:val="24"/>
        </w:rPr>
        <w:t>ouvement</w:t>
      </w:r>
      <w:proofErr w:type="spellEnd"/>
      <w:r w:rsidR="00B3530E" w:rsidRPr="0089351A">
        <w:rPr>
          <w:rFonts w:asciiTheme="majorBidi" w:hAnsiTheme="majorBidi" w:cstheme="majorBidi"/>
          <w:sz w:val="24"/>
          <w:szCs w:val="24"/>
        </w:rPr>
        <w:t xml:space="preserve"> Militant </w:t>
      </w:r>
      <w:proofErr w:type="spellStart"/>
      <w:r w:rsidR="00B3530E" w:rsidRPr="0089351A">
        <w:rPr>
          <w:rFonts w:asciiTheme="majorBidi" w:hAnsiTheme="majorBidi" w:cstheme="majorBidi"/>
          <w:sz w:val="24"/>
          <w:szCs w:val="24"/>
        </w:rPr>
        <w:t>Mauricien</w:t>
      </w:r>
      <w:proofErr w:type="spellEnd"/>
      <w:r w:rsidR="00B3530E" w:rsidRPr="0089351A">
        <w:rPr>
          <w:rFonts w:asciiTheme="majorBidi" w:hAnsiTheme="majorBidi" w:cstheme="majorBidi"/>
          <w:sz w:val="24"/>
          <w:szCs w:val="24"/>
        </w:rPr>
        <w:t xml:space="preserve"> (</w:t>
      </w:r>
      <w:r w:rsidR="00E93CE3" w:rsidRPr="0089351A">
        <w:rPr>
          <w:rFonts w:asciiTheme="majorBidi" w:hAnsiTheme="majorBidi" w:cstheme="majorBidi"/>
          <w:sz w:val="24"/>
          <w:szCs w:val="24"/>
        </w:rPr>
        <w:t>MM</w:t>
      </w:r>
      <w:r w:rsidR="00B3530E" w:rsidRPr="0089351A">
        <w:rPr>
          <w:rFonts w:asciiTheme="majorBidi" w:hAnsiTheme="majorBidi" w:cstheme="majorBidi"/>
          <w:sz w:val="24"/>
          <w:szCs w:val="24"/>
        </w:rPr>
        <w:t>M)</w:t>
      </w:r>
      <w:r w:rsidR="00592020" w:rsidRPr="0089351A">
        <w:rPr>
          <w:rFonts w:asciiTheme="majorBidi" w:hAnsiTheme="majorBidi" w:cstheme="majorBidi"/>
          <w:sz w:val="24"/>
          <w:szCs w:val="24"/>
        </w:rPr>
        <w:t xml:space="preserve"> parties to contest</w:t>
      </w:r>
      <w:r w:rsidR="00B3530E" w:rsidRPr="0089351A">
        <w:rPr>
          <w:rFonts w:asciiTheme="majorBidi" w:hAnsiTheme="majorBidi" w:cstheme="majorBidi"/>
          <w:sz w:val="24"/>
          <w:szCs w:val="24"/>
        </w:rPr>
        <w:t xml:space="preserve"> the General Election; the pact’s basis</w:t>
      </w:r>
      <w:r w:rsidR="00E93CE3" w:rsidRPr="0089351A">
        <w:rPr>
          <w:rFonts w:asciiTheme="majorBidi" w:hAnsiTheme="majorBidi" w:cstheme="majorBidi"/>
          <w:sz w:val="24"/>
          <w:szCs w:val="24"/>
        </w:rPr>
        <w:t xml:space="preserve"> was</w:t>
      </w:r>
      <w:r w:rsidR="00862843" w:rsidRPr="0089351A">
        <w:rPr>
          <w:rFonts w:asciiTheme="majorBidi" w:hAnsiTheme="majorBidi" w:cstheme="majorBidi"/>
          <w:sz w:val="24"/>
          <w:szCs w:val="24"/>
        </w:rPr>
        <w:t xml:space="preserve"> that 1 February would be a public</w:t>
      </w:r>
      <w:r w:rsidR="00E93CE3" w:rsidRPr="0089351A">
        <w:rPr>
          <w:rFonts w:asciiTheme="majorBidi" w:hAnsiTheme="majorBidi" w:cstheme="majorBidi"/>
          <w:sz w:val="24"/>
          <w:szCs w:val="24"/>
        </w:rPr>
        <w:t xml:space="preserve"> holiday and t</w:t>
      </w:r>
      <w:r w:rsidR="00592020" w:rsidRPr="0089351A">
        <w:rPr>
          <w:rFonts w:asciiTheme="majorBidi" w:hAnsiTheme="majorBidi" w:cstheme="majorBidi"/>
          <w:sz w:val="24"/>
          <w:szCs w:val="24"/>
        </w:rPr>
        <w:t>hat a Commission would be established</w:t>
      </w:r>
      <w:r w:rsidR="00E93CE3" w:rsidRPr="0089351A">
        <w:rPr>
          <w:rFonts w:asciiTheme="majorBidi" w:hAnsiTheme="majorBidi" w:cstheme="majorBidi"/>
          <w:sz w:val="24"/>
          <w:szCs w:val="24"/>
        </w:rPr>
        <w:t xml:space="preserve"> to stud</w:t>
      </w:r>
      <w:r w:rsidR="00DA5907" w:rsidRPr="0089351A">
        <w:rPr>
          <w:rFonts w:asciiTheme="majorBidi" w:hAnsiTheme="majorBidi" w:cstheme="majorBidi"/>
          <w:sz w:val="24"/>
          <w:szCs w:val="24"/>
        </w:rPr>
        <w:t>y slavery’s</w:t>
      </w:r>
      <w:r w:rsidR="00B3530E" w:rsidRPr="0089351A">
        <w:rPr>
          <w:rFonts w:asciiTheme="majorBidi" w:hAnsiTheme="majorBidi" w:cstheme="majorBidi"/>
          <w:sz w:val="24"/>
          <w:szCs w:val="24"/>
        </w:rPr>
        <w:t xml:space="preserve"> consequen</w:t>
      </w:r>
      <w:r w:rsidR="00DA5907" w:rsidRPr="0089351A">
        <w:rPr>
          <w:rFonts w:asciiTheme="majorBidi" w:hAnsiTheme="majorBidi" w:cstheme="majorBidi"/>
          <w:sz w:val="24"/>
          <w:szCs w:val="24"/>
        </w:rPr>
        <w:t>ces</w:t>
      </w:r>
      <w:r w:rsidR="00B3530E" w:rsidRPr="0089351A">
        <w:rPr>
          <w:rFonts w:asciiTheme="majorBidi" w:hAnsiTheme="majorBidi" w:cstheme="majorBidi"/>
          <w:sz w:val="24"/>
          <w:szCs w:val="24"/>
        </w:rPr>
        <w:t>.</w:t>
      </w:r>
      <w:r w:rsidR="00342ECF" w:rsidRPr="0089351A">
        <w:rPr>
          <w:rFonts w:asciiTheme="majorBidi" w:hAnsiTheme="majorBidi" w:cstheme="majorBidi"/>
          <w:sz w:val="24"/>
          <w:szCs w:val="24"/>
        </w:rPr>
        <w:t xml:space="preserve"> </w:t>
      </w:r>
      <w:r w:rsidR="00B3530E" w:rsidRPr="0089351A">
        <w:rPr>
          <w:rFonts w:asciiTheme="majorBidi" w:hAnsiTheme="majorBidi" w:cstheme="majorBidi"/>
          <w:sz w:val="24"/>
          <w:szCs w:val="24"/>
        </w:rPr>
        <w:t xml:space="preserve">After the election, </w:t>
      </w:r>
      <w:r w:rsidRPr="0089351A">
        <w:rPr>
          <w:rFonts w:asciiTheme="majorBidi" w:hAnsiTheme="majorBidi" w:cstheme="majorBidi"/>
          <w:sz w:val="24"/>
          <w:szCs w:val="24"/>
        </w:rPr>
        <w:t>t</w:t>
      </w:r>
      <w:r w:rsidR="00DA5907" w:rsidRPr="0089351A">
        <w:rPr>
          <w:rFonts w:asciiTheme="majorBidi" w:hAnsiTheme="majorBidi" w:cstheme="majorBidi"/>
          <w:sz w:val="24"/>
          <w:szCs w:val="24"/>
        </w:rPr>
        <w:t>his brought</w:t>
      </w:r>
      <w:r w:rsidR="00E93CE3" w:rsidRPr="0089351A">
        <w:rPr>
          <w:rFonts w:asciiTheme="majorBidi" w:hAnsiTheme="majorBidi" w:cstheme="majorBidi"/>
          <w:sz w:val="24"/>
          <w:szCs w:val="24"/>
        </w:rPr>
        <w:t xml:space="preserve"> a further abortive attempt to establish a special committee in 2004 </w:t>
      </w:r>
      <w:r w:rsidRPr="0089351A">
        <w:rPr>
          <w:rFonts w:asciiTheme="majorBidi" w:hAnsiTheme="majorBidi" w:cstheme="majorBidi"/>
          <w:sz w:val="24"/>
          <w:szCs w:val="24"/>
        </w:rPr>
        <w:t xml:space="preserve">which failed </w:t>
      </w:r>
      <w:r w:rsidR="00E93CE3" w:rsidRPr="0089351A">
        <w:rPr>
          <w:rFonts w:asciiTheme="majorBidi" w:hAnsiTheme="majorBidi" w:cstheme="majorBidi"/>
          <w:sz w:val="24"/>
          <w:szCs w:val="24"/>
        </w:rPr>
        <w:t>despite the National Assembly passin</w:t>
      </w:r>
      <w:r w:rsidR="00862843" w:rsidRPr="0089351A">
        <w:rPr>
          <w:rFonts w:asciiTheme="majorBidi" w:hAnsiTheme="majorBidi" w:cstheme="majorBidi"/>
          <w:sz w:val="24"/>
          <w:szCs w:val="24"/>
        </w:rPr>
        <w:t xml:space="preserve">g a </w:t>
      </w:r>
      <w:r w:rsidR="00B3530E" w:rsidRPr="0089351A">
        <w:rPr>
          <w:rFonts w:asciiTheme="majorBidi" w:hAnsiTheme="majorBidi" w:cstheme="majorBidi"/>
          <w:sz w:val="24"/>
          <w:szCs w:val="24"/>
        </w:rPr>
        <w:t>motion</w:t>
      </w:r>
      <w:r w:rsidR="00862843" w:rsidRPr="0089351A">
        <w:rPr>
          <w:rFonts w:asciiTheme="majorBidi" w:hAnsiTheme="majorBidi" w:cstheme="majorBidi"/>
          <w:sz w:val="24"/>
          <w:szCs w:val="24"/>
        </w:rPr>
        <w:t xml:space="preserve"> to do so</w:t>
      </w:r>
      <w:r w:rsidR="00B3530E" w:rsidRPr="0089351A">
        <w:rPr>
          <w:rFonts w:asciiTheme="majorBidi" w:hAnsiTheme="majorBidi" w:cstheme="majorBidi"/>
          <w:sz w:val="24"/>
          <w:szCs w:val="24"/>
        </w:rPr>
        <w:t>. T</w:t>
      </w:r>
      <w:r w:rsidR="00E93CE3" w:rsidRPr="0089351A">
        <w:rPr>
          <w:rFonts w:asciiTheme="majorBidi" w:hAnsiTheme="majorBidi" w:cstheme="majorBidi"/>
          <w:sz w:val="24"/>
          <w:szCs w:val="24"/>
        </w:rPr>
        <w:t>o obtain a majority</w:t>
      </w:r>
      <w:r w:rsidR="00B3530E" w:rsidRPr="0089351A">
        <w:rPr>
          <w:rFonts w:asciiTheme="majorBidi" w:hAnsiTheme="majorBidi" w:cstheme="majorBidi"/>
          <w:sz w:val="24"/>
          <w:szCs w:val="24"/>
        </w:rPr>
        <w:t xml:space="preserve"> for that motion</w:t>
      </w:r>
      <w:r w:rsidR="00592020" w:rsidRPr="0089351A">
        <w:rPr>
          <w:rFonts w:asciiTheme="majorBidi" w:hAnsiTheme="majorBidi" w:cstheme="majorBidi"/>
          <w:sz w:val="24"/>
          <w:szCs w:val="24"/>
        </w:rPr>
        <w:t>, Michel was</w:t>
      </w:r>
      <w:r w:rsidRPr="0089351A">
        <w:rPr>
          <w:rFonts w:asciiTheme="majorBidi" w:hAnsiTheme="majorBidi" w:cstheme="majorBidi"/>
          <w:sz w:val="24"/>
          <w:szCs w:val="24"/>
        </w:rPr>
        <w:t xml:space="preserve"> compell</w:t>
      </w:r>
      <w:r w:rsidR="00E93CE3" w:rsidRPr="0089351A">
        <w:rPr>
          <w:rFonts w:asciiTheme="majorBidi" w:hAnsiTheme="majorBidi" w:cstheme="majorBidi"/>
          <w:sz w:val="24"/>
          <w:szCs w:val="24"/>
        </w:rPr>
        <w:t>ed to include indentured labour</w:t>
      </w:r>
      <w:r w:rsidR="005D78A2" w:rsidRPr="0089351A">
        <w:rPr>
          <w:rFonts w:asciiTheme="majorBidi" w:hAnsiTheme="majorBidi" w:cstheme="majorBidi"/>
          <w:sz w:val="24"/>
          <w:szCs w:val="24"/>
        </w:rPr>
        <w:t xml:space="preserve"> in the committee’s</w:t>
      </w:r>
      <w:r w:rsidR="00862843" w:rsidRPr="0089351A">
        <w:rPr>
          <w:rFonts w:asciiTheme="majorBidi" w:hAnsiTheme="majorBidi" w:cstheme="majorBidi"/>
          <w:sz w:val="24"/>
          <w:szCs w:val="24"/>
        </w:rPr>
        <w:t xml:space="preserve"> terms of reference</w:t>
      </w:r>
      <w:r w:rsidR="00E93CE3" w:rsidRPr="0089351A">
        <w:rPr>
          <w:rFonts w:asciiTheme="majorBidi" w:hAnsiTheme="majorBidi" w:cstheme="majorBidi"/>
          <w:sz w:val="24"/>
          <w:szCs w:val="24"/>
        </w:rPr>
        <w:t>.  Following the failure</w:t>
      </w:r>
      <w:r w:rsidR="00DF2442" w:rsidRPr="0089351A">
        <w:rPr>
          <w:rFonts w:asciiTheme="majorBidi" w:hAnsiTheme="majorBidi" w:cstheme="majorBidi"/>
          <w:sz w:val="24"/>
          <w:szCs w:val="24"/>
        </w:rPr>
        <w:t xml:space="preserve"> to set up a committee at all</w:t>
      </w:r>
      <w:r w:rsidR="00E93CE3" w:rsidRPr="0089351A">
        <w:rPr>
          <w:rFonts w:asciiTheme="majorBidi" w:hAnsiTheme="majorBidi" w:cstheme="majorBidi"/>
          <w:sz w:val="24"/>
          <w:szCs w:val="24"/>
        </w:rPr>
        <w:t>,</w:t>
      </w:r>
      <w:r w:rsidR="00DA5907" w:rsidRPr="0089351A">
        <w:rPr>
          <w:rFonts w:asciiTheme="majorBidi" w:hAnsiTheme="majorBidi" w:cstheme="majorBidi"/>
          <w:sz w:val="24"/>
          <w:szCs w:val="24"/>
        </w:rPr>
        <w:t xml:space="preserve"> Michel resigned as Minister and i</w:t>
      </w:r>
      <w:r w:rsidR="00E93CE3" w:rsidRPr="0089351A">
        <w:rPr>
          <w:rFonts w:asciiTheme="majorBidi" w:hAnsiTheme="majorBidi" w:cstheme="majorBidi"/>
          <w:sz w:val="24"/>
          <w:szCs w:val="24"/>
        </w:rPr>
        <w:t>n opposition</w:t>
      </w:r>
      <w:r w:rsidRPr="0089351A">
        <w:rPr>
          <w:rFonts w:asciiTheme="majorBidi" w:hAnsiTheme="majorBidi" w:cstheme="majorBidi"/>
          <w:sz w:val="24"/>
          <w:szCs w:val="24"/>
        </w:rPr>
        <w:t xml:space="preserve"> the Labour Party</w:t>
      </w:r>
      <w:r w:rsidR="00E93CE3" w:rsidRPr="0089351A">
        <w:rPr>
          <w:rFonts w:asciiTheme="majorBidi" w:hAnsiTheme="majorBidi" w:cstheme="majorBidi"/>
          <w:sz w:val="24"/>
          <w:szCs w:val="24"/>
        </w:rPr>
        <w:t xml:space="preserve"> adopted the idea in its 2005 Genera</w:t>
      </w:r>
      <w:r w:rsidR="00D568C0" w:rsidRPr="0089351A">
        <w:rPr>
          <w:rFonts w:asciiTheme="majorBidi" w:hAnsiTheme="majorBidi" w:cstheme="majorBidi"/>
          <w:sz w:val="24"/>
          <w:szCs w:val="24"/>
        </w:rPr>
        <w:t>l El</w:t>
      </w:r>
      <w:r w:rsidR="00592020" w:rsidRPr="0089351A">
        <w:rPr>
          <w:rFonts w:asciiTheme="majorBidi" w:hAnsiTheme="majorBidi" w:cstheme="majorBidi"/>
          <w:sz w:val="24"/>
          <w:szCs w:val="24"/>
        </w:rPr>
        <w:t>ection</w:t>
      </w:r>
      <w:r w:rsidR="00CC21A6" w:rsidRPr="0089351A">
        <w:rPr>
          <w:rFonts w:asciiTheme="majorBidi" w:hAnsiTheme="majorBidi" w:cstheme="majorBidi"/>
          <w:sz w:val="24"/>
          <w:szCs w:val="24"/>
        </w:rPr>
        <w:t xml:space="preserve"> manifesto</w:t>
      </w:r>
      <w:r w:rsidR="00E93CE3" w:rsidRPr="0089351A">
        <w:rPr>
          <w:rFonts w:asciiTheme="majorBidi" w:hAnsiTheme="majorBidi" w:cstheme="majorBidi"/>
          <w:sz w:val="24"/>
          <w:szCs w:val="24"/>
        </w:rPr>
        <w:t>. The inclusion of indentured labour in any Truth Com</w:t>
      </w:r>
      <w:r w:rsidRPr="0089351A">
        <w:rPr>
          <w:rFonts w:asciiTheme="majorBidi" w:hAnsiTheme="majorBidi" w:cstheme="majorBidi"/>
          <w:sz w:val="24"/>
          <w:szCs w:val="24"/>
        </w:rPr>
        <w:t>mission’s terms was now assured</w:t>
      </w:r>
      <w:r w:rsidR="00E93CE3" w:rsidRPr="0089351A">
        <w:rPr>
          <w:rFonts w:asciiTheme="majorBidi" w:hAnsiTheme="majorBidi" w:cstheme="majorBidi"/>
          <w:sz w:val="24"/>
          <w:szCs w:val="24"/>
        </w:rPr>
        <w:t xml:space="preserve">. </w:t>
      </w:r>
      <w:r w:rsidR="005D78A2" w:rsidRPr="0089351A">
        <w:rPr>
          <w:rFonts w:asciiTheme="majorBidi" w:hAnsiTheme="majorBidi" w:cstheme="majorBidi"/>
          <w:sz w:val="24"/>
          <w:szCs w:val="24"/>
        </w:rPr>
        <w:t>It</w:t>
      </w:r>
      <w:r w:rsidR="00C1327D" w:rsidRPr="0089351A">
        <w:rPr>
          <w:rFonts w:asciiTheme="majorBidi" w:hAnsiTheme="majorBidi" w:cstheme="majorBidi"/>
          <w:sz w:val="24"/>
          <w:szCs w:val="24"/>
        </w:rPr>
        <w:t xml:space="preserve"> </w:t>
      </w:r>
      <w:r w:rsidR="00C1327D" w:rsidRPr="0089351A">
        <w:rPr>
          <w:rFonts w:asciiTheme="majorBidi" w:hAnsiTheme="majorBidi" w:cstheme="majorBidi"/>
          <w:sz w:val="24"/>
          <w:szCs w:val="24"/>
        </w:rPr>
        <w:lastRenderedPageBreak/>
        <w:t xml:space="preserve">implied either compensating the majority of the </w:t>
      </w:r>
      <w:r w:rsidR="00DA5907" w:rsidRPr="0089351A">
        <w:rPr>
          <w:rFonts w:asciiTheme="majorBidi" w:hAnsiTheme="majorBidi" w:cstheme="majorBidi"/>
          <w:sz w:val="24"/>
          <w:szCs w:val="24"/>
        </w:rPr>
        <w:t xml:space="preserve">island’s </w:t>
      </w:r>
      <w:r w:rsidR="00C1327D" w:rsidRPr="0089351A">
        <w:rPr>
          <w:rFonts w:asciiTheme="majorBidi" w:hAnsiTheme="majorBidi" w:cstheme="majorBidi"/>
          <w:sz w:val="24"/>
          <w:szCs w:val="24"/>
        </w:rPr>
        <w:t>popu</w:t>
      </w:r>
      <w:r w:rsidR="005D78A2" w:rsidRPr="0089351A">
        <w:rPr>
          <w:rFonts w:asciiTheme="majorBidi" w:hAnsiTheme="majorBidi" w:cstheme="majorBidi"/>
          <w:sz w:val="24"/>
          <w:szCs w:val="24"/>
        </w:rPr>
        <w:t>lation or</w:t>
      </w:r>
      <w:r w:rsidR="00C1327D" w:rsidRPr="0089351A">
        <w:rPr>
          <w:rFonts w:asciiTheme="majorBidi" w:hAnsiTheme="majorBidi" w:cstheme="majorBidi"/>
          <w:sz w:val="24"/>
          <w:szCs w:val="24"/>
        </w:rPr>
        <w:t xml:space="preserve"> only one part of it thereby </w:t>
      </w:r>
      <w:r w:rsidR="00CF72DD" w:rsidRPr="0089351A">
        <w:rPr>
          <w:rFonts w:asciiTheme="majorBidi" w:hAnsiTheme="majorBidi" w:cstheme="majorBidi"/>
          <w:sz w:val="24"/>
          <w:szCs w:val="24"/>
        </w:rPr>
        <w:t xml:space="preserve">potentially </w:t>
      </w:r>
      <w:r w:rsidR="00C1327D" w:rsidRPr="0089351A">
        <w:rPr>
          <w:rFonts w:asciiTheme="majorBidi" w:hAnsiTheme="majorBidi" w:cstheme="majorBidi"/>
          <w:sz w:val="24"/>
          <w:szCs w:val="24"/>
        </w:rPr>
        <w:t>inflaming ethnic tensions</w:t>
      </w:r>
      <w:r w:rsidR="00DA5907" w:rsidRPr="0089351A">
        <w:rPr>
          <w:rFonts w:asciiTheme="majorBidi" w:hAnsiTheme="majorBidi" w:cstheme="majorBidi"/>
          <w:sz w:val="24"/>
          <w:szCs w:val="24"/>
        </w:rPr>
        <w:t>.</w:t>
      </w:r>
      <w:r w:rsidR="00E93CE3" w:rsidRPr="0089351A">
        <w:rPr>
          <w:rFonts w:asciiTheme="majorBidi" w:hAnsiTheme="majorBidi" w:cstheme="majorBidi"/>
          <w:sz w:val="24"/>
          <w:szCs w:val="24"/>
        </w:rPr>
        <w:t xml:space="preserve"> </w:t>
      </w:r>
    </w:p>
    <w:p w:rsidR="00E93CE3" w:rsidRPr="0089351A" w:rsidRDefault="00E93CE3" w:rsidP="00360222">
      <w:pPr>
        <w:spacing w:line="480" w:lineRule="auto"/>
        <w:rPr>
          <w:rFonts w:asciiTheme="majorBidi" w:hAnsiTheme="majorBidi" w:cstheme="majorBidi"/>
          <w:sz w:val="24"/>
          <w:szCs w:val="24"/>
        </w:rPr>
      </w:pPr>
    </w:p>
    <w:p w:rsidR="00C41142" w:rsidRPr="0089351A" w:rsidRDefault="000E0971"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Hence, </w:t>
      </w:r>
      <w:r w:rsidR="00FC4FD3" w:rsidRPr="0089351A">
        <w:rPr>
          <w:rFonts w:asciiTheme="majorBidi" w:hAnsiTheme="majorBidi" w:cstheme="majorBidi"/>
          <w:sz w:val="24"/>
          <w:szCs w:val="24"/>
        </w:rPr>
        <w:t xml:space="preserve">OF/VF had sufficient influence to achieve a </w:t>
      </w:r>
      <w:r w:rsidR="00CD0DEE" w:rsidRPr="0089351A">
        <w:rPr>
          <w:rFonts w:asciiTheme="majorBidi" w:hAnsiTheme="majorBidi" w:cstheme="majorBidi"/>
          <w:sz w:val="24"/>
          <w:szCs w:val="24"/>
        </w:rPr>
        <w:t>MTJC</w:t>
      </w:r>
      <w:r w:rsidR="000A39F6" w:rsidRPr="0089351A">
        <w:rPr>
          <w:rFonts w:asciiTheme="majorBidi" w:hAnsiTheme="majorBidi" w:cstheme="majorBidi"/>
          <w:sz w:val="24"/>
          <w:szCs w:val="24"/>
        </w:rPr>
        <w:t>, but only on the</w:t>
      </w:r>
      <w:r w:rsidR="00FC4FD3" w:rsidRPr="0089351A">
        <w:rPr>
          <w:rFonts w:asciiTheme="majorBidi" w:hAnsiTheme="majorBidi" w:cstheme="majorBidi"/>
          <w:sz w:val="24"/>
          <w:szCs w:val="24"/>
        </w:rPr>
        <w:t xml:space="preserve"> basis </w:t>
      </w:r>
      <w:r w:rsidR="007D04ED" w:rsidRPr="0089351A">
        <w:rPr>
          <w:rFonts w:asciiTheme="majorBidi" w:hAnsiTheme="majorBidi" w:cstheme="majorBidi"/>
          <w:sz w:val="24"/>
          <w:szCs w:val="24"/>
        </w:rPr>
        <w:t>outlined above. I</w:t>
      </w:r>
      <w:r w:rsidR="00FC4FD3" w:rsidRPr="0089351A">
        <w:rPr>
          <w:rFonts w:asciiTheme="majorBidi" w:hAnsiTheme="majorBidi" w:cstheme="majorBidi"/>
          <w:sz w:val="24"/>
          <w:szCs w:val="24"/>
        </w:rPr>
        <w:t xml:space="preserve">t had only ever achieved </w:t>
      </w:r>
      <w:r w:rsidR="007D04ED" w:rsidRPr="0089351A">
        <w:rPr>
          <w:rFonts w:asciiTheme="majorBidi" w:hAnsiTheme="majorBidi" w:cstheme="majorBidi"/>
          <w:sz w:val="24"/>
          <w:szCs w:val="24"/>
        </w:rPr>
        <w:t xml:space="preserve">very </w:t>
      </w:r>
      <w:r w:rsidR="00FC4FD3" w:rsidRPr="0089351A">
        <w:rPr>
          <w:rFonts w:asciiTheme="majorBidi" w:hAnsiTheme="majorBidi" w:cstheme="majorBidi"/>
          <w:sz w:val="24"/>
          <w:szCs w:val="24"/>
        </w:rPr>
        <w:t>limited electoral success</w:t>
      </w:r>
      <w:r w:rsidR="00B3530E" w:rsidRPr="0089351A">
        <w:rPr>
          <w:rFonts w:asciiTheme="majorBidi" w:hAnsiTheme="majorBidi" w:cstheme="majorBidi"/>
          <w:sz w:val="24"/>
          <w:szCs w:val="24"/>
        </w:rPr>
        <w:t xml:space="preserve"> and did not win</w:t>
      </w:r>
      <w:r w:rsidR="00E26D54" w:rsidRPr="0089351A">
        <w:rPr>
          <w:rFonts w:asciiTheme="majorBidi" w:hAnsiTheme="majorBidi" w:cstheme="majorBidi"/>
          <w:sz w:val="24"/>
          <w:szCs w:val="24"/>
        </w:rPr>
        <w:t xml:space="preserve"> any seats in the subsequent General Election</w:t>
      </w:r>
      <w:r w:rsidR="00FC4FD3" w:rsidRPr="0089351A">
        <w:rPr>
          <w:rFonts w:asciiTheme="majorBidi" w:hAnsiTheme="majorBidi" w:cstheme="majorBidi"/>
          <w:sz w:val="24"/>
          <w:szCs w:val="24"/>
        </w:rPr>
        <w:t xml:space="preserve">. </w:t>
      </w:r>
      <w:r w:rsidR="001971F0" w:rsidRPr="0089351A">
        <w:rPr>
          <w:rFonts w:asciiTheme="majorBidi" w:hAnsiTheme="majorBidi" w:cstheme="majorBidi"/>
          <w:sz w:val="24"/>
          <w:szCs w:val="24"/>
        </w:rPr>
        <w:t>OF/VF, as a campaigning</w:t>
      </w:r>
      <w:r w:rsidR="00FC4FD3" w:rsidRPr="0089351A">
        <w:rPr>
          <w:rFonts w:asciiTheme="majorBidi" w:hAnsiTheme="majorBidi" w:cstheme="majorBidi"/>
          <w:sz w:val="24"/>
          <w:szCs w:val="24"/>
        </w:rPr>
        <w:t xml:space="preserve"> advocate of labour’s interests, could accept the </w:t>
      </w:r>
      <w:r w:rsidR="00591966" w:rsidRPr="0089351A">
        <w:rPr>
          <w:rFonts w:asciiTheme="majorBidi" w:hAnsiTheme="majorBidi" w:cstheme="majorBidi"/>
          <w:sz w:val="24"/>
          <w:szCs w:val="24"/>
        </w:rPr>
        <w:t xml:space="preserve">idea of </w:t>
      </w:r>
      <w:r w:rsidR="00991962" w:rsidRPr="0089351A">
        <w:rPr>
          <w:rFonts w:asciiTheme="majorBidi" w:hAnsiTheme="majorBidi" w:cstheme="majorBidi"/>
          <w:sz w:val="24"/>
          <w:szCs w:val="24"/>
        </w:rPr>
        <w:t>indentured</w:t>
      </w:r>
      <w:r w:rsidR="00591966" w:rsidRPr="0089351A">
        <w:rPr>
          <w:rFonts w:asciiTheme="majorBidi" w:hAnsiTheme="majorBidi" w:cstheme="majorBidi"/>
          <w:sz w:val="24"/>
          <w:szCs w:val="24"/>
        </w:rPr>
        <w:t xml:space="preserve"> labour as an unpalatable system</w:t>
      </w:r>
      <w:r w:rsidR="00FC4FD3" w:rsidRPr="0089351A">
        <w:rPr>
          <w:rFonts w:asciiTheme="majorBidi" w:hAnsiTheme="majorBidi" w:cstheme="majorBidi"/>
          <w:sz w:val="24"/>
          <w:szCs w:val="24"/>
        </w:rPr>
        <w:t xml:space="preserve"> at the ideological level</w:t>
      </w:r>
      <w:r w:rsidR="000A39F6" w:rsidRPr="0089351A">
        <w:rPr>
          <w:rFonts w:asciiTheme="majorBidi" w:hAnsiTheme="majorBidi" w:cstheme="majorBidi"/>
          <w:sz w:val="24"/>
          <w:szCs w:val="24"/>
        </w:rPr>
        <w:t xml:space="preserve">; </w:t>
      </w:r>
      <w:r w:rsidR="00591966" w:rsidRPr="0089351A">
        <w:rPr>
          <w:rFonts w:asciiTheme="majorBidi" w:hAnsiTheme="majorBidi" w:cstheme="majorBidi"/>
          <w:sz w:val="24"/>
          <w:szCs w:val="24"/>
        </w:rPr>
        <w:t>including it in an inquiry along with slavery</w:t>
      </w:r>
      <w:r w:rsidR="00D568C0" w:rsidRPr="0089351A">
        <w:rPr>
          <w:rFonts w:asciiTheme="majorBidi" w:hAnsiTheme="majorBidi" w:cstheme="majorBidi"/>
          <w:sz w:val="24"/>
          <w:szCs w:val="24"/>
        </w:rPr>
        <w:t xml:space="preserve"> was</w:t>
      </w:r>
      <w:r w:rsidR="000A39F6" w:rsidRPr="0089351A">
        <w:rPr>
          <w:rFonts w:asciiTheme="majorBidi" w:hAnsiTheme="majorBidi" w:cstheme="majorBidi"/>
          <w:sz w:val="24"/>
          <w:szCs w:val="24"/>
        </w:rPr>
        <w:t xml:space="preserve"> </w:t>
      </w:r>
      <w:r w:rsidR="00B3530E" w:rsidRPr="0089351A">
        <w:rPr>
          <w:rFonts w:asciiTheme="majorBidi" w:hAnsiTheme="majorBidi" w:cstheme="majorBidi"/>
          <w:sz w:val="24"/>
          <w:szCs w:val="24"/>
        </w:rPr>
        <w:t xml:space="preserve">in this sense </w:t>
      </w:r>
      <w:r w:rsidR="00DA5907" w:rsidRPr="0089351A">
        <w:rPr>
          <w:rFonts w:asciiTheme="majorBidi" w:hAnsiTheme="majorBidi" w:cstheme="majorBidi"/>
          <w:sz w:val="24"/>
          <w:szCs w:val="24"/>
        </w:rPr>
        <w:t>acceptable</w:t>
      </w:r>
      <w:r w:rsidR="000A39F6" w:rsidRPr="0089351A">
        <w:rPr>
          <w:rFonts w:asciiTheme="majorBidi" w:hAnsiTheme="majorBidi" w:cstheme="majorBidi"/>
          <w:sz w:val="24"/>
          <w:szCs w:val="24"/>
        </w:rPr>
        <w:t>. However,</w:t>
      </w:r>
      <w:r w:rsidR="00591966" w:rsidRPr="0089351A">
        <w:rPr>
          <w:rFonts w:asciiTheme="majorBidi" w:hAnsiTheme="majorBidi" w:cstheme="majorBidi"/>
          <w:sz w:val="24"/>
          <w:szCs w:val="24"/>
        </w:rPr>
        <w:t xml:space="preserve"> </w:t>
      </w:r>
      <w:r w:rsidR="00991962" w:rsidRPr="0089351A">
        <w:rPr>
          <w:rFonts w:asciiTheme="majorBidi" w:hAnsiTheme="majorBidi" w:cstheme="majorBidi"/>
          <w:sz w:val="24"/>
          <w:szCs w:val="24"/>
        </w:rPr>
        <w:t>indentured</w:t>
      </w:r>
      <w:r w:rsidRPr="0089351A">
        <w:rPr>
          <w:rFonts w:asciiTheme="majorBidi" w:hAnsiTheme="majorBidi" w:cstheme="majorBidi"/>
          <w:sz w:val="24"/>
          <w:szCs w:val="24"/>
        </w:rPr>
        <w:t xml:space="preserve"> labour</w:t>
      </w:r>
      <w:r w:rsidR="00B802D7" w:rsidRPr="0089351A">
        <w:rPr>
          <w:rFonts w:asciiTheme="majorBidi" w:hAnsiTheme="majorBidi" w:cstheme="majorBidi"/>
          <w:sz w:val="24"/>
          <w:szCs w:val="24"/>
        </w:rPr>
        <w:t>ers had been at least</w:t>
      </w:r>
      <w:r w:rsidRPr="0089351A">
        <w:rPr>
          <w:rFonts w:asciiTheme="majorBidi" w:hAnsiTheme="majorBidi" w:cstheme="majorBidi"/>
          <w:sz w:val="24"/>
          <w:szCs w:val="24"/>
        </w:rPr>
        <w:t xml:space="preserve"> formally free</w:t>
      </w:r>
      <w:r w:rsidR="00A13231" w:rsidRPr="0089351A">
        <w:rPr>
          <w:rFonts w:asciiTheme="majorBidi" w:hAnsiTheme="majorBidi" w:cstheme="majorBidi"/>
          <w:sz w:val="24"/>
          <w:szCs w:val="24"/>
        </w:rPr>
        <w:t xml:space="preserve"> and indenture was not a hereditary status</w:t>
      </w:r>
      <w:r w:rsidR="00B3530E" w:rsidRPr="0089351A">
        <w:rPr>
          <w:rFonts w:asciiTheme="majorBidi" w:hAnsiTheme="majorBidi" w:cstheme="majorBidi"/>
          <w:sz w:val="24"/>
          <w:szCs w:val="24"/>
        </w:rPr>
        <w:t xml:space="preserve"> even if their </w:t>
      </w:r>
      <w:r w:rsidR="00B802D7" w:rsidRPr="0089351A">
        <w:rPr>
          <w:rFonts w:asciiTheme="majorBidi" w:hAnsiTheme="majorBidi" w:cstheme="majorBidi"/>
          <w:sz w:val="24"/>
          <w:szCs w:val="24"/>
        </w:rPr>
        <w:t xml:space="preserve">material </w:t>
      </w:r>
      <w:r w:rsidR="00B3530E" w:rsidRPr="0089351A">
        <w:rPr>
          <w:rFonts w:asciiTheme="majorBidi" w:hAnsiTheme="majorBidi" w:cstheme="majorBidi"/>
          <w:sz w:val="24"/>
          <w:szCs w:val="24"/>
        </w:rPr>
        <w:t>conditions had been close to those of slaves</w:t>
      </w:r>
      <w:r w:rsidR="00371EC8" w:rsidRPr="0089351A">
        <w:rPr>
          <w:rFonts w:asciiTheme="majorBidi" w:hAnsiTheme="majorBidi" w:cstheme="majorBidi"/>
          <w:sz w:val="24"/>
          <w:szCs w:val="24"/>
        </w:rPr>
        <w:t>.</w:t>
      </w:r>
      <w:r w:rsidR="00261F97" w:rsidRPr="0089351A">
        <w:rPr>
          <w:rStyle w:val="FootnoteReference"/>
          <w:rFonts w:asciiTheme="majorBidi" w:hAnsiTheme="majorBidi" w:cstheme="majorBidi"/>
          <w:sz w:val="24"/>
          <w:szCs w:val="24"/>
        </w:rPr>
        <w:footnoteReference w:id="47"/>
      </w:r>
      <w:r w:rsidR="00DA5907" w:rsidRPr="0089351A">
        <w:rPr>
          <w:rFonts w:asciiTheme="majorBidi" w:hAnsiTheme="majorBidi" w:cstheme="majorBidi"/>
          <w:sz w:val="24"/>
          <w:szCs w:val="24"/>
        </w:rPr>
        <w:t xml:space="preserve"> </w:t>
      </w:r>
      <w:r w:rsidR="00797486" w:rsidRPr="0089351A">
        <w:rPr>
          <w:rFonts w:asciiTheme="majorBidi" w:hAnsiTheme="majorBidi" w:cstheme="majorBidi"/>
          <w:sz w:val="24"/>
          <w:szCs w:val="24"/>
        </w:rPr>
        <w:t xml:space="preserve">The introduction of </w:t>
      </w:r>
      <w:r w:rsidR="00991962" w:rsidRPr="0089351A">
        <w:rPr>
          <w:rFonts w:asciiTheme="majorBidi" w:hAnsiTheme="majorBidi" w:cstheme="majorBidi"/>
          <w:sz w:val="24"/>
          <w:szCs w:val="24"/>
        </w:rPr>
        <w:t>indentured</w:t>
      </w:r>
      <w:r w:rsidR="00797486" w:rsidRPr="0089351A">
        <w:rPr>
          <w:rFonts w:asciiTheme="majorBidi" w:hAnsiTheme="majorBidi" w:cstheme="majorBidi"/>
          <w:sz w:val="24"/>
          <w:szCs w:val="24"/>
        </w:rPr>
        <w:t xml:space="preserve"> labourers </w:t>
      </w:r>
      <w:r w:rsidR="007D04ED" w:rsidRPr="0089351A">
        <w:rPr>
          <w:rFonts w:asciiTheme="majorBidi" w:hAnsiTheme="majorBidi" w:cstheme="majorBidi"/>
          <w:sz w:val="24"/>
          <w:szCs w:val="24"/>
        </w:rPr>
        <w:t>later</w:t>
      </w:r>
      <w:r w:rsidRPr="0089351A">
        <w:rPr>
          <w:rFonts w:asciiTheme="majorBidi" w:hAnsiTheme="majorBidi" w:cstheme="majorBidi"/>
          <w:sz w:val="24"/>
          <w:szCs w:val="24"/>
        </w:rPr>
        <w:t xml:space="preserve"> </w:t>
      </w:r>
      <w:r w:rsidR="004F2BDC" w:rsidRPr="0089351A">
        <w:rPr>
          <w:rFonts w:asciiTheme="majorBidi" w:hAnsiTheme="majorBidi" w:cstheme="majorBidi"/>
          <w:sz w:val="24"/>
          <w:szCs w:val="24"/>
        </w:rPr>
        <w:t>helped</w:t>
      </w:r>
      <w:r w:rsidR="00797486" w:rsidRPr="0089351A">
        <w:rPr>
          <w:rFonts w:asciiTheme="majorBidi" w:hAnsiTheme="majorBidi" w:cstheme="majorBidi"/>
          <w:sz w:val="24"/>
          <w:szCs w:val="24"/>
        </w:rPr>
        <w:t xml:space="preserve"> senior politicians to deflect discussion of the specific problems encountered by the descendants of slaves after the </w:t>
      </w:r>
      <w:r w:rsidR="00B3530E" w:rsidRPr="0089351A">
        <w:rPr>
          <w:rFonts w:asciiTheme="majorBidi" w:hAnsiTheme="majorBidi" w:cstheme="majorBidi"/>
          <w:sz w:val="24"/>
          <w:szCs w:val="24"/>
        </w:rPr>
        <w:t xml:space="preserve">MTJC </w:t>
      </w:r>
      <w:r w:rsidR="00603EB4" w:rsidRPr="0089351A">
        <w:rPr>
          <w:rFonts w:asciiTheme="majorBidi" w:hAnsiTheme="majorBidi" w:cstheme="majorBidi"/>
          <w:sz w:val="24"/>
          <w:szCs w:val="24"/>
        </w:rPr>
        <w:t>report was published</w:t>
      </w:r>
      <w:r w:rsidR="00371EC8" w:rsidRPr="0089351A">
        <w:rPr>
          <w:rFonts w:asciiTheme="majorBidi" w:hAnsiTheme="majorBidi" w:cstheme="majorBidi"/>
          <w:sz w:val="24"/>
          <w:szCs w:val="24"/>
        </w:rPr>
        <w:t>.</w:t>
      </w:r>
      <w:r w:rsidR="00261F97" w:rsidRPr="0089351A">
        <w:rPr>
          <w:rStyle w:val="FootnoteReference"/>
          <w:rFonts w:asciiTheme="majorBidi" w:hAnsiTheme="majorBidi" w:cstheme="majorBidi"/>
          <w:sz w:val="24"/>
          <w:szCs w:val="24"/>
        </w:rPr>
        <w:footnoteReference w:id="48"/>
      </w:r>
    </w:p>
    <w:p w:rsidR="004D5AB9" w:rsidRPr="0089351A" w:rsidRDefault="00C41142"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w:t>
      </w:r>
      <w:r w:rsidR="000E0971" w:rsidRPr="0089351A">
        <w:rPr>
          <w:rFonts w:asciiTheme="majorBidi" w:hAnsiTheme="majorBidi" w:cstheme="majorBidi"/>
          <w:sz w:val="24"/>
          <w:szCs w:val="24"/>
        </w:rPr>
        <w:t xml:space="preserve">he </w:t>
      </w:r>
      <w:r w:rsidR="00CD0DEE" w:rsidRPr="0089351A">
        <w:rPr>
          <w:rFonts w:asciiTheme="majorBidi" w:hAnsiTheme="majorBidi" w:cstheme="majorBidi"/>
          <w:sz w:val="24"/>
          <w:szCs w:val="24"/>
        </w:rPr>
        <w:t>MTJC</w:t>
      </w:r>
      <w:r w:rsidR="000E0971" w:rsidRPr="0089351A">
        <w:rPr>
          <w:rFonts w:asciiTheme="majorBidi" w:hAnsiTheme="majorBidi" w:cstheme="majorBidi"/>
          <w:sz w:val="24"/>
          <w:szCs w:val="24"/>
        </w:rPr>
        <w:t xml:space="preserve"> therefore originated</w:t>
      </w:r>
      <w:r w:rsidRPr="0089351A">
        <w:rPr>
          <w:rFonts w:asciiTheme="majorBidi" w:hAnsiTheme="majorBidi" w:cstheme="majorBidi"/>
          <w:sz w:val="24"/>
          <w:szCs w:val="24"/>
        </w:rPr>
        <w:t xml:space="preserve"> in prolonged and determined politica</w:t>
      </w:r>
      <w:r w:rsidR="00B3530E" w:rsidRPr="0089351A">
        <w:rPr>
          <w:rFonts w:asciiTheme="majorBidi" w:hAnsiTheme="majorBidi" w:cstheme="majorBidi"/>
          <w:sz w:val="24"/>
          <w:szCs w:val="24"/>
        </w:rPr>
        <w:t xml:space="preserve">l activity by </w:t>
      </w:r>
      <w:r w:rsidR="00603EB4" w:rsidRPr="0089351A">
        <w:rPr>
          <w:rFonts w:asciiTheme="majorBidi" w:hAnsiTheme="majorBidi" w:cstheme="majorBidi"/>
          <w:sz w:val="24"/>
          <w:szCs w:val="24"/>
        </w:rPr>
        <w:t xml:space="preserve">the tiny but active </w:t>
      </w:r>
      <w:r w:rsidR="000C51B5" w:rsidRPr="0089351A">
        <w:rPr>
          <w:rFonts w:asciiTheme="majorBidi" w:hAnsiTheme="majorBidi" w:cstheme="majorBidi"/>
          <w:sz w:val="24"/>
          <w:szCs w:val="24"/>
        </w:rPr>
        <w:t xml:space="preserve">OF/VF culminating in </w:t>
      </w:r>
      <w:r w:rsidRPr="0089351A">
        <w:rPr>
          <w:rFonts w:asciiTheme="majorBidi" w:hAnsiTheme="majorBidi" w:cstheme="majorBidi"/>
          <w:sz w:val="24"/>
          <w:szCs w:val="24"/>
        </w:rPr>
        <w:t xml:space="preserve">alliance with the </w:t>
      </w:r>
      <w:r w:rsidR="00603EB4" w:rsidRPr="0089351A">
        <w:rPr>
          <w:rFonts w:asciiTheme="majorBidi" w:hAnsiTheme="majorBidi" w:cstheme="majorBidi"/>
          <w:sz w:val="24"/>
          <w:szCs w:val="24"/>
        </w:rPr>
        <w:t xml:space="preserve">much larger and electorally successful </w:t>
      </w:r>
      <w:r w:rsidRPr="0089351A">
        <w:rPr>
          <w:rFonts w:asciiTheme="majorBidi" w:hAnsiTheme="majorBidi" w:cstheme="majorBidi"/>
          <w:sz w:val="24"/>
          <w:szCs w:val="24"/>
        </w:rPr>
        <w:t>Labour Party</w:t>
      </w:r>
      <w:r w:rsidR="00C472EC" w:rsidRPr="0089351A">
        <w:rPr>
          <w:rFonts w:asciiTheme="majorBidi" w:hAnsiTheme="majorBidi" w:cstheme="majorBidi"/>
          <w:sz w:val="24"/>
          <w:szCs w:val="24"/>
        </w:rPr>
        <w:t xml:space="preserve">. </w:t>
      </w:r>
      <w:r w:rsidR="000E0971" w:rsidRPr="0089351A">
        <w:rPr>
          <w:rFonts w:asciiTheme="majorBidi" w:hAnsiTheme="majorBidi" w:cstheme="majorBidi"/>
          <w:sz w:val="24"/>
          <w:szCs w:val="24"/>
        </w:rPr>
        <w:t xml:space="preserve">Wider public involvement was limited. </w:t>
      </w:r>
      <w:r w:rsidR="00C472EC" w:rsidRPr="0089351A">
        <w:rPr>
          <w:rFonts w:asciiTheme="majorBidi" w:hAnsiTheme="majorBidi" w:cstheme="majorBidi"/>
          <w:sz w:val="24"/>
          <w:szCs w:val="24"/>
        </w:rPr>
        <w:t>Our interviews with C</w:t>
      </w:r>
      <w:r w:rsidR="00B3530E" w:rsidRPr="0089351A">
        <w:rPr>
          <w:rFonts w:asciiTheme="majorBidi" w:hAnsiTheme="majorBidi" w:cstheme="majorBidi"/>
          <w:sz w:val="24"/>
          <w:szCs w:val="24"/>
        </w:rPr>
        <w:t xml:space="preserve">reoles after the Commission </w:t>
      </w:r>
      <w:r w:rsidR="00C472EC" w:rsidRPr="0089351A">
        <w:rPr>
          <w:rFonts w:asciiTheme="majorBidi" w:hAnsiTheme="majorBidi" w:cstheme="majorBidi"/>
          <w:sz w:val="24"/>
          <w:szCs w:val="24"/>
        </w:rPr>
        <w:t xml:space="preserve">reported revealed that none of </w:t>
      </w:r>
      <w:r w:rsidR="00B802D7" w:rsidRPr="0089351A">
        <w:rPr>
          <w:rFonts w:asciiTheme="majorBidi" w:hAnsiTheme="majorBidi" w:cstheme="majorBidi"/>
          <w:sz w:val="24"/>
          <w:szCs w:val="24"/>
        </w:rPr>
        <w:t>our thirty respondents were</w:t>
      </w:r>
      <w:r w:rsidR="00C472EC" w:rsidRPr="0089351A">
        <w:rPr>
          <w:rFonts w:asciiTheme="majorBidi" w:hAnsiTheme="majorBidi" w:cstheme="majorBidi"/>
          <w:sz w:val="24"/>
          <w:szCs w:val="24"/>
        </w:rPr>
        <w:t xml:space="preserve"> aware of the Commission’s existence although many </w:t>
      </w:r>
      <w:r w:rsidR="00CC21A6" w:rsidRPr="0089351A">
        <w:rPr>
          <w:rFonts w:asciiTheme="majorBidi" w:hAnsiTheme="majorBidi" w:cstheme="majorBidi"/>
          <w:sz w:val="24"/>
          <w:szCs w:val="24"/>
        </w:rPr>
        <w:t>debated</w:t>
      </w:r>
      <w:r w:rsidR="00C472EC" w:rsidRPr="0089351A">
        <w:rPr>
          <w:rFonts w:asciiTheme="majorBidi" w:hAnsiTheme="majorBidi" w:cstheme="majorBidi"/>
          <w:sz w:val="24"/>
          <w:szCs w:val="24"/>
        </w:rPr>
        <w:t xml:space="preserve"> the issues involved with the researcher</w:t>
      </w:r>
      <w:r w:rsidR="00720937" w:rsidRPr="0089351A">
        <w:rPr>
          <w:rFonts w:asciiTheme="majorBidi" w:hAnsiTheme="majorBidi" w:cstheme="majorBidi"/>
          <w:sz w:val="24"/>
          <w:szCs w:val="24"/>
        </w:rPr>
        <w:t xml:space="preserve"> when told it did</w:t>
      </w:r>
      <w:r w:rsidR="00C472EC" w:rsidRPr="0089351A">
        <w:rPr>
          <w:rFonts w:asciiTheme="majorBidi" w:hAnsiTheme="majorBidi" w:cstheme="majorBidi"/>
          <w:sz w:val="24"/>
          <w:szCs w:val="24"/>
        </w:rPr>
        <w:t xml:space="preserve">. </w:t>
      </w:r>
      <w:r w:rsidR="001971F0" w:rsidRPr="0089351A">
        <w:rPr>
          <w:rFonts w:asciiTheme="majorBidi" w:hAnsiTheme="majorBidi" w:cstheme="majorBidi"/>
          <w:sz w:val="24"/>
          <w:szCs w:val="24"/>
        </w:rPr>
        <w:t>Members of the Franco-Mauritian elite were well aware of its existence and objected publicly to it</w:t>
      </w:r>
      <w:r w:rsidR="00371EC8" w:rsidRPr="0089351A">
        <w:rPr>
          <w:rFonts w:asciiTheme="majorBidi" w:hAnsiTheme="majorBidi" w:cstheme="majorBidi"/>
          <w:sz w:val="24"/>
          <w:szCs w:val="24"/>
        </w:rPr>
        <w:t>.</w:t>
      </w:r>
      <w:r w:rsidR="00261F97" w:rsidRPr="0089351A">
        <w:rPr>
          <w:rStyle w:val="FootnoteReference"/>
          <w:rFonts w:asciiTheme="majorBidi" w:hAnsiTheme="majorBidi" w:cstheme="majorBidi"/>
          <w:sz w:val="24"/>
          <w:szCs w:val="24"/>
        </w:rPr>
        <w:footnoteReference w:id="49"/>
      </w:r>
      <w:r w:rsidR="001971F0" w:rsidRPr="0089351A">
        <w:rPr>
          <w:rFonts w:asciiTheme="majorBidi" w:hAnsiTheme="majorBidi" w:cstheme="majorBidi"/>
          <w:sz w:val="24"/>
          <w:szCs w:val="24"/>
        </w:rPr>
        <w:t xml:space="preserve">    </w:t>
      </w:r>
      <w:r w:rsidR="000C51B5" w:rsidRPr="0089351A">
        <w:rPr>
          <w:rFonts w:asciiTheme="majorBidi" w:hAnsiTheme="majorBidi" w:cstheme="majorBidi"/>
          <w:sz w:val="24"/>
          <w:szCs w:val="24"/>
        </w:rPr>
        <w:t xml:space="preserve"> </w:t>
      </w:r>
    </w:p>
    <w:p w:rsidR="003C1631" w:rsidRPr="0089351A" w:rsidRDefault="003C1631"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lastRenderedPageBreak/>
        <w:t>The MTJC’s operation and historical account</w:t>
      </w:r>
    </w:p>
    <w:p w:rsidR="00106FB2" w:rsidRPr="0089351A" w:rsidRDefault="006E5F05" w:rsidP="00360222">
      <w:pPr>
        <w:spacing w:line="480" w:lineRule="auto"/>
        <w:rPr>
          <w:rFonts w:asciiTheme="majorBidi" w:hAnsiTheme="majorBidi" w:cstheme="majorBidi"/>
          <w:b/>
          <w:bCs/>
          <w:sz w:val="24"/>
          <w:szCs w:val="24"/>
        </w:rPr>
      </w:pPr>
      <w:r w:rsidRPr="0089351A">
        <w:rPr>
          <w:rFonts w:asciiTheme="majorBidi" w:hAnsiTheme="majorBidi" w:cstheme="majorBidi"/>
          <w:sz w:val="24"/>
          <w:szCs w:val="24"/>
        </w:rPr>
        <w:t>T</w:t>
      </w:r>
      <w:r w:rsidR="00933843" w:rsidRPr="0089351A">
        <w:rPr>
          <w:rFonts w:asciiTheme="majorBidi" w:hAnsiTheme="majorBidi" w:cstheme="majorBidi"/>
          <w:sz w:val="24"/>
          <w:szCs w:val="24"/>
        </w:rPr>
        <w:t xml:space="preserve">he </w:t>
      </w:r>
      <w:r w:rsidR="00CD0DEE" w:rsidRPr="0089351A">
        <w:rPr>
          <w:rFonts w:asciiTheme="majorBidi" w:hAnsiTheme="majorBidi" w:cstheme="majorBidi"/>
          <w:sz w:val="24"/>
          <w:szCs w:val="24"/>
        </w:rPr>
        <w:t>MTJC</w:t>
      </w:r>
      <w:r w:rsidR="00933843" w:rsidRPr="0089351A">
        <w:rPr>
          <w:rFonts w:asciiTheme="majorBidi" w:hAnsiTheme="majorBidi" w:cstheme="majorBidi"/>
          <w:sz w:val="24"/>
          <w:szCs w:val="24"/>
        </w:rPr>
        <w:t xml:space="preserve"> was establ</w:t>
      </w:r>
      <w:r w:rsidR="00D650F0" w:rsidRPr="0089351A">
        <w:rPr>
          <w:rFonts w:asciiTheme="majorBidi" w:hAnsiTheme="majorBidi" w:cstheme="majorBidi"/>
          <w:sz w:val="24"/>
          <w:szCs w:val="24"/>
        </w:rPr>
        <w:t>ished by</w:t>
      </w:r>
      <w:r w:rsidR="00933843" w:rsidRPr="0089351A">
        <w:rPr>
          <w:rFonts w:asciiTheme="majorBidi" w:hAnsiTheme="majorBidi" w:cstheme="majorBidi"/>
          <w:sz w:val="24"/>
          <w:szCs w:val="24"/>
        </w:rPr>
        <w:t xml:space="preserve"> the Truth and Justice Commission Act, no. 28 of 2008, taking effect from 1 February 2009.</w:t>
      </w:r>
      <w:r w:rsidR="00016702" w:rsidRPr="0089351A">
        <w:rPr>
          <w:rFonts w:asciiTheme="majorBidi" w:hAnsiTheme="majorBidi" w:cstheme="majorBidi"/>
          <w:sz w:val="24"/>
          <w:szCs w:val="24"/>
        </w:rPr>
        <w:t>The</w:t>
      </w:r>
      <w:r w:rsidR="00933843" w:rsidRPr="0089351A">
        <w:rPr>
          <w:rFonts w:asciiTheme="majorBidi" w:hAnsiTheme="majorBidi" w:cstheme="majorBidi"/>
          <w:sz w:val="24"/>
          <w:szCs w:val="24"/>
        </w:rPr>
        <w:t xml:space="preserve"> Act</w:t>
      </w:r>
      <w:r w:rsidR="00603EB4" w:rsidRPr="0089351A">
        <w:rPr>
          <w:rFonts w:asciiTheme="majorBidi" w:hAnsiTheme="majorBidi" w:cstheme="majorBidi"/>
          <w:sz w:val="24"/>
          <w:szCs w:val="24"/>
        </w:rPr>
        <w:t xml:space="preserve"> established</w:t>
      </w:r>
      <w:r w:rsidR="005D0E68" w:rsidRPr="0089351A">
        <w:rPr>
          <w:rFonts w:asciiTheme="majorBidi" w:hAnsiTheme="majorBidi" w:cstheme="majorBidi"/>
          <w:sz w:val="24"/>
          <w:szCs w:val="24"/>
        </w:rPr>
        <w:t xml:space="preserve"> the </w:t>
      </w:r>
      <w:r w:rsidR="00CD0DEE" w:rsidRPr="0089351A">
        <w:rPr>
          <w:rFonts w:asciiTheme="majorBidi" w:hAnsiTheme="majorBidi" w:cstheme="majorBidi"/>
          <w:sz w:val="24"/>
          <w:szCs w:val="24"/>
        </w:rPr>
        <w:t>MTJC</w:t>
      </w:r>
      <w:r w:rsidR="005D0E68" w:rsidRPr="0089351A">
        <w:rPr>
          <w:rFonts w:asciiTheme="majorBidi" w:hAnsiTheme="majorBidi" w:cstheme="majorBidi"/>
          <w:sz w:val="24"/>
          <w:szCs w:val="24"/>
        </w:rPr>
        <w:t>’s terms of reference and powers.</w:t>
      </w:r>
      <w:r w:rsidR="00342ECF" w:rsidRPr="0089351A">
        <w:rPr>
          <w:rFonts w:asciiTheme="majorBidi" w:hAnsiTheme="majorBidi" w:cstheme="majorBidi"/>
          <w:sz w:val="24"/>
          <w:szCs w:val="24"/>
        </w:rPr>
        <w:t xml:space="preserve"> </w:t>
      </w:r>
      <w:r w:rsidR="00603EB4" w:rsidRPr="0089351A">
        <w:rPr>
          <w:rFonts w:asciiTheme="majorBidi" w:hAnsiTheme="majorBidi" w:cstheme="majorBidi"/>
          <w:sz w:val="24"/>
          <w:szCs w:val="24"/>
        </w:rPr>
        <w:t>A</w:t>
      </w:r>
      <w:r w:rsidR="00304D16" w:rsidRPr="0089351A">
        <w:rPr>
          <w:rFonts w:asciiTheme="majorBidi" w:hAnsiTheme="majorBidi" w:cstheme="majorBidi"/>
          <w:sz w:val="24"/>
          <w:szCs w:val="24"/>
        </w:rPr>
        <w:t xml:space="preserve"> central iss</w:t>
      </w:r>
      <w:r w:rsidR="00603EB4" w:rsidRPr="0089351A">
        <w:rPr>
          <w:rFonts w:asciiTheme="majorBidi" w:hAnsiTheme="majorBidi" w:cstheme="majorBidi"/>
          <w:sz w:val="24"/>
          <w:szCs w:val="24"/>
        </w:rPr>
        <w:t>ue in the terms of reference had been</w:t>
      </w:r>
      <w:r w:rsidR="00304D16" w:rsidRPr="0089351A">
        <w:rPr>
          <w:rFonts w:asciiTheme="majorBidi" w:hAnsiTheme="majorBidi" w:cstheme="majorBidi"/>
          <w:sz w:val="24"/>
          <w:szCs w:val="24"/>
        </w:rPr>
        <w:t xml:space="preserve"> the question of compensation. Although the first draft contained the word, the approved version did not. </w:t>
      </w:r>
      <w:r w:rsidR="00016702" w:rsidRPr="0089351A">
        <w:rPr>
          <w:rFonts w:asciiTheme="majorBidi" w:hAnsiTheme="majorBidi" w:cstheme="majorBidi"/>
          <w:sz w:val="24"/>
          <w:szCs w:val="24"/>
        </w:rPr>
        <w:t>Moreover, it omit</w:t>
      </w:r>
      <w:r w:rsidR="00F65853" w:rsidRPr="0089351A">
        <w:rPr>
          <w:rFonts w:asciiTheme="majorBidi" w:hAnsiTheme="majorBidi" w:cstheme="majorBidi"/>
          <w:sz w:val="24"/>
          <w:szCs w:val="24"/>
        </w:rPr>
        <w:t xml:space="preserve">ted the </w:t>
      </w:r>
      <w:r w:rsidR="00016702" w:rsidRPr="0089351A">
        <w:rPr>
          <w:rFonts w:asciiTheme="majorBidi" w:hAnsiTheme="majorBidi" w:cstheme="majorBidi"/>
          <w:sz w:val="24"/>
          <w:szCs w:val="24"/>
        </w:rPr>
        <w:t xml:space="preserve">specific </w:t>
      </w:r>
      <w:r w:rsidR="00F65853" w:rsidRPr="0089351A">
        <w:rPr>
          <w:rFonts w:asciiTheme="majorBidi" w:hAnsiTheme="majorBidi" w:cstheme="majorBidi"/>
          <w:sz w:val="24"/>
          <w:szCs w:val="24"/>
        </w:rPr>
        <w:t xml:space="preserve">objective of identifying the institutions and individuals responsible </w:t>
      </w:r>
      <w:r w:rsidR="00603EB4" w:rsidRPr="0089351A">
        <w:rPr>
          <w:rFonts w:asciiTheme="majorBidi" w:hAnsiTheme="majorBidi" w:cstheme="majorBidi"/>
          <w:sz w:val="24"/>
          <w:szCs w:val="24"/>
        </w:rPr>
        <w:t xml:space="preserve">for slavery </w:t>
      </w:r>
      <w:r w:rsidR="00D849BC" w:rsidRPr="0089351A">
        <w:rPr>
          <w:rFonts w:asciiTheme="majorBidi" w:hAnsiTheme="majorBidi" w:cstheme="majorBidi"/>
          <w:sz w:val="24"/>
          <w:szCs w:val="24"/>
        </w:rPr>
        <w:t>which had been</w:t>
      </w:r>
      <w:r w:rsidR="00133237" w:rsidRPr="0089351A">
        <w:rPr>
          <w:rFonts w:asciiTheme="majorBidi" w:hAnsiTheme="majorBidi" w:cstheme="majorBidi"/>
          <w:sz w:val="24"/>
          <w:szCs w:val="24"/>
        </w:rPr>
        <w:t xml:space="preserve"> a feature of earlier committees</w:t>
      </w:r>
      <w:r w:rsidR="00371EC8" w:rsidRPr="0089351A">
        <w:rPr>
          <w:rFonts w:asciiTheme="majorBidi" w:hAnsiTheme="majorBidi" w:cstheme="majorBidi"/>
          <w:sz w:val="24"/>
          <w:szCs w:val="24"/>
        </w:rPr>
        <w:t>.</w:t>
      </w:r>
      <w:r w:rsidR="00261F97" w:rsidRPr="0089351A">
        <w:rPr>
          <w:rStyle w:val="FootnoteReference"/>
          <w:rFonts w:asciiTheme="majorBidi" w:hAnsiTheme="majorBidi" w:cstheme="majorBidi"/>
          <w:sz w:val="24"/>
          <w:szCs w:val="24"/>
        </w:rPr>
        <w:footnoteReference w:id="50"/>
      </w:r>
      <w:r w:rsidR="00F65853" w:rsidRPr="0089351A">
        <w:rPr>
          <w:rFonts w:asciiTheme="majorBidi" w:hAnsiTheme="majorBidi" w:cstheme="majorBidi"/>
          <w:sz w:val="24"/>
          <w:szCs w:val="24"/>
        </w:rPr>
        <w:t xml:space="preserve">  </w:t>
      </w:r>
      <w:r w:rsidR="00142A24" w:rsidRPr="0089351A">
        <w:rPr>
          <w:rFonts w:asciiTheme="majorBidi" w:hAnsiTheme="majorBidi" w:cstheme="majorBidi"/>
          <w:sz w:val="24"/>
          <w:szCs w:val="24"/>
        </w:rPr>
        <w:t>Its objects were</w:t>
      </w:r>
      <w:r w:rsidR="00304D16" w:rsidRPr="0089351A">
        <w:rPr>
          <w:rFonts w:asciiTheme="majorBidi" w:hAnsiTheme="majorBidi" w:cstheme="majorBidi"/>
          <w:sz w:val="24"/>
          <w:szCs w:val="24"/>
        </w:rPr>
        <w:t xml:space="preserve"> ‘to make an assessment of the consequences of slavery and indentured labour during the colo</w:t>
      </w:r>
      <w:r w:rsidR="00FA138E" w:rsidRPr="0089351A">
        <w:rPr>
          <w:rFonts w:asciiTheme="majorBidi" w:hAnsiTheme="majorBidi" w:cstheme="majorBidi"/>
          <w:sz w:val="24"/>
          <w:szCs w:val="24"/>
        </w:rPr>
        <w:t>nial period up to the present’.</w:t>
      </w:r>
      <w:r w:rsidR="00304D16" w:rsidRPr="0089351A">
        <w:rPr>
          <w:rFonts w:asciiTheme="majorBidi" w:hAnsiTheme="majorBidi" w:cstheme="majorBidi"/>
          <w:sz w:val="24"/>
          <w:szCs w:val="24"/>
        </w:rPr>
        <w:t xml:space="preserve"> </w:t>
      </w:r>
      <w:r w:rsidR="000E0971" w:rsidRPr="0089351A">
        <w:rPr>
          <w:rFonts w:asciiTheme="majorBidi" w:hAnsiTheme="majorBidi" w:cstheme="majorBidi"/>
          <w:sz w:val="24"/>
          <w:szCs w:val="24"/>
        </w:rPr>
        <w:t xml:space="preserve"> The Act </w:t>
      </w:r>
      <w:r w:rsidR="000E5DE7" w:rsidRPr="0089351A">
        <w:rPr>
          <w:rFonts w:asciiTheme="majorBidi" w:hAnsiTheme="majorBidi" w:cstheme="majorBidi"/>
          <w:sz w:val="24"/>
          <w:szCs w:val="24"/>
        </w:rPr>
        <w:t>also conta</w:t>
      </w:r>
      <w:r w:rsidR="00C1327D" w:rsidRPr="0089351A">
        <w:rPr>
          <w:rFonts w:asciiTheme="majorBidi" w:hAnsiTheme="majorBidi" w:cstheme="majorBidi"/>
          <w:sz w:val="24"/>
          <w:szCs w:val="24"/>
        </w:rPr>
        <w:t>ined a clause (4c) specifying</w:t>
      </w:r>
      <w:r w:rsidR="000E0971" w:rsidRPr="0089351A">
        <w:rPr>
          <w:rFonts w:asciiTheme="majorBidi" w:hAnsiTheme="majorBidi" w:cstheme="majorBidi"/>
          <w:sz w:val="24"/>
          <w:szCs w:val="24"/>
        </w:rPr>
        <w:t xml:space="preserve"> a </w:t>
      </w:r>
      <w:r w:rsidR="00D849BC" w:rsidRPr="0089351A">
        <w:rPr>
          <w:rFonts w:asciiTheme="majorBidi" w:hAnsiTheme="majorBidi" w:cstheme="majorBidi"/>
          <w:sz w:val="24"/>
          <w:szCs w:val="24"/>
        </w:rPr>
        <w:t xml:space="preserve">separate and </w:t>
      </w:r>
      <w:r w:rsidR="000E5DE7" w:rsidRPr="0089351A">
        <w:rPr>
          <w:rFonts w:asciiTheme="majorBidi" w:hAnsiTheme="majorBidi" w:cstheme="majorBidi"/>
          <w:sz w:val="24"/>
          <w:szCs w:val="24"/>
        </w:rPr>
        <w:t>onerous func</w:t>
      </w:r>
      <w:r w:rsidR="00603EB4" w:rsidRPr="0089351A">
        <w:rPr>
          <w:rFonts w:asciiTheme="majorBidi" w:hAnsiTheme="majorBidi" w:cstheme="majorBidi"/>
          <w:sz w:val="24"/>
          <w:szCs w:val="24"/>
        </w:rPr>
        <w:t>tion:</w:t>
      </w:r>
      <w:r w:rsidR="00016702" w:rsidRPr="0089351A">
        <w:rPr>
          <w:rFonts w:asciiTheme="majorBidi" w:hAnsiTheme="majorBidi" w:cstheme="majorBidi"/>
          <w:sz w:val="24"/>
          <w:szCs w:val="24"/>
        </w:rPr>
        <w:t xml:space="preserve"> </w:t>
      </w:r>
      <w:r w:rsidR="000E5DE7" w:rsidRPr="0089351A">
        <w:rPr>
          <w:rFonts w:asciiTheme="majorBidi" w:hAnsiTheme="majorBidi" w:cstheme="majorBidi"/>
          <w:sz w:val="24"/>
          <w:szCs w:val="24"/>
        </w:rPr>
        <w:t xml:space="preserve">to enquire into any complaint made by anyone ‘aggrieved by a dispossession or prescription of any land in which he claims he had an interest’. </w:t>
      </w:r>
      <w:r w:rsidR="000E0971" w:rsidRPr="0089351A">
        <w:rPr>
          <w:rFonts w:asciiTheme="majorBidi" w:hAnsiTheme="majorBidi" w:cstheme="majorBidi"/>
          <w:sz w:val="24"/>
          <w:szCs w:val="24"/>
        </w:rPr>
        <w:t>The MTJC</w:t>
      </w:r>
      <w:r w:rsidR="00304D16" w:rsidRPr="0089351A">
        <w:rPr>
          <w:rFonts w:asciiTheme="majorBidi" w:hAnsiTheme="majorBidi" w:cstheme="majorBidi"/>
          <w:sz w:val="24"/>
          <w:szCs w:val="24"/>
        </w:rPr>
        <w:t xml:space="preserve"> was to make recommendations to the President ‘on measures to be taken following its assessment and its findings with a view to achieving social </w:t>
      </w:r>
      <w:r w:rsidR="00016702" w:rsidRPr="0089351A">
        <w:rPr>
          <w:rFonts w:asciiTheme="majorBidi" w:hAnsiTheme="majorBidi" w:cstheme="majorBidi"/>
          <w:sz w:val="24"/>
          <w:szCs w:val="24"/>
        </w:rPr>
        <w:t>justic</w:t>
      </w:r>
      <w:r w:rsidR="000E0971" w:rsidRPr="0089351A">
        <w:rPr>
          <w:rFonts w:asciiTheme="majorBidi" w:hAnsiTheme="majorBidi" w:cstheme="majorBidi"/>
          <w:sz w:val="24"/>
          <w:szCs w:val="24"/>
        </w:rPr>
        <w:t>e and national unity’. The Commission</w:t>
      </w:r>
      <w:r w:rsidR="00304D16" w:rsidRPr="0089351A">
        <w:rPr>
          <w:rFonts w:asciiTheme="majorBidi" w:hAnsiTheme="majorBidi" w:cstheme="majorBidi"/>
          <w:sz w:val="24"/>
          <w:szCs w:val="24"/>
        </w:rPr>
        <w:t xml:space="preserve"> was accorde</w:t>
      </w:r>
      <w:r w:rsidR="00016702" w:rsidRPr="0089351A">
        <w:rPr>
          <w:rFonts w:asciiTheme="majorBidi" w:hAnsiTheme="majorBidi" w:cstheme="majorBidi"/>
          <w:sz w:val="24"/>
          <w:szCs w:val="24"/>
        </w:rPr>
        <w:t>d cons</w:t>
      </w:r>
      <w:r w:rsidR="00C1327D" w:rsidRPr="0089351A">
        <w:rPr>
          <w:rFonts w:asciiTheme="majorBidi" w:hAnsiTheme="majorBidi" w:cstheme="majorBidi"/>
          <w:sz w:val="24"/>
          <w:szCs w:val="24"/>
        </w:rPr>
        <w:t xml:space="preserve">iderable powers. They </w:t>
      </w:r>
      <w:r w:rsidR="00CC21A6" w:rsidRPr="0089351A">
        <w:rPr>
          <w:rFonts w:asciiTheme="majorBidi" w:hAnsiTheme="majorBidi" w:cstheme="majorBidi"/>
          <w:sz w:val="24"/>
          <w:szCs w:val="24"/>
        </w:rPr>
        <w:t>could</w:t>
      </w:r>
      <w:r w:rsidR="00304D16" w:rsidRPr="0089351A">
        <w:rPr>
          <w:rFonts w:asciiTheme="majorBidi" w:hAnsiTheme="majorBidi" w:cstheme="majorBidi"/>
          <w:sz w:val="24"/>
          <w:szCs w:val="24"/>
        </w:rPr>
        <w:t xml:space="preserve"> make visits, take copies of documents, summon witnesses on oath, gather information in foreign countries with the Prime Minister’s approval and seek disclosure of any document even where confidential information was involved. The secretary to the Cabinet and Head of the Civil Service were </w:t>
      </w:r>
      <w:r w:rsidR="00106FB2" w:rsidRPr="0089351A">
        <w:rPr>
          <w:rFonts w:asciiTheme="majorBidi" w:hAnsiTheme="majorBidi" w:cstheme="majorBidi"/>
          <w:sz w:val="24"/>
          <w:szCs w:val="24"/>
        </w:rPr>
        <w:t xml:space="preserve">empowered to make staff available, without any limitation. It was required to report within twenty four months, extendable by </w:t>
      </w:r>
      <w:r w:rsidR="00B3530E" w:rsidRPr="0089351A">
        <w:rPr>
          <w:rFonts w:asciiTheme="majorBidi" w:hAnsiTheme="majorBidi" w:cstheme="majorBidi"/>
          <w:sz w:val="24"/>
          <w:szCs w:val="24"/>
        </w:rPr>
        <w:t>a further six on Presidential</w:t>
      </w:r>
      <w:r w:rsidR="00106FB2" w:rsidRPr="0089351A">
        <w:rPr>
          <w:rFonts w:asciiTheme="majorBidi" w:hAnsiTheme="majorBidi" w:cstheme="majorBidi"/>
          <w:sz w:val="24"/>
          <w:szCs w:val="24"/>
        </w:rPr>
        <w:t xml:space="preserve"> approval.  </w:t>
      </w:r>
    </w:p>
    <w:p w:rsidR="00992788" w:rsidRPr="0089351A" w:rsidRDefault="00106FB2"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The Act specified that the </w:t>
      </w:r>
      <w:r w:rsidR="00CD0DEE" w:rsidRPr="0089351A">
        <w:rPr>
          <w:rFonts w:asciiTheme="majorBidi" w:hAnsiTheme="majorBidi" w:cstheme="majorBidi"/>
          <w:sz w:val="24"/>
          <w:szCs w:val="24"/>
        </w:rPr>
        <w:t>MTJC</w:t>
      </w:r>
      <w:r w:rsidRPr="0089351A">
        <w:rPr>
          <w:rFonts w:asciiTheme="majorBidi" w:hAnsiTheme="majorBidi" w:cstheme="majorBidi"/>
          <w:sz w:val="24"/>
          <w:szCs w:val="24"/>
        </w:rPr>
        <w:t xml:space="preserve"> </w:t>
      </w:r>
      <w:r w:rsidR="00360222" w:rsidRPr="0089351A">
        <w:rPr>
          <w:rFonts w:asciiTheme="majorBidi" w:hAnsiTheme="majorBidi" w:cstheme="majorBidi"/>
          <w:sz w:val="24"/>
          <w:szCs w:val="24"/>
        </w:rPr>
        <w:t xml:space="preserve">would </w:t>
      </w:r>
      <w:r w:rsidRPr="0089351A">
        <w:rPr>
          <w:rFonts w:asciiTheme="majorBidi" w:hAnsiTheme="majorBidi" w:cstheme="majorBidi"/>
          <w:sz w:val="24"/>
          <w:szCs w:val="24"/>
        </w:rPr>
        <w:t>have five members. The chairperson’s position was clearly i</w:t>
      </w:r>
      <w:r w:rsidR="00B23D1E" w:rsidRPr="0089351A">
        <w:rPr>
          <w:rFonts w:asciiTheme="majorBidi" w:hAnsiTheme="majorBidi" w:cstheme="majorBidi"/>
          <w:sz w:val="24"/>
          <w:szCs w:val="24"/>
        </w:rPr>
        <w:t>mportant.  The first person</w:t>
      </w:r>
      <w:r w:rsidRPr="0089351A">
        <w:rPr>
          <w:rFonts w:asciiTheme="majorBidi" w:hAnsiTheme="majorBidi" w:cstheme="majorBidi"/>
          <w:sz w:val="24"/>
          <w:szCs w:val="24"/>
        </w:rPr>
        <w:t xml:space="preserve"> appointed was </w:t>
      </w:r>
      <w:r w:rsidR="00D849BC" w:rsidRPr="0089351A">
        <w:rPr>
          <w:rFonts w:asciiTheme="majorBidi" w:hAnsiTheme="majorBidi" w:cstheme="majorBidi"/>
          <w:sz w:val="24"/>
          <w:szCs w:val="24"/>
        </w:rPr>
        <w:t xml:space="preserve">the South African academic </w:t>
      </w:r>
      <w:r w:rsidRPr="0089351A">
        <w:rPr>
          <w:rFonts w:asciiTheme="majorBidi" w:hAnsiTheme="majorBidi" w:cstheme="majorBidi"/>
          <w:sz w:val="24"/>
          <w:szCs w:val="24"/>
        </w:rPr>
        <w:t>Professor Robert S</w:t>
      </w:r>
      <w:r w:rsidR="00D849BC" w:rsidRPr="0089351A">
        <w:rPr>
          <w:rFonts w:asciiTheme="majorBidi" w:hAnsiTheme="majorBidi" w:cstheme="majorBidi"/>
          <w:sz w:val="24"/>
          <w:szCs w:val="24"/>
        </w:rPr>
        <w:t>hell</w:t>
      </w:r>
      <w:r w:rsidR="00591F9D" w:rsidRPr="0089351A">
        <w:rPr>
          <w:rFonts w:asciiTheme="majorBidi" w:hAnsiTheme="majorBidi" w:cstheme="majorBidi"/>
          <w:sz w:val="24"/>
          <w:szCs w:val="24"/>
        </w:rPr>
        <w:t>. B</w:t>
      </w:r>
      <w:r w:rsidRPr="0089351A">
        <w:rPr>
          <w:rFonts w:asciiTheme="majorBidi" w:hAnsiTheme="majorBidi" w:cstheme="majorBidi"/>
          <w:sz w:val="24"/>
          <w:szCs w:val="24"/>
        </w:rPr>
        <w:t>efor</w:t>
      </w:r>
      <w:r w:rsidR="00D849BC" w:rsidRPr="0089351A">
        <w:rPr>
          <w:rFonts w:asciiTheme="majorBidi" w:hAnsiTheme="majorBidi" w:cstheme="majorBidi"/>
          <w:sz w:val="24"/>
          <w:szCs w:val="24"/>
        </w:rPr>
        <w:t>e the Commission b</w:t>
      </w:r>
      <w:r w:rsidR="00591F9D" w:rsidRPr="0089351A">
        <w:rPr>
          <w:rFonts w:asciiTheme="majorBidi" w:hAnsiTheme="majorBidi" w:cstheme="majorBidi"/>
          <w:sz w:val="24"/>
          <w:szCs w:val="24"/>
        </w:rPr>
        <w:t>egan work, he allegedly</w:t>
      </w:r>
      <w:r w:rsidR="00D849BC" w:rsidRPr="0089351A">
        <w:rPr>
          <w:rFonts w:asciiTheme="majorBidi" w:hAnsiTheme="majorBidi" w:cstheme="majorBidi"/>
          <w:sz w:val="24"/>
          <w:szCs w:val="24"/>
        </w:rPr>
        <w:t xml:space="preserve"> fell out with other members, </w:t>
      </w:r>
      <w:r w:rsidR="00D849BC" w:rsidRPr="0089351A">
        <w:rPr>
          <w:rFonts w:asciiTheme="majorBidi" w:hAnsiTheme="majorBidi" w:cstheme="majorBidi"/>
          <w:sz w:val="24"/>
          <w:szCs w:val="24"/>
        </w:rPr>
        <w:lastRenderedPageBreak/>
        <w:t xml:space="preserve">and </w:t>
      </w:r>
      <w:r w:rsidRPr="0089351A">
        <w:rPr>
          <w:rFonts w:asciiTheme="majorBidi" w:hAnsiTheme="majorBidi" w:cstheme="majorBidi"/>
          <w:sz w:val="24"/>
          <w:szCs w:val="24"/>
        </w:rPr>
        <w:t>made statements to the press mentioning compensation to the descendant</w:t>
      </w:r>
      <w:r w:rsidR="00D849BC" w:rsidRPr="0089351A">
        <w:rPr>
          <w:rFonts w:asciiTheme="majorBidi" w:hAnsiTheme="majorBidi" w:cstheme="majorBidi"/>
          <w:sz w:val="24"/>
          <w:szCs w:val="24"/>
        </w:rPr>
        <w:t>s</w:t>
      </w:r>
      <w:r w:rsidRPr="0089351A">
        <w:rPr>
          <w:rFonts w:asciiTheme="majorBidi" w:hAnsiTheme="majorBidi" w:cstheme="majorBidi"/>
          <w:sz w:val="24"/>
          <w:szCs w:val="24"/>
        </w:rPr>
        <w:t xml:space="preserve"> of slaves</w:t>
      </w:r>
      <w:r w:rsidR="00371EC8" w:rsidRPr="0089351A">
        <w:rPr>
          <w:rFonts w:asciiTheme="majorBidi" w:hAnsiTheme="majorBidi" w:cstheme="majorBidi"/>
          <w:sz w:val="24"/>
          <w:szCs w:val="24"/>
        </w:rPr>
        <w:t>.</w:t>
      </w:r>
      <w:r w:rsidR="00261F97" w:rsidRPr="0089351A">
        <w:rPr>
          <w:rStyle w:val="FootnoteReference"/>
          <w:rFonts w:asciiTheme="majorBidi" w:hAnsiTheme="majorBidi" w:cstheme="majorBidi"/>
          <w:sz w:val="24"/>
          <w:szCs w:val="24"/>
        </w:rPr>
        <w:footnoteReference w:id="51"/>
      </w:r>
      <w:r w:rsidR="00591F9D" w:rsidRPr="0089351A">
        <w:rPr>
          <w:rFonts w:asciiTheme="majorBidi" w:hAnsiTheme="majorBidi" w:cstheme="majorBidi"/>
          <w:sz w:val="24"/>
          <w:szCs w:val="24"/>
        </w:rPr>
        <w:t xml:space="preserve"> Official accounts</w:t>
      </w:r>
      <w:r w:rsidR="00864702" w:rsidRPr="0089351A">
        <w:rPr>
          <w:rFonts w:asciiTheme="majorBidi" w:hAnsiTheme="majorBidi" w:cstheme="majorBidi"/>
          <w:sz w:val="24"/>
          <w:szCs w:val="24"/>
        </w:rPr>
        <w:t xml:space="preserve"> assert that he was unable to continue for personal reasons.  He was replaced by another academic, Dr Alexander </w:t>
      </w:r>
      <w:proofErr w:type="spellStart"/>
      <w:r w:rsidR="00864702" w:rsidRPr="0089351A">
        <w:rPr>
          <w:rFonts w:asciiTheme="majorBidi" w:hAnsiTheme="majorBidi" w:cstheme="majorBidi"/>
          <w:sz w:val="24"/>
          <w:szCs w:val="24"/>
        </w:rPr>
        <w:t>Boraine</w:t>
      </w:r>
      <w:proofErr w:type="spellEnd"/>
      <w:r w:rsidR="00864702" w:rsidRPr="0089351A">
        <w:rPr>
          <w:rFonts w:asciiTheme="majorBidi" w:hAnsiTheme="majorBidi" w:cstheme="majorBidi"/>
          <w:sz w:val="24"/>
          <w:szCs w:val="24"/>
        </w:rPr>
        <w:t>, previously Deputy Chair of the South African TRC.</w:t>
      </w:r>
      <w:r w:rsidR="00261F97" w:rsidRPr="0089351A">
        <w:rPr>
          <w:rStyle w:val="FootnoteReference"/>
          <w:rFonts w:asciiTheme="majorBidi" w:hAnsiTheme="majorBidi" w:cstheme="majorBidi"/>
          <w:sz w:val="24"/>
          <w:szCs w:val="24"/>
        </w:rPr>
        <w:footnoteReference w:id="52"/>
      </w:r>
      <w:r w:rsidRPr="0089351A">
        <w:rPr>
          <w:rFonts w:asciiTheme="majorBidi" w:hAnsiTheme="majorBidi" w:cstheme="majorBidi"/>
          <w:sz w:val="24"/>
          <w:szCs w:val="24"/>
        </w:rPr>
        <w:t xml:space="preserve"> </w:t>
      </w:r>
      <w:r w:rsidR="00992788" w:rsidRPr="0089351A">
        <w:rPr>
          <w:rFonts w:asciiTheme="majorBidi" w:hAnsiTheme="majorBidi" w:cstheme="majorBidi"/>
          <w:sz w:val="24"/>
          <w:szCs w:val="24"/>
        </w:rPr>
        <w:t xml:space="preserve"> The </w:t>
      </w:r>
      <w:r w:rsidR="00142A24" w:rsidRPr="0089351A">
        <w:rPr>
          <w:rFonts w:asciiTheme="majorBidi" w:hAnsiTheme="majorBidi" w:cstheme="majorBidi"/>
          <w:sz w:val="24"/>
          <w:szCs w:val="24"/>
        </w:rPr>
        <w:t>M</w:t>
      </w:r>
      <w:r w:rsidR="00992788" w:rsidRPr="0089351A">
        <w:rPr>
          <w:rFonts w:asciiTheme="majorBidi" w:hAnsiTheme="majorBidi" w:cstheme="majorBidi"/>
          <w:sz w:val="24"/>
          <w:szCs w:val="24"/>
        </w:rPr>
        <w:t xml:space="preserve">TJC contained four other members probably the most </w:t>
      </w:r>
      <w:r w:rsidR="00C1327D" w:rsidRPr="0089351A">
        <w:rPr>
          <w:rFonts w:asciiTheme="majorBidi" w:hAnsiTheme="majorBidi" w:cstheme="majorBidi"/>
          <w:sz w:val="24"/>
          <w:szCs w:val="24"/>
        </w:rPr>
        <w:t>notable and influential of whom</w:t>
      </w:r>
      <w:r w:rsidR="00992788" w:rsidRPr="0089351A">
        <w:rPr>
          <w:rFonts w:asciiTheme="majorBidi" w:hAnsiTheme="majorBidi" w:cstheme="majorBidi"/>
          <w:sz w:val="24"/>
          <w:szCs w:val="24"/>
        </w:rPr>
        <w:t xml:space="preserve"> was Dr </w:t>
      </w:r>
      <w:proofErr w:type="spellStart"/>
      <w:r w:rsidR="00992788" w:rsidRPr="0089351A">
        <w:rPr>
          <w:rFonts w:asciiTheme="majorBidi" w:hAnsiTheme="majorBidi" w:cstheme="majorBidi"/>
          <w:sz w:val="24"/>
          <w:szCs w:val="24"/>
        </w:rPr>
        <w:t>Vijayalakshmi</w:t>
      </w:r>
      <w:proofErr w:type="spellEnd"/>
      <w:r w:rsidR="00992788" w:rsidRPr="0089351A">
        <w:rPr>
          <w:rFonts w:asciiTheme="majorBidi" w:hAnsiTheme="majorBidi" w:cstheme="majorBidi"/>
          <w:sz w:val="24"/>
          <w:szCs w:val="24"/>
        </w:rPr>
        <w:t xml:space="preserve"> </w:t>
      </w:r>
      <w:proofErr w:type="spellStart"/>
      <w:r w:rsidR="00992788" w:rsidRPr="0089351A">
        <w:rPr>
          <w:rFonts w:asciiTheme="majorBidi" w:hAnsiTheme="majorBidi" w:cstheme="majorBidi"/>
          <w:sz w:val="24"/>
          <w:szCs w:val="24"/>
        </w:rPr>
        <w:t>Teelock</w:t>
      </w:r>
      <w:proofErr w:type="spellEnd"/>
      <w:r w:rsidR="00992788" w:rsidRPr="0089351A">
        <w:rPr>
          <w:rFonts w:asciiTheme="majorBidi" w:hAnsiTheme="majorBidi" w:cstheme="majorBidi"/>
          <w:sz w:val="24"/>
          <w:szCs w:val="24"/>
        </w:rPr>
        <w:t>, the leading historian of Mauritian society</w:t>
      </w:r>
      <w:r w:rsidR="00603EB4" w:rsidRPr="0089351A">
        <w:rPr>
          <w:rFonts w:asciiTheme="majorBidi" w:hAnsiTheme="majorBidi" w:cstheme="majorBidi"/>
          <w:sz w:val="24"/>
          <w:szCs w:val="24"/>
        </w:rPr>
        <w:t xml:space="preserve">, slavery </w:t>
      </w:r>
      <w:r w:rsidR="00992788" w:rsidRPr="0089351A">
        <w:rPr>
          <w:rFonts w:asciiTheme="majorBidi" w:hAnsiTheme="majorBidi" w:cstheme="majorBidi"/>
          <w:sz w:val="24"/>
          <w:szCs w:val="24"/>
        </w:rPr>
        <w:t xml:space="preserve">and </w:t>
      </w:r>
      <w:r w:rsidR="00991962" w:rsidRPr="0089351A">
        <w:rPr>
          <w:rFonts w:asciiTheme="majorBidi" w:hAnsiTheme="majorBidi" w:cstheme="majorBidi"/>
          <w:sz w:val="24"/>
          <w:szCs w:val="24"/>
        </w:rPr>
        <w:t>indentured</w:t>
      </w:r>
      <w:r w:rsidR="00992788" w:rsidRPr="0089351A">
        <w:rPr>
          <w:rFonts w:asciiTheme="majorBidi" w:hAnsiTheme="majorBidi" w:cstheme="majorBidi"/>
          <w:sz w:val="24"/>
          <w:szCs w:val="24"/>
        </w:rPr>
        <w:t xml:space="preserve"> labour who served as Chairperson after Shel</w:t>
      </w:r>
      <w:r w:rsidR="003607B7" w:rsidRPr="0089351A">
        <w:rPr>
          <w:rFonts w:asciiTheme="majorBidi" w:hAnsiTheme="majorBidi" w:cstheme="majorBidi"/>
          <w:sz w:val="24"/>
          <w:szCs w:val="24"/>
        </w:rPr>
        <w:t>l’s departure and then as Vice-</w:t>
      </w:r>
      <w:r w:rsidR="00992788" w:rsidRPr="0089351A">
        <w:rPr>
          <w:rFonts w:asciiTheme="majorBidi" w:hAnsiTheme="majorBidi" w:cstheme="majorBidi"/>
          <w:sz w:val="24"/>
          <w:szCs w:val="24"/>
        </w:rPr>
        <w:t xml:space="preserve">Chairperson on </w:t>
      </w:r>
      <w:proofErr w:type="spellStart"/>
      <w:r w:rsidR="00992788" w:rsidRPr="0089351A">
        <w:rPr>
          <w:rFonts w:asciiTheme="majorBidi" w:hAnsiTheme="majorBidi" w:cstheme="majorBidi"/>
          <w:sz w:val="24"/>
          <w:szCs w:val="24"/>
        </w:rPr>
        <w:t>Boraine’s</w:t>
      </w:r>
      <w:proofErr w:type="spellEnd"/>
      <w:r w:rsidR="00992788" w:rsidRPr="0089351A">
        <w:rPr>
          <w:rFonts w:asciiTheme="majorBidi" w:hAnsiTheme="majorBidi" w:cstheme="majorBidi"/>
          <w:sz w:val="24"/>
          <w:szCs w:val="24"/>
        </w:rPr>
        <w:t xml:space="preserve"> arrival</w:t>
      </w:r>
      <w:r w:rsidR="00864702" w:rsidRPr="0089351A">
        <w:rPr>
          <w:rFonts w:asciiTheme="majorBidi" w:hAnsiTheme="majorBidi" w:cstheme="majorBidi"/>
          <w:sz w:val="24"/>
          <w:szCs w:val="24"/>
        </w:rPr>
        <w:t>.</w:t>
      </w:r>
      <w:r w:rsidR="00AC2950" w:rsidRPr="0089351A">
        <w:rPr>
          <w:rStyle w:val="FootnoteReference"/>
          <w:rFonts w:asciiTheme="majorBidi" w:hAnsiTheme="majorBidi" w:cstheme="majorBidi"/>
          <w:sz w:val="24"/>
          <w:szCs w:val="24"/>
        </w:rPr>
        <w:footnoteReference w:id="53"/>
      </w:r>
      <w:r w:rsidR="00992788" w:rsidRPr="0089351A">
        <w:rPr>
          <w:rFonts w:asciiTheme="majorBidi" w:hAnsiTheme="majorBidi" w:cstheme="majorBidi"/>
          <w:sz w:val="24"/>
          <w:szCs w:val="24"/>
        </w:rPr>
        <w:t xml:space="preserve"> Three main areas of investigation were identified</w:t>
      </w:r>
      <w:r w:rsidR="00845319" w:rsidRPr="0089351A">
        <w:rPr>
          <w:rFonts w:asciiTheme="majorBidi" w:hAnsiTheme="majorBidi" w:cstheme="majorBidi"/>
          <w:sz w:val="24"/>
          <w:szCs w:val="24"/>
        </w:rPr>
        <w:t xml:space="preserve"> when the Commission met</w:t>
      </w:r>
      <w:r w:rsidR="00A83DE6" w:rsidRPr="0089351A">
        <w:rPr>
          <w:rFonts w:asciiTheme="majorBidi" w:hAnsiTheme="majorBidi" w:cstheme="majorBidi"/>
          <w:sz w:val="24"/>
          <w:szCs w:val="24"/>
        </w:rPr>
        <w:t xml:space="preserve">: </w:t>
      </w:r>
      <w:r w:rsidR="002522E8" w:rsidRPr="0089351A">
        <w:rPr>
          <w:rFonts w:asciiTheme="majorBidi" w:hAnsiTheme="majorBidi" w:cstheme="majorBidi"/>
          <w:sz w:val="24"/>
          <w:szCs w:val="24"/>
        </w:rPr>
        <w:t>the revision of history, 1723-2008; the consequences of slavery and indentured labour on society and ‘measures to achieve Social Justice’.</w:t>
      </w:r>
      <w:r w:rsidR="00B74F21" w:rsidRPr="0089351A">
        <w:rPr>
          <w:rFonts w:asciiTheme="majorBidi" w:hAnsiTheme="majorBidi" w:cstheme="majorBidi"/>
          <w:sz w:val="24"/>
          <w:szCs w:val="24"/>
        </w:rPr>
        <w:t xml:space="preserve"> The </w:t>
      </w:r>
      <w:r w:rsidR="00603EB4" w:rsidRPr="0089351A">
        <w:rPr>
          <w:rFonts w:asciiTheme="majorBidi" w:hAnsiTheme="majorBidi" w:cstheme="majorBidi"/>
          <w:sz w:val="24"/>
          <w:szCs w:val="24"/>
        </w:rPr>
        <w:t xml:space="preserve">operation’s parameters </w:t>
      </w:r>
      <w:r w:rsidR="00B74F21" w:rsidRPr="0089351A">
        <w:rPr>
          <w:rFonts w:asciiTheme="majorBidi" w:hAnsiTheme="majorBidi" w:cstheme="majorBidi"/>
          <w:sz w:val="24"/>
          <w:szCs w:val="24"/>
        </w:rPr>
        <w:t xml:space="preserve">were now </w:t>
      </w:r>
      <w:r w:rsidR="00CC21A6" w:rsidRPr="0089351A">
        <w:rPr>
          <w:rFonts w:asciiTheme="majorBidi" w:hAnsiTheme="majorBidi" w:cstheme="majorBidi"/>
          <w:sz w:val="24"/>
          <w:szCs w:val="24"/>
        </w:rPr>
        <w:t>defined</w:t>
      </w:r>
      <w:r w:rsidR="00B74F21" w:rsidRPr="0089351A">
        <w:rPr>
          <w:rFonts w:asciiTheme="majorBidi" w:hAnsiTheme="majorBidi" w:cstheme="majorBidi"/>
          <w:sz w:val="24"/>
          <w:szCs w:val="24"/>
        </w:rPr>
        <w:t xml:space="preserve">. It was to be an historical inquiry into slavery and </w:t>
      </w:r>
      <w:r w:rsidR="00991962" w:rsidRPr="0089351A">
        <w:rPr>
          <w:rFonts w:asciiTheme="majorBidi" w:hAnsiTheme="majorBidi" w:cstheme="majorBidi"/>
          <w:sz w:val="24"/>
          <w:szCs w:val="24"/>
        </w:rPr>
        <w:t>indentured</w:t>
      </w:r>
      <w:r w:rsidR="00B74F21" w:rsidRPr="0089351A">
        <w:rPr>
          <w:rFonts w:asciiTheme="majorBidi" w:hAnsiTheme="majorBidi" w:cstheme="majorBidi"/>
          <w:sz w:val="24"/>
          <w:szCs w:val="24"/>
        </w:rPr>
        <w:t xml:space="preserve"> labour</w:t>
      </w:r>
      <w:r w:rsidR="00016702" w:rsidRPr="0089351A">
        <w:rPr>
          <w:rFonts w:asciiTheme="majorBidi" w:hAnsiTheme="majorBidi" w:cstheme="majorBidi"/>
          <w:sz w:val="24"/>
          <w:szCs w:val="24"/>
        </w:rPr>
        <w:t xml:space="preserve"> and its consequences</w:t>
      </w:r>
      <w:r w:rsidR="00603EB4" w:rsidRPr="0089351A">
        <w:rPr>
          <w:rFonts w:asciiTheme="majorBidi" w:hAnsiTheme="majorBidi" w:cstheme="majorBidi"/>
          <w:sz w:val="24"/>
          <w:szCs w:val="24"/>
        </w:rPr>
        <w:t>;</w:t>
      </w:r>
      <w:r w:rsidR="00845319" w:rsidRPr="0089351A">
        <w:rPr>
          <w:rFonts w:asciiTheme="majorBidi" w:hAnsiTheme="majorBidi" w:cstheme="majorBidi"/>
          <w:sz w:val="24"/>
          <w:szCs w:val="24"/>
        </w:rPr>
        <w:t xml:space="preserve"> t</w:t>
      </w:r>
      <w:r w:rsidR="00B74F21" w:rsidRPr="0089351A">
        <w:rPr>
          <w:rFonts w:asciiTheme="majorBidi" w:hAnsiTheme="majorBidi" w:cstheme="majorBidi"/>
          <w:sz w:val="24"/>
          <w:szCs w:val="24"/>
        </w:rPr>
        <w:t xml:space="preserve">he results were to be directed towards </w:t>
      </w:r>
      <w:r w:rsidR="00933843" w:rsidRPr="0089351A">
        <w:rPr>
          <w:rFonts w:asciiTheme="majorBidi" w:hAnsiTheme="majorBidi" w:cstheme="majorBidi"/>
          <w:sz w:val="24"/>
          <w:szCs w:val="24"/>
        </w:rPr>
        <w:t>achieving ‘national unity’.</w:t>
      </w:r>
      <w:r w:rsidR="00845319" w:rsidRPr="0089351A">
        <w:rPr>
          <w:rFonts w:asciiTheme="majorBidi" w:hAnsiTheme="majorBidi" w:cstheme="majorBidi"/>
          <w:sz w:val="24"/>
          <w:szCs w:val="24"/>
        </w:rPr>
        <w:t xml:space="preserve">  </w:t>
      </w:r>
    </w:p>
    <w:p w:rsidR="003C1631" w:rsidRPr="0089351A" w:rsidRDefault="00950388"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The </w:t>
      </w:r>
      <w:r w:rsidR="00CD0DEE" w:rsidRPr="0089351A">
        <w:rPr>
          <w:rFonts w:asciiTheme="majorBidi" w:hAnsiTheme="majorBidi" w:cstheme="majorBidi"/>
          <w:sz w:val="24"/>
          <w:szCs w:val="24"/>
        </w:rPr>
        <w:t>MTJC</w:t>
      </w:r>
      <w:r w:rsidRPr="0089351A">
        <w:rPr>
          <w:rFonts w:asciiTheme="majorBidi" w:hAnsiTheme="majorBidi" w:cstheme="majorBidi"/>
          <w:sz w:val="24"/>
          <w:szCs w:val="24"/>
        </w:rPr>
        <w:t xml:space="preserve"> sought to publicise its activities among the local population</w:t>
      </w:r>
      <w:r w:rsidR="00283CBD" w:rsidRPr="0089351A">
        <w:rPr>
          <w:rFonts w:asciiTheme="majorBidi" w:hAnsiTheme="majorBidi" w:cstheme="majorBidi"/>
          <w:sz w:val="24"/>
          <w:szCs w:val="24"/>
        </w:rPr>
        <w:t>, sending out</w:t>
      </w:r>
      <w:r w:rsidRPr="0089351A">
        <w:rPr>
          <w:rFonts w:asciiTheme="majorBidi" w:hAnsiTheme="majorBidi" w:cstheme="majorBidi"/>
          <w:sz w:val="24"/>
          <w:szCs w:val="24"/>
        </w:rPr>
        <w:t xml:space="preserve"> </w:t>
      </w:r>
      <w:r w:rsidR="00900AB2" w:rsidRPr="0089351A">
        <w:rPr>
          <w:rFonts w:asciiTheme="majorBidi" w:hAnsiTheme="majorBidi" w:cstheme="majorBidi"/>
          <w:sz w:val="24"/>
          <w:szCs w:val="24"/>
        </w:rPr>
        <w:t>brochures in all four of the country’s languages (Engl</w:t>
      </w:r>
      <w:r w:rsidR="007A22AD" w:rsidRPr="0089351A">
        <w:rPr>
          <w:rFonts w:asciiTheme="majorBidi" w:hAnsiTheme="majorBidi" w:cstheme="majorBidi"/>
          <w:sz w:val="24"/>
          <w:szCs w:val="24"/>
        </w:rPr>
        <w:t xml:space="preserve">ish, French, Bhojpuri and </w:t>
      </w:r>
      <w:proofErr w:type="spellStart"/>
      <w:r w:rsidR="007A22AD" w:rsidRPr="0089351A">
        <w:rPr>
          <w:rFonts w:asciiTheme="majorBidi" w:hAnsiTheme="majorBidi" w:cstheme="majorBidi"/>
          <w:sz w:val="24"/>
          <w:szCs w:val="24"/>
        </w:rPr>
        <w:t>Kreol</w:t>
      </w:r>
      <w:proofErr w:type="spellEnd"/>
      <w:r w:rsidR="00666C83" w:rsidRPr="0089351A">
        <w:rPr>
          <w:rFonts w:asciiTheme="majorBidi" w:hAnsiTheme="majorBidi" w:cstheme="majorBidi"/>
          <w:sz w:val="24"/>
          <w:szCs w:val="24"/>
        </w:rPr>
        <w:t>). The method’s limitations when dealing with a Creole audience with low levels of literacy are evident. W</w:t>
      </w:r>
      <w:r w:rsidR="00845319" w:rsidRPr="0089351A">
        <w:rPr>
          <w:rFonts w:asciiTheme="majorBidi" w:hAnsiTheme="majorBidi" w:cstheme="majorBidi"/>
          <w:sz w:val="24"/>
          <w:szCs w:val="24"/>
        </w:rPr>
        <w:t xml:space="preserve">e repeat that </w:t>
      </w:r>
      <w:r w:rsidR="00900AB2" w:rsidRPr="0089351A">
        <w:rPr>
          <w:rFonts w:asciiTheme="majorBidi" w:hAnsiTheme="majorBidi" w:cstheme="majorBidi"/>
          <w:sz w:val="24"/>
          <w:szCs w:val="24"/>
        </w:rPr>
        <w:t>ou</w:t>
      </w:r>
      <w:r w:rsidR="007A22AD" w:rsidRPr="0089351A">
        <w:rPr>
          <w:rFonts w:asciiTheme="majorBidi" w:hAnsiTheme="majorBidi" w:cstheme="majorBidi"/>
          <w:sz w:val="24"/>
          <w:szCs w:val="24"/>
        </w:rPr>
        <w:t>r brief</w:t>
      </w:r>
      <w:r w:rsidR="00900AB2" w:rsidRPr="0089351A">
        <w:rPr>
          <w:rFonts w:asciiTheme="majorBidi" w:hAnsiTheme="majorBidi" w:cstheme="majorBidi"/>
          <w:sz w:val="24"/>
          <w:szCs w:val="24"/>
        </w:rPr>
        <w:t xml:space="preserve"> indicative survey of thirty Creoles showed that none was aware that a </w:t>
      </w:r>
      <w:r w:rsidR="00CD0DEE" w:rsidRPr="0089351A">
        <w:rPr>
          <w:rFonts w:asciiTheme="majorBidi" w:hAnsiTheme="majorBidi" w:cstheme="majorBidi"/>
          <w:sz w:val="24"/>
          <w:szCs w:val="24"/>
        </w:rPr>
        <w:t>MTJC</w:t>
      </w:r>
      <w:r w:rsidR="00900AB2" w:rsidRPr="0089351A">
        <w:rPr>
          <w:rFonts w:asciiTheme="majorBidi" w:hAnsiTheme="majorBidi" w:cstheme="majorBidi"/>
          <w:sz w:val="24"/>
          <w:szCs w:val="24"/>
        </w:rPr>
        <w:t xml:space="preserve"> existed. </w:t>
      </w:r>
      <w:r w:rsidR="006E1419" w:rsidRPr="0089351A">
        <w:rPr>
          <w:rFonts w:asciiTheme="majorBidi" w:hAnsiTheme="majorBidi" w:cstheme="majorBidi"/>
          <w:sz w:val="24"/>
          <w:szCs w:val="24"/>
        </w:rPr>
        <w:t>Gibson (125) argues that getting constituents’ attention is ‘determined largely by the type of messages the commission promulgates, with simple messages…</w:t>
      </w:r>
      <w:proofErr w:type="gramStart"/>
      <w:r w:rsidR="006E1419" w:rsidRPr="0089351A">
        <w:rPr>
          <w:rFonts w:asciiTheme="majorBidi" w:hAnsiTheme="majorBidi" w:cstheme="majorBidi"/>
          <w:sz w:val="24"/>
          <w:szCs w:val="24"/>
        </w:rPr>
        <w:t>’</w:t>
      </w:r>
      <w:r w:rsidR="00371EC8" w:rsidRPr="0089351A">
        <w:rPr>
          <w:rFonts w:asciiTheme="majorBidi" w:hAnsiTheme="majorBidi" w:cstheme="majorBidi"/>
          <w:sz w:val="24"/>
          <w:szCs w:val="24"/>
        </w:rPr>
        <w:t>.</w:t>
      </w:r>
      <w:proofErr w:type="gramEnd"/>
      <w:r w:rsidR="00261F97" w:rsidRPr="0089351A">
        <w:rPr>
          <w:rStyle w:val="FootnoteReference"/>
          <w:rFonts w:asciiTheme="majorBidi" w:hAnsiTheme="majorBidi" w:cstheme="majorBidi"/>
          <w:sz w:val="24"/>
          <w:szCs w:val="24"/>
        </w:rPr>
        <w:footnoteReference w:id="54"/>
      </w:r>
      <w:r w:rsidR="00C94E10" w:rsidRPr="0089351A">
        <w:rPr>
          <w:rFonts w:asciiTheme="majorBidi" w:hAnsiTheme="majorBidi" w:cstheme="majorBidi"/>
          <w:sz w:val="24"/>
          <w:szCs w:val="24"/>
        </w:rPr>
        <w:t xml:space="preserve">We can find no trace of such an approach in the MTJC’s </w:t>
      </w:r>
      <w:r w:rsidR="00C1327D" w:rsidRPr="0089351A">
        <w:rPr>
          <w:rFonts w:asciiTheme="majorBidi" w:hAnsiTheme="majorBidi" w:cstheme="majorBidi"/>
          <w:sz w:val="24"/>
          <w:szCs w:val="24"/>
        </w:rPr>
        <w:t xml:space="preserve">formal </w:t>
      </w:r>
      <w:r w:rsidR="00C94E10" w:rsidRPr="0089351A">
        <w:rPr>
          <w:rFonts w:asciiTheme="majorBidi" w:hAnsiTheme="majorBidi" w:cstheme="majorBidi"/>
          <w:sz w:val="24"/>
          <w:szCs w:val="24"/>
        </w:rPr>
        <w:t>publicity</w:t>
      </w:r>
      <w:r w:rsidR="00666C83" w:rsidRPr="0089351A">
        <w:rPr>
          <w:rFonts w:asciiTheme="majorBidi" w:hAnsiTheme="majorBidi" w:cstheme="majorBidi"/>
          <w:sz w:val="24"/>
          <w:szCs w:val="24"/>
        </w:rPr>
        <w:t>.</w:t>
      </w:r>
      <w:r w:rsidR="00464B2B" w:rsidRPr="0089351A">
        <w:rPr>
          <w:rFonts w:asciiTheme="majorBidi" w:hAnsiTheme="majorBidi" w:cstheme="majorBidi"/>
          <w:sz w:val="24"/>
          <w:szCs w:val="24"/>
        </w:rPr>
        <w:t xml:space="preserve">  The Commission</w:t>
      </w:r>
      <w:r w:rsidR="00016702" w:rsidRPr="0089351A">
        <w:rPr>
          <w:rFonts w:asciiTheme="majorBidi" w:hAnsiTheme="majorBidi" w:cstheme="majorBidi"/>
          <w:sz w:val="24"/>
          <w:szCs w:val="24"/>
        </w:rPr>
        <w:t xml:space="preserve"> pursued its work</w:t>
      </w:r>
      <w:r w:rsidR="00C1327D" w:rsidRPr="0089351A">
        <w:rPr>
          <w:rFonts w:asciiTheme="majorBidi" w:hAnsiTheme="majorBidi" w:cstheme="majorBidi"/>
          <w:sz w:val="24"/>
          <w:szCs w:val="24"/>
        </w:rPr>
        <w:t xml:space="preserve"> in several ways. It took depositions</w:t>
      </w:r>
      <w:r w:rsidR="00C94E10" w:rsidRPr="0089351A">
        <w:rPr>
          <w:rFonts w:asciiTheme="majorBidi" w:hAnsiTheme="majorBidi" w:cstheme="majorBidi"/>
          <w:sz w:val="24"/>
          <w:szCs w:val="24"/>
        </w:rPr>
        <w:t xml:space="preserve"> </w:t>
      </w:r>
      <w:r w:rsidRPr="0089351A">
        <w:rPr>
          <w:rFonts w:asciiTheme="majorBidi" w:hAnsiTheme="majorBidi" w:cstheme="majorBidi"/>
          <w:sz w:val="24"/>
          <w:szCs w:val="24"/>
        </w:rPr>
        <w:t xml:space="preserve">from political parties </w:t>
      </w:r>
      <w:r w:rsidR="00845319" w:rsidRPr="0089351A">
        <w:rPr>
          <w:rFonts w:asciiTheme="majorBidi" w:hAnsiTheme="majorBidi" w:cstheme="majorBidi"/>
          <w:sz w:val="24"/>
          <w:szCs w:val="24"/>
        </w:rPr>
        <w:lastRenderedPageBreak/>
        <w:t>and organisations</w:t>
      </w:r>
      <w:r w:rsidR="0089375E" w:rsidRPr="0089351A">
        <w:rPr>
          <w:rFonts w:asciiTheme="majorBidi" w:hAnsiTheme="majorBidi" w:cstheme="majorBidi"/>
          <w:sz w:val="24"/>
          <w:szCs w:val="24"/>
        </w:rPr>
        <w:t xml:space="preserve">, although </w:t>
      </w:r>
      <w:r w:rsidR="00C1327D" w:rsidRPr="0089351A">
        <w:rPr>
          <w:rFonts w:asciiTheme="majorBidi" w:hAnsiTheme="majorBidi" w:cstheme="majorBidi"/>
          <w:sz w:val="24"/>
          <w:szCs w:val="24"/>
        </w:rPr>
        <w:t xml:space="preserve">despite its </w:t>
      </w:r>
      <w:r w:rsidR="00603EB4" w:rsidRPr="0089351A">
        <w:rPr>
          <w:rFonts w:asciiTheme="majorBidi" w:hAnsiTheme="majorBidi" w:cstheme="majorBidi"/>
          <w:sz w:val="24"/>
          <w:szCs w:val="24"/>
        </w:rPr>
        <w:t xml:space="preserve">extensive </w:t>
      </w:r>
      <w:r w:rsidR="00C1327D" w:rsidRPr="0089351A">
        <w:rPr>
          <w:rFonts w:asciiTheme="majorBidi" w:hAnsiTheme="majorBidi" w:cstheme="majorBidi"/>
          <w:sz w:val="24"/>
          <w:szCs w:val="24"/>
        </w:rPr>
        <w:t xml:space="preserve">powers </w:t>
      </w:r>
      <w:r w:rsidR="0089375E" w:rsidRPr="0089351A">
        <w:rPr>
          <w:rFonts w:asciiTheme="majorBidi" w:hAnsiTheme="majorBidi" w:cstheme="majorBidi"/>
          <w:sz w:val="24"/>
          <w:szCs w:val="24"/>
        </w:rPr>
        <w:t xml:space="preserve">it notably required no evidence </w:t>
      </w:r>
      <w:r w:rsidR="00DA4835" w:rsidRPr="0089351A">
        <w:rPr>
          <w:rFonts w:asciiTheme="majorBidi" w:hAnsiTheme="majorBidi" w:cstheme="majorBidi"/>
          <w:sz w:val="24"/>
          <w:szCs w:val="24"/>
        </w:rPr>
        <w:t>from</w:t>
      </w:r>
      <w:r w:rsidR="0089375E" w:rsidRPr="0089351A">
        <w:rPr>
          <w:rFonts w:asciiTheme="majorBidi" w:hAnsiTheme="majorBidi" w:cstheme="majorBidi"/>
          <w:sz w:val="24"/>
          <w:szCs w:val="24"/>
        </w:rPr>
        <w:t xml:space="preserve"> any of the entities which benefitted from slavery</w:t>
      </w:r>
      <w:r w:rsidR="00845319" w:rsidRPr="0089351A">
        <w:rPr>
          <w:rFonts w:asciiTheme="majorBidi" w:hAnsiTheme="majorBidi" w:cstheme="majorBidi"/>
          <w:sz w:val="24"/>
          <w:szCs w:val="24"/>
        </w:rPr>
        <w:t>. It also received</w:t>
      </w:r>
      <w:r w:rsidRPr="0089351A">
        <w:rPr>
          <w:rFonts w:asciiTheme="majorBidi" w:hAnsiTheme="majorBidi" w:cstheme="majorBidi"/>
          <w:sz w:val="24"/>
          <w:szCs w:val="24"/>
        </w:rPr>
        <w:t xml:space="preserve"> them from </w:t>
      </w:r>
      <w:r w:rsidR="00DA4835" w:rsidRPr="0089351A">
        <w:rPr>
          <w:rFonts w:asciiTheme="majorBidi" w:hAnsiTheme="majorBidi" w:cstheme="majorBidi"/>
          <w:sz w:val="24"/>
          <w:szCs w:val="24"/>
        </w:rPr>
        <w:t>many</w:t>
      </w:r>
      <w:r w:rsidRPr="0089351A">
        <w:rPr>
          <w:rFonts w:asciiTheme="majorBidi" w:hAnsiTheme="majorBidi" w:cstheme="majorBidi"/>
          <w:sz w:val="24"/>
          <w:szCs w:val="24"/>
        </w:rPr>
        <w:t xml:space="preserve"> ind</w:t>
      </w:r>
      <w:r w:rsidR="00845319" w:rsidRPr="0089351A">
        <w:rPr>
          <w:rFonts w:asciiTheme="majorBidi" w:hAnsiTheme="majorBidi" w:cstheme="majorBidi"/>
          <w:sz w:val="24"/>
          <w:szCs w:val="24"/>
        </w:rPr>
        <w:t xml:space="preserve">ividuals interested </w:t>
      </w:r>
      <w:r w:rsidRPr="0089351A">
        <w:rPr>
          <w:rFonts w:asciiTheme="majorBidi" w:hAnsiTheme="majorBidi" w:cstheme="majorBidi"/>
          <w:sz w:val="24"/>
          <w:szCs w:val="24"/>
        </w:rPr>
        <w:t>in establishing t</w:t>
      </w:r>
      <w:r w:rsidR="00C94E10" w:rsidRPr="0089351A">
        <w:rPr>
          <w:rFonts w:asciiTheme="majorBidi" w:hAnsiTheme="majorBidi" w:cstheme="majorBidi"/>
          <w:sz w:val="24"/>
          <w:szCs w:val="24"/>
        </w:rPr>
        <w:t>heir ancestry</w:t>
      </w:r>
      <w:r w:rsidR="00342ECF" w:rsidRPr="0089351A">
        <w:rPr>
          <w:rFonts w:asciiTheme="majorBidi" w:hAnsiTheme="majorBidi" w:cstheme="majorBidi"/>
          <w:sz w:val="24"/>
          <w:szCs w:val="24"/>
        </w:rPr>
        <w:t xml:space="preserve">. </w:t>
      </w:r>
      <w:r w:rsidR="00C94E10" w:rsidRPr="0089351A">
        <w:rPr>
          <w:rFonts w:asciiTheme="majorBidi" w:hAnsiTheme="majorBidi" w:cstheme="majorBidi"/>
          <w:sz w:val="24"/>
          <w:szCs w:val="24"/>
        </w:rPr>
        <w:t>.Some recounted</w:t>
      </w:r>
      <w:r w:rsidRPr="0089351A">
        <w:rPr>
          <w:rFonts w:asciiTheme="majorBidi" w:hAnsiTheme="majorBidi" w:cstheme="majorBidi"/>
          <w:sz w:val="24"/>
          <w:szCs w:val="24"/>
        </w:rPr>
        <w:t xml:space="preserve"> </w:t>
      </w:r>
      <w:r w:rsidR="00C1327D" w:rsidRPr="0089351A">
        <w:rPr>
          <w:rFonts w:asciiTheme="majorBidi" w:hAnsiTheme="majorBidi" w:cstheme="majorBidi"/>
          <w:sz w:val="24"/>
          <w:szCs w:val="24"/>
        </w:rPr>
        <w:t>their experiences through</w:t>
      </w:r>
      <w:r w:rsidRPr="0089351A">
        <w:rPr>
          <w:rFonts w:asciiTheme="majorBidi" w:hAnsiTheme="majorBidi" w:cstheme="majorBidi"/>
          <w:sz w:val="24"/>
          <w:szCs w:val="24"/>
        </w:rPr>
        <w:t xml:space="preserve"> oral history projects.</w:t>
      </w:r>
      <w:r w:rsidR="00DF1757" w:rsidRPr="0089351A">
        <w:rPr>
          <w:rFonts w:asciiTheme="majorBidi" w:hAnsiTheme="majorBidi" w:cstheme="majorBidi"/>
          <w:sz w:val="24"/>
          <w:szCs w:val="24"/>
        </w:rPr>
        <w:t xml:space="preserve"> </w:t>
      </w:r>
      <w:r w:rsidRPr="0089351A">
        <w:rPr>
          <w:rFonts w:asciiTheme="majorBidi" w:hAnsiTheme="majorBidi" w:cstheme="majorBidi"/>
          <w:sz w:val="24"/>
          <w:szCs w:val="24"/>
        </w:rPr>
        <w:t xml:space="preserve">It synthesised and interpreted the considerable volume of </w:t>
      </w:r>
      <w:r w:rsidR="00603EB4" w:rsidRPr="0089351A">
        <w:rPr>
          <w:rFonts w:asciiTheme="majorBidi" w:hAnsiTheme="majorBidi" w:cstheme="majorBidi"/>
          <w:sz w:val="24"/>
          <w:szCs w:val="24"/>
        </w:rPr>
        <w:t xml:space="preserve">scholarly </w:t>
      </w:r>
      <w:r w:rsidR="00016702" w:rsidRPr="0089351A">
        <w:rPr>
          <w:rFonts w:asciiTheme="majorBidi" w:hAnsiTheme="majorBidi" w:cstheme="majorBidi"/>
          <w:sz w:val="24"/>
          <w:szCs w:val="24"/>
        </w:rPr>
        <w:t xml:space="preserve">historical </w:t>
      </w:r>
      <w:r w:rsidRPr="0089351A">
        <w:rPr>
          <w:rFonts w:asciiTheme="majorBidi" w:hAnsiTheme="majorBidi" w:cstheme="majorBidi"/>
          <w:sz w:val="24"/>
          <w:szCs w:val="24"/>
        </w:rPr>
        <w:t>work published from the Nineteenth Century onwards in English and French</w:t>
      </w:r>
      <w:r w:rsidR="00142A24" w:rsidRPr="0089351A">
        <w:rPr>
          <w:rFonts w:asciiTheme="majorBidi" w:hAnsiTheme="majorBidi" w:cstheme="majorBidi"/>
          <w:sz w:val="24"/>
          <w:szCs w:val="24"/>
        </w:rPr>
        <w:t>, supplementing</w:t>
      </w:r>
      <w:r w:rsidR="003C1631" w:rsidRPr="0089351A">
        <w:rPr>
          <w:rFonts w:asciiTheme="majorBidi" w:hAnsiTheme="majorBidi" w:cstheme="majorBidi"/>
          <w:sz w:val="24"/>
          <w:szCs w:val="24"/>
        </w:rPr>
        <w:t xml:space="preserve"> it by archival research in France, Britain and Mauritius</w:t>
      </w:r>
      <w:r w:rsidRPr="0089351A">
        <w:rPr>
          <w:rFonts w:asciiTheme="majorBidi" w:hAnsiTheme="majorBidi" w:cstheme="majorBidi"/>
          <w:sz w:val="24"/>
          <w:szCs w:val="24"/>
        </w:rPr>
        <w:t xml:space="preserve">.  </w:t>
      </w:r>
    </w:p>
    <w:p w:rsidR="005077C6" w:rsidRPr="0089351A" w:rsidRDefault="003C1631"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The </w:t>
      </w:r>
      <w:r w:rsidR="00CD0DEE" w:rsidRPr="0089351A">
        <w:rPr>
          <w:rFonts w:asciiTheme="majorBidi" w:hAnsiTheme="majorBidi" w:cstheme="majorBidi"/>
          <w:sz w:val="24"/>
          <w:szCs w:val="24"/>
        </w:rPr>
        <w:t>MTJC</w:t>
      </w:r>
      <w:r w:rsidRPr="0089351A">
        <w:rPr>
          <w:rFonts w:asciiTheme="majorBidi" w:hAnsiTheme="majorBidi" w:cstheme="majorBidi"/>
          <w:sz w:val="24"/>
          <w:szCs w:val="24"/>
        </w:rPr>
        <w:t>’s public report consists of four volum</w:t>
      </w:r>
      <w:r w:rsidR="005077C6" w:rsidRPr="0089351A">
        <w:rPr>
          <w:rFonts w:asciiTheme="majorBidi" w:hAnsiTheme="majorBidi" w:cstheme="majorBidi"/>
          <w:sz w:val="24"/>
          <w:szCs w:val="24"/>
        </w:rPr>
        <w:t>es covering 2,800 pages; there is also</w:t>
      </w:r>
      <w:r w:rsidR="00142A24" w:rsidRPr="0089351A">
        <w:rPr>
          <w:rFonts w:asciiTheme="majorBidi" w:hAnsiTheme="majorBidi" w:cstheme="majorBidi"/>
          <w:sz w:val="24"/>
          <w:szCs w:val="24"/>
        </w:rPr>
        <w:t xml:space="preserve"> </w:t>
      </w:r>
      <w:r w:rsidR="00603EB4" w:rsidRPr="0089351A">
        <w:rPr>
          <w:rFonts w:asciiTheme="majorBidi" w:hAnsiTheme="majorBidi" w:cstheme="majorBidi"/>
          <w:sz w:val="24"/>
          <w:szCs w:val="24"/>
        </w:rPr>
        <w:t>a confidential report</w:t>
      </w:r>
      <w:r w:rsidRPr="0089351A">
        <w:rPr>
          <w:rFonts w:asciiTheme="majorBidi" w:hAnsiTheme="majorBidi" w:cstheme="majorBidi"/>
          <w:sz w:val="24"/>
          <w:szCs w:val="24"/>
        </w:rPr>
        <w:t xml:space="preserve"> in two CDs. The published volumes represent</w:t>
      </w:r>
      <w:r w:rsidR="00933843" w:rsidRPr="0089351A">
        <w:rPr>
          <w:rFonts w:asciiTheme="majorBidi" w:hAnsiTheme="majorBidi" w:cstheme="majorBidi"/>
          <w:sz w:val="24"/>
          <w:szCs w:val="24"/>
        </w:rPr>
        <w:t xml:space="preserve"> a synthesis not only of the history of slavery and </w:t>
      </w:r>
      <w:r w:rsidR="00991962" w:rsidRPr="0089351A">
        <w:rPr>
          <w:rFonts w:asciiTheme="majorBidi" w:hAnsiTheme="majorBidi" w:cstheme="majorBidi"/>
          <w:sz w:val="24"/>
          <w:szCs w:val="24"/>
        </w:rPr>
        <w:t>indentured</w:t>
      </w:r>
      <w:r w:rsidR="00933843" w:rsidRPr="0089351A">
        <w:rPr>
          <w:rFonts w:asciiTheme="majorBidi" w:hAnsiTheme="majorBidi" w:cstheme="majorBidi"/>
          <w:sz w:val="24"/>
          <w:szCs w:val="24"/>
        </w:rPr>
        <w:t xml:space="preserve"> labour but more widely o</w:t>
      </w:r>
      <w:r w:rsidR="00C94E10" w:rsidRPr="0089351A">
        <w:rPr>
          <w:rFonts w:asciiTheme="majorBidi" w:hAnsiTheme="majorBidi" w:cstheme="majorBidi"/>
          <w:sz w:val="24"/>
          <w:szCs w:val="24"/>
        </w:rPr>
        <w:t>f the history of land ownership and of the adjacent Western Indian Ocean</w:t>
      </w:r>
      <w:r w:rsidR="00933843" w:rsidRPr="0089351A">
        <w:rPr>
          <w:rFonts w:asciiTheme="majorBidi" w:hAnsiTheme="majorBidi" w:cstheme="majorBidi"/>
          <w:sz w:val="24"/>
          <w:szCs w:val="24"/>
        </w:rPr>
        <w:t xml:space="preserve"> islands such as the </w:t>
      </w:r>
      <w:proofErr w:type="spellStart"/>
      <w:r w:rsidR="00933843" w:rsidRPr="0089351A">
        <w:rPr>
          <w:rFonts w:asciiTheme="majorBidi" w:hAnsiTheme="majorBidi" w:cstheme="majorBidi"/>
          <w:sz w:val="24"/>
          <w:szCs w:val="24"/>
        </w:rPr>
        <w:t>Chagos</w:t>
      </w:r>
      <w:proofErr w:type="spellEnd"/>
      <w:r w:rsidR="00C82E79" w:rsidRPr="0089351A">
        <w:rPr>
          <w:rFonts w:asciiTheme="majorBidi" w:hAnsiTheme="majorBidi" w:cstheme="majorBidi"/>
          <w:sz w:val="24"/>
          <w:szCs w:val="24"/>
        </w:rPr>
        <w:t xml:space="preserve"> and</w:t>
      </w:r>
      <w:r w:rsidR="00950388" w:rsidRPr="0089351A">
        <w:rPr>
          <w:rFonts w:asciiTheme="majorBidi" w:hAnsiTheme="majorBidi" w:cstheme="majorBidi"/>
          <w:sz w:val="24"/>
          <w:szCs w:val="24"/>
        </w:rPr>
        <w:t xml:space="preserve"> </w:t>
      </w:r>
      <w:proofErr w:type="spellStart"/>
      <w:r w:rsidR="00950388" w:rsidRPr="0089351A">
        <w:rPr>
          <w:rFonts w:asciiTheme="majorBidi" w:hAnsiTheme="majorBidi" w:cstheme="majorBidi"/>
          <w:sz w:val="24"/>
          <w:szCs w:val="24"/>
        </w:rPr>
        <w:t>Réunion</w:t>
      </w:r>
      <w:proofErr w:type="spellEnd"/>
      <w:r w:rsidR="00950388" w:rsidRPr="0089351A">
        <w:rPr>
          <w:rFonts w:asciiTheme="majorBidi" w:hAnsiTheme="majorBidi" w:cstheme="majorBidi"/>
          <w:sz w:val="24"/>
          <w:szCs w:val="24"/>
        </w:rPr>
        <w:t xml:space="preserve">. </w:t>
      </w:r>
      <w:r w:rsidR="00F27987" w:rsidRPr="0089351A">
        <w:rPr>
          <w:rFonts w:asciiTheme="majorBidi" w:hAnsiTheme="majorBidi" w:cstheme="majorBidi"/>
          <w:sz w:val="24"/>
          <w:szCs w:val="24"/>
        </w:rPr>
        <w:t xml:space="preserve">Gibson argues that providing a credible account of history is essential for Truth Commissions to succeed. Whether the MTJC’s historical analysis is adequate is also important </w:t>
      </w:r>
      <w:r w:rsidR="005077C6" w:rsidRPr="0089351A">
        <w:rPr>
          <w:rFonts w:asciiTheme="majorBidi" w:hAnsiTheme="majorBidi" w:cstheme="majorBidi"/>
          <w:sz w:val="24"/>
          <w:szCs w:val="24"/>
        </w:rPr>
        <w:t xml:space="preserve">both </w:t>
      </w:r>
      <w:r w:rsidR="00F27987" w:rsidRPr="0089351A">
        <w:rPr>
          <w:rFonts w:asciiTheme="majorBidi" w:hAnsiTheme="majorBidi" w:cstheme="majorBidi"/>
          <w:sz w:val="24"/>
          <w:szCs w:val="24"/>
        </w:rPr>
        <w:t>because it constitutes the foundation of its contemporary recommendations</w:t>
      </w:r>
      <w:r w:rsidR="005077C6" w:rsidRPr="0089351A">
        <w:rPr>
          <w:rFonts w:asciiTheme="majorBidi" w:hAnsiTheme="majorBidi" w:cstheme="majorBidi"/>
          <w:sz w:val="24"/>
          <w:szCs w:val="24"/>
        </w:rPr>
        <w:t xml:space="preserve"> and because its authenticity is related to its public resonance</w:t>
      </w:r>
      <w:r w:rsidR="00F27987" w:rsidRPr="0089351A">
        <w:rPr>
          <w:rFonts w:asciiTheme="majorBidi" w:hAnsiTheme="majorBidi" w:cstheme="majorBidi"/>
          <w:sz w:val="24"/>
          <w:szCs w:val="24"/>
        </w:rPr>
        <w:t xml:space="preserve">. </w:t>
      </w:r>
      <w:r w:rsidR="00E02B6A" w:rsidRPr="0089351A">
        <w:rPr>
          <w:rFonts w:asciiTheme="majorBidi" w:hAnsiTheme="majorBidi" w:cstheme="majorBidi"/>
          <w:sz w:val="24"/>
          <w:szCs w:val="24"/>
        </w:rPr>
        <w:t xml:space="preserve">Overall, it is a valuable source on the history of Mauritius. </w:t>
      </w:r>
      <w:r w:rsidR="00CA5DC3" w:rsidRPr="0089351A">
        <w:rPr>
          <w:rFonts w:asciiTheme="majorBidi" w:hAnsiTheme="majorBidi" w:cstheme="majorBidi"/>
          <w:sz w:val="24"/>
          <w:szCs w:val="24"/>
        </w:rPr>
        <w:t xml:space="preserve">The </w:t>
      </w:r>
      <w:r w:rsidR="00E451A5" w:rsidRPr="0089351A">
        <w:rPr>
          <w:rFonts w:asciiTheme="majorBidi" w:hAnsiTheme="majorBidi" w:cstheme="majorBidi"/>
          <w:sz w:val="24"/>
          <w:szCs w:val="24"/>
        </w:rPr>
        <w:t>MTJC report</w:t>
      </w:r>
      <w:r w:rsidR="00841655" w:rsidRPr="0089351A">
        <w:rPr>
          <w:rFonts w:asciiTheme="majorBidi" w:hAnsiTheme="majorBidi" w:cstheme="majorBidi"/>
          <w:sz w:val="24"/>
          <w:szCs w:val="24"/>
        </w:rPr>
        <w:t xml:space="preserve"> constitutes a </w:t>
      </w:r>
      <w:r w:rsidR="00CA5DC3" w:rsidRPr="0089351A">
        <w:rPr>
          <w:rFonts w:asciiTheme="majorBidi" w:hAnsiTheme="majorBidi" w:cstheme="majorBidi"/>
          <w:sz w:val="24"/>
          <w:szCs w:val="24"/>
        </w:rPr>
        <w:t xml:space="preserve">detailed history of slavery and indentured labour with </w:t>
      </w:r>
      <w:r w:rsidR="00845319" w:rsidRPr="0089351A">
        <w:rPr>
          <w:rFonts w:asciiTheme="majorBidi" w:hAnsiTheme="majorBidi" w:cstheme="majorBidi"/>
          <w:sz w:val="24"/>
          <w:szCs w:val="24"/>
        </w:rPr>
        <w:t>particular strengths in</w:t>
      </w:r>
      <w:r w:rsidR="00CA5DC3" w:rsidRPr="0089351A">
        <w:rPr>
          <w:rFonts w:asciiTheme="majorBidi" w:hAnsiTheme="majorBidi" w:cstheme="majorBidi"/>
          <w:sz w:val="24"/>
          <w:szCs w:val="24"/>
        </w:rPr>
        <w:t xml:space="preserve"> the origins and position of indentur</w:t>
      </w:r>
      <w:r w:rsidR="00016702" w:rsidRPr="0089351A">
        <w:rPr>
          <w:rFonts w:asciiTheme="majorBidi" w:hAnsiTheme="majorBidi" w:cstheme="majorBidi"/>
          <w:sz w:val="24"/>
          <w:szCs w:val="24"/>
        </w:rPr>
        <w:t>ed labourers in the Nineteenth C</w:t>
      </w:r>
      <w:r w:rsidR="00CA5DC3" w:rsidRPr="0089351A">
        <w:rPr>
          <w:rFonts w:asciiTheme="majorBidi" w:hAnsiTheme="majorBidi" w:cstheme="majorBidi"/>
          <w:sz w:val="24"/>
          <w:szCs w:val="24"/>
        </w:rPr>
        <w:t xml:space="preserve">entury.  </w:t>
      </w:r>
    </w:p>
    <w:p w:rsidR="00DF1757" w:rsidRPr="0089351A" w:rsidRDefault="002E1570"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 MTJC</w:t>
      </w:r>
      <w:r w:rsidR="00C1327D" w:rsidRPr="0089351A">
        <w:rPr>
          <w:rFonts w:asciiTheme="majorBidi" w:hAnsiTheme="majorBidi" w:cstheme="majorBidi"/>
          <w:sz w:val="24"/>
          <w:szCs w:val="24"/>
        </w:rPr>
        <w:t xml:space="preserve"> launched a</w:t>
      </w:r>
      <w:r w:rsidR="00E02B6A" w:rsidRPr="0089351A">
        <w:rPr>
          <w:rFonts w:asciiTheme="majorBidi" w:hAnsiTheme="majorBidi" w:cstheme="majorBidi"/>
          <w:sz w:val="24"/>
          <w:szCs w:val="24"/>
        </w:rPr>
        <w:t>n</w:t>
      </w:r>
      <w:r w:rsidR="00CA5DC3" w:rsidRPr="0089351A">
        <w:rPr>
          <w:rFonts w:asciiTheme="majorBidi" w:hAnsiTheme="majorBidi" w:cstheme="majorBidi"/>
          <w:sz w:val="24"/>
          <w:szCs w:val="24"/>
        </w:rPr>
        <w:t xml:space="preserve"> oral history exercise to col</w:t>
      </w:r>
      <w:r w:rsidR="00C1327D" w:rsidRPr="0089351A">
        <w:rPr>
          <w:rFonts w:asciiTheme="majorBidi" w:hAnsiTheme="majorBidi" w:cstheme="majorBidi"/>
          <w:sz w:val="24"/>
          <w:szCs w:val="24"/>
        </w:rPr>
        <w:t>lect reminiscences</w:t>
      </w:r>
      <w:r w:rsidR="00C94E10" w:rsidRPr="0089351A">
        <w:rPr>
          <w:rFonts w:asciiTheme="majorBidi" w:hAnsiTheme="majorBidi" w:cstheme="majorBidi"/>
          <w:sz w:val="24"/>
          <w:szCs w:val="24"/>
        </w:rPr>
        <w:t xml:space="preserve"> and reported</w:t>
      </w:r>
      <w:r w:rsidR="00CA5DC3" w:rsidRPr="0089351A">
        <w:rPr>
          <w:rFonts w:asciiTheme="majorBidi" w:hAnsiTheme="majorBidi" w:cstheme="majorBidi"/>
          <w:sz w:val="24"/>
          <w:szCs w:val="24"/>
        </w:rPr>
        <w:t xml:space="preserve"> on these in detailed specialist studies in vol</w:t>
      </w:r>
      <w:r w:rsidR="00016702" w:rsidRPr="0089351A">
        <w:rPr>
          <w:rFonts w:asciiTheme="majorBidi" w:hAnsiTheme="majorBidi" w:cstheme="majorBidi"/>
          <w:sz w:val="24"/>
          <w:szCs w:val="24"/>
        </w:rPr>
        <w:t>umes 3 and 4 of its report.</w:t>
      </w:r>
      <w:r w:rsidR="00DF1757" w:rsidRPr="0089351A">
        <w:rPr>
          <w:rFonts w:asciiTheme="majorBidi" w:hAnsiTheme="majorBidi" w:cstheme="majorBidi"/>
          <w:sz w:val="24"/>
          <w:szCs w:val="24"/>
        </w:rPr>
        <w:t xml:space="preserve"> </w:t>
      </w:r>
      <w:r w:rsidR="00E02B6A" w:rsidRPr="0089351A">
        <w:rPr>
          <w:rFonts w:asciiTheme="majorBidi" w:hAnsiTheme="majorBidi" w:cstheme="majorBidi"/>
          <w:sz w:val="24"/>
          <w:szCs w:val="24"/>
        </w:rPr>
        <w:t xml:space="preserve">The oral history project </w:t>
      </w:r>
      <w:r w:rsidR="00C1327D" w:rsidRPr="0089351A">
        <w:rPr>
          <w:rFonts w:asciiTheme="majorBidi" w:hAnsiTheme="majorBidi" w:cstheme="majorBidi"/>
          <w:sz w:val="24"/>
          <w:szCs w:val="24"/>
        </w:rPr>
        <w:t xml:space="preserve">was the main method of </w:t>
      </w:r>
      <w:r w:rsidR="00DF1757" w:rsidRPr="0089351A">
        <w:rPr>
          <w:rFonts w:asciiTheme="majorBidi" w:hAnsiTheme="majorBidi" w:cstheme="majorBidi"/>
          <w:sz w:val="24"/>
          <w:szCs w:val="24"/>
        </w:rPr>
        <w:t>dire</w:t>
      </w:r>
      <w:r w:rsidR="00C1327D" w:rsidRPr="0089351A">
        <w:rPr>
          <w:rFonts w:asciiTheme="majorBidi" w:hAnsiTheme="majorBidi" w:cstheme="majorBidi"/>
          <w:sz w:val="24"/>
          <w:szCs w:val="24"/>
        </w:rPr>
        <w:t>ctly involving</w:t>
      </w:r>
      <w:r w:rsidR="00DA4835" w:rsidRPr="0089351A">
        <w:rPr>
          <w:rFonts w:asciiTheme="majorBidi" w:hAnsiTheme="majorBidi" w:cstheme="majorBidi"/>
          <w:sz w:val="24"/>
          <w:szCs w:val="24"/>
        </w:rPr>
        <w:t xml:space="preserve"> slaves’</w:t>
      </w:r>
      <w:r w:rsidR="00DF1757" w:rsidRPr="0089351A">
        <w:rPr>
          <w:rFonts w:asciiTheme="majorBidi" w:hAnsiTheme="majorBidi" w:cstheme="majorBidi"/>
          <w:sz w:val="24"/>
          <w:szCs w:val="24"/>
        </w:rPr>
        <w:t xml:space="preserve"> descendants</w:t>
      </w:r>
      <w:r w:rsidR="00C1327D" w:rsidRPr="0089351A">
        <w:rPr>
          <w:rFonts w:asciiTheme="majorBidi" w:hAnsiTheme="majorBidi" w:cstheme="majorBidi"/>
          <w:sz w:val="24"/>
          <w:szCs w:val="24"/>
        </w:rPr>
        <w:t xml:space="preserve">. </w:t>
      </w:r>
      <w:r w:rsidR="00E02B6A" w:rsidRPr="0089351A">
        <w:rPr>
          <w:rFonts w:asciiTheme="majorBidi" w:hAnsiTheme="majorBidi" w:cstheme="majorBidi"/>
          <w:sz w:val="24"/>
          <w:szCs w:val="24"/>
        </w:rPr>
        <w:t>It</w:t>
      </w:r>
      <w:r w:rsidR="00603EB4" w:rsidRPr="0089351A">
        <w:rPr>
          <w:rFonts w:asciiTheme="majorBidi" w:hAnsiTheme="majorBidi" w:cstheme="majorBidi"/>
          <w:sz w:val="24"/>
          <w:szCs w:val="24"/>
        </w:rPr>
        <w:t xml:space="preserve"> drew on and echoes many of the experiences of the projects organised by the Works Progress Administration within the </w:t>
      </w:r>
      <w:r w:rsidR="00D83278" w:rsidRPr="0089351A">
        <w:rPr>
          <w:rFonts w:asciiTheme="majorBidi" w:hAnsiTheme="majorBidi" w:cstheme="majorBidi"/>
          <w:sz w:val="24"/>
          <w:szCs w:val="24"/>
        </w:rPr>
        <w:t>USA’s Federal Government</w:t>
      </w:r>
      <w:r w:rsidR="00603EB4" w:rsidRPr="0089351A">
        <w:rPr>
          <w:rFonts w:asciiTheme="majorBidi" w:hAnsiTheme="majorBidi" w:cstheme="majorBidi"/>
          <w:sz w:val="24"/>
          <w:szCs w:val="24"/>
        </w:rPr>
        <w:t xml:space="preserve"> in the </w:t>
      </w:r>
      <w:r w:rsidR="001246A2" w:rsidRPr="0089351A">
        <w:rPr>
          <w:rFonts w:asciiTheme="majorBidi" w:hAnsiTheme="majorBidi" w:cstheme="majorBidi"/>
          <w:sz w:val="24"/>
          <w:szCs w:val="24"/>
        </w:rPr>
        <w:t>1930s.</w:t>
      </w:r>
      <w:r w:rsidR="00261F97" w:rsidRPr="0089351A">
        <w:rPr>
          <w:rStyle w:val="FootnoteReference"/>
          <w:rFonts w:asciiTheme="majorBidi" w:hAnsiTheme="majorBidi" w:cstheme="majorBidi"/>
          <w:sz w:val="24"/>
          <w:szCs w:val="24"/>
        </w:rPr>
        <w:footnoteReference w:id="55"/>
      </w:r>
      <w:r w:rsidR="00603EB4" w:rsidRPr="0089351A">
        <w:rPr>
          <w:rFonts w:asciiTheme="majorBidi" w:hAnsiTheme="majorBidi" w:cstheme="majorBidi"/>
          <w:sz w:val="24"/>
          <w:szCs w:val="24"/>
        </w:rPr>
        <w:t xml:space="preserve"> The work was led by a team of historians and anthropologists from the University of Mauritius, who conducted a set of around two hundred </w:t>
      </w:r>
      <w:r w:rsidR="00603EB4" w:rsidRPr="0089351A">
        <w:rPr>
          <w:rFonts w:asciiTheme="majorBidi" w:hAnsiTheme="majorBidi" w:cstheme="majorBidi"/>
          <w:sz w:val="24"/>
          <w:szCs w:val="24"/>
        </w:rPr>
        <w:lastRenderedPageBreak/>
        <w:t xml:space="preserve">interviews in </w:t>
      </w:r>
      <w:proofErr w:type="spellStart"/>
      <w:r w:rsidR="00603EB4" w:rsidRPr="0089351A">
        <w:rPr>
          <w:rFonts w:asciiTheme="majorBidi" w:hAnsiTheme="majorBidi" w:cstheme="majorBidi"/>
          <w:sz w:val="24"/>
          <w:szCs w:val="24"/>
        </w:rPr>
        <w:t>Kreol</w:t>
      </w:r>
      <w:proofErr w:type="spellEnd"/>
      <w:r w:rsidR="00603EB4" w:rsidRPr="0089351A">
        <w:rPr>
          <w:rFonts w:asciiTheme="majorBidi" w:hAnsiTheme="majorBidi" w:cstheme="majorBidi"/>
          <w:sz w:val="24"/>
          <w:szCs w:val="24"/>
        </w:rPr>
        <w:t xml:space="preserve"> and French (the second language of many </w:t>
      </w:r>
      <w:proofErr w:type="spellStart"/>
      <w:r w:rsidR="00603EB4" w:rsidRPr="0089351A">
        <w:rPr>
          <w:rFonts w:asciiTheme="majorBidi" w:hAnsiTheme="majorBidi" w:cstheme="majorBidi"/>
          <w:sz w:val="24"/>
          <w:szCs w:val="24"/>
        </w:rPr>
        <w:t>Kreol</w:t>
      </w:r>
      <w:proofErr w:type="spellEnd"/>
      <w:r w:rsidR="00603EB4" w:rsidRPr="0089351A">
        <w:rPr>
          <w:rFonts w:asciiTheme="majorBidi" w:hAnsiTheme="majorBidi" w:cstheme="majorBidi"/>
          <w:sz w:val="24"/>
          <w:szCs w:val="24"/>
        </w:rPr>
        <w:t xml:space="preserve"> speakers</w:t>
      </w:r>
      <w:r w:rsidR="00F550CA" w:rsidRPr="0089351A">
        <w:rPr>
          <w:rFonts w:asciiTheme="majorBidi" w:hAnsiTheme="majorBidi" w:cstheme="majorBidi"/>
          <w:sz w:val="24"/>
          <w:szCs w:val="24"/>
        </w:rPr>
        <w:t xml:space="preserve">, one </w:t>
      </w:r>
      <w:r w:rsidRPr="0089351A">
        <w:rPr>
          <w:rFonts w:asciiTheme="majorBidi" w:hAnsiTheme="majorBidi" w:cstheme="majorBidi"/>
          <w:sz w:val="24"/>
          <w:szCs w:val="24"/>
        </w:rPr>
        <w:t xml:space="preserve">with </w:t>
      </w:r>
      <w:r w:rsidR="00F550CA" w:rsidRPr="0089351A">
        <w:rPr>
          <w:rFonts w:asciiTheme="majorBidi" w:hAnsiTheme="majorBidi" w:cstheme="majorBidi"/>
          <w:sz w:val="24"/>
          <w:szCs w:val="24"/>
        </w:rPr>
        <w:t>which the interviewers were probably more familiar</w:t>
      </w:r>
      <w:r w:rsidR="00603EB4" w:rsidRPr="0089351A">
        <w:rPr>
          <w:rFonts w:asciiTheme="majorBidi" w:hAnsiTheme="majorBidi" w:cstheme="majorBidi"/>
          <w:sz w:val="24"/>
          <w:szCs w:val="24"/>
        </w:rPr>
        <w:t xml:space="preserve">) with people from Mauritius, Rodrigues, the </w:t>
      </w:r>
      <w:proofErr w:type="spellStart"/>
      <w:r w:rsidR="00603EB4" w:rsidRPr="0089351A">
        <w:rPr>
          <w:rFonts w:asciiTheme="majorBidi" w:hAnsiTheme="majorBidi" w:cstheme="majorBidi"/>
          <w:sz w:val="24"/>
          <w:szCs w:val="24"/>
        </w:rPr>
        <w:t>Chagos</w:t>
      </w:r>
      <w:proofErr w:type="spellEnd"/>
      <w:r w:rsidR="00603EB4" w:rsidRPr="0089351A">
        <w:rPr>
          <w:rFonts w:asciiTheme="majorBidi" w:hAnsiTheme="majorBidi" w:cstheme="majorBidi"/>
          <w:sz w:val="24"/>
          <w:szCs w:val="24"/>
        </w:rPr>
        <w:t xml:space="preserve"> and other islands.</w:t>
      </w:r>
      <w:r w:rsidR="00C1327D" w:rsidRPr="0089351A">
        <w:rPr>
          <w:rFonts w:asciiTheme="majorBidi" w:hAnsiTheme="majorBidi" w:cstheme="majorBidi"/>
          <w:sz w:val="24"/>
          <w:szCs w:val="24"/>
        </w:rPr>
        <w:t xml:space="preserve"> It provided a way of their</w:t>
      </w:r>
      <w:r w:rsidR="00DF1757" w:rsidRPr="0089351A">
        <w:rPr>
          <w:rFonts w:asciiTheme="majorBidi" w:hAnsiTheme="majorBidi" w:cstheme="majorBidi"/>
          <w:sz w:val="24"/>
          <w:szCs w:val="24"/>
        </w:rPr>
        <w:t xml:space="preserve"> transmitting the experiences handed down to them across the generations and </w:t>
      </w:r>
      <w:r w:rsidR="00603EB4" w:rsidRPr="0089351A">
        <w:rPr>
          <w:rFonts w:asciiTheme="majorBidi" w:hAnsiTheme="majorBidi" w:cstheme="majorBidi"/>
          <w:sz w:val="24"/>
          <w:szCs w:val="24"/>
        </w:rPr>
        <w:t>the experience is significant for what it</w:t>
      </w:r>
      <w:r w:rsidR="00DF1757" w:rsidRPr="0089351A">
        <w:rPr>
          <w:rFonts w:asciiTheme="majorBidi" w:hAnsiTheme="majorBidi" w:cstheme="majorBidi"/>
          <w:sz w:val="24"/>
          <w:szCs w:val="24"/>
        </w:rPr>
        <w:t xml:space="preserve"> reveal</w:t>
      </w:r>
      <w:r w:rsidR="00603EB4" w:rsidRPr="0089351A">
        <w:rPr>
          <w:rFonts w:asciiTheme="majorBidi" w:hAnsiTheme="majorBidi" w:cstheme="majorBidi"/>
          <w:sz w:val="24"/>
          <w:szCs w:val="24"/>
        </w:rPr>
        <w:t>s</w:t>
      </w:r>
      <w:r w:rsidR="00DF1757" w:rsidRPr="0089351A">
        <w:rPr>
          <w:rFonts w:asciiTheme="majorBidi" w:hAnsiTheme="majorBidi" w:cstheme="majorBidi"/>
          <w:sz w:val="24"/>
          <w:szCs w:val="24"/>
        </w:rPr>
        <w:t xml:space="preserve"> of this constituency and its attitude to the MTJC. </w:t>
      </w:r>
      <w:r w:rsidR="00B7623A" w:rsidRPr="0089351A">
        <w:rPr>
          <w:rFonts w:asciiTheme="majorBidi" w:hAnsiTheme="majorBidi" w:cstheme="majorBidi"/>
          <w:sz w:val="24"/>
          <w:szCs w:val="24"/>
        </w:rPr>
        <w:t xml:space="preserve">The </w:t>
      </w:r>
      <w:r w:rsidR="00D83278" w:rsidRPr="0089351A">
        <w:rPr>
          <w:rFonts w:asciiTheme="majorBidi" w:hAnsiTheme="majorBidi" w:cstheme="majorBidi"/>
          <w:sz w:val="24"/>
          <w:szCs w:val="24"/>
        </w:rPr>
        <w:t xml:space="preserve">project’s </w:t>
      </w:r>
      <w:r w:rsidR="00B7623A" w:rsidRPr="0089351A">
        <w:rPr>
          <w:rFonts w:asciiTheme="majorBidi" w:hAnsiTheme="majorBidi" w:cstheme="majorBidi"/>
          <w:sz w:val="24"/>
          <w:szCs w:val="24"/>
        </w:rPr>
        <w:t xml:space="preserve">interviews show </w:t>
      </w:r>
      <w:r w:rsidR="0074777B" w:rsidRPr="0089351A">
        <w:rPr>
          <w:rFonts w:asciiTheme="majorBidi" w:hAnsiTheme="majorBidi" w:cstheme="majorBidi"/>
          <w:sz w:val="24"/>
          <w:szCs w:val="24"/>
        </w:rPr>
        <w:t>that most</w:t>
      </w:r>
      <w:r w:rsidR="00603EB4" w:rsidRPr="0089351A">
        <w:rPr>
          <w:rFonts w:asciiTheme="majorBidi" w:hAnsiTheme="majorBidi" w:cstheme="majorBidi"/>
          <w:sz w:val="24"/>
          <w:szCs w:val="24"/>
        </w:rPr>
        <w:t xml:space="preserve"> informants had</w:t>
      </w:r>
      <w:r w:rsidR="00B7623A" w:rsidRPr="0089351A">
        <w:rPr>
          <w:rFonts w:asciiTheme="majorBidi" w:hAnsiTheme="majorBidi" w:cstheme="majorBidi"/>
          <w:sz w:val="24"/>
          <w:szCs w:val="24"/>
        </w:rPr>
        <w:t xml:space="preserve"> not </w:t>
      </w:r>
      <w:r w:rsidR="00603EB4" w:rsidRPr="0089351A">
        <w:rPr>
          <w:rFonts w:asciiTheme="majorBidi" w:hAnsiTheme="majorBidi" w:cstheme="majorBidi"/>
          <w:sz w:val="24"/>
          <w:szCs w:val="24"/>
        </w:rPr>
        <w:t xml:space="preserve">previously been </w:t>
      </w:r>
      <w:r w:rsidR="00B7623A" w:rsidRPr="0089351A">
        <w:rPr>
          <w:rFonts w:asciiTheme="majorBidi" w:hAnsiTheme="majorBidi" w:cstheme="majorBidi"/>
          <w:sz w:val="24"/>
          <w:szCs w:val="24"/>
        </w:rPr>
        <w:t>aware of the MTJC. The researchers also record that some slave des</w:t>
      </w:r>
      <w:r w:rsidR="00D83278" w:rsidRPr="0089351A">
        <w:rPr>
          <w:rFonts w:asciiTheme="majorBidi" w:hAnsiTheme="majorBidi" w:cstheme="majorBidi"/>
          <w:sz w:val="24"/>
          <w:szCs w:val="24"/>
        </w:rPr>
        <w:t>cendants who others reported were well known in the community for their good</w:t>
      </w:r>
      <w:r w:rsidR="00B7623A" w:rsidRPr="0089351A">
        <w:rPr>
          <w:rFonts w:asciiTheme="majorBidi" w:hAnsiTheme="majorBidi" w:cstheme="majorBidi"/>
          <w:sz w:val="24"/>
          <w:szCs w:val="24"/>
        </w:rPr>
        <w:t xml:space="preserve"> access to oral traditions refused to participate</w:t>
      </w:r>
      <w:r w:rsidR="00DA4835" w:rsidRPr="0089351A">
        <w:rPr>
          <w:rFonts w:asciiTheme="majorBidi" w:hAnsiTheme="majorBidi" w:cstheme="majorBidi"/>
          <w:sz w:val="24"/>
          <w:szCs w:val="24"/>
        </w:rPr>
        <w:t>, feeling</w:t>
      </w:r>
      <w:r w:rsidR="00B7623A" w:rsidRPr="0089351A">
        <w:rPr>
          <w:rFonts w:asciiTheme="majorBidi" w:hAnsiTheme="majorBidi" w:cstheme="majorBidi"/>
          <w:sz w:val="24"/>
          <w:szCs w:val="24"/>
        </w:rPr>
        <w:t xml:space="preserve"> ‘it was useless and was not going to be of any benefit to them.’</w:t>
      </w:r>
      <w:r w:rsidR="00230BA9" w:rsidRPr="0089351A">
        <w:rPr>
          <w:rFonts w:asciiTheme="majorBidi" w:hAnsiTheme="majorBidi" w:cstheme="majorBidi"/>
          <w:sz w:val="24"/>
          <w:szCs w:val="24"/>
        </w:rPr>
        <w:t xml:space="preserve"> </w:t>
      </w:r>
      <w:r w:rsidR="00230BA9" w:rsidRPr="0089351A">
        <w:rPr>
          <w:rStyle w:val="FootnoteReference"/>
          <w:rFonts w:asciiTheme="majorBidi" w:hAnsiTheme="majorBidi" w:cstheme="majorBidi"/>
          <w:sz w:val="24"/>
          <w:szCs w:val="24"/>
        </w:rPr>
        <w:footnoteReference w:id="56"/>
      </w:r>
      <w:r w:rsidR="00B7623A" w:rsidRPr="0089351A">
        <w:rPr>
          <w:rFonts w:asciiTheme="majorBidi" w:hAnsiTheme="majorBidi" w:cstheme="majorBidi"/>
          <w:sz w:val="24"/>
          <w:szCs w:val="24"/>
        </w:rPr>
        <w:t xml:space="preserve">  Here was a clear manifestation of the gulf between public and academic inquiry on the one hand and the strong </w:t>
      </w:r>
      <w:r w:rsidR="0074777B" w:rsidRPr="0089351A">
        <w:rPr>
          <w:rFonts w:asciiTheme="majorBidi" w:hAnsiTheme="majorBidi" w:cstheme="majorBidi"/>
          <w:sz w:val="24"/>
          <w:szCs w:val="24"/>
        </w:rPr>
        <w:t xml:space="preserve">Creole </w:t>
      </w:r>
      <w:r w:rsidR="00B7623A" w:rsidRPr="0089351A">
        <w:rPr>
          <w:rFonts w:asciiTheme="majorBidi" w:hAnsiTheme="majorBidi" w:cstheme="majorBidi"/>
          <w:sz w:val="24"/>
          <w:szCs w:val="24"/>
        </w:rPr>
        <w:t>oral tradition on the other. Also in evidence was a clash between narrative and analytic traditions:  many</w:t>
      </w:r>
      <w:r w:rsidR="00D83278" w:rsidRPr="0089351A">
        <w:rPr>
          <w:rFonts w:asciiTheme="majorBidi" w:hAnsiTheme="majorBidi" w:cstheme="majorBidi"/>
          <w:sz w:val="24"/>
          <w:szCs w:val="24"/>
        </w:rPr>
        <w:t xml:space="preserve"> participants had difficulty</w:t>
      </w:r>
      <w:r w:rsidR="00B7623A" w:rsidRPr="0089351A">
        <w:rPr>
          <w:rFonts w:asciiTheme="majorBidi" w:hAnsiTheme="majorBidi" w:cstheme="majorBidi"/>
          <w:sz w:val="24"/>
          <w:szCs w:val="24"/>
        </w:rPr>
        <w:t xml:space="preserve"> in answering questions. Many participants clearly had to be cajoled into participation. The resultant transcripts show the widespread sense of shame many respondents felt and reported on the part of others, a pervasive sense of the link between their ancestors’ experiences and their own and a wish for restitution</w:t>
      </w:r>
      <w:r w:rsidR="00371EC8" w:rsidRPr="0089351A">
        <w:rPr>
          <w:rFonts w:asciiTheme="majorBidi" w:hAnsiTheme="majorBidi" w:cstheme="majorBidi"/>
          <w:sz w:val="24"/>
          <w:szCs w:val="24"/>
        </w:rPr>
        <w:t>,</w:t>
      </w:r>
      <w:r w:rsidR="00B7623A" w:rsidRPr="0089351A">
        <w:rPr>
          <w:rFonts w:asciiTheme="majorBidi" w:hAnsiTheme="majorBidi" w:cstheme="majorBidi"/>
          <w:sz w:val="24"/>
          <w:szCs w:val="24"/>
        </w:rPr>
        <w:t xml:space="preserve"> </w:t>
      </w:r>
      <w:r w:rsidR="00230BA9" w:rsidRPr="0089351A">
        <w:rPr>
          <w:rStyle w:val="FootnoteReference"/>
          <w:rFonts w:asciiTheme="majorBidi" w:hAnsiTheme="majorBidi" w:cstheme="majorBidi"/>
          <w:sz w:val="24"/>
          <w:szCs w:val="24"/>
        </w:rPr>
        <w:footnoteReference w:id="57"/>
      </w:r>
      <w:r w:rsidR="00D83278" w:rsidRPr="0089351A">
        <w:rPr>
          <w:rFonts w:asciiTheme="majorBidi" w:hAnsiTheme="majorBidi" w:cstheme="majorBidi"/>
          <w:sz w:val="24"/>
          <w:szCs w:val="24"/>
        </w:rPr>
        <w:t xml:space="preserve"> direct</w:t>
      </w:r>
      <w:r w:rsidR="00B7623A" w:rsidRPr="0089351A">
        <w:rPr>
          <w:rFonts w:asciiTheme="majorBidi" w:hAnsiTheme="majorBidi" w:cstheme="majorBidi"/>
          <w:sz w:val="24"/>
          <w:szCs w:val="24"/>
        </w:rPr>
        <w:t>ly contradicting the assertion in the MTJC Report that people lived ‘in total ignorance’ of their ancestors’ experiences</w:t>
      </w:r>
      <w:r w:rsidR="0074777B" w:rsidRPr="0089351A">
        <w:rPr>
          <w:rFonts w:asciiTheme="majorBidi" w:hAnsiTheme="majorBidi" w:cstheme="majorBidi"/>
          <w:sz w:val="24"/>
          <w:szCs w:val="24"/>
        </w:rPr>
        <w:t>’</w:t>
      </w:r>
      <w:r w:rsidR="00371EC8" w:rsidRPr="0089351A">
        <w:rPr>
          <w:rFonts w:asciiTheme="majorBidi" w:hAnsiTheme="majorBidi" w:cstheme="majorBidi"/>
          <w:sz w:val="24"/>
          <w:szCs w:val="24"/>
        </w:rPr>
        <w:t>,</w:t>
      </w:r>
      <w:r w:rsidR="00230BA9" w:rsidRPr="0089351A">
        <w:rPr>
          <w:rStyle w:val="FootnoteReference"/>
          <w:rFonts w:asciiTheme="majorBidi" w:hAnsiTheme="majorBidi" w:cstheme="majorBidi"/>
          <w:sz w:val="24"/>
          <w:szCs w:val="24"/>
        </w:rPr>
        <w:footnoteReference w:id="58"/>
      </w:r>
      <w:r w:rsidR="00603EB4" w:rsidRPr="0089351A">
        <w:rPr>
          <w:rFonts w:asciiTheme="majorBidi" w:hAnsiTheme="majorBidi" w:cstheme="majorBidi"/>
          <w:sz w:val="24"/>
          <w:szCs w:val="24"/>
        </w:rPr>
        <w:t xml:space="preserve"> The non-participation of</w:t>
      </w:r>
      <w:r w:rsidR="0074777B" w:rsidRPr="0089351A">
        <w:rPr>
          <w:rFonts w:asciiTheme="majorBidi" w:hAnsiTheme="majorBidi" w:cstheme="majorBidi"/>
          <w:sz w:val="24"/>
          <w:szCs w:val="24"/>
        </w:rPr>
        <w:t xml:space="preserve"> key individuals </w:t>
      </w:r>
      <w:r w:rsidR="00D83278" w:rsidRPr="0089351A">
        <w:rPr>
          <w:rFonts w:asciiTheme="majorBidi" w:hAnsiTheme="majorBidi" w:cstheme="majorBidi"/>
          <w:sz w:val="24"/>
          <w:szCs w:val="24"/>
        </w:rPr>
        <w:t xml:space="preserve">within the Creole community </w:t>
      </w:r>
      <w:r w:rsidR="00B7623A" w:rsidRPr="0089351A">
        <w:rPr>
          <w:rFonts w:asciiTheme="majorBidi" w:hAnsiTheme="majorBidi" w:cstheme="majorBidi"/>
          <w:sz w:val="24"/>
          <w:szCs w:val="24"/>
        </w:rPr>
        <w:t>gives cause for concern. So, too, do the reports of our respondents who attempted to discover their own genealogy in an effort, as they explained to us, to establish that their ancestors were not ‘lazy’, why it was that they were not sent to school or why their anc</w:t>
      </w:r>
      <w:r w:rsidR="00D83278" w:rsidRPr="0089351A">
        <w:rPr>
          <w:rFonts w:asciiTheme="majorBidi" w:hAnsiTheme="majorBidi" w:cstheme="majorBidi"/>
          <w:sz w:val="24"/>
          <w:szCs w:val="24"/>
        </w:rPr>
        <w:t xml:space="preserve">estors owned little </w:t>
      </w:r>
      <w:proofErr w:type="gramStart"/>
      <w:r w:rsidR="003D7291" w:rsidRPr="0089351A">
        <w:rPr>
          <w:rFonts w:asciiTheme="majorBidi" w:hAnsiTheme="majorBidi" w:cstheme="majorBidi"/>
          <w:sz w:val="24"/>
          <w:szCs w:val="24"/>
        </w:rPr>
        <w:t>property</w:t>
      </w:r>
      <w:r w:rsidR="00B7623A" w:rsidRPr="0089351A">
        <w:rPr>
          <w:rFonts w:asciiTheme="majorBidi" w:hAnsiTheme="majorBidi" w:cstheme="majorBidi"/>
          <w:sz w:val="24"/>
          <w:szCs w:val="24"/>
        </w:rPr>
        <w:t>.</w:t>
      </w:r>
      <w:proofErr w:type="gramEnd"/>
      <w:r w:rsidR="00B7623A" w:rsidRPr="0089351A">
        <w:rPr>
          <w:rFonts w:asciiTheme="majorBidi" w:hAnsiTheme="majorBidi" w:cstheme="majorBidi"/>
          <w:sz w:val="24"/>
          <w:szCs w:val="24"/>
        </w:rPr>
        <w:t xml:space="preserve"> </w:t>
      </w:r>
      <w:r w:rsidR="0074777B" w:rsidRPr="0089351A">
        <w:rPr>
          <w:rFonts w:asciiTheme="majorBidi" w:hAnsiTheme="majorBidi" w:cstheme="majorBidi"/>
          <w:sz w:val="24"/>
          <w:szCs w:val="24"/>
        </w:rPr>
        <w:t xml:space="preserve">Aware of the potential argument eventually employed by the </w:t>
      </w:r>
      <w:r w:rsidR="00CD0DEE" w:rsidRPr="0089351A">
        <w:rPr>
          <w:rFonts w:asciiTheme="majorBidi" w:hAnsiTheme="majorBidi" w:cstheme="majorBidi"/>
          <w:sz w:val="24"/>
          <w:szCs w:val="24"/>
        </w:rPr>
        <w:t>MTJC</w:t>
      </w:r>
      <w:r w:rsidR="0074777B" w:rsidRPr="0089351A">
        <w:rPr>
          <w:rFonts w:asciiTheme="majorBidi" w:hAnsiTheme="majorBidi" w:cstheme="majorBidi"/>
          <w:sz w:val="24"/>
          <w:szCs w:val="24"/>
        </w:rPr>
        <w:t xml:space="preserve"> that </w:t>
      </w:r>
      <w:r w:rsidR="0074777B" w:rsidRPr="0089351A">
        <w:rPr>
          <w:rFonts w:asciiTheme="majorBidi" w:hAnsiTheme="majorBidi" w:cstheme="majorBidi"/>
          <w:sz w:val="24"/>
          <w:szCs w:val="24"/>
        </w:rPr>
        <w:lastRenderedPageBreak/>
        <w:t>compensation was impossible because of insufficient inf</w:t>
      </w:r>
      <w:r w:rsidR="0031454E" w:rsidRPr="0089351A">
        <w:rPr>
          <w:rFonts w:asciiTheme="majorBidi" w:hAnsiTheme="majorBidi" w:cstheme="majorBidi"/>
          <w:sz w:val="24"/>
          <w:szCs w:val="24"/>
        </w:rPr>
        <w:t>ormation about family histories</w:t>
      </w:r>
      <w:r w:rsidR="0074777B" w:rsidRPr="0089351A">
        <w:rPr>
          <w:rFonts w:asciiTheme="majorBidi" w:hAnsiTheme="majorBidi" w:cstheme="majorBidi"/>
          <w:sz w:val="24"/>
          <w:szCs w:val="24"/>
        </w:rPr>
        <w:t>, they sought to disprove it</w:t>
      </w:r>
      <w:r w:rsidR="003D7291" w:rsidRPr="0089351A">
        <w:rPr>
          <w:rFonts w:asciiTheme="majorBidi" w:hAnsiTheme="majorBidi" w:cstheme="majorBidi"/>
          <w:sz w:val="24"/>
          <w:szCs w:val="24"/>
        </w:rPr>
        <w:t xml:space="preserve"> at least in their own cases</w:t>
      </w:r>
      <w:r w:rsidR="0074777B" w:rsidRPr="0089351A">
        <w:rPr>
          <w:rFonts w:asciiTheme="majorBidi" w:hAnsiTheme="majorBidi" w:cstheme="majorBidi"/>
          <w:sz w:val="24"/>
          <w:szCs w:val="24"/>
        </w:rPr>
        <w:t xml:space="preserve">. </w:t>
      </w:r>
      <w:r w:rsidR="00D83278" w:rsidRPr="0089351A">
        <w:rPr>
          <w:rFonts w:asciiTheme="majorBidi" w:hAnsiTheme="majorBidi" w:cstheme="majorBidi"/>
          <w:sz w:val="24"/>
          <w:szCs w:val="24"/>
        </w:rPr>
        <w:t>All six repor</w:t>
      </w:r>
      <w:r w:rsidR="00B7623A" w:rsidRPr="0089351A">
        <w:rPr>
          <w:rFonts w:asciiTheme="majorBidi" w:hAnsiTheme="majorBidi" w:cstheme="majorBidi"/>
          <w:sz w:val="24"/>
          <w:szCs w:val="24"/>
        </w:rPr>
        <w:t>ted that they</w:t>
      </w:r>
      <w:r w:rsidR="0031454E" w:rsidRPr="0089351A">
        <w:rPr>
          <w:rFonts w:asciiTheme="majorBidi" w:hAnsiTheme="majorBidi" w:cstheme="majorBidi"/>
          <w:sz w:val="24"/>
          <w:szCs w:val="24"/>
        </w:rPr>
        <w:t xml:space="preserve"> had reconstructed their lineages</w:t>
      </w:r>
      <w:r w:rsidR="00B7623A" w:rsidRPr="0089351A">
        <w:rPr>
          <w:rFonts w:asciiTheme="majorBidi" w:hAnsiTheme="majorBidi" w:cstheme="majorBidi"/>
          <w:sz w:val="24"/>
          <w:szCs w:val="24"/>
        </w:rPr>
        <w:t xml:space="preserve"> in the face of clear official obstruction</w:t>
      </w:r>
      <w:r w:rsidR="0074777B" w:rsidRPr="0089351A">
        <w:rPr>
          <w:rFonts w:asciiTheme="majorBidi" w:hAnsiTheme="majorBidi" w:cstheme="majorBidi"/>
          <w:sz w:val="24"/>
          <w:szCs w:val="24"/>
        </w:rPr>
        <w:t xml:space="preserve"> by government officials</w:t>
      </w:r>
      <w:r w:rsidR="00B7623A" w:rsidRPr="0089351A">
        <w:rPr>
          <w:rFonts w:asciiTheme="majorBidi" w:hAnsiTheme="majorBidi" w:cstheme="majorBidi"/>
          <w:sz w:val="24"/>
          <w:szCs w:val="24"/>
        </w:rPr>
        <w:t xml:space="preserve">, or, as one of them, Mrs </w:t>
      </w:r>
      <w:proofErr w:type="spellStart"/>
      <w:r w:rsidR="00B7623A" w:rsidRPr="0089351A">
        <w:rPr>
          <w:rFonts w:asciiTheme="majorBidi" w:hAnsiTheme="majorBidi" w:cstheme="majorBidi"/>
          <w:sz w:val="24"/>
          <w:szCs w:val="24"/>
        </w:rPr>
        <w:t>Agathe</w:t>
      </w:r>
      <w:proofErr w:type="spellEnd"/>
      <w:r w:rsidR="00B7623A" w:rsidRPr="0089351A">
        <w:rPr>
          <w:rFonts w:asciiTheme="majorBidi" w:hAnsiTheme="majorBidi" w:cstheme="majorBidi"/>
          <w:sz w:val="24"/>
          <w:szCs w:val="24"/>
        </w:rPr>
        <w:t>, recounted</w:t>
      </w:r>
      <w:r w:rsidR="003D7291" w:rsidRPr="0089351A">
        <w:rPr>
          <w:rFonts w:asciiTheme="majorBidi" w:hAnsiTheme="majorBidi" w:cstheme="majorBidi"/>
          <w:sz w:val="24"/>
          <w:szCs w:val="24"/>
        </w:rPr>
        <w:t>,</w:t>
      </w:r>
      <w:r w:rsidR="00B7623A" w:rsidRPr="0089351A">
        <w:rPr>
          <w:rFonts w:asciiTheme="majorBidi" w:hAnsiTheme="majorBidi" w:cstheme="majorBidi"/>
          <w:sz w:val="24"/>
          <w:szCs w:val="24"/>
        </w:rPr>
        <w:t xml:space="preserve"> the creation of ‘administrative hurdles.’ Their considerable efforts hardly speak of ‘total ignorance’ nor of a lack of interest</w:t>
      </w:r>
      <w:r w:rsidR="003D7291" w:rsidRPr="0089351A">
        <w:rPr>
          <w:rFonts w:asciiTheme="majorBidi" w:hAnsiTheme="majorBidi" w:cstheme="majorBidi"/>
          <w:sz w:val="24"/>
          <w:szCs w:val="24"/>
        </w:rPr>
        <w:t>; rather</w:t>
      </w:r>
      <w:r w:rsidR="00371EC8" w:rsidRPr="0089351A">
        <w:rPr>
          <w:rFonts w:asciiTheme="majorBidi" w:hAnsiTheme="majorBidi" w:cstheme="majorBidi"/>
          <w:sz w:val="24"/>
          <w:szCs w:val="24"/>
        </w:rPr>
        <w:t>,</w:t>
      </w:r>
      <w:r w:rsidR="003D7291" w:rsidRPr="0089351A">
        <w:rPr>
          <w:rFonts w:asciiTheme="majorBidi" w:hAnsiTheme="majorBidi" w:cstheme="majorBidi"/>
          <w:sz w:val="24"/>
          <w:szCs w:val="24"/>
        </w:rPr>
        <w:t xml:space="preserve"> </w:t>
      </w:r>
      <w:proofErr w:type="gramStart"/>
      <w:r w:rsidR="0031454E" w:rsidRPr="0089351A">
        <w:rPr>
          <w:rFonts w:asciiTheme="majorBidi" w:hAnsiTheme="majorBidi" w:cstheme="majorBidi"/>
          <w:sz w:val="24"/>
          <w:szCs w:val="24"/>
        </w:rPr>
        <w:t>they</w:t>
      </w:r>
      <w:proofErr w:type="gramEnd"/>
      <w:r w:rsidR="0031454E" w:rsidRPr="0089351A">
        <w:rPr>
          <w:rFonts w:asciiTheme="majorBidi" w:hAnsiTheme="majorBidi" w:cstheme="majorBidi"/>
          <w:sz w:val="24"/>
          <w:szCs w:val="24"/>
        </w:rPr>
        <w:t xml:space="preserve"> reflect a concern to contribute to ‘subaltern</w:t>
      </w:r>
      <w:r w:rsidR="00131420" w:rsidRPr="0089351A">
        <w:rPr>
          <w:rFonts w:asciiTheme="majorBidi" w:hAnsiTheme="majorBidi" w:cstheme="majorBidi"/>
          <w:sz w:val="24"/>
          <w:szCs w:val="24"/>
        </w:rPr>
        <w:t xml:space="preserve"> prosopography’ as practised and advocated</w:t>
      </w:r>
      <w:r w:rsidR="00010A2C" w:rsidRPr="0089351A">
        <w:rPr>
          <w:rFonts w:asciiTheme="majorBidi" w:hAnsiTheme="majorBidi" w:cstheme="majorBidi"/>
          <w:sz w:val="24"/>
          <w:szCs w:val="24"/>
        </w:rPr>
        <w:t xml:space="preserve"> by</w:t>
      </w:r>
      <w:r w:rsidR="002A383E" w:rsidRPr="0089351A">
        <w:rPr>
          <w:rFonts w:asciiTheme="majorBidi" w:hAnsiTheme="majorBidi" w:cstheme="majorBidi"/>
          <w:sz w:val="24"/>
          <w:szCs w:val="24"/>
        </w:rPr>
        <w:t xml:space="preserve"> Clare Anderson</w:t>
      </w:r>
      <w:r w:rsidR="00371EC8" w:rsidRPr="0089351A">
        <w:rPr>
          <w:rFonts w:asciiTheme="majorBidi" w:hAnsiTheme="majorBidi" w:cstheme="majorBidi"/>
          <w:sz w:val="24"/>
          <w:szCs w:val="24"/>
        </w:rPr>
        <w:t>.</w:t>
      </w:r>
      <w:r w:rsidR="002A383E" w:rsidRPr="0089351A">
        <w:rPr>
          <w:rFonts w:asciiTheme="majorBidi" w:hAnsiTheme="majorBidi" w:cstheme="majorBidi"/>
          <w:sz w:val="24"/>
          <w:szCs w:val="24"/>
        </w:rPr>
        <w:t xml:space="preserve"> </w:t>
      </w:r>
      <w:r w:rsidR="002A383E" w:rsidRPr="0089351A">
        <w:rPr>
          <w:rStyle w:val="FootnoteReference"/>
          <w:rFonts w:asciiTheme="majorBidi" w:hAnsiTheme="majorBidi" w:cstheme="majorBidi"/>
          <w:sz w:val="24"/>
          <w:szCs w:val="24"/>
        </w:rPr>
        <w:footnoteReference w:id="59"/>
      </w:r>
      <w:r w:rsidR="00B7623A" w:rsidRPr="0089351A">
        <w:rPr>
          <w:rFonts w:asciiTheme="majorBidi" w:hAnsiTheme="majorBidi" w:cstheme="majorBidi"/>
          <w:sz w:val="24"/>
          <w:szCs w:val="24"/>
        </w:rPr>
        <w:t xml:space="preserve"> </w:t>
      </w:r>
      <w:r w:rsidR="001076B1" w:rsidRPr="0089351A">
        <w:rPr>
          <w:rFonts w:asciiTheme="majorBidi" w:hAnsiTheme="majorBidi" w:cstheme="majorBidi"/>
          <w:sz w:val="24"/>
          <w:szCs w:val="24"/>
        </w:rPr>
        <w:t xml:space="preserve"> </w:t>
      </w:r>
    </w:p>
    <w:p w:rsidR="003D7291" w:rsidRPr="0089351A" w:rsidRDefault="00D728E6"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Although the MTJC was unable to access important wells of collective experience in the Creole community, it reached pro-slave descendant conclusions. </w:t>
      </w:r>
      <w:r w:rsidR="003D7291" w:rsidRPr="0089351A">
        <w:rPr>
          <w:rFonts w:asciiTheme="majorBidi" w:hAnsiTheme="majorBidi" w:cstheme="majorBidi"/>
          <w:sz w:val="24"/>
          <w:szCs w:val="24"/>
        </w:rPr>
        <w:t>The Commission explained</w:t>
      </w:r>
      <w:r w:rsidRPr="0089351A">
        <w:rPr>
          <w:rFonts w:asciiTheme="majorBidi" w:hAnsiTheme="majorBidi" w:cstheme="majorBidi"/>
          <w:sz w:val="24"/>
          <w:szCs w:val="24"/>
        </w:rPr>
        <w:t xml:space="preserve"> its</w:t>
      </w:r>
      <w:r w:rsidR="00F27987" w:rsidRPr="0089351A">
        <w:rPr>
          <w:rFonts w:asciiTheme="majorBidi" w:hAnsiTheme="majorBidi" w:cstheme="majorBidi"/>
          <w:sz w:val="24"/>
          <w:szCs w:val="24"/>
        </w:rPr>
        <w:t xml:space="preserve"> main line </w:t>
      </w:r>
      <w:r w:rsidRPr="0089351A">
        <w:rPr>
          <w:rFonts w:asciiTheme="majorBidi" w:hAnsiTheme="majorBidi" w:cstheme="majorBidi"/>
          <w:sz w:val="24"/>
          <w:szCs w:val="24"/>
        </w:rPr>
        <w:t>of argument in summarising its findings: its work</w:t>
      </w:r>
      <w:r w:rsidR="00F27987" w:rsidRPr="0089351A">
        <w:rPr>
          <w:rFonts w:asciiTheme="majorBidi" w:hAnsiTheme="majorBidi" w:cstheme="majorBidi"/>
          <w:sz w:val="24"/>
          <w:szCs w:val="24"/>
        </w:rPr>
        <w:t xml:space="preserve"> had ‘</w:t>
      </w:r>
      <w:r w:rsidR="00CA5DC3" w:rsidRPr="0089351A">
        <w:rPr>
          <w:rFonts w:asciiTheme="majorBidi" w:hAnsiTheme="majorBidi" w:cstheme="majorBidi"/>
          <w:sz w:val="24"/>
          <w:szCs w:val="24"/>
        </w:rPr>
        <w:t xml:space="preserve">demonstrated convincingly that the process of exclusion of descendants of slaves, prevailing today, originated at the time of abolition of slavery. The cheap labour policy adopted then by the </w:t>
      </w:r>
      <w:proofErr w:type="spellStart"/>
      <w:r w:rsidR="00CA5DC3" w:rsidRPr="0089351A">
        <w:rPr>
          <w:rFonts w:asciiTheme="majorBidi" w:hAnsiTheme="majorBidi" w:cstheme="majorBidi"/>
          <w:sz w:val="24"/>
          <w:szCs w:val="24"/>
        </w:rPr>
        <w:t>plantocracy</w:t>
      </w:r>
      <w:proofErr w:type="spellEnd"/>
      <w:r w:rsidR="00CA5DC3" w:rsidRPr="0089351A">
        <w:rPr>
          <w:rFonts w:asciiTheme="majorBidi" w:hAnsiTheme="majorBidi" w:cstheme="majorBidi"/>
          <w:sz w:val="24"/>
          <w:szCs w:val="24"/>
        </w:rPr>
        <w:t xml:space="preserve"> and the Colonial State, contributed into (</w:t>
      </w:r>
      <w:r w:rsidR="00C94E10" w:rsidRPr="0089351A">
        <w:rPr>
          <w:rFonts w:asciiTheme="majorBidi" w:hAnsiTheme="majorBidi" w:cstheme="majorBidi"/>
          <w:i/>
          <w:iCs/>
          <w:sz w:val="24"/>
          <w:szCs w:val="24"/>
        </w:rPr>
        <w:t>sic</w:t>
      </w:r>
      <w:r w:rsidR="00CA5DC3" w:rsidRPr="0089351A">
        <w:rPr>
          <w:rFonts w:asciiTheme="majorBidi" w:hAnsiTheme="majorBidi" w:cstheme="majorBidi"/>
          <w:sz w:val="24"/>
          <w:szCs w:val="24"/>
        </w:rPr>
        <w:t xml:space="preserve">) their leaving the plantations. Further development </w:t>
      </w:r>
      <w:r w:rsidR="00C94E10" w:rsidRPr="0089351A">
        <w:rPr>
          <w:rFonts w:asciiTheme="majorBidi" w:hAnsiTheme="majorBidi" w:cstheme="majorBidi"/>
          <w:sz w:val="24"/>
          <w:szCs w:val="24"/>
        </w:rPr>
        <w:t>(</w:t>
      </w:r>
      <w:r w:rsidR="00C94E10" w:rsidRPr="0089351A">
        <w:rPr>
          <w:rFonts w:asciiTheme="majorBidi" w:hAnsiTheme="majorBidi" w:cstheme="majorBidi"/>
          <w:i/>
          <w:iCs/>
          <w:sz w:val="24"/>
          <w:szCs w:val="24"/>
        </w:rPr>
        <w:t>sic</w:t>
      </w:r>
      <w:r w:rsidR="00C94E10" w:rsidRPr="0089351A">
        <w:rPr>
          <w:rFonts w:asciiTheme="majorBidi" w:hAnsiTheme="majorBidi" w:cstheme="majorBidi"/>
          <w:sz w:val="24"/>
          <w:szCs w:val="24"/>
        </w:rPr>
        <w:t xml:space="preserve">) </w:t>
      </w:r>
      <w:r w:rsidR="00CA5DC3" w:rsidRPr="0089351A">
        <w:rPr>
          <w:rFonts w:asciiTheme="majorBidi" w:hAnsiTheme="majorBidi" w:cstheme="majorBidi"/>
          <w:sz w:val="24"/>
          <w:szCs w:val="24"/>
        </w:rPr>
        <w:t>in the 19th and 20th cen</w:t>
      </w:r>
      <w:r w:rsidR="00C81FFA" w:rsidRPr="0089351A">
        <w:rPr>
          <w:rFonts w:asciiTheme="majorBidi" w:hAnsiTheme="majorBidi" w:cstheme="majorBidi"/>
          <w:sz w:val="24"/>
          <w:szCs w:val="24"/>
        </w:rPr>
        <w:t>turies would confirm this trend</w:t>
      </w:r>
      <w:r w:rsidR="00CA5DC3" w:rsidRPr="0089351A">
        <w:rPr>
          <w:rFonts w:asciiTheme="majorBidi" w:hAnsiTheme="majorBidi" w:cstheme="majorBidi"/>
          <w:sz w:val="24"/>
          <w:szCs w:val="24"/>
        </w:rPr>
        <w:t>’</w:t>
      </w:r>
      <w:r w:rsidR="00371EC8" w:rsidRPr="0089351A">
        <w:rPr>
          <w:rFonts w:asciiTheme="majorBidi" w:hAnsiTheme="majorBidi" w:cstheme="majorBidi"/>
          <w:sz w:val="24"/>
          <w:szCs w:val="24"/>
        </w:rPr>
        <w:t>.</w:t>
      </w:r>
      <w:r w:rsidR="00C81FFA" w:rsidRPr="0089351A">
        <w:rPr>
          <w:rFonts w:asciiTheme="majorBidi" w:hAnsiTheme="majorBidi" w:cstheme="majorBidi"/>
          <w:sz w:val="24"/>
          <w:szCs w:val="24"/>
        </w:rPr>
        <w:t xml:space="preserve"> </w:t>
      </w:r>
      <w:r w:rsidR="00C81FFA" w:rsidRPr="0089351A">
        <w:rPr>
          <w:rStyle w:val="FootnoteReference"/>
          <w:rFonts w:asciiTheme="majorBidi" w:hAnsiTheme="majorBidi" w:cstheme="majorBidi"/>
          <w:sz w:val="24"/>
          <w:szCs w:val="24"/>
        </w:rPr>
        <w:footnoteReference w:id="60"/>
      </w:r>
      <w:r w:rsidR="00E86295" w:rsidRPr="0089351A">
        <w:rPr>
          <w:rFonts w:asciiTheme="majorBidi" w:hAnsiTheme="majorBidi" w:cstheme="majorBidi"/>
          <w:sz w:val="24"/>
          <w:szCs w:val="24"/>
        </w:rPr>
        <w:t xml:space="preserve"> </w:t>
      </w:r>
      <w:r w:rsidR="002B4EBF" w:rsidRPr="0089351A">
        <w:rPr>
          <w:rFonts w:asciiTheme="majorBidi" w:hAnsiTheme="majorBidi" w:cstheme="majorBidi"/>
          <w:sz w:val="24"/>
          <w:szCs w:val="24"/>
        </w:rPr>
        <w:t>The report demonstrates that slavery and the slave trade</w:t>
      </w:r>
      <w:r w:rsidR="0074777B" w:rsidRPr="0089351A">
        <w:rPr>
          <w:rFonts w:asciiTheme="majorBidi" w:hAnsiTheme="majorBidi" w:cstheme="majorBidi"/>
          <w:sz w:val="24"/>
          <w:szCs w:val="24"/>
        </w:rPr>
        <w:t xml:space="preserve"> created the foundation for some families</w:t>
      </w:r>
      <w:r w:rsidR="002B4EBF" w:rsidRPr="0089351A">
        <w:rPr>
          <w:rFonts w:asciiTheme="majorBidi" w:hAnsiTheme="majorBidi" w:cstheme="majorBidi"/>
          <w:sz w:val="24"/>
          <w:szCs w:val="24"/>
        </w:rPr>
        <w:t xml:space="preserve"> in Mauritius and France to accumulate capital subsequently invested in finance and </w:t>
      </w:r>
      <w:r w:rsidR="00C81FFA" w:rsidRPr="0089351A">
        <w:rPr>
          <w:rFonts w:asciiTheme="majorBidi" w:hAnsiTheme="majorBidi" w:cstheme="majorBidi"/>
          <w:sz w:val="24"/>
          <w:szCs w:val="24"/>
        </w:rPr>
        <w:t>business</w:t>
      </w:r>
      <w:r w:rsidR="00371EC8" w:rsidRPr="0089351A">
        <w:rPr>
          <w:rFonts w:asciiTheme="majorBidi" w:hAnsiTheme="majorBidi" w:cstheme="majorBidi"/>
          <w:sz w:val="24"/>
          <w:szCs w:val="24"/>
        </w:rPr>
        <w:t>.</w:t>
      </w:r>
      <w:r w:rsidR="00C81FFA" w:rsidRPr="0089351A">
        <w:rPr>
          <w:rFonts w:asciiTheme="majorBidi" w:hAnsiTheme="majorBidi" w:cstheme="majorBidi"/>
          <w:sz w:val="24"/>
          <w:szCs w:val="24"/>
        </w:rPr>
        <w:t xml:space="preserve"> </w:t>
      </w:r>
      <w:r w:rsidR="00C81FFA" w:rsidRPr="0089351A">
        <w:rPr>
          <w:rStyle w:val="FootnoteReference"/>
          <w:rFonts w:asciiTheme="majorBidi" w:hAnsiTheme="majorBidi" w:cstheme="majorBidi"/>
          <w:sz w:val="24"/>
          <w:szCs w:val="24"/>
        </w:rPr>
        <w:footnoteReference w:id="61"/>
      </w:r>
      <w:r w:rsidR="00E86295" w:rsidRPr="0089351A">
        <w:rPr>
          <w:rFonts w:asciiTheme="majorBidi" w:hAnsiTheme="majorBidi" w:cstheme="majorBidi"/>
          <w:sz w:val="24"/>
          <w:szCs w:val="24"/>
        </w:rPr>
        <w:t xml:space="preserve"> The report is imbricated </w:t>
      </w:r>
      <w:r w:rsidR="00C94E10" w:rsidRPr="0089351A">
        <w:rPr>
          <w:rFonts w:asciiTheme="majorBidi" w:hAnsiTheme="majorBidi" w:cstheme="majorBidi"/>
          <w:sz w:val="24"/>
          <w:szCs w:val="24"/>
        </w:rPr>
        <w:t>with</w:t>
      </w:r>
      <w:r w:rsidR="00EB5C52" w:rsidRPr="0089351A">
        <w:rPr>
          <w:rFonts w:asciiTheme="majorBidi" w:hAnsiTheme="majorBidi" w:cstheme="majorBidi"/>
          <w:sz w:val="24"/>
          <w:szCs w:val="24"/>
        </w:rPr>
        <w:t xml:space="preserve"> denunciation of slavery,</w:t>
      </w:r>
      <w:r w:rsidR="00CA5DC3" w:rsidRPr="0089351A">
        <w:rPr>
          <w:rFonts w:asciiTheme="majorBidi" w:hAnsiTheme="majorBidi" w:cstheme="majorBidi"/>
          <w:sz w:val="24"/>
          <w:szCs w:val="24"/>
        </w:rPr>
        <w:t xml:space="preserve"> indentured </w:t>
      </w:r>
      <w:r w:rsidR="003C1631" w:rsidRPr="0089351A">
        <w:rPr>
          <w:rFonts w:asciiTheme="majorBidi" w:hAnsiTheme="majorBidi" w:cstheme="majorBidi"/>
          <w:sz w:val="24"/>
          <w:szCs w:val="24"/>
        </w:rPr>
        <w:t>labour</w:t>
      </w:r>
      <w:r w:rsidR="00EB5C52" w:rsidRPr="0089351A">
        <w:rPr>
          <w:rFonts w:asciiTheme="majorBidi" w:hAnsiTheme="majorBidi" w:cstheme="majorBidi"/>
          <w:sz w:val="24"/>
          <w:szCs w:val="24"/>
        </w:rPr>
        <w:t xml:space="preserve"> and </w:t>
      </w:r>
      <w:r w:rsidR="00F27987" w:rsidRPr="0089351A">
        <w:rPr>
          <w:rFonts w:asciiTheme="majorBidi" w:hAnsiTheme="majorBidi" w:cstheme="majorBidi"/>
          <w:sz w:val="24"/>
          <w:szCs w:val="24"/>
        </w:rPr>
        <w:t xml:space="preserve">their </w:t>
      </w:r>
      <w:r w:rsidR="00EB5C52" w:rsidRPr="0089351A">
        <w:rPr>
          <w:rFonts w:asciiTheme="majorBidi" w:hAnsiTheme="majorBidi" w:cstheme="majorBidi"/>
          <w:sz w:val="24"/>
          <w:szCs w:val="24"/>
        </w:rPr>
        <w:t>far-reaching consequences in</w:t>
      </w:r>
      <w:r w:rsidR="00F27987" w:rsidRPr="0089351A">
        <w:rPr>
          <w:rFonts w:asciiTheme="majorBidi" w:hAnsiTheme="majorBidi" w:cstheme="majorBidi"/>
          <w:sz w:val="24"/>
          <w:szCs w:val="24"/>
        </w:rPr>
        <w:t xml:space="preserve"> the Twentieth and Twenty-First Centuries</w:t>
      </w:r>
      <w:r w:rsidR="003C1631" w:rsidRPr="0089351A">
        <w:rPr>
          <w:rFonts w:asciiTheme="majorBidi" w:hAnsiTheme="majorBidi" w:cstheme="majorBidi"/>
          <w:sz w:val="24"/>
          <w:szCs w:val="24"/>
        </w:rPr>
        <w:t xml:space="preserve">. </w:t>
      </w:r>
      <w:r w:rsidR="003D7291" w:rsidRPr="0089351A">
        <w:rPr>
          <w:rFonts w:asciiTheme="majorBidi" w:hAnsiTheme="majorBidi" w:cstheme="majorBidi"/>
          <w:sz w:val="24"/>
          <w:szCs w:val="24"/>
        </w:rPr>
        <w:t xml:space="preserve">It therefore challenges the </w:t>
      </w:r>
      <w:r w:rsidRPr="0089351A">
        <w:rPr>
          <w:rFonts w:asciiTheme="majorBidi" w:hAnsiTheme="majorBidi" w:cstheme="majorBidi"/>
          <w:sz w:val="24"/>
          <w:szCs w:val="24"/>
        </w:rPr>
        <w:t xml:space="preserve">previously </w:t>
      </w:r>
      <w:r w:rsidR="003D7291" w:rsidRPr="0089351A">
        <w:rPr>
          <w:rFonts w:asciiTheme="majorBidi" w:hAnsiTheme="majorBidi" w:cstheme="majorBidi"/>
          <w:sz w:val="24"/>
          <w:szCs w:val="24"/>
        </w:rPr>
        <w:t>influential Francophile ac</w:t>
      </w:r>
      <w:r w:rsidR="002E1570" w:rsidRPr="0089351A">
        <w:rPr>
          <w:rFonts w:asciiTheme="majorBidi" w:hAnsiTheme="majorBidi" w:cstheme="majorBidi"/>
          <w:sz w:val="24"/>
          <w:szCs w:val="24"/>
        </w:rPr>
        <w:t>count of Karl Noël who advanced--on a thin evidential base--</w:t>
      </w:r>
      <w:r w:rsidR="003D7291" w:rsidRPr="0089351A">
        <w:rPr>
          <w:rFonts w:asciiTheme="majorBidi" w:hAnsiTheme="majorBidi" w:cstheme="majorBidi"/>
          <w:sz w:val="24"/>
          <w:szCs w:val="24"/>
        </w:rPr>
        <w:t>a view of slavery on the island as relatively benign</w:t>
      </w:r>
      <w:r w:rsidR="00371EC8" w:rsidRPr="0089351A">
        <w:rPr>
          <w:rFonts w:asciiTheme="majorBidi" w:hAnsiTheme="majorBidi" w:cstheme="majorBidi"/>
          <w:sz w:val="24"/>
          <w:szCs w:val="24"/>
        </w:rPr>
        <w:t>.</w:t>
      </w:r>
      <w:r w:rsidR="00C81FFA" w:rsidRPr="0089351A">
        <w:rPr>
          <w:rStyle w:val="FootnoteReference"/>
          <w:rFonts w:asciiTheme="majorBidi" w:hAnsiTheme="majorBidi" w:cstheme="majorBidi"/>
          <w:sz w:val="24"/>
          <w:szCs w:val="24"/>
        </w:rPr>
        <w:footnoteReference w:id="62"/>
      </w:r>
      <w:r w:rsidR="003D7291" w:rsidRPr="0089351A">
        <w:rPr>
          <w:rFonts w:asciiTheme="majorBidi" w:hAnsiTheme="majorBidi" w:cstheme="majorBidi"/>
          <w:sz w:val="24"/>
          <w:szCs w:val="24"/>
        </w:rPr>
        <w:t xml:space="preserve">   </w:t>
      </w:r>
    </w:p>
    <w:p w:rsidR="00F8539F" w:rsidRPr="0089351A" w:rsidRDefault="00D728E6"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lastRenderedPageBreak/>
        <w:t>The report</w:t>
      </w:r>
      <w:r w:rsidR="003C1631" w:rsidRPr="0089351A">
        <w:rPr>
          <w:rFonts w:asciiTheme="majorBidi" w:hAnsiTheme="majorBidi" w:cstheme="majorBidi"/>
          <w:sz w:val="24"/>
          <w:szCs w:val="24"/>
        </w:rPr>
        <w:t xml:space="preserve"> is informed</w:t>
      </w:r>
      <w:r w:rsidR="00CA5DC3" w:rsidRPr="0089351A">
        <w:rPr>
          <w:rFonts w:asciiTheme="majorBidi" w:hAnsiTheme="majorBidi" w:cstheme="majorBidi"/>
          <w:sz w:val="24"/>
          <w:szCs w:val="24"/>
        </w:rPr>
        <w:t xml:space="preserve"> by a sharp awareness of the ethnic differences and divisions between and within different elements in Mauritian societ</w:t>
      </w:r>
      <w:r w:rsidR="00EB5C52" w:rsidRPr="0089351A">
        <w:rPr>
          <w:rFonts w:asciiTheme="majorBidi" w:hAnsiTheme="majorBidi" w:cstheme="majorBidi"/>
          <w:sz w:val="24"/>
          <w:szCs w:val="24"/>
        </w:rPr>
        <w:t>y, which it argu</w:t>
      </w:r>
      <w:r w:rsidR="00845319" w:rsidRPr="0089351A">
        <w:rPr>
          <w:rFonts w:asciiTheme="majorBidi" w:hAnsiTheme="majorBidi" w:cstheme="majorBidi"/>
          <w:sz w:val="24"/>
          <w:szCs w:val="24"/>
        </w:rPr>
        <w:t>es</w:t>
      </w:r>
      <w:r w:rsidR="00EB5C52" w:rsidRPr="0089351A">
        <w:rPr>
          <w:rFonts w:asciiTheme="majorBidi" w:hAnsiTheme="majorBidi" w:cstheme="majorBidi"/>
          <w:sz w:val="24"/>
          <w:szCs w:val="24"/>
        </w:rPr>
        <w:t xml:space="preserve"> are less genuinely distinct than</w:t>
      </w:r>
      <w:r w:rsidR="00CA5DC3" w:rsidRPr="0089351A">
        <w:rPr>
          <w:rFonts w:asciiTheme="majorBidi" w:hAnsiTheme="majorBidi" w:cstheme="majorBidi"/>
          <w:sz w:val="24"/>
          <w:szCs w:val="24"/>
        </w:rPr>
        <w:t xml:space="preserve"> often thought. The Franco-Mau</w:t>
      </w:r>
      <w:r w:rsidR="0074777B" w:rsidRPr="0089351A">
        <w:rPr>
          <w:rFonts w:asciiTheme="majorBidi" w:hAnsiTheme="majorBidi" w:cstheme="majorBidi"/>
          <w:sz w:val="24"/>
          <w:szCs w:val="24"/>
        </w:rPr>
        <w:t>ritia</w:t>
      </w:r>
      <w:r w:rsidR="00EB5C52" w:rsidRPr="0089351A">
        <w:rPr>
          <w:rFonts w:asciiTheme="majorBidi" w:hAnsiTheme="majorBidi" w:cstheme="majorBidi"/>
          <w:sz w:val="24"/>
          <w:szCs w:val="24"/>
        </w:rPr>
        <w:t xml:space="preserve">n minority is, like other groups, also argued to be ethnically </w:t>
      </w:r>
      <w:r w:rsidR="001246A2" w:rsidRPr="0089351A">
        <w:rPr>
          <w:rFonts w:asciiTheme="majorBidi" w:hAnsiTheme="majorBidi" w:cstheme="majorBidi"/>
          <w:sz w:val="24"/>
          <w:szCs w:val="24"/>
        </w:rPr>
        <w:t>heterogeneous</w:t>
      </w:r>
      <w:r w:rsidR="00845319" w:rsidRPr="0089351A">
        <w:rPr>
          <w:rFonts w:asciiTheme="majorBidi" w:hAnsiTheme="majorBidi" w:cstheme="majorBidi"/>
          <w:sz w:val="24"/>
          <w:szCs w:val="24"/>
        </w:rPr>
        <w:t>, thereby emphasis</w:t>
      </w:r>
      <w:r w:rsidR="00016702" w:rsidRPr="0089351A">
        <w:rPr>
          <w:rFonts w:asciiTheme="majorBidi" w:hAnsiTheme="majorBidi" w:cstheme="majorBidi"/>
          <w:sz w:val="24"/>
          <w:szCs w:val="24"/>
        </w:rPr>
        <w:t>ing</w:t>
      </w:r>
      <w:r w:rsidR="00845319" w:rsidRPr="0089351A">
        <w:rPr>
          <w:rFonts w:asciiTheme="majorBidi" w:hAnsiTheme="majorBidi" w:cstheme="majorBidi"/>
          <w:sz w:val="24"/>
          <w:szCs w:val="24"/>
        </w:rPr>
        <w:t xml:space="preserve"> the underlying ‘national unity’ t</w:t>
      </w:r>
      <w:r w:rsidR="00EB5C52" w:rsidRPr="0089351A">
        <w:rPr>
          <w:rFonts w:asciiTheme="majorBidi" w:hAnsiTheme="majorBidi" w:cstheme="majorBidi"/>
          <w:sz w:val="24"/>
          <w:szCs w:val="24"/>
        </w:rPr>
        <w:t>hem</w:t>
      </w:r>
      <w:r w:rsidRPr="0089351A">
        <w:rPr>
          <w:rFonts w:asciiTheme="majorBidi" w:hAnsiTheme="majorBidi" w:cstheme="majorBidi"/>
          <w:sz w:val="24"/>
          <w:szCs w:val="24"/>
        </w:rPr>
        <w:t>e</w:t>
      </w:r>
      <w:r w:rsidR="00EB5C52" w:rsidRPr="0089351A">
        <w:rPr>
          <w:rFonts w:asciiTheme="majorBidi" w:hAnsiTheme="majorBidi" w:cstheme="majorBidi"/>
          <w:sz w:val="24"/>
          <w:szCs w:val="24"/>
        </w:rPr>
        <w:t xml:space="preserve"> since</w:t>
      </w:r>
      <w:r w:rsidR="0074777B" w:rsidRPr="0089351A">
        <w:rPr>
          <w:rFonts w:asciiTheme="majorBidi" w:hAnsiTheme="majorBidi" w:cstheme="majorBidi"/>
          <w:sz w:val="24"/>
          <w:szCs w:val="24"/>
        </w:rPr>
        <w:t xml:space="preserve"> all ethnic groups may be collapsed into an over-arching nationality. </w:t>
      </w:r>
      <w:r w:rsidR="00CA5DC3" w:rsidRPr="0089351A">
        <w:rPr>
          <w:rFonts w:asciiTheme="majorBidi" w:hAnsiTheme="majorBidi" w:cstheme="majorBidi"/>
          <w:sz w:val="24"/>
          <w:szCs w:val="24"/>
        </w:rPr>
        <w:t>Th</w:t>
      </w:r>
      <w:r w:rsidR="0074777B" w:rsidRPr="0089351A">
        <w:rPr>
          <w:rFonts w:asciiTheme="majorBidi" w:hAnsiTheme="majorBidi" w:cstheme="majorBidi"/>
          <w:sz w:val="24"/>
          <w:szCs w:val="24"/>
        </w:rPr>
        <w:t>e Franco-Mauritian</w:t>
      </w:r>
      <w:r w:rsidR="00EB5C52" w:rsidRPr="0089351A">
        <w:rPr>
          <w:rFonts w:asciiTheme="majorBidi" w:hAnsiTheme="majorBidi" w:cstheme="majorBidi"/>
          <w:sz w:val="24"/>
          <w:szCs w:val="24"/>
        </w:rPr>
        <w:t>s are</w:t>
      </w:r>
      <w:r w:rsidR="000337A0" w:rsidRPr="0089351A">
        <w:rPr>
          <w:rFonts w:asciiTheme="majorBidi" w:hAnsiTheme="majorBidi" w:cstheme="majorBidi"/>
          <w:sz w:val="24"/>
          <w:szCs w:val="24"/>
        </w:rPr>
        <w:t xml:space="preserve"> portrayed</w:t>
      </w:r>
      <w:r w:rsidR="00BF3CDE" w:rsidRPr="0089351A">
        <w:rPr>
          <w:rFonts w:asciiTheme="majorBidi" w:hAnsiTheme="majorBidi" w:cstheme="majorBidi"/>
          <w:sz w:val="24"/>
          <w:szCs w:val="24"/>
        </w:rPr>
        <w:t xml:space="preserve"> as the subject of a ‘Myth of i</w:t>
      </w:r>
      <w:r w:rsidR="00CA5DC3" w:rsidRPr="0089351A">
        <w:rPr>
          <w:rFonts w:asciiTheme="majorBidi" w:hAnsiTheme="majorBidi" w:cstheme="majorBidi"/>
          <w:sz w:val="24"/>
          <w:szCs w:val="24"/>
        </w:rPr>
        <w:t xml:space="preserve">ntellectual and ultimately racial superiority….. </w:t>
      </w:r>
      <w:proofErr w:type="gramStart"/>
      <w:r w:rsidR="00CA5DC3" w:rsidRPr="0089351A">
        <w:rPr>
          <w:rFonts w:asciiTheme="majorBidi" w:hAnsiTheme="majorBidi" w:cstheme="majorBidi"/>
          <w:sz w:val="24"/>
          <w:szCs w:val="24"/>
        </w:rPr>
        <w:t>there</w:t>
      </w:r>
      <w:proofErr w:type="gramEnd"/>
      <w:r w:rsidR="00CA5DC3" w:rsidRPr="0089351A">
        <w:rPr>
          <w:rFonts w:asciiTheme="majorBidi" w:hAnsiTheme="majorBidi" w:cstheme="majorBidi"/>
          <w:sz w:val="24"/>
          <w:szCs w:val="24"/>
        </w:rPr>
        <w:t xml:space="preserve"> is the stereotyped and racist belief that whites are better a</w:t>
      </w:r>
      <w:r w:rsidR="000F6AA3" w:rsidRPr="0089351A">
        <w:rPr>
          <w:rFonts w:asciiTheme="majorBidi" w:hAnsiTheme="majorBidi" w:cstheme="majorBidi"/>
          <w:sz w:val="24"/>
          <w:szCs w:val="24"/>
        </w:rPr>
        <w:t>t investi</w:t>
      </w:r>
      <w:r w:rsidR="00C81FFA" w:rsidRPr="0089351A">
        <w:rPr>
          <w:rFonts w:asciiTheme="majorBidi" w:hAnsiTheme="majorBidi" w:cstheme="majorBidi"/>
          <w:sz w:val="24"/>
          <w:szCs w:val="24"/>
        </w:rPr>
        <w:t>ng…..’</w:t>
      </w:r>
      <w:r w:rsidR="00371EC8" w:rsidRPr="0089351A">
        <w:rPr>
          <w:rFonts w:asciiTheme="majorBidi" w:hAnsiTheme="majorBidi" w:cstheme="majorBidi"/>
          <w:sz w:val="24"/>
          <w:szCs w:val="24"/>
        </w:rPr>
        <w:t>.</w:t>
      </w:r>
      <w:r w:rsidR="00C81FFA" w:rsidRPr="0089351A">
        <w:rPr>
          <w:rStyle w:val="FootnoteReference"/>
          <w:rFonts w:asciiTheme="majorBidi" w:hAnsiTheme="majorBidi" w:cstheme="majorBidi"/>
          <w:sz w:val="24"/>
          <w:szCs w:val="24"/>
        </w:rPr>
        <w:footnoteReference w:id="63"/>
      </w:r>
      <w:r w:rsidR="00C94E10" w:rsidRPr="0089351A">
        <w:rPr>
          <w:rFonts w:asciiTheme="majorBidi" w:hAnsiTheme="majorBidi" w:cstheme="majorBidi"/>
          <w:sz w:val="24"/>
          <w:szCs w:val="24"/>
        </w:rPr>
        <w:t xml:space="preserve"> </w:t>
      </w:r>
      <w:r w:rsidR="00131420" w:rsidRPr="0089351A">
        <w:rPr>
          <w:rFonts w:asciiTheme="majorBidi" w:hAnsiTheme="majorBidi" w:cstheme="majorBidi"/>
          <w:sz w:val="24"/>
          <w:szCs w:val="24"/>
        </w:rPr>
        <w:t>The report shows that their position owed much to a nexus of cultural and political authority, power and consequent material privilege.</w:t>
      </w:r>
      <w:r w:rsidR="008B2D07" w:rsidRPr="0089351A">
        <w:rPr>
          <w:rFonts w:asciiTheme="majorBidi" w:hAnsiTheme="majorBidi" w:cstheme="majorBidi"/>
          <w:sz w:val="24"/>
          <w:szCs w:val="24"/>
        </w:rPr>
        <w:t xml:space="preserve"> </w:t>
      </w:r>
      <w:r w:rsidR="00C94E10" w:rsidRPr="0089351A">
        <w:rPr>
          <w:rFonts w:asciiTheme="majorBidi" w:hAnsiTheme="majorBidi" w:cstheme="majorBidi"/>
          <w:sz w:val="24"/>
          <w:szCs w:val="24"/>
        </w:rPr>
        <w:t xml:space="preserve">Despite the dropping of </w:t>
      </w:r>
      <w:r w:rsidR="00F27987" w:rsidRPr="0089351A">
        <w:rPr>
          <w:rFonts w:asciiTheme="majorBidi" w:hAnsiTheme="majorBidi" w:cstheme="majorBidi"/>
          <w:sz w:val="24"/>
          <w:szCs w:val="24"/>
        </w:rPr>
        <w:t xml:space="preserve">the requirement for the Commission </w:t>
      </w:r>
      <w:r w:rsidR="00C94E10" w:rsidRPr="0089351A">
        <w:rPr>
          <w:rFonts w:asciiTheme="majorBidi" w:hAnsiTheme="majorBidi" w:cstheme="majorBidi"/>
          <w:sz w:val="24"/>
          <w:szCs w:val="24"/>
        </w:rPr>
        <w:t>to identify those responsible</w:t>
      </w:r>
      <w:r w:rsidR="00131420" w:rsidRPr="0089351A">
        <w:rPr>
          <w:rFonts w:asciiTheme="majorBidi" w:hAnsiTheme="majorBidi" w:cstheme="majorBidi"/>
          <w:sz w:val="24"/>
          <w:szCs w:val="24"/>
        </w:rPr>
        <w:t xml:space="preserve"> for slavery</w:t>
      </w:r>
      <w:r w:rsidR="00C94E10" w:rsidRPr="0089351A">
        <w:rPr>
          <w:rFonts w:asciiTheme="majorBidi" w:hAnsiTheme="majorBidi" w:cstheme="majorBidi"/>
          <w:sz w:val="24"/>
          <w:szCs w:val="24"/>
        </w:rPr>
        <w:t xml:space="preserve">, </w:t>
      </w:r>
      <w:r w:rsidR="00F27987" w:rsidRPr="0089351A">
        <w:rPr>
          <w:rFonts w:asciiTheme="majorBidi" w:hAnsiTheme="majorBidi" w:cstheme="majorBidi"/>
          <w:sz w:val="24"/>
          <w:szCs w:val="24"/>
        </w:rPr>
        <w:t>it provided much information on th</w:t>
      </w:r>
      <w:r w:rsidR="002E1570" w:rsidRPr="0089351A">
        <w:rPr>
          <w:rFonts w:asciiTheme="majorBidi" w:hAnsiTheme="majorBidi" w:cstheme="majorBidi"/>
          <w:sz w:val="24"/>
          <w:szCs w:val="24"/>
        </w:rPr>
        <w:t>at subject and on one company that benefitted from slavery</w:t>
      </w:r>
      <w:r w:rsidR="00F27987" w:rsidRPr="0089351A">
        <w:rPr>
          <w:rFonts w:asciiTheme="majorBidi" w:hAnsiTheme="majorBidi" w:cstheme="majorBidi"/>
          <w:sz w:val="24"/>
          <w:szCs w:val="24"/>
        </w:rPr>
        <w:t>.</w:t>
      </w:r>
      <w:r w:rsidR="0003472D" w:rsidRPr="0089351A">
        <w:rPr>
          <w:rFonts w:asciiTheme="majorBidi" w:hAnsiTheme="majorBidi" w:cstheme="majorBidi"/>
          <w:sz w:val="24"/>
          <w:szCs w:val="24"/>
        </w:rPr>
        <w:t xml:space="preserve"> Other companies (we have identified five) directly involved in slave owning and which continue to operate at the time of writing were not investigated in the same detail.</w:t>
      </w:r>
      <w:r w:rsidR="00F27987" w:rsidRPr="0089351A">
        <w:rPr>
          <w:rFonts w:asciiTheme="majorBidi" w:hAnsiTheme="majorBidi" w:cstheme="majorBidi"/>
          <w:sz w:val="24"/>
          <w:szCs w:val="24"/>
        </w:rPr>
        <w:t xml:space="preserve"> Thus, the history of the Mauritius Commercial Bank’s foundation in slavery and its link</w:t>
      </w:r>
      <w:r w:rsidR="008B2D07" w:rsidRPr="0089351A">
        <w:rPr>
          <w:rFonts w:asciiTheme="majorBidi" w:hAnsiTheme="majorBidi" w:cstheme="majorBidi"/>
          <w:sz w:val="24"/>
          <w:szCs w:val="24"/>
        </w:rPr>
        <w:t>s both to the Franco-Mauritian é</w:t>
      </w:r>
      <w:r w:rsidR="00F27987" w:rsidRPr="0089351A">
        <w:rPr>
          <w:rFonts w:asciiTheme="majorBidi" w:hAnsiTheme="majorBidi" w:cstheme="majorBidi"/>
          <w:sz w:val="24"/>
          <w:szCs w:val="24"/>
        </w:rPr>
        <w:t>lite and to British finance houses is trac</w:t>
      </w:r>
      <w:r w:rsidR="00C94E10" w:rsidRPr="0089351A">
        <w:rPr>
          <w:rFonts w:asciiTheme="majorBidi" w:hAnsiTheme="majorBidi" w:cstheme="majorBidi"/>
          <w:sz w:val="24"/>
          <w:szCs w:val="24"/>
        </w:rPr>
        <w:t>ed. The bank was founded on</w:t>
      </w:r>
      <w:r w:rsidR="00F27987" w:rsidRPr="0089351A">
        <w:rPr>
          <w:rFonts w:asciiTheme="majorBidi" w:hAnsiTheme="majorBidi" w:cstheme="majorBidi"/>
          <w:sz w:val="24"/>
          <w:szCs w:val="24"/>
        </w:rPr>
        <w:t xml:space="preserve"> compensation paid to the slave o</w:t>
      </w:r>
      <w:r w:rsidR="00F8539F" w:rsidRPr="0089351A">
        <w:rPr>
          <w:rFonts w:asciiTheme="majorBidi" w:hAnsiTheme="majorBidi" w:cstheme="majorBidi"/>
          <w:sz w:val="24"/>
          <w:szCs w:val="24"/>
        </w:rPr>
        <w:t>wners by the British government</w:t>
      </w:r>
      <w:r w:rsidR="00200C89" w:rsidRPr="0089351A">
        <w:rPr>
          <w:rFonts w:asciiTheme="majorBidi" w:hAnsiTheme="majorBidi" w:cstheme="majorBidi"/>
          <w:sz w:val="24"/>
          <w:szCs w:val="24"/>
        </w:rPr>
        <w:t>.</w:t>
      </w:r>
      <w:r w:rsidR="00C81FFA" w:rsidRPr="0089351A">
        <w:rPr>
          <w:rStyle w:val="FootnoteReference"/>
          <w:rFonts w:asciiTheme="majorBidi" w:hAnsiTheme="majorBidi" w:cstheme="majorBidi"/>
          <w:sz w:val="24"/>
          <w:szCs w:val="24"/>
        </w:rPr>
        <w:footnoteReference w:id="64"/>
      </w:r>
      <w:r w:rsidR="00F8539F" w:rsidRPr="0089351A">
        <w:rPr>
          <w:rFonts w:asciiTheme="majorBidi" w:hAnsiTheme="majorBidi" w:cstheme="majorBidi"/>
          <w:sz w:val="24"/>
          <w:szCs w:val="24"/>
        </w:rPr>
        <w:t xml:space="preserve"> Compensation was paid even though many of the slaves involved had been brought into Mauritius illegally</w:t>
      </w:r>
      <w:r w:rsidR="00864702" w:rsidRPr="0089351A">
        <w:rPr>
          <w:rFonts w:asciiTheme="majorBidi" w:hAnsiTheme="majorBidi" w:cstheme="majorBidi"/>
          <w:sz w:val="24"/>
          <w:szCs w:val="24"/>
        </w:rPr>
        <w:t>.</w:t>
      </w:r>
      <w:r w:rsidR="00C81FFA" w:rsidRPr="0089351A">
        <w:rPr>
          <w:rStyle w:val="FootnoteReference"/>
          <w:rFonts w:asciiTheme="majorBidi" w:hAnsiTheme="majorBidi" w:cstheme="majorBidi"/>
          <w:sz w:val="24"/>
          <w:szCs w:val="24"/>
        </w:rPr>
        <w:footnoteReference w:id="65"/>
      </w:r>
      <w:r w:rsidR="00F8539F" w:rsidRPr="0089351A">
        <w:rPr>
          <w:rFonts w:asciiTheme="majorBidi" w:hAnsiTheme="majorBidi" w:cstheme="majorBidi"/>
          <w:sz w:val="24"/>
          <w:szCs w:val="24"/>
        </w:rPr>
        <w:t xml:space="preserve"> The slave owners h</w:t>
      </w:r>
      <w:r w:rsidR="00131420" w:rsidRPr="0089351A">
        <w:rPr>
          <w:rFonts w:asciiTheme="majorBidi" w:hAnsiTheme="majorBidi" w:cstheme="majorBidi"/>
          <w:sz w:val="24"/>
          <w:szCs w:val="24"/>
        </w:rPr>
        <w:t>ad also received cash from some nine thousand</w:t>
      </w:r>
      <w:r w:rsidR="00F8539F" w:rsidRPr="0089351A">
        <w:rPr>
          <w:rFonts w:asciiTheme="majorBidi" w:hAnsiTheme="majorBidi" w:cstheme="majorBidi"/>
          <w:sz w:val="24"/>
          <w:szCs w:val="24"/>
        </w:rPr>
        <w:t xml:space="preserve"> slaves who bought their freedom during the period of ‘apprentic</w:t>
      </w:r>
      <w:r w:rsidR="00EB5C52" w:rsidRPr="0089351A">
        <w:rPr>
          <w:rFonts w:asciiTheme="majorBidi" w:hAnsiTheme="majorBidi" w:cstheme="majorBidi"/>
          <w:sz w:val="24"/>
          <w:szCs w:val="24"/>
        </w:rPr>
        <w:t xml:space="preserve">eship’ </w:t>
      </w:r>
      <w:r w:rsidR="00EB5C52" w:rsidRPr="0089351A">
        <w:rPr>
          <w:rFonts w:asciiTheme="majorBidi" w:hAnsiTheme="majorBidi" w:cstheme="majorBidi"/>
          <w:sz w:val="24"/>
          <w:szCs w:val="24"/>
        </w:rPr>
        <w:lastRenderedPageBreak/>
        <w:t>ostensibly designed to facilitate the transition to</w:t>
      </w:r>
      <w:r w:rsidR="00F8539F" w:rsidRPr="0089351A">
        <w:rPr>
          <w:rFonts w:asciiTheme="majorBidi" w:hAnsiTheme="majorBidi" w:cstheme="majorBidi"/>
          <w:sz w:val="24"/>
          <w:szCs w:val="24"/>
        </w:rPr>
        <w:t xml:space="preserve"> slavery’s </w:t>
      </w:r>
      <w:r w:rsidR="00EB5C52" w:rsidRPr="0089351A">
        <w:rPr>
          <w:rFonts w:asciiTheme="majorBidi" w:hAnsiTheme="majorBidi" w:cstheme="majorBidi"/>
          <w:sz w:val="24"/>
          <w:szCs w:val="24"/>
        </w:rPr>
        <w:t xml:space="preserve">full </w:t>
      </w:r>
      <w:r w:rsidR="00F8539F" w:rsidRPr="0089351A">
        <w:rPr>
          <w:rFonts w:asciiTheme="majorBidi" w:hAnsiTheme="majorBidi" w:cstheme="majorBidi"/>
          <w:sz w:val="24"/>
          <w:szCs w:val="24"/>
        </w:rPr>
        <w:t>abolition</w:t>
      </w:r>
      <w:r w:rsidR="00200C89" w:rsidRPr="0089351A">
        <w:rPr>
          <w:rFonts w:asciiTheme="majorBidi" w:hAnsiTheme="majorBidi" w:cstheme="majorBidi"/>
          <w:sz w:val="24"/>
          <w:szCs w:val="24"/>
        </w:rPr>
        <w:t>.</w:t>
      </w:r>
      <w:r w:rsidR="00C81FFA" w:rsidRPr="0089351A">
        <w:rPr>
          <w:rFonts w:asciiTheme="majorBidi" w:hAnsiTheme="majorBidi" w:cstheme="majorBidi"/>
          <w:sz w:val="24"/>
          <w:szCs w:val="24"/>
        </w:rPr>
        <w:t xml:space="preserve"> </w:t>
      </w:r>
      <w:r w:rsidR="00C81FFA" w:rsidRPr="0089351A">
        <w:rPr>
          <w:rStyle w:val="FootnoteReference"/>
          <w:rFonts w:asciiTheme="majorBidi" w:hAnsiTheme="majorBidi" w:cstheme="majorBidi"/>
          <w:sz w:val="24"/>
          <w:szCs w:val="24"/>
        </w:rPr>
        <w:footnoteReference w:id="66"/>
      </w:r>
      <w:r w:rsidR="00C81FFA" w:rsidRPr="0089351A">
        <w:rPr>
          <w:rFonts w:asciiTheme="majorBidi" w:hAnsiTheme="majorBidi" w:cstheme="majorBidi"/>
          <w:sz w:val="24"/>
          <w:szCs w:val="24"/>
        </w:rPr>
        <w:t xml:space="preserve"> </w:t>
      </w:r>
      <w:r w:rsidR="00F8539F" w:rsidRPr="0089351A">
        <w:rPr>
          <w:rFonts w:asciiTheme="majorBidi" w:hAnsiTheme="majorBidi" w:cstheme="majorBidi"/>
          <w:sz w:val="24"/>
          <w:szCs w:val="24"/>
        </w:rPr>
        <w:t xml:space="preserve"> The bank is now one of the most successful in Africa</w:t>
      </w:r>
      <w:r w:rsidR="00200C89" w:rsidRPr="0089351A">
        <w:rPr>
          <w:rFonts w:asciiTheme="majorBidi" w:hAnsiTheme="majorBidi" w:cstheme="majorBidi"/>
          <w:sz w:val="24"/>
          <w:szCs w:val="24"/>
        </w:rPr>
        <w:t>.</w:t>
      </w:r>
      <w:r w:rsidR="00C81FFA" w:rsidRPr="0089351A">
        <w:rPr>
          <w:rFonts w:asciiTheme="majorBidi" w:hAnsiTheme="majorBidi" w:cstheme="majorBidi"/>
          <w:sz w:val="24"/>
          <w:szCs w:val="24"/>
        </w:rPr>
        <w:t xml:space="preserve"> </w:t>
      </w:r>
      <w:r w:rsidR="00C81FFA" w:rsidRPr="0089351A">
        <w:rPr>
          <w:rStyle w:val="FootnoteReference"/>
          <w:rFonts w:asciiTheme="majorBidi" w:hAnsiTheme="majorBidi" w:cstheme="majorBidi"/>
          <w:sz w:val="24"/>
          <w:szCs w:val="24"/>
        </w:rPr>
        <w:footnoteReference w:id="67"/>
      </w:r>
      <w:r w:rsidR="00C81FFA" w:rsidRPr="0089351A">
        <w:rPr>
          <w:rFonts w:asciiTheme="majorBidi" w:hAnsiTheme="majorBidi" w:cstheme="majorBidi"/>
          <w:sz w:val="24"/>
          <w:szCs w:val="24"/>
        </w:rPr>
        <w:t xml:space="preserve"> </w:t>
      </w:r>
      <w:r w:rsidR="00F8539F" w:rsidRPr="0089351A">
        <w:rPr>
          <w:rFonts w:asciiTheme="majorBidi" w:hAnsiTheme="majorBidi" w:cstheme="majorBidi"/>
          <w:sz w:val="24"/>
          <w:szCs w:val="24"/>
        </w:rPr>
        <w:t xml:space="preserve">  </w:t>
      </w:r>
    </w:p>
    <w:p w:rsidR="00C121C6" w:rsidRPr="0089351A" w:rsidRDefault="00131420"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w:t>
      </w:r>
      <w:r w:rsidR="00D728E6" w:rsidRPr="0089351A">
        <w:rPr>
          <w:rFonts w:asciiTheme="majorBidi" w:hAnsiTheme="majorBidi" w:cstheme="majorBidi"/>
          <w:sz w:val="24"/>
          <w:szCs w:val="24"/>
        </w:rPr>
        <w:t>he report presents</w:t>
      </w:r>
      <w:r w:rsidR="00F8539F" w:rsidRPr="0089351A">
        <w:rPr>
          <w:rFonts w:asciiTheme="majorBidi" w:hAnsiTheme="majorBidi" w:cstheme="majorBidi"/>
          <w:sz w:val="24"/>
          <w:szCs w:val="24"/>
        </w:rPr>
        <w:t xml:space="preserve"> </w:t>
      </w:r>
      <w:r w:rsidR="008B2D07" w:rsidRPr="0089351A">
        <w:rPr>
          <w:rFonts w:asciiTheme="majorBidi" w:hAnsiTheme="majorBidi" w:cstheme="majorBidi"/>
          <w:sz w:val="24"/>
          <w:szCs w:val="24"/>
        </w:rPr>
        <w:t xml:space="preserve">broadly </w:t>
      </w:r>
      <w:r w:rsidR="00F8539F" w:rsidRPr="0089351A">
        <w:rPr>
          <w:rFonts w:asciiTheme="majorBidi" w:hAnsiTheme="majorBidi" w:cstheme="majorBidi"/>
          <w:sz w:val="24"/>
          <w:szCs w:val="24"/>
        </w:rPr>
        <w:t xml:space="preserve">credible history </w:t>
      </w:r>
      <w:r w:rsidRPr="0089351A">
        <w:rPr>
          <w:rFonts w:asciiTheme="majorBidi" w:hAnsiTheme="majorBidi" w:cstheme="majorBidi"/>
          <w:sz w:val="24"/>
          <w:szCs w:val="24"/>
        </w:rPr>
        <w:t xml:space="preserve">despite its concern to establish the ‘national unity’ theme, </w:t>
      </w:r>
      <w:r w:rsidR="00F8539F" w:rsidRPr="0089351A">
        <w:rPr>
          <w:rFonts w:asciiTheme="majorBidi" w:hAnsiTheme="majorBidi" w:cstheme="majorBidi"/>
          <w:sz w:val="24"/>
          <w:szCs w:val="24"/>
        </w:rPr>
        <w:t>and if gaps remain in the narrative</w:t>
      </w:r>
      <w:r w:rsidR="00C81FFA" w:rsidRPr="0089351A">
        <w:rPr>
          <w:rFonts w:asciiTheme="majorBidi" w:hAnsiTheme="majorBidi" w:cstheme="majorBidi"/>
          <w:sz w:val="24"/>
          <w:szCs w:val="24"/>
        </w:rPr>
        <w:t xml:space="preserve"> </w:t>
      </w:r>
      <w:r w:rsidR="00F545C8" w:rsidRPr="0089351A">
        <w:rPr>
          <w:rFonts w:asciiTheme="majorBidi" w:hAnsiTheme="majorBidi" w:cstheme="majorBidi"/>
          <w:sz w:val="24"/>
          <w:szCs w:val="24"/>
        </w:rPr>
        <w:t>partly due to the lamentable state of Mauritian archives</w:t>
      </w:r>
      <w:r w:rsidR="00C82E79" w:rsidRPr="0089351A">
        <w:rPr>
          <w:rFonts w:asciiTheme="majorBidi" w:hAnsiTheme="majorBidi" w:cstheme="majorBidi"/>
          <w:sz w:val="24"/>
          <w:szCs w:val="24"/>
        </w:rPr>
        <w:t xml:space="preserve"> </w:t>
      </w:r>
      <w:r w:rsidR="00B80570" w:rsidRPr="0089351A">
        <w:rPr>
          <w:rFonts w:asciiTheme="majorBidi" w:hAnsiTheme="majorBidi" w:cstheme="majorBidi"/>
          <w:sz w:val="24"/>
          <w:szCs w:val="24"/>
        </w:rPr>
        <w:t>(</w:t>
      </w:r>
      <w:r w:rsidR="00C82E79" w:rsidRPr="0089351A">
        <w:rPr>
          <w:rFonts w:asciiTheme="majorBidi" w:hAnsiTheme="majorBidi" w:cstheme="majorBidi"/>
          <w:sz w:val="24"/>
          <w:szCs w:val="24"/>
        </w:rPr>
        <w:t xml:space="preserve">the authors’ experience </w:t>
      </w:r>
      <w:r w:rsidR="00C94E10" w:rsidRPr="0089351A">
        <w:rPr>
          <w:rFonts w:asciiTheme="majorBidi" w:hAnsiTheme="majorBidi" w:cstheme="majorBidi"/>
          <w:sz w:val="24"/>
          <w:szCs w:val="24"/>
        </w:rPr>
        <w:t xml:space="preserve">in them </w:t>
      </w:r>
      <w:r w:rsidR="0031454E" w:rsidRPr="0089351A">
        <w:rPr>
          <w:rFonts w:asciiTheme="majorBidi" w:hAnsiTheme="majorBidi" w:cstheme="majorBidi"/>
          <w:sz w:val="24"/>
          <w:szCs w:val="24"/>
        </w:rPr>
        <w:t>is similar to that reported</w:t>
      </w:r>
      <w:r w:rsidR="00C82E79" w:rsidRPr="0089351A">
        <w:rPr>
          <w:rFonts w:asciiTheme="majorBidi" w:hAnsiTheme="majorBidi" w:cstheme="majorBidi"/>
          <w:sz w:val="24"/>
          <w:szCs w:val="24"/>
        </w:rPr>
        <w:t xml:space="preserve"> by the MTJC</w:t>
      </w:r>
      <w:r w:rsidR="00B80570" w:rsidRPr="0089351A">
        <w:rPr>
          <w:rFonts w:asciiTheme="majorBidi" w:hAnsiTheme="majorBidi" w:cstheme="majorBidi"/>
          <w:sz w:val="24"/>
          <w:szCs w:val="24"/>
        </w:rPr>
        <w:t>)</w:t>
      </w:r>
      <w:r w:rsidR="00C81FFA" w:rsidRPr="0089351A">
        <w:rPr>
          <w:rFonts w:asciiTheme="majorBidi" w:hAnsiTheme="majorBidi" w:cstheme="majorBidi"/>
          <w:sz w:val="24"/>
          <w:szCs w:val="24"/>
        </w:rPr>
        <w:t xml:space="preserve"> </w:t>
      </w:r>
      <w:r w:rsidR="00B80570" w:rsidRPr="0089351A">
        <w:rPr>
          <w:rFonts w:asciiTheme="majorBidi" w:hAnsiTheme="majorBidi" w:cstheme="majorBidi"/>
          <w:sz w:val="24"/>
          <w:szCs w:val="24"/>
        </w:rPr>
        <w:t>it successfully establishes slavery’s impact down to the present</w:t>
      </w:r>
      <w:r w:rsidR="00B80570" w:rsidRPr="0089351A">
        <w:rPr>
          <w:rStyle w:val="FootnoteReference"/>
          <w:rFonts w:asciiTheme="majorBidi" w:hAnsiTheme="majorBidi" w:cstheme="majorBidi"/>
          <w:sz w:val="24"/>
          <w:szCs w:val="24"/>
        </w:rPr>
        <w:t xml:space="preserve"> </w:t>
      </w:r>
      <w:r w:rsidR="002E1570" w:rsidRPr="0089351A">
        <w:rPr>
          <w:rFonts w:asciiTheme="majorBidi" w:hAnsiTheme="majorBidi" w:cstheme="majorBidi"/>
          <w:sz w:val="24"/>
          <w:szCs w:val="24"/>
        </w:rPr>
        <w:t>.</w:t>
      </w:r>
      <w:r w:rsidR="00C81FFA" w:rsidRPr="0089351A">
        <w:rPr>
          <w:rStyle w:val="FootnoteReference"/>
          <w:rFonts w:asciiTheme="majorBidi" w:hAnsiTheme="majorBidi" w:cstheme="majorBidi"/>
          <w:sz w:val="24"/>
          <w:szCs w:val="24"/>
        </w:rPr>
        <w:footnoteReference w:id="68"/>
      </w:r>
      <w:r w:rsidR="00F8539F" w:rsidRPr="0089351A">
        <w:rPr>
          <w:rFonts w:asciiTheme="majorBidi" w:hAnsiTheme="majorBidi" w:cstheme="majorBidi"/>
          <w:sz w:val="24"/>
          <w:szCs w:val="24"/>
        </w:rPr>
        <w:t xml:space="preserve"> </w:t>
      </w:r>
      <w:r w:rsidR="00C121C6" w:rsidRPr="0089351A">
        <w:rPr>
          <w:rFonts w:asciiTheme="majorBidi" w:hAnsiTheme="majorBidi" w:cstheme="majorBidi"/>
          <w:sz w:val="24"/>
          <w:szCs w:val="24"/>
        </w:rPr>
        <w:t>Since its appeara</w:t>
      </w:r>
      <w:r w:rsidR="0031454E" w:rsidRPr="0089351A">
        <w:rPr>
          <w:rFonts w:asciiTheme="majorBidi" w:hAnsiTheme="majorBidi" w:cstheme="majorBidi"/>
          <w:sz w:val="24"/>
          <w:szCs w:val="24"/>
        </w:rPr>
        <w:t>nce</w:t>
      </w:r>
      <w:r w:rsidR="00D728E6" w:rsidRPr="0089351A">
        <w:rPr>
          <w:rFonts w:asciiTheme="majorBidi" w:hAnsiTheme="majorBidi" w:cstheme="majorBidi"/>
          <w:sz w:val="24"/>
          <w:szCs w:val="24"/>
        </w:rPr>
        <w:t xml:space="preserve"> but drawing on a substantial volume of research carried out before the MTJC Report was published</w:t>
      </w:r>
      <w:r w:rsidR="0031454E" w:rsidRPr="0089351A">
        <w:rPr>
          <w:rFonts w:asciiTheme="majorBidi" w:hAnsiTheme="majorBidi" w:cstheme="majorBidi"/>
          <w:sz w:val="24"/>
          <w:szCs w:val="24"/>
        </w:rPr>
        <w:t>, its findings</w:t>
      </w:r>
      <w:r w:rsidR="00C121C6" w:rsidRPr="0089351A">
        <w:rPr>
          <w:rFonts w:asciiTheme="majorBidi" w:hAnsiTheme="majorBidi" w:cstheme="majorBidi"/>
          <w:sz w:val="24"/>
          <w:szCs w:val="24"/>
        </w:rPr>
        <w:t xml:space="preserve"> have been </w:t>
      </w:r>
      <w:r w:rsidR="00C33F28" w:rsidRPr="0089351A">
        <w:rPr>
          <w:rFonts w:asciiTheme="majorBidi" w:hAnsiTheme="majorBidi" w:cstheme="majorBidi"/>
          <w:sz w:val="24"/>
          <w:szCs w:val="24"/>
        </w:rPr>
        <w:t xml:space="preserve">confirmed, </w:t>
      </w:r>
      <w:r w:rsidR="00C121C6" w:rsidRPr="0089351A">
        <w:rPr>
          <w:rFonts w:asciiTheme="majorBidi" w:hAnsiTheme="majorBidi" w:cstheme="majorBidi"/>
          <w:sz w:val="24"/>
          <w:szCs w:val="24"/>
        </w:rPr>
        <w:t>amplified and supplemented by numerous works</w:t>
      </w:r>
      <w:r w:rsidR="00447A96" w:rsidRPr="0089351A">
        <w:rPr>
          <w:rFonts w:asciiTheme="majorBidi" w:hAnsiTheme="majorBidi" w:cstheme="majorBidi"/>
          <w:sz w:val="24"/>
          <w:szCs w:val="24"/>
        </w:rPr>
        <w:t xml:space="preserve"> </w:t>
      </w:r>
      <w:r w:rsidR="00D728E6" w:rsidRPr="0089351A">
        <w:rPr>
          <w:rFonts w:asciiTheme="majorBidi" w:hAnsiTheme="majorBidi" w:cstheme="majorBidi"/>
          <w:sz w:val="24"/>
          <w:szCs w:val="24"/>
        </w:rPr>
        <w:t>by scholars taking</w:t>
      </w:r>
      <w:r w:rsidR="0031454E" w:rsidRPr="0089351A">
        <w:rPr>
          <w:rFonts w:asciiTheme="majorBidi" w:hAnsiTheme="majorBidi" w:cstheme="majorBidi"/>
          <w:sz w:val="24"/>
          <w:szCs w:val="24"/>
        </w:rPr>
        <w:t xml:space="preserve"> a </w:t>
      </w:r>
      <w:r w:rsidR="00D728E6" w:rsidRPr="0089351A">
        <w:rPr>
          <w:rFonts w:asciiTheme="majorBidi" w:hAnsiTheme="majorBidi" w:cstheme="majorBidi"/>
          <w:sz w:val="24"/>
          <w:szCs w:val="24"/>
        </w:rPr>
        <w:t>range of different perspectives</w:t>
      </w:r>
      <w:r w:rsidR="00C121C6" w:rsidRPr="0089351A">
        <w:rPr>
          <w:rFonts w:asciiTheme="majorBidi" w:hAnsiTheme="majorBidi" w:cstheme="majorBidi"/>
          <w:sz w:val="24"/>
          <w:szCs w:val="24"/>
        </w:rPr>
        <w:t xml:space="preserve">. </w:t>
      </w:r>
      <w:r w:rsidR="00FE6F75" w:rsidRPr="0089351A">
        <w:rPr>
          <w:rFonts w:asciiTheme="majorBidi" w:hAnsiTheme="majorBidi" w:cstheme="majorBidi"/>
          <w:sz w:val="24"/>
          <w:szCs w:val="24"/>
        </w:rPr>
        <w:t>First</w:t>
      </w:r>
      <w:r w:rsidR="00B04FCE" w:rsidRPr="0089351A">
        <w:rPr>
          <w:rFonts w:asciiTheme="majorBidi" w:hAnsiTheme="majorBidi" w:cstheme="majorBidi"/>
          <w:sz w:val="24"/>
          <w:szCs w:val="24"/>
        </w:rPr>
        <w:t>,</w:t>
      </w:r>
      <w:r w:rsidR="00B871DC" w:rsidRPr="0089351A">
        <w:rPr>
          <w:rFonts w:asciiTheme="majorBidi" w:hAnsiTheme="majorBidi" w:cstheme="majorBidi"/>
          <w:sz w:val="24"/>
          <w:szCs w:val="24"/>
        </w:rPr>
        <w:t xml:space="preserve"> </w:t>
      </w:r>
      <w:r w:rsidR="00B04FCE" w:rsidRPr="0089351A">
        <w:rPr>
          <w:rFonts w:asciiTheme="majorBidi" w:hAnsiTheme="majorBidi" w:cstheme="majorBidi"/>
          <w:sz w:val="24"/>
          <w:szCs w:val="24"/>
        </w:rPr>
        <w:t xml:space="preserve">the unusually high rate of return on capital enjoyed by slave owners </w:t>
      </w:r>
      <w:r w:rsidR="006A6FA6" w:rsidRPr="0089351A">
        <w:rPr>
          <w:rFonts w:asciiTheme="majorBidi" w:hAnsiTheme="majorBidi" w:cstheme="majorBidi"/>
          <w:sz w:val="24"/>
          <w:szCs w:val="24"/>
        </w:rPr>
        <w:t>including in these colonies built</w:t>
      </w:r>
      <w:r w:rsidR="00D728E6" w:rsidRPr="0089351A">
        <w:rPr>
          <w:rFonts w:asciiTheme="majorBidi" w:hAnsiTheme="majorBidi" w:cstheme="majorBidi"/>
          <w:sz w:val="24"/>
          <w:szCs w:val="24"/>
        </w:rPr>
        <w:t xml:space="preserve"> the foundations of their wealth </w:t>
      </w:r>
      <w:r w:rsidR="006A6FA6" w:rsidRPr="0089351A">
        <w:rPr>
          <w:rFonts w:asciiTheme="majorBidi" w:hAnsiTheme="majorBidi" w:cstheme="majorBidi"/>
          <w:sz w:val="24"/>
          <w:szCs w:val="24"/>
        </w:rPr>
        <w:t xml:space="preserve">maintained </w:t>
      </w:r>
      <w:r w:rsidR="00D728E6" w:rsidRPr="0089351A">
        <w:rPr>
          <w:rFonts w:asciiTheme="majorBidi" w:hAnsiTheme="majorBidi" w:cstheme="majorBidi"/>
          <w:sz w:val="24"/>
          <w:szCs w:val="24"/>
        </w:rPr>
        <w:t>across subsequent centuries</w:t>
      </w:r>
      <w:r w:rsidR="00371EC8" w:rsidRPr="0089351A">
        <w:rPr>
          <w:rFonts w:asciiTheme="majorBidi" w:hAnsiTheme="majorBidi" w:cstheme="majorBidi"/>
          <w:sz w:val="24"/>
          <w:szCs w:val="24"/>
        </w:rPr>
        <w:t>.</w:t>
      </w:r>
      <w:r w:rsidR="00E424C8" w:rsidRPr="0089351A">
        <w:rPr>
          <w:rStyle w:val="FootnoteReference"/>
          <w:rFonts w:asciiTheme="majorBidi" w:hAnsiTheme="majorBidi" w:cstheme="majorBidi"/>
          <w:sz w:val="24"/>
          <w:szCs w:val="24"/>
        </w:rPr>
        <w:footnoteReference w:id="69"/>
      </w:r>
      <w:r w:rsidR="00B04FCE" w:rsidRPr="0089351A">
        <w:rPr>
          <w:rFonts w:asciiTheme="majorBidi" w:hAnsiTheme="majorBidi" w:cstheme="majorBidi"/>
          <w:sz w:val="24"/>
          <w:szCs w:val="24"/>
        </w:rPr>
        <w:t xml:space="preserve"> </w:t>
      </w:r>
      <w:r w:rsidR="00FE6F75" w:rsidRPr="0089351A">
        <w:rPr>
          <w:rFonts w:asciiTheme="majorBidi" w:hAnsiTheme="majorBidi" w:cstheme="majorBidi"/>
          <w:sz w:val="24"/>
          <w:szCs w:val="24"/>
        </w:rPr>
        <w:t>Second, i</w:t>
      </w:r>
      <w:r w:rsidR="00B04FCE" w:rsidRPr="0089351A">
        <w:rPr>
          <w:rFonts w:asciiTheme="majorBidi" w:hAnsiTheme="majorBidi" w:cstheme="majorBidi"/>
          <w:sz w:val="24"/>
          <w:szCs w:val="24"/>
        </w:rPr>
        <w:t xml:space="preserve">t </w:t>
      </w:r>
      <w:r w:rsidR="006A6FA6" w:rsidRPr="0089351A">
        <w:rPr>
          <w:rFonts w:asciiTheme="majorBidi" w:hAnsiTheme="majorBidi" w:cstheme="majorBidi"/>
          <w:sz w:val="24"/>
          <w:szCs w:val="24"/>
        </w:rPr>
        <w:t>has been demonstrated</w:t>
      </w:r>
      <w:r w:rsidR="00B871DC" w:rsidRPr="0089351A">
        <w:rPr>
          <w:rFonts w:asciiTheme="majorBidi" w:hAnsiTheme="majorBidi" w:cstheme="majorBidi"/>
          <w:sz w:val="24"/>
          <w:szCs w:val="24"/>
        </w:rPr>
        <w:t xml:space="preserve"> that slavery itself was illegal</w:t>
      </w:r>
      <w:r w:rsidR="008B2D07" w:rsidRPr="0089351A">
        <w:rPr>
          <w:rFonts w:asciiTheme="majorBidi" w:hAnsiTheme="majorBidi" w:cstheme="majorBidi"/>
          <w:sz w:val="24"/>
          <w:szCs w:val="24"/>
        </w:rPr>
        <w:t>ly continued</w:t>
      </w:r>
      <w:r w:rsidR="00B871DC" w:rsidRPr="0089351A">
        <w:rPr>
          <w:rFonts w:asciiTheme="majorBidi" w:hAnsiTheme="majorBidi" w:cstheme="majorBidi"/>
          <w:sz w:val="24"/>
          <w:szCs w:val="24"/>
        </w:rPr>
        <w:t xml:space="preserve"> for a period under French rule</w:t>
      </w:r>
      <w:r w:rsidR="008B2D07" w:rsidRPr="0089351A">
        <w:rPr>
          <w:rFonts w:asciiTheme="majorBidi" w:hAnsiTheme="majorBidi" w:cstheme="majorBidi"/>
          <w:sz w:val="24"/>
          <w:szCs w:val="24"/>
        </w:rPr>
        <w:t xml:space="preserve"> despite its repudiation by the metropolitan government</w:t>
      </w:r>
      <w:r w:rsidR="006A6FA6" w:rsidRPr="0089351A">
        <w:rPr>
          <w:rFonts w:asciiTheme="majorBidi" w:hAnsiTheme="majorBidi" w:cstheme="majorBidi"/>
          <w:sz w:val="24"/>
          <w:szCs w:val="24"/>
        </w:rPr>
        <w:t>. This calls into question the prominent argument against reparations that slavery was ‘legal at the time’. D</w:t>
      </w:r>
      <w:r w:rsidR="00B871DC" w:rsidRPr="0089351A">
        <w:rPr>
          <w:rFonts w:asciiTheme="majorBidi" w:hAnsiTheme="majorBidi" w:cstheme="majorBidi"/>
          <w:sz w:val="24"/>
          <w:szCs w:val="24"/>
        </w:rPr>
        <w:t>etailed examination of French and English law</w:t>
      </w:r>
      <w:r w:rsidR="006A6FA6" w:rsidRPr="0089351A">
        <w:rPr>
          <w:rFonts w:asciiTheme="majorBidi" w:hAnsiTheme="majorBidi" w:cstheme="majorBidi"/>
          <w:sz w:val="24"/>
          <w:szCs w:val="24"/>
        </w:rPr>
        <w:t xml:space="preserve"> by the same researchers</w:t>
      </w:r>
      <w:r w:rsidR="00B871DC" w:rsidRPr="0089351A">
        <w:rPr>
          <w:rFonts w:asciiTheme="majorBidi" w:hAnsiTheme="majorBidi" w:cstheme="majorBidi"/>
          <w:sz w:val="24"/>
          <w:szCs w:val="24"/>
        </w:rPr>
        <w:t xml:space="preserve"> suggests that legal grounds exist for reparations demands and even court cases aimed at France and Britain</w:t>
      </w:r>
      <w:r w:rsidR="00371EC8" w:rsidRPr="0089351A">
        <w:rPr>
          <w:rFonts w:asciiTheme="majorBidi" w:hAnsiTheme="majorBidi" w:cstheme="majorBidi"/>
          <w:sz w:val="24"/>
          <w:szCs w:val="24"/>
        </w:rPr>
        <w:t>.</w:t>
      </w:r>
      <w:r w:rsidR="00E424C8" w:rsidRPr="0089351A">
        <w:rPr>
          <w:rStyle w:val="FootnoteReference"/>
          <w:rFonts w:asciiTheme="majorBidi" w:hAnsiTheme="majorBidi" w:cstheme="majorBidi"/>
          <w:sz w:val="24"/>
          <w:szCs w:val="24"/>
        </w:rPr>
        <w:footnoteReference w:id="70"/>
      </w:r>
      <w:r w:rsidR="00B871DC" w:rsidRPr="0089351A">
        <w:rPr>
          <w:rFonts w:asciiTheme="majorBidi" w:hAnsiTheme="majorBidi" w:cstheme="majorBidi"/>
          <w:sz w:val="24"/>
          <w:szCs w:val="24"/>
        </w:rPr>
        <w:t xml:space="preserve"> </w:t>
      </w:r>
      <w:r w:rsidR="00FE6F75" w:rsidRPr="0089351A">
        <w:rPr>
          <w:rFonts w:asciiTheme="majorBidi" w:hAnsiTheme="majorBidi" w:cstheme="majorBidi"/>
          <w:sz w:val="24"/>
          <w:szCs w:val="24"/>
        </w:rPr>
        <w:t xml:space="preserve">Third, indentured labourers’ earnings were </w:t>
      </w:r>
      <w:r w:rsidR="00FE6F75" w:rsidRPr="0089351A">
        <w:rPr>
          <w:rFonts w:asciiTheme="majorBidi" w:hAnsiTheme="majorBidi" w:cstheme="majorBidi"/>
          <w:sz w:val="24"/>
          <w:szCs w:val="24"/>
        </w:rPr>
        <w:lastRenderedPageBreak/>
        <w:t>always threatened by strong labour market competition</w:t>
      </w:r>
      <w:r w:rsidR="006A6FA6" w:rsidRPr="0089351A">
        <w:rPr>
          <w:rFonts w:asciiTheme="majorBidi" w:hAnsiTheme="majorBidi" w:cstheme="majorBidi"/>
          <w:sz w:val="24"/>
          <w:szCs w:val="24"/>
        </w:rPr>
        <w:t xml:space="preserve"> from unfree labour</w:t>
      </w:r>
      <w:r w:rsidR="00371EC8" w:rsidRPr="0089351A">
        <w:rPr>
          <w:rFonts w:asciiTheme="majorBidi" w:hAnsiTheme="majorBidi" w:cstheme="majorBidi"/>
          <w:sz w:val="24"/>
          <w:szCs w:val="24"/>
        </w:rPr>
        <w:t>.</w:t>
      </w:r>
      <w:r w:rsidR="00E424C8" w:rsidRPr="0089351A">
        <w:rPr>
          <w:rFonts w:asciiTheme="majorBidi" w:hAnsiTheme="majorBidi" w:cstheme="majorBidi"/>
          <w:sz w:val="24"/>
          <w:szCs w:val="24"/>
        </w:rPr>
        <w:t xml:space="preserve"> </w:t>
      </w:r>
      <w:r w:rsidR="00E424C8" w:rsidRPr="0089351A">
        <w:rPr>
          <w:rStyle w:val="FootnoteReference"/>
          <w:rFonts w:asciiTheme="majorBidi" w:hAnsiTheme="majorBidi" w:cstheme="majorBidi"/>
          <w:sz w:val="24"/>
          <w:szCs w:val="24"/>
        </w:rPr>
        <w:footnoteReference w:id="71"/>
      </w:r>
      <w:r w:rsidR="00FE6F75" w:rsidRPr="0089351A">
        <w:rPr>
          <w:rFonts w:asciiTheme="majorBidi" w:hAnsiTheme="majorBidi" w:cstheme="majorBidi"/>
          <w:sz w:val="24"/>
          <w:szCs w:val="24"/>
        </w:rPr>
        <w:t>P</w:t>
      </w:r>
      <w:r w:rsidR="00F47C58" w:rsidRPr="0089351A">
        <w:rPr>
          <w:rFonts w:asciiTheme="majorBidi" w:hAnsiTheme="majorBidi" w:cstheme="majorBidi"/>
          <w:sz w:val="24"/>
          <w:szCs w:val="24"/>
        </w:rPr>
        <w:t>ost</w:t>
      </w:r>
      <w:r w:rsidR="008B2D07" w:rsidRPr="0089351A">
        <w:rPr>
          <w:rFonts w:asciiTheme="majorBidi" w:hAnsiTheme="majorBidi" w:cstheme="majorBidi"/>
          <w:sz w:val="24"/>
          <w:szCs w:val="24"/>
        </w:rPr>
        <w:t>-</w:t>
      </w:r>
      <w:r w:rsidR="00F47C58" w:rsidRPr="0089351A">
        <w:rPr>
          <w:rFonts w:asciiTheme="majorBidi" w:hAnsiTheme="majorBidi" w:cstheme="majorBidi"/>
          <w:sz w:val="24"/>
          <w:szCs w:val="24"/>
        </w:rPr>
        <w:t>emancipa</w:t>
      </w:r>
      <w:r w:rsidR="00B871DC" w:rsidRPr="0089351A">
        <w:rPr>
          <w:rFonts w:asciiTheme="majorBidi" w:hAnsiTheme="majorBidi" w:cstheme="majorBidi"/>
          <w:sz w:val="24"/>
          <w:szCs w:val="24"/>
        </w:rPr>
        <w:t xml:space="preserve">tion, the replacement of slavery in the Western Indian Ocean by closely related ‘other forms of </w:t>
      </w:r>
      <w:r w:rsidR="001246A2" w:rsidRPr="0089351A">
        <w:rPr>
          <w:rFonts w:asciiTheme="majorBidi" w:hAnsiTheme="majorBidi" w:cstheme="majorBidi"/>
          <w:sz w:val="24"/>
          <w:szCs w:val="24"/>
        </w:rPr>
        <w:t>servitude’ and</w:t>
      </w:r>
      <w:r w:rsidR="006A6FA6" w:rsidRPr="0089351A">
        <w:rPr>
          <w:rFonts w:asciiTheme="majorBidi" w:hAnsiTheme="majorBidi" w:cstheme="majorBidi"/>
          <w:sz w:val="24"/>
          <w:szCs w:val="24"/>
        </w:rPr>
        <w:t xml:space="preserve"> their longevity in the region has been painstakingly documented.</w:t>
      </w:r>
      <w:r w:rsidR="00E424C8" w:rsidRPr="0089351A">
        <w:rPr>
          <w:rStyle w:val="FootnoteReference"/>
          <w:rFonts w:asciiTheme="majorBidi" w:hAnsiTheme="majorBidi" w:cstheme="majorBidi"/>
          <w:sz w:val="24"/>
          <w:szCs w:val="24"/>
        </w:rPr>
        <w:footnoteReference w:id="72"/>
      </w:r>
      <w:r w:rsidR="00F47C58" w:rsidRPr="0089351A">
        <w:rPr>
          <w:rFonts w:asciiTheme="majorBidi" w:hAnsiTheme="majorBidi" w:cstheme="majorBidi"/>
          <w:sz w:val="24"/>
          <w:szCs w:val="24"/>
        </w:rPr>
        <w:t xml:space="preserve"> The other labour forms</w:t>
      </w:r>
      <w:r w:rsidR="00B871DC" w:rsidRPr="0089351A">
        <w:rPr>
          <w:rFonts w:asciiTheme="majorBidi" w:hAnsiTheme="majorBidi" w:cstheme="majorBidi"/>
          <w:sz w:val="24"/>
          <w:szCs w:val="24"/>
        </w:rPr>
        <w:t xml:space="preserve"> included extension of the pre-revolutionary French </w:t>
      </w:r>
      <w:proofErr w:type="spellStart"/>
      <w:r w:rsidR="00B871DC" w:rsidRPr="0089351A">
        <w:rPr>
          <w:rFonts w:asciiTheme="majorBidi" w:hAnsiTheme="majorBidi" w:cstheme="majorBidi"/>
          <w:i/>
          <w:iCs/>
          <w:sz w:val="24"/>
          <w:szCs w:val="24"/>
        </w:rPr>
        <w:t>corvée</w:t>
      </w:r>
      <w:proofErr w:type="spellEnd"/>
      <w:r w:rsidR="00B871DC" w:rsidRPr="0089351A">
        <w:rPr>
          <w:rFonts w:asciiTheme="majorBidi" w:hAnsiTheme="majorBidi" w:cstheme="majorBidi"/>
          <w:sz w:val="24"/>
          <w:szCs w:val="24"/>
        </w:rPr>
        <w:t xml:space="preserve"> system under which landowners lent slaves or later indentured labourers to the government to construct roads</w:t>
      </w:r>
      <w:r w:rsidR="008B2D07" w:rsidRPr="0089351A">
        <w:rPr>
          <w:rFonts w:asciiTheme="majorBidi" w:hAnsiTheme="majorBidi" w:cstheme="majorBidi"/>
          <w:sz w:val="24"/>
          <w:szCs w:val="24"/>
        </w:rPr>
        <w:t>,</w:t>
      </w:r>
      <w:r w:rsidR="00B871DC" w:rsidRPr="0089351A">
        <w:rPr>
          <w:rFonts w:asciiTheme="majorBidi" w:hAnsiTheme="majorBidi" w:cstheme="majorBidi"/>
          <w:sz w:val="24"/>
          <w:szCs w:val="24"/>
        </w:rPr>
        <w:t xml:space="preserve"> and the extensive use of</w:t>
      </w:r>
      <w:r w:rsidR="00010A2C" w:rsidRPr="0089351A">
        <w:rPr>
          <w:rFonts w:asciiTheme="majorBidi" w:hAnsiTheme="majorBidi" w:cstheme="majorBidi"/>
          <w:sz w:val="24"/>
          <w:szCs w:val="24"/>
        </w:rPr>
        <w:t xml:space="preserve"> </w:t>
      </w:r>
      <w:r w:rsidR="00B871DC" w:rsidRPr="0089351A">
        <w:rPr>
          <w:rFonts w:asciiTheme="majorBidi" w:hAnsiTheme="majorBidi" w:cstheme="majorBidi"/>
          <w:sz w:val="24"/>
          <w:szCs w:val="24"/>
        </w:rPr>
        <w:t>convict labour</w:t>
      </w:r>
      <w:r w:rsidR="00010A2C" w:rsidRPr="0089351A">
        <w:rPr>
          <w:rFonts w:asciiTheme="majorBidi" w:hAnsiTheme="majorBidi" w:cstheme="majorBidi"/>
          <w:sz w:val="24"/>
          <w:szCs w:val="24"/>
        </w:rPr>
        <w:t xml:space="preserve"> often transported from elsewhere in the </w:t>
      </w:r>
      <w:r w:rsidR="00394E89" w:rsidRPr="0089351A">
        <w:rPr>
          <w:rFonts w:asciiTheme="majorBidi" w:hAnsiTheme="majorBidi" w:cstheme="majorBidi"/>
          <w:sz w:val="24"/>
          <w:szCs w:val="24"/>
        </w:rPr>
        <w:t>British Empire</w:t>
      </w:r>
      <w:r w:rsidR="00371EC8" w:rsidRPr="0089351A">
        <w:rPr>
          <w:rFonts w:asciiTheme="majorBidi" w:hAnsiTheme="majorBidi" w:cstheme="majorBidi"/>
          <w:sz w:val="24"/>
          <w:szCs w:val="24"/>
        </w:rPr>
        <w:t>.</w:t>
      </w:r>
      <w:r w:rsidR="00E424C8" w:rsidRPr="0089351A">
        <w:rPr>
          <w:rStyle w:val="FootnoteReference"/>
          <w:rFonts w:asciiTheme="majorBidi" w:hAnsiTheme="majorBidi" w:cstheme="majorBidi"/>
          <w:sz w:val="24"/>
          <w:szCs w:val="24"/>
        </w:rPr>
        <w:footnoteReference w:id="73"/>
      </w:r>
      <w:r w:rsidR="001F3116" w:rsidRPr="0089351A">
        <w:rPr>
          <w:rFonts w:asciiTheme="majorBidi" w:hAnsiTheme="majorBidi" w:cstheme="majorBidi"/>
          <w:sz w:val="24"/>
          <w:szCs w:val="24"/>
        </w:rPr>
        <w:t xml:space="preserve"> </w:t>
      </w:r>
      <w:r w:rsidR="00FE6F75" w:rsidRPr="0089351A">
        <w:rPr>
          <w:rFonts w:asciiTheme="majorBidi" w:hAnsiTheme="majorBidi" w:cstheme="majorBidi"/>
          <w:sz w:val="24"/>
          <w:szCs w:val="24"/>
        </w:rPr>
        <w:t>Fourth, t</w:t>
      </w:r>
      <w:r w:rsidR="006A6FA6" w:rsidRPr="0089351A">
        <w:rPr>
          <w:rFonts w:asciiTheme="majorBidi" w:hAnsiTheme="majorBidi" w:cstheme="majorBidi"/>
          <w:sz w:val="24"/>
          <w:szCs w:val="24"/>
        </w:rPr>
        <w:t>he</w:t>
      </w:r>
      <w:r w:rsidR="00C33F28" w:rsidRPr="0089351A">
        <w:rPr>
          <w:rFonts w:asciiTheme="majorBidi" w:hAnsiTheme="majorBidi" w:cstheme="majorBidi"/>
          <w:sz w:val="24"/>
          <w:szCs w:val="24"/>
        </w:rPr>
        <w:t xml:space="preserve"> persistence of a ‘master and servant’ conception of the employment relationship after the abolition of slavery in Mauritius and the Indian Ocean region have </w:t>
      </w:r>
      <w:r w:rsidR="00B871DC" w:rsidRPr="0089351A">
        <w:rPr>
          <w:rFonts w:asciiTheme="majorBidi" w:hAnsiTheme="majorBidi" w:cstheme="majorBidi"/>
          <w:sz w:val="24"/>
          <w:szCs w:val="24"/>
        </w:rPr>
        <w:t xml:space="preserve">also </w:t>
      </w:r>
      <w:r w:rsidR="00C33F28" w:rsidRPr="0089351A">
        <w:rPr>
          <w:rFonts w:asciiTheme="majorBidi" w:hAnsiTheme="majorBidi" w:cstheme="majorBidi"/>
          <w:sz w:val="24"/>
          <w:szCs w:val="24"/>
        </w:rPr>
        <w:t>been</w:t>
      </w:r>
      <w:r w:rsidR="00815DEC" w:rsidRPr="0089351A">
        <w:rPr>
          <w:rFonts w:asciiTheme="majorBidi" w:hAnsiTheme="majorBidi" w:cstheme="majorBidi"/>
          <w:sz w:val="24"/>
          <w:szCs w:val="24"/>
        </w:rPr>
        <w:t xml:space="preserve"> extensively documented</w:t>
      </w:r>
      <w:r w:rsidR="005D71E4" w:rsidRPr="0089351A">
        <w:rPr>
          <w:rFonts w:asciiTheme="majorBidi" w:hAnsiTheme="majorBidi" w:cstheme="majorBidi"/>
          <w:sz w:val="24"/>
          <w:szCs w:val="24"/>
        </w:rPr>
        <w:t xml:space="preserve">, along with the persistence of </w:t>
      </w:r>
      <w:r w:rsidR="00394E89" w:rsidRPr="0089351A">
        <w:rPr>
          <w:rFonts w:asciiTheme="majorBidi" w:hAnsiTheme="majorBidi" w:cstheme="majorBidi"/>
          <w:sz w:val="24"/>
          <w:szCs w:val="24"/>
        </w:rPr>
        <w:t>pervasive discrimination against former</w:t>
      </w:r>
      <w:r w:rsidR="005D71E4" w:rsidRPr="0089351A">
        <w:rPr>
          <w:rFonts w:asciiTheme="majorBidi" w:hAnsiTheme="majorBidi" w:cstheme="majorBidi"/>
          <w:sz w:val="24"/>
          <w:szCs w:val="24"/>
        </w:rPr>
        <w:t xml:space="preserve"> slaves </w:t>
      </w:r>
      <w:r w:rsidR="00257973" w:rsidRPr="0089351A">
        <w:rPr>
          <w:rFonts w:asciiTheme="majorBidi" w:hAnsiTheme="majorBidi" w:cstheme="majorBidi"/>
          <w:sz w:val="24"/>
          <w:szCs w:val="24"/>
        </w:rPr>
        <w:t>and those of African ethnic origin</w:t>
      </w:r>
      <w:r w:rsidR="00815DEC" w:rsidRPr="0089351A">
        <w:rPr>
          <w:rFonts w:asciiTheme="majorBidi" w:hAnsiTheme="majorBidi" w:cstheme="majorBidi"/>
          <w:sz w:val="24"/>
          <w:szCs w:val="24"/>
        </w:rPr>
        <w:t xml:space="preserve"> (</w:t>
      </w:r>
      <w:proofErr w:type="spellStart"/>
      <w:r w:rsidR="00272601" w:rsidRPr="0089351A">
        <w:rPr>
          <w:rFonts w:asciiTheme="majorBidi" w:hAnsiTheme="majorBidi" w:cstheme="majorBidi"/>
          <w:sz w:val="24"/>
          <w:szCs w:val="24"/>
        </w:rPr>
        <w:t>Stanziani</w:t>
      </w:r>
      <w:proofErr w:type="spellEnd"/>
      <w:r w:rsidR="00272601" w:rsidRPr="0089351A">
        <w:rPr>
          <w:rFonts w:asciiTheme="majorBidi" w:hAnsiTheme="majorBidi" w:cstheme="majorBidi"/>
          <w:sz w:val="24"/>
          <w:szCs w:val="24"/>
        </w:rPr>
        <w:t>, 2014</w:t>
      </w:r>
      <w:r w:rsidR="00257973" w:rsidRPr="0089351A">
        <w:rPr>
          <w:rFonts w:asciiTheme="majorBidi" w:hAnsiTheme="majorBidi" w:cstheme="majorBidi"/>
          <w:sz w:val="24"/>
          <w:szCs w:val="24"/>
        </w:rPr>
        <w:t>: 194</w:t>
      </w:r>
      <w:r w:rsidR="00272601" w:rsidRPr="0089351A">
        <w:rPr>
          <w:rFonts w:asciiTheme="majorBidi" w:hAnsiTheme="majorBidi" w:cstheme="majorBidi"/>
          <w:sz w:val="24"/>
          <w:szCs w:val="24"/>
        </w:rPr>
        <w:t>)</w:t>
      </w:r>
      <w:r w:rsidR="00371EC8" w:rsidRPr="0089351A">
        <w:rPr>
          <w:rFonts w:asciiTheme="majorBidi" w:hAnsiTheme="majorBidi" w:cstheme="majorBidi"/>
          <w:sz w:val="24"/>
          <w:szCs w:val="24"/>
        </w:rPr>
        <w:t>.</w:t>
      </w:r>
      <w:r w:rsidR="00E424C8" w:rsidRPr="0089351A">
        <w:rPr>
          <w:rStyle w:val="FootnoteReference"/>
          <w:rFonts w:asciiTheme="majorBidi" w:hAnsiTheme="majorBidi" w:cstheme="majorBidi"/>
          <w:sz w:val="24"/>
          <w:szCs w:val="24"/>
        </w:rPr>
        <w:footnoteReference w:id="74"/>
      </w:r>
      <w:r w:rsidR="00257973" w:rsidRPr="0089351A">
        <w:rPr>
          <w:rFonts w:asciiTheme="majorBidi" w:hAnsiTheme="majorBidi" w:cstheme="majorBidi"/>
          <w:sz w:val="24"/>
          <w:szCs w:val="24"/>
        </w:rPr>
        <w:t xml:space="preserve"> </w:t>
      </w:r>
      <w:r w:rsidR="006A6FA6" w:rsidRPr="0089351A">
        <w:rPr>
          <w:rFonts w:asciiTheme="majorBidi" w:hAnsiTheme="majorBidi" w:cstheme="majorBidi"/>
          <w:sz w:val="24"/>
          <w:szCs w:val="24"/>
        </w:rPr>
        <w:t>It was these realities that led some Victorians to argue that labour conditions had not improved despite slavery’s abolition.</w:t>
      </w:r>
      <w:r w:rsidR="00037E9A" w:rsidRPr="0089351A">
        <w:rPr>
          <w:rFonts w:asciiTheme="majorBidi" w:hAnsiTheme="majorBidi" w:cstheme="majorBidi"/>
          <w:sz w:val="24"/>
          <w:szCs w:val="24"/>
        </w:rPr>
        <w:t xml:space="preserve"> It took a century after abolition for action from below to challenge these relationships and the comparatively low pay that they entailed. </w:t>
      </w:r>
      <w:r w:rsidR="00FE6F75" w:rsidRPr="0089351A">
        <w:rPr>
          <w:rFonts w:asciiTheme="majorBidi" w:hAnsiTheme="majorBidi" w:cstheme="majorBidi"/>
          <w:sz w:val="24"/>
          <w:szCs w:val="24"/>
        </w:rPr>
        <w:t>Fifth, t</w:t>
      </w:r>
      <w:r w:rsidR="009B0B13" w:rsidRPr="0089351A">
        <w:rPr>
          <w:rFonts w:asciiTheme="majorBidi" w:hAnsiTheme="majorBidi" w:cstheme="majorBidi"/>
          <w:sz w:val="24"/>
          <w:szCs w:val="24"/>
        </w:rPr>
        <w:t>he</w:t>
      </w:r>
      <w:r w:rsidR="001F3116" w:rsidRPr="0089351A">
        <w:rPr>
          <w:rFonts w:asciiTheme="majorBidi" w:hAnsiTheme="majorBidi" w:cstheme="majorBidi"/>
          <w:sz w:val="24"/>
          <w:szCs w:val="24"/>
        </w:rPr>
        <w:t xml:space="preserve"> channels through which</w:t>
      </w:r>
      <w:r w:rsidR="00DC6AB1" w:rsidRPr="0089351A">
        <w:rPr>
          <w:rFonts w:asciiTheme="majorBidi" w:hAnsiTheme="majorBidi" w:cstheme="majorBidi"/>
          <w:sz w:val="24"/>
          <w:szCs w:val="24"/>
        </w:rPr>
        <w:t xml:space="preserve"> </w:t>
      </w:r>
      <w:r w:rsidR="00394E89" w:rsidRPr="0089351A">
        <w:rPr>
          <w:rFonts w:asciiTheme="majorBidi" w:hAnsiTheme="majorBidi" w:cstheme="majorBidi"/>
          <w:sz w:val="24"/>
          <w:szCs w:val="24"/>
        </w:rPr>
        <w:t>the Franco-Mauritian e</w:t>
      </w:r>
      <w:r w:rsidR="00DC6AB1" w:rsidRPr="0089351A">
        <w:rPr>
          <w:rFonts w:asciiTheme="majorBidi" w:hAnsiTheme="majorBidi" w:cstheme="majorBidi"/>
          <w:sz w:val="24"/>
          <w:szCs w:val="24"/>
        </w:rPr>
        <w:t xml:space="preserve">lite </w:t>
      </w:r>
      <w:r w:rsidR="00C121C6" w:rsidRPr="0089351A">
        <w:rPr>
          <w:rFonts w:asciiTheme="majorBidi" w:hAnsiTheme="majorBidi" w:cstheme="majorBidi"/>
          <w:sz w:val="24"/>
          <w:szCs w:val="24"/>
        </w:rPr>
        <w:t xml:space="preserve">exercised </w:t>
      </w:r>
      <w:r w:rsidR="00FE6F75" w:rsidRPr="0089351A">
        <w:rPr>
          <w:rFonts w:asciiTheme="majorBidi" w:hAnsiTheme="majorBidi" w:cstheme="majorBidi"/>
          <w:sz w:val="24"/>
          <w:szCs w:val="24"/>
        </w:rPr>
        <w:t xml:space="preserve">effective </w:t>
      </w:r>
      <w:r w:rsidR="00C121C6" w:rsidRPr="0089351A">
        <w:rPr>
          <w:rFonts w:asciiTheme="majorBidi" w:hAnsiTheme="majorBidi" w:cstheme="majorBidi"/>
          <w:sz w:val="24"/>
          <w:szCs w:val="24"/>
        </w:rPr>
        <w:t xml:space="preserve">political </w:t>
      </w:r>
      <w:r w:rsidR="009B0B13" w:rsidRPr="0089351A">
        <w:rPr>
          <w:rFonts w:asciiTheme="majorBidi" w:hAnsiTheme="majorBidi" w:cstheme="majorBidi"/>
          <w:sz w:val="24"/>
          <w:szCs w:val="24"/>
        </w:rPr>
        <w:t xml:space="preserve">influence (through their majority on the colony’s governing institutions) and economic </w:t>
      </w:r>
      <w:r w:rsidR="00C121C6" w:rsidRPr="0089351A">
        <w:rPr>
          <w:rFonts w:asciiTheme="majorBidi" w:hAnsiTheme="majorBidi" w:cstheme="majorBidi"/>
          <w:sz w:val="24"/>
          <w:szCs w:val="24"/>
        </w:rPr>
        <w:t>power</w:t>
      </w:r>
      <w:r w:rsidR="009B0B13" w:rsidRPr="0089351A">
        <w:rPr>
          <w:rFonts w:asciiTheme="majorBidi" w:hAnsiTheme="majorBidi" w:cstheme="majorBidi"/>
          <w:sz w:val="24"/>
          <w:szCs w:val="24"/>
        </w:rPr>
        <w:t xml:space="preserve"> (through their employers’ association, the Sugar Syndicate)</w:t>
      </w:r>
      <w:r w:rsidR="00C121C6" w:rsidRPr="0089351A">
        <w:rPr>
          <w:rFonts w:asciiTheme="majorBidi" w:hAnsiTheme="majorBidi" w:cstheme="majorBidi"/>
          <w:sz w:val="24"/>
          <w:szCs w:val="24"/>
        </w:rPr>
        <w:t xml:space="preserve"> to restrict the scope of initial trade union legislation </w:t>
      </w:r>
      <w:r w:rsidR="000A0148" w:rsidRPr="0089351A">
        <w:rPr>
          <w:rFonts w:asciiTheme="majorBidi" w:hAnsiTheme="majorBidi" w:cstheme="majorBidi"/>
          <w:sz w:val="24"/>
          <w:szCs w:val="24"/>
        </w:rPr>
        <w:t xml:space="preserve">proposed by the British Governor and the Colonial Office </w:t>
      </w:r>
      <w:r w:rsidR="00C121C6" w:rsidRPr="0089351A">
        <w:rPr>
          <w:rFonts w:asciiTheme="majorBidi" w:hAnsiTheme="majorBidi" w:cstheme="majorBidi"/>
          <w:sz w:val="24"/>
          <w:szCs w:val="24"/>
        </w:rPr>
        <w:t xml:space="preserve">in the critical 1937-1938 period </w:t>
      </w:r>
      <w:r w:rsidR="001F3116" w:rsidRPr="0089351A">
        <w:rPr>
          <w:rFonts w:asciiTheme="majorBidi" w:hAnsiTheme="majorBidi" w:cstheme="majorBidi"/>
          <w:sz w:val="24"/>
          <w:szCs w:val="24"/>
        </w:rPr>
        <w:t>have also been explored</w:t>
      </w:r>
      <w:r w:rsidR="00EC78C1" w:rsidRPr="0089351A">
        <w:rPr>
          <w:rFonts w:asciiTheme="majorBidi" w:hAnsiTheme="majorBidi" w:cstheme="majorBidi"/>
          <w:sz w:val="24"/>
          <w:szCs w:val="24"/>
        </w:rPr>
        <w:t>. The law –criticised by Colonial Office officials--severely restricted trade unions as bargaining agents, and formed the bedrock on which post-</w:t>
      </w:r>
      <w:r w:rsidR="00EC78C1" w:rsidRPr="0089351A">
        <w:rPr>
          <w:rFonts w:asciiTheme="majorBidi" w:hAnsiTheme="majorBidi" w:cstheme="majorBidi"/>
          <w:sz w:val="24"/>
          <w:szCs w:val="24"/>
        </w:rPr>
        <w:lastRenderedPageBreak/>
        <w:t>colonial legislation was built</w:t>
      </w:r>
      <w:r w:rsidR="00371EC8" w:rsidRPr="0089351A">
        <w:rPr>
          <w:rFonts w:asciiTheme="majorBidi" w:hAnsiTheme="majorBidi" w:cstheme="majorBidi"/>
          <w:sz w:val="24"/>
          <w:szCs w:val="24"/>
        </w:rPr>
        <w:t>.</w:t>
      </w:r>
      <w:r w:rsidR="00E424C8" w:rsidRPr="0089351A">
        <w:rPr>
          <w:rStyle w:val="FootnoteReference"/>
          <w:rFonts w:asciiTheme="majorBidi" w:hAnsiTheme="majorBidi" w:cstheme="majorBidi"/>
          <w:sz w:val="24"/>
          <w:szCs w:val="24"/>
        </w:rPr>
        <w:footnoteReference w:id="75"/>
      </w:r>
      <w:r w:rsidR="00EC78C1" w:rsidRPr="0089351A">
        <w:rPr>
          <w:rFonts w:asciiTheme="majorBidi" w:hAnsiTheme="majorBidi" w:cstheme="majorBidi"/>
          <w:sz w:val="24"/>
          <w:szCs w:val="24"/>
        </w:rPr>
        <w:t xml:space="preserve"> </w:t>
      </w:r>
      <w:r w:rsidR="002B4EBF" w:rsidRPr="0089351A">
        <w:rPr>
          <w:rFonts w:asciiTheme="majorBidi" w:hAnsiTheme="majorBidi" w:cstheme="majorBidi"/>
          <w:sz w:val="24"/>
          <w:szCs w:val="24"/>
        </w:rPr>
        <w:t>None of these scholarly findings contradic</w:t>
      </w:r>
      <w:r w:rsidR="00F545C8" w:rsidRPr="0089351A">
        <w:rPr>
          <w:rFonts w:asciiTheme="majorBidi" w:hAnsiTheme="majorBidi" w:cstheme="majorBidi"/>
          <w:sz w:val="24"/>
          <w:szCs w:val="24"/>
        </w:rPr>
        <w:t>t the MTJC’</w:t>
      </w:r>
      <w:r w:rsidR="00C33F28" w:rsidRPr="0089351A">
        <w:rPr>
          <w:rFonts w:asciiTheme="majorBidi" w:hAnsiTheme="majorBidi" w:cstheme="majorBidi"/>
          <w:sz w:val="24"/>
          <w:szCs w:val="24"/>
        </w:rPr>
        <w:t>s</w:t>
      </w:r>
      <w:r w:rsidR="00F47C58" w:rsidRPr="0089351A">
        <w:rPr>
          <w:rFonts w:asciiTheme="majorBidi" w:hAnsiTheme="majorBidi" w:cstheme="majorBidi"/>
          <w:sz w:val="24"/>
          <w:szCs w:val="24"/>
        </w:rPr>
        <w:t xml:space="preserve"> account. R</w:t>
      </w:r>
      <w:r w:rsidR="00C83EC7" w:rsidRPr="0089351A">
        <w:rPr>
          <w:rFonts w:asciiTheme="majorBidi" w:hAnsiTheme="majorBidi" w:cstheme="majorBidi"/>
          <w:sz w:val="24"/>
          <w:szCs w:val="24"/>
        </w:rPr>
        <w:t xml:space="preserve">ather, they </w:t>
      </w:r>
      <w:r w:rsidR="008B2D07" w:rsidRPr="0089351A">
        <w:rPr>
          <w:rFonts w:asciiTheme="majorBidi" w:hAnsiTheme="majorBidi" w:cstheme="majorBidi"/>
          <w:sz w:val="24"/>
          <w:szCs w:val="24"/>
        </w:rPr>
        <w:t xml:space="preserve">expand and </w:t>
      </w:r>
      <w:r w:rsidR="002E1570" w:rsidRPr="0089351A">
        <w:rPr>
          <w:rFonts w:asciiTheme="majorBidi" w:hAnsiTheme="majorBidi" w:cstheme="majorBidi"/>
          <w:sz w:val="24"/>
          <w:szCs w:val="24"/>
        </w:rPr>
        <w:t>lend</w:t>
      </w:r>
      <w:r w:rsidR="009B0B13" w:rsidRPr="0089351A">
        <w:rPr>
          <w:rFonts w:asciiTheme="majorBidi" w:hAnsiTheme="majorBidi" w:cstheme="majorBidi"/>
          <w:sz w:val="24"/>
          <w:szCs w:val="24"/>
        </w:rPr>
        <w:t xml:space="preserve"> </w:t>
      </w:r>
      <w:r w:rsidR="00C83EC7" w:rsidRPr="0089351A">
        <w:rPr>
          <w:rFonts w:asciiTheme="majorBidi" w:hAnsiTheme="majorBidi" w:cstheme="majorBidi"/>
          <w:sz w:val="24"/>
          <w:szCs w:val="24"/>
        </w:rPr>
        <w:t>support</w:t>
      </w:r>
      <w:r w:rsidR="001F3116" w:rsidRPr="0089351A">
        <w:rPr>
          <w:rFonts w:asciiTheme="majorBidi" w:hAnsiTheme="majorBidi" w:cstheme="majorBidi"/>
          <w:sz w:val="24"/>
          <w:szCs w:val="24"/>
        </w:rPr>
        <w:t xml:space="preserve"> </w:t>
      </w:r>
      <w:r w:rsidR="00F47C58" w:rsidRPr="0089351A">
        <w:rPr>
          <w:rFonts w:asciiTheme="majorBidi" w:hAnsiTheme="majorBidi" w:cstheme="majorBidi"/>
          <w:sz w:val="24"/>
          <w:szCs w:val="24"/>
        </w:rPr>
        <w:t xml:space="preserve">to it </w:t>
      </w:r>
      <w:r w:rsidR="009B0B13" w:rsidRPr="0089351A">
        <w:rPr>
          <w:rFonts w:asciiTheme="majorBidi" w:hAnsiTheme="majorBidi" w:cstheme="majorBidi"/>
          <w:sz w:val="24"/>
          <w:szCs w:val="24"/>
        </w:rPr>
        <w:t>by</w:t>
      </w:r>
      <w:r w:rsidR="001F3116" w:rsidRPr="0089351A">
        <w:rPr>
          <w:rFonts w:asciiTheme="majorBidi" w:hAnsiTheme="majorBidi" w:cstheme="majorBidi"/>
          <w:sz w:val="24"/>
          <w:szCs w:val="24"/>
        </w:rPr>
        <w:t xml:space="preserve"> providing further detailed empirical underpinnings and supportive arguments</w:t>
      </w:r>
      <w:r w:rsidR="00FE6F75" w:rsidRPr="0089351A">
        <w:rPr>
          <w:rFonts w:asciiTheme="majorBidi" w:hAnsiTheme="majorBidi" w:cstheme="majorBidi"/>
          <w:sz w:val="24"/>
          <w:szCs w:val="24"/>
        </w:rPr>
        <w:t>. They collectively</w:t>
      </w:r>
      <w:r w:rsidR="00F47C58" w:rsidRPr="0089351A">
        <w:rPr>
          <w:rFonts w:asciiTheme="majorBidi" w:hAnsiTheme="majorBidi" w:cstheme="majorBidi"/>
          <w:sz w:val="24"/>
          <w:szCs w:val="24"/>
        </w:rPr>
        <w:t xml:space="preserve"> develop its depiction of the profitability of slavery and the continued long-term</w:t>
      </w:r>
      <w:r w:rsidR="00C83EC7" w:rsidRPr="0089351A">
        <w:rPr>
          <w:rFonts w:asciiTheme="majorBidi" w:hAnsiTheme="majorBidi" w:cstheme="majorBidi"/>
          <w:sz w:val="24"/>
          <w:szCs w:val="24"/>
        </w:rPr>
        <w:t xml:space="preserve"> influence of </w:t>
      </w:r>
      <w:r w:rsidR="001C68DC" w:rsidRPr="0089351A">
        <w:rPr>
          <w:rFonts w:asciiTheme="majorBidi" w:hAnsiTheme="majorBidi" w:cstheme="majorBidi"/>
          <w:sz w:val="24"/>
          <w:szCs w:val="24"/>
        </w:rPr>
        <w:t>soc</w:t>
      </w:r>
      <w:r w:rsidR="00C83EC7" w:rsidRPr="0089351A">
        <w:rPr>
          <w:rFonts w:asciiTheme="majorBidi" w:hAnsiTheme="majorBidi" w:cstheme="majorBidi"/>
          <w:sz w:val="24"/>
          <w:szCs w:val="24"/>
        </w:rPr>
        <w:t>io-economic relatio</w:t>
      </w:r>
      <w:r w:rsidR="00F47C58" w:rsidRPr="0089351A">
        <w:rPr>
          <w:rFonts w:asciiTheme="majorBidi" w:hAnsiTheme="majorBidi" w:cstheme="majorBidi"/>
          <w:sz w:val="24"/>
          <w:szCs w:val="24"/>
        </w:rPr>
        <w:t>nships established prior to formal emancipation</w:t>
      </w:r>
      <w:r w:rsidR="00C83EC7" w:rsidRPr="0089351A">
        <w:rPr>
          <w:rFonts w:asciiTheme="majorBidi" w:hAnsiTheme="majorBidi" w:cstheme="majorBidi"/>
          <w:sz w:val="24"/>
          <w:szCs w:val="24"/>
        </w:rPr>
        <w:t>.</w:t>
      </w:r>
      <w:r w:rsidR="00F545C8" w:rsidRPr="0089351A">
        <w:rPr>
          <w:rFonts w:asciiTheme="majorBidi" w:hAnsiTheme="majorBidi" w:cstheme="majorBidi"/>
          <w:sz w:val="24"/>
          <w:szCs w:val="24"/>
        </w:rPr>
        <w:t xml:space="preserve"> </w:t>
      </w:r>
      <w:r w:rsidR="001A18A3" w:rsidRPr="0089351A">
        <w:rPr>
          <w:rFonts w:asciiTheme="majorBidi" w:hAnsiTheme="majorBidi" w:cstheme="majorBidi"/>
          <w:sz w:val="24"/>
          <w:szCs w:val="24"/>
        </w:rPr>
        <w:t>Indeed</w:t>
      </w:r>
      <w:r w:rsidR="002B4EBF" w:rsidRPr="0089351A">
        <w:rPr>
          <w:rFonts w:asciiTheme="majorBidi" w:hAnsiTheme="majorBidi" w:cstheme="majorBidi"/>
          <w:sz w:val="24"/>
          <w:szCs w:val="24"/>
        </w:rPr>
        <w:t>, a</w:t>
      </w:r>
      <w:r w:rsidR="009B0B13" w:rsidRPr="0089351A">
        <w:rPr>
          <w:rFonts w:asciiTheme="majorBidi" w:hAnsiTheme="majorBidi" w:cstheme="majorBidi"/>
          <w:sz w:val="24"/>
          <w:szCs w:val="24"/>
        </w:rPr>
        <w:t>n increasingly rich and nuanced</w:t>
      </w:r>
      <w:r w:rsidR="002B4EBF" w:rsidRPr="0089351A">
        <w:rPr>
          <w:rFonts w:asciiTheme="majorBidi" w:hAnsiTheme="majorBidi" w:cstheme="majorBidi"/>
          <w:sz w:val="24"/>
          <w:szCs w:val="24"/>
        </w:rPr>
        <w:t xml:space="preserve"> picture is emerging of continuities in the history of labour</w:t>
      </w:r>
      <w:r w:rsidR="009B0B13" w:rsidRPr="0089351A">
        <w:rPr>
          <w:rFonts w:asciiTheme="majorBidi" w:hAnsiTheme="majorBidi" w:cstheme="majorBidi"/>
          <w:sz w:val="24"/>
          <w:szCs w:val="24"/>
        </w:rPr>
        <w:t>-capital relations</w:t>
      </w:r>
      <w:r w:rsidR="002B4EBF" w:rsidRPr="0089351A">
        <w:rPr>
          <w:rFonts w:asciiTheme="majorBidi" w:hAnsiTheme="majorBidi" w:cstheme="majorBidi"/>
          <w:sz w:val="24"/>
          <w:szCs w:val="24"/>
        </w:rPr>
        <w:t xml:space="preserve"> from slavery through to the present.  </w:t>
      </w:r>
      <w:r w:rsidR="00C121C6" w:rsidRPr="0089351A">
        <w:rPr>
          <w:rFonts w:asciiTheme="majorBidi" w:hAnsiTheme="majorBidi" w:cstheme="majorBidi"/>
          <w:sz w:val="24"/>
          <w:szCs w:val="24"/>
        </w:rPr>
        <w:t xml:space="preserve">   </w:t>
      </w:r>
    </w:p>
    <w:p w:rsidR="00CA5DC3" w:rsidRPr="0089351A" w:rsidRDefault="00F8539F"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    </w:t>
      </w:r>
      <w:r w:rsidR="00F27987" w:rsidRPr="0089351A">
        <w:rPr>
          <w:rFonts w:asciiTheme="majorBidi" w:hAnsiTheme="majorBidi" w:cstheme="majorBidi"/>
          <w:sz w:val="24"/>
          <w:szCs w:val="24"/>
        </w:rPr>
        <w:t xml:space="preserve">    </w:t>
      </w:r>
      <w:r w:rsidR="003C1631" w:rsidRPr="0089351A">
        <w:rPr>
          <w:rFonts w:asciiTheme="majorBidi" w:hAnsiTheme="majorBidi" w:cstheme="majorBidi"/>
          <w:sz w:val="24"/>
          <w:szCs w:val="24"/>
        </w:rPr>
        <w:t xml:space="preserve"> </w:t>
      </w:r>
      <w:r w:rsidR="00CA5DC3" w:rsidRPr="0089351A">
        <w:rPr>
          <w:rFonts w:asciiTheme="majorBidi" w:hAnsiTheme="majorBidi" w:cstheme="majorBidi"/>
          <w:sz w:val="24"/>
          <w:szCs w:val="24"/>
        </w:rPr>
        <w:t xml:space="preserve">   </w:t>
      </w:r>
    </w:p>
    <w:p w:rsidR="003C1631" w:rsidRPr="0089351A" w:rsidRDefault="009A6335"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 xml:space="preserve">MTJC </w:t>
      </w:r>
      <w:r w:rsidR="003C1631" w:rsidRPr="0089351A">
        <w:rPr>
          <w:rFonts w:asciiTheme="majorBidi" w:hAnsiTheme="majorBidi" w:cstheme="majorBidi"/>
          <w:b/>
          <w:bCs/>
          <w:sz w:val="24"/>
          <w:szCs w:val="24"/>
        </w:rPr>
        <w:t>Recommendations</w:t>
      </w:r>
      <w:r w:rsidR="0003472D" w:rsidRPr="0089351A">
        <w:rPr>
          <w:rFonts w:asciiTheme="majorBidi" w:hAnsiTheme="majorBidi" w:cstheme="majorBidi"/>
          <w:b/>
          <w:bCs/>
          <w:sz w:val="24"/>
          <w:szCs w:val="24"/>
        </w:rPr>
        <w:t xml:space="preserve"> and Results</w:t>
      </w:r>
    </w:p>
    <w:p w:rsidR="001B0500" w:rsidRPr="0089351A" w:rsidRDefault="00C71D0E"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The </w:t>
      </w:r>
      <w:r w:rsidR="00BE2C67" w:rsidRPr="0089351A">
        <w:rPr>
          <w:rFonts w:asciiTheme="majorBidi" w:hAnsiTheme="majorBidi" w:cstheme="majorBidi"/>
          <w:sz w:val="24"/>
          <w:szCs w:val="24"/>
        </w:rPr>
        <w:t>M</w:t>
      </w:r>
      <w:r w:rsidRPr="0089351A">
        <w:rPr>
          <w:rFonts w:asciiTheme="majorBidi" w:hAnsiTheme="majorBidi" w:cstheme="majorBidi"/>
          <w:sz w:val="24"/>
          <w:szCs w:val="24"/>
        </w:rPr>
        <w:t>TJC’s</w:t>
      </w:r>
      <w:r w:rsidR="001B0500" w:rsidRPr="0089351A">
        <w:rPr>
          <w:rFonts w:asciiTheme="majorBidi" w:hAnsiTheme="majorBidi" w:cstheme="majorBidi"/>
          <w:sz w:val="24"/>
          <w:szCs w:val="24"/>
        </w:rPr>
        <w:t xml:space="preserve"> terms of reference</w:t>
      </w:r>
      <w:r w:rsidR="009B0B13" w:rsidRPr="0089351A">
        <w:rPr>
          <w:rFonts w:asciiTheme="majorBidi" w:hAnsiTheme="majorBidi" w:cstheme="majorBidi"/>
          <w:sz w:val="24"/>
          <w:szCs w:val="24"/>
        </w:rPr>
        <w:t xml:space="preserve"> did not require it</w:t>
      </w:r>
      <w:r w:rsidR="00E714A4" w:rsidRPr="0089351A">
        <w:rPr>
          <w:rFonts w:asciiTheme="majorBidi" w:hAnsiTheme="majorBidi" w:cstheme="majorBidi"/>
          <w:sz w:val="24"/>
          <w:szCs w:val="24"/>
        </w:rPr>
        <w:t xml:space="preserve"> to determine</w:t>
      </w:r>
      <w:r w:rsidRPr="0089351A">
        <w:rPr>
          <w:rFonts w:asciiTheme="majorBidi" w:hAnsiTheme="majorBidi" w:cstheme="majorBidi"/>
          <w:sz w:val="24"/>
          <w:szCs w:val="24"/>
        </w:rPr>
        <w:t xml:space="preserve"> reparations to the descendants of slaves</w:t>
      </w:r>
      <w:r w:rsidR="00F47C58" w:rsidRPr="0089351A">
        <w:rPr>
          <w:rFonts w:asciiTheme="majorBidi" w:hAnsiTheme="majorBidi" w:cstheme="majorBidi"/>
          <w:sz w:val="24"/>
          <w:szCs w:val="24"/>
        </w:rPr>
        <w:t>. Nevertheless,</w:t>
      </w:r>
      <w:r w:rsidR="00E714A4" w:rsidRPr="0089351A">
        <w:rPr>
          <w:rFonts w:asciiTheme="majorBidi" w:hAnsiTheme="majorBidi" w:cstheme="majorBidi"/>
          <w:sz w:val="24"/>
          <w:szCs w:val="24"/>
        </w:rPr>
        <w:t xml:space="preserve"> </w:t>
      </w:r>
      <w:r w:rsidR="008B2D07" w:rsidRPr="0089351A">
        <w:rPr>
          <w:rFonts w:asciiTheme="majorBidi" w:hAnsiTheme="majorBidi" w:cstheme="majorBidi"/>
          <w:sz w:val="24"/>
          <w:szCs w:val="24"/>
        </w:rPr>
        <w:t xml:space="preserve">it was aware of the argument and its political significance. </w:t>
      </w:r>
      <w:r w:rsidR="009B0B13" w:rsidRPr="0089351A">
        <w:rPr>
          <w:rFonts w:asciiTheme="majorBidi" w:hAnsiTheme="majorBidi" w:cstheme="majorBidi"/>
          <w:sz w:val="24"/>
          <w:szCs w:val="24"/>
        </w:rPr>
        <w:t>All of our</w:t>
      </w:r>
      <w:r w:rsidR="004F7EF2" w:rsidRPr="0089351A">
        <w:rPr>
          <w:rFonts w:asciiTheme="majorBidi" w:hAnsiTheme="majorBidi" w:cstheme="majorBidi"/>
          <w:sz w:val="24"/>
          <w:szCs w:val="24"/>
        </w:rPr>
        <w:t xml:space="preserve"> C</w:t>
      </w:r>
      <w:r w:rsidR="009B0B13" w:rsidRPr="0089351A">
        <w:rPr>
          <w:rFonts w:asciiTheme="majorBidi" w:hAnsiTheme="majorBidi" w:cstheme="majorBidi"/>
          <w:sz w:val="24"/>
          <w:szCs w:val="24"/>
        </w:rPr>
        <w:t>reole respondents</w:t>
      </w:r>
      <w:r w:rsidR="004F7EF2" w:rsidRPr="0089351A">
        <w:rPr>
          <w:rFonts w:asciiTheme="majorBidi" w:hAnsiTheme="majorBidi" w:cstheme="majorBidi"/>
          <w:sz w:val="24"/>
          <w:szCs w:val="24"/>
        </w:rPr>
        <w:t xml:space="preserve"> expressed the view that financial compensation was an appropriate recompense for their and their ancestors’ suffering. </w:t>
      </w:r>
      <w:r w:rsidR="002E1570" w:rsidRPr="0089351A">
        <w:rPr>
          <w:rFonts w:asciiTheme="majorBidi" w:hAnsiTheme="majorBidi" w:cstheme="majorBidi"/>
          <w:sz w:val="24"/>
          <w:szCs w:val="24"/>
        </w:rPr>
        <w:t>The</w:t>
      </w:r>
      <w:r w:rsidR="009B0B13" w:rsidRPr="0089351A">
        <w:rPr>
          <w:rFonts w:asciiTheme="majorBidi" w:hAnsiTheme="majorBidi" w:cstheme="majorBidi"/>
          <w:sz w:val="24"/>
          <w:szCs w:val="24"/>
        </w:rPr>
        <w:t xml:space="preserve"> recommendations </w:t>
      </w:r>
      <w:r w:rsidR="008B2D07" w:rsidRPr="0089351A">
        <w:rPr>
          <w:rFonts w:asciiTheme="majorBidi" w:hAnsiTheme="majorBidi" w:cstheme="majorBidi"/>
          <w:sz w:val="24"/>
          <w:szCs w:val="24"/>
        </w:rPr>
        <w:t xml:space="preserve">therefore </w:t>
      </w:r>
      <w:r w:rsidR="009B0B13" w:rsidRPr="0089351A">
        <w:rPr>
          <w:rFonts w:asciiTheme="majorBidi" w:hAnsiTheme="majorBidi" w:cstheme="majorBidi"/>
          <w:sz w:val="24"/>
          <w:szCs w:val="24"/>
        </w:rPr>
        <w:t>position</w:t>
      </w:r>
      <w:r w:rsidR="000F6AA3" w:rsidRPr="0089351A">
        <w:rPr>
          <w:rFonts w:asciiTheme="majorBidi" w:hAnsiTheme="majorBidi" w:cstheme="majorBidi"/>
          <w:sz w:val="24"/>
          <w:szCs w:val="24"/>
        </w:rPr>
        <w:t>ed compensation</w:t>
      </w:r>
      <w:r w:rsidR="001B0500" w:rsidRPr="0089351A">
        <w:rPr>
          <w:rFonts w:asciiTheme="majorBidi" w:hAnsiTheme="majorBidi" w:cstheme="majorBidi"/>
          <w:sz w:val="24"/>
          <w:szCs w:val="24"/>
        </w:rPr>
        <w:t xml:space="preserve"> as an </w:t>
      </w:r>
      <w:r w:rsidR="001B0500" w:rsidRPr="0089351A">
        <w:rPr>
          <w:rFonts w:asciiTheme="majorBidi" w:hAnsiTheme="majorBidi" w:cstheme="majorBidi"/>
          <w:i/>
          <w:iCs/>
          <w:sz w:val="24"/>
          <w:szCs w:val="24"/>
        </w:rPr>
        <w:t>alternative</w:t>
      </w:r>
      <w:r w:rsidR="001B0500" w:rsidRPr="0089351A">
        <w:rPr>
          <w:rFonts w:asciiTheme="majorBidi" w:hAnsiTheme="majorBidi" w:cstheme="majorBidi"/>
          <w:sz w:val="24"/>
          <w:szCs w:val="24"/>
        </w:rPr>
        <w:t xml:space="preserve"> to more fundamenta</w:t>
      </w:r>
      <w:r w:rsidR="003C1631" w:rsidRPr="0089351A">
        <w:rPr>
          <w:rFonts w:asciiTheme="majorBidi" w:hAnsiTheme="majorBidi" w:cstheme="majorBidi"/>
          <w:sz w:val="24"/>
          <w:szCs w:val="24"/>
        </w:rPr>
        <w:t>l soci</w:t>
      </w:r>
      <w:r w:rsidR="009B0B13" w:rsidRPr="0089351A">
        <w:rPr>
          <w:rFonts w:asciiTheme="majorBidi" w:hAnsiTheme="majorBidi" w:cstheme="majorBidi"/>
          <w:sz w:val="24"/>
          <w:szCs w:val="24"/>
        </w:rPr>
        <w:t>al reform</w:t>
      </w:r>
      <w:r w:rsidR="000A0148" w:rsidRPr="0089351A">
        <w:rPr>
          <w:rFonts w:asciiTheme="majorBidi" w:hAnsiTheme="majorBidi" w:cstheme="majorBidi"/>
          <w:sz w:val="24"/>
          <w:szCs w:val="24"/>
        </w:rPr>
        <w:t>. It argu</w:t>
      </w:r>
      <w:r w:rsidR="000F6AA3" w:rsidRPr="0089351A">
        <w:rPr>
          <w:rFonts w:asciiTheme="majorBidi" w:hAnsiTheme="majorBidi" w:cstheme="majorBidi"/>
          <w:sz w:val="24"/>
          <w:szCs w:val="24"/>
        </w:rPr>
        <w:t>ed</w:t>
      </w:r>
      <w:r w:rsidR="00220243" w:rsidRPr="0089351A">
        <w:rPr>
          <w:rFonts w:asciiTheme="majorBidi" w:hAnsiTheme="majorBidi" w:cstheme="majorBidi"/>
          <w:sz w:val="24"/>
          <w:szCs w:val="24"/>
        </w:rPr>
        <w:t xml:space="preserve"> </w:t>
      </w:r>
      <w:r w:rsidR="00DF2442" w:rsidRPr="0089351A">
        <w:rPr>
          <w:rFonts w:asciiTheme="majorBidi" w:hAnsiTheme="majorBidi" w:cstheme="majorBidi"/>
          <w:sz w:val="24"/>
          <w:szCs w:val="24"/>
        </w:rPr>
        <w:t xml:space="preserve">without </w:t>
      </w:r>
      <w:r w:rsidR="00220243" w:rsidRPr="0089351A">
        <w:rPr>
          <w:rFonts w:asciiTheme="majorBidi" w:hAnsiTheme="majorBidi" w:cstheme="majorBidi"/>
          <w:sz w:val="24"/>
          <w:szCs w:val="24"/>
        </w:rPr>
        <w:t>presenting any detailed evidence</w:t>
      </w:r>
      <w:r w:rsidR="000F6AA3" w:rsidRPr="0089351A">
        <w:rPr>
          <w:rFonts w:asciiTheme="majorBidi" w:hAnsiTheme="majorBidi" w:cstheme="majorBidi"/>
          <w:sz w:val="24"/>
          <w:szCs w:val="24"/>
        </w:rPr>
        <w:t xml:space="preserve"> that cash compensation had brought negative results in other case</w:t>
      </w:r>
      <w:r w:rsidR="000337A0" w:rsidRPr="0089351A">
        <w:rPr>
          <w:rFonts w:asciiTheme="majorBidi" w:hAnsiTheme="majorBidi" w:cstheme="majorBidi"/>
          <w:sz w:val="24"/>
          <w:szCs w:val="24"/>
        </w:rPr>
        <w:t>s</w:t>
      </w:r>
      <w:r w:rsidR="009B0B13" w:rsidRPr="0089351A">
        <w:rPr>
          <w:rFonts w:asciiTheme="majorBidi" w:hAnsiTheme="majorBidi" w:cstheme="majorBidi"/>
          <w:sz w:val="24"/>
          <w:szCs w:val="24"/>
        </w:rPr>
        <w:t xml:space="preserve"> whilst citing</w:t>
      </w:r>
      <w:r w:rsidR="000A0148" w:rsidRPr="0089351A">
        <w:rPr>
          <w:rFonts w:asciiTheme="majorBidi" w:hAnsiTheme="majorBidi" w:cstheme="majorBidi"/>
          <w:sz w:val="24"/>
          <w:szCs w:val="24"/>
        </w:rPr>
        <w:t xml:space="preserve"> the difficulty of identifying the descendants of slaves</w:t>
      </w:r>
      <w:r w:rsidR="00220243" w:rsidRPr="0089351A">
        <w:rPr>
          <w:rFonts w:asciiTheme="majorBidi" w:hAnsiTheme="majorBidi" w:cstheme="majorBidi"/>
          <w:sz w:val="24"/>
          <w:szCs w:val="24"/>
        </w:rPr>
        <w:t xml:space="preserve">—an assertion deliberately </w:t>
      </w:r>
      <w:r w:rsidR="00DF2442" w:rsidRPr="0089351A">
        <w:rPr>
          <w:rFonts w:asciiTheme="majorBidi" w:hAnsiTheme="majorBidi" w:cstheme="majorBidi"/>
          <w:sz w:val="24"/>
          <w:szCs w:val="24"/>
        </w:rPr>
        <w:t xml:space="preserve">shown </w:t>
      </w:r>
      <w:r w:rsidR="00220243" w:rsidRPr="0089351A">
        <w:rPr>
          <w:rFonts w:asciiTheme="majorBidi" w:hAnsiTheme="majorBidi" w:cstheme="majorBidi"/>
          <w:sz w:val="24"/>
          <w:szCs w:val="24"/>
        </w:rPr>
        <w:t xml:space="preserve">by some of our respondents </w:t>
      </w:r>
      <w:r w:rsidR="00DF2442" w:rsidRPr="0089351A">
        <w:rPr>
          <w:rFonts w:asciiTheme="majorBidi" w:hAnsiTheme="majorBidi" w:cstheme="majorBidi"/>
          <w:sz w:val="24"/>
          <w:szCs w:val="24"/>
        </w:rPr>
        <w:t>to be i</w:t>
      </w:r>
      <w:r w:rsidR="00220243" w:rsidRPr="0089351A">
        <w:rPr>
          <w:rFonts w:asciiTheme="majorBidi" w:hAnsiTheme="majorBidi" w:cstheme="majorBidi"/>
          <w:sz w:val="24"/>
          <w:szCs w:val="24"/>
        </w:rPr>
        <w:t>ncorrect in at least some cases</w:t>
      </w:r>
      <w:r w:rsidR="000F6AA3" w:rsidRPr="0089351A">
        <w:rPr>
          <w:rFonts w:asciiTheme="majorBidi" w:hAnsiTheme="majorBidi" w:cstheme="majorBidi"/>
          <w:sz w:val="24"/>
          <w:szCs w:val="24"/>
        </w:rPr>
        <w:t>:</w:t>
      </w:r>
    </w:p>
    <w:p w:rsidR="001B0500" w:rsidRPr="0089351A" w:rsidRDefault="001B0500"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‘Payment of cash compensation to people banished from the Diego Archipelagos has proved damaging. Given the difficulty to identify broadly people of slave descent from among the general population, this exercise can end up in frustration. Reparation by way of positive discrimination and an integrated rehabilitation plan concerning schooling of children, better housing conditions, elimination of discrimination on the employment market, whether in the </w:t>
      </w:r>
      <w:r w:rsidRPr="0089351A">
        <w:rPr>
          <w:rFonts w:asciiTheme="majorBidi" w:hAnsiTheme="majorBidi" w:cstheme="majorBidi"/>
          <w:sz w:val="24"/>
          <w:szCs w:val="24"/>
        </w:rPr>
        <w:lastRenderedPageBreak/>
        <w:t>public and private sector, review of the electoral system in order to pave the way for better representation in electoral constituencies of Creoles was considered the bet</w:t>
      </w:r>
      <w:r w:rsidR="00E424C8" w:rsidRPr="0089351A">
        <w:rPr>
          <w:rFonts w:asciiTheme="majorBidi" w:hAnsiTheme="majorBidi" w:cstheme="majorBidi"/>
          <w:sz w:val="24"/>
          <w:szCs w:val="24"/>
        </w:rPr>
        <w:t xml:space="preserve">ter and more enduring option.’ </w:t>
      </w:r>
      <w:r w:rsidR="00E424C8" w:rsidRPr="0089351A">
        <w:rPr>
          <w:rStyle w:val="FootnoteReference"/>
          <w:rFonts w:asciiTheme="majorBidi" w:hAnsiTheme="majorBidi" w:cstheme="majorBidi"/>
          <w:sz w:val="24"/>
          <w:szCs w:val="24"/>
        </w:rPr>
        <w:footnoteReference w:id="76"/>
      </w:r>
    </w:p>
    <w:p w:rsidR="001B0500" w:rsidRPr="0089351A" w:rsidRDefault="002F6039"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 MTJC</w:t>
      </w:r>
      <w:r w:rsidR="00BE2C67" w:rsidRPr="0089351A">
        <w:rPr>
          <w:rFonts w:asciiTheme="majorBidi" w:hAnsiTheme="majorBidi" w:cstheme="majorBidi"/>
          <w:sz w:val="24"/>
          <w:szCs w:val="24"/>
        </w:rPr>
        <w:t xml:space="preserve"> specified that reparations</w:t>
      </w:r>
      <w:r w:rsidRPr="0089351A">
        <w:rPr>
          <w:rFonts w:asciiTheme="majorBidi" w:hAnsiTheme="majorBidi" w:cstheme="majorBidi"/>
          <w:sz w:val="24"/>
          <w:szCs w:val="24"/>
        </w:rPr>
        <w:t xml:space="preserve"> should be sought from the</w:t>
      </w:r>
      <w:r w:rsidR="00BE2C67" w:rsidRPr="0089351A">
        <w:rPr>
          <w:rFonts w:asciiTheme="majorBidi" w:hAnsiTheme="majorBidi" w:cstheme="majorBidi"/>
          <w:sz w:val="24"/>
          <w:szCs w:val="24"/>
        </w:rPr>
        <w:t xml:space="preserve"> ex-colonial powers</w:t>
      </w:r>
      <w:r w:rsidR="009B0B13" w:rsidRPr="0089351A">
        <w:rPr>
          <w:rFonts w:asciiTheme="majorBidi" w:hAnsiTheme="majorBidi" w:cstheme="majorBidi"/>
          <w:sz w:val="24"/>
          <w:szCs w:val="24"/>
        </w:rPr>
        <w:t xml:space="preserve"> to fund</w:t>
      </w:r>
      <w:r w:rsidRPr="0089351A">
        <w:rPr>
          <w:rFonts w:asciiTheme="majorBidi" w:hAnsiTheme="majorBidi" w:cstheme="majorBidi"/>
          <w:sz w:val="24"/>
          <w:szCs w:val="24"/>
        </w:rPr>
        <w:t xml:space="preserve"> the measures </w:t>
      </w:r>
      <w:r w:rsidR="00E714A4" w:rsidRPr="0089351A">
        <w:rPr>
          <w:rFonts w:asciiTheme="majorBidi" w:hAnsiTheme="majorBidi" w:cstheme="majorBidi"/>
          <w:sz w:val="24"/>
          <w:szCs w:val="24"/>
        </w:rPr>
        <w:t>it recommended</w:t>
      </w:r>
      <w:r w:rsidR="00BE2C67" w:rsidRPr="0089351A">
        <w:rPr>
          <w:rFonts w:asciiTheme="majorBidi" w:hAnsiTheme="majorBidi" w:cstheme="majorBidi"/>
          <w:sz w:val="24"/>
          <w:szCs w:val="24"/>
        </w:rPr>
        <w:t xml:space="preserve">. </w:t>
      </w:r>
      <w:r w:rsidRPr="0089351A">
        <w:rPr>
          <w:rFonts w:asciiTheme="majorBidi" w:hAnsiTheme="majorBidi" w:cstheme="majorBidi"/>
          <w:sz w:val="24"/>
          <w:szCs w:val="24"/>
        </w:rPr>
        <w:t>It also called fo</w:t>
      </w:r>
      <w:r w:rsidR="009B0B13" w:rsidRPr="0089351A">
        <w:rPr>
          <w:rFonts w:asciiTheme="majorBidi" w:hAnsiTheme="majorBidi" w:cstheme="majorBidi"/>
          <w:sz w:val="24"/>
          <w:szCs w:val="24"/>
        </w:rPr>
        <w:t>r public apologies from</w:t>
      </w:r>
      <w:r w:rsidRPr="0089351A">
        <w:rPr>
          <w:rFonts w:asciiTheme="majorBidi" w:hAnsiTheme="majorBidi" w:cstheme="majorBidi"/>
          <w:sz w:val="24"/>
          <w:szCs w:val="24"/>
        </w:rPr>
        <w:t xml:space="preserve"> the sugar industry, the Chamber of Commerce and the Church.</w:t>
      </w:r>
      <w:r w:rsidR="000F6AA3" w:rsidRPr="0089351A">
        <w:rPr>
          <w:rFonts w:asciiTheme="majorBidi" w:hAnsiTheme="majorBidi" w:cstheme="majorBidi"/>
          <w:sz w:val="24"/>
          <w:szCs w:val="24"/>
        </w:rPr>
        <w:t xml:space="preserve"> </w:t>
      </w:r>
      <w:r w:rsidR="000A0148" w:rsidRPr="0089351A">
        <w:rPr>
          <w:rFonts w:asciiTheme="majorBidi" w:hAnsiTheme="majorBidi" w:cstheme="majorBidi"/>
          <w:sz w:val="24"/>
          <w:szCs w:val="24"/>
        </w:rPr>
        <w:t>Further</w:t>
      </w:r>
      <w:r w:rsidR="00E714A4" w:rsidRPr="0089351A">
        <w:rPr>
          <w:rFonts w:asciiTheme="majorBidi" w:hAnsiTheme="majorBidi" w:cstheme="majorBidi"/>
          <w:sz w:val="24"/>
          <w:szCs w:val="24"/>
        </w:rPr>
        <w:t xml:space="preserve"> </w:t>
      </w:r>
      <w:r w:rsidR="001B0500" w:rsidRPr="0089351A">
        <w:rPr>
          <w:rFonts w:asciiTheme="majorBidi" w:hAnsiTheme="majorBidi" w:cstheme="majorBidi"/>
          <w:sz w:val="24"/>
          <w:szCs w:val="24"/>
        </w:rPr>
        <w:t>extensive and detailed recommen</w:t>
      </w:r>
      <w:r w:rsidR="00845319" w:rsidRPr="0089351A">
        <w:rPr>
          <w:rFonts w:asciiTheme="majorBidi" w:hAnsiTheme="majorBidi" w:cstheme="majorBidi"/>
          <w:sz w:val="24"/>
          <w:szCs w:val="24"/>
        </w:rPr>
        <w:t>dations to government emphasised the need to</w:t>
      </w:r>
      <w:r w:rsidR="001B0500" w:rsidRPr="0089351A">
        <w:rPr>
          <w:rFonts w:asciiTheme="majorBidi" w:hAnsiTheme="majorBidi" w:cstheme="majorBidi"/>
          <w:sz w:val="24"/>
          <w:szCs w:val="24"/>
        </w:rPr>
        <w:t xml:space="preserve"> memorialise slavery and </w:t>
      </w:r>
      <w:r w:rsidR="00991962" w:rsidRPr="0089351A">
        <w:rPr>
          <w:rFonts w:asciiTheme="majorBidi" w:hAnsiTheme="majorBidi" w:cstheme="majorBidi"/>
          <w:sz w:val="24"/>
          <w:szCs w:val="24"/>
        </w:rPr>
        <w:t>indentured</w:t>
      </w:r>
      <w:r w:rsidR="001B0500" w:rsidRPr="0089351A">
        <w:rPr>
          <w:rFonts w:asciiTheme="majorBidi" w:hAnsiTheme="majorBidi" w:cstheme="majorBidi"/>
          <w:sz w:val="24"/>
          <w:szCs w:val="24"/>
        </w:rPr>
        <w:t xml:space="preserve"> labour, and </w:t>
      </w:r>
      <w:r w:rsidR="000F6AA3" w:rsidRPr="0089351A">
        <w:rPr>
          <w:rFonts w:asciiTheme="majorBidi" w:hAnsiTheme="majorBidi" w:cstheme="majorBidi"/>
          <w:sz w:val="24"/>
          <w:szCs w:val="24"/>
        </w:rPr>
        <w:t xml:space="preserve">to </w:t>
      </w:r>
      <w:r w:rsidR="001B0500" w:rsidRPr="0089351A">
        <w:rPr>
          <w:rFonts w:asciiTheme="majorBidi" w:hAnsiTheme="majorBidi" w:cstheme="majorBidi"/>
          <w:sz w:val="24"/>
          <w:szCs w:val="24"/>
        </w:rPr>
        <w:t xml:space="preserve">raise awareness of national history. This included many detailed measures, such as a monument to illegal slave trading on Bel </w:t>
      </w:r>
      <w:proofErr w:type="spellStart"/>
      <w:r w:rsidR="001B0500" w:rsidRPr="0089351A">
        <w:rPr>
          <w:rFonts w:asciiTheme="majorBidi" w:hAnsiTheme="majorBidi" w:cstheme="majorBidi"/>
          <w:sz w:val="24"/>
          <w:szCs w:val="24"/>
        </w:rPr>
        <w:t>Ombre</w:t>
      </w:r>
      <w:proofErr w:type="spellEnd"/>
      <w:r w:rsidR="001B0500" w:rsidRPr="0089351A">
        <w:rPr>
          <w:rFonts w:asciiTheme="majorBidi" w:hAnsiTheme="majorBidi" w:cstheme="majorBidi"/>
          <w:sz w:val="24"/>
          <w:szCs w:val="24"/>
        </w:rPr>
        <w:t xml:space="preserve"> Sugar Es</w:t>
      </w:r>
      <w:r w:rsidR="000A0148" w:rsidRPr="0089351A">
        <w:rPr>
          <w:rFonts w:asciiTheme="majorBidi" w:hAnsiTheme="majorBidi" w:cstheme="majorBidi"/>
          <w:sz w:val="24"/>
          <w:szCs w:val="24"/>
        </w:rPr>
        <w:t xml:space="preserve">tate to be erected at the </w:t>
      </w:r>
      <w:r w:rsidR="001B0500" w:rsidRPr="0089351A">
        <w:rPr>
          <w:rFonts w:asciiTheme="majorBidi" w:hAnsiTheme="majorBidi" w:cstheme="majorBidi"/>
          <w:sz w:val="24"/>
          <w:szCs w:val="24"/>
        </w:rPr>
        <w:t>estate’s expense</w:t>
      </w:r>
      <w:r w:rsidR="000A0148" w:rsidRPr="0089351A">
        <w:rPr>
          <w:rFonts w:asciiTheme="majorBidi" w:hAnsiTheme="majorBidi" w:cstheme="majorBidi"/>
          <w:sz w:val="24"/>
          <w:szCs w:val="24"/>
        </w:rPr>
        <w:t>; it was</w:t>
      </w:r>
      <w:r w:rsidR="008F44B6" w:rsidRPr="0089351A">
        <w:rPr>
          <w:rFonts w:asciiTheme="majorBidi" w:hAnsiTheme="majorBidi" w:cstheme="majorBidi"/>
          <w:sz w:val="24"/>
          <w:szCs w:val="24"/>
        </w:rPr>
        <w:t xml:space="preserve"> an unusual </w:t>
      </w:r>
      <w:r w:rsidR="000A0148" w:rsidRPr="0089351A">
        <w:rPr>
          <w:rFonts w:asciiTheme="majorBidi" w:hAnsiTheme="majorBidi" w:cstheme="majorBidi"/>
          <w:sz w:val="24"/>
          <w:szCs w:val="24"/>
        </w:rPr>
        <w:t>and minor reference to a specific company</w:t>
      </w:r>
      <w:r w:rsidR="001B0500" w:rsidRPr="0089351A">
        <w:rPr>
          <w:rFonts w:asciiTheme="majorBidi" w:hAnsiTheme="majorBidi" w:cstheme="majorBidi"/>
          <w:sz w:val="24"/>
          <w:szCs w:val="24"/>
        </w:rPr>
        <w:t>. It further recommended, as indicated in the quotation above, a review of the electoral system which it found unconducive to securing the Creole community’s representation, and the elimination of discriminat</w:t>
      </w:r>
      <w:r w:rsidR="000337A0" w:rsidRPr="0089351A">
        <w:rPr>
          <w:rFonts w:asciiTheme="majorBidi" w:hAnsiTheme="majorBidi" w:cstheme="majorBidi"/>
          <w:sz w:val="24"/>
          <w:szCs w:val="24"/>
        </w:rPr>
        <w:t xml:space="preserve">ion </w:t>
      </w:r>
      <w:r w:rsidR="00E714A4" w:rsidRPr="0089351A">
        <w:rPr>
          <w:rFonts w:asciiTheme="majorBidi" w:hAnsiTheme="majorBidi" w:cstheme="majorBidi"/>
          <w:sz w:val="24"/>
          <w:szCs w:val="24"/>
        </w:rPr>
        <w:t>in the labour market.</w:t>
      </w:r>
      <w:r w:rsidR="000A0148" w:rsidRPr="0089351A">
        <w:rPr>
          <w:rFonts w:asciiTheme="majorBidi" w:hAnsiTheme="majorBidi" w:cstheme="majorBidi"/>
          <w:sz w:val="24"/>
          <w:szCs w:val="24"/>
        </w:rPr>
        <w:t xml:space="preserve"> Nothing beyond a few</w:t>
      </w:r>
      <w:r w:rsidR="001B0500" w:rsidRPr="0089351A">
        <w:rPr>
          <w:rFonts w:asciiTheme="majorBidi" w:hAnsiTheme="majorBidi" w:cstheme="majorBidi"/>
          <w:sz w:val="24"/>
          <w:szCs w:val="24"/>
        </w:rPr>
        <w:t xml:space="preserve"> tiny </w:t>
      </w:r>
      <w:r w:rsidR="000A0148" w:rsidRPr="0089351A">
        <w:rPr>
          <w:rFonts w:asciiTheme="majorBidi" w:hAnsiTheme="majorBidi" w:cstheme="majorBidi"/>
          <w:sz w:val="24"/>
          <w:szCs w:val="24"/>
        </w:rPr>
        <w:t xml:space="preserve">symbolic </w:t>
      </w:r>
      <w:r w:rsidR="001B0500" w:rsidRPr="0089351A">
        <w:rPr>
          <w:rFonts w:asciiTheme="majorBidi" w:hAnsiTheme="majorBidi" w:cstheme="majorBidi"/>
          <w:sz w:val="24"/>
          <w:szCs w:val="24"/>
        </w:rPr>
        <w:t xml:space="preserve">measures such as that in relation to the Bel </w:t>
      </w:r>
      <w:proofErr w:type="spellStart"/>
      <w:r w:rsidR="001B0500" w:rsidRPr="0089351A">
        <w:rPr>
          <w:rFonts w:asciiTheme="majorBidi" w:hAnsiTheme="majorBidi" w:cstheme="majorBidi"/>
          <w:sz w:val="24"/>
          <w:szCs w:val="24"/>
        </w:rPr>
        <w:t>Ombre</w:t>
      </w:r>
      <w:proofErr w:type="spellEnd"/>
      <w:r w:rsidR="000A0148" w:rsidRPr="0089351A">
        <w:rPr>
          <w:rFonts w:asciiTheme="majorBidi" w:hAnsiTheme="majorBidi" w:cstheme="majorBidi"/>
          <w:sz w:val="24"/>
          <w:szCs w:val="24"/>
        </w:rPr>
        <w:t xml:space="preserve"> Sugar Estate</w:t>
      </w:r>
      <w:r w:rsidR="001B0500" w:rsidRPr="0089351A">
        <w:rPr>
          <w:rFonts w:asciiTheme="majorBidi" w:hAnsiTheme="majorBidi" w:cstheme="majorBidi"/>
          <w:sz w:val="24"/>
          <w:szCs w:val="24"/>
        </w:rPr>
        <w:t xml:space="preserve"> was to be paid for by the descendants of slave owners.  </w:t>
      </w:r>
    </w:p>
    <w:p w:rsidR="001B0500" w:rsidRPr="0089351A" w:rsidRDefault="00845319"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w:t>
      </w:r>
      <w:r w:rsidR="001B0500" w:rsidRPr="0089351A">
        <w:rPr>
          <w:rFonts w:asciiTheme="majorBidi" w:hAnsiTheme="majorBidi" w:cstheme="majorBidi"/>
          <w:sz w:val="24"/>
          <w:szCs w:val="24"/>
        </w:rPr>
        <w:t xml:space="preserve">he recommendations did offer some </w:t>
      </w:r>
      <w:r w:rsidR="000A0148" w:rsidRPr="0089351A">
        <w:rPr>
          <w:rFonts w:asciiTheme="majorBidi" w:hAnsiTheme="majorBidi" w:cstheme="majorBidi"/>
          <w:sz w:val="24"/>
          <w:szCs w:val="24"/>
        </w:rPr>
        <w:t>substantial hope</w:t>
      </w:r>
      <w:r w:rsidRPr="0089351A">
        <w:rPr>
          <w:rFonts w:asciiTheme="majorBidi" w:hAnsiTheme="majorBidi" w:cstheme="majorBidi"/>
          <w:sz w:val="24"/>
          <w:szCs w:val="24"/>
        </w:rPr>
        <w:t xml:space="preserve"> </w:t>
      </w:r>
      <w:r w:rsidR="001A18A3" w:rsidRPr="0089351A">
        <w:rPr>
          <w:rFonts w:asciiTheme="majorBidi" w:hAnsiTheme="majorBidi" w:cstheme="majorBidi"/>
          <w:sz w:val="24"/>
          <w:szCs w:val="24"/>
        </w:rPr>
        <w:t xml:space="preserve">to </w:t>
      </w:r>
      <w:r w:rsidR="001B0500" w:rsidRPr="0089351A">
        <w:rPr>
          <w:rFonts w:asciiTheme="majorBidi" w:hAnsiTheme="majorBidi" w:cstheme="majorBidi"/>
          <w:sz w:val="24"/>
          <w:szCs w:val="24"/>
        </w:rPr>
        <w:t xml:space="preserve">those descendants of slaves and </w:t>
      </w:r>
      <w:r w:rsidR="00991962" w:rsidRPr="0089351A">
        <w:rPr>
          <w:rFonts w:asciiTheme="majorBidi" w:hAnsiTheme="majorBidi" w:cstheme="majorBidi"/>
          <w:sz w:val="24"/>
          <w:szCs w:val="24"/>
        </w:rPr>
        <w:t>indentured</w:t>
      </w:r>
      <w:r w:rsidR="001B0500" w:rsidRPr="0089351A">
        <w:rPr>
          <w:rFonts w:asciiTheme="majorBidi" w:hAnsiTheme="majorBidi" w:cstheme="majorBidi"/>
          <w:sz w:val="24"/>
          <w:szCs w:val="24"/>
        </w:rPr>
        <w:t xml:space="preserve"> labourers with a claim to land</w:t>
      </w:r>
      <w:r w:rsidR="00E714A4" w:rsidRPr="0089351A">
        <w:rPr>
          <w:rFonts w:asciiTheme="majorBidi" w:hAnsiTheme="majorBidi" w:cstheme="majorBidi"/>
          <w:sz w:val="24"/>
          <w:szCs w:val="24"/>
        </w:rPr>
        <w:t xml:space="preserve">. </w:t>
      </w:r>
      <w:r w:rsidR="001B0500" w:rsidRPr="0089351A">
        <w:rPr>
          <w:rFonts w:asciiTheme="majorBidi" w:hAnsiTheme="majorBidi" w:cstheme="majorBidi"/>
          <w:sz w:val="24"/>
          <w:szCs w:val="24"/>
        </w:rPr>
        <w:t xml:space="preserve">The </w:t>
      </w:r>
      <w:r w:rsidR="008F44B6" w:rsidRPr="0089351A">
        <w:rPr>
          <w:rFonts w:asciiTheme="majorBidi" w:hAnsiTheme="majorBidi" w:cstheme="majorBidi"/>
          <w:sz w:val="24"/>
          <w:szCs w:val="24"/>
        </w:rPr>
        <w:t>M</w:t>
      </w:r>
      <w:r w:rsidR="001B0500" w:rsidRPr="0089351A">
        <w:rPr>
          <w:rFonts w:asciiTheme="majorBidi" w:hAnsiTheme="majorBidi" w:cstheme="majorBidi"/>
          <w:sz w:val="24"/>
          <w:szCs w:val="24"/>
        </w:rPr>
        <w:t xml:space="preserve">TJC recommended </w:t>
      </w:r>
      <w:r w:rsidR="001A18A3" w:rsidRPr="0089351A">
        <w:rPr>
          <w:rFonts w:asciiTheme="majorBidi" w:hAnsiTheme="majorBidi" w:cstheme="majorBidi"/>
          <w:sz w:val="24"/>
          <w:szCs w:val="24"/>
        </w:rPr>
        <w:t xml:space="preserve">establishment of </w:t>
      </w:r>
      <w:r w:rsidR="001B0500" w:rsidRPr="0089351A">
        <w:rPr>
          <w:rFonts w:asciiTheme="majorBidi" w:hAnsiTheme="majorBidi" w:cstheme="majorBidi"/>
          <w:sz w:val="24"/>
          <w:szCs w:val="24"/>
        </w:rPr>
        <w:t xml:space="preserve">a Land Monitoring and Research Unit to assist in resolving disputes through improved documentation rather than through difficult and expensive court proceedings. The government </w:t>
      </w:r>
      <w:r w:rsidR="000337A0" w:rsidRPr="0089351A">
        <w:rPr>
          <w:rFonts w:asciiTheme="majorBidi" w:hAnsiTheme="majorBidi" w:cstheme="majorBidi"/>
          <w:sz w:val="24"/>
          <w:szCs w:val="24"/>
        </w:rPr>
        <w:t xml:space="preserve">subsequently </w:t>
      </w:r>
      <w:r w:rsidR="000A0148" w:rsidRPr="0089351A">
        <w:rPr>
          <w:rFonts w:asciiTheme="majorBidi" w:hAnsiTheme="majorBidi" w:cstheme="majorBidi"/>
          <w:sz w:val="24"/>
          <w:szCs w:val="24"/>
        </w:rPr>
        <w:t>counter-</w:t>
      </w:r>
      <w:r w:rsidR="001A18A3" w:rsidRPr="0089351A">
        <w:rPr>
          <w:rFonts w:asciiTheme="majorBidi" w:hAnsiTheme="majorBidi" w:cstheme="majorBidi"/>
          <w:sz w:val="24"/>
          <w:szCs w:val="24"/>
        </w:rPr>
        <w:t>propos</w:t>
      </w:r>
      <w:r w:rsidR="001B0500" w:rsidRPr="0089351A">
        <w:rPr>
          <w:rFonts w:asciiTheme="majorBidi" w:hAnsiTheme="majorBidi" w:cstheme="majorBidi"/>
          <w:sz w:val="24"/>
          <w:szCs w:val="24"/>
        </w:rPr>
        <w:t>ed the establishment instead of a mediation committee as a more comprehensive mean</w:t>
      </w:r>
      <w:r w:rsidRPr="0089351A">
        <w:rPr>
          <w:rFonts w:asciiTheme="majorBidi" w:hAnsiTheme="majorBidi" w:cstheme="majorBidi"/>
          <w:sz w:val="24"/>
          <w:szCs w:val="24"/>
        </w:rPr>
        <w:t xml:space="preserve">s of dealing with the problem, </w:t>
      </w:r>
      <w:r w:rsidR="001B0500" w:rsidRPr="0089351A">
        <w:rPr>
          <w:rFonts w:asciiTheme="majorBidi" w:hAnsiTheme="majorBidi" w:cstheme="majorBidi"/>
          <w:sz w:val="24"/>
          <w:szCs w:val="24"/>
        </w:rPr>
        <w:t>but this too has neither been instituted nor discussed since the period immediately followi</w:t>
      </w:r>
      <w:r w:rsidR="00E714A4" w:rsidRPr="0089351A">
        <w:rPr>
          <w:rFonts w:asciiTheme="majorBidi" w:hAnsiTheme="majorBidi" w:cstheme="majorBidi"/>
          <w:sz w:val="24"/>
          <w:szCs w:val="24"/>
        </w:rPr>
        <w:t>ng the Commission’s report. Several of our</w:t>
      </w:r>
      <w:r w:rsidR="001B0500" w:rsidRPr="0089351A">
        <w:rPr>
          <w:rFonts w:asciiTheme="majorBidi" w:hAnsiTheme="majorBidi" w:cstheme="majorBidi"/>
          <w:sz w:val="24"/>
          <w:szCs w:val="24"/>
        </w:rPr>
        <w:t xml:space="preserve"> respondents who had pursued many arduous lines of inquiry to attempt to establish their </w:t>
      </w:r>
      <w:r w:rsidR="008F44B6" w:rsidRPr="0089351A">
        <w:rPr>
          <w:rFonts w:asciiTheme="majorBidi" w:hAnsiTheme="majorBidi" w:cstheme="majorBidi"/>
          <w:sz w:val="24"/>
          <w:szCs w:val="24"/>
        </w:rPr>
        <w:t xml:space="preserve">inherited </w:t>
      </w:r>
      <w:r w:rsidR="001B0500" w:rsidRPr="0089351A">
        <w:rPr>
          <w:rFonts w:asciiTheme="majorBidi" w:hAnsiTheme="majorBidi" w:cstheme="majorBidi"/>
          <w:sz w:val="24"/>
          <w:szCs w:val="24"/>
        </w:rPr>
        <w:t>right to</w:t>
      </w:r>
      <w:r w:rsidR="008F44B6" w:rsidRPr="0089351A">
        <w:rPr>
          <w:rFonts w:asciiTheme="majorBidi" w:hAnsiTheme="majorBidi" w:cstheme="majorBidi"/>
          <w:sz w:val="24"/>
          <w:szCs w:val="24"/>
        </w:rPr>
        <w:t xml:space="preserve"> land</w:t>
      </w:r>
      <w:r w:rsidR="001B0500" w:rsidRPr="0089351A">
        <w:rPr>
          <w:rFonts w:asciiTheme="majorBidi" w:hAnsiTheme="majorBidi" w:cstheme="majorBidi"/>
          <w:sz w:val="24"/>
          <w:szCs w:val="24"/>
        </w:rPr>
        <w:t xml:space="preserve"> remain disappo</w:t>
      </w:r>
      <w:r w:rsidRPr="0089351A">
        <w:rPr>
          <w:rFonts w:asciiTheme="majorBidi" w:hAnsiTheme="majorBidi" w:cstheme="majorBidi"/>
          <w:sz w:val="24"/>
          <w:szCs w:val="24"/>
        </w:rPr>
        <w:t xml:space="preserve">inted. M. </w:t>
      </w:r>
      <w:proofErr w:type="spellStart"/>
      <w:r w:rsidRPr="0089351A">
        <w:rPr>
          <w:rFonts w:asciiTheme="majorBidi" w:hAnsiTheme="majorBidi" w:cstheme="majorBidi"/>
          <w:sz w:val="24"/>
          <w:szCs w:val="24"/>
        </w:rPr>
        <w:t>Defoix</w:t>
      </w:r>
      <w:proofErr w:type="spellEnd"/>
      <w:r w:rsidRPr="0089351A">
        <w:rPr>
          <w:rFonts w:asciiTheme="majorBidi" w:hAnsiTheme="majorBidi" w:cstheme="majorBidi"/>
          <w:sz w:val="24"/>
          <w:szCs w:val="24"/>
        </w:rPr>
        <w:t xml:space="preserve">, </w:t>
      </w:r>
      <w:r w:rsidR="001B0500" w:rsidRPr="0089351A">
        <w:rPr>
          <w:rFonts w:asciiTheme="majorBidi" w:hAnsiTheme="majorBidi" w:cstheme="majorBidi"/>
          <w:sz w:val="24"/>
          <w:szCs w:val="24"/>
        </w:rPr>
        <w:lastRenderedPageBreak/>
        <w:t xml:space="preserve">who made a deposition to the </w:t>
      </w:r>
      <w:r w:rsidR="000337A0" w:rsidRPr="0089351A">
        <w:rPr>
          <w:rFonts w:asciiTheme="majorBidi" w:hAnsiTheme="majorBidi" w:cstheme="majorBidi"/>
          <w:sz w:val="24"/>
          <w:szCs w:val="24"/>
        </w:rPr>
        <w:t>M</w:t>
      </w:r>
      <w:r w:rsidR="001A18A3" w:rsidRPr="0089351A">
        <w:rPr>
          <w:rFonts w:asciiTheme="majorBidi" w:hAnsiTheme="majorBidi" w:cstheme="majorBidi"/>
          <w:sz w:val="24"/>
          <w:szCs w:val="24"/>
        </w:rPr>
        <w:t>TJC on his land claim</w:t>
      </w:r>
      <w:r w:rsidR="001B0500" w:rsidRPr="0089351A">
        <w:rPr>
          <w:rFonts w:asciiTheme="majorBidi" w:hAnsiTheme="majorBidi" w:cstheme="majorBidi"/>
          <w:sz w:val="24"/>
          <w:szCs w:val="24"/>
        </w:rPr>
        <w:t xml:space="preserve"> drew a parallel with </w:t>
      </w:r>
      <w:r w:rsidR="008F44B6" w:rsidRPr="0089351A">
        <w:rPr>
          <w:rFonts w:asciiTheme="majorBidi" w:hAnsiTheme="majorBidi" w:cstheme="majorBidi"/>
          <w:sz w:val="24"/>
          <w:szCs w:val="24"/>
        </w:rPr>
        <w:t>his treatment and that of</w:t>
      </w:r>
      <w:r w:rsidR="001B0500" w:rsidRPr="0089351A">
        <w:rPr>
          <w:rFonts w:asciiTheme="majorBidi" w:hAnsiTheme="majorBidi" w:cstheme="majorBidi"/>
          <w:sz w:val="24"/>
          <w:szCs w:val="24"/>
        </w:rPr>
        <w:t xml:space="preserve"> his ancestors: they ‘were considered to be things and not human beings’; M. </w:t>
      </w:r>
      <w:proofErr w:type="spellStart"/>
      <w:r w:rsidR="000337A0" w:rsidRPr="0089351A">
        <w:rPr>
          <w:rFonts w:asciiTheme="majorBidi" w:hAnsiTheme="majorBidi" w:cstheme="majorBidi"/>
          <w:sz w:val="24"/>
          <w:szCs w:val="24"/>
        </w:rPr>
        <w:t>Defoix</w:t>
      </w:r>
      <w:proofErr w:type="spellEnd"/>
      <w:r w:rsidR="000337A0" w:rsidRPr="0089351A">
        <w:rPr>
          <w:rFonts w:asciiTheme="majorBidi" w:hAnsiTheme="majorBidi" w:cstheme="majorBidi"/>
          <w:sz w:val="24"/>
          <w:szCs w:val="24"/>
        </w:rPr>
        <w:t xml:space="preserve"> felt</w:t>
      </w:r>
      <w:r w:rsidR="001B0500" w:rsidRPr="0089351A">
        <w:rPr>
          <w:rFonts w:asciiTheme="majorBidi" w:hAnsiTheme="majorBidi" w:cstheme="majorBidi"/>
          <w:sz w:val="24"/>
          <w:szCs w:val="24"/>
        </w:rPr>
        <w:t xml:space="preserve"> that he was still being deprived of his rights as </w:t>
      </w:r>
      <w:r w:rsidR="000337A0" w:rsidRPr="0089351A">
        <w:rPr>
          <w:rFonts w:asciiTheme="majorBidi" w:hAnsiTheme="majorBidi" w:cstheme="majorBidi"/>
          <w:sz w:val="24"/>
          <w:szCs w:val="24"/>
        </w:rPr>
        <w:t>a citizen</w:t>
      </w:r>
      <w:r w:rsidR="001B0500" w:rsidRPr="0089351A">
        <w:rPr>
          <w:rFonts w:asciiTheme="majorBidi" w:hAnsiTheme="majorBidi" w:cstheme="majorBidi"/>
          <w:sz w:val="24"/>
          <w:szCs w:val="24"/>
        </w:rPr>
        <w:t>.</w:t>
      </w:r>
      <w:r w:rsidR="00681525" w:rsidRPr="0089351A">
        <w:rPr>
          <w:rFonts w:asciiTheme="majorBidi" w:hAnsiTheme="majorBidi" w:cstheme="majorBidi"/>
          <w:sz w:val="24"/>
          <w:szCs w:val="24"/>
        </w:rPr>
        <w:t xml:space="preserve"> His comments recall the possibility that harm may be done by transitional justice processes, but</w:t>
      </w:r>
      <w:r w:rsidR="0003472D" w:rsidRPr="0089351A">
        <w:rPr>
          <w:rFonts w:asciiTheme="majorBidi" w:hAnsiTheme="majorBidi" w:cstheme="majorBidi"/>
          <w:sz w:val="24"/>
          <w:szCs w:val="24"/>
        </w:rPr>
        <w:t xml:space="preserve"> the Commission did directly</w:t>
      </w:r>
      <w:r w:rsidR="002E1570" w:rsidRPr="0089351A">
        <w:rPr>
          <w:rFonts w:asciiTheme="majorBidi" w:hAnsiTheme="majorBidi" w:cstheme="majorBidi"/>
          <w:sz w:val="24"/>
          <w:szCs w:val="24"/>
        </w:rPr>
        <w:t xml:space="preserve"> assist</w:t>
      </w:r>
      <w:r w:rsidR="0003472D" w:rsidRPr="0089351A">
        <w:rPr>
          <w:rFonts w:asciiTheme="majorBidi" w:hAnsiTheme="majorBidi" w:cstheme="majorBidi"/>
          <w:sz w:val="24"/>
          <w:szCs w:val="24"/>
        </w:rPr>
        <w:t xml:space="preserve"> ‘a certain number’ of the 366 people in preparing dossiers for legal hearing on their land cases</w:t>
      </w:r>
      <w:r w:rsidR="00371EC8" w:rsidRPr="0089351A">
        <w:rPr>
          <w:rFonts w:asciiTheme="majorBidi" w:hAnsiTheme="majorBidi" w:cstheme="majorBidi"/>
          <w:sz w:val="24"/>
          <w:szCs w:val="24"/>
        </w:rPr>
        <w:t>.</w:t>
      </w:r>
      <w:r w:rsidR="0003472D" w:rsidRPr="0089351A">
        <w:rPr>
          <w:rStyle w:val="FootnoteReference"/>
          <w:rFonts w:asciiTheme="majorBidi" w:hAnsiTheme="majorBidi" w:cstheme="majorBidi"/>
          <w:sz w:val="24"/>
          <w:szCs w:val="24"/>
        </w:rPr>
        <w:footnoteReference w:id="77"/>
      </w:r>
    </w:p>
    <w:p w:rsidR="001513A6" w:rsidRPr="0089351A" w:rsidRDefault="00D2541E"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Alex </w:t>
      </w:r>
      <w:proofErr w:type="spellStart"/>
      <w:r w:rsidRPr="0089351A">
        <w:rPr>
          <w:rFonts w:asciiTheme="majorBidi" w:hAnsiTheme="majorBidi" w:cstheme="majorBidi"/>
          <w:sz w:val="24"/>
          <w:szCs w:val="24"/>
        </w:rPr>
        <w:t>Boraine</w:t>
      </w:r>
      <w:proofErr w:type="spellEnd"/>
      <w:r w:rsidRPr="0089351A">
        <w:rPr>
          <w:rFonts w:asciiTheme="majorBidi" w:hAnsiTheme="majorBidi" w:cstheme="majorBidi"/>
          <w:sz w:val="24"/>
          <w:szCs w:val="24"/>
        </w:rPr>
        <w:t xml:space="preserve"> pressed the government publicly to implement the report</w:t>
      </w:r>
      <w:r w:rsidR="00371EC8" w:rsidRPr="0089351A">
        <w:rPr>
          <w:rFonts w:asciiTheme="majorBidi" w:hAnsiTheme="majorBidi" w:cstheme="majorBidi"/>
          <w:sz w:val="24"/>
          <w:szCs w:val="24"/>
        </w:rPr>
        <w:t>.</w:t>
      </w:r>
      <w:r w:rsidR="000D1794" w:rsidRPr="0089351A">
        <w:rPr>
          <w:rStyle w:val="FootnoteReference"/>
          <w:rFonts w:asciiTheme="majorBidi" w:hAnsiTheme="majorBidi" w:cstheme="majorBidi"/>
          <w:sz w:val="24"/>
          <w:szCs w:val="24"/>
        </w:rPr>
        <w:footnoteReference w:id="78"/>
      </w:r>
      <w:r w:rsidRPr="0089351A">
        <w:rPr>
          <w:rFonts w:asciiTheme="majorBidi" w:hAnsiTheme="majorBidi" w:cstheme="majorBidi"/>
          <w:sz w:val="24"/>
          <w:szCs w:val="24"/>
        </w:rPr>
        <w:t xml:space="preserve">  However, there was li</w:t>
      </w:r>
      <w:r w:rsidR="00E714A4" w:rsidRPr="0089351A">
        <w:rPr>
          <w:rFonts w:asciiTheme="majorBidi" w:hAnsiTheme="majorBidi" w:cstheme="majorBidi"/>
          <w:sz w:val="24"/>
          <w:szCs w:val="24"/>
        </w:rPr>
        <w:t>ttle public pressure to do so. P</w:t>
      </w:r>
      <w:r w:rsidRPr="0089351A">
        <w:rPr>
          <w:rFonts w:asciiTheme="majorBidi" w:hAnsiTheme="majorBidi" w:cstheme="majorBidi"/>
          <w:sz w:val="24"/>
          <w:szCs w:val="24"/>
        </w:rPr>
        <w:t xml:space="preserve">ress reporting </w:t>
      </w:r>
      <w:r w:rsidR="000A0148" w:rsidRPr="0089351A">
        <w:rPr>
          <w:rFonts w:asciiTheme="majorBidi" w:hAnsiTheme="majorBidi" w:cstheme="majorBidi"/>
          <w:sz w:val="24"/>
          <w:szCs w:val="24"/>
        </w:rPr>
        <w:t xml:space="preserve">of the report </w:t>
      </w:r>
      <w:r w:rsidRPr="0089351A">
        <w:rPr>
          <w:rFonts w:asciiTheme="majorBidi" w:hAnsiTheme="majorBidi" w:cstheme="majorBidi"/>
          <w:sz w:val="24"/>
          <w:szCs w:val="24"/>
        </w:rPr>
        <w:t xml:space="preserve">in the island’s newspapers was unenthusiastic or even non-existent: the daily </w:t>
      </w:r>
      <w:proofErr w:type="spellStart"/>
      <w:r w:rsidRPr="0089351A">
        <w:rPr>
          <w:rFonts w:asciiTheme="majorBidi" w:hAnsiTheme="majorBidi" w:cstheme="majorBidi"/>
          <w:i/>
          <w:iCs/>
          <w:sz w:val="24"/>
          <w:szCs w:val="24"/>
        </w:rPr>
        <w:t>L’Express</w:t>
      </w:r>
      <w:proofErr w:type="spellEnd"/>
      <w:r w:rsidRPr="0089351A">
        <w:rPr>
          <w:rFonts w:asciiTheme="majorBidi" w:hAnsiTheme="majorBidi" w:cstheme="majorBidi"/>
          <w:sz w:val="24"/>
          <w:szCs w:val="24"/>
        </w:rPr>
        <w:t xml:space="preserve"> made no mention of it in November or December 2011;</w:t>
      </w:r>
      <w:r w:rsidR="004F6428" w:rsidRPr="0089351A">
        <w:rPr>
          <w:rFonts w:asciiTheme="majorBidi" w:hAnsiTheme="majorBidi" w:cstheme="majorBidi"/>
          <w:sz w:val="24"/>
          <w:szCs w:val="24"/>
        </w:rPr>
        <w:t xml:space="preserve"> </w:t>
      </w:r>
      <w:r w:rsidR="004F6428" w:rsidRPr="0089351A">
        <w:rPr>
          <w:rFonts w:asciiTheme="majorBidi" w:hAnsiTheme="majorBidi" w:cstheme="majorBidi"/>
          <w:i/>
          <w:iCs/>
          <w:sz w:val="24"/>
          <w:szCs w:val="24"/>
        </w:rPr>
        <w:t>Weekend</w:t>
      </w:r>
      <w:r w:rsidR="004F6428" w:rsidRPr="0089351A">
        <w:rPr>
          <w:rFonts w:asciiTheme="majorBidi" w:hAnsiTheme="majorBidi" w:cstheme="majorBidi"/>
          <w:sz w:val="24"/>
          <w:szCs w:val="24"/>
        </w:rPr>
        <w:t xml:space="preserve"> carried a headline on page </w:t>
      </w:r>
      <w:r w:rsidR="002E1570" w:rsidRPr="0089351A">
        <w:rPr>
          <w:rFonts w:asciiTheme="majorBidi" w:hAnsiTheme="majorBidi" w:cstheme="majorBidi"/>
          <w:sz w:val="24"/>
          <w:szCs w:val="24"/>
        </w:rPr>
        <w:t>four: ‘Cash Compensation Out!</w:t>
      </w:r>
      <w:proofErr w:type="gramStart"/>
      <w:r w:rsidR="002E1570" w:rsidRPr="0089351A">
        <w:rPr>
          <w:rFonts w:asciiTheme="majorBidi" w:hAnsiTheme="majorBidi" w:cstheme="majorBidi"/>
          <w:sz w:val="24"/>
          <w:szCs w:val="24"/>
        </w:rPr>
        <w:t>;</w:t>
      </w:r>
      <w:r w:rsidR="002E1570" w:rsidRPr="0089351A">
        <w:rPr>
          <w:rFonts w:asciiTheme="majorBidi" w:hAnsiTheme="majorBidi" w:cstheme="majorBidi"/>
          <w:i/>
          <w:iCs/>
          <w:sz w:val="24"/>
          <w:szCs w:val="24"/>
        </w:rPr>
        <w:t>Le</w:t>
      </w:r>
      <w:proofErr w:type="gramEnd"/>
      <w:r w:rsidR="002E1570" w:rsidRPr="0089351A">
        <w:rPr>
          <w:rFonts w:asciiTheme="majorBidi" w:hAnsiTheme="majorBidi" w:cstheme="majorBidi"/>
          <w:i/>
          <w:iCs/>
          <w:sz w:val="24"/>
          <w:szCs w:val="24"/>
        </w:rPr>
        <w:t xml:space="preserve"> </w:t>
      </w:r>
      <w:proofErr w:type="spellStart"/>
      <w:r w:rsidR="002E1570" w:rsidRPr="0089351A">
        <w:rPr>
          <w:rFonts w:asciiTheme="majorBidi" w:hAnsiTheme="majorBidi" w:cstheme="majorBidi"/>
          <w:i/>
          <w:iCs/>
          <w:sz w:val="24"/>
          <w:szCs w:val="24"/>
        </w:rPr>
        <w:t>Dé</w:t>
      </w:r>
      <w:r w:rsidR="004F6428" w:rsidRPr="0089351A">
        <w:rPr>
          <w:rFonts w:asciiTheme="majorBidi" w:hAnsiTheme="majorBidi" w:cstheme="majorBidi"/>
          <w:i/>
          <w:iCs/>
          <w:sz w:val="24"/>
          <w:szCs w:val="24"/>
        </w:rPr>
        <w:t>fi</w:t>
      </w:r>
      <w:proofErr w:type="spellEnd"/>
      <w:r w:rsidR="004F6428" w:rsidRPr="0089351A">
        <w:rPr>
          <w:rFonts w:asciiTheme="majorBidi" w:hAnsiTheme="majorBidi" w:cstheme="majorBidi"/>
          <w:i/>
          <w:iCs/>
          <w:sz w:val="24"/>
          <w:szCs w:val="24"/>
        </w:rPr>
        <w:t xml:space="preserve"> Plus </w:t>
      </w:r>
      <w:r w:rsidR="004F6428" w:rsidRPr="0089351A">
        <w:rPr>
          <w:rFonts w:asciiTheme="majorBidi" w:hAnsiTheme="majorBidi" w:cstheme="majorBidi"/>
          <w:sz w:val="24"/>
          <w:szCs w:val="24"/>
        </w:rPr>
        <w:t>presented a strictly factual report with no comment.</w:t>
      </w:r>
      <w:r w:rsidR="000D1794" w:rsidRPr="0089351A">
        <w:rPr>
          <w:rFonts w:asciiTheme="majorBidi" w:hAnsiTheme="majorBidi" w:cstheme="majorBidi"/>
          <w:sz w:val="24"/>
          <w:szCs w:val="24"/>
        </w:rPr>
        <w:t xml:space="preserve"> </w:t>
      </w:r>
      <w:r w:rsidR="000D1794" w:rsidRPr="0089351A">
        <w:rPr>
          <w:rStyle w:val="FootnoteReference"/>
          <w:rFonts w:asciiTheme="majorBidi" w:hAnsiTheme="majorBidi" w:cstheme="majorBidi"/>
          <w:sz w:val="24"/>
          <w:szCs w:val="24"/>
        </w:rPr>
        <w:footnoteReference w:id="79"/>
      </w:r>
      <w:r w:rsidRPr="0089351A">
        <w:rPr>
          <w:rFonts w:asciiTheme="majorBidi" w:hAnsiTheme="majorBidi" w:cstheme="majorBidi"/>
          <w:sz w:val="24"/>
          <w:szCs w:val="24"/>
        </w:rPr>
        <w:t xml:space="preserve"> </w:t>
      </w:r>
      <w:r w:rsidR="000D1794" w:rsidRPr="0089351A">
        <w:rPr>
          <w:rFonts w:asciiTheme="majorBidi" w:hAnsiTheme="majorBidi" w:cstheme="majorBidi"/>
          <w:i/>
          <w:iCs/>
          <w:sz w:val="24"/>
          <w:szCs w:val="24"/>
        </w:rPr>
        <w:t xml:space="preserve"> </w:t>
      </w:r>
      <w:r w:rsidR="000D1794" w:rsidRPr="0089351A">
        <w:rPr>
          <w:rStyle w:val="FootnoteReference"/>
          <w:rFonts w:asciiTheme="majorBidi" w:hAnsiTheme="majorBidi" w:cstheme="majorBidi"/>
          <w:sz w:val="24"/>
          <w:szCs w:val="24"/>
        </w:rPr>
        <w:footnoteReference w:id="80"/>
      </w:r>
      <w:r w:rsidRPr="0089351A">
        <w:rPr>
          <w:rFonts w:asciiTheme="majorBidi" w:hAnsiTheme="majorBidi" w:cstheme="majorBidi"/>
          <w:sz w:val="24"/>
          <w:szCs w:val="24"/>
        </w:rPr>
        <w:t xml:space="preserve">  </w:t>
      </w:r>
      <w:r w:rsidR="001B0500" w:rsidRPr="0089351A">
        <w:rPr>
          <w:rFonts w:asciiTheme="majorBidi" w:hAnsiTheme="majorBidi" w:cstheme="majorBidi"/>
          <w:sz w:val="24"/>
          <w:szCs w:val="24"/>
        </w:rPr>
        <w:t xml:space="preserve">The result </w:t>
      </w:r>
      <w:r w:rsidR="008F44B6" w:rsidRPr="0089351A">
        <w:rPr>
          <w:rFonts w:asciiTheme="majorBidi" w:hAnsiTheme="majorBidi" w:cstheme="majorBidi"/>
          <w:sz w:val="24"/>
          <w:szCs w:val="24"/>
        </w:rPr>
        <w:t xml:space="preserve">of the MTJC’s extensive </w:t>
      </w:r>
      <w:r w:rsidR="000337A0" w:rsidRPr="0089351A">
        <w:rPr>
          <w:rFonts w:asciiTheme="majorBidi" w:hAnsiTheme="majorBidi" w:cstheme="majorBidi"/>
          <w:sz w:val="24"/>
          <w:szCs w:val="24"/>
        </w:rPr>
        <w:t xml:space="preserve">report </w:t>
      </w:r>
      <w:r w:rsidR="001B0500" w:rsidRPr="0089351A">
        <w:rPr>
          <w:rFonts w:asciiTheme="majorBidi" w:hAnsiTheme="majorBidi" w:cstheme="majorBidi"/>
          <w:sz w:val="24"/>
          <w:szCs w:val="24"/>
        </w:rPr>
        <w:t xml:space="preserve">was </w:t>
      </w:r>
      <w:r w:rsidR="008F44B6" w:rsidRPr="0089351A">
        <w:rPr>
          <w:rFonts w:asciiTheme="majorBidi" w:hAnsiTheme="majorBidi" w:cstheme="majorBidi"/>
          <w:sz w:val="24"/>
          <w:szCs w:val="24"/>
        </w:rPr>
        <w:t>evaluated by the</w:t>
      </w:r>
      <w:r w:rsidR="001B0500" w:rsidRPr="0089351A">
        <w:rPr>
          <w:rFonts w:asciiTheme="majorBidi" w:hAnsiTheme="majorBidi" w:cstheme="majorBidi"/>
          <w:sz w:val="24"/>
          <w:szCs w:val="24"/>
        </w:rPr>
        <w:t xml:space="preserve"> </w:t>
      </w:r>
      <w:r w:rsidR="00E714A4" w:rsidRPr="0089351A">
        <w:rPr>
          <w:rFonts w:asciiTheme="majorBidi" w:hAnsiTheme="majorBidi" w:cstheme="majorBidi"/>
          <w:sz w:val="24"/>
          <w:szCs w:val="24"/>
        </w:rPr>
        <w:t xml:space="preserve">journalist quoted above </w:t>
      </w:r>
      <w:r w:rsidR="008F44B6" w:rsidRPr="0089351A">
        <w:rPr>
          <w:rFonts w:asciiTheme="majorBidi" w:hAnsiTheme="majorBidi" w:cstheme="majorBidi"/>
          <w:sz w:val="24"/>
          <w:szCs w:val="24"/>
        </w:rPr>
        <w:t>as</w:t>
      </w:r>
      <w:r w:rsidR="00845319" w:rsidRPr="0089351A">
        <w:rPr>
          <w:rFonts w:asciiTheme="majorBidi" w:hAnsiTheme="majorBidi" w:cstheme="majorBidi"/>
          <w:sz w:val="24"/>
          <w:szCs w:val="24"/>
        </w:rPr>
        <w:t xml:space="preserve"> ‘almost nothing’. It</w:t>
      </w:r>
      <w:r w:rsidR="001B0500" w:rsidRPr="0089351A">
        <w:rPr>
          <w:rFonts w:asciiTheme="majorBidi" w:hAnsiTheme="majorBidi" w:cstheme="majorBidi"/>
          <w:sz w:val="24"/>
          <w:szCs w:val="24"/>
        </w:rPr>
        <w:t xml:space="preserve"> may have had some limited long-term effects in raising awareness of the links between historic and current deprivation by providing a synthesis of national labour history which</w:t>
      </w:r>
      <w:r w:rsidR="000A0148" w:rsidRPr="0089351A">
        <w:rPr>
          <w:rFonts w:asciiTheme="majorBidi" w:hAnsiTheme="majorBidi" w:cstheme="majorBidi"/>
          <w:sz w:val="24"/>
          <w:szCs w:val="24"/>
        </w:rPr>
        <w:t xml:space="preserve"> involved some Creoles</w:t>
      </w:r>
      <w:r w:rsidR="008F44B6" w:rsidRPr="0089351A">
        <w:rPr>
          <w:rFonts w:asciiTheme="majorBidi" w:hAnsiTheme="majorBidi" w:cstheme="majorBidi"/>
          <w:sz w:val="24"/>
          <w:szCs w:val="24"/>
        </w:rPr>
        <w:t xml:space="preserve"> through its oral historical work</w:t>
      </w:r>
      <w:r w:rsidR="001A18A3" w:rsidRPr="0089351A">
        <w:rPr>
          <w:rFonts w:asciiTheme="majorBidi" w:hAnsiTheme="majorBidi" w:cstheme="majorBidi"/>
          <w:sz w:val="24"/>
          <w:szCs w:val="24"/>
        </w:rPr>
        <w:t>. Yet, i</w:t>
      </w:r>
      <w:r w:rsidR="001B0500" w:rsidRPr="0089351A">
        <w:rPr>
          <w:rFonts w:asciiTheme="majorBidi" w:hAnsiTheme="majorBidi" w:cstheme="majorBidi"/>
          <w:sz w:val="24"/>
          <w:szCs w:val="24"/>
        </w:rPr>
        <w:t>n c</w:t>
      </w:r>
      <w:r w:rsidR="00E714A4" w:rsidRPr="0089351A">
        <w:rPr>
          <w:rFonts w:asciiTheme="majorBidi" w:hAnsiTheme="majorBidi" w:cstheme="majorBidi"/>
          <w:sz w:val="24"/>
          <w:szCs w:val="24"/>
        </w:rPr>
        <w:t>ommon with much labour history,</w:t>
      </w:r>
      <w:r w:rsidR="008F44B6" w:rsidRPr="0089351A">
        <w:rPr>
          <w:rFonts w:asciiTheme="majorBidi" w:hAnsiTheme="majorBidi" w:cstheme="majorBidi"/>
          <w:sz w:val="24"/>
          <w:szCs w:val="24"/>
        </w:rPr>
        <w:t xml:space="preserve"> the MTJC account </w:t>
      </w:r>
      <w:r w:rsidR="00D3761E" w:rsidRPr="0089351A">
        <w:rPr>
          <w:rFonts w:asciiTheme="majorBidi" w:hAnsiTheme="majorBidi" w:cstheme="majorBidi"/>
          <w:sz w:val="24"/>
          <w:szCs w:val="24"/>
        </w:rPr>
        <w:t>fails to accord sufficient centrality to and detail on</w:t>
      </w:r>
      <w:r w:rsidR="001B0500" w:rsidRPr="0089351A">
        <w:rPr>
          <w:rFonts w:asciiTheme="majorBidi" w:hAnsiTheme="majorBidi" w:cstheme="majorBidi"/>
          <w:sz w:val="24"/>
          <w:szCs w:val="24"/>
        </w:rPr>
        <w:t xml:space="preserve"> the é</w:t>
      </w:r>
      <w:r w:rsidR="00D3761E" w:rsidRPr="0089351A">
        <w:rPr>
          <w:rFonts w:asciiTheme="majorBidi" w:hAnsiTheme="majorBidi" w:cstheme="majorBidi"/>
          <w:sz w:val="24"/>
          <w:szCs w:val="24"/>
        </w:rPr>
        <w:t>lite dimension</w:t>
      </w:r>
      <w:r w:rsidR="001A18A3" w:rsidRPr="0089351A">
        <w:rPr>
          <w:rFonts w:asciiTheme="majorBidi" w:hAnsiTheme="majorBidi" w:cstheme="majorBidi"/>
          <w:sz w:val="24"/>
          <w:szCs w:val="24"/>
        </w:rPr>
        <w:t xml:space="preserve">, thereby failing to represent slavery and bonded labour </w:t>
      </w:r>
      <w:r w:rsidR="002E1570" w:rsidRPr="0089351A">
        <w:rPr>
          <w:rFonts w:asciiTheme="majorBidi" w:hAnsiTheme="majorBidi" w:cstheme="majorBidi"/>
          <w:sz w:val="24"/>
          <w:szCs w:val="24"/>
        </w:rPr>
        <w:t xml:space="preserve">in their totality </w:t>
      </w:r>
      <w:r w:rsidR="001A18A3" w:rsidRPr="0089351A">
        <w:rPr>
          <w:rFonts w:asciiTheme="majorBidi" w:hAnsiTheme="majorBidi" w:cstheme="majorBidi"/>
          <w:sz w:val="24"/>
          <w:szCs w:val="24"/>
        </w:rPr>
        <w:t xml:space="preserve">as </w:t>
      </w:r>
      <w:r w:rsidR="004F7EF2" w:rsidRPr="0089351A">
        <w:rPr>
          <w:rFonts w:asciiTheme="majorBidi" w:hAnsiTheme="majorBidi" w:cstheme="majorBidi"/>
          <w:sz w:val="24"/>
          <w:szCs w:val="24"/>
        </w:rPr>
        <w:t xml:space="preserve">social </w:t>
      </w:r>
      <w:r w:rsidR="001A18A3" w:rsidRPr="0089351A">
        <w:rPr>
          <w:rFonts w:asciiTheme="majorBidi" w:hAnsiTheme="majorBidi" w:cstheme="majorBidi"/>
          <w:i/>
          <w:iCs/>
          <w:sz w:val="24"/>
          <w:szCs w:val="24"/>
        </w:rPr>
        <w:t>relationships</w:t>
      </w:r>
      <w:r w:rsidR="00D3761E" w:rsidRPr="0089351A">
        <w:rPr>
          <w:rFonts w:asciiTheme="majorBidi" w:hAnsiTheme="majorBidi" w:cstheme="majorBidi"/>
          <w:sz w:val="24"/>
          <w:szCs w:val="24"/>
        </w:rPr>
        <w:t xml:space="preserve">. </w:t>
      </w:r>
      <w:r w:rsidR="008F44B6" w:rsidRPr="0089351A">
        <w:rPr>
          <w:rFonts w:asciiTheme="majorBidi" w:hAnsiTheme="majorBidi" w:cstheme="majorBidi"/>
          <w:sz w:val="24"/>
          <w:szCs w:val="24"/>
        </w:rPr>
        <w:t xml:space="preserve">It </w:t>
      </w:r>
      <w:r w:rsidR="001B0500" w:rsidRPr="0089351A">
        <w:rPr>
          <w:rFonts w:asciiTheme="majorBidi" w:hAnsiTheme="majorBidi" w:cstheme="majorBidi"/>
          <w:sz w:val="24"/>
          <w:szCs w:val="24"/>
        </w:rPr>
        <w:t xml:space="preserve">therefore fails to locate the history </w:t>
      </w:r>
      <w:r w:rsidR="00C64BEE" w:rsidRPr="0089351A">
        <w:rPr>
          <w:rFonts w:asciiTheme="majorBidi" w:hAnsiTheme="majorBidi" w:cstheme="majorBidi"/>
          <w:sz w:val="24"/>
          <w:szCs w:val="24"/>
        </w:rPr>
        <w:t>of labour within its full socio-economic</w:t>
      </w:r>
      <w:r w:rsidR="001B0500" w:rsidRPr="0089351A">
        <w:rPr>
          <w:rFonts w:asciiTheme="majorBidi" w:hAnsiTheme="majorBidi" w:cstheme="majorBidi"/>
          <w:sz w:val="24"/>
          <w:szCs w:val="24"/>
        </w:rPr>
        <w:t xml:space="preserve"> context</w:t>
      </w:r>
      <w:r w:rsidR="000D1794" w:rsidRPr="0089351A">
        <w:rPr>
          <w:rFonts w:asciiTheme="majorBidi" w:hAnsiTheme="majorBidi" w:cstheme="majorBidi"/>
          <w:sz w:val="24"/>
          <w:szCs w:val="24"/>
        </w:rPr>
        <w:t>. The depth</w:t>
      </w:r>
      <w:r w:rsidR="00C64BEE" w:rsidRPr="0089351A">
        <w:rPr>
          <w:rFonts w:asciiTheme="majorBidi" w:hAnsiTheme="majorBidi" w:cstheme="majorBidi"/>
          <w:sz w:val="24"/>
          <w:szCs w:val="24"/>
        </w:rPr>
        <w:t xml:space="preserve"> of labour’s exploitation cannot be fully understood without more detailed </w:t>
      </w:r>
      <w:r w:rsidR="00C64BEE" w:rsidRPr="0089351A">
        <w:rPr>
          <w:rFonts w:asciiTheme="majorBidi" w:hAnsiTheme="majorBidi" w:cstheme="majorBidi"/>
          <w:sz w:val="24"/>
          <w:szCs w:val="24"/>
        </w:rPr>
        <w:lastRenderedPageBreak/>
        <w:t>examination of how and how far wealth was accumulated as a result</w:t>
      </w:r>
      <w:r w:rsidR="001B0500" w:rsidRPr="0089351A">
        <w:rPr>
          <w:rFonts w:asciiTheme="majorBidi" w:hAnsiTheme="majorBidi" w:cstheme="majorBidi"/>
          <w:sz w:val="24"/>
          <w:szCs w:val="24"/>
        </w:rPr>
        <w:t xml:space="preserve">. </w:t>
      </w:r>
      <w:r w:rsidR="00C8483C" w:rsidRPr="0089351A">
        <w:rPr>
          <w:rFonts w:asciiTheme="majorBidi" w:hAnsiTheme="majorBidi" w:cstheme="majorBidi"/>
          <w:sz w:val="24"/>
          <w:szCs w:val="24"/>
        </w:rPr>
        <w:t>T</w:t>
      </w:r>
      <w:r w:rsidR="0025045A" w:rsidRPr="0089351A">
        <w:rPr>
          <w:rFonts w:asciiTheme="majorBidi" w:hAnsiTheme="majorBidi" w:cstheme="majorBidi"/>
          <w:sz w:val="24"/>
          <w:szCs w:val="24"/>
        </w:rPr>
        <w:t>he</w:t>
      </w:r>
      <w:r w:rsidR="00C8483C" w:rsidRPr="0089351A">
        <w:rPr>
          <w:rFonts w:asciiTheme="majorBidi" w:hAnsiTheme="majorBidi" w:cstheme="majorBidi"/>
          <w:sz w:val="24"/>
          <w:szCs w:val="24"/>
        </w:rPr>
        <w:t xml:space="preserve"> </w:t>
      </w:r>
      <w:r w:rsidR="0025045A" w:rsidRPr="0089351A">
        <w:rPr>
          <w:rFonts w:asciiTheme="majorBidi" w:hAnsiTheme="majorBidi" w:cstheme="majorBidi"/>
          <w:sz w:val="24"/>
          <w:szCs w:val="24"/>
        </w:rPr>
        <w:t>contours</w:t>
      </w:r>
      <w:r w:rsidR="00C8483C" w:rsidRPr="0089351A">
        <w:rPr>
          <w:rFonts w:asciiTheme="majorBidi" w:hAnsiTheme="majorBidi" w:cstheme="majorBidi"/>
          <w:sz w:val="24"/>
          <w:szCs w:val="24"/>
        </w:rPr>
        <w:t xml:space="preserve"> are visible</w:t>
      </w:r>
      <w:r w:rsidR="00155154" w:rsidRPr="0089351A">
        <w:rPr>
          <w:rFonts w:asciiTheme="majorBidi" w:hAnsiTheme="majorBidi" w:cstheme="majorBidi"/>
          <w:sz w:val="24"/>
          <w:szCs w:val="24"/>
        </w:rPr>
        <w:t xml:space="preserve"> bu</w:t>
      </w:r>
      <w:r w:rsidR="0025045A" w:rsidRPr="0089351A">
        <w:rPr>
          <w:rFonts w:asciiTheme="majorBidi" w:hAnsiTheme="majorBidi" w:cstheme="majorBidi"/>
          <w:sz w:val="24"/>
          <w:szCs w:val="24"/>
        </w:rPr>
        <w:t>t they are only poorly define</w:t>
      </w:r>
      <w:r w:rsidR="00155154" w:rsidRPr="0089351A">
        <w:rPr>
          <w:rFonts w:asciiTheme="majorBidi" w:hAnsiTheme="majorBidi" w:cstheme="majorBidi"/>
          <w:sz w:val="24"/>
          <w:szCs w:val="24"/>
        </w:rPr>
        <w:t xml:space="preserve">d and require further investigation. </w:t>
      </w:r>
      <w:r w:rsidR="00E26D54" w:rsidRPr="0089351A">
        <w:rPr>
          <w:rFonts w:asciiTheme="majorBidi" w:hAnsiTheme="majorBidi" w:cstheme="majorBidi"/>
          <w:sz w:val="24"/>
          <w:szCs w:val="24"/>
        </w:rPr>
        <w:t>The convers</w:t>
      </w:r>
      <w:r w:rsidR="005845B2" w:rsidRPr="0089351A">
        <w:rPr>
          <w:rFonts w:asciiTheme="majorBidi" w:hAnsiTheme="majorBidi" w:cstheme="majorBidi"/>
          <w:sz w:val="24"/>
          <w:szCs w:val="24"/>
        </w:rPr>
        <w:t>ion of slave assets</w:t>
      </w:r>
      <w:r w:rsidR="008E6E9C" w:rsidRPr="0089351A">
        <w:rPr>
          <w:rFonts w:asciiTheme="majorBidi" w:hAnsiTheme="majorBidi" w:cstheme="majorBidi"/>
          <w:sz w:val="24"/>
          <w:szCs w:val="24"/>
        </w:rPr>
        <w:t xml:space="preserve"> to fungible</w:t>
      </w:r>
      <w:r w:rsidR="005845B2" w:rsidRPr="0089351A">
        <w:rPr>
          <w:rFonts w:asciiTheme="majorBidi" w:hAnsiTheme="majorBidi" w:cstheme="majorBidi"/>
          <w:sz w:val="24"/>
          <w:szCs w:val="24"/>
        </w:rPr>
        <w:t xml:space="preserve"> form at emancipation was an important step in the process.</w:t>
      </w:r>
      <w:r w:rsidR="003B2442" w:rsidRPr="0089351A">
        <w:rPr>
          <w:rFonts w:asciiTheme="majorBidi" w:hAnsiTheme="majorBidi" w:cstheme="majorBidi"/>
          <w:sz w:val="24"/>
          <w:szCs w:val="24"/>
        </w:rPr>
        <w:t xml:space="preserve"> </w:t>
      </w:r>
      <w:r w:rsidR="005845B2" w:rsidRPr="0089351A">
        <w:rPr>
          <w:rFonts w:asciiTheme="majorBidi" w:hAnsiTheme="majorBidi" w:cstheme="majorBidi"/>
          <w:sz w:val="24"/>
          <w:szCs w:val="24"/>
        </w:rPr>
        <w:t xml:space="preserve">These assets appear to have been invested elsewhere than in the island’s under-capitalised sugar industry in the Nineteenth </w:t>
      </w:r>
      <w:r w:rsidR="000D1794" w:rsidRPr="0089351A">
        <w:rPr>
          <w:rFonts w:asciiTheme="majorBidi" w:hAnsiTheme="majorBidi" w:cstheme="majorBidi"/>
          <w:sz w:val="24"/>
          <w:szCs w:val="24"/>
        </w:rPr>
        <w:t>and Twentieth Centuries</w:t>
      </w:r>
      <w:r w:rsidR="00371EC8" w:rsidRPr="0089351A">
        <w:rPr>
          <w:rFonts w:asciiTheme="majorBidi" w:hAnsiTheme="majorBidi" w:cstheme="majorBidi"/>
          <w:sz w:val="24"/>
          <w:szCs w:val="24"/>
        </w:rPr>
        <w:t>.</w:t>
      </w:r>
      <w:r w:rsidR="000D1794" w:rsidRPr="0089351A">
        <w:rPr>
          <w:rStyle w:val="FootnoteReference"/>
          <w:rFonts w:asciiTheme="majorBidi" w:hAnsiTheme="majorBidi" w:cstheme="majorBidi"/>
          <w:sz w:val="24"/>
          <w:szCs w:val="24"/>
        </w:rPr>
        <w:footnoteReference w:id="81"/>
      </w:r>
      <w:r w:rsidR="00155154" w:rsidRPr="0089351A">
        <w:rPr>
          <w:rFonts w:asciiTheme="majorBidi" w:hAnsiTheme="majorBidi" w:cstheme="majorBidi"/>
          <w:sz w:val="24"/>
          <w:szCs w:val="24"/>
        </w:rPr>
        <w:t xml:space="preserve"> </w:t>
      </w:r>
      <w:r w:rsidR="004F7EF2" w:rsidRPr="0089351A">
        <w:rPr>
          <w:rFonts w:asciiTheme="majorBidi" w:hAnsiTheme="majorBidi" w:cstheme="majorBidi"/>
          <w:sz w:val="24"/>
          <w:szCs w:val="24"/>
        </w:rPr>
        <w:t xml:space="preserve">The </w:t>
      </w:r>
      <w:r w:rsidR="005845B2" w:rsidRPr="0089351A">
        <w:rPr>
          <w:rFonts w:asciiTheme="majorBidi" w:hAnsiTheme="majorBidi" w:cstheme="majorBidi"/>
          <w:sz w:val="24"/>
          <w:szCs w:val="24"/>
        </w:rPr>
        <w:t xml:space="preserve">island’s </w:t>
      </w:r>
      <w:r w:rsidR="004F7EF2" w:rsidRPr="0089351A">
        <w:rPr>
          <w:rFonts w:asciiTheme="majorBidi" w:hAnsiTheme="majorBidi" w:cstheme="majorBidi"/>
          <w:sz w:val="24"/>
          <w:szCs w:val="24"/>
        </w:rPr>
        <w:t>financial sector has developed greatly i</w:t>
      </w:r>
      <w:r w:rsidR="00003C6E" w:rsidRPr="0089351A">
        <w:rPr>
          <w:rFonts w:asciiTheme="majorBidi" w:hAnsiTheme="majorBidi" w:cstheme="majorBidi"/>
          <w:sz w:val="24"/>
          <w:szCs w:val="24"/>
        </w:rPr>
        <w:t>n recent decades, making capital</w:t>
      </w:r>
      <w:r w:rsidR="003B2442" w:rsidRPr="0089351A">
        <w:rPr>
          <w:rFonts w:asciiTheme="majorBidi" w:hAnsiTheme="majorBidi" w:cstheme="majorBidi"/>
          <w:sz w:val="24"/>
          <w:szCs w:val="24"/>
        </w:rPr>
        <w:t xml:space="preserve"> available for a wide range of local initiatives as well as for considerable investment in other African economies</w:t>
      </w:r>
      <w:r w:rsidR="00371EC8" w:rsidRPr="0089351A">
        <w:rPr>
          <w:rFonts w:asciiTheme="majorBidi" w:hAnsiTheme="majorBidi" w:cstheme="majorBidi"/>
          <w:sz w:val="24"/>
          <w:szCs w:val="24"/>
        </w:rPr>
        <w:t>.</w:t>
      </w:r>
      <w:r w:rsidR="000D1794" w:rsidRPr="0089351A">
        <w:rPr>
          <w:rFonts w:asciiTheme="majorBidi" w:hAnsiTheme="majorBidi" w:cstheme="majorBidi"/>
          <w:sz w:val="24"/>
          <w:szCs w:val="24"/>
        </w:rPr>
        <w:t xml:space="preserve"> </w:t>
      </w:r>
      <w:r w:rsidR="000D1794" w:rsidRPr="0089351A">
        <w:rPr>
          <w:rStyle w:val="FootnoteReference"/>
          <w:rFonts w:asciiTheme="majorBidi" w:hAnsiTheme="majorBidi" w:cstheme="majorBidi"/>
          <w:sz w:val="24"/>
          <w:szCs w:val="24"/>
        </w:rPr>
        <w:footnoteReference w:id="82"/>
      </w:r>
      <w:r w:rsidR="00E26D54" w:rsidRPr="0089351A">
        <w:rPr>
          <w:rFonts w:asciiTheme="majorBidi" w:hAnsiTheme="majorBidi" w:cstheme="majorBidi"/>
          <w:sz w:val="24"/>
          <w:szCs w:val="24"/>
        </w:rPr>
        <w:t xml:space="preserve"> </w:t>
      </w:r>
      <w:r w:rsidR="00155154" w:rsidRPr="0089351A">
        <w:rPr>
          <w:rFonts w:asciiTheme="majorBidi" w:hAnsiTheme="majorBidi" w:cstheme="majorBidi"/>
          <w:sz w:val="24"/>
          <w:szCs w:val="24"/>
        </w:rPr>
        <w:t>Thus, c</w:t>
      </w:r>
      <w:r w:rsidR="00E714A4" w:rsidRPr="0089351A">
        <w:rPr>
          <w:rFonts w:asciiTheme="majorBidi" w:hAnsiTheme="majorBidi" w:cstheme="majorBidi"/>
          <w:sz w:val="24"/>
          <w:szCs w:val="24"/>
        </w:rPr>
        <w:t xml:space="preserve">apital representing dead labour from slavery continues to operate and </w:t>
      </w:r>
      <w:r w:rsidR="005845B2" w:rsidRPr="0089351A">
        <w:rPr>
          <w:rFonts w:asciiTheme="majorBidi" w:hAnsiTheme="majorBidi" w:cstheme="majorBidi"/>
          <w:sz w:val="24"/>
          <w:szCs w:val="24"/>
        </w:rPr>
        <w:t>play a vital role both on the island and internationally</w:t>
      </w:r>
      <w:r w:rsidR="00E714A4" w:rsidRPr="0089351A">
        <w:rPr>
          <w:rFonts w:asciiTheme="majorBidi" w:hAnsiTheme="majorBidi" w:cstheme="majorBidi"/>
          <w:sz w:val="24"/>
          <w:szCs w:val="24"/>
        </w:rPr>
        <w:t xml:space="preserve">.  </w:t>
      </w:r>
    </w:p>
    <w:p w:rsidR="0093176D" w:rsidRPr="0089351A" w:rsidRDefault="00E451A5"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 xml:space="preserve">  </w:t>
      </w:r>
    </w:p>
    <w:p w:rsidR="00CD1361" w:rsidRPr="0089351A" w:rsidRDefault="00CD1361" w:rsidP="00360222">
      <w:pPr>
        <w:spacing w:line="480" w:lineRule="auto"/>
        <w:rPr>
          <w:rFonts w:asciiTheme="majorBidi" w:hAnsiTheme="majorBidi" w:cstheme="majorBidi"/>
          <w:b/>
          <w:bCs/>
          <w:sz w:val="24"/>
          <w:szCs w:val="24"/>
        </w:rPr>
      </w:pPr>
      <w:r w:rsidRPr="0089351A">
        <w:rPr>
          <w:rFonts w:asciiTheme="majorBidi" w:hAnsiTheme="majorBidi" w:cstheme="majorBidi"/>
          <w:b/>
          <w:bCs/>
          <w:sz w:val="24"/>
          <w:szCs w:val="24"/>
        </w:rPr>
        <w:t>Conclusion</w:t>
      </w:r>
    </w:p>
    <w:p w:rsidR="002E1570" w:rsidRPr="0089351A" w:rsidRDefault="002E1570" w:rsidP="002E1570">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We set out to assess the utility of Gibson’s theory on the conditions for success in ‘transitional justice’ contexts, suggesting that despite clear differences between them and that detailed above, there were similarities. We also sought to establish whether it was a cynical operation that attempted to evade proper examination of the past as Paul Van </w:t>
      </w:r>
      <w:proofErr w:type="spellStart"/>
      <w:r w:rsidRPr="0089351A">
        <w:rPr>
          <w:rFonts w:asciiTheme="majorBidi" w:hAnsiTheme="majorBidi" w:cstheme="majorBidi"/>
          <w:sz w:val="24"/>
          <w:szCs w:val="24"/>
        </w:rPr>
        <w:t>Zyl</w:t>
      </w:r>
      <w:proofErr w:type="spellEnd"/>
      <w:r w:rsidRPr="0089351A">
        <w:rPr>
          <w:rFonts w:asciiTheme="majorBidi" w:hAnsiTheme="majorBidi" w:cstheme="majorBidi"/>
          <w:sz w:val="24"/>
          <w:szCs w:val="24"/>
        </w:rPr>
        <w:t xml:space="preserve"> argues some such Commissions have been.   </w:t>
      </w:r>
    </w:p>
    <w:p w:rsidR="00726219" w:rsidRPr="0089351A" w:rsidRDefault="00726219"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 xml:space="preserve">The MTJC was not considered a success by </w:t>
      </w:r>
      <w:r w:rsidR="00037E9A" w:rsidRPr="0089351A">
        <w:rPr>
          <w:rFonts w:asciiTheme="majorBidi" w:hAnsiTheme="majorBidi" w:cstheme="majorBidi"/>
          <w:sz w:val="24"/>
          <w:szCs w:val="24"/>
        </w:rPr>
        <w:t>any informant, nor</w:t>
      </w:r>
      <w:r w:rsidRPr="0089351A">
        <w:rPr>
          <w:rFonts w:asciiTheme="majorBidi" w:hAnsiTheme="majorBidi" w:cstheme="majorBidi"/>
          <w:sz w:val="24"/>
          <w:szCs w:val="24"/>
        </w:rPr>
        <w:t xml:space="preserve"> by any public source </w:t>
      </w:r>
      <w:proofErr w:type="gramStart"/>
      <w:r w:rsidRPr="0089351A">
        <w:rPr>
          <w:rFonts w:asciiTheme="majorBidi" w:hAnsiTheme="majorBidi" w:cstheme="majorBidi"/>
          <w:sz w:val="24"/>
          <w:szCs w:val="24"/>
        </w:rPr>
        <w:t>we</w:t>
      </w:r>
      <w:r w:rsidR="00E90180" w:rsidRPr="0089351A">
        <w:rPr>
          <w:rFonts w:asciiTheme="majorBidi" w:hAnsiTheme="majorBidi" w:cstheme="majorBidi"/>
          <w:sz w:val="24"/>
          <w:szCs w:val="24"/>
        </w:rPr>
        <w:t xml:space="preserve"> </w:t>
      </w:r>
      <w:r w:rsidRPr="0089351A">
        <w:rPr>
          <w:rFonts w:asciiTheme="majorBidi" w:hAnsiTheme="majorBidi" w:cstheme="majorBidi"/>
          <w:sz w:val="24"/>
          <w:szCs w:val="24"/>
        </w:rPr>
        <w:t>consulted</w:t>
      </w:r>
      <w:proofErr w:type="gramEnd"/>
      <w:r w:rsidRPr="0089351A">
        <w:rPr>
          <w:rFonts w:asciiTheme="majorBidi" w:hAnsiTheme="majorBidi" w:cstheme="majorBidi"/>
          <w:sz w:val="24"/>
          <w:szCs w:val="24"/>
        </w:rPr>
        <w:t>, mainl</w:t>
      </w:r>
      <w:r w:rsidR="00037E9A" w:rsidRPr="0089351A">
        <w:rPr>
          <w:rFonts w:asciiTheme="majorBidi" w:hAnsiTheme="majorBidi" w:cstheme="majorBidi"/>
          <w:sz w:val="24"/>
          <w:szCs w:val="24"/>
        </w:rPr>
        <w:t xml:space="preserve">y because </w:t>
      </w:r>
      <w:r w:rsidR="0015584C" w:rsidRPr="0089351A">
        <w:rPr>
          <w:rFonts w:asciiTheme="majorBidi" w:hAnsiTheme="majorBidi" w:cstheme="majorBidi"/>
          <w:sz w:val="24"/>
          <w:szCs w:val="24"/>
        </w:rPr>
        <w:t>its recommendations</w:t>
      </w:r>
      <w:r w:rsidR="00037E9A" w:rsidRPr="0089351A">
        <w:rPr>
          <w:rFonts w:asciiTheme="majorBidi" w:hAnsiTheme="majorBidi" w:cstheme="majorBidi"/>
          <w:sz w:val="24"/>
          <w:szCs w:val="24"/>
        </w:rPr>
        <w:t xml:space="preserve"> remain unimplemented</w:t>
      </w:r>
      <w:r w:rsidRPr="0089351A">
        <w:rPr>
          <w:rFonts w:asciiTheme="majorBidi" w:hAnsiTheme="majorBidi" w:cstheme="majorBidi"/>
          <w:sz w:val="24"/>
          <w:szCs w:val="24"/>
        </w:rPr>
        <w:t xml:space="preserve">. On a lower level, the </w:t>
      </w:r>
      <w:r w:rsidR="00B55557" w:rsidRPr="0089351A">
        <w:rPr>
          <w:rFonts w:asciiTheme="majorBidi" w:hAnsiTheme="majorBidi" w:cstheme="majorBidi"/>
          <w:sz w:val="24"/>
          <w:szCs w:val="24"/>
        </w:rPr>
        <w:t xml:space="preserve">MTJC did contribute in three of the </w:t>
      </w:r>
      <w:r w:rsidRPr="0089351A">
        <w:rPr>
          <w:rFonts w:asciiTheme="majorBidi" w:hAnsiTheme="majorBidi" w:cstheme="majorBidi"/>
          <w:sz w:val="24"/>
          <w:szCs w:val="24"/>
        </w:rPr>
        <w:t>four potential area</w:t>
      </w:r>
      <w:r w:rsidR="00037E9A" w:rsidRPr="0089351A">
        <w:rPr>
          <w:rFonts w:asciiTheme="majorBidi" w:hAnsiTheme="majorBidi" w:cstheme="majorBidi"/>
          <w:sz w:val="24"/>
          <w:szCs w:val="24"/>
        </w:rPr>
        <w:t>s of achievement identifi</w:t>
      </w:r>
      <w:r w:rsidR="00B55557" w:rsidRPr="0089351A">
        <w:rPr>
          <w:rFonts w:asciiTheme="majorBidi" w:hAnsiTheme="majorBidi" w:cstheme="majorBidi"/>
          <w:sz w:val="24"/>
          <w:szCs w:val="24"/>
        </w:rPr>
        <w:t>ed above.</w:t>
      </w:r>
      <w:r w:rsidRPr="0089351A">
        <w:rPr>
          <w:rFonts w:asciiTheme="majorBidi" w:hAnsiTheme="majorBidi" w:cstheme="majorBidi"/>
          <w:sz w:val="24"/>
          <w:szCs w:val="24"/>
        </w:rPr>
        <w:t xml:space="preserve"> First, its formidable documentation has been referred to o</w:t>
      </w:r>
      <w:r w:rsidR="00037E9A" w:rsidRPr="0089351A">
        <w:rPr>
          <w:rFonts w:asciiTheme="majorBidi" w:hAnsiTheme="majorBidi" w:cstheme="majorBidi"/>
          <w:sz w:val="24"/>
          <w:szCs w:val="24"/>
        </w:rPr>
        <w:t>n occasion in public.</w:t>
      </w:r>
      <w:r w:rsidR="00E90180" w:rsidRPr="0089351A">
        <w:rPr>
          <w:rFonts w:asciiTheme="majorBidi" w:hAnsiTheme="majorBidi" w:cstheme="majorBidi"/>
          <w:sz w:val="24"/>
          <w:szCs w:val="24"/>
        </w:rPr>
        <w:t xml:space="preserve"> </w:t>
      </w:r>
      <w:r w:rsidR="00037E9A" w:rsidRPr="0089351A">
        <w:rPr>
          <w:rFonts w:asciiTheme="majorBidi" w:hAnsiTheme="majorBidi" w:cstheme="majorBidi"/>
          <w:sz w:val="24"/>
          <w:szCs w:val="24"/>
        </w:rPr>
        <w:t>Second, the MTJC</w:t>
      </w:r>
      <w:r w:rsidRPr="0089351A">
        <w:rPr>
          <w:rFonts w:asciiTheme="majorBidi" w:hAnsiTheme="majorBidi" w:cstheme="majorBidi"/>
          <w:sz w:val="24"/>
          <w:szCs w:val="24"/>
        </w:rPr>
        <w:t xml:space="preserve"> assist</w:t>
      </w:r>
      <w:r w:rsidR="00037E9A" w:rsidRPr="0089351A">
        <w:rPr>
          <w:rFonts w:asciiTheme="majorBidi" w:hAnsiTheme="majorBidi" w:cstheme="majorBidi"/>
          <w:sz w:val="24"/>
          <w:szCs w:val="24"/>
        </w:rPr>
        <w:t>ed</w:t>
      </w:r>
      <w:r w:rsidRPr="0089351A">
        <w:rPr>
          <w:rFonts w:asciiTheme="majorBidi" w:hAnsiTheme="majorBidi" w:cstheme="majorBidi"/>
          <w:sz w:val="24"/>
          <w:szCs w:val="24"/>
        </w:rPr>
        <w:t xml:space="preserve"> some complainants to establish viable cases for pursuing land claims. Third, </w:t>
      </w:r>
      <w:r w:rsidRPr="0089351A">
        <w:rPr>
          <w:rFonts w:asciiTheme="majorBidi" w:hAnsiTheme="majorBidi" w:cstheme="majorBidi"/>
          <w:sz w:val="24"/>
          <w:szCs w:val="24"/>
        </w:rPr>
        <w:lastRenderedPageBreak/>
        <w:t>the government has agree</w:t>
      </w:r>
      <w:r w:rsidR="00037E9A" w:rsidRPr="0089351A">
        <w:rPr>
          <w:rFonts w:asciiTheme="majorBidi" w:hAnsiTheme="majorBidi" w:cstheme="majorBidi"/>
          <w:sz w:val="24"/>
          <w:szCs w:val="24"/>
        </w:rPr>
        <w:t>d to memoriali</w:t>
      </w:r>
      <w:r w:rsidR="002E1570" w:rsidRPr="0089351A">
        <w:rPr>
          <w:rFonts w:asciiTheme="majorBidi" w:hAnsiTheme="majorBidi" w:cstheme="majorBidi"/>
          <w:sz w:val="24"/>
          <w:szCs w:val="24"/>
        </w:rPr>
        <w:t>se slavery including by supporting</w:t>
      </w:r>
      <w:r w:rsidRPr="0089351A">
        <w:rPr>
          <w:rFonts w:asciiTheme="majorBidi" w:hAnsiTheme="majorBidi" w:cstheme="majorBidi"/>
          <w:sz w:val="24"/>
          <w:szCs w:val="24"/>
        </w:rPr>
        <w:t xml:space="preserve"> Nelson Mandela Cultur</w:t>
      </w:r>
      <w:r w:rsidR="004F2BDC" w:rsidRPr="0089351A">
        <w:rPr>
          <w:rFonts w:asciiTheme="majorBidi" w:hAnsiTheme="majorBidi" w:cstheme="majorBidi"/>
          <w:sz w:val="24"/>
          <w:szCs w:val="24"/>
        </w:rPr>
        <w:t>al Centre</w:t>
      </w:r>
      <w:r w:rsidRPr="0089351A">
        <w:rPr>
          <w:rFonts w:asciiTheme="majorBidi" w:hAnsiTheme="majorBidi" w:cstheme="majorBidi"/>
          <w:sz w:val="24"/>
          <w:szCs w:val="24"/>
        </w:rPr>
        <w:t xml:space="preserve">.     </w:t>
      </w:r>
    </w:p>
    <w:p w:rsidR="001076B1" w:rsidRPr="0089351A" w:rsidRDefault="00555782"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Gibson’s</w:t>
      </w:r>
      <w:r w:rsidR="004F2BDC" w:rsidRPr="0089351A">
        <w:rPr>
          <w:rFonts w:asciiTheme="majorBidi" w:hAnsiTheme="majorBidi" w:cstheme="majorBidi"/>
          <w:sz w:val="24"/>
          <w:szCs w:val="24"/>
        </w:rPr>
        <w:t xml:space="preserve"> legitimacy condition</w:t>
      </w:r>
      <w:r w:rsidR="00037E9A" w:rsidRPr="0089351A">
        <w:rPr>
          <w:rFonts w:asciiTheme="majorBidi" w:hAnsiTheme="majorBidi" w:cstheme="majorBidi"/>
          <w:sz w:val="24"/>
          <w:szCs w:val="24"/>
        </w:rPr>
        <w:t xml:space="preserve"> </w:t>
      </w:r>
      <w:r w:rsidR="004F2BDC" w:rsidRPr="0089351A">
        <w:rPr>
          <w:rFonts w:asciiTheme="majorBidi" w:hAnsiTheme="majorBidi" w:cstheme="majorBidi"/>
          <w:sz w:val="24"/>
          <w:szCs w:val="24"/>
        </w:rPr>
        <w:t>was</w:t>
      </w:r>
      <w:r w:rsidR="00BD6C62" w:rsidRPr="0089351A">
        <w:rPr>
          <w:rFonts w:asciiTheme="majorBidi" w:hAnsiTheme="majorBidi" w:cstheme="majorBidi"/>
          <w:sz w:val="24"/>
          <w:szCs w:val="24"/>
        </w:rPr>
        <w:t xml:space="preserve"> not met</w:t>
      </w:r>
      <w:r w:rsidR="00037E9A" w:rsidRPr="0089351A">
        <w:rPr>
          <w:rFonts w:asciiTheme="majorBidi" w:hAnsiTheme="majorBidi" w:cstheme="majorBidi"/>
          <w:sz w:val="24"/>
          <w:szCs w:val="24"/>
        </w:rPr>
        <w:t xml:space="preserve"> and this</w:t>
      </w:r>
      <w:r w:rsidR="00FD479C" w:rsidRPr="0089351A">
        <w:rPr>
          <w:rFonts w:asciiTheme="majorBidi" w:hAnsiTheme="majorBidi" w:cstheme="majorBidi"/>
          <w:sz w:val="24"/>
          <w:szCs w:val="24"/>
        </w:rPr>
        <w:t xml:space="preserve"> draws attention to an important reason for the MJTC’s failure in practical terms</w:t>
      </w:r>
      <w:r w:rsidR="00090199" w:rsidRPr="0089351A">
        <w:rPr>
          <w:rFonts w:asciiTheme="majorBidi" w:hAnsiTheme="majorBidi" w:cstheme="majorBidi"/>
          <w:sz w:val="24"/>
          <w:szCs w:val="24"/>
        </w:rPr>
        <w:t>. T</w:t>
      </w:r>
      <w:r w:rsidR="00F33C00" w:rsidRPr="0089351A">
        <w:rPr>
          <w:rFonts w:asciiTheme="majorBidi" w:hAnsiTheme="majorBidi" w:cstheme="majorBidi"/>
          <w:sz w:val="24"/>
          <w:szCs w:val="24"/>
        </w:rPr>
        <w:t>he population at the centre of trans</w:t>
      </w:r>
      <w:r w:rsidR="00037E9A" w:rsidRPr="0089351A">
        <w:rPr>
          <w:rFonts w:asciiTheme="majorBidi" w:hAnsiTheme="majorBidi" w:cstheme="majorBidi"/>
          <w:sz w:val="24"/>
          <w:szCs w:val="24"/>
        </w:rPr>
        <w:t>itional justice must be aware</w:t>
      </w:r>
      <w:r w:rsidR="00090199" w:rsidRPr="0089351A">
        <w:rPr>
          <w:rFonts w:asciiTheme="majorBidi" w:hAnsiTheme="majorBidi" w:cstheme="majorBidi"/>
          <w:sz w:val="24"/>
          <w:szCs w:val="24"/>
        </w:rPr>
        <w:t xml:space="preserve"> and involved</w:t>
      </w:r>
      <w:r w:rsidR="00037E9A" w:rsidRPr="0089351A">
        <w:rPr>
          <w:rFonts w:asciiTheme="majorBidi" w:hAnsiTheme="majorBidi" w:cstheme="majorBidi"/>
          <w:sz w:val="24"/>
          <w:szCs w:val="24"/>
        </w:rPr>
        <w:t xml:space="preserve"> if</w:t>
      </w:r>
      <w:r w:rsidR="0093176D" w:rsidRPr="0089351A">
        <w:rPr>
          <w:rFonts w:asciiTheme="majorBidi" w:hAnsiTheme="majorBidi" w:cstheme="majorBidi"/>
          <w:sz w:val="24"/>
          <w:szCs w:val="24"/>
        </w:rPr>
        <w:t xml:space="preserve"> Commi</w:t>
      </w:r>
      <w:r w:rsidR="00C1606A" w:rsidRPr="0089351A">
        <w:rPr>
          <w:rFonts w:asciiTheme="majorBidi" w:hAnsiTheme="majorBidi" w:cstheme="majorBidi"/>
          <w:sz w:val="24"/>
          <w:szCs w:val="24"/>
        </w:rPr>
        <w:t>ssion</w:t>
      </w:r>
      <w:r w:rsidR="00037E9A" w:rsidRPr="0089351A">
        <w:rPr>
          <w:rFonts w:asciiTheme="majorBidi" w:hAnsiTheme="majorBidi" w:cstheme="majorBidi"/>
          <w:sz w:val="24"/>
          <w:szCs w:val="24"/>
        </w:rPr>
        <w:t>s are</w:t>
      </w:r>
      <w:r w:rsidR="00C1606A" w:rsidRPr="0089351A">
        <w:rPr>
          <w:rFonts w:asciiTheme="majorBidi" w:hAnsiTheme="majorBidi" w:cstheme="majorBidi"/>
          <w:sz w:val="24"/>
          <w:szCs w:val="24"/>
        </w:rPr>
        <w:t xml:space="preserve"> to operate in an</w:t>
      </w:r>
      <w:r w:rsidR="0093176D" w:rsidRPr="0089351A">
        <w:rPr>
          <w:rFonts w:asciiTheme="majorBidi" w:hAnsiTheme="majorBidi" w:cstheme="majorBidi"/>
          <w:sz w:val="24"/>
          <w:szCs w:val="24"/>
        </w:rPr>
        <w:t xml:space="preserve"> environment</w:t>
      </w:r>
      <w:r w:rsidR="00C1606A" w:rsidRPr="0089351A">
        <w:rPr>
          <w:rFonts w:asciiTheme="majorBidi" w:hAnsiTheme="majorBidi" w:cstheme="majorBidi"/>
          <w:sz w:val="24"/>
          <w:szCs w:val="24"/>
        </w:rPr>
        <w:t xml:space="preserve"> conducive to success</w:t>
      </w:r>
      <w:r w:rsidRPr="0089351A">
        <w:rPr>
          <w:rFonts w:asciiTheme="majorBidi" w:hAnsiTheme="majorBidi" w:cstheme="majorBidi"/>
          <w:sz w:val="24"/>
          <w:szCs w:val="24"/>
        </w:rPr>
        <w:t xml:space="preserve">. </w:t>
      </w:r>
      <w:r w:rsidR="00F05041" w:rsidRPr="0089351A">
        <w:rPr>
          <w:rFonts w:asciiTheme="majorBidi" w:hAnsiTheme="majorBidi" w:cstheme="majorBidi"/>
          <w:sz w:val="24"/>
          <w:szCs w:val="24"/>
        </w:rPr>
        <w:t xml:space="preserve">As we have shown, the </w:t>
      </w:r>
      <w:r w:rsidR="008323D7" w:rsidRPr="0089351A">
        <w:rPr>
          <w:rFonts w:asciiTheme="majorBidi" w:hAnsiTheme="majorBidi" w:cstheme="majorBidi"/>
          <w:sz w:val="24"/>
          <w:szCs w:val="24"/>
        </w:rPr>
        <w:t>MTJC</w:t>
      </w:r>
      <w:r w:rsidR="00FE0213" w:rsidRPr="0089351A">
        <w:rPr>
          <w:rFonts w:asciiTheme="majorBidi" w:hAnsiTheme="majorBidi" w:cstheme="majorBidi"/>
          <w:sz w:val="24"/>
          <w:szCs w:val="24"/>
        </w:rPr>
        <w:t>’s origins did</w:t>
      </w:r>
      <w:r w:rsidR="00FD479C" w:rsidRPr="0089351A">
        <w:rPr>
          <w:rFonts w:asciiTheme="majorBidi" w:hAnsiTheme="majorBidi" w:cstheme="majorBidi"/>
          <w:sz w:val="24"/>
          <w:szCs w:val="24"/>
        </w:rPr>
        <w:t xml:space="preserve"> not facilitate such a situation</w:t>
      </w:r>
      <w:r w:rsidR="00FE0213" w:rsidRPr="0089351A">
        <w:rPr>
          <w:rFonts w:asciiTheme="majorBidi" w:hAnsiTheme="majorBidi" w:cstheme="majorBidi"/>
          <w:sz w:val="24"/>
          <w:szCs w:val="24"/>
        </w:rPr>
        <w:t>. It</w:t>
      </w:r>
      <w:r w:rsidR="00F05041" w:rsidRPr="0089351A">
        <w:rPr>
          <w:rFonts w:asciiTheme="majorBidi" w:hAnsiTheme="majorBidi" w:cstheme="majorBidi"/>
          <w:sz w:val="24"/>
          <w:szCs w:val="24"/>
        </w:rPr>
        <w:t xml:space="preserve"> arose from</w:t>
      </w:r>
      <w:r w:rsidR="00090199" w:rsidRPr="0089351A">
        <w:rPr>
          <w:rFonts w:asciiTheme="majorBidi" w:hAnsiTheme="majorBidi" w:cstheme="majorBidi"/>
          <w:sz w:val="24"/>
          <w:szCs w:val="24"/>
        </w:rPr>
        <w:t xml:space="preserve"> a process of inter-party</w:t>
      </w:r>
      <w:r w:rsidR="00F05041" w:rsidRPr="0089351A">
        <w:rPr>
          <w:rFonts w:asciiTheme="majorBidi" w:hAnsiTheme="majorBidi" w:cstheme="majorBidi"/>
          <w:sz w:val="24"/>
          <w:szCs w:val="24"/>
        </w:rPr>
        <w:t xml:space="preserve"> negotiation rather than from any wider </w:t>
      </w:r>
      <w:r w:rsidR="00FD479C" w:rsidRPr="0089351A">
        <w:rPr>
          <w:rFonts w:asciiTheme="majorBidi" w:hAnsiTheme="majorBidi" w:cstheme="majorBidi"/>
          <w:sz w:val="24"/>
          <w:szCs w:val="24"/>
        </w:rPr>
        <w:t>mobilisation</w:t>
      </w:r>
      <w:r w:rsidR="00F05041" w:rsidRPr="0089351A">
        <w:rPr>
          <w:rFonts w:asciiTheme="majorBidi" w:hAnsiTheme="majorBidi" w:cstheme="majorBidi"/>
          <w:sz w:val="24"/>
          <w:szCs w:val="24"/>
        </w:rPr>
        <w:t xml:space="preserve"> involving the Commission’</w:t>
      </w:r>
      <w:r w:rsidR="0093176D" w:rsidRPr="0089351A">
        <w:rPr>
          <w:rFonts w:asciiTheme="majorBidi" w:hAnsiTheme="majorBidi" w:cstheme="majorBidi"/>
          <w:sz w:val="24"/>
          <w:szCs w:val="24"/>
        </w:rPr>
        <w:t>s constitu</w:t>
      </w:r>
      <w:r w:rsidR="00037E9A" w:rsidRPr="0089351A">
        <w:rPr>
          <w:rFonts w:asciiTheme="majorBidi" w:hAnsiTheme="majorBidi" w:cstheme="majorBidi"/>
          <w:sz w:val="24"/>
          <w:szCs w:val="24"/>
        </w:rPr>
        <w:t>ents</w:t>
      </w:r>
      <w:r w:rsidR="00F05041" w:rsidRPr="0089351A">
        <w:rPr>
          <w:rFonts w:asciiTheme="majorBidi" w:hAnsiTheme="majorBidi" w:cstheme="majorBidi"/>
          <w:sz w:val="24"/>
          <w:szCs w:val="24"/>
        </w:rPr>
        <w:t>.</w:t>
      </w:r>
      <w:r w:rsidR="00090199" w:rsidRPr="0089351A">
        <w:rPr>
          <w:rFonts w:asciiTheme="majorBidi" w:hAnsiTheme="majorBidi" w:cstheme="majorBidi"/>
          <w:sz w:val="24"/>
          <w:szCs w:val="24"/>
        </w:rPr>
        <w:t xml:space="preserve"> </w:t>
      </w:r>
      <w:r w:rsidR="00012619" w:rsidRPr="0089351A">
        <w:rPr>
          <w:rFonts w:asciiTheme="majorBidi" w:hAnsiTheme="majorBidi" w:cstheme="majorBidi"/>
          <w:sz w:val="24"/>
          <w:szCs w:val="24"/>
        </w:rPr>
        <w:t>It also confronted an iss</w:t>
      </w:r>
      <w:r w:rsidR="00E714A4" w:rsidRPr="0089351A">
        <w:rPr>
          <w:rFonts w:asciiTheme="majorBidi" w:hAnsiTheme="majorBidi" w:cstheme="majorBidi"/>
          <w:sz w:val="24"/>
          <w:szCs w:val="24"/>
        </w:rPr>
        <w:t>ue likely to be faced by any entit</w:t>
      </w:r>
      <w:r w:rsidR="00012619" w:rsidRPr="0089351A">
        <w:rPr>
          <w:rFonts w:asciiTheme="majorBidi" w:hAnsiTheme="majorBidi" w:cstheme="majorBidi"/>
          <w:sz w:val="24"/>
          <w:szCs w:val="24"/>
        </w:rPr>
        <w:t>y seeking to involve the descendants of slaves: the consequences of their exclusion in terms of their own</w:t>
      </w:r>
      <w:r w:rsidR="001076B1" w:rsidRPr="0089351A">
        <w:rPr>
          <w:rFonts w:asciiTheme="majorBidi" w:hAnsiTheme="majorBidi" w:cstheme="majorBidi"/>
          <w:sz w:val="24"/>
          <w:szCs w:val="24"/>
        </w:rPr>
        <w:t xml:space="preserve"> wish and capacity to engage in the public sphere</w:t>
      </w:r>
      <w:r w:rsidR="002C5B5D" w:rsidRPr="0089351A">
        <w:rPr>
          <w:rFonts w:asciiTheme="majorBidi" w:hAnsiTheme="majorBidi" w:cstheme="majorBidi"/>
          <w:sz w:val="24"/>
          <w:szCs w:val="24"/>
        </w:rPr>
        <w:t xml:space="preserve"> on an issue closely associated with deep pain and even shame</w:t>
      </w:r>
      <w:r w:rsidR="001076B1" w:rsidRPr="0089351A">
        <w:rPr>
          <w:rFonts w:asciiTheme="majorBidi" w:hAnsiTheme="majorBidi" w:cstheme="majorBidi"/>
          <w:sz w:val="24"/>
          <w:szCs w:val="24"/>
        </w:rPr>
        <w:t xml:space="preserve">. </w:t>
      </w:r>
      <w:r w:rsidR="00F05041" w:rsidRPr="0089351A">
        <w:rPr>
          <w:rFonts w:asciiTheme="majorBidi" w:hAnsiTheme="majorBidi" w:cstheme="majorBidi"/>
          <w:sz w:val="24"/>
          <w:szCs w:val="24"/>
        </w:rPr>
        <w:t xml:space="preserve">The </w:t>
      </w:r>
      <w:r w:rsidR="00FD479C" w:rsidRPr="0089351A">
        <w:rPr>
          <w:rFonts w:asciiTheme="majorBidi" w:hAnsiTheme="majorBidi" w:cstheme="majorBidi"/>
          <w:sz w:val="24"/>
          <w:szCs w:val="24"/>
        </w:rPr>
        <w:t>M</w:t>
      </w:r>
      <w:r w:rsidR="00F05041" w:rsidRPr="0089351A">
        <w:rPr>
          <w:rFonts w:asciiTheme="majorBidi" w:hAnsiTheme="majorBidi" w:cstheme="majorBidi"/>
          <w:sz w:val="24"/>
          <w:szCs w:val="24"/>
        </w:rPr>
        <w:t>TJC’</w:t>
      </w:r>
      <w:r w:rsidR="0093176D" w:rsidRPr="0089351A">
        <w:rPr>
          <w:rFonts w:asciiTheme="majorBidi" w:hAnsiTheme="majorBidi" w:cstheme="majorBidi"/>
          <w:sz w:val="24"/>
          <w:szCs w:val="24"/>
        </w:rPr>
        <w:t xml:space="preserve">s </w:t>
      </w:r>
      <w:r w:rsidR="00037E9A" w:rsidRPr="0089351A">
        <w:rPr>
          <w:rFonts w:asciiTheme="majorBidi" w:hAnsiTheme="majorBidi" w:cstheme="majorBidi"/>
          <w:i/>
          <w:iCs/>
          <w:sz w:val="24"/>
          <w:szCs w:val="24"/>
        </w:rPr>
        <w:t>modus operandi</w:t>
      </w:r>
      <w:r w:rsidR="00090199" w:rsidRPr="0089351A">
        <w:rPr>
          <w:rFonts w:asciiTheme="majorBidi" w:hAnsiTheme="majorBidi" w:cstheme="majorBidi"/>
          <w:sz w:val="24"/>
          <w:szCs w:val="24"/>
        </w:rPr>
        <w:t xml:space="preserve"> </w:t>
      </w:r>
      <w:r w:rsidR="00FD479C" w:rsidRPr="0089351A">
        <w:rPr>
          <w:rFonts w:asciiTheme="majorBidi" w:hAnsiTheme="majorBidi" w:cstheme="majorBidi"/>
          <w:sz w:val="24"/>
          <w:szCs w:val="24"/>
        </w:rPr>
        <w:t xml:space="preserve">also </w:t>
      </w:r>
      <w:r w:rsidR="00037E9A" w:rsidRPr="0089351A">
        <w:rPr>
          <w:rFonts w:asciiTheme="majorBidi" w:hAnsiTheme="majorBidi" w:cstheme="majorBidi"/>
          <w:sz w:val="24"/>
          <w:szCs w:val="24"/>
        </w:rPr>
        <w:t>contributed</w:t>
      </w:r>
      <w:r w:rsidR="00FE0213" w:rsidRPr="0089351A">
        <w:rPr>
          <w:rFonts w:asciiTheme="majorBidi" w:hAnsiTheme="majorBidi" w:cstheme="majorBidi"/>
          <w:sz w:val="24"/>
          <w:szCs w:val="24"/>
        </w:rPr>
        <w:t xml:space="preserve"> to the legitimacy issue</w:t>
      </w:r>
      <w:r w:rsidR="00F33C00" w:rsidRPr="0089351A">
        <w:rPr>
          <w:rFonts w:asciiTheme="majorBidi" w:hAnsiTheme="majorBidi" w:cstheme="majorBidi"/>
          <w:sz w:val="24"/>
          <w:szCs w:val="24"/>
        </w:rPr>
        <w:t xml:space="preserve">. </w:t>
      </w:r>
      <w:r w:rsidR="0093176D" w:rsidRPr="0089351A">
        <w:rPr>
          <w:rFonts w:asciiTheme="majorBidi" w:hAnsiTheme="majorBidi" w:cstheme="majorBidi"/>
          <w:sz w:val="24"/>
          <w:szCs w:val="24"/>
        </w:rPr>
        <w:t xml:space="preserve">It reflected the island’s political culture in that the </w:t>
      </w:r>
      <w:proofErr w:type="gramStart"/>
      <w:r w:rsidR="0093176D" w:rsidRPr="0089351A">
        <w:rPr>
          <w:rFonts w:asciiTheme="majorBidi" w:hAnsiTheme="majorBidi" w:cstheme="majorBidi"/>
          <w:sz w:val="24"/>
          <w:szCs w:val="24"/>
        </w:rPr>
        <w:t>Commission</w:t>
      </w:r>
      <w:r w:rsidR="00F33C00" w:rsidRPr="0089351A">
        <w:rPr>
          <w:rFonts w:asciiTheme="majorBidi" w:hAnsiTheme="majorBidi" w:cstheme="majorBidi"/>
          <w:sz w:val="24"/>
          <w:szCs w:val="24"/>
        </w:rPr>
        <w:t>’ s</w:t>
      </w:r>
      <w:proofErr w:type="gramEnd"/>
      <w:r w:rsidR="00F33C00" w:rsidRPr="0089351A">
        <w:rPr>
          <w:rFonts w:asciiTheme="majorBidi" w:hAnsiTheme="majorBidi" w:cstheme="majorBidi"/>
          <w:sz w:val="24"/>
          <w:szCs w:val="24"/>
        </w:rPr>
        <w:t xml:space="preserve"> </w:t>
      </w:r>
      <w:r w:rsidR="00003C6E" w:rsidRPr="0089351A">
        <w:rPr>
          <w:rFonts w:asciiTheme="majorBidi" w:hAnsiTheme="majorBidi" w:cstheme="majorBidi"/>
          <w:sz w:val="24"/>
          <w:szCs w:val="24"/>
        </w:rPr>
        <w:t>proceedings were in English,</w:t>
      </w:r>
      <w:r w:rsidR="00037E9A" w:rsidRPr="0089351A">
        <w:rPr>
          <w:rFonts w:asciiTheme="majorBidi" w:hAnsiTheme="majorBidi" w:cstheme="majorBidi"/>
          <w:sz w:val="24"/>
          <w:szCs w:val="24"/>
        </w:rPr>
        <w:t xml:space="preserve"> reporting</w:t>
      </w:r>
      <w:r w:rsidR="00003C6E" w:rsidRPr="0089351A">
        <w:rPr>
          <w:rFonts w:asciiTheme="majorBidi" w:hAnsiTheme="majorBidi" w:cstheme="majorBidi"/>
          <w:sz w:val="24"/>
          <w:szCs w:val="24"/>
        </w:rPr>
        <w:t xml:space="preserve"> </w:t>
      </w:r>
      <w:r w:rsidR="00F33C00" w:rsidRPr="0089351A">
        <w:rPr>
          <w:rFonts w:asciiTheme="majorBidi" w:hAnsiTheme="majorBidi" w:cstheme="majorBidi"/>
          <w:sz w:val="24"/>
          <w:szCs w:val="24"/>
        </w:rPr>
        <w:t xml:space="preserve">was in the island’s French-language newspapers and the Report has </w:t>
      </w:r>
      <w:r w:rsidR="00037E9A" w:rsidRPr="0089351A">
        <w:rPr>
          <w:rFonts w:asciiTheme="majorBidi" w:hAnsiTheme="majorBidi" w:cstheme="majorBidi"/>
          <w:sz w:val="24"/>
          <w:szCs w:val="24"/>
        </w:rPr>
        <w:t xml:space="preserve">not yet been translated into </w:t>
      </w:r>
      <w:proofErr w:type="spellStart"/>
      <w:r w:rsidR="00037E9A" w:rsidRPr="0089351A">
        <w:rPr>
          <w:rFonts w:asciiTheme="majorBidi" w:hAnsiTheme="majorBidi" w:cstheme="majorBidi"/>
          <w:sz w:val="24"/>
          <w:szCs w:val="24"/>
        </w:rPr>
        <w:t>Kreol</w:t>
      </w:r>
      <w:proofErr w:type="spellEnd"/>
      <w:r w:rsidR="00F33C00" w:rsidRPr="0089351A">
        <w:rPr>
          <w:rFonts w:asciiTheme="majorBidi" w:hAnsiTheme="majorBidi" w:cstheme="majorBidi"/>
          <w:sz w:val="24"/>
          <w:szCs w:val="24"/>
        </w:rPr>
        <w:t>.</w:t>
      </w:r>
      <w:r w:rsidR="00037E9A" w:rsidRPr="0089351A">
        <w:rPr>
          <w:rFonts w:asciiTheme="majorBidi" w:hAnsiTheme="majorBidi" w:cstheme="majorBidi"/>
          <w:sz w:val="24"/>
          <w:szCs w:val="24"/>
        </w:rPr>
        <w:t xml:space="preserve"> C</w:t>
      </w:r>
      <w:r w:rsidR="00003C6E" w:rsidRPr="0089351A">
        <w:rPr>
          <w:rFonts w:asciiTheme="majorBidi" w:hAnsiTheme="majorBidi" w:cstheme="majorBidi"/>
          <w:sz w:val="24"/>
          <w:szCs w:val="24"/>
        </w:rPr>
        <w:t>ollectively, t</w:t>
      </w:r>
      <w:r w:rsidR="00E714A4" w:rsidRPr="0089351A">
        <w:rPr>
          <w:rFonts w:asciiTheme="majorBidi" w:hAnsiTheme="majorBidi" w:cstheme="majorBidi"/>
          <w:sz w:val="24"/>
          <w:szCs w:val="24"/>
        </w:rPr>
        <w:t>hese</w:t>
      </w:r>
      <w:r w:rsidR="00003C6E" w:rsidRPr="0089351A">
        <w:rPr>
          <w:rFonts w:asciiTheme="majorBidi" w:hAnsiTheme="majorBidi" w:cstheme="majorBidi"/>
          <w:sz w:val="24"/>
          <w:szCs w:val="24"/>
        </w:rPr>
        <w:t xml:space="preserve"> factors</w:t>
      </w:r>
      <w:r w:rsidR="00E714A4" w:rsidRPr="0089351A">
        <w:rPr>
          <w:rFonts w:asciiTheme="majorBidi" w:hAnsiTheme="majorBidi" w:cstheme="majorBidi"/>
          <w:sz w:val="24"/>
          <w:szCs w:val="24"/>
        </w:rPr>
        <w:t xml:space="preserve"> were</w:t>
      </w:r>
      <w:r w:rsidR="00BD6C62" w:rsidRPr="0089351A">
        <w:rPr>
          <w:rFonts w:asciiTheme="majorBidi" w:hAnsiTheme="majorBidi" w:cstheme="majorBidi"/>
          <w:sz w:val="24"/>
          <w:szCs w:val="24"/>
        </w:rPr>
        <w:t xml:space="preserve"> </w:t>
      </w:r>
      <w:r w:rsidR="00984B95" w:rsidRPr="0089351A">
        <w:rPr>
          <w:rFonts w:asciiTheme="majorBidi" w:hAnsiTheme="majorBidi" w:cstheme="majorBidi"/>
          <w:sz w:val="24"/>
          <w:szCs w:val="24"/>
        </w:rPr>
        <w:t xml:space="preserve">the primary </w:t>
      </w:r>
      <w:r w:rsidR="00BD6C62" w:rsidRPr="0089351A">
        <w:rPr>
          <w:rFonts w:asciiTheme="majorBidi" w:hAnsiTheme="majorBidi" w:cstheme="majorBidi"/>
          <w:sz w:val="24"/>
          <w:szCs w:val="24"/>
        </w:rPr>
        <w:t xml:space="preserve">antecedents of the </w:t>
      </w:r>
      <w:r w:rsidR="00E714A4" w:rsidRPr="0089351A">
        <w:rPr>
          <w:rFonts w:asciiTheme="majorBidi" w:hAnsiTheme="majorBidi" w:cstheme="majorBidi"/>
          <w:sz w:val="24"/>
          <w:szCs w:val="24"/>
        </w:rPr>
        <w:t xml:space="preserve">government’s </w:t>
      </w:r>
      <w:r w:rsidR="00F548DF" w:rsidRPr="0089351A">
        <w:rPr>
          <w:rFonts w:asciiTheme="majorBidi" w:hAnsiTheme="majorBidi" w:cstheme="majorBidi"/>
          <w:sz w:val="24"/>
          <w:szCs w:val="24"/>
        </w:rPr>
        <w:t>non-implementation</w:t>
      </w:r>
      <w:r w:rsidR="00BD6C62" w:rsidRPr="0089351A">
        <w:rPr>
          <w:rFonts w:asciiTheme="majorBidi" w:hAnsiTheme="majorBidi" w:cstheme="majorBidi"/>
          <w:sz w:val="24"/>
          <w:szCs w:val="24"/>
        </w:rPr>
        <w:t xml:space="preserve"> of the Commission’s recommendations</w:t>
      </w:r>
      <w:r w:rsidR="00F548DF" w:rsidRPr="0089351A">
        <w:rPr>
          <w:rFonts w:asciiTheme="majorBidi" w:hAnsiTheme="majorBidi" w:cstheme="majorBidi"/>
          <w:sz w:val="24"/>
          <w:szCs w:val="24"/>
        </w:rPr>
        <w:t>.</w:t>
      </w:r>
    </w:p>
    <w:p w:rsidR="0021602C" w:rsidRPr="0089351A" w:rsidRDefault="00037E9A"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Gibson’s requirement of a credible history</w:t>
      </w:r>
      <w:r w:rsidR="00296357" w:rsidRPr="0089351A">
        <w:rPr>
          <w:rFonts w:asciiTheme="majorBidi" w:hAnsiTheme="majorBidi" w:cstheme="majorBidi"/>
          <w:sz w:val="24"/>
          <w:szCs w:val="24"/>
        </w:rPr>
        <w:t xml:space="preserve"> </w:t>
      </w:r>
      <w:r w:rsidR="0021602C" w:rsidRPr="0089351A">
        <w:rPr>
          <w:rFonts w:asciiTheme="majorBidi" w:hAnsiTheme="majorBidi" w:cstheme="majorBidi"/>
          <w:sz w:val="24"/>
          <w:szCs w:val="24"/>
        </w:rPr>
        <w:t>was only met on one level</w:t>
      </w:r>
      <w:r w:rsidR="00BE0E46" w:rsidRPr="0089351A">
        <w:rPr>
          <w:rFonts w:asciiTheme="majorBidi" w:hAnsiTheme="majorBidi" w:cstheme="majorBidi"/>
          <w:sz w:val="24"/>
          <w:szCs w:val="24"/>
        </w:rPr>
        <w:t xml:space="preserve">. </w:t>
      </w:r>
      <w:r w:rsidR="0021602C" w:rsidRPr="0089351A">
        <w:rPr>
          <w:rFonts w:asciiTheme="majorBidi" w:hAnsiTheme="majorBidi" w:cstheme="majorBidi"/>
          <w:sz w:val="24"/>
          <w:szCs w:val="24"/>
        </w:rPr>
        <w:t xml:space="preserve">The MTJC’s findings are, at </w:t>
      </w:r>
      <w:r w:rsidRPr="0089351A">
        <w:rPr>
          <w:rFonts w:asciiTheme="majorBidi" w:hAnsiTheme="majorBidi" w:cstheme="majorBidi"/>
          <w:sz w:val="24"/>
          <w:szCs w:val="24"/>
        </w:rPr>
        <w:t>the professional scholarly sense</w:t>
      </w:r>
      <w:r w:rsidR="0021602C" w:rsidRPr="0089351A">
        <w:rPr>
          <w:rFonts w:asciiTheme="majorBidi" w:hAnsiTheme="majorBidi" w:cstheme="majorBidi"/>
          <w:sz w:val="24"/>
          <w:szCs w:val="24"/>
        </w:rPr>
        <w:t>, cre</w:t>
      </w:r>
      <w:r w:rsidRPr="0089351A">
        <w:rPr>
          <w:rFonts w:asciiTheme="majorBidi" w:hAnsiTheme="majorBidi" w:cstheme="majorBidi"/>
          <w:sz w:val="24"/>
          <w:szCs w:val="24"/>
        </w:rPr>
        <w:t>dible and</w:t>
      </w:r>
      <w:r w:rsidR="0021602C" w:rsidRPr="0089351A">
        <w:rPr>
          <w:rFonts w:asciiTheme="majorBidi" w:hAnsiTheme="majorBidi" w:cstheme="majorBidi"/>
          <w:sz w:val="24"/>
          <w:szCs w:val="24"/>
        </w:rPr>
        <w:t xml:space="preserve"> have been confirmed and extended by the work of other historians since the report was published. The contribution was achieved by the deployment of a large team of professional historians as only they could be expected to deal with the disparate mass of often chaotic archival material and by the involvement of some two hundred slave descendants through the oral history project and those who made depositions on land issues. Nevertheless, there wa</w:t>
      </w:r>
      <w:r w:rsidR="00003C6E" w:rsidRPr="0089351A">
        <w:rPr>
          <w:rFonts w:asciiTheme="majorBidi" w:hAnsiTheme="majorBidi" w:cstheme="majorBidi"/>
          <w:sz w:val="24"/>
          <w:szCs w:val="24"/>
        </w:rPr>
        <w:t>s clear evidence of a failure to involve key individuals</w:t>
      </w:r>
      <w:r w:rsidR="002C5B5D" w:rsidRPr="0089351A">
        <w:rPr>
          <w:rFonts w:asciiTheme="majorBidi" w:hAnsiTheme="majorBidi" w:cstheme="majorBidi"/>
          <w:sz w:val="24"/>
          <w:szCs w:val="24"/>
        </w:rPr>
        <w:t xml:space="preserve"> with much information </w:t>
      </w:r>
      <w:r w:rsidR="00003C6E" w:rsidRPr="0089351A">
        <w:rPr>
          <w:rFonts w:asciiTheme="majorBidi" w:hAnsiTheme="majorBidi" w:cstheme="majorBidi"/>
          <w:sz w:val="24"/>
          <w:szCs w:val="24"/>
        </w:rPr>
        <w:t xml:space="preserve">and credibility </w:t>
      </w:r>
      <w:r w:rsidR="0021602C" w:rsidRPr="0089351A">
        <w:rPr>
          <w:rFonts w:asciiTheme="majorBidi" w:hAnsiTheme="majorBidi" w:cstheme="majorBidi"/>
          <w:sz w:val="24"/>
          <w:szCs w:val="24"/>
        </w:rPr>
        <w:t>in the depositions made to the oral history project, as there was of an under-estimation of the significance of the oral</w:t>
      </w:r>
      <w:r w:rsidR="00003C6E" w:rsidRPr="0089351A">
        <w:rPr>
          <w:rFonts w:asciiTheme="majorBidi" w:hAnsiTheme="majorBidi" w:cstheme="majorBidi"/>
          <w:sz w:val="24"/>
          <w:szCs w:val="24"/>
        </w:rPr>
        <w:t xml:space="preserve"> tradition by the report’s comp</w:t>
      </w:r>
      <w:r w:rsidR="0021602C" w:rsidRPr="0089351A">
        <w:rPr>
          <w:rFonts w:asciiTheme="majorBidi" w:hAnsiTheme="majorBidi" w:cstheme="majorBidi"/>
          <w:sz w:val="24"/>
          <w:szCs w:val="24"/>
        </w:rPr>
        <w:t>i</w:t>
      </w:r>
      <w:r w:rsidR="00003C6E" w:rsidRPr="0089351A">
        <w:rPr>
          <w:rFonts w:asciiTheme="majorBidi" w:hAnsiTheme="majorBidi" w:cstheme="majorBidi"/>
          <w:sz w:val="24"/>
          <w:szCs w:val="24"/>
        </w:rPr>
        <w:t>l</w:t>
      </w:r>
      <w:r w:rsidRPr="0089351A">
        <w:rPr>
          <w:rFonts w:asciiTheme="majorBidi" w:hAnsiTheme="majorBidi" w:cstheme="majorBidi"/>
          <w:sz w:val="24"/>
          <w:szCs w:val="24"/>
        </w:rPr>
        <w:t>ers. F</w:t>
      </w:r>
      <w:r w:rsidR="0021602C" w:rsidRPr="0089351A">
        <w:rPr>
          <w:rFonts w:asciiTheme="majorBidi" w:hAnsiTheme="majorBidi" w:cstheme="majorBidi"/>
          <w:sz w:val="24"/>
          <w:szCs w:val="24"/>
        </w:rPr>
        <w:t>ull integrati</w:t>
      </w:r>
      <w:r w:rsidRPr="0089351A">
        <w:rPr>
          <w:rFonts w:asciiTheme="majorBidi" w:hAnsiTheme="majorBidi" w:cstheme="majorBidi"/>
          <w:sz w:val="24"/>
          <w:szCs w:val="24"/>
        </w:rPr>
        <w:t>on of the oral tradition was not achieved</w:t>
      </w:r>
      <w:r w:rsidR="0021602C" w:rsidRPr="0089351A">
        <w:rPr>
          <w:rFonts w:asciiTheme="majorBidi" w:hAnsiTheme="majorBidi" w:cstheme="majorBidi"/>
          <w:sz w:val="24"/>
          <w:szCs w:val="24"/>
        </w:rPr>
        <w:t xml:space="preserve">. In effect if not in </w:t>
      </w:r>
      <w:r w:rsidR="0021602C" w:rsidRPr="0089351A">
        <w:rPr>
          <w:rFonts w:asciiTheme="majorBidi" w:hAnsiTheme="majorBidi" w:cstheme="majorBidi"/>
          <w:sz w:val="24"/>
          <w:szCs w:val="24"/>
        </w:rPr>
        <w:lastRenderedPageBreak/>
        <w:t>intention, many Creole voices had been silenced</w:t>
      </w:r>
      <w:r w:rsidR="00371EC8" w:rsidRPr="0089351A">
        <w:rPr>
          <w:rFonts w:asciiTheme="majorBidi" w:hAnsiTheme="majorBidi" w:cstheme="majorBidi"/>
          <w:sz w:val="24"/>
          <w:szCs w:val="24"/>
        </w:rPr>
        <w:t>.</w:t>
      </w:r>
      <w:r w:rsidR="000D1794" w:rsidRPr="0089351A">
        <w:rPr>
          <w:rStyle w:val="FootnoteReference"/>
          <w:rFonts w:asciiTheme="majorBidi" w:hAnsiTheme="majorBidi" w:cstheme="majorBidi"/>
          <w:sz w:val="24"/>
          <w:szCs w:val="24"/>
          <w:lang w:val="en-US"/>
        </w:rPr>
        <w:footnoteReference w:id="83"/>
      </w:r>
      <w:r w:rsidR="0021602C" w:rsidRPr="0089351A">
        <w:rPr>
          <w:rFonts w:asciiTheme="majorBidi" w:hAnsiTheme="majorBidi" w:cstheme="majorBidi"/>
          <w:sz w:val="24"/>
          <w:szCs w:val="24"/>
        </w:rPr>
        <w:t xml:space="preserve"> The MTJC account, although full of indignation, was not </w:t>
      </w:r>
      <w:r w:rsidR="002C5B5D" w:rsidRPr="0089351A">
        <w:rPr>
          <w:rFonts w:asciiTheme="majorBidi" w:hAnsiTheme="majorBidi" w:cstheme="majorBidi"/>
          <w:sz w:val="24"/>
          <w:szCs w:val="24"/>
        </w:rPr>
        <w:t xml:space="preserve">primarily </w:t>
      </w:r>
      <w:r w:rsidR="0021602C" w:rsidRPr="0089351A">
        <w:rPr>
          <w:rFonts w:asciiTheme="majorBidi" w:hAnsiTheme="majorBidi" w:cstheme="majorBidi"/>
          <w:sz w:val="24"/>
          <w:szCs w:val="24"/>
        </w:rPr>
        <w:t>tha</w:t>
      </w:r>
      <w:r w:rsidR="00D51A94" w:rsidRPr="0089351A">
        <w:rPr>
          <w:rFonts w:asciiTheme="majorBidi" w:hAnsiTheme="majorBidi" w:cstheme="majorBidi"/>
          <w:sz w:val="24"/>
          <w:szCs w:val="24"/>
        </w:rPr>
        <w:t xml:space="preserve">t of the descendants of slavery. </w:t>
      </w:r>
      <w:r w:rsidR="00003C6E" w:rsidRPr="0089351A">
        <w:rPr>
          <w:rFonts w:asciiTheme="majorBidi" w:hAnsiTheme="majorBidi" w:cstheme="majorBidi"/>
          <w:sz w:val="24"/>
          <w:szCs w:val="24"/>
        </w:rPr>
        <w:t xml:space="preserve">Both literally and figuratively, it did not speak their language. </w:t>
      </w:r>
      <w:r w:rsidR="0021602C" w:rsidRPr="0089351A">
        <w:rPr>
          <w:rFonts w:asciiTheme="majorBidi" w:hAnsiTheme="majorBidi" w:cstheme="majorBidi"/>
          <w:sz w:val="24"/>
          <w:szCs w:val="24"/>
        </w:rPr>
        <w:t xml:space="preserve">A </w:t>
      </w:r>
      <w:r w:rsidR="002C5B5D" w:rsidRPr="0089351A">
        <w:rPr>
          <w:rFonts w:asciiTheme="majorBidi" w:hAnsiTheme="majorBidi" w:cstheme="majorBidi"/>
          <w:sz w:val="24"/>
          <w:szCs w:val="24"/>
        </w:rPr>
        <w:t xml:space="preserve">certain </w:t>
      </w:r>
      <w:r w:rsidR="0021602C" w:rsidRPr="0089351A">
        <w:rPr>
          <w:rFonts w:asciiTheme="majorBidi" w:hAnsiTheme="majorBidi" w:cstheme="majorBidi"/>
          <w:sz w:val="24"/>
          <w:szCs w:val="24"/>
        </w:rPr>
        <w:t xml:space="preserve">dissonance between the scholarly and the popular </w:t>
      </w:r>
      <w:r w:rsidR="00003C6E" w:rsidRPr="0089351A">
        <w:rPr>
          <w:rFonts w:asciiTheme="majorBidi" w:hAnsiTheme="majorBidi" w:cstheme="majorBidi"/>
          <w:sz w:val="24"/>
          <w:szCs w:val="24"/>
        </w:rPr>
        <w:t xml:space="preserve">therefore </w:t>
      </w:r>
      <w:r w:rsidR="0021602C" w:rsidRPr="0089351A">
        <w:rPr>
          <w:rFonts w:asciiTheme="majorBidi" w:hAnsiTheme="majorBidi" w:cstheme="majorBidi"/>
          <w:sz w:val="24"/>
          <w:szCs w:val="24"/>
        </w:rPr>
        <w:t xml:space="preserve">undermined the MTJC Report and </w:t>
      </w:r>
      <w:r w:rsidR="00003C6E" w:rsidRPr="0089351A">
        <w:rPr>
          <w:rFonts w:asciiTheme="majorBidi" w:hAnsiTheme="majorBidi" w:cstheme="majorBidi"/>
          <w:sz w:val="24"/>
          <w:szCs w:val="24"/>
        </w:rPr>
        <w:t>its recommendations’ resonance</w:t>
      </w:r>
      <w:r w:rsidR="0021602C" w:rsidRPr="0089351A">
        <w:rPr>
          <w:rFonts w:asciiTheme="majorBidi" w:hAnsiTheme="majorBidi" w:cstheme="majorBidi"/>
          <w:sz w:val="24"/>
          <w:szCs w:val="24"/>
        </w:rPr>
        <w:t>.</w:t>
      </w:r>
      <w:r w:rsidR="00E90180" w:rsidRPr="0089351A">
        <w:rPr>
          <w:rFonts w:asciiTheme="majorBidi" w:hAnsiTheme="majorBidi" w:cstheme="majorBidi"/>
          <w:sz w:val="24"/>
          <w:szCs w:val="24"/>
        </w:rPr>
        <w:t xml:space="preserve"> </w:t>
      </w:r>
      <w:r w:rsidRPr="0089351A">
        <w:rPr>
          <w:rFonts w:asciiTheme="majorBidi" w:hAnsiTheme="majorBidi" w:cstheme="majorBidi"/>
          <w:sz w:val="24"/>
          <w:szCs w:val="24"/>
        </w:rPr>
        <w:t xml:space="preserve">However, </w:t>
      </w:r>
      <w:r w:rsidR="00D51A94" w:rsidRPr="0089351A">
        <w:rPr>
          <w:rFonts w:asciiTheme="majorBidi" w:hAnsiTheme="majorBidi" w:cstheme="majorBidi"/>
          <w:sz w:val="24"/>
          <w:szCs w:val="24"/>
        </w:rPr>
        <w:t>it is not suggested here that production of a more multi-dimensional historical accoun</w:t>
      </w:r>
      <w:r w:rsidR="00C62143" w:rsidRPr="0089351A">
        <w:rPr>
          <w:rFonts w:asciiTheme="majorBidi" w:hAnsiTheme="majorBidi" w:cstheme="majorBidi"/>
          <w:sz w:val="24"/>
          <w:szCs w:val="24"/>
        </w:rPr>
        <w:t>t would have</w:t>
      </w:r>
      <w:r w:rsidR="00D51A94" w:rsidRPr="0089351A">
        <w:rPr>
          <w:rFonts w:asciiTheme="majorBidi" w:hAnsiTheme="majorBidi" w:cstheme="majorBidi"/>
          <w:sz w:val="24"/>
          <w:szCs w:val="24"/>
        </w:rPr>
        <w:t xml:space="preserve"> induced the go</w:t>
      </w:r>
      <w:r w:rsidR="00C62143" w:rsidRPr="0089351A">
        <w:rPr>
          <w:rFonts w:asciiTheme="majorBidi" w:hAnsiTheme="majorBidi" w:cstheme="majorBidi"/>
          <w:sz w:val="24"/>
          <w:szCs w:val="24"/>
        </w:rPr>
        <w:t>vernment to implement the</w:t>
      </w:r>
      <w:r w:rsidR="00D51A94" w:rsidRPr="0089351A">
        <w:rPr>
          <w:rFonts w:asciiTheme="majorBidi" w:hAnsiTheme="majorBidi" w:cstheme="majorBidi"/>
          <w:sz w:val="24"/>
          <w:szCs w:val="24"/>
        </w:rPr>
        <w:t xml:space="preserve"> recommendations. Gibson’s requirement for credible history is less significant in the post-slavery context than in many transitional justice situations.  </w:t>
      </w:r>
      <w:r w:rsidR="0021602C" w:rsidRPr="0089351A">
        <w:rPr>
          <w:rFonts w:asciiTheme="majorBidi" w:hAnsiTheme="majorBidi" w:cstheme="majorBidi"/>
          <w:sz w:val="24"/>
          <w:szCs w:val="24"/>
        </w:rPr>
        <w:t xml:space="preserve">     </w:t>
      </w:r>
    </w:p>
    <w:p w:rsidR="00E43785" w:rsidRPr="0089351A" w:rsidRDefault="00090199"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The experience has</w:t>
      </w:r>
      <w:r w:rsidR="00C1606A" w:rsidRPr="0089351A">
        <w:rPr>
          <w:rFonts w:asciiTheme="majorBidi" w:hAnsiTheme="majorBidi" w:cstheme="majorBidi"/>
          <w:sz w:val="24"/>
          <w:szCs w:val="24"/>
        </w:rPr>
        <w:t xml:space="preserve"> </w:t>
      </w:r>
      <w:r w:rsidR="00C62143" w:rsidRPr="0089351A">
        <w:rPr>
          <w:rFonts w:asciiTheme="majorBidi" w:hAnsiTheme="majorBidi" w:cstheme="majorBidi"/>
          <w:sz w:val="24"/>
          <w:szCs w:val="24"/>
        </w:rPr>
        <w:t xml:space="preserve">further </w:t>
      </w:r>
      <w:r w:rsidR="00C1606A" w:rsidRPr="0089351A">
        <w:rPr>
          <w:rFonts w:asciiTheme="majorBidi" w:hAnsiTheme="majorBidi" w:cstheme="majorBidi"/>
          <w:sz w:val="24"/>
          <w:szCs w:val="24"/>
        </w:rPr>
        <w:t>co</w:t>
      </w:r>
      <w:r w:rsidR="00555782" w:rsidRPr="0089351A">
        <w:rPr>
          <w:rFonts w:asciiTheme="majorBidi" w:hAnsiTheme="majorBidi" w:cstheme="majorBidi"/>
          <w:sz w:val="24"/>
          <w:szCs w:val="24"/>
        </w:rPr>
        <w:t>nsequences for the theory’s application in post-slavery situations</w:t>
      </w:r>
      <w:r w:rsidR="00C1606A" w:rsidRPr="0089351A">
        <w:rPr>
          <w:rFonts w:asciiTheme="majorBidi" w:hAnsiTheme="majorBidi" w:cstheme="majorBidi"/>
          <w:sz w:val="24"/>
          <w:szCs w:val="24"/>
        </w:rPr>
        <w:t xml:space="preserve">. </w:t>
      </w:r>
      <w:r w:rsidR="007B70F5" w:rsidRPr="0089351A">
        <w:rPr>
          <w:rFonts w:asciiTheme="majorBidi" w:hAnsiTheme="majorBidi" w:cstheme="majorBidi"/>
          <w:sz w:val="24"/>
          <w:szCs w:val="24"/>
        </w:rPr>
        <w:t>First (as in South Africa)</w:t>
      </w:r>
      <w:r w:rsidRPr="0089351A">
        <w:rPr>
          <w:rFonts w:asciiTheme="majorBidi" w:hAnsiTheme="majorBidi" w:cstheme="majorBidi"/>
          <w:sz w:val="24"/>
          <w:szCs w:val="24"/>
        </w:rPr>
        <w:t xml:space="preserve"> ruling </w:t>
      </w:r>
      <w:r w:rsidR="00003C6E" w:rsidRPr="0089351A">
        <w:rPr>
          <w:rFonts w:asciiTheme="majorBidi" w:hAnsiTheme="majorBidi" w:cstheme="majorBidi"/>
          <w:sz w:val="24"/>
          <w:szCs w:val="24"/>
        </w:rPr>
        <w:t>elites must have decided</w:t>
      </w:r>
      <w:r w:rsidRPr="0089351A">
        <w:rPr>
          <w:rFonts w:asciiTheme="majorBidi" w:hAnsiTheme="majorBidi" w:cstheme="majorBidi"/>
          <w:sz w:val="24"/>
          <w:szCs w:val="24"/>
        </w:rPr>
        <w:t xml:space="preserve"> to effect systemic change and accept a need to examine previous offences</w:t>
      </w:r>
      <w:r w:rsidR="007B70F5" w:rsidRPr="0089351A">
        <w:rPr>
          <w:rFonts w:asciiTheme="majorBidi" w:hAnsiTheme="majorBidi" w:cstheme="majorBidi"/>
          <w:sz w:val="24"/>
          <w:szCs w:val="24"/>
        </w:rPr>
        <w:t>; no such</w:t>
      </w:r>
      <w:r w:rsidRPr="0089351A">
        <w:rPr>
          <w:rFonts w:asciiTheme="majorBidi" w:hAnsiTheme="majorBidi" w:cstheme="majorBidi"/>
          <w:sz w:val="24"/>
          <w:szCs w:val="24"/>
        </w:rPr>
        <w:t xml:space="preserve"> acceptanc</w:t>
      </w:r>
      <w:r w:rsidR="002E1570" w:rsidRPr="0089351A">
        <w:rPr>
          <w:rFonts w:asciiTheme="majorBidi" w:hAnsiTheme="majorBidi" w:cstheme="majorBidi"/>
          <w:sz w:val="24"/>
          <w:szCs w:val="24"/>
        </w:rPr>
        <w:t>e obtained</w:t>
      </w:r>
      <w:r w:rsidR="00C62143" w:rsidRPr="0089351A">
        <w:rPr>
          <w:rFonts w:asciiTheme="majorBidi" w:hAnsiTheme="majorBidi" w:cstheme="majorBidi"/>
          <w:sz w:val="24"/>
          <w:szCs w:val="24"/>
        </w:rPr>
        <w:t xml:space="preserve"> here</w:t>
      </w:r>
      <w:r w:rsidRPr="0089351A">
        <w:rPr>
          <w:rFonts w:asciiTheme="majorBidi" w:hAnsiTheme="majorBidi" w:cstheme="majorBidi"/>
          <w:sz w:val="24"/>
          <w:szCs w:val="24"/>
        </w:rPr>
        <w:t>. Th</w:t>
      </w:r>
      <w:r w:rsidR="00C62143" w:rsidRPr="0089351A">
        <w:rPr>
          <w:rFonts w:asciiTheme="majorBidi" w:hAnsiTheme="majorBidi" w:cstheme="majorBidi"/>
          <w:sz w:val="24"/>
          <w:szCs w:val="24"/>
        </w:rPr>
        <w:t>is appears likely to be replicated</w:t>
      </w:r>
      <w:r w:rsidRPr="0089351A">
        <w:rPr>
          <w:rFonts w:asciiTheme="majorBidi" w:hAnsiTheme="majorBidi" w:cstheme="majorBidi"/>
          <w:sz w:val="24"/>
          <w:szCs w:val="24"/>
        </w:rPr>
        <w:t xml:space="preserve"> in post-slavery situations more widely</w:t>
      </w:r>
      <w:r w:rsidR="002C5B5D" w:rsidRPr="0089351A">
        <w:rPr>
          <w:rFonts w:asciiTheme="majorBidi" w:hAnsiTheme="majorBidi" w:cstheme="majorBidi"/>
          <w:sz w:val="24"/>
          <w:szCs w:val="24"/>
        </w:rPr>
        <w:t xml:space="preserve"> because of historical distance and t</w:t>
      </w:r>
      <w:r w:rsidR="00C62143" w:rsidRPr="0089351A">
        <w:rPr>
          <w:rFonts w:asciiTheme="majorBidi" w:hAnsiTheme="majorBidi" w:cstheme="majorBidi"/>
          <w:sz w:val="24"/>
          <w:szCs w:val="24"/>
        </w:rPr>
        <w:t xml:space="preserve">he fact that slavery is </w:t>
      </w:r>
      <w:r w:rsidR="00D51A94" w:rsidRPr="0089351A">
        <w:rPr>
          <w:rFonts w:asciiTheme="majorBidi" w:hAnsiTheme="majorBidi" w:cstheme="majorBidi"/>
          <w:sz w:val="24"/>
          <w:szCs w:val="24"/>
        </w:rPr>
        <w:t>often perceived</w:t>
      </w:r>
      <w:r w:rsidR="002C5B5D" w:rsidRPr="0089351A">
        <w:rPr>
          <w:rFonts w:asciiTheme="majorBidi" w:hAnsiTheme="majorBidi" w:cstheme="majorBidi"/>
          <w:sz w:val="24"/>
          <w:szCs w:val="24"/>
        </w:rPr>
        <w:t xml:space="preserve"> as </w:t>
      </w:r>
      <w:r w:rsidR="00D51A94" w:rsidRPr="0089351A">
        <w:rPr>
          <w:rFonts w:asciiTheme="majorBidi" w:hAnsiTheme="majorBidi" w:cstheme="majorBidi"/>
          <w:sz w:val="24"/>
          <w:szCs w:val="24"/>
        </w:rPr>
        <w:t xml:space="preserve">having been </w:t>
      </w:r>
      <w:r w:rsidR="002C5B5D" w:rsidRPr="0089351A">
        <w:rPr>
          <w:rFonts w:asciiTheme="majorBidi" w:hAnsiTheme="majorBidi" w:cstheme="majorBidi"/>
          <w:sz w:val="24"/>
          <w:szCs w:val="24"/>
        </w:rPr>
        <w:t>‘legal at the time’</w:t>
      </w:r>
      <w:r w:rsidRPr="0089351A">
        <w:rPr>
          <w:rFonts w:asciiTheme="majorBidi" w:hAnsiTheme="majorBidi" w:cstheme="majorBidi"/>
          <w:sz w:val="24"/>
          <w:szCs w:val="24"/>
        </w:rPr>
        <w:t xml:space="preserve">. </w:t>
      </w:r>
      <w:proofErr w:type="gramStart"/>
      <w:r w:rsidRPr="0089351A">
        <w:rPr>
          <w:rFonts w:asciiTheme="majorBidi" w:hAnsiTheme="majorBidi" w:cstheme="majorBidi"/>
          <w:sz w:val="24"/>
          <w:szCs w:val="24"/>
        </w:rPr>
        <w:t>Second</w:t>
      </w:r>
      <w:r w:rsidR="00FE0213" w:rsidRPr="0089351A">
        <w:rPr>
          <w:rFonts w:asciiTheme="majorBidi" w:hAnsiTheme="majorBidi" w:cstheme="majorBidi"/>
          <w:sz w:val="24"/>
          <w:szCs w:val="24"/>
        </w:rPr>
        <w:t>,</w:t>
      </w:r>
      <w:proofErr w:type="gramEnd"/>
      <w:r w:rsidR="00FE0213" w:rsidRPr="0089351A">
        <w:rPr>
          <w:rFonts w:asciiTheme="majorBidi" w:hAnsiTheme="majorBidi" w:cstheme="majorBidi"/>
          <w:sz w:val="24"/>
          <w:szCs w:val="24"/>
        </w:rPr>
        <w:t xml:space="preserve"> </w:t>
      </w:r>
      <w:r w:rsidRPr="0089351A">
        <w:rPr>
          <w:rFonts w:asciiTheme="majorBidi" w:hAnsiTheme="majorBidi" w:cstheme="majorBidi"/>
          <w:sz w:val="24"/>
          <w:szCs w:val="24"/>
        </w:rPr>
        <w:t xml:space="preserve">and flowing from this, </w:t>
      </w:r>
      <w:r w:rsidR="00FE0213" w:rsidRPr="0089351A">
        <w:rPr>
          <w:rFonts w:asciiTheme="majorBidi" w:hAnsiTheme="majorBidi" w:cstheme="majorBidi"/>
          <w:sz w:val="24"/>
          <w:szCs w:val="24"/>
        </w:rPr>
        <w:t>legitimacy appears likely</w:t>
      </w:r>
      <w:r w:rsidR="00F548DF" w:rsidRPr="0089351A">
        <w:rPr>
          <w:rFonts w:asciiTheme="majorBidi" w:hAnsiTheme="majorBidi" w:cstheme="majorBidi"/>
          <w:sz w:val="24"/>
          <w:szCs w:val="24"/>
        </w:rPr>
        <w:t xml:space="preserve"> more easily </w:t>
      </w:r>
      <w:r w:rsidR="00BD6C62" w:rsidRPr="0089351A">
        <w:rPr>
          <w:rFonts w:asciiTheme="majorBidi" w:hAnsiTheme="majorBidi" w:cstheme="majorBidi"/>
          <w:sz w:val="24"/>
          <w:szCs w:val="24"/>
        </w:rPr>
        <w:t xml:space="preserve">to </w:t>
      </w:r>
      <w:r w:rsidR="00F548DF" w:rsidRPr="0089351A">
        <w:rPr>
          <w:rFonts w:asciiTheme="majorBidi" w:hAnsiTheme="majorBidi" w:cstheme="majorBidi"/>
          <w:sz w:val="24"/>
          <w:szCs w:val="24"/>
        </w:rPr>
        <w:t>be established where the</w:t>
      </w:r>
      <w:r w:rsidR="00FE0213" w:rsidRPr="0089351A">
        <w:rPr>
          <w:rFonts w:asciiTheme="majorBidi" w:hAnsiTheme="majorBidi" w:cstheme="majorBidi"/>
          <w:sz w:val="24"/>
          <w:szCs w:val="24"/>
        </w:rPr>
        <w:t xml:space="preserve"> problem for resolution is </w:t>
      </w:r>
      <w:r w:rsidR="00F548DF" w:rsidRPr="0089351A">
        <w:rPr>
          <w:rFonts w:asciiTheme="majorBidi" w:hAnsiTheme="majorBidi" w:cstheme="majorBidi"/>
          <w:sz w:val="24"/>
          <w:szCs w:val="24"/>
        </w:rPr>
        <w:t>publicl</w:t>
      </w:r>
      <w:r w:rsidR="00C62143" w:rsidRPr="0089351A">
        <w:rPr>
          <w:rFonts w:asciiTheme="majorBidi" w:hAnsiTheme="majorBidi" w:cstheme="majorBidi"/>
          <w:sz w:val="24"/>
          <w:szCs w:val="24"/>
        </w:rPr>
        <w:t>y apparent as a result of a mass</w:t>
      </w:r>
      <w:r w:rsidR="00F548DF" w:rsidRPr="0089351A">
        <w:rPr>
          <w:rFonts w:asciiTheme="majorBidi" w:hAnsiTheme="majorBidi" w:cstheme="majorBidi"/>
          <w:sz w:val="24"/>
          <w:szCs w:val="24"/>
        </w:rPr>
        <w:t xml:space="preserve"> social movement </w:t>
      </w:r>
      <w:r w:rsidR="006F163A" w:rsidRPr="0089351A">
        <w:rPr>
          <w:rFonts w:asciiTheme="majorBidi" w:hAnsiTheme="majorBidi" w:cstheme="majorBidi"/>
          <w:sz w:val="24"/>
          <w:szCs w:val="24"/>
        </w:rPr>
        <w:t>that has compelled the elite to acknowledge a problem</w:t>
      </w:r>
      <w:r w:rsidR="002C5B5D" w:rsidRPr="0089351A">
        <w:rPr>
          <w:rFonts w:asciiTheme="majorBidi" w:hAnsiTheme="majorBidi" w:cstheme="majorBidi"/>
          <w:sz w:val="24"/>
          <w:szCs w:val="24"/>
        </w:rPr>
        <w:t>. As we have shown, r</w:t>
      </w:r>
      <w:r w:rsidR="00BE0E46" w:rsidRPr="0089351A">
        <w:rPr>
          <w:rFonts w:asciiTheme="majorBidi" w:hAnsiTheme="majorBidi" w:cstheme="majorBidi"/>
          <w:sz w:val="24"/>
          <w:szCs w:val="24"/>
        </w:rPr>
        <w:t>eluctance to engage with public debate</w:t>
      </w:r>
      <w:r w:rsidR="007F45A4" w:rsidRPr="0089351A">
        <w:rPr>
          <w:rFonts w:asciiTheme="majorBidi" w:hAnsiTheme="majorBidi" w:cstheme="majorBidi"/>
          <w:sz w:val="24"/>
          <w:szCs w:val="24"/>
        </w:rPr>
        <w:t xml:space="preserve"> </w:t>
      </w:r>
      <w:r w:rsidR="002C5B5D" w:rsidRPr="0089351A">
        <w:rPr>
          <w:rFonts w:asciiTheme="majorBidi" w:hAnsiTheme="majorBidi" w:cstheme="majorBidi"/>
          <w:sz w:val="24"/>
          <w:szCs w:val="24"/>
        </w:rPr>
        <w:t xml:space="preserve">was far from universal among Mauritian Creoles. Yet it existed and to that extent it </w:t>
      </w:r>
      <w:r w:rsidR="007F45A4" w:rsidRPr="0089351A">
        <w:rPr>
          <w:rFonts w:asciiTheme="majorBidi" w:hAnsiTheme="majorBidi" w:cstheme="majorBidi"/>
          <w:sz w:val="24"/>
          <w:szCs w:val="24"/>
        </w:rPr>
        <w:t>limits,</w:t>
      </w:r>
      <w:r w:rsidR="002C5B5D" w:rsidRPr="0089351A">
        <w:rPr>
          <w:rFonts w:asciiTheme="majorBidi" w:hAnsiTheme="majorBidi" w:cstheme="majorBidi"/>
          <w:sz w:val="24"/>
          <w:szCs w:val="24"/>
        </w:rPr>
        <w:t xml:space="preserve"> both there and more widely,</w:t>
      </w:r>
      <w:r w:rsidR="007F45A4" w:rsidRPr="0089351A">
        <w:rPr>
          <w:rFonts w:asciiTheme="majorBidi" w:hAnsiTheme="majorBidi" w:cstheme="majorBidi"/>
          <w:sz w:val="24"/>
          <w:szCs w:val="24"/>
        </w:rPr>
        <w:t xml:space="preserve"> the possibilities of a</w:t>
      </w:r>
      <w:r w:rsidR="006F163A" w:rsidRPr="0089351A">
        <w:rPr>
          <w:rFonts w:asciiTheme="majorBidi" w:hAnsiTheme="majorBidi" w:cstheme="majorBidi"/>
          <w:sz w:val="24"/>
          <w:szCs w:val="24"/>
        </w:rPr>
        <w:t>pplying Gibson’s</w:t>
      </w:r>
      <w:r w:rsidR="007F45A4" w:rsidRPr="0089351A">
        <w:rPr>
          <w:rFonts w:asciiTheme="majorBidi" w:hAnsiTheme="majorBidi" w:cstheme="majorBidi"/>
          <w:sz w:val="24"/>
          <w:szCs w:val="24"/>
        </w:rPr>
        <w:t xml:space="preserve"> prescrip</w:t>
      </w:r>
      <w:r w:rsidR="002C5B5D" w:rsidRPr="0089351A">
        <w:rPr>
          <w:rFonts w:asciiTheme="majorBidi" w:hAnsiTheme="majorBidi" w:cstheme="majorBidi"/>
          <w:sz w:val="24"/>
          <w:szCs w:val="24"/>
        </w:rPr>
        <w:t>tions in</w:t>
      </w:r>
      <w:r w:rsidR="007F45A4" w:rsidRPr="0089351A">
        <w:rPr>
          <w:rFonts w:asciiTheme="majorBidi" w:hAnsiTheme="majorBidi" w:cstheme="majorBidi"/>
          <w:sz w:val="24"/>
          <w:szCs w:val="24"/>
        </w:rPr>
        <w:t xml:space="preserve"> post-slavery context</w:t>
      </w:r>
      <w:r w:rsidR="002C5B5D" w:rsidRPr="0089351A">
        <w:rPr>
          <w:rFonts w:asciiTheme="majorBidi" w:hAnsiTheme="majorBidi" w:cstheme="majorBidi"/>
          <w:sz w:val="24"/>
          <w:szCs w:val="24"/>
        </w:rPr>
        <w:t>s</w:t>
      </w:r>
      <w:r w:rsidR="00F548DF" w:rsidRPr="0089351A">
        <w:rPr>
          <w:rFonts w:asciiTheme="majorBidi" w:hAnsiTheme="majorBidi" w:cstheme="majorBidi"/>
          <w:sz w:val="24"/>
          <w:szCs w:val="24"/>
        </w:rPr>
        <w:t xml:space="preserve">.  </w:t>
      </w:r>
    </w:p>
    <w:p w:rsidR="00E05E1F" w:rsidRPr="0089351A" w:rsidRDefault="00296357" w:rsidP="00360222">
      <w:pPr>
        <w:spacing w:line="480" w:lineRule="auto"/>
        <w:rPr>
          <w:rFonts w:asciiTheme="majorBidi" w:hAnsiTheme="majorBidi" w:cstheme="majorBidi"/>
          <w:sz w:val="24"/>
          <w:szCs w:val="24"/>
        </w:rPr>
      </w:pPr>
      <w:r w:rsidRPr="0089351A">
        <w:rPr>
          <w:rFonts w:asciiTheme="majorBidi" w:hAnsiTheme="majorBidi" w:cstheme="majorBidi"/>
          <w:sz w:val="24"/>
          <w:szCs w:val="24"/>
        </w:rPr>
        <w:t>We also set out to determine</w:t>
      </w:r>
      <w:r w:rsidR="006F163A" w:rsidRPr="0089351A">
        <w:rPr>
          <w:rFonts w:asciiTheme="majorBidi" w:hAnsiTheme="majorBidi" w:cstheme="majorBidi"/>
          <w:sz w:val="24"/>
          <w:szCs w:val="24"/>
        </w:rPr>
        <w:t xml:space="preserve"> whether the MTJC falls</w:t>
      </w:r>
      <w:r w:rsidR="00502D29" w:rsidRPr="0089351A">
        <w:rPr>
          <w:rFonts w:asciiTheme="majorBidi" w:hAnsiTheme="majorBidi" w:cstheme="majorBidi"/>
          <w:sz w:val="24"/>
          <w:szCs w:val="24"/>
        </w:rPr>
        <w:t xml:space="preserve"> into</w:t>
      </w:r>
      <w:r w:rsidRPr="0089351A">
        <w:rPr>
          <w:rFonts w:asciiTheme="majorBidi" w:hAnsiTheme="majorBidi" w:cstheme="majorBidi"/>
          <w:sz w:val="24"/>
          <w:szCs w:val="24"/>
        </w:rPr>
        <w:t xml:space="preserve"> Paul Van </w:t>
      </w:r>
      <w:proofErr w:type="spellStart"/>
      <w:r w:rsidRPr="0089351A">
        <w:rPr>
          <w:rFonts w:asciiTheme="majorBidi" w:hAnsiTheme="majorBidi" w:cstheme="majorBidi"/>
          <w:sz w:val="24"/>
          <w:szCs w:val="24"/>
        </w:rPr>
        <w:t>Zyl’s</w:t>
      </w:r>
      <w:proofErr w:type="spellEnd"/>
      <w:r w:rsidRPr="0089351A">
        <w:rPr>
          <w:rFonts w:asciiTheme="majorBidi" w:hAnsiTheme="majorBidi" w:cstheme="majorBidi"/>
          <w:sz w:val="24"/>
          <w:szCs w:val="24"/>
        </w:rPr>
        <w:t xml:space="preserve"> category of</w:t>
      </w:r>
      <w:r w:rsidR="00464B2B" w:rsidRPr="0089351A">
        <w:rPr>
          <w:rFonts w:asciiTheme="majorBidi" w:hAnsiTheme="majorBidi" w:cstheme="majorBidi"/>
          <w:sz w:val="24"/>
          <w:szCs w:val="24"/>
        </w:rPr>
        <w:t xml:space="preserve"> ‘cynical efforts to evade responsibility for dealing with th</w:t>
      </w:r>
      <w:r w:rsidR="000D1794" w:rsidRPr="0089351A">
        <w:rPr>
          <w:rFonts w:asciiTheme="majorBidi" w:hAnsiTheme="majorBidi" w:cstheme="majorBidi"/>
          <w:sz w:val="24"/>
          <w:szCs w:val="24"/>
        </w:rPr>
        <w:t>e past’</w:t>
      </w:r>
      <w:r w:rsidR="00371EC8" w:rsidRPr="0089351A">
        <w:rPr>
          <w:rFonts w:asciiTheme="majorBidi" w:hAnsiTheme="majorBidi" w:cstheme="majorBidi"/>
          <w:sz w:val="24"/>
          <w:szCs w:val="24"/>
        </w:rPr>
        <w:t>.</w:t>
      </w:r>
      <w:r w:rsidR="000D1794" w:rsidRPr="0089351A">
        <w:rPr>
          <w:rStyle w:val="FootnoteReference"/>
          <w:rFonts w:asciiTheme="majorBidi" w:hAnsiTheme="majorBidi" w:cstheme="majorBidi"/>
          <w:sz w:val="24"/>
          <w:szCs w:val="24"/>
        </w:rPr>
        <w:footnoteReference w:id="84"/>
      </w:r>
      <w:r w:rsidR="00502D29" w:rsidRPr="0089351A">
        <w:rPr>
          <w:rFonts w:asciiTheme="majorBidi" w:hAnsiTheme="majorBidi" w:cstheme="majorBidi"/>
          <w:sz w:val="24"/>
          <w:szCs w:val="24"/>
        </w:rPr>
        <w:t xml:space="preserve"> T</w:t>
      </w:r>
      <w:r w:rsidR="00464B2B" w:rsidRPr="0089351A">
        <w:rPr>
          <w:rFonts w:asciiTheme="majorBidi" w:hAnsiTheme="majorBidi" w:cstheme="majorBidi"/>
          <w:sz w:val="24"/>
          <w:szCs w:val="24"/>
        </w:rPr>
        <w:t xml:space="preserve">he long-term advocates of such a </w:t>
      </w:r>
      <w:r w:rsidR="00464B2B" w:rsidRPr="0089351A">
        <w:rPr>
          <w:rFonts w:asciiTheme="majorBidi" w:hAnsiTheme="majorBidi" w:cstheme="majorBidi"/>
          <w:sz w:val="24"/>
          <w:szCs w:val="24"/>
        </w:rPr>
        <w:lastRenderedPageBreak/>
        <w:t>body cer</w:t>
      </w:r>
      <w:r w:rsidR="00AD444C" w:rsidRPr="0089351A">
        <w:rPr>
          <w:rFonts w:asciiTheme="majorBidi" w:hAnsiTheme="majorBidi" w:cstheme="majorBidi"/>
          <w:sz w:val="24"/>
          <w:szCs w:val="24"/>
        </w:rPr>
        <w:t>tainly cannot be accused of cynicism</w:t>
      </w:r>
      <w:r w:rsidR="007F45A4" w:rsidRPr="0089351A">
        <w:rPr>
          <w:rFonts w:asciiTheme="majorBidi" w:hAnsiTheme="majorBidi" w:cstheme="majorBidi"/>
          <w:sz w:val="24"/>
          <w:szCs w:val="24"/>
        </w:rPr>
        <w:t xml:space="preserve"> since they pursu</w:t>
      </w:r>
      <w:r w:rsidR="002C5B5D" w:rsidRPr="0089351A">
        <w:rPr>
          <w:rFonts w:asciiTheme="majorBidi" w:hAnsiTheme="majorBidi" w:cstheme="majorBidi"/>
          <w:sz w:val="24"/>
          <w:szCs w:val="24"/>
        </w:rPr>
        <w:t>ed its foundation with more pro-descendant</w:t>
      </w:r>
      <w:r w:rsidR="007F45A4" w:rsidRPr="0089351A">
        <w:rPr>
          <w:rFonts w:asciiTheme="majorBidi" w:hAnsiTheme="majorBidi" w:cstheme="majorBidi"/>
          <w:sz w:val="24"/>
          <w:szCs w:val="24"/>
        </w:rPr>
        <w:t xml:space="preserve"> terms of reference and with long-term determination</w:t>
      </w:r>
      <w:r w:rsidR="00464B2B" w:rsidRPr="0089351A">
        <w:rPr>
          <w:rFonts w:asciiTheme="majorBidi" w:hAnsiTheme="majorBidi" w:cstheme="majorBidi"/>
          <w:sz w:val="24"/>
          <w:szCs w:val="24"/>
        </w:rPr>
        <w:t xml:space="preserve">. </w:t>
      </w:r>
      <w:r w:rsidR="002C5B5D" w:rsidRPr="0089351A">
        <w:rPr>
          <w:rFonts w:asciiTheme="majorBidi" w:hAnsiTheme="majorBidi" w:cstheme="majorBidi"/>
          <w:sz w:val="24"/>
          <w:szCs w:val="24"/>
        </w:rPr>
        <w:t>Nor should the term</w:t>
      </w:r>
      <w:r w:rsidR="00830E41" w:rsidRPr="0089351A">
        <w:rPr>
          <w:rFonts w:asciiTheme="majorBidi" w:hAnsiTheme="majorBidi" w:cstheme="majorBidi"/>
          <w:sz w:val="24"/>
          <w:szCs w:val="24"/>
        </w:rPr>
        <w:t xml:space="preserve"> be applied to the Commissioner</w:t>
      </w:r>
      <w:r w:rsidR="00003C6E" w:rsidRPr="0089351A">
        <w:rPr>
          <w:rFonts w:asciiTheme="majorBidi" w:hAnsiTheme="majorBidi" w:cstheme="majorBidi"/>
          <w:sz w:val="24"/>
          <w:szCs w:val="24"/>
        </w:rPr>
        <w:t>s, who attempted</w:t>
      </w:r>
      <w:r w:rsidR="00E43785" w:rsidRPr="0089351A">
        <w:rPr>
          <w:rFonts w:asciiTheme="majorBidi" w:hAnsiTheme="majorBidi" w:cstheme="majorBidi"/>
          <w:sz w:val="24"/>
          <w:szCs w:val="24"/>
        </w:rPr>
        <w:t xml:space="preserve"> to involve slave descendants </w:t>
      </w:r>
      <w:r w:rsidR="00D611F3" w:rsidRPr="0089351A">
        <w:rPr>
          <w:rFonts w:asciiTheme="majorBidi" w:hAnsiTheme="majorBidi" w:cstheme="majorBidi"/>
          <w:sz w:val="24"/>
          <w:szCs w:val="24"/>
        </w:rPr>
        <w:t>and denounced slavery,</w:t>
      </w:r>
      <w:r w:rsidR="00830E41" w:rsidRPr="0089351A">
        <w:rPr>
          <w:rFonts w:asciiTheme="majorBidi" w:hAnsiTheme="majorBidi" w:cstheme="majorBidi"/>
          <w:sz w:val="24"/>
          <w:szCs w:val="24"/>
        </w:rPr>
        <w:t xml:space="preserve"> </w:t>
      </w:r>
      <w:r w:rsidR="00991962" w:rsidRPr="0089351A">
        <w:rPr>
          <w:rFonts w:asciiTheme="majorBidi" w:hAnsiTheme="majorBidi" w:cstheme="majorBidi"/>
          <w:sz w:val="24"/>
          <w:szCs w:val="24"/>
        </w:rPr>
        <w:t>indentured</w:t>
      </w:r>
      <w:r w:rsidR="00830E41" w:rsidRPr="0089351A">
        <w:rPr>
          <w:rFonts w:asciiTheme="majorBidi" w:hAnsiTheme="majorBidi" w:cstheme="majorBidi"/>
          <w:sz w:val="24"/>
          <w:szCs w:val="24"/>
        </w:rPr>
        <w:t xml:space="preserve"> labour</w:t>
      </w:r>
      <w:r w:rsidR="00D611F3" w:rsidRPr="0089351A">
        <w:rPr>
          <w:rFonts w:asciiTheme="majorBidi" w:hAnsiTheme="majorBidi" w:cstheme="majorBidi"/>
          <w:sz w:val="24"/>
          <w:szCs w:val="24"/>
        </w:rPr>
        <w:t xml:space="preserve"> and their contemporary effects</w:t>
      </w:r>
      <w:r w:rsidR="00830E41" w:rsidRPr="0089351A">
        <w:rPr>
          <w:rFonts w:asciiTheme="majorBidi" w:hAnsiTheme="majorBidi" w:cstheme="majorBidi"/>
          <w:sz w:val="24"/>
          <w:szCs w:val="24"/>
        </w:rPr>
        <w:t xml:space="preserve"> in no uncertain terms.</w:t>
      </w:r>
      <w:r w:rsidR="00E90180" w:rsidRPr="0089351A">
        <w:rPr>
          <w:rFonts w:asciiTheme="majorBidi" w:hAnsiTheme="majorBidi" w:cstheme="majorBidi"/>
          <w:sz w:val="24"/>
          <w:szCs w:val="24"/>
        </w:rPr>
        <w:t xml:space="preserve"> </w:t>
      </w:r>
      <w:r w:rsidR="00464B2B" w:rsidRPr="0089351A">
        <w:rPr>
          <w:rFonts w:asciiTheme="majorBidi" w:hAnsiTheme="majorBidi" w:cstheme="majorBidi"/>
          <w:sz w:val="24"/>
          <w:szCs w:val="24"/>
        </w:rPr>
        <w:t>The Labour government might co</w:t>
      </w:r>
      <w:r w:rsidR="00AD444C" w:rsidRPr="0089351A">
        <w:rPr>
          <w:rFonts w:asciiTheme="majorBidi" w:hAnsiTheme="majorBidi" w:cstheme="majorBidi"/>
          <w:sz w:val="24"/>
          <w:szCs w:val="24"/>
        </w:rPr>
        <w:t>ncei</w:t>
      </w:r>
      <w:r w:rsidR="00830E41" w:rsidRPr="0089351A">
        <w:rPr>
          <w:rFonts w:asciiTheme="majorBidi" w:hAnsiTheme="majorBidi" w:cstheme="majorBidi"/>
          <w:sz w:val="24"/>
          <w:szCs w:val="24"/>
        </w:rPr>
        <w:t>vably be accused of cynicism</w:t>
      </w:r>
      <w:r w:rsidR="00AD444C" w:rsidRPr="0089351A">
        <w:rPr>
          <w:rFonts w:asciiTheme="majorBidi" w:hAnsiTheme="majorBidi" w:cstheme="majorBidi"/>
          <w:sz w:val="24"/>
          <w:szCs w:val="24"/>
        </w:rPr>
        <w:t xml:space="preserve"> in that the party adopted the demand for such a body for electoral purposes and then</w:t>
      </w:r>
      <w:r w:rsidR="00464B2B" w:rsidRPr="0089351A">
        <w:rPr>
          <w:rFonts w:asciiTheme="majorBidi" w:hAnsiTheme="majorBidi" w:cstheme="majorBidi"/>
          <w:sz w:val="24"/>
          <w:szCs w:val="24"/>
        </w:rPr>
        <w:t xml:space="preserve"> ensured that the Commission would d</w:t>
      </w:r>
      <w:r w:rsidR="00A20C49" w:rsidRPr="0089351A">
        <w:rPr>
          <w:rFonts w:asciiTheme="majorBidi" w:hAnsiTheme="majorBidi" w:cstheme="majorBidi"/>
          <w:sz w:val="24"/>
          <w:szCs w:val="24"/>
        </w:rPr>
        <w:t>eal with the past but only within</w:t>
      </w:r>
      <w:r w:rsidR="00003C6E" w:rsidRPr="0089351A">
        <w:rPr>
          <w:rFonts w:asciiTheme="majorBidi" w:hAnsiTheme="majorBidi" w:cstheme="majorBidi"/>
          <w:sz w:val="24"/>
          <w:szCs w:val="24"/>
        </w:rPr>
        <w:t xml:space="preserve"> restricted </w:t>
      </w:r>
      <w:r w:rsidR="00A20C49" w:rsidRPr="0089351A">
        <w:rPr>
          <w:rFonts w:asciiTheme="majorBidi" w:hAnsiTheme="majorBidi" w:cstheme="majorBidi"/>
          <w:sz w:val="24"/>
          <w:szCs w:val="24"/>
        </w:rPr>
        <w:t>terms of reference that marginalised possibilities of financial compensation to the descendants of slaves</w:t>
      </w:r>
      <w:r w:rsidR="00464B2B" w:rsidRPr="0089351A">
        <w:rPr>
          <w:rFonts w:asciiTheme="majorBidi" w:hAnsiTheme="majorBidi" w:cstheme="majorBidi"/>
          <w:sz w:val="24"/>
          <w:szCs w:val="24"/>
        </w:rPr>
        <w:t xml:space="preserve">. </w:t>
      </w:r>
      <w:r w:rsidR="00830E41" w:rsidRPr="0089351A">
        <w:rPr>
          <w:rFonts w:asciiTheme="majorBidi" w:hAnsiTheme="majorBidi" w:cstheme="majorBidi"/>
          <w:sz w:val="24"/>
          <w:szCs w:val="24"/>
        </w:rPr>
        <w:t>Its failure to implement the Commission’s findings provides</w:t>
      </w:r>
      <w:r w:rsidR="006F163A" w:rsidRPr="0089351A">
        <w:rPr>
          <w:rFonts w:asciiTheme="majorBidi" w:hAnsiTheme="majorBidi" w:cstheme="majorBidi"/>
          <w:sz w:val="24"/>
          <w:szCs w:val="24"/>
        </w:rPr>
        <w:t xml:space="preserve"> further </w:t>
      </w:r>
      <w:r w:rsidR="00830E41" w:rsidRPr="0089351A">
        <w:rPr>
          <w:rFonts w:asciiTheme="majorBidi" w:hAnsiTheme="majorBidi" w:cstheme="majorBidi"/>
          <w:i/>
          <w:iCs/>
          <w:sz w:val="24"/>
          <w:szCs w:val="24"/>
        </w:rPr>
        <w:t>prima facie</w:t>
      </w:r>
      <w:r w:rsidR="00830E41" w:rsidRPr="0089351A">
        <w:rPr>
          <w:rFonts w:asciiTheme="majorBidi" w:hAnsiTheme="majorBidi" w:cstheme="majorBidi"/>
          <w:sz w:val="24"/>
          <w:szCs w:val="24"/>
        </w:rPr>
        <w:t xml:space="preserve"> supp</w:t>
      </w:r>
      <w:r w:rsidR="0052071D" w:rsidRPr="0089351A">
        <w:rPr>
          <w:rFonts w:asciiTheme="majorBidi" w:hAnsiTheme="majorBidi" w:cstheme="majorBidi"/>
          <w:sz w:val="24"/>
          <w:szCs w:val="24"/>
        </w:rPr>
        <w:t xml:space="preserve">ort for this line of argument. Yet the Commission </w:t>
      </w:r>
      <w:r w:rsidR="006F163A" w:rsidRPr="0089351A">
        <w:rPr>
          <w:rFonts w:asciiTheme="majorBidi" w:hAnsiTheme="majorBidi" w:cstheme="majorBidi"/>
          <w:sz w:val="24"/>
          <w:szCs w:val="24"/>
        </w:rPr>
        <w:t xml:space="preserve">is </w:t>
      </w:r>
      <w:r w:rsidR="002C5B5D" w:rsidRPr="0089351A">
        <w:rPr>
          <w:rFonts w:asciiTheme="majorBidi" w:hAnsiTheme="majorBidi" w:cstheme="majorBidi"/>
          <w:sz w:val="24"/>
          <w:szCs w:val="24"/>
        </w:rPr>
        <w:t xml:space="preserve">probably </w:t>
      </w:r>
      <w:r w:rsidR="006F163A" w:rsidRPr="0089351A">
        <w:rPr>
          <w:rFonts w:asciiTheme="majorBidi" w:hAnsiTheme="majorBidi" w:cstheme="majorBidi"/>
          <w:sz w:val="24"/>
          <w:szCs w:val="24"/>
        </w:rPr>
        <w:t xml:space="preserve">better viewed </w:t>
      </w:r>
      <w:r w:rsidR="0052071D" w:rsidRPr="0089351A">
        <w:rPr>
          <w:rFonts w:asciiTheme="majorBidi" w:hAnsiTheme="majorBidi" w:cstheme="majorBidi"/>
          <w:sz w:val="24"/>
          <w:szCs w:val="24"/>
        </w:rPr>
        <w:t>as the outcome of a political negotiating process within which the Government w</w:t>
      </w:r>
      <w:r w:rsidR="00B446F3" w:rsidRPr="0089351A">
        <w:rPr>
          <w:rFonts w:asciiTheme="majorBidi" w:hAnsiTheme="majorBidi" w:cstheme="majorBidi"/>
          <w:sz w:val="24"/>
          <w:szCs w:val="24"/>
        </w:rPr>
        <w:t>as constrained by</w:t>
      </w:r>
      <w:r w:rsidR="0052071D" w:rsidRPr="0089351A">
        <w:rPr>
          <w:rFonts w:asciiTheme="majorBidi" w:hAnsiTheme="majorBidi" w:cstheme="majorBidi"/>
          <w:sz w:val="24"/>
          <w:szCs w:val="24"/>
        </w:rPr>
        <w:t xml:space="preserve"> historic compromise</w:t>
      </w:r>
      <w:r w:rsidR="00B446F3" w:rsidRPr="0089351A">
        <w:rPr>
          <w:rFonts w:asciiTheme="majorBidi" w:hAnsiTheme="majorBidi" w:cstheme="majorBidi"/>
          <w:sz w:val="24"/>
          <w:szCs w:val="24"/>
        </w:rPr>
        <w:t>s</w:t>
      </w:r>
      <w:r w:rsidR="0052071D" w:rsidRPr="0089351A">
        <w:rPr>
          <w:rFonts w:asciiTheme="majorBidi" w:hAnsiTheme="majorBidi" w:cstheme="majorBidi"/>
          <w:sz w:val="24"/>
          <w:szCs w:val="24"/>
        </w:rPr>
        <w:t xml:space="preserve"> with vital economic interests</w:t>
      </w:r>
      <w:r w:rsidR="00BD6C62" w:rsidRPr="0089351A">
        <w:rPr>
          <w:rFonts w:asciiTheme="majorBidi" w:hAnsiTheme="majorBidi" w:cstheme="majorBidi"/>
          <w:sz w:val="24"/>
          <w:szCs w:val="24"/>
        </w:rPr>
        <w:t xml:space="preserve"> both locally and internationally</w:t>
      </w:r>
      <w:r w:rsidR="0052071D" w:rsidRPr="0089351A">
        <w:rPr>
          <w:rFonts w:asciiTheme="majorBidi" w:hAnsiTheme="majorBidi" w:cstheme="majorBidi"/>
          <w:sz w:val="24"/>
          <w:szCs w:val="24"/>
        </w:rPr>
        <w:t xml:space="preserve">. </w:t>
      </w:r>
      <w:r w:rsidR="007F45A4" w:rsidRPr="0089351A">
        <w:rPr>
          <w:rFonts w:asciiTheme="majorBidi" w:hAnsiTheme="majorBidi" w:cstheme="majorBidi"/>
          <w:sz w:val="24"/>
          <w:szCs w:val="24"/>
        </w:rPr>
        <w:t>This leads us to reflect</w:t>
      </w:r>
      <w:r w:rsidR="00FE0213" w:rsidRPr="0089351A">
        <w:rPr>
          <w:rFonts w:asciiTheme="majorBidi" w:hAnsiTheme="majorBidi" w:cstheme="majorBidi"/>
          <w:sz w:val="24"/>
          <w:szCs w:val="24"/>
        </w:rPr>
        <w:t xml:space="preserve"> that ‘t</w:t>
      </w:r>
      <w:r w:rsidR="0052071D" w:rsidRPr="0089351A">
        <w:rPr>
          <w:rFonts w:asciiTheme="majorBidi" w:hAnsiTheme="majorBidi" w:cstheme="majorBidi"/>
          <w:sz w:val="24"/>
          <w:szCs w:val="24"/>
        </w:rPr>
        <w:t xml:space="preserve">ransitional justice’ frameworks </w:t>
      </w:r>
      <w:r w:rsidR="00B446F3" w:rsidRPr="0089351A">
        <w:rPr>
          <w:rFonts w:asciiTheme="majorBidi" w:hAnsiTheme="majorBidi" w:cstheme="majorBidi"/>
          <w:sz w:val="24"/>
          <w:szCs w:val="24"/>
        </w:rPr>
        <w:t>in general must</w:t>
      </w:r>
      <w:r w:rsidR="0052071D" w:rsidRPr="0089351A">
        <w:rPr>
          <w:rFonts w:asciiTheme="majorBidi" w:hAnsiTheme="majorBidi" w:cstheme="majorBidi"/>
          <w:sz w:val="24"/>
          <w:szCs w:val="24"/>
        </w:rPr>
        <w:t xml:space="preserve"> </w:t>
      </w:r>
      <w:r w:rsidRPr="0089351A">
        <w:rPr>
          <w:rFonts w:asciiTheme="majorBidi" w:hAnsiTheme="majorBidi" w:cstheme="majorBidi"/>
          <w:sz w:val="24"/>
          <w:szCs w:val="24"/>
        </w:rPr>
        <w:t>attend to the structural influence</w:t>
      </w:r>
      <w:r w:rsidR="0052071D" w:rsidRPr="0089351A">
        <w:rPr>
          <w:rFonts w:asciiTheme="majorBidi" w:hAnsiTheme="majorBidi" w:cstheme="majorBidi"/>
          <w:sz w:val="24"/>
          <w:szCs w:val="24"/>
        </w:rPr>
        <w:t xml:space="preserve"> exercised by </w:t>
      </w:r>
      <w:r w:rsidR="006F163A" w:rsidRPr="0089351A">
        <w:rPr>
          <w:rFonts w:asciiTheme="majorBidi" w:hAnsiTheme="majorBidi" w:cstheme="majorBidi"/>
          <w:sz w:val="24"/>
          <w:szCs w:val="24"/>
        </w:rPr>
        <w:t xml:space="preserve">both </w:t>
      </w:r>
      <w:r w:rsidR="00B446F3" w:rsidRPr="0089351A">
        <w:rPr>
          <w:rFonts w:asciiTheme="majorBidi" w:hAnsiTheme="majorBidi" w:cstheme="majorBidi"/>
          <w:sz w:val="24"/>
          <w:szCs w:val="24"/>
        </w:rPr>
        <w:t xml:space="preserve">local </w:t>
      </w:r>
      <w:r w:rsidR="0052071D" w:rsidRPr="0089351A">
        <w:rPr>
          <w:rFonts w:asciiTheme="majorBidi" w:hAnsiTheme="majorBidi" w:cstheme="majorBidi"/>
          <w:sz w:val="24"/>
          <w:szCs w:val="24"/>
        </w:rPr>
        <w:t>economic elites</w:t>
      </w:r>
      <w:r w:rsidR="00B446F3" w:rsidRPr="0089351A">
        <w:rPr>
          <w:rFonts w:asciiTheme="majorBidi" w:hAnsiTheme="majorBidi" w:cstheme="majorBidi"/>
          <w:sz w:val="24"/>
          <w:szCs w:val="24"/>
        </w:rPr>
        <w:t xml:space="preserve"> and ex-imperial countrie</w:t>
      </w:r>
      <w:r w:rsidR="00BD6C62" w:rsidRPr="0089351A">
        <w:rPr>
          <w:rFonts w:asciiTheme="majorBidi" w:hAnsiTheme="majorBidi" w:cstheme="majorBidi"/>
          <w:sz w:val="24"/>
          <w:szCs w:val="24"/>
        </w:rPr>
        <w:t>s</w:t>
      </w:r>
      <w:r w:rsidR="0052071D" w:rsidRPr="0089351A">
        <w:rPr>
          <w:rFonts w:asciiTheme="majorBidi" w:hAnsiTheme="majorBidi" w:cstheme="majorBidi"/>
          <w:sz w:val="24"/>
          <w:szCs w:val="24"/>
        </w:rPr>
        <w:t xml:space="preserve"> and their capacity to exercise power by setting agendas.      </w:t>
      </w:r>
    </w:p>
    <w:p w:rsidR="003D5109" w:rsidRPr="0089351A" w:rsidRDefault="003D5109" w:rsidP="00360222">
      <w:pPr>
        <w:spacing w:line="480" w:lineRule="auto"/>
        <w:rPr>
          <w:rFonts w:asciiTheme="majorBidi" w:hAnsiTheme="majorBidi" w:cstheme="majorBidi"/>
          <w:sz w:val="24"/>
          <w:szCs w:val="24"/>
        </w:rPr>
      </w:pPr>
    </w:p>
    <w:sectPr w:rsidR="003D5109" w:rsidRPr="0089351A" w:rsidSect="00851D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A6C" w:rsidRDefault="00110A6C" w:rsidP="00834589">
      <w:pPr>
        <w:spacing w:after="0" w:line="240" w:lineRule="auto"/>
      </w:pPr>
      <w:r>
        <w:separator/>
      </w:r>
    </w:p>
  </w:endnote>
  <w:endnote w:type="continuationSeparator" w:id="0">
    <w:p w:rsidR="00110A6C" w:rsidRDefault="00110A6C" w:rsidP="0083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431243"/>
      <w:docPartObj>
        <w:docPartGallery w:val="Page Numbers (Bottom of Page)"/>
        <w:docPartUnique/>
      </w:docPartObj>
    </w:sdtPr>
    <w:sdtEndPr>
      <w:rPr>
        <w:noProof/>
      </w:rPr>
    </w:sdtEndPr>
    <w:sdtContent>
      <w:p w:rsidR="00AE1FA2" w:rsidRDefault="00474CE4">
        <w:pPr>
          <w:pStyle w:val="Footer"/>
          <w:jc w:val="center"/>
        </w:pPr>
        <w:r>
          <w:fldChar w:fldCharType="begin"/>
        </w:r>
        <w:r w:rsidR="00AE1FA2">
          <w:instrText xml:space="preserve"> PAGE   \* MERGEFORMAT </w:instrText>
        </w:r>
        <w:r>
          <w:fldChar w:fldCharType="separate"/>
        </w:r>
        <w:r w:rsidR="00AD6226">
          <w:rPr>
            <w:noProof/>
          </w:rPr>
          <w:t>1</w:t>
        </w:r>
        <w:r>
          <w:rPr>
            <w:noProof/>
          </w:rPr>
          <w:fldChar w:fldCharType="end"/>
        </w:r>
      </w:p>
    </w:sdtContent>
  </w:sdt>
  <w:p w:rsidR="00AE1FA2" w:rsidRDefault="00AE1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A6C" w:rsidRDefault="00110A6C" w:rsidP="00834589">
      <w:pPr>
        <w:spacing w:after="0" w:line="240" w:lineRule="auto"/>
      </w:pPr>
      <w:r>
        <w:separator/>
      </w:r>
    </w:p>
  </w:footnote>
  <w:footnote w:type="continuationSeparator" w:id="0">
    <w:p w:rsidR="00110A6C" w:rsidRDefault="00110A6C" w:rsidP="00834589">
      <w:pPr>
        <w:spacing w:after="0" w:line="240" w:lineRule="auto"/>
      </w:pPr>
      <w:r>
        <w:continuationSeparator/>
      </w:r>
    </w:p>
  </w:footnote>
  <w:footnote w:id="1">
    <w:p w:rsidR="00AE1FA2" w:rsidRPr="00CF72DD" w:rsidRDefault="00AE1FA2" w:rsidP="00360222">
      <w:r>
        <w:rPr>
          <w:rStyle w:val="FootnoteReference"/>
        </w:rPr>
        <w:footnoteRef/>
      </w:r>
      <w:r w:rsidRPr="00E745E8">
        <w:rPr>
          <w:rFonts w:asciiTheme="majorBidi" w:hAnsiTheme="majorBidi" w:cstheme="majorBidi"/>
          <w:sz w:val="20"/>
          <w:szCs w:val="20"/>
        </w:rPr>
        <w:t xml:space="preserve">Geoff Dancy and Eric </w:t>
      </w:r>
      <w:proofErr w:type="spellStart"/>
      <w:r w:rsidRPr="00E745E8">
        <w:rPr>
          <w:rFonts w:asciiTheme="majorBidi" w:hAnsiTheme="majorBidi" w:cstheme="majorBidi"/>
          <w:sz w:val="20"/>
          <w:szCs w:val="20"/>
        </w:rPr>
        <w:t>Wiebelhaus-Brahm</w:t>
      </w:r>
      <w:proofErr w:type="spellEnd"/>
      <w:r w:rsidR="00CF72DD" w:rsidRPr="00E745E8">
        <w:rPr>
          <w:rFonts w:asciiTheme="majorBidi" w:hAnsiTheme="majorBidi" w:cstheme="majorBidi"/>
          <w:sz w:val="20"/>
          <w:szCs w:val="20"/>
        </w:rPr>
        <w:t>,</w:t>
      </w:r>
      <w:r w:rsidRPr="00E745E8">
        <w:rPr>
          <w:rFonts w:asciiTheme="majorBidi" w:hAnsiTheme="majorBidi" w:cstheme="majorBidi"/>
          <w:sz w:val="20"/>
          <w:szCs w:val="20"/>
        </w:rPr>
        <w:t xml:space="preserve"> ‘Bridge to Human Development or Vehicle of Inequality? Transitional Justice and Economic Structures</w:t>
      </w:r>
      <w:r w:rsidR="008C5226" w:rsidRPr="00E745E8">
        <w:rPr>
          <w:rFonts w:asciiTheme="majorBidi" w:hAnsiTheme="majorBidi" w:cstheme="majorBidi"/>
          <w:sz w:val="20"/>
          <w:szCs w:val="20"/>
        </w:rPr>
        <w:t>,</w:t>
      </w:r>
      <w:r w:rsidRPr="00E745E8">
        <w:rPr>
          <w:rFonts w:asciiTheme="majorBidi" w:hAnsiTheme="majorBidi" w:cstheme="majorBidi"/>
          <w:sz w:val="20"/>
          <w:szCs w:val="20"/>
        </w:rPr>
        <w:t xml:space="preserve">’ </w:t>
      </w:r>
      <w:proofErr w:type="gramStart"/>
      <w:r w:rsidRPr="00E745E8">
        <w:rPr>
          <w:rFonts w:asciiTheme="majorBidi" w:hAnsiTheme="majorBidi" w:cstheme="majorBidi"/>
          <w:i/>
          <w:iCs/>
          <w:sz w:val="20"/>
          <w:szCs w:val="20"/>
        </w:rPr>
        <w:t>The</w:t>
      </w:r>
      <w:proofErr w:type="gramEnd"/>
      <w:r w:rsidRPr="00E745E8">
        <w:rPr>
          <w:rFonts w:asciiTheme="majorBidi" w:hAnsiTheme="majorBidi" w:cstheme="majorBidi"/>
          <w:i/>
          <w:iCs/>
          <w:sz w:val="20"/>
          <w:szCs w:val="20"/>
        </w:rPr>
        <w:t xml:space="preserve"> International Journal of Transitional Justice</w:t>
      </w:r>
      <w:r w:rsidRPr="00E745E8">
        <w:rPr>
          <w:rFonts w:asciiTheme="majorBidi" w:hAnsiTheme="majorBidi" w:cstheme="majorBidi"/>
          <w:sz w:val="20"/>
          <w:szCs w:val="20"/>
        </w:rPr>
        <w:t xml:space="preserve"> 9(1) (2014): 51-69.  </w:t>
      </w:r>
      <w:proofErr w:type="spellStart"/>
      <w:r w:rsidRPr="00E745E8">
        <w:rPr>
          <w:rFonts w:asciiTheme="majorBidi" w:hAnsiTheme="majorBidi" w:cstheme="majorBidi"/>
          <w:sz w:val="20"/>
          <w:szCs w:val="20"/>
        </w:rPr>
        <w:t>Sebina</w:t>
      </w:r>
      <w:proofErr w:type="spellEnd"/>
      <w:r w:rsidRPr="00E745E8">
        <w:rPr>
          <w:rFonts w:asciiTheme="majorBidi" w:hAnsiTheme="majorBidi" w:cstheme="majorBidi"/>
          <w:sz w:val="20"/>
          <w:szCs w:val="20"/>
        </w:rPr>
        <w:t xml:space="preserve"> </w:t>
      </w:r>
      <w:proofErr w:type="spellStart"/>
      <w:r w:rsidRPr="00E745E8">
        <w:rPr>
          <w:rFonts w:asciiTheme="majorBidi" w:hAnsiTheme="majorBidi" w:cstheme="majorBidi"/>
          <w:sz w:val="20"/>
          <w:szCs w:val="20"/>
        </w:rPr>
        <w:t>Sivac</w:t>
      </w:r>
      <w:proofErr w:type="spellEnd"/>
      <w:r w:rsidRPr="00E745E8">
        <w:rPr>
          <w:rFonts w:asciiTheme="majorBidi" w:hAnsiTheme="majorBidi" w:cstheme="majorBidi"/>
          <w:sz w:val="20"/>
          <w:szCs w:val="20"/>
        </w:rPr>
        <w:t xml:space="preserve">-Bryant, ‘The </w:t>
      </w:r>
      <w:proofErr w:type="spellStart"/>
      <w:r w:rsidRPr="00E745E8">
        <w:rPr>
          <w:rFonts w:asciiTheme="majorBidi" w:hAnsiTheme="majorBidi" w:cstheme="majorBidi"/>
          <w:sz w:val="20"/>
          <w:szCs w:val="20"/>
        </w:rPr>
        <w:t>Omarska</w:t>
      </w:r>
      <w:proofErr w:type="spellEnd"/>
      <w:r w:rsidRPr="00E745E8">
        <w:rPr>
          <w:rFonts w:asciiTheme="majorBidi" w:hAnsiTheme="majorBidi" w:cstheme="majorBidi"/>
          <w:sz w:val="20"/>
          <w:szCs w:val="20"/>
        </w:rPr>
        <w:t xml:space="preserve"> Memorial Project as an Example of how Transitional Justice Interventions Can Produce Hidden Harms,’ </w:t>
      </w:r>
      <w:r w:rsidRPr="00E745E8">
        <w:rPr>
          <w:rFonts w:asciiTheme="majorBidi" w:hAnsiTheme="majorBidi" w:cstheme="majorBidi"/>
          <w:i/>
          <w:iCs/>
          <w:sz w:val="20"/>
          <w:szCs w:val="20"/>
        </w:rPr>
        <w:t>The International Journal of Transitional Justice</w:t>
      </w:r>
      <w:r w:rsidRPr="00E745E8">
        <w:rPr>
          <w:rFonts w:asciiTheme="majorBidi" w:hAnsiTheme="majorBidi" w:cstheme="majorBidi"/>
          <w:sz w:val="20"/>
          <w:szCs w:val="20"/>
        </w:rPr>
        <w:t xml:space="preserve"> 9(1) (2015): 170-180. </w:t>
      </w:r>
      <w:proofErr w:type="spellStart"/>
      <w:r w:rsidRPr="00E745E8">
        <w:rPr>
          <w:rFonts w:asciiTheme="majorBidi" w:hAnsiTheme="majorBidi" w:cstheme="majorBidi"/>
          <w:sz w:val="20"/>
          <w:szCs w:val="20"/>
        </w:rPr>
        <w:t>Stiina</w:t>
      </w:r>
      <w:proofErr w:type="spellEnd"/>
      <w:r w:rsidRPr="00E745E8">
        <w:rPr>
          <w:rFonts w:asciiTheme="majorBidi" w:hAnsiTheme="majorBidi" w:cstheme="majorBidi"/>
          <w:sz w:val="20"/>
          <w:szCs w:val="20"/>
        </w:rPr>
        <w:t xml:space="preserve"> </w:t>
      </w:r>
      <w:proofErr w:type="spellStart"/>
      <w:r w:rsidRPr="00E745E8">
        <w:rPr>
          <w:rFonts w:asciiTheme="majorBidi" w:hAnsiTheme="majorBidi" w:cstheme="majorBidi"/>
          <w:sz w:val="20"/>
          <w:szCs w:val="20"/>
        </w:rPr>
        <w:t>Loytomaki</w:t>
      </w:r>
      <w:proofErr w:type="spellEnd"/>
      <w:r w:rsidRPr="00E745E8">
        <w:rPr>
          <w:rFonts w:asciiTheme="majorBidi" w:hAnsiTheme="majorBidi" w:cstheme="majorBidi"/>
          <w:sz w:val="20"/>
          <w:szCs w:val="20"/>
        </w:rPr>
        <w:t>, ‘</w:t>
      </w:r>
      <w:proofErr w:type="gramStart"/>
      <w:r w:rsidRPr="00E745E8">
        <w:rPr>
          <w:rFonts w:asciiTheme="majorBidi" w:hAnsiTheme="majorBidi" w:cstheme="majorBidi"/>
          <w:sz w:val="20"/>
          <w:szCs w:val="20"/>
        </w:rPr>
        <w:t>The</w:t>
      </w:r>
      <w:proofErr w:type="gramEnd"/>
      <w:r w:rsidRPr="00E745E8">
        <w:rPr>
          <w:rFonts w:asciiTheme="majorBidi" w:hAnsiTheme="majorBidi" w:cstheme="majorBidi"/>
          <w:sz w:val="20"/>
          <w:szCs w:val="20"/>
        </w:rPr>
        <w:t xml:space="preserve"> Law and Collective Memory of Colonialism: France and the Case of ‘Belated’ Transitional Justice,’ </w:t>
      </w:r>
      <w:r w:rsidRPr="00E745E8">
        <w:rPr>
          <w:rFonts w:asciiTheme="majorBidi" w:hAnsiTheme="majorBidi" w:cstheme="majorBidi"/>
          <w:i/>
          <w:iCs/>
          <w:sz w:val="20"/>
          <w:szCs w:val="20"/>
        </w:rPr>
        <w:t>The International Journal of Transitional Justice</w:t>
      </w:r>
      <w:r w:rsidRPr="00E745E8">
        <w:rPr>
          <w:rFonts w:asciiTheme="majorBidi" w:hAnsiTheme="majorBidi" w:cstheme="majorBidi"/>
          <w:sz w:val="20"/>
          <w:szCs w:val="20"/>
        </w:rPr>
        <w:t xml:space="preserve"> 7(2) (2013): 205-223.</w:t>
      </w:r>
      <w:r w:rsidRPr="00CF72DD">
        <w:t xml:space="preserve"> </w:t>
      </w:r>
    </w:p>
  </w:footnote>
  <w:footnote w:id="2">
    <w:p w:rsidR="00AE1FA2" w:rsidRPr="004F0437" w:rsidRDefault="00AE1FA2" w:rsidP="007D23F3">
      <w:pPr>
        <w:pStyle w:val="FootnoteText"/>
        <w:rPr>
          <w:rFonts w:asciiTheme="majorBidi" w:hAnsiTheme="majorBidi" w:cstheme="majorBidi"/>
        </w:rPr>
      </w:pPr>
      <w:r w:rsidRPr="004F0437">
        <w:rPr>
          <w:rStyle w:val="FootnoteReference"/>
          <w:rFonts w:asciiTheme="majorBidi" w:hAnsiTheme="majorBidi" w:cstheme="majorBidi"/>
        </w:rPr>
        <w:footnoteRef/>
      </w:r>
      <w:r w:rsidRPr="004F0437">
        <w:rPr>
          <w:rFonts w:asciiTheme="majorBidi" w:hAnsiTheme="majorBidi" w:cstheme="majorBidi"/>
        </w:rPr>
        <w:t>.</w:t>
      </w:r>
      <w:r>
        <w:rPr>
          <w:rFonts w:asciiTheme="majorBidi" w:hAnsiTheme="majorBidi" w:cstheme="majorBidi"/>
        </w:rPr>
        <w:t xml:space="preserve"> </w:t>
      </w:r>
      <w:r w:rsidRPr="00360222">
        <w:rPr>
          <w:rFonts w:asciiTheme="minorBidi" w:hAnsiTheme="minorBidi"/>
          <w:sz w:val="22"/>
          <w:szCs w:val="22"/>
        </w:rPr>
        <w:t xml:space="preserve">  </w:t>
      </w:r>
      <w:proofErr w:type="spellStart"/>
      <w:r w:rsidRPr="00E745E8">
        <w:rPr>
          <w:rFonts w:asciiTheme="majorBidi" w:hAnsiTheme="majorBidi" w:cstheme="majorBidi"/>
        </w:rPr>
        <w:t>Jasmina</w:t>
      </w:r>
      <w:proofErr w:type="spellEnd"/>
      <w:r w:rsidRPr="00E745E8">
        <w:rPr>
          <w:rFonts w:asciiTheme="majorBidi" w:hAnsiTheme="majorBidi" w:cstheme="majorBidi"/>
        </w:rPr>
        <w:t xml:space="preserve"> </w:t>
      </w:r>
      <w:proofErr w:type="spellStart"/>
      <w:r w:rsidRPr="00E745E8">
        <w:rPr>
          <w:rFonts w:asciiTheme="majorBidi" w:hAnsiTheme="majorBidi" w:cstheme="majorBidi"/>
        </w:rPr>
        <w:t>Brankovic</w:t>
      </w:r>
      <w:proofErr w:type="spellEnd"/>
      <w:r w:rsidRPr="00E745E8">
        <w:rPr>
          <w:rFonts w:asciiTheme="majorBidi" w:hAnsiTheme="majorBidi" w:cstheme="majorBidi"/>
        </w:rPr>
        <w:t xml:space="preserve">, ‘Accountability and National Reconciliation in South Africa,’ </w:t>
      </w:r>
      <w:proofErr w:type="spellStart"/>
      <w:r w:rsidRPr="00E745E8">
        <w:rPr>
          <w:rFonts w:asciiTheme="majorBidi" w:hAnsiTheme="majorBidi" w:cstheme="majorBidi"/>
          <w:i/>
          <w:iCs/>
        </w:rPr>
        <w:t>Ediciones</w:t>
      </w:r>
      <w:proofErr w:type="spellEnd"/>
      <w:r w:rsidRPr="00E745E8">
        <w:rPr>
          <w:rFonts w:asciiTheme="majorBidi" w:hAnsiTheme="majorBidi" w:cstheme="majorBidi"/>
          <w:i/>
          <w:iCs/>
        </w:rPr>
        <w:t xml:space="preserve"> </w:t>
      </w:r>
      <w:proofErr w:type="spellStart"/>
      <w:r w:rsidRPr="00E745E8">
        <w:rPr>
          <w:rFonts w:asciiTheme="majorBidi" w:hAnsiTheme="majorBidi" w:cstheme="majorBidi"/>
          <w:i/>
          <w:iCs/>
        </w:rPr>
        <w:t>InfoJus</w:t>
      </w:r>
      <w:proofErr w:type="spellEnd"/>
      <w:r w:rsidRPr="00E745E8">
        <w:rPr>
          <w:rFonts w:asciiTheme="majorBidi" w:hAnsiTheme="majorBidi" w:cstheme="majorBidi"/>
          <w:i/>
          <w:iCs/>
        </w:rPr>
        <w:t xml:space="preserve">: </w:t>
      </w:r>
      <w:proofErr w:type="spellStart"/>
      <w:r w:rsidRPr="00E745E8">
        <w:rPr>
          <w:rFonts w:asciiTheme="majorBidi" w:hAnsiTheme="majorBidi" w:cstheme="majorBidi"/>
          <w:i/>
          <w:iCs/>
        </w:rPr>
        <w:t>Derechos</w:t>
      </w:r>
      <w:proofErr w:type="spellEnd"/>
      <w:r w:rsidRPr="00E745E8">
        <w:rPr>
          <w:rFonts w:asciiTheme="majorBidi" w:hAnsiTheme="majorBidi" w:cstheme="majorBidi"/>
          <w:i/>
          <w:iCs/>
        </w:rPr>
        <w:t xml:space="preserve"> </w:t>
      </w:r>
      <w:proofErr w:type="spellStart"/>
      <w:r w:rsidRPr="00E745E8">
        <w:rPr>
          <w:rFonts w:asciiTheme="majorBidi" w:hAnsiTheme="majorBidi" w:cstheme="majorBidi"/>
          <w:i/>
          <w:iCs/>
        </w:rPr>
        <w:t>Humanos</w:t>
      </w:r>
      <w:proofErr w:type="spellEnd"/>
      <w:r w:rsidRPr="00E745E8">
        <w:rPr>
          <w:rFonts w:asciiTheme="majorBidi" w:hAnsiTheme="majorBidi" w:cstheme="majorBidi"/>
        </w:rPr>
        <w:t xml:space="preserve"> 2 (2013): 55-86.</w:t>
      </w:r>
    </w:p>
  </w:footnote>
  <w:footnote w:id="3">
    <w:p w:rsidR="00AE1FA2" w:rsidRDefault="00AE1FA2" w:rsidP="00B871DC"/>
    <w:p w:rsidR="00AE1FA2" w:rsidRPr="00E745E8" w:rsidRDefault="00AE1FA2" w:rsidP="00360222">
      <w:pPr>
        <w:pStyle w:val="EndnoteText"/>
        <w:rPr>
          <w:rFonts w:asciiTheme="majorBidi" w:hAnsiTheme="majorBidi" w:cstheme="majorBidi"/>
        </w:rPr>
      </w:pPr>
      <w:r>
        <w:rPr>
          <w:rStyle w:val="FootnoteReference"/>
        </w:rPr>
        <w:footnoteRef/>
      </w:r>
      <w:r>
        <w:t xml:space="preserve"> </w:t>
      </w:r>
      <w:r w:rsidRPr="00E745E8">
        <w:rPr>
          <w:rFonts w:asciiTheme="majorBidi" w:hAnsiTheme="majorBidi" w:cstheme="majorBidi"/>
        </w:rPr>
        <w:t xml:space="preserve">Tony </w:t>
      </w:r>
      <w:proofErr w:type="gramStart"/>
      <w:r w:rsidRPr="00E745E8">
        <w:rPr>
          <w:rFonts w:asciiTheme="majorBidi" w:hAnsiTheme="majorBidi" w:cstheme="majorBidi"/>
        </w:rPr>
        <w:t>Horwitz,</w:t>
      </w:r>
      <w:proofErr w:type="gramEnd"/>
      <w:r w:rsidRPr="00E745E8">
        <w:rPr>
          <w:rFonts w:asciiTheme="majorBidi" w:hAnsiTheme="majorBidi" w:cstheme="majorBidi"/>
        </w:rPr>
        <w:t xml:space="preserve"> </w:t>
      </w:r>
      <w:r w:rsidRPr="00E745E8">
        <w:rPr>
          <w:rFonts w:asciiTheme="majorBidi" w:hAnsiTheme="majorBidi" w:cstheme="majorBidi"/>
          <w:i/>
          <w:iCs/>
        </w:rPr>
        <w:t>Confederates in the Attic: Dispatches from the Unfinished Civil War</w:t>
      </w:r>
      <w:r w:rsidRPr="00E745E8">
        <w:rPr>
          <w:rFonts w:asciiTheme="majorBidi" w:hAnsiTheme="majorBidi" w:cstheme="majorBidi"/>
        </w:rPr>
        <w:t xml:space="preserve">, (New York: Vintage, 1999.) Gary W. Gallagher, </w:t>
      </w:r>
      <w:r w:rsidRPr="00E745E8">
        <w:rPr>
          <w:rFonts w:asciiTheme="majorBidi" w:hAnsiTheme="majorBidi" w:cstheme="majorBidi"/>
          <w:i/>
          <w:iCs/>
        </w:rPr>
        <w:t>Causes Won, Lost and Forgotten: How Popular and Hollywood Art Shape What we Know about the Civil War (Steven and Janice Brose Lectures in the Civil War Era)</w:t>
      </w:r>
      <w:r w:rsidRPr="00E745E8">
        <w:rPr>
          <w:rFonts w:asciiTheme="majorBidi" w:hAnsiTheme="majorBidi" w:cstheme="majorBidi"/>
        </w:rPr>
        <w:t xml:space="preserve">, (North Carolina: University of North Carolina Press, 2013). </w:t>
      </w:r>
      <w:r w:rsidRPr="00E745E8">
        <w:rPr>
          <w:rFonts w:asciiTheme="majorBidi" w:hAnsiTheme="majorBidi" w:cstheme="majorBidi"/>
          <w:iCs/>
        </w:rPr>
        <w:t xml:space="preserve"> </w:t>
      </w:r>
      <w:proofErr w:type="spellStart"/>
      <w:r w:rsidRPr="00E745E8">
        <w:rPr>
          <w:rFonts w:asciiTheme="majorBidi" w:hAnsiTheme="majorBidi" w:cstheme="majorBidi"/>
          <w:iCs/>
        </w:rPr>
        <w:t>Ariela</w:t>
      </w:r>
      <w:r w:rsidRPr="00E745E8">
        <w:rPr>
          <w:rFonts w:asciiTheme="majorBidi" w:hAnsiTheme="majorBidi" w:cstheme="majorBidi"/>
        </w:rPr>
        <w:t>Gross</w:t>
      </w:r>
      <w:proofErr w:type="spellEnd"/>
      <w:r w:rsidRPr="00E745E8">
        <w:rPr>
          <w:rFonts w:asciiTheme="majorBidi" w:hAnsiTheme="majorBidi" w:cstheme="majorBidi"/>
        </w:rPr>
        <w:t xml:space="preserve">, ‘When is the time of slavery? The history of slavery in contemporary legal and political argument,’   </w:t>
      </w:r>
      <w:r w:rsidRPr="00E745E8">
        <w:rPr>
          <w:rFonts w:asciiTheme="majorBidi" w:hAnsiTheme="majorBidi" w:cstheme="majorBidi"/>
          <w:i/>
          <w:iCs/>
        </w:rPr>
        <w:t xml:space="preserve">California Law Review </w:t>
      </w:r>
      <w:r w:rsidRPr="00E745E8">
        <w:rPr>
          <w:rFonts w:asciiTheme="majorBidi" w:hAnsiTheme="majorBidi" w:cstheme="majorBidi"/>
        </w:rPr>
        <w:t>96(1) (2008): 283-321.</w:t>
      </w:r>
    </w:p>
    <w:p w:rsidR="00AE1FA2" w:rsidRPr="00E745E8" w:rsidRDefault="00AE1FA2" w:rsidP="00360222">
      <w:pPr>
        <w:pStyle w:val="EndnoteText"/>
        <w:rPr>
          <w:rFonts w:asciiTheme="majorBidi" w:hAnsiTheme="majorBidi" w:cstheme="majorBidi"/>
        </w:rPr>
      </w:pPr>
    </w:p>
  </w:footnote>
  <w:footnote w:id="4">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Moon </w:t>
      </w:r>
      <w:proofErr w:type="spellStart"/>
      <w:r w:rsidRPr="00E745E8">
        <w:rPr>
          <w:rFonts w:asciiTheme="majorBidi" w:hAnsiTheme="majorBidi" w:cstheme="majorBidi"/>
        </w:rPr>
        <w:t>Charania</w:t>
      </w:r>
      <w:proofErr w:type="spellEnd"/>
      <w:r w:rsidRPr="00E745E8">
        <w:rPr>
          <w:rFonts w:asciiTheme="majorBidi" w:hAnsiTheme="majorBidi" w:cstheme="majorBidi"/>
        </w:rPr>
        <w:t>, ‘</w:t>
      </w:r>
      <w:r w:rsidRPr="00E745E8">
        <w:rPr>
          <w:rFonts w:asciiTheme="majorBidi" w:hAnsiTheme="majorBidi" w:cstheme="majorBidi"/>
          <w:i/>
          <w:iCs/>
        </w:rPr>
        <w:t xml:space="preserve">Django </w:t>
      </w:r>
      <w:r w:rsidRPr="00E745E8">
        <w:rPr>
          <w:rFonts w:asciiTheme="majorBidi" w:hAnsiTheme="majorBidi" w:cstheme="majorBidi"/>
        </w:rPr>
        <w:t xml:space="preserve">Unchained, Voyeurism Unleashed,’ </w:t>
      </w:r>
      <w:r w:rsidRPr="00E745E8">
        <w:rPr>
          <w:rFonts w:asciiTheme="majorBidi" w:hAnsiTheme="majorBidi" w:cstheme="majorBidi"/>
          <w:i/>
          <w:iCs/>
        </w:rPr>
        <w:t>Contexts</w:t>
      </w:r>
      <w:r w:rsidRPr="00E745E8">
        <w:rPr>
          <w:rFonts w:asciiTheme="majorBidi" w:hAnsiTheme="majorBidi" w:cstheme="majorBidi"/>
        </w:rPr>
        <w:t xml:space="preserve"> 12(3) (2013): 58-60.</w:t>
      </w:r>
    </w:p>
    <w:p w:rsidR="00AE1FA2" w:rsidRPr="00E745E8" w:rsidRDefault="00AE1FA2">
      <w:pPr>
        <w:pStyle w:val="FootnoteText"/>
        <w:rPr>
          <w:rFonts w:asciiTheme="majorBidi" w:hAnsiTheme="majorBidi" w:cstheme="majorBidi"/>
        </w:rPr>
      </w:pPr>
    </w:p>
  </w:footnote>
  <w:footnote w:id="5">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Stephanie Decker, ‘Slavery and the Modern World,’ review of </w:t>
      </w:r>
      <w:r w:rsidRPr="00E745E8">
        <w:rPr>
          <w:rFonts w:asciiTheme="majorBidi" w:hAnsiTheme="majorBidi" w:cstheme="majorBidi"/>
          <w:i/>
          <w:iCs/>
        </w:rPr>
        <w:t>The Transatlantic Slave Trade and the Evolution of Political Authority in West Africa</w:t>
      </w:r>
      <w:r w:rsidRPr="00E745E8">
        <w:rPr>
          <w:rFonts w:asciiTheme="majorBidi" w:hAnsiTheme="majorBidi" w:cstheme="majorBidi"/>
        </w:rPr>
        <w:t xml:space="preserve">, by Warren C Whatley, </w:t>
      </w:r>
      <w:r w:rsidRPr="00E745E8">
        <w:rPr>
          <w:rFonts w:asciiTheme="majorBidi" w:hAnsiTheme="majorBidi" w:cstheme="majorBidi"/>
          <w:i/>
          <w:iCs/>
        </w:rPr>
        <w:t>The NEP-</w:t>
      </w:r>
      <w:proofErr w:type="gramStart"/>
      <w:r w:rsidRPr="00E745E8">
        <w:rPr>
          <w:rFonts w:asciiTheme="majorBidi" w:hAnsiTheme="majorBidi" w:cstheme="majorBidi"/>
          <w:i/>
          <w:iCs/>
        </w:rPr>
        <w:t>HIS  Blog</w:t>
      </w:r>
      <w:proofErr w:type="gramEnd"/>
      <w:r w:rsidRPr="00E745E8">
        <w:rPr>
          <w:rFonts w:asciiTheme="majorBidi" w:hAnsiTheme="majorBidi" w:cstheme="majorBidi"/>
        </w:rPr>
        <w:t xml:space="preserve">, </w:t>
      </w:r>
      <w:hyperlink r:id="rId1" w:history="1">
        <w:r w:rsidRPr="00E745E8">
          <w:rPr>
            <w:rStyle w:val="Hyperlink"/>
            <w:rFonts w:asciiTheme="majorBidi" w:hAnsiTheme="majorBidi" w:cstheme="majorBidi"/>
          </w:rPr>
          <w:t>https://nephist.wordpress.com/2014/03/03/slavery-and-the-modern-world/</w:t>
        </w:r>
      </w:hyperlink>
      <w:r w:rsidRPr="00E745E8">
        <w:rPr>
          <w:rStyle w:val="Hyperlink"/>
          <w:rFonts w:asciiTheme="majorBidi" w:hAnsiTheme="majorBidi" w:cstheme="majorBidi"/>
        </w:rPr>
        <w:t xml:space="preserve"> </w:t>
      </w:r>
      <w:r w:rsidRPr="00E745E8">
        <w:rPr>
          <w:rFonts w:asciiTheme="majorBidi" w:hAnsiTheme="majorBidi" w:cstheme="majorBidi"/>
        </w:rPr>
        <w:t>(accessed 14 March 2014). Ira Berlin, ‘American Slavery in History and Memory and the Search for Social Justice</w:t>
      </w:r>
      <w:r w:rsidRPr="00E745E8">
        <w:rPr>
          <w:rFonts w:asciiTheme="majorBidi" w:hAnsiTheme="majorBidi" w:cstheme="majorBidi"/>
          <w:i/>
          <w:iCs/>
        </w:rPr>
        <w:t>,’ Journal of American History</w:t>
      </w:r>
      <w:r w:rsidRPr="00E745E8">
        <w:rPr>
          <w:rFonts w:asciiTheme="majorBidi" w:hAnsiTheme="majorBidi" w:cstheme="majorBidi"/>
        </w:rPr>
        <w:t xml:space="preserve"> 90(4) (2004): 1251-1268.</w:t>
      </w:r>
    </w:p>
  </w:footnote>
  <w:footnote w:id="6">
    <w:p w:rsidR="00AE1FA2" w:rsidRPr="00E745E8" w:rsidRDefault="00AE1FA2" w:rsidP="006829B3">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Antonio Moore, ‘Slavery’s Shadow: Reparations and the Cost to Build a Nation,’ </w:t>
      </w:r>
      <w:r w:rsidRPr="00E745E8">
        <w:rPr>
          <w:rFonts w:asciiTheme="majorBidi" w:hAnsiTheme="majorBidi" w:cstheme="majorBidi"/>
          <w:i/>
          <w:iCs/>
        </w:rPr>
        <w:t>Huffington Post</w:t>
      </w:r>
      <w:r w:rsidRPr="00E745E8">
        <w:rPr>
          <w:rFonts w:asciiTheme="majorBidi" w:hAnsiTheme="majorBidi" w:cstheme="majorBidi"/>
        </w:rPr>
        <w:t xml:space="preserve">, 2014,  </w:t>
      </w:r>
      <w:hyperlink r:id="rId2" w:history="1">
        <w:r w:rsidRPr="00E745E8">
          <w:rPr>
            <w:rStyle w:val="Hyperlink"/>
            <w:rFonts w:asciiTheme="majorBidi" w:hAnsiTheme="majorBidi" w:cstheme="majorBidi"/>
          </w:rPr>
          <w:t>http://www.huffingtonpost.com/antonio-moore/slaverys-shadow-how-forbe_b_5505319.html</w:t>
        </w:r>
      </w:hyperlink>
    </w:p>
  </w:footnote>
  <w:footnote w:id="7">
    <w:p w:rsidR="00AE1FA2" w:rsidRPr="00E745E8" w:rsidRDefault="00AE1FA2" w:rsidP="00FC27E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Peter Flaherty and John Carlisle, </w:t>
      </w:r>
      <w:proofErr w:type="gramStart"/>
      <w:r w:rsidRPr="00E745E8">
        <w:rPr>
          <w:rFonts w:asciiTheme="majorBidi" w:hAnsiTheme="majorBidi" w:cstheme="majorBidi"/>
          <w:i/>
          <w:iCs/>
        </w:rPr>
        <w:t>The</w:t>
      </w:r>
      <w:proofErr w:type="gramEnd"/>
      <w:r w:rsidRPr="00E745E8">
        <w:rPr>
          <w:rFonts w:asciiTheme="majorBidi" w:hAnsiTheme="majorBidi" w:cstheme="majorBidi"/>
          <w:i/>
          <w:iCs/>
        </w:rPr>
        <w:t xml:space="preserve"> Case against Slave Reparations</w:t>
      </w:r>
      <w:r w:rsidRPr="00E745E8">
        <w:rPr>
          <w:rFonts w:asciiTheme="majorBidi" w:hAnsiTheme="majorBidi" w:cstheme="majorBidi"/>
        </w:rPr>
        <w:t xml:space="preserve">, (Virginia: National Policy Centre, 2004). </w:t>
      </w:r>
    </w:p>
    <w:p w:rsidR="00AE1FA2" w:rsidRPr="00360222" w:rsidRDefault="00AE1FA2" w:rsidP="00951B32">
      <w:pPr>
        <w:pStyle w:val="FootnoteText"/>
        <w:rPr>
          <w:rFonts w:asciiTheme="minorBidi" w:hAnsiTheme="minorBidi"/>
          <w:sz w:val="22"/>
          <w:szCs w:val="22"/>
        </w:rPr>
      </w:pPr>
    </w:p>
  </w:footnote>
  <w:footnote w:id="8">
    <w:p w:rsidR="00AE1FA2" w:rsidRPr="00E745E8" w:rsidRDefault="00AE1FA2" w:rsidP="00360222">
      <w:pPr>
        <w:rPr>
          <w:rFonts w:asciiTheme="majorBidi" w:hAnsiTheme="majorBidi" w:cstheme="majorBidi"/>
          <w:sz w:val="20"/>
          <w:szCs w:val="20"/>
        </w:rPr>
      </w:pPr>
      <w:r w:rsidRPr="00360222">
        <w:rPr>
          <w:rStyle w:val="FootnoteReference"/>
          <w:rFonts w:asciiTheme="minorBidi" w:hAnsiTheme="minorBidi"/>
        </w:rPr>
        <w:footnoteRef/>
      </w:r>
      <w:r w:rsidR="00370DB3">
        <w:rPr>
          <w:rFonts w:asciiTheme="minorBidi" w:hAnsiTheme="minorBidi"/>
        </w:rPr>
        <w:t xml:space="preserve"> </w:t>
      </w:r>
      <w:r w:rsidR="00370DB3" w:rsidRPr="00E745E8">
        <w:rPr>
          <w:rFonts w:asciiTheme="majorBidi" w:hAnsiTheme="majorBidi" w:cstheme="majorBidi"/>
          <w:sz w:val="20"/>
          <w:szCs w:val="20"/>
        </w:rPr>
        <w:t>World Conference Against Racism, Durban 2001: General Issues, paragraph 13 (</w:t>
      </w:r>
      <w:hyperlink r:id="rId3" w:history="1">
        <w:r w:rsidR="00370DB3" w:rsidRPr="00E745E8">
          <w:rPr>
            <w:rStyle w:val="Hyperlink"/>
            <w:rFonts w:asciiTheme="majorBidi" w:hAnsiTheme="majorBidi" w:cstheme="majorBidi"/>
            <w:sz w:val="20"/>
            <w:szCs w:val="20"/>
          </w:rPr>
          <w:t>http://www.un.org?WCAR/durban.pdf</w:t>
        </w:r>
      </w:hyperlink>
      <w:proofErr w:type="gramStart"/>
      <w:r w:rsidR="00370DB3" w:rsidRPr="00E745E8">
        <w:rPr>
          <w:rFonts w:asciiTheme="majorBidi" w:hAnsiTheme="majorBidi" w:cstheme="majorBidi"/>
          <w:sz w:val="20"/>
          <w:szCs w:val="20"/>
        </w:rPr>
        <w:t xml:space="preserve">; </w:t>
      </w:r>
      <w:r w:rsidRPr="00E745E8">
        <w:rPr>
          <w:rFonts w:asciiTheme="majorBidi" w:hAnsiTheme="majorBidi" w:cstheme="majorBidi"/>
          <w:sz w:val="20"/>
          <w:szCs w:val="20"/>
        </w:rPr>
        <w:t xml:space="preserve"> ILO</w:t>
      </w:r>
      <w:proofErr w:type="gramEnd"/>
      <w:r w:rsidRPr="00E745E8">
        <w:rPr>
          <w:rFonts w:asciiTheme="majorBidi" w:hAnsiTheme="majorBidi" w:cstheme="majorBidi"/>
          <w:sz w:val="20"/>
          <w:szCs w:val="20"/>
        </w:rPr>
        <w:t xml:space="preserve">,  </w:t>
      </w:r>
      <w:r w:rsidRPr="00E745E8">
        <w:rPr>
          <w:rFonts w:asciiTheme="majorBidi" w:hAnsiTheme="majorBidi" w:cstheme="majorBidi"/>
          <w:i/>
          <w:iCs/>
          <w:sz w:val="20"/>
          <w:szCs w:val="20"/>
        </w:rPr>
        <w:t>Global Estimate of Forced Labour, Executive Summary</w:t>
      </w:r>
      <w:r w:rsidRPr="00E745E8">
        <w:rPr>
          <w:rFonts w:asciiTheme="majorBidi" w:hAnsiTheme="majorBidi" w:cstheme="majorBidi"/>
          <w:sz w:val="20"/>
          <w:szCs w:val="20"/>
        </w:rPr>
        <w:t xml:space="preserve"> , (Geneva: ILO Special Action Programme to Combat Forced Labour, 2012.) </w:t>
      </w:r>
    </w:p>
  </w:footnote>
  <w:footnote w:id="9">
    <w:p w:rsidR="00AE1FA2" w:rsidRPr="00E745E8" w:rsidRDefault="00AE1FA2" w:rsidP="00FC27E2">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w:t>
      </w:r>
      <w:proofErr w:type="gramStart"/>
      <w:r w:rsidRPr="00E745E8">
        <w:rPr>
          <w:rFonts w:asciiTheme="majorBidi" w:hAnsiTheme="majorBidi" w:cstheme="majorBidi"/>
          <w:sz w:val="20"/>
          <w:szCs w:val="20"/>
        </w:rPr>
        <w:t xml:space="preserve">Richard B. Allen, </w:t>
      </w:r>
      <w:r w:rsidRPr="00E745E8">
        <w:rPr>
          <w:rFonts w:asciiTheme="majorBidi" w:hAnsiTheme="majorBidi" w:cstheme="majorBidi"/>
          <w:i/>
          <w:iCs/>
          <w:sz w:val="20"/>
          <w:szCs w:val="20"/>
        </w:rPr>
        <w:t xml:space="preserve">Slaves, Freedmen, and Indentured Labourers in Mauritius, </w:t>
      </w:r>
      <w:r w:rsidRPr="00E745E8">
        <w:rPr>
          <w:rFonts w:asciiTheme="majorBidi" w:hAnsiTheme="majorBidi" w:cstheme="majorBidi"/>
          <w:sz w:val="20"/>
          <w:szCs w:val="20"/>
        </w:rPr>
        <w:t>(Cambridge: Cambridge University Press, 1999).</w:t>
      </w:r>
      <w:proofErr w:type="gramEnd"/>
    </w:p>
    <w:p w:rsidR="00AE1FA2" w:rsidRPr="00E745E8" w:rsidRDefault="00AE1FA2">
      <w:pPr>
        <w:pStyle w:val="FootnoteText"/>
        <w:rPr>
          <w:rFonts w:asciiTheme="majorBidi" w:hAnsiTheme="majorBidi" w:cstheme="majorBidi"/>
        </w:rPr>
      </w:pPr>
    </w:p>
  </w:footnote>
  <w:footnote w:id="10">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w:t>
      </w:r>
    </w:p>
    <w:p w:rsidR="00AE1FA2" w:rsidRPr="00E745E8" w:rsidRDefault="00AE1FA2">
      <w:pPr>
        <w:pStyle w:val="FootnoteText"/>
        <w:rPr>
          <w:rFonts w:asciiTheme="majorBidi" w:hAnsiTheme="majorBidi" w:cstheme="majorBidi"/>
        </w:rPr>
      </w:pPr>
    </w:p>
  </w:footnote>
  <w:footnote w:id="11">
    <w:p w:rsidR="00AE1FA2" w:rsidRPr="00E745E8" w:rsidRDefault="00AE1FA2" w:rsidP="005D504B">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Hugh Tinker, </w:t>
      </w:r>
      <w:proofErr w:type="gramStart"/>
      <w:r w:rsidRPr="00E745E8">
        <w:rPr>
          <w:rFonts w:asciiTheme="majorBidi" w:hAnsiTheme="majorBidi" w:cstheme="majorBidi"/>
          <w:i/>
          <w:iCs/>
          <w:sz w:val="20"/>
          <w:szCs w:val="20"/>
        </w:rPr>
        <w:t>A</w:t>
      </w:r>
      <w:proofErr w:type="gramEnd"/>
      <w:r w:rsidRPr="00E745E8">
        <w:rPr>
          <w:rFonts w:asciiTheme="majorBidi" w:hAnsiTheme="majorBidi" w:cstheme="majorBidi"/>
          <w:i/>
          <w:iCs/>
          <w:sz w:val="20"/>
          <w:szCs w:val="20"/>
        </w:rPr>
        <w:t xml:space="preserve"> New System of Slavery: The Export of Indian Labour Overseas, 1830-1920</w:t>
      </w:r>
      <w:r w:rsidR="00321582" w:rsidRPr="00E745E8">
        <w:rPr>
          <w:rFonts w:asciiTheme="majorBidi" w:hAnsiTheme="majorBidi" w:cstheme="majorBidi"/>
          <w:sz w:val="20"/>
          <w:szCs w:val="20"/>
        </w:rPr>
        <w:t>, (Oxford</w:t>
      </w:r>
      <w:r w:rsidRPr="00E745E8">
        <w:rPr>
          <w:rFonts w:asciiTheme="majorBidi" w:hAnsiTheme="majorBidi" w:cstheme="majorBidi"/>
          <w:sz w:val="20"/>
          <w:szCs w:val="20"/>
        </w:rPr>
        <w:t xml:space="preserve">: Oxford University Press, 1974).  </w:t>
      </w:r>
    </w:p>
    <w:p w:rsidR="00AE1FA2" w:rsidRPr="00E745E8" w:rsidRDefault="00AE1FA2">
      <w:pPr>
        <w:pStyle w:val="FootnoteText"/>
        <w:rPr>
          <w:rFonts w:asciiTheme="majorBidi" w:hAnsiTheme="majorBidi" w:cstheme="majorBidi"/>
        </w:rPr>
      </w:pPr>
    </w:p>
  </w:footnote>
  <w:footnote w:id="12">
    <w:p w:rsidR="00AE1FA2" w:rsidRPr="00E745E8" w:rsidRDefault="00AE1FA2" w:rsidP="005D504B">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Elwyn Chutel, ‘Perceptions of Mauritian Development’ (MA diss., Middlesex University, 2012).  </w:t>
      </w:r>
    </w:p>
    <w:p w:rsidR="00AE1FA2" w:rsidRPr="00360222" w:rsidRDefault="00AE1FA2">
      <w:pPr>
        <w:pStyle w:val="FootnoteText"/>
        <w:rPr>
          <w:rFonts w:asciiTheme="minorBidi" w:hAnsiTheme="minorBidi"/>
          <w:sz w:val="22"/>
          <w:szCs w:val="22"/>
        </w:rPr>
      </w:pPr>
    </w:p>
  </w:footnote>
  <w:footnote w:id="13">
    <w:p w:rsidR="00AE1FA2" w:rsidRPr="00E745E8" w:rsidRDefault="00AE1FA2" w:rsidP="00360222">
      <w:pPr>
        <w:rPr>
          <w:rFonts w:asciiTheme="majorBidi" w:hAnsiTheme="majorBidi" w:cstheme="majorBidi"/>
          <w:sz w:val="20"/>
          <w:szCs w:val="20"/>
        </w:rPr>
      </w:pPr>
      <w:r w:rsidRPr="00360222">
        <w:rPr>
          <w:rStyle w:val="FootnoteReference"/>
          <w:rFonts w:asciiTheme="minorBidi" w:hAnsiTheme="minorBidi"/>
        </w:rPr>
        <w:footnoteRef/>
      </w:r>
      <w:r w:rsidRPr="00360222">
        <w:rPr>
          <w:rFonts w:asciiTheme="minorBidi" w:hAnsiTheme="minorBidi"/>
        </w:rPr>
        <w:t xml:space="preserve"> </w:t>
      </w:r>
      <w:r w:rsidRPr="00E745E8">
        <w:rPr>
          <w:rFonts w:asciiTheme="majorBidi" w:hAnsiTheme="majorBidi" w:cstheme="majorBidi"/>
          <w:sz w:val="20"/>
          <w:szCs w:val="20"/>
        </w:rPr>
        <w:t xml:space="preserve">David Lincoln, ‘Beyond the Plantation: Mauritius in the Global Division of Labour,’ </w:t>
      </w:r>
      <w:r w:rsidRPr="00E745E8">
        <w:rPr>
          <w:rFonts w:asciiTheme="majorBidi" w:hAnsiTheme="majorBidi" w:cstheme="majorBidi"/>
          <w:i/>
          <w:iCs/>
          <w:sz w:val="20"/>
          <w:szCs w:val="20"/>
        </w:rPr>
        <w:t>Journal of Modern African Studies</w:t>
      </w:r>
      <w:r w:rsidRPr="00E745E8">
        <w:rPr>
          <w:rFonts w:asciiTheme="majorBidi" w:hAnsiTheme="majorBidi" w:cstheme="majorBidi"/>
          <w:sz w:val="20"/>
          <w:szCs w:val="20"/>
        </w:rPr>
        <w:t xml:space="preserve"> 44(1) (2006): 59-78. </w:t>
      </w:r>
    </w:p>
  </w:footnote>
  <w:footnote w:id="14">
    <w:p w:rsidR="00AE1FA2" w:rsidRPr="00E745E8" w:rsidRDefault="00AE1FA2" w:rsidP="00ED6654">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w:t>
      </w:r>
      <w:proofErr w:type="gramStart"/>
      <w:r w:rsidRPr="00E745E8">
        <w:rPr>
          <w:rFonts w:asciiTheme="majorBidi" w:hAnsiTheme="majorBidi" w:cstheme="majorBidi"/>
          <w:sz w:val="20"/>
          <w:szCs w:val="20"/>
        </w:rPr>
        <w:t xml:space="preserve">Richard B. Allen, </w:t>
      </w:r>
      <w:r w:rsidRPr="00E745E8">
        <w:rPr>
          <w:rFonts w:asciiTheme="majorBidi" w:hAnsiTheme="majorBidi" w:cstheme="majorBidi"/>
          <w:i/>
          <w:iCs/>
          <w:sz w:val="20"/>
          <w:szCs w:val="20"/>
        </w:rPr>
        <w:t xml:space="preserve">Slaves, Freedmen, and Indentured Labourers in Mauritius, </w:t>
      </w:r>
      <w:r w:rsidRPr="00E745E8">
        <w:rPr>
          <w:rFonts w:asciiTheme="majorBidi" w:hAnsiTheme="majorBidi" w:cstheme="majorBidi"/>
          <w:sz w:val="20"/>
          <w:szCs w:val="20"/>
        </w:rPr>
        <w:t>(Cambridge: Cambridge University Press, 1999).</w:t>
      </w:r>
      <w:proofErr w:type="gramEnd"/>
      <w:r w:rsidRPr="00E745E8">
        <w:rPr>
          <w:rFonts w:asciiTheme="majorBidi" w:hAnsiTheme="majorBidi" w:cstheme="majorBidi"/>
          <w:sz w:val="20"/>
          <w:szCs w:val="20"/>
        </w:rPr>
        <w:t xml:space="preserve">  David Lincoln, ‘Beyond the Plantation: Mauritius in the Global Division of Labour,’ </w:t>
      </w:r>
      <w:r w:rsidRPr="00E745E8">
        <w:rPr>
          <w:rFonts w:asciiTheme="majorBidi" w:hAnsiTheme="majorBidi" w:cstheme="majorBidi"/>
          <w:i/>
          <w:iCs/>
          <w:sz w:val="20"/>
          <w:szCs w:val="20"/>
        </w:rPr>
        <w:t>Journal of Modern African Studies</w:t>
      </w:r>
      <w:r w:rsidRPr="00E745E8">
        <w:rPr>
          <w:rFonts w:asciiTheme="majorBidi" w:hAnsiTheme="majorBidi" w:cstheme="majorBidi"/>
          <w:sz w:val="20"/>
          <w:szCs w:val="20"/>
        </w:rPr>
        <w:t xml:space="preserve"> 44(1) (2006):  65-6 and </w:t>
      </w:r>
      <w:r w:rsidRPr="00E745E8">
        <w:rPr>
          <w:rFonts w:asciiTheme="majorBidi" w:hAnsiTheme="majorBidi" w:cstheme="majorBidi"/>
          <w:i/>
          <w:iCs/>
          <w:sz w:val="20"/>
          <w:szCs w:val="20"/>
        </w:rPr>
        <w:t>passim</w:t>
      </w:r>
      <w:r w:rsidRPr="00E745E8">
        <w:rPr>
          <w:rFonts w:asciiTheme="majorBidi" w:hAnsiTheme="majorBidi" w:cstheme="majorBidi"/>
          <w:sz w:val="20"/>
          <w:szCs w:val="20"/>
        </w:rPr>
        <w:t xml:space="preserve">. </w:t>
      </w:r>
    </w:p>
    <w:p w:rsidR="00AE1FA2" w:rsidRPr="00E745E8" w:rsidRDefault="00AE1FA2">
      <w:pPr>
        <w:pStyle w:val="FootnoteText"/>
        <w:rPr>
          <w:rFonts w:asciiTheme="majorBidi" w:hAnsiTheme="majorBidi" w:cstheme="majorBidi"/>
        </w:rPr>
      </w:pPr>
    </w:p>
  </w:footnote>
  <w:footnote w:id="15">
    <w:p w:rsidR="00AE1FA2" w:rsidRPr="00E745E8" w:rsidRDefault="00AE1FA2" w:rsidP="00ED6654">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Megan Vaughan, </w:t>
      </w:r>
      <w:r w:rsidRPr="00E745E8">
        <w:rPr>
          <w:rFonts w:asciiTheme="majorBidi" w:hAnsiTheme="majorBidi" w:cstheme="majorBidi"/>
          <w:i/>
          <w:iCs/>
        </w:rPr>
        <w:t>Creating the Creole Island: Slavery in Eighteenth-Century Mauritius</w:t>
      </w:r>
      <w:r w:rsidRPr="00E745E8">
        <w:rPr>
          <w:rFonts w:asciiTheme="majorBidi" w:hAnsiTheme="majorBidi" w:cstheme="majorBidi"/>
        </w:rPr>
        <w:t xml:space="preserve">, (Durham, North Carolina: Duke University Press, 2005).  </w:t>
      </w:r>
    </w:p>
    <w:p w:rsidR="00AE1FA2" w:rsidRPr="00E745E8" w:rsidRDefault="00AE1FA2">
      <w:pPr>
        <w:pStyle w:val="FootnoteText"/>
        <w:rPr>
          <w:rFonts w:asciiTheme="majorBidi" w:hAnsiTheme="majorBidi" w:cstheme="majorBidi"/>
        </w:rPr>
      </w:pPr>
    </w:p>
  </w:footnote>
  <w:footnote w:id="16">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 Report of the Truth and Justice Commission</w:t>
      </w:r>
      <w:r w:rsidRPr="00E745E8">
        <w:rPr>
          <w:rFonts w:asciiTheme="majorBidi" w:hAnsiTheme="majorBidi" w:cstheme="majorBidi"/>
        </w:rPr>
        <w:t>, (Mauritius, Government of Mauritius, 2001): 2.</w:t>
      </w:r>
      <w:r w:rsidR="00EE26DF" w:rsidRPr="00E745E8">
        <w:rPr>
          <w:rFonts w:asciiTheme="majorBidi" w:hAnsiTheme="majorBidi" w:cstheme="majorBidi"/>
        </w:rPr>
        <w:t xml:space="preserve"> These figures are based on the 2000 Housing and Population Census</w:t>
      </w:r>
      <w:r w:rsidR="008D1D8A" w:rsidRPr="00E745E8">
        <w:rPr>
          <w:rFonts w:asciiTheme="majorBidi" w:hAnsiTheme="majorBidi" w:cstheme="majorBidi"/>
        </w:rPr>
        <w:t xml:space="preserve"> which contained no question on the subject of slave descent. </w:t>
      </w:r>
      <w:r w:rsidR="00EE26DF" w:rsidRPr="00E745E8">
        <w:rPr>
          <w:rFonts w:asciiTheme="majorBidi" w:hAnsiTheme="majorBidi" w:cstheme="majorBidi"/>
        </w:rPr>
        <w:t xml:space="preserve">Statistics Mauritius conducted </w:t>
      </w:r>
      <w:r w:rsidR="00E77448" w:rsidRPr="00E745E8">
        <w:rPr>
          <w:rFonts w:asciiTheme="majorBidi" w:hAnsiTheme="majorBidi" w:cstheme="majorBidi"/>
        </w:rPr>
        <w:t xml:space="preserve">a </w:t>
      </w:r>
      <w:r w:rsidR="00EE4B9B" w:rsidRPr="00E745E8">
        <w:rPr>
          <w:rFonts w:asciiTheme="majorBidi" w:hAnsiTheme="majorBidi" w:cstheme="majorBidi"/>
        </w:rPr>
        <w:t xml:space="preserve">later </w:t>
      </w:r>
      <w:r w:rsidR="00E77448" w:rsidRPr="00E745E8">
        <w:rPr>
          <w:rFonts w:asciiTheme="majorBidi" w:hAnsiTheme="majorBidi" w:cstheme="majorBidi"/>
        </w:rPr>
        <w:t>census in June and July 201</w:t>
      </w:r>
      <w:r w:rsidR="008D1D8A" w:rsidRPr="00E745E8">
        <w:rPr>
          <w:rFonts w:asciiTheme="majorBidi" w:hAnsiTheme="majorBidi" w:cstheme="majorBidi"/>
        </w:rPr>
        <w:t>1 containing linguistic questions which might</w:t>
      </w:r>
      <w:r w:rsidR="00E77448" w:rsidRPr="00E745E8">
        <w:rPr>
          <w:rFonts w:asciiTheme="majorBidi" w:hAnsiTheme="majorBidi" w:cstheme="majorBidi"/>
        </w:rPr>
        <w:t xml:space="preserve"> </w:t>
      </w:r>
      <w:r w:rsidR="008D1D8A" w:rsidRPr="00E745E8">
        <w:rPr>
          <w:rFonts w:asciiTheme="majorBidi" w:hAnsiTheme="majorBidi" w:cstheme="majorBidi"/>
        </w:rPr>
        <w:t xml:space="preserve">conceivably be used </w:t>
      </w:r>
      <w:r w:rsidR="00E77448" w:rsidRPr="00E745E8">
        <w:rPr>
          <w:rFonts w:asciiTheme="majorBidi" w:hAnsiTheme="majorBidi" w:cstheme="majorBidi"/>
        </w:rPr>
        <w:t>but t</w:t>
      </w:r>
      <w:r w:rsidR="00EE4B9B" w:rsidRPr="00E745E8">
        <w:rPr>
          <w:rFonts w:asciiTheme="majorBidi" w:hAnsiTheme="majorBidi" w:cstheme="majorBidi"/>
        </w:rPr>
        <w:t>hese statistics</w:t>
      </w:r>
      <w:r w:rsidR="007B66ED" w:rsidRPr="00E745E8">
        <w:rPr>
          <w:rFonts w:asciiTheme="majorBidi" w:hAnsiTheme="majorBidi" w:cstheme="majorBidi"/>
        </w:rPr>
        <w:t xml:space="preserve"> </w:t>
      </w:r>
      <w:r w:rsidR="00EE4B9B" w:rsidRPr="00E745E8">
        <w:rPr>
          <w:rFonts w:asciiTheme="majorBidi" w:hAnsiTheme="majorBidi" w:cstheme="majorBidi"/>
        </w:rPr>
        <w:t>were not analys</w:t>
      </w:r>
      <w:r w:rsidR="00EE26DF" w:rsidRPr="00E745E8">
        <w:rPr>
          <w:rFonts w:asciiTheme="majorBidi" w:hAnsiTheme="majorBidi" w:cstheme="majorBidi"/>
        </w:rPr>
        <w:t xml:space="preserve">ed by the MTJC </w:t>
      </w:r>
      <w:r w:rsidR="007B66ED" w:rsidRPr="00E745E8">
        <w:rPr>
          <w:rFonts w:asciiTheme="majorBidi" w:hAnsiTheme="majorBidi" w:cstheme="majorBidi"/>
        </w:rPr>
        <w:t>which reported in November 2011: http://statsmauritius.govmu.org/English/CensusandSurveys/Pages/census/Census-2011.aspx.</w:t>
      </w:r>
      <w:r w:rsidR="00EE26DF" w:rsidRPr="00E745E8">
        <w:rPr>
          <w:rFonts w:asciiTheme="majorBidi" w:hAnsiTheme="majorBidi" w:cstheme="majorBidi"/>
        </w:rPr>
        <w:t xml:space="preserve">  </w:t>
      </w:r>
    </w:p>
    <w:p w:rsidR="00AE1FA2" w:rsidRPr="00E745E8" w:rsidRDefault="00AE1FA2">
      <w:pPr>
        <w:pStyle w:val="FootnoteText"/>
        <w:rPr>
          <w:rFonts w:asciiTheme="majorBidi" w:hAnsiTheme="majorBidi" w:cstheme="majorBidi"/>
        </w:rPr>
      </w:pPr>
    </w:p>
  </w:footnote>
  <w:footnote w:id="17">
    <w:p w:rsidR="00AE1FA2" w:rsidRPr="00E745E8" w:rsidRDefault="00AE1FA2" w:rsidP="00ED6654">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Erik Gilbert. Review of Megan Vaughan 'Creating the Creole Island: Slavery in Eighteenth-Century Mauritius' </w:t>
      </w:r>
      <w:proofErr w:type="spellStart"/>
      <w:r w:rsidRPr="00E745E8">
        <w:rPr>
          <w:rFonts w:asciiTheme="majorBidi" w:hAnsiTheme="majorBidi" w:cstheme="majorBidi"/>
          <w:i/>
          <w:iCs/>
        </w:rPr>
        <w:t>Itinerario</w:t>
      </w:r>
      <w:proofErr w:type="spellEnd"/>
      <w:r w:rsidRPr="00E745E8">
        <w:rPr>
          <w:rFonts w:asciiTheme="majorBidi" w:hAnsiTheme="majorBidi" w:cstheme="majorBidi"/>
        </w:rPr>
        <w:t xml:space="preserve">, 30 (2006): 109-111. </w:t>
      </w:r>
    </w:p>
    <w:p w:rsidR="00AE1FA2" w:rsidRPr="00360222" w:rsidRDefault="00AE1FA2">
      <w:pPr>
        <w:pStyle w:val="FootnoteText"/>
        <w:rPr>
          <w:rFonts w:asciiTheme="minorBidi" w:hAnsiTheme="minorBidi"/>
          <w:sz w:val="22"/>
          <w:szCs w:val="22"/>
        </w:rPr>
      </w:pPr>
    </w:p>
  </w:footnote>
  <w:footnote w:id="18">
    <w:p w:rsidR="00AE1FA2" w:rsidRPr="00360222" w:rsidRDefault="00AE1FA2" w:rsidP="00ED6654">
      <w:pPr>
        <w:pStyle w:val="EndnoteText"/>
        <w:rPr>
          <w:rFonts w:asciiTheme="minorBidi" w:hAnsiTheme="minorBidi" w:cstheme="minorBidi"/>
          <w:sz w:val="22"/>
          <w:szCs w:val="22"/>
        </w:rPr>
      </w:pPr>
      <w:r w:rsidRPr="00360222">
        <w:rPr>
          <w:rStyle w:val="FootnoteReference"/>
          <w:rFonts w:asciiTheme="minorBidi" w:hAnsiTheme="minorBidi" w:cstheme="minorBidi"/>
          <w:sz w:val="22"/>
          <w:szCs w:val="22"/>
        </w:rPr>
        <w:footnoteRef/>
      </w:r>
      <w:r w:rsidRPr="00360222">
        <w:rPr>
          <w:rFonts w:asciiTheme="minorBidi" w:hAnsiTheme="minorBidi" w:cstheme="minorBidi"/>
          <w:sz w:val="22"/>
          <w:szCs w:val="22"/>
        </w:rPr>
        <w:t xml:space="preserve"> </w:t>
      </w:r>
      <w:r w:rsidRPr="00E745E8">
        <w:rPr>
          <w:rFonts w:asciiTheme="majorBidi" w:hAnsiTheme="majorBidi" w:cstheme="majorBidi"/>
        </w:rPr>
        <w:t xml:space="preserve">Richard </w:t>
      </w:r>
      <w:proofErr w:type="spellStart"/>
      <w:r w:rsidRPr="00E745E8">
        <w:rPr>
          <w:rFonts w:asciiTheme="majorBidi" w:hAnsiTheme="majorBidi" w:cstheme="majorBidi"/>
        </w:rPr>
        <w:t>Sandbrook</w:t>
      </w:r>
      <w:proofErr w:type="spellEnd"/>
      <w:r w:rsidRPr="00E745E8">
        <w:rPr>
          <w:rFonts w:asciiTheme="majorBidi" w:hAnsiTheme="majorBidi" w:cstheme="majorBidi"/>
        </w:rPr>
        <w:t xml:space="preserve">, Mark Edelman, Patrick Heller and Judith </w:t>
      </w:r>
      <w:proofErr w:type="spellStart"/>
      <w:r w:rsidRPr="00E745E8">
        <w:rPr>
          <w:rFonts w:asciiTheme="majorBidi" w:hAnsiTheme="majorBidi" w:cstheme="majorBidi"/>
        </w:rPr>
        <w:t>Teichman</w:t>
      </w:r>
      <w:proofErr w:type="spellEnd"/>
      <w:r w:rsidRPr="00E745E8">
        <w:rPr>
          <w:rFonts w:asciiTheme="majorBidi" w:hAnsiTheme="majorBidi" w:cstheme="majorBidi"/>
        </w:rPr>
        <w:t xml:space="preserve">, </w:t>
      </w:r>
      <w:r w:rsidRPr="00E745E8">
        <w:rPr>
          <w:rFonts w:asciiTheme="majorBidi" w:hAnsiTheme="majorBidi" w:cstheme="majorBidi"/>
          <w:i/>
          <w:iCs/>
        </w:rPr>
        <w:t>Social Democracy in the Global Periphery. Origins, Challenges, Prospects</w:t>
      </w:r>
      <w:r w:rsidRPr="00E745E8">
        <w:rPr>
          <w:rFonts w:asciiTheme="majorBidi" w:hAnsiTheme="majorBidi" w:cstheme="majorBidi"/>
        </w:rPr>
        <w:t>, (Cambridge: Cambridge University Press, 2007).</w:t>
      </w:r>
      <w:r w:rsidRPr="00360222">
        <w:rPr>
          <w:rFonts w:asciiTheme="minorBidi" w:hAnsiTheme="minorBidi" w:cstheme="minorBidi"/>
          <w:sz w:val="22"/>
          <w:szCs w:val="22"/>
        </w:rPr>
        <w:t xml:space="preserve">  </w:t>
      </w:r>
    </w:p>
    <w:p w:rsidR="00AE1FA2" w:rsidRPr="00360222" w:rsidRDefault="00AE1FA2">
      <w:pPr>
        <w:pStyle w:val="FootnoteText"/>
        <w:rPr>
          <w:rFonts w:asciiTheme="minorBidi" w:hAnsiTheme="minorBidi"/>
          <w:sz w:val="22"/>
          <w:szCs w:val="22"/>
        </w:rPr>
      </w:pPr>
    </w:p>
  </w:footnote>
  <w:footnote w:id="19">
    <w:p w:rsidR="00AE1FA2" w:rsidRPr="00E745E8" w:rsidRDefault="00AE1FA2" w:rsidP="0086477D">
      <w:pPr>
        <w:pStyle w:val="FootnoteText"/>
        <w:rPr>
          <w:rFonts w:asciiTheme="majorBidi" w:hAnsiTheme="majorBidi" w:cstheme="majorBidi"/>
        </w:rPr>
      </w:pPr>
      <w:r w:rsidRPr="00360222">
        <w:rPr>
          <w:rStyle w:val="FootnoteReference"/>
          <w:rFonts w:asciiTheme="minorBidi" w:hAnsiTheme="minorBidi"/>
          <w:sz w:val="22"/>
          <w:szCs w:val="22"/>
        </w:rPr>
        <w:footnoteRef/>
      </w:r>
      <w:r w:rsidRPr="00360222">
        <w:rPr>
          <w:rFonts w:asciiTheme="minorBidi" w:hAnsiTheme="minorBidi"/>
          <w:sz w:val="22"/>
          <w:szCs w:val="22"/>
        </w:rPr>
        <w:t xml:space="preserve"> </w:t>
      </w:r>
      <w:r w:rsidRPr="00E745E8">
        <w:rPr>
          <w:rFonts w:asciiTheme="majorBidi" w:hAnsiTheme="majorBidi" w:cstheme="majorBidi"/>
        </w:rPr>
        <w:t xml:space="preserve">S. </w:t>
      </w:r>
      <w:proofErr w:type="spellStart"/>
      <w:r w:rsidRPr="00E745E8">
        <w:rPr>
          <w:rFonts w:asciiTheme="majorBidi" w:hAnsiTheme="majorBidi" w:cstheme="majorBidi"/>
        </w:rPr>
        <w:t>Narain</w:t>
      </w:r>
      <w:proofErr w:type="spellEnd"/>
      <w:r w:rsidRPr="00E745E8">
        <w:rPr>
          <w:rFonts w:asciiTheme="majorBidi" w:hAnsiTheme="majorBidi" w:cstheme="majorBidi"/>
        </w:rPr>
        <w:t xml:space="preserve"> “The Mauritius Labour Party: historical perspective” (Unpublished MA dissertation, University of </w:t>
      </w:r>
      <w:proofErr w:type="gramStart"/>
      <w:r w:rsidRPr="00E745E8">
        <w:rPr>
          <w:rFonts w:asciiTheme="majorBidi" w:hAnsiTheme="majorBidi" w:cstheme="majorBidi"/>
        </w:rPr>
        <w:t>Mauritius :MAU</w:t>
      </w:r>
      <w:proofErr w:type="gramEnd"/>
      <w:r w:rsidRPr="00E745E8">
        <w:rPr>
          <w:rFonts w:asciiTheme="majorBidi" w:hAnsiTheme="majorBidi" w:cstheme="majorBidi"/>
        </w:rPr>
        <w:t>/D JQ3178. N3 1999), 8-10.</w:t>
      </w:r>
    </w:p>
    <w:p w:rsidR="00AE1FA2" w:rsidRPr="00E745E8" w:rsidRDefault="00AE1FA2" w:rsidP="00D0311C">
      <w:pPr>
        <w:pStyle w:val="FootnoteText"/>
        <w:rPr>
          <w:rFonts w:asciiTheme="majorBidi" w:hAnsiTheme="majorBidi" w:cstheme="majorBidi"/>
        </w:rPr>
      </w:pPr>
    </w:p>
  </w:footnote>
  <w:footnote w:id="20">
    <w:p w:rsidR="00AE1FA2" w:rsidRPr="00E745E8" w:rsidRDefault="00AE1FA2" w:rsidP="00E13FB8">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Anita </w:t>
      </w:r>
      <w:proofErr w:type="spellStart"/>
      <w:r w:rsidRPr="00E745E8">
        <w:rPr>
          <w:rFonts w:asciiTheme="majorBidi" w:hAnsiTheme="majorBidi" w:cstheme="majorBidi"/>
          <w:sz w:val="20"/>
          <w:szCs w:val="20"/>
        </w:rPr>
        <w:t>Ramgutty</w:t>
      </w:r>
      <w:proofErr w:type="spellEnd"/>
      <w:r w:rsidRPr="00E745E8">
        <w:rPr>
          <w:rFonts w:asciiTheme="majorBidi" w:hAnsiTheme="majorBidi" w:cstheme="majorBidi"/>
          <w:sz w:val="20"/>
          <w:szCs w:val="20"/>
        </w:rPr>
        <w:t xml:space="preserve">-Wong, ‘HRM in Mauritius,’ in </w:t>
      </w:r>
      <w:r w:rsidRPr="00E745E8">
        <w:rPr>
          <w:rFonts w:asciiTheme="majorBidi" w:hAnsiTheme="majorBidi" w:cstheme="majorBidi"/>
          <w:i/>
          <w:iCs/>
          <w:sz w:val="20"/>
          <w:szCs w:val="20"/>
        </w:rPr>
        <w:t>Managing Human Resources in Africa</w:t>
      </w:r>
      <w:r w:rsidRPr="00E745E8">
        <w:rPr>
          <w:rFonts w:asciiTheme="majorBidi" w:hAnsiTheme="majorBidi" w:cstheme="majorBidi"/>
          <w:sz w:val="20"/>
          <w:szCs w:val="20"/>
        </w:rPr>
        <w:t xml:space="preserve">, ed. Ken </w:t>
      </w:r>
      <w:proofErr w:type="spellStart"/>
      <w:r w:rsidRPr="00E745E8">
        <w:rPr>
          <w:rFonts w:asciiTheme="majorBidi" w:hAnsiTheme="majorBidi" w:cstheme="majorBidi"/>
          <w:sz w:val="20"/>
          <w:szCs w:val="20"/>
        </w:rPr>
        <w:t>Kamoche</w:t>
      </w:r>
      <w:proofErr w:type="spellEnd"/>
      <w:r w:rsidRPr="00E745E8">
        <w:rPr>
          <w:rFonts w:asciiTheme="majorBidi" w:hAnsiTheme="majorBidi" w:cstheme="majorBidi"/>
          <w:sz w:val="20"/>
          <w:szCs w:val="20"/>
        </w:rPr>
        <w:t xml:space="preserve">, Yaw A. </w:t>
      </w:r>
      <w:proofErr w:type="spellStart"/>
      <w:r w:rsidRPr="00E745E8">
        <w:rPr>
          <w:rFonts w:asciiTheme="majorBidi" w:hAnsiTheme="majorBidi" w:cstheme="majorBidi"/>
          <w:sz w:val="20"/>
          <w:szCs w:val="20"/>
        </w:rPr>
        <w:t>Debrah</w:t>
      </w:r>
      <w:proofErr w:type="spellEnd"/>
      <w:r w:rsidRPr="00E745E8">
        <w:rPr>
          <w:rFonts w:asciiTheme="majorBidi" w:hAnsiTheme="majorBidi" w:cstheme="majorBidi"/>
          <w:sz w:val="20"/>
          <w:szCs w:val="20"/>
        </w:rPr>
        <w:t xml:space="preserve">, Frank M. Horwitz and G.N. </w:t>
      </w:r>
      <w:proofErr w:type="spellStart"/>
      <w:r w:rsidRPr="00E745E8">
        <w:rPr>
          <w:rFonts w:asciiTheme="majorBidi" w:hAnsiTheme="majorBidi" w:cstheme="majorBidi"/>
          <w:sz w:val="20"/>
          <w:szCs w:val="20"/>
        </w:rPr>
        <w:t>Muuka</w:t>
      </w:r>
      <w:proofErr w:type="spellEnd"/>
      <w:r w:rsidRPr="00E745E8">
        <w:rPr>
          <w:rFonts w:asciiTheme="majorBidi" w:hAnsiTheme="majorBidi" w:cstheme="majorBidi"/>
          <w:sz w:val="20"/>
          <w:szCs w:val="20"/>
        </w:rPr>
        <w:t xml:space="preserve"> (London: Routledge, 2004), 101-102. </w:t>
      </w:r>
    </w:p>
    <w:p w:rsidR="00AE1FA2" w:rsidRPr="00E745E8" w:rsidRDefault="00AE1FA2" w:rsidP="006441B9">
      <w:pPr>
        <w:pStyle w:val="FootnoteText"/>
        <w:rPr>
          <w:rFonts w:asciiTheme="majorBidi" w:hAnsiTheme="majorBidi" w:cstheme="majorBidi"/>
        </w:rPr>
      </w:pPr>
    </w:p>
  </w:footnote>
  <w:footnote w:id="21">
    <w:p w:rsidR="00AE1FA2" w:rsidRPr="00E745E8" w:rsidRDefault="00AE1FA2" w:rsidP="00CF72DD">
      <w:pPr>
        <w:pStyle w:val="FootnoteText"/>
        <w:rPr>
          <w:rFonts w:asciiTheme="majorBidi" w:hAnsiTheme="majorBidi" w:cstheme="majorBidi"/>
          <w:lang w:val="fr-FR"/>
        </w:rPr>
      </w:pPr>
      <w:r w:rsidRPr="00E745E8">
        <w:rPr>
          <w:rStyle w:val="FootnoteReference"/>
          <w:rFonts w:asciiTheme="majorBidi" w:hAnsiTheme="majorBidi" w:cstheme="majorBidi"/>
        </w:rPr>
        <w:footnoteRef/>
      </w:r>
      <w:r w:rsidRPr="00E745E8">
        <w:rPr>
          <w:rFonts w:asciiTheme="majorBidi" w:hAnsiTheme="majorBidi" w:cstheme="majorBidi"/>
          <w:lang w:val="fr-FR"/>
        </w:rPr>
        <w:t xml:space="preserve"> L. Sylvio Michel, </w:t>
      </w:r>
      <w:r w:rsidRPr="00E745E8">
        <w:rPr>
          <w:rFonts w:asciiTheme="majorBidi" w:hAnsiTheme="majorBidi" w:cstheme="majorBidi"/>
          <w:i/>
          <w:iCs/>
          <w:lang w:val="fr-FR"/>
        </w:rPr>
        <w:t>L’Organisation Fraternelle</w:t>
      </w:r>
      <w:r w:rsidR="00CF72DD" w:rsidRPr="00E745E8">
        <w:rPr>
          <w:rFonts w:asciiTheme="majorBidi" w:hAnsiTheme="majorBidi" w:cstheme="majorBidi"/>
          <w:i/>
          <w:iCs/>
          <w:lang w:val="fr-FR"/>
        </w:rPr>
        <w:t>.</w:t>
      </w:r>
      <w:r w:rsidRPr="00E745E8">
        <w:rPr>
          <w:rFonts w:asciiTheme="majorBidi" w:hAnsiTheme="majorBidi" w:cstheme="majorBidi"/>
          <w:lang w:val="fr-FR"/>
        </w:rPr>
        <w:t xml:space="preserve"> </w:t>
      </w:r>
      <w:r w:rsidR="00CF72DD" w:rsidRPr="00E745E8">
        <w:rPr>
          <w:rFonts w:asciiTheme="majorBidi" w:hAnsiTheme="majorBidi" w:cstheme="majorBidi"/>
          <w:i/>
          <w:iCs/>
          <w:lang w:val="fr-FR"/>
        </w:rPr>
        <w:t>Noir Sur Blanc</w:t>
      </w:r>
      <w:r w:rsidR="00CF72DD" w:rsidRPr="00E745E8">
        <w:rPr>
          <w:rFonts w:asciiTheme="majorBidi" w:hAnsiTheme="majorBidi" w:cstheme="majorBidi"/>
          <w:lang w:val="fr-FR"/>
        </w:rPr>
        <w:t xml:space="preserve"> </w:t>
      </w:r>
      <w:r w:rsidRPr="00E745E8">
        <w:rPr>
          <w:rFonts w:asciiTheme="majorBidi" w:hAnsiTheme="majorBidi" w:cstheme="majorBidi"/>
          <w:lang w:val="fr-FR"/>
        </w:rPr>
        <w:t xml:space="preserve">(Port </w:t>
      </w:r>
      <w:proofErr w:type="spellStart"/>
      <w:r w:rsidRPr="00E745E8">
        <w:rPr>
          <w:rFonts w:asciiTheme="majorBidi" w:hAnsiTheme="majorBidi" w:cstheme="majorBidi"/>
          <w:lang w:val="fr-FR"/>
        </w:rPr>
        <w:t>Louis:</w:t>
      </w:r>
      <w:r w:rsidR="00CF72DD" w:rsidRPr="00E745E8">
        <w:rPr>
          <w:rFonts w:asciiTheme="majorBidi" w:hAnsiTheme="majorBidi" w:cstheme="majorBidi"/>
          <w:lang w:val="fr-FR"/>
        </w:rPr>
        <w:t>the</w:t>
      </w:r>
      <w:proofErr w:type="spellEnd"/>
      <w:r w:rsidR="00CF72DD" w:rsidRPr="00E745E8">
        <w:rPr>
          <w:rFonts w:asciiTheme="majorBidi" w:hAnsiTheme="majorBidi" w:cstheme="majorBidi"/>
          <w:lang w:val="fr-FR"/>
        </w:rPr>
        <w:t xml:space="preserve"> </w:t>
      </w:r>
      <w:proofErr w:type="spellStart"/>
      <w:r w:rsidR="00CF72DD" w:rsidRPr="00E745E8">
        <w:rPr>
          <w:rFonts w:asciiTheme="majorBidi" w:hAnsiTheme="majorBidi" w:cstheme="majorBidi"/>
          <w:lang w:val="fr-FR"/>
        </w:rPr>
        <w:t>author</w:t>
      </w:r>
      <w:proofErr w:type="spellEnd"/>
      <w:r w:rsidR="00CF72DD" w:rsidRPr="00E745E8">
        <w:rPr>
          <w:rFonts w:asciiTheme="majorBidi" w:hAnsiTheme="majorBidi" w:cstheme="majorBidi"/>
          <w:lang w:val="fr-FR"/>
        </w:rPr>
        <w:t>,</w:t>
      </w:r>
      <w:r w:rsidRPr="00E745E8">
        <w:rPr>
          <w:rFonts w:asciiTheme="majorBidi" w:hAnsiTheme="majorBidi" w:cstheme="majorBidi"/>
          <w:lang w:val="fr-FR"/>
        </w:rPr>
        <w:t xml:space="preserve"> 1998).</w:t>
      </w:r>
    </w:p>
    <w:p w:rsidR="00AE1FA2" w:rsidRPr="00E745E8" w:rsidRDefault="00AE1FA2" w:rsidP="00F1773D">
      <w:pPr>
        <w:pStyle w:val="FootnoteText"/>
        <w:rPr>
          <w:rFonts w:asciiTheme="majorBidi" w:hAnsiTheme="majorBidi" w:cstheme="majorBidi"/>
          <w:lang w:val="fr-FR"/>
        </w:rPr>
      </w:pPr>
    </w:p>
  </w:footnote>
  <w:footnote w:id="22">
    <w:p w:rsidR="00AE1FA2" w:rsidRPr="00E745E8" w:rsidRDefault="00AE1FA2" w:rsidP="00E13FB8">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w:t>
      </w:r>
      <w:proofErr w:type="gramStart"/>
      <w:r w:rsidRPr="00E745E8">
        <w:rPr>
          <w:rFonts w:asciiTheme="majorBidi" w:hAnsiTheme="majorBidi" w:cstheme="majorBidi"/>
          <w:sz w:val="20"/>
          <w:szCs w:val="20"/>
        </w:rPr>
        <w:t xml:space="preserve">Richard B. Allen, </w:t>
      </w:r>
      <w:r w:rsidRPr="00E745E8">
        <w:rPr>
          <w:rFonts w:asciiTheme="majorBidi" w:hAnsiTheme="majorBidi" w:cstheme="majorBidi"/>
          <w:i/>
          <w:iCs/>
          <w:sz w:val="20"/>
          <w:szCs w:val="20"/>
        </w:rPr>
        <w:t xml:space="preserve">Slaves, Freedmen, and Indentured Labourers in Mauritius, </w:t>
      </w:r>
      <w:r w:rsidRPr="00E745E8">
        <w:rPr>
          <w:rFonts w:asciiTheme="majorBidi" w:hAnsiTheme="majorBidi" w:cstheme="majorBidi"/>
          <w:sz w:val="20"/>
          <w:szCs w:val="20"/>
        </w:rPr>
        <w:t>(Cambridge: Cambridge University Press, 1999).</w:t>
      </w:r>
      <w:proofErr w:type="gramEnd"/>
      <w:r w:rsidRPr="00E745E8">
        <w:rPr>
          <w:rFonts w:asciiTheme="majorBidi" w:hAnsiTheme="majorBidi" w:cstheme="majorBidi"/>
          <w:sz w:val="20"/>
          <w:szCs w:val="20"/>
        </w:rPr>
        <w:t xml:space="preserve">  </w:t>
      </w:r>
    </w:p>
    <w:p w:rsidR="00AE1FA2" w:rsidRPr="00E745E8" w:rsidRDefault="00AE1FA2">
      <w:pPr>
        <w:pStyle w:val="FootnoteText"/>
        <w:rPr>
          <w:rFonts w:asciiTheme="majorBidi" w:hAnsiTheme="majorBidi" w:cstheme="majorBidi"/>
        </w:rPr>
      </w:pPr>
    </w:p>
  </w:footnote>
  <w:footnote w:id="23">
    <w:p w:rsidR="00AE1FA2" w:rsidRPr="00E745E8" w:rsidRDefault="00AE1FA2" w:rsidP="00E13FB8">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Michal Ben-Joseph Hirsch, Megan </w:t>
      </w:r>
      <w:proofErr w:type="spellStart"/>
      <w:r w:rsidRPr="00E745E8">
        <w:rPr>
          <w:rFonts w:asciiTheme="majorBidi" w:hAnsiTheme="majorBidi" w:cstheme="majorBidi"/>
        </w:rPr>
        <w:t>MacKenzie</w:t>
      </w:r>
      <w:proofErr w:type="spellEnd"/>
      <w:r w:rsidRPr="00E745E8">
        <w:rPr>
          <w:rFonts w:asciiTheme="majorBidi" w:hAnsiTheme="majorBidi" w:cstheme="majorBidi"/>
        </w:rPr>
        <w:t xml:space="preserve"> and Mohamad </w:t>
      </w:r>
      <w:proofErr w:type="spellStart"/>
      <w:r w:rsidRPr="00E745E8">
        <w:rPr>
          <w:rFonts w:asciiTheme="majorBidi" w:hAnsiTheme="majorBidi" w:cstheme="majorBidi"/>
        </w:rPr>
        <w:t>Sesay</w:t>
      </w:r>
      <w:proofErr w:type="spellEnd"/>
      <w:r w:rsidRPr="00E745E8">
        <w:rPr>
          <w:rFonts w:asciiTheme="majorBidi" w:hAnsiTheme="majorBidi" w:cstheme="majorBidi"/>
        </w:rPr>
        <w:t xml:space="preserve">, ‘Measuring the Impacts of Truth and Reconciliation Commissions: Placing the Global ‘Success’ of TRCS in Local Perspective,’ </w:t>
      </w:r>
      <w:r w:rsidRPr="00E745E8">
        <w:rPr>
          <w:rFonts w:asciiTheme="majorBidi" w:hAnsiTheme="majorBidi" w:cstheme="majorBidi"/>
          <w:i/>
          <w:iCs/>
        </w:rPr>
        <w:t>Cooperation and Conflict</w:t>
      </w:r>
      <w:r w:rsidRPr="00E745E8">
        <w:rPr>
          <w:rFonts w:asciiTheme="majorBidi" w:hAnsiTheme="majorBidi" w:cstheme="majorBidi"/>
        </w:rPr>
        <w:t xml:space="preserve"> 47(3) (2012): 386-403.</w:t>
      </w:r>
    </w:p>
    <w:p w:rsidR="00AE1FA2" w:rsidRPr="00E745E8" w:rsidRDefault="00AE1FA2">
      <w:pPr>
        <w:pStyle w:val="FootnoteText"/>
        <w:rPr>
          <w:rFonts w:asciiTheme="majorBidi" w:hAnsiTheme="majorBidi" w:cstheme="majorBidi"/>
        </w:rPr>
      </w:pPr>
    </w:p>
  </w:footnote>
  <w:footnote w:id="24">
    <w:p w:rsidR="00AE1FA2" w:rsidRPr="00E745E8" w:rsidRDefault="00AE1FA2" w:rsidP="00904B60">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Priscilla B. </w:t>
      </w:r>
      <w:proofErr w:type="spellStart"/>
      <w:r w:rsidRPr="00E745E8">
        <w:rPr>
          <w:rFonts w:asciiTheme="majorBidi" w:hAnsiTheme="majorBidi" w:cstheme="majorBidi"/>
        </w:rPr>
        <w:t>Hayner</w:t>
      </w:r>
      <w:proofErr w:type="spellEnd"/>
      <w:r w:rsidRPr="00E745E8">
        <w:rPr>
          <w:rFonts w:asciiTheme="majorBidi" w:hAnsiTheme="majorBidi" w:cstheme="majorBidi"/>
        </w:rPr>
        <w:t xml:space="preserve">, </w:t>
      </w:r>
      <w:r w:rsidRPr="00E745E8">
        <w:rPr>
          <w:rFonts w:asciiTheme="majorBidi" w:hAnsiTheme="majorBidi" w:cstheme="majorBidi"/>
          <w:i/>
          <w:iCs/>
        </w:rPr>
        <w:t>Unspeakable Truths: Confronting State Terror and Atrocity</w:t>
      </w:r>
      <w:r w:rsidRPr="00E745E8">
        <w:rPr>
          <w:rFonts w:asciiTheme="majorBidi" w:hAnsiTheme="majorBidi" w:cstheme="majorBidi"/>
        </w:rPr>
        <w:t>, (London: Routledge, 2002).</w:t>
      </w:r>
    </w:p>
    <w:p w:rsidR="00AE1FA2" w:rsidRPr="00360222" w:rsidRDefault="00AE1FA2">
      <w:pPr>
        <w:pStyle w:val="FootnoteText"/>
        <w:rPr>
          <w:rFonts w:asciiTheme="minorBidi" w:hAnsiTheme="minorBidi"/>
          <w:sz w:val="22"/>
          <w:szCs w:val="22"/>
        </w:rPr>
      </w:pPr>
    </w:p>
  </w:footnote>
  <w:footnote w:id="25">
    <w:p w:rsidR="00AE1FA2" w:rsidRPr="00E745E8" w:rsidRDefault="00AE1FA2" w:rsidP="00904B60">
      <w:pPr>
        <w:rPr>
          <w:rFonts w:asciiTheme="majorBidi" w:hAnsiTheme="majorBidi" w:cstheme="majorBidi"/>
          <w:sz w:val="20"/>
          <w:szCs w:val="20"/>
        </w:rPr>
      </w:pPr>
      <w:r w:rsidRPr="00360222">
        <w:rPr>
          <w:rStyle w:val="FootnoteReference"/>
          <w:rFonts w:asciiTheme="minorBidi" w:hAnsiTheme="minorBidi"/>
        </w:rPr>
        <w:footnoteRef/>
      </w:r>
      <w:r w:rsidRPr="00360222">
        <w:rPr>
          <w:rFonts w:asciiTheme="minorBidi" w:hAnsiTheme="minorBidi"/>
        </w:rPr>
        <w:t xml:space="preserve"> </w:t>
      </w:r>
      <w:r w:rsidRPr="00E745E8">
        <w:rPr>
          <w:rFonts w:asciiTheme="majorBidi" w:hAnsiTheme="majorBidi" w:cstheme="majorBidi"/>
          <w:sz w:val="20"/>
          <w:szCs w:val="20"/>
        </w:rPr>
        <w:t xml:space="preserve">Stephen </w:t>
      </w:r>
      <w:proofErr w:type="spellStart"/>
      <w:r w:rsidRPr="00E745E8">
        <w:rPr>
          <w:rFonts w:asciiTheme="majorBidi" w:hAnsiTheme="majorBidi" w:cstheme="majorBidi"/>
          <w:sz w:val="20"/>
          <w:szCs w:val="20"/>
        </w:rPr>
        <w:t>Kershnar</w:t>
      </w:r>
      <w:proofErr w:type="spellEnd"/>
      <w:r w:rsidRPr="00E745E8">
        <w:rPr>
          <w:rFonts w:asciiTheme="majorBidi" w:hAnsiTheme="majorBidi" w:cstheme="majorBidi"/>
          <w:sz w:val="20"/>
          <w:szCs w:val="20"/>
        </w:rPr>
        <w:t xml:space="preserve">, ‘The Inheritance-Based Claim to Reparations,’ </w:t>
      </w:r>
      <w:r w:rsidRPr="00E745E8">
        <w:rPr>
          <w:rFonts w:asciiTheme="majorBidi" w:hAnsiTheme="majorBidi" w:cstheme="majorBidi"/>
          <w:i/>
          <w:iCs/>
          <w:sz w:val="20"/>
          <w:szCs w:val="20"/>
        </w:rPr>
        <w:t>Legal Theory</w:t>
      </w:r>
      <w:r w:rsidRPr="00E745E8">
        <w:rPr>
          <w:rFonts w:asciiTheme="majorBidi" w:hAnsiTheme="majorBidi" w:cstheme="majorBidi"/>
          <w:sz w:val="20"/>
          <w:szCs w:val="20"/>
        </w:rPr>
        <w:t xml:space="preserve"> 8(2) (2002): 243-26. </w:t>
      </w:r>
    </w:p>
    <w:p w:rsidR="00AE1FA2" w:rsidRPr="00E745E8" w:rsidRDefault="00AE1FA2">
      <w:pPr>
        <w:pStyle w:val="FootnoteText"/>
        <w:rPr>
          <w:rFonts w:asciiTheme="majorBidi" w:hAnsiTheme="majorBidi" w:cstheme="majorBidi"/>
        </w:rPr>
      </w:pPr>
    </w:p>
  </w:footnote>
  <w:footnote w:id="26">
    <w:p w:rsidR="00AE1FA2" w:rsidRPr="00E745E8" w:rsidRDefault="00AE1FA2" w:rsidP="0086477D">
      <w:pPr>
        <w:pStyle w:val="FootnoteText"/>
        <w:rPr>
          <w:rFonts w:asciiTheme="majorBidi" w:hAnsiTheme="majorBidi" w:cstheme="majorBidi"/>
          <w:color w:val="000000"/>
          <w:shd w:val="clear" w:color="auto" w:fill="FFFFFF"/>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 xml:space="preserve">Paul van </w:t>
      </w:r>
      <w:proofErr w:type="spellStart"/>
      <w:r w:rsidRPr="00E745E8">
        <w:rPr>
          <w:rFonts w:asciiTheme="majorBidi" w:hAnsiTheme="majorBidi" w:cstheme="majorBidi"/>
        </w:rPr>
        <w:t>Zyl</w:t>
      </w:r>
      <w:proofErr w:type="spellEnd"/>
      <w:r w:rsidRPr="00E745E8">
        <w:rPr>
          <w:rFonts w:asciiTheme="majorBidi" w:hAnsiTheme="majorBidi" w:cstheme="majorBidi"/>
        </w:rPr>
        <w:t xml:space="preserve">, (2005) ‘Promoting Transitional Justice in Post-Conflict Societies,’ in </w:t>
      </w:r>
      <w:r w:rsidRPr="00E745E8">
        <w:rPr>
          <w:rFonts w:asciiTheme="majorBidi" w:hAnsiTheme="majorBidi" w:cstheme="majorBidi"/>
          <w:i/>
          <w:iCs/>
        </w:rPr>
        <w:t>Security Governance in Post-Conflict Peacebuilding</w:t>
      </w:r>
      <w:r w:rsidRPr="00E745E8">
        <w:rPr>
          <w:rFonts w:asciiTheme="majorBidi" w:hAnsiTheme="majorBidi" w:cstheme="majorBidi"/>
        </w:rPr>
        <w:t xml:space="preserve">, ed. Alan </w:t>
      </w:r>
      <w:proofErr w:type="spellStart"/>
      <w:r w:rsidRPr="00E745E8">
        <w:rPr>
          <w:rFonts w:asciiTheme="majorBidi" w:hAnsiTheme="majorBidi" w:cstheme="majorBidi"/>
        </w:rPr>
        <w:t>Bryden</w:t>
      </w:r>
      <w:proofErr w:type="spellEnd"/>
      <w:r w:rsidRPr="00E745E8">
        <w:rPr>
          <w:rFonts w:asciiTheme="majorBidi" w:hAnsiTheme="majorBidi" w:cstheme="majorBidi"/>
        </w:rPr>
        <w:t xml:space="preserve"> and Heiner</w:t>
      </w:r>
      <w:r w:rsidRPr="00E745E8">
        <w:rPr>
          <w:rFonts w:asciiTheme="majorBidi" w:hAnsiTheme="majorBidi" w:cstheme="majorBidi"/>
          <w:color w:val="000000"/>
          <w:shd w:val="clear" w:color="auto" w:fill="FFFFFF"/>
        </w:rPr>
        <w:t xml:space="preserve"> </w:t>
      </w:r>
      <w:proofErr w:type="spellStart"/>
      <w:r w:rsidRPr="00E745E8">
        <w:rPr>
          <w:rFonts w:asciiTheme="majorBidi" w:hAnsiTheme="majorBidi" w:cstheme="majorBidi"/>
          <w:color w:val="000000"/>
          <w:shd w:val="clear" w:color="auto" w:fill="FFFFFF"/>
        </w:rPr>
        <w:t>Hänggi</w:t>
      </w:r>
      <w:proofErr w:type="spellEnd"/>
      <w:r w:rsidRPr="00E745E8">
        <w:rPr>
          <w:rFonts w:asciiTheme="majorBidi" w:hAnsiTheme="majorBidi" w:cstheme="majorBidi"/>
          <w:color w:val="000000"/>
          <w:shd w:val="clear" w:color="auto" w:fill="FFFFFF"/>
        </w:rPr>
        <w:t>.</w:t>
      </w:r>
      <w:proofErr w:type="gramEnd"/>
      <w:r w:rsidRPr="00E745E8">
        <w:rPr>
          <w:rFonts w:asciiTheme="majorBidi" w:hAnsiTheme="majorBidi" w:cstheme="majorBidi"/>
          <w:color w:val="000000"/>
          <w:shd w:val="clear" w:color="auto" w:fill="FFFFFF"/>
        </w:rPr>
        <w:t xml:space="preserve"> Geneva: Centre for the Democratic Control of Armed Forces, 227.</w:t>
      </w:r>
    </w:p>
    <w:p w:rsidR="00AE1FA2" w:rsidRPr="00E745E8" w:rsidRDefault="00AE1FA2">
      <w:pPr>
        <w:pStyle w:val="FootnoteText"/>
        <w:rPr>
          <w:rFonts w:asciiTheme="majorBidi" w:hAnsiTheme="majorBidi" w:cstheme="majorBidi"/>
        </w:rPr>
      </w:pPr>
    </w:p>
  </w:footnote>
  <w:footnote w:id="27">
    <w:p w:rsidR="00AE1FA2" w:rsidRPr="00E745E8" w:rsidRDefault="00AE1FA2" w:rsidP="00F32F1C">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 xml:space="preserve">Hugo van der Merwe and </w:t>
      </w:r>
      <w:proofErr w:type="spellStart"/>
      <w:r w:rsidRPr="00E745E8">
        <w:rPr>
          <w:rFonts w:asciiTheme="majorBidi" w:hAnsiTheme="majorBidi" w:cstheme="majorBidi"/>
        </w:rPr>
        <w:t>Jasmina</w:t>
      </w:r>
      <w:proofErr w:type="spellEnd"/>
      <w:r w:rsidRPr="00E745E8">
        <w:rPr>
          <w:rFonts w:asciiTheme="majorBidi" w:hAnsiTheme="majorBidi" w:cstheme="majorBidi"/>
        </w:rPr>
        <w:t xml:space="preserve"> </w:t>
      </w:r>
      <w:proofErr w:type="spellStart"/>
      <w:r w:rsidRPr="00E745E8">
        <w:rPr>
          <w:rFonts w:asciiTheme="majorBidi" w:hAnsiTheme="majorBidi" w:cstheme="majorBidi"/>
        </w:rPr>
        <w:t>Brankovic</w:t>
      </w:r>
      <w:proofErr w:type="spellEnd"/>
      <w:r w:rsidRPr="00E745E8">
        <w:rPr>
          <w:rFonts w:asciiTheme="majorBidi" w:hAnsiTheme="majorBidi" w:cstheme="majorBidi"/>
        </w:rPr>
        <w:t xml:space="preserve">, (2014) ‘Transitional justice and human rights’ in </w:t>
      </w:r>
      <w:r w:rsidRPr="00E745E8">
        <w:rPr>
          <w:rFonts w:asciiTheme="majorBidi" w:hAnsiTheme="majorBidi" w:cstheme="majorBidi"/>
          <w:i/>
          <w:iCs/>
        </w:rPr>
        <w:t>The Sage Handbook of Human Rights</w:t>
      </w:r>
      <w:r w:rsidRPr="00E745E8">
        <w:rPr>
          <w:rFonts w:asciiTheme="majorBidi" w:hAnsiTheme="majorBidi" w:cstheme="majorBidi"/>
        </w:rPr>
        <w:t>, ed.</w:t>
      </w:r>
      <w:proofErr w:type="gramEnd"/>
      <w:r w:rsidRPr="00E745E8">
        <w:rPr>
          <w:rFonts w:asciiTheme="majorBidi" w:hAnsiTheme="majorBidi" w:cstheme="majorBidi"/>
        </w:rPr>
        <w:t xml:space="preserve"> A </w:t>
      </w:r>
      <w:proofErr w:type="spellStart"/>
      <w:r w:rsidRPr="00E745E8">
        <w:rPr>
          <w:rFonts w:asciiTheme="majorBidi" w:hAnsiTheme="majorBidi" w:cstheme="majorBidi"/>
        </w:rPr>
        <w:t>Mihr</w:t>
      </w:r>
      <w:proofErr w:type="spellEnd"/>
      <w:r w:rsidRPr="00E745E8">
        <w:rPr>
          <w:rFonts w:asciiTheme="majorBidi" w:hAnsiTheme="majorBidi" w:cstheme="majorBidi"/>
        </w:rPr>
        <w:t xml:space="preserve"> and Mark </w:t>
      </w:r>
      <w:proofErr w:type="spellStart"/>
      <w:r w:rsidRPr="00E745E8">
        <w:rPr>
          <w:rFonts w:asciiTheme="majorBidi" w:hAnsiTheme="majorBidi" w:cstheme="majorBidi"/>
        </w:rPr>
        <w:t>Gibney</w:t>
      </w:r>
      <w:proofErr w:type="spellEnd"/>
      <w:r w:rsidRPr="00E745E8">
        <w:rPr>
          <w:rFonts w:asciiTheme="majorBidi" w:hAnsiTheme="majorBidi" w:cstheme="majorBidi"/>
        </w:rPr>
        <w:t xml:space="preserve">: London: Sage, 895-908. </w:t>
      </w:r>
    </w:p>
    <w:p w:rsidR="00AE1FA2" w:rsidRPr="00360222" w:rsidRDefault="00AE1FA2">
      <w:pPr>
        <w:pStyle w:val="FootnoteText"/>
        <w:rPr>
          <w:rFonts w:asciiTheme="minorBidi" w:hAnsiTheme="minorBidi"/>
          <w:sz w:val="22"/>
          <w:szCs w:val="22"/>
        </w:rPr>
      </w:pPr>
    </w:p>
  </w:footnote>
  <w:footnote w:id="28">
    <w:p w:rsidR="00AE1FA2" w:rsidRPr="00E745E8" w:rsidRDefault="00AE1FA2">
      <w:pPr>
        <w:pStyle w:val="FootnoteText"/>
        <w:rPr>
          <w:rFonts w:asciiTheme="majorBidi" w:hAnsiTheme="majorBidi" w:cstheme="majorBidi"/>
        </w:rPr>
      </w:pPr>
      <w:r w:rsidRPr="00360222">
        <w:rPr>
          <w:rStyle w:val="FootnoteReference"/>
          <w:rFonts w:asciiTheme="minorBidi" w:hAnsiTheme="minorBidi"/>
          <w:sz w:val="22"/>
          <w:szCs w:val="22"/>
        </w:rPr>
        <w:footnoteRef/>
      </w:r>
      <w:r w:rsidRPr="00E745E8">
        <w:rPr>
          <w:rFonts w:asciiTheme="majorBidi" w:hAnsiTheme="majorBidi" w:cstheme="majorBidi"/>
        </w:rPr>
        <w:t xml:space="preserve">Mauritius Parliamentary Debates: Oral answer to question from Mr Paul </w:t>
      </w:r>
      <w:proofErr w:type="spellStart"/>
      <w:r w:rsidRPr="00E745E8">
        <w:rPr>
          <w:rFonts w:asciiTheme="majorBidi" w:hAnsiTheme="majorBidi" w:cstheme="majorBidi"/>
        </w:rPr>
        <w:t>Bérenger</w:t>
      </w:r>
      <w:proofErr w:type="spellEnd"/>
      <w:r w:rsidRPr="00E745E8">
        <w:rPr>
          <w:rFonts w:asciiTheme="majorBidi" w:hAnsiTheme="majorBidi" w:cstheme="majorBidi"/>
        </w:rPr>
        <w:t>, session 7/12/2011.</w:t>
      </w:r>
    </w:p>
    <w:p w:rsidR="00AE1FA2" w:rsidRPr="00E745E8" w:rsidRDefault="00AE1FA2">
      <w:pPr>
        <w:pStyle w:val="FootnoteText"/>
        <w:rPr>
          <w:rFonts w:asciiTheme="majorBidi" w:hAnsiTheme="majorBidi" w:cstheme="majorBidi"/>
        </w:rPr>
      </w:pPr>
    </w:p>
  </w:footnote>
  <w:footnote w:id="29">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Interview with Alex </w:t>
      </w:r>
      <w:proofErr w:type="spellStart"/>
      <w:r w:rsidRPr="00E745E8">
        <w:rPr>
          <w:rFonts w:asciiTheme="majorBidi" w:hAnsiTheme="majorBidi" w:cstheme="majorBidi"/>
        </w:rPr>
        <w:t>Boraine</w:t>
      </w:r>
      <w:proofErr w:type="spellEnd"/>
      <w:r w:rsidRPr="00E745E8">
        <w:rPr>
          <w:rFonts w:asciiTheme="majorBidi" w:hAnsiTheme="majorBidi" w:cstheme="majorBidi"/>
        </w:rPr>
        <w:t xml:space="preserve"> by Henri </w:t>
      </w:r>
      <w:proofErr w:type="spellStart"/>
      <w:r w:rsidRPr="00E745E8">
        <w:rPr>
          <w:rFonts w:asciiTheme="majorBidi" w:hAnsiTheme="majorBidi" w:cstheme="majorBidi"/>
        </w:rPr>
        <w:t>Marimootoo</w:t>
      </w:r>
      <w:proofErr w:type="spellEnd"/>
      <w:r w:rsidRPr="00E745E8">
        <w:rPr>
          <w:rFonts w:asciiTheme="majorBidi" w:hAnsiTheme="majorBidi" w:cstheme="majorBidi"/>
        </w:rPr>
        <w:t xml:space="preserve">, in </w:t>
      </w:r>
      <w:r w:rsidRPr="00E745E8">
        <w:rPr>
          <w:rFonts w:asciiTheme="majorBidi" w:hAnsiTheme="majorBidi" w:cstheme="majorBidi"/>
          <w:i/>
          <w:iCs/>
        </w:rPr>
        <w:t>Weekend</w:t>
      </w:r>
      <w:r w:rsidRPr="00E745E8">
        <w:rPr>
          <w:rFonts w:asciiTheme="majorBidi" w:hAnsiTheme="majorBidi" w:cstheme="majorBidi"/>
        </w:rPr>
        <w:t>, August 3, 2014.</w:t>
      </w:r>
    </w:p>
    <w:p w:rsidR="00AE1FA2" w:rsidRPr="00E745E8" w:rsidRDefault="00AE1FA2">
      <w:pPr>
        <w:pStyle w:val="FootnoteText"/>
        <w:rPr>
          <w:rFonts w:asciiTheme="majorBidi" w:hAnsiTheme="majorBidi" w:cstheme="majorBidi"/>
        </w:rPr>
      </w:pPr>
    </w:p>
  </w:footnote>
  <w:footnote w:id="30">
    <w:p w:rsidR="00AE1FA2" w:rsidRPr="00E745E8" w:rsidRDefault="00AE1FA2" w:rsidP="00904B60">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w:t>
      </w:r>
      <w:proofErr w:type="gramStart"/>
      <w:r w:rsidRPr="00E745E8">
        <w:rPr>
          <w:rFonts w:asciiTheme="majorBidi" w:hAnsiTheme="majorBidi" w:cstheme="majorBidi"/>
          <w:sz w:val="20"/>
          <w:szCs w:val="20"/>
        </w:rPr>
        <w:t>Richard Croucher and Didier Michel, ‘Legal at the Time?</w:t>
      </w:r>
      <w:proofErr w:type="gramEnd"/>
      <w:r w:rsidRPr="00E745E8">
        <w:rPr>
          <w:rFonts w:asciiTheme="majorBidi" w:hAnsiTheme="majorBidi" w:cstheme="majorBidi"/>
          <w:sz w:val="20"/>
          <w:szCs w:val="20"/>
        </w:rPr>
        <w:t xml:space="preserve"> The Case of Mauritian Slavery,’ </w:t>
      </w:r>
      <w:r w:rsidRPr="00E745E8">
        <w:rPr>
          <w:rFonts w:asciiTheme="majorBidi" w:hAnsiTheme="majorBidi" w:cstheme="majorBidi"/>
          <w:i/>
          <w:iCs/>
          <w:sz w:val="20"/>
          <w:szCs w:val="20"/>
        </w:rPr>
        <w:t>Journal of African Law</w:t>
      </w:r>
      <w:r w:rsidRPr="00E745E8">
        <w:rPr>
          <w:rFonts w:asciiTheme="majorBidi" w:hAnsiTheme="majorBidi" w:cstheme="majorBidi"/>
          <w:sz w:val="20"/>
          <w:szCs w:val="20"/>
        </w:rPr>
        <w:t xml:space="preserve"> 58 (1) (2014): 89-108. </w:t>
      </w:r>
    </w:p>
    <w:p w:rsidR="00AE1FA2" w:rsidRPr="00E745E8" w:rsidRDefault="00AE1FA2">
      <w:pPr>
        <w:pStyle w:val="FootnoteText"/>
        <w:rPr>
          <w:rFonts w:asciiTheme="majorBidi" w:hAnsiTheme="majorBidi" w:cstheme="majorBidi"/>
        </w:rPr>
      </w:pPr>
    </w:p>
  </w:footnote>
  <w:footnote w:id="31">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Ibid.</w:t>
      </w:r>
    </w:p>
    <w:p w:rsidR="00AE1FA2" w:rsidRPr="00E745E8" w:rsidRDefault="00AE1FA2">
      <w:pPr>
        <w:pStyle w:val="FootnoteText"/>
        <w:rPr>
          <w:rFonts w:asciiTheme="majorBidi" w:hAnsiTheme="majorBidi" w:cstheme="majorBidi"/>
        </w:rPr>
      </w:pPr>
    </w:p>
  </w:footnote>
  <w:footnote w:id="32">
    <w:p w:rsidR="00AE1FA2" w:rsidRPr="00E745E8" w:rsidRDefault="00AE1FA2" w:rsidP="007752C0">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James L. Gibson, ‘On Legitimacy Theory and the Effectiveness of Truth Commissions,’ </w:t>
      </w:r>
      <w:r w:rsidRPr="00E745E8">
        <w:rPr>
          <w:rFonts w:asciiTheme="majorBidi" w:hAnsiTheme="majorBidi" w:cstheme="majorBidi"/>
          <w:i/>
          <w:iCs/>
          <w:sz w:val="20"/>
          <w:szCs w:val="20"/>
        </w:rPr>
        <w:t>Law and Contemporary Problems</w:t>
      </w:r>
      <w:r w:rsidRPr="00E745E8">
        <w:rPr>
          <w:rFonts w:asciiTheme="majorBidi" w:hAnsiTheme="majorBidi" w:cstheme="majorBidi"/>
          <w:sz w:val="20"/>
          <w:szCs w:val="20"/>
        </w:rPr>
        <w:t xml:space="preserve"> 72(2) (2009): 123-141.</w:t>
      </w:r>
    </w:p>
    <w:p w:rsidR="00AE1FA2" w:rsidRPr="00360222" w:rsidRDefault="00AE1FA2">
      <w:pPr>
        <w:pStyle w:val="FootnoteText"/>
        <w:rPr>
          <w:rFonts w:asciiTheme="minorBidi" w:hAnsiTheme="minorBidi"/>
          <w:sz w:val="22"/>
          <w:szCs w:val="22"/>
        </w:rPr>
      </w:pPr>
    </w:p>
  </w:footnote>
  <w:footnote w:id="33">
    <w:p w:rsidR="00AE1FA2" w:rsidRPr="00E745E8" w:rsidRDefault="00AE1FA2" w:rsidP="007752C0">
      <w:pPr>
        <w:pStyle w:val="EndnoteText"/>
        <w:rPr>
          <w:rFonts w:asciiTheme="majorBidi" w:hAnsiTheme="majorBidi" w:cstheme="majorBidi"/>
        </w:rPr>
      </w:pPr>
      <w:r w:rsidRPr="00360222">
        <w:rPr>
          <w:rStyle w:val="FootnoteReference"/>
          <w:rFonts w:asciiTheme="minorBidi" w:hAnsiTheme="minorBidi" w:cstheme="minorBidi"/>
          <w:sz w:val="22"/>
          <w:szCs w:val="22"/>
        </w:rPr>
        <w:footnoteRef/>
      </w:r>
      <w:r w:rsidRPr="00360222">
        <w:rPr>
          <w:rFonts w:asciiTheme="minorBidi" w:hAnsiTheme="minorBidi" w:cstheme="minorBidi"/>
          <w:sz w:val="22"/>
          <w:szCs w:val="22"/>
        </w:rPr>
        <w:t xml:space="preserve"> </w:t>
      </w:r>
      <w:r w:rsidRPr="00E745E8">
        <w:rPr>
          <w:rFonts w:asciiTheme="majorBidi" w:hAnsiTheme="majorBidi" w:cstheme="majorBidi"/>
        </w:rPr>
        <w:t xml:space="preserve">Miriam J. </w:t>
      </w:r>
      <w:proofErr w:type="spellStart"/>
      <w:r w:rsidRPr="00E745E8">
        <w:rPr>
          <w:rFonts w:asciiTheme="majorBidi" w:hAnsiTheme="majorBidi" w:cstheme="majorBidi"/>
        </w:rPr>
        <w:t>Aukerman</w:t>
      </w:r>
      <w:proofErr w:type="spellEnd"/>
      <w:r w:rsidRPr="00E745E8">
        <w:rPr>
          <w:rFonts w:asciiTheme="majorBidi" w:hAnsiTheme="majorBidi" w:cstheme="majorBidi"/>
        </w:rPr>
        <w:t xml:space="preserve">, ‘Extraordinary Evil, Ordinary Crime: A Framework for Understanding Transitional Justice,’ </w:t>
      </w:r>
      <w:r w:rsidRPr="00E745E8">
        <w:rPr>
          <w:rFonts w:asciiTheme="majorBidi" w:hAnsiTheme="majorBidi" w:cstheme="majorBidi"/>
          <w:i/>
          <w:iCs/>
        </w:rPr>
        <w:t>Harvard Human Rights Journal</w:t>
      </w:r>
      <w:r w:rsidRPr="00E745E8">
        <w:rPr>
          <w:rFonts w:asciiTheme="majorBidi" w:hAnsiTheme="majorBidi" w:cstheme="majorBidi"/>
        </w:rPr>
        <w:t xml:space="preserve"> 15(39) (2002): 92.</w:t>
      </w:r>
    </w:p>
    <w:p w:rsidR="00AE1FA2" w:rsidRPr="00E745E8" w:rsidRDefault="00AE1FA2">
      <w:pPr>
        <w:pStyle w:val="FootnoteText"/>
        <w:rPr>
          <w:rFonts w:asciiTheme="majorBidi" w:hAnsiTheme="majorBidi" w:cstheme="majorBidi"/>
        </w:rPr>
      </w:pPr>
    </w:p>
  </w:footnote>
  <w:footnote w:id="34">
    <w:p w:rsidR="00AE1FA2" w:rsidRPr="00E745E8" w:rsidRDefault="00AE1FA2" w:rsidP="00987B89">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James L. Gibson, ‘On Legitimacy Theory and the Effectiveness of Truth Commissions,’ </w:t>
      </w:r>
      <w:r w:rsidRPr="00E745E8">
        <w:rPr>
          <w:rFonts w:asciiTheme="majorBidi" w:hAnsiTheme="majorBidi" w:cstheme="majorBidi"/>
          <w:i/>
          <w:iCs/>
        </w:rPr>
        <w:t>Law and Contemporary Problems</w:t>
      </w:r>
      <w:r w:rsidRPr="00E745E8">
        <w:rPr>
          <w:rFonts w:asciiTheme="majorBidi" w:hAnsiTheme="majorBidi" w:cstheme="majorBidi"/>
        </w:rPr>
        <w:t xml:space="preserve"> 72(2) (2009): 128.</w:t>
      </w:r>
    </w:p>
    <w:p w:rsidR="00AE1FA2" w:rsidRPr="00360222" w:rsidRDefault="00AE1FA2">
      <w:pPr>
        <w:pStyle w:val="FootnoteText"/>
        <w:rPr>
          <w:rFonts w:asciiTheme="minorBidi" w:hAnsiTheme="minorBidi"/>
          <w:sz w:val="22"/>
          <w:szCs w:val="22"/>
        </w:rPr>
      </w:pPr>
    </w:p>
  </w:footnote>
  <w:footnote w:id="35">
    <w:p w:rsidR="00AE1FA2" w:rsidRPr="00E745E8" w:rsidRDefault="00AE1FA2" w:rsidP="007752C0">
      <w:pPr>
        <w:pStyle w:val="FootnoteText"/>
        <w:rPr>
          <w:rFonts w:asciiTheme="majorBidi" w:hAnsiTheme="majorBidi" w:cstheme="majorBidi"/>
        </w:rPr>
      </w:pPr>
      <w:r w:rsidRPr="00360222">
        <w:rPr>
          <w:rStyle w:val="FootnoteReference"/>
          <w:rFonts w:asciiTheme="minorBidi" w:hAnsiTheme="minorBidi"/>
          <w:sz w:val="22"/>
          <w:szCs w:val="22"/>
        </w:rPr>
        <w:footnoteRef/>
      </w:r>
      <w:r w:rsidRPr="00360222">
        <w:rPr>
          <w:rFonts w:asciiTheme="minorBidi" w:hAnsiTheme="minorBidi"/>
          <w:sz w:val="22"/>
          <w:szCs w:val="22"/>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124.</w:t>
      </w:r>
    </w:p>
    <w:p w:rsidR="00AE1FA2" w:rsidRPr="00E745E8" w:rsidRDefault="00AE1FA2">
      <w:pPr>
        <w:pStyle w:val="FootnoteText"/>
        <w:rPr>
          <w:rFonts w:asciiTheme="majorBidi" w:hAnsiTheme="majorBidi" w:cstheme="majorBidi"/>
        </w:rPr>
      </w:pPr>
    </w:p>
  </w:footnote>
  <w:footnote w:id="36">
    <w:p w:rsidR="00AE1FA2" w:rsidRPr="00E745E8" w:rsidRDefault="00AE1FA2" w:rsidP="007752C0">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125.</w:t>
      </w:r>
    </w:p>
    <w:p w:rsidR="00AE1FA2" w:rsidRPr="00E745E8" w:rsidRDefault="00AE1FA2">
      <w:pPr>
        <w:pStyle w:val="FootnoteText"/>
        <w:rPr>
          <w:rFonts w:asciiTheme="majorBidi" w:hAnsiTheme="majorBidi" w:cstheme="majorBidi"/>
        </w:rPr>
      </w:pPr>
    </w:p>
  </w:footnote>
  <w:footnote w:id="37">
    <w:p w:rsidR="00AE1FA2" w:rsidRPr="00E745E8" w:rsidRDefault="00AE1FA2" w:rsidP="007752C0">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124.</w:t>
      </w:r>
    </w:p>
    <w:p w:rsidR="00AE1FA2" w:rsidRPr="00E745E8" w:rsidRDefault="00AE1FA2">
      <w:pPr>
        <w:pStyle w:val="FootnoteText"/>
        <w:rPr>
          <w:rFonts w:asciiTheme="majorBidi" w:hAnsiTheme="majorBidi" w:cstheme="majorBidi"/>
        </w:rPr>
      </w:pPr>
    </w:p>
  </w:footnote>
  <w:footnote w:id="38">
    <w:p w:rsidR="00AE1FA2" w:rsidRPr="00E745E8" w:rsidRDefault="00AE1FA2" w:rsidP="007752C0">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137.</w:t>
      </w:r>
    </w:p>
    <w:p w:rsidR="00AE1FA2" w:rsidRPr="00E745E8" w:rsidRDefault="00AE1FA2">
      <w:pPr>
        <w:pStyle w:val="FootnoteText"/>
        <w:rPr>
          <w:rFonts w:asciiTheme="majorBidi" w:hAnsiTheme="majorBidi" w:cstheme="majorBidi"/>
        </w:rPr>
      </w:pPr>
    </w:p>
  </w:footnote>
  <w:footnote w:id="39">
    <w:p w:rsidR="00AE1FA2" w:rsidRPr="00E745E8" w:rsidRDefault="00AE1FA2" w:rsidP="007752C0">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125. </w:t>
      </w:r>
    </w:p>
  </w:footnote>
  <w:footnote w:id="40">
    <w:p w:rsidR="00AE1FA2" w:rsidRPr="00360222" w:rsidRDefault="00AE1FA2" w:rsidP="007752C0">
      <w:pPr>
        <w:pStyle w:val="FootnoteText"/>
        <w:rPr>
          <w:rFonts w:asciiTheme="minorBidi" w:hAnsiTheme="minorBidi"/>
          <w:sz w:val="22"/>
          <w:szCs w:val="22"/>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Ibid.,</w:t>
      </w:r>
      <w:proofErr w:type="gramEnd"/>
      <w:r w:rsidRPr="00E745E8">
        <w:rPr>
          <w:rFonts w:asciiTheme="majorBidi" w:hAnsiTheme="majorBidi" w:cstheme="majorBidi"/>
        </w:rPr>
        <w:t xml:space="preserve"> 125</w:t>
      </w:r>
      <w:r w:rsidRPr="00360222">
        <w:rPr>
          <w:rFonts w:asciiTheme="minorBidi" w:hAnsiTheme="minorBidi"/>
          <w:sz w:val="22"/>
          <w:szCs w:val="22"/>
        </w:rPr>
        <w:t>.</w:t>
      </w:r>
    </w:p>
    <w:p w:rsidR="00AE1FA2" w:rsidRPr="00360222" w:rsidRDefault="00AE1FA2" w:rsidP="00987B89">
      <w:pPr>
        <w:pStyle w:val="FootnoteText"/>
        <w:ind w:firstLine="720"/>
        <w:rPr>
          <w:rFonts w:asciiTheme="minorBidi" w:hAnsiTheme="minorBidi"/>
          <w:sz w:val="22"/>
          <w:szCs w:val="22"/>
        </w:rPr>
      </w:pPr>
    </w:p>
  </w:footnote>
  <w:footnote w:id="41">
    <w:p w:rsidR="00AE1FA2" w:rsidRPr="00360222" w:rsidRDefault="00AE1FA2">
      <w:pPr>
        <w:pStyle w:val="FootnoteText"/>
        <w:rPr>
          <w:rFonts w:asciiTheme="minorBidi" w:hAnsiTheme="minorBidi"/>
          <w:sz w:val="22"/>
          <w:szCs w:val="22"/>
        </w:rPr>
      </w:pPr>
      <w:r w:rsidRPr="00360222">
        <w:rPr>
          <w:rStyle w:val="FootnoteReference"/>
          <w:rFonts w:asciiTheme="minorBidi" w:hAnsiTheme="minorBidi"/>
          <w:sz w:val="22"/>
          <w:szCs w:val="22"/>
        </w:rPr>
        <w:footnoteRef/>
      </w:r>
      <w:r w:rsidRPr="00360222">
        <w:rPr>
          <w:rFonts w:asciiTheme="minorBidi" w:hAnsiTheme="minorBidi"/>
          <w:sz w:val="22"/>
          <w:szCs w:val="22"/>
        </w:rPr>
        <w:t xml:space="preserve"> </w:t>
      </w:r>
      <w:r w:rsidRPr="00E745E8">
        <w:rPr>
          <w:rFonts w:asciiTheme="majorBidi" w:hAnsiTheme="majorBidi" w:cstheme="majorBidi"/>
        </w:rPr>
        <w:t xml:space="preserve">We thank Mr </w:t>
      </w:r>
      <w:proofErr w:type="spellStart"/>
      <w:r w:rsidRPr="00E745E8">
        <w:rPr>
          <w:rFonts w:asciiTheme="majorBidi" w:hAnsiTheme="majorBidi" w:cstheme="majorBidi"/>
        </w:rPr>
        <w:t>Elywyn</w:t>
      </w:r>
      <w:proofErr w:type="spellEnd"/>
      <w:r w:rsidRPr="00E745E8">
        <w:rPr>
          <w:rFonts w:asciiTheme="majorBidi" w:hAnsiTheme="majorBidi" w:cstheme="majorBidi"/>
        </w:rPr>
        <w:t xml:space="preserve"> </w:t>
      </w:r>
      <w:proofErr w:type="spellStart"/>
      <w:r w:rsidRPr="00E745E8">
        <w:rPr>
          <w:rFonts w:asciiTheme="majorBidi" w:hAnsiTheme="majorBidi" w:cstheme="majorBidi"/>
        </w:rPr>
        <w:t>Chutel</w:t>
      </w:r>
      <w:proofErr w:type="spellEnd"/>
      <w:r w:rsidRPr="00E745E8">
        <w:rPr>
          <w:rFonts w:asciiTheme="majorBidi" w:hAnsiTheme="majorBidi" w:cstheme="majorBidi"/>
        </w:rPr>
        <w:t xml:space="preserve"> for these transcripts.</w:t>
      </w:r>
    </w:p>
    <w:p w:rsidR="00AE1FA2" w:rsidRPr="00360222" w:rsidRDefault="00AE1FA2">
      <w:pPr>
        <w:pStyle w:val="FootnoteText"/>
        <w:rPr>
          <w:rFonts w:asciiTheme="minorBidi" w:hAnsiTheme="minorBidi"/>
          <w:sz w:val="22"/>
          <w:szCs w:val="22"/>
        </w:rPr>
      </w:pPr>
    </w:p>
  </w:footnote>
  <w:footnote w:id="42">
    <w:p w:rsidR="00AE1FA2" w:rsidRPr="00E745E8" w:rsidRDefault="00AE1FA2" w:rsidP="00D22F67">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Richard </w:t>
      </w:r>
      <w:proofErr w:type="spellStart"/>
      <w:r w:rsidRPr="00E745E8">
        <w:rPr>
          <w:rFonts w:asciiTheme="majorBidi" w:hAnsiTheme="majorBidi" w:cstheme="majorBidi"/>
        </w:rPr>
        <w:t>Sandbrook</w:t>
      </w:r>
      <w:proofErr w:type="spellEnd"/>
      <w:r w:rsidRPr="00E745E8">
        <w:rPr>
          <w:rFonts w:asciiTheme="majorBidi" w:hAnsiTheme="majorBidi" w:cstheme="majorBidi"/>
        </w:rPr>
        <w:t xml:space="preserve">, Mark Edelman, Patrick Heller and Judith </w:t>
      </w:r>
      <w:proofErr w:type="spellStart"/>
      <w:r w:rsidRPr="00E745E8">
        <w:rPr>
          <w:rFonts w:asciiTheme="majorBidi" w:hAnsiTheme="majorBidi" w:cstheme="majorBidi"/>
        </w:rPr>
        <w:t>Teichman</w:t>
      </w:r>
      <w:proofErr w:type="spellEnd"/>
      <w:r w:rsidRPr="00E745E8">
        <w:rPr>
          <w:rFonts w:asciiTheme="majorBidi" w:hAnsiTheme="majorBidi" w:cstheme="majorBidi"/>
        </w:rPr>
        <w:t xml:space="preserve">, </w:t>
      </w:r>
      <w:r w:rsidRPr="00E745E8">
        <w:rPr>
          <w:rFonts w:asciiTheme="majorBidi" w:hAnsiTheme="majorBidi" w:cstheme="majorBidi"/>
          <w:i/>
          <w:iCs/>
        </w:rPr>
        <w:t>Social Democracy in the Global Periphery. Origins, Challenges, Prospects</w:t>
      </w:r>
      <w:r w:rsidRPr="00E745E8">
        <w:rPr>
          <w:rFonts w:asciiTheme="majorBidi" w:hAnsiTheme="majorBidi" w:cstheme="majorBidi"/>
        </w:rPr>
        <w:t>, (Cambridge: Cambridge University Press, 2007).</w:t>
      </w:r>
    </w:p>
    <w:p w:rsidR="00AE1FA2" w:rsidRPr="00E745E8" w:rsidRDefault="00AE1FA2">
      <w:pPr>
        <w:pStyle w:val="FootnoteText"/>
        <w:rPr>
          <w:rFonts w:asciiTheme="majorBidi" w:hAnsiTheme="majorBidi" w:cstheme="majorBidi"/>
        </w:rPr>
      </w:pPr>
    </w:p>
  </w:footnote>
  <w:footnote w:id="43">
    <w:p w:rsidR="00AE1FA2" w:rsidRPr="00E745E8" w:rsidRDefault="00AE1FA2" w:rsidP="00D22F67">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Elwyn Chutel, ‘Perceptions of Mauritian Development’ (MA diss., Middlesex University, 2012).</w:t>
      </w:r>
    </w:p>
    <w:p w:rsidR="00AE1FA2" w:rsidRPr="00E745E8" w:rsidRDefault="00AE1FA2">
      <w:pPr>
        <w:pStyle w:val="FootnoteText"/>
        <w:rPr>
          <w:rFonts w:asciiTheme="majorBidi" w:hAnsiTheme="majorBidi" w:cstheme="majorBidi"/>
        </w:rPr>
      </w:pPr>
    </w:p>
  </w:footnote>
  <w:footnote w:id="44">
    <w:p w:rsidR="00AE1FA2" w:rsidRPr="00E745E8" w:rsidRDefault="00AE1FA2" w:rsidP="007752C0">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Ibid.</w:t>
      </w:r>
    </w:p>
    <w:p w:rsidR="00AE1FA2" w:rsidRPr="00360222" w:rsidRDefault="00AE1FA2">
      <w:pPr>
        <w:pStyle w:val="FootnoteText"/>
        <w:rPr>
          <w:rFonts w:asciiTheme="minorBidi" w:hAnsiTheme="minorBidi"/>
          <w:sz w:val="22"/>
          <w:szCs w:val="22"/>
        </w:rPr>
      </w:pPr>
    </w:p>
  </w:footnote>
  <w:footnote w:id="45">
    <w:p w:rsidR="00AE1FA2" w:rsidRPr="00E745E8" w:rsidRDefault="00AE1FA2" w:rsidP="00CD0DEE">
      <w:pPr>
        <w:pStyle w:val="EndnoteText"/>
        <w:rPr>
          <w:rFonts w:asciiTheme="majorBidi" w:hAnsiTheme="majorBidi" w:cstheme="majorBidi"/>
        </w:rPr>
      </w:pPr>
      <w:r w:rsidRPr="00360222">
        <w:rPr>
          <w:rStyle w:val="FootnoteReference"/>
          <w:rFonts w:asciiTheme="minorBidi" w:hAnsiTheme="minorBidi" w:cstheme="minorBidi"/>
          <w:sz w:val="22"/>
          <w:szCs w:val="22"/>
        </w:rPr>
        <w:footnoteRef/>
      </w:r>
      <w:r w:rsidRPr="00360222">
        <w:rPr>
          <w:rFonts w:asciiTheme="minorBidi" w:hAnsiTheme="minorBidi" w:cstheme="minorBidi"/>
          <w:sz w:val="22"/>
          <w:szCs w:val="22"/>
        </w:rPr>
        <w:t xml:space="preserve"> </w:t>
      </w:r>
      <w:r w:rsidRPr="00E745E8">
        <w:rPr>
          <w:rFonts w:asciiTheme="majorBidi" w:hAnsiTheme="majorBidi" w:cstheme="majorBidi"/>
        </w:rPr>
        <w:t xml:space="preserve">Mauritius Truth and Justice Commission Report, </w:t>
      </w:r>
      <w:r w:rsidRPr="00E745E8">
        <w:rPr>
          <w:rFonts w:asciiTheme="majorBidi" w:hAnsiTheme="majorBidi" w:cstheme="majorBidi"/>
          <w:i/>
          <w:iCs/>
        </w:rPr>
        <w:t>Volume 1: Report of the Truth and Justice Commission</w:t>
      </w:r>
      <w:r w:rsidRPr="00E745E8">
        <w:rPr>
          <w:rFonts w:asciiTheme="majorBidi" w:hAnsiTheme="majorBidi" w:cstheme="majorBidi"/>
        </w:rPr>
        <w:t>, (Mauritius: Government of Mauritius, 2001), 6-7.</w:t>
      </w:r>
    </w:p>
    <w:p w:rsidR="00AE1FA2" w:rsidRPr="00E745E8" w:rsidRDefault="00AE1FA2">
      <w:pPr>
        <w:pStyle w:val="FootnoteText"/>
        <w:rPr>
          <w:rFonts w:asciiTheme="majorBidi" w:hAnsiTheme="majorBidi" w:cstheme="majorBidi"/>
        </w:rPr>
      </w:pPr>
    </w:p>
  </w:footnote>
  <w:footnote w:id="46">
    <w:p w:rsidR="00AE1FA2" w:rsidRPr="00E745E8" w:rsidRDefault="00AE1FA2" w:rsidP="00261F97">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 Report of the Truth and Justice Commission</w:t>
      </w:r>
      <w:r w:rsidRPr="00E745E8">
        <w:rPr>
          <w:rFonts w:asciiTheme="majorBidi" w:hAnsiTheme="majorBidi" w:cstheme="majorBidi"/>
        </w:rPr>
        <w:t>, (Mauritius, Government of Mauritius, 2001), 7.</w:t>
      </w:r>
    </w:p>
    <w:p w:rsidR="00AE1FA2" w:rsidRPr="00360222" w:rsidRDefault="00AE1FA2">
      <w:pPr>
        <w:pStyle w:val="FootnoteText"/>
        <w:rPr>
          <w:rFonts w:asciiTheme="minorBidi" w:hAnsiTheme="minorBidi"/>
          <w:sz w:val="22"/>
          <w:szCs w:val="22"/>
        </w:rPr>
      </w:pPr>
    </w:p>
  </w:footnote>
  <w:footnote w:id="47">
    <w:p w:rsidR="00AE1FA2" w:rsidRPr="00E745E8" w:rsidRDefault="00AE1FA2" w:rsidP="00261F97">
      <w:pPr>
        <w:pStyle w:val="EndnoteText"/>
        <w:rPr>
          <w:rFonts w:asciiTheme="majorBidi" w:hAnsiTheme="majorBidi" w:cstheme="majorBidi"/>
        </w:rPr>
      </w:pPr>
      <w:r w:rsidRPr="00360222">
        <w:rPr>
          <w:rStyle w:val="FootnoteReference"/>
          <w:rFonts w:asciiTheme="minorBidi" w:hAnsiTheme="minorBidi" w:cstheme="minorBidi"/>
          <w:sz w:val="22"/>
          <w:szCs w:val="22"/>
        </w:rPr>
        <w:footnoteRef/>
      </w:r>
      <w:r w:rsidRPr="00360222">
        <w:rPr>
          <w:rFonts w:asciiTheme="minorBidi" w:hAnsiTheme="minorBidi" w:cstheme="minorBidi"/>
          <w:sz w:val="22"/>
          <w:szCs w:val="22"/>
        </w:rPr>
        <w:t xml:space="preserve"> </w:t>
      </w:r>
      <w:r w:rsidRPr="00E745E8">
        <w:rPr>
          <w:rFonts w:asciiTheme="majorBidi" w:hAnsiTheme="majorBidi" w:cstheme="majorBidi"/>
        </w:rPr>
        <w:t xml:space="preserve">Alessandro </w:t>
      </w:r>
      <w:proofErr w:type="spellStart"/>
      <w:r w:rsidRPr="00E745E8">
        <w:rPr>
          <w:rFonts w:asciiTheme="majorBidi" w:hAnsiTheme="majorBidi" w:cstheme="majorBidi"/>
        </w:rPr>
        <w:t>Stanziani</w:t>
      </w:r>
      <w:proofErr w:type="spellEnd"/>
      <w:r w:rsidRPr="00E745E8">
        <w:rPr>
          <w:rFonts w:asciiTheme="majorBidi" w:hAnsiTheme="majorBidi" w:cstheme="majorBidi"/>
        </w:rPr>
        <w:t xml:space="preserve">, </w:t>
      </w:r>
      <w:r w:rsidRPr="00E745E8">
        <w:rPr>
          <w:rFonts w:asciiTheme="majorBidi" w:hAnsiTheme="majorBidi" w:cstheme="majorBidi"/>
          <w:i/>
          <w:iCs/>
        </w:rPr>
        <w:t xml:space="preserve">Bondage. </w:t>
      </w:r>
      <w:proofErr w:type="spellStart"/>
      <w:r w:rsidRPr="00E745E8">
        <w:rPr>
          <w:rFonts w:asciiTheme="majorBidi" w:hAnsiTheme="majorBidi" w:cstheme="majorBidi"/>
          <w:i/>
          <w:iCs/>
        </w:rPr>
        <w:t>Labor</w:t>
      </w:r>
      <w:proofErr w:type="spellEnd"/>
      <w:r w:rsidRPr="00E745E8">
        <w:rPr>
          <w:rFonts w:asciiTheme="majorBidi" w:hAnsiTheme="majorBidi" w:cstheme="majorBidi"/>
          <w:i/>
          <w:iCs/>
        </w:rPr>
        <w:t xml:space="preserve"> and Rights in Eurasia from the Sixteenth to the Early Twentieth Century</w:t>
      </w:r>
      <w:r w:rsidRPr="00E745E8">
        <w:rPr>
          <w:rFonts w:asciiTheme="majorBidi" w:hAnsiTheme="majorBidi" w:cstheme="majorBidi"/>
        </w:rPr>
        <w:t xml:space="preserve">, (New York: </w:t>
      </w:r>
      <w:proofErr w:type="spellStart"/>
      <w:r w:rsidRPr="00E745E8">
        <w:rPr>
          <w:rFonts w:asciiTheme="majorBidi" w:hAnsiTheme="majorBidi" w:cstheme="majorBidi"/>
        </w:rPr>
        <w:t>Berghahn</w:t>
      </w:r>
      <w:proofErr w:type="spellEnd"/>
      <w:r w:rsidRPr="00E745E8">
        <w:rPr>
          <w:rFonts w:asciiTheme="majorBidi" w:hAnsiTheme="majorBidi" w:cstheme="majorBidi"/>
        </w:rPr>
        <w:t xml:space="preserve"> Books, 2014).</w:t>
      </w:r>
    </w:p>
    <w:p w:rsidR="00AE1FA2" w:rsidRPr="00E745E8" w:rsidRDefault="00AE1FA2">
      <w:pPr>
        <w:pStyle w:val="FootnoteText"/>
        <w:rPr>
          <w:rFonts w:asciiTheme="majorBidi" w:hAnsiTheme="majorBidi" w:cstheme="majorBidi"/>
        </w:rPr>
      </w:pPr>
    </w:p>
  </w:footnote>
  <w:footnote w:id="48">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The Prime Minister (himself the descendant of an indentured labourer) argued at that point that although the perception was that slaves had been especially badly treated, ‘the reality is that the treatment (of indentured labourers: authors) was very harsh and that they concentrated on education….’ Mauritius Parliamentary Debates: Oral answer to question from Mr Paul </w:t>
      </w:r>
      <w:proofErr w:type="spellStart"/>
      <w:r w:rsidRPr="00E745E8">
        <w:rPr>
          <w:rFonts w:asciiTheme="majorBidi" w:hAnsiTheme="majorBidi" w:cstheme="majorBidi"/>
        </w:rPr>
        <w:t>Bérenger</w:t>
      </w:r>
      <w:proofErr w:type="spellEnd"/>
      <w:r w:rsidRPr="00E745E8">
        <w:rPr>
          <w:rFonts w:asciiTheme="majorBidi" w:hAnsiTheme="majorBidi" w:cstheme="majorBidi"/>
        </w:rPr>
        <w:t>, session 7/12/2011.</w:t>
      </w:r>
    </w:p>
    <w:p w:rsidR="00AE1FA2" w:rsidRPr="00360222" w:rsidRDefault="00AE1FA2">
      <w:pPr>
        <w:pStyle w:val="FootnoteText"/>
        <w:rPr>
          <w:rFonts w:asciiTheme="minorBidi" w:hAnsiTheme="minorBidi"/>
          <w:sz w:val="22"/>
          <w:szCs w:val="22"/>
        </w:rPr>
      </w:pPr>
    </w:p>
  </w:footnote>
  <w:footnote w:id="49">
    <w:p w:rsidR="00AE1FA2" w:rsidRPr="00360222" w:rsidRDefault="00AE1FA2">
      <w:pPr>
        <w:pStyle w:val="FootnoteText"/>
        <w:rPr>
          <w:rFonts w:asciiTheme="minorBidi" w:hAnsiTheme="minorBidi"/>
          <w:sz w:val="22"/>
          <w:szCs w:val="22"/>
        </w:rPr>
      </w:pPr>
      <w:r w:rsidRPr="00360222">
        <w:rPr>
          <w:rStyle w:val="FootnoteReference"/>
          <w:rFonts w:asciiTheme="minorBidi" w:hAnsiTheme="minorBidi"/>
          <w:sz w:val="22"/>
          <w:szCs w:val="22"/>
        </w:rPr>
        <w:footnoteRef/>
      </w:r>
      <w:r w:rsidRPr="00360222">
        <w:rPr>
          <w:rFonts w:asciiTheme="minorBidi" w:hAnsiTheme="minorBidi"/>
          <w:sz w:val="22"/>
          <w:szCs w:val="22"/>
        </w:rPr>
        <w:t xml:space="preserve"> Interview with Alex </w:t>
      </w:r>
      <w:proofErr w:type="spellStart"/>
      <w:r w:rsidRPr="00360222">
        <w:rPr>
          <w:rFonts w:asciiTheme="minorBidi" w:hAnsiTheme="minorBidi"/>
          <w:sz w:val="22"/>
          <w:szCs w:val="22"/>
        </w:rPr>
        <w:t>Boraine</w:t>
      </w:r>
      <w:proofErr w:type="spellEnd"/>
      <w:r w:rsidRPr="00360222">
        <w:rPr>
          <w:rFonts w:asciiTheme="minorBidi" w:hAnsiTheme="minorBidi"/>
          <w:sz w:val="22"/>
          <w:szCs w:val="22"/>
        </w:rPr>
        <w:t xml:space="preserve"> by Henri </w:t>
      </w:r>
      <w:proofErr w:type="spellStart"/>
      <w:r w:rsidRPr="00360222">
        <w:rPr>
          <w:rFonts w:asciiTheme="minorBidi" w:hAnsiTheme="minorBidi"/>
          <w:sz w:val="22"/>
          <w:szCs w:val="22"/>
        </w:rPr>
        <w:t>Marimootoo</w:t>
      </w:r>
      <w:proofErr w:type="spellEnd"/>
      <w:r w:rsidRPr="00360222">
        <w:rPr>
          <w:rFonts w:asciiTheme="minorBidi" w:hAnsiTheme="minorBidi"/>
          <w:sz w:val="22"/>
          <w:szCs w:val="22"/>
        </w:rPr>
        <w:t xml:space="preserve">, in </w:t>
      </w:r>
      <w:r w:rsidRPr="00360222">
        <w:rPr>
          <w:rFonts w:asciiTheme="minorBidi" w:hAnsiTheme="minorBidi"/>
          <w:i/>
          <w:iCs/>
          <w:sz w:val="22"/>
          <w:szCs w:val="22"/>
        </w:rPr>
        <w:t>Weekend</w:t>
      </w:r>
      <w:r w:rsidRPr="00360222">
        <w:rPr>
          <w:rFonts w:asciiTheme="minorBidi" w:hAnsiTheme="minorBidi"/>
          <w:sz w:val="22"/>
          <w:szCs w:val="22"/>
        </w:rPr>
        <w:t>, August 3, 2014.</w:t>
      </w:r>
    </w:p>
  </w:footnote>
  <w:footnote w:id="50">
    <w:p w:rsidR="00AE1FA2" w:rsidRPr="00360222" w:rsidRDefault="00AE1FA2" w:rsidP="00261F97">
      <w:pPr>
        <w:pStyle w:val="EndnoteText"/>
        <w:rPr>
          <w:rFonts w:asciiTheme="minorBidi" w:hAnsiTheme="minorBidi" w:cstheme="minorBidi"/>
          <w:sz w:val="22"/>
          <w:szCs w:val="22"/>
        </w:rPr>
      </w:pPr>
    </w:p>
    <w:p w:rsidR="00AE1FA2" w:rsidRPr="00360222" w:rsidRDefault="00AE1FA2" w:rsidP="00261F97">
      <w:pPr>
        <w:pStyle w:val="EndnoteText"/>
        <w:rPr>
          <w:rFonts w:asciiTheme="minorBidi" w:hAnsiTheme="minorBidi" w:cstheme="minorBidi"/>
          <w:sz w:val="22"/>
          <w:szCs w:val="22"/>
        </w:rPr>
      </w:pPr>
      <w:r w:rsidRPr="00360222">
        <w:rPr>
          <w:rStyle w:val="FootnoteReference"/>
          <w:rFonts w:asciiTheme="minorBidi" w:hAnsiTheme="minorBidi" w:cstheme="minorBidi"/>
          <w:sz w:val="22"/>
          <w:szCs w:val="22"/>
        </w:rPr>
        <w:footnoteRef/>
      </w:r>
      <w:r w:rsidRPr="00360222">
        <w:rPr>
          <w:rFonts w:asciiTheme="minorBidi" w:hAnsiTheme="minorBidi" w:cstheme="minorBidi"/>
          <w:sz w:val="22"/>
          <w:szCs w:val="22"/>
        </w:rPr>
        <w:t xml:space="preserve"> </w:t>
      </w:r>
      <w:r w:rsidRPr="00E745E8">
        <w:rPr>
          <w:rFonts w:asciiTheme="majorBidi" w:hAnsiTheme="majorBidi" w:cstheme="majorBidi"/>
        </w:rPr>
        <w:t xml:space="preserve">Mauritius Truth and Justice Commission Report, </w:t>
      </w:r>
      <w:r w:rsidRPr="00E745E8">
        <w:rPr>
          <w:rFonts w:asciiTheme="majorBidi" w:hAnsiTheme="majorBidi" w:cstheme="majorBidi"/>
          <w:i/>
          <w:iCs/>
        </w:rPr>
        <w:t>Volume I: Report of the Truth and Justice Commission</w:t>
      </w:r>
      <w:r w:rsidRPr="00E745E8">
        <w:rPr>
          <w:rFonts w:asciiTheme="majorBidi" w:hAnsiTheme="majorBidi" w:cstheme="majorBidi"/>
        </w:rPr>
        <w:t>, (Mauritius, Government of Mauritius, 2001), 7.</w:t>
      </w:r>
    </w:p>
    <w:p w:rsidR="00AE1FA2" w:rsidRPr="00360222" w:rsidRDefault="00AE1FA2">
      <w:pPr>
        <w:pStyle w:val="FootnoteText"/>
        <w:rPr>
          <w:rFonts w:asciiTheme="minorBidi" w:hAnsiTheme="minorBidi"/>
          <w:sz w:val="22"/>
          <w:szCs w:val="22"/>
        </w:rPr>
      </w:pPr>
    </w:p>
  </w:footnote>
  <w:footnote w:id="51">
    <w:p w:rsidR="00AE1FA2" w:rsidRPr="00E745E8" w:rsidRDefault="00AE1FA2" w:rsidP="00261F97">
      <w:pPr>
        <w:pStyle w:val="EndnoteText"/>
        <w:rPr>
          <w:rFonts w:asciiTheme="majorBidi" w:hAnsiTheme="majorBidi" w:cstheme="majorBidi"/>
          <w:lang w:val="fr-FR"/>
        </w:rPr>
      </w:pPr>
      <w:r w:rsidRPr="00E745E8">
        <w:rPr>
          <w:rStyle w:val="FootnoteReference"/>
          <w:rFonts w:asciiTheme="majorBidi" w:hAnsiTheme="majorBidi" w:cstheme="majorBidi"/>
        </w:rPr>
        <w:footnoteRef/>
      </w:r>
      <w:r w:rsidRPr="00E745E8">
        <w:rPr>
          <w:rFonts w:asciiTheme="majorBidi" w:hAnsiTheme="majorBidi" w:cstheme="majorBidi"/>
          <w:lang w:val="fr-FR"/>
        </w:rPr>
        <w:t xml:space="preserve"> </w:t>
      </w:r>
      <w:proofErr w:type="spellStart"/>
      <w:r w:rsidRPr="00E745E8">
        <w:rPr>
          <w:rFonts w:asciiTheme="majorBidi" w:hAnsiTheme="majorBidi" w:cstheme="majorBidi"/>
          <w:i/>
          <w:iCs/>
          <w:lang w:val="fr-FR"/>
        </w:rPr>
        <w:t>Lalit</w:t>
      </w:r>
      <w:proofErr w:type="spellEnd"/>
      <w:r w:rsidRPr="00E745E8">
        <w:rPr>
          <w:rFonts w:asciiTheme="majorBidi" w:hAnsiTheme="majorBidi" w:cstheme="majorBidi"/>
          <w:lang w:val="fr-FR"/>
        </w:rPr>
        <w:t xml:space="preserve">, ‘Le </w:t>
      </w:r>
      <w:proofErr w:type="spellStart"/>
      <w:r w:rsidRPr="00E745E8">
        <w:rPr>
          <w:rFonts w:asciiTheme="majorBidi" w:hAnsiTheme="majorBidi" w:cstheme="majorBidi"/>
          <w:lang w:val="fr-FR"/>
        </w:rPr>
        <w:t>Débacle</w:t>
      </w:r>
      <w:proofErr w:type="spellEnd"/>
      <w:r w:rsidRPr="00E745E8">
        <w:rPr>
          <w:rFonts w:asciiTheme="majorBidi" w:hAnsiTheme="majorBidi" w:cstheme="majorBidi"/>
          <w:lang w:val="fr-FR"/>
        </w:rPr>
        <w:t xml:space="preserve"> de la Commission,’ 17 </w:t>
      </w:r>
      <w:proofErr w:type="spellStart"/>
      <w:r w:rsidRPr="00E745E8">
        <w:rPr>
          <w:rFonts w:asciiTheme="majorBidi" w:hAnsiTheme="majorBidi" w:cstheme="majorBidi"/>
          <w:lang w:val="fr-FR"/>
        </w:rPr>
        <w:t>November</w:t>
      </w:r>
      <w:proofErr w:type="spellEnd"/>
      <w:r w:rsidRPr="00E745E8">
        <w:rPr>
          <w:rFonts w:asciiTheme="majorBidi" w:hAnsiTheme="majorBidi" w:cstheme="majorBidi"/>
          <w:lang w:val="fr-FR"/>
        </w:rPr>
        <w:t xml:space="preserve"> 2009.</w:t>
      </w:r>
    </w:p>
    <w:p w:rsidR="00AE1FA2" w:rsidRPr="00E745E8" w:rsidRDefault="00AE1FA2">
      <w:pPr>
        <w:pStyle w:val="FootnoteText"/>
        <w:rPr>
          <w:rFonts w:asciiTheme="majorBidi" w:hAnsiTheme="majorBidi" w:cstheme="majorBidi"/>
          <w:lang w:val="fr-FR"/>
        </w:rPr>
      </w:pPr>
    </w:p>
  </w:footnote>
  <w:footnote w:id="52">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MTJC Report vol.1:9; Mauritius Parliamentary Debates: Oral answer to question from Mr Paul </w:t>
      </w:r>
      <w:proofErr w:type="spellStart"/>
      <w:r w:rsidRPr="00E745E8">
        <w:rPr>
          <w:rFonts w:asciiTheme="majorBidi" w:hAnsiTheme="majorBidi" w:cstheme="majorBidi"/>
        </w:rPr>
        <w:t>Bérenger</w:t>
      </w:r>
      <w:proofErr w:type="spellEnd"/>
      <w:r w:rsidRPr="00E745E8">
        <w:rPr>
          <w:rFonts w:asciiTheme="majorBidi" w:hAnsiTheme="majorBidi" w:cstheme="majorBidi"/>
        </w:rPr>
        <w:t>, session 7/12/2011.</w:t>
      </w:r>
    </w:p>
    <w:p w:rsidR="00AE1FA2" w:rsidRPr="00E745E8" w:rsidRDefault="00AE1FA2">
      <w:pPr>
        <w:pStyle w:val="FootnoteText"/>
        <w:rPr>
          <w:rFonts w:asciiTheme="majorBidi" w:hAnsiTheme="majorBidi" w:cstheme="majorBidi"/>
        </w:rPr>
      </w:pPr>
    </w:p>
  </w:footnote>
  <w:footnote w:id="53">
    <w:p w:rsidR="00AE1FA2" w:rsidRPr="00E745E8" w:rsidRDefault="00AE1FA2" w:rsidP="00AC2950">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spellStart"/>
      <w:r w:rsidRPr="00E745E8">
        <w:rPr>
          <w:rFonts w:asciiTheme="majorBidi" w:hAnsiTheme="majorBidi" w:cstheme="majorBidi"/>
        </w:rPr>
        <w:t>See</w:t>
      </w:r>
      <w:proofErr w:type="gramStart"/>
      <w:r w:rsidRPr="00E745E8">
        <w:rPr>
          <w:rFonts w:asciiTheme="majorBidi" w:hAnsiTheme="majorBidi" w:cstheme="majorBidi"/>
          <w:i/>
          <w:iCs/>
        </w:rPr>
        <w:t>,inter</w:t>
      </w:r>
      <w:proofErr w:type="spellEnd"/>
      <w:proofErr w:type="gramEnd"/>
      <w:r w:rsidRPr="00E745E8">
        <w:rPr>
          <w:rFonts w:asciiTheme="majorBidi" w:hAnsiTheme="majorBidi" w:cstheme="majorBidi"/>
          <w:i/>
          <w:iCs/>
        </w:rPr>
        <w:t xml:space="preserve"> alia</w:t>
      </w:r>
      <w:r w:rsidRPr="00E745E8">
        <w:rPr>
          <w:rFonts w:asciiTheme="majorBidi" w:hAnsiTheme="majorBidi" w:cstheme="majorBidi"/>
        </w:rPr>
        <w:t xml:space="preserve">, her  excellent work </w:t>
      </w:r>
      <w:r w:rsidRPr="00E745E8">
        <w:rPr>
          <w:rFonts w:asciiTheme="majorBidi" w:hAnsiTheme="majorBidi" w:cstheme="majorBidi"/>
          <w:i/>
          <w:iCs/>
        </w:rPr>
        <w:t xml:space="preserve">Bitter Sugar. </w:t>
      </w:r>
      <w:proofErr w:type="gramStart"/>
      <w:r w:rsidRPr="00E745E8">
        <w:rPr>
          <w:rFonts w:asciiTheme="majorBidi" w:hAnsiTheme="majorBidi" w:cstheme="majorBidi"/>
          <w:i/>
          <w:iCs/>
        </w:rPr>
        <w:t>Sugar and Slavery in 19</w:t>
      </w:r>
      <w:r w:rsidRPr="00E745E8">
        <w:rPr>
          <w:rFonts w:asciiTheme="majorBidi" w:hAnsiTheme="majorBidi" w:cstheme="majorBidi"/>
          <w:i/>
          <w:iCs/>
          <w:vertAlign w:val="superscript"/>
        </w:rPr>
        <w:t>th</w:t>
      </w:r>
      <w:r w:rsidRPr="00E745E8">
        <w:rPr>
          <w:rFonts w:asciiTheme="majorBidi" w:hAnsiTheme="majorBidi" w:cstheme="majorBidi"/>
          <w:i/>
          <w:iCs/>
        </w:rPr>
        <w:t xml:space="preserve"> Century Mauritius </w:t>
      </w:r>
      <w:r w:rsidRPr="00E745E8">
        <w:rPr>
          <w:rFonts w:asciiTheme="majorBidi" w:hAnsiTheme="majorBidi" w:cstheme="majorBidi"/>
        </w:rPr>
        <w:t>(</w:t>
      </w:r>
      <w:proofErr w:type="spellStart"/>
      <w:r w:rsidRPr="00E745E8">
        <w:rPr>
          <w:rFonts w:asciiTheme="majorBidi" w:hAnsiTheme="majorBidi" w:cstheme="majorBidi"/>
        </w:rPr>
        <w:t>Moka</w:t>
      </w:r>
      <w:proofErr w:type="spellEnd"/>
      <w:r w:rsidR="002E1570" w:rsidRPr="00E745E8">
        <w:rPr>
          <w:rFonts w:asciiTheme="majorBidi" w:hAnsiTheme="majorBidi" w:cstheme="majorBidi"/>
        </w:rPr>
        <w:t>, Mauritius</w:t>
      </w:r>
      <w:r w:rsidRPr="00E745E8">
        <w:rPr>
          <w:rFonts w:asciiTheme="majorBidi" w:hAnsiTheme="majorBidi" w:cstheme="majorBidi"/>
        </w:rPr>
        <w:t>: Mahatma Gandhi Institute</w:t>
      </w:r>
      <w:r w:rsidR="00CF72DD" w:rsidRPr="00E745E8">
        <w:rPr>
          <w:rFonts w:asciiTheme="majorBidi" w:hAnsiTheme="majorBidi" w:cstheme="majorBidi"/>
        </w:rPr>
        <w:t>,</w:t>
      </w:r>
      <w:r w:rsidRPr="00E745E8">
        <w:rPr>
          <w:rFonts w:asciiTheme="majorBidi" w:hAnsiTheme="majorBidi" w:cstheme="majorBidi"/>
        </w:rPr>
        <w:t xml:space="preserve"> 1998).</w:t>
      </w:r>
      <w:proofErr w:type="gramEnd"/>
    </w:p>
    <w:p w:rsidR="00AE1FA2" w:rsidRPr="00E745E8" w:rsidRDefault="00AE1FA2">
      <w:pPr>
        <w:pStyle w:val="FootnoteText"/>
        <w:rPr>
          <w:rFonts w:asciiTheme="majorBidi" w:hAnsiTheme="majorBidi" w:cstheme="majorBidi"/>
        </w:rPr>
      </w:pPr>
    </w:p>
  </w:footnote>
  <w:footnote w:id="54">
    <w:p w:rsidR="00AE1FA2" w:rsidRPr="00E745E8" w:rsidRDefault="00AE1FA2" w:rsidP="00261F97">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James L. Gibson, ‘On Legitimacy Theory and the Effectiveness of Truth Commissions,’ </w:t>
      </w:r>
      <w:r w:rsidRPr="00E745E8">
        <w:rPr>
          <w:rFonts w:asciiTheme="majorBidi" w:hAnsiTheme="majorBidi" w:cstheme="majorBidi"/>
          <w:i/>
          <w:iCs/>
        </w:rPr>
        <w:t>Law and Contemporary Problems</w:t>
      </w:r>
      <w:r w:rsidRPr="00E745E8">
        <w:rPr>
          <w:rFonts w:asciiTheme="majorBidi" w:hAnsiTheme="majorBidi" w:cstheme="majorBidi"/>
        </w:rPr>
        <w:t xml:space="preserve"> 72(2) (2009): 123-141.</w:t>
      </w:r>
    </w:p>
    <w:p w:rsidR="00AE1FA2" w:rsidRPr="00360222" w:rsidRDefault="00AE1FA2">
      <w:pPr>
        <w:pStyle w:val="FootnoteText"/>
        <w:rPr>
          <w:rFonts w:asciiTheme="minorBidi" w:hAnsiTheme="minorBidi"/>
          <w:sz w:val="22"/>
          <w:szCs w:val="22"/>
        </w:rPr>
      </w:pPr>
    </w:p>
  </w:footnote>
  <w:footnote w:id="55">
    <w:p w:rsidR="00AE1FA2" w:rsidRPr="00360222" w:rsidRDefault="00AE1FA2" w:rsidP="00D22F67">
      <w:pPr>
        <w:pStyle w:val="FootnoteText"/>
        <w:rPr>
          <w:rFonts w:asciiTheme="minorBidi" w:hAnsiTheme="minorBidi"/>
          <w:sz w:val="22"/>
          <w:szCs w:val="22"/>
        </w:rPr>
      </w:pPr>
      <w:r w:rsidRPr="00360222">
        <w:rPr>
          <w:rStyle w:val="FootnoteReference"/>
          <w:rFonts w:asciiTheme="minorBidi" w:hAnsiTheme="minorBidi"/>
          <w:sz w:val="22"/>
          <w:szCs w:val="22"/>
        </w:rPr>
        <w:footnoteRef/>
      </w:r>
      <w:r w:rsidRPr="00360222">
        <w:rPr>
          <w:rFonts w:asciiTheme="minorBidi" w:hAnsiTheme="minorBidi"/>
          <w:sz w:val="22"/>
          <w:szCs w:val="22"/>
        </w:rPr>
        <w:t xml:space="preserve"> </w:t>
      </w:r>
      <w:r w:rsidRPr="00E745E8">
        <w:rPr>
          <w:rFonts w:asciiTheme="majorBidi" w:hAnsiTheme="majorBidi" w:cstheme="majorBidi"/>
        </w:rPr>
        <w:t xml:space="preserve">Edward E. Baptist, </w:t>
      </w:r>
      <w:r w:rsidRPr="00E745E8">
        <w:rPr>
          <w:rFonts w:asciiTheme="majorBidi" w:hAnsiTheme="majorBidi" w:cstheme="majorBidi"/>
          <w:i/>
          <w:iCs/>
        </w:rPr>
        <w:t>The Half Has Never Been Told. Slavery and the Making of American Capitalism</w:t>
      </w:r>
      <w:r w:rsidRPr="00E745E8">
        <w:rPr>
          <w:rFonts w:asciiTheme="majorBidi" w:hAnsiTheme="majorBidi" w:cstheme="majorBidi"/>
        </w:rPr>
        <w:t xml:space="preserve">, (New York: Basic Books, 1999): xiii-xxvii and </w:t>
      </w:r>
      <w:r w:rsidRPr="00E745E8">
        <w:rPr>
          <w:rFonts w:asciiTheme="majorBidi" w:hAnsiTheme="majorBidi" w:cstheme="majorBidi"/>
          <w:i/>
          <w:iCs/>
        </w:rPr>
        <w:t>passim</w:t>
      </w:r>
      <w:r w:rsidRPr="00E745E8">
        <w:rPr>
          <w:rFonts w:asciiTheme="majorBidi" w:hAnsiTheme="majorBidi" w:cstheme="majorBidi"/>
        </w:rPr>
        <w:t>.</w:t>
      </w:r>
      <w:r w:rsidRPr="00360222">
        <w:rPr>
          <w:rFonts w:asciiTheme="minorBidi" w:hAnsiTheme="minorBidi"/>
          <w:i/>
          <w:iCs/>
          <w:sz w:val="22"/>
          <w:szCs w:val="22"/>
        </w:rPr>
        <w:t xml:space="preserve"> </w:t>
      </w:r>
    </w:p>
    <w:p w:rsidR="00AE1FA2" w:rsidRPr="00360222" w:rsidRDefault="00AE1FA2">
      <w:pPr>
        <w:pStyle w:val="FootnoteText"/>
        <w:rPr>
          <w:rFonts w:asciiTheme="minorBidi" w:hAnsiTheme="minorBidi"/>
          <w:sz w:val="22"/>
          <w:szCs w:val="22"/>
        </w:rPr>
      </w:pPr>
    </w:p>
  </w:footnote>
  <w:footnote w:id="56">
    <w:p w:rsidR="00AE1FA2" w:rsidRPr="00E745E8" w:rsidRDefault="00AE1FA2" w:rsidP="00230BA9">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III: Contemporary History, Culture and Society</w:t>
      </w:r>
      <w:r w:rsidRPr="00E745E8">
        <w:rPr>
          <w:rFonts w:asciiTheme="majorBidi" w:hAnsiTheme="majorBidi" w:cstheme="majorBidi"/>
        </w:rPr>
        <w:t>, (Mauritius: Government of Mauritius, 2001), 5-6.</w:t>
      </w:r>
    </w:p>
    <w:p w:rsidR="00AE1FA2" w:rsidRPr="00E745E8" w:rsidRDefault="00AE1FA2">
      <w:pPr>
        <w:pStyle w:val="FootnoteText"/>
        <w:rPr>
          <w:rFonts w:asciiTheme="majorBidi" w:hAnsiTheme="majorBidi" w:cstheme="majorBidi"/>
        </w:rPr>
      </w:pPr>
    </w:p>
  </w:footnote>
  <w:footnote w:id="57">
    <w:p w:rsidR="00AE1FA2" w:rsidRPr="00E745E8" w:rsidRDefault="00AE1FA2" w:rsidP="00230BA9">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1: Report of the Truth and Justice Commission</w:t>
      </w:r>
      <w:r w:rsidRPr="00E745E8">
        <w:rPr>
          <w:rFonts w:asciiTheme="majorBidi" w:hAnsiTheme="majorBidi" w:cstheme="majorBidi"/>
        </w:rPr>
        <w:t>, (Mauritius: Government of Mauritius, 2001), 6-7.</w:t>
      </w:r>
    </w:p>
    <w:p w:rsidR="00AE1FA2" w:rsidRPr="00E745E8" w:rsidRDefault="00AE1FA2">
      <w:pPr>
        <w:pStyle w:val="FootnoteText"/>
        <w:rPr>
          <w:rFonts w:asciiTheme="majorBidi" w:hAnsiTheme="majorBidi" w:cstheme="majorBidi"/>
        </w:rPr>
      </w:pPr>
    </w:p>
  </w:footnote>
  <w:footnote w:id="58">
    <w:p w:rsidR="00AE1FA2" w:rsidRPr="00E745E8" w:rsidRDefault="00AE1FA2" w:rsidP="00230BA9">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III: Contemporary History, Culture and Society</w:t>
      </w:r>
      <w:r w:rsidRPr="00E745E8">
        <w:rPr>
          <w:rFonts w:asciiTheme="majorBidi" w:hAnsiTheme="majorBidi" w:cstheme="majorBidi"/>
        </w:rPr>
        <w:t>, (Mauritius: Government of Mauritius, 2001), 1.</w:t>
      </w:r>
    </w:p>
    <w:p w:rsidR="00AE1FA2" w:rsidRPr="00360222" w:rsidRDefault="00AE1FA2">
      <w:pPr>
        <w:pStyle w:val="FootnoteText"/>
        <w:rPr>
          <w:rFonts w:asciiTheme="minorBidi" w:hAnsiTheme="minorBidi"/>
          <w:sz w:val="22"/>
          <w:szCs w:val="22"/>
        </w:rPr>
      </w:pPr>
    </w:p>
  </w:footnote>
  <w:footnote w:id="59">
    <w:p w:rsidR="00AE1FA2" w:rsidRPr="00E745E8" w:rsidRDefault="00AE1FA2" w:rsidP="00C81FFA">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Clare Anderson, </w:t>
      </w:r>
      <w:r w:rsidRPr="00E745E8">
        <w:rPr>
          <w:rFonts w:asciiTheme="majorBidi" w:hAnsiTheme="majorBidi" w:cstheme="majorBidi"/>
          <w:i/>
          <w:iCs/>
        </w:rPr>
        <w:t>Subaltern Lives. Biographies of Colonialism in the Indian Ocean World, 1790-1920</w:t>
      </w:r>
      <w:r w:rsidRPr="00E745E8">
        <w:rPr>
          <w:rFonts w:asciiTheme="majorBidi" w:hAnsiTheme="majorBidi" w:cstheme="majorBidi"/>
        </w:rPr>
        <w:t>, (Cambridge: Cambridge University Press, 2012).</w:t>
      </w:r>
    </w:p>
    <w:p w:rsidR="00AE1FA2" w:rsidRPr="00E745E8" w:rsidRDefault="00AE1FA2" w:rsidP="002A383E">
      <w:pPr>
        <w:pStyle w:val="EndnoteText"/>
        <w:rPr>
          <w:rFonts w:asciiTheme="majorBidi" w:hAnsiTheme="majorBidi" w:cstheme="majorBidi"/>
        </w:rPr>
      </w:pPr>
    </w:p>
    <w:p w:rsidR="00AE1FA2" w:rsidRPr="00E745E8" w:rsidRDefault="00AE1FA2">
      <w:pPr>
        <w:pStyle w:val="FootnoteText"/>
        <w:rPr>
          <w:rFonts w:asciiTheme="majorBidi" w:hAnsiTheme="majorBidi" w:cstheme="majorBidi"/>
        </w:rPr>
      </w:pPr>
    </w:p>
  </w:footnote>
  <w:footnote w:id="60">
    <w:p w:rsidR="00AE1FA2" w:rsidRPr="00E745E8" w:rsidRDefault="00AE1FA2" w:rsidP="00C81FFA">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 Report of the Truth and Justice Commission</w:t>
      </w:r>
      <w:r w:rsidRPr="00E745E8">
        <w:rPr>
          <w:rFonts w:asciiTheme="majorBidi" w:hAnsiTheme="majorBidi" w:cstheme="majorBidi"/>
        </w:rPr>
        <w:t>, (Mauritius, Government of Mauritius, 2001), 2.</w:t>
      </w:r>
    </w:p>
    <w:p w:rsidR="00AE1FA2" w:rsidRPr="00E745E8" w:rsidRDefault="00AE1FA2">
      <w:pPr>
        <w:pStyle w:val="FootnoteText"/>
        <w:rPr>
          <w:rFonts w:asciiTheme="majorBidi" w:hAnsiTheme="majorBidi" w:cstheme="majorBidi"/>
        </w:rPr>
      </w:pPr>
    </w:p>
  </w:footnote>
  <w:footnote w:id="61">
    <w:p w:rsidR="00AE1FA2" w:rsidRPr="00E745E8" w:rsidRDefault="00AE1FA2" w:rsidP="00C81FFA">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 xml:space="preserve">Volume I:  Report of the Truth and Justice Commission </w:t>
      </w:r>
      <w:r w:rsidRPr="00E745E8">
        <w:rPr>
          <w:rFonts w:asciiTheme="majorBidi" w:hAnsiTheme="majorBidi" w:cstheme="majorBidi"/>
        </w:rPr>
        <w:t>(Mauritius: Government of Mauritius, 2001), 3.</w:t>
      </w:r>
    </w:p>
    <w:p w:rsidR="00AE1FA2" w:rsidRPr="00360222" w:rsidRDefault="00AE1FA2">
      <w:pPr>
        <w:pStyle w:val="FootnoteText"/>
        <w:rPr>
          <w:rFonts w:asciiTheme="minorBidi" w:hAnsiTheme="minorBidi"/>
          <w:sz w:val="22"/>
          <w:szCs w:val="22"/>
        </w:rPr>
      </w:pPr>
    </w:p>
  </w:footnote>
  <w:footnote w:id="62">
    <w:p w:rsidR="00AE1FA2" w:rsidRPr="00E745E8" w:rsidRDefault="00AE1FA2" w:rsidP="00360222">
      <w:pPr>
        <w:pStyle w:val="EndnoteText"/>
        <w:rPr>
          <w:rFonts w:asciiTheme="majorBidi" w:hAnsiTheme="majorBidi" w:cstheme="majorBidi"/>
          <w:lang w:val="fr-FR"/>
        </w:rPr>
      </w:pPr>
      <w:r w:rsidRPr="00E745E8">
        <w:rPr>
          <w:rStyle w:val="FootnoteReference"/>
          <w:rFonts w:asciiTheme="majorBidi" w:hAnsiTheme="majorBidi" w:cstheme="majorBidi"/>
        </w:rPr>
        <w:footnoteRef/>
      </w:r>
      <w:r w:rsidRPr="00E745E8">
        <w:rPr>
          <w:rFonts w:asciiTheme="majorBidi" w:hAnsiTheme="majorBidi" w:cstheme="majorBidi"/>
          <w:lang w:val="fr-FR"/>
        </w:rPr>
        <w:t xml:space="preserve"> Karl Noël, </w:t>
      </w:r>
      <w:r w:rsidRPr="00E745E8">
        <w:rPr>
          <w:rFonts w:asciiTheme="majorBidi" w:hAnsiTheme="majorBidi" w:cstheme="majorBidi"/>
          <w:i/>
          <w:iCs/>
          <w:lang w:val="fr-FR"/>
        </w:rPr>
        <w:t>L’Esclavage à l’Isle de France</w:t>
      </w:r>
      <w:r w:rsidRPr="00E745E8">
        <w:rPr>
          <w:rFonts w:asciiTheme="majorBidi" w:hAnsiTheme="majorBidi" w:cstheme="majorBidi"/>
          <w:lang w:val="fr-FR"/>
        </w:rPr>
        <w:t xml:space="preserve">, </w:t>
      </w:r>
      <w:r w:rsidRPr="00E745E8">
        <w:rPr>
          <w:rFonts w:asciiTheme="majorBidi" w:hAnsiTheme="majorBidi" w:cstheme="majorBidi"/>
          <w:i/>
          <w:iCs/>
          <w:lang w:val="fr-FR"/>
        </w:rPr>
        <w:t>(Ile Maurice) de 1715 à 1810’</w:t>
      </w:r>
      <w:r w:rsidRPr="00E745E8">
        <w:rPr>
          <w:rFonts w:asciiTheme="majorBidi" w:hAnsiTheme="majorBidi" w:cstheme="majorBidi"/>
          <w:lang w:val="fr-FR"/>
        </w:rPr>
        <w:t xml:space="preserve"> (Poitiers: Editions </w:t>
      </w:r>
      <w:proofErr w:type="spellStart"/>
      <w:r w:rsidRPr="00E745E8">
        <w:rPr>
          <w:rFonts w:asciiTheme="majorBidi" w:hAnsiTheme="majorBidi" w:cstheme="majorBidi"/>
          <w:lang w:val="fr-FR"/>
        </w:rPr>
        <w:t>Two</w:t>
      </w:r>
      <w:proofErr w:type="spellEnd"/>
      <w:r w:rsidRPr="00E745E8">
        <w:rPr>
          <w:rFonts w:asciiTheme="majorBidi" w:hAnsiTheme="majorBidi" w:cstheme="majorBidi"/>
          <w:lang w:val="fr-FR"/>
        </w:rPr>
        <w:t xml:space="preserve"> </w:t>
      </w:r>
      <w:proofErr w:type="spellStart"/>
      <w:r w:rsidRPr="00E745E8">
        <w:rPr>
          <w:rFonts w:asciiTheme="majorBidi" w:hAnsiTheme="majorBidi" w:cstheme="majorBidi"/>
          <w:lang w:val="fr-FR"/>
        </w:rPr>
        <w:t>Cities</w:t>
      </w:r>
      <w:proofErr w:type="spellEnd"/>
      <w:r w:rsidRPr="00E745E8">
        <w:rPr>
          <w:rFonts w:asciiTheme="majorBidi" w:hAnsiTheme="majorBidi" w:cstheme="majorBidi"/>
          <w:lang w:val="fr-FR"/>
        </w:rPr>
        <w:t xml:space="preserve">, 1991). He </w:t>
      </w:r>
      <w:proofErr w:type="spellStart"/>
      <w:r w:rsidRPr="00E745E8">
        <w:rPr>
          <w:rFonts w:asciiTheme="majorBidi" w:hAnsiTheme="majorBidi" w:cstheme="majorBidi"/>
          <w:lang w:val="fr-FR"/>
        </w:rPr>
        <w:t>asserts</w:t>
      </w:r>
      <w:proofErr w:type="spellEnd"/>
      <w:r w:rsidRPr="00E745E8">
        <w:rPr>
          <w:rFonts w:asciiTheme="majorBidi" w:hAnsiTheme="majorBidi" w:cstheme="majorBidi"/>
          <w:lang w:val="fr-FR"/>
        </w:rPr>
        <w:t xml:space="preserve"> (85) </w:t>
      </w:r>
      <w:proofErr w:type="spellStart"/>
      <w:r w:rsidRPr="00E745E8">
        <w:rPr>
          <w:rFonts w:asciiTheme="majorBidi" w:hAnsiTheme="majorBidi" w:cstheme="majorBidi"/>
          <w:lang w:val="fr-FR"/>
        </w:rPr>
        <w:t>that</w:t>
      </w:r>
      <w:proofErr w:type="spellEnd"/>
      <w:r w:rsidRPr="00E745E8">
        <w:rPr>
          <w:rFonts w:asciiTheme="majorBidi" w:hAnsiTheme="majorBidi" w:cstheme="majorBidi"/>
          <w:lang w:val="fr-FR"/>
        </w:rPr>
        <w:t xml:space="preserve"> ‘The </w:t>
      </w:r>
      <w:proofErr w:type="spellStart"/>
      <w:r w:rsidRPr="00E745E8">
        <w:rPr>
          <w:rFonts w:asciiTheme="majorBidi" w:hAnsiTheme="majorBidi" w:cstheme="majorBidi"/>
          <w:lang w:val="fr-FR"/>
        </w:rPr>
        <w:t>patriarchal</w:t>
      </w:r>
      <w:proofErr w:type="spellEnd"/>
      <w:r w:rsidRPr="00E745E8">
        <w:rPr>
          <w:rFonts w:asciiTheme="majorBidi" w:hAnsiTheme="majorBidi" w:cstheme="majorBidi"/>
          <w:lang w:val="fr-FR"/>
        </w:rPr>
        <w:t xml:space="preserve"> system </w:t>
      </w:r>
      <w:proofErr w:type="spellStart"/>
      <w:r w:rsidRPr="00E745E8">
        <w:rPr>
          <w:rFonts w:asciiTheme="majorBidi" w:hAnsiTheme="majorBidi" w:cstheme="majorBidi"/>
          <w:lang w:val="fr-FR"/>
        </w:rPr>
        <w:t>was</w:t>
      </w:r>
      <w:proofErr w:type="spellEnd"/>
      <w:r w:rsidRPr="00E745E8">
        <w:rPr>
          <w:rFonts w:asciiTheme="majorBidi" w:hAnsiTheme="majorBidi" w:cstheme="majorBidi"/>
          <w:lang w:val="fr-FR"/>
        </w:rPr>
        <w:t xml:space="preserve"> </w:t>
      </w:r>
      <w:proofErr w:type="spellStart"/>
      <w:r w:rsidRPr="00E745E8">
        <w:rPr>
          <w:rFonts w:asciiTheme="majorBidi" w:hAnsiTheme="majorBidi" w:cstheme="majorBidi"/>
          <w:lang w:val="fr-FR"/>
        </w:rPr>
        <w:t>practised</w:t>
      </w:r>
      <w:proofErr w:type="spellEnd"/>
      <w:r w:rsidRPr="00E745E8">
        <w:rPr>
          <w:rFonts w:asciiTheme="majorBidi" w:hAnsiTheme="majorBidi" w:cstheme="majorBidi"/>
          <w:lang w:val="fr-FR"/>
        </w:rPr>
        <w:t xml:space="preserve"> by masters </w:t>
      </w:r>
      <w:proofErr w:type="spellStart"/>
      <w:r w:rsidRPr="00E745E8">
        <w:rPr>
          <w:rFonts w:asciiTheme="majorBidi" w:hAnsiTheme="majorBidi" w:cstheme="majorBidi"/>
          <w:lang w:val="fr-FR"/>
        </w:rPr>
        <w:t>with</w:t>
      </w:r>
      <w:proofErr w:type="spellEnd"/>
      <w:r w:rsidRPr="00E745E8">
        <w:rPr>
          <w:rFonts w:asciiTheme="majorBidi" w:hAnsiTheme="majorBidi" w:cstheme="majorBidi"/>
          <w:lang w:val="fr-FR"/>
        </w:rPr>
        <w:t xml:space="preserve"> a certain bonhomie’ (‘Le système </w:t>
      </w:r>
      <w:proofErr w:type="spellStart"/>
      <w:r w:rsidRPr="00E745E8">
        <w:rPr>
          <w:rFonts w:asciiTheme="majorBidi" w:hAnsiTheme="majorBidi" w:cstheme="majorBidi"/>
          <w:lang w:val="fr-FR"/>
        </w:rPr>
        <w:t>patriarchal</w:t>
      </w:r>
      <w:proofErr w:type="spellEnd"/>
      <w:r w:rsidRPr="00E745E8">
        <w:rPr>
          <w:rFonts w:asciiTheme="majorBidi" w:hAnsiTheme="majorBidi" w:cstheme="majorBidi"/>
          <w:lang w:val="fr-FR"/>
        </w:rPr>
        <w:t xml:space="preserve"> y était pratiqué par les maitres avec un certain bonhomie…’</w:t>
      </w:r>
      <w:proofErr w:type="gramStart"/>
      <w:r w:rsidRPr="00E745E8">
        <w:rPr>
          <w:rFonts w:asciiTheme="majorBidi" w:hAnsiTheme="majorBidi" w:cstheme="majorBidi"/>
          <w:lang w:val="fr-FR"/>
        </w:rPr>
        <w:t>)marginalises</w:t>
      </w:r>
      <w:proofErr w:type="gramEnd"/>
      <w:r w:rsidRPr="00E745E8">
        <w:rPr>
          <w:rFonts w:asciiTheme="majorBidi" w:hAnsiTheme="majorBidi" w:cstheme="majorBidi"/>
          <w:lang w:val="fr-FR"/>
        </w:rPr>
        <w:t xml:space="preserve"> </w:t>
      </w:r>
      <w:proofErr w:type="spellStart"/>
      <w:r w:rsidRPr="00E745E8">
        <w:rPr>
          <w:rFonts w:asciiTheme="majorBidi" w:hAnsiTheme="majorBidi" w:cstheme="majorBidi"/>
          <w:lang w:val="fr-FR"/>
        </w:rPr>
        <w:t>slavery’s</w:t>
      </w:r>
      <w:proofErr w:type="spellEnd"/>
      <w:r w:rsidRPr="00E745E8">
        <w:rPr>
          <w:rFonts w:asciiTheme="majorBidi" w:hAnsiTheme="majorBidi" w:cstheme="majorBidi"/>
          <w:lang w:val="fr-FR"/>
        </w:rPr>
        <w:t xml:space="preserve"> structural </w:t>
      </w:r>
      <w:proofErr w:type="spellStart"/>
      <w:r w:rsidRPr="00E745E8">
        <w:rPr>
          <w:rFonts w:asciiTheme="majorBidi" w:hAnsiTheme="majorBidi" w:cstheme="majorBidi"/>
          <w:lang w:val="fr-FR"/>
        </w:rPr>
        <w:t>brutality</w:t>
      </w:r>
      <w:proofErr w:type="spellEnd"/>
      <w:r w:rsidRPr="00E745E8">
        <w:rPr>
          <w:rFonts w:asciiTheme="majorBidi" w:hAnsiTheme="majorBidi" w:cstheme="majorBidi"/>
          <w:lang w:val="fr-FR"/>
        </w:rPr>
        <w:t xml:space="preserve"> and the </w:t>
      </w:r>
      <w:proofErr w:type="spellStart"/>
      <w:r w:rsidRPr="00E745E8">
        <w:rPr>
          <w:rFonts w:asciiTheme="majorBidi" w:hAnsiTheme="majorBidi" w:cstheme="majorBidi"/>
          <w:lang w:val="fr-FR"/>
        </w:rPr>
        <w:t>specific</w:t>
      </w:r>
      <w:proofErr w:type="spellEnd"/>
      <w:r w:rsidRPr="00E745E8">
        <w:rPr>
          <w:rFonts w:asciiTheme="majorBidi" w:hAnsiTheme="majorBidi" w:cstheme="majorBidi"/>
          <w:lang w:val="fr-FR"/>
        </w:rPr>
        <w:t xml:space="preserve"> </w:t>
      </w:r>
      <w:proofErr w:type="spellStart"/>
      <w:r w:rsidRPr="00E745E8">
        <w:rPr>
          <w:rFonts w:asciiTheme="majorBidi" w:hAnsiTheme="majorBidi" w:cstheme="majorBidi"/>
          <w:lang w:val="fr-FR"/>
        </w:rPr>
        <w:t>vicious</w:t>
      </w:r>
      <w:proofErr w:type="spellEnd"/>
      <w:r w:rsidRPr="00E745E8">
        <w:rPr>
          <w:rFonts w:asciiTheme="majorBidi" w:hAnsiTheme="majorBidi" w:cstheme="majorBidi"/>
          <w:lang w:val="fr-FR"/>
        </w:rPr>
        <w:t xml:space="preserve"> </w:t>
      </w:r>
      <w:proofErr w:type="spellStart"/>
      <w:r w:rsidRPr="00E745E8">
        <w:rPr>
          <w:rFonts w:asciiTheme="majorBidi" w:hAnsiTheme="majorBidi" w:cstheme="majorBidi"/>
          <w:lang w:val="fr-FR"/>
        </w:rPr>
        <w:t>behaviours</w:t>
      </w:r>
      <w:proofErr w:type="spellEnd"/>
      <w:r w:rsidRPr="00E745E8">
        <w:rPr>
          <w:rFonts w:asciiTheme="majorBidi" w:hAnsiTheme="majorBidi" w:cstheme="majorBidi"/>
          <w:lang w:val="fr-FR"/>
        </w:rPr>
        <w:t xml:space="preserve"> of </w:t>
      </w:r>
      <w:proofErr w:type="spellStart"/>
      <w:r w:rsidRPr="00E745E8">
        <w:rPr>
          <w:rFonts w:asciiTheme="majorBidi" w:hAnsiTheme="majorBidi" w:cstheme="majorBidi"/>
          <w:lang w:val="fr-FR"/>
        </w:rPr>
        <w:t>many</w:t>
      </w:r>
      <w:proofErr w:type="spellEnd"/>
      <w:r w:rsidRPr="00E745E8">
        <w:rPr>
          <w:rFonts w:asciiTheme="majorBidi" w:hAnsiTheme="majorBidi" w:cstheme="majorBidi"/>
          <w:lang w:val="fr-FR"/>
        </w:rPr>
        <w:t xml:space="preserve"> slave masters </w:t>
      </w:r>
      <w:proofErr w:type="spellStart"/>
      <w:r w:rsidRPr="00E745E8">
        <w:rPr>
          <w:rFonts w:asciiTheme="majorBidi" w:hAnsiTheme="majorBidi" w:cstheme="majorBidi"/>
          <w:lang w:val="fr-FR"/>
        </w:rPr>
        <w:t>documented</w:t>
      </w:r>
      <w:proofErr w:type="spellEnd"/>
      <w:r w:rsidRPr="00E745E8">
        <w:rPr>
          <w:rFonts w:asciiTheme="majorBidi" w:hAnsiTheme="majorBidi" w:cstheme="majorBidi"/>
          <w:lang w:val="fr-FR"/>
        </w:rPr>
        <w:t xml:space="preserve"> by </w:t>
      </w:r>
      <w:proofErr w:type="spellStart"/>
      <w:r w:rsidRPr="00E745E8">
        <w:rPr>
          <w:rFonts w:asciiTheme="majorBidi" w:hAnsiTheme="majorBidi" w:cstheme="majorBidi"/>
          <w:lang w:val="fr-FR"/>
        </w:rPr>
        <w:t>Teelock</w:t>
      </w:r>
      <w:proofErr w:type="spellEnd"/>
      <w:r w:rsidRPr="00E745E8">
        <w:rPr>
          <w:rFonts w:asciiTheme="majorBidi" w:hAnsiTheme="majorBidi" w:cstheme="majorBidi"/>
          <w:lang w:val="fr-FR"/>
        </w:rPr>
        <w:t xml:space="preserve">, op.cit.  </w:t>
      </w:r>
    </w:p>
    <w:p w:rsidR="00AE1FA2" w:rsidRPr="00E745E8" w:rsidRDefault="00AE1FA2">
      <w:pPr>
        <w:pStyle w:val="FootnoteText"/>
        <w:rPr>
          <w:rFonts w:asciiTheme="majorBidi" w:hAnsiTheme="majorBidi" w:cstheme="majorBidi"/>
          <w:lang w:val="fr-FR"/>
        </w:rPr>
      </w:pPr>
    </w:p>
  </w:footnote>
  <w:footnote w:id="63">
    <w:p w:rsidR="00AE1FA2" w:rsidRPr="00E745E8" w:rsidRDefault="00AE1FA2" w:rsidP="00C81FFA">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 Report of the Truth and Justice Commission</w:t>
      </w:r>
      <w:r w:rsidRPr="00E745E8">
        <w:rPr>
          <w:rFonts w:asciiTheme="majorBidi" w:hAnsiTheme="majorBidi" w:cstheme="majorBidi"/>
        </w:rPr>
        <w:t>, (Mauritius, Government of Mauritius, 2001), 285.</w:t>
      </w:r>
    </w:p>
    <w:p w:rsidR="00AE1FA2" w:rsidRPr="00E745E8" w:rsidRDefault="00AE1FA2">
      <w:pPr>
        <w:pStyle w:val="FootnoteText"/>
        <w:rPr>
          <w:rFonts w:asciiTheme="majorBidi" w:hAnsiTheme="majorBidi" w:cstheme="majorBidi"/>
        </w:rPr>
      </w:pPr>
    </w:p>
  </w:footnote>
  <w:footnote w:id="64">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Ibid.</w:t>
      </w:r>
    </w:p>
    <w:p w:rsidR="00AE1FA2" w:rsidRPr="00360222" w:rsidRDefault="00AE1FA2">
      <w:pPr>
        <w:pStyle w:val="FootnoteText"/>
        <w:rPr>
          <w:rFonts w:asciiTheme="minorBidi" w:hAnsiTheme="minorBidi"/>
          <w:sz w:val="22"/>
          <w:szCs w:val="22"/>
        </w:rPr>
      </w:pPr>
    </w:p>
  </w:footnote>
  <w:footnote w:id="65">
    <w:p w:rsidR="00AE1FA2" w:rsidRPr="00360222" w:rsidRDefault="00AE1FA2">
      <w:pPr>
        <w:pStyle w:val="FootnoteText"/>
        <w:rPr>
          <w:rFonts w:asciiTheme="minorBidi" w:hAnsiTheme="minorBidi"/>
          <w:sz w:val="22"/>
          <w:szCs w:val="22"/>
        </w:rPr>
      </w:pPr>
      <w:r w:rsidRPr="00360222">
        <w:rPr>
          <w:rStyle w:val="FootnoteReference"/>
          <w:rFonts w:asciiTheme="minorBidi" w:hAnsiTheme="minorBidi"/>
          <w:sz w:val="22"/>
          <w:szCs w:val="22"/>
        </w:rPr>
        <w:footnoteRef/>
      </w:r>
      <w:r w:rsidRPr="00360222">
        <w:rPr>
          <w:rFonts w:asciiTheme="minorBidi" w:hAnsiTheme="minorBidi"/>
          <w:sz w:val="22"/>
          <w:szCs w:val="22"/>
        </w:rPr>
        <w:t xml:space="preserve"> </w:t>
      </w:r>
      <w:r w:rsidRPr="00E745E8">
        <w:rPr>
          <w:rFonts w:asciiTheme="majorBidi" w:hAnsiTheme="majorBidi" w:cstheme="majorBidi"/>
        </w:rPr>
        <w:t>Ibid.</w:t>
      </w:r>
    </w:p>
    <w:p w:rsidR="00AE1FA2" w:rsidRPr="00360222" w:rsidRDefault="00AE1FA2">
      <w:pPr>
        <w:pStyle w:val="FootnoteText"/>
        <w:rPr>
          <w:rFonts w:asciiTheme="minorBidi" w:hAnsiTheme="minorBidi"/>
          <w:sz w:val="22"/>
          <w:szCs w:val="22"/>
        </w:rPr>
      </w:pPr>
    </w:p>
  </w:footnote>
  <w:footnote w:id="66">
    <w:p w:rsidR="00AE1FA2" w:rsidRPr="00E745E8" w:rsidRDefault="00AE1FA2" w:rsidP="00D22F67">
      <w:pPr>
        <w:rPr>
          <w:rFonts w:asciiTheme="majorBidi" w:hAnsiTheme="majorBidi" w:cstheme="majorBidi"/>
          <w:sz w:val="20"/>
          <w:szCs w:val="20"/>
        </w:rPr>
      </w:pPr>
      <w:r w:rsidRPr="00E745E8">
        <w:rPr>
          <w:rStyle w:val="FootnoteReference"/>
          <w:rFonts w:asciiTheme="majorBidi" w:hAnsiTheme="majorBidi" w:cstheme="majorBidi"/>
          <w:sz w:val="20"/>
          <w:szCs w:val="20"/>
        </w:rPr>
        <w:footnoteRef/>
      </w:r>
      <w:r w:rsidRPr="00E745E8">
        <w:rPr>
          <w:rFonts w:asciiTheme="majorBidi" w:hAnsiTheme="majorBidi" w:cstheme="majorBidi"/>
          <w:sz w:val="20"/>
          <w:szCs w:val="20"/>
        </w:rPr>
        <w:t xml:space="preserve"> </w:t>
      </w:r>
      <w:proofErr w:type="gramStart"/>
      <w:r w:rsidRPr="00E745E8">
        <w:rPr>
          <w:rFonts w:asciiTheme="majorBidi" w:hAnsiTheme="majorBidi" w:cstheme="majorBidi"/>
          <w:sz w:val="20"/>
          <w:szCs w:val="20"/>
        </w:rPr>
        <w:t xml:space="preserve">Richard B. Allen, </w:t>
      </w:r>
      <w:r w:rsidRPr="00E745E8">
        <w:rPr>
          <w:rFonts w:asciiTheme="majorBidi" w:hAnsiTheme="majorBidi" w:cstheme="majorBidi"/>
          <w:i/>
          <w:iCs/>
          <w:sz w:val="20"/>
          <w:szCs w:val="20"/>
        </w:rPr>
        <w:t xml:space="preserve">Slaves, Freedmen, and Indentured Labourers in Mauritius, </w:t>
      </w:r>
      <w:r w:rsidRPr="00E745E8">
        <w:rPr>
          <w:rFonts w:asciiTheme="majorBidi" w:hAnsiTheme="majorBidi" w:cstheme="majorBidi"/>
          <w:sz w:val="20"/>
          <w:szCs w:val="20"/>
        </w:rPr>
        <w:t>(Cambridge: Cambridge University Press, 1999).</w:t>
      </w:r>
      <w:proofErr w:type="gramEnd"/>
    </w:p>
    <w:p w:rsidR="00AE1FA2" w:rsidRPr="00E745E8" w:rsidRDefault="00AE1FA2">
      <w:pPr>
        <w:pStyle w:val="FootnoteText"/>
        <w:rPr>
          <w:rFonts w:asciiTheme="majorBidi" w:hAnsiTheme="majorBidi" w:cstheme="majorBidi"/>
        </w:rPr>
      </w:pPr>
    </w:p>
  </w:footnote>
  <w:footnote w:id="67">
    <w:p w:rsidR="00AE1FA2" w:rsidRPr="00E745E8" w:rsidRDefault="00AE1FA2" w:rsidP="00C81FFA">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Ramesh </w:t>
      </w:r>
      <w:proofErr w:type="spellStart"/>
      <w:r w:rsidRPr="00E745E8">
        <w:rPr>
          <w:rFonts w:asciiTheme="majorBidi" w:hAnsiTheme="majorBidi" w:cstheme="majorBidi"/>
        </w:rPr>
        <w:t>Durbarry</w:t>
      </w:r>
      <w:proofErr w:type="spellEnd"/>
      <w:r w:rsidRPr="00E745E8">
        <w:rPr>
          <w:rFonts w:asciiTheme="majorBidi" w:hAnsiTheme="majorBidi" w:cstheme="majorBidi"/>
        </w:rPr>
        <w:t xml:space="preserve">, ‘Tourism and Economic Growth: The Case of Mauritius,’ </w:t>
      </w:r>
      <w:r w:rsidRPr="00E745E8">
        <w:rPr>
          <w:rFonts w:asciiTheme="majorBidi" w:hAnsiTheme="majorBidi" w:cstheme="majorBidi"/>
          <w:i/>
          <w:iCs/>
        </w:rPr>
        <w:t>Tourism Economics</w:t>
      </w:r>
      <w:r w:rsidRPr="00E745E8">
        <w:rPr>
          <w:rFonts w:asciiTheme="majorBidi" w:hAnsiTheme="majorBidi" w:cstheme="majorBidi"/>
        </w:rPr>
        <w:t xml:space="preserve"> 10(4) (2004): 389-401.</w:t>
      </w:r>
    </w:p>
    <w:p w:rsidR="00AE1FA2" w:rsidRPr="00E745E8" w:rsidRDefault="00AE1FA2">
      <w:pPr>
        <w:pStyle w:val="FootnoteText"/>
        <w:rPr>
          <w:rFonts w:asciiTheme="majorBidi" w:hAnsiTheme="majorBidi" w:cstheme="majorBidi"/>
        </w:rPr>
      </w:pPr>
    </w:p>
  </w:footnote>
  <w:footnote w:id="68">
    <w:p w:rsidR="00AE1FA2" w:rsidRPr="00E745E8" w:rsidRDefault="00AE1FA2" w:rsidP="00C81FFA">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Mauritius Truth and Justice Commission Report, </w:t>
      </w:r>
      <w:r w:rsidRPr="00E745E8">
        <w:rPr>
          <w:rFonts w:asciiTheme="majorBidi" w:hAnsiTheme="majorBidi" w:cstheme="majorBidi"/>
          <w:i/>
          <w:iCs/>
        </w:rPr>
        <w:t>Volume I: Report of the Truth and Justice Commission,</w:t>
      </w:r>
      <w:r w:rsidRPr="00E745E8">
        <w:rPr>
          <w:rFonts w:asciiTheme="majorBidi" w:hAnsiTheme="majorBidi" w:cstheme="majorBidi"/>
        </w:rPr>
        <w:t xml:space="preserve"> (Mauritius: Government of Mauritius, 2001), 9.</w:t>
      </w:r>
    </w:p>
    <w:p w:rsidR="00AE1FA2" w:rsidRPr="00E745E8" w:rsidRDefault="00AE1FA2">
      <w:pPr>
        <w:pStyle w:val="FootnoteText"/>
        <w:rPr>
          <w:rFonts w:asciiTheme="majorBidi" w:hAnsiTheme="majorBidi" w:cstheme="majorBidi"/>
        </w:rPr>
      </w:pPr>
    </w:p>
  </w:footnote>
  <w:footnote w:id="69">
    <w:p w:rsidR="00AE1FA2" w:rsidRPr="00E745E8" w:rsidRDefault="00AE1FA2" w:rsidP="00E424C8">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Thomas Piketty, </w:t>
      </w:r>
      <w:r w:rsidRPr="00E745E8">
        <w:rPr>
          <w:rFonts w:asciiTheme="majorBidi" w:hAnsiTheme="majorBidi" w:cstheme="majorBidi"/>
          <w:i/>
          <w:iCs/>
        </w:rPr>
        <w:t>Capital in the Twenty-First Century</w:t>
      </w:r>
      <w:r w:rsidRPr="00E745E8">
        <w:rPr>
          <w:rFonts w:asciiTheme="majorBidi" w:hAnsiTheme="majorBidi" w:cstheme="majorBidi"/>
        </w:rPr>
        <w:t xml:space="preserve">, (Cambridge, Mass: </w:t>
      </w:r>
      <w:proofErr w:type="spellStart"/>
      <w:r w:rsidRPr="00E745E8">
        <w:rPr>
          <w:rFonts w:asciiTheme="majorBidi" w:hAnsiTheme="majorBidi" w:cstheme="majorBidi"/>
        </w:rPr>
        <w:t>Belknapp</w:t>
      </w:r>
      <w:proofErr w:type="spellEnd"/>
      <w:r w:rsidRPr="00E745E8">
        <w:rPr>
          <w:rFonts w:asciiTheme="majorBidi" w:hAnsiTheme="majorBidi" w:cstheme="majorBidi"/>
        </w:rPr>
        <w:t xml:space="preserve"> Press of Harvard University Press, 2014).</w:t>
      </w:r>
    </w:p>
    <w:p w:rsidR="00AE1FA2" w:rsidRPr="00E745E8" w:rsidRDefault="00AE1FA2">
      <w:pPr>
        <w:pStyle w:val="FootnoteText"/>
        <w:rPr>
          <w:rFonts w:asciiTheme="majorBidi" w:hAnsiTheme="majorBidi" w:cstheme="majorBidi"/>
        </w:rPr>
      </w:pPr>
    </w:p>
  </w:footnote>
  <w:footnote w:id="70">
    <w:p w:rsidR="00AE1FA2" w:rsidRPr="00E745E8" w:rsidRDefault="00AE1FA2" w:rsidP="00E424C8">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w:t>
      </w:r>
      <w:proofErr w:type="gramStart"/>
      <w:r w:rsidRPr="00E745E8">
        <w:rPr>
          <w:rFonts w:asciiTheme="majorBidi" w:hAnsiTheme="majorBidi" w:cstheme="majorBidi"/>
        </w:rPr>
        <w:t>Richard Croucher and Didier Michel, ‘Legal at the Time?</w:t>
      </w:r>
      <w:proofErr w:type="gramEnd"/>
      <w:r w:rsidRPr="00E745E8">
        <w:rPr>
          <w:rFonts w:asciiTheme="majorBidi" w:hAnsiTheme="majorBidi" w:cstheme="majorBidi"/>
        </w:rPr>
        <w:t xml:space="preserve"> The Case of Mauritian Slavery,’ </w:t>
      </w:r>
      <w:r w:rsidRPr="00E745E8">
        <w:rPr>
          <w:rFonts w:asciiTheme="majorBidi" w:hAnsiTheme="majorBidi" w:cstheme="majorBidi"/>
          <w:i/>
          <w:iCs/>
        </w:rPr>
        <w:t>Journal of African Law</w:t>
      </w:r>
      <w:r w:rsidRPr="00E745E8">
        <w:rPr>
          <w:rFonts w:asciiTheme="majorBidi" w:hAnsiTheme="majorBidi" w:cstheme="majorBidi"/>
        </w:rPr>
        <w:t xml:space="preserve"> 58(1) (2014): 89-108.</w:t>
      </w:r>
    </w:p>
    <w:p w:rsidR="00AE1FA2" w:rsidRPr="00360222" w:rsidRDefault="00AE1FA2">
      <w:pPr>
        <w:pStyle w:val="FootnoteText"/>
        <w:rPr>
          <w:rFonts w:asciiTheme="minorBidi" w:hAnsiTheme="minorBidi"/>
          <w:sz w:val="22"/>
          <w:szCs w:val="22"/>
        </w:rPr>
      </w:pPr>
    </w:p>
  </w:footnote>
  <w:footnote w:id="71">
    <w:p w:rsidR="00AE1FA2" w:rsidRPr="00E745E8" w:rsidRDefault="00AE1FA2">
      <w:pPr>
        <w:pStyle w:val="Foot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Clare </w:t>
      </w:r>
      <w:proofErr w:type="gramStart"/>
      <w:r w:rsidRPr="00E745E8">
        <w:rPr>
          <w:rFonts w:asciiTheme="majorBidi" w:hAnsiTheme="majorBidi" w:cstheme="majorBidi"/>
        </w:rPr>
        <w:t>Anderson,</w:t>
      </w:r>
      <w:proofErr w:type="gramEnd"/>
      <w:r w:rsidRPr="00E745E8">
        <w:rPr>
          <w:rFonts w:asciiTheme="majorBidi" w:hAnsiTheme="majorBidi" w:cstheme="majorBidi"/>
        </w:rPr>
        <w:t xml:space="preserve"> </w:t>
      </w:r>
      <w:r w:rsidRPr="00E745E8">
        <w:rPr>
          <w:rFonts w:asciiTheme="majorBidi" w:hAnsiTheme="majorBidi" w:cstheme="majorBidi"/>
          <w:i/>
        </w:rPr>
        <w:t>Convicts in the Indian Ocean: Transportation from South Asia to Mauritius: 1816-53</w:t>
      </w:r>
      <w:r w:rsidRPr="00E745E8">
        <w:rPr>
          <w:rFonts w:asciiTheme="majorBidi" w:hAnsiTheme="majorBidi" w:cstheme="majorBidi"/>
        </w:rPr>
        <w:t xml:space="preserve">. (Basingstoke, </w:t>
      </w:r>
      <w:proofErr w:type="spellStart"/>
      <w:r w:rsidRPr="00E745E8">
        <w:rPr>
          <w:rFonts w:asciiTheme="majorBidi" w:hAnsiTheme="majorBidi" w:cstheme="majorBidi"/>
        </w:rPr>
        <w:t>MacMillian</w:t>
      </w:r>
      <w:proofErr w:type="spellEnd"/>
      <w:r w:rsidRPr="00E745E8">
        <w:rPr>
          <w:rFonts w:asciiTheme="majorBidi" w:hAnsiTheme="majorBidi" w:cstheme="majorBidi"/>
        </w:rPr>
        <w:t>: 2000).</w:t>
      </w:r>
    </w:p>
    <w:p w:rsidR="00AE1FA2" w:rsidRPr="00E745E8" w:rsidRDefault="00AE1FA2">
      <w:pPr>
        <w:pStyle w:val="FootnoteText"/>
        <w:rPr>
          <w:rFonts w:asciiTheme="majorBidi" w:hAnsiTheme="majorBidi" w:cstheme="majorBidi"/>
        </w:rPr>
      </w:pPr>
    </w:p>
  </w:footnote>
  <w:footnote w:id="72">
    <w:p w:rsidR="00AE1FA2" w:rsidRPr="00E745E8" w:rsidRDefault="00AE1FA2" w:rsidP="00E424C8">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Clare Anderson, </w:t>
      </w:r>
      <w:r w:rsidRPr="00E745E8">
        <w:rPr>
          <w:rFonts w:asciiTheme="majorBidi" w:hAnsiTheme="majorBidi" w:cstheme="majorBidi"/>
          <w:i/>
          <w:iCs/>
        </w:rPr>
        <w:t>Subaltern Lives. Biographies of Colonialism in the Indian Ocean World, 1790-1920</w:t>
      </w:r>
      <w:r w:rsidRPr="00E745E8">
        <w:rPr>
          <w:rFonts w:asciiTheme="majorBidi" w:hAnsiTheme="majorBidi" w:cstheme="majorBidi"/>
        </w:rPr>
        <w:t>, (Cambridge: Cambridge University Press, 2012).</w:t>
      </w:r>
    </w:p>
    <w:p w:rsidR="00AE1FA2" w:rsidRPr="00E745E8" w:rsidRDefault="00AE1FA2">
      <w:pPr>
        <w:pStyle w:val="FootnoteText"/>
        <w:rPr>
          <w:rFonts w:asciiTheme="majorBidi" w:hAnsiTheme="majorBidi" w:cstheme="majorBidi"/>
        </w:rPr>
      </w:pPr>
    </w:p>
  </w:footnote>
  <w:footnote w:id="73">
    <w:p w:rsidR="00AE1FA2" w:rsidRPr="00E745E8" w:rsidRDefault="00AE1FA2" w:rsidP="00E424C8">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Ibid</w:t>
      </w:r>
      <w:proofErr w:type="gramStart"/>
      <w:r w:rsidRPr="00E745E8">
        <w:rPr>
          <w:rFonts w:asciiTheme="majorBidi" w:hAnsiTheme="majorBidi" w:cstheme="majorBidi"/>
        </w:rPr>
        <w:t>..</w:t>
      </w:r>
      <w:proofErr w:type="gramEnd"/>
    </w:p>
    <w:p w:rsidR="00AE1FA2" w:rsidRPr="00E745E8" w:rsidRDefault="00AE1FA2">
      <w:pPr>
        <w:pStyle w:val="FootnoteText"/>
        <w:rPr>
          <w:rFonts w:asciiTheme="majorBidi" w:hAnsiTheme="majorBidi" w:cstheme="majorBidi"/>
        </w:rPr>
      </w:pPr>
    </w:p>
  </w:footnote>
  <w:footnote w:id="74">
    <w:p w:rsidR="00AE1FA2" w:rsidRPr="00E745E8" w:rsidRDefault="00AE1FA2" w:rsidP="00825B52">
      <w:pPr>
        <w:pStyle w:val="EndnoteText"/>
        <w:rPr>
          <w:rFonts w:asciiTheme="majorBidi" w:hAnsiTheme="majorBidi" w:cstheme="majorBidi"/>
        </w:rPr>
      </w:pPr>
      <w:r w:rsidRPr="00E745E8">
        <w:rPr>
          <w:rStyle w:val="FootnoteReference"/>
          <w:rFonts w:asciiTheme="majorBidi" w:hAnsiTheme="majorBidi" w:cstheme="majorBidi"/>
        </w:rPr>
        <w:footnoteRef/>
      </w:r>
      <w:r w:rsidRPr="00E745E8">
        <w:rPr>
          <w:rFonts w:asciiTheme="majorBidi" w:hAnsiTheme="majorBidi" w:cstheme="majorBidi"/>
        </w:rPr>
        <w:t xml:space="preserve"> Alessandro </w:t>
      </w:r>
      <w:proofErr w:type="spellStart"/>
      <w:r w:rsidRPr="00E745E8">
        <w:rPr>
          <w:rFonts w:asciiTheme="majorBidi" w:hAnsiTheme="majorBidi" w:cstheme="majorBidi"/>
        </w:rPr>
        <w:t>Stanziani</w:t>
      </w:r>
      <w:proofErr w:type="spellEnd"/>
      <w:r w:rsidRPr="00E745E8">
        <w:rPr>
          <w:rFonts w:asciiTheme="majorBidi" w:hAnsiTheme="majorBidi" w:cstheme="majorBidi"/>
        </w:rPr>
        <w:t xml:space="preserve">, </w:t>
      </w:r>
      <w:r w:rsidRPr="00E745E8">
        <w:rPr>
          <w:rFonts w:asciiTheme="majorBidi" w:hAnsiTheme="majorBidi" w:cstheme="majorBidi"/>
          <w:i/>
          <w:iCs/>
        </w:rPr>
        <w:t xml:space="preserve">Bondage.  </w:t>
      </w:r>
      <w:proofErr w:type="spellStart"/>
      <w:r w:rsidRPr="00E745E8">
        <w:rPr>
          <w:rFonts w:asciiTheme="majorBidi" w:hAnsiTheme="majorBidi" w:cstheme="majorBidi"/>
          <w:i/>
          <w:iCs/>
        </w:rPr>
        <w:t>Labor</w:t>
      </w:r>
      <w:proofErr w:type="spellEnd"/>
      <w:r w:rsidRPr="00E745E8">
        <w:rPr>
          <w:rFonts w:asciiTheme="majorBidi" w:hAnsiTheme="majorBidi" w:cstheme="majorBidi"/>
          <w:i/>
          <w:iCs/>
        </w:rPr>
        <w:t xml:space="preserve"> and Rights in Eurasia from the Sixteenth to the Early Twentieth Century</w:t>
      </w:r>
      <w:r w:rsidRPr="00E745E8">
        <w:rPr>
          <w:rFonts w:asciiTheme="majorBidi" w:hAnsiTheme="majorBidi" w:cstheme="majorBidi"/>
        </w:rPr>
        <w:t xml:space="preserve">, (New York: </w:t>
      </w:r>
      <w:proofErr w:type="spellStart"/>
      <w:r w:rsidRPr="00E745E8">
        <w:rPr>
          <w:rFonts w:asciiTheme="majorBidi" w:hAnsiTheme="majorBidi" w:cstheme="majorBidi"/>
        </w:rPr>
        <w:t>Berghahn</w:t>
      </w:r>
      <w:proofErr w:type="spellEnd"/>
      <w:r w:rsidRPr="00E745E8">
        <w:rPr>
          <w:rFonts w:asciiTheme="majorBidi" w:hAnsiTheme="majorBidi" w:cstheme="majorBidi"/>
        </w:rPr>
        <w:t xml:space="preserve"> Books, 2014).</w:t>
      </w:r>
    </w:p>
    <w:p w:rsidR="00AE1FA2" w:rsidRPr="00360222" w:rsidRDefault="00AE1FA2">
      <w:pPr>
        <w:pStyle w:val="FootnoteText"/>
        <w:rPr>
          <w:rFonts w:asciiTheme="minorBidi" w:hAnsiTheme="minorBidi"/>
          <w:sz w:val="22"/>
          <w:szCs w:val="22"/>
        </w:rPr>
      </w:pPr>
    </w:p>
  </w:footnote>
  <w:footnote w:id="75">
    <w:p w:rsidR="00AE1FA2" w:rsidRPr="00007E55" w:rsidRDefault="00AE1FA2" w:rsidP="00E424C8">
      <w:pPr>
        <w:pStyle w:val="EndnoteText"/>
        <w:rPr>
          <w:rFonts w:asciiTheme="majorBidi" w:hAnsiTheme="majorBidi" w:cstheme="majorBidi"/>
        </w:rPr>
      </w:pPr>
      <w:r w:rsidRPr="00007E55">
        <w:rPr>
          <w:rStyle w:val="FootnoteReference"/>
          <w:rFonts w:asciiTheme="majorBidi" w:hAnsiTheme="majorBidi" w:cstheme="majorBidi"/>
        </w:rPr>
        <w:footnoteRef/>
      </w:r>
      <w:r w:rsidRPr="00007E55">
        <w:rPr>
          <w:rFonts w:asciiTheme="majorBidi" w:hAnsiTheme="majorBidi" w:cstheme="majorBidi"/>
        </w:rPr>
        <w:t xml:space="preserve"> Richard Croucher and John McIlroy, ‘Mauritius 1937: The Origins of a Milestone in Colonial Labour Legislation,’ </w:t>
      </w:r>
      <w:proofErr w:type="spellStart"/>
      <w:r w:rsidRPr="00007E55">
        <w:rPr>
          <w:rFonts w:asciiTheme="majorBidi" w:hAnsiTheme="majorBidi" w:cstheme="majorBidi"/>
          <w:i/>
          <w:iCs/>
        </w:rPr>
        <w:t>Labor</w:t>
      </w:r>
      <w:proofErr w:type="spellEnd"/>
      <w:r w:rsidRPr="00007E55">
        <w:rPr>
          <w:rFonts w:asciiTheme="majorBidi" w:hAnsiTheme="majorBidi" w:cstheme="majorBidi"/>
          <w:i/>
          <w:iCs/>
        </w:rPr>
        <w:t xml:space="preserve"> History</w:t>
      </w:r>
      <w:r w:rsidRPr="00007E55">
        <w:rPr>
          <w:rFonts w:asciiTheme="majorBidi" w:hAnsiTheme="majorBidi" w:cstheme="majorBidi"/>
        </w:rPr>
        <w:t xml:space="preserve"> 54(3) (2013): 223-239.</w:t>
      </w:r>
    </w:p>
    <w:p w:rsidR="00AE1FA2" w:rsidRPr="00360222" w:rsidRDefault="00AE1FA2">
      <w:pPr>
        <w:pStyle w:val="FootnoteText"/>
        <w:rPr>
          <w:rFonts w:asciiTheme="minorBidi" w:hAnsiTheme="minorBidi"/>
          <w:sz w:val="22"/>
          <w:szCs w:val="22"/>
        </w:rPr>
      </w:pPr>
    </w:p>
  </w:footnote>
  <w:footnote w:id="76">
    <w:p w:rsidR="00AE1FA2" w:rsidRPr="00007E55" w:rsidRDefault="00AE1FA2" w:rsidP="00E424C8">
      <w:pPr>
        <w:pStyle w:val="EndnoteText"/>
        <w:rPr>
          <w:rFonts w:asciiTheme="majorBidi" w:hAnsiTheme="majorBidi" w:cstheme="majorBidi"/>
        </w:rPr>
      </w:pPr>
      <w:r w:rsidRPr="00007E55">
        <w:rPr>
          <w:rStyle w:val="FootnoteReference"/>
          <w:rFonts w:asciiTheme="majorBidi" w:hAnsiTheme="majorBidi" w:cstheme="majorBidi"/>
        </w:rPr>
        <w:footnoteRef/>
      </w:r>
      <w:r w:rsidRPr="00007E55">
        <w:rPr>
          <w:rFonts w:asciiTheme="majorBidi" w:hAnsiTheme="majorBidi" w:cstheme="majorBidi"/>
        </w:rPr>
        <w:t xml:space="preserve"> Mauritius Truth and Justice Commission Report, </w:t>
      </w:r>
      <w:r w:rsidRPr="00007E55">
        <w:rPr>
          <w:rFonts w:asciiTheme="majorBidi" w:hAnsiTheme="majorBidi" w:cstheme="majorBidi"/>
          <w:i/>
          <w:iCs/>
        </w:rPr>
        <w:t>Volume I: Report of the Truth and Justice Commission,</w:t>
      </w:r>
      <w:r w:rsidRPr="00007E55">
        <w:rPr>
          <w:rFonts w:asciiTheme="majorBidi" w:hAnsiTheme="majorBidi" w:cstheme="majorBidi"/>
        </w:rPr>
        <w:t xml:space="preserve"> (Mauritius: Government of Mauritius, 2011), 9.</w:t>
      </w:r>
    </w:p>
    <w:p w:rsidR="00AE1FA2" w:rsidRPr="00360222" w:rsidRDefault="00AE1FA2">
      <w:pPr>
        <w:pStyle w:val="FootnoteText"/>
        <w:rPr>
          <w:rFonts w:asciiTheme="minorBidi" w:hAnsiTheme="minorBidi"/>
          <w:sz w:val="22"/>
          <w:szCs w:val="22"/>
        </w:rPr>
      </w:pPr>
    </w:p>
  </w:footnote>
  <w:footnote w:id="77">
    <w:p w:rsidR="00AE1FA2" w:rsidRPr="00007E55" w:rsidRDefault="00AE1FA2">
      <w:pPr>
        <w:pStyle w:val="FootnoteText"/>
        <w:rPr>
          <w:rFonts w:asciiTheme="majorBidi" w:hAnsiTheme="majorBidi" w:cstheme="majorBidi"/>
        </w:rPr>
      </w:pPr>
      <w:r w:rsidRPr="00007E55">
        <w:rPr>
          <w:rStyle w:val="FootnoteReference"/>
          <w:rFonts w:asciiTheme="majorBidi" w:hAnsiTheme="majorBidi" w:cstheme="majorBidi"/>
        </w:rPr>
        <w:footnoteRef/>
      </w:r>
      <w:r w:rsidRPr="00007E55">
        <w:rPr>
          <w:rFonts w:asciiTheme="majorBidi" w:hAnsiTheme="majorBidi" w:cstheme="majorBidi"/>
        </w:rPr>
        <w:t xml:space="preserve"> Mauritius Truth and Justice Commission Report, </w:t>
      </w:r>
      <w:r w:rsidRPr="00007E55">
        <w:rPr>
          <w:rFonts w:asciiTheme="majorBidi" w:hAnsiTheme="majorBidi" w:cstheme="majorBidi"/>
          <w:i/>
          <w:iCs/>
        </w:rPr>
        <w:t>Volume I: Report of the Truth and Justice Commission,</w:t>
      </w:r>
      <w:r w:rsidRPr="00007E55">
        <w:rPr>
          <w:rFonts w:asciiTheme="majorBidi" w:hAnsiTheme="majorBidi" w:cstheme="majorBidi"/>
        </w:rPr>
        <w:t xml:space="preserve"> (Mauritius: Government of Mauritius, 2011), 347-8. </w:t>
      </w:r>
    </w:p>
    <w:p w:rsidR="00AE1FA2" w:rsidRPr="00007E55" w:rsidRDefault="00AE1FA2">
      <w:pPr>
        <w:pStyle w:val="FootnoteText"/>
        <w:rPr>
          <w:rFonts w:asciiTheme="majorBidi" w:hAnsiTheme="majorBidi" w:cstheme="majorBidi"/>
        </w:rPr>
      </w:pPr>
    </w:p>
  </w:footnote>
  <w:footnote w:id="78">
    <w:p w:rsidR="00AE1FA2" w:rsidRPr="00007E55" w:rsidRDefault="00AE1FA2">
      <w:pPr>
        <w:pStyle w:val="FootnoteText"/>
        <w:rPr>
          <w:rFonts w:asciiTheme="majorBidi" w:hAnsiTheme="majorBidi" w:cstheme="majorBidi"/>
          <w:lang w:val="fr-FR"/>
        </w:rPr>
      </w:pPr>
      <w:r w:rsidRPr="00007E55">
        <w:rPr>
          <w:rStyle w:val="FootnoteReference"/>
          <w:rFonts w:asciiTheme="majorBidi" w:hAnsiTheme="majorBidi" w:cstheme="majorBidi"/>
        </w:rPr>
        <w:footnoteRef/>
      </w:r>
      <w:r w:rsidRPr="00007E55">
        <w:rPr>
          <w:rFonts w:asciiTheme="majorBidi" w:hAnsiTheme="majorBidi" w:cstheme="majorBidi"/>
          <w:lang w:val="fr-FR"/>
        </w:rPr>
        <w:t xml:space="preserve"> </w:t>
      </w:r>
      <w:r w:rsidRPr="00007E55">
        <w:rPr>
          <w:rFonts w:asciiTheme="majorBidi" w:hAnsiTheme="majorBidi" w:cstheme="majorBidi"/>
          <w:i/>
          <w:iCs/>
          <w:lang w:val="fr-FR"/>
        </w:rPr>
        <w:t>Le Défi Plus</w:t>
      </w:r>
      <w:r w:rsidRPr="00007E55">
        <w:rPr>
          <w:rFonts w:asciiTheme="majorBidi" w:hAnsiTheme="majorBidi" w:cstheme="majorBidi"/>
          <w:lang w:val="fr-FR"/>
        </w:rPr>
        <w:t xml:space="preserve">, 26 </w:t>
      </w:r>
      <w:proofErr w:type="spellStart"/>
      <w:r w:rsidRPr="00007E55">
        <w:rPr>
          <w:rFonts w:asciiTheme="majorBidi" w:hAnsiTheme="majorBidi" w:cstheme="majorBidi"/>
          <w:lang w:val="fr-FR"/>
        </w:rPr>
        <w:t>November</w:t>
      </w:r>
      <w:proofErr w:type="spellEnd"/>
      <w:r w:rsidRPr="00007E55">
        <w:rPr>
          <w:rFonts w:asciiTheme="majorBidi" w:hAnsiTheme="majorBidi" w:cstheme="majorBidi"/>
          <w:lang w:val="fr-FR"/>
        </w:rPr>
        <w:t xml:space="preserve"> 2011.</w:t>
      </w:r>
    </w:p>
    <w:p w:rsidR="00AE1FA2" w:rsidRPr="00007E55" w:rsidRDefault="00AE1FA2">
      <w:pPr>
        <w:pStyle w:val="FootnoteText"/>
        <w:rPr>
          <w:rFonts w:asciiTheme="majorBidi" w:hAnsiTheme="majorBidi" w:cstheme="majorBidi"/>
          <w:lang w:val="fr-FR"/>
        </w:rPr>
      </w:pPr>
    </w:p>
  </w:footnote>
  <w:footnote w:id="79">
    <w:p w:rsidR="00AE1FA2" w:rsidRPr="00007E55" w:rsidRDefault="00AE1FA2" w:rsidP="002F3243">
      <w:pPr>
        <w:pStyle w:val="EndnoteText"/>
        <w:rPr>
          <w:rFonts w:asciiTheme="majorBidi" w:hAnsiTheme="majorBidi" w:cstheme="majorBidi"/>
          <w:lang w:val="fr-FR"/>
        </w:rPr>
      </w:pPr>
      <w:r w:rsidRPr="00007E55">
        <w:rPr>
          <w:rStyle w:val="FootnoteReference"/>
          <w:rFonts w:asciiTheme="majorBidi" w:hAnsiTheme="majorBidi" w:cstheme="majorBidi"/>
        </w:rPr>
        <w:footnoteRef/>
      </w:r>
      <w:r w:rsidRPr="00007E55">
        <w:rPr>
          <w:rFonts w:asciiTheme="majorBidi" w:hAnsiTheme="majorBidi" w:cstheme="majorBidi"/>
          <w:lang w:val="fr-FR"/>
        </w:rPr>
        <w:t xml:space="preserve"> </w:t>
      </w:r>
      <w:r w:rsidRPr="00007E55">
        <w:rPr>
          <w:rFonts w:asciiTheme="majorBidi" w:hAnsiTheme="majorBidi" w:cstheme="majorBidi"/>
          <w:i/>
          <w:iCs/>
          <w:lang w:val="fr-FR"/>
        </w:rPr>
        <w:t>Weekend</w:t>
      </w:r>
      <w:r w:rsidRPr="00007E55">
        <w:rPr>
          <w:rFonts w:asciiTheme="majorBidi" w:hAnsiTheme="majorBidi" w:cstheme="majorBidi"/>
          <w:lang w:val="fr-FR"/>
        </w:rPr>
        <w:t xml:space="preserve"> ‘</w:t>
      </w:r>
      <w:r w:rsidRPr="00007E55">
        <w:rPr>
          <w:rFonts w:asciiTheme="majorBidi" w:eastAsia="Times New Roman" w:hAnsiTheme="majorBidi" w:cstheme="majorBidi"/>
          <w:color w:val="000000"/>
          <w:kern w:val="36"/>
          <w:lang w:val="fr-FR"/>
        </w:rPr>
        <w:t>COMMISSION JUSTICE ET VÉRITÉ: Cash Compensation Out!</w:t>
      </w:r>
      <w:r w:rsidRPr="00007E55">
        <w:rPr>
          <w:rFonts w:asciiTheme="majorBidi" w:hAnsiTheme="majorBidi" w:cstheme="majorBidi"/>
          <w:lang w:val="fr-FR"/>
        </w:rPr>
        <w:t xml:space="preserve">’ 4 </w:t>
      </w:r>
      <w:proofErr w:type="spellStart"/>
      <w:r w:rsidRPr="00007E55">
        <w:rPr>
          <w:rFonts w:asciiTheme="majorBidi" w:hAnsiTheme="majorBidi" w:cstheme="majorBidi"/>
          <w:lang w:val="fr-FR"/>
        </w:rPr>
        <w:t>December</w:t>
      </w:r>
      <w:proofErr w:type="spellEnd"/>
      <w:r w:rsidRPr="00007E55">
        <w:rPr>
          <w:rFonts w:asciiTheme="majorBidi" w:hAnsiTheme="majorBidi" w:cstheme="majorBidi"/>
          <w:lang w:val="fr-FR"/>
        </w:rPr>
        <w:t xml:space="preserve"> 2011, </w:t>
      </w:r>
      <w:hyperlink r:id="rId4" w:history="1">
        <w:r w:rsidRPr="00007E55">
          <w:rPr>
            <w:rStyle w:val="Hyperlink"/>
            <w:rFonts w:asciiTheme="majorBidi" w:hAnsiTheme="majorBidi" w:cstheme="majorBidi"/>
            <w:lang w:val="fr-FR"/>
          </w:rPr>
          <w:t>http://www.lemauricien.com/article/commission-justice-et-v%C3%A9rit%C3%A9%C2%A0-cash-compensation-out</w:t>
        </w:r>
      </w:hyperlink>
      <w:r w:rsidRPr="00007E55">
        <w:rPr>
          <w:rFonts w:asciiTheme="majorBidi" w:hAnsiTheme="majorBidi" w:cstheme="majorBidi"/>
          <w:lang w:val="fr-FR"/>
        </w:rPr>
        <w:t xml:space="preserve"> </w:t>
      </w:r>
    </w:p>
    <w:p w:rsidR="00AE1FA2" w:rsidRPr="00007E55" w:rsidRDefault="00AE1FA2">
      <w:pPr>
        <w:pStyle w:val="FootnoteText"/>
        <w:rPr>
          <w:rFonts w:asciiTheme="majorBidi" w:hAnsiTheme="majorBidi" w:cstheme="majorBidi"/>
          <w:lang w:val="fr-FR"/>
        </w:rPr>
      </w:pPr>
    </w:p>
    <w:p w:rsidR="00AE1FA2" w:rsidRPr="00007E55" w:rsidRDefault="00AE1FA2">
      <w:pPr>
        <w:pStyle w:val="FootnoteText"/>
        <w:rPr>
          <w:rFonts w:asciiTheme="majorBidi" w:hAnsiTheme="majorBidi" w:cstheme="majorBidi"/>
          <w:lang w:val="fr-FR"/>
        </w:rPr>
      </w:pPr>
    </w:p>
  </w:footnote>
  <w:footnote w:id="80">
    <w:p w:rsidR="00AE1FA2" w:rsidRPr="00007E55" w:rsidRDefault="00AE1FA2">
      <w:pPr>
        <w:pStyle w:val="FootnoteText"/>
        <w:rPr>
          <w:rFonts w:asciiTheme="majorBidi" w:hAnsiTheme="majorBidi" w:cstheme="majorBidi"/>
        </w:rPr>
      </w:pPr>
      <w:r w:rsidRPr="00007E55">
        <w:rPr>
          <w:rStyle w:val="FootnoteReference"/>
          <w:rFonts w:asciiTheme="majorBidi" w:hAnsiTheme="majorBidi" w:cstheme="majorBidi"/>
        </w:rPr>
        <w:footnoteRef/>
      </w:r>
      <w:r w:rsidRPr="00007E55">
        <w:rPr>
          <w:rFonts w:asciiTheme="majorBidi" w:hAnsiTheme="majorBidi" w:cstheme="majorBidi"/>
        </w:rPr>
        <w:t xml:space="preserve"> </w:t>
      </w:r>
      <w:r w:rsidRPr="00007E55">
        <w:rPr>
          <w:rFonts w:asciiTheme="majorBidi" w:hAnsiTheme="majorBidi" w:cstheme="majorBidi"/>
          <w:i/>
          <w:iCs/>
        </w:rPr>
        <w:t xml:space="preserve">Le </w:t>
      </w:r>
      <w:proofErr w:type="spellStart"/>
      <w:r w:rsidRPr="00007E55">
        <w:rPr>
          <w:rFonts w:asciiTheme="majorBidi" w:hAnsiTheme="majorBidi" w:cstheme="majorBidi"/>
          <w:i/>
          <w:iCs/>
        </w:rPr>
        <w:t>Défi</w:t>
      </w:r>
      <w:proofErr w:type="spellEnd"/>
      <w:r w:rsidRPr="00007E55">
        <w:rPr>
          <w:rFonts w:asciiTheme="majorBidi" w:hAnsiTheme="majorBidi" w:cstheme="majorBidi"/>
          <w:i/>
          <w:iCs/>
        </w:rPr>
        <w:t xml:space="preserve"> Plus</w:t>
      </w:r>
      <w:r w:rsidRPr="00007E55">
        <w:rPr>
          <w:rFonts w:asciiTheme="majorBidi" w:hAnsiTheme="majorBidi" w:cstheme="majorBidi"/>
        </w:rPr>
        <w:t>, 26 November 2011.</w:t>
      </w:r>
    </w:p>
    <w:p w:rsidR="00AE1FA2" w:rsidRPr="00360222" w:rsidRDefault="00AE1FA2">
      <w:pPr>
        <w:pStyle w:val="FootnoteText"/>
        <w:rPr>
          <w:rFonts w:asciiTheme="minorBidi" w:hAnsiTheme="minorBidi"/>
          <w:sz w:val="22"/>
          <w:szCs w:val="22"/>
        </w:rPr>
      </w:pPr>
    </w:p>
  </w:footnote>
  <w:footnote w:id="81">
    <w:p w:rsidR="00AE1FA2" w:rsidRPr="00007E55" w:rsidRDefault="00AE1FA2" w:rsidP="00A6088D">
      <w:pPr>
        <w:rPr>
          <w:rFonts w:asciiTheme="majorBidi" w:hAnsiTheme="majorBidi" w:cstheme="majorBidi"/>
          <w:sz w:val="20"/>
          <w:szCs w:val="20"/>
        </w:rPr>
      </w:pPr>
      <w:r w:rsidRPr="00007E55">
        <w:rPr>
          <w:rStyle w:val="FootnoteReference"/>
          <w:rFonts w:asciiTheme="majorBidi" w:hAnsiTheme="majorBidi" w:cstheme="majorBidi"/>
          <w:sz w:val="20"/>
          <w:szCs w:val="20"/>
        </w:rPr>
        <w:footnoteRef/>
      </w:r>
      <w:r w:rsidRPr="00007E55">
        <w:rPr>
          <w:rFonts w:asciiTheme="majorBidi" w:hAnsiTheme="majorBidi" w:cstheme="majorBidi"/>
          <w:sz w:val="20"/>
          <w:szCs w:val="20"/>
        </w:rPr>
        <w:t xml:space="preserve"> </w:t>
      </w:r>
      <w:proofErr w:type="gramStart"/>
      <w:r w:rsidRPr="00007E55">
        <w:rPr>
          <w:rFonts w:asciiTheme="majorBidi" w:hAnsiTheme="majorBidi" w:cstheme="majorBidi"/>
          <w:sz w:val="20"/>
          <w:szCs w:val="20"/>
        </w:rPr>
        <w:t xml:space="preserve">Richard B. Allen, </w:t>
      </w:r>
      <w:r w:rsidRPr="00007E55">
        <w:rPr>
          <w:rFonts w:asciiTheme="majorBidi" w:hAnsiTheme="majorBidi" w:cstheme="majorBidi"/>
          <w:i/>
          <w:iCs/>
          <w:sz w:val="20"/>
          <w:szCs w:val="20"/>
        </w:rPr>
        <w:t>Slaves, Freedmen, and Indentured Labourers in Mauritius, (</w:t>
      </w:r>
      <w:r w:rsidRPr="00007E55">
        <w:rPr>
          <w:rFonts w:asciiTheme="majorBidi" w:hAnsiTheme="majorBidi" w:cstheme="majorBidi"/>
          <w:sz w:val="20"/>
          <w:szCs w:val="20"/>
        </w:rPr>
        <w:t>Cambridge: Cambridge University Press, 1999).</w:t>
      </w:r>
      <w:proofErr w:type="gramEnd"/>
      <w:r w:rsidRPr="00007E55">
        <w:rPr>
          <w:rFonts w:asciiTheme="majorBidi" w:hAnsiTheme="majorBidi" w:cstheme="majorBidi"/>
          <w:sz w:val="20"/>
          <w:szCs w:val="20"/>
        </w:rPr>
        <w:t xml:space="preserve">   </w:t>
      </w:r>
    </w:p>
  </w:footnote>
  <w:footnote w:id="82">
    <w:p w:rsidR="00AE1FA2" w:rsidRPr="00360222" w:rsidRDefault="00AE1FA2" w:rsidP="00A6088D">
      <w:pPr>
        <w:pStyle w:val="FootnoteText"/>
        <w:rPr>
          <w:rFonts w:asciiTheme="minorBidi" w:hAnsiTheme="minorBidi"/>
          <w:sz w:val="22"/>
          <w:szCs w:val="22"/>
        </w:rPr>
      </w:pPr>
      <w:r w:rsidRPr="00007E55">
        <w:rPr>
          <w:rStyle w:val="FootnoteReference"/>
          <w:rFonts w:asciiTheme="majorBidi" w:hAnsiTheme="majorBidi" w:cstheme="majorBidi"/>
        </w:rPr>
        <w:footnoteRef/>
      </w:r>
      <w:r w:rsidRPr="00007E55">
        <w:rPr>
          <w:rFonts w:asciiTheme="majorBidi" w:hAnsiTheme="majorBidi" w:cstheme="majorBidi"/>
        </w:rPr>
        <w:t xml:space="preserve"> David Lincoln</w:t>
      </w:r>
      <w:r w:rsidR="002E1570" w:rsidRPr="00007E55">
        <w:rPr>
          <w:rFonts w:asciiTheme="majorBidi" w:hAnsiTheme="majorBidi" w:cstheme="majorBidi"/>
        </w:rPr>
        <w:t>,</w:t>
      </w:r>
      <w:r w:rsidRPr="00007E55">
        <w:rPr>
          <w:rFonts w:asciiTheme="majorBidi" w:hAnsiTheme="majorBidi" w:cstheme="majorBidi"/>
        </w:rPr>
        <w:t xml:space="preserve"> ‘Beyond the Plantation: Mauritius in the Global Division of Labour,’ </w:t>
      </w:r>
      <w:r w:rsidRPr="00007E55">
        <w:rPr>
          <w:rFonts w:asciiTheme="majorBidi" w:hAnsiTheme="majorBidi" w:cstheme="majorBidi"/>
          <w:i/>
          <w:iCs/>
        </w:rPr>
        <w:t>Journal of Modern African Studies</w:t>
      </w:r>
      <w:r w:rsidRPr="00007E55">
        <w:rPr>
          <w:rFonts w:asciiTheme="majorBidi" w:hAnsiTheme="majorBidi" w:cstheme="majorBidi"/>
        </w:rPr>
        <w:t xml:space="preserve"> 44(1) (2006) 59-78.</w:t>
      </w:r>
      <w:r w:rsidRPr="00360222">
        <w:rPr>
          <w:rFonts w:asciiTheme="minorBidi" w:hAnsiTheme="minorBidi"/>
          <w:sz w:val="22"/>
          <w:szCs w:val="22"/>
        </w:rPr>
        <w:t xml:space="preserve"> </w:t>
      </w:r>
    </w:p>
  </w:footnote>
  <w:footnote w:id="83">
    <w:p w:rsidR="00AE1FA2" w:rsidRPr="00007E55" w:rsidRDefault="00AE1FA2" w:rsidP="000D1794">
      <w:pPr>
        <w:pStyle w:val="EndnoteText"/>
        <w:rPr>
          <w:rFonts w:asciiTheme="majorBidi" w:hAnsiTheme="majorBidi" w:cstheme="majorBidi"/>
        </w:rPr>
      </w:pPr>
      <w:r w:rsidRPr="00007E55">
        <w:rPr>
          <w:rStyle w:val="FootnoteReference"/>
          <w:rFonts w:asciiTheme="majorBidi" w:hAnsiTheme="majorBidi" w:cstheme="majorBidi"/>
        </w:rPr>
        <w:footnoteRef/>
      </w:r>
      <w:r w:rsidRPr="00007E55">
        <w:rPr>
          <w:rFonts w:asciiTheme="majorBidi" w:hAnsiTheme="majorBidi" w:cstheme="majorBidi"/>
        </w:rPr>
        <w:t xml:space="preserve"> </w:t>
      </w:r>
      <w:proofErr w:type="spellStart"/>
      <w:r w:rsidRPr="00007E55">
        <w:rPr>
          <w:rFonts w:asciiTheme="majorBidi" w:hAnsiTheme="majorBidi" w:cstheme="majorBidi"/>
        </w:rPr>
        <w:t>Jelena</w:t>
      </w:r>
      <w:proofErr w:type="spellEnd"/>
      <w:r w:rsidRPr="00007E55">
        <w:rPr>
          <w:rFonts w:asciiTheme="majorBidi" w:hAnsiTheme="majorBidi" w:cstheme="majorBidi"/>
        </w:rPr>
        <w:t xml:space="preserve"> </w:t>
      </w:r>
      <w:proofErr w:type="spellStart"/>
      <w:r w:rsidRPr="00007E55">
        <w:rPr>
          <w:rFonts w:asciiTheme="majorBidi" w:hAnsiTheme="majorBidi" w:cstheme="majorBidi"/>
          <w:lang w:val="en-US"/>
        </w:rPr>
        <w:t>Obradović-Wochnik</w:t>
      </w:r>
      <w:proofErr w:type="spellEnd"/>
      <w:r w:rsidRPr="00007E55">
        <w:rPr>
          <w:rFonts w:asciiTheme="majorBidi" w:hAnsiTheme="majorBidi" w:cstheme="majorBidi"/>
          <w:lang w:val="en-US"/>
        </w:rPr>
        <w:t>, ‘</w:t>
      </w:r>
      <w:proofErr w:type="gramStart"/>
      <w:r w:rsidRPr="00007E55">
        <w:rPr>
          <w:rFonts w:asciiTheme="majorBidi" w:hAnsiTheme="majorBidi" w:cstheme="majorBidi"/>
          <w:lang w:val="en-US"/>
        </w:rPr>
        <w:t>The</w:t>
      </w:r>
      <w:proofErr w:type="gramEnd"/>
      <w:r w:rsidRPr="00007E55">
        <w:rPr>
          <w:rFonts w:asciiTheme="majorBidi" w:hAnsiTheme="majorBidi" w:cstheme="majorBidi"/>
          <w:lang w:val="en-US"/>
        </w:rPr>
        <w:t xml:space="preserve"> ‘Silent Dilemma’ of Transitional Justice: Silencing and Confronting the Past in Serbia,’ </w:t>
      </w:r>
      <w:r w:rsidRPr="00007E55">
        <w:rPr>
          <w:rFonts w:asciiTheme="majorBidi" w:hAnsiTheme="majorBidi" w:cstheme="majorBidi"/>
          <w:i/>
          <w:iCs/>
          <w:lang w:val="en-US"/>
        </w:rPr>
        <w:t>International Journal of Transitional Justice</w:t>
      </w:r>
      <w:r w:rsidRPr="00007E55">
        <w:rPr>
          <w:rFonts w:asciiTheme="majorBidi" w:hAnsiTheme="majorBidi" w:cstheme="majorBidi"/>
          <w:lang w:val="en-US"/>
        </w:rPr>
        <w:t xml:space="preserve"> 7 (2) (2013): 382-347.</w:t>
      </w:r>
    </w:p>
    <w:p w:rsidR="00AE1FA2" w:rsidRPr="00360222" w:rsidRDefault="00AE1FA2">
      <w:pPr>
        <w:pStyle w:val="FootnoteText"/>
        <w:rPr>
          <w:rFonts w:asciiTheme="minorBidi" w:hAnsiTheme="minorBidi"/>
          <w:sz w:val="22"/>
          <w:szCs w:val="22"/>
        </w:rPr>
      </w:pPr>
    </w:p>
  </w:footnote>
  <w:footnote w:id="84">
    <w:p w:rsidR="00AE1FA2" w:rsidRPr="00007E55" w:rsidRDefault="00AE1FA2" w:rsidP="000D1794">
      <w:pPr>
        <w:pStyle w:val="EndnoteText"/>
        <w:rPr>
          <w:rFonts w:asciiTheme="majorBidi" w:hAnsiTheme="majorBidi" w:cstheme="majorBidi"/>
        </w:rPr>
      </w:pPr>
      <w:r w:rsidRPr="00007E55">
        <w:rPr>
          <w:rStyle w:val="FootnoteReference"/>
          <w:rFonts w:asciiTheme="majorBidi" w:hAnsiTheme="majorBidi" w:cstheme="majorBidi"/>
        </w:rPr>
        <w:footnoteRef/>
      </w:r>
      <w:r w:rsidRPr="00007E55">
        <w:rPr>
          <w:rFonts w:asciiTheme="majorBidi" w:hAnsiTheme="majorBidi" w:cstheme="majorBidi"/>
        </w:rPr>
        <w:t xml:space="preserve"> Paul van </w:t>
      </w:r>
      <w:proofErr w:type="spellStart"/>
      <w:r w:rsidRPr="00007E55">
        <w:rPr>
          <w:rFonts w:asciiTheme="majorBidi" w:hAnsiTheme="majorBidi" w:cstheme="majorBidi"/>
        </w:rPr>
        <w:t>Zyl</w:t>
      </w:r>
      <w:proofErr w:type="spellEnd"/>
      <w:r w:rsidRPr="00007E55">
        <w:rPr>
          <w:rFonts w:asciiTheme="majorBidi" w:hAnsiTheme="majorBidi" w:cstheme="majorBidi"/>
        </w:rPr>
        <w:t xml:space="preserve">, (2005) ‘Promoting Transitional Justice in Post-Conflict Societies,’ in </w:t>
      </w:r>
      <w:r w:rsidRPr="00007E55">
        <w:rPr>
          <w:rFonts w:asciiTheme="majorBidi" w:hAnsiTheme="majorBidi" w:cstheme="majorBidi"/>
          <w:i/>
          <w:iCs/>
        </w:rPr>
        <w:t>Security Governance in Post-Conflict Peacebuilding</w:t>
      </w:r>
      <w:r w:rsidRPr="00007E55">
        <w:rPr>
          <w:rFonts w:asciiTheme="majorBidi" w:hAnsiTheme="majorBidi" w:cstheme="majorBidi"/>
        </w:rPr>
        <w:t xml:space="preserve">, ed. Alan </w:t>
      </w:r>
      <w:proofErr w:type="spellStart"/>
      <w:r w:rsidRPr="00007E55">
        <w:rPr>
          <w:rFonts w:asciiTheme="majorBidi" w:hAnsiTheme="majorBidi" w:cstheme="majorBidi"/>
        </w:rPr>
        <w:t>Bryden</w:t>
      </w:r>
      <w:proofErr w:type="spellEnd"/>
      <w:r w:rsidRPr="00007E55">
        <w:rPr>
          <w:rFonts w:asciiTheme="majorBidi" w:hAnsiTheme="majorBidi" w:cstheme="majorBidi"/>
        </w:rPr>
        <w:t xml:space="preserve"> and Heiner</w:t>
      </w:r>
      <w:r w:rsidRPr="00007E55">
        <w:rPr>
          <w:rFonts w:asciiTheme="majorBidi" w:hAnsiTheme="majorBidi" w:cstheme="majorBidi"/>
          <w:color w:val="000000"/>
          <w:shd w:val="clear" w:color="auto" w:fill="FFFFFF"/>
        </w:rPr>
        <w:t xml:space="preserve"> </w:t>
      </w:r>
      <w:proofErr w:type="spellStart"/>
      <w:r w:rsidRPr="00007E55">
        <w:rPr>
          <w:rFonts w:asciiTheme="majorBidi" w:hAnsiTheme="majorBidi" w:cstheme="majorBidi"/>
          <w:color w:val="000000"/>
          <w:shd w:val="clear" w:color="auto" w:fill="FFFFFF"/>
        </w:rPr>
        <w:t>Hänggi</w:t>
      </w:r>
      <w:proofErr w:type="spellEnd"/>
      <w:r w:rsidRPr="00007E55">
        <w:rPr>
          <w:rFonts w:asciiTheme="majorBidi" w:hAnsiTheme="majorBidi" w:cstheme="majorBidi"/>
          <w:color w:val="000000"/>
          <w:shd w:val="clear" w:color="auto" w:fill="FFFFFF"/>
        </w:rPr>
        <w:t xml:space="preserve"> Geneva: Centre for the Democratic Control of Armed Forces: 227.</w:t>
      </w:r>
    </w:p>
    <w:p w:rsidR="00AE1FA2" w:rsidRPr="00360222" w:rsidRDefault="00AE1FA2">
      <w:pPr>
        <w:pStyle w:val="FootnoteText"/>
        <w:rPr>
          <w:rFonts w:asciiTheme="minorBidi" w:hAnsiTheme="minorBidi"/>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84694"/>
    <w:multiLevelType w:val="hybridMultilevel"/>
    <w:tmpl w:val="2062D844"/>
    <w:lvl w:ilvl="0" w:tplc="25442328">
      <w:start w:val="1"/>
      <w:numFmt w:val="decimal"/>
      <w:lvlText w:val="%1."/>
      <w:lvlJc w:val="left"/>
      <w:pPr>
        <w:ind w:left="720" w:hanging="360"/>
      </w:pPr>
      <w:rPr>
        <w:rFonts w:asciiTheme="minorHAnsi" w:hAnsiTheme="minorHAnsi" w:cstheme="minorBid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E2"/>
    <w:rsid w:val="000006C3"/>
    <w:rsid w:val="0000138E"/>
    <w:rsid w:val="00003C6E"/>
    <w:rsid w:val="0000596D"/>
    <w:rsid w:val="00007E55"/>
    <w:rsid w:val="00010A2C"/>
    <w:rsid w:val="00012619"/>
    <w:rsid w:val="00012B98"/>
    <w:rsid w:val="000131F4"/>
    <w:rsid w:val="00016702"/>
    <w:rsid w:val="00024CBD"/>
    <w:rsid w:val="000250EA"/>
    <w:rsid w:val="00026439"/>
    <w:rsid w:val="00027E57"/>
    <w:rsid w:val="000337A0"/>
    <w:rsid w:val="000341E1"/>
    <w:rsid w:val="0003472D"/>
    <w:rsid w:val="0003483B"/>
    <w:rsid w:val="0003611C"/>
    <w:rsid w:val="00036456"/>
    <w:rsid w:val="00037E9A"/>
    <w:rsid w:val="00041441"/>
    <w:rsid w:val="00043D12"/>
    <w:rsid w:val="00044E40"/>
    <w:rsid w:val="00046251"/>
    <w:rsid w:val="0005176E"/>
    <w:rsid w:val="00052843"/>
    <w:rsid w:val="000571A4"/>
    <w:rsid w:val="00057591"/>
    <w:rsid w:val="00061802"/>
    <w:rsid w:val="0006658B"/>
    <w:rsid w:val="000670D9"/>
    <w:rsid w:val="000706ED"/>
    <w:rsid w:val="00072C01"/>
    <w:rsid w:val="00073ABD"/>
    <w:rsid w:val="0007404C"/>
    <w:rsid w:val="00080758"/>
    <w:rsid w:val="000822F8"/>
    <w:rsid w:val="000838CE"/>
    <w:rsid w:val="00085C8C"/>
    <w:rsid w:val="00085F41"/>
    <w:rsid w:val="000867EA"/>
    <w:rsid w:val="000872FE"/>
    <w:rsid w:val="00090199"/>
    <w:rsid w:val="000906E9"/>
    <w:rsid w:val="0009115C"/>
    <w:rsid w:val="000929C8"/>
    <w:rsid w:val="00093C24"/>
    <w:rsid w:val="000A0148"/>
    <w:rsid w:val="000A01BB"/>
    <w:rsid w:val="000A175C"/>
    <w:rsid w:val="000A39F6"/>
    <w:rsid w:val="000A4A2E"/>
    <w:rsid w:val="000A5A68"/>
    <w:rsid w:val="000B051F"/>
    <w:rsid w:val="000B21F0"/>
    <w:rsid w:val="000B58DB"/>
    <w:rsid w:val="000C0FAC"/>
    <w:rsid w:val="000C1BAA"/>
    <w:rsid w:val="000C3512"/>
    <w:rsid w:val="000C35C0"/>
    <w:rsid w:val="000C37C9"/>
    <w:rsid w:val="000C3994"/>
    <w:rsid w:val="000C51B5"/>
    <w:rsid w:val="000C5D57"/>
    <w:rsid w:val="000D0A8B"/>
    <w:rsid w:val="000D1794"/>
    <w:rsid w:val="000D50D2"/>
    <w:rsid w:val="000D61E3"/>
    <w:rsid w:val="000D6FAE"/>
    <w:rsid w:val="000E0971"/>
    <w:rsid w:val="000E0F8B"/>
    <w:rsid w:val="000E34C6"/>
    <w:rsid w:val="000E38AC"/>
    <w:rsid w:val="000E59AD"/>
    <w:rsid w:val="000E5DE7"/>
    <w:rsid w:val="000E6C80"/>
    <w:rsid w:val="000E6D25"/>
    <w:rsid w:val="000E6E19"/>
    <w:rsid w:val="000F022B"/>
    <w:rsid w:val="000F10BD"/>
    <w:rsid w:val="000F1617"/>
    <w:rsid w:val="000F3151"/>
    <w:rsid w:val="000F3D64"/>
    <w:rsid w:val="000F6AA3"/>
    <w:rsid w:val="001005BA"/>
    <w:rsid w:val="00104029"/>
    <w:rsid w:val="00106FB2"/>
    <w:rsid w:val="001076B1"/>
    <w:rsid w:val="00107882"/>
    <w:rsid w:val="00110147"/>
    <w:rsid w:val="00110A6C"/>
    <w:rsid w:val="00112590"/>
    <w:rsid w:val="00112781"/>
    <w:rsid w:val="00112B88"/>
    <w:rsid w:val="0011407B"/>
    <w:rsid w:val="00116D87"/>
    <w:rsid w:val="00120A92"/>
    <w:rsid w:val="001230FB"/>
    <w:rsid w:val="0012346C"/>
    <w:rsid w:val="001246A2"/>
    <w:rsid w:val="00124FAC"/>
    <w:rsid w:val="00125AE2"/>
    <w:rsid w:val="00127DC9"/>
    <w:rsid w:val="00131420"/>
    <w:rsid w:val="00133237"/>
    <w:rsid w:val="0013656E"/>
    <w:rsid w:val="00137A4A"/>
    <w:rsid w:val="001429E9"/>
    <w:rsid w:val="00142A24"/>
    <w:rsid w:val="00143871"/>
    <w:rsid w:val="001443AF"/>
    <w:rsid w:val="00144620"/>
    <w:rsid w:val="001513A6"/>
    <w:rsid w:val="0015388C"/>
    <w:rsid w:val="00155154"/>
    <w:rsid w:val="00155513"/>
    <w:rsid w:val="0015584C"/>
    <w:rsid w:val="001561FD"/>
    <w:rsid w:val="00157494"/>
    <w:rsid w:val="00160C4A"/>
    <w:rsid w:val="001635BB"/>
    <w:rsid w:val="00164F93"/>
    <w:rsid w:val="001658C8"/>
    <w:rsid w:val="0016755F"/>
    <w:rsid w:val="0017067E"/>
    <w:rsid w:val="001709EE"/>
    <w:rsid w:val="001722B2"/>
    <w:rsid w:val="00173B5E"/>
    <w:rsid w:val="00174B55"/>
    <w:rsid w:val="00176BCB"/>
    <w:rsid w:val="00177A19"/>
    <w:rsid w:val="00181483"/>
    <w:rsid w:val="00192AB6"/>
    <w:rsid w:val="001940CE"/>
    <w:rsid w:val="00195245"/>
    <w:rsid w:val="00196A48"/>
    <w:rsid w:val="001971F0"/>
    <w:rsid w:val="001A18A3"/>
    <w:rsid w:val="001A24FA"/>
    <w:rsid w:val="001A6FE0"/>
    <w:rsid w:val="001A78AE"/>
    <w:rsid w:val="001B0500"/>
    <w:rsid w:val="001B1B03"/>
    <w:rsid w:val="001B45B9"/>
    <w:rsid w:val="001B57D9"/>
    <w:rsid w:val="001B68EC"/>
    <w:rsid w:val="001C0A2A"/>
    <w:rsid w:val="001C150C"/>
    <w:rsid w:val="001C2487"/>
    <w:rsid w:val="001C2B51"/>
    <w:rsid w:val="001C2C56"/>
    <w:rsid w:val="001C66B5"/>
    <w:rsid w:val="001C68B3"/>
    <w:rsid w:val="001C68DC"/>
    <w:rsid w:val="001C6F2C"/>
    <w:rsid w:val="001E1248"/>
    <w:rsid w:val="001E1EAF"/>
    <w:rsid w:val="001E3D42"/>
    <w:rsid w:val="001E4898"/>
    <w:rsid w:val="001F2DF3"/>
    <w:rsid w:val="001F3116"/>
    <w:rsid w:val="001F4C6E"/>
    <w:rsid w:val="001F71D3"/>
    <w:rsid w:val="001F75C9"/>
    <w:rsid w:val="00200C89"/>
    <w:rsid w:val="00203AE6"/>
    <w:rsid w:val="002064C6"/>
    <w:rsid w:val="00206A20"/>
    <w:rsid w:val="00215BA8"/>
    <w:rsid w:val="0021602C"/>
    <w:rsid w:val="00217671"/>
    <w:rsid w:val="00220243"/>
    <w:rsid w:val="00223E77"/>
    <w:rsid w:val="00230BA9"/>
    <w:rsid w:val="002324B4"/>
    <w:rsid w:val="00233532"/>
    <w:rsid w:val="00234879"/>
    <w:rsid w:val="00235AD6"/>
    <w:rsid w:val="00237C0C"/>
    <w:rsid w:val="002406E4"/>
    <w:rsid w:val="002458C2"/>
    <w:rsid w:val="00245D42"/>
    <w:rsid w:val="00247685"/>
    <w:rsid w:val="0025045A"/>
    <w:rsid w:val="0025111F"/>
    <w:rsid w:val="002522E8"/>
    <w:rsid w:val="00253178"/>
    <w:rsid w:val="00254C10"/>
    <w:rsid w:val="00257973"/>
    <w:rsid w:val="002611F6"/>
    <w:rsid w:val="00261335"/>
    <w:rsid w:val="00261F97"/>
    <w:rsid w:val="002629DB"/>
    <w:rsid w:val="00267FBC"/>
    <w:rsid w:val="00270764"/>
    <w:rsid w:val="0027158B"/>
    <w:rsid w:val="0027243A"/>
    <w:rsid w:val="00272601"/>
    <w:rsid w:val="002728F4"/>
    <w:rsid w:val="002750AB"/>
    <w:rsid w:val="002809F9"/>
    <w:rsid w:val="00283CBD"/>
    <w:rsid w:val="002841CE"/>
    <w:rsid w:val="0028725A"/>
    <w:rsid w:val="00295F88"/>
    <w:rsid w:val="00296357"/>
    <w:rsid w:val="00296641"/>
    <w:rsid w:val="002A019C"/>
    <w:rsid w:val="002A0FAE"/>
    <w:rsid w:val="002A12D8"/>
    <w:rsid w:val="002A33E6"/>
    <w:rsid w:val="002A383E"/>
    <w:rsid w:val="002A3AB4"/>
    <w:rsid w:val="002A6D6D"/>
    <w:rsid w:val="002B2096"/>
    <w:rsid w:val="002B2149"/>
    <w:rsid w:val="002B4EBF"/>
    <w:rsid w:val="002C14D8"/>
    <w:rsid w:val="002C15FC"/>
    <w:rsid w:val="002C2D00"/>
    <w:rsid w:val="002C5A44"/>
    <w:rsid w:val="002C5B5D"/>
    <w:rsid w:val="002D08A9"/>
    <w:rsid w:val="002D539D"/>
    <w:rsid w:val="002D7046"/>
    <w:rsid w:val="002E1570"/>
    <w:rsid w:val="002E58ED"/>
    <w:rsid w:val="002F1B7A"/>
    <w:rsid w:val="002F3243"/>
    <w:rsid w:val="002F50B9"/>
    <w:rsid w:val="002F5979"/>
    <w:rsid w:val="002F5BFC"/>
    <w:rsid w:val="002F5E0F"/>
    <w:rsid w:val="002F6039"/>
    <w:rsid w:val="003031D0"/>
    <w:rsid w:val="00304CCE"/>
    <w:rsid w:val="00304D16"/>
    <w:rsid w:val="003076E1"/>
    <w:rsid w:val="0031223C"/>
    <w:rsid w:val="0031454E"/>
    <w:rsid w:val="00321582"/>
    <w:rsid w:val="00326745"/>
    <w:rsid w:val="003274A8"/>
    <w:rsid w:val="003278FF"/>
    <w:rsid w:val="0033064C"/>
    <w:rsid w:val="00332A85"/>
    <w:rsid w:val="00336031"/>
    <w:rsid w:val="00336809"/>
    <w:rsid w:val="00337685"/>
    <w:rsid w:val="00340952"/>
    <w:rsid w:val="00342ECF"/>
    <w:rsid w:val="0034309C"/>
    <w:rsid w:val="00350AC0"/>
    <w:rsid w:val="00352577"/>
    <w:rsid w:val="003557DC"/>
    <w:rsid w:val="003566EF"/>
    <w:rsid w:val="00360222"/>
    <w:rsid w:val="003607B7"/>
    <w:rsid w:val="00361D24"/>
    <w:rsid w:val="00361E5A"/>
    <w:rsid w:val="00370DB3"/>
    <w:rsid w:val="00371EC8"/>
    <w:rsid w:val="0037391F"/>
    <w:rsid w:val="00373E3F"/>
    <w:rsid w:val="00374C74"/>
    <w:rsid w:val="00380360"/>
    <w:rsid w:val="00381960"/>
    <w:rsid w:val="00382FA4"/>
    <w:rsid w:val="003862C9"/>
    <w:rsid w:val="003867F9"/>
    <w:rsid w:val="00392598"/>
    <w:rsid w:val="00393A16"/>
    <w:rsid w:val="0039454F"/>
    <w:rsid w:val="00394E89"/>
    <w:rsid w:val="003960A7"/>
    <w:rsid w:val="00397811"/>
    <w:rsid w:val="003A375F"/>
    <w:rsid w:val="003A4892"/>
    <w:rsid w:val="003A4A13"/>
    <w:rsid w:val="003A6427"/>
    <w:rsid w:val="003A710C"/>
    <w:rsid w:val="003A7DD6"/>
    <w:rsid w:val="003B0574"/>
    <w:rsid w:val="003B1E0B"/>
    <w:rsid w:val="003B2442"/>
    <w:rsid w:val="003B61D6"/>
    <w:rsid w:val="003B66C8"/>
    <w:rsid w:val="003B78EF"/>
    <w:rsid w:val="003B7E0C"/>
    <w:rsid w:val="003C1631"/>
    <w:rsid w:val="003C1E67"/>
    <w:rsid w:val="003C2EFA"/>
    <w:rsid w:val="003C5733"/>
    <w:rsid w:val="003C6B5A"/>
    <w:rsid w:val="003C7BBC"/>
    <w:rsid w:val="003D0620"/>
    <w:rsid w:val="003D1F0E"/>
    <w:rsid w:val="003D270F"/>
    <w:rsid w:val="003D3919"/>
    <w:rsid w:val="003D41C7"/>
    <w:rsid w:val="003D4CE9"/>
    <w:rsid w:val="003D5109"/>
    <w:rsid w:val="003D7291"/>
    <w:rsid w:val="003E0867"/>
    <w:rsid w:val="003E1F94"/>
    <w:rsid w:val="003E2896"/>
    <w:rsid w:val="003F20E2"/>
    <w:rsid w:val="003F6DB1"/>
    <w:rsid w:val="00401DAB"/>
    <w:rsid w:val="00401DE2"/>
    <w:rsid w:val="00402DA6"/>
    <w:rsid w:val="00404F62"/>
    <w:rsid w:val="00406009"/>
    <w:rsid w:val="00407457"/>
    <w:rsid w:val="00407C45"/>
    <w:rsid w:val="00407F0F"/>
    <w:rsid w:val="00410028"/>
    <w:rsid w:val="004101D5"/>
    <w:rsid w:val="00411F8A"/>
    <w:rsid w:val="00414386"/>
    <w:rsid w:val="00421241"/>
    <w:rsid w:val="00422298"/>
    <w:rsid w:val="00424F8D"/>
    <w:rsid w:val="0042579F"/>
    <w:rsid w:val="00431DAD"/>
    <w:rsid w:val="00431F92"/>
    <w:rsid w:val="00441348"/>
    <w:rsid w:val="0044358E"/>
    <w:rsid w:val="004449CA"/>
    <w:rsid w:val="00446AB7"/>
    <w:rsid w:val="00447A96"/>
    <w:rsid w:val="004510C1"/>
    <w:rsid w:val="00452828"/>
    <w:rsid w:val="0045376B"/>
    <w:rsid w:val="00454989"/>
    <w:rsid w:val="00455532"/>
    <w:rsid w:val="004578E6"/>
    <w:rsid w:val="004617B9"/>
    <w:rsid w:val="00461DF5"/>
    <w:rsid w:val="004636E2"/>
    <w:rsid w:val="00464B2B"/>
    <w:rsid w:val="00465704"/>
    <w:rsid w:val="00465DC2"/>
    <w:rsid w:val="004679E1"/>
    <w:rsid w:val="00474CE4"/>
    <w:rsid w:val="0047513F"/>
    <w:rsid w:val="00475D22"/>
    <w:rsid w:val="00480378"/>
    <w:rsid w:val="004861AD"/>
    <w:rsid w:val="0048622B"/>
    <w:rsid w:val="0048703E"/>
    <w:rsid w:val="0049239C"/>
    <w:rsid w:val="0049411E"/>
    <w:rsid w:val="00495E5C"/>
    <w:rsid w:val="004A1753"/>
    <w:rsid w:val="004A2A03"/>
    <w:rsid w:val="004A3944"/>
    <w:rsid w:val="004A667D"/>
    <w:rsid w:val="004A67F5"/>
    <w:rsid w:val="004A6DF1"/>
    <w:rsid w:val="004B044B"/>
    <w:rsid w:val="004B1A1A"/>
    <w:rsid w:val="004B1FB4"/>
    <w:rsid w:val="004B3FA7"/>
    <w:rsid w:val="004B5D4B"/>
    <w:rsid w:val="004B7FDE"/>
    <w:rsid w:val="004C08C2"/>
    <w:rsid w:val="004C1090"/>
    <w:rsid w:val="004C5494"/>
    <w:rsid w:val="004C61F7"/>
    <w:rsid w:val="004D2D79"/>
    <w:rsid w:val="004D4C66"/>
    <w:rsid w:val="004D4CE1"/>
    <w:rsid w:val="004D5AB9"/>
    <w:rsid w:val="004E4D8D"/>
    <w:rsid w:val="004E6982"/>
    <w:rsid w:val="004E7DC2"/>
    <w:rsid w:val="004F0437"/>
    <w:rsid w:val="004F0AA7"/>
    <w:rsid w:val="004F22E8"/>
    <w:rsid w:val="004F23FA"/>
    <w:rsid w:val="004F2BDC"/>
    <w:rsid w:val="004F3325"/>
    <w:rsid w:val="004F44F3"/>
    <w:rsid w:val="004F4FB8"/>
    <w:rsid w:val="004F534A"/>
    <w:rsid w:val="004F6428"/>
    <w:rsid w:val="004F659A"/>
    <w:rsid w:val="004F7B4E"/>
    <w:rsid w:val="004F7EF2"/>
    <w:rsid w:val="00502D29"/>
    <w:rsid w:val="005077C6"/>
    <w:rsid w:val="00507BBC"/>
    <w:rsid w:val="005112F4"/>
    <w:rsid w:val="00511C9B"/>
    <w:rsid w:val="0051291C"/>
    <w:rsid w:val="0051565D"/>
    <w:rsid w:val="0052071D"/>
    <w:rsid w:val="00520F76"/>
    <w:rsid w:val="005215A0"/>
    <w:rsid w:val="00521842"/>
    <w:rsid w:val="00534E6E"/>
    <w:rsid w:val="00534F2F"/>
    <w:rsid w:val="005376AE"/>
    <w:rsid w:val="00537E37"/>
    <w:rsid w:val="005403A2"/>
    <w:rsid w:val="0054099A"/>
    <w:rsid w:val="00543563"/>
    <w:rsid w:val="005435FD"/>
    <w:rsid w:val="0054397E"/>
    <w:rsid w:val="005442EA"/>
    <w:rsid w:val="00547A61"/>
    <w:rsid w:val="00552A25"/>
    <w:rsid w:val="00555782"/>
    <w:rsid w:val="0056453C"/>
    <w:rsid w:val="005651E5"/>
    <w:rsid w:val="005671E7"/>
    <w:rsid w:val="00576F7E"/>
    <w:rsid w:val="0057797E"/>
    <w:rsid w:val="00581E5F"/>
    <w:rsid w:val="005845B2"/>
    <w:rsid w:val="00584F95"/>
    <w:rsid w:val="00584FD3"/>
    <w:rsid w:val="005861AC"/>
    <w:rsid w:val="005906D2"/>
    <w:rsid w:val="00590EE3"/>
    <w:rsid w:val="00590FCF"/>
    <w:rsid w:val="00591390"/>
    <w:rsid w:val="00591966"/>
    <w:rsid w:val="00591F9D"/>
    <w:rsid w:val="00592020"/>
    <w:rsid w:val="00593F87"/>
    <w:rsid w:val="00597177"/>
    <w:rsid w:val="005973FD"/>
    <w:rsid w:val="00597CE6"/>
    <w:rsid w:val="00597D24"/>
    <w:rsid w:val="00597E4F"/>
    <w:rsid w:val="005A080C"/>
    <w:rsid w:val="005A140B"/>
    <w:rsid w:val="005A3EAB"/>
    <w:rsid w:val="005A6BD4"/>
    <w:rsid w:val="005A7E46"/>
    <w:rsid w:val="005B57A8"/>
    <w:rsid w:val="005C141A"/>
    <w:rsid w:val="005C4A21"/>
    <w:rsid w:val="005C5477"/>
    <w:rsid w:val="005C5C89"/>
    <w:rsid w:val="005D0E68"/>
    <w:rsid w:val="005D10B6"/>
    <w:rsid w:val="005D1487"/>
    <w:rsid w:val="005D1A6C"/>
    <w:rsid w:val="005D504B"/>
    <w:rsid w:val="005D59EB"/>
    <w:rsid w:val="005D5DE4"/>
    <w:rsid w:val="005D646E"/>
    <w:rsid w:val="005D664F"/>
    <w:rsid w:val="005D6CDF"/>
    <w:rsid w:val="005D71E4"/>
    <w:rsid w:val="005D78A2"/>
    <w:rsid w:val="005E07E6"/>
    <w:rsid w:val="005E084E"/>
    <w:rsid w:val="005E1D2E"/>
    <w:rsid w:val="005E4067"/>
    <w:rsid w:val="005E5D0F"/>
    <w:rsid w:val="005E734F"/>
    <w:rsid w:val="005F309C"/>
    <w:rsid w:val="005F34E1"/>
    <w:rsid w:val="005F3535"/>
    <w:rsid w:val="006011AE"/>
    <w:rsid w:val="00603EB4"/>
    <w:rsid w:val="006056D1"/>
    <w:rsid w:val="006107EF"/>
    <w:rsid w:val="006108CF"/>
    <w:rsid w:val="00612068"/>
    <w:rsid w:val="006152BF"/>
    <w:rsid w:val="00615CE8"/>
    <w:rsid w:val="006267DA"/>
    <w:rsid w:val="0063389A"/>
    <w:rsid w:val="00634ADB"/>
    <w:rsid w:val="00640088"/>
    <w:rsid w:val="0064347A"/>
    <w:rsid w:val="006441B9"/>
    <w:rsid w:val="00645F5F"/>
    <w:rsid w:val="006503E8"/>
    <w:rsid w:val="006547A7"/>
    <w:rsid w:val="00655ADD"/>
    <w:rsid w:val="00656A62"/>
    <w:rsid w:val="0066615B"/>
    <w:rsid w:val="00666C83"/>
    <w:rsid w:val="006708DB"/>
    <w:rsid w:val="006722AE"/>
    <w:rsid w:val="00672C51"/>
    <w:rsid w:val="006734B2"/>
    <w:rsid w:val="006748EC"/>
    <w:rsid w:val="006770CC"/>
    <w:rsid w:val="0068025C"/>
    <w:rsid w:val="00681525"/>
    <w:rsid w:val="006829B3"/>
    <w:rsid w:val="00683A61"/>
    <w:rsid w:val="006849A5"/>
    <w:rsid w:val="00684C02"/>
    <w:rsid w:val="00684D67"/>
    <w:rsid w:val="00685BD1"/>
    <w:rsid w:val="00687184"/>
    <w:rsid w:val="00687353"/>
    <w:rsid w:val="006909C7"/>
    <w:rsid w:val="00692B78"/>
    <w:rsid w:val="00694474"/>
    <w:rsid w:val="00695B3E"/>
    <w:rsid w:val="00696B84"/>
    <w:rsid w:val="006A0950"/>
    <w:rsid w:val="006A660A"/>
    <w:rsid w:val="006A691F"/>
    <w:rsid w:val="006A6D88"/>
    <w:rsid w:val="006A6FA6"/>
    <w:rsid w:val="006A7C36"/>
    <w:rsid w:val="006B2BA1"/>
    <w:rsid w:val="006B5531"/>
    <w:rsid w:val="006B6F95"/>
    <w:rsid w:val="006B77F6"/>
    <w:rsid w:val="006C0E1D"/>
    <w:rsid w:val="006C30F0"/>
    <w:rsid w:val="006C3654"/>
    <w:rsid w:val="006D0059"/>
    <w:rsid w:val="006D0F38"/>
    <w:rsid w:val="006D2A21"/>
    <w:rsid w:val="006D2F01"/>
    <w:rsid w:val="006D6DA8"/>
    <w:rsid w:val="006E1419"/>
    <w:rsid w:val="006E2280"/>
    <w:rsid w:val="006E49B0"/>
    <w:rsid w:val="006E5F05"/>
    <w:rsid w:val="006E78C9"/>
    <w:rsid w:val="006F163A"/>
    <w:rsid w:val="006F3690"/>
    <w:rsid w:val="006F6AED"/>
    <w:rsid w:val="006F7D02"/>
    <w:rsid w:val="00701CDE"/>
    <w:rsid w:val="0070389A"/>
    <w:rsid w:val="007045E7"/>
    <w:rsid w:val="007114EC"/>
    <w:rsid w:val="007170F1"/>
    <w:rsid w:val="00720937"/>
    <w:rsid w:val="00721EFB"/>
    <w:rsid w:val="007228FA"/>
    <w:rsid w:val="00722E1C"/>
    <w:rsid w:val="00726219"/>
    <w:rsid w:val="00731468"/>
    <w:rsid w:val="00732A2D"/>
    <w:rsid w:val="0073445C"/>
    <w:rsid w:val="00735163"/>
    <w:rsid w:val="007364AF"/>
    <w:rsid w:val="00740B15"/>
    <w:rsid w:val="00743F1F"/>
    <w:rsid w:val="0074777B"/>
    <w:rsid w:val="007501B4"/>
    <w:rsid w:val="00755825"/>
    <w:rsid w:val="00756C58"/>
    <w:rsid w:val="00765242"/>
    <w:rsid w:val="007655C9"/>
    <w:rsid w:val="007678A6"/>
    <w:rsid w:val="00770CBE"/>
    <w:rsid w:val="007714E0"/>
    <w:rsid w:val="00771B6F"/>
    <w:rsid w:val="0077375D"/>
    <w:rsid w:val="007750E4"/>
    <w:rsid w:val="007752C0"/>
    <w:rsid w:val="00775663"/>
    <w:rsid w:val="00776E47"/>
    <w:rsid w:val="00776EA3"/>
    <w:rsid w:val="00780AA6"/>
    <w:rsid w:val="007857F6"/>
    <w:rsid w:val="00785CBE"/>
    <w:rsid w:val="00785D40"/>
    <w:rsid w:val="00786039"/>
    <w:rsid w:val="0078660B"/>
    <w:rsid w:val="00794624"/>
    <w:rsid w:val="00797486"/>
    <w:rsid w:val="007A22AD"/>
    <w:rsid w:val="007A2903"/>
    <w:rsid w:val="007A2DD5"/>
    <w:rsid w:val="007A5922"/>
    <w:rsid w:val="007B3634"/>
    <w:rsid w:val="007B66ED"/>
    <w:rsid w:val="007B700D"/>
    <w:rsid w:val="007B70F5"/>
    <w:rsid w:val="007B73EF"/>
    <w:rsid w:val="007B791D"/>
    <w:rsid w:val="007B7B85"/>
    <w:rsid w:val="007C0EB6"/>
    <w:rsid w:val="007C452A"/>
    <w:rsid w:val="007C58EC"/>
    <w:rsid w:val="007C7994"/>
    <w:rsid w:val="007D04ED"/>
    <w:rsid w:val="007D18BA"/>
    <w:rsid w:val="007D223C"/>
    <w:rsid w:val="007D23F3"/>
    <w:rsid w:val="007D5E29"/>
    <w:rsid w:val="007D705C"/>
    <w:rsid w:val="007D7AE0"/>
    <w:rsid w:val="007D7BBD"/>
    <w:rsid w:val="007E3C4C"/>
    <w:rsid w:val="007E6A21"/>
    <w:rsid w:val="007E6C7A"/>
    <w:rsid w:val="007F02A2"/>
    <w:rsid w:val="007F45A4"/>
    <w:rsid w:val="007F6626"/>
    <w:rsid w:val="007F7702"/>
    <w:rsid w:val="00810BAC"/>
    <w:rsid w:val="008152AD"/>
    <w:rsid w:val="00815DEC"/>
    <w:rsid w:val="008168F9"/>
    <w:rsid w:val="00822363"/>
    <w:rsid w:val="00823F58"/>
    <w:rsid w:val="00825B52"/>
    <w:rsid w:val="00830E41"/>
    <w:rsid w:val="008323D7"/>
    <w:rsid w:val="00834589"/>
    <w:rsid w:val="00837C8F"/>
    <w:rsid w:val="00837D32"/>
    <w:rsid w:val="00841655"/>
    <w:rsid w:val="008416D2"/>
    <w:rsid w:val="00841A70"/>
    <w:rsid w:val="00843785"/>
    <w:rsid w:val="00843FEB"/>
    <w:rsid w:val="008452CA"/>
    <w:rsid w:val="00845319"/>
    <w:rsid w:val="008470B3"/>
    <w:rsid w:val="00851DF3"/>
    <w:rsid w:val="008533CF"/>
    <w:rsid w:val="008533DA"/>
    <w:rsid w:val="00857EE3"/>
    <w:rsid w:val="00862843"/>
    <w:rsid w:val="00864702"/>
    <w:rsid w:val="0086477D"/>
    <w:rsid w:val="00865E62"/>
    <w:rsid w:val="00873B1E"/>
    <w:rsid w:val="00874A5E"/>
    <w:rsid w:val="0087634E"/>
    <w:rsid w:val="0087674A"/>
    <w:rsid w:val="00882A68"/>
    <w:rsid w:val="00883EBB"/>
    <w:rsid w:val="00883F55"/>
    <w:rsid w:val="0088703B"/>
    <w:rsid w:val="0088763C"/>
    <w:rsid w:val="008925E0"/>
    <w:rsid w:val="0089351A"/>
    <w:rsid w:val="0089375E"/>
    <w:rsid w:val="008978B5"/>
    <w:rsid w:val="008A17F0"/>
    <w:rsid w:val="008A311F"/>
    <w:rsid w:val="008A457A"/>
    <w:rsid w:val="008A78E2"/>
    <w:rsid w:val="008B17D6"/>
    <w:rsid w:val="008B1D31"/>
    <w:rsid w:val="008B2C3D"/>
    <w:rsid w:val="008B2D07"/>
    <w:rsid w:val="008B536A"/>
    <w:rsid w:val="008C1779"/>
    <w:rsid w:val="008C193A"/>
    <w:rsid w:val="008C5226"/>
    <w:rsid w:val="008C5B08"/>
    <w:rsid w:val="008C5D25"/>
    <w:rsid w:val="008D0ACB"/>
    <w:rsid w:val="008D0B74"/>
    <w:rsid w:val="008D1D8A"/>
    <w:rsid w:val="008D5260"/>
    <w:rsid w:val="008D5EC4"/>
    <w:rsid w:val="008D6A01"/>
    <w:rsid w:val="008E1496"/>
    <w:rsid w:val="008E4417"/>
    <w:rsid w:val="008E4D5D"/>
    <w:rsid w:val="008E50BC"/>
    <w:rsid w:val="008E667D"/>
    <w:rsid w:val="008E6E9C"/>
    <w:rsid w:val="008E7B7A"/>
    <w:rsid w:val="008F44B6"/>
    <w:rsid w:val="008F6D3A"/>
    <w:rsid w:val="00900AB2"/>
    <w:rsid w:val="00904B60"/>
    <w:rsid w:val="00911403"/>
    <w:rsid w:val="00912FBB"/>
    <w:rsid w:val="009141B0"/>
    <w:rsid w:val="00916E2B"/>
    <w:rsid w:val="00917776"/>
    <w:rsid w:val="00917D3E"/>
    <w:rsid w:val="00920FBD"/>
    <w:rsid w:val="0092683E"/>
    <w:rsid w:val="0093176D"/>
    <w:rsid w:val="00932C0E"/>
    <w:rsid w:val="00933843"/>
    <w:rsid w:val="0093693E"/>
    <w:rsid w:val="00937951"/>
    <w:rsid w:val="00937CCA"/>
    <w:rsid w:val="009412E9"/>
    <w:rsid w:val="009433C8"/>
    <w:rsid w:val="00950388"/>
    <w:rsid w:val="00951B32"/>
    <w:rsid w:val="00954850"/>
    <w:rsid w:val="00956262"/>
    <w:rsid w:val="00957586"/>
    <w:rsid w:val="00957BD2"/>
    <w:rsid w:val="00961F64"/>
    <w:rsid w:val="00964FC3"/>
    <w:rsid w:val="00964FED"/>
    <w:rsid w:val="00965817"/>
    <w:rsid w:val="00965938"/>
    <w:rsid w:val="0096632E"/>
    <w:rsid w:val="009670ED"/>
    <w:rsid w:val="0097166D"/>
    <w:rsid w:val="009730A6"/>
    <w:rsid w:val="00973F93"/>
    <w:rsid w:val="00976D2C"/>
    <w:rsid w:val="00977099"/>
    <w:rsid w:val="009811E8"/>
    <w:rsid w:val="00982D2B"/>
    <w:rsid w:val="00984B95"/>
    <w:rsid w:val="00985C27"/>
    <w:rsid w:val="00986413"/>
    <w:rsid w:val="00987B89"/>
    <w:rsid w:val="00990383"/>
    <w:rsid w:val="00991962"/>
    <w:rsid w:val="00991D26"/>
    <w:rsid w:val="00991D8C"/>
    <w:rsid w:val="00992788"/>
    <w:rsid w:val="00995E6C"/>
    <w:rsid w:val="00997254"/>
    <w:rsid w:val="009A0CC3"/>
    <w:rsid w:val="009A2694"/>
    <w:rsid w:val="009A6326"/>
    <w:rsid w:val="009A6335"/>
    <w:rsid w:val="009B06D7"/>
    <w:rsid w:val="009B0B13"/>
    <w:rsid w:val="009B0C39"/>
    <w:rsid w:val="009B2DF2"/>
    <w:rsid w:val="009B74E8"/>
    <w:rsid w:val="009B778B"/>
    <w:rsid w:val="009C12F8"/>
    <w:rsid w:val="009C1BE8"/>
    <w:rsid w:val="009C24E5"/>
    <w:rsid w:val="009C2C71"/>
    <w:rsid w:val="009C3A1D"/>
    <w:rsid w:val="009C630C"/>
    <w:rsid w:val="009C6B8A"/>
    <w:rsid w:val="009C7C20"/>
    <w:rsid w:val="009C7F77"/>
    <w:rsid w:val="009D4160"/>
    <w:rsid w:val="009D4C69"/>
    <w:rsid w:val="009D52EC"/>
    <w:rsid w:val="009D56AE"/>
    <w:rsid w:val="009D5F0F"/>
    <w:rsid w:val="009D6A0B"/>
    <w:rsid w:val="009D7880"/>
    <w:rsid w:val="009F34D9"/>
    <w:rsid w:val="00A03811"/>
    <w:rsid w:val="00A03856"/>
    <w:rsid w:val="00A04716"/>
    <w:rsid w:val="00A047F0"/>
    <w:rsid w:val="00A05093"/>
    <w:rsid w:val="00A116C1"/>
    <w:rsid w:val="00A13231"/>
    <w:rsid w:val="00A16E51"/>
    <w:rsid w:val="00A17481"/>
    <w:rsid w:val="00A207E8"/>
    <w:rsid w:val="00A20C49"/>
    <w:rsid w:val="00A21F50"/>
    <w:rsid w:val="00A24562"/>
    <w:rsid w:val="00A24F39"/>
    <w:rsid w:val="00A2542E"/>
    <w:rsid w:val="00A27EE9"/>
    <w:rsid w:val="00A34784"/>
    <w:rsid w:val="00A35F70"/>
    <w:rsid w:val="00A447BF"/>
    <w:rsid w:val="00A459E9"/>
    <w:rsid w:val="00A55703"/>
    <w:rsid w:val="00A5719A"/>
    <w:rsid w:val="00A6088D"/>
    <w:rsid w:val="00A6170C"/>
    <w:rsid w:val="00A61AC4"/>
    <w:rsid w:val="00A62984"/>
    <w:rsid w:val="00A64311"/>
    <w:rsid w:val="00A7490F"/>
    <w:rsid w:val="00A75580"/>
    <w:rsid w:val="00A756B6"/>
    <w:rsid w:val="00A838A8"/>
    <w:rsid w:val="00A83DE6"/>
    <w:rsid w:val="00A846F4"/>
    <w:rsid w:val="00A85875"/>
    <w:rsid w:val="00A85F15"/>
    <w:rsid w:val="00A86230"/>
    <w:rsid w:val="00A8646C"/>
    <w:rsid w:val="00A8734D"/>
    <w:rsid w:val="00A91C0C"/>
    <w:rsid w:val="00AA1775"/>
    <w:rsid w:val="00AA4208"/>
    <w:rsid w:val="00AA6E72"/>
    <w:rsid w:val="00AB1A7F"/>
    <w:rsid w:val="00AC0925"/>
    <w:rsid w:val="00AC2950"/>
    <w:rsid w:val="00AC4000"/>
    <w:rsid w:val="00AC432F"/>
    <w:rsid w:val="00AC56D9"/>
    <w:rsid w:val="00AD34F6"/>
    <w:rsid w:val="00AD3A81"/>
    <w:rsid w:val="00AD444C"/>
    <w:rsid w:val="00AD6226"/>
    <w:rsid w:val="00AD7CEA"/>
    <w:rsid w:val="00AE01E2"/>
    <w:rsid w:val="00AE1FA2"/>
    <w:rsid w:val="00AF040A"/>
    <w:rsid w:val="00AF0454"/>
    <w:rsid w:val="00AF7C7E"/>
    <w:rsid w:val="00B02650"/>
    <w:rsid w:val="00B04FCE"/>
    <w:rsid w:val="00B05EDD"/>
    <w:rsid w:val="00B10614"/>
    <w:rsid w:val="00B115F0"/>
    <w:rsid w:val="00B11F9D"/>
    <w:rsid w:val="00B12889"/>
    <w:rsid w:val="00B1387A"/>
    <w:rsid w:val="00B15A1F"/>
    <w:rsid w:val="00B16DF7"/>
    <w:rsid w:val="00B20BDA"/>
    <w:rsid w:val="00B210B4"/>
    <w:rsid w:val="00B224D5"/>
    <w:rsid w:val="00B23D1E"/>
    <w:rsid w:val="00B26770"/>
    <w:rsid w:val="00B320E0"/>
    <w:rsid w:val="00B34236"/>
    <w:rsid w:val="00B3530E"/>
    <w:rsid w:val="00B446F3"/>
    <w:rsid w:val="00B47709"/>
    <w:rsid w:val="00B50586"/>
    <w:rsid w:val="00B5120B"/>
    <w:rsid w:val="00B51825"/>
    <w:rsid w:val="00B5314C"/>
    <w:rsid w:val="00B53EAE"/>
    <w:rsid w:val="00B54A6F"/>
    <w:rsid w:val="00B54C43"/>
    <w:rsid w:val="00B55557"/>
    <w:rsid w:val="00B55C90"/>
    <w:rsid w:val="00B60FF1"/>
    <w:rsid w:val="00B63773"/>
    <w:rsid w:val="00B63E59"/>
    <w:rsid w:val="00B64B60"/>
    <w:rsid w:val="00B708B9"/>
    <w:rsid w:val="00B70909"/>
    <w:rsid w:val="00B71D1A"/>
    <w:rsid w:val="00B731AC"/>
    <w:rsid w:val="00B7431D"/>
    <w:rsid w:val="00B74F21"/>
    <w:rsid w:val="00B7623A"/>
    <w:rsid w:val="00B77B20"/>
    <w:rsid w:val="00B8025F"/>
    <w:rsid w:val="00B802D7"/>
    <w:rsid w:val="00B80570"/>
    <w:rsid w:val="00B80D1A"/>
    <w:rsid w:val="00B821C4"/>
    <w:rsid w:val="00B8333A"/>
    <w:rsid w:val="00B85A07"/>
    <w:rsid w:val="00B871DC"/>
    <w:rsid w:val="00B92AB8"/>
    <w:rsid w:val="00BA35EE"/>
    <w:rsid w:val="00BB1497"/>
    <w:rsid w:val="00BB1C5D"/>
    <w:rsid w:val="00BB366C"/>
    <w:rsid w:val="00BB64E3"/>
    <w:rsid w:val="00BC0352"/>
    <w:rsid w:val="00BC0C84"/>
    <w:rsid w:val="00BC1B78"/>
    <w:rsid w:val="00BC4994"/>
    <w:rsid w:val="00BC689D"/>
    <w:rsid w:val="00BC6C7C"/>
    <w:rsid w:val="00BD2AA0"/>
    <w:rsid w:val="00BD3A21"/>
    <w:rsid w:val="00BD456A"/>
    <w:rsid w:val="00BD5FA2"/>
    <w:rsid w:val="00BD6819"/>
    <w:rsid w:val="00BD6C62"/>
    <w:rsid w:val="00BD7953"/>
    <w:rsid w:val="00BD7DFB"/>
    <w:rsid w:val="00BE0E46"/>
    <w:rsid w:val="00BE2C67"/>
    <w:rsid w:val="00BE2D86"/>
    <w:rsid w:val="00BE3B9D"/>
    <w:rsid w:val="00BE45F6"/>
    <w:rsid w:val="00BE5BB3"/>
    <w:rsid w:val="00BF32B8"/>
    <w:rsid w:val="00BF3A4C"/>
    <w:rsid w:val="00BF3CDE"/>
    <w:rsid w:val="00BF7DEC"/>
    <w:rsid w:val="00C0031F"/>
    <w:rsid w:val="00C009E9"/>
    <w:rsid w:val="00C02E89"/>
    <w:rsid w:val="00C04A3E"/>
    <w:rsid w:val="00C04B79"/>
    <w:rsid w:val="00C121C6"/>
    <w:rsid w:val="00C1327D"/>
    <w:rsid w:val="00C15014"/>
    <w:rsid w:val="00C1606A"/>
    <w:rsid w:val="00C17E8F"/>
    <w:rsid w:val="00C21615"/>
    <w:rsid w:val="00C23B50"/>
    <w:rsid w:val="00C23BD1"/>
    <w:rsid w:val="00C264B3"/>
    <w:rsid w:val="00C3146E"/>
    <w:rsid w:val="00C31B83"/>
    <w:rsid w:val="00C33E1F"/>
    <w:rsid w:val="00C33F28"/>
    <w:rsid w:val="00C3400A"/>
    <w:rsid w:val="00C41142"/>
    <w:rsid w:val="00C426AC"/>
    <w:rsid w:val="00C45ABA"/>
    <w:rsid w:val="00C472EC"/>
    <w:rsid w:val="00C51194"/>
    <w:rsid w:val="00C529DA"/>
    <w:rsid w:val="00C53F47"/>
    <w:rsid w:val="00C62143"/>
    <w:rsid w:val="00C6289C"/>
    <w:rsid w:val="00C64BEE"/>
    <w:rsid w:val="00C6617F"/>
    <w:rsid w:val="00C6766E"/>
    <w:rsid w:val="00C67C21"/>
    <w:rsid w:val="00C711B8"/>
    <w:rsid w:val="00C71D0E"/>
    <w:rsid w:val="00C755AF"/>
    <w:rsid w:val="00C758A7"/>
    <w:rsid w:val="00C769AD"/>
    <w:rsid w:val="00C81FFA"/>
    <w:rsid w:val="00C82150"/>
    <w:rsid w:val="00C82E79"/>
    <w:rsid w:val="00C83EC7"/>
    <w:rsid w:val="00C8483C"/>
    <w:rsid w:val="00C94E10"/>
    <w:rsid w:val="00CA5821"/>
    <w:rsid w:val="00CA5DC3"/>
    <w:rsid w:val="00CA79CB"/>
    <w:rsid w:val="00CB0451"/>
    <w:rsid w:val="00CB20B5"/>
    <w:rsid w:val="00CC02B9"/>
    <w:rsid w:val="00CC21A6"/>
    <w:rsid w:val="00CC27EA"/>
    <w:rsid w:val="00CC652F"/>
    <w:rsid w:val="00CC7798"/>
    <w:rsid w:val="00CD0DEE"/>
    <w:rsid w:val="00CD134A"/>
    <w:rsid w:val="00CD1361"/>
    <w:rsid w:val="00CD229E"/>
    <w:rsid w:val="00CE0698"/>
    <w:rsid w:val="00CE1E97"/>
    <w:rsid w:val="00CE359C"/>
    <w:rsid w:val="00CE4606"/>
    <w:rsid w:val="00CE6697"/>
    <w:rsid w:val="00CE7179"/>
    <w:rsid w:val="00CE7465"/>
    <w:rsid w:val="00CE74E2"/>
    <w:rsid w:val="00CF02E4"/>
    <w:rsid w:val="00CF139C"/>
    <w:rsid w:val="00CF72DD"/>
    <w:rsid w:val="00D0311C"/>
    <w:rsid w:val="00D05A26"/>
    <w:rsid w:val="00D11221"/>
    <w:rsid w:val="00D11AE0"/>
    <w:rsid w:val="00D14FA5"/>
    <w:rsid w:val="00D17E9F"/>
    <w:rsid w:val="00D17F40"/>
    <w:rsid w:val="00D204B8"/>
    <w:rsid w:val="00D2113C"/>
    <w:rsid w:val="00D2211A"/>
    <w:rsid w:val="00D22F67"/>
    <w:rsid w:val="00D23C4D"/>
    <w:rsid w:val="00D2541E"/>
    <w:rsid w:val="00D2796F"/>
    <w:rsid w:val="00D3211C"/>
    <w:rsid w:val="00D36D4B"/>
    <w:rsid w:val="00D3761E"/>
    <w:rsid w:val="00D406CC"/>
    <w:rsid w:val="00D41CA5"/>
    <w:rsid w:val="00D455D0"/>
    <w:rsid w:val="00D45680"/>
    <w:rsid w:val="00D46C46"/>
    <w:rsid w:val="00D51A94"/>
    <w:rsid w:val="00D568C0"/>
    <w:rsid w:val="00D601C8"/>
    <w:rsid w:val="00D611F3"/>
    <w:rsid w:val="00D650F0"/>
    <w:rsid w:val="00D67FC5"/>
    <w:rsid w:val="00D703C5"/>
    <w:rsid w:val="00D717CA"/>
    <w:rsid w:val="00D728E6"/>
    <w:rsid w:val="00D73741"/>
    <w:rsid w:val="00D74D66"/>
    <w:rsid w:val="00D7681C"/>
    <w:rsid w:val="00D76FF0"/>
    <w:rsid w:val="00D83278"/>
    <w:rsid w:val="00D849BC"/>
    <w:rsid w:val="00D85630"/>
    <w:rsid w:val="00D86F51"/>
    <w:rsid w:val="00D87BA2"/>
    <w:rsid w:val="00D93166"/>
    <w:rsid w:val="00D94C01"/>
    <w:rsid w:val="00D94E32"/>
    <w:rsid w:val="00D968E6"/>
    <w:rsid w:val="00D97744"/>
    <w:rsid w:val="00DA350C"/>
    <w:rsid w:val="00DA3EF3"/>
    <w:rsid w:val="00DA4835"/>
    <w:rsid w:val="00DA5907"/>
    <w:rsid w:val="00DA705B"/>
    <w:rsid w:val="00DB163A"/>
    <w:rsid w:val="00DB3144"/>
    <w:rsid w:val="00DB465C"/>
    <w:rsid w:val="00DB75AF"/>
    <w:rsid w:val="00DC3680"/>
    <w:rsid w:val="00DC387C"/>
    <w:rsid w:val="00DC6AB1"/>
    <w:rsid w:val="00DC6F2D"/>
    <w:rsid w:val="00DD08D5"/>
    <w:rsid w:val="00DD1804"/>
    <w:rsid w:val="00DD6800"/>
    <w:rsid w:val="00DE2CB7"/>
    <w:rsid w:val="00DE2D87"/>
    <w:rsid w:val="00DE3EF0"/>
    <w:rsid w:val="00DE44ED"/>
    <w:rsid w:val="00DE6DFE"/>
    <w:rsid w:val="00DF1757"/>
    <w:rsid w:val="00DF2442"/>
    <w:rsid w:val="00DF7621"/>
    <w:rsid w:val="00E013F3"/>
    <w:rsid w:val="00E01F03"/>
    <w:rsid w:val="00E02B6A"/>
    <w:rsid w:val="00E03493"/>
    <w:rsid w:val="00E05550"/>
    <w:rsid w:val="00E05E1F"/>
    <w:rsid w:val="00E05FEC"/>
    <w:rsid w:val="00E07F4B"/>
    <w:rsid w:val="00E126CB"/>
    <w:rsid w:val="00E132F9"/>
    <w:rsid w:val="00E13FB8"/>
    <w:rsid w:val="00E14390"/>
    <w:rsid w:val="00E14B9B"/>
    <w:rsid w:val="00E17385"/>
    <w:rsid w:val="00E17A51"/>
    <w:rsid w:val="00E222CC"/>
    <w:rsid w:val="00E25B65"/>
    <w:rsid w:val="00E25FF7"/>
    <w:rsid w:val="00E26D54"/>
    <w:rsid w:val="00E2743F"/>
    <w:rsid w:val="00E3573C"/>
    <w:rsid w:val="00E424C8"/>
    <w:rsid w:val="00E43785"/>
    <w:rsid w:val="00E43D8F"/>
    <w:rsid w:val="00E44276"/>
    <w:rsid w:val="00E44910"/>
    <w:rsid w:val="00E451A5"/>
    <w:rsid w:val="00E537C6"/>
    <w:rsid w:val="00E54665"/>
    <w:rsid w:val="00E601E7"/>
    <w:rsid w:val="00E606E7"/>
    <w:rsid w:val="00E67766"/>
    <w:rsid w:val="00E714A4"/>
    <w:rsid w:val="00E71CE0"/>
    <w:rsid w:val="00E720FA"/>
    <w:rsid w:val="00E745E8"/>
    <w:rsid w:val="00E74D45"/>
    <w:rsid w:val="00E7723F"/>
    <w:rsid w:val="00E77448"/>
    <w:rsid w:val="00E81FA1"/>
    <w:rsid w:val="00E8291E"/>
    <w:rsid w:val="00E86295"/>
    <w:rsid w:val="00E8794C"/>
    <w:rsid w:val="00E87A65"/>
    <w:rsid w:val="00E90180"/>
    <w:rsid w:val="00E9021B"/>
    <w:rsid w:val="00E9034E"/>
    <w:rsid w:val="00E91B77"/>
    <w:rsid w:val="00E93CE3"/>
    <w:rsid w:val="00EA346B"/>
    <w:rsid w:val="00EA7D5B"/>
    <w:rsid w:val="00EB57DC"/>
    <w:rsid w:val="00EB5C52"/>
    <w:rsid w:val="00EB75E7"/>
    <w:rsid w:val="00EC66DA"/>
    <w:rsid w:val="00EC78C1"/>
    <w:rsid w:val="00EC7D9F"/>
    <w:rsid w:val="00ED2D8C"/>
    <w:rsid w:val="00ED50BE"/>
    <w:rsid w:val="00ED5C24"/>
    <w:rsid w:val="00ED6104"/>
    <w:rsid w:val="00ED6654"/>
    <w:rsid w:val="00EE09CB"/>
    <w:rsid w:val="00EE0E6D"/>
    <w:rsid w:val="00EE1172"/>
    <w:rsid w:val="00EE26DF"/>
    <w:rsid w:val="00EE4524"/>
    <w:rsid w:val="00EE4B9B"/>
    <w:rsid w:val="00EF05E7"/>
    <w:rsid w:val="00EF07C7"/>
    <w:rsid w:val="00EF162B"/>
    <w:rsid w:val="00EF196C"/>
    <w:rsid w:val="00EF2C88"/>
    <w:rsid w:val="00EF35E7"/>
    <w:rsid w:val="00EF4474"/>
    <w:rsid w:val="00EF59D7"/>
    <w:rsid w:val="00EF682D"/>
    <w:rsid w:val="00F0064A"/>
    <w:rsid w:val="00F00675"/>
    <w:rsid w:val="00F04A8F"/>
    <w:rsid w:val="00F05041"/>
    <w:rsid w:val="00F05B0F"/>
    <w:rsid w:val="00F07C24"/>
    <w:rsid w:val="00F13447"/>
    <w:rsid w:val="00F13656"/>
    <w:rsid w:val="00F15524"/>
    <w:rsid w:val="00F1612B"/>
    <w:rsid w:val="00F1773D"/>
    <w:rsid w:val="00F271A2"/>
    <w:rsid w:val="00F27987"/>
    <w:rsid w:val="00F305AF"/>
    <w:rsid w:val="00F31B20"/>
    <w:rsid w:val="00F32F1C"/>
    <w:rsid w:val="00F33B4C"/>
    <w:rsid w:val="00F33C00"/>
    <w:rsid w:val="00F354E3"/>
    <w:rsid w:val="00F3746E"/>
    <w:rsid w:val="00F40103"/>
    <w:rsid w:val="00F41F29"/>
    <w:rsid w:val="00F47027"/>
    <w:rsid w:val="00F47C58"/>
    <w:rsid w:val="00F5212F"/>
    <w:rsid w:val="00F545C8"/>
    <w:rsid w:val="00F5478E"/>
    <w:rsid w:val="00F548DF"/>
    <w:rsid w:val="00F550CA"/>
    <w:rsid w:val="00F55FCC"/>
    <w:rsid w:val="00F63B80"/>
    <w:rsid w:val="00F63B9F"/>
    <w:rsid w:val="00F65853"/>
    <w:rsid w:val="00F73098"/>
    <w:rsid w:val="00F815A1"/>
    <w:rsid w:val="00F827CC"/>
    <w:rsid w:val="00F837AA"/>
    <w:rsid w:val="00F8538D"/>
    <w:rsid w:val="00F8539F"/>
    <w:rsid w:val="00F85E2A"/>
    <w:rsid w:val="00F860CD"/>
    <w:rsid w:val="00F902D2"/>
    <w:rsid w:val="00F94858"/>
    <w:rsid w:val="00FA0955"/>
    <w:rsid w:val="00FA138E"/>
    <w:rsid w:val="00FA3717"/>
    <w:rsid w:val="00FA3AE1"/>
    <w:rsid w:val="00FA3D3F"/>
    <w:rsid w:val="00FA7A78"/>
    <w:rsid w:val="00FB1B8A"/>
    <w:rsid w:val="00FB485B"/>
    <w:rsid w:val="00FB5E87"/>
    <w:rsid w:val="00FB6624"/>
    <w:rsid w:val="00FB66EF"/>
    <w:rsid w:val="00FC27E2"/>
    <w:rsid w:val="00FC4FD3"/>
    <w:rsid w:val="00FC5534"/>
    <w:rsid w:val="00FC7C9D"/>
    <w:rsid w:val="00FD0FE8"/>
    <w:rsid w:val="00FD25B5"/>
    <w:rsid w:val="00FD2816"/>
    <w:rsid w:val="00FD296E"/>
    <w:rsid w:val="00FD479C"/>
    <w:rsid w:val="00FD668B"/>
    <w:rsid w:val="00FD68CF"/>
    <w:rsid w:val="00FD77F3"/>
    <w:rsid w:val="00FE0213"/>
    <w:rsid w:val="00FE19FE"/>
    <w:rsid w:val="00FE2014"/>
    <w:rsid w:val="00FE3901"/>
    <w:rsid w:val="00FE6F75"/>
    <w:rsid w:val="00FF182F"/>
    <w:rsid w:val="00FF36B4"/>
    <w:rsid w:val="00FF387D"/>
    <w:rsid w:val="00FF452C"/>
    <w:rsid w:val="00FF554C"/>
    <w:rsid w:val="00FF78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4589"/>
    <w:pPr>
      <w:spacing w:after="0" w:line="240" w:lineRule="auto"/>
    </w:pPr>
    <w:rPr>
      <w:sz w:val="20"/>
      <w:szCs w:val="20"/>
    </w:rPr>
  </w:style>
  <w:style w:type="character" w:customStyle="1" w:styleId="FootnoteTextChar">
    <w:name w:val="Footnote Text Char"/>
    <w:basedOn w:val="DefaultParagraphFont"/>
    <w:link w:val="FootnoteText"/>
    <w:uiPriority w:val="99"/>
    <w:rsid w:val="00834589"/>
    <w:rPr>
      <w:sz w:val="20"/>
      <w:szCs w:val="20"/>
    </w:rPr>
  </w:style>
  <w:style w:type="character" w:styleId="FootnoteReference">
    <w:name w:val="footnote reference"/>
    <w:basedOn w:val="DefaultParagraphFont"/>
    <w:uiPriority w:val="99"/>
    <w:semiHidden/>
    <w:rsid w:val="00834589"/>
    <w:rPr>
      <w:vertAlign w:val="superscript"/>
    </w:rPr>
  </w:style>
  <w:style w:type="paragraph" w:styleId="EndnoteText">
    <w:name w:val="endnote text"/>
    <w:basedOn w:val="Normal"/>
    <w:link w:val="EndnoteTextChar"/>
    <w:uiPriority w:val="99"/>
    <w:unhideWhenUsed/>
    <w:rsid w:val="00B1387A"/>
    <w:pPr>
      <w:spacing w:after="0" w:line="240" w:lineRule="auto"/>
    </w:pPr>
    <w:rPr>
      <w:rFonts w:ascii="Calibri" w:eastAsia="Calibri" w:hAnsi="Calibri" w:cs="Calibri"/>
      <w:sz w:val="20"/>
      <w:szCs w:val="20"/>
      <w:lang w:eastAsia="en-US"/>
    </w:rPr>
  </w:style>
  <w:style w:type="character" w:customStyle="1" w:styleId="EndnoteTextChar">
    <w:name w:val="Endnote Text Char"/>
    <w:basedOn w:val="DefaultParagraphFont"/>
    <w:link w:val="EndnoteText"/>
    <w:uiPriority w:val="99"/>
    <w:rsid w:val="00B1387A"/>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B1387A"/>
    <w:rPr>
      <w:vertAlign w:val="superscript"/>
    </w:rPr>
  </w:style>
  <w:style w:type="paragraph" w:styleId="Header">
    <w:name w:val="header"/>
    <w:basedOn w:val="Normal"/>
    <w:link w:val="HeaderChar"/>
    <w:uiPriority w:val="99"/>
    <w:unhideWhenUsed/>
    <w:rsid w:val="0060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AE"/>
  </w:style>
  <w:style w:type="paragraph" w:styleId="Footer">
    <w:name w:val="footer"/>
    <w:basedOn w:val="Normal"/>
    <w:link w:val="FooterChar"/>
    <w:uiPriority w:val="99"/>
    <w:unhideWhenUsed/>
    <w:rsid w:val="0060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AE"/>
  </w:style>
  <w:style w:type="paragraph" w:styleId="BalloonText">
    <w:name w:val="Balloon Text"/>
    <w:basedOn w:val="Normal"/>
    <w:link w:val="BalloonTextChar"/>
    <w:uiPriority w:val="99"/>
    <w:semiHidden/>
    <w:unhideWhenUsed/>
    <w:rsid w:val="00971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66D"/>
    <w:rPr>
      <w:rFonts w:ascii="Segoe UI" w:hAnsi="Segoe UI" w:cs="Segoe UI"/>
      <w:sz w:val="18"/>
      <w:szCs w:val="18"/>
    </w:rPr>
  </w:style>
  <w:style w:type="character" w:styleId="Hyperlink">
    <w:name w:val="Hyperlink"/>
    <w:basedOn w:val="DefaultParagraphFont"/>
    <w:uiPriority w:val="99"/>
    <w:unhideWhenUsed/>
    <w:rsid w:val="004C5494"/>
    <w:rPr>
      <w:color w:val="0000FF" w:themeColor="hyperlink"/>
      <w:u w:val="single"/>
    </w:rPr>
  </w:style>
  <w:style w:type="paragraph" w:styleId="ListParagraph">
    <w:name w:val="List Paragraph"/>
    <w:basedOn w:val="Normal"/>
    <w:uiPriority w:val="34"/>
    <w:qFormat/>
    <w:rsid w:val="009B06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4589"/>
    <w:pPr>
      <w:spacing w:after="0" w:line="240" w:lineRule="auto"/>
    </w:pPr>
    <w:rPr>
      <w:sz w:val="20"/>
      <w:szCs w:val="20"/>
    </w:rPr>
  </w:style>
  <w:style w:type="character" w:customStyle="1" w:styleId="FootnoteTextChar">
    <w:name w:val="Footnote Text Char"/>
    <w:basedOn w:val="DefaultParagraphFont"/>
    <w:link w:val="FootnoteText"/>
    <w:uiPriority w:val="99"/>
    <w:rsid w:val="00834589"/>
    <w:rPr>
      <w:sz w:val="20"/>
      <w:szCs w:val="20"/>
    </w:rPr>
  </w:style>
  <w:style w:type="character" w:styleId="FootnoteReference">
    <w:name w:val="footnote reference"/>
    <w:basedOn w:val="DefaultParagraphFont"/>
    <w:uiPriority w:val="99"/>
    <w:semiHidden/>
    <w:rsid w:val="00834589"/>
    <w:rPr>
      <w:vertAlign w:val="superscript"/>
    </w:rPr>
  </w:style>
  <w:style w:type="paragraph" w:styleId="EndnoteText">
    <w:name w:val="endnote text"/>
    <w:basedOn w:val="Normal"/>
    <w:link w:val="EndnoteTextChar"/>
    <w:uiPriority w:val="99"/>
    <w:unhideWhenUsed/>
    <w:rsid w:val="00B1387A"/>
    <w:pPr>
      <w:spacing w:after="0" w:line="240" w:lineRule="auto"/>
    </w:pPr>
    <w:rPr>
      <w:rFonts w:ascii="Calibri" w:eastAsia="Calibri" w:hAnsi="Calibri" w:cs="Calibri"/>
      <w:sz w:val="20"/>
      <w:szCs w:val="20"/>
      <w:lang w:eastAsia="en-US"/>
    </w:rPr>
  </w:style>
  <w:style w:type="character" w:customStyle="1" w:styleId="EndnoteTextChar">
    <w:name w:val="Endnote Text Char"/>
    <w:basedOn w:val="DefaultParagraphFont"/>
    <w:link w:val="EndnoteText"/>
    <w:uiPriority w:val="99"/>
    <w:rsid w:val="00B1387A"/>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B1387A"/>
    <w:rPr>
      <w:vertAlign w:val="superscript"/>
    </w:rPr>
  </w:style>
  <w:style w:type="paragraph" w:styleId="Header">
    <w:name w:val="header"/>
    <w:basedOn w:val="Normal"/>
    <w:link w:val="HeaderChar"/>
    <w:uiPriority w:val="99"/>
    <w:unhideWhenUsed/>
    <w:rsid w:val="00601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AE"/>
  </w:style>
  <w:style w:type="paragraph" w:styleId="Footer">
    <w:name w:val="footer"/>
    <w:basedOn w:val="Normal"/>
    <w:link w:val="FooterChar"/>
    <w:uiPriority w:val="99"/>
    <w:unhideWhenUsed/>
    <w:rsid w:val="0060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AE"/>
  </w:style>
  <w:style w:type="paragraph" w:styleId="BalloonText">
    <w:name w:val="Balloon Text"/>
    <w:basedOn w:val="Normal"/>
    <w:link w:val="BalloonTextChar"/>
    <w:uiPriority w:val="99"/>
    <w:semiHidden/>
    <w:unhideWhenUsed/>
    <w:rsid w:val="009716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66D"/>
    <w:rPr>
      <w:rFonts w:ascii="Segoe UI" w:hAnsi="Segoe UI" w:cs="Segoe UI"/>
      <w:sz w:val="18"/>
      <w:szCs w:val="18"/>
    </w:rPr>
  </w:style>
  <w:style w:type="character" w:styleId="Hyperlink">
    <w:name w:val="Hyperlink"/>
    <w:basedOn w:val="DefaultParagraphFont"/>
    <w:uiPriority w:val="99"/>
    <w:unhideWhenUsed/>
    <w:rsid w:val="004C5494"/>
    <w:rPr>
      <w:color w:val="0000FF" w:themeColor="hyperlink"/>
      <w:u w:val="single"/>
    </w:rPr>
  </w:style>
  <w:style w:type="paragraph" w:styleId="ListParagraph">
    <w:name w:val="List Paragraph"/>
    <w:basedOn w:val="Normal"/>
    <w:uiPriority w:val="34"/>
    <w:qFormat/>
    <w:rsid w:val="009B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6670">
      <w:bodyDiv w:val="1"/>
      <w:marLeft w:val="0"/>
      <w:marRight w:val="0"/>
      <w:marTop w:val="0"/>
      <w:marBottom w:val="0"/>
      <w:divBdr>
        <w:top w:val="none" w:sz="0" w:space="0" w:color="auto"/>
        <w:left w:val="none" w:sz="0" w:space="0" w:color="auto"/>
        <w:bottom w:val="none" w:sz="0" w:space="0" w:color="auto"/>
        <w:right w:val="none" w:sz="0" w:space="0" w:color="auto"/>
      </w:divBdr>
    </w:div>
    <w:div w:id="143282440">
      <w:bodyDiv w:val="1"/>
      <w:marLeft w:val="0"/>
      <w:marRight w:val="0"/>
      <w:marTop w:val="0"/>
      <w:marBottom w:val="0"/>
      <w:divBdr>
        <w:top w:val="none" w:sz="0" w:space="0" w:color="auto"/>
        <w:left w:val="none" w:sz="0" w:space="0" w:color="auto"/>
        <w:bottom w:val="none" w:sz="0" w:space="0" w:color="auto"/>
        <w:right w:val="none" w:sz="0" w:space="0" w:color="auto"/>
      </w:divBdr>
    </w:div>
    <w:div w:id="498237312">
      <w:bodyDiv w:val="1"/>
      <w:marLeft w:val="0"/>
      <w:marRight w:val="0"/>
      <w:marTop w:val="0"/>
      <w:marBottom w:val="0"/>
      <w:divBdr>
        <w:top w:val="none" w:sz="0" w:space="0" w:color="auto"/>
        <w:left w:val="none" w:sz="0" w:space="0" w:color="auto"/>
        <w:bottom w:val="none" w:sz="0" w:space="0" w:color="auto"/>
        <w:right w:val="none" w:sz="0" w:space="0" w:color="auto"/>
      </w:divBdr>
    </w:div>
    <w:div w:id="602496683">
      <w:bodyDiv w:val="1"/>
      <w:marLeft w:val="0"/>
      <w:marRight w:val="0"/>
      <w:marTop w:val="0"/>
      <w:marBottom w:val="0"/>
      <w:divBdr>
        <w:top w:val="none" w:sz="0" w:space="0" w:color="auto"/>
        <w:left w:val="none" w:sz="0" w:space="0" w:color="auto"/>
        <w:bottom w:val="none" w:sz="0" w:space="0" w:color="auto"/>
        <w:right w:val="none" w:sz="0" w:space="0" w:color="auto"/>
      </w:divBdr>
    </w:div>
    <w:div w:id="619143250">
      <w:bodyDiv w:val="1"/>
      <w:marLeft w:val="0"/>
      <w:marRight w:val="0"/>
      <w:marTop w:val="0"/>
      <w:marBottom w:val="0"/>
      <w:divBdr>
        <w:top w:val="none" w:sz="0" w:space="0" w:color="auto"/>
        <w:left w:val="none" w:sz="0" w:space="0" w:color="auto"/>
        <w:bottom w:val="none" w:sz="0" w:space="0" w:color="auto"/>
        <w:right w:val="none" w:sz="0" w:space="0" w:color="auto"/>
      </w:divBdr>
    </w:div>
    <w:div w:id="648560903">
      <w:bodyDiv w:val="1"/>
      <w:marLeft w:val="0"/>
      <w:marRight w:val="0"/>
      <w:marTop w:val="0"/>
      <w:marBottom w:val="0"/>
      <w:divBdr>
        <w:top w:val="none" w:sz="0" w:space="0" w:color="auto"/>
        <w:left w:val="none" w:sz="0" w:space="0" w:color="auto"/>
        <w:bottom w:val="none" w:sz="0" w:space="0" w:color="auto"/>
        <w:right w:val="none" w:sz="0" w:space="0" w:color="auto"/>
      </w:divBdr>
    </w:div>
    <w:div w:id="649098132">
      <w:bodyDiv w:val="1"/>
      <w:marLeft w:val="0"/>
      <w:marRight w:val="0"/>
      <w:marTop w:val="0"/>
      <w:marBottom w:val="0"/>
      <w:divBdr>
        <w:top w:val="none" w:sz="0" w:space="0" w:color="auto"/>
        <w:left w:val="none" w:sz="0" w:space="0" w:color="auto"/>
        <w:bottom w:val="none" w:sz="0" w:space="0" w:color="auto"/>
        <w:right w:val="none" w:sz="0" w:space="0" w:color="auto"/>
      </w:divBdr>
    </w:div>
    <w:div w:id="807015643">
      <w:bodyDiv w:val="1"/>
      <w:marLeft w:val="0"/>
      <w:marRight w:val="0"/>
      <w:marTop w:val="0"/>
      <w:marBottom w:val="0"/>
      <w:divBdr>
        <w:top w:val="none" w:sz="0" w:space="0" w:color="auto"/>
        <w:left w:val="none" w:sz="0" w:space="0" w:color="auto"/>
        <w:bottom w:val="none" w:sz="0" w:space="0" w:color="auto"/>
        <w:right w:val="none" w:sz="0" w:space="0" w:color="auto"/>
      </w:divBdr>
    </w:div>
    <w:div w:id="860707305">
      <w:bodyDiv w:val="1"/>
      <w:marLeft w:val="0"/>
      <w:marRight w:val="0"/>
      <w:marTop w:val="0"/>
      <w:marBottom w:val="0"/>
      <w:divBdr>
        <w:top w:val="none" w:sz="0" w:space="0" w:color="auto"/>
        <w:left w:val="none" w:sz="0" w:space="0" w:color="auto"/>
        <w:bottom w:val="none" w:sz="0" w:space="0" w:color="auto"/>
        <w:right w:val="none" w:sz="0" w:space="0" w:color="auto"/>
      </w:divBdr>
    </w:div>
    <w:div w:id="873545447">
      <w:bodyDiv w:val="1"/>
      <w:marLeft w:val="0"/>
      <w:marRight w:val="0"/>
      <w:marTop w:val="0"/>
      <w:marBottom w:val="0"/>
      <w:divBdr>
        <w:top w:val="none" w:sz="0" w:space="0" w:color="auto"/>
        <w:left w:val="none" w:sz="0" w:space="0" w:color="auto"/>
        <w:bottom w:val="none" w:sz="0" w:space="0" w:color="auto"/>
        <w:right w:val="none" w:sz="0" w:space="0" w:color="auto"/>
      </w:divBdr>
    </w:div>
    <w:div w:id="923342008">
      <w:bodyDiv w:val="1"/>
      <w:marLeft w:val="0"/>
      <w:marRight w:val="0"/>
      <w:marTop w:val="0"/>
      <w:marBottom w:val="0"/>
      <w:divBdr>
        <w:top w:val="none" w:sz="0" w:space="0" w:color="auto"/>
        <w:left w:val="none" w:sz="0" w:space="0" w:color="auto"/>
        <w:bottom w:val="none" w:sz="0" w:space="0" w:color="auto"/>
        <w:right w:val="none" w:sz="0" w:space="0" w:color="auto"/>
      </w:divBdr>
    </w:div>
    <w:div w:id="937367789">
      <w:bodyDiv w:val="1"/>
      <w:marLeft w:val="0"/>
      <w:marRight w:val="0"/>
      <w:marTop w:val="0"/>
      <w:marBottom w:val="0"/>
      <w:divBdr>
        <w:top w:val="none" w:sz="0" w:space="0" w:color="auto"/>
        <w:left w:val="none" w:sz="0" w:space="0" w:color="auto"/>
        <w:bottom w:val="none" w:sz="0" w:space="0" w:color="auto"/>
        <w:right w:val="none" w:sz="0" w:space="0" w:color="auto"/>
      </w:divBdr>
    </w:div>
    <w:div w:id="938954457">
      <w:bodyDiv w:val="1"/>
      <w:marLeft w:val="0"/>
      <w:marRight w:val="0"/>
      <w:marTop w:val="0"/>
      <w:marBottom w:val="0"/>
      <w:divBdr>
        <w:top w:val="none" w:sz="0" w:space="0" w:color="auto"/>
        <w:left w:val="none" w:sz="0" w:space="0" w:color="auto"/>
        <w:bottom w:val="none" w:sz="0" w:space="0" w:color="auto"/>
        <w:right w:val="none" w:sz="0" w:space="0" w:color="auto"/>
      </w:divBdr>
    </w:div>
    <w:div w:id="1011760992">
      <w:bodyDiv w:val="1"/>
      <w:marLeft w:val="0"/>
      <w:marRight w:val="0"/>
      <w:marTop w:val="0"/>
      <w:marBottom w:val="0"/>
      <w:divBdr>
        <w:top w:val="none" w:sz="0" w:space="0" w:color="auto"/>
        <w:left w:val="none" w:sz="0" w:space="0" w:color="auto"/>
        <w:bottom w:val="none" w:sz="0" w:space="0" w:color="auto"/>
        <w:right w:val="none" w:sz="0" w:space="0" w:color="auto"/>
      </w:divBdr>
    </w:div>
    <w:div w:id="1049454823">
      <w:bodyDiv w:val="1"/>
      <w:marLeft w:val="0"/>
      <w:marRight w:val="0"/>
      <w:marTop w:val="0"/>
      <w:marBottom w:val="0"/>
      <w:divBdr>
        <w:top w:val="none" w:sz="0" w:space="0" w:color="auto"/>
        <w:left w:val="none" w:sz="0" w:space="0" w:color="auto"/>
        <w:bottom w:val="none" w:sz="0" w:space="0" w:color="auto"/>
        <w:right w:val="none" w:sz="0" w:space="0" w:color="auto"/>
      </w:divBdr>
    </w:div>
    <w:div w:id="1251935224">
      <w:bodyDiv w:val="1"/>
      <w:marLeft w:val="0"/>
      <w:marRight w:val="0"/>
      <w:marTop w:val="0"/>
      <w:marBottom w:val="0"/>
      <w:divBdr>
        <w:top w:val="none" w:sz="0" w:space="0" w:color="auto"/>
        <w:left w:val="none" w:sz="0" w:space="0" w:color="auto"/>
        <w:bottom w:val="none" w:sz="0" w:space="0" w:color="auto"/>
        <w:right w:val="none" w:sz="0" w:space="0" w:color="auto"/>
      </w:divBdr>
    </w:div>
    <w:div w:id="1701275098">
      <w:bodyDiv w:val="1"/>
      <w:marLeft w:val="0"/>
      <w:marRight w:val="0"/>
      <w:marTop w:val="0"/>
      <w:marBottom w:val="0"/>
      <w:divBdr>
        <w:top w:val="none" w:sz="0" w:space="0" w:color="auto"/>
        <w:left w:val="none" w:sz="0" w:space="0" w:color="auto"/>
        <w:bottom w:val="none" w:sz="0" w:space="0" w:color="auto"/>
        <w:right w:val="none" w:sz="0" w:space="0" w:color="auto"/>
      </w:divBdr>
    </w:div>
    <w:div w:id="1962028040">
      <w:bodyDiv w:val="1"/>
      <w:marLeft w:val="0"/>
      <w:marRight w:val="0"/>
      <w:marTop w:val="0"/>
      <w:marBottom w:val="0"/>
      <w:divBdr>
        <w:top w:val="none" w:sz="0" w:space="0" w:color="auto"/>
        <w:left w:val="none" w:sz="0" w:space="0" w:color="auto"/>
        <w:bottom w:val="none" w:sz="0" w:space="0" w:color="auto"/>
        <w:right w:val="none" w:sz="0" w:space="0" w:color="auto"/>
      </w:divBdr>
    </w:div>
    <w:div w:id="19921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WCAR/durban.pdf" TargetMode="External"/><Relationship Id="rId2" Type="http://schemas.openxmlformats.org/officeDocument/2006/relationships/hyperlink" Target="http://www.huffingtonpost.com/antonio-moore/slaverys-shadow-how-forbe_b_5505319.html" TargetMode="External"/><Relationship Id="rId1" Type="http://schemas.openxmlformats.org/officeDocument/2006/relationships/hyperlink" Target="https://nephist.wordpress.com/2014/03/03/slavery-and-the-modern-world/" TargetMode="External"/><Relationship Id="rId4" Type="http://schemas.openxmlformats.org/officeDocument/2006/relationships/hyperlink" Target="http://www.lemauricien.com/article/commission-justice-et-v%C3%A9rit%C3%A9%C2%A0-cash-compensation-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A39A-469D-4C7E-BFF2-8BF51BC7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7179</Words>
  <Characters>40924</Characters>
  <Application>Microsoft Office Word</Application>
  <DocSecurity>0</DocSecurity>
  <Lines>341</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Middlesex University</Company>
  <LinksUpToDate>false</LinksUpToDate>
  <CharactersWithSpaces>48007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MDXTech</dc:creator>
  <cp:lastModifiedBy>Bernadett Dunn</cp:lastModifiedBy>
  <cp:revision>2</cp:revision>
  <cp:lastPrinted>2015-04-14T16:36:00Z</cp:lastPrinted>
  <dcterms:created xsi:type="dcterms:W3CDTF">2016-04-04T12:16:00Z</dcterms:created>
  <dcterms:modified xsi:type="dcterms:W3CDTF">2016-04-04T12:16:00Z</dcterms:modified>
</cp:coreProperties>
</file>