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9F4" w:rsidRDefault="00B059F4" w:rsidP="009D768E">
      <w:pPr>
        <w:spacing w:line="360" w:lineRule="auto"/>
      </w:pPr>
      <w:bookmarkStart w:id="0" w:name="_GoBack"/>
      <w:bookmarkEnd w:id="0"/>
    </w:p>
    <w:p w:rsidR="00B059F4" w:rsidRDefault="00B059F4" w:rsidP="00863C00">
      <w:pPr>
        <w:autoSpaceDE w:val="0"/>
        <w:autoSpaceDN w:val="0"/>
        <w:adjustRightInd w:val="0"/>
        <w:jc w:val="center"/>
        <w:rPr>
          <w:b/>
          <w:sz w:val="36"/>
          <w:szCs w:val="36"/>
          <w:lang w:eastAsia="en-GB"/>
        </w:rPr>
      </w:pPr>
    </w:p>
    <w:p w:rsidR="00B059F4" w:rsidRDefault="00B059F4" w:rsidP="00863C00">
      <w:pPr>
        <w:autoSpaceDE w:val="0"/>
        <w:autoSpaceDN w:val="0"/>
        <w:adjustRightInd w:val="0"/>
        <w:jc w:val="center"/>
        <w:rPr>
          <w:b/>
          <w:sz w:val="36"/>
          <w:szCs w:val="36"/>
          <w:lang w:eastAsia="en-GB"/>
        </w:rPr>
      </w:pPr>
    </w:p>
    <w:p w:rsidR="00B059F4" w:rsidRDefault="00B059F4" w:rsidP="00863C00">
      <w:pPr>
        <w:autoSpaceDE w:val="0"/>
        <w:autoSpaceDN w:val="0"/>
        <w:adjustRightInd w:val="0"/>
        <w:jc w:val="center"/>
        <w:rPr>
          <w:b/>
          <w:sz w:val="36"/>
          <w:szCs w:val="36"/>
          <w:lang w:eastAsia="en-GB"/>
        </w:rPr>
      </w:pPr>
    </w:p>
    <w:p w:rsidR="00B059F4" w:rsidRDefault="00B059F4" w:rsidP="00863C00">
      <w:pPr>
        <w:autoSpaceDE w:val="0"/>
        <w:autoSpaceDN w:val="0"/>
        <w:adjustRightInd w:val="0"/>
        <w:jc w:val="center"/>
        <w:rPr>
          <w:b/>
          <w:sz w:val="36"/>
          <w:szCs w:val="36"/>
          <w:lang w:eastAsia="en-GB"/>
        </w:rPr>
      </w:pPr>
    </w:p>
    <w:p w:rsidR="00B059F4" w:rsidRDefault="00B059F4" w:rsidP="00863C00">
      <w:pPr>
        <w:autoSpaceDE w:val="0"/>
        <w:autoSpaceDN w:val="0"/>
        <w:adjustRightInd w:val="0"/>
        <w:jc w:val="center"/>
        <w:rPr>
          <w:b/>
          <w:sz w:val="36"/>
          <w:szCs w:val="36"/>
          <w:lang w:eastAsia="en-GB"/>
        </w:rPr>
      </w:pPr>
    </w:p>
    <w:p w:rsidR="00863C00" w:rsidRPr="00815702" w:rsidRDefault="00863C00" w:rsidP="00863C00">
      <w:pPr>
        <w:autoSpaceDE w:val="0"/>
        <w:autoSpaceDN w:val="0"/>
        <w:adjustRightInd w:val="0"/>
        <w:jc w:val="center"/>
        <w:rPr>
          <w:b/>
          <w:sz w:val="36"/>
          <w:szCs w:val="36"/>
          <w:lang w:eastAsia="en-GB"/>
        </w:rPr>
      </w:pPr>
      <w:r w:rsidRPr="00815702">
        <w:rPr>
          <w:b/>
          <w:sz w:val="36"/>
          <w:szCs w:val="36"/>
          <w:lang w:eastAsia="en-GB"/>
        </w:rPr>
        <w:t>Overseeing oversight:</w:t>
      </w:r>
    </w:p>
    <w:p w:rsidR="00863C00" w:rsidRPr="00815702" w:rsidRDefault="00863C00" w:rsidP="00863C00">
      <w:pPr>
        <w:autoSpaceDE w:val="0"/>
        <w:autoSpaceDN w:val="0"/>
        <w:adjustRightInd w:val="0"/>
        <w:jc w:val="center"/>
        <w:rPr>
          <w:b/>
          <w:sz w:val="36"/>
          <w:szCs w:val="36"/>
          <w:lang w:eastAsia="en-GB"/>
        </w:rPr>
      </w:pPr>
      <w:r w:rsidRPr="00815702">
        <w:rPr>
          <w:b/>
          <w:sz w:val="36"/>
          <w:szCs w:val="36"/>
          <w:lang w:eastAsia="en-GB"/>
        </w:rPr>
        <w:t xml:space="preserve"> </w:t>
      </w:r>
      <w:r w:rsidR="00D769B3">
        <w:rPr>
          <w:b/>
          <w:sz w:val="36"/>
          <w:szCs w:val="36"/>
          <w:lang w:eastAsia="en-GB"/>
        </w:rPr>
        <w:t>H</w:t>
      </w:r>
      <w:r w:rsidR="00D769B3" w:rsidRPr="00815702">
        <w:rPr>
          <w:b/>
          <w:sz w:val="36"/>
          <w:szCs w:val="36"/>
          <w:lang w:eastAsia="en-GB"/>
        </w:rPr>
        <w:t xml:space="preserve">ospital </w:t>
      </w:r>
      <w:r w:rsidR="00D769B3">
        <w:rPr>
          <w:b/>
          <w:sz w:val="36"/>
          <w:szCs w:val="36"/>
          <w:lang w:eastAsia="en-GB"/>
        </w:rPr>
        <w:t>B</w:t>
      </w:r>
      <w:r w:rsidR="00D769B3" w:rsidRPr="00815702">
        <w:rPr>
          <w:b/>
          <w:sz w:val="36"/>
          <w:szCs w:val="36"/>
          <w:lang w:eastAsia="en-GB"/>
        </w:rPr>
        <w:t xml:space="preserve">oard </w:t>
      </w:r>
      <w:r w:rsidRPr="00815702">
        <w:rPr>
          <w:b/>
          <w:sz w:val="36"/>
          <w:szCs w:val="36"/>
          <w:lang w:eastAsia="en-GB"/>
        </w:rPr>
        <w:t xml:space="preserve">governance </w:t>
      </w:r>
      <w:r w:rsidR="00815702">
        <w:rPr>
          <w:b/>
          <w:sz w:val="36"/>
          <w:szCs w:val="36"/>
          <w:lang w:eastAsia="en-GB"/>
        </w:rPr>
        <w:t xml:space="preserve">of quality and </w:t>
      </w:r>
      <w:r w:rsidR="00E315B2">
        <w:rPr>
          <w:b/>
          <w:sz w:val="36"/>
          <w:szCs w:val="36"/>
          <w:lang w:eastAsia="en-GB"/>
        </w:rPr>
        <w:t>safety in the</w:t>
      </w:r>
      <w:r w:rsidRPr="00815702">
        <w:rPr>
          <w:b/>
          <w:sz w:val="36"/>
          <w:szCs w:val="36"/>
          <w:lang w:eastAsia="en-GB"/>
        </w:rPr>
        <w:t xml:space="preserve"> </w:t>
      </w:r>
      <w:r w:rsidR="003A2B1E">
        <w:rPr>
          <w:b/>
          <w:sz w:val="36"/>
          <w:szCs w:val="36"/>
          <w:lang w:eastAsia="en-GB"/>
        </w:rPr>
        <w:t xml:space="preserve">English </w:t>
      </w:r>
      <w:r w:rsidRPr="00815702">
        <w:rPr>
          <w:b/>
          <w:sz w:val="36"/>
          <w:szCs w:val="36"/>
          <w:lang w:eastAsia="en-GB"/>
        </w:rPr>
        <w:t>NHS</w:t>
      </w:r>
      <w:r w:rsidR="00757DDD">
        <w:rPr>
          <w:b/>
          <w:sz w:val="36"/>
          <w:szCs w:val="36"/>
          <w:lang w:eastAsia="en-GB"/>
        </w:rPr>
        <w:t xml:space="preserve"> </w:t>
      </w:r>
    </w:p>
    <w:p w:rsidR="00863C00" w:rsidRPr="00815702" w:rsidRDefault="00863C00" w:rsidP="00863C00">
      <w:pPr>
        <w:autoSpaceDE w:val="0"/>
        <w:autoSpaceDN w:val="0"/>
        <w:adjustRightInd w:val="0"/>
        <w:jc w:val="center"/>
        <w:rPr>
          <w:b/>
          <w:sz w:val="36"/>
          <w:szCs w:val="36"/>
          <w:lang w:eastAsia="en-GB"/>
        </w:rPr>
      </w:pPr>
    </w:p>
    <w:p w:rsidR="00863C00" w:rsidRDefault="00863C00" w:rsidP="00057A83">
      <w:pPr>
        <w:autoSpaceDE w:val="0"/>
        <w:autoSpaceDN w:val="0"/>
        <w:adjustRightInd w:val="0"/>
        <w:jc w:val="center"/>
        <w:rPr>
          <w:lang w:eastAsia="en-GB"/>
        </w:rPr>
      </w:pPr>
      <w:r w:rsidRPr="00ED74E9">
        <w:rPr>
          <w:lang w:eastAsia="en-GB"/>
        </w:rPr>
        <w:t>Russell Mannion</w:t>
      </w:r>
      <w:r w:rsidR="00057A83">
        <w:rPr>
          <w:lang w:eastAsia="en-GB"/>
        </w:rPr>
        <w:t xml:space="preserve">  (1*) </w:t>
      </w:r>
      <w:r w:rsidRPr="00ED74E9">
        <w:rPr>
          <w:lang w:eastAsia="en-GB"/>
        </w:rPr>
        <w:t xml:space="preserve">, Huw </w:t>
      </w:r>
      <w:r w:rsidR="004F5E9C">
        <w:rPr>
          <w:lang w:eastAsia="en-GB"/>
        </w:rPr>
        <w:t xml:space="preserve">T. O. </w:t>
      </w:r>
      <w:r w:rsidR="00057A83">
        <w:rPr>
          <w:lang w:eastAsia="en-GB"/>
        </w:rPr>
        <w:t>Davies (2)  Tim Freeman (3) Ross Millar (1) Rowena Jacobs (4)</w:t>
      </w:r>
      <w:r>
        <w:rPr>
          <w:lang w:eastAsia="en-GB"/>
        </w:rPr>
        <w:t xml:space="preserve"> Panos Kasteridis</w:t>
      </w:r>
      <w:r w:rsidR="00057A83">
        <w:rPr>
          <w:lang w:eastAsia="en-GB"/>
        </w:rPr>
        <w:t xml:space="preserve"> (4)</w:t>
      </w:r>
    </w:p>
    <w:p w:rsidR="00057A83" w:rsidRDefault="00057A83" w:rsidP="00057A83">
      <w:pPr>
        <w:autoSpaceDE w:val="0"/>
        <w:autoSpaceDN w:val="0"/>
        <w:adjustRightInd w:val="0"/>
        <w:jc w:val="center"/>
        <w:rPr>
          <w:lang w:eastAsia="en-GB"/>
        </w:rPr>
      </w:pPr>
    </w:p>
    <w:p w:rsidR="00057A83" w:rsidRDefault="00057A83" w:rsidP="00057A83">
      <w:pPr>
        <w:autoSpaceDE w:val="0"/>
        <w:autoSpaceDN w:val="0"/>
        <w:adjustRightInd w:val="0"/>
        <w:jc w:val="center"/>
        <w:rPr>
          <w:lang w:eastAsia="en-GB"/>
        </w:rPr>
      </w:pPr>
    </w:p>
    <w:p w:rsidR="00057A83" w:rsidRDefault="00057A83" w:rsidP="00057A83">
      <w:pPr>
        <w:autoSpaceDE w:val="0"/>
        <w:autoSpaceDN w:val="0"/>
        <w:adjustRightInd w:val="0"/>
        <w:jc w:val="center"/>
        <w:rPr>
          <w:lang w:eastAsia="en-GB"/>
        </w:rPr>
      </w:pPr>
    </w:p>
    <w:p w:rsidR="00057A83" w:rsidRDefault="00057A83" w:rsidP="00057A83">
      <w:pPr>
        <w:autoSpaceDE w:val="0"/>
        <w:autoSpaceDN w:val="0"/>
        <w:adjustRightInd w:val="0"/>
        <w:jc w:val="center"/>
        <w:rPr>
          <w:lang w:eastAsia="en-GB"/>
        </w:rPr>
      </w:pPr>
    </w:p>
    <w:p w:rsidR="00057A83" w:rsidRDefault="00057A83" w:rsidP="00057A83">
      <w:pPr>
        <w:autoSpaceDE w:val="0"/>
        <w:autoSpaceDN w:val="0"/>
        <w:adjustRightInd w:val="0"/>
        <w:jc w:val="center"/>
        <w:rPr>
          <w:lang w:eastAsia="en-GB"/>
        </w:rPr>
      </w:pPr>
    </w:p>
    <w:p w:rsidR="00057A83" w:rsidRDefault="00057A83" w:rsidP="00057A83">
      <w:pPr>
        <w:autoSpaceDE w:val="0"/>
        <w:autoSpaceDN w:val="0"/>
        <w:adjustRightInd w:val="0"/>
        <w:jc w:val="center"/>
        <w:rPr>
          <w:lang w:eastAsia="en-GB"/>
        </w:rPr>
      </w:pPr>
    </w:p>
    <w:p w:rsidR="00057A83" w:rsidRDefault="00057A83" w:rsidP="00057A83">
      <w:pPr>
        <w:pStyle w:val="ListParagraph"/>
        <w:autoSpaceDE w:val="0"/>
        <w:autoSpaceDN w:val="0"/>
        <w:adjustRightInd w:val="0"/>
        <w:rPr>
          <w:lang w:eastAsia="en-GB"/>
        </w:rPr>
      </w:pPr>
    </w:p>
    <w:p w:rsidR="00057A83" w:rsidRDefault="00057A83" w:rsidP="00057A83">
      <w:pPr>
        <w:pStyle w:val="ListParagraph"/>
        <w:autoSpaceDE w:val="0"/>
        <w:autoSpaceDN w:val="0"/>
        <w:adjustRightInd w:val="0"/>
        <w:rPr>
          <w:lang w:eastAsia="en-GB"/>
        </w:rPr>
      </w:pPr>
      <w:r>
        <w:rPr>
          <w:lang w:eastAsia="en-GB"/>
        </w:rPr>
        <w:t>(1) Health Services Management Centre, University of Birmingham, UK</w:t>
      </w:r>
    </w:p>
    <w:p w:rsidR="00057A83" w:rsidRDefault="00057A83" w:rsidP="00057A83">
      <w:pPr>
        <w:pStyle w:val="ListParagraph"/>
        <w:autoSpaceDE w:val="0"/>
        <w:autoSpaceDN w:val="0"/>
        <w:adjustRightInd w:val="0"/>
        <w:rPr>
          <w:lang w:eastAsia="en-GB"/>
        </w:rPr>
      </w:pPr>
    </w:p>
    <w:p w:rsidR="00057A83" w:rsidRDefault="00057A83" w:rsidP="00057A83">
      <w:pPr>
        <w:pStyle w:val="ListParagraph"/>
        <w:autoSpaceDE w:val="0"/>
        <w:autoSpaceDN w:val="0"/>
        <w:adjustRightInd w:val="0"/>
        <w:rPr>
          <w:lang w:eastAsia="en-GB"/>
        </w:rPr>
      </w:pPr>
      <w:r>
        <w:rPr>
          <w:lang w:eastAsia="en-GB"/>
        </w:rPr>
        <w:t>(2) Management School, University of St Andrews, UK</w:t>
      </w:r>
    </w:p>
    <w:p w:rsidR="00057A83" w:rsidRDefault="00057A83" w:rsidP="00057A83">
      <w:pPr>
        <w:pStyle w:val="ListParagraph"/>
        <w:autoSpaceDE w:val="0"/>
        <w:autoSpaceDN w:val="0"/>
        <w:adjustRightInd w:val="0"/>
        <w:rPr>
          <w:lang w:eastAsia="en-GB"/>
        </w:rPr>
      </w:pPr>
    </w:p>
    <w:p w:rsidR="00057A83" w:rsidRDefault="00057A83" w:rsidP="00057A83">
      <w:pPr>
        <w:pStyle w:val="ListParagraph"/>
        <w:autoSpaceDE w:val="0"/>
        <w:autoSpaceDN w:val="0"/>
        <w:adjustRightInd w:val="0"/>
        <w:rPr>
          <w:lang w:eastAsia="en-GB"/>
        </w:rPr>
      </w:pPr>
      <w:r>
        <w:rPr>
          <w:lang w:eastAsia="en-GB"/>
        </w:rPr>
        <w:t>(3) Management School, University of Middlesex, UK</w:t>
      </w:r>
    </w:p>
    <w:p w:rsidR="00057A83" w:rsidRDefault="00057A83" w:rsidP="00057A83">
      <w:pPr>
        <w:pStyle w:val="ListParagraph"/>
        <w:autoSpaceDE w:val="0"/>
        <w:autoSpaceDN w:val="0"/>
        <w:adjustRightInd w:val="0"/>
        <w:rPr>
          <w:lang w:eastAsia="en-GB"/>
        </w:rPr>
      </w:pPr>
    </w:p>
    <w:p w:rsidR="00057A83" w:rsidRDefault="00057A83" w:rsidP="00057A83">
      <w:pPr>
        <w:pStyle w:val="ListParagraph"/>
        <w:autoSpaceDE w:val="0"/>
        <w:autoSpaceDN w:val="0"/>
        <w:adjustRightInd w:val="0"/>
        <w:rPr>
          <w:lang w:eastAsia="en-GB"/>
        </w:rPr>
      </w:pPr>
      <w:r>
        <w:rPr>
          <w:lang w:eastAsia="en-GB"/>
        </w:rPr>
        <w:t>(4) Centre for Health Economics, University of York</w:t>
      </w:r>
      <w:r w:rsidR="0087752E">
        <w:rPr>
          <w:lang w:eastAsia="en-GB"/>
        </w:rPr>
        <w:t>,</w:t>
      </w:r>
      <w:r>
        <w:rPr>
          <w:lang w:eastAsia="en-GB"/>
        </w:rPr>
        <w:t xml:space="preserve"> UK</w:t>
      </w:r>
    </w:p>
    <w:p w:rsidR="00057A83" w:rsidRDefault="00057A83" w:rsidP="00057A83">
      <w:pPr>
        <w:pStyle w:val="ListParagraph"/>
        <w:spacing w:after="200" w:line="276" w:lineRule="auto"/>
        <w:rPr>
          <w:lang w:eastAsia="en-GB"/>
        </w:rPr>
      </w:pPr>
    </w:p>
    <w:p w:rsidR="00057A83" w:rsidRDefault="00057A83" w:rsidP="00057A83">
      <w:pPr>
        <w:pStyle w:val="ListParagraph"/>
        <w:spacing w:after="200" w:line="276" w:lineRule="auto"/>
        <w:rPr>
          <w:lang w:eastAsia="en-GB"/>
        </w:rPr>
      </w:pPr>
    </w:p>
    <w:p w:rsidR="00057A83" w:rsidRDefault="00057A83" w:rsidP="00057A83">
      <w:pPr>
        <w:pStyle w:val="ListParagraph"/>
        <w:spacing w:after="200" w:line="276" w:lineRule="auto"/>
        <w:rPr>
          <w:lang w:eastAsia="en-GB"/>
        </w:rPr>
      </w:pPr>
    </w:p>
    <w:p w:rsidR="00057A83" w:rsidRDefault="00057A83" w:rsidP="00057A83">
      <w:pPr>
        <w:pStyle w:val="ListParagraph"/>
        <w:spacing w:after="200" w:line="276" w:lineRule="auto"/>
        <w:rPr>
          <w:b/>
          <w:lang w:eastAsia="en-GB"/>
        </w:rPr>
      </w:pPr>
      <w:r>
        <w:rPr>
          <w:b/>
          <w:lang w:eastAsia="en-GB"/>
        </w:rPr>
        <w:t>*Corresponding Author</w:t>
      </w:r>
    </w:p>
    <w:p w:rsidR="00057A83" w:rsidRDefault="00057A83" w:rsidP="00057A83">
      <w:pPr>
        <w:pStyle w:val="ListParagraph"/>
        <w:spacing w:after="200" w:line="276" w:lineRule="auto"/>
        <w:rPr>
          <w:lang w:eastAsia="en-GB"/>
        </w:rPr>
      </w:pPr>
    </w:p>
    <w:p w:rsidR="00057A83" w:rsidRDefault="00057A83" w:rsidP="00057A83">
      <w:pPr>
        <w:pStyle w:val="ListParagraph"/>
        <w:spacing w:after="200" w:line="276" w:lineRule="auto"/>
        <w:rPr>
          <w:lang w:eastAsia="en-GB"/>
        </w:rPr>
      </w:pPr>
      <w:r w:rsidRPr="00057A83">
        <w:rPr>
          <w:lang w:eastAsia="en-GB"/>
        </w:rPr>
        <w:t xml:space="preserve">Professor Russell </w:t>
      </w:r>
      <w:r>
        <w:rPr>
          <w:lang w:eastAsia="en-GB"/>
        </w:rPr>
        <w:t>Mannion</w:t>
      </w:r>
    </w:p>
    <w:p w:rsidR="00057A83" w:rsidRDefault="00057A83" w:rsidP="00057A83">
      <w:pPr>
        <w:pStyle w:val="ListParagraph"/>
        <w:spacing w:after="200" w:line="276" w:lineRule="auto"/>
        <w:rPr>
          <w:lang w:eastAsia="en-GB"/>
        </w:rPr>
      </w:pPr>
      <w:r>
        <w:rPr>
          <w:lang w:eastAsia="en-GB"/>
        </w:rPr>
        <w:t>Health Services Management Centre</w:t>
      </w:r>
    </w:p>
    <w:p w:rsidR="00057A83" w:rsidRDefault="00057A83" w:rsidP="00057A83">
      <w:pPr>
        <w:pStyle w:val="ListParagraph"/>
        <w:spacing w:after="200" w:line="276" w:lineRule="auto"/>
        <w:rPr>
          <w:lang w:eastAsia="en-GB"/>
        </w:rPr>
      </w:pPr>
      <w:r>
        <w:rPr>
          <w:lang w:eastAsia="en-GB"/>
        </w:rPr>
        <w:t>University of Birmingham</w:t>
      </w:r>
    </w:p>
    <w:p w:rsidR="00057A83" w:rsidRDefault="00057A83" w:rsidP="00057A83">
      <w:pPr>
        <w:pStyle w:val="ListParagraph"/>
        <w:spacing w:after="200" w:line="276" w:lineRule="auto"/>
        <w:rPr>
          <w:lang w:eastAsia="en-GB"/>
        </w:rPr>
      </w:pPr>
      <w:r>
        <w:rPr>
          <w:lang w:eastAsia="en-GB"/>
        </w:rPr>
        <w:t>Park House</w:t>
      </w:r>
    </w:p>
    <w:p w:rsidR="00057A83" w:rsidRDefault="00057A83" w:rsidP="00057A83">
      <w:pPr>
        <w:pStyle w:val="ListParagraph"/>
        <w:spacing w:after="200" w:line="276" w:lineRule="auto"/>
        <w:rPr>
          <w:lang w:eastAsia="en-GB"/>
        </w:rPr>
      </w:pPr>
      <w:r>
        <w:rPr>
          <w:lang w:eastAsia="en-GB"/>
        </w:rPr>
        <w:t>40 Edgbaston park Rd</w:t>
      </w:r>
    </w:p>
    <w:p w:rsidR="00057A83" w:rsidRDefault="00057A83" w:rsidP="00057A83">
      <w:pPr>
        <w:pStyle w:val="ListParagraph"/>
        <w:spacing w:after="200" w:line="276" w:lineRule="auto"/>
        <w:rPr>
          <w:lang w:eastAsia="en-GB"/>
        </w:rPr>
      </w:pPr>
      <w:r>
        <w:rPr>
          <w:lang w:eastAsia="en-GB"/>
        </w:rPr>
        <w:t>Birmingham</w:t>
      </w:r>
    </w:p>
    <w:p w:rsidR="00057A83" w:rsidRDefault="00057A83" w:rsidP="00057A83">
      <w:pPr>
        <w:pStyle w:val="ListParagraph"/>
        <w:spacing w:after="200" w:line="276" w:lineRule="auto"/>
        <w:rPr>
          <w:lang w:eastAsia="en-GB"/>
        </w:rPr>
      </w:pPr>
      <w:r>
        <w:rPr>
          <w:lang w:eastAsia="en-GB"/>
        </w:rPr>
        <w:t>B15 2 RT</w:t>
      </w:r>
    </w:p>
    <w:p w:rsidR="00B059F4" w:rsidRPr="00057A83" w:rsidRDefault="00057A83" w:rsidP="00057A83">
      <w:pPr>
        <w:pStyle w:val="ListParagraph"/>
        <w:spacing w:after="200" w:line="276" w:lineRule="auto"/>
        <w:rPr>
          <w:lang w:eastAsia="en-GB"/>
        </w:rPr>
      </w:pPr>
      <w:r>
        <w:rPr>
          <w:lang w:eastAsia="en-GB"/>
        </w:rPr>
        <w:t>Email: r.mannion@bham.ac.uk</w:t>
      </w:r>
      <w:r w:rsidR="00B059F4" w:rsidRPr="00057A83">
        <w:rPr>
          <w:lang w:eastAsia="en-GB"/>
        </w:rPr>
        <w:br w:type="page"/>
      </w:r>
    </w:p>
    <w:p w:rsidR="00D74014" w:rsidRDefault="00D74014" w:rsidP="00D74014">
      <w:pPr>
        <w:autoSpaceDE w:val="0"/>
        <w:autoSpaceDN w:val="0"/>
        <w:adjustRightInd w:val="0"/>
        <w:jc w:val="center"/>
        <w:rPr>
          <w:b/>
          <w:sz w:val="28"/>
          <w:lang w:eastAsia="en-GB"/>
        </w:rPr>
      </w:pPr>
      <w:r>
        <w:rPr>
          <w:b/>
          <w:sz w:val="28"/>
          <w:lang w:eastAsia="en-GB"/>
        </w:rPr>
        <w:lastRenderedPageBreak/>
        <w:t>Abstract</w:t>
      </w:r>
    </w:p>
    <w:p w:rsidR="00D74014" w:rsidRDefault="00D74014" w:rsidP="00D74014">
      <w:pPr>
        <w:autoSpaceDE w:val="0"/>
        <w:autoSpaceDN w:val="0"/>
        <w:adjustRightInd w:val="0"/>
        <w:jc w:val="center"/>
        <w:rPr>
          <w:b/>
          <w:sz w:val="28"/>
          <w:lang w:eastAsia="en-GB"/>
        </w:rPr>
      </w:pPr>
    </w:p>
    <w:p w:rsidR="00D74014" w:rsidRDefault="00D74014" w:rsidP="00D74014">
      <w:pPr>
        <w:autoSpaceDE w:val="0"/>
        <w:autoSpaceDN w:val="0"/>
        <w:adjustRightInd w:val="0"/>
        <w:jc w:val="center"/>
        <w:rPr>
          <w:b/>
          <w:sz w:val="28"/>
          <w:lang w:eastAsia="en-GB"/>
        </w:rPr>
      </w:pPr>
    </w:p>
    <w:p w:rsidR="00D74014" w:rsidRDefault="00D74014" w:rsidP="00D74014">
      <w:pPr>
        <w:autoSpaceDE w:val="0"/>
        <w:autoSpaceDN w:val="0"/>
        <w:adjustRightInd w:val="0"/>
        <w:rPr>
          <w:b/>
          <w:sz w:val="28"/>
          <w:lang w:eastAsia="en-GB"/>
        </w:rPr>
      </w:pPr>
    </w:p>
    <w:p w:rsidR="00D74014" w:rsidRDefault="00D74014" w:rsidP="00D74014">
      <w:pPr>
        <w:autoSpaceDE w:val="0"/>
        <w:autoSpaceDN w:val="0"/>
        <w:adjustRightInd w:val="0"/>
        <w:rPr>
          <w:b/>
          <w:sz w:val="28"/>
          <w:lang w:eastAsia="en-GB"/>
        </w:rPr>
      </w:pPr>
      <w:r>
        <w:rPr>
          <w:b/>
          <w:sz w:val="28"/>
          <w:lang w:eastAsia="en-GB"/>
        </w:rPr>
        <w:t>Objectives</w:t>
      </w:r>
    </w:p>
    <w:p w:rsidR="004C02A2" w:rsidRDefault="004C02A2" w:rsidP="00D74014">
      <w:pPr>
        <w:autoSpaceDE w:val="0"/>
        <w:autoSpaceDN w:val="0"/>
        <w:adjustRightInd w:val="0"/>
      </w:pPr>
    </w:p>
    <w:p w:rsidR="00D74014" w:rsidRDefault="004C02A2" w:rsidP="00D74014">
      <w:pPr>
        <w:autoSpaceDE w:val="0"/>
        <w:autoSpaceDN w:val="0"/>
        <w:adjustRightInd w:val="0"/>
        <w:rPr>
          <w:b/>
          <w:sz w:val="28"/>
          <w:lang w:eastAsia="en-GB"/>
        </w:rPr>
      </w:pPr>
      <w:r>
        <w:t>To contribute towards an</w:t>
      </w:r>
      <w:r w:rsidRPr="004F1A11">
        <w:t xml:space="preserve"> understanding of</w:t>
      </w:r>
      <w:r>
        <w:t xml:space="preserve"> hospital Board </w:t>
      </w:r>
      <w:r w:rsidR="00602E64">
        <w:t xml:space="preserve">composition and </w:t>
      </w:r>
      <w:r>
        <w:t xml:space="preserve">oversight of patient safety </w:t>
      </w:r>
      <w:r w:rsidR="00E45EEA">
        <w:t xml:space="preserve">and health care quality </w:t>
      </w:r>
      <w:r>
        <w:t>in the NHS</w:t>
      </w:r>
      <w:r w:rsidR="00057A83">
        <w:t>.</w:t>
      </w:r>
    </w:p>
    <w:p w:rsidR="004C02A2" w:rsidRDefault="004C02A2" w:rsidP="00D74014">
      <w:pPr>
        <w:autoSpaceDE w:val="0"/>
        <w:autoSpaceDN w:val="0"/>
        <w:adjustRightInd w:val="0"/>
        <w:rPr>
          <w:b/>
          <w:sz w:val="28"/>
          <w:lang w:eastAsia="en-GB"/>
        </w:rPr>
      </w:pPr>
    </w:p>
    <w:p w:rsidR="00D74014" w:rsidRPr="004C02A2" w:rsidRDefault="00D74014" w:rsidP="00D74014">
      <w:pPr>
        <w:autoSpaceDE w:val="0"/>
        <w:autoSpaceDN w:val="0"/>
        <w:adjustRightInd w:val="0"/>
        <w:rPr>
          <w:b/>
          <w:sz w:val="28"/>
          <w:lang w:eastAsia="en-GB"/>
        </w:rPr>
      </w:pPr>
      <w:r>
        <w:rPr>
          <w:b/>
          <w:sz w:val="28"/>
          <w:lang w:eastAsia="en-GB"/>
        </w:rPr>
        <w:t>Methods</w:t>
      </w:r>
    </w:p>
    <w:p w:rsidR="004C02A2" w:rsidRDefault="004C02A2" w:rsidP="00D74014">
      <w:pPr>
        <w:autoSpaceDE w:val="0"/>
        <w:autoSpaceDN w:val="0"/>
        <w:adjustRightInd w:val="0"/>
      </w:pPr>
    </w:p>
    <w:p w:rsidR="00D74014" w:rsidRDefault="004C02A2" w:rsidP="00D74014">
      <w:pPr>
        <w:autoSpaceDE w:val="0"/>
        <w:autoSpaceDN w:val="0"/>
        <w:adjustRightInd w:val="0"/>
        <w:rPr>
          <w:b/>
          <w:sz w:val="28"/>
          <w:lang w:eastAsia="en-GB"/>
        </w:rPr>
      </w:pPr>
      <w:r>
        <w:t>A review of the theory related to hospital Board governance and t</w:t>
      </w:r>
      <w:r w:rsidR="00D74014" w:rsidRPr="00DB2CBC">
        <w:t>wo nati</w:t>
      </w:r>
      <w:r>
        <w:t>onal surveys</w:t>
      </w:r>
      <w:r w:rsidR="00D74014">
        <w:t xml:space="preserve"> undertaken about Board management in NHS acute and specialist hospital trusts in England. The first was issued to </w:t>
      </w:r>
      <w:r w:rsidR="00202AC2">
        <w:t>150 Trusts in</w:t>
      </w:r>
      <w:r w:rsidR="00D74014">
        <w:t xml:space="preserve"> 2011/12 </w:t>
      </w:r>
      <w:r w:rsidR="0034676A">
        <w:t>and</w:t>
      </w:r>
      <w:r w:rsidR="00D74014">
        <w:t xml:space="preserve"> completed online </w:t>
      </w:r>
      <w:r w:rsidR="00D74014" w:rsidRPr="00E71B6C">
        <w:rPr>
          <w:i/>
        </w:rPr>
        <w:t>via</w:t>
      </w:r>
      <w:r w:rsidR="0034676A">
        <w:t xml:space="preserve"> a dedicated web tool</w:t>
      </w:r>
      <w:r w:rsidR="00936904">
        <w:t xml:space="preserve">. </w:t>
      </w:r>
      <w:r w:rsidR="0034676A">
        <w:t>A total</w:t>
      </w:r>
      <w:r w:rsidR="00D74014">
        <w:t xml:space="preserve"> 145 replies wer</w:t>
      </w:r>
      <w:r w:rsidR="0034676A">
        <w:t>e received (97% response rate)</w:t>
      </w:r>
      <w:r w:rsidR="00D74014">
        <w:t>.</w:t>
      </w:r>
      <w:r w:rsidR="0034676A">
        <w:rPr>
          <w:b/>
          <w:sz w:val="28"/>
          <w:lang w:eastAsia="en-GB"/>
        </w:rPr>
        <w:t xml:space="preserve"> </w:t>
      </w:r>
      <w:r w:rsidR="00D74014">
        <w:t xml:space="preserve">The second </w:t>
      </w:r>
      <w:r w:rsidR="0034676A">
        <w:t xml:space="preserve">online </w:t>
      </w:r>
      <w:r w:rsidR="00D74014">
        <w:t xml:space="preserve">survey </w:t>
      </w:r>
      <w:r w:rsidR="00202AC2">
        <w:t xml:space="preserve">undertaken in 2012/13 </w:t>
      </w:r>
      <w:r w:rsidR="00D74014">
        <w:t>ta</w:t>
      </w:r>
      <w:r w:rsidR="0034676A">
        <w:t>rgeted individual Board members using</w:t>
      </w:r>
      <w:r w:rsidR="0034676A">
        <w:rPr>
          <w:rFonts w:eastAsiaTheme="minorHAnsi"/>
          <w:lang w:eastAsia="en-US"/>
        </w:rPr>
        <w:t xml:space="preserve"> </w:t>
      </w:r>
      <w:r w:rsidR="00D74014">
        <w:rPr>
          <w:rFonts w:eastAsiaTheme="minorHAnsi"/>
          <w:lang w:eastAsia="en-US"/>
        </w:rPr>
        <w:t>the BSAQ questionnaire</w:t>
      </w:r>
      <w:r w:rsidR="0034676A">
        <w:t xml:space="preserve">. </w:t>
      </w:r>
      <w:r w:rsidR="00D74014">
        <w:t>A total of 334 responses were received from 165 executive and 169 non-executive board members, providing at least one response from 95 of the 144 NHS Trusts then in existence (66%</w:t>
      </w:r>
      <w:r w:rsidR="0034676A">
        <w:t xml:space="preserve"> response rate</w:t>
      </w:r>
      <w:r w:rsidR="00D74014">
        <w:t>).</w:t>
      </w:r>
    </w:p>
    <w:p w:rsidR="00D74014" w:rsidRDefault="00D74014" w:rsidP="00D74014">
      <w:pPr>
        <w:autoSpaceDE w:val="0"/>
        <w:autoSpaceDN w:val="0"/>
        <w:adjustRightInd w:val="0"/>
        <w:rPr>
          <w:b/>
          <w:sz w:val="28"/>
          <w:lang w:eastAsia="en-GB"/>
        </w:rPr>
      </w:pPr>
    </w:p>
    <w:p w:rsidR="00D74014" w:rsidRDefault="00D74014" w:rsidP="00D74014">
      <w:pPr>
        <w:autoSpaceDE w:val="0"/>
        <w:autoSpaceDN w:val="0"/>
        <w:adjustRightInd w:val="0"/>
        <w:rPr>
          <w:b/>
          <w:sz w:val="28"/>
          <w:lang w:eastAsia="en-GB"/>
        </w:rPr>
      </w:pPr>
      <w:r>
        <w:rPr>
          <w:b/>
          <w:sz w:val="28"/>
          <w:lang w:eastAsia="en-GB"/>
        </w:rPr>
        <w:t>Results</w:t>
      </w:r>
    </w:p>
    <w:p w:rsidR="0034676A" w:rsidRPr="00C53EE9" w:rsidRDefault="00602E64" w:rsidP="00D74014">
      <w:pPr>
        <w:autoSpaceDE w:val="0"/>
        <w:autoSpaceDN w:val="0"/>
        <w:adjustRightInd w:val="0"/>
      </w:pPr>
      <w:r>
        <w:rPr>
          <w:rFonts w:eastAsiaTheme="minorHAnsi"/>
          <w:lang w:eastAsia="en-US"/>
        </w:rPr>
        <w:t>Around 42% of Boards had 10-12 members and around 51% had 13-15 members</w:t>
      </w:r>
      <w:r w:rsidR="00202AC2">
        <w:rPr>
          <w:rFonts w:eastAsiaTheme="minorHAnsi"/>
          <w:lang w:eastAsia="en-US"/>
        </w:rPr>
        <w:t>.</w:t>
      </w:r>
      <w:r>
        <w:rPr>
          <w:rFonts w:eastAsiaTheme="minorHAnsi"/>
          <w:lang w:eastAsia="en-US"/>
        </w:rPr>
        <w:t xml:space="preserve"> We found no significant difference in Board size bet</w:t>
      </w:r>
      <w:r w:rsidR="00202AC2">
        <w:rPr>
          <w:rFonts w:eastAsiaTheme="minorHAnsi"/>
          <w:lang w:eastAsia="en-US"/>
        </w:rPr>
        <w:t>ween Trusts of different types.</w:t>
      </w:r>
      <w:r>
        <w:rPr>
          <w:rFonts w:eastAsiaTheme="minorHAnsi"/>
          <w:lang w:eastAsia="en-US"/>
        </w:rPr>
        <w:t xml:space="preserve"> </w:t>
      </w:r>
      <w:r w:rsidR="00202AC2">
        <w:rPr>
          <w:rFonts w:eastAsiaTheme="minorHAnsi"/>
          <w:lang w:eastAsia="en-US"/>
        </w:rPr>
        <w:t>A</w:t>
      </w:r>
      <w:r>
        <w:t>round 62% of Boards had three or fewer serving Board members with clinical backgrounds. For about two-thirds of the Trusts (63%), Board members with a clinical background comprised less than 30% of the Board</w:t>
      </w:r>
      <w:r w:rsidR="00202AC2">
        <w:rPr>
          <w:rFonts w:eastAsiaTheme="minorHAnsi"/>
          <w:lang w:eastAsia="en-US"/>
        </w:rPr>
        <w:t xml:space="preserve"> members. Boards</w:t>
      </w:r>
      <w:r>
        <w:t xml:space="preserve"> were using a wide range of hard performance metrics and soft intelligence to monitor their organisation with regard to patient safety.</w:t>
      </w:r>
      <w:r w:rsidR="00C53EE9">
        <w:t xml:space="preserve"> Hard, quantitative data were reportedly used at every Board meeting across most hospital Trusts (&gt;80%), including a range of clinical outcomes measures, infection rates and process measures such as medication errors and readmission rates. A much smaller proportion of Trusts (57%) routinely report morbidity rates at every Board meeting.</w:t>
      </w:r>
      <w:r w:rsidR="00C53EE9" w:rsidRPr="00C53EE9">
        <w:t xml:space="preserve"> </w:t>
      </w:r>
      <w:r w:rsidR="00C53EE9">
        <w:t xml:space="preserve">Softer intelligence, used organisationally and reported at all Board meetings, was more variably reported, with discussions with clinicians (in 89% of Trusts) and executive walk-arounds (88%) being most often reported, alongside use of patient stories (83%). However, in only about two-thirds of Trusts did Board members shadow clinicians and report back to the Board (65%). </w:t>
      </w:r>
      <w:r>
        <w:rPr>
          <w:rFonts w:eastAsiaTheme="minorHAnsi"/>
          <w:lang w:eastAsia="en-US"/>
        </w:rPr>
        <w:t>The BSAQ dat</w:t>
      </w:r>
      <w:r w:rsidR="00202AC2">
        <w:rPr>
          <w:rFonts w:eastAsiaTheme="minorHAnsi"/>
          <w:lang w:eastAsia="en-US"/>
        </w:rPr>
        <w:t>a</w:t>
      </w:r>
      <w:r>
        <w:rPr>
          <w:rFonts w:eastAsiaTheme="minorHAnsi"/>
          <w:lang w:eastAsia="en-US"/>
        </w:rPr>
        <w:t xml:space="preserve"> showed general high or very high levels of agreement with desirable statements of practice in each </w:t>
      </w:r>
      <w:r w:rsidR="00202AC2">
        <w:rPr>
          <w:rFonts w:eastAsiaTheme="minorHAnsi"/>
          <w:lang w:eastAsia="en-US"/>
        </w:rPr>
        <w:t>of the six dimensions</w:t>
      </w:r>
      <w:r>
        <w:rPr>
          <w:rFonts w:eastAsiaTheme="minorHAnsi"/>
          <w:lang w:eastAsia="en-US"/>
        </w:rPr>
        <w:t>. Aggregate levels of agreement within each dimension ranged from 73</w:t>
      </w:r>
      <w:r w:rsidR="002B17BF">
        <w:rPr>
          <w:rFonts w:eastAsiaTheme="minorHAnsi"/>
          <w:lang w:eastAsia="en-US"/>
        </w:rPr>
        <w:t>% (</w:t>
      </w:r>
      <w:r w:rsidR="00202AC2">
        <w:rPr>
          <w:rFonts w:eastAsiaTheme="minorHAnsi"/>
          <w:lang w:eastAsia="en-US"/>
        </w:rPr>
        <w:t>interpersonal</w:t>
      </w:r>
      <w:r>
        <w:rPr>
          <w:rFonts w:eastAsiaTheme="minorHAnsi"/>
          <w:lang w:eastAsia="en-US"/>
        </w:rPr>
        <w:t>) t</w:t>
      </w:r>
      <w:r w:rsidR="00202AC2">
        <w:rPr>
          <w:rFonts w:eastAsiaTheme="minorHAnsi"/>
          <w:lang w:eastAsia="en-US"/>
        </w:rPr>
        <w:t>o 85% (political</w:t>
      </w:r>
      <w:r>
        <w:rPr>
          <w:rFonts w:eastAsiaTheme="minorHAnsi"/>
          <w:lang w:eastAsia="en-US"/>
        </w:rPr>
        <w:t>).</w:t>
      </w:r>
    </w:p>
    <w:p w:rsidR="00202AC2" w:rsidRDefault="00202AC2" w:rsidP="00D74014">
      <w:pPr>
        <w:autoSpaceDE w:val="0"/>
        <w:autoSpaceDN w:val="0"/>
        <w:adjustRightInd w:val="0"/>
        <w:rPr>
          <w:b/>
          <w:sz w:val="28"/>
          <w:lang w:eastAsia="en-GB"/>
        </w:rPr>
      </w:pPr>
    </w:p>
    <w:p w:rsidR="00D74014" w:rsidRDefault="00D74014" w:rsidP="00D74014">
      <w:pPr>
        <w:autoSpaceDE w:val="0"/>
        <w:autoSpaceDN w:val="0"/>
        <w:adjustRightInd w:val="0"/>
        <w:rPr>
          <w:b/>
          <w:sz w:val="28"/>
          <w:lang w:eastAsia="en-GB"/>
        </w:rPr>
      </w:pPr>
      <w:r>
        <w:rPr>
          <w:b/>
          <w:sz w:val="28"/>
          <w:lang w:eastAsia="en-GB"/>
        </w:rPr>
        <w:t>Conclusions</w:t>
      </w:r>
    </w:p>
    <w:p w:rsidR="00E45EEA" w:rsidRDefault="00E45EEA" w:rsidP="00E45EEA">
      <w:r>
        <w:t>The study provides the best account to-date of English NHS Boards and their actions around health care quality and patient safety. It thus lays the groundwork for further empirical research exploring the dynamics, i</w:t>
      </w:r>
      <w:r w:rsidR="00602E64">
        <w:t>nfluences and impacts of Boards.</w:t>
      </w:r>
    </w:p>
    <w:p w:rsidR="00D74014" w:rsidRDefault="00D74014" w:rsidP="00863C00">
      <w:pPr>
        <w:autoSpaceDE w:val="0"/>
        <w:autoSpaceDN w:val="0"/>
        <w:adjustRightInd w:val="0"/>
        <w:rPr>
          <w:b/>
          <w:sz w:val="28"/>
          <w:lang w:eastAsia="en-GB"/>
        </w:rPr>
      </w:pPr>
    </w:p>
    <w:p w:rsidR="00057A83" w:rsidRDefault="00057A83" w:rsidP="00863C00">
      <w:pPr>
        <w:autoSpaceDE w:val="0"/>
        <w:autoSpaceDN w:val="0"/>
        <w:adjustRightInd w:val="0"/>
        <w:rPr>
          <w:b/>
          <w:sz w:val="28"/>
          <w:lang w:eastAsia="en-GB"/>
        </w:rPr>
      </w:pPr>
    </w:p>
    <w:p w:rsidR="00D74014" w:rsidRDefault="00D74014" w:rsidP="00863C00">
      <w:pPr>
        <w:autoSpaceDE w:val="0"/>
        <w:autoSpaceDN w:val="0"/>
        <w:adjustRightInd w:val="0"/>
        <w:rPr>
          <w:b/>
          <w:sz w:val="28"/>
          <w:lang w:eastAsia="en-GB"/>
        </w:rPr>
      </w:pPr>
    </w:p>
    <w:p w:rsidR="00863C00" w:rsidRPr="004F5E9C" w:rsidRDefault="00863C00" w:rsidP="00863C00">
      <w:pPr>
        <w:autoSpaceDE w:val="0"/>
        <w:autoSpaceDN w:val="0"/>
        <w:adjustRightInd w:val="0"/>
        <w:rPr>
          <w:b/>
          <w:sz w:val="28"/>
          <w:lang w:eastAsia="en-GB"/>
        </w:rPr>
      </w:pPr>
      <w:r w:rsidRPr="004F5E9C">
        <w:rPr>
          <w:b/>
          <w:sz w:val="28"/>
          <w:lang w:eastAsia="en-GB"/>
        </w:rPr>
        <w:lastRenderedPageBreak/>
        <w:t>Introduction</w:t>
      </w:r>
    </w:p>
    <w:p w:rsidR="004F5E9C" w:rsidRDefault="004F5E9C" w:rsidP="00863C00">
      <w:pPr>
        <w:autoSpaceDE w:val="0"/>
        <w:autoSpaceDN w:val="0"/>
        <w:adjustRightInd w:val="0"/>
      </w:pPr>
    </w:p>
    <w:p w:rsidR="003A2B1E" w:rsidRPr="0040737C" w:rsidRDefault="004F1A11" w:rsidP="00863C00">
      <w:pPr>
        <w:autoSpaceDE w:val="0"/>
        <w:autoSpaceDN w:val="0"/>
        <w:adjustRightInd w:val="0"/>
        <w:rPr>
          <w:color w:val="000000"/>
          <w:vertAlign w:val="superscript"/>
        </w:rPr>
      </w:pPr>
      <w:r w:rsidRPr="00034887">
        <w:t xml:space="preserve">Hospital </w:t>
      </w:r>
      <w:r>
        <w:t xml:space="preserve">Trust </w:t>
      </w:r>
      <w:r w:rsidRPr="00034887">
        <w:t xml:space="preserve">Boards </w:t>
      </w:r>
      <w:r w:rsidR="009C0593">
        <w:t xml:space="preserve">in the English NHS </w:t>
      </w:r>
      <w:r w:rsidRPr="00034887">
        <w:t xml:space="preserve">have </w:t>
      </w:r>
      <w:r w:rsidR="00884C45">
        <w:t xml:space="preserve">statutory </w:t>
      </w:r>
      <w:r w:rsidRPr="00034887">
        <w:t>responsibility for upholding the quality and safety of care delivered by their organisation</w:t>
      </w:r>
      <w:r>
        <w:rPr>
          <w:lang w:eastAsia="en-GB"/>
        </w:rPr>
        <w:t>. However, r</w:t>
      </w:r>
      <w:r w:rsidR="00815702" w:rsidRPr="00034887">
        <w:t>ecent</w:t>
      </w:r>
      <w:r w:rsidR="00863C00" w:rsidRPr="00034887">
        <w:t xml:space="preserve"> high-profile reports into serious failings </w:t>
      </w:r>
      <w:r w:rsidR="003F2AA6">
        <w:t>in the quality</w:t>
      </w:r>
      <w:r w:rsidR="009C0593">
        <w:t xml:space="preserve"> of hospital care in the</w:t>
      </w:r>
      <w:r w:rsidR="003F2AA6">
        <w:t xml:space="preserve"> NHS raise</w:t>
      </w:r>
      <w:r w:rsidR="00863C00" w:rsidRPr="00034887">
        <w:t xml:space="preserve"> </w:t>
      </w:r>
      <w:r w:rsidR="00815702">
        <w:t xml:space="preserve">serious </w:t>
      </w:r>
      <w:r w:rsidR="00863C00" w:rsidRPr="00034887">
        <w:t>concerns over the ability of hospital Tr</w:t>
      </w:r>
      <w:r w:rsidR="00815702">
        <w:t xml:space="preserve">ust Boards to </w:t>
      </w:r>
      <w:r w:rsidR="003A2B1E">
        <w:t>discharge these</w:t>
      </w:r>
      <w:r>
        <w:t xml:space="preserve"> duties </w:t>
      </w:r>
      <w:r w:rsidR="0040737C">
        <w:t xml:space="preserve">effectively </w:t>
      </w:r>
      <w:r w:rsidR="0040737C" w:rsidRPr="0040737C">
        <w:rPr>
          <w:vertAlign w:val="superscript"/>
        </w:rPr>
        <w:t>1, 2</w:t>
      </w:r>
      <w:r w:rsidR="00863C00" w:rsidRPr="0040737C">
        <w:rPr>
          <w:vertAlign w:val="superscript"/>
        </w:rPr>
        <w:t>.</w:t>
      </w:r>
      <w:r w:rsidR="00863C00" w:rsidRPr="0040737C">
        <w:rPr>
          <w:color w:val="000000"/>
          <w:vertAlign w:val="superscript"/>
        </w:rPr>
        <w:t xml:space="preserve"> </w:t>
      </w:r>
    </w:p>
    <w:p w:rsidR="003A2B1E" w:rsidRDefault="003A2B1E" w:rsidP="00863C00">
      <w:pPr>
        <w:autoSpaceDE w:val="0"/>
        <w:autoSpaceDN w:val="0"/>
        <w:adjustRightInd w:val="0"/>
        <w:rPr>
          <w:color w:val="000000"/>
        </w:rPr>
      </w:pPr>
    </w:p>
    <w:p w:rsidR="003A2B1E" w:rsidRPr="0040737C" w:rsidRDefault="003A2B1E" w:rsidP="003A2B1E">
      <w:pPr>
        <w:autoSpaceDE w:val="0"/>
        <w:autoSpaceDN w:val="0"/>
        <w:adjustRightInd w:val="0"/>
        <w:rPr>
          <w:rFonts w:eastAsiaTheme="minorHAnsi"/>
          <w:vertAlign w:val="superscript"/>
          <w:lang w:eastAsia="en-US"/>
        </w:rPr>
      </w:pPr>
      <w:r>
        <w:t>Most recently, t</w:t>
      </w:r>
      <w:r w:rsidR="00863C00" w:rsidRPr="00034887">
        <w:t>he report of the Public Inquiry into Mid Staffordshire NHS Trust estimated that up to 1,200 people had died unnecessarily in the period 2005-2008 and concluded</w:t>
      </w:r>
      <w:r w:rsidR="00863C00" w:rsidRPr="00034887">
        <w:rPr>
          <w:rFonts w:eastAsiaTheme="minorHAnsi"/>
          <w:lang w:eastAsia="en-US"/>
        </w:rPr>
        <w:t xml:space="preserve"> that the suffering and neglect</w:t>
      </w:r>
      <w:r w:rsidR="00815702">
        <w:rPr>
          <w:rFonts w:eastAsiaTheme="minorHAnsi"/>
          <w:lang w:eastAsia="en-US"/>
        </w:rPr>
        <w:t xml:space="preserve"> of patients</w:t>
      </w:r>
      <w:r w:rsidR="00863C00" w:rsidRPr="00034887">
        <w:rPr>
          <w:rFonts w:eastAsiaTheme="minorHAnsi"/>
          <w:lang w:eastAsia="en-US"/>
        </w:rPr>
        <w:t xml:space="preserve"> was primarily caused by a serious failure on the part of the hospital Trust Board</w:t>
      </w:r>
      <w:r w:rsidR="00815702">
        <w:rPr>
          <w:rFonts w:eastAsiaTheme="minorHAnsi"/>
          <w:lang w:eastAsia="en-US"/>
        </w:rPr>
        <w:t xml:space="preserve"> which</w:t>
      </w:r>
      <w:r>
        <w:rPr>
          <w:rFonts w:eastAsiaTheme="minorHAnsi"/>
          <w:lang w:eastAsia="en-US"/>
        </w:rPr>
        <w:t xml:space="preserve"> </w:t>
      </w:r>
      <w:r>
        <w:rPr>
          <w:rFonts w:eastAsiaTheme="minorHAnsi"/>
          <w:i/>
          <w:iCs/>
          <w:lang w:eastAsia="en-US"/>
        </w:rPr>
        <w:t>‘</w:t>
      </w:r>
      <w:r w:rsidR="00863C00" w:rsidRPr="00034887">
        <w:rPr>
          <w:rFonts w:eastAsiaTheme="minorHAnsi"/>
          <w:i/>
          <w:iCs/>
          <w:lang w:eastAsia="en-US"/>
        </w:rPr>
        <w:t>did not listen sufficiently to its patients and staff or ensure the correction of deficiencies brought to the Trust’s attention. Above all, it failed to tackle an insidious negative culture</w:t>
      </w:r>
      <w:r w:rsidR="00815702">
        <w:rPr>
          <w:rFonts w:eastAsiaTheme="minorHAnsi"/>
          <w:lang w:eastAsia="en-US"/>
        </w:rPr>
        <w:t xml:space="preserve"> </w:t>
      </w:r>
      <w:r w:rsidR="00863C00" w:rsidRPr="00034887">
        <w:rPr>
          <w:rFonts w:eastAsiaTheme="minorHAnsi"/>
          <w:i/>
          <w:iCs/>
          <w:lang w:eastAsia="en-US"/>
        </w:rPr>
        <w:t>involving a tolerance of poor standards and disengagement from management and leadership responsib</w:t>
      </w:r>
      <w:r>
        <w:rPr>
          <w:rFonts w:eastAsiaTheme="minorHAnsi"/>
          <w:i/>
          <w:iCs/>
          <w:lang w:eastAsia="en-US"/>
        </w:rPr>
        <w:t>ilities.’</w:t>
      </w:r>
      <w:r w:rsidR="0040737C">
        <w:rPr>
          <w:rFonts w:eastAsiaTheme="minorHAnsi"/>
          <w:i/>
          <w:iCs/>
          <w:lang w:eastAsia="en-US"/>
        </w:rPr>
        <w:t xml:space="preserve"> </w:t>
      </w:r>
      <w:r w:rsidR="0040737C" w:rsidRPr="0040737C">
        <w:rPr>
          <w:rFonts w:eastAsiaTheme="minorHAnsi"/>
          <w:i/>
          <w:iCs/>
          <w:vertAlign w:val="superscript"/>
          <w:lang w:eastAsia="en-US"/>
        </w:rPr>
        <w:t>2</w:t>
      </w:r>
      <w:r>
        <w:rPr>
          <w:rFonts w:eastAsiaTheme="minorHAnsi"/>
          <w:lang w:eastAsia="en-US"/>
        </w:rPr>
        <w:t xml:space="preserve">. </w:t>
      </w:r>
      <w:r w:rsidR="00815702">
        <w:rPr>
          <w:color w:val="000000"/>
        </w:rPr>
        <w:t>S</w:t>
      </w:r>
      <w:r w:rsidR="00815702" w:rsidRPr="00034887">
        <w:t>imilar</w:t>
      </w:r>
      <w:r w:rsidR="00863C00" w:rsidRPr="00034887">
        <w:t xml:space="preserve"> failures in hospital </w:t>
      </w:r>
      <w:r w:rsidR="00D769B3">
        <w:t xml:space="preserve">Board </w:t>
      </w:r>
      <w:r w:rsidR="00863C00" w:rsidRPr="00034887">
        <w:t xml:space="preserve">leadership and governance are a recurring theme of </w:t>
      </w:r>
      <w:r>
        <w:t>earlier i</w:t>
      </w:r>
      <w:r w:rsidR="00863C00" w:rsidRPr="00034887">
        <w:t>nquiries into hospi</w:t>
      </w:r>
      <w:r w:rsidR="00884C45">
        <w:t>tal scandals in the English NHS, including</w:t>
      </w:r>
      <w:r w:rsidR="003F2AA6">
        <w:t xml:space="preserve"> </w:t>
      </w:r>
      <w:r w:rsidR="009C0593">
        <w:t xml:space="preserve">the tragic events at </w:t>
      </w:r>
      <w:r w:rsidR="003F2AA6">
        <w:t>Bristol Royal Infirmary</w:t>
      </w:r>
      <w:r>
        <w:t xml:space="preserve"> in the 1990s</w:t>
      </w:r>
      <w:r w:rsidR="003F2AA6">
        <w:t xml:space="preserve"> and </w:t>
      </w:r>
      <w:r>
        <w:t xml:space="preserve">date </w:t>
      </w:r>
      <w:r w:rsidR="00863C00" w:rsidRPr="00034887">
        <w:t xml:space="preserve">as far </w:t>
      </w:r>
      <w:r w:rsidR="009C0593">
        <w:t xml:space="preserve">back </w:t>
      </w:r>
      <w:r>
        <w:t>as the late 1960s with the i</w:t>
      </w:r>
      <w:r w:rsidR="00863C00" w:rsidRPr="00034887">
        <w:t>nquiry into the mistreatment of long stay patients at Ely hosp</w:t>
      </w:r>
      <w:r w:rsidR="0040737C">
        <w:t>ital</w:t>
      </w:r>
      <w:r w:rsidR="00A44BD7">
        <w:t>.</w:t>
      </w:r>
      <w:r w:rsidR="0040737C" w:rsidRPr="0040737C">
        <w:rPr>
          <w:vertAlign w:val="superscript"/>
        </w:rPr>
        <w:t>3</w:t>
      </w:r>
      <w:r w:rsidR="00A44BD7" w:rsidRPr="0040737C">
        <w:rPr>
          <w:vertAlign w:val="superscript"/>
        </w:rPr>
        <w:t xml:space="preserve"> </w:t>
      </w:r>
    </w:p>
    <w:p w:rsidR="003A2B1E" w:rsidRDefault="003A2B1E" w:rsidP="00863C00"/>
    <w:p w:rsidR="00E45B0E" w:rsidRPr="003368BC" w:rsidRDefault="00E45B0E" w:rsidP="00E45B0E">
      <w:pPr>
        <w:autoSpaceDE w:val="0"/>
        <w:autoSpaceDN w:val="0"/>
        <w:adjustRightInd w:val="0"/>
        <w:rPr>
          <w:b/>
          <w:lang w:eastAsia="en-GB"/>
        </w:rPr>
      </w:pPr>
      <w:r w:rsidRPr="003368BC">
        <w:rPr>
          <w:b/>
          <w:lang w:eastAsia="en-GB"/>
        </w:rPr>
        <w:t xml:space="preserve">The role of </w:t>
      </w:r>
      <w:r>
        <w:rPr>
          <w:b/>
          <w:lang w:eastAsia="en-GB"/>
        </w:rPr>
        <w:t>hospital B</w:t>
      </w:r>
      <w:r w:rsidRPr="003368BC">
        <w:rPr>
          <w:b/>
          <w:lang w:eastAsia="en-GB"/>
        </w:rPr>
        <w:t>oards</w:t>
      </w:r>
      <w:r>
        <w:rPr>
          <w:b/>
          <w:lang w:eastAsia="en-GB"/>
        </w:rPr>
        <w:t xml:space="preserve"> in the English NHS</w:t>
      </w:r>
    </w:p>
    <w:p w:rsidR="00E45B0E" w:rsidRDefault="00E45B0E" w:rsidP="00E45B0E">
      <w:r w:rsidRPr="00034887">
        <w:t>Hospital Boards i</w:t>
      </w:r>
      <w:r>
        <w:t xml:space="preserve">n the English NHS have traditionally operated along the lines of </w:t>
      </w:r>
      <w:r w:rsidRPr="00034887">
        <w:t>the Anglo-Saxon private sector u</w:t>
      </w:r>
      <w:r w:rsidR="0040737C">
        <w:t xml:space="preserve">nitary board model </w:t>
      </w:r>
      <w:r w:rsidR="0040737C" w:rsidRPr="0040737C">
        <w:rPr>
          <w:vertAlign w:val="superscript"/>
        </w:rPr>
        <w:t>4, 5</w:t>
      </w:r>
      <w:r w:rsidR="0040737C">
        <w:t xml:space="preserve"> </w:t>
      </w:r>
      <w:r>
        <w:t xml:space="preserve">which typically </w:t>
      </w:r>
      <w:r w:rsidRPr="00034887">
        <w:t>comprises a chair, chief executive, exec</w:t>
      </w:r>
      <w:r>
        <w:t>utive directors and non-executive</w:t>
      </w:r>
      <w:r w:rsidRPr="00034887">
        <w:t xml:space="preserve"> directors who are, with</w:t>
      </w:r>
      <w:r>
        <w:t xml:space="preserve"> the chair, in the majority. </w:t>
      </w:r>
      <w:r>
        <w:rPr>
          <w:rFonts w:eastAsiaTheme="minorHAnsi"/>
          <w:lang w:eastAsia="en-US"/>
        </w:rPr>
        <w:t>All board members share corporate responsibility for formulating strategy, ensuring accountability and shaping culture. However, there are also distinctive roles for members of the Board: the Chair leads the Board, taking overall responsibility for the effectiveness of Board processes (and for Foundation Trusts, the Chair also chairs the Council of Governors). Alongside the Chair, the Chief Executive leads the executive functions within the organisation, taking overall resp</w:t>
      </w:r>
      <w:r w:rsidR="00202AC2">
        <w:rPr>
          <w:rFonts w:eastAsiaTheme="minorHAnsi"/>
          <w:lang w:eastAsia="en-US"/>
        </w:rPr>
        <w:t>onsibility for service delivery</w:t>
      </w:r>
      <w:r w:rsidRPr="00034887">
        <w:t xml:space="preserve">. </w:t>
      </w:r>
    </w:p>
    <w:p w:rsidR="00E45B0E" w:rsidRDefault="00E45B0E" w:rsidP="00E45B0E"/>
    <w:p w:rsidR="00202AC2" w:rsidRDefault="00E45B0E" w:rsidP="00E45B0E">
      <w:r>
        <w:t>At the end of 2013</w:t>
      </w:r>
      <w:r w:rsidRPr="00F938BE">
        <w:t xml:space="preserve">, </w:t>
      </w:r>
      <w:r>
        <w:t xml:space="preserve">147 </w:t>
      </w:r>
      <w:r w:rsidRPr="00F938BE">
        <w:t xml:space="preserve">out of 230 NHS providers </w:t>
      </w:r>
      <w:r>
        <w:t xml:space="preserve">in England (64%) </w:t>
      </w:r>
      <w:r w:rsidRPr="00F938BE">
        <w:t xml:space="preserve">(including acute and mental health hospitals and ambulance services), </w:t>
      </w:r>
      <w:r>
        <w:t xml:space="preserve"> operated as NHS Foundation Trusts (FTs), which have greater freedoms from other types of hospitals and are</w:t>
      </w:r>
      <w:r w:rsidRPr="00034887">
        <w:t xml:space="preserve"> based on co-operative and mutual traditions.</w:t>
      </w:r>
      <w:r w:rsidR="00F5061D">
        <w:t xml:space="preserve"> </w:t>
      </w:r>
      <w:r w:rsidR="00F5061D" w:rsidRPr="00F5061D">
        <w:rPr>
          <w:vertAlign w:val="superscript"/>
        </w:rPr>
        <w:t>6</w:t>
      </w:r>
      <w:r w:rsidRPr="00034887">
        <w:t xml:space="preserve"> Governance arrangements </w:t>
      </w:r>
      <w:r>
        <w:t xml:space="preserve">in FTs </w:t>
      </w:r>
      <w:r w:rsidRPr="00034887">
        <w:t xml:space="preserve">are locally determined </w:t>
      </w:r>
      <w:r>
        <w:t>within a national framework, and non-executive</w:t>
      </w:r>
      <w:r w:rsidRPr="00034887">
        <w:t xml:space="preserve"> </w:t>
      </w:r>
      <w:r>
        <w:t>B</w:t>
      </w:r>
      <w:r w:rsidRPr="00034887">
        <w:t>oard members are appointed by the governors of the hospital, rather than by the NHS Appointments Commission</w:t>
      </w:r>
      <w:r w:rsidR="00202826">
        <w:t>.</w:t>
      </w:r>
    </w:p>
    <w:p w:rsidR="00202826" w:rsidRDefault="00202826" w:rsidP="00E45B0E"/>
    <w:p w:rsidR="00202826" w:rsidRDefault="00202826" w:rsidP="00E45B0E">
      <w:pPr>
        <w:rPr>
          <w:b/>
        </w:rPr>
      </w:pPr>
    </w:p>
    <w:p w:rsidR="00E45B0E" w:rsidRPr="00E45B0E" w:rsidRDefault="00E45B0E" w:rsidP="00863C00">
      <w:pPr>
        <w:rPr>
          <w:b/>
        </w:rPr>
      </w:pPr>
      <w:r w:rsidRPr="00E45B0E">
        <w:rPr>
          <w:b/>
        </w:rPr>
        <w:t>Guidance for Boards</w:t>
      </w:r>
    </w:p>
    <w:p w:rsidR="003A2B1E" w:rsidRPr="00F5061D" w:rsidRDefault="009C0593" w:rsidP="00863C00">
      <w:pPr>
        <w:rPr>
          <w:vertAlign w:val="superscript"/>
        </w:rPr>
      </w:pPr>
      <w:r>
        <w:t>D</w:t>
      </w:r>
      <w:r w:rsidRPr="004F1A11">
        <w:t>espite a plethora of guidance available to NHS Boards on effective governance both in general terms</w:t>
      </w:r>
      <w:r w:rsidR="00E45B0E">
        <w:t xml:space="preserve"> (e.g. structure and role)</w:t>
      </w:r>
      <w:r w:rsidR="003A2B1E">
        <w:t>,</w:t>
      </w:r>
      <w:r w:rsidRPr="004F1A11">
        <w:t xml:space="preserve"> and with specific reference to safe</w:t>
      </w:r>
      <w:r w:rsidR="003A2B1E">
        <w:t>r care –</w:t>
      </w:r>
      <w:r w:rsidRPr="004F1A11">
        <w:t xml:space="preserve"> significant gaps remain in our understanding of </w:t>
      </w:r>
      <w:r w:rsidR="003A2B1E">
        <w:t xml:space="preserve">what </w:t>
      </w:r>
      <w:r w:rsidRPr="004F1A11">
        <w:t xml:space="preserve">Board governance </w:t>
      </w:r>
      <w:r w:rsidR="003A2B1E">
        <w:t xml:space="preserve">looks like, </w:t>
      </w:r>
      <w:r w:rsidRPr="004F1A11">
        <w:t>and the organisational processes through which safe care is accomplished and sustained</w:t>
      </w:r>
      <w:r w:rsidR="00CB3C29">
        <w:t xml:space="preserve">. </w:t>
      </w:r>
      <w:r w:rsidR="003F2AA6">
        <w:t xml:space="preserve"> </w:t>
      </w:r>
      <w:r w:rsidR="00CB3C29">
        <w:t>A recent</w:t>
      </w:r>
      <w:r w:rsidR="00A44BD7" w:rsidRPr="00034887">
        <w:t xml:space="preserve"> </w:t>
      </w:r>
      <w:r w:rsidR="00E42538">
        <w:t xml:space="preserve">international </w:t>
      </w:r>
      <w:r w:rsidR="00A44BD7" w:rsidRPr="00034887">
        <w:t>review</w:t>
      </w:r>
      <w:r w:rsidR="003F2AA6">
        <w:t xml:space="preserve"> of </w:t>
      </w:r>
      <w:r>
        <w:t xml:space="preserve">the theory and evidence </w:t>
      </w:r>
      <w:r w:rsidR="00A44BD7" w:rsidRPr="00034887">
        <w:t>highlighted a number of plausible relat</w:t>
      </w:r>
      <w:r w:rsidR="003A2B1E">
        <w:t xml:space="preserve">ionships between hospital </w:t>
      </w:r>
      <w:r w:rsidR="00D769B3">
        <w:t xml:space="preserve">Boards </w:t>
      </w:r>
      <w:r w:rsidR="00202826">
        <w:t>and health care quality</w:t>
      </w:r>
      <w:r w:rsidR="00A44BD7" w:rsidRPr="00034887">
        <w:t xml:space="preserve">, but </w:t>
      </w:r>
      <w:r>
        <w:t>concluded that much remains to be explore</w:t>
      </w:r>
      <w:r w:rsidR="00F5061D">
        <w:t>d, empirically and conceptually.</w:t>
      </w:r>
      <w:r w:rsidR="00F5061D" w:rsidRPr="00F5061D">
        <w:rPr>
          <w:vertAlign w:val="superscript"/>
        </w:rPr>
        <w:t>7</w:t>
      </w:r>
    </w:p>
    <w:p w:rsidR="003A2B1E" w:rsidRDefault="003A2B1E" w:rsidP="00863C00"/>
    <w:p w:rsidR="00D5192F" w:rsidRDefault="00E42538" w:rsidP="00863C00">
      <w:r>
        <w:t>Empirical</w:t>
      </w:r>
      <w:r w:rsidR="003A2B1E">
        <w:t xml:space="preserve"> work </w:t>
      </w:r>
      <w:r>
        <w:t>in the NHS is sparse. Drawing on information from English NHS Trust webs</w:t>
      </w:r>
      <w:r w:rsidR="00F5061D">
        <w:t>ites, Pritchard and Harding,</w:t>
      </w:r>
      <w:r w:rsidR="00F5061D" w:rsidRPr="00F5061D">
        <w:rPr>
          <w:vertAlign w:val="superscript"/>
        </w:rPr>
        <w:t>8</w:t>
      </w:r>
      <w:r w:rsidRPr="00F5061D">
        <w:rPr>
          <w:vertAlign w:val="superscript"/>
        </w:rPr>
        <w:t xml:space="preserve"> </w:t>
      </w:r>
      <w:r>
        <w:t xml:space="preserve">highlighted the dominance of business, accounting and finance as the key background expertise </w:t>
      </w:r>
      <w:r w:rsidR="00EC468D">
        <w:t>found in</w:t>
      </w:r>
      <w:r>
        <w:t xml:space="preserve"> NHS Board chairs (almost three-quarters</w:t>
      </w:r>
      <w:r w:rsidR="00EC468D">
        <w:t xml:space="preserve"> fit this </w:t>
      </w:r>
      <w:r w:rsidR="00D5192F">
        <w:t>background</w:t>
      </w:r>
      <w:r>
        <w:t>). They also noted the paucity of non-executive directors (NEDs) with clinical backgrounds (less th</w:t>
      </w:r>
      <w:r w:rsidR="008045DA">
        <w:t>an 10% of NEDs</w:t>
      </w:r>
      <w:r w:rsidR="00EC468D">
        <w:t>)</w:t>
      </w:r>
      <w:r w:rsidR="008045DA">
        <w:t xml:space="preserve">, and </w:t>
      </w:r>
      <w:r w:rsidR="00BD0FE6">
        <w:t xml:space="preserve">only half of Trusts (52%) had </w:t>
      </w:r>
      <w:r w:rsidR="00BD0FE6" w:rsidRPr="008C1246">
        <w:rPr>
          <w:i/>
        </w:rPr>
        <w:t>any</w:t>
      </w:r>
      <w:r w:rsidR="00BD0FE6">
        <w:t xml:space="preserve"> NED with clinical experience</w:t>
      </w:r>
      <w:r>
        <w:t xml:space="preserve">. </w:t>
      </w:r>
    </w:p>
    <w:p w:rsidR="00D5192F" w:rsidRDefault="00D5192F" w:rsidP="00863C00"/>
    <w:p w:rsidR="00D5192F" w:rsidRPr="00F5061D" w:rsidRDefault="00DC1C0C" w:rsidP="00D5192F">
      <w:pPr>
        <w:rPr>
          <w:vertAlign w:val="superscript"/>
        </w:rPr>
      </w:pPr>
      <w:r>
        <w:t xml:space="preserve">Other work suggests that the </w:t>
      </w:r>
      <w:r w:rsidR="00245352">
        <w:t>presence</w:t>
      </w:r>
      <w:r>
        <w:t xml:space="preserve"> of clinical </w:t>
      </w:r>
      <w:r w:rsidR="00245352">
        <w:t>expertise on Boards (especially</w:t>
      </w:r>
      <w:r>
        <w:t xml:space="preserve"> doctors) may be important </w:t>
      </w:r>
      <w:r w:rsidR="00245352">
        <w:t>for hospital-level outputs and</w:t>
      </w:r>
      <w:r w:rsidR="00F5061D">
        <w:t xml:space="preserve"> outcomes</w:t>
      </w:r>
      <w:r w:rsidR="00245352">
        <w:t>.</w:t>
      </w:r>
      <w:r w:rsidR="00F5061D">
        <w:t xml:space="preserve"> </w:t>
      </w:r>
      <w:r w:rsidR="00F5061D" w:rsidRPr="00F5061D">
        <w:rPr>
          <w:vertAlign w:val="superscript"/>
        </w:rPr>
        <w:t>9</w:t>
      </w:r>
      <w:r w:rsidR="00E45B0E">
        <w:t xml:space="preserve"> </w:t>
      </w:r>
      <w:r w:rsidR="00D5192F" w:rsidRPr="000E68BE">
        <w:rPr>
          <w:rFonts w:eastAsiaTheme="minorHAnsi"/>
          <w:lang w:eastAsia="en-US"/>
        </w:rPr>
        <w:t xml:space="preserve">Previous research in the US has shown that high-performing hospitals have </w:t>
      </w:r>
      <w:r w:rsidR="00D5192F">
        <w:rPr>
          <w:rFonts w:eastAsiaTheme="minorHAnsi"/>
          <w:lang w:eastAsia="en-US"/>
        </w:rPr>
        <w:t xml:space="preserve">a number of Board-related features: they typically have </w:t>
      </w:r>
      <w:r w:rsidR="00D5192F" w:rsidRPr="000E68BE">
        <w:rPr>
          <w:rFonts w:eastAsiaTheme="minorHAnsi"/>
          <w:lang w:eastAsia="en-US"/>
        </w:rPr>
        <w:t xml:space="preserve">a </w:t>
      </w:r>
      <w:r w:rsidR="00D5192F">
        <w:rPr>
          <w:rFonts w:eastAsiaTheme="minorHAnsi"/>
          <w:lang w:eastAsia="en-US"/>
        </w:rPr>
        <w:t xml:space="preserve">specific </w:t>
      </w:r>
      <w:r w:rsidR="00D5192F" w:rsidRPr="000E68BE">
        <w:rPr>
          <w:rFonts w:eastAsiaTheme="minorHAnsi"/>
          <w:lang w:eastAsia="en-US"/>
        </w:rPr>
        <w:t xml:space="preserve">quality subcommittee; </w:t>
      </w:r>
      <w:r w:rsidR="00D5192F">
        <w:rPr>
          <w:rFonts w:eastAsiaTheme="minorHAnsi"/>
          <w:lang w:eastAsia="en-US"/>
        </w:rPr>
        <w:t xml:space="preserve">they have </w:t>
      </w:r>
      <w:r w:rsidR="00D5192F" w:rsidRPr="000E68BE">
        <w:rPr>
          <w:rFonts w:eastAsiaTheme="minorHAnsi"/>
          <w:lang w:eastAsia="en-US"/>
        </w:rPr>
        <w:t xml:space="preserve">greater expertise and formal training in quality; quality is reported as a higher priority for board oversight </w:t>
      </w:r>
      <w:r w:rsidR="00F5061D">
        <w:rPr>
          <w:rFonts w:eastAsiaTheme="minorHAnsi"/>
          <w:lang w:eastAsia="en-US"/>
        </w:rPr>
        <w:t>and CEO performance evaluation</w:t>
      </w:r>
      <w:r w:rsidR="00D5192F">
        <w:rPr>
          <w:rFonts w:eastAsiaTheme="minorHAnsi"/>
          <w:lang w:eastAsia="en-US"/>
        </w:rPr>
        <w:t>.</w:t>
      </w:r>
      <w:r w:rsidR="00F5061D" w:rsidRPr="00F5061D">
        <w:rPr>
          <w:rFonts w:eastAsiaTheme="minorHAnsi"/>
          <w:vertAlign w:val="superscript"/>
          <w:lang w:eastAsia="en-US"/>
        </w:rPr>
        <w:t>10</w:t>
      </w:r>
    </w:p>
    <w:p w:rsidR="00D5192F" w:rsidRDefault="00D5192F" w:rsidP="00D5192F">
      <w:pPr>
        <w:autoSpaceDE w:val="0"/>
        <w:autoSpaceDN w:val="0"/>
        <w:adjustRightInd w:val="0"/>
        <w:rPr>
          <w:rFonts w:eastAsiaTheme="minorHAnsi"/>
          <w:lang w:eastAsia="en-US"/>
        </w:rPr>
      </w:pPr>
    </w:p>
    <w:p w:rsidR="00D5192F" w:rsidRPr="00E45B0E" w:rsidRDefault="00E45B0E" w:rsidP="00863C00">
      <w:pPr>
        <w:rPr>
          <w:b/>
        </w:rPr>
      </w:pPr>
      <w:r w:rsidRPr="00E45B0E">
        <w:rPr>
          <w:b/>
        </w:rPr>
        <w:t>Learning more about Boards in the English NHS</w:t>
      </w:r>
    </w:p>
    <w:p w:rsidR="00732ABA" w:rsidRDefault="00E45B0E" w:rsidP="00863C00">
      <w:r>
        <w:t>Overall though, w</w:t>
      </w:r>
      <w:r w:rsidR="00CB3C29">
        <w:t>e</w:t>
      </w:r>
      <w:r w:rsidR="004F1A11" w:rsidRPr="004F1A11">
        <w:t xml:space="preserve"> lack </w:t>
      </w:r>
      <w:r w:rsidR="00E51D74">
        <w:t>an</w:t>
      </w:r>
      <w:r w:rsidR="004F1A11" w:rsidRPr="004F1A11">
        <w:t xml:space="preserve"> understanding of </w:t>
      </w:r>
      <w:r w:rsidR="00E51D74">
        <w:t xml:space="preserve">Board composition </w:t>
      </w:r>
      <w:r w:rsidR="000A51F6">
        <w:t xml:space="preserve">in the English NHS, </w:t>
      </w:r>
      <w:r w:rsidR="00E51D74">
        <w:t xml:space="preserve">and </w:t>
      </w:r>
      <w:r>
        <w:t xml:space="preserve">of </w:t>
      </w:r>
      <w:r w:rsidR="004F1A11" w:rsidRPr="004F1A11">
        <w:t xml:space="preserve">what Boards actually </w:t>
      </w:r>
      <w:r w:rsidR="004F1A11" w:rsidRPr="003A2B1E">
        <w:rPr>
          <w:i/>
        </w:rPr>
        <w:t>do</w:t>
      </w:r>
      <w:r w:rsidR="00E42538">
        <w:t xml:space="preserve">, especially </w:t>
      </w:r>
      <w:r w:rsidR="004F1A11" w:rsidRPr="004F1A11">
        <w:t>in relation to promoting</w:t>
      </w:r>
      <w:r w:rsidR="00732ABA">
        <w:t xml:space="preserve"> patient safety</w:t>
      </w:r>
      <w:r w:rsidR="00E51D74">
        <w:t xml:space="preserve"> and quality</w:t>
      </w:r>
      <w:r w:rsidR="00732ABA">
        <w:t xml:space="preserve">. So for example what percentage of </w:t>
      </w:r>
      <w:r w:rsidR="00EC468D">
        <w:t xml:space="preserve">Board </w:t>
      </w:r>
      <w:r w:rsidR="00732ABA">
        <w:t>time is spent discussing quality and patient safety issues</w:t>
      </w:r>
      <w:r w:rsidR="004F1A11" w:rsidRPr="004F1A11">
        <w:t>? What information (hard and soft) do Boards review</w:t>
      </w:r>
      <w:r w:rsidR="00CB3C29">
        <w:t xml:space="preserve"> on a regular basis to assess</w:t>
      </w:r>
      <w:r w:rsidR="004F1A11" w:rsidRPr="004F1A11">
        <w:t xml:space="preserve"> whether they are providing safe care?</w:t>
      </w:r>
      <w:r w:rsidR="004F1A11">
        <w:t xml:space="preserve"> </w:t>
      </w:r>
      <w:r w:rsidR="00732ABA">
        <w:t xml:space="preserve">What proportion of </w:t>
      </w:r>
      <w:r w:rsidR="00EC468D">
        <w:t xml:space="preserve">Board </w:t>
      </w:r>
      <w:r w:rsidR="00732ABA">
        <w:t xml:space="preserve">members are trained in patient safety? </w:t>
      </w:r>
      <w:r w:rsidR="004F1A11">
        <w:t>How are Boards composed and structured in terms of clinical involvement and engagement</w:t>
      </w:r>
      <w:r w:rsidR="004F1A11" w:rsidRPr="004F1A11">
        <w:t xml:space="preserve">? </w:t>
      </w:r>
      <w:r w:rsidR="00815702" w:rsidRPr="004F1A11">
        <w:t>In particular</w:t>
      </w:r>
      <w:r w:rsidR="00863C00" w:rsidRPr="004F1A11">
        <w:t xml:space="preserve">, </w:t>
      </w:r>
      <w:r w:rsidR="008045DA">
        <w:t xml:space="preserve">beyond broad occupational backgrounds, </w:t>
      </w:r>
      <w:r w:rsidR="00863C00" w:rsidRPr="004F1A11">
        <w:t xml:space="preserve">we </w:t>
      </w:r>
      <w:r w:rsidR="00732ABA">
        <w:t>lack detailed info</w:t>
      </w:r>
      <w:r w:rsidR="00CB3C29">
        <w:t xml:space="preserve">rmation on the </w:t>
      </w:r>
      <w:r w:rsidR="00884C45">
        <w:t xml:space="preserve">range of </w:t>
      </w:r>
      <w:r w:rsidR="00CB3C29">
        <w:t xml:space="preserve">competencies of </w:t>
      </w:r>
      <w:r w:rsidR="00884C45">
        <w:t xml:space="preserve">hospital </w:t>
      </w:r>
      <w:r w:rsidR="00CB3C29">
        <w:t>B</w:t>
      </w:r>
      <w:r w:rsidR="00884C45">
        <w:t>oard members</w:t>
      </w:r>
      <w:r w:rsidR="00732ABA">
        <w:t xml:space="preserve"> and how</w:t>
      </w:r>
      <w:r w:rsidR="00884C45">
        <w:t xml:space="preserve"> these</w:t>
      </w:r>
      <w:r w:rsidR="00CB3C29">
        <w:t xml:space="preserve"> relate to safeguarding care.</w:t>
      </w:r>
      <w:r w:rsidR="008045DA">
        <w:t xml:space="preserve"> Without such </w:t>
      </w:r>
      <w:r w:rsidR="00587DE6">
        <w:t>insights</w:t>
      </w:r>
      <w:r w:rsidR="008045DA">
        <w:t xml:space="preserve"> we are hampered in understanding Board roles and influences in the NHS.</w:t>
      </w:r>
    </w:p>
    <w:p w:rsidR="008045DA" w:rsidRDefault="008045DA" w:rsidP="00863C00"/>
    <w:p w:rsidR="00FF4336" w:rsidRPr="00580CE3" w:rsidRDefault="008045DA" w:rsidP="00FF4336">
      <w:r>
        <w:t xml:space="preserve">In this article we first explore some of the key theoretical frameworks that can be used to understand hospital Board governance in relation to patient safety, and </w:t>
      </w:r>
      <w:r w:rsidR="00E45B0E">
        <w:t xml:space="preserve">we </w:t>
      </w:r>
      <w:r>
        <w:t xml:space="preserve">then present a contemporary account of English NHS Boards drawing on recent </w:t>
      </w:r>
      <w:r w:rsidR="000A51F6">
        <w:t xml:space="preserve">data from two </w:t>
      </w:r>
      <w:r>
        <w:t>survey</w:t>
      </w:r>
      <w:r w:rsidR="000A51F6">
        <w:t>s</w:t>
      </w:r>
      <w:r>
        <w:t>.</w:t>
      </w:r>
    </w:p>
    <w:p w:rsidR="00E71B6C" w:rsidRDefault="00E71B6C" w:rsidP="00863C00">
      <w:pPr>
        <w:autoSpaceDE w:val="0"/>
        <w:autoSpaceDN w:val="0"/>
        <w:adjustRightInd w:val="0"/>
        <w:rPr>
          <w:b/>
          <w:lang w:eastAsia="en-GB"/>
        </w:rPr>
      </w:pPr>
    </w:p>
    <w:p w:rsidR="00863C00" w:rsidRPr="003368BC" w:rsidRDefault="003368BC" w:rsidP="00863C00">
      <w:pPr>
        <w:rPr>
          <w:b/>
        </w:rPr>
      </w:pPr>
      <w:r w:rsidRPr="003368BC">
        <w:rPr>
          <w:b/>
        </w:rPr>
        <w:t xml:space="preserve">Theories of </w:t>
      </w:r>
      <w:r w:rsidR="00177D18">
        <w:rPr>
          <w:b/>
        </w:rPr>
        <w:t>B</w:t>
      </w:r>
      <w:r w:rsidR="00177D18" w:rsidRPr="003368BC">
        <w:rPr>
          <w:b/>
        </w:rPr>
        <w:t xml:space="preserve">oard </w:t>
      </w:r>
      <w:r w:rsidRPr="003368BC">
        <w:rPr>
          <w:b/>
        </w:rPr>
        <w:t>behaviour</w:t>
      </w:r>
    </w:p>
    <w:p w:rsidR="004C1AAE" w:rsidRDefault="00126BF2" w:rsidP="00126BF2">
      <w:r w:rsidRPr="00126BF2">
        <w:t>Several theoretical frameworks of Board governanc</w:t>
      </w:r>
      <w:r w:rsidR="00CF0EAA">
        <w:t>e have been developed</w:t>
      </w:r>
      <w:r w:rsidR="000A51F6">
        <w:t>,</w:t>
      </w:r>
      <w:r w:rsidR="00CF0EAA">
        <w:t xml:space="preserve"> and here we make the </w:t>
      </w:r>
      <w:r w:rsidRPr="00126BF2">
        <w:t>distinct</w:t>
      </w:r>
      <w:r w:rsidR="00CF0EAA">
        <w:t>ion between whether</w:t>
      </w:r>
      <w:r w:rsidRPr="00126BF2">
        <w:t xml:space="preserve"> Boards are conceptualised in either </w:t>
      </w:r>
      <w:r w:rsidRPr="00126BF2">
        <w:rPr>
          <w:i/>
        </w:rPr>
        <w:t>instrumental</w:t>
      </w:r>
      <w:r w:rsidRPr="00126BF2">
        <w:t xml:space="preserve"> or </w:t>
      </w:r>
      <w:r w:rsidRPr="00126BF2">
        <w:rPr>
          <w:i/>
        </w:rPr>
        <w:t>symbolic</w:t>
      </w:r>
      <w:r w:rsidRPr="00126BF2">
        <w:t xml:space="preserve"> terms</w:t>
      </w:r>
      <w:r w:rsidR="00CF0EAA">
        <w:t xml:space="preserve">. </w:t>
      </w:r>
      <w:r w:rsidRPr="00126BF2">
        <w:t xml:space="preserve">Guidance on the role and conduct of NHS Boards is </w:t>
      </w:r>
      <w:r w:rsidR="00587DE6">
        <w:t xml:space="preserve">most usually </w:t>
      </w:r>
      <w:r w:rsidRPr="00126BF2">
        <w:t>informed by instrumentalist assumptions of the role of Boards as fora for deliberation, conciliation and decision-making. On these terms a ‘successful’ Board is one that is able to take decisions on corporate strategy in an efficient and effective manner</w:t>
      </w:r>
      <w:r w:rsidR="00587DE6">
        <w:t>,</w:t>
      </w:r>
      <w:r w:rsidRPr="00126BF2">
        <w:t xml:space="preserve"> and </w:t>
      </w:r>
      <w:r w:rsidR="00587DE6">
        <w:t xml:space="preserve">can </w:t>
      </w:r>
      <w:r w:rsidRPr="00126BF2">
        <w:t xml:space="preserve">monitor </w:t>
      </w:r>
      <w:r w:rsidR="00F96813">
        <w:t xml:space="preserve">its </w:t>
      </w:r>
      <w:r w:rsidRPr="00126BF2">
        <w:t xml:space="preserve">implementation </w:t>
      </w:r>
      <w:r w:rsidR="00587DE6">
        <w:t>th</w:t>
      </w:r>
      <w:r w:rsidR="002F21B2">
        <w:t>rough to organisational success</w:t>
      </w:r>
      <w:r w:rsidRPr="00126BF2">
        <w:t>.</w:t>
      </w:r>
      <w:r w:rsidR="00AF3673">
        <w:t xml:space="preserve"> Four key instrumental</w:t>
      </w:r>
      <w:r w:rsidR="00884C45">
        <w:t>ist frameworks can be discerned</w:t>
      </w:r>
      <w:r w:rsidR="00AF3673">
        <w:t xml:space="preserve"> in the literature</w:t>
      </w:r>
      <w:r w:rsidR="00151B5E">
        <w:t>:</w:t>
      </w:r>
    </w:p>
    <w:p w:rsidR="00C1114E" w:rsidRDefault="00C1114E" w:rsidP="00C1114E"/>
    <w:p w:rsidR="00E87862" w:rsidRPr="00F5061D" w:rsidRDefault="00151B5E" w:rsidP="00151B5E">
      <w:pPr>
        <w:pStyle w:val="ListParagraph"/>
        <w:numPr>
          <w:ilvl w:val="0"/>
          <w:numId w:val="32"/>
        </w:numPr>
        <w:rPr>
          <w:u w:val="single"/>
          <w:vertAlign w:val="superscript"/>
        </w:rPr>
      </w:pPr>
      <w:r>
        <w:rPr>
          <w:i/>
        </w:rPr>
        <w:t xml:space="preserve">Agency theory </w:t>
      </w:r>
      <w:r w:rsidR="001A386A" w:rsidRPr="00126BF2">
        <w:t>works on the assumption that</w:t>
      </w:r>
      <w:r>
        <w:t>,</w:t>
      </w:r>
      <w:r w:rsidR="001A386A" w:rsidRPr="00126BF2">
        <w:t xml:space="preserve"> unless scrutinised, staff will seek to pursue their own interests rather than</w:t>
      </w:r>
      <w:r w:rsidR="00884C45">
        <w:t xml:space="preserve"> wider organisational objectives</w:t>
      </w:r>
      <w:r>
        <w:t xml:space="preserve"> (opportunism)</w:t>
      </w:r>
      <w:r w:rsidR="00884C45">
        <w:t xml:space="preserve">. </w:t>
      </w:r>
      <w:r w:rsidR="001A386A" w:rsidRPr="00126BF2">
        <w:t xml:space="preserve">Here the Board is conceptualised as a monitoring device </w:t>
      </w:r>
      <w:r w:rsidR="00A82B6C">
        <w:t>set up to ensure compliance by</w:t>
      </w:r>
      <w:r w:rsidR="001A386A" w:rsidRPr="00126BF2">
        <w:t xml:space="preserve"> </w:t>
      </w:r>
      <w:r w:rsidR="001A386A">
        <w:t xml:space="preserve">developing </w:t>
      </w:r>
      <w:r w:rsidR="001A386A" w:rsidRPr="00126BF2">
        <w:t>systems of checking, monitoring and contro</w:t>
      </w:r>
      <w:r w:rsidR="00A82B6C">
        <w:t xml:space="preserve">l to hold staff accountable for their actions. </w:t>
      </w:r>
      <w:r w:rsidR="001A386A" w:rsidRPr="00126BF2">
        <w:t xml:space="preserve">This approach has </w:t>
      </w:r>
      <w:r w:rsidR="00A82B6C">
        <w:t xml:space="preserve">previously </w:t>
      </w:r>
      <w:r w:rsidR="001A386A" w:rsidRPr="00126BF2">
        <w:t>been used to understand and classify clinical governance strategies in U</w:t>
      </w:r>
      <w:r w:rsidR="002F21B2">
        <w:t>K hospitals</w:t>
      </w:r>
      <w:r w:rsidR="00E315B2" w:rsidRPr="00C1114E">
        <w:t>.</w:t>
      </w:r>
      <w:r w:rsidR="00E315B2" w:rsidRPr="00151B5E">
        <w:rPr>
          <w:u w:val="single"/>
        </w:rPr>
        <w:t xml:space="preserve"> </w:t>
      </w:r>
      <w:r w:rsidR="00F5061D" w:rsidRPr="00F5061D">
        <w:rPr>
          <w:u w:val="single"/>
          <w:vertAlign w:val="superscript"/>
        </w:rPr>
        <w:t>11</w:t>
      </w:r>
    </w:p>
    <w:p w:rsidR="00156C00" w:rsidRPr="001A386A" w:rsidRDefault="00156C00" w:rsidP="001A386A">
      <w:pPr>
        <w:rPr>
          <w:u w:val="single"/>
        </w:rPr>
      </w:pPr>
    </w:p>
    <w:p w:rsidR="00156C00" w:rsidRDefault="00C1114E" w:rsidP="00151B5E">
      <w:pPr>
        <w:pStyle w:val="ListParagraph"/>
        <w:numPr>
          <w:ilvl w:val="0"/>
          <w:numId w:val="32"/>
        </w:numPr>
      </w:pPr>
      <w:r w:rsidRPr="00151B5E">
        <w:rPr>
          <w:i/>
        </w:rPr>
        <w:t>Stewardship theor</w:t>
      </w:r>
      <w:r w:rsidR="00151B5E">
        <w:rPr>
          <w:i/>
        </w:rPr>
        <w:t xml:space="preserve">y </w:t>
      </w:r>
      <w:r w:rsidR="001A386A" w:rsidRPr="00126BF2">
        <w:t>assumes that</w:t>
      </w:r>
      <w:r w:rsidR="00297396">
        <w:t xml:space="preserve"> staff are motivated by more than</w:t>
      </w:r>
      <w:r w:rsidR="001A386A" w:rsidRPr="00126BF2">
        <w:t xml:space="preserve"> their own narrow self-interests</w:t>
      </w:r>
      <w:r w:rsidR="00151B5E">
        <w:t>,</w:t>
      </w:r>
      <w:r w:rsidR="001A386A" w:rsidRPr="00126BF2">
        <w:t xml:space="preserve"> and that managers want to do a good job and serve as effective stewards of an organisation’s resources</w:t>
      </w:r>
      <w:r w:rsidR="00F5061D">
        <w:t xml:space="preserve">. </w:t>
      </w:r>
      <w:r w:rsidR="00F5061D" w:rsidRPr="00F5061D">
        <w:rPr>
          <w:vertAlign w:val="superscript"/>
        </w:rPr>
        <w:t>12</w:t>
      </w:r>
      <w:r w:rsidR="001A386A">
        <w:t>The theory assumes a high degree of trust</w:t>
      </w:r>
      <w:r w:rsidR="00151B5E">
        <w:t>,</w:t>
      </w:r>
      <w:r w:rsidR="001A386A">
        <w:t xml:space="preserve"> with the f</w:t>
      </w:r>
      <w:r w:rsidR="00E315B2" w:rsidRPr="00C1114E">
        <w:t xml:space="preserve">ocus of the </w:t>
      </w:r>
      <w:r w:rsidR="00151B5E">
        <w:t>B</w:t>
      </w:r>
      <w:r w:rsidR="00E315B2" w:rsidRPr="00C1114E">
        <w:t xml:space="preserve">oard </w:t>
      </w:r>
      <w:r w:rsidR="00151B5E">
        <w:t>being</w:t>
      </w:r>
      <w:r w:rsidR="00E315B2" w:rsidRPr="00C1114E">
        <w:t xml:space="preserve"> on</w:t>
      </w:r>
      <w:r w:rsidR="00022E6D">
        <w:t xml:space="preserve"> creating a framework </w:t>
      </w:r>
      <w:r w:rsidR="00F96813">
        <w:t xml:space="preserve">for </w:t>
      </w:r>
      <w:r w:rsidR="00022E6D">
        <w:t>shared values</w:t>
      </w:r>
      <w:r w:rsidR="001A386A">
        <w:t xml:space="preserve"> and enabling staff</w:t>
      </w:r>
      <w:r w:rsidR="00151B5E">
        <w:t>,</w:t>
      </w:r>
      <w:r w:rsidR="001A386A">
        <w:t xml:space="preserve"> </w:t>
      </w:r>
      <w:r w:rsidR="00E315B2" w:rsidRPr="00C1114E">
        <w:t>rather than monitorin</w:t>
      </w:r>
      <w:r w:rsidR="001A386A">
        <w:t xml:space="preserve">g </w:t>
      </w:r>
      <w:r w:rsidR="00151B5E">
        <w:t>and coercing</w:t>
      </w:r>
      <w:r w:rsidR="001A386A">
        <w:t xml:space="preserve"> performance</w:t>
      </w:r>
      <w:r w:rsidR="00A975E8">
        <w:t>.</w:t>
      </w:r>
      <w:r w:rsidR="00E315B2" w:rsidRPr="00C1114E">
        <w:t xml:space="preserve"> </w:t>
      </w:r>
    </w:p>
    <w:p w:rsidR="00E87862" w:rsidRPr="00C1114E" w:rsidRDefault="00E87862" w:rsidP="00151B5E">
      <w:pPr>
        <w:ind w:firstLine="60"/>
      </w:pPr>
    </w:p>
    <w:p w:rsidR="00E87862" w:rsidRDefault="00151B5E" w:rsidP="00151B5E">
      <w:pPr>
        <w:pStyle w:val="ListParagraph"/>
        <w:numPr>
          <w:ilvl w:val="0"/>
          <w:numId w:val="32"/>
        </w:numPr>
      </w:pPr>
      <w:r>
        <w:rPr>
          <w:i/>
        </w:rPr>
        <w:t xml:space="preserve">Stakeholder theory </w:t>
      </w:r>
      <w:r w:rsidR="00CE7B18">
        <w:t>assumes a multiplicity of competing and cooperative</w:t>
      </w:r>
      <w:r>
        <w:t xml:space="preserve"> interests within organisations, and focuses</w:t>
      </w:r>
      <w:r w:rsidR="001A386A">
        <w:t xml:space="preserve"> on how </w:t>
      </w:r>
      <w:r w:rsidR="00CE7B18">
        <w:t xml:space="preserve">various </w:t>
      </w:r>
      <w:r w:rsidR="001A386A">
        <w:t xml:space="preserve">stakeholder interests can be </w:t>
      </w:r>
      <w:r w:rsidR="00CE7B18">
        <w:t xml:space="preserve">addressed, </w:t>
      </w:r>
      <w:r w:rsidR="001A386A">
        <w:t>integrated and</w:t>
      </w:r>
      <w:r w:rsidR="00CE7B18">
        <w:t xml:space="preserve"> balance</w:t>
      </w:r>
      <w:r w:rsidR="00022E6D">
        <w:t>d</w:t>
      </w:r>
      <w:r w:rsidR="00F5061D">
        <w:t xml:space="preserve">. </w:t>
      </w:r>
      <w:r w:rsidR="00F5061D" w:rsidRPr="00F5061D">
        <w:rPr>
          <w:vertAlign w:val="superscript"/>
        </w:rPr>
        <w:t>13</w:t>
      </w:r>
      <w:r>
        <w:t xml:space="preserve"> </w:t>
      </w:r>
      <w:r w:rsidR="00CE7B18">
        <w:t>T</w:t>
      </w:r>
      <w:r w:rsidR="001A386A">
        <w:t>he r</w:t>
      </w:r>
      <w:r w:rsidR="00022E6D">
        <w:t>ole of B</w:t>
      </w:r>
      <w:r w:rsidR="00E315B2" w:rsidRPr="00C1114E">
        <w:t>oard members is</w:t>
      </w:r>
      <w:r>
        <w:t xml:space="preserve"> then </w:t>
      </w:r>
      <w:r w:rsidR="00E315B2" w:rsidRPr="00C1114E">
        <w:t xml:space="preserve">to understand and represent the views of all those with a stake in the </w:t>
      </w:r>
      <w:r w:rsidR="00022E6D">
        <w:t>organisation</w:t>
      </w:r>
      <w:r>
        <w:t>,</w:t>
      </w:r>
      <w:r w:rsidR="00022E6D">
        <w:t xml:space="preserve"> and </w:t>
      </w:r>
      <w:r>
        <w:t>it</w:t>
      </w:r>
      <w:r w:rsidR="001A386A">
        <w:t xml:space="preserve"> is recognised that </w:t>
      </w:r>
      <w:r>
        <w:t xml:space="preserve">the </w:t>
      </w:r>
      <w:r w:rsidR="00A82B6C">
        <w:t>B</w:t>
      </w:r>
      <w:r w:rsidR="00E315B2" w:rsidRPr="00C1114E">
        <w:t xml:space="preserve">oard may need to manage complex trade-offs between stakeholders, including staff, patients and the public. </w:t>
      </w:r>
    </w:p>
    <w:p w:rsidR="00156C00" w:rsidRPr="00AF3673" w:rsidRDefault="00156C00" w:rsidP="001A386A">
      <w:pPr>
        <w:rPr>
          <w:i/>
        </w:rPr>
      </w:pPr>
    </w:p>
    <w:p w:rsidR="00E87862" w:rsidRPr="00151B5E" w:rsidRDefault="00C1114E" w:rsidP="00151B5E">
      <w:pPr>
        <w:pStyle w:val="ListParagraph"/>
        <w:numPr>
          <w:ilvl w:val="0"/>
          <w:numId w:val="32"/>
        </w:numPr>
        <w:autoSpaceDE w:val="0"/>
        <w:autoSpaceDN w:val="0"/>
        <w:adjustRightInd w:val="0"/>
        <w:rPr>
          <w:rFonts w:eastAsiaTheme="minorHAnsi"/>
          <w:lang w:eastAsia="en-US"/>
        </w:rPr>
      </w:pPr>
      <w:r w:rsidRPr="00151B5E">
        <w:rPr>
          <w:i/>
        </w:rPr>
        <w:t xml:space="preserve">Resource </w:t>
      </w:r>
      <w:r w:rsidR="00647FE4" w:rsidRPr="00151B5E">
        <w:rPr>
          <w:i/>
        </w:rPr>
        <w:t>dependency</w:t>
      </w:r>
      <w:r w:rsidRPr="00151B5E">
        <w:rPr>
          <w:i/>
        </w:rPr>
        <w:t xml:space="preserve"> theory</w:t>
      </w:r>
      <w:r w:rsidR="000E32D6" w:rsidRPr="00151B5E">
        <w:rPr>
          <w:rFonts w:eastAsiaTheme="minorHAnsi"/>
          <w:lang w:eastAsia="en-US"/>
        </w:rPr>
        <w:t xml:space="preserve"> derives from </w:t>
      </w:r>
      <w:r w:rsidR="00297396" w:rsidRPr="00151B5E">
        <w:rPr>
          <w:rFonts w:eastAsiaTheme="minorHAnsi"/>
          <w:lang w:eastAsia="en-US"/>
        </w:rPr>
        <w:t xml:space="preserve">the strategic management literature and </w:t>
      </w:r>
      <w:r w:rsidR="000E32D6" w:rsidRPr="00151B5E">
        <w:rPr>
          <w:rFonts w:eastAsiaTheme="minorHAnsi"/>
          <w:lang w:eastAsia="en-US"/>
        </w:rPr>
        <w:t xml:space="preserve">was </w:t>
      </w:r>
      <w:r w:rsidR="00297396" w:rsidRPr="00151B5E">
        <w:rPr>
          <w:rFonts w:eastAsiaTheme="minorHAnsi"/>
          <w:lang w:eastAsia="en-US"/>
        </w:rPr>
        <w:t xml:space="preserve">originally </w:t>
      </w:r>
      <w:r w:rsidR="000E32D6" w:rsidRPr="00151B5E">
        <w:rPr>
          <w:rFonts w:eastAsiaTheme="minorHAnsi"/>
          <w:lang w:eastAsia="en-US"/>
        </w:rPr>
        <w:t>developed pa</w:t>
      </w:r>
      <w:r w:rsidR="00F5061D">
        <w:rPr>
          <w:rFonts w:eastAsiaTheme="minorHAnsi"/>
          <w:lang w:eastAsia="en-US"/>
        </w:rPr>
        <w:t>rticularly by Zahra and Pearce</w:t>
      </w:r>
      <w:r w:rsidR="00297396" w:rsidRPr="00151B5E">
        <w:rPr>
          <w:rFonts w:eastAsiaTheme="minorHAnsi"/>
          <w:lang w:eastAsia="en-US"/>
        </w:rPr>
        <w:t>.</w:t>
      </w:r>
      <w:r w:rsidR="00F5061D">
        <w:rPr>
          <w:rFonts w:eastAsiaTheme="minorHAnsi"/>
          <w:lang w:eastAsia="en-US"/>
        </w:rPr>
        <w:t xml:space="preserve"> </w:t>
      </w:r>
      <w:r w:rsidR="00F5061D" w:rsidRPr="00F5061D">
        <w:rPr>
          <w:rFonts w:eastAsiaTheme="minorHAnsi"/>
          <w:vertAlign w:val="superscript"/>
          <w:lang w:eastAsia="en-US"/>
        </w:rPr>
        <w:t>14</w:t>
      </w:r>
      <w:r w:rsidR="00297396" w:rsidRPr="00F5061D">
        <w:rPr>
          <w:rFonts w:eastAsiaTheme="minorHAnsi"/>
          <w:vertAlign w:val="superscript"/>
          <w:lang w:eastAsia="en-US"/>
        </w:rPr>
        <w:t xml:space="preserve"> </w:t>
      </w:r>
      <w:r w:rsidR="00297396" w:rsidRPr="00151B5E">
        <w:rPr>
          <w:rFonts w:eastAsiaTheme="minorHAnsi"/>
          <w:lang w:eastAsia="en-US"/>
        </w:rPr>
        <w:t xml:space="preserve">From this perspective </w:t>
      </w:r>
      <w:r w:rsidR="001A386A">
        <w:t>the</w:t>
      </w:r>
      <w:r w:rsidR="00E315B2" w:rsidRPr="00C1114E">
        <w:t xml:space="preserve"> organisation is </w:t>
      </w:r>
      <w:r w:rsidR="00587DE6">
        <w:t xml:space="preserve">seen as </w:t>
      </w:r>
      <w:r w:rsidR="00E315B2" w:rsidRPr="00C1114E">
        <w:t>an amalgam of tangible and intang</w:t>
      </w:r>
      <w:r w:rsidR="001A386A">
        <w:t xml:space="preserve">ible assets </w:t>
      </w:r>
      <w:r w:rsidR="00022E6D">
        <w:t>and dynamic capabilities. The main function of the B</w:t>
      </w:r>
      <w:r w:rsidR="001A386A">
        <w:t>oard is to successfully manage</w:t>
      </w:r>
      <w:r w:rsidR="00E315B2" w:rsidRPr="00C1114E">
        <w:t xml:space="preserve"> </w:t>
      </w:r>
      <w:r w:rsidR="00587DE6">
        <w:t xml:space="preserve">internal and </w:t>
      </w:r>
      <w:r w:rsidR="00E315B2" w:rsidRPr="00C1114E">
        <w:t>external relationships to le</w:t>
      </w:r>
      <w:r w:rsidR="004D7989">
        <w:t>verage influence and resources.</w:t>
      </w:r>
      <w:r w:rsidR="00D45D54">
        <w:t xml:space="preserve"> Board</w:t>
      </w:r>
      <w:r w:rsidR="001A386A">
        <w:t xml:space="preserve"> </w:t>
      </w:r>
      <w:r w:rsidR="00E315B2" w:rsidRPr="00C1114E">
        <w:t xml:space="preserve">members </w:t>
      </w:r>
      <w:r w:rsidR="00D45D54">
        <w:t xml:space="preserve">are </w:t>
      </w:r>
      <w:r w:rsidR="00E315B2" w:rsidRPr="00C1114E">
        <w:t>selected for their background, contacts and skills in</w:t>
      </w:r>
      <w:r w:rsidR="00587DE6">
        <w:t xml:space="preserve"> mediation and</w:t>
      </w:r>
      <w:r w:rsidR="00E315B2" w:rsidRPr="00C1114E">
        <w:t xml:space="preserve"> ‘boundary spanning.’</w:t>
      </w:r>
    </w:p>
    <w:p w:rsidR="00022E6D" w:rsidRDefault="00022E6D" w:rsidP="00126BF2"/>
    <w:p w:rsidR="00126BF2" w:rsidRPr="00126BF2" w:rsidRDefault="00126BF2" w:rsidP="00126BF2">
      <w:r w:rsidRPr="00126BF2">
        <w:t>In</w:t>
      </w:r>
      <w:r w:rsidR="001A386A">
        <w:t xml:space="preserve"> spite of their differences</w:t>
      </w:r>
      <w:r w:rsidR="00E3121D">
        <w:t>,</w:t>
      </w:r>
      <w:r w:rsidR="001A386A">
        <w:t xml:space="preserve"> all four</w:t>
      </w:r>
      <w:r w:rsidRPr="00126BF2">
        <w:t xml:space="preserve"> </w:t>
      </w:r>
      <w:r w:rsidR="00E3121D">
        <w:t xml:space="preserve">of these instrumentalist </w:t>
      </w:r>
      <w:r w:rsidRPr="00126BF2">
        <w:t>th</w:t>
      </w:r>
      <w:r w:rsidR="001A386A">
        <w:t>eories assume that</w:t>
      </w:r>
      <w:r w:rsidR="00E3121D">
        <w:t xml:space="preserve"> B</w:t>
      </w:r>
      <w:r w:rsidRPr="00126BF2">
        <w:t xml:space="preserve">oard members are able to exercise </w:t>
      </w:r>
      <w:r w:rsidR="001A386A">
        <w:t>influence over staff</w:t>
      </w:r>
      <w:r w:rsidRPr="00126BF2">
        <w:t>, and that it is thro</w:t>
      </w:r>
      <w:r w:rsidR="00156C00">
        <w:t xml:space="preserve">ugh this influence </w:t>
      </w:r>
      <w:r w:rsidRPr="00126BF2">
        <w:t xml:space="preserve">that they are able to </w:t>
      </w:r>
      <w:r w:rsidR="001A386A">
        <w:t>bring about change and enhance</w:t>
      </w:r>
      <w:r w:rsidRPr="00126BF2">
        <w:t xml:space="preserve"> organisational performan</w:t>
      </w:r>
      <w:r w:rsidR="002F21B2">
        <w:t>ce</w:t>
      </w:r>
      <w:r w:rsidR="00E3121D">
        <w:t>. Integrating</w:t>
      </w:r>
      <w:r w:rsidRPr="00126BF2">
        <w:t xml:space="preserve"> insights from both </w:t>
      </w:r>
      <w:r w:rsidR="009B2037">
        <w:t>agency and s</w:t>
      </w:r>
      <w:r w:rsidR="00E3121D">
        <w:t>te</w:t>
      </w:r>
      <w:r w:rsidR="007B3883">
        <w:t>wardship theories, Garra</w:t>
      </w:r>
      <w:r w:rsidR="002B17BF">
        <w:t>t</w:t>
      </w:r>
      <w:r w:rsidR="007B3883">
        <w:t xml:space="preserve">t </w:t>
      </w:r>
      <w:r w:rsidR="007B3883" w:rsidRPr="007B3883">
        <w:rPr>
          <w:vertAlign w:val="superscript"/>
        </w:rPr>
        <w:t>4</w:t>
      </w:r>
      <w:r w:rsidRPr="00126BF2">
        <w:t xml:space="preserve"> posits two main </w:t>
      </w:r>
      <w:r w:rsidR="00E3121D">
        <w:t>dimensions of Board attention</w:t>
      </w:r>
      <w:r w:rsidRPr="00126BF2">
        <w:t>, which he terms ‘conformance’ and ‘performance’</w:t>
      </w:r>
      <w:r w:rsidR="00E3121D">
        <w:t xml:space="preserve"> (see Figure 1)</w:t>
      </w:r>
      <w:r w:rsidRPr="00126BF2">
        <w:t xml:space="preserve">. </w:t>
      </w:r>
      <w:r w:rsidRPr="00126BF2">
        <w:rPr>
          <w:i/>
        </w:rPr>
        <w:t>Conformance</w:t>
      </w:r>
      <w:r w:rsidRPr="00126BF2">
        <w:t xml:space="preserve"> </w:t>
      </w:r>
      <w:r w:rsidR="00E3121D">
        <w:t>can be focused externally or internally:</w:t>
      </w:r>
      <w:r w:rsidRPr="00126BF2">
        <w:t xml:space="preserve"> </w:t>
      </w:r>
      <w:r w:rsidRPr="00126BF2">
        <w:rPr>
          <w:i/>
        </w:rPr>
        <w:t>external accountability</w:t>
      </w:r>
      <w:r w:rsidR="00E3121D">
        <w:t xml:space="preserve"> includes</w:t>
      </w:r>
      <w:r w:rsidRPr="00126BF2">
        <w:t xml:space="preserve"> compliance with legal and regulatory requirements</w:t>
      </w:r>
      <w:r w:rsidR="00E3121D">
        <w:t>,</w:t>
      </w:r>
      <w:r w:rsidRPr="00126BF2">
        <w:t xml:space="preserve"> </w:t>
      </w:r>
      <w:r w:rsidR="00E3121D">
        <w:t>as well as</w:t>
      </w:r>
      <w:r w:rsidRPr="00126BF2">
        <w:t xml:space="preserve"> accountab</w:t>
      </w:r>
      <w:r w:rsidR="00E3121D">
        <w:t xml:space="preserve">ility to external stakeholders, while an </w:t>
      </w:r>
      <w:r w:rsidR="00E3121D" w:rsidRPr="00E3121D">
        <w:rPr>
          <w:i/>
        </w:rPr>
        <w:t>internal</w:t>
      </w:r>
      <w:r w:rsidR="00E3121D">
        <w:t xml:space="preserve"> focus involves </w:t>
      </w:r>
      <w:r w:rsidRPr="00E3121D">
        <w:t xml:space="preserve">supervision </w:t>
      </w:r>
      <w:r w:rsidR="00E3121D">
        <w:t>and</w:t>
      </w:r>
      <w:r w:rsidRPr="00E3121D">
        <w:t xml:space="preserve"> management</w:t>
      </w:r>
      <w:r w:rsidRPr="00126BF2">
        <w:t xml:space="preserve"> controls. The conformance dimension </w:t>
      </w:r>
      <w:r w:rsidR="00E3121D">
        <w:t xml:space="preserve">thus </w:t>
      </w:r>
      <w:r w:rsidRPr="00126BF2">
        <w:t xml:space="preserve">aligns with the agency theory perspective on governance. In contrast the </w:t>
      </w:r>
      <w:r w:rsidRPr="00126BF2">
        <w:rPr>
          <w:i/>
        </w:rPr>
        <w:t>performance</w:t>
      </w:r>
      <w:r w:rsidR="00E3121D">
        <w:t xml:space="preserve"> dimension of Board atten</w:t>
      </w:r>
      <w:r w:rsidR="007B3883">
        <w:t>tion, according to Garrat</w:t>
      </w:r>
      <w:r w:rsidR="002B17BF">
        <w:t>t</w:t>
      </w:r>
      <w:r w:rsidR="007B3883">
        <w:t xml:space="preserve"> </w:t>
      </w:r>
      <w:r w:rsidR="007B3883" w:rsidRPr="007B3883">
        <w:rPr>
          <w:vertAlign w:val="superscript"/>
        </w:rPr>
        <w:t>4</w:t>
      </w:r>
      <w:r w:rsidR="00E3121D">
        <w:t xml:space="preserve">, </w:t>
      </w:r>
      <w:r w:rsidRPr="00126BF2">
        <w:t>concerns driving the organisation to better achieve its objectives and goals. This again consists of two main functions</w:t>
      </w:r>
      <w:r w:rsidR="00E3121D">
        <w:t>:</w:t>
      </w:r>
      <w:r w:rsidRPr="00126BF2">
        <w:t xml:space="preserve"> </w:t>
      </w:r>
      <w:r w:rsidRPr="00126BF2">
        <w:rPr>
          <w:i/>
        </w:rPr>
        <w:t>policy formulation</w:t>
      </w:r>
      <w:r w:rsidRPr="00126BF2">
        <w:t xml:space="preserve"> and </w:t>
      </w:r>
      <w:r w:rsidRPr="00126BF2">
        <w:rPr>
          <w:i/>
        </w:rPr>
        <w:t>strategic thinking</w:t>
      </w:r>
      <w:r w:rsidRPr="00126BF2">
        <w:t>. The performance dimension is</w:t>
      </w:r>
      <w:r w:rsidR="009B2037">
        <w:t xml:space="preserve"> more</w:t>
      </w:r>
      <w:r w:rsidRPr="00126BF2">
        <w:t xml:space="preserve"> closely related to the stewardship theory of corporate governance. This framework suggests that Boards need to be concerned with both the conformance and performance dim</w:t>
      </w:r>
      <w:r w:rsidR="009B2037">
        <w:t>ensions of corporate governance, and that blended perspectives on agency/stewardship may be necessary.</w:t>
      </w:r>
    </w:p>
    <w:p w:rsidR="00126BF2" w:rsidRPr="00126BF2" w:rsidRDefault="00126BF2" w:rsidP="00126BF2">
      <w:pPr>
        <w:ind w:left="720"/>
      </w:pPr>
    </w:p>
    <w:p w:rsidR="00893011" w:rsidRDefault="00E71B6C" w:rsidP="00893011">
      <w:pPr>
        <w:spacing w:after="200" w:line="276" w:lineRule="auto"/>
        <w:rPr>
          <w:b/>
        </w:rPr>
      </w:pPr>
      <w:r>
        <w:rPr>
          <w:b/>
        </w:rPr>
        <w:t>&lt;&lt;Figure 1 about here&gt;&gt;</w:t>
      </w:r>
    </w:p>
    <w:p w:rsidR="00126BF2" w:rsidRPr="00126BF2" w:rsidRDefault="00126BF2" w:rsidP="00126BF2"/>
    <w:p w:rsidR="00E71B6C" w:rsidRDefault="00E71B6C" w:rsidP="007856DB">
      <w:pPr>
        <w:rPr>
          <w:i/>
        </w:rPr>
      </w:pPr>
    </w:p>
    <w:p w:rsidR="009B2037" w:rsidRPr="004F5E9C" w:rsidRDefault="009B2037" w:rsidP="007856DB">
      <w:pPr>
        <w:rPr>
          <w:b/>
        </w:rPr>
      </w:pPr>
      <w:r w:rsidRPr="004F5E9C">
        <w:rPr>
          <w:b/>
        </w:rPr>
        <w:t>Symbolic roles for Boards</w:t>
      </w:r>
    </w:p>
    <w:p w:rsidR="00FA225A" w:rsidRPr="00490273" w:rsidRDefault="00126BF2" w:rsidP="007856DB">
      <w:r w:rsidRPr="00126BF2">
        <w:t>While popular management literature and government documents tend to idealise Board members’ activities through the use of ‘her</w:t>
      </w:r>
      <w:r w:rsidR="007B3883">
        <w:t>oic’ narratives</w:t>
      </w:r>
      <w:r w:rsidRPr="00126BF2">
        <w:t>,</w:t>
      </w:r>
      <w:r w:rsidR="007B3883" w:rsidRPr="007B3883">
        <w:rPr>
          <w:vertAlign w:val="superscript"/>
        </w:rPr>
        <w:t>16</w:t>
      </w:r>
      <w:r w:rsidRPr="00126BF2">
        <w:t xml:space="preserve"> there is considerable debate over the extent to which Boards undertake the classic instrumentalist functions of establishing objectives and core strategies. Within the empirical </w:t>
      </w:r>
      <w:r w:rsidR="00AF3673">
        <w:t xml:space="preserve">and critical theory </w:t>
      </w:r>
      <w:r w:rsidRPr="00126BF2">
        <w:t xml:space="preserve">literature, Boards have been </w:t>
      </w:r>
      <w:r w:rsidR="00C449B7">
        <w:t>characterised as performing largely non</w:t>
      </w:r>
      <w:r w:rsidR="00587DE6">
        <w:t>-</w:t>
      </w:r>
      <w:r w:rsidR="00FA225A">
        <w:t>instrumental</w:t>
      </w:r>
      <w:r w:rsidR="00C449B7">
        <w:t xml:space="preserve"> roles by acting</w:t>
      </w:r>
      <w:r w:rsidRPr="00126BF2">
        <w:t xml:space="preserve"> primarily as legitimating institutions </w:t>
      </w:r>
      <w:r w:rsidR="000A51F6">
        <w:t>that</w:t>
      </w:r>
      <w:r w:rsidRPr="00126BF2">
        <w:t xml:space="preserve"> formally declare decisions </w:t>
      </w:r>
      <w:r w:rsidR="00587DE6">
        <w:t>negotiated</w:t>
      </w:r>
      <w:r w:rsidR="007B3883">
        <w:t xml:space="preserve"> elsewhere</w:t>
      </w:r>
      <w:r w:rsidR="00C449B7">
        <w:t>.</w:t>
      </w:r>
      <w:r w:rsidR="007B3883">
        <w:t xml:space="preserve"> </w:t>
      </w:r>
      <w:r w:rsidR="007B3883" w:rsidRPr="007B3883">
        <w:rPr>
          <w:vertAlign w:val="superscript"/>
        </w:rPr>
        <w:t>17</w:t>
      </w:r>
      <w:r w:rsidRPr="007B3883">
        <w:rPr>
          <w:vertAlign w:val="superscript"/>
        </w:rPr>
        <w:t xml:space="preserve"> </w:t>
      </w:r>
      <w:r w:rsidRPr="00126BF2">
        <w:t xml:space="preserve">These </w:t>
      </w:r>
      <w:r w:rsidR="00FA225A">
        <w:t>perspectives</w:t>
      </w:r>
      <w:r w:rsidRPr="00126BF2">
        <w:t xml:space="preserve"> indicate the potential importance of the symbolic </w:t>
      </w:r>
      <w:r w:rsidR="00C449B7">
        <w:t xml:space="preserve">and ceremonial </w:t>
      </w:r>
      <w:r w:rsidRPr="00126BF2">
        <w:t xml:space="preserve">value of Boards and the </w:t>
      </w:r>
      <w:r w:rsidR="00FA225A">
        <w:t xml:space="preserve">need to explore </w:t>
      </w:r>
      <w:r w:rsidRPr="00FA225A">
        <w:t>efficacy</w:t>
      </w:r>
      <w:r w:rsidRPr="00126BF2">
        <w:rPr>
          <w:i/>
        </w:rPr>
        <w:t xml:space="preserve"> </w:t>
      </w:r>
      <w:r w:rsidRPr="00126BF2">
        <w:t xml:space="preserve">of Board </w:t>
      </w:r>
      <w:r w:rsidRPr="00FA225A">
        <w:rPr>
          <w:i/>
        </w:rPr>
        <w:t>performances</w:t>
      </w:r>
      <w:r w:rsidR="00587DE6">
        <w:t xml:space="preserve"> in a more dramaturgical sense</w:t>
      </w:r>
      <w:r w:rsidRPr="00126BF2">
        <w:t>. In</w:t>
      </w:r>
      <w:r w:rsidR="007B3883">
        <w:t xml:space="preserve"> this regard, Hajer </w:t>
      </w:r>
      <w:r w:rsidR="007B3883" w:rsidRPr="007B3883">
        <w:rPr>
          <w:vertAlign w:val="superscript"/>
        </w:rPr>
        <w:t>18, 19</w:t>
      </w:r>
      <w:r w:rsidRPr="007B3883">
        <w:rPr>
          <w:vertAlign w:val="superscript"/>
        </w:rPr>
        <w:t xml:space="preserve"> </w:t>
      </w:r>
      <w:r w:rsidRPr="00126BF2">
        <w:t>has outlined a framework for the analysis of the performative dimension of Board governance. The approach opens up</w:t>
      </w:r>
      <w:r w:rsidR="00893011">
        <w:t xml:space="preserve"> the day-to-day interactions of Board members </w:t>
      </w:r>
      <w:r w:rsidRPr="00126BF2">
        <w:t xml:space="preserve">for analysis through consideration of the </w:t>
      </w:r>
      <w:r w:rsidRPr="007856DB">
        <w:rPr>
          <w:i/>
        </w:rPr>
        <w:t>setting</w:t>
      </w:r>
      <w:r w:rsidRPr="00126BF2">
        <w:t xml:space="preserve"> in which deliberation takes place</w:t>
      </w:r>
      <w:r w:rsidR="007856DB">
        <w:t xml:space="preserve">; the </w:t>
      </w:r>
      <w:r w:rsidR="007856DB" w:rsidRPr="007856DB">
        <w:rPr>
          <w:i/>
        </w:rPr>
        <w:t xml:space="preserve">scripting </w:t>
      </w:r>
      <w:r w:rsidR="007856DB">
        <w:t xml:space="preserve">in terms of the actors involved in the decision-making forum; the </w:t>
      </w:r>
      <w:r w:rsidR="007856DB" w:rsidRPr="007856DB">
        <w:rPr>
          <w:i/>
        </w:rPr>
        <w:t>staging</w:t>
      </w:r>
      <w:r w:rsidR="007856DB">
        <w:t xml:space="preserve"> in terms of delib</w:t>
      </w:r>
      <w:r w:rsidR="000A51F6">
        <w:t xml:space="preserve">erate attempts to organise the </w:t>
      </w:r>
      <w:r w:rsidR="007856DB">
        <w:t xml:space="preserve">interaction between participants by drawing on </w:t>
      </w:r>
      <w:r w:rsidR="00490273">
        <w:t xml:space="preserve">existing symbols; and the </w:t>
      </w:r>
      <w:r w:rsidR="00490273" w:rsidRPr="00490273">
        <w:rPr>
          <w:i/>
        </w:rPr>
        <w:t>performance</w:t>
      </w:r>
      <w:r w:rsidR="00490273">
        <w:t xml:space="preserve"> in terms of </w:t>
      </w:r>
      <w:r w:rsidR="007856DB" w:rsidRPr="00490273">
        <w:t>the way in which the intera</w:t>
      </w:r>
      <w:r w:rsidR="00490273">
        <w:t>ction constructs new knowledge,</w:t>
      </w:r>
      <w:r w:rsidR="007856DB" w:rsidRPr="00490273">
        <w:t xml:space="preserve"> unde</w:t>
      </w:r>
      <w:r w:rsidR="000A51F6">
        <w:t xml:space="preserve">rstandings </w:t>
      </w:r>
      <w:r w:rsidR="00490273">
        <w:t>and</w:t>
      </w:r>
      <w:r w:rsidR="007856DB" w:rsidRPr="00490273">
        <w:t xml:space="preserve"> power relationships that project forward to shape future interactions and provide opportunities for challenge and change over time</w:t>
      </w:r>
      <w:r w:rsidR="00490273">
        <w:t>.</w:t>
      </w:r>
      <w:r w:rsidR="00FA225A">
        <w:t xml:space="preserve"> While we believe that assessments of the performative aspects of Board behaviour are likely to be important, the survey approaches used in this study</w:t>
      </w:r>
      <w:r w:rsidR="00587DE6">
        <w:t xml:space="preserve"> largely</w:t>
      </w:r>
      <w:r w:rsidR="00FA225A">
        <w:t xml:space="preserve"> preclude such assessments and they are not considered further.</w:t>
      </w:r>
    </w:p>
    <w:p w:rsidR="00490273" w:rsidRPr="00490273" w:rsidRDefault="00490273" w:rsidP="00863C00"/>
    <w:p w:rsidR="00E71B6C" w:rsidRDefault="00E71B6C" w:rsidP="00863C00">
      <w:pPr>
        <w:rPr>
          <w:b/>
        </w:rPr>
      </w:pPr>
    </w:p>
    <w:p w:rsidR="00156C00" w:rsidRDefault="00156C00" w:rsidP="00863C00">
      <w:pPr>
        <w:rPr>
          <w:b/>
        </w:rPr>
      </w:pPr>
      <w:r>
        <w:rPr>
          <w:b/>
        </w:rPr>
        <w:t xml:space="preserve">Assessing </w:t>
      </w:r>
      <w:r w:rsidR="00177D18">
        <w:rPr>
          <w:b/>
        </w:rPr>
        <w:t>Boards</w:t>
      </w:r>
    </w:p>
    <w:p w:rsidR="00D17F99" w:rsidRDefault="003A6D03" w:rsidP="00D17F99">
      <w:pPr>
        <w:rPr>
          <w:rFonts w:eastAsiaTheme="minorHAnsi"/>
          <w:lang w:eastAsia="en-US"/>
        </w:rPr>
      </w:pPr>
      <w:r>
        <w:t xml:space="preserve">As interest has grown in </w:t>
      </w:r>
      <w:r w:rsidR="00FA225A">
        <w:t xml:space="preserve">understanding </w:t>
      </w:r>
      <w:r>
        <w:t>the effectiveness of Boards</w:t>
      </w:r>
      <w:r w:rsidR="00D45D54">
        <w:t xml:space="preserve">, both inside and outside </w:t>
      </w:r>
      <w:r w:rsidR="00FA225A">
        <w:t xml:space="preserve">of </w:t>
      </w:r>
      <w:r w:rsidR="00795B7B">
        <w:t xml:space="preserve">health </w:t>
      </w:r>
      <w:r w:rsidR="00D45D54">
        <w:t>care</w:t>
      </w:r>
      <w:r>
        <w:t>,</w:t>
      </w:r>
      <w:r w:rsidR="00A82B6C">
        <w:t xml:space="preserve"> </w:t>
      </w:r>
      <w:r w:rsidR="00D45D54">
        <w:t xml:space="preserve">a range of </w:t>
      </w:r>
      <w:r w:rsidR="00BE054F" w:rsidRPr="00126BF2">
        <w:t xml:space="preserve">Board assessment tools have been developed and </w:t>
      </w:r>
      <w:r w:rsidR="007B3883">
        <w:t xml:space="preserve">applied </w:t>
      </w:r>
      <w:r w:rsidR="007B3883" w:rsidRPr="007B3883">
        <w:rPr>
          <w:vertAlign w:val="superscript"/>
        </w:rPr>
        <w:t>15, 20</w:t>
      </w:r>
      <w:r w:rsidR="00BE054F" w:rsidRPr="00126BF2">
        <w:t xml:space="preserve">. </w:t>
      </w:r>
      <w:r w:rsidR="00FA225A">
        <w:t>Most prominent among these, and a tool that has see</w:t>
      </w:r>
      <w:r w:rsidR="00795B7B">
        <w:t>n</w:t>
      </w:r>
      <w:r w:rsidR="00FA225A">
        <w:t xml:space="preserve"> some use in health care, is the 65-</w:t>
      </w:r>
      <w:r w:rsidR="00BE054F" w:rsidRPr="00126BF2">
        <w:t xml:space="preserve">item Board </w:t>
      </w:r>
      <w:r w:rsidR="00795B7B" w:rsidRPr="00126BF2">
        <w:t>Self-</w:t>
      </w:r>
      <w:r w:rsidR="00795B7B">
        <w:t>Assessment</w:t>
      </w:r>
      <w:r w:rsidR="00D45D54">
        <w:t xml:space="preserve"> Questionna</w:t>
      </w:r>
      <w:r w:rsidR="00795B7B">
        <w:t xml:space="preserve">ire (BSAQ). </w:t>
      </w:r>
      <w:r w:rsidR="00D17F99">
        <w:rPr>
          <w:rFonts w:eastAsiaTheme="minorHAnsi"/>
          <w:lang w:eastAsia="en-US"/>
        </w:rPr>
        <w:t xml:space="preserve">The BSAQ is derived from research highlighting the characteristics of effective non-profit governing </w:t>
      </w:r>
      <w:r w:rsidR="004A1DAF">
        <w:rPr>
          <w:rFonts w:eastAsiaTheme="minorHAnsi"/>
          <w:lang w:eastAsia="en-US"/>
        </w:rPr>
        <w:t xml:space="preserve">Boards </w:t>
      </w:r>
      <w:r w:rsidR="007B3883">
        <w:rPr>
          <w:rFonts w:eastAsiaTheme="minorHAnsi"/>
          <w:lang w:eastAsia="en-US"/>
        </w:rPr>
        <w:t>in the United States</w:t>
      </w:r>
      <w:r w:rsidR="007B3883" w:rsidRPr="007B3883">
        <w:rPr>
          <w:rFonts w:eastAsiaTheme="minorHAnsi"/>
          <w:vertAlign w:val="superscript"/>
          <w:lang w:eastAsia="en-US"/>
        </w:rPr>
        <w:t>. 21,</w:t>
      </w:r>
      <w:r w:rsidR="002B17BF">
        <w:rPr>
          <w:rFonts w:eastAsiaTheme="minorHAnsi"/>
          <w:vertAlign w:val="superscript"/>
          <w:lang w:eastAsia="en-US"/>
        </w:rPr>
        <w:t xml:space="preserve"> </w:t>
      </w:r>
      <w:r w:rsidR="007B3883" w:rsidRPr="007B3883">
        <w:rPr>
          <w:rFonts w:eastAsiaTheme="minorHAnsi"/>
          <w:vertAlign w:val="superscript"/>
          <w:lang w:eastAsia="en-US"/>
        </w:rPr>
        <w:t>22</w:t>
      </w:r>
      <w:r w:rsidR="00D17F99">
        <w:rPr>
          <w:rFonts w:eastAsiaTheme="minorHAnsi"/>
          <w:lang w:eastAsia="en-US"/>
        </w:rPr>
        <w:t xml:space="preserve"> </w:t>
      </w:r>
    </w:p>
    <w:p w:rsidR="007B3883" w:rsidRDefault="007B3883" w:rsidP="00863C00">
      <w:pPr>
        <w:rPr>
          <w:rFonts w:eastAsiaTheme="minorHAnsi"/>
          <w:lang w:eastAsia="en-US"/>
        </w:rPr>
      </w:pPr>
    </w:p>
    <w:p w:rsidR="00BE054F" w:rsidRPr="00812C83" w:rsidRDefault="00202826" w:rsidP="00863C00">
      <w:pPr>
        <w:rPr>
          <w:rFonts w:eastAsiaTheme="minorHAnsi"/>
          <w:lang w:eastAsia="en-US"/>
        </w:rPr>
      </w:pPr>
      <w:r>
        <w:rPr>
          <w:rFonts w:eastAsiaTheme="minorHAnsi"/>
          <w:lang w:eastAsia="en-US"/>
        </w:rPr>
        <w:t>The initial research on BSAQ</w:t>
      </w:r>
      <w:r w:rsidR="00F36C6A">
        <w:rPr>
          <w:rFonts w:eastAsiaTheme="minorHAnsi"/>
          <w:lang w:eastAsia="en-US"/>
        </w:rPr>
        <w:t xml:space="preserve"> </w:t>
      </w:r>
      <w:r w:rsidR="00D17F99">
        <w:rPr>
          <w:rFonts w:eastAsiaTheme="minorHAnsi"/>
          <w:lang w:eastAsia="en-US"/>
        </w:rPr>
        <w:t xml:space="preserve">examined the practices of Boards identified by a panel of experts on </w:t>
      </w:r>
      <w:r w:rsidR="004A1DAF">
        <w:rPr>
          <w:rFonts w:eastAsiaTheme="minorHAnsi"/>
          <w:lang w:eastAsia="en-US"/>
        </w:rPr>
        <w:t xml:space="preserve">Board </w:t>
      </w:r>
      <w:r w:rsidR="00D17F99">
        <w:rPr>
          <w:rFonts w:eastAsiaTheme="minorHAnsi"/>
          <w:lang w:eastAsia="en-US"/>
        </w:rPr>
        <w:t xml:space="preserve">development as either reputedly very effective or reputedly very ineffective. On </w:t>
      </w:r>
      <w:r w:rsidR="00866CCA">
        <w:rPr>
          <w:rFonts w:eastAsiaTheme="minorHAnsi"/>
          <w:lang w:eastAsia="en-US"/>
        </w:rPr>
        <w:t xml:space="preserve">the </w:t>
      </w:r>
      <w:r w:rsidR="00D17F99">
        <w:rPr>
          <w:rFonts w:eastAsiaTheme="minorHAnsi"/>
          <w:lang w:eastAsia="en-US"/>
        </w:rPr>
        <w:t>basis</w:t>
      </w:r>
      <w:r w:rsidR="00866CCA">
        <w:rPr>
          <w:rFonts w:eastAsiaTheme="minorHAnsi"/>
          <w:lang w:eastAsia="en-US"/>
        </w:rPr>
        <w:t xml:space="preserve"> of this dichotomy of Board development,</w:t>
      </w:r>
      <w:r w:rsidR="00D17F99">
        <w:rPr>
          <w:rFonts w:eastAsiaTheme="minorHAnsi"/>
          <w:lang w:eastAsia="en-US"/>
        </w:rPr>
        <w:t xml:space="preserve"> the researchers isolated observable behaviours that were distinctive to the more effective Boards, and using the critical incident technique as part of a qualitative study</w:t>
      </w:r>
      <w:r w:rsidR="004A1DAF">
        <w:rPr>
          <w:rFonts w:eastAsiaTheme="minorHAnsi"/>
          <w:lang w:eastAsia="en-US"/>
        </w:rPr>
        <w:t>,</w:t>
      </w:r>
      <w:r w:rsidR="00D17F99">
        <w:rPr>
          <w:rFonts w:eastAsiaTheme="minorHAnsi"/>
          <w:lang w:eastAsia="en-US"/>
        </w:rPr>
        <w:t xml:space="preserve"> identified </w:t>
      </w:r>
      <w:r w:rsidR="00D17F99" w:rsidRPr="001303F9">
        <w:rPr>
          <w:rFonts w:eastAsiaTheme="minorHAnsi"/>
          <w:lang w:eastAsia="en-US"/>
        </w:rPr>
        <w:t>six dimensi</w:t>
      </w:r>
      <w:r w:rsidR="00D17F99">
        <w:rPr>
          <w:rFonts w:eastAsiaTheme="minorHAnsi"/>
          <w:lang w:eastAsia="en-US"/>
        </w:rPr>
        <w:t xml:space="preserve">ons or competencies </w:t>
      </w:r>
      <w:r w:rsidR="00D17F99" w:rsidRPr="001303F9">
        <w:rPr>
          <w:rFonts w:eastAsiaTheme="minorHAnsi"/>
          <w:lang w:eastAsia="en-US"/>
        </w:rPr>
        <w:t>of</w:t>
      </w:r>
      <w:r w:rsidR="00D17F99">
        <w:rPr>
          <w:rFonts w:eastAsiaTheme="minorHAnsi"/>
          <w:lang w:eastAsia="en-US"/>
        </w:rPr>
        <w:t xml:space="preserve"> </w:t>
      </w:r>
      <w:r w:rsidR="00D17F99" w:rsidRPr="001303F9">
        <w:rPr>
          <w:rFonts w:eastAsiaTheme="minorHAnsi"/>
          <w:lang w:eastAsia="en-US"/>
        </w:rPr>
        <w:t>effective</w:t>
      </w:r>
      <w:r w:rsidR="00D17F99">
        <w:rPr>
          <w:rFonts w:eastAsiaTheme="minorHAnsi"/>
          <w:lang w:eastAsia="en-US"/>
        </w:rPr>
        <w:t xml:space="preserve"> </w:t>
      </w:r>
      <w:r w:rsidR="00D17F99" w:rsidRPr="001303F9">
        <w:rPr>
          <w:rFonts w:eastAsiaTheme="minorHAnsi"/>
          <w:lang w:eastAsia="en-US"/>
        </w:rPr>
        <w:t>Board performance.</w:t>
      </w:r>
      <w:r w:rsidR="007B3883">
        <w:rPr>
          <w:rFonts w:eastAsiaTheme="minorHAnsi"/>
          <w:lang w:eastAsia="en-US"/>
        </w:rPr>
        <w:t xml:space="preserve"> </w:t>
      </w:r>
      <w:r w:rsidR="007B3883" w:rsidRPr="007B3883">
        <w:rPr>
          <w:rFonts w:eastAsiaTheme="minorHAnsi"/>
          <w:vertAlign w:val="superscript"/>
          <w:lang w:eastAsia="en-US"/>
        </w:rPr>
        <w:t>21</w:t>
      </w:r>
      <w:r w:rsidR="00D17F99" w:rsidRPr="007B3883">
        <w:rPr>
          <w:rFonts w:eastAsiaTheme="minorHAnsi"/>
          <w:vertAlign w:val="superscript"/>
          <w:lang w:eastAsia="en-US"/>
        </w:rPr>
        <w:t xml:space="preserve"> </w:t>
      </w:r>
      <w:r w:rsidR="00D17F99">
        <w:rPr>
          <w:rFonts w:eastAsiaTheme="minorHAnsi"/>
          <w:lang w:eastAsia="en-US"/>
        </w:rPr>
        <w:t>Following the qualitative phase, structured interviews with Board</w:t>
      </w:r>
      <w:r w:rsidR="00812C83">
        <w:rPr>
          <w:rFonts w:eastAsiaTheme="minorHAnsi"/>
          <w:lang w:eastAsia="en-US"/>
        </w:rPr>
        <w:t>s</w:t>
      </w:r>
      <w:r w:rsidR="00D17F99">
        <w:rPr>
          <w:rFonts w:eastAsiaTheme="minorHAnsi"/>
          <w:lang w:eastAsia="en-US"/>
        </w:rPr>
        <w:t xml:space="preserve"> of trustees were used to aid the develo</w:t>
      </w:r>
      <w:r w:rsidR="00812C83">
        <w:rPr>
          <w:rFonts w:eastAsiaTheme="minorHAnsi"/>
          <w:lang w:eastAsia="en-US"/>
        </w:rPr>
        <w:t>pment of a self-administered 65-</w:t>
      </w:r>
      <w:r w:rsidR="00D17F99">
        <w:rPr>
          <w:rFonts w:eastAsiaTheme="minorHAnsi"/>
          <w:lang w:eastAsia="en-US"/>
        </w:rPr>
        <w:t>item questionnaire, where each item is answered using a 4-point Likert-type scale. The BSAQ has subsequently been subject to extensive testing for validity, reliability and sensitivity and this process confi</w:t>
      </w:r>
      <w:r w:rsidR="00587DE6">
        <w:rPr>
          <w:rFonts w:eastAsiaTheme="minorHAnsi"/>
          <w:lang w:eastAsia="en-US"/>
        </w:rPr>
        <w:t>rmed that the six theoretically-</w:t>
      </w:r>
      <w:r w:rsidR="00D17F99">
        <w:rPr>
          <w:rFonts w:eastAsiaTheme="minorHAnsi"/>
          <w:lang w:eastAsia="en-US"/>
        </w:rPr>
        <w:t>derived dimensions also had some empirical distinctiveness.</w:t>
      </w:r>
      <w:r w:rsidR="007B3883">
        <w:rPr>
          <w:rFonts w:eastAsiaTheme="minorHAnsi"/>
          <w:lang w:eastAsia="en-US"/>
        </w:rPr>
        <w:t xml:space="preserve"> </w:t>
      </w:r>
      <w:r w:rsidR="007B3883" w:rsidRPr="007B3883">
        <w:rPr>
          <w:rFonts w:eastAsiaTheme="minorHAnsi"/>
          <w:vertAlign w:val="superscript"/>
          <w:lang w:eastAsia="en-US"/>
        </w:rPr>
        <w:t>23</w:t>
      </w:r>
      <w:r w:rsidR="00D17F99">
        <w:rPr>
          <w:rFonts w:eastAsiaTheme="minorHAnsi"/>
          <w:lang w:eastAsia="en-US"/>
        </w:rPr>
        <w:t xml:space="preserve"> </w:t>
      </w:r>
      <w:r w:rsidR="00795B7B">
        <w:t>These six dimensions are</w:t>
      </w:r>
      <w:r w:rsidR="00D45D54">
        <w:t xml:space="preserve"> </w:t>
      </w:r>
      <w:r w:rsidR="00795B7B">
        <w:t>labelled</w:t>
      </w:r>
      <w:r w:rsidR="00812C83">
        <w:t>:</w:t>
      </w:r>
      <w:r w:rsidR="00BE054F" w:rsidRPr="00126BF2">
        <w:t xml:space="preserve"> contextual, educational, interpersonal, anal</w:t>
      </w:r>
      <w:r w:rsidR="00D45D54">
        <w:t>ytical, political and strategic (See Box 1 for</w:t>
      </w:r>
      <w:r w:rsidR="00580CE3">
        <w:t xml:space="preserve"> </w:t>
      </w:r>
      <w:r w:rsidR="00D45D54">
        <w:t xml:space="preserve">more </w:t>
      </w:r>
      <w:r w:rsidR="00580CE3">
        <w:t>details</w:t>
      </w:r>
      <w:r w:rsidR="00D45D54">
        <w:t xml:space="preserve">). Four of these dimensions relate directly </w:t>
      </w:r>
      <w:r w:rsidR="00D45D54" w:rsidRPr="00126BF2">
        <w:t>to</w:t>
      </w:r>
      <w:r w:rsidR="00BE054F" w:rsidRPr="00126BF2">
        <w:t xml:space="preserve"> Garrat</w:t>
      </w:r>
      <w:r w:rsidR="002B17BF">
        <w:t>t</w:t>
      </w:r>
      <w:r w:rsidR="00BE054F" w:rsidRPr="00126BF2">
        <w:t>’s instrumental Board tasks (</w:t>
      </w:r>
      <w:r w:rsidR="00795B7B">
        <w:t>located in</w:t>
      </w:r>
      <w:r w:rsidR="00BE054F" w:rsidRPr="00126BF2">
        <w:t xml:space="preserve"> Figure 1) and the remaining two (educational and inte</w:t>
      </w:r>
      <w:r w:rsidR="00795B7B">
        <w:t xml:space="preserve">rpersonal) are more behavioural, </w:t>
      </w:r>
      <w:r w:rsidR="00BE054F" w:rsidRPr="00126BF2">
        <w:t>re</w:t>
      </w:r>
      <w:r w:rsidR="00D45D54">
        <w:t>flect</w:t>
      </w:r>
      <w:r w:rsidR="00795B7B">
        <w:t>ing</w:t>
      </w:r>
      <w:r w:rsidR="00D45D54">
        <w:t xml:space="preserve"> recognition</w:t>
      </w:r>
      <w:r w:rsidR="00BE054F" w:rsidRPr="00126BF2">
        <w:t xml:space="preserve"> of the need for Boards to </w:t>
      </w:r>
      <w:r w:rsidR="00795B7B">
        <w:t>develop</w:t>
      </w:r>
      <w:r w:rsidR="00BE054F" w:rsidRPr="00126BF2">
        <w:t xml:space="preserve"> group cohesion, reflection and development. </w:t>
      </w:r>
    </w:p>
    <w:p w:rsidR="00DC1C0C" w:rsidRDefault="00DC1C0C" w:rsidP="00863C00"/>
    <w:p w:rsidR="000F7CA2" w:rsidRDefault="000F7CA2" w:rsidP="00863C00"/>
    <w:p w:rsidR="000F7CA2" w:rsidRPr="00663EDC" w:rsidRDefault="00663EDC" w:rsidP="00863C00">
      <w:pPr>
        <w:rPr>
          <w:b/>
        </w:rPr>
      </w:pPr>
      <w:r>
        <w:rPr>
          <w:b/>
        </w:rPr>
        <w:t>&lt;</w:t>
      </w:r>
      <w:r w:rsidR="000F7CA2" w:rsidRPr="00663EDC">
        <w:rPr>
          <w:b/>
        </w:rPr>
        <w:t>&lt; Box 1 about here&gt;</w:t>
      </w:r>
      <w:r>
        <w:rPr>
          <w:b/>
        </w:rPr>
        <w:t>&gt;</w:t>
      </w:r>
    </w:p>
    <w:p w:rsidR="004F5E9C" w:rsidRPr="00663EDC" w:rsidRDefault="004F5E9C" w:rsidP="00863C00">
      <w:pPr>
        <w:rPr>
          <w:b/>
        </w:rPr>
      </w:pPr>
    </w:p>
    <w:p w:rsidR="004A1DAF" w:rsidRDefault="00866CCA" w:rsidP="004A1DAF">
      <w:pPr>
        <w:rPr>
          <w:b/>
          <w:sz w:val="28"/>
        </w:rPr>
      </w:pPr>
      <w:r>
        <w:rPr>
          <w:b/>
          <w:sz w:val="28"/>
        </w:rPr>
        <w:t>Survey m</w:t>
      </w:r>
      <w:r w:rsidR="004A1DAF" w:rsidRPr="004F5E9C">
        <w:rPr>
          <w:b/>
          <w:sz w:val="28"/>
        </w:rPr>
        <w:t>ethods</w:t>
      </w:r>
    </w:p>
    <w:p w:rsidR="00DC1C0C" w:rsidRDefault="00DC1C0C" w:rsidP="00863C00">
      <w:r>
        <w:t xml:space="preserve">Given the paucity of information available on English NHS Boards, we used the BSAQ tool </w:t>
      </w:r>
      <w:r w:rsidR="00D74261">
        <w:t xml:space="preserve">along with </w:t>
      </w:r>
      <w:r>
        <w:t xml:space="preserve">other survey </w:t>
      </w:r>
      <w:r w:rsidR="000A51F6">
        <w:t>instruments</w:t>
      </w:r>
      <w:r>
        <w:t xml:space="preserve"> as a means of providing a</w:t>
      </w:r>
      <w:r w:rsidR="004A1DAF">
        <w:t>n</w:t>
      </w:r>
      <w:r>
        <w:t xml:space="preserve"> account of Board composition, activities and orientations.</w:t>
      </w:r>
      <w:r w:rsidR="003766F9">
        <w:t xml:space="preserve"> Our goal was first</w:t>
      </w:r>
      <w:r w:rsidR="00D74261">
        <w:t>,</w:t>
      </w:r>
      <w:r w:rsidR="003766F9">
        <w:t xml:space="preserve"> to provide a basic descriptive account of English NHS Boards in acute hospitals, which is currently lacking in the literature. Second, we wanted to </w:t>
      </w:r>
      <w:r w:rsidR="004A1DAF">
        <w:t>provide a snapshot of</w:t>
      </w:r>
      <w:r w:rsidR="003766F9">
        <w:t xml:space="preserve"> </w:t>
      </w:r>
      <w:r w:rsidR="004A1DAF">
        <w:t>the BSAQ</w:t>
      </w:r>
      <w:r w:rsidR="003766F9">
        <w:t xml:space="preserve"> six-dimensional structure </w:t>
      </w:r>
      <w:r w:rsidR="004A1DAF">
        <w:t xml:space="preserve">applied to </w:t>
      </w:r>
      <w:r w:rsidR="003766F9">
        <w:t>English NHS Boards.</w:t>
      </w:r>
      <w:r w:rsidR="003766F9" w:rsidRPr="003766F9">
        <w:t xml:space="preserve"> </w:t>
      </w:r>
      <w:r w:rsidR="003766F9">
        <w:t xml:space="preserve">Finally, we sought to explore whether there were major differences between different types of hospitals, looking at Foundation Trusts </w:t>
      </w:r>
      <w:r w:rsidR="003766F9" w:rsidRPr="00587DE6">
        <w:rPr>
          <w:i/>
        </w:rPr>
        <w:t>ver</w:t>
      </w:r>
      <w:r w:rsidR="00587DE6" w:rsidRPr="00587DE6">
        <w:rPr>
          <w:i/>
        </w:rPr>
        <w:t>sus</w:t>
      </w:r>
      <w:r w:rsidR="00587DE6">
        <w:t xml:space="preserve"> non-Foundation Trusts, and Teaching Hospitals </w:t>
      </w:r>
      <w:r w:rsidR="00587DE6" w:rsidRPr="00587DE6">
        <w:rPr>
          <w:i/>
        </w:rPr>
        <w:t>versus</w:t>
      </w:r>
      <w:r w:rsidR="00587DE6">
        <w:t xml:space="preserve"> non-Teaching H</w:t>
      </w:r>
      <w:r w:rsidR="003766F9">
        <w:t xml:space="preserve">ospitals. </w:t>
      </w:r>
    </w:p>
    <w:p w:rsidR="004F5E9C" w:rsidRPr="004F5E9C" w:rsidRDefault="004F5E9C" w:rsidP="00126BF2">
      <w:pPr>
        <w:rPr>
          <w:b/>
        </w:rPr>
      </w:pPr>
    </w:p>
    <w:p w:rsidR="00DB2CBC" w:rsidRDefault="00DB2CBC" w:rsidP="00126BF2">
      <w:r w:rsidRPr="00DB2CBC">
        <w:t>Two nati</w:t>
      </w:r>
      <w:r w:rsidR="00812C83">
        <w:t xml:space="preserve">onal surveys </w:t>
      </w:r>
      <w:r w:rsidR="002B0BC4">
        <w:t xml:space="preserve">were undertaken </w:t>
      </w:r>
      <w:r w:rsidR="00AB5066">
        <w:t xml:space="preserve">about </w:t>
      </w:r>
      <w:r w:rsidR="00D74261">
        <w:t xml:space="preserve">Board </w:t>
      </w:r>
      <w:r w:rsidR="00AB5066">
        <w:t xml:space="preserve">management </w:t>
      </w:r>
      <w:r w:rsidR="004507AB">
        <w:t xml:space="preserve">in NHS </w:t>
      </w:r>
      <w:r w:rsidR="00812C83">
        <w:t xml:space="preserve">acute </w:t>
      </w:r>
      <w:r w:rsidR="00AB5066">
        <w:t xml:space="preserve">and specialist </w:t>
      </w:r>
      <w:r w:rsidR="00E71B6C">
        <w:t>hospital trusts in England</w:t>
      </w:r>
      <w:r w:rsidR="00812C83">
        <w:t xml:space="preserve">. The first of these surveys was issued to </w:t>
      </w:r>
      <w:r w:rsidR="00D74261">
        <w:t>150</w:t>
      </w:r>
      <w:r w:rsidR="00E71B6C">
        <w:t xml:space="preserve"> </w:t>
      </w:r>
      <w:r w:rsidR="00812C83">
        <w:t>Trusts in the financial year 2011/12 as part of the annual Trust surve</w:t>
      </w:r>
      <w:r w:rsidR="0032372F">
        <w:t xml:space="preserve">y carried out by Dr Foster </w:t>
      </w:r>
      <w:r w:rsidR="00812C83">
        <w:t>.</w:t>
      </w:r>
      <w:r w:rsidR="004507AB">
        <w:t xml:space="preserve"> </w:t>
      </w:r>
      <w:r w:rsidR="00AB5066">
        <w:t xml:space="preserve">The questionnaire was completed online </w:t>
      </w:r>
      <w:r w:rsidR="00AB5066" w:rsidRPr="00E71B6C">
        <w:rPr>
          <w:i/>
        </w:rPr>
        <w:t>via</w:t>
      </w:r>
      <w:r w:rsidR="00AB5066">
        <w:t xml:space="preserve"> a dedicated web tool (available on request from the authors). </w:t>
      </w:r>
      <w:r w:rsidR="00691D50">
        <w:t>T</w:t>
      </w:r>
      <w:r w:rsidR="00AB5066">
        <w:t>his su</w:t>
      </w:r>
      <w:r w:rsidR="00691D50">
        <w:t xml:space="preserve">rvey gathered data on each Trust’s Board, </w:t>
      </w:r>
      <w:r w:rsidR="00AB5066">
        <w:t xml:space="preserve">and </w:t>
      </w:r>
      <w:r w:rsidR="00D74261">
        <w:t xml:space="preserve">145 </w:t>
      </w:r>
      <w:r w:rsidR="00AB5066">
        <w:t xml:space="preserve">replies were received making for an overall response rate of </w:t>
      </w:r>
      <w:r w:rsidR="00D74261">
        <w:t>97</w:t>
      </w:r>
      <w:r w:rsidR="00AB5066">
        <w:t>%</w:t>
      </w:r>
      <w:r w:rsidR="00E71B6C">
        <w:t xml:space="preserve">. We believe </w:t>
      </w:r>
      <w:r w:rsidR="00587DE6">
        <w:t xml:space="preserve">that </w:t>
      </w:r>
      <w:r w:rsidR="00E71B6C">
        <w:t>this response rate is unusually high because of the levels of engagement of NHS Trusts with Dr Foster</w:t>
      </w:r>
      <w:r w:rsidR="00BB21E2">
        <w:t xml:space="preserve"> (i</w:t>
      </w:r>
      <w:r w:rsidR="00AB5066">
        <w:t xml:space="preserve">n some cases </w:t>
      </w:r>
      <w:r w:rsidR="00D74261">
        <w:t>responses</w:t>
      </w:r>
      <w:r w:rsidR="00AB5066">
        <w:t xml:space="preserve"> were omitted from individual questions making the effective response rate </w:t>
      </w:r>
      <w:r w:rsidR="00D74261">
        <w:t>slightly</w:t>
      </w:r>
      <w:r w:rsidR="00AB5066">
        <w:t xml:space="preserve"> lower for some data items).</w:t>
      </w:r>
    </w:p>
    <w:p w:rsidR="00AB5066" w:rsidRDefault="00AB5066" w:rsidP="00126BF2"/>
    <w:p w:rsidR="00DB2CBC" w:rsidRDefault="00AB5066" w:rsidP="00863C00">
      <w:r>
        <w:t xml:space="preserve">The second survey targeted individual Board members </w:t>
      </w:r>
      <w:r w:rsidR="00587DE6">
        <w:t>from</w:t>
      </w:r>
      <w:r>
        <w:t xml:space="preserve"> t</w:t>
      </w:r>
      <w:r w:rsidR="00691D50">
        <w:t>hese Trusts</w:t>
      </w:r>
      <w:r>
        <w:t>.</w:t>
      </w:r>
      <w:r w:rsidRPr="00AB5066">
        <w:t xml:space="preserve"> </w:t>
      </w:r>
      <w:r w:rsidR="00691D50">
        <w:rPr>
          <w:rFonts w:eastAsiaTheme="minorHAnsi"/>
          <w:lang w:eastAsia="en-US"/>
        </w:rPr>
        <w:t xml:space="preserve">We used an adapted version of the BSAQ questionnaire that had been </w:t>
      </w:r>
      <w:r w:rsidR="00D74261">
        <w:rPr>
          <w:rFonts w:eastAsiaTheme="minorHAnsi"/>
          <w:lang w:eastAsia="en-US"/>
        </w:rPr>
        <w:t>tested</w:t>
      </w:r>
      <w:r w:rsidR="00691D50">
        <w:rPr>
          <w:rFonts w:eastAsiaTheme="minorHAnsi"/>
          <w:lang w:eastAsia="en-US"/>
        </w:rPr>
        <w:t xml:space="preserve"> previously with a small sample of Foundation Tr</w:t>
      </w:r>
      <w:r w:rsidR="00C83BDA">
        <w:rPr>
          <w:rFonts w:eastAsiaTheme="minorHAnsi"/>
          <w:lang w:eastAsia="en-US"/>
        </w:rPr>
        <w:t xml:space="preserve">usts in the English NHS </w:t>
      </w:r>
      <w:r w:rsidR="00C83BDA" w:rsidRPr="00C83BDA">
        <w:rPr>
          <w:rFonts w:eastAsiaTheme="minorHAnsi"/>
          <w:vertAlign w:val="superscript"/>
          <w:lang w:eastAsia="en-US"/>
        </w:rPr>
        <w:t>24</w:t>
      </w:r>
      <w:r w:rsidR="00691D50">
        <w:rPr>
          <w:rFonts w:eastAsiaTheme="minorHAnsi"/>
          <w:lang w:eastAsia="en-US"/>
        </w:rPr>
        <w:t xml:space="preserve"> </w:t>
      </w:r>
      <w:r w:rsidR="00C83BDA">
        <w:rPr>
          <w:rFonts w:eastAsiaTheme="minorHAnsi"/>
          <w:lang w:eastAsia="en-US"/>
        </w:rPr>
        <w:t>(</w:t>
      </w:r>
      <w:r w:rsidR="00691D50">
        <w:rPr>
          <w:rFonts w:eastAsiaTheme="minorHAnsi"/>
          <w:lang w:eastAsia="en-US"/>
        </w:rPr>
        <w:t xml:space="preserve">unpublished data; tool and report available from the authors on request). </w:t>
      </w:r>
      <w:r>
        <w:t xml:space="preserve">This survey was also completed </w:t>
      </w:r>
      <w:r w:rsidR="00691D50">
        <w:t xml:space="preserve">through </w:t>
      </w:r>
      <w:r>
        <w:t xml:space="preserve">on-line </w:t>
      </w:r>
      <w:r w:rsidR="00691D50">
        <w:t>means</w:t>
      </w:r>
      <w:r>
        <w:t xml:space="preserve">, and data were gathered between May 2012 and April 2013. </w:t>
      </w:r>
      <w:r w:rsidR="00E71B6C">
        <w:t xml:space="preserve">By this time period, Trust numbers were reduced to 144 because of merger activity in the sector. </w:t>
      </w:r>
      <w:r w:rsidR="002B0BC4">
        <w:t xml:space="preserve">A total of 334 responses were received from 165 executive and </w:t>
      </w:r>
      <w:r>
        <w:t xml:space="preserve">169 non-executive board members, providing at least one response from </w:t>
      </w:r>
      <w:r w:rsidR="002B0BC4">
        <w:t xml:space="preserve">95 </w:t>
      </w:r>
      <w:r w:rsidR="00691D50">
        <w:t xml:space="preserve">of the 144 </w:t>
      </w:r>
      <w:r w:rsidR="00E71B6C">
        <w:t>NHS T</w:t>
      </w:r>
      <w:r w:rsidR="002B0BC4">
        <w:t>rusts</w:t>
      </w:r>
      <w:r w:rsidR="00E71B6C">
        <w:t xml:space="preserve"> then in existence</w:t>
      </w:r>
      <w:r w:rsidR="002B0BC4">
        <w:t xml:space="preserve"> (</w:t>
      </w:r>
      <w:r w:rsidR="00691D50">
        <w:t>66%</w:t>
      </w:r>
      <w:r w:rsidR="002B0BC4">
        <w:t>).</w:t>
      </w:r>
      <w:r w:rsidR="00691D50">
        <w:t xml:space="preserve"> In order to gain Trust-based estimates on each of the six BSAQ dimensions, replies from individuals from the same Trust were aggregated. </w:t>
      </w:r>
    </w:p>
    <w:p w:rsidR="00FC304F" w:rsidRDefault="00FC304F" w:rsidP="00863C00"/>
    <w:p w:rsidR="00FC304F" w:rsidRPr="00AB5066" w:rsidRDefault="00FC304F" w:rsidP="00863C00">
      <w:r>
        <w:t>For all of the main indicators calculated across both surveys we explored differences between Foundation Trusts and non-Foundation Trusts, and between Teaching Hospit</w:t>
      </w:r>
      <w:r w:rsidR="000A51F6">
        <w:t>als and non-Teaching Hospitals.</w:t>
      </w:r>
    </w:p>
    <w:p w:rsidR="004507AB" w:rsidRDefault="004507AB" w:rsidP="00863C00">
      <w:pPr>
        <w:rPr>
          <w:b/>
        </w:rPr>
      </w:pPr>
    </w:p>
    <w:p w:rsidR="004507AB" w:rsidRDefault="004507AB" w:rsidP="00863C00">
      <w:pPr>
        <w:rPr>
          <w:b/>
        </w:rPr>
      </w:pPr>
    </w:p>
    <w:p w:rsidR="00297396" w:rsidRPr="004F5E9C" w:rsidRDefault="00FC304F" w:rsidP="00863C00">
      <w:pPr>
        <w:rPr>
          <w:b/>
          <w:sz w:val="28"/>
        </w:rPr>
      </w:pPr>
      <w:r w:rsidRPr="004F5E9C">
        <w:rPr>
          <w:b/>
          <w:sz w:val="28"/>
        </w:rPr>
        <w:t>Survey f</w:t>
      </w:r>
      <w:r w:rsidR="00EB61E7" w:rsidRPr="004F5E9C">
        <w:rPr>
          <w:b/>
          <w:sz w:val="28"/>
        </w:rPr>
        <w:t xml:space="preserve">indings </w:t>
      </w:r>
    </w:p>
    <w:p w:rsidR="00297396" w:rsidRPr="00297396" w:rsidRDefault="009E6990" w:rsidP="00863C00">
      <w:r>
        <w:t>The findings are presented and</w:t>
      </w:r>
      <w:r w:rsidR="00EB61E7">
        <w:t xml:space="preserve"> discussed </w:t>
      </w:r>
      <w:r>
        <w:t>under three</w:t>
      </w:r>
      <w:r w:rsidR="00022E6D">
        <w:t xml:space="preserve"> broad headings</w:t>
      </w:r>
      <w:r>
        <w:t xml:space="preserve">: (1) </w:t>
      </w:r>
      <w:r w:rsidR="00297396" w:rsidRPr="00297396">
        <w:t>Board size</w:t>
      </w:r>
      <w:r w:rsidR="00342CC3">
        <w:t xml:space="preserve"> and structure</w:t>
      </w:r>
      <w:r>
        <w:t xml:space="preserve">, including clinical representation on the Board; (2) </w:t>
      </w:r>
      <w:r w:rsidR="00D04929">
        <w:t xml:space="preserve">Board engagement with </w:t>
      </w:r>
      <w:r w:rsidR="00D04929" w:rsidRPr="00297396">
        <w:t>patient safety</w:t>
      </w:r>
      <w:r>
        <w:t xml:space="preserve"> issues, including the use of diverse sources </w:t>
      </w:r>
      <w:r w:rsidR="00342CC3" w:rsidRPr="00297396">
        <w:t>of hard and soft information</w:t>
      </w:r>
      <w:r w:rsidR="009F0D34">
        <w:t xml:space="preserve">; </w:t>
      </w:r>
      <w:r>
        <w:t xml:space="preserve">and (3) aggregate Trust Board responses along the six dimensions that make up the </w:t>
      </w:r>
      <w:r w:rsidR="00297396" w:rsidRPr="00297396">
        <w:t>BSAQ</w:t>
      </w:r>
      <w:r w:rsidR="009F0D34">
        <w:t>.</w:t>
      </w:r>
    </w:p>
    <w:p w:rsidR="0037490B" w:rsidRDefault="0037490B" w:rsidP="00863C00">
      <w:pPr>
        <w:rPr>
          <w:b/>
        </w:rPr>
      </w:pPr>
    </w:p>
    <w:p w:rsidR="00297396" w:rsidRPr="00421B27" w:rsidRDefault="004E6C17" w:rsidP="000E32D6">
      <w:pPr>
        <w:autoSpaceDE w:val="0"/>
        <w:autoSpaceDN w:val="0"/>
        <w:adjustRightInd w:val="0"/>
        <w:rPr>
          <w:rFonts w:eastAsiaTheme="minorHAnsi"/>
          <w:b/>
          <w:szCs w:val="20"/>
          <w:lang w:eastAsia="en-US"/>
        </w:rPr>
      </w:pPr>
      <w:r w:rsidRPr="00421B27">
        <w:rPr>
          <w:rFonts w:eastAsiaTheme="minorHAnsi"/>
          <w:b/>
          <w:szCs w:val="20"/>
          <w:lang w:eastAsia="en-US"/>
        </w:rPr>
        <w:t xml:space="preserve">(1) </w:t>
      </w:r>
      <w:r w:rsidR="00902C1F" w:rsidRPr="00421B27">
        <w:rPr>
          <w:rFonts w:eastAsiaTheme="minorHAnsi"/>
          <w:b/>
          <w:szCs w:val="20"/>
          <w:lang w:eastAsia="en-US"/>
        </w:rPr>
        <w:t>Board size</w:t>
      </w:r>
      <w:r w:rsidR="00A82B6C" w:rsidRPr="00421B27">
        <w:rPr>
          <w:rFonts w:eastAsiaTheme="minorHAnsi"/>
          <w:b/>
          <w:szCs w:val="20"/>
          <w:lang w:eastAsia="en-US"/>
        </w:rPr>
        <w:t xml:space="preserve"> and </w:t>
      </w:r>
      <w:r w:rsidR="008C1246">
        <w:rPr>
          <w:rFonts w:eastAsiaTheme="minorHAnsi"/>
          <w:b/>
          <w:szCs w:val="20"/>
          <w:lang w:eastAsia="en-US"/>
        </w:rPr>
        <w:t>composition</w:t>
      </w:r>
    </w:p>
    <w:p w:rsidR="00FE3C4B" w:rsidRDefault="00FE3C4B" w:rsidP="00166E2C">
      <w:pPr>
        <w:autoSpaceDE w:val="0"/>
        <w:autoSpaceDN w:val="0"/>
        <w:adjustRightInd w:val="0"/>
        <w:rPr>
          <w:rFonts w:eastAsiaTheme="minorHAnsi"/>
          <w:lang w:eastAsia="en-US"/>
        </w:rPr>
      </w:pPr>
    </w:p>
    <w:p w:rsidR="00DA4A86" w:rsidRDefault="00FE3C4B" w:rsidP="00166E2C">
      <w:pPr>
        <w:autoSpaceDE w:val="0"/>
        <w:autoSpaceDN w:val="0"/>
        <w:adjustRightInd w:val="0"/>
        <w:rPr>
          <w:rFonts w:eastAsiaTheme="minorHAnsi"/>
          <w:lang w:eastAsia="en-US"/>
        </w:rPr>
      </w:pPr>
      <w:r>
        <w:rPr>
          <w:rFonts w:eastAsiaTheme="minorHAnsi"/>
          <w:lang w:eastAsia="en-US"/>
        </w:rPr>
        <w:t xml:space="preserve">Given the </w:t>
      </w:r>
      <w:r w:rsidR="00E946EB">
        <w:rPr>
          <w:rFonts w:eastAsiaTheme="minorHAnsi"/>
          <w:lang w:eastAsia="en-US"/>
        </w:rPr>
        <w:t>range and diversity of roles require</w:t>
      </w:r>
      <w:r>
        <w:rPr>
          <w:rFonts w:eastAsiaTheme="minorHAnsi"/>
          <w:lang w:eastAsia="en-US"/>
        </w:rPr>
        <w:t>d of NHS Trust</w:t>
      </w:r>
      <w:r w:rsidR="00E946EB">
        <w:rPr>
          <w:rFonts w:eastAsiaTheme="minorHAnsi"/>
          <w:lang w:eastAsia="en-US"/>
        </w:rPr>
        <w:t xml:space="preserve"> Boards</w:t>
      </w:r>
      <w:r>
        <w:rPr>
          <w:rFonts w:eastAsiaTheme="minorHAnsi"/>
          <w:lang w:eastAsia="en-US"/>
        </w:rPr>
        <w:t>, it follows that they need to be</w:t>
      </w:r>
      <w:r w:rsidR="00E946EB">
        <w:rPr>
          <w:rFonts w:eastAsiaTheme="minorHAnsi"/>
          <w:lang w:eastAsia="en-US"/>
        </w:rPr>
        <w:t xml:space="preserve"> of sufficient size and diversity.</w:t>
      </w:r>
      <w:r>
        <w:rPr>
          <w:rFonts w:eastAsiaTheme="minorHAnsi"/>
          <w:lang w:eastAsia="en-US"/>
        </w:rPr>
        <w:t xml:space="preserve"> </w:t>
      </w:r>
      <w:r w:rsidR="00E946EB">
        <w:rPr>
          <w:rFonts w:eastAsiaTheme="minorHAnsi"/>
          <w:lang w:eastAsia="en-US"/>
        </w:rPr>
        <w:t xml:space="preserve">The smallest Board in our sample had eight members, and in general Boards were tightly clustered in size between </w:t>
      </w:r>
      <w:r w:rsidR="00B8196B">
        <w:rPr>
          <w:rFonts w:eastAsiaTheme="minorHAnsi"/>
          <w:lang w:eastAsia="en-US"/>
        </w:rPr>
        <w:t>ten</w:t>
      </w:r>
      <w:r w:rsidR="0033464C">
        <w:rPr>
          <w:rFonts w:eastAsiaTheme="minorHAnsi"/>
          <w:lang w:eastAsia="en-US"/>
        </w:rPr>
        <w:t xml:space="preserve"> </w:t>
      </w:r>
      <w:r w:rsidR="00E946EB">
        <w:rPr>
          <w:rFonts w:eastAsiaTheme="minorHAnsi"/>
          <w:lang w:eastAsia="en-US"/>
        </w:rPr>
        <w:t xml:space="preserve">and fifteen strong. Around </w:t>
      </w:r>
      <w:r w:rsidR="0033464C">
        <w:rPr>
          <w:rFonts w:eastAsiaTheme="minorHAnsi"/>
          <w:lang w:eastAsia="en-US"/>
        </w:rPr>
        <w:t xml:space="preserve">42% </w:t>
      </w:r>
      <w:r w:rsidR="00E946EB">
        <w:rPr>
          <w:rFonts w:eastAsiaTheme="minorHAnsi"/>
          <w:lang w:eastAsia="en-US"/>
        </w:rPr>
        <w:t xml:space="preserve">of Boards had 10-12 members and around </w:t>
      </w:r>
      <w:r w:rsidR="0033464C">
        <w:rPr>
          <w:rFonts w:eastAsiaTheme="minorHAnsi"/>
          <w:lang w:eastAsia="en-US"/>
        </w:rPr>
        <w:t>51</w:t>
      </w:r>
      <w:r w:rsidR="00E946EB">
        <w:rPr>
          <w:rFonts w:eastAsiaTheme="minorHAnsi"/>
          <w:lang w:eastAsia="en-US"/>
        </w:rPr>
        <w:t xml:space="preserve">% had 13-15 members, with the largest Board numbering only seventeen. </w:t>
      </w:r>
      <w:r w:rsidR="00292167">
        <w:rPr>
          <w:rFonts w:eastAsiaTheme="minorHAnsi"/>
          <w:lang w:eastAsia="en-US"/>
        </w:rPr>
        <w:t>We found no significant difference in Board size between Trusts of different types (</w:t>
      </w:r>
      <w:r w:rsidR="00D5192F">
        <w:rPr>
          <w:rFonts w:eastAsiaTheme="minorHAnsi"/>
          <w:lang w:eastAsia="en-US"/>
        </w:rPr>
        <w:t xml:space="preserve">Foundation / non-Foundation; Teaching / non-teaching). </w:t>
      </w:r>
    </w:p>
    <w:p w:rsidR="00DA4A86" w:rsidRDefault="00DA4A86" w:rsidP="00166E2C">
      <w:pPr>
        <w:autoSpaceDE w:val="0"/>
        <w:autoSpaceDN w:val="0"/>
        <w:adjustRightInd w:val="0"/>
        <w:rPr>
          <w:rFonts w:eastAsiaTheme="minorHAnsi"/>
          <w:lang w:eastAsia="en-US"/>
        </w:rPr>
      </w:pPr>
    </w:p>
    <w:p w:rsidR="006E59F1" w:rsidRPr="008C1246" w:rsidRDefault="006E59F1" w:rsidP="00912BA4">
      <w:pPr>
        <w:pStyle w:val="NormalWeb"/>
        <w:spacing w:before="0" w:beforeAutospacing="0"/>
      </w:pPr>
      <w:r>
        <w:t xml:space="preserve">In our study, around </w:t>
      </w:r>
      <w:r w:rsidR="00292167">
        <w:t>62%</w:t>
      </w:r>
      <w:r>
        <w:t xml:space="preserve"> of Boards had three or fewer </w:t>
      </w:r>
      <w:r w:rsidR="008C1246">
        <w:t xml:space="preserve">serving </w:t>
      </w:r>
      <w:r>
        <w:t xml:space="preserve">Board members with clinical backgrounds. </w:t>
      </w:r>
      <w:r w:rsidR="008C1246">
        <w:t>For</w:t>
      </w:r>
      <w:r w:rsidR="00BB21E2">
        <w:t xml:space="preserve"> about</w:t>
      </w:r>
      <w:r w:rsidR="008C1246">
        <w:t xml:space="preserve"> two-thirds of the Trusts (</w:t>
      </w:r>
      <w:r w:rsidR="00292167">
        <w:t>63</w:t>
      </w:r>
      <w:r w:rsidR="008C1246">
        <w:t>%), Board members with a clinical background comprised less than 30% of the Board.</w:t>
      </w:r>
      <w:r w:rsidR="00BD0FE6">
        <w:t xml:space="preserve"> </w:t>
      </w:r>
      <w:r w:rsidR="00D5192F">
        <w:t xml:space="preserve">We found no significant differences between Foundation and non-Foundation Trusts or teaching and non-teaching Trusts in the </w:t>
      </w:r>
      <w:r w:rsidR="00BB21E2">
        <w:t>distribution</w:t>
      </w:r>
      <w:r w:rsidR="00D5192F">
        <w:t xml:space="preserve"> of Board members with clinical backgrounds. </w:t>
      </w:r>
      <w:r w:rsidR="00BD0FE6">
        <w:t xml:space="preserve">Our findings </w:t>
      </w:r>
      <w:r>
        <w:t>chime with recent work that focused on NE</w:t>
      </w:r>
      <w:r w:rsidR="00C83BDA">
        <w:t xml:space="preserve">Ds </w:t>
      </w:r>
      <w:r w:rsidR="00C83BDA" w:rsidRPr="00C83BDA">
        <w:rPr>
          <w:vertAlign w:val="superscript"/>
        </w:rPr>
        <w:t>8</w:t>
      </w:r>
      <w:r w:rsidR="008C1246">
        <w:t>,</w:t>
      </w:r>
      <w:r>
        <w:t xml:space="preserve"> which found that only half of Trusts (52%) had </w:t>
      </w:r>
      <w:r w:rsidRPr="008C1246">
        <w:rPr>
          <w:i/>
        </w:rPr>
        <w:t>any</w:t>
      </w:r>
      <w:r>
        <w:t xml:space="preserve"> NED with h</w:t>
      </w:r>
      <w:r w:rsidR="008C1246">
        <w:t>ealthcare leadership experience, with the overwhelming majority of NEDs (86%) being drawn from a commercial, financial or managerial background (non-clinical).</w:t>
      </w:r>
    </w:p>
    <w:p w:rsidR="00166E2C" w:rsidRDefault="00C3672E" w:rsidP="00166E2C">
      <w:pPr>
        <w:autoSpaceDE w:val="0"/>
        <w:autoSpaceDN w:val="0"/>
        <w:adjustRightInd w:val="0"/>
        <w:rPr>
          <w:rFonts w:eastAsiaTheme="minorHAnsi"/>
          <w:b/>
          <w:lang w:eastAsia="en-US"/>
        </w:rPr>
      </w:pPr>
      <w:r w:rsidRPr="00C3672E">
        <w:rPr>
          <w:rFonts w:eastAsiaTheme="minorHAnsi"/>
          <w:b/>
          <w:lang w:eastAsia="en-US"/>
        </w:rPr>
        <w:t>(2</w:t>
      </w:r>
      <w:r w:rsidR="007B0BFE" w:rsidRPr="00C3672E">
        <w:rPr>
          <w:rFonts w:eastAsiaTheme="minorHAnsi"/>
          <w:b/>
          <w:lang w:eastAsia="en-US"/>
        </w:rPr>
        <w:t>)</w:t>
      </w:r>
      <w:r w:rsidR="007B0BFE">
        <w:rPr>
          <w:rFonts w:eastAsiaTheme="minorHAnsi"/>
          <w:b/>
          <w:lang w:eastAsia="en-US"/>
        </w:rPr>
        <w:t xml:space="preserve"> Board engagement with</w:t>
      </w:r>
      <w:r w:rsidR="00166E2C" w:rsidRPr="00166E2C">
        <w:rPr>
          <w:rFonts w:eastAsiaTheme="minorHAnsi"/>
          <w:b/>
          <w:lang w:eastAsia="en-US"/>
        </w:rPr>
        <w:t xml:space="preserve"> patient safety issues</w:t>
      </w:r>
      <w:r w:rsidR="00166E2C">
        <w:rPr>
          <w:rFonts w:eastAsiaTheme="minorHAnsi"/>
          <w:b/>
          <w:lang w:eastAsia="en-US"/>
        </w:rPr>
        <w:t xml:space="preserve"> </w:t>
      </w:r>
    </w:p>
    <w:p w:rsidR="00B8196B" w:rsidRDefault="00B8196B" w:rsidP="00B8196B">
      <w:pPr>
        <w:autoSpaceDE w:val="0"/>
        <w:autoSpaceDN w:val="0"/>
        <w:adjustRightInd w:val="0"/>
        <w:rPr>
          <w:rFonts w:eastAsiaTheme="minorHAnsi"/>
          <w:lang w:eastAsia="en-US"/>
        </w:rPr>
      </w:pPr>
      <w:r>
        <w:rPr>
          <w:rFonts w:eastAsiaTheme="minorHAnsi"/>
          <w:lang w:eastAsia="en-US"/>
        </w:rPr>
        <w:t xml:space="preserve">In this study, Boards appear to give considerable time to safety and quality issues. Only a fifth of Trust boards (21%) reported that 30% or less of their time was spent discussing safety and quality issues. However only a quarter (26%) reported that more than 60% of their Board time was spent on these issues. </w:t>
      </w:r>
    </w:p>
    <w:p w:rsidR="00B8196B" w:rsidRDefault="00B8196B" w:rsidP="00B8196B">
      <w:pPr>
        <w:autoSpaceDE w:val="0"/>
        <w:autoSpaceDN w:val="0"/>
        <w:adjustRightInd w:val="0"/>
        <w:rPr>
          <w:rFonts w:eastAsiaTheme="minorHAnsi"/>
          <w:lang w:eastAsia="en-US"/>
        </w:rPr>
      </w:pPr>
    </w:p>
    <w:p w:rsidR="00A52643" w:rsidRDefault="00B8196B" w:rsidP="000E68BE">
      <w:pPr>
        <w:autoSpaceDE w:val="0"/>
        <w:autoSpaceDN w:val="0"/>
        <w:adjustRightInd w:val="0"/>
        <w:rPr>
          <w:rFonts w:eastAsiaTheme="minorHAnsi"/>
          <w:lang w:eastAsia="en-US"/>
        </w:rPr>
      </w:pPr>
      <w:r>
        <w:rPr>
          <w:rFonts w:eastAsiaTheme="minorHAnsi"/>
          <w:lang w:eastAsia="en-US"/>
        </w:rPr>
        <w:t>Moreover</w:t>
      </w:r>
      <w:r w:rsidR="00512B62">
        <w:rPr>
          <w:rFonts w:eastAsiaTheme="minorHAnsi"/>
          <w:lang w:eastAsia="en-US"/>
        </w:rPr>
        <w:t xml:space="preserve">, a very high proportion of </w:t>
      </w:r>
      <w:r w:rsidR="006B274D">
        <w:rPr>
          <w:rFonts w:eastAsiaTheme="minorHAnsi"/>
          <w:lang w:eastAsia="en-US"/>
        </w:rPr>
        <w:t xml:space="preserve">English NHS </w:t>
      </w:r>
      <w:r w:rsidR="00512B62">
        <w:rPr>
          <w:rFonts w:eastAsiaTheme="minorHAnsi"/>
          <w:lang w:eastAsia="en-US"/>
        </w:rPr>
        <w:t>Trusts reported the kinds of desirable characteristics and</w:t>
      </w:r>
      <w:r w:rsidR="00E51D74">
        <w:rPr>
          <w:rFonts w:eastAsiaTheme="minorHAnsi"/>
          <w:lang w:eastAsia="en-US"/>
        </w:rPr>
        <w:t xml:space="preserve"> Board</w:t>
      </w:r>
      <w:r w:rsidR="00BE737B">
        <w:rPr>
          <w:rFonts w:eastAsiaTheme="minorHAnsi"/>
          <w:lang w:eastAsia="en-US"/>
        </w:rPr>
        <w:t>-related</w:t>
      </w:r>
      <w:r w:rsidR="00512B62">
        <w:rPr>
          <w:rFonts w:eastAsiaTheme="minorHAnsi"/>
          <w:lang w:eastAsia="en-US"/>
        </w:rPr>
        <w:t xml:space="preserve"> processes that research says may be associated with higher performance (see Box 2). </w:t>
      </w:r>
      <w:r w:rsidR="00713E89">
        <w:rPr>
          <w:rFonts w:eastAsiaTheme="minorHAnsi"/>
          <w:lang w:eastAsia="en-US"/>
        </w:rPr>
        <w:t>On on</w:t>
      </w:r>
      <w:r w:rsidR="00912BA4">
        <w:rPr>
          <w:rFonts w:eastAsiaTheme="minorHAnsi"/>
          <w:lang w:eastAsia="en-US"/>
        </w:rPr>
        <w:t>ly</w:t>
      </w:r>
      <w:r w:rsidR="00713E89">
        <w:rPr>
          <w:rFonts w:eastAsiaTheme="minorHAnsi"/>
          <w:lang w:eastAsia="en-US"/>
        </w:rPr>
        <w:t xml:space="preserve"> </w:t>
      </w:r>
      <w:r w:rsidR="00BE737B">
        <w:rPr>
          <w:rFonts w:eastAsiaTheme="minorHAnsi"/>
          <w:lang w:eastAsia="en-US"/>
        </w:rPr>
        <w:t>two</w:t>
      </w:r>
      <w:r w:rsidR="00713E89">
        <w:rPr>
          <w:rFonts w:eastAsiaTheme="minorHAnsi"/>
          <w:lang w:eastAsia="en-US"/>
        </w:rPr>
        <w:t xml:space="preserve"> of these</w:t>
      </w:r>
      <w:r w:rsidR="00BE737B">
        <w:rPr>
          <w:rFonts w:eastAsiaTheme="minorHAnsi"/>
          <w:lang w:eastAsia="en-US"/>
        </w:rPr>
        <w:t xml:space="preserve"> questions</w:t>
      </w:r>
      <w:r w:rsidR="00713E89">
        <w:rPr>
          <w:rFonts w:eastAsiaTheme="minorHAnsi"/>
          <w:lang w:eastAsia="en-US"/>
        </w:rPr>
        <w:t xml:space="preserve"> (</w:t>
      </w:r>
      <w:r w:rsidR="00BE737B">
        <w:rPr>
          <w:rFonts w:eastAsiaTheme="minorHAnsi"/>
          <w:lang w:eastAsia="en-US"/>
        </w:rPr>
        <w:t>safety measures in the CEO’s performance review</w:t>
      </w:r>
      <w:r w:rsidR="00912BA4">
        <w:rPr>
          <w:rFonts w:eastAsiaTheme="minorHAnsi"/>
          <w:lang w:eastAsia="en-US"/>
        </w:rPr>
        <w:t>,</w:t>
      </w:r>
      <w:r w:rsidR="00BE737B">
        <w:rPr>
          <w:rFonts w:eastAsiaTheme="minorHAnsi"/>
          <w:lang w:eastAsia="en-US"/>
        </w:rPr>
        <w:t xml:space="preserve"> and </w:t>
      </w:r>
      <w:r w:rsidR="00713E89">
        <w:rPr>
          <w:rFonts w:eastAsiaTheme="minorHAnsi"/>
          <w:lang w:eastAsia="en-US"/>
        </w:rPr>
        <w:t xml:space="preserve">formal training for Board members on quality and safety) did affirmation fall </w:t>
      </w:r>
      <w:r>
        <w:rPr>
          <w:rFonts w:eastAsiaTheme="minorHAnsi"/>
          <w:lang w:eastAsia="en-US"/>
        </w:rPr>
        <w:t xml:space="preserve">at or </w:t>
      </w:r>
      <w:r w:rsidR="00BE737B">
        <w:rPr>
          <w:rFonts w:eastAsiaTheme="minorHAnsi"/>
          <w:lang w:eastAsia="en-US"/>
        </w:rPr>
        <w:t>below</w:t>
      </w:r>
      <w:r w:rsidR="00713E89">
        <w:rPr>
          <w:rFonts w:eastAsiaTheme="minorHAnsi"/>
          <w:lang w:eastAsia="en-US"/>
        </w:rPr>
        <w:t xml:space="preserve"> 90%. </w:t>
      </w:r>
      <w:r w:rsidR="00A52643">
        <w:rPr>
          <w:rFonts w:eastAsiaTheme="minorHAnsi"/>
          <w:lang w:eastAsia="en-US"/>
        </w:rPr>
        <w:t xml:space="preserve">There was a small </w:t>
      </w:r>
      <w:r>
        <w:rPr>
          <w:rFonts w:eastAsiaTheme="minorHAnsi"/>
          <w:lang w:eastAsia="en-US"/>
        </w:rPr>
        <w:t xml:space="preserve">(but still non-significant) </w:t>
      </w:r>
      <w:r w:rsidR="00A52643">
        <w:rPr>
          <w:rFonts w:eastAsiaTheme="minorHAnsi"/>
          <w:lang w:eastAsia="en-US"/>
        </w:rPr>
        <w:t xml:space="preserve">difference between </w:t>
      </w:r>
      <w:r w:rsidR="00A52643">
        <w:t xml:space="preserve">Foundation and non-Foundation Trusts with respect to Board members receiving formal training in relation to patient safety, with 90% of Foundation Trusts versus 83% of non-Foundation Trusts reportedly receiving training. </w:t>
      </w:r>
      <w:r>
        <w:t>Other differences between Trusts of different types on the raft of measures in Box 2 were minimal.</w:t>
      </w:r>
    </w:p>
    <w:p w:rsidR="006B3ED3" w:rsidRDefault="006B3ED3" w:rsidP="000E68BE">
      <w:pPr>
        <w:autoSpaceDE w:val="0"/>
        <w:autoSpaceDN w:val="0"/>
        <w:adjustRightInd w:val="0"/>
        <w:rPr>
          <w:rFonts w:eastAsiaTheme="minorHAnsi"/>
          <w:lang w:eastAsia="en-US"/>
        </w:rPr>
      </w:pPr>
    </w:p>
    <w:p w:rsidR="00912BA4" w:rsidRDefault="006B3ED3" w:rsidP="006B274D">
      <w:pPr>
        <w:autoSpaceDE w:val="0"/>
        <w:autoSpaceDN w:val="0"/>
        <w:adjustRightInd w:val="0"/>
        <w:rPr>
          <w:rFonts w:eastAsiaTheme="minorHAnsi"/>
          <w:lang w:eastAsia="en-US"/>
        </w:rPr>
      </w:pPr>
      <w:r>
        <w:rPr>
          <w:rFonts w:eastAsiaTheme="minorHAnsi"/>
          <w:lang w:eastAsia="en-US"/>
        </w:rPr>
        <w:t xml:space="preserve">These generally high </w:t>
      </w:r>
      <w:r w:rsidR="00B8196B">
        <w:rPr>
          <w:rFonts w:eastAsiaTheme="minorHAnsi"/>
          <w:lang w:eastAsia="en-US"/>
        </w:rPr>
        <w:t>(or very high) ‘</w:t>
      </w:r>
      <w:r>
        <w:rPr>
          <w:rFonts w:eastAsiaTheme="minorHAnsi"/>
          <w:lang w:eastAsia="en-US"/>
        </w:rPr>
        <w:t>desirable responses</w:t>
      </w:r>
      <w:r w:rsidR="00B8196B">
        <w:rPr>
          <w:rFonts w:eastAsiaTheme="minorHAnsi"/>
          <w:lang w:eastAsia="en-US"/>
        </w:rPr>
        <w:t>’</w:t>
      </w:r>
      <w:r>
        <w:rPr>
          <w:rFonts w:eastAsiaTheme="minorHAnsi"/>
          <w:lang w:eastAsia="en-US"/>
        </w:rPr>
        <w:t xml:space="preserve"> by Trusts may represent considerable Board attention being paid to quality and safety, especially in the light of scandals such as Mid-Staffs, and/or they may reflect a growing awareness of the importance of signalling that such issues are being taken seriously.</w:t>
      </w:r>
    </w:p>
    <w:p w:rsidR="00912BA4" w:rsidRDefault="00912BA4" w:rsidP="006B274D">
      <w:pPr>
        <w:autoSpaceDE w:val="0"/>
        <w:autoSpaceDN w:val="0"/>
        <w:adjustRightInd w:val="0"/>
        <w:rPr>
          <w:rFonts w:eastAsiaTheme="minorHAnsi"/>
          <w:lang w:eastAsia="en-US"/>
        </w:rPr>
      </w:pPr>
    </w:p>
    <w:p w:rsidR="006B274D" w:rsidRDefault="00D74014" w:rsidP="006B274D">
      <w:pPr>
        <w:autoSpaceDE w:val="0"/>
        <w:autoSpaceDN w:val="0"/>
        <w:adjustRightInd w:val="0"/>
        <w:rPr>
          <w:rFonts w:eastAsiaTheme="minorHAnsi"/>
          <w:b/>
          <w:lang w:eastAsia="en-US"/>
        </w:rPr>
      </w:pPr>
      <w:r>
        <w:rPr>
          <w:rFonts w:eastAsiaTheme="minorHAnsi"/>
          <w:b/>
          <w:lang w:eastAsia="en-US"/>
        </w:rPr>
        <w:t>&lt;&lt;Box 1</w:t>
      </w:r>
      <w:r w:rsidR="006B274D" w:rsidRPr="00713E89">
        <w:rPr>
          <w:rFonts w:eastAsiaTheme="minorHAnsi"/>
          <w:b/>
          <w:lang w:eastAsia="en-US"/>
        </w:rPr>
        <w:t xml:space="preserve"> about here&gt;&gt;</w:t>
      </w:r>
    </w:p>
    <w:p w:rsidR="006B274D" w:rsidRPr="00713E89" w:rsidRDefault="006B274D" w:rsidP="006B274D">
      <w:pPr>
        <w:autoSpaceDE w:val="0"/>
        <w:autoSpaceDN w:val="0"/>
        <w:adjustRightInd w:val="0"/>
        <w:rPr>
          <w:rFonts w:eastAsiaTheme="minorHAnsi"/>
          <w:b/>
          <w:lang w:eastAsia="en-US"/>
        </w:rPr>
      </w:pPr>
    </w:p>
    <w:p w:rsidR="004335D3" w:rsidRDefault="006B274D" w:rsidP="006B274D">
      <w:pPr>
        <w:autoSpaceDE w:val="0"/>
        <w:autoSpaceDN w:val="0"/>
        <w:adjustRightInd w:val="0"/>
      </w:pPr>
      <w:r>
        <w:t>In our national survey we found that hospital Boards were using a wide range of hard performance metrics and soft intelligence to monitor their organisation with regard to patient safety. Hard, quantitative data were reportedly used at every Board meeting across most hospital Trusts (&gt;</w:t>
      </w:r>
      <w:r w:rsidR="004335D3">
        <w:t>80</w:t>
      </w:r>
      <w:r>
        <w:t>%), includ</w:t>
      </w:r>
      <w:r w:rsidR="004335D3">
        <w:t>ing</w:t>
      </w:r>
      <w:r>
        <w:t xml:space="preserve"> a range of clinical outcomes measures, infection rates and process measures such as medication errors and readmission rates. It is noteworthy however that fewer Trusts reported routine reporting of patient safety surveys (</w:t>
      </w:r>
      <w:r w:rsidR="004335D3">
        <w:t>81</w:t>
      </w:r>
      <w:r>
        <w:t>%) and implementation of patient safety alerts (</w:t>
      </w:r>
      <w:r w:rsidR="004335D3">
        <w:t>79</w:t>
      </w:r>
      <w:r>
        <w:t xml:space="preserve">%). </w:t>
      </w:r>
      <w:r w:rsidR="004335D3">
        <w:t xml:space="preserve">A much smaller proportion of Trusts (57%) routinely report morbidity rates at every Board meeting. There was no </w:t>
      </w:r>
      <w:r w:rsidR="00A405D9">
        <w:t xml:space="preserve">appreciable </w:t>
      </w:r>
      <w:r w:rsidR="004335D3">
        <w:t>difference between F</w:t>
      </w:r>
      <w:r w:rsidR="00A2102A">
        <w:t>oundation / non-Foundation and Teaching / non-T</w:t>
      </w:r>
      <w:r w:rsidR="004335D3">
        <w:t>eaching Trusts</w:t>
      </w:r>
      <w:r w:rsidR="00A52643">
        <w:t xml:space="preserve"> on most reporting of performance metrics</w:t>
      </w:r>
      <w:r w:rsidR="004335D3">
        <w:t xml:space="preserve">, except for ‘formal </w:t>
      </w:r>
      <w:r w:rsidR="00A405D9">
        <w:t>morbidity reporting’ where 5</w:t>
      </w:r>
      <w:r w:rsidR="004335D3">
        <w:t xml:space="preserve">2% of </w:t>
      </w:r>
      <w:r w:rsidR="00A405D9">
        <w:t>non-Foundation Trusts compared with 60</w:t>
      </w:r>
      <w:r w:rsidR="004335D3">
        <w:t xml:space="preserve">% of </w:t>
      </w:r>
      <w:r w:rsidR="00A405D9">
        <w:t>Foundation</w:t>
      </w:r>
      <w:r w:rsidR="004335D3">
        <w:t xml:space="preserve"> Trusts routinely presented these at Board meetings.</w:t>
      </w:r>
    </w:p>
    <w:p w:rsidR="004335D3" w:rsidRDefault="004335D3" w:rsidP="006B274D">
      <w:pPr>
        <w:autoSpaceDE w:val="0"/>
        <w:autoSpaceDN w:val="0"/>
        <w:adjustRightInd w:val="0"/>
      </w:pPr>
    </w:p>
    <w:p w:rsidR="00A2102A" w:rsidRDefault="00A2102A" w:rsidP="000E68BE">
      <w:pPr>
        <w:autoSpaceDE w:val="0"/>
        <w:autoSpaceDN w:val="0"/>
        <w:adjustRightInd w:val="0"/>
      </w:pPr>
      <w:r>
        <w:t>There were some differences between Foundation and non-Foundation Trusts, and also between Teaching and non-Teaching Trusts, in their use of softer intelligence, but these differences were not marked, and nor were they consistent. For example, the difference between Foundation and non-Foundation Trusts in their use of patients stories was 8% (80% vs. 88%); the same difference seen in their use of Board members engaging with clinicians (91% vs. 83%), but with the direction of difference reversed.</w:t>
      </w:r>
    </w:p>
    <w:p w:rsidR="00E47A33" w:rsidRDefault="00E47A33" w:rsidP="000E68BE">
      <w:pPr>
        <w:autoSpaceDE w:val="0"/>
        <w:autoSpaceDN w:val="0"/>
        <w:adjustRightInd w:val="0"/>
        <w:rPr>
          <w:rFonts w:eastAsiaTheme="minorHAnsi"/>
          <w:lang w:eastAsia="en-US"/>
        </w:rPr>
      </w:pPr>
    </w:p>
    <w:p w:rsidR="00C40EE8" w:rsidRDefault="00C40EE8" w:rsidP="000E68BE">
      <w:pPr>
        <w:autoSpaceDE w:val="0"/>
        <w:autoSpaceDN w:val="0"/>
        <w:adjustRightInd w:val="0"/>
        <w:rPr>
          <w:rFonts w:eastAsiaTheme="minorHAnsi"/>
          <w:lang w:eastAsia="en-US"/>
        </w:rPr>
      </w:pPr>
    </w:p>
    <w:p w:rsidR="00C40EE8" w:rsidRPr="00D74014" w:rsidRDefault="00D74014" w:rsidP="000E68BE">
      <w:pPr>
        <w:autoSpaceDE w:val="0"/>
        <w:autoSpaceDN w:val="0"/>
        <w:adjustRightInd w:val="0"/>
        <w:rPr>
          <w:rFonts w:eastAsiaTheme="minorHAnsi"/>
          <w:b/>
          <w:lang w:eastAsia="en-US"/>
        </w:rPr>
      </w:pPr>
      <w:r>
        <w:rPr>
          <w:rFonts w:eastAsiaTheme="minorHAnsi"/>
          <w:b/>
          <w:lang w:eastAsia="en-US"/>
        </w:rPr>
        <w:t>&lt;</w:t>
      </w:r>
      <w:r w:rsidR="00C40EE8" w:rsidRPr="00D74014">
        <w:rPr>
          <w:rFonts w:eastAsiaTheme="minorHAnsi"/>
          <w:b/>
          <w:lang w:eastAsia="en-US"/>
        </w:rPr>
        <w:t>&lt;Box 2 about here&gt;</w:t>
      </w:r>
      <w:r>
        <w:rPr>
          <w:rFonts w:eastAsiaTheme="minorHAnsi"/>
          <w:b/>
          <w:lang w:eastAsia="en-US"/>
        </w:rPr>
        <w:t>&gt;</w:t>
      </w:r>
    </w:p>
    <w:p w:rsidR="00C40EE8" w:rsidRDefault="00C40EE8" w:rsidP="000E68BE">
      <w:pPr>
        <w:autoSpaceDE w:val="0"/>
        <w:autoSpaceDN w:val="0"/>
        <w:adjustRightInd w:val="0"/>
        <w:rPr>
          <w:rFonts w:eastAsiaTheme="minorHAnsi"/>
          <w:lang w:eastAsia="en-US"/>
        </w:rPr>
      </w:pPr>
    </w:p>
    <w:p w:rsidR="00D74014" w:rsidRDefault="00C40EE8" w:rsidP="00166E2C">
      <w:pPr>
        <w:autoSpaceDE w:val="0"/>
        <w:autoSpaceDN w:val="0"/>
        <w:adjustRightInd w:val="0"/>
        <w:rPr>
          <w:rFonts w:eastAsiaTheme="minorHAnsi"/>
          <w:b/>
          <w:lang w:eastAsia="en-US"/>
        </w:rPr>
      </w:pPr>
      <w:r>
        <w:rPr>
          <w:rFonts w:eastAsiaTheme="minorHAnsi"/>
          <w:b/>
          <w:lang w:eastAsia="en-US"/>
        </w:rPr>
        <w:t xml:space="preserve"> </w:t>
      </w:r>
    </w:p>
    <w:p w:rsidR="00166E2C" w:rsidRPr="00166E2C" w:rsidRDefault="003B27CB" w:rsidP="00166E2C">
      <w:pPr>
        <w:autoSpaceDE w:val="0"/>
        <w:autoSpaceDN w:val="0"/>
        <w:adjustRightInd w:val="0"/>
        <w:rPr>
          <w:rFonts w:eastAsiaTheme="minorHAnsi"/>
          <w:b/>
          <w:lang w:eastAsia="en-US"/>
        </w:rPr>
      </w:pPr>
      <w:r>
        <w:rPr>
          <w:rFonts w:eastAsiaTheme="minorHAnsi"/>
          <w:b/>
          <w:lang w:eastAsia="en-US"/>
        </w:rPr>
        <w:t>(3</w:t>
      </w:r>
      <w:r w:rsidR="00166E2C" w:rsidRPr="00166E2C">
        <w:rPr>
          <w:rFonts w:eastAsiaTheme="minorHAnsi"/>
          <w:b/>
          <w:lang w:eastAsia="en-US"/>
        </w:rPr>
        <w:t xml:space="preserve">) </w:t>
      </w:r>
      <w:r>
        <w:rPr>
          <w:rFonts w:eastAsiaTheme="minorHAnsi"/>
          <w:b/>
          <w:lang w:eastAsia="en-US"/>
        </w:rPr>
        <w:t>Using BSAQ to assess English NHS Boards</w:t>
      </w:r>
    </w:p>
    <w:p w:rsidR="003B27CB" w:rsidRDefault="003B27CB" w:rsidP="00166E2C">
      <w:pPr>
        <w:autoSpaceDE w:val="0"/>
        <w:autoSpaceDN w:val="0"/>
        <w:adjustRightInd w:val="0"/>
        <w:rPr>
          <w:rFonts w:eastAsiaTheme="minorHAnsi"/>
          <w:lang w:eastAsia="en-US"/>
        </w:rPr>
      </w:pPr>
      <w:r>
        <w:rPr>
          <w:rFonts w:eastAsiaTheme="minorHAnsi"/>
          <w:lang w:eastAsia="en-US"/>
        </w:rPr>
        <w:t>The BSAQ was developed i</w:t>
      </w:r>
      <w:r w:rsidR="0032372F">
        <w:rPr>
          <w:rFonts w:eastAsiaTheme="minorHAnsi"/>
          <w:lang w:eastAsia="en-US"/>
        </w:rPr>
        <w:t>n the US volunt</w:t>
      </w:r>
      <w:r w:rsidR="00C83BDA">
        <w:rPr>
          <w:rFonts w:eastAsiaTheme="minorHAnsi"/>
          <w:lang w:eastAsia="en-US"/>
        </w:rPr>
        <w:t xml:space="preserve">ary sector </w:t>
      </w:r>
      <w:r w:rsidR="00C83BDA" w:rsidRPr="00C83BDA">
        <w:rPr>
          <w:rFonts w:eastAsiaTheme="minorHAnsi"/>
          <w:vertAlign w:val="superscript"/>
          <w:lang w:eastAsia="en-US"/>
        </w:rPr>
        <w:t>21</w:t>
      </w:r>
      <w:r>
        <w:rPr>
          <w:rFonts w:eastAsiaTheme="minorHAnsi"/>
          <w:lang w:eastAsia="en-US"/>
        </w:rPr>
        <w:t xml:space="preserve"> but has seen some application in the health care arena, almost entirely in the US.</w:t>
      </w:r>
      <w:r w:rsidR="008E7D0C" w:rsidRPr="008E7D0C">
        <w:rPr>
          <w:rFonts w:eastAsiaTheme="minorHAnsi"/>
          <w:vertAlign w:val="superscript"/>
          <w:lang w:eastAsia="en-US"/>
        </w:rPr>
        <w:t>21,22</w:t>
      </w:r>
      <w:r>
        <w:rPr>
          <w:rFonts w:eastAsiaTheme="minorHAnsi"/>
          <w:lang w:eastAsia="en-US"/>
        </w:rPr>
        <w:t xml:space="preserve"> The BSAQ data gathered as part of this study showed general high or very high levels of agreement with desirable statements of practice in each of the six previously identified dimensions (see Box 1). Aggregate levels of agreement within each dimension ranged from 7</w:t>
      </w:r>
      <w:r w:rsidR="002B69BB">
        <w:rPr>
          <w:rFonts w:eastAsiaTheme="minorHAnsi"/>
          <w:lang w:eastAsia="en-US"/>
        </w:rPr>
        <w:t>3</w:t>
      </w:r>
      <w:r>
        <w:rPr>
          <w:rFonts w:eastAsiaTheme="minorHAnsi"/>
          <w:lang w:eastAsia="en-US"/>
        </w:rPr>
        <w:t xml:space="preserve">% </w:t>
      </w:r>
      <w:r w:rsidR="002B69BB">
        <w:rPr>
          <w:rFonts w:eastAsiaTheme="minorHAnsi"/>
          <w:lang w:eastAsia="en-US"/>
        </w:rPr>
        <w:t xml:space="preserve">(on the interpersonal dimension) to 85% (on the political dimension). Differences between aggregate levels of agreement for Foundation Trust/not-Foundation Trust were generally small: across the six dimensions these </w:t>
      </w:r>
      <w:r w:rsidR="00912BA4">
        <w:rPr>
          <w:rFonts w:eastAsiaTheme="minorHAnsi"/>
          <w:lang w:eastAsia="en-US"/>
        </w:rPr>
        <w:t xml:space="preserve">difference between Trust types </w:t>
      </w:r>
      <w:r w:rsidR="002B69BB">
        <w:rPr>
          <w:rFonts w:eastAsiaTheme="minorHAnsi"/>
          <w:lang w:eastAsia="en-US"/>
        </w:rPr>
        <w:t xml:space="preserve">ranged from 0-4%. For Teaching hospitals/non-Teaching Hospitals the differences ranged from 1-5%. </w:t>
      </w:r>
      <w:r w:rsidR="007F0139">
        <w:rPr>
          <w:rFonts w:eastAsiaTheme="minorHAnsi"/>
          <w:lang w:eastAsia="en-US"/>
        </w:rPr>
        <w:t>Nonetheless, there was</w:t>
      </w:r>
      <w:r w:rsidR="00912BA4">
        <w:rPr>
          <w:rFonts w:eastAsiaTheme="minorHAnsi"/>
          <w:lang w:eastAsia="en-US"/>
        </w:rPr>
        <w:t xml:space="preserve"> some consistency in these data, </w:t>
      </w:r>
      <w:r w:rsidR="007F0139">
        <w:rPr>
          <w:rFonts w:eastAsiaTheme="minorHAnsi"/>
          <w:lang w:eastAsia="en-US"/>
        </w:rPr>
        <w:t>with non-FT Boards generally scoring slightly higher than FT Boards</w:t>
      </w:r>
      <w:r w:rsidR="00C166CC">
        <w:rPr>
          <w:rFonts w:eastAsiaTheme="minorHAnsi"/>
          <w:lang w:eastAsia="en-US"/>
        </w:rPr>
        <w:t xml:space="preserve"> across all six dimensions except ‘strategic’</w:t>
      </w:r>
      <w:r w:rsidR="007F0139">
        <w:rPr>
          <w:rFonts w:eastAsiaTheme="minorHAnsi"/>
          <w:lang w:eastAsia="en-US"/>
        </w:rPr>
        <w:t>, and Teaching Boards generally scoring slightly higher than non-Teaching boards</w:t>
      </w:r>
      <w:r w:rsidR="00C166CC">
        <w:rPr>
          <w:rFonts w:eastAsiaTheme="minorHAnsi"/>
          <w:lang w:eastAsia="en-US"/>
        </w:rPr>
        <w:t xml:space="preserve"> across all six dimensions except ‘educational’</w:t>
      </w:r>
      <w:r w:rsidR="007F0139">
        <w:rPr>
          <w:rFonts w:eastAsiaTheme="minorHAnsi"/>
          <w:lang w:eastAsia="en-US"/>
        </w:rPr>
        <w:t>.</w:t>
      </w:r>
      <w:r w:rsidR="00C166CC">
        <w:rPr>
          <w:rFonts w:eastAsiaTheme="minorHAnsi"/>
          <w:lang w:eastAsia="en-US"/>
        </w:rPr>
        <w:t xml:space="preserve"> However, none of these differences </w:t>
      </w:r>
      <w:r w:rsidR="004A488A">
        <w:rPr>
          <w:rFonts w:eastAsiaTheme="minorHAnsi"/>
          <w:lang w:eastAsia="en-US"/>
        </w:rPr>
        <w:t>were</w:t>
      </w:r>
      <w:r w:rsidR="00C166CC">
        <w:rPr>
          <w:rFonts w:eastAsiaTheme="minorHAnsi"/>
          <w:lang w:eastAsia="en-US"/>
        </w:rPr>
        <w:t xml:space="preserve"> statistically significant.</w:t>
      </w:r>
      <w:r w:rsidR="007F0139">
        <w:rPr>
          <w:rFonts w:eastAsiaTheme="minorHAnsi"/>
          <w:lang w:eastAsia="en-US"/>
        </w:rPr>
        <w:t xml:space="preserve"> </w:t>
      </w:r>
    </w:p>
    <w:p w:rsidR="00A02FC5" w:rsidRDefault="00A02FC5" w:rsidP="00A02FC5">
      <w:pPr>
        <w:autoSpaceDE w:val="0"/>
        <w:autoSpaceDN w:val="0"/>
        <w:adjustRightInd w:val="0"/>
        <w:rPr>
          <w:rFonts w:eastAsiaTheme="minorHAnsi"/>
          <w:lang w:eastAsia="en-US"/>
        </w:rPr>
      </w:pPr>
    </w:p>
    <w:p w:rsidR="00A02FC5" w:rsidRDefault="00A02FC5" w:rsidP="00A02FC5">
      <w:pPr>
        <w:autoSpaceDE w:val="0"/>
        <w:autoSpaceDN w:val="0"/>
        <w:adjustRightInd w:val="0"/>
        <w:rPr>
          <w:rFonts w:eastAsiaTheme="minorHAnsi"/>
          <w:lang w:eastAsia="en-US"/>
        </w:rPr>
      </w:pPr>
    </w:p>
    <w:p w:rsidR="00663EDC" w:rsidRDefault="00C166CC" w:rsidP="00663EDC">
      <w:pPr>
        <w:autoSpaceDE w:val="0"/>
        <w:autoSpaceDN w:val="0"/>
        <w:adjustRightInd w:val="0"/>
        <w:rPr>
          <w:rFonts w:eastAsiaTheme="minorHAnsi"/>
          <w:b/>
          <w:sz w:val="28"/>
          <w:lang w:eastAsia="en-US"/>
        </w:rPr>
      </w:pPr>
      <w:r>
        <w:rPr>
          <w:rFonts w:eastAsiaTheme="minorHAnsi"/>
          <w:b/>
          <w:sz w:val="28"/>
          <w:lang w:eastAsia="en-US"/>
        </w:rPr>
        <w:t>Discussion and c</w:t>
      </w:r>
      <w:r w:rsidR="004F5E9C" w:rsidRPr="004F5E9C">
        <w:rPr>
          <w:rFonts w:eastAsiaTheme="minorHAnsi"/>
          <w:b/>
          <w:sz w:val="28"/>
          <w:lang w:eastAsia="en-US"/>
        </w:rPr>
        <w:t>onclusions</w:t>
      </w:r>
    </w:p>
    <w:p w:rsidR="00663EDC" w:rsidRDefault="00663EDC" w:rsidP="00663EDC">
      <w:pPr>
        <w:autoSpaceDE w:val="0"/>
        <w:autoSpaceDN w:val="0"/>
        <w:adjustRightInd w:val="0"/>
        <w:rPr>
          <w:rFonts w:eastAsiaTheme="minorHAnsi"/>
          <w:b/>
          <w:sz w:val="28"/>
          <w:lang w:eastAsia="en-US"/>
        </w:rPr>
      </w:pPr>
    </w:p>
    <w:p w:rsidR="0033464C" w:rsidRPr="00663EDC" w:rsidRDefault="00021C1E" w:rsidP="00663EDC">
      <w:pPr>
        <w:autoSpaceDE w:val="0"/>
        <w:autoSpaceDN w:val="0"/>
        <w:adjustRightInd w:val="0"/>
        <w:rPr>
          <w:rFonts w:eastAsiaTheme="minorHAnsi"/>
          <w:b/>
          <w:sz w:val="28"/>
          <w:lang w:eastAsia="en-US"/>
        </w:rPr>
      </w:pPr>
      <w:r>
        <w:rPr>
          <w:rFonts w:eastAsiaTheme="minorHAnsi"/>
          <w:lang w:eastAsia="en-US"/>
        </w:rPr>
        <w:t xml:space="preserve">We first examined Board size and composition. </w:t>
      </w:r>
      <w:r w:rsidR="00BF161F">
        <w:rPr>
          <w:rFonts w:eastAsiaTheme="minorHAnsi"/>
          <w:lang w:eastAsia="en-US"/>
        </w:rPr>
        <w:t xml:space="preserve">English NHS Boards </w:t>
      </w:r>
      <w:r w:rsidR="00D2152A">
        <w:rPr>
          <w:rFonts w:eastAsiaTheme="minorHAnsi"/>
          <w:lang w:eastAsia="en-US"/>
        </w:rPr>
        <w:t>are</w:t>
      </w:r>
      <w:r w:rsidR="00BF161F">
        <w:rPr>
          <w:rFonts w:eastAsiaTheme="minorHAnsi"/>
          <w:lang w:eastAsia="en-US"/>
        </w:rPr>
        <w:t xml:space="preserve"> tightly clustered in size between ten and fifteen members. </w:t>
      </w:r>
      <w:r w:rsidR="0033464C" w:rsidRPr="00166E2C">
        <w:rPr>
          <w:rFonts w:eastAsiaTheme="minorHAnsi"/>
          <w:lang w:eastAsia="en-US"/>
        </w:rPr>
        <w:t>In theory the benefi</w:t>
      </w:r>
      <w:r w:rsidR="0033464C">
        <w:rPr>
          <w:rFonts w:eastAsiaTheme="minorHAnsi"/>
          <w:lang w:eastAsia="en-US"/>
        </w:rPr>
        <w:t>ts of having a large Board</w:t>
      </w:r>
      <w:r w:rsidR="0033464C" w:rsidRPr="00166E2C">
        <w:rPr>
          <w:rFonts w:eastAsiaTheme="minorHAnsi"/>
          <w:lang w:eastAsia="en-US"/>
        </w:rPr>
        <w:t xml:space="preserve">, particularly in relation to </w:t>
      </w:r>
      <w:r w:rsidR="0033464C">
        <w:rPr>
          <w:rFonts w:eastAsiaTheme="minorHAnsi"/>
          <w:lang w:eastAsia="en-US"/>
        </w:rPr>
        <w:t xml:space="preserve">an </w:t>
      </w:r>
      <w:r w:rsidR="0033464C" w:rsidRPr="00166E2C">
        <w:rPr>
          <w:rFonts w:eastAsiaTheme="minorHAnsi"/>
          <w:lang w:eastAsia="en-US"/>
        </w:rPr>
        <w:t xml:space="preserve">increased </w:t>
      </w:r>
      <w:r w:rsidR="0033464C">
        <w:rPr>
          <w:rFonts w:eastAsiaTheme="minorHAnsi"/>
          <w:lang w:eastAsia="en-US"/>
        </w:rPr>
        <w:t xml:space="preserve">capacity for </w:t>
      </w:r>
      <w:r w:rsidR="0033464C" w:rsidRPr="00166E2C">
        <w:rPr>
          <w:rFonts w:eastAsiaTheme="minorHAnsi"/>
          <w:lang w:eastAsia="en-US"/>
        </w:rPr>
        <w:t xml:space="preserve">monitoring, may be outweighed by </w:t>
      </w:r>
      <w:r w:rsidR="0033464C">
        <w:rPr>
          <w:rFonts w:eastAsiaTheme="minorHAnsi"/>
          <w:lang w:eastAsia="en-US"/>
        </w:rPr>
        <w:t>higher transaction</w:t>
      </w:r>
      <w:r w:rsidR="0033464C" w:rsidRPr="00166E2C">
        <w:rPr>
          <w:rFonts w:eastAsiaTheme="minorHAnsi"/>
          <w:lang w:eastAsia="en-US"/>
        </w:rPr>
        <w:t xml:space="preserve"> costs, informational asymmetry, and communicati</w:t>
      </w:r>
      <w:r w:rsidR="00C83BDA">
        <w:rPr>
          <w:rFonts w:eastAsiaTheme="minorHAnsi"/>
          <w:lang w:eastAsia="en-US"/>
        </w:rPr>
        <w:t>on and decision-making problems</w:t>
      </w:r>
      <w:r w:rsidR="0033464C">
        <w:rPr>
          <w:rFonts w:eastAsiaTheme="minorHAnsi"/>
          <w:lang w:eastAsia="en-US"/>
        </w:rPr>
        <w:t>.</w:t>
      </w:r>
      <w:r w:rsidR="00C83BDA" w:rsidRPr="00C83BDA">
        <w:rPr>
          <w:rFonts w:eastAsiaTheme="minorHAnsi"/>
          <w:vertAlign w:val="superscript"/>
          <w:lang w:eastAsia="en-US"/>
        </w:rPr>
        <w:t xml:space="preserve"> </w:t>
      </w:r>
      <w:r w:rsidR="002B17BF" w:rsidRPr="00C83BDA">
        <w:rPr>
          <w:rFonts w:eastAsiaTheme="minorHAnsi"/>
          <w:vertAlign w:val="superscript"/>
          <w:lang w:eastAsia="en-US"/>
        </w:rPr>
        <w:t>5</w:t>
      </w:r>
      <w:r w:rsidR="002B17BF" w:rsidRPr="00166E2C">
        <w:rPr>
          <w:rFonts w:eastAsiaTheme="minorHAnsi"/>
          <w:lang w:eastAsia="en-US"/>
        </w:rPr>
        <w:t xml:space="preserve"> Indeed</w:t>
      </w:r>
      <w:r w:rsidR="0033464C">
        <w:rPr>
          <w:rFonts w:eastAsiaTheme="minorHAnsi"/>
          <w:lang w:eastAsia="en-US"/>
        </w:rPr>
        <w:t>, in sectors outside health care, it has been found that there is</w:t>
      </w:r>
      <w:r w:rsidR="0033464C" w:rsidRPr="00166E2C">
        <w:rPr>
          <w:rFonts w:eastAsiaTheme="minorHAnsi"/>
          <w:lang w:eastAsia="en-US"/>
        </w:rPr>
        <w:t xml:space="preserve"> an inverted U-shaped relationship betw</w:t>
      </w:r>
      <w:r w:rsidR="0033464C">
        <w:rPr>
          <w:rFonts w:eastAsiaTheme="minorHAnsi"/>
          <w:lang w:eastAsia="en-US"/>
        </w:rPr>
        <w:t xml:space="preserve">een board size and performance </w:t>
      </w:r>
      <w:r w:rsidR="00C83BDA" w:rsidRPr="00C83BDA">
        <w:rPr>
          <w:rFonts w:eastAsiaTheme="minorHAnsi"/>
          <w:vertAlign w:val="superscript"/>
          <w:lang w:eastAsia="en-US"/>
        </w:rPr>
        <w:t>5</w:t>
      </w:r>
      <w:r w:rsidR="0033464C" w:rsidRPr="00C83BDA">
        <w:rPr>
          <w:rFonts w:eastAsiaTheme="minorHAnsi"/>
          <w:vertAlign w:val="superscript"/>
          <w:lang w:eastAsia="en-US"/>
        </w:rPr>
        <w:t xml:space="preserve"> </w:t>
      </w:r>
      <w:r w:rsidR="0033464C">
        <w:rPr>
          <w:rFonts w:eastAsiaTheme="minorHAnsi"/>
          <w:lang w:eastAsia="en-US"/>
        </w:rPr>
        <w:t>with a suggested optimum size of around nineteen (rather higher than the typical Board found in this study).</w:t>
      </w:r>
      <w:r w:rsidR="0033464C" w:rsidRPr="00166E2C">
        <w:rPr>
          <w:rFonts w:eastAsiaTheme="minorHAnsi"/>
          <w:lang w:eastAsia="en-US"/>
        </w:rPr>
        <w:t xml:space="preserve"> </w:t>
      </w:r>
      <w:r w:rsidR="0033464C">
        <w:rPr>
          <w:rFonts w:eastAsiaTheme="minorHAnsi"/>
          <w:lang w:eastAsia="en-US"/>
        </w:rPr>
        <w:t xml:space="preserve">There are </w:t>
      </w:r>
      <w:r w:rsidR="0033464C" w:rsidRPr="00166E2C">
        <w:rPr>
          <w:rFonts w:eastAsiaTheme="minorHAnsi"/>
          <w:lang w:eastAsia="en-US"/>
        </w:rPr>
        <w:t xml:space="preserve">similar </w:t>
      </w:r>
      <w:r w:rsidR="0033464C">
        <w:rPr>
          <w:rFonts w:eastAsiaTheme="minorHAnsi"/>
          <w:lang w:eastAsia="en-US"/>
        </w:rPr>
        <w:t>tensions</w:t>
      </w:r>
      <w:r w:rsidR="0033464C" w:rsidRPr="00166E2C">
        <w:rPr>
          <w:rFonts w:eastAsiaTheme="minorHAnsi"/>
          <w:lang w:eastAsia="en-US"/>
        </w:rPr>
        <w:t xml:space="preserve"> in relation to the </w:t>
      </w:r>
      <w:r w:rsidR="0033464C">
        <w:rPr>
          <w:rFonts w:eastAsiaTheme="minorHAnsi"/>
          <w:lang w:eastAsia="en-US"/>
        </w:rPr>
        <w:t xml:space="preserve">ideal </w:t>
      </w:r>
      <w:r w:rsidR="0033464C" w:rsidRPr="00166E2C">
        <w:rPr>
          <w:rFonts w:eastAsiaTheme="minorHAnsi"/>
          <w:lang w:eastAsia="en-US"/>
        </w:rPr>
        <w:t xml:space="preserve">proportion of non-executive </w:t>
      </w:r>
      <w:r w:rsidR="0033464C">
        <w:rPr>
          <w:rFonts w:eastAsiaTheme="minorHAnsi"/>
          <w:lang w:eastAsia="en-US"/>
        </w:rPr>
        <w:t xml:space="preserve">directors </w:t>
      </w:r>
      <w:r w:rsidR="00C83BDA" w:rsidRPr="00C83BDA">
        <w:rPr>
          <w:rFonts w:eastAsiaTheme="minorHAnsi"/>
          <w:vertAlign w:val="superscript"/>
          <w:lang w:eastAsia="en-US"/>
        </w:rPr>
        <w:t>26</w:t>
      </w:r>
      <w:r w:rsidR="0033464C" w:rsidRPr="00C83BDA">
        <w:rPr>
          <w:rFonts w:eastAsiaTheme="minorHAnsi"/>
          <w:vertAlign w:val="superscript"/>
          <w:lang w:eastAsia="en-US"/>
        </w:rPr>
        <w:t xml:space="preserve"> </w:t>
      </w:r>
      <w:r w:rsidR="0033464C">
        <w:rPr>
          <w:rFonts w:eastAsiaTheme="minorHAnsi"/>
          <w:lang w:eastAsia="en-US"/>
        </w:rPr>
        <w:t>and there is</w:t>
      </w:r>
      <w:r w:rsidR="0033464C" w:rsidRPr="00166E2C">
        <w:rPr>
          <w:rFonts w:eastAsiaTheme="minorHAnsi"/>
          <w:lang w:eastAsia="en-US"/>
        </w:rPr>
        <w:t xml:space="preserve"> some evidence from a Dutch study that large boards in very large organisations may be value reducing, but</w:t>
      </w:r>
      <w:r w:rsidR="0033464C">
        <w:rPr>
          <w:rFonts w:eastAsiaTheme="minorHAnsi"/>
          <w:lang w:eastAsia="en-US"/>
        </w:rPr>
        <w:t xml:space="preserve"> not in smaller corporations</w:t>
      </w:r>
      <w:r w:rsidR="00C83BDA" w:rsidRPr="00C83BDA">
        <w:rPr>
          <w:rFonts w:eastAsiaTheme="minorHAnsi"/>
          <w:vertAlign w:val="superscript"/>
          <w:lang w:eastAsia="en-US"/>
        </w:rPr>
        <w:t>.</w:t>
      </w:r>
      <w:r w:rsidR="0033464C" w:rsidRPr="00C83BDA">
        <w:rPr>
          <w:rFonts w:eastAsiaTheme="minorHAnsi"/>
          <w:vertAlign w:val="superscript"/>
          <w:lang w:eastAsia="en-US"/>
        </w:rPr>
        <w:t xml:space="preserve"> </w:t>
      </w:r>
      <w:r w:rsidR="00C83BDA" w:rsidRPr="00C83BDA">
        <w:rPr>
          <w:rFonts w:eastAsiaTheme="minorHAnsi"/>
          <w:vertAlign w:val="superscript"/>
          <w:lang w:eastAsia="en-US"/>
        </w:rPr>
        <w:t>27</w:t>
      </w:r>
      <w:r w:rsidR="00C83BDA">
        <w:rPr>
          <w:rFonts w:eastAsiaTheme="minorHAnsi"/>
          <w:lang w:eastAsia="en-US"/>
        </w:rPr>
        <w:t xml:space="preserve"> </w:t>
      </w:r>
      <w:r w:rsidR="0033464C">
        <w:rPr>
          <w:rFonts w:eastAsiaTheme="minorHAnsi"/>
          <w:lang w:eastAsia="en-US"/>
        </w:rPr>
        <w:t xml:space="preserve">Understanding the value and dynamics of Boards of different sizes remains to be unravelled in health care. </w:t>
      </w:r>
    </w:p>
    <w:p w:rsidR="0033464C" w:rsidRDefault="0033464C" w:rsidP="0033464C">
      <w:pPr>
        <w:autoSpaceDE w:val="0"/>
        <w:autoSpaceDN w:val="0"/>
        <w:adjustRightInd w:val="0"/>
        <w:rPr>
          <w:rFonts w:eastAsiaTheme="minorHAnsi"/>
          <w:lang w:eastAsia="en-US"/>
        </w:rPr>
      </w:pPr>
    </w:p>
    <w:p w:rsidR="0033464C" w:rsidRPr="00BF161F" w:rsidRDefault="0033464C" w:rsidP="0033464C">
      <w:pPr>
        <w:autoSpaceDE w:val="0"/>
        <w:autoSpaceDN w:val="0"/>
        <w:adjustRightInd w:val="0"/>
      </w:pPr>
      <w:r w:rsidRPr="00DA4A86">
        <w:t>Size may b</w:t>
      </w:r>
      <w:r>
        <w:t xml:space="preserve">e one crucial aspect of Boards: </w:t>
      </w:r>
      <w:r w:rsidRPr="00DA4A86">
        <w:t xml:space="preserve">composition – and especially clinical representation and/or expertise – is another. </w:t>
      </w:r>
      <w:r w:rsidR="00BF161F">
        <w:t>Recent wo</w:t>
      </w:r>
      <w:r w:rsidR="00C83BDA">
        <w:t xml:space="preserve">rk </w:t>
      </w:r>
      <w:r w:rsidR="00C83BDA" w:rsidRPr="00C83BDA">
        <w:rPr>
          <w:vertAlign w:val="superscript"/>
        </w:rPr>
        <w:t>8</w:t>
      </w:r>
      <w:r w:rsidR="00BF161F">
        <w:t xml:space="preserve"> has drawn attention to the limited numbers of NEDs with clinical backgrounds on English NHS Boards, and our survey data show that those with clinical backgrounds are most usually heavily outnumbered across the Board as a whole. Yet attempts to involve doctors</w:t>
      </w:r>
      <w:r>
        <w:t xml:space="preserve"> and other health care clinicians in formal management has been an explicit policy goal in the NHS since the Griffiths report of 1983, and clinical leadership development was a key recommendation of Lord</w:t>
      </w:r>
      <w:r w:rsidR="0032372F">
        <w:t xml:space="preserve"> Darzi’s Next Stage Review</w:t>
      </w:r>
      <w:r>
        <w:t>. This has led to recent initiatives to promote a mixed economy of clinical and non-clinical senio</w:t>
      </w:r>
      <w:r w:rsidR="007F03E7">
        <w:t>r managers in the NHS</w:t>
      </w:r>
      <w:r>
        <w:rPr>
          <w:rFonts w:eastAsiaTheme="minorHAnsi"/>
          <w:lang w:eastAsia="en-US"/>
        </w:rPr>
        <w:t xml:space="preserve">. </w:t>
      </w:r>
      <w:r w:rsidR="00BF161F">
        <w:rPr>
          <w:rFonts w:eastAsiaTheme="minorHAnsi"/>
          <w:lang w:eastAsia="en-US"/>
        </w:rPr>
        <w:t>It would appear that such initiatives still have some way to go.</w:t>
      </w:r>
    </w:p>
    <w:p w:rsidR="0033464C" w:rsidRDefault="0033464C" w:rsidP="0033464C"/>
    <w:p w:rsidR="00292167" w:rsidRPr="00DA4A86" w:rsidRDefault="00BF161F" w:rsidP="00292167">
      <w:pPr>
        <w:autoSpaceDE w:val="0"/>
        <w:autoSpaceDN w:val="0"/>
        <w:adjustRightInd w:val="0"/>
      </w:pPr>
      <w:r>
        <w:rPr>
          <w:rFonts w:eastAsiaTheme="minorHAnsi"/>
          <w:lang w:eastAsia="en-US"/>
        </w:rPr>
        <w:t>It remains unclear what an optimal composition of a Board would look like, yet c</w:t>
      </w:r>
      <w:r w:rsidR="00292167">
        <w:rPr>
          <w:rFonts w:eastAsiaTheme="minorHAnsi"/>
          <w:lang w:eastAsia="en-US"/>
        </w:rPr>
        <w:t>linical i</w:t>
      </w:r>
      <w:r w:rsidR="00292167" w:rsidRPr="00902C1F">
        <w:rPr>
          <w:rFonts w:eastAsiaTheme="minorHAnsi"/>
          <w:lang w:eastAsia="en-US"/>
        </w:rPr>
        <w:t xml:space="preserve">nvolvement in </w:t>
      </w:r>
      <w:r w:rsidR="00292167">
        <w:rPr>
          <w:rFonts w:eastAsiaTheme="minorHAnsi"/>
          <w:lang w:eastAsia="en-US"/>
        </w:rPr>
        <w:t xml:space="preserve">the Board may be important. Work in the US suggests that clinical expertise on Boards is associated with better performance </w:t>
      </w:r>
      <w:r w:rsidR="00C83BDA" w:rsidRPr="00C83BDA">
        <w:rPr>
          <w:rFonts w:eastAsiaTheme="minorHAnsi"/>
          <w:vertAlign w:val="superscript"/>
          <w:lang w:eastAsia="en-US"/>
        </w:rPr>
        <w:t>28, 29</w:t>
      </w:r>
      <w:r w:rsidR="00292167" w:rsidRPr="00C83BDA">
        <w:rPr>
          <w:rFonts w:eastAsiaTheme="minorHAnsi"/>
          <w:vertAlign w:val="superscript"/>
          <w:lang w:eastAsia="en-US"/>
        </w:rPr>
        <w:t xml:space="preserve"> </w:t>
      </w:r>
      <w:r w:rsidR="00292167">
        <w:t>and more recent research in the English NHS that looked at the boards of English NHS acute trusts between 2005-06 and 2008-09 found Trusts with a high proportion of doctors on their Boards were also those that performed best</w:t>
      </w:r>
      <w:r w:rsidR="00C83BDA">
        <w:t xml:space="preserve"> in terms of healthcare quality. </w:t>
      </w:r>
      <w:r w:rsidR="00C83BDA" w:rsidRPr="00C83BDA">
        <w:rPr>
          <w:vertAlign w:val="superscript"/>
        </w:rPr>
        <w:t>9</w:t>
      </w:r>
      <w:r w:rsidR="00C83BDA">
        <w:t xml:space="preserve"> </w:t>
      </w:r>
      <w:r w:rsidR="00292167">
        <w:t xml:space="preserve">However, this study did </w:t>
      </w:r>
      <w:r w:rsidR="00292167" w:rsidRPr="008C1246">
        <w:rPr>
          <w:i/>
        </w:rPr>
        <w:t>not</w:t>
      </w:r>
      <w:r w:rsidR="00292167">
        <w:t xml:space="preserve"> </w:t>
      </w:r>
      <w:r w:rsidR="00292167" w:rsidRPr="00902C1F">
        <w:t>find the same level of support for clinical professions such as nurses and other allied health professions turned directors</w:t>
      </w:r>
      <w:r w:rsidR="00292167">
        <w:t xml:space="preserve">. </w:t>
      </w:r>
    </w:p>
    <w:p w:rsidR="00292167" w:rsidRDefault="00292167" w:rsidP="00292167">
      <w:pPr>
        <w:autoSpaceDE w:val="0"/>
        <w:autoSpaceDN w:val="0"/>
        <w:adjustRightInd w:val="0"/>
        <w:rPr>
          <w:rFonts w:eastAsiaTheme="minorHAnsi"/>
          <w:lang w:eastAsia="en-US"/>
        </w:rPr>
      </w:pPr>
    </w:p>
    <w:p w:rsidR="0033464C" w:rsidRDefault="00BE737B" w:rsidP="00E71B6C">
      <w:r>
        <w:t xml:space="preserve">In carrying out their oversight role, a key task of hospital Boards is to obtain, process and interpret information relating to performance. Indeed empirical research in the US has shown that hospital Boards that focus on the collection and analysis of performance metrics, including dashboards, scorecards and national benchmarks, tend to have better quality outcomes than those where measurement is less </w:t>
      </w:r>
      <w:r w:rsidR="00C83BDA">
        <w:t>of a priority</w:t>
      </w:r>
      <w:r>
        <w:t>.</w:t>
      </w:r>
      <w:r w:rsidR="00C83BDA" w:rsidRPr="00C83BDA">
        <w:rPr>
          <w:vertAlign w:val="superscript"/>
        </w:rPr>
        <w:t>28</w:t>
      </w:r>
      <w:r w:rsidR="00BF161F">
        <w:t xml:space="preserve"> Our data suggest high or very high levels of agreement by Board members with a wide </w:t>
      </w:r>
      <w:r w:rsidR="00BD63AA">
        <w:t>range of formal and in</w:t>
      </w:r>
      <w:r w:rsidR="00BF161F">
        <w:t xml:space="preserve">formal </w:t>
      </w:r>
      <w:r w:rsidR="00BD63AA">
        <w:t xml:space="preserve">practices (including regular review of hard and soft data sources) that might be thought to be important for quality and safety. In this we found minimal and inconsistent differences between Trusts of varying types (FT/non-FT; Teaching/non-Teaching). </w:t>
      </w:r>
      <w:r w:rsidR="00D2152A">
        <w:t>Whether</w:t>
      </w:r>
      <w:r w:rsidR="00BD63AA">
        <w:t xml:space="preserve"> this represents good practice in-depth or more superficial reporting of good practice remains to be properly investigated.</w:t>
      </w:r>
    </w:p>
    <w:p w:rsidR="00BD63AA" w:rsidRDefault="00BD63AA" w:rsidP="00E71B6C"/>
    <w:p w:rsidR="00C166CC" w:rsidRPr="00BD63AA" w:rsidRDefault="00BD63AA" w:rsidP="00BD63AA">
      <w:r>
        <w:t>Finally, we explore</w:t>
      </w:r>
      <w:r w:rsidR="00D2152A">
        <w:t>d</w:t>
      </w:r>
      <w:r>
        <w:t xml:space="preserve"> the use of the BSAQ Board assessment tool. This again showed consistently high rates of ‘desirable</w:t>
      </w:r>
      <w:r w:rsidR="001847DB">
        <w:t>’ responses</w:t>
      </w:r>
      <w:r>
        <w:t xml:space="preserve">. </w:t>
      </w:r>
      <w:r w:rsidR="00C166CC" w:rsidRPr="00FA6DC1">
        <w:rPr>
          <w:rFonts w:eastAsiaTheme="minorHAnsi"/>
          <w:lang w:eastAsia="en-US"/>
        </w:rPr>
        <w:t>Previous work</w:t>
      </w:r>
      <w:r w:rsidR="00C166CC">
        <w:rPr>
          <w:rFonts w:eastAsiaTheme="minorHAnsi"/>
          <w:lang w:eastAsia="en-US"/>
        </w:rPr>
        <w:t xml:space="preserve"> in the US Voluntary sector has shown a relationship between higher scores on various dimensions of the BSAQ and o</w:t>
      </w:r>
      <w:r w:rsidR="00F235F9">
        <w:rPr>
          <w:rFonts w:eastAsiaTheme="minorHAnsi"/>
          <w:lang w:eastAsia="en-US"/>
        </w:rPr>
        <w:t>rganisational performance</w:t>
      </w:r>
      <w:r w:rsidR="00C166CC">
        <w:rPr>
          <w:rFonts w:eastAsiaTheme="minorHAnsi"/>
          <w:lang w:eastAsia="en-US"/>
        </w:rPr>
        <w:t>. However, a small-scale unpublished study in the UK that focu</w:t>
      </w:r>
      <w:r w:rsidR="00C83BDA">
        <w:rPr>
          <w:rFonts w:eastAsiaTheme="minorHAnsi"/>
          <w:lang w:eastAsia="en-US"/>
        </w:rPr>
        <w:t xml:space="preserve">sed on 21 Foundation Trusts </w:t>
      </w:r>
      <w:r w:rsidR="00C83BDA" w:rsidRPr="00C83BDA">
        <w:rPr>
          <w:rFonts w:eastAsiaTheme="minorHAnsi"/>
          <w:vertAlign w:val="superscript"/>
          <w:lang w:eastAsia="en-US"/>
        </w:rPr>
        <w:t>24</w:t>
      </w:r>
      <w:r w:rsidR="00C166CC">
        <w:rPr>
          <w:rFonts w:eastAsiaTheme="minorHAnsi"/>
          <w:lang w:eastAsia="en-US"/>
        </w:rPr>
        <w:t xml:space="preserve"> found no link between BSAQ scores and clinical productivity, although the</w:t>
      </w:r>
      <w:r w:rsidR="00F235F9">
        <w:rPr>
          <w:rFonts w:eastAsiaTheme="minorHAnsi"/>
          <w:lang w:eastAsia="en-US"/>
        </w:rPr>
        <w:t>re were apparently some</w:t>
      </w:r>
      <w:r w:rsidR="00C166CC">
        <w:rPr>
          <w:rFonts w:eastAsiaTheme="minorHAnsi"/>
          <w:lang w:eastAsia="en-US"/>
        </w:rPr>
        <w:t xml:space="preserve"> associations with financial performance. Taken together then, this </w:t>
      </w:r>
      <w:r w:rsidR="001847DB">
        <w:rPr>
          <w:rFonts w:eastAsiaTheme="minorHAnsi"/>
          <w:lang w:eastAsia="en-US"/>
        </w:rPr>
        <w:t>application</w:t>
      </w:r>
      <w:r w:rsidR="00C166CC">
        <w:rPr>
          <w:rFonts w:eastAsiaTheme="minorHAnsi"/>
          <w:lang w:eastAsia="en-US"/>
        </w:rPr>
        <w:t xml:space="preserve"> of the BSAQ in a large sample of UK hospitals, and the suggestion that BSAQ scores may be associated with organisational performance from the literature</w:t>
      </w:r>
      <w:r w:rsidR="001847DB">
        <w:rPr>
          <w:rFonts w:eastAsiaTheme="minorHAnsi"/>
          <w:lang w:eastAsia="en-US"/>
        </w:rPr>
        <w:t>,</w:t>
      </w:r>
      <w:r w:rsidR="00C166CC">
        <w:rPr>
          <w:rFonts w:eastAsiaTheme="minorHAnsi"/>
          <w:lang w:eastAsia="en-US"/>
        </w:rPr>
        <w:t xml:space="preserve"> suggest that this may be a fruitful future line of enquiry.</w:t>
      </w:r>
    </w:p>
    <w:p w:rsidR="00C166CC" w:rsidRPr="00FA6DC1" w:rsidRDefault="00C166CC" w:rsidP="00C166CC">
      <w:pPr>
        <w:autoSpaceDE w:val="0"/>
        <w:autoSpaceDN w:val="0"/>
        <w:adjustRightInd w:val="0"/>
        <w:rPr>
          <w:rFonts w:eastAsiaTheme="minorHAnsi"/>
          <w:lang w:eastAsia="en-US"/>
        </w:rPr>
      </w:pPr>
    </w:p>
    <w:p w:rsidR="003B5E6B" w:rsidRPr="00C53EE9" w:rsidRDefault="001847DB" w:rsidP="00C53EE9">
      <w:r>
        <w:t>In sum, t</w:t>
      </w:r>
      <w:r w:rsidR="00C166CC">
        <w:t xml:space="preserve">his study </w:t>
      </w:r>
      <w:r>
        <w:t xml:space="preserve">provides the best account to-date of English NHS Boards and their actions around health care quality and patient safety. It thus </w:t>
      </w:r>
      <w:r w:rsidR="00C166CC">
        <w:t>lays the groundwork for further empirical research exploring the dynamics, influences and impacts of Boards on important health system processes, outputs and outcomes.</w:t>
      </w:r>
    </w:p>
    <w:p w:rsidR="000F7CA2" w:rsidRDefault="000F7CA2" w:rsidP="009F6E1A">
      <w:pPr>
        <w:autoSpaceDE w:val="0"/>
        <w:autoSpaceDN w:val="0"/>
        <w:adjustRightInd w:val="0"/>
        <w:rPr>
          <w:rFonts w:eastAsiaTheme="minorHAnsi"/>
          <w:b/>
          <w:sz w:val="28"/>
          <w:lang w:eastAsia="en-US"/>
        </w:rPr>
      </w:pPr>
    </w:p>
    <w:p w:rsidR="00057A83" w:rsidRDefault="00057A83" w:rsidP="009F6E1A">
      <w:pPr>
        <w:autoSpaceDE w:val="0"/>
        <w:autoSpaceDN w:val="0"/>
        <w:adjustRightInd w:val="0"/>
        <w:rPr>
          <w:rFonts w:eastAsiaTheme="minorHAnsi"/>
          <w:b/>
          <w:sz w:val="28"/>
          <w:lang w:eastAsia="en-US"/>
        </w:rPr>
      </w:pPr>
    </w:p>
    <w:p w:rsidR="00057A83" w:rsidRDefault="00057A83" w:rsidP="009F6E1A">
      <w:pPr>
        <w:autoSpaceDE w:val="0"/>
        <w:autoSpaceDN w:val="0"/>
        <w:adjustRightInd w:val="0"/>
        <w:rPr>
          <w:rFonts w:eastAsiaTheme="minorHAnsi"/>
          <w:b/>
          <w:sz w:val="28"/>
          <w:lang w:eastAsia="en-US"/>
        </w:rPr>
      </w:pPr>
    </w:p>
    <w:p w:rsidR="00057A83" w:rsidRDefault="00057A83" w:rsidP="009F6E1A">
      <w:pPr>
        <w:autoSpaceDE w:val="0"/>
        <w:autoSpaceDN w:val="0"/>
        <w:adjustRightInd w:val="0"/>
        <w:rPr>
          <w:rFonts w:eastAsiaTheme="minorHAnsi"/>
          <w:b/>
          <w:sz w:val="28"/>
          <w:lang w:eastAsia="en-US"/>
        </w:rPr>
      </w:pPr>
    </w:p>
    <w:p w:rsidR="00057A83" w:rsidRDefault="00057A83" w:rsidP="009F6E1A">
      <w:pPr>
        <w:autoSpaceDE w:val="0"/>
        <w:autoSpaceDN w:val="0"/>
        <w:adjustRightInd w:val="0"/>
        <w:rPr>
          <w:rFonts w:eastAsiaTheme="minorHAnsi"/>
          <w:b/>
          <w:sz w:val="28"/>
          <w:lang w:eastAsia="en-US"/>
        </w:rPr>
      </w:pPr>
    </w:p>
    <w:p w:rsidR="00057A83" w:rsidRDefault="00057A83" w:rsidP="009F6E1A">
      <w:pPr>
        <w:autoSpaceDE w:val="0"/>
        <w:autoSpaceDN w:val="0"/>
        <w:adjustRightInd w:val="0"/>
        <w:rPr>
          <w:rFonts w:eastAsiaTheme="minorHAnsi"/>
          <w:b/>
          <w:sz w:val="28"/>
          <w:lang w:eastAsia="en-US"/>
        </w:rPr>
      </w:pPr>
    </w:p>
    <w:p w:rsidR="00057A83" w:rsidRDefault="00057A83" w:rsidP="009F6E1A">
      <w:pPr>
        <w:autoSpaceDE w:val="0"/>
        <w:autoSpaceDN w:val="0"/>
        <w:adjustRightInd w:val="0"/>
        <w:rPr>
          <w:rFonts w:eastAsiaTheme="minorHAnsi"/>
          <w:b/>
          <w:sz w:val="28"/>
          <w:lang w:eastAsia="en-US"/>
        </w:rPr>
      </w:pPr>
    </w:p>
    <w:p w:rsidR="00057A83" w:rsidRDefault="00057A83" w:rsidP="009F6E1A">
      <w:pPr>
        <w:autoSpaceDE w:val="0"/>
        <w:autoSpaceDN w:val="0"/>
        <w:adjustRightInd w:val="0"/>
        <w:rPr>
          <w:rFonts w:eastAsiaTheme="minorHAnsi"/>
          <w:b/>
          <w:sz w:val="28"/>
          <w:lang w:eastAsia="en-US"/>
        </w:rPr>
      </w:pPr>
    </w:p>
    <w:p w:rsidR="00057A83" w:rsidRDefault="00057A83" w:rsidP="009F6E1A">
      <w:pPr>
        <w:autoSpaceDE w:val="0"/>
        <w:autoSpaceDN w:val="0"/>
        <w:adjustRightInd w:val="0"/>
        <w:rPr>
          <w:rFonts w:eastAsiaTheme="minorHAnsi"/>
          <w:b/>
          <w:sz w:val="28"/>
          <w:lang w:eastAsia="en-US"/>
        </w:rPr>
      </w:pPr>
    </w:p>
    <w:p w:rsidR="00057A83" w:rsidRDefault="00057A83" w:rsidP="009F6E1A">
      <w:pPr>
        <w:autoSpaceDE w:val="0"/>
        <w:autoSpaceDN w:val="0"/>
        <w:adjustRightInd w:val="0"/>
        <w:rPr>
          <w:rFonts w:eastAsiaTheme="minorHAnsi"/>
          <w:b/>
          <w:sz w:val="28"/>
          <w:lang w:eastAsia="en-US"/>
        </w:rPr>
      </w:pPr>
    </w:p>
    <w:p w:rsidR="00057A83" w:rsidRDefault="00057A83" w:rsidP="009F6E1A">
      <w:pPr>
        <w:autoSpaceDE w:val="0"/>
        <w:autoSpaceDN w:val="0"/>
        <w:adjustRightInd w:val="0"/>
        <w:rPr>
          <w:rFonts w:eastAsiaTheme="minorHAnsi"/>
          <w:b/>
          <w:sz w:val="28"/>
          <w:lang w:eastAsia="en-US"/>
        </w:rPr>
      </w:pPr>
    </w:p>
    <w:p w:rsidR="00057A83" w:rsidRDefault="00057A83" w:rsidP="009F6E1A">
      <w:pPr>
        <w:autoSpaceDE w:val="0"/>
        <w:autoSpaceDN w:val="0"/>
        <w:adjustRightInd w:val="0"/>
        <w:rPr>
          <w:rFonts w:eastAsiaTheme="minorHAnsi"/>
          <w:b/>
          <w:sz w:val="28"/>
          <w:lang w:eastAsia="en-US"/>
        </w:rPr>
      </w:pPr>
    </w:p>
    <w:p w:rsidR="00057A83" w:rsidRDefault="00057A83" w:rsidP="009F6E1A">
      <w:pPr>
        <w:autoSpaceDE w:val="0"/>
        <w:autoSpaceDN w:val="0"/>
        <w:adjustRightInd w:val="0"/>
        <w:rPr>
          <w:rFonts w:eastAsiaTheme="minorHAnsi"/>
          <w:b/>
          <w:sz w:val="28"/>
          <w:lang w:eastAsia="en-US"/>
        </w:rPr>
      </w:pPr>
    </w:p>
    <w:p w:rsidR="00057A83" w:rsidRDefault="00057A83" w:rsidP="009F6E1A">
      <w:pPr>
        <w:autoSpaceDE w:val="0"/>
        <w:autoSpaceDN w:val="0"/>
        <w:adjustRightInd w:val="0"/>
        <w:rPr>
          <w:rFonts w:eastAsiaTheme="minorHAnsi"/>
          <w:b/>
          <w:sz w:val="28"/>
          <w:lang w:eastAsia="en-US"/>
        </w:rPr>
      </w:pPr>
    </w:p>
    <w:p w:rsidR="00057A83" w:rsidRDefault="00057A83" w:rsidP="009F6E1A">
      <w:pPr>
        <w:autoSpaceDE w:val="0"/>
        <w:autoSpaceDN w:val="0"/>
        <w:adjustRightInd w:val="0"/>
        <w:rPr>
          <w:rFonts w:eastAsiaTheme="minorHAnsi"/>
          <w:b/>
          <w:sz w:val="28"/>
          <w:lang w:eastAsia="en-US"/>
        </w:rPr>
      </w:pPr>
    </w:p>
    <w:p w:rsidR="009F6E1A" w:rsidRDefault="00587DE6" w:rsidP="009F6E1A">
      <w:pPr>
        <w:autoSpaceDE w:val="0"/>
        <w:autoSpaceDN w:val="0"/>
        <w:adjustRightInd w:val="0"/>
        <w:rPr>
          <w:rFonts w:eastAsiaTheme="minorHAnsi"/>
          <w:b/>
          <w:sz w:val="28"/>
          <w:lang w:eastAsia="en-US"/>
        </w:rPr>
      </w:pPr>
      <w:r w:rsidRPr="00587DE6">
        <w:rPr>
          <w:rFonts w:eastAsiaTheme="minorHAnsi"/>
          <w:b/>
          <w:sz w:val="28"/>
          <w:lang w:eastAsia="en-US"/>
        </w:rPr>
        <w:t>References</w:t>
      </w:r>
    </w:p>
    <w:p w:rsidR="00C83BDA" w:rsidRDefault="00C83BDA" w:rsidP="009F6E1A">
      <w:pPr>
        <w:autoSpaceDE w:val="0"/>
        <w:autoSpaceDN w:val="0"/>
        <w:adjustRightInd w:val="0"/>
        <w:rPr>
          <w:rFonts w:eastAsiaTheme="minorHAnsi"/>
          <w:b/>
          <w:sz w:val="28"/>
          <w:lang w:eastAsia="en-US"/>
        </w:rPr>
      </w:pPr>
    </w:p>
    <w:p w:rsidR="00C83BDA" w:rsidRPr="000F7CA2" w:rsidRDefault="00C83BDA" w:rsidP="00C83BDA">
      <w:pPr>
        <w:autoSpaceDE w:val="0"/>
        <w:autoSpaceDN w:val="0"/>
        <w:adjustRightInd w:val="0"/>
      </w:pPr>
    </w:p>
    <w:p w:rsidR="00C83BDA" w:rsidRDefault="00C83BDA" w:rsidP="00C83BDA">
      <w:pPr>
        <w:autoSpaceDE w:val="0"/>
        <w:autoSpaceDN w:val="0"/>
        <w:adjustRightInd w:val="0"/>
      </w:pPr>
      <w:r w:rsidRPr="00C83BDA">
        <w:rPr>
          <w:vertAlign w:val="superscript"/>
        </w:rPr>
        <w:t>1</w:t>
      </w:r>
      <w:r>
        <w:t xml:space="preserve"> </w:t>
      </w:r>
      <w:r w:rsidRPr="000F7CA2">
        <w:t>Healthcare Commission (2009) Safe in the Knowledge: How do NHS trust Boards ensure safe care for their patients? Healthcare Commission, London</w:t>
      </w:r>
    </w:p>
    <w:p w:rsidR="00247996" w:rsidRDefault="00247996" w:rsidP="00C83BDA">
      <w:pPr>
        <w:autoSpaceDE w:val="0"/>
        <w:autoSpaceDN w:val="0"/>
        <w:adjustRightInd w:val="0"/>
      </w:pPr>
    </w:p>
    <w:p w:rsidR="00247996" w:rsidRPr="000F7CA2" w:rsidRDefault="00247996" w:rsidP="00247996">
      <w:pPr>
        <w:autoSpaceDE w:val="0"/>
        <w:autoSpaceDN w:val="0"/>
        <w:adjustRightInd w:val="0"/>
        <w:rPr>
          <w:rFonts w:eastAsiaTheme="minorHAnsi"/>
          <w:i/>
          <w:iCs/>
          <w:lang w:eastAsia="en-US"/>
        </w:rPr>
      </w:pPr>
      <w:r w:rsidRPr="00247996">
        <w:rPr>
          <w:rFonts w:eastAsiaTheme="minorHAnsi"/>
          <w:vertAlign w:val="superscript"/>
          <w:lang w:eastAsia="en-US"/>
        </w:rPr>
        <w:t>2</w:t>
      </w:r>
      <w:r w:rsidRPr="000F7CA2">
        <w:rPr>
          <w:rFonts w:eastAsiaTheme="minorHAnsi"/>
          <w:lang w:eastAsia="en-US"/>
        </w:rPr>
        <w:t xml:space="preserve">Francis, R. 2013. </w:t>
      </w:r>
      <w:r w:rsidRPr="000F7CA2">
        <w:rPr>
          <w:rFonts w:eastAsiaTheme="minorHAnsi"/>
          <w:i/>
          <w:iCs/>
          <w:lang w:eastAsia="en-US"/>
        </w:rPr>
        <w:t>The Mid Staffordshire NHS Foundation Trust Public</w:t>
      </w:r>
    </w:p>
    <w:p w:rsidR="00247996" w:rsidRDefault="00247996" w:rsidP="00247996">
      <w:pPr>
        <w:autoSpaceDE w:val="0"/>
        <w:autoSpaceDN w:val="0"/>
        <w:adjustRightInd w:val="0"/>
        <w:rPr>
          <w:rFonts w:eastAsiaTheme="minorHAnsi"/>
          <w:lang w:eastAsia="en-US"/>
        </w:rPr>
      </w:pPr>
      <w:r w:rsidRPr="000F7CA2">
        <w:rPr>
          <w:rFonts w:eastAsiaTheme="minorHAnsi"/>
          <w:i/>
          <w:iCs/>
          <w:lang w:eastAsia="en-US"/>
        </w:rPr>
        <w:t>Inquiry</w:t>
      </w:r>
      <w:r w:rsidRPr="000F7CA2">
        <w:rPr>
          <w:rFonts w:eastAsiaTheme="minorHAnsi"/>
          <w:lang w:eastAsia="en-US"/>
        </w:rPr>
        <w:t>. London: Stationery Office</w:t>
      </w:r>
    </w:p>
    <w:p w:rsidR="00247996" w:rsidRPr="000F7CA2" w:rsidRDefault="00247996" w:rsidP="00247996">
      <w:pPr>
        <w:autoSpaceDE w:val="0"/>
        <w:autoSpaceDN w:val="0"/>
        <w:adjustRightInd w:val="0"/>
        <w:rPr>
          <w:rFonts w:eastAsiaTheme="minorHAnsi"/>
          <w:lang w:eastAsia="en-US"/>
        </w:rPr>
      </w:pPr>
    </w:p>
    <w:p w:rsidR="00247996" w:rsidRPr="000F7CA2" w:rsidRDefault="00247996" w:rsidP="00247996">
      <w:pPr>
        <w:autoSpaceDE w:val="0"/>
        <w:autoSpaceDN w:val="0"/>
        <w:adjustRightInd w:val="0"/>
        <w:rPr>
          <w:rFonts w:eastAsiaTheme="minorHAnsi"/>
          <w:iCs/>
          <w:lang w:eastAsia="en-US"/>
        </w:rPr>
      </w:pPr>
      <w:r w:rsidRPr="00247996">
        <w:rPr>
          <w:rFonts w:eastAsiaTheme="minorHAnsi"/>
          <w:vertAlign w:val="superscript"/>
          <w:lang w:eastAsia="en-US"/>
        </w:rPr>
        <w:t>3</w:t>
      </w:r>
      <w:r w:rsidRPr="000F7CA2">
        <w:rPr>
          <w:rFonts w:eastAsiaTheme="minorHAnsi"/>
          <w:lang w:eastAsia="en-US"/>
        </w:rPr>
        <w:t xml:space="preserve">Secretary of State (1969). </w:t>
      </w:r>
      <w:r w:rsidRPr="000F7CA2">
        <w:rPr>
          <w:rFonts w:eastAsiaTheme="minorHAnsi"/>
          <w:iCs/>
          <w:lang w:eastAsia="en-US"/>
        </w:rPr>
        <w:t>Report of the Committee of Inquiry into Allegations of Ill Treatment of Patients and Other Irregularities at the Ely Hospital, London, HMSO.</w:t>
      </w:r>
    </w:p>
    <w:p w:rsidR="00247996" w:rsidRPr="000F7CA2" w:rsidRDefault="00247996" w:rsidP="00247996">
      <w:pPr>
        <w:autoSpaceDE w:val="0"/>
        <w:autoSpaceDN w:val="0"/>
        <w:adjustRightInd w:val="0"/>
      </w:pPr>
    </w:p>
    <w:p w:rsidR="00247996" w:rsidRPr="000F7CA2" w:rsidRDefault="00247996" w:rsidP="00247996">
      <w:pPr>
        <w:autoSpaceDE w:val="0"/>
        <w:autoSpaceDN w:val="0"/>
        <w:adjustRightInd w:val="0"/>
      </w:pPr>
    </w:p>
    <w:p w:rsidR="00247996" w:rsidRDefault="00247996" w:rsidP="00247996">
      <w:pPr>
        <w:autoSpaceDE w:val="0"/>
        <w:autoSpaceDN w:val="0"/>
        <w:adjustRightInd w:val="0"/>
      </w:pPr>
      <w:r w:rsidRPr="00247996">
        <w:rPr>
          <w:vertAlign w:val="superscript"/>
        </w:rPr>
        <w:t xml:space="preserve">4 </w:t>
      </w:r>
      <w:r w:rsidRPr="000F7CA2">
        <w:t>Garrat</w:t>
      </w:r>
      <w:r w:rsidR="002B17BF">
        <w:t>t</w:t>
      </w:r>
      <w:r w:rsidRPr="000F7CA2">
        <w:t>, B (1997) ‘</w:t>
      </w:r>
      <w:r w:rsidRPr="000F7CA2">
        <w:rPr>
          <w:i/>
        </w:rPr>
        <w:t>The Fish Rots from the Head – the Crisis in our Boardrooms: Developing the Crucial Skills of the Competent Director</w:t>
      </w:r>
      <w:r w:rsidRPr="000F7CA2">
        <w:t>’, London: Harper Collins Pubs</w:t>
      </w:r>
    </w:p>
    <w:p w:rsidR="00247996" w:rsidRDefault="00247996" w:rsidP="00247996">
      <w:pPr>
        <w:autoSpaceDE w:val="0"/>
        <w:autoSpaceDN w:val="0"/>
        <w:adjustRightInd w:val="0"/>
      </w:pPr>
    </w:p>
    <w:p w:rsidR="00247996" w:rsidRPr="000F7CA2" w:rsidRDefault="00247996" w:rsidP="00247996">
      <w:pPr>
        <w:autoSpaceDE w:val="0"/>
        <w:autoSpaceDN w:val="0"/>
        <w:adjustRightInd w:val="0"/>
        <w:rPr>
          <w:rFonts w:eastAsiaTheme="minorHAnsi"/>
          <w:lang w:eastAsia="en-US"/>
        </w:rPr>
      </w:pPr>
    </w:p>
    <w:p w:rsidR="00247996" w:rsidRDefault="00247996" w:rsidP="00247996">
      <w:pPr>
        <w:autoSpaceDE w:val="0"/>
        <w:autoSpaceDN w:val="0"/>
        <w:adjustRightInd w:val="0"/>
        <w:rPr>
          <w:rFonts w:eastAsiaTheme="minorHAnsi"/>
          <w:lang w:eastAsia="en-US"/>
        </w:rPr>
      </w:pPr>
      <w:r w:rsidRPr="00247996">
        <w:rPr>
          <w:rFonts w:eastAsiaTheme="minorHAnsi"/>
          <w:vertAlign w:val="superscript"/>
          <w:lang w:eastAsia="en-US"/>
        </w:rPr>
        <w:t>5</w:t>
      </w:r>
      <w:r w:rsidRPr="000F7CA2">
        <w:rPr>
          <w:rFonts w:eastAsiaTheme="minorHAnsi"/>
          <w:lang w:eastAsia="en-US"/>
        </w:rPr>
        <w:t xml:space="preserve">Chambers N, Harvey G, Mannion R , et al (2013) Towards a framework for enhancing the performance of NHS boards: a synthesis of the evidence about board governance, board effectiveness and board development, </w:t>
      </w:r>
      <w:r w:rsidRPr="000F7CA2">
        <w:rPr>
          <w:rFonts w:eastAsiaTheme="minorHAnsi"/>
          <w:i/>
          <w:lang w:eastAsia="en-US"/>
        </w:rPr>
        <w:t>Health Services and Delivery Research</w:t>
      </w:r>
      <w:r w:rsidRPr="000F7CA2">
        <w:rPr>
          <w:rFonts w:eastAsiaTheme="minorHAnsi"/>
          <w:lang w:eastAsia="en-US"/>
        </w:rPr>
        <w:t>, 1 (6).</w:t>
      </w:r>
    </w:p>
    <w:p w:rsidR="00247996" w:rsidRDefault="00247996" w:rsidP="00247996">
      <w:pPr>
        <w:autoSpaceDE w:val="0"/>
        <w:autoSpaceDN w:val="0"/>
        <w:adjustRightInd w:val="0"/>
        <w:rPr>
          <w:rFonts w:eastAsiaTheme="minorHAnsi"/>
          <w:lang w:eastAsia="en-US"/>
        </w:rPr>
      </w:pPr>
    </w:p>
    <w:p w:rsidR="00247996" w:rsidRPr="000F7CA2" w:rsidRDefault="00247996" w:rsidP="00247996">
      <w:pPr>
        <w:autoSpaceDE w:val="0"/>
        <w:autoSpaceDN w:val="0"/>
        <w:adjustRightInd w:val="0"/>
      </w:pPr>
      <w:r w:rsidRPr="00247996">
        <w:rPr>
          <w:vertAlign w:val="superscript"/>
        </w:rPr>
        <w:t>6</w:t>
      </w:r>
      <w:r w:rsidRPr="000F7CA2">
        <w:t>Department of Health, 2011. Delivering on all Foundation Trust (FT) Provider Landscape, Department of Health, London.</w:t>
      </w:r>
    </w:p>
    <w:p w:rsidR="00247996" w:rsidRPr="000F7CA2" w:rsidRDefault="00247996" w:rsidP="00247996">
      <w:pPr>
        <w:autoSpaceDE w:val="0"/>
        <w:autoSpaceDN w:val="0"/>
        <w:adjustRightInd w:val="0"/>
        <w:rPr>
          <w:rFonts w:eastAsiaTheme="minorHAnsi"/>
          <w:lang w:eastAsia="en-US"/>
        </w:rPr>
      </w:pPr>
    </w:p>
    <w:p w:rsidR="00247996" w:rsidRDefault="00247996" w:rsidP="00247996">
      <w:pPr>
        <w:autoSpaceDE w:val="0"/>
        <w:autoSpaceDN w:val="0"/>
        <w:adjustRightInd w:val="0"/>
      </w:pPr>
      <w:r w:rsidRPr="00247996">
        <w:rPr>
          <w:vertAlign w:val="superscript"/>
        </w:rPr>
        <w:t>7</w:t>
      </w:r>
      <w:r w:rsidRPr="000F7CA2">
        <w:t>Millar R, Man</w:t>
      </w:r>
      <w:r w:rsidR="002B17BF">
        <w:t>n</w:t>
      </w:r>
      <w:r w:rsidRPr="000F7CA2">
        <w:t xml:space="preserve">ion R, Freeman T et al (2013) Hospital Board oversight of quality and patient safety: a narrative review and synthesis of recent empirical research, </w:t>
      </w:r>
      <w:r w:rsidRPr="000F7CA2">
        <w:rPr>
          <w:i/>
        </w:rPr>
        <w:t>The Milbank Quarterly</w:t>
      </w:r>
      <w:r w:rsidRPr="000F7CA2">
        <w:t>, Vol 91 (4) 738-770.</w:t>
      </w:r>
    </w:p>
    <w:p w:rsidR="00247996" w:rsidRPr="000F7CA2" w:rsidRDefault="00247996" w:rsidP="00247996">
      <w:pPr>
        <w:autoSpaceDE w:val="0"/>
        <w:autoSpaceDN w:val="0"/>
        <w:adjustRightInd w:val="0"/>
      </w:pPr>
    </w:p>
    <w:p w:rsidR="00247996" w:rsidRDefault="00247996" w:rsidP="00247996">
      <w:pPr>
        <w:autoSpaceDE w:val="0"/>
        <w:autoSpaceDN w:val="0"/>
        <w:adjustRightInd w:val="0"/>
        <w:rPr>
          <w:rFonts w:eastAsiaTheme="minorHAnsi"/>
          <w:lang w:eastAsia="en-US"/>
        </w:rPr>
      </w:pPr>
      <w:r w:rsidRPr="00247996">
        <w:rPr>
          <w:rFonts w:eastAsiaTheme="minorHAnsi"/>
          <w:bCs/>
          <w:vertAlign w:val="superscript"/>
          <w:lang w:eastAsia="en-US"/>
        </w:rPr>
        <w:t>8</w:t>
      </w:r>
      <w:r w:rsidRPr="000F7CA2">
        <w:rPr>
          <w:rFonts w:eastAsiaTheme="minorHAnsi"/>
          <w:bCs/>
          <w:lang w:eastAsia="en-US"/>
        </w:rPr>
        <w:t xml:space="preserve">Pritchard C,  Hardy J (2014) An analysis of National Health Service Trust websites on the occupational backgrounds of Non-executive directors' on England's Acute Trusts, JRSM, Open, 5, DOI: </w:t>
      </w:r>
      <w:r w:rsidRPr="000F7CA2">
        <w:rPr>
          <w:rFonts w:eastAsiaTheme="minorHAnsi"/>
          <w:lang w:eastAsia="en-US"/>
        </w:rPr>
        <w:t>10.1177/1062860613485407</w:t>
      </w:r>
    </w:p>
    <w:p w:rsidR="00247996" w:rsidRDefault="00247996" w:rsidP="00247996">
      <w:pPr>
        <w:autoSpaceDE w:val="0"/>
        <w:autoSpaceDN w:val="0"/>
        <w:adjustRightInd w:val="0"/>
        <w:rPr>
          <w:rFonts w:eastAsiaTheme="minorHAnsi"/>
          <w:lang w:eastAsia="en-US"/>
        </w:rPr>
      </w:pPr>
    </w:p>
    <w:p w:rsidR="00247996" w:rsidRPr="000F7CA2" w:rsidRDefault="00247996" w:rsidP="00247996">
      <w:pPr>
        <w:autoSpaceDE w:val="0"/>
        <w:autoSpaceDN w:val="0"/>
        <w:adjustRightInd w:val="0"/>
        <w:rPr>
          <w:rFonts w:eastAsiaTheme="minorHAnsi"/>
          <w:iCs/>
          <w:lang w:eastAsia="en-US"/>
        </w:rPr>
      </w:pPr>
      <w:r w:rsidRPr="00247996">
        <w:rPr>
          <w:rFonts w:eastAsiaTheme="minorHAnsi"/>
          <w:vertAlign w:val="superscript"/>
          <w:lang w:eastAsia="en-US"/>
        </w:rPr>
        <w:t>9</w:t>
      </w:r>
      <w:r w:rsidRPr="000F7CA2">
        <w:rPr>
          <w:rFonts w:eastAsiaTheme="minorHAnsi"/>
          <w:lang w:eastAsia="en-US"/>
        </w:rPr>
        <w:t>Veronesi G, Kirkpatrick I Vallascas F (2013) Clinicians on board: what difference does it make?, Social Science and Medicine, 77, 147-155</w:t>
      </w:r>
    </w:p>
    <w:p w:rsidR="00247996" w:rsidRDefault="00247996" w:rsidP="00247996">
      <w:pPr>
        <w:autoSpaceDE w:val="0"/>
        <w:autoSpaceDN w:val="0"/>
        <w:adjustRightInd w:val="0"/>
        <w:rPr>
          <w:rFonts w:eastAsiaTheme="minorHAnsi"/>
          <w:lang w:eastAsia="en-US"/>
        </w:rPr>
      </w:pPr>
    </w:p>
    <w:p w:rsidR="00247996" w:rsidRDefault="00247996" w:rsidP="00247996">
      <w:pPr>
        <w:autoSpaceDE w:val="0"/>
        <w:autoSpaceDN w:val="0"/>
        <w:adjustRightInd w:val="0"/>
      </w:pPr>
      <w:r w:rsidRPr="00247996">
        <w:rPr>
          <w:vertAlign w:val="superscript"/>
        </w:rPr>
        <w:t>10</w:t>
      </w:r>
      <w:r w:rsidRPr="000F7CA2">
        <w:t xml:space="preserve">Jha A and Epstein A (2010) Hospital Governance and Quality of Care, </w:t>
      </w:r>
      <w:r w:rsidRPr="000F7CA2">
        <w:rPr>
          <w:i/>
        </w:rPr>
        <w:t>Health Affairs</w:t>
      </w:r>
      <w:r w:rsidRPr="000F7CA2">
        <w:t>, 29, pp182-187</w:t>
      </w:r>
    </w:p>
    <w:p w:rsidR="00247996" w:rsidRDefault="00247996" w:rsidP="00247996">
      <w:pPr>
        <w:autoSpaceDE w:val="0"/>
        <w:autoSpaceDN w:val="0"/>
        <w:adjustRightInd w:val="0"/>
      </w:pPr>
    </w:p>
    <w:p w:rsidR="00247996" w:rsidRDefault="00247996" w:rsidP="00247996">
      <w:pPr>
        <w:autoSpaceDE w:val="0"/>
        <w:autoSpaceDN w:val="0"/>
        <w:adjustRightInd w:val="0"/>
      </w:pPr>
      <w:r w:rsidRPr="00247996">
        <w:rPr>
          <w:vertAlign w:val="superscript"/>
        </w:rPr>
        <w:t>11</w:t>
      </w:r>
      <w:r w:rsidRPr="000F7CA2">
        <w:t>Mannion</w:t>
      </w:r>
      <w:r w:rsidRPr="000F7CA2">
        <w:rPr>
          <w:bCs/>
        </w:rPr>
        <w:t xml:space="preserve">  </w:t>
      </w:r>
      <w:r w:rsidRPr="000F7CA2">
        <w:t>R and Davies , H</w:t>
      </w:r>
      <w:r w:rsidRPr="000F7CA2">
        <w:rPr>
          <w:b/>
        </w:rPr>
        <w:t xml:space="preserve"> </w:t>
      </w:r>
      <w:r w:rsidRPr="000F7CA2">
        <w:t xml:space="preserve"> (2003) A principal-agent perspective on clinical governance in Kernick, D (ed</w:t>
      </w:r>
      <w:r w:rsidRPr="000F7CA2">
        <w:rPr>
          <w:i/>
        </w:rPr>
        <w:t>) Getting Health Economics into Practice</w:t>
      </w:r>
      <w:r w:rsidRPr="000F7CA2">
        <w:t>, Oxford, Radcliff</w:t>
      </w:r>
      <w:r>
        <w:t xml:space="preserve">e Medical Press, pp. 67-78 </w:t>
      </w:r>
    </w:p>
    <w:p w:rsidR="00247996" w:rsidRDefault="00247996" w:rsidP="00247996">
      <w:pPr>
        <w:autoSpaceDE w:val="0"/>
        <w:autoSpaceDN w:val="0"/>
        <w:adjustRightInd w:val="0"/>
      </w:pPr>
    </w:p>
    <w:p w:rsidR="00247996" w:rsidRDefault="00247996" w:rsidP="00247996">
      <w:pPr>
        <w:autoSpaceDE w:val="0"/>
        <w:autoSpaceDN w:val="0"/>
        <w:adjustRightInd w:val="0"/>
        <w:rPr>
          <w:rFonts w:eastAsiaTheme="minorHAnsi"/>
          <w:lang w:eastAsia="en-US"/>
        </w:rPr>
      </w:pPr>
      <w:r w:rsidRPr="00247996">
        <w:rPr>
          <w:rFonts w:eastAsiaTheme="minorHAnsi"/>
          <w:vertAlign w:val="superscript"/>
          <w:lang w:eastAsia="en-US"/>
        </w:rPr>
        <w:t>12</w:t>
      </w:r>
      <w:r w:rsidRPr="000F7CA2">
        <w:rPr>
          <w:rFonts w:eastAsiaTheme="minorHAnsi"/>
          <w:lang w:eastAsia="en-US"/>
        </w:rPr>
        <w:t xml:space="preserve">Cornforth C (2003) The governance of public and non-profit organisations: what </w:t>
      </w:r>
      <w:r>
        <w:rPr>
          <w:rFonts w:eastAsiaTheme="minorHAnsi"/>
          <w:lang w:eastAsia="en-US"/>
        </w:rPr>
        <w:t>do boards do? London: Routledge</w:t>
      </w:r>
    </w:p>
    <w:p w:rsidR="00247996" w:rsidRDefault="00247996" w:rsidP="00247996">
      <w:pPr>
        <w:autoSpaceDE w:val="0"/>
        <w:autoSpaceDN w:val="0"/>
        <w:adjustRightInd w:val="0"/>
        <w:rPr>
          <w:rFonts w:eastAsiaTheme="minorHAnsi"/>
          <w:lang w:eastAsia="en-US"/>
        </w:rPr>
      </w:pPr>
    </w:p>
    <w:p w:rsidR="00247996" w:rsidRDefault="00247996" w:rsidP="00247996">
      <w:pPr>
        <w:autoSpaceDE w:val="0"/>
        <w:autoSpaceDN w:val="0"/>
        <w:adjustRightInd w:val="0"/>
        <w:rPr>
          <w:rFonts w:eastAsiaTheme="minorHAnsi"/>
          <w:lang w:eastAsia="en-US"/>
        </w:rPr>
      </w:pPr>
      <w:r w:rsidRPr="00247996">
        <w:rPr>
          <w:rFonts w:eastAsiaTheme="minorHAnsi"/>
          <w:vertAlign w:val="superscript"/>
          <w:lang w:eastAsia="en-US"/>
        </w:rPr>
        <w:t>13</w:t>
      </w:r>
      <w:r w:rsidRPr="000F7CA2">
        <w:rPr>
          <w:rFonts w:eastAsiaTheme="minorHAnsi"/>
          <w:lang w:eastAsia="en-US"/>
        </w:rPr>
        <w:t>Penrose E (1959) The theory of the growth of the firm. Oxford: Basil Blackwell</w:t>
      </w:r>
    </w:p>
    <w:p w:rsidR="00247996" w:rsidRDefault="00247996" w:rsidP="00247996">
      <w:pPr>
        <w:autoSpaceDE w:val="0"/>
        <w:autoSpaceDN w:val="0"/>
        <w:adjustRightInd w:val="0"/>
        <w:rPr>
          <w:rFonts w:eastAsiaTheme="minorHAnsi"/>
          <w:lang w:eastAsia="en-US"/>
        </w:rPr>
      </w:pPr>
    </w:p>
    <w:p w:rsidR="00247996" w:rsidRDefault="00247996" w:rsidP="00247996">
      <w:pPr>
        <w:autoSpaceDE w:val="0"/>
        <w:autoSpaceDN w:val="0"/>
        <w:adjustRightInd w:val="0"/>
        <w:rPr>
          <w:rFonts w:eastAsiaTheme="minorHAnsi"/>
          <w:iCs/>
          <w:lang w:eastAsia="en-US"/>
        </w:rPr>
      </w:pPr>
      <w:r w:rsidRPr="00247996">
        <w:rPr>
          <w:rFonts w:eastAsiaTheme="minorHAnsi"/>
          <w:iCs/>
          <w:vertAlign w:val="superscript"/>
          <w:lang w:eastAsia="en-US"/>
        </w:rPr>
        <w:t>14</w:t>
      </w:r>
      <w:r w:rsidRPr="000F7CA2">
        <w:rPr>
          <w:rFonts w:eastAsiaTheme="minorHAnsi"/>
          <w:iCs/>
          <w:lang w:eastAsia="en-US"/>
        </w:rPr>
        <w:t xml:space="preserve">Zahra S and Perace J (1989) Boards of directors and corporate financial performance: a review and integrative model, </w:t>
      </w:r>
      <w:r w:rsidRPr="000F7CA2">
        <w:rPr>
          <w:rFonts w:eastAsiaTheme="minorHAnsi"/>
          <w:i/>
          <w:iCs/>
          <w:lang w:eastAsia="en-US"/>
        </w:rPr>
        <w:t>Journal of Management</w:t>
      </w:r>
      <w:r w:rsidRPr="000F7CA2">
        <w:rPr>
          <w:rFonts w:eastAsiaTheme="minorHAnsi"/>
          <w:iCs/>
          <w:lang w:eastAsia="en-US"/>
        </w:rPr>
        <w:t>, Vol 15, No 2, 291-334</w:t>
      </w:r>
    </w:p>
    <w:p w:rsidR="00247996" w:rsidRDefault="00247996" w:rsidP="00247996">
      <w:pPr>
        <w:autoSpaceDE w:val="0"/>
        <w:autoSpaceDN w:val="0"/>
        <w:adjustRightInd w:val="0"/>
        <w:rPr>
          <w:rFonts w:eastAsiaTheme="minorHAnsi"/>
          <w:iCs/>
          <w:lang w:eastAsia="en-US"/>
        </w:rPr>
      </w:pPr>
    </w:p>
    <w:p w:rsidR="00247996" w:rsidRDefault="00247996" w:rsidP="00247996">
      <w:pPr>
        <w:autoSpaceDE w:val="0"/>
        <w:autoSpaceDN w:val="0"/>
        <w:adjustRightInd w:val="0"/>
      </w:pPr>
      <w:r w:rsidRPr="00247996">
        <w:rPr>
          <w:vertAlign w:val="superscript"/>
        </w:rPr>
        <w:t>15</w:t>
      </w:r>
      <w:r w:rsidRPr="000F7CA2">
        <w:t xml:space="preserve">Chambers N and Cornforth C (2010) The role of corporate governance and Boards in organisational performance, in Walshe K and Harvey G (eds) </w:t>
      </w:r>
      <w:r w:rsidRPr="000F7CA2">
        <w:rPr>
          <w:i/>
        </w:rPr>
        <w:t>From Knowing to Doing: Connecting Knowledge and Performance in Public Services</w:t>
      </w:r>
      <w:r w:rsidRPr="000F7CA2">
        <w:t>, Cambridge University Press, Cambridge</w:t>
      </w:r>
    </w:p>
    <w:p w:rsidR="00247996" w:rsidRDefault="00247996" w:rsidP="00247996">
      <w:pPr>
        <w:autoSpaceDE w:val="0"/>
        <w:autoSpaceDN w:val="0"/>
        <w:adjustRightInd w:val="0"/>
      </w:pPr>
    </w:p>
    <w:p w:rsidR="00247996" w:rsidRDefault="00247996" w:rsidP="00247996">
      <w:pPr>
        <w:autoSpaceDE w:val="0"/>
        <w:autoSpaceDN w:val="0"/>
        <w:adjustRightInd w:val="0"/>
      </w:pPr>
      <w:r w:rsidRPr="00247996">
        <w:rPr>
          <w:vertAlign w:val="superscript"/>
        </w:rPr>
        <w:t>16</w:t>
      </w:r>
      <w:r>
        <w:t xml:space="preserve"> </w:t>
      </w:r>
      <w:r w:rsidRPr="000F7CA2">
        <w:t xml:space="preserve">Learmonth M (2001) NHS Trust Chief Executives as Heroes? </w:t>
      </w:r>
      <w:r w:rsidRPr="000F7CA2">
        <w:rPr>
          <w:i/>
        </w:rPr>
        <w:t>Health Care Analysis</w:t>
      </w:r>
      <w:r w:rsidRPr="000F7CA2">
        <w:t>, Vol 9 (4) pp417-436</w:t>
      </w:r>
    </w:p>
    <w:p w:rsidR="00247996" w:rsidRDefault="00247996" w:rsidP="00247996">
      <w:pPr>
        <w:autoSpaceDE w:val="0"/>
        <w:autoSpaceDN w:val="0"/>
        <w:adjustRightInd w:val="0"/>
      </w:pPr>
    </w:p>
    <w:p w:rsidR="00247996" w:rsidRDefault="00247996" w:rsidP="00247996">
      <w:pPr>
        <w:autoSpaceDE w:val="0"/>
        <w:autoSpaceDN w:val="0"/>
        <w:adjustRightInd w:val="0"/>
      </w:pPr>
      <w:r w:rsidRPr="00247996">
        <w:rPr>
          <w:vertAlign w:val="superscript"/>
        </w:rPr>
        <w:t>17</w:t>
      </w:r>
      <w:r w:rsidRPr="000F7CA2">
        <w:t xml:space="preserve">Pahl , R. and J. Winkler  (1974)  ‘ The Economic Elite: Theory and Practice ’ , in P.J. Stanworth and A. Giddens ( eds ), </w:t>
      </w:r>
      <w:r w:rsidRPr="000F7CA2">
        <w:rPr>
          <w:i/>
          <w:iCs/>
        </w:rPr>
        <w:t xml:space="preserve">Elites and Power in British Society </w:t>
      </w:r>
      <w:r w:rsidRPr="000F7CA2">
        <w:t>. Cambridge : Cambridge University Press</w:t>
      </w:r>
    </w:p>
    <w:p w:rsidR="00DD6992" w:rsidRDefault="00DD6992" w:rsidP="00247996">
      <w:pPr>
        <w:autoSpaceDE w:val="0"/>
        <w:autoSpaceDN w:val="0"/>
        <w:adjustRightInd w:val="0"/>
      </w:pPr>
    </w:p>
    <w:p w:rsidR="00DD6992" w:rsidRPr="000F7CA2" w:rsidRDefault="00DD6992" w:rsidP="00DD6992">
      <w:pPr>
        <w:autoSpaceDE w:val="0"/>
        <w:autoSpaceDN w:val="0"/>
        <w:adjustRightInd w:val="0"/>
      </w:pPr>
      <w:r w:rsidRPr="00DD6992">
        <w:rPr>
          <w:vertAlign w:val="superscript"/>
        </w:rPr>
        <w:t>18</w:t>
      </w:r>
      <w:r>
        <w:t xml:space="preserve"> </w:t>
      </w:r>
      <w:r w:rsidRPr="000F7CA2">
        <w:t xml:space="preserve">Hajer, M. (2004) </w:t>
      </w:r>
      <w:r w:rsidRPr="000F7CA2">
        <w:rPr>
          <w:i/>
          <w:iCs/>
        </w:rPr>
        <w:t>Setting the Stage: A Dramaturgy of Policy Implementation.</w:t>
      </w:r>
      <w:r w:rsidRPr="000F7CA2">
        <w:t xml:space="preserve"> Amsterdam School for Social Science Research Working Paper 04/06. Amsterdam: University of Amsterdam.</w:t>
      </w:r>
    </w:p>
    <w:p w:rsidR="00DD6992" w:rsidRPr="000F7CA2" w:rsidRDefault="00DD6992" w:rsidP="00DD6992">
      <w:pPr>
        <w:autoSpaceDE w:val="0"/>
        <w:autoSpaceDN w:val="0"/>
        <w:adjustRightInd w:val="0"/>
      </w:pPr>
    </w:p>
    <w:p w:rsidR="00DD6992" w:rsidRDefault="00DD6992" w:rsidP="00DD6992">
      <w:pPr>
        <w:autoSpaceDE w:val="0"/>
        <w:autoSpaceDN w:val="0"/>
        <w:adjustRightInd w:val="0"/>
      </w:pPr>
      <w:r w:rsidRPr="00DD6992">
        <w:rPr>
          <w:vertAlign w:val="superscript"/>
        </w:rPr>
        <w:t>19</w:t>
      </w:r>
      <w:r>
        <w:t xml:space="preserve"> </w:t>
      </w:r>
      <w:r w:rsidRPr="000F7CA2">
        <w:t xml:space="preserve">Hajer, M. (2005) ‘Setting the Stage: A Dramaturgy of Policy Deliberation’, </w:t>
      </w:r>
      <w:r w:rsidRPr="000F7CA2">
        <w:rPr>
          <w:i/>
          <w:iCs/>
        </w:rPr>
        <w:t>Administration and Society,</w:t>
      </w:r>
      <w:r w:rsidRPr="000F7CA2">
        <w:t xml:space="preserve"> 36, 6, 624 – 47.</w:t>
      </w:r>
    </w:p>
    <w:p w:rsidR="00DD6992" w:rsidRDefault="00DD6992" w:rsidP="00DD6992">
      <w:pPr>
        <w:autoSpaceDE w:val="0"/>
        <w:autoSpaceDN w:val="0"/>
        <w:adjustRightInd w:val="0"/>
      </w:pPr>
    </w:p>
    <w:p w:rsidR="00DD6992" w:rsidRDefault="00DD6992" w:rsidP="00DD6992">
      <w:pPr>
        <w:autoSpaceDE w:val="0"/>
        <w:autoSpaceDN w:val="0"/>
        <w:adjustRightInd w:val="0"/>
      </w:pPr>
      <w:r w:rsidRPr="00DD6992">
        <w:rPr>
          <w:vertAlign w:val="superscript"/>
        </w:rPr>
        <w:t>20</w:t>
      </w:r>
      <w:r w:rsidRPr="000F7CA2">
        <w:t xml:space="preserve">Lee S-Y D et al (2008) An Empirical Taxonomy of Hospital Governing Board Roles </w:t>
      </w:r>
      <w:r w:rsidRPr="000F7CA2">
        <w:rPr>
          <w:i/>
        </w:rPr>
        <w:t xml:space="preserve">Health Services Research </w:t>
      </w:r>
      <w:r>
        <w:t>43:4,</w:t>
      </w:r>
      <w:r w:rsidRPr="000F7CA2">
        <w:t>12</w:t>
      </w:r>
      <w:r>
        <w:t>-</w:t>
      </w:r>
      <w:r w:rsidRPr="000F7CA2">
        <w:t>43</w:t>
      </w:r>
    </w:p>
    <w:p w:rsidR="00DD6992" w:rsidRDefault="00DD6992" w:rsidP="00DD6992">
      <w:pPr>
        <w:autoSpaceDE w:val="0"/>
        <w:autoSpaceDN w:val="0"/>
        <w:adjustRightInd w:val="0"/>
      </w:pPr>
    </w:p>
    <w:p w:rsidR="00DD6992" w:rsidRPr="000F7CA2" w:rsidRDefault="00DD6992" w:rsidP="00DD6992">
      <w:pPr>
        <w:autoSpaceDE w:val="0"/>
        <w:autoSpaceDN w:val="0"/>
        <w:adjustRightInd w:val="0"/>
        <w:rPr>
          <w:rFonts w:eastAsiaTheme="minorHAnsi"/>
          <w:lang w:eastAsia="en-US"/>
        </w:rPr>
      </w:pPr>
      <w:r w:rsidRPr="00DD6992">
        <w:rPr>
          <w:rFonts w:eastAsiaTheme="minorHAnsi"/>
          <w:vertAlign w:val="superscript"/>
          <w:lang w:eastAsia="en-US"/>
        </w:rPr>
        <w:t>21</w:t>
      </w:r>
      <w:r w:rsidRPr="000F7CA2">
        <w:rPr>
          <w:rFonts w:eastAsiaTheme="minorHAnsi"/>
          <w:lang w:eastAsia="en-US"/>
        </w:rPr>
        <w:t>Holland, T. P., Chait, R. P., Taylor, B. E. (1989). Board effectiveness: Identifying and</w:t>
      </w:r>
    </w:p>
    <w:p w:rsidR="00DD6992" w:rsidRDefault="00DD6992" w:rsidP="00DD6992">
      <w:pPr>
        <w:autoSpaceDE w:val="0"/>
        <w:autoSpaceDN w:val="0"/>
        <w:adjustRightInd w:val="0"/>
        <w:rPr>
          <w:rFonts w:eastAsiaTheme="minorHAnsi"/>
          <w:lang w:eastAsia="en-US"/>
        </w:rPr>
      </w:pPr>
      <w:r w:rsidRPr="000F7CA2">
        <w:rPr>
          <w:rFonts w:eastAsiaTheme="minorHAnsi"/>
          <w:lang w:eastAsia="en-US"/>
        </w:rPr>
        <w:t>measuring trustee competencies. Research in Higher Education, 30(4), pp. 435-453.</w:t>
      </w:r>
    </w:p>
    <w:p w:rsidR="00DD6992" w:rsidRDefault="00DD6992" w:rsidP="00DD6992">
      <w:pPr>
        <w:autoSpaceDE w:val="0"/>
        <w:autoSpaceDN w:val="0"/>
        <w:adjustRightInd w:val="0"/>
        <w:rPr>
          <w:rFonts w:eastAsiaTheme="minorHAnsi"/>
          <w:lang w:eastAsia="en-US"/>
        </w:rPr>
      </w:pPr>
    </w:p>
    <w:p w:rsidR="00DD6992" w:rsidRDefault="00DD6992" w:rsidP="00DD6992">
      <w:pPr>
        <w:autoSpaceDE w:val="0"/>
        <w:autoSpaceDN w:val="0"/>
        <w:adjustRightInd w:val="0"/>
        <w:rPr>
          <w:rFonts w:eastAsiaTheme="minorHAnsi"/>
          <w:lang w:eastAsia="en-US"/>
        </w:rPr>
      </w:pPr>
      <w:r w:rsidRPr="00DD6992">
        <w:rPr>
          <w:rFonts w:eastAsiaTheme="minorHAnsi"/>
          <w:vertAlign w:val="superscript"/>
          <w:lang w:eastAsia="en-US"/>
        </w:rPr>
        <w:t>22</w:t>
      </w:r>
      <w:r w:rsidRPr="000F7CA2">
        <w:rPr>
          <w:rFonts w:eastAsiaTheme="minorHAnsi"/>
          <w:lang w:eastAsia="en-US"/>
        </w:rPr>
        <w:t>Chait R, Holland T, Taylor B (1993) The effective board of trustees, Onyx Press</w:t>
      </w:r>
    </w:p>
    <w:p w:rsidR="00DD6992" w:rsidRDefault="00DD6992" w:rsidP="00DD6992">
      <w:pPr>
        <w:autoSpaceDE w:val="0"/>
        <w:autoSpaceDN w:val="0"/>
        <w:adjustRightInd w:val="0"/>
        <w:rPr>
          <w:rFonts w:eastAsiaTheme="minorHAnsi"/>
          <w:lang w:eastAsia="en-US"/>
        </w:rPr>
      </w:pPr>
    </w:p>
    <w:p w:rsidR="00DD6992" w:rsidRDefault="00DD6992" w:rsidP="00DD6992">
      <w:pPr>
        <w:autoSpaceDE w:val="0"/>
        <w:autoSpaceDN w:val="0"/>
        <w:adjustRightInd w:val="0"/>
      </w:pPr>
      <w:r w:rsidRPr="00DD6992">
        <w:rPr>
          <w:vertAlign w:val="superscript"/>
        </w:rPr>
        <w:t>23</w:t>
      </w:r>
      <w:r w:rsidRPr="000F7CA2">
        <w:t xml:space="preserve">McDonagh K and Limbdenstock R (2006) Hospital Governing Boards: A Study of Their Effectiveness in Relation to Organisational Performance </w:t>
      </w:r>
      <w:r w:rsidRPr="000F7CA2">
        <w:rPr>
          <w:i/>
        </w:rPr>
        <w:t xml:space="preserve">Journal of Healthcare Management </w:t>
      </w:r>
      <w:r w:rsidRPr="000F7CA2">
        <w:t xml:space="preserve"> 51(6) 377-89</w:t>
      </w:r>
    </w:p>
    <w:p w:rsidR="00DD6992" w:rsidRDefault="00DD6992" w:rsidP="00DD6992">
      <w:pPr>
        <w:autoSpaceDE w:val="0"/>
        <w:autoSpaceDN w:val="0"/>
        <w:adjustRightInd w:val="0"/>
      </w:pPr>
    </w:p>
    <w:p w:rsidR="00DD6992" w:rsidRDefault="00DD6992" w:rsidP="00DD6992">
      <w:pPr>
        <w:autoSpaceDE w:val="0"/>
        <w:autoSpaceDN w:val="0"/>
        <w:adjustRightInd w:val="0"/>
      </w:pPr>
      <w:r w:rsidRPr="00DD6992">
        <w:rPr>
          <w:vertAlign w:val="superscript"/>
        </w:rPr>
        <w:t>24</w:t>
      </w:r>
      <w:r w:rsidRPr="000F7CA2">
        <w:t xml:space="preserve">Emslie S (2007) </w:t>
      </w:r>
      <w:r w:rsidRPr="000F7CA2">
        <w:rPr>
          <w:i/>
        </w:rPr>
        <w:t>Exploring the factors that measure the performance of Boards of directors of NHS Foundation Trusts and the association between board and organisational performance, MSc dissertation</w:t>
      </w:r>
      <w:r w:rsidRPr="000F7CA2">
        <w:t>,Department of Management, Birkbeck College, University of London</w:t>
      </w:r>
      <w:r>
        <w:t>.</w:t>
      </w:r>
    </w:p>
    <w:p w:rsidR="00DD6992" w:rsidRDefault="00DD6992" w:rsidP="00DD6992">
      <w:pPr>
        <w:autoSpaceDE w:val="0"/>
        <w:autoSpaceDN w:val="0"/>
        <w:adjustRightInd w:val="0"/>
      </w:pPr>
    </w:p>
    <w:p w:rsidR="00DD6992" w:rsidRDefault="00DD6992" w:rsidP="00DD6992">
      <w:pPr>
        <w:autoSpaceDE w:val="0"/>
        <w:autoSpaceDN w:val="0"/>
        <w:adjustRightInd w:val="0"/>
        <w:rPr>
          <w:rFonts w:ascii="AdvTTebabd7da" w:eastAsiaTheme="minorHAnsi" w:hAnsi="AdvTTebabd7da" w:cs="AdvTTebabd7da"/>
          <w:sz w:val="20"/>
          <w:szCs w:val="20"/>
          <w:lang w:eastAsia="en-US"/>
        </w:rPr>
      </w:pPr>
    </w:p>
    <w:p w:rsidR="00DD6992" w:rsidRDefault="00DD6992" w:rsidP="00DD6992">
      <w:pPr>
        <w:autoSpaceDE w:val="0"/>
        <w:autoSpaceDN w:val="0"/>
        <w:adjustRightInd w:val="0"/>
        <w:rPr>
          <w:rFonts w:eastAsiaTheme="minorHAnsi"/>
          <w:lang w:eastAsia="en-US"/>
        </w:rPr>
      </w:pPr>
      <w:r w:rsidRPr="00DD6992">
        <w:rPr>
          <w:rFonts w:eastAsiaTheme="minorHAnsi"/>
          <w:vertAlign w:val="superscript"/>
          <w:lang w:eastAsia="en-US"/>
        </w:rPr>
        <w:t>25</w:t>
      </w:r>
      <w:r w:rsidRPr="000F7CA2">
        <w:rPr>
          <w:rFonts w:eastAsiaTheme="minorHAnsi"/>
          <w:lang w:eastAsia="en-US"/>
        </w:rPr>
        <w:t xml:space="preserve">Bennedsen M, Kongsted HC, Nielsen KM (1998)  The causal effect of board size in the performance of small and medium-sized firms. </w:t>
      </w:r>
      <w:r w:rsidRPr="000F7CA2">
        <w:rPr>
          <w:rFonts w:eastAsiaTheme="minorHAnsi"/>
          <w:i/>
          <w:lang w:eastAsia="en-US"/>
        </w:rPr>
        <w:t>Journal of Bank Finance</w:t>
      </w:r>
      <w:r w:rsidRPr="000F7CA2">
        <w:rPr>
          <w:rFonts w:eastAsiaTheme="minorHAnsi"/>
          <w:lang w:eastAsia="en-US"/>
        </w:rPr>
        <w:t>, ;32:1098–109.</w:t>
      </w:r>
    </w:p>
    <w:p w:rsidR="00DD6992" w:rsidRDefault="00DD6992" w:rsidP="00DD6992">
      <w:pPr>
        <w:autoSpaceDE w:val="0"/>
        <w:autoSpaceDN w:val="0"/>
        <w:adjustRightInd w:val="0"/>
        <w:rPr>
          <w:rFonts w:eastAsiaTheme="minorHAnsi"/>
          <w:lang w:eastAsia="en-US"/>
        </w:rPr>
      </w:pPr>
    </w:p>
    <w:p w:rsidR="00DD6992" w:rsidRDefault="00DD6992" w:rsidP="00DD6992">
      <w:pPr>
        <w:autoSpaceDE w:val="0"/>
        <w:autoSpaceDN w:val="0"/>
        <w:adjustRightInd w:val="0"/>
        <w:rPr>
          <w:rFonts w:eastAsiaTheme="minorHAnsi"/>
          <w:lang w:eastAsia="en-US"/>
        </w:rPr>
      </w:pPr>
      <w:r w:rsidRPr="00DD6992">
        <w:rPr>
          <w:rFonts w:eastAsiaTheme="minorHAnsi"/>
          <w:vertAlign w:val="superscript"/>
          <w:lang w:eastAsia="en-US"/>
        </w:rPr>
        <w:t>26</w:t>
      </w:r>
      <w:r w:rsidRPr="000F7CA2">
        <w:rPr>
          <w:rFonts w:eastAsiaTheme="minorHAnsi"/>
          <w:lang w:eastAsia="en-US"/>
        </w:rPr>
        <w:t>de Andres P, Vallelado E (2008) Corporate governance in banking: the role of the board of directors, .</w:t>
      </w:r>
      <w:r w:rsidRPr="000F7CA2">
        <w:rPr>
          <w:rFonts w:eastAsiaTheme="minorHAnsi"/>
          <w:i/>
          <w:lang w:eastAsia="en-US"/>
        </w:rPr>
        <w:t>Journal of Bank Finance</w:t>
      </w:r>
      <w:r w:rsidRPr="000F7CA2">
        <w:rPr>
          <w:rFonts w:eastAsiaTheme="minorHAnsi"/>
          <w:lang w:eastAsia="en-US"/>
        </w:rPr>
        <w:t>;32:25</w:t>
      </w:r>
      <w:r>
        <w:rPr>
          <w:rFonts w:eastAsiaTheme="minorHAnsi"/>
          <w:lang w:eastAsia="en-US"/>
        </w:rPr>
        <w:t>-35</w:t>
      </w:r>
    </w:p>
    <w:p w:rsidR="00DD6992" w:rsidRDefault="00DD6992" w:rsidP="00DD6992">
      <w:pPr>
        <w:autoSpaceDE w:val="0"/>
        <w:autoSpaceDN w:val="0"/>
        <w:adjustRightInd w:val="0"/>
        <w:rPr>
          <w:rFonts w:eastAsiaTheme="minorHAnsi"/>
          <w:lang w:eastAsia="en-US"/>
        </w:rPr>
      </w:pPr>
    </w:p>
    <w:p w:rsidR="00DD6992" w:rsidRPr="00DD6992" w:rsidRDefault="00DD6992" w:rsidP="00DD6992">
      <w:pPr>
        <w:autoSpaceDE w:val="0"/>
        <w:autoSpaceDN w:val="0"/>
        <w:adjustRightInd w:val="0"/>
        <w:rPr>
          <w:rFonts w:eastAsiaTheme="minorHAnsi"/>
          <w:vertAlign w:val="superscript"/>
          <w:lang w:eastAsia="en-US"/>
        </w:rPr>
      </w:pPr>
    </w:p>
    <w:p w:rsidR="00327E32" w:rsidRDefault="00DD6992" w:rsidP="009F6E1A">
      <w:pPr>
        <w:autoSpaceDE w:val="0"/>
        <w:autoSpaceDN w:val="0"/>
        <w:adjustRightInd w:val="0"/>
        <w:rPr>
          <w:rFonts w:eastAsiaTheme="minorHAnsi"/>
          <w:lang w:eastAsia="en-US"/>
        </w:rPr>
      </w:pPr>
      <w:r w:rsidRPr="00DD6992">
        <w:rPr>
          <w:rFonts w:eastAsiaTheme="minorHAnsi"/>
          <w:vertAlign w:val="superscript"/>
          <w:lang w:eastAsia="en-US"/>
        </w:rPr>
        <w:t>27</w:t>
      </w:r>
      <w:r>
        <w:rPr>
          <w:rFonts w:eastAsiaTheme="minorHAnsi"/>
          <w:vertAlign w:val="superscript"/>
          <w:lang w:eastAsia="en-US"/>
        </w:rPr>
        <w:t xml:space="preserve"> </w:t>
      </w:r>
      <w:r>
        <w:rPr>
          <w:rFonts w:eastAsiaTheme="minorHAnsi"/>
          <w:lang w:eastAsia="en-US"/>
        </w:rPr>
        <w:t xml:space="preserve">Cabenda </w:t>
      </w:r>
      <w:r w:rsidR="00327E32" w:rsidRPr="000F7CA2">
        <w:rPr>
          <w:rFonts w:eastAsiaTheme="minorHAnsi"/>
          <w:lang w:eastAsia="en-US"/>
        </w:rPr>
        <w:t>V (2010) The impact of boards on corporate performance. Saarbrücken: VDM Publishing.</w:t>
      </w:r>
    </w:p>
    <w:p w:rsidR="00DD6992" w:rsidRDefault="00DD6992" w:rsidP="009F6E1A">
      <w:pPr>
        <w:autoSpaceDE w:val="0"/>
        <w:autoSpaceDN w:val="0"/>
        <w:adjustRightInd w:val="0"/>
        <w:rPr>
          <w:rFonts w:eastAsiaTheme="minorHAnsi"/>
          <w:lang w:eastAsia="en-US"/>
        </w:rPr>
      </w:pPr>
    </w:p>
    <w:p w:rsidR="00DD6992" w:rsidRPr="000F7CA2" w:rsidRDefault="00DD6992" w:rsidP="00DD6992">
      <w:pPr>
        <w:autoSpaceDE w:val="0"/>
        <w:autoSpaceDN w:val="0"/>
        <w:adjustRightInd w:val="0"/>
      </w:pPr>
      <w:r w:rsidRPr="00DD6992">
        <w:rPr>
          <w:vertAlign w:val="superscript"/>
        </w:rPr>
        <w:t>28</w:t>
      </w:r>
      <w:r w:rsidRPr="000F7CA2">
        <w:t xml:space="preserve">Jiang H et al (2009) Board oversight: any differences in process of care and mortality, </w:t>
      </w:r>
      <w:r w:rsidRPr="000F7CA2">
        <w:rPr>
          <w:i/>
        </w:rPr>
        <w:t>Journal of Healthcare Management</w:t>
      </w:r>
      <w:r w:rsidRPr="000F7CA2">
        <w:t>, 54 (1) 15-29.</w:t>
      </w:r>
    </w:p>
    <w:p w:rsidR="000F7CA2" w:rsidRDefault="000F7CA2" w:rsidP="009F6E1A">
      <w:pPr>
        <w:autoSpaceDE w:val="0"/>
        <w:autoSpaceDN w:val="0"/>
        <w:adjustRightInd w:val="0"/>
      </w:pPr>
    </w:p>
    <w:p w:rsidR="00A90271" w:rsidRPr="00DD6992" w:rsidRDefault="00DD6992" w:rsidP="00F235F9">
      <w:pPr>
        <w:autoSpaceDE w:val="0"/>
        <w:autoSpaceDN w:val="0"/>
        <w:adjustRightInd w:val="0"/>
      </w:pPr>
      <w:r w:rsidRPr="00DD6992">
        <w:rPr>
          <w:rFonts w:eastAsiaTheme="minorHAnsi"/>
          <w:vertAlign w:val="superscript"/>
          <w:lang w:eastAsia="en-US"/>
        </w:rPr>
        <w:t>29</w:t>
      </w:r>
      <w:r w:rsidR="00F235F9" w:rsidRPr="000F7CA2">
        <w:rPr>
          <w:rFonts w:eastAsiaTheme="minorHAnsi"/>
          <w:lang w:eastAsia="en-US"/>
        </w:rPr>
        <w:t xml:space="preserve">Prybil, L.D., D.R. Bardach, and D.W. </w:t>
      </w:r>
      <w:r w:rsidR="009575BF" w:rsidRPr="000F7CA2">
        <w:rPr>
          <w:rFonts w:eastAsiaTheme="minorHAnsi"/>
          <w:lang w:eastAsia="en-US"/>
        </w:rPr>
        <w:t xml:space="preserve">Fardo. 2013. Board Oversight of </w:t>
      </w:r>
      <w:r w:rsidR="00F235F9" w:rsidRPr="000F7CA2">
        <w:rPr>
          <w:rFonts w:eastAsiaTheme="minorHAnsi"/>
          <w:lang w:eastAsia="en-US"/>
        </w:rPr>
        <w:t xml:space="preserve">Patient Care Quality in Large Nonprofit Health Systems. </w:t>
      </w:r>
      <w:r w:rsidR="000A22F3" w:rsidRPr="000F7CA2">
        <w:rPr>
          <w:rFonts w:eastAsiaTheme="minorHAnsi"/>
          <w:i/>
          <w:iCs/>
          <w:lang w:eastAsia="en-US"/>
        </w:rPr>
        <w:t xml:space="preserve">American </w:t>
      </w:r>
      <w:r w:rsidR="00F235F9" w:rsidRPr="000F7CA2">
        <w:rPr>
          <w:rFonts w:eastAsiaTheme="minorHAnsi"/>
          <w:i/>
          <w:iCs/>
          <w:lang w:eastAsia="en-US"/>
        </w:rPr>
        <w:t>Journal of Medical Quality</w:t>
      </w:r>
      <w:r w:rsidR="00A90271" w:rsidRPr="000F7CA2">
        <w:rPr>
          <w:rFonts w:eastAsiaTheme="minorHAnsi"/>
          <w:lang w:eastAsia="en-US"/>
        </w:rPr>
        <w:t>; 28, (6) 536-8</w:t>
      </w:r>
    </w:p>
    <w:p w:rsidR="00A90271" w:rsidRPr="000F7CA2" w:rsidRDefault="00A90271" w:rsidP="00F235F9">
      <w:pPr>
        <w:autoSpaceDE w:val="0"/>
        <w:autoSpaceDN w:val="0"/>
        <w:adjustRightInd w:val="0"/>
        <w:rPr>
          <w:rFonts w:eastAsiaTheme="minorHAnsi"/>
          <w:i/>
          <w:iCs/>
          <w:lang w:eastAsia="en-US"/>
        </w:rPr>
      </w:pPr>
    </w:p>
    <w:p w:rsidR="000A22F3" w:rsidRPr="000F7CA2" w:rsidRDefault="000A22F3" w:rsidP="00F235F9">
      <w:pPr>
        <w:autoSpaceDE w:val="0"/>
        <w:autoSpaceDN w:val="0"/>
        <w:adjustRightInd w:val="0"/>
        <w:rPr>
          <w:rFonts w:eastAsiaTheme="minorHAnsi"/>
          <w:iCs/>
          <w:lang w:eastAsia="en-US"/>
        </w:rPr>
      </w:pPr>
    </w:p>
    <w:p w:rsidR="00E53A7A" w:rsidRPr="000F7CA2" w:rsidRDefault="00E53A7A" w:rsidP="00F235F9">
      <w:pPr>
        <w:autoSpaceDE w:val="0"/>
        <w:autoSpaceDN w:val="0"/>
        <w:adjustRightInd w:val="0"/>
        <w:rPr>
          <w:rFonts w:eastAsiaTheme="minorHAnsi"/>
          <w:iCs/>
          <w:lang w:eastAsia="en-US"/>
        </w:rPr>
      </w:pPr>
    </w:p>
    <w:p w:rsidR="00C40EE8" w:rsidRDefault="00C40EE8" w:rsidP="000F7CA2"/>
    <w:p w:rsidR="00C40EE8" w:rsidRDefault="00C53EE9" w:rsidP="000F7CA2">
      <w:pPr>
        <w:rPr>
          <w:b/>
        </w:rPr>
      </w:pPr>
      <w:r w:rsidRPr="00C53EE9">
        <w:rPr>
          <w:b/>
        </w:rPr>
        <w:t>Acknowledgements</w:t>
      </w:r>
    </w:p>
    <w:p w:rsidR="00C53EE9" w:rsidRDefault="00C53EE9" w:rsidP="000F7CA2">
      <w:pPr>
        <w:rPr>
          <w:b/>
        </w:rPr>
      </w:pPr>
    </w:p>
    <w:p w:rsidR="004C4BAF" w:rsidRPr="004C4BAF" w:rsidRDefault="004C4BAF" w:rsidP="000F7CA2">
      <w:r w:rsidRPr="004C4BAF">
        <w:t>We would like to a</w:t>
      </w:r>
      <w:r>
        <w:t>cknowledge</w:t>
      </w:r>
      <w:r w:rsidRPr="004C4BAF">
        <w:t xml:space="preserve"> the assistance of Dr Foster colleagues</w:t>
      </w:r>
      <w:r>
        <w:t>, particularly</w:t>
      </w:r>
      <w:r w:rsidRPr="004C4BAF">
        <w:t xml:space="preserve"> </w:t>
      </w:r>
      <w:r w:rsidR="00057A83">
        <w:t xml:space="preserve">Clare Aitkin and Bethan Jones </w:t>
      </w:r>
      <w:r w:rsidRPr="004C4BAF">
        <w:t xml:space="preserve">in helping to </w:t>
      </w:r>
      <w:r>
        <w:t xml:space="preserve">gather and undertake </w:t>
      </w:r>
      <w:r w:rsidR="00057A83">
        <w:t xml:space="preserve">a </w:t>
      </w:r>
      <w:r>
        <w:t>preliminary analysis of the national survey data.</w:t>
      </w:r>
    </w:p>
    <w:p w:rsidR="00C53EE9" w:rsidRPr="004C4BAF" w:rsidRDefault="00C53EE9" w:rsidP="000F7CA2"/>
    <w:p w:rsidR="004C4BAF" w:rsidRDefault="004C4BAF" w:rsidP="000F7CA2">
      <w:pPr>
        <w:rPr>
          <w:b/>
        </w:rPr>
      </w:pPr>
    </w:p>
    <w:p w:rsidR="00C40EE8" w:rsidRPr="004C4BAF" w:rsidRDefault="004C4BAF" w:rsidP="000F7CA2">
      <w:pPr>
        <w:rPr>
          <w:b/>
        </w:rPr>
      </w:pPr>
      <w:r w:rsidRPr="004C4BAF">
        <w:rPr>
          <w:b/>
        </w:rPr>
        <w:t>Funding Acknowledgement</w:t>
      </w:r>
    </w:p>
    <w:p w:rsidR="004C4BAF" w:rsidRPr="004C4BAF" w:rsidRDefault="004C4BAF" w:rsidP="000F7CA2">
      <w:pPr>
        <w:rPr>
          <w:b/>
        </w:rPr>
      </w:pPr>
    </w:p>
    <w:p w:rsidR="004C4BAF" w:rsidRPr="00AC20F0" w:rsidRDefault="00AC20F0" w:rsidP="00AC20F0">
      <w:pPr>
        <w:autoSpaceDE w:val="0"/>
        <w:autoSpaceDN w:val="0"/>
        <w:adjustRightInd w:val="0"/>
        <w:rPr>
          <w:rFonts w:eastAsiaTheme="minorHAnsi"/>
          <w:lang w:eastAsia="en-US"/>
        </w:rPr>
      </w:pPr>
      <w:r w:rsidRPr="00AC20F0">
        <w:rPr>
          <w:rFonts w:eastAsiaTheme="minorHAnsi"/>
          <w:lang w:eastAsia="en-US"/>
        </w:rPr>
        <w:t>The research was funded by the National Institute for Health Research(NIHR) Health Services and Delivery Research (HS&amp;DR) program (grant no.10/1007/02; project title “Effective Board Governance of Safe Care”</w:t>
      </w:r>
      <w:r>
        <w:rPr>
          <w:rFonts w:eastAsiaTheme="minorHAnsi"/>
          <w:lang w:eastAsia="en-US"/>
        </w:rPr>
        <w:t xml:space="preserve"> (Co-</w:t>
      </w:r>
      <w:r w:rsidRPr="00AC20F0">
        <w:rPr>
          <w:rFonts w:eastAsiaTheme="minorHAnsi"/>
          <w:lang w:eastAsia="en-US"/>
        </w:rPr>
        <w:t>applicants R. Mannion, T. Freeman, R. Millar, and H.T.O. Davies). The views and opinions expressed therein are those of the authors and do not necessarily reflect those of the HS&amp;DR program</w:t>
      </w:r>
      <w:r>
        <w:rPr>
          <w:rFonts w:eastAsiaTheme="minorHAnsi"/>
          <w:lang w:eastAsia="en-US"/>
        </w:rPr>
        <w:t>me</w:t>
      </w:r>
    </w:p>
    <w:p w:rsidR="004C4BAF" w:rsidRDefault="004C4BAF" w:rsidP="000F7CA2">
      <w:pPr>
        <w:rPr>
          <w:b/>
        </w:rPr>
      </w:pPr>
    </w:p>
    <w:p w:rsidR="00C40EE8" w:rsidRPr="00C4037D" w:rsidRDefault="00C4037D" w:rsidP="000F7CA2">
      <w:pPr>
        <w:rPr>
          <w:b/>
        </w:rPr>
      </w:pPr>
      <w:r w:rsidRPr="00C4037D">
        <w:rPr>
          <w:b/>
        </w:rPr>
        <w:t>Ethics approval</w:t>
      </w:r>
    </w:p>
    <w:p w:rsidR="00C40EE8" w:rsidRPr="00C4037D" w:rsidRDefault="00C40EE8" w:rsidP="000F7CA2">
      <w:pPr>
        <w:rPr>
          <w:b/>
        </w:rPr>
      </w:pPr>
    </w:p>
    <w:p w:rsidR="00C40EE8" w:rsidRPr="004C4BAF" w:rsidRDefault="00C4037D" w:rsidP="000F7CA2">
      <w:r w:rsidRPr="004C4BAF">
        <w:rPr>
          <w:rFonts w:eastAsiaTheme="minorHAnsi"/>
          <w:lang w:eastAsia="en-US"/>
        </w:rPr>
        <w:t xml:space="preserve">The National Research Ethics Service (NRES) </w:t>
      </w:r>
      <w:r w:rsidR="004C4BAF" w:rsidRPr="004C4BAF">
        <w:rPr>
          <w:rFonts w:eastAsiaTheme="minorHAnsi"/>
          <w:lang w:eastAsia="en-US"/>
        </w:rPr>
        <w:t>in a letter date</w:t>
      </w:r>
      <w:r w:rsidR="004C4BAF">
        <w:rPr>
          <w:rFonts w:eastAsiaTheme="minorHAnsi"/>
          <w:lang w:eastAsia="en-US"/>
        </w:rPr>
        <w:t xml:space="preserve">d </w:t>
      </w:r>
      <w:r w:rsidR="004C4BAF" w:rsidRPr="004C4BAF">
        <w:rPr>
          <w:rFonts w:eastAsiaTheme="minorHAnsi"/>
          <w:lang w:eastAsia="en-US"/>
        </w:rPr>
        <w:t>4/11/11</w:t>
      </w:r>
      <w:r w:rsidRPr="004C4BAF">
        <w:rPr>
          <w:rFonts w:eastAsiaTheme="minorHAnsi"/>
          <w:lang w:eastAsia="en-US"/>
        </w:rPr>
        <w:t xml:space="preserve">informed us that ethics approval was not required as </w:t>
      </w:r>
      <w:r w:rsidR="004C4BAF" w:rsidRPr="004C4BAF">
        <w:rPr>
          <w:rFonts w:eastAsiaTheme="minorHAnsi"/>
          <w:lang w:eastAsia="en-US"/>
        </w:rPr>
        <w:t>the stud</w:t>
      </w:r>
      <w:r w:rsidR="004C4BAF">
        <w:rPr>
          <w:rFonts w:eastAsiaTheme="minorHAnsi"/>
          <w:lang w:eastAsia="en-US"/>
        </w:rPr>
        <w:t>y</w:t>
      </w:r>
      <w:r w:rsidR="004C4BAF" w:rsidRPr="004C4BAF">
        <w:rPr>
          <w:rFonts w:eastAsiaTheme="minorHAnsi"/>
          <w:lang w:eastAsia="en-US"/>
        </w:rPr>
        <w:t xml:space="preserve"> only </w:t>
      </w:r>
      <w:r w:rsidR="004C4BAF">
        <w:rPr>
          <w:rFonts w:eastAsiaTheme="minorHAnsi"/>
          <w:lang w:eastAsia="en-US"/>
        </w:rPr>
        <w:t xml:space="preserve">involved </w:t>
      </w:r>
      <w:r w:rsidR="004C4BAF" w:rsidRPr="004C4BAF">
        <w:rPr>
          <w:rFonts w:eastAsiaTheme="minorHAnsi"/>
          <w:lang w:eastAsia="en-US"/>
        </w:rPr>
        <w:t>staff.</w:t>
      </w:r>
    </w:p>
    <w:p w:rsidR="00C40EE8" w:rsidRPr="004C4BAF" w:rsidRDefault="00C40EE8" w:rsidP="000F7CA2"/>
    <w:p w:rsidR="00C40EE8" w:rsidRPr="004C4BAF" w:rsidRDefault="00C40EE8" w:rsidP="000F7CA2"/>
    <w:p w:rsidR="00D74014" w:rsidRDefault="00D74014" w:rsidP="000F7CA2">
      <w:pPr>
        <w:rPr>
          <w:b/>
        </w:rPr>
      </w:pPr>
    </w:p>
    <w:p w:rsidR="00D74014" w:rsidRDefault="00D74014" w:rsidP="000F7CA2">
      <w:pPr>
        <w:rPr>
          <w:b/>
        </w:rPr>
      </w:pPr>
    </w:p>
    <w:p w:rsidR="00E45EEA" w:rsidRDefault="00E45EEA" w:rsidP="000F7CA2">
      <w:pPr>
        <w:rPr>
          <w:b/>
        </w:rPr>
      </w:pPr>
    </w:p>
    <w:p w:rsidR="00E45EEA" w:rsidRDefault="00E45EEA" w:rsidP="000F7CA2">
      <w:pPr>
        <w:rPr>
          <w:b/>
        </w:rPr>
      </w:pPr>
    </w:p>
    <w:p w:rsidR="00E45EEA" w:rsidRDefault="00E45EEA" w:rsidP="000F7CA2">
      <w:pPr>
        <w:rPr>
          <w:b/>
        </w:rPr>
      </w:pPr>
    </w:p>
    <w:p w:rsidR="00E45EEA" w:rsidRDefault="00E45EEA" w:rsidP="000F7CA2">
      <w:pPr>
        <w:rPr>
          <w:b/>
        </w:rPr>
      </w:pPr>
    </w:p>
    <w:p w:rsidR="00E45EEA" w:rsidRDefault="00E45EEA" w:rsidP="000F7CA2">
      <w:pPr>
        <w:rPr>
          <w:b/>
        </w:rPr>
      </w:pPr>
    </w:p>
    <w:p w:rsidR="00E45EEA" w:rsidRDefault="00E45EEA" w:rsidP="000F7CA2">
      <w:pPr>
        <w:rPr>
          <w:b/>
        </w:rPr>
      </w:pPr>
    </w:p>
    <w:p w:rsidR="00E45EEA" w:rsidRDefault="00E45EEA" w:rsidP="000F7CA2">
      <w:pPr>
        <w:rPr>
          <w:b/>
        </w:rPr>
      </w:pPr>
    </w:p>
    <w:p w:rsidR="00E45EEA" w:rsidRDefault="00E45EEA" w:rsidP="000F7CA2">
      <w:pPr>
        <w:rPr>
          <w:b/>
        </w:rPr>
      </w:pPr>
    </w:p>
    <w:p w:rsidR="00E45EEA" w:rsidRDefault="00E45EEA" w:rsidP="000F7CA2">
      <w:pPr>
        <w:rPr>
          <w:b/>
        </w:rPr>
      </w:pPr>
    </w:p>
    <w:p w:rsidR="00E45EEA" w:rsidRDefault="00E45EEA" w:rsidP="000F7CA2">
      <w:pPr>
        <w:rPr>
          <w:b/>
        </w:rPr>
      </w:pPr>
    </w:p>
    <w:p w:rsidR="00E45EEA" w:rsidRDefault="00E45EEA" w:rsidP="000F7CA2">
      <w:pPr>
        <w:rPr>
          <w:b/>
        </w:rPr>
      </w:pPr>
    </w:p>
    <w:p w:rsidR="00E45EEA" w:rsidRDefault="00E45EEA" w:rsidP="000F7CA2">
      <w:pPr>
        <w:rPr>
          <w:b/>
        </w:rPr>
      </w:pPr>
    </w:p>
    <w:p w:rsidR="00E45EEA" w:rsidRDefault="00E45EEA" w:rsidP="000F7CA2">
      <w:pPr>
        <w:rPr>
          <w:b/>
        </w:rPr>
      </w:pPr>
    </w:p>
    <w:p w:rsidR="00E45EEA" w:rsidRDefault="00E45EEA" w:rsidP="000F7CA2">
      <w:pPr>
        <w:rPr>
          <w:b/>
        </w:rPr>
      </w:pPr>
    </w:p>
    <w:p w:rsidR="00E45EEA" w:rsidRDefault="00E45EEA" w:rsidP="000F7CA2">
      <w:pPr>
        <w:rPr>
          <w:b/>
        </w:rPr>
      </w:pPr>
    </w:p>
    <w:p w:rsidR="00E45EEA" w:rsidRDefault="00E45EEA" w:rsidP="000F7CA2">
      <w:pPr>
        <w:rPr>
          <w:b/>
        </w:rPr>
      </w:pPr>
    </w:p>
    <w:p w:rsidR="00D74014" w:rsidRDefault="00D74014" w:rsidP="000F7CA2">
      <w:pPr>
        <w:rPr>
          <w:b/>
        </w:rPr>
      </w:pPr>
    </w:p>
    <w:p w:rsidR="00D74014" w:rsidRDefault="00D74014" w:rsidP="000F7CA2">
      <w:pPr>
        <w:rPr>
          <w:b/>
        </w:rPr>
      </w:pPr>
    </w:p>
    <w:p w:rsidR="00663EDC" w:rsidRPr="007B3883" w:rsidRDefault="00C40EE8" w:rsidP="00663EDC">
      <w:pPr>
        <w:spacing w:after="200" w:line="276" w:lineRule="auto"/>
        <w:rPr>
          <w:vertAlign w:val="superscript"/>
        </w:rPr>
      </w:pPr>
      <w:r w:rsidRPr="00C40EE8">
        <w:rPr>
          <w:b/>
        </w:rPr>
        <w:t>Figure 1</w:t>
      </w:r>
      <w:r w:rsidR="00663EDC" w:rsidRPr="00663EDC">
        <w:t xml:space="preserve"> </w:t>
      </w:r>
      <w:r w:rsidR="00663EDC" w:rsidRPr="00126BF2">
        <w:t>The main functio</w:t>
      </w:r>
      <w:r w:rsidR="00663EDC">
        <w:t>ns of hospital Boards (adapted from</w:t>
      </w:r>
      <w:r w:rsidR="007B3883">
        <w:t xml:space="preserve"> </w:t>
      </w:r>
      <w:r w:rsidR="007B3883" w:rsidRPr="007B3883">
        <w:rPr>
          <w:vertAlign w:val="superscript"/>
        </w:rPr>
        <w:t>4 ,</w:t>
      </w:r>
      <w:r w:rsidR="00663EDC" w:rsidRPr="007B3883">
        <w:rPr>
          <w:vertAlign w:val="superscript"/>
        </w:rPr>
        <w:t xml:space="preserve"> </w:t>
      </w:r>
      <w:r w:rsidR="007B3883" w:rsidRPr="007B3883">
        <w:rPr>
          <w:vertAlign w:val="superscript"/>
        </w:rPr>
        <w:t>15</w:t>
      </w:r>
      <w:r w:rsidR="007B3883">
        <w:rPr>
          <w:vertAlign w:val="superscript"/>
        </w:rPr>
        <w:t>)</w:t>
      </w:r>
    </w:p>
    <w:p w:rsidR="00C40EE8" w:rsidRPr="00C40EE8" w:rsidRDefault="00C40EE8" w:rsidP="000F7CA2">
      <w:pPr>
        <w:rPr>
          <w:b/>
        </w:rPr>
      </w:pPr>
    </w:p>
    <w:p w:rsidR="00C40EE8" w:rsidRPr="00C40EE8" w:rsidRDefault="00C40EE8" w:rsidP="000F7CA2">
      <w:pPr>
        <w:rPr>
          <w:b/>
        </w:rPr>
      </w:pPr>
    </w:p>
    <w:p w:rsidR="00C40EE8" w:rsidRPr="00126BF2" w:rsidRDefault="00C40EE8" w:rsidP="000F7CA2"/>
    <w:tbl>
      <w:tblPr>
        <w:tblW w:w="0" w:type="auto"/>
        <w:tblBorders>
          <w:insideH w:val="single" w:sz="6" w:space="0" w:color="000000"/>
          <w:insideV w:val="single" w:sz="6" w:space="0" w:color="000000"/>
        </w:tblBorders>
        <w:tblLook w:val="01E0" w:firstRow="1" w:lastRow="1" w:firstColumn="1" w:lastColumn="1" w:noHBand="0" w:noVBand="0"/>
      </w:tblPr>
      <w:tblGrid>
        <w:gridCol w:w="1029"/>
        <w:gridCol w:w="3678"/>
        <w:gridCol w:w="3734"/>
      </w:tblGrid>
      <w:tr w:rsidR="000F7CA2" w:rsidRPr="00126BF2" w:rsidTr="00C5121B">
        <w:tc>
          <w:tcPr>
            <w:tcW w:w="0" w:type="auto"/>
            <w:shd w:val="clear" w:color="auto" w:fill="auto"/>
          </w:tcPr>
          <w:p w:rsidR="000F7CA2" w:rsidRPr="00126BF2" w:rsidRDefault="000F7CA2" w:rsidP="00C5121B">
            <w:pPr>
              <w:rPr>
                <w:b/>
                <w:bCs/>
              </w:rPr>
            </w:pPr>
          </w:p>
        </w:tc>
        <w:tc>
          <w:tcPr>
            <w:tcW w:w="3678" w:type="dxa"/>
            <w:shd w:val="clear" w:color="auto" w:fill="auto"/>
          </w:tcPr>
          <w:p w:rsidR="000F7CA2" w:rsidRPr="00126BF2" w:rsidRDefault="000F7CA2" w:rsidP="00C5121B">
            <w:pPr>
              <w:rPr>
                <w:b/>
                <w:bCs/>
              </w:rPr>
            </w:pPr>
            <w:r w:rsidRPr="00126BF2">
              <w:rPr>
                <w:b/>
                <w:bCs/>
              </w:rPr>
              <w:t>Short term focus on ‘conformance’</w:t>
            </w:r>
          </w:p>
        </w:tc>
        <w:tc>
          <w:tcPr>
            <w:tcW w:w="3734" w:type="dxa"/>
            <w:shd w:val="clear" w:color="auto" w:fill="auto"/>
          </w:tcPr>
          <w:p w:rsidR="000F7CA2" w:rsidRPr="00126BF2" w:rsidRDefault="000F7CA2" w:rsidP="00C5121B">
            <w:pPr>
              <w:rPr>
                <w:b/>
                <w:bCs/>
              </w:rPr>
            </w:pPr>
            <w:r w:rsidRPr="00126BF2">
              <w:rPr>
                <w:b/>
                <w:bCs/>
              </w:rPr>
              <w:t>Long term focus on ‘performance’</w:t>
            </w:r>
          </w:p>
        </w:tc>
      </w:tr>
      <w:tr w:rsidR="000F7CA2" w:rsidRPr="00126BF2" w:rsidTr="00C5121B">
        <w:tc>
          <w:tcPr>
            <w:tcW w:w="0" w:type="auto"/>
            <w:shd w:val="clear" w:color="auto" w:fill="auto"/>
          </w:tcPr>
          <w:p w:rsidR="000F7CA2" w:rsidRPr="00126BF2" w:rsidRDefault="000F7CA2" w:rsidP="00C5121B">
            <w:pPr>
              <w:rPr>
                <w:bCs/>
              </w:rPr>
            </w:pPr>
          </w:p>
          <w:p w:rsidR="000F7CA2" w:rsidRPr="00126BF2" w:rsidRDefault="000F7CA2" w:rsidP="00C5121B">
            <w:pPr>
              <w:rPr>
                <w:bCs/>
              </w:rPr>
            </w:pPr>
          </w:p>
          <w:p w:rsidR="000F7CA2" w:rsidRPr="00126BF2" w:rsidRDefault="000F7CA2" w:rsidP="00C5121B">
            <w:pPr>
              <w:rPr>
                <w:bCs/>
              </w:rPr>
            </w:pPr>
            <w:r w:rsidRPr="00126BF2">
              <w:rPr>
                <w:bCs/>
              </w:rPr>
              <w:t>External</w:t>
            </w:r>
          </w:p>
          <w:p w:rsidR="000F7CA2" w:rsidRPr="00126BF2" w:rsidRDefault="000F7CA2" w:rsidP="00C5121B">
            <w:pPr>
              <w:rPr>
                <w:bCs/>
              </w:rPr>
            </w:pPr>
            <w:r w:rsidRPr="00126BF2">
              <w:rPr>
                <w:bCs/>
              </w:rPr>
              <w:t>Focus</w:t>
            </w:r>
          </w:p>
        </w:tc>
        <w:tc>
          <w:tcPr>
            <w:tcW w:w="3678" w:type="dxa"/>
            <w:shd w:val="clear" w:color="auto" w:fill="auto"/>
          </w:tcPr>
          <w:p w:rsidR="000F7CA2" w:rsidRPr="00126BF2" w:rsidRDefault="000F7CA2" w:rsidP="00C5121B">
            <w:pPr>
              <w:spacing w:before="60"/>
              <w:rPr>
                <w:i/>
              </w:rPr>
            </w:pPr>
            <w:r w:rsidRPr="00126BF2">
              <w:rPr>
                <w:i/>
              </w:rPr>
              <w:t>Accountability</w:t>
            </w:r>
          </w:p>
          <w:p w:rsidR="000F7CA2" w:rsidRPr="00126BF2" w:rsidRDefault="000F7CA2" w:rsidP="00C5121B">
            <w:pPr>
              <w:numPr>
                <w:ilvl w:val="0"/>
                <w:numId w:val="20"/>
              </w:numPr>
            </w:pPr>
            <w:r w:rsidRPr="00126BF2">
              <w:t>Ensuring external accountabilities are met, e.g. to stakeholders, funders, regulators.</w:t>
            </w:r>
          </w:p>
          <w:p w:rsidR="000F7CA2" w:rsidRPr="00126BF2" w:rsidRDefault="000F7CA2" w:rsidP="00C5121B">
            <w:pPr>
              <w:numPr>
                <w:ilvl w:val="0"/>
                <w:numId w:val="20"/>
              </w:numPr>
            </w:pPr>
            <w:r w:rsidRPr="00126BF2">
              <w:t>Meeting audit, inspection and reporting requirements</w:t>
            </w:r>
          </w:p>
          <w:p w:rsidR="000F7CA2" w:rsidRPr="00126BF2" w:rsidRDefault="000F7CA2" w:rsidP="00C5121B"/>
        </w:tc>
        <w:tc>
          <w:tcPr>
            <w:tcW w:w="3734" w:type="dxa"/>
            <w:shd w:val="clear" w:color="auto" w:fill="auto"/>
          </w:tcPr>
          <w:p w:rsidR="000F7CA2" w:rsidRPr="00126BF2" w:rsidRDefault="000F7CA2" w:rsidP="00C5121B">
            <w:pPr>
              <w:spacing w:before="60"/>
              <w:rPr>
                <w:bCs/>
                <w:i/>
              </w:rPr>
            </w:pPr>
            <w:r w:rsidRPr="00126BF2">
              <w:rPr>
                <w:bCs/>
                <w:i/>
              </w:rPr>
              <w:t>Policy formulation</w:t>
            </w:r>
          </w:p>
          <w:p w:rsidR="000F7CA2" w:rsidRPr="00126BF2" w:rsidRDefault="000F7CA2" w:rsidP="00C5121B">
            <w:pPr>
              <w:numPr>
                <w:ilvl w:val="0"/>
                <w:numId w:val="22"/>
              </w:numPr>
              <w:rPr>
                <w:bCs/>
              </w:rPr>
            </w:pPr>
            <w:r w:rsidRPr="00126BF2">
              <w:rPr>
                <w:bCs/>
              </w:rPr>
              <w:t>Setting and safeguarding the organisation’s mission and values</w:t>
            </w:r>
          </w:p>
          <w:p w:rsidR="000F7CA2" w:rsidRPr="00126BF2" w:rsidRDefault="000F7CA2" w:rsidP="00C5121B">
            <w:pPr>
              <w:numPr>
                <w:ilvl w:val="0"/>
                <w:numId w:val="22"/>
              </w:numPr>
              <w:rPr>
                <w:bCs/>
              </w:rPr>
            </w:pPr>
            <w:r w:rsidRPr="00126BF2">
              <w:rPr>
                <w:bCs/>
              </w:rPr>
              <w:t>Deciding long-term goals</w:t>
            </w:r>
          </w:p>
          <w:p w:rsidR="000F7CA2" w:rsidRPr="00126BF2" w:rsidRDefault="000F7CA2" w:rsidP="00C5121B">
            <w:pPr>
              <w:numPr>
                <w:ilvl w:val="0"/>
                <w:numId w:val="22"/>
              </w:numPr>
              <w:rPr>
                <w:bCs/>
              </w:rPr>
            </w:pPr>
            <w:r w:rsidRPr="00126BF2">
              <w:rPr>
                <w:bCs/>
              </w:rPr>
              <w:t>Ensuring appropriate policies and systems in place</w:t>
            </w:r>
          </w:p>
        </w:tc>
      </w:tr>
      <w:tr w:rsidR="000F7CA2" w:rsidRPr="00126BF2" w:rsidTr="00C5121B">
        <w:tc>
          <w:tcPr>
            <w:tcW w:w="0" w:type="auto"/>
            <w:tcBorders>
              <w:top w:val="single" w:sz="6" w:space="0" w:color="000000"/>
            </w:tcBorders>
            <w:shd w:val="clear" w:color="auto" w:fill="auto"/>
          </w:tcPr>
          <w:p w:rsidR="000F7CA2" w:rsidRPr="00126BF2" w:rsidRDefault="000F7CA2" w:rsidP="00C5121B">
            <w:pPr>
              <w:rPr>
                <w:bCs/>
              </w:rPr>
            </w:pPr>
          </w:p>
          <w:p w:rsidR="000F7CA2" w:rsidRPr="00126BF2" w:rsidRDefault="000F7CA2" w:rsidP="00C5121B">
            <w:pPr>
              <w:rPr>
                <w:bCs/>
              </w:rPr>
            </w:pPr>
          </w:p>
          <w:p w:rsidR="000F7CA2" w:rsidRPr="00126BF2" w:rsidRDefault="000F7CA2" w:rsidP="00C5121B">
            <w:pPr>
              <w:rPr>
                <w:bCs/>
              </w:rPr>
            </w:pPr>
          </w:p>
          <w:p w:rsidR="000F7CA2" w:rsidRPr="00126BF2" w:rsidRDefault="000F7CA2" w:rsidP="00C5121B">
            <w:pPr>
              <w:rPr>
                <w:bCs/>
              </w:rPr>
            </w:pPr>
            <w:r w:rsidRPr="00126BF2">
              <w:rPr>
                <w:bCs/>
              </w:rPr>
              <w:t>Internal</w:t>
            </w:r>
          </w:p>
          <w:p w:rsidR="000F7CA2" w:rsidRPr="00126BF2" w:rsidRDefault="000F7CA2" w:rsidP="00C5121B">
            <w:pPr>
              <w:rPr>
                <w:bCs/>
              </w:rPr>
            </w:pPr>
            <w:r w:rsidRPr="00126BF2">
              <w:rPr>
                <w:bCs/>
              </w:rPr>
              <w:t>Focus</w:t>
            </w:r>
          </w:p>
        </w:tc>
        <w:tc>
          <w:tcPr>
            <w:tcW w:w="3678" w:type="dxa"/>
            <w:tcBorders>
              <w:top w:val="single" w:sz="6" w:space="0" w:color="000000"/>
            </w:tcBorders>
            <w:shd w:val="clear" w:color="auto" w:fill="auto"/>
          </w:tcPr>
          <w:p w:rsidR="000F7CA2" w:rsidRPr="00126BF2" w:rsidRDefault="000F7CA2" w:rsidP="00C5121B">
            <w:pPr>
              <w:spacing w:before="60"/>
              <w:rPr>
                <w:bCs/>
                <w:i/>
              </w:rPr>
            </w:pPr>
            <w:r w:rsidRPr="00126BF2">
              <w:rPr>
                <w:bCs/>
                <w:i/>
              </w:rPr>
              <w:t>Supervision</w:t>
            </w:r>
          </w:p>
          <w:p w:rsidR="000F7CA2" w:rsidRPr="00126BF2" w:rsidRDefault="000F7CA2" w:rsidP="00C5121B">
            <w:pPr>
              <w:numPr>
                <w:ilvl w:val="0"/>
                <w:numId w:val="21"/>
              </w:numPr>
              <w:rPr>
                <w:bCs/>
              </w:rPr>
            </w:pPr>
            <w:r w:rsidRPr="00126BF2">
              <w:rPr>
                <w:bCs/>
              </w:rPr>
              <w:t>Appointing and rewarding senior management</w:t>
            </w:r>
          </w:p>
          <w:p w:rsidR="000F7CA2" w:rsidRPr="00126BF2" w:rsidRDefault="000F7CA2" w:rsidP="00C5121B">
            <w:pPr>
              <w:numPr>
                <w:ilvl w:val="0"/>
                <w:numId w:val="21"/>
              </w:numPr>
              <w:rPr>
                <w:bCs/>
              </w:rPr>
            </w:pPr>
            <w:r w:rsidRPr="00126BF2">
              <w:rPr>
                <w:bCs/>
              </w:rPr>
              <w:t>Overseeing management performance</w:t>
            </w:r>
          </w:p>
          <w:p w:rsidR="000F7CA2" w:rsidRPr="00126BF2" w:rsidRDefault="000F7CA2" w:rsidP="00C5121B">
            <w:pPr>
              <w:numPr>
                <w:ilvl w:val="0"/>
                <w:numId w:val="21"/>
              </w:numPr>
              <w:rPr>
                <w:bCs/>
              </w:rPr>
            </w:pPr>
            <w:r w:rsidRPr="00126BF2">
              <w:rPr>
                <w:bCs/>
              </w:rPr>
              <w:t>Monitoring key performance indicators</w:t>
            </w:r>
          </w:p>
          <w:p w:rsidR="000F7CA2" w:rsidRPr="00126BF2" w:rsidRDefault="000F7CA2" w:rsidP="00C5121B">
            <w:pPr>
              <w:numPr>
                <w:ilvl w:val="0"/>
                <w:numId w:val="21"/>
              </w:numPr>
              <w:rPr>
                <w:bCs/>
              </w:rPr>
            </w:pPr>
            <w:r w:rsidRPr="00126BF2">
              <w:rPr>
                <w:bCs/>
              </w:rPr>
              <w:t>Monitoring key financial and budgetary controls</w:t>
            </w:r>
          </w:p>
          <w:p w:rsidR="000F7CA2" w:rsidRPr="00126BF2" w:rsidRDefault="000F7CA2" w:rsidP="00C5121B">
            <w:pPr>
              <w:numPr>
                <w:ilvl w:val="0"/>
                <w:numId w:val="21"/>
              </w:numPr>
              <w:rPr>
                <w:bCs/>
              </w:rPr>
            </w:pPr>
            <w:r w:rsidRPr="00126BF2">
              <w:rPr>
                <w:bCs/>
              </w:rPr>
              <w:t>Managing risks</w:t>
            </w:r>
          </w:p>
        </w:tc>
        <w:tc>
          <w:tcPr>
            <w:tcW w:w="3734" w:type="dxa"/>
            <w:tcBorders>
              <w:top w:val="single" w:sz="6" w:space="0" w:color="000000"/>
            </w:tcBorders>
            <w:shd w:val="clear" w:color="auto" w:fill="auto"/>
          </w:tcPr>
          <w:p w:rsidR="000F7CA2" w:rsidRPr="00126BF2" w:rsidRDefault="000F7CA2" w:rsidP="00C5121B">
            <w:pPr>
              <w:spacing w:before="60"/>
              <w:rPr>
                <w:bCs/>
                <w:i/>
              </w:rPr>
            </w:pPr>
            <w:r w:rsidRPr="00126BF2">
              <w:rPr>
                <w:bCs/>
                <w:i/>
              </w:rPr>
              <w:t>Strategic thinking</w:t>
            </w:r>
          </w:p>
          <w:p w:rsidR="000F7CA2" w:rsidRPr="00126BF2" w:rsidRDefault="000F7CA2" w:rsidP="00C5121B">
            <w:pPr>
              <w:numPr>
                <w:ilvl w:val="0"/>
                <w:numId w:val="23"/>
              </w:numPr>
              <w:rPr>
                <w:bCs/>
              </w:rPr>
            </w:pPr>
            <w:r w:rsidRPr="00126BF2">
              <w:rPr>
                <w:bCs/>
              </w:rPr>
              <w:t>Agreeing strategic direction</w:t>
            </w:r>
          </w:p>
          <w:p w:rsidR="000F7CA2" w:rsidRPr="00126BF2" w:rsidRDefault="000F7CA2" w:rsidP="00C5121B">
            <w:pPr>
              <w:numPr>
                <w:ilvl w:val="0"/>
                <w:numId w:val="23"/>
              </w:numPr>
              <w:rPr>
                <w:bCs/>
              </w:rPr>
            </w:pPr>
            <w:r w:rsidRPr="00126BF2">
              <w:rPr>
                <w:bCs/>
              </w:rPr>
              <w:t>Shaping and agree</w:t>
            </w:r>
            <w:r>
              <w:rPr>
                <w:bCs/>
              </w:rPr>
              <w:t>ing</w:t>
            </w:r>
            <w:r w:rsidRPr="00126BF2">
              <w:rPr>
                <w:bCs/>
              </w:rPr>
              <w:t xml:space="preserve"> long-term plans</w:t>
            </w:r>
          </w:p>
          <w:p w:rsidR="000F7CA2" w:rsidRPr="00126BF2" w:rsidRDefault="000F7CA2" w:rsidP="00C5121B">
            <w:pPr>
              <w:numPr>
                <w:ilvl w:val="0"/>
                <w:numId w:val="23"/>
              </w:numPr>
              <w:rPr>
                <w:bCs/>
              </w:rPr>
            </w:pPr>
            <w:r w:rsidRPr="00126BF2">
              <w:rPr>
                <w:bCs/>
              </w:rPr>
              <w:t>Reviewing and deciding major resource decisions and investments</w:t>
            </w:r>
          </w:p>
        </w:tc>
      </w:tr>
    </w:tbl>
    <w:p w:rsidR="009F6E1A" w:rsidRDefault="009F6E1A" w:rsidP="009F6E1A">
      <w:pPr>
        <w:autoSpaceDE w:val="0"/>
        <w:autoSpaceDN w:val="0"/>
        <w:adjustRightInd w:val="0"/>
      </w:pPr>
    </w:p>
    <w:p w:rsidR="000F7CA2" w:rsidRDefault="000F7CA2" w:rsidP="009F6E1A">
      <w:pPr>
        <w:autoSpaceDE w:val="0"/>
        <w:autoSpaceDN w:val="0"/>
        <w:adjustRightInd w:val="0"/>
      </w:pPr>
    </w:p>
    <w:p w:rsidR="00C40EE8" w:rsidRDefault="00C40EE8" w:rsidP="009F6E1A">
      <w:pPr>
        <w:autoSpaceDE w:val="0"/>
        <w:autoSpaceDN w:val="0"/>
        <w:adjustRightInd w:val="0"/>
      </w:pPr>
    </w:p>
    <w:p w:rsidR="00C40EE8" w:rsidRDefault="00C40EE8" w:rsidP="009F6E1A">
      <w:pPr>
        <w:autoSpaceDE w:val="0"/>
        <w:autoSpaceDN w:val="0"/>
        <w:adjustRightInd w:val="0"/>
      </w:pPr>
    </w:p>
    <w:p w:rsidR="00C40EE8" w:rsidRDefault="00C40EE8" w:rsidP="009F6E1A">
      <w:pPr>
        <w:autoSpaceDE w:val="0"/>
        <w:autoSpaceDN w:val="0"/>
        <w:adjustRightInd w:val="0"/>
      </w:pPr>
    </w:p>
    <w:p w:rsidR="00C40EE8" w:rsidRDefault="00C40EE8" w:rsidP="009F6E1A">
      <w:pPr>
        <w:autoSpaceDE w:val="0"/>
        <w:autoSpaceDN w:val="0"/>
        <w:adjustRightInd w:val="0"/>
      </w:pPr>
    </w:p>
    <w:p w:rsidR="00C40EE8" w:rsidRDefault="00C40EE8" w:rsidP="009F6E1A">
      <w:pPr>
        <w:autoSpaceDE w:val="0"/>
        <w:autoSpaceDN w:val="0"/>
        <w:adjustRightInd w:val="0"/>
      </w:pPr>
    </w:p>
    <w:p w:rsidR="00C40EE8" w:rsidRDefault="00C40EE8" w:rsidP="009F6E1A">
      <w:pPr>
        <w:autoSpaceDE w:val="0"/>
        <w:autoSpaceDN w:val="0"/>
        <w:adjustRightInd w:val="0"/>
      </w:pPr>
    </w:p>
    <w:p w:rsidR="00C40EE8" w:rsidRDefault="00C40EE8" w:rsidP="009F6E1A">
      <w:pPr>
        <w:autoSpaceDE w:val="0"/>
        <w:autoSpaceDN w:val="0"/>
        <w:adjustRightInd w:val="0"/>
      </w:pPr>
    </w:p>
    <w:p w:rsidR="00C40EE8" w:rsidRDefault="00C40EE8" w:rsidP="009F6E1A">
      <w:pPr>
        <w:autoSpaceDE w:val="0"/>
        <w:autoSpaceDN w:val="0"/>
        <w:adjustRightInd w:val="0"/>
      </w:pPr>
    </w:p>
    <w:p w:rsidR="00C40EE8" w:rsidRDefault="00C40EE8" w:rsidP="009F6E1A">
      <w:pPr>
        <w:autoSpaceDE w:val="0"/>
        <w:autoSpaceDN w:val="0"/>
        <w:adjustRightInd w:val="0"/>
      </w:pPr>
    </w:p>
    <w:p w:rsidR="00C40EE8" w:rsidRDefault="00C40EE8" w:rsidP="009F6E1A">
      <w:pPr>
        <w:autoSpaceDE w:val="0"/>
        <w:autoSpaceDN w:val="0"/>
        <w:adjustRightInd w:val="0"/>
      </w:pPr>
    </w:p>
    <w:p w:rsidR="00C40EE8" w:rsidRDefault="00C40EE8" w:rsidP="009F6E1A">
      <w:pPr>
        <w:autoSpaceDE w:val="0"/>
        <w:autoSpaceDN w:val="0"/>
        <w:adjustRightInd w:val="0"/>
      </w:pPr>
    </w:p>
    <w:p w:rsidR="00C40EE8" w:rsidRDefault="00C40EE8" w:rsidP="009F6E1A">
      <w:pPr>
        <w:autoSpaceDE w:val="0"/>
        <w:autoSpaceDN w:val="0"/>
        <w:adjustRightInd w:val="0"/>
      </w:pPr>
    </w:p>
    <w:p w:rsidR="00C40EE8" w:rsidRDefault="00C40EE8" w:rsidP="009F6E1A">
      <w:pPr>
        <w:autoSpaceDE w:val="0"/>
        <w:autoSpaceDN w:val="0"/>
        <w:adjustRightInd w:val="0"/>
      </w:pPr>
    </w:p>
    <w:p w:rsidR="00C40EE8" w:rsidRDefault="00C40EE8" w:rsidP="009F6E1A">
      <w:pPr>
        <w:autoSpaceDE w:val="0"/>
        <w:autoSpaceDN w:val="0"/>
        <w:adjustRightInd w:val="0"/>
      </w:pPr>
    </w:p>
    <w:p w:rsidR="00C40EE8" w:rsidRDefault="00C40EE8" w:rsidP="009F6E1A">
      <w:pPr>
        <w:autoSpaceDE w:val="0"/>
        <w:autoSpaceDN w:val="0"/>
        <w:adjustRightInd w:val="0"/>
      </w:pPr>
    </w:p>
    <w:p w:rsidR="00C40EE8" w:rsidRDefault="00C40EE8" w:rsidP="009F6E1A">
      <w:pPr>
        <w:autoSpaceDE w:val="0"/>
        <w:autoSpaceDN w:val="0"/>
        <w:adjustRightInd w:val="0"/>
      </w:pPr>
    </w:p>
    <w:p w:rsidR="00C40EE8" w:rsidRDefault="00C40EE8" w:rsidP="009F6E1A">
      <w:pPr>
        <w:autoSpaceDE w:val="0"/>
        <w:autoSpaceDN w:val="0"/>
        <w:adjustRightInd w:val="0"/>
      </w:pPr>
    </w:p>
    <w:p w:rsidR="00C40EE8" w:rsidRDefault="00C40EE8" w:rsidP="009F6E1A">
      <w:pPr>
        <w:autoSpaceDE w:val="0"/>
        <w:autoSpaceDN w:val="0"/>
        <w:adjustRightInd w:val="0"/>
      </w:pPr>
    </w:p>
    <w:p w:rsidR="00C40EE8" w:rsidRDefault="00C40EE8" w:rsidP="009F6E1A">
      <w:pPr>
        <w:autoSpaceDE w:val="0"/>
        <w:autoSpaceDN w:val="0"/>
        <w:adjustRightInd w:val="0"/>
      </w:pPr>
    </w:p>
    <w:p w:rsidR="00C40EE8" w:rsidRDefault="00C40EE8" w:rsidP="009F6E1A">
      <w:pPr>
        <w:autoSpaceDE w:val="0"/>
        <w:autoSpaceDN w:val="0"/>
        <w:adjustRightInd w:val="0"/>
      </w:pPr>
    </w:p>
    <w:p w:rsidR="00C40EE8" w:rsidRDefault="00C40EE8" w:rsidP="009F6E1A">
      <w:pPr>
        <w:autoSpaceDE w:val="0"/>
        <w:autoSpaceDN w:val="0"/>
        <w:adjustRightInd w:val="0"/>
      </w:pPr>
    </w:p>
    <w:p w:rsidR="00E45EEA" w:rsidRDefault="00E45EEA" w:rsidP="009F6E1A">
      <w:pPr>
        <w:autoSpaceDE w:val="0"/>
        <w:autoSpaceDN w:val="0"/>
        <w:adjustRightInd w:val="0"/>
      </w:pPr>
    </w:p>
    <w:p w:rsidR="000F7CA2" w:rsidRDefault="000F7CA2" w:rsidP="000F7CA2"/>
    <w:p w:rsidR="000F7CA2" w:rsidRDefault="000F7CA2" w:rsidP="000F7CA2">
      <w:pPr>
        <w:pStyle w:val="Eduelaboration"/>
        <w:pBdr>
          <w:top w:val="single" w:sz="4" w:space="1" w:color="auto"/>
          <w:left w:val="single" w:sz="4" w:space="4" w:color="auto"/>
          <w:bottom w:val="single" w:sz="4" w:space="1" w:color="auto"/>
          <w:right w:val="single" w:sz="4" w:space="4" w:color="auto"/>
        </w:pBdr>
        <w:ind w:left="0" w:firstLine="0"/>
        <w:jc w:val="both"/>
        <w:rPr>
          <w:rFonts w:ascii="Times New Roman" w:eastAsia="SimSun" w:hAnsi="Times New Roman"/>
          <w:b/>
          <w:bCs w:val="0"/>
          <w:sz w:val="24"/>
          <w:szCs w:val="24"/>
          <w:lang w:eastAsia="zh-CN"/>
        </w:rPr>
      </w:pPr>
    </w:p>
    <w:p w:rsidR="000F7CA2" w:rsidRPr="00732ABA" w:rsidRDefault="000F7CA2" w:rsidP="000F7CA2">
      <w:pPr>
        <w:pStyle w:val="Eduelaboration"/>
        <w:pBdr>
          <w:top w:val="single" w:sz="4" w:space="1" w:color="auto"/>
          <w:left w:val="single" w:sz="4" w:space="4" w:color="auto"/>
          <w:bottom w:val="single" w:sz="4" w:space="1" w:color="auto"/>
          <w:right w:val="single" w:sz="4" w:space="4" w:color="auto"/>
        </w:pBdr>
        <w:ind w:left="0" w:firstLine="0"/>
        <w:jc w:val="both"/>
        <w:rPr>
          <w:b/>
        </w:rPr>
      </w:pPr>
      <w:r>
        <w:rPr>
          <w:rFonts w:ascii="Times New Roman" w:eastAsia="SimSun" w:hAnsi="Times New Roman"/>
          <w:b/>
          <w:bCs w:val="0"/>
          <w:sz w:val="24"/>
          <w:szCs w:val="24"/>
          <w:lang w:eastAsia="zh-CN"/>
        </w:rPr>
        <w:t xml:space="preserve">Box 1: </w:t>
      </w:r>
      <w:r w:rsidRPr="00732ABA">
        <w:rPr>
          <w:rFonts w:ascii="Times New Roman" w:eastAsia="SimSun" w:hAnsi="Times New Roman"/>
          <w:b/>
          <w:bCs w:val="0"/>
          <w:sz w:val="24"/>
          <w:szCs w:val="24"/>
          <w:lang w:eastAsia="zh-CN"/>
        </w:rPr>
        <w:t>The Six BSAQ Dimensions</w:t>
      </w:r>
      <w:r>
        <w:rPr>
          <w:rFonts w:ascii="Times New Roman" w:eastAsia="SimSun" w:hAnsi="Times New Roman"/>
          <w:b/>
          <w:bCs w:val="0"/>
          <w:sz w:val="24"/>
          <w:szCs w:val="24"/>
          <w:lang w:eastAsia="zh-CN"/>
        </w:rPr>
        <w:t xml:space="preserve"> of Board Competencies.</w:t>
      </w:r>
    </w:p>
    <w:p w:rsidR="000F7CA2" w:rsidRPr="00B6602A" w:rsidRDefault="000F7CA2" w:rsidP="000F7CA2">
      <w:pPr>
        <w:pBdr>
          <w:top w:val="single" w:sz="4" w:space="1" w:color="auto"/>
          <w:left w:val="single" w:sz="4" w:space="4" w:color="auto"/>
          <w:bottom w:val="single" w:sz="4" w:space="1" w:color="auto"/>
          <w:right w:val="single" w:sz="4" w:space="4" w:color="auto"/>
        </w:pBdr>
      </w:pPr>
    </w:p>
    <w:p w:rsidR="000F7CA2" w:rsidRPr="00B6602A" w:rsidRDefault="000F7CA2" w:rsidP="000F7CA2">
      <w:pPr>
        <w:pBdr>
          <w:top w:val="single" w:sz="4" w:space="1" w:color="auto"/>
          <w:left w:val="single" w:sz="4" w:space="4" w:color="auto"/>
          <w:bottom w:val="single" w:sz="4" w:space="1" w:color="auto"/>
          <w:right w:val="single" w:sz="4" w:space="4" w:color="auto"/>
        </w:pBdr>
      </w:pPr>
      <w:r w:rsidRPr="00B6602A">
        <w:rPr>
          <w:b/>
        </w:rPr>
        <w:t>1. Contextual dimension</w:t>
      </w:r>
      <w:r w:rsidRPr="00B6602A">
        <w:t xml:space="preserve">. The board understands and takes into account the culture, values and norms of the organisation it governs. </w:t>
      </w:r>
    </w:p>
    <w:p w:rsidR="000F7CA2" w:rsidRPr="00B6602A" w:rsidRDefault="000F7CA2" w:rsidP="000F7CA2">
      <w:pPr>
        <w:pBdr>
          <w:top w:val="single" w:sz="4" w:space="1" w:color="auto"/>
          <w:left w:val="single" w:sz="4" w:space="4" w:color="auto"/>
          <w:bottom w:val="single" w:sz="4" w:space="1" w:color="auto"/>
          <w:right w:val="single" w:sz="4" w:space="4" w:color="auto"/>
        </w:pBdr>
      </w:pPr>
    </w:p>
    <w:p w:rsidR="000F7CA2" w:rsidRPr="00B6602A" w:rsidRDefault="000F7CA2" w:rsidP="000F7CA2">
      <w:pPr>
        <w:pBdr>
          <w:top w:val="single" w:sz="4" w:space="1" w:color="auto"/>
          <w:left w:val="single" w:sz="4" w:space="4" w:color="auto"/>
          <w:bottom w:val="single" w:sz="4" w:space="1" w:color="auto"/>
          <w:right w:val="single" w:sz="4" w:space="4" w:color="auto"/>
        </w:pBdr>
      </w:pPr>
      <w:r w:rsidRPr="00B6602A">
        <w:rPr>
          <w:b/>
        </w:rPr>
        <w:t>2. Educational dimension</w:t>
      </w:r>
      <w:r w:rsidRPr="00B6602A">
        <w:t>. The board takes the necessary steps to ensure that all board members are well-informed about the organisation and the professions working there as well as the board’s own roles, responsibilities and performance</w:t>
      </w:r>
      <w:r>
        <w:t>.</w:t>
      </w:r>
    </w:p>
    <w:p w:rsidR="000F7CA2" w:rsidRPr="00B6602A" w:rsidRDefault="000F7CA2" w:rsidP="000F7CA2">
      <w:pPr>
        <w:pBdr>
          <w:top w:val="single" w:sz="4" w:space="1" w:color="auto"/>
          <w:left w:val="single" w:sz="4" w:space="4" w:color="auto"/>
          <w:bottom w:val="single" w:sz="4" w:space="1" w:color="auto"/>
          <w:right w:val="single" w:sz="4" w:space="4" w:color="auto"/>
        </w:pBdr>
      </w:pPr>
    </w:p>
    <w:p w:rsidR="000F7CA2" w:rsidRPr="00B6602A" w:rsidRDefault="000F7CA2" w:rsidP="000F7CA2">
      <w:pPr>
        <w:pBdr>
          <w:top w:val="single" w:sz="4" w:space="1" w:color="auto"/>
          <w:left w:val="single" w:sz="4" w:space="4" w:color="auto"/>
          <w:bottom w:val="single" w:sz="4" w:space="1" w:color="auto"/>
          <w:right w:val="single" w:sz="4" w:space="4" w:color="auto"/>
        </w:pBdr>
      </w:pPr>
      <w:r w:rsidRPr="00B6602A">
        <w:rPr>
          <w:b/>
        </w:rPr>
        <w:t>3. Interpersonal dimension</w:t>
      </w:r>
      <w:r w:rsidRPr="00B6602A">
        <w:t>. The board nurtures the development of board members as a group, att</w:t>
      </w:r>
      <w:r>
        <w:t>ends to the board’s collective</w:t>
      </w:r>
      <w:r w:rsidRPr="00B6602A">
        <w:t xml:space="preserve"> welfare, and fosters a sense of cohesiveness. </w:t>
      </w:r>
    </w:p>
    <w:p w:rsidR="000F7CA2" w:rsidRPr="00B6602A" w:rsidRDefault="000F7CA2" w:rsidP="000F7CA2">
      <w:pPr>
        <w:pBdr>
          <w:top w:val="single" w:sz="4" w:space="1" w:color="auto"/>
          <w:left w:val="single" w:sz="4" w:space="4" w:color="auto"/>
          <w:bottom w:val="single" w:sz="4" w:space="1" w:color="auto"/>
          <w:right w:val="single" w:sz="4" w:space="4" w:color="auto"/>
        </w:pBdr>
      </w:pPr>
    </w:p>
    <w:p w:rsidR="000F7CA2" w:rsidRPr="00B6602A" w:rsidRDefault="000F7CA2" w:rsidP="000F7CA2">
      <w:pPr>
        <w:pBdr>
          <w:top w:val="single" w:sz="4" w:space="1" w:color="auto"/>
          <w:left w:val="single" w:sz="4" w:space="4" w:color="auto"/>
          <w:bottom w:val="single" w:sz="4" w:space="1" w:color="auto"/>
          <w:right w:val="single" w:sz="4" w:space="4" w:color="auto"/>
        </w:pBdr>
      </w:pPr>
      <w:r w:rsidRPr="00B6602A">
        <w:rPr>
          <w:b/>
        </w:rPr>
        <w:t>4. Analytical dimension</w:t>
      </w:r>
      <w:r w:rsidRPr="00B6602A">
        <w:t xml:space="preserve">. The board recognises complexities and subtleties in the issues it faces and draws upon multiple perspectives to dissect complex problems and to synthesise appropriate responses. </w:t>
      </w:r>
    </w:p>
    <w:p w:rsidR="000F7CA2" w:rsidRPr="00B6602A" w:rsidRDefault="000F7CA2" w:rsidP="000F7CA2">
      <w:pPr>
        <w:pBdr>
          <w:top w:val="single" w:sz="4" w:space="1" w:color="auto"/>
          <w:left w:val="single" w:sz="4" w:space="4" w:color="auto"/>
          <w:bottom w:val="single" w:sz="4" w:space="1" w:color="auto"/>
          <w:right w:val="single" w:sz="4" w:space="4" w:color="auto"/>
        </w:pBdr>
      </w:pPr>
    </w:p>
    <w:p w:rsidR="000F7CA2" w:rsidRPr="00B6602A" w:rsidRDefault="000F7CA2" w:rsidP="000F7CA2">
      <w:pPr>
        <w:pBdr>
          <w:top w:val="single" w:sz="4" w:space="1" w:color="auto"/>
          <w:left w:val="single" w:sz="4" w:space="4" w:color="auto"/>
          <w:bottom w:val="single" w:sz="4" w:space="1" w:color="auto"/>
          <w:right w:val="single" w:sz="4" w:space="4" w:color="auto"/>
        </w:pBdr>
      </w:pPr>
      <w:r w:rsidRPr="00B6602A">
        <w:rPr>
          <w:b/>
        </w:rPr>
        <w:t>5. Political dimension</w:t>
      </w:r>
      <w:r w:rsidRPr="00B6602A">
        <w:t>. The board accepts as one of its primary responsibilities the need to develop and maintain healthy relationships among key stakeholders.</w:t>
      </w:r>
    </w:p>
    <w:p w:rsidR="000F7CA2" w:rsidRPr="00B6602A" w:rsidRDefault="000F7CA2" w:rsidP="000F7CA2">
      <w:pPr>
        <w:pBdr>
          <w:top w:val="single" w:sz="4" w:space="1" w:color="auto"/>
          <w:left w:val="single" w:sz="4" w:space="4" w:color="auto"/>
          <w:bottom w:val="single" w:sz="4" w:space="1" w:color="auto"/>
          <w:right w:val="single" w:sz="4" w:space="4" w:color="auto"/>
        </w:pBdr>
      </w:pPr>
    </w:p>
    <w:p w:rsidR="000F7CA2" w:rsidRPr="000958D8" w:rsidRDefault="000F7CA2" w:rsidP="000F7CA2">
      <w:pPr>
        <w:pBdr>
          <w:top w:val="single" w:sz="4" w:space="1" w:color="auto"/>
          <w:left w:val="single" w:sz="4" w:space="4" w:color="auto"/>
          <w:bottom w:val="single" w:sz="4" w:space="1" w:color="auto"/>
          <w:right w:val="single" w:sz="4" w:space="4" w:color="auto"/>
        </w:pBdr>
      </w:pPr>
      <w:r w:rsidRPr="00B6602A">
        <w:rPr>
          <w:b/>
        </w:rPr>
        <w:t>6. Strategic dimension</w:t>
      </w:r>
      <w:r w:rsidRPr="00B6602A">
        <w:t>. The board helps envision and shape institutional direction and helps ensure a strategic approach to the organisation’s future.</w:t>
      </w:r>
    </w:p>
    <w:p w:rsidR="00C40EE8" w:rsidRDefault="00C40EE8" w:rsidP="00C40EE8">
      <w:pPr>
        <w:autoSpaceDE w:val="0"/>
        <w:autoSpaceDN w:val="0"/>
        <w:adjustRightInd w:val="0"/>
        <w:rPr>
          <w:rFonts w:eastAsiaTheme="minorHAnsi"/>
          <w:lang w:eastAsia="en-US"/>
        </w:rPr>
      </w:pPr>
    </w:p>
    <w:p w:rsidR="00C40EE8" w:rsidRDefault="00C40EE8" w:rsidP="00C40EE8">
      <w:pPr>
        <w:autoSpaceDE w:val="0"/>
        <w:autoSpaceDN w:val="0"/>
        <w:adjustRightInd w:val="0"/>
        <w:rPr>
          <w:rFonts w:eastAsiaTheme="minorHAnsi"/>
          <w:lang w:eastAsia="en-US"/>
        </w:rPr>
      </w:pPr>
    </w:p>
    <w:p w:rsidR="00C40EE8" w:rsidRDefault="00C40EE8" w:rsidP="00C40EE8">
      <w:pPr>
        <w:autoSpaceDE w:val="0"/>
        <w:autoSpaceDN w:val="0"/>
        <w:adjustRightInd w:val="0"/>
        <w:rPr>
          <w:rFonts w:eastAsiaTheme="minorHAnsi"/>
          <w:lang w:eastAsia="en-US"/>
        </w:rPr>
      </w:pPr>
    </w:p>
    <w:p w:rsidR="00C40EE8" w:rsidRDefault="00C40EE8" w:rsidP="00C40EE8">
      <w:pPr>
        <w:autoSpaceDE w:val="0"/>
        <w:autoSpaceDN w:val="0"/>
        <w:adjustRightInd w:val="0"/>
        <w:rPr>
          <w:rFonts w:eastAsiaTheme="minorHAnsi"/>
          <w:lang w:eastAsia="en-US"/>
        </w:rPr>
      </w:pPr>
    </w:p>
    <w:p w:rsidR="00C40EE8" w:rsidRDefault="00C40EE8" w:rsidP="00C40EE8">
      <w:pPr>
        <w:autoSpaceDE w:val="0"/>
        <w:autoSpaceDN w:val="0"/>
        <w:adjustRightInd w:val="0"/>
        <w:rPr>
          <w:rFonts w:eastAsiaTheme="minorHAnsi"/>
          <w:lang w:eastAsia="en-US"/>
        </w:rPr>
      </w:pPr>
    </w:p>
    <w:p w:rsidR="00C40EE8" w:rsidRDefault="00C40EE8" w:rsidP="00C40EE8">
      <w:pPr>
        <w:autoSpaceDE w:val="0"/>
        <w:autoSpaceDN w:val="0"/>
        <w:adjustRightInd w:val="0"/>
        <w:rPr>
          <w:rFonts w:eastAsiaTheme="minorHAnsi"/>
          <w:lang w:eastAsia="en-US"/>
        </w:rPr>
      </w:pPr>
    </w:p>
    <w:p w:rsidR="00C40EE8" w:rsidRPr="00512B62" w:rsidRDefault="00C40EE8" w:rsidP="00C40EE8">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b/>
          <w:lang w:eastAsia="en-US"/>
        </w:rPr>
      </w:pPr>
      <w:r w:rsidRPr="00512B62">
        <w:rPr>
          <w:rFonts w:eastAsiaTheme="minorHAnsi"/>
          <w:b/>
          <w:lang w:eastAsia="en-US"/>
        </w:rPr>
        <w:t>Box 2: Prevalence of desirable characteristics of Boards in the English NHS</w:t>
      </w:r>
    </w:p>
    <w:p w:rsidR="00C40EE8" w:rsidRDefault="00C40EE8" w:rsidP="00C40EE8">
      <w:pPr>
        <w:pBdr>
          <w:top w:val="single" w:sz="4" w:space="1" w:color="auto"/>
          <w:left w:val="single" w:sz="4" w:space="4" w:color="auto"/>
          <w:bottom w:val="single" w:sz="4" w:space="1" w:color="auto"/>
          <w:right w:val="single" w:sz="4" w:space="4" w:color="auto"/>
        </w:pBdr>
      </w:pPr>
    </w:p>
    <w:p w:rsidR="00C40EE8" w:rsidRDefault="00C40EE8" w:rsidP="00C40EE8">
      <w:pPr>
        <w:pBdr>
          <w:top w:val="single" w:sz="4" w:space="1" w:color="auto"/>
          <w:left w:val="single" w:sz="4" w:space="4" w:color="auto"/>
          <w:bottom w:val="single" w:sz="4" w:space="1" w:color="auto"/>
          <w:right w:val="single" w:sz="4" w:space="4" w:color="auto"/>
        </w:pBdr>
      </w:pPr>
      <w:r>
        <w:t>Does the board have a formal subcommittee that discusses patient safety issues? [YES: 100%]</w:t>
      </w:r>
    </w:p>
    <w:p w:rsidR="00C40EE8" w:rsidRDefault="00C40EE8" w:rsidP="00C40EE8">
      <w:pPr>
        <w:pBdr>
          <w:top w:val="single" w:sz="4" w:space="1" w:color="auto"/>
          <w:left w:val="single" w:sz="4" w:space="4" w:color="auto"/>
          <w:bottom w:val="single" w:sz="4" w:space="1" w:color="auto"/>
          <w:right w:val="single" w:sz="4" w:space="4" w:color="auto"/>
        </w:pBdr>
      </w:pPr>
      <w:r>
        <w:t>Are there procedures for proactively responding to the reporting of staff concerns about patient safety? [YES: 100%]</w:t>
      </w:r>
    </w:p>
    <w:p w:rsidR="00C40EE8" w:rsidRDefault="00C40EE8" w:rsidP="00C40EE8">
      <w:pPr>
        <w:pBdr>
          <w:top w:val="single" w:sz="4" w:space="1" w:color="auto"/>
          <w:left w:val="single" w:sz="4" w:space="4" w:color="auto"/>
          <w:bottom w:val="single" w:sz="4" w:space="1" w:color="auto"/>
          <w:right w:val="single" w:sz="4" w:space="4" w:color="auto"/>
        </w:pBdr>
      </w:pPr>
      <w:r>
        <w:t>Have the board set explicit measurable goals for improving performance in relation to patient safety? [YES: 98%]</w:t>
      </w:r>
    </w:p>
    <w:p w:rsidR="00C40EE8" w:rsidRDefault="00C40EE8" w:rsidP="00C40EE8">
      <w:pPr>
        <w:pBdr>
          <w:top w:val="single" w:sz="4" w:space="1" w:color="auto"/>
          <w:left w:val="single" w:sz="4" w:space="4" w:color="auto"/>
          <w:bottom w:val="single" w:sz="4" w:space="1" w:color="auto"/>
          <w:right w:val="single" w:sz="4" w:space="4" w:color="auto"/>
        </w:pBdr>
      </w:pPr>
      <w:r>
        <w:t>Does the board have formal procedures for reporting inappropriate behaviours in relation to patient safety on a regular basis? [YES: 98%]</w:t>
      </w:r>
    </w:p>
    <w:p w:rsidR="00C40EE8" w:rsidRDefault="00C40EE8" w:rsidP="00C40EE8">
      <w:pPr>
        <w:pBdr>
          <w:top w:val="single" w:sz="4" w:space="1" w:color="auto"/>
          <w:left w:val="single" w:sz="4" w:space="4" w:color="auto"/>
          <w:bottom w:val="single" w:sz="4" w:space="1" w:color="auto"/>
          <w:right w:val="single" w:sz="4" w:space="4" w:color="auto"/>
        </w:pBdr>
      </w:pPr>
      <w:r>
        <w:t>Have strategic goals and objectives related to patient safety been distributed to staff groups within the last 12 months? [YES:  99%]</w:t>
      </w:r>
    </w:p>
    <w:p w:rsidR="00C40EE8" w:rsidRDefault="00C40EE8" w:rsidP="00C40EE8">
      <w:pPr>
        <w:pBdr>
          <w:top w:val="single" w:sz="4" w:space="1" w:color="auto"/>
          <w:left w:val="single" w:sz="4" w:space="4" w:color="auto"/>
          <w:bottom w:val="single" w:sz="4" w:space="1" w:color="auto"/>
          <w:right w:val="single" w:sz="4" w:space="4" w:color="auto"/>
        </w:pBdr>
      </w:pPr>
      <w:r>
        <w:t>Are patient safety measures included in the Chief Executive Officer’s performance review? [YES: 90%]</w:t>
      </w:r>
    </w:p>
    <w:p w:rsidR="00C40EE8" w:rsidRDefault="00C40EE8" w:rsidP="00C40EE8">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b/>
          <w:lang w:eastAsia="en-US"/>
        </w:rPr>
      </w:pPr>
      <w:r>
        <w:t>Over the past year, have board members received formal training in relation to patient safety? [YES: 87%]</w:t>
      </w:r>
    </w:p>
    <w:p w:rsidR="00C40EE8" w:rsidRDefault="00C40EE8" w:rsidP="00C40EE8">
      <w:pPr>
        <w:autoSpaceDE w:val="0"/>
        <w:autoSpaceDN w:val="0"/>
        <w:adjustRightInd w:val="0"/>
        <w:rPr>
          <w:rFonts w:eastAsiaTheme="minorHAnsi"/>
          <w:b/>
          <w:lang w:eastAsia="en-US"/>
        </w:rPr>
      </w:pPr>
    </w:p>
    <w:p w:rsidR="000F7CA2" w:rsidRPr="000F7CA2" w:rsidRDefault="000F7CA2" w:rsidP="009F6E1A">
      <w:pPr>
        <w:autoSpaceDE w:val="0"/>
        <w:autoSpaceDN w:val="0"/>
        <w:adjustRightInd w:val="0"/>
      </w:pPr>
    </w:p>
    <w:sectPr w:rsidR="000F7CA2" w:rsidRPr="000F7CA2" w:rsidSect="00E71B6C">
      <w:footerReference w:type="default" r:id="rId8"/>
      <w:pgSz w:w="11906" w:h="16838"/>
      <w:pgMar w:top="1588" w:right="1588" w:bottom="1588"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0AE" w:rsidRDefault="000370AE" w:rsidP="00F96813">
      <w:r>
        <w:separator/>
      </w:r>
    </w:p>
  </w:endnote>
  <w:endnote w:type="continuationSeparator" w:id="0">
    <w:p w:rsidR="000370AE" w:rsidRDefault="000370AE" w:rsidP="00F96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dvTTebabd7d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157899"/>
      <w:docPartObj>
        <w:docPartGallery w:val="Page Numbers (Bottom of Page)"/>
        <w:docPartUnique/>
      </w:docPartObj>
    </w:sdtPr>
    <w:sdtEndPr>
      <w:rPr>
        <w:noProof/>
      </w:rPr>
    </w:sdtEndPr>
    <w:sdtContent>
      <w:p w:rsidR="00C5121B" w:rsidRDefault="00E21B0C">
        <w:pPr>
          <w:pStyle w:val="Footer"/>
          <w:jc w:val="center"/>
        </w:pPr>
        <w:r>
          <w:fldChar w:fldCharType="begin"/>
        </w:r>
        <w:r>
          <w:instrText xml:space="preserve"> PAGE   \* MERGEFORMAT </w:instrText>
        </w:r>
        <w:r>
          <w:fldChar w:fldCharType="separate"/>
        </w:r>
        <w:r w:rsidR="00CB622F">
          <w:rPr>
            <w:noProof/>
          </w:rPr>
          <w:t>1</w:t>
        </w:r>
        <w:r>
          <w:rPr>
            <w:noProof/>
          </w:rPr>
          <w:fldChar w:fldCharType="end"/>
        </w:r>
      </w:p>
    </w:sdtContent>
  </w:sdt>
  <w:p w:rsidR="00C5121B" w:rsidRDefault="00C512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0AE" w:rsidRDefault="000370AE" w:rsidP="00F96813">
      <w:r>
        <w:separator/>
      </w:r>
    </w:p>
  </w:footnote>
  <w:footnote w:type="continuationSeparator" w:id="0">
    <w:p w:rsidR="000370AE" w:rsidRDefault="000370AE" w:rsidP="00F968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751B"/>
    <w:multiLevelType w:val="hybridMultilevel"/>
    <w:tmpl w:val="D464BB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2214A4B"/>
    <w:multiLevelType w:val="hybridMultilevel"/>
    <w:tmpl w:val="BA26C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72467"/>
    <w:multiLevelType w:val="hybridMultilevel"/>
    <w:tmpl w:val="9A6A73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6714CD0"/>
    <w:multiLevelType w:val="hybridMultilevel"/>
    <w:tmpl w:val="0EC87CD6"/>
    <w:lvl w:ilvl="0" w:tplc="8BE08C22">
      <w:start w:val="1"/>
      <w:numFmt w:val="bullet"/>
      <w:lvlText w:val="•"/>
      <w:lvlJc w:val="left"/>
      <w:pPr>
        <w:tabs>
          <w:tab w:val="num" w:pos="720"/>
        </w:tabs>
        <w:ind w:left="720" w:hanging="360"/>
      </w:pPr>
      <w:rPr>
        <w:rFonts w:ascii="Arial" w:hAnsi="Arial" w:hint="default"/>
      </w:rPr>
    </w:lvl>
    <w:lvl w:ilvl="1" w:tplc="57224068" w:tentative="1">
      <w:start w:val="1"/>
      <w:numFmt w:val="bullet"/>
      <w:lvlText w:val="•"/>
      <w:lvlJc w:val="left"/>
      <w:pPr>
        <w:tabs>
          <w:tab w:val="num" w:pos="1440"/>
        </w:tabs>
        <w:ind w:left="1440" w:hanging="360"/>
      </w:pPr>
      <w:rPr>
        <w:rFonts w:ascii="Arial" w:hAnsi="Arial" w:hint="default"/>
      </w:rPr>
    </w:lvl>
    <w:lvl w:ilvl="2" w:tplc="4A5E84E2" w:tentative="1">
      <w:start w:val="1"/>
      <w:numFmt w:val="bullet"/>
      <w:lvlText w:val="•"/>
      <w:lvlJc w:val="left"/>
      <w:pPr>
        <w:tabs>
          <w:tab w:val="num" w:pos="2160"/>
        </w:tabs>
        <w:ind w:left="2160" w:hanging="360"/>
      </w:pPr>
      <w:rPr>
        <w:rFonts w:ascii="Arial" w:hAnsi="Arial" w:hint="default"/>
      </w:rPr>
    </w:lvl>
    <w:lvl w:ilvl="3" w:tplc="5718CBB6" w:tentative="1">
      <w:start w:val="1"/>
      <w:numFmt w:val="bullet"/>
      <w:lvlText w:val="•"/>
      <w:lvlJc w:val="left"/>
      <w:pPr>
        <w:tabs>
          <w:tab w:val="num" w:pos="2880"/>
        </w:tabs>
        <w:ind w:left="2880" w:hanging="360"/>
      </w:pPr>
      <w:rPr>
        <w:rFonts w:ascii="Arial" w:hAnsi="Arial" w:hint="default"/>
      </w:rPr>
    </w:lvl>
    <w:lvl w:ilvl="4" w:tplc="82F202E0" w:tentative="1">
      <w:start w:val="1"/>
      <w:numFmt w:val="bullet"/>
      <w:lvlText w:val="•"/>
      <w:lvlJc w:val="left"/>
      <w:pPr>
        <w:tabs>
          <w:tab w:val="num" w:pos="3600"/>
        </w:tabs>
        <w:ind w:left="3600" w:hanging="360"/>
      </w:pPr>
      <w:rPr>
        <w:rFonts w:ascii="Arial" w:hAnsi="Arial" w:hint="default"/>
      </w:rPr>
    </w:lvl>
    <w:lvl w:ilvl="5" w:tplc="C2BE9832" w:tentative="1">
      <w:start w:val="1"/>
      <w:numFmt w:val="bullet"/>
      <w:lvlText w:val="•"/>
      <w:lvlJc w:val="left"/>
      <w:pPr>
        <w:tabs>
          <w:tab w:val="num" w:pos="4320"/>
        </w:tabs>
        <w:ind w:left="4320" w:hanging="360"/>
      </w:pPr>
      <w:rPr>
        <w:rFonts w:ascii="Arial" w:hAnsi="Arial" w:hint="default"/>
      </w:rPr>
    </w:lvl>
    <w:lvl w:ilvl="6" w:tplc="4E06D0E0" w:tentative="1">
      <w:start w:val="1"/>
      <w:numFmt w:val="bullet"/>
      <w:lvlText w:val="•"/>
      <w:lvlJc w:val="left"/>
      <w:pPr>
        <w:tabs>
          <w:tab w:val="num" w:pos="5040"/>
        </w:tabs>
        <w:ind w:left="5040" w:hanging="360"/>
      </w:pPr>
      <w:rPr>
        <w:rFonts w:ascii="Arial" w:hAnsi="Arial" w:hint="default"/>
      </w:rPr>
    </w:lvl>
    <w:lvl w:ilvl="7" w:tplc="991A098E" w:tentative="1">
      <w:start w:val="1"/>
      <w:numFmt w:val="bullet"/>
      <w:lvlText w:val="•"/>
      <w:lvlJc w:val="left"/>
      <w:pPr>
        <w:tabs>
          <w:tab w:val="num" w:pos="5760"/>
        </w:tabs>
        <w:ind w:left="5760" w:hanging="360"/>
      </w:pPr>
      <w:rPr>
        <w:rFonts w:ascii="Arial" w:hAnsi="Arial" w:hint="default"/>
      </w:rPr>
    </w:lvl>
    <w:lvl w:ilvl="8" w:tplc="FC36342E" w:tentative="1">
      <w:start w:val="1"/>
      <w:numFmt w:val="bullet"/>
      <w:lvlText w:val="•"/>
      <w:lvlJc w:val="left"/>
      <w:pPr>
        <w:tabs>
          <w:tab w:val="num" w:pos="6480"/>
        </w:tabs>
        <w:ind w:left="6480" w:hanging="360"/>
      </w:pPr>
      <w:rPr>
        <w:rFonts w:ascii="Arial" w:hAnsi="Arial" w:hint="default"/>
      </w:rPr>
    </w:lvl>
  </w:abstractNum>
  <w:abstractNum w:abstractNumId="4">
    <w:nsid w:val="081B2764"/>
    <w:multiLevelType w:val="hybridMultilevel"/>
    <w:tmpl w:val="E0A6001E"/>
    <w:lvl w:ilvl="0" w:tplc="DA0EC700">
      <w:start w:val="1"/>
      <w:numFmt w:val="bullet"/>
      <w:lvlText w:val="•"/>
      <w:lvlJc w:val="left"/>
      <w:pPr>
        <w:tabs>
          <w:tab w:val="num" w:pos="720"/>
        </w:tabs>
        <w:ind w:left="720" w:hanging="360"/>
      </w:pPr>
      <w:rPr>
        <w:rFonts w:ascii="Arial" w:hAnsi="Arial" w:hint="default"/>
      </w:rPr>
    </w:lvl>
    <w:lvl w:ilvl="1" w:tplc="EC3C472A" w:tentative="1">
      <w:start w:val="1"/>
      <w:numFmt w:val="bullet"/>
      <w:lvlText w:val="•"/>
      <w:lvlJc w:val="left"/>
      <w:pPr>
        <w:tabs>
          <w:tab w:val="num" w:pos="1440"/>
        </w:tabs>
        <w:ind w:left="1440" w:hanging="360"/>
      </w:pPr>
      <w:rPr>
        <w:rFonts w:ascii="Arial" w:hAnsi="Arial" w:hint="default"/>
      </w:rPr>
    </w:lvl>
    <w:lvl w:ilvl="2" w:tplc="788AE5DA" w:tentative="1">
      <w:start w:val="1"/>
      <w:numFmt w:val="bullet"/>
      <w:lvlText w:val="•"/>
      <w:lvlJc w:val="left"/>
      <w:pPr>
        <w:tabs>
          <w:tab w:val="num" w:pos="2160"/>
        </w:tabs>
        <w:ind w:left="2160" w:hanging="360"/>
      </w:pPr>
      <w:rPr>
        <w:rFonts w:ascii="Arial" w:hAnsi="Arial" w:hint="default"/>
      </w:rPr>
    </w:lvl>
    <w:lvl w:ilvl="3" w:tplc="9744B618" w:tentative="1">
      <w:start w:val="1"/>
      <w:numFmt w:val="bullet"/>
      <w:lvlText w:val="•"/>
      <w:lvlJc w:val="left"/>
      <w:pPr>
        <w:tabs>
          <w:tab w:val="num" w:pos="2880"/>
        </w:tabs>
        <w:ind w:left="2880" w:hanging="360"/>
      </w:pPr>
      <w:rPr>
        <w:rFonts w:ascii="Arial" w:hAnsi="Arial" w:hint="default"/>
      </w:rPr>
    </w:lvl>
    <w:lvl w:ilvl="4" w:tplc="5112AF30" w:tentative="1">
      <w:start w:val="1"/>
      <w:numFmt w:val="bullet"/>
      <w:lvlText w:val="•"/>
      <w:lvlJc w:val="left"/>
      <w:pPr>
        <w:tabs>
          <w:tab w:val="num" w:pos="3600"/>
        </w:tabs>
        <w:ind w:left="3600" w:hanging="360"/>
      </w:pPr>
      <w:rPr>
        <w:rFonts w:ascii="Arial" w:hAnsi="Arial" w:hint="default"/>
      </w:rPr>
    </w:lvl>
    <w:lvl w:ilvl="5" w:tplc="6DBAE18E" w:tentative="1">
      <w:start w:val="1"/>
      <w:numFmt w:val="bullet"/>
      <w:lvlText w:val="•"/>
      <w:lvlJc w:val="left"/>
      <w:pPr>
        <w:tabs>
          <w:tab w:val="num" w:pos="4320"/>
        </w:tabs>
        <w:ind w:left="4320" w:hanging="360"/>
      </w:pPr>
      <w:rPr>
        <w:rFonts w:ascii="Arial" w:hAnsi="Arial" w:hint="default"/>
      </w:rPr>
    </w:lvl>
    <w:lvl w:ilvl="6" w:tplc="88CC8C20" w:tentative="1">
      <w:start w:val="1"/>
      <w:numFmt w:val="bullet"/>
      <w:lvlText w:val="•"/>
      <w:lvlJc w:val="left"/>
      <w:pPr>
        <w:tabs>
          <w:tab w:val="num" w:pos="5040"/>
        </w:tabs>
        <w:ind w:left="5040" w:hanging="360"/>
      </w:pPr>
      <w:rPr>
        <w:rFonts w:ascii="Arial" w:hAnsi="Arial" w:hint="default"/>
      </w:rPr>
    </w:lvl>
    <w:lvl w:ilvl="7" w:tplc="4A96ABD6" w:tentative="1">
      <w:start w:val="1"/>
      <w:numFmt w:val="bullet"/>
      <w:lvlText w:val="•"/>
      <w:lvlJc w:val="left"/>
      <w:pPr>
        <w:tabs>
          <w:tab w:val="num" w:pos="5760"/>
        </w:tabs>
        <w:ind w:left="5760" w:hanging="360"/>
      </w:pPr>
      <w:rPr>
        <w:rFonts w:ascii="Arial" w:hAnsi="Arial" w:hint="default"/>
      </w:rPr>
    </w:lvl>
    <w:lvl w:ilvl="8" w:tplc="BF28F28E" w:tentative="1">
      <w:start w:val="1"/>
      <w:numFmt w:val="bullet"/>
      <w:lvlText w:val="•"/>
      <w:lvlJc w:val="left"/>
      <w:pPr>
        <w:tabs>
          <w:tab w:val="num" w:pos="6480"/>
        </w:tabs>
        <w:ind w:left="6480" w:hanging="360"/>
      </w:pPr>
      <w:rPr>
        <w:rFonts w:ascii="Arial" w:hAnsi="Arial" w:hint="default"/>
      </w:rPr>
    </w:lvl>
  </w:abstractNum>
  <w:abstractNum w:abstractNumId="5">
    <w:nsid w:val="13170BC9"/>
    <w:multiLevelType w:val="hybridMultilevel"/>
    <w:tmpl w:val="B184B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8C7EDC"/>
    <w:multiLevelType w:val="hybridMultilevel"/>
    <w:tmpl w:val="0BB8FC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095EEC"/>
    <w:multiLevelType w:val="hybridMultilevel"/>
    <w:tmpl w:val="7C404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5E65B4"/>
    <w:multiLevelType w:val="hybridMultilevel"/>
    <w:tmpl w:val="0714096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nsid w:val="1D24223A"/>
    <w:multiLevelType w:val="hybridMultilevel"/>
    <w:tmpl w:val="87A435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DC015BC"/>
    <w:multiLevelType w:val="hybridMultilevel"/>
    <w:tmpl w:val="06EAA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EB65A5"/>
    <w:multiLevelType w:val="hybridMultilevel"/>
    <w:tmpl w:val="B64CF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6F3B68"/>
    <w:multiLevelType w:val="hybridMultilevel"/>
    <w:tmpl w:val="8D0A4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1D673B"/>
    <w:multiLevelType w:val="hybridMultilevel"/>
    <w:tmpl w:val="22D2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472D96"/>
    <w:multiLevelType w:val="hybridMultilevel"/>
    <w:tmpl w:val="33B4C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9F2067"/>
    <w:multiLevelType w:val="hybridMultilevel"/>
    <w:tmpl w:val="952E6FAE"/>
    <w:lvl w:ilvl="0" w:tplc="EFAACE06">
      <w:start w:val="1"/>
      <w:numFmt w:val="bullet"/>
      <w:lvlText w:val="•"/>
      <w:lvlJc w:val="left"/>
      <w:pPr>
        <w:tabs>
          <w:tab w:val="num" w:pos="720"/>
        </w:tabs>
        <w:ind w:left="720" w:hanging="360"/>
      </w:pPr>
      <w:rPr>
        <w:rFonts w:ascii="Arial" w:hAnsi="Arial" w:hint="default"/>
      </w:rPr>
    </w:lvl>
    <w:lvl w:ilvl="1" w:tplc="677ED36E" w:tentative="1">
      <w:start w:val="1"/>
      <w:numFmt w:val="bullet"/>
      <w:lvlText w:val="•"/>
      <w:lvlJc w:val="left"/>
      <w:pPr>
        <w:tabs>
          <w:tab w:val="num" w:pos="1440"/>
        </w:tabs>
        <w:ind w:left="1440" w:hanging="360"/>
      </w:pPr>
      <w:rPr>
        <w:rFonts w:ascii="Arial" w:hAnsi="Arial" w:hint="default"/>
      </w:rPr>
    </w:lvl>
    <w:lvl w:ilvl="2" w:tplc="DAEE8BAA" w:tentative="1">
      <w:start w:val="1"/>
      <w:numFmt w:val="bullet"/>
      <w:lvlText w:val="•"/>
      <w:lvlJc w:val="left"/>
      <w:pPr>
        <w:tabs>
          <w:tab w:val="num" w:pos="2160"/>
        </w:tabs>
        <w:ind w:left="2160" w:hanging="360"/>
      </w:pPr>
      <w:rPr>
        <w:rFonts w:ascii="Arial" w:hAnsi="Arial" w:hint="default"/>
      </w:rPr>
    </w:lvl>
    <w:lvl w:ilvl="3" w:tplc="9BAC8F9A" w:tentative="1">
      <w:start w:val="1"/>
      <w:numFmt w:val="bullet"/>
      <w:lvlText w:val="•"/>
      <w:lvlJc w:val="left"/>
      <w:pPr>
        <w:tabs>
          <w:tab w:val="num" w:pos="2880"/>
        </w:tabs>
        <w:ind w:left="2880" w:hanging="360"/>
      </w:pPr>
      <w:rPr>
        <w:rFonts w:ascii="Arial" w:hAnsi="Arial" w:hint="default"/>
      </w:rPr>
    </w:lvl>
    <w:lvl w:ilvl="4" w:tplc="83A0F7EE" w:tentative="1">
      <w:start w:val="1"/>
      <w:numFmt w:val="bullet"/>
      <w:lvlText w:val="•"/>
      <w:lvlJc w:val="left"/>
      <w:pPr>
        <w:tabs>
          <w:tab w:val="num" w:pos="3600"/>
        </w:tabs>
        <w:ind w:left="3600" w:hanging="360"/>
      </w:pPr>
      <w:rPr>
        <w:rFonts w:ascii="Arial" w:hAnsi="Arial" w:hint="default"/>
      </w:rPr>
    </w:lvl>
    <w:lvl w:ilvl="5" w:tplc="F1E6BC5C" w:tentative="1">
      <w:start w:val="1"/>
      <w:numFmt w:val="bullet"/>
      <w:lvlText w:val="•"/>
      <w:lvlJc w:val="left"/>
      <w:pPr>
        <w:tabs>
          <w:tab w:val="num" w:pos="4320"/>
        </w:tabs>
        <w:ind w:left="4320" w:hanging="360"/>
      </w:pPr>
      <w:rPr>
        <w:rFonts w:ascii="Arial" w:hAnsi="Arial" w:hint="default"/>
      </w:rPr>
    </w:lvl>
    <w:lvl w:ilvl="6" w:tplc="CF8E0A5A" w:tentative="1">
      <w:start w:val="1"/>
      <w:numFmt w:val="bullet"/>
      <w:lvlText w:val="•"/>
      <w:lvlJc w:val="left"/>
      <w:pPr>
        <w:tabs>
          <w:tab w:val="num" w:pos="5040"/>
        </w:tabs>
        <w:ind w:left="5040" w:hanging="360"/>
      </w:pPr>
      <w:rPr>
        <w:rFonts w:ascii="Arial" w:hAnsi="Arial" w:hint="default"/>
      </w:rPr>
    </w:lvl>
    <w:lvl w:ilvl="7" w:tplc="69E4AD70" w:tentative="1">
      <w:start w:val="1"/>
      <w:numFmt w:val="bullet"/>
      <w:lvlText w:val="•"/>
      <w:lvlJc w:val="left"/>
      <w:pPr>
        <w:tabs>
          <w:tab w:val="num" w:pos="5760"/>
        </w:tabs>
        <w:ind w:left="5760" w:hanging="360"/>
      </w:pPr>
      <w:rPr>
        <w:rFonts w:ascii="Arial" w:hAnsi="Arial" w:hint="default"/>
      </w:rPr>
    </w:lvl>
    <w:lvl w:ilvl="8" w:tplc="3A8095F8" w:tentative="1">
      <w:start w:val="1"/>
      <w:numFmt w:val="bullet"/>
      <w:lvlText w:val="•"/>
      <w:lvlJc w:val="left"/>
      <w:pPr>
        <w:tabs>
          <w:tab w:val="num" w:pos="6480"/>
        </w:tabs>
        <w:ind w:left="6480" w:hanging="360"/>
      </w:pPr>
      <w:rPr>
        <w:rFonts w:ascii="Arial" w:hAnsi="Arial" w:hint="default"/>
      </w:rPr>
    </w:lvl>
  </w:abstractNum>
  <w:abstractNum w:abstractNumId="16">
    <w:nsid w:val="3888072E"/>
    <w:multiLevelType w:val="hybridMultilevel"/>
    <w:tmpl w:val="657E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CD1CEB"/>
    <w:multiLevelType w:val="hybridMultilevel"/>
    <w:tmpl w:val="3AD42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BEC0C34"/>
    <w:multiLevelType w:val="hybridMultilevel"/>
    <w:tmpl w:val="4A728392"/>
    <w:lvl w:ilvl="0" w:tplc="08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0F247B2"/>
    <w:multiLevelType w:val="hybridMultilevel"/>
    <w:tmpl w:val="9BC679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5C13053"/>
    <w:multiLevelType w:val="hybridMultilevel"/>
    <w:tmpl w:val="390AB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949477C"/>
    <w:multiLevelType w:val="hybridMultilevel"/>
    <w:tmpl w:val="459E4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9C437A8"/>
    <w:multiLevelType w:val="hybridMultilevel"/>
    <w:tmpl w:val="D48EF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9B38E5"/>
    <w:multiLevelType w:val="hybridMultilevel"/>
    <w:tmpl w:val="C83E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232FF1"/>
    <w:multiLevelType w:val="hybridMultilevel"/>
    <w:tmpl w:val="BF3AA922"/>
    <w:lvl w:ilvl="0" w:tplc="BE66DA50">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D5862E1"/>
    <w:multiLevelType w:val="hybridMultilevel"/>
    <w:tmpl w:val="16807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E66752F"/>
    <w:multiLevelType w:val="multilevel"/>
    <w:tmpl w:val="A2FE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3F6CF0"/>
    <w:multiLevelType w:val="hybridMultilevel"/>
    <w:tmpl w:val="3CF629EA"/>
    <w:lvl w:ilvl="0" w:tplc="829AC1E0">
      <w:start w:val="4"/>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FDA2769"/>
    <w:multiLevelType w:val="hybridMultilevel"/>
    <w:tmpl w:val="30AEC82C"/>
    <w:lvl w:ilvl="0" w:tplc="218415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5E2142C"/>
    <w:multiLevelType w:val="hybridMultilevel"/>
    <w:tmpl w:val="01AA3A04"/>
    <w:lvl w:ilvl="0" w:tplc="0BCE501E">
      <w:start w:val="1"/>
      <w:numFmt w:val="bullet"/>
      <w:lvlText w:val="•"/>
      <w:lvlJc w:val="left"/>
      <w:pPr>
        <w:tabs>
          <w:tab w:val="num" w:pos="720"/>
        </w:tabs>
        <w:ind w:left="720" w:hanging="360"/>
      </w:pPr>
      <w:rPr>
        <w:rFonts w:ascii="Arial" w:hAnsi="Arial" w:hint="default"/>
      </w:rPr>
    </w:lvl>
    <w:lvl w:ilvl="1" w:tplc="F4A884AA" w:tentative="1">
      <w:start w:val="1"/>
      <w:numFmt w:val="bullet"/>
      <w:lvlText w:val="•"/>
      <w:lvlJc w:val="left"/>
      <w:pPr>
        <w:tabs>
          <w:tab w:val="num" w:pos="1440"/>
        </w:tabs>
        <w:ind w:left="1440" w:hanging="360"/>
      </w:pPr>
      <w:rPr>
        <w:rFonts w:ascii="Arial" w:hAnsi="Arial" w:hint="default"/>
      </w:rPr>
    </w:lvl>
    <w:lvl w:ilvl="2" w:tplc="CC846DEA" w:tentative="1">
      <w:start w:val="1"/>
      <w:numFmt w:val="bullet"/>
      <w:lvlText w:val="•"/>
      <w:lvlJc w:val="left"/>
      <w:pPr>
        <w:tabs>
          <w:tab w:val="num" w:pos="2160"/>
        </w:tabs>
        <w:ind w:left="2160" w:hanging="360"/>
      </w:pPr>
      <w:rPr>
        <w:rFonts w:ascii="Arial" w:hAnsi="Arial" w:hint="default"/>
      </w:rPr>
    </w:lvl>
    <w:lvl w:ilvl="3" w:tplc="11BA58C2" w:tentative="1">
      <w:start w:val="1"/>
      <w:numFmt w:val="bullet"/>
      <w:lvlText w:val="•"/>
      <w:lvlJc w:val="left"/>
      <w:pPr>
        <w:tabs>
          <w:tab w:val="num" w:pos="2880"/>
        </w:tabs>
        <w:ind w:left="2880" w:hanging="360"/>
      </w:pPr>
      <w:rPr>
        <w:rFonts w:ascii="Arial" w:hAnsi="Arial" w:hint="default"/>
      </w:rPr>
    </w:lvl>
    <w:lvl w:ilvl="4" w:tplc="92A40D72" w:tentative="1">
      <w:start w:val="1"/>
      <w:numFmt w:val="bullet"/>
      <w:lvlText w:val="•"/>
      <w:lvlJc w:val="left"/>
      <w:pPr>
        <w:tabs>
          <w:tab w:val="num" w:pos="3600"/>
        </w:tabs>
        <w:ind w:left="3600" w:hanging="360"/>
      </w:pPr>
      <w:rPr>
        <w:rFonts w:ascii="Arial" w:hAnsi="Arial" w:hint="default"/>
      </w:rPr>
    </w:lvl>
    <w:lvl w:ilvl="5" w:tplc="4E0CAAE0" w:tentative="1">
      <w:start w:val="1"/>
      <w:numFmt w:val="bullet"/>
      <w:lvlText w:val="•"/>
      <w:lvlJc w:val="left"/>
      <w:pPr>
        <w:tabs>
          <w:tab w:val="num" w:pos="4320"/>
        </w:tabs>
        <w:ind w:left="4320" w:hanging="360"/>
      </w:pPr>
      <w:rPr>
        <w:rFonts w:ascii="Arial" w:hAnsi="Arial" w:hint="default"/>
      </w:rPr>
    </w:lvl>
    <w:lvl w:ilvl="6" w:tplc="D1A8B6E4" w:tentative="1">
      <w:start w:val="1"/>
      <w:numFmt w:val="bullet"/>
      <w:lvlText w:val="•"/>
      <w:lvlJc w:val="left"/>
      <w:pPr>
        <w:tabs>
          <w:tab w:val="num" w:pos="5040"/>
        </w:tabs>
        <w:ind w:left="5040" w:hanging="360"/>
      </w:pPr>
      <w:rPr>
        <w:rFonts w:ascii="Arial" w:hAnsi="Arial" w:hint="default"/>
      </w:rPr>
    </w:lvl>
    <w:lvl w:ilvl="7" w:tplc="BEA40C26" w:tentative="1">
      <w:start w:val="1"/>
      <w:numFmt w:val="bullet"/>
      <w:lvlText w:val="•"/>
      <w:lvlJc w:val="left"/>
      <w:pPr>
        <w:tabs>
          <w:tab w:val="num" w:pos="5760"/>
        </w:tabs>
        <w:ind w:left="5760" w:hanging="360"/>
      </w:pPr>
      <w:rPr>
        <w:rFonts w:ascii="Arial" w:hAnsi="Arial" w:hint="default"/>
      </w:rPr>
    </w:lvl>
    <w:lvl w:ilvl="8" w:tplc="6B16A658" w:tentative="1">
      <w:start w:val="1"/>
      <w:numFmt w:val="bullet"/>
      <w:lvlText w:val="•"/>
      <w:lvlJc w:val="left"/>
      <w:pPr>
        <w:tabs>
          <w:tab w:val="num" w:pos="6480"/>
        </w:tabs>
        <w:ind w:left="6480" w:hanging="360"/>
      </w:pPr>
      <w:rPr>
        <w:rFonts w:ascii="Arial" w:hAnsi="Arial" w:hint="default"/>
      </w:rPr>
    </w:lvl>
  </w:abstractNum>
  <w:abstractNum w:abstractNumId="30">
    <w:nsid w:val="57BA4E52"/>
    <w:multiLevelType w:val="hybridMultilevel"/>
    <w:tmpl w:val="D258F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8F31BD9"/>
    <w:multiLevelType w:val="hybridMultilevel"/>
    <w:tmpl w:val="DD28F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9AD7DBE"/>
    <w:multiLevelType w:val="hybridMultilevel"/>
    <w:tmpl w:val="70DE8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9B83B72"/>
    <w:multiLevelType w:val="hybridMultilevel"/>
    <w:tmpl w:val="74A0A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5BA219E0"/>
    <w:multiLevelType w:val="hybridMultilevel"/>
    <w:tmpl w:val="A316E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D204FA6"/>
    <w:multiLevelType w:val="hybridMultilevel"/>
    <w:tmpl w:val="A7A86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0904DE4"/>
    <w:multiLevelType w:val="hybridMultilevel"/>
    <w:tmpl w:val="E796F992"/>
    <w:lvl w:ilvl="0" w:tplc="158E33BA">
      <w:start w:val="1"/>
      <w:numFmt w:val="bullet"/>
      <w:lvlText w:val="•"/>
      <w:lvlJc w:val="left"/>
      <w:pPr>
        <w:tabs>
          <w:tab w:val="num" w:pos="720"/>
        </w:tabs>
        <w:ind w:left="720" w:hanging="360"/>
      </w:pPr>
      <w:rPr>
        <w:rFonts w:ascii="Arial" w:hAnsi="Arial" w:hint="default"/>
      </w:rPr>
    </w:lvl>
    <w:lvl w:ilvl="1" w:tplc="DE8092E4" w:tentative="1">
      <w:start w:val="1"/>
      <w:numFmt w:val="bullet"/>
      <w:lvlText w:val="•"/>
      <w:lvlJc w:val="left"/>
      <w:pPr>
        <w:tabs>
          <w:tab w:val="num" w:pos="1440"/>
        </w:tabs>
        <w:ind w:left="1440" w:hanging="360"/>
      </w:pPr>
      <w:rPr>
        <w:rFonts w:ascii="Arial" w:hAnsi="Arial" w:hint="default"/>
      </w:rPr>
    </w:lvl>
    <w:lvl w:ilvl="2" w:tplc="9F82BC98" w:tentative="1">
      <w:start w:val="1"/>
      <w:numFmt w:val="bullet"/>
      <w:lvlText w:val="•"/>
      <w:lvlJc w:val="left"/>
      <w:pPr>
        <w:tabs>
          <w:tab w:val="num" w:pos="2160"/>
        </w:tabs>
        <w:ind w:left="2160" w:hanging="360"/>
      </w:pPr>
      <w:rPr>
        <w:rFonts w:ascii="Arial" w:hAnsi="Arial" w:hint="default"/>
      </w:rPr>
    </w:lvl>
    <w:lvl w:ilvl="3" w:tplc="990016F4" w:tentative="1">
      <w:start w:val="1"/>
      <w:numFmt w:val="bullet"/>
      <w:lvlText w:val="•"/>
      <w:lvlJc w:val="left"/>
      <w:pPr>
        <w:tabs>
          <w:tab w:val="num" w:pos="2880"/>
        </w:tabs>
        <w:ind w:left="2880" w:hanging="360"/>
      </w:pPr>
      <w:rPr>
        <w:rFonts w:ascii="Arial" w:hAnsi="Arial" w:hint="default"/>
      </w:rPr>
    </w:lvl>
    <w:lvl w:ilvl="4" w:tplc="D668CF12" w:tentative="1">
      <w:start w:val="1"/>
      <w:numFmt w:val="bullet"/>
      <w:lvlText w:val="•"/>
      <w:lvlJc w:val="left"/>
      <w:pPr>
        <w:tabs>
          <w:tab w:val="num" w:pos="3600"/>
        </w:tabs>
        <w:ind w:left="3600" w:hanging="360"/>
      </w:pPr>
      <w:rPr>
        <w:rFonts w:ascii="Arial" w:hAnsi="Arial" w:hint="default"/>
      </w:rPr>
    </w:lvl>
    <w:lvl w:ilvl="5" w:tplc="6E92304E" w:tentative="1">
      <w:start w:val="1"/>
      <w:numFmt w:val="bullet"/>
      <w:lvlText w:val="•"/>
      <w:lvlJc w:val="left"/>
      <w:pPr>
        <w:tabs>
          <w:tab w:val="num" w:pos="4320"/>
        </w:tabs>
        <w:ind w:left="4320" w:hanging="360"/>
      </w:pPr>
      <w:rPr>
        <w:rFonts w:ascii="Arial" w:hAnsi="Arial" w:hint="default"/>
      </w:rPr>
    </w:lvl>
    <w:lvl w:ilvl="6" w:tplc="73B43996" w:tentative="1">
      <w:start w:val="1"/>
      <w:numFmt w:val="bullet"/>
      <w:lvlText w:val="•"/>
      <w:lvlJc w:val="left"/>
      <w:pPr>
        <w:tabs>
          <w:tab w:val="num" w:pos="5040"/>
        </w:tabs>
        <w:ind w:left="5040" w:hanging="360"/>
      </w:pPr>
      <w:rPr>
        <w:rFonts w:ascii="Arial" w:hAnsi="Arial" w:hint="default"/>
      </w:rPr>
    </w:lvl>
    <w:lvl w:ilvl="7" w:tplc="7AB267CE" w:tentative="1">
      <w:start w:val="1"/>
      <w:numFmt w:val="bullet"/>
      <w:lvlText w:val="•"/>
      <w:lvlJc w:val="left"/>
      <w:pPr>
        <w:tabs>
          <w:tab w:val="num" w:pos="5760"/>
        </w:tabs>
        <w:ind w:left="5760" w:hanging="360"/>
      </w:pPr>
      <w:rPr>
        <w:rFonts w:ascii="Arial" w:hAnsi="Arial" w:hint="default"/>
      </w:rPr>
    </w:lvl>
    <w:lvl w:ilvl="8" w:tplc="D0968D04"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23"/>
  </w:num>
  <w:num w:numId="3">
    <w:abstractNumId w:val="19"/>
  </w:num>
  <w:num w:numId="4">
    <w:abstractNumId w:val="8"/>
  </w:num>
  <w:num w:numId="5">
    <w:abstractNumId w:val="17"/>
  </w:num>
  <w:num w:numId="6">
    <w:abstractNumId w:val="31"/>
  </w:num>
  <w:num w:numId="7">
    <w:abstractNumId w:val="12"/>
  </w:num>
  <w:num w:numId="8">
    <w:abstractNumId w:val="10"/>
  </w:num>
  <w:num w:numId="9">
    <w:abstractNumId w:val="21"/>
  </w:num>
  <w:num w:numId="10">
    <w:abstractNumId w:val="5"/>
  </w:num>
  <w:num w:numId="11">
    <w:abstractNumId w:val="34"/>
  </w:num>
  <w:num w:numId="12">
    <w:abstractNumId w:val="7"/>
  </w:num>
  <w:num w:numId="13">
    <w:abstractNumId w:val="16"/>
  </w:num>
  <w:num w:numId="14">
    <w:abstractNumId w:val="35"/>
  </w:num>
  <w:num w:numId="15">
    <w:abstractNumId w:val="32"/>
  </w:num>
  <w:num w:numId="16">
    <w:abstractNumId w:val="28"/>
  </w:num>
  <w:num w:numId="17">
    <w:abstractNumId w:val="22"/>
  </w:num>
  <w:num w:numId="18">
    <w:abstractNumId w:val="26"/>
  </w:num>
  <w:num w:numId="19">
    <w:abstractNumId w:val="33"/>
  </w:num>
  <w:num w:numId="20">
    <w:abstractNumId w:val="9"/>
  </w:num>
  <w:num w:numId="21">
    <w:abstractNumId w:val="0"/>
  </w:num>
  <w:num w:numId="22">
    <w:abstractNumId w:val="20"/>
  </w:num>
  <w:num w:numId="23">
    <w:abstractNumId w:val="2"/>
  </w:num>
  <w:num w:numId="24">
    <w:abstractNumId w:val="36"/>
  </w:num>
  <w:num w:numId="25">
    <w:abstractNumId w:val="15"/>
  </w:num>
  <w:num w:numId="26">
    <w:abstractNumId w:val="4"/>
  </w:num>
  <w:num w:numId="27">
    <w:abstractNumId w:val="29"/>
  </w:num>
  <w:num w:numId="28">
    <w:abstractNumId w:val="3"/>
  </w:num>
  <w:num w:numId="29">
    <w:abstractNumId w:val="13"/>
  </w:num>
  <w:num w:numId="30">
    <w:abstractNumId w:val="25"/>
  </w:num>
  <w:num w:numId="31">
    <w:abstractNumId w:val="6"/>
  </w:num>
  <w:num w:numId="32">
    <w:abstractNumId w:val="24"/>
  </w:num>
  <w:num w:numId="33">
    <w:abstractNumId w:val="30"/>
  </w:num>
  <w:num w:numId="34">
    <w:abstractNumId w:val="1"/>
  </w:num>
  <w:num w:numId="35">
    <w:abstractNumId w:val="18"/>
  </w:num>
  <w:num w:numId="36">
    <w:abstractNumId w:val="14"/>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C710A7"/>
    <w:rsid w:val="00020AD9"/>
    <w:rsid w:val="00021C1E"/>
    <w:rsid w:val="00022E6D"/>
    <w:rsid w:val="000370AE"/>
    <w:rsid w:val="000470E1"/>
    <w:rsid w:val="00057A83"/>
    <w:rsid w:val="0006248D"/>
    <w:rsid w:val="00062D29"/>
    <w:rsid w:val="00064D84"/>
    <w:rsid w:val="000958D8"/>
    <w:rsid w:val="000A22F3"/>
    <w:rsid w:val="000A51F6"/>
    <w:rsid w:val="000B4AA2"/>
    <w:rsid w:val="000E08B8"/>
    <w:rsid w:val="000E32D6"/>
    <w:rsid w:val="000E68BE"/>
    <w:rsid w:val="000F7CA2"/>
    <w:rsid w:val="0011376B"/>
    <w:rsid w:val="00120611"/>
    <w:rsid w:val="00126BF2"/>
    <w:rsid w:val="00150C0F"/>
    <w:rsid w:val="00151B5E"/>
    <w:rsid w:val="00156C00"/>
    <w:rsid w:val="00166E2C"/>
    <w:rsid w:val="00177D18"/>
    <w:rsid w:val="001847DB"/>
    <w:rsid w:val="001A051F"/>
    <w:rsid w:val="001A386A"/>
    <w:rsid w:val="001C446E"/>
    <w:rsid w:val="001D1F63"/>
    <w:rsid w:val="001D328D"/>
    <w:rsid w:val="001E59F0"/>
    <w:rsid w:val="001F6180"/>
    <w:rsid w:val="00202826"/>
    <w:rsid w:val="00202AC2"/>
    <w:rsid w:val="00245352"/>
    <w:rsid w:val="00247996"/>
    <w:rsid w:val="00284345"/>
    <w:rsid w:val="00286E69"/>
    <w:rsid w:val="002873F2"/>
    <w:rsid w:val="00292167"/>
    <w:rsid w:val="00294B5B"/>
    <w:rsid w:val="00297396"/>
    <w:rsid w:val="002B0BC4"/>
    <w:rsid w:val="002B17BF"/>
    <w:rsid w:val="002B2752"/>
    <w:rsid w:val="002B69BB"/>
    <w:rsid w:val="002B6AE8"/>
    <w:rsid w:val="002D3AB9"/>
    <w:rsid w:val="002D4674"/>
    <w:rsid w:val="002E6C9B"/>
    <w:rsid w:val="002F21B2"/>
    <w:rsid w:val="0032372F"/>
    <w:rsid w:val="00327E32"/>
    <w:rsid w:val="003303CA"/>
    <w:rsid w:val="0033464C"/>
    <w:rsid w:val="00334AD1"/>
    <w:rsid w:val="00334E97"/>
    <w:rsid w:val="003368BC"/>
    <w:rsid w:val="00342CC3"/>
    <w:rsid w:val="0034676A"/>
    <w:rsid w:val="0037490B"/>
    <w:rsid w:val="003766F9"/>
    <w:rsid w:val="003A2B1E"/>
    <w:rsid w:val="003A6D03"/>
    <w:rsid w:val="003B27CB"/>
    <w:rsid w:val="003B5E6B"/>
    <w:rsid w:val="003B7455"/>
    <w:rsid w:val="003C189D"/>
    <w:rsid w:val="003D03A6"/>
    <w:rsid w:val="003D3790"/>
    <w:rsid w:val="003E2A5B"/>
    <w:rsid w:val="003E639E"/>
    <w:rsid w:val="003F2AA6"/>
    <w:rsid w:val="003F5555"/>
    <w:rsid w:val="003F7FEB"/>
    <w:rsid w:val="0040737C"/>
    <w:rsid w:val="00414796"/>
    <w:rsid w:val="00421B27"/>
    <w:rsid w:val="0043027C"/>
    <w:rsid w:val="004335D3"/>
    <w:rsid w:val="00434F17"/>
    <w:rsid w:val="00442815"/>
    <w:rsid w:val="004507AB"/>
    <w:rsid w:val="00454BA2"/>
    <w:rsid w:val="00457132"/>
    <w:rsid w:val="00470FF2"/>
    <w:rsid w:val="00490273"/>
    <w:rsid w:val="004A1DAF"/>
    <w:rsid w:val="004A488A"/>
    <w:rsid w:val="004A7A77"/>
    <w:rsid w:val="004B5CC5"/>
    <w:rsid w:val="004C02A2"/>
    <w:rsid w:val="004C1AAE"/>
    <w:rsid w:val="004C4BAF"/>
    <w:rsid w:val="004D7989"/>
    <w:rsid w:val="004E6C17"/>
    <w:rsid w:val="004F1A11"/>
    <w:rsid w:val="004F5E9C"/>
    <w:rsid w:val="00512B62"/>
    <w:rsid w:val="0052455A"/>
    <w:rsid w:val="005435D5"/>
    <w:rsid w:val="00543BF0"/>
    <w:rsid w:val="00556BFF"/>
    <w:rsid w:val="00567C6E"/>
    <w:rsid w:val="00570A63"/>
    <w:rsid w:val="00575C90"/>
    <w:rsid w:val="00576C35"/>
    <w:rsid w:val="00580CE3"/>
    <w:rsid w:val="00587DE6"/>
    <w:rsid w:val="005C1422"/>
    <w:rsid w:val="005F392A"/>
    <w:rsid w:val="00602E64"/>
    <w:rsid w:val="00623E60"/>
    <w:rsid w:val="00626C20"/>
    <w:rsid w:val="006338D9"/>
    <w:rsid w:val="00647581"/>
    <w:rsid w:val="0064794E"/>
    <w:rsid w:val="00647FE4"/>
    <w:rsid w:val="006633AE"/>
    <w:rsid w:val="00663EDC"/>
    <w:rsid w:val="00691D50"/>
    <w:rsid w:val="006B274D"/>
    <w:rsid w:val="006B3ED3"/>
    <w:rsid w:val="006B6C1C"/>
    <w:rsid w:val="006D615D"/>
    <w:rsid w:val="006E59F1"/>
    <w:rsid w:val="007040A0"/>
    <w:rsid w:val="00713E89"/>
    <w:rsid w:val="007145D9"/>
    <w:rsid w:val="00723994"/>
    <w:rsid w:val="00732ABA"/>
    <w:rsid w:val="0073685D"/>
    <w:rsid w:val="00757DDD"/>
    <w:rsid w:val="0076345B"/>
    <w:rsid w:val="00774112"/>
    <w:rsid w:val="007856DB"/>
    <w:rsid w:val="00795B7B"/>
    <w:rsid w:val="007A3A24"/>
    <w:rsid w:val="007B0907"/>
    <w:rsid w:val="007B0BFE"/>
    <w:rsid w:val="007B3883"/>
    <w:rsid w:val="007F0139"/>
    <w:rsid w:val="007F03E7"/>
    <w:rsid w:val="007F7598"/>
    <w:rsid w:val="008045DA"/>
    <w:rsid w:val="00812C83"/>
    <w:rsid w:val="00815702"/>
    <w:rsid w:val="00853CF4"/>
    <w:rsid w:val="00863C00"/>
    <w:rsid w:val="00866CCA"/>
    <w:rsid w:val="0087752E"/>
    <w:rsid w:val="00884C45"/>
    <w:rsid w:val="00893011"/>
    <w:rsid w:val="008B6C2B"/>
    <w:rsid w:val="008C1246"/>
    <w:rsid w:val="008D498B"/>
    <w:rsid w:val="008D59A4"/>
    <w:rsid w:val="008D75F4"/>
    <w:rsid w:val="008E7D0C"/>
    <w:rsid w:val="008F7BA3"/>
    <w:rsid w:val="00902C1F"/>
    <w:rsid w:val="00912BA4"/>
    <w:rsid w:val="00927FAA"/>
    <w:rsid w:val="00936904"/>
    <w:rsid w:val="00940E6D"/>
    <w:rsid w:val="009575BF"/>
    <w:rsid w:val="00967A9B"/>
    <w:rsid w:val="00983600"/>
    <w:rsid w:val="00986EA2"/>
    <w:rsid w:val="009B2037"/>
    <w:rsid w:val="009B3EFA"/>
    <w:rsid w:val="009C0593"/>
    <w:rsid w:val="009D768E"/>
    <w:rsid w:val="009E52B1"/>
    <w:rsid w:val="009E6990"/>
    <w:rsid w:val="009F0D34"/>
    <w:rsid w:val="009F0EA2"/>
    <w:rsid w:val="009F6E1A"/>
    <w:rsid w:val="00A02FC5"/>
    <w:rsid w:val="00A16503"/>
    <w:rsid w:val="00A2102A"/>
    <w:rsid w:val="00A405D9"/>
    <w:rsid w:val="00A44B7C"/>
    <w:rsid w:val="00A44BD7"/>
    <w:rsid w:val="00A478A5"/>
    <w:rsid w:val="00A52643"/>
    <w:rsid w:val="00A75DE9"/>
    <w:rsid w:val="00A75EE1"/>
    <w:rsid w:val="00A82B6C"/>
    <w:rsid w:val="00A90271"/>
    <w:rsid w:val="00A975E8"/>
    <w:rsid w:val="00AA028F"/>
    <w:rsid w:val="00AB5066"/>
    <w:rsid w:val="00AC20F0"/>
    <w:rsid w:val="00AE5B83"/>
    <w:rsid w:val="00AE738B"/>
    <w:rsid w:val="00AF3673"/>
    <w:rsid w:val="00B059F4"/>
    <w:rsid w:val="00B06716"/>
    <w:rsid w:val="00B13F7B"/>
    <w:rsid w:val="00B37043"/>
    <w:rsid w:val="00B436E7"/>
    <w:rsid w:val="00B56E84"/>
    <w:rsid w:val="00B725DA"/>
    <w:rsid w:val="00B8196B"/>
    <w:rsid w:val="00BA62B9"/>
    <w:rsid w:val="00BB21E2"/>
    <w:rsid w:val="00BC2835"/>
    <w:rsid w:val="00BD0FE6"/>
    <w:rsid w:val="00BD63AA"/>
    <w:rsid w:val="00BE054F"/>
    <w:rsid w:val="00BE737B"/>
    <w:rsid w:val="00BF161F"/>
    <w:rsid w:val="00C06979"/>
    <w:rsid w:val="00C1114E"/>
    <w:rsid w:val="00C166CC"/>
    <w:rsid w:val="00C25E71"/>
    <w:rsid w:val="00C3459B"/>
    <w:rsid w:val="00C3672E"/>
    <w:rsid w:val="00C4037D"/>
    <w:rsid w:val="00C40EE8"/>
    <w:rsid w:val="00C410F2"/>
    <w:rsid w:val="00C449B7"/>
    <w:rsid w:val="00C5121B"/>
    <w:rsid w:val="00C53D4F"/>
    <w:rsid w:val="00C53EE9"/>
    <w:rsid w:val="00C710A7"/>
    <w:rsid w:val="00C83BDA"/>
    <w:rsid w:val="00CA6AE3"/>
    <w:rsid w:val="00CB33D6"/>
    <w:rsid w:val="00CB3C29"/>
    <w:rsid w:val="00CB622F"/>
    <w:rsid w:val="00CE7B18"/>
    <w:rsid w:val="00CF0A15"/>
    <w:rsid w:val="00CF0EAA"/>
    <w:rsid w:val="00D04929"/>
    <w:rsid w:val="00D17F99"/>
    <w:rsid w:val="00D2152A"/>
    <w:rsid w:val="00D30333"/>
    <w:rsid w:val="00D4428A"/>
    <w:rsid w:val="00D45D54"/>
    <w:rsid w:val="00D5192F"/>
    <w:rsid w:val="00D571E4"/>
    <w:rsid w:val="00D70A50"/>
    <w:rsid w:val="00D74014"/>
    <w:rsid w:val="00D74261"/>
    <w:rsid w:val="00D769B3"/>
    <w:rsid w:val="00D9023E"/>
    <w:rsid w:val="00DA47A0"/>
    <w:rsid w:val="00DA4A86"/>
    <w:rsid w:val="00DB2CBC"/>
    <w:rsid w:val="00DB7CBB"/>
    <w:rsid w:val="00DC1C0C"/>
    <w:rsid w:val="00DD2EBC"/>
    <w:rsid w:val="00DD6992"/>
    <w:rsid w:val="00DF054D"/>
    <w:rsid w:val="00E21B0C"/>
    <w:rsid w:val="00E3121D"/>
    <w:rsid w:val="00E315B2"/>
    <w:rsid w:val="00E33EBF"/>
    <w:rsid w:val="00E36D2F"/>
    <w:rsid w:val="00E41C82"/>
    <w:rsid w:val="00E42538"/>
    <w:rsid w:val="00E45B0E"/>
    <w:rsid w:val="00E45EEA"/>
    <w:rsid w:val="00E47A33"/>
    <w:rsid w:val="00E51D74"/>
    <w:rsid w:val="00E53A7A"/>
    <w:rsid w:val="00E71B6C"/>
    <w:rsid w:val="00E87862"/>
    <w:rsid w:val="00E946EB"/>
    <w:rsid w:val="00EB0239"/>
    <w:rsid w:val="00EB1444"/>
    <w:rsid w:val="00EB570F"/>
    <w:rsid w:val="00EB61E7"/>
    <w:rsid w:val="00EC468D"/>
    <w:rsid w:val="00EC7BD3"/>
    <w:rsid w:val="00ED74F9"/>
    <w:rsid w:val="00EE11D0"/>
    <w:rsid w:val="00EE122A"/>
    <w:rsid w:val="00F235F9"/>
    <w:rsid w:val="00F31A0F"/>
    <w:rsid w:val="00F338DC"/>
    <w:rsid w:val="00F36C6A"/>
    <w:rsid w:val="00F4301F"/>
    <w:rsid w:val="00F5061D"/>
    <w:rsid w:val="00F84387"/>
    <w:rsid w:val="00F96813"/>
    <w:rsid w:val="00FA225A"/>
    <w:rsid w:val="00FA6DC1"/>
    <w:rsid w:val="00FB6D9C"/>
    <w:rsid w:val="00FC304F"/>
    <w:rsid w:val="00FD3F56"/>
    <w:rsid w:val="00FD60FD"/>
    <w:rsid w:val="00FE3C4B"/>
    <w:rsid w:val="00FE71FC"/>
    <w:rsid w:val="00FF433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0A7"/>
    <w:pPr>
      <w:spacing w:after="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uiPriority w:val="9"/>
    <w:unhideWhenUsed/>
    <w:qFormat/>
    <w:rsid w:val="00863C0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10A7"/>
    <w:rPr>
      <w:color w:val="0000FF" w:themeColor="hyperlink"/>
      <w:u w:val="single"/>
    </w:rPr>
  </w:style>
  <w:style w:type="paragraph" w:styleId="ListParagraph">
    <w:name w:val="List Paragraph"/>
    <w:basedOn w:val="Normal"/>
    <w:uiPriority w:val="34"/>
    <w:qFormat/>
    <w:rsid w:val="00C710A7"/>
    <w:pPr>
      <w:ind w:left="720"/>
      <w:contextualSpacing/>
    </w:pPr>
  </w:style>
  <w:style w:type="character" w:styleId="CommentReference">
    <w:name w:val="annotation reference"/>
    <w:basedOn w:val="DefaultParagraphFont"/>
    <w:uiPriority w:val="99"/>
    <w:semiHidden/>
    <w:unhideWhenUsed/>
    <w:rsid w:val="00C710A7"/>
    <w:rPr>
      <w:sz w:val="16"/>
      <w:szCs w:val="16"/>
    </w:rPr>
  </w:style>
  <w:style w:type="paragraph" w:styleId="CommentText">
    <w:name w:val="annotation text"/>
    <w:basedOn w:val="Normal"/>
    <w:link w:val="CommentTextChar"/>
    <w:uiPriority w:val="99"/>
    <w:semiHidden/>
    <w:unhideWhenUsed/>
    <w:rsid w:val="00C710A7"/>
    <w:rPr>
      <w:sz w:val="20"/>
      <w:szCs w:val="20"/>
    </w:rPr>
  </w:style>
  <w:style w:type="character" w:customStyle="1" w:styleId="CommentTextChar">
    <w:name w:val="Comment Text Char"/>
    <w:basedOn w:val="DefaultParagraphFont"/>
    <w:link w:val="CommentText"/>
    <w:uiPriority w:val="99"/>
    <w:semiHidden/>
    <w:rsid w:val="00C710A7"/>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C710A7"/>
    <w:rPr>
      <w:b/>
      <w:bCs/>
    </w:rPr>
  </w:style>
  <w:style w:type="character" w:customStyle="1" w:styleId="CommentSubjectChar">
    <w:name w:val="Comment Subject Char"/>
    <w:basedOn w:val="CommentTextChar"/>
    <w:link w:val="CommentSubject"/>
    <w:uiPriority w:val="99"/>
    <w:semiHidden/>
    <w:rsid w:val="00C710A7"/>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C710A7"/>
    <w:rPr>
      <w:rFonts w:ascii="Tahoma" w:hAnsi="Tahoma" w:cs="Tahoma"/>
      <w:sz w:val="16"/>
      <w:szCs w:val="16"/>
    </w:rPr>
  </w:style>
  <w:style w:type="character" w:customStyle="1" w:styleId="BalloonTextChar">
    <w:name w:val="Balloon Text Char"/>
    <w:basedOn w:val="DefaultParagraphFont"/>
    <w:link w:val="BalloonText"/>
    <w:uiPriority w:val="99"/>
    <w:semiHidden/>
    <w:rsid w:val="00C710A7"/>
    <w:rPr>
      <w:rFonts w:ascii="Tahoma" w:eastAsia="SimSun" w:hAnsi="Tahoma" w:cs="Tahoma"/>
      <w:sz w:val="16"/>
      <w:szCs w:val="16"/>
      <w:lang w:eastAsia="zh-CN"/>
    </w:rPr>
  </w:style>
  <w:style w:type="paragraph" w:styleId="Revision">
    <w:name w:val="Revision"/>
    <w:hidden/>
    <w:uiPriority w:val="99"/>
    <w:semiHidden/>
    <w:rsid w:val="00C710A7"/>
    <w:pPr>
      <w:spacing w:after="0" w:line="240" w:lineRule="auto"/>
    </w:pPr>
    <w:rPr>
      <w:rFonts w:ascii="Times New Roman" w:eastAsia="SimSun" w:hAnsi="Times New Roman" w:cs="Times New Roman"/>
      <w:sz w:val="24"/>
      <w:szCs w:val="24"/>
      <w:lang w:eastAsia="zh-CN"/>
    </w:rPr>
  </w:style>
  <w:style w:type="paragraph" w:styleId="NormalWeb">
    <w:name w:val="Normal (Web)"/>
    <w:basedOn w:val="Normal"/>
    <w:uiPriority w:val="99"/>
    <w:unhideWhenUsed/>
    <w:rsid w:val="00C710A7"/>
    <w:pPr>
      <w:spacing w:before="100" w:beforeAutospacing="1" w:after="100" w:afterAutospacing="1"/>
    </w:pPr>
    <w:rPr>
      <w:rFonts w:eastAsia="Times New Roman"/>
      <w:lang w:eastAsia="en-GB"/>
    </w:rPr>
  </w:style>
  <w:style w:type="character" w:customStyle="1" w:styleId="apple-converted-space">
    <w:name w:val="apple-converted-space"/>
    <w:basedOn w:val="DefaultParagraphFont"/>
    <w:rsid w:val="00C710A7"/>
  </w:style>
  <w:style w:type="character" w:styleId="FollowedHyperlink">
    <w:name w:val="FollowedHyperlink"/>
    <w:basedOn w:val="DefaultParagraphFont"/>
    <w:uiPriority w:val="99"/>
    <w:semiHidden/>
    <w:unhideWhenUsed/>
    <w:rsid w:val="00C710A7"/>
    <w:rPr>
      <w:color w:val="800080" w:themeColor="followedHyperlink"/>
      <w:u w:val="single"/>
    </w:rPr>
  </w:style>
  <w:style w:type="table" w:styleId="TableGrid">
    <w:name w:val="Table Grid"/>
    <w:basedOn w:val="TableNormal"/>
    <w:uiPriority w:val="59"/>
    <w:rsid w:val="00C71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710A7"/>
    <w:pPr>
      <w:spacing w:after="200"/>
    </w:pPr>
    <w:rPr>
      <w:b/>
      <w:bCs/>
      <w:color w:val="4F81BD" w:themeColor="accent1"/>
      <w:sz w:val="18"/>
      <w:szCs w:val="18"/>
    </w:rPr>
  </w:style>
  <w:style w:type="paragraph" w:styleId="Header">
    <w:name w:val="header"/>
    <w:basedOn w:val="Normal"/>
    <w:link w:val="HeaderChar"/>
    <w:uiPriority w:val="99"/>
    <w:unhideWhenUsed/>
    <w:rsid w:val="00C710A7"/>
    <w:pPr>
      <w:tabs>
        <w:tab w:val="center" w:pos="4513"/>
        <w:tab w:val="right" w:pos="9026"/>
      </w:tabs>
    </w:pPr>
  </w:style>
  <w:style w:type="character" w:customStyle="1" w:styleId="HeaderChar">
    <w:name w:val="Header Char"/>
    <w:basedOn w:val="DefaultParagraphFont"/>
    <w:link w:val="Header"/>
    <w:uiPriority w:val="99"/>
    <w:rsid w:val="00C710A7"/>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C710A7"/>
    <w:pPr>
      <w:tabs>
        <w:tab w:val="center" w:pos="4513"/>
        <w:tab w:val="right" w:pos="9026"/>
      </w:tabs>
    </w:pPr>
  </w:style>
  <w:style w:type="character" w:customStyle="1" w:styleId="FooterChar">
    <w:name w:val="Footer Char"/>
    <w:basedOn w:val="DefaultParagraphFont"/>
    <w:link w:val="Footer"/>
    <w:uiPriority w:val="99"/>
    <w:rsid w:val="00C710A7"/>
    <w:rPr>
      <w:rFonts w:ascii="Times New Roman" w:eastAsia="SimSun" w:hAnsi="Times New Roman" w:cs="Times New Roman"/>
      <w:sz w:val="24"/>
      <w:szCs w:val="24"/>
      <w:lang w:eastAsia="zh-CN"/>
    </w:rPr>
  </w:style>
  <w:style w:type="character" w:styleId="Strong">
    <w:name w:val="Strong"/>
    <w:basedOn w:val="DefaultParagraphFont"/>
    <w:uiPriority w:val="22"/>
    <w:qFormat/>
    <w:rsid w:val="00C710A7"/>
    <w:rPr>
      <w:b/>
      <w:bCs/>
    </w:rPr>
  </w:style>
  <w:style w:type="character" w:styleId="Emphasis">
    <w:name w:val="Emphasis"/>
    <w:basedOn w:val="DefaultParagraphFont"/>
    <w:uiPriority w:val="20"/>
    <w:qFormat/>
    <w:rsid w:val="00C710A7"/>
    <w:rPr>
      <w:i/>
      <w:iCs/>
    </w:rPr>
  </w:style>
  <w:style w:type="paragraph" w:customStyle="1" w:styleId="body">
    <w:name w:val="body"/>
    <w:basedOn w:val="Normal"/>
    <w:rsid w:val="00DA47A0"/>
    <w:pPr>
      <w:spacing w:before="100" w:beforeAutospacing="1" w:after="100" w:afterAutospacing="1"/>
    </w:pPr>
    <w:rPr>
      <w:rFonts w:ascii="Arial" w:hAnsi="Arial" w:cs="Arial"/>
      <w:color w:val="000000"/>
      <w:lang w:bidi="he-IL"/>
    </w:rPr>
  </w:style>
  <w:style w:type="paragraph" w:customStyle="1" w:styleId="heading3">
    <w:name w:val="heading3"/>
    <w:basedOn w:val="Normal"/>
    <w:rsid w:val="00DA47A0"/>
    <w:pPr>
      <w:spacing w:before="100" w:beforeAutospacing="1" w:after="100" w:afterAutospacing="1"/>
    </w:pPr>
    <w:rPr>
      <w:rFonts w:ascii="Arial" w:hAnsi="Arial" w:cs="Arial"/>
      <w:b/>
      <w:bCs/>
      <w:color w:val="000000"/>
      <w:lang w:bidi="he-IL"/>
    </w:rPr>
  </w:style>
  <w:style w:type="paragraph" w:customStyle="1" w:styleId="Default">
    <w:name w:val="Default"/>
    <w:rsid w:val="00AE5B83"/>
    <w:pPr>
      <w:autoSpaceDE w:val="0"/>
      <w:autoSpaceDN w:val="0"/>
      <w:adjustRightInd w:val="0"/>
      <w:spacing w:after="0" w:line="240" w:lineRule="auto"/>
    </w:pPr>
    <w:rPr>
      <w:rFonts w:ascii="Calibri" w:hAnsi="Calibri" w:cs="Calibri"/>
      <w:color w:val="000000"/>
      <w:sz w:val="24"/>
      <w:szCs w:val="24"/>
    </w:rPr>
  </w:style>
  <w:style w:type="paragraph" w:customStyle="1" w:styleId="Eduelaboration">
    <w:name w:val="Edu elaboration"/>
    <w:basedOn w:val="Normal"/>
    <w:link w:val="EduelaborationChar"/>
    <w:qFormat/>
    <w:rsid w:val="00294B5B"/>
    <w:pPr>
      <w:ind w:left="2858" w:hanging="1440"/>
    </w:pPr>
    <w:rPr>
      <w:rFonts w:ascii="Calibri" w:eastAsia="Times New Roman" w:hAnsi="Calibri"/>
      <w:bCs/>
      <w:sz w:val="20"/>
      <w:szCs w:val="18"/>
      <w:lang w:eastAsia="en-GB"/>
    </w:rPr>
  </w:style>
  <w:style w:type="character" w:customStyle="1" w:styleId="EduelaborationChar">
    <w:name w:val="Edu elaboration Char"/>
    <w:basedOn w:val="DefaultParagraphFont"/>
    <w:link w:val="Eduelaboration"/>
    <w:rsid w:val="00294B5B"/>
    <w:rPr>
      <w:rFonts w:ascii="Calibri" w:eastAsia="Times New Roman" w:hAnsi="Calibri" w:cs="Times New Roman"/>
      <w:bCs/>
      <w:sz w:val="20"/>
      <w:szCs w:val="18"/>
      <w:lang w:eastAsia="en-GB"/>
    </w:rPr>
  </w:style>
  <w:style w:type="character" w:customStyle="1" w:styleId="Heading2Char">
    <w:name w:val="Heading 2 Char"/>
    <w:basedOn w:val="DefaultParagraphFont"/>
    <w:link w:val="Heading2"/>
    <w:uiPriority w:val="9"/>
    <w:rsid w:val="00863C00"/>
    <w:rPr>
      <w:rFonts w:asciiTheme="majorHAnsi" w:eastAsiaTheme="majorEastAsia" w:hAnsiTheme="majorHAnsi" w:cstheme="majorBidi"/>
      <w:b/>
      <w:bCs/>
      <w:color w:val="4F81BD" w:themeColor="accent1"/>
      <w:sz w:val="26"/>
      <w:szCs w:val="26"/>
    </w:rPr>
  </w:style>
  <w:style w:type="table" w:customStyle="1" w:styleId="LightShading-Accent11">
    <w:name w:val="Light Shading - Accent 11"/>
    <w:basedOn w:val="TableNormal"/>
    <w:uiPriority w:val="60"/>
    <w:rsid w:val="00863C00"/>
    <w:pPr>
      <w:spacing w:after="0" w:line="240" w:lineRule="auto"/>
    </w:pPr>
    <w:rPr>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lainText">
    <w:name w:val="Plain Text"/>
    <w:basedOn w:val="Normal"/>
    <w:link w:val="PlainTextChar"/>
    <w:uiPriority w:val="99"/>
    <w:semiHidden/>
    <w:unhideWhenUsed/>
    <w:rsid w:val="00CA6AE3"/>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CA6AE3"/>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0A7"/>
    <w:pPr>
      <w:spacing w:after="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uiPriority w:val="9"/>
    <w:unhideWhenUsed/>
    <w:qFormat/>
    <w:rsid w:val="00863C0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10A7"/>
    <w:rPr>
      <w:color w:val="0000FF" w:themeColor="hyperlink"/>
      <w:u w:val="single"/>
    </w:rPr>
  </w:style>
  <w:style w:type="paragraph" w:styleId="ListParagraph">
    <w:name w:val="List Paragraph"/>
    <w:basedOn w:val="Normal"/>
    <w:uiPriority w:val="34"/>
    <w:qFormat/>
    <w:rsid w:val="00C710A7"/>
    <w:pPr>
      <w:ind w:left="720"/>
      <w:contextualSpacing/>
    </w:pPr>
  </w:style>
  <w:style w:type="character" w:styleId="CommentReference">
    <w:name w:val="annotation reference"/>
    <w:basedOn w:val="DefaultParagraphFont"/>
    <w:uiPriority w:val="99"/>
    <w:semiHidden/>
    <w:unhideWhenUsed/>
    <w:rsid w:val="00C710A7"/>
    <w:rPr>
      <w:sz w:val="16"/>
      <w:szCs w:val="16"/>
    </w:rPr>
  </w:style>
  <w:style w:type="paragraph" w:styleId="CommentText">
    <w:name w:val="annotation text"/>
    <w:basedOn w:val="Normal"/>
    <w:link w:val="CommentTextChar"/>
    <w:uiPriority w:val="99"/>
    <w:semiHidden/>
    <w:unhideWhenUsed/>
    <w:rsid w:val="00C710A7"/>
    <w:rPr>
      <w:sz w:val="20"/>
      <w:szCs w:val="20"/>
    </w:rPr>
  </w:style>
  <w:style w:type="character" w:customStyle="1" w:styleId="CommentTextChar">
    <w:name w:val="Comment Text Char"/>
    <w:basedOn w:val="DefaultParagraphFont"/>
    <w:link w:val="CommentText"/>
    <w:uiPriority w:val="99"/>
    <w:semiHidden/>
    <w:rsid w:val="00C710A7"/>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C710A7"/>
    <w:rPr>
      <w:b/>
      <w:bCs/>
    </w:rPr>
  </w:style>
  <w:style w:type="character" w:customStyle="1" w:styleId="CommentSubjectChar">
    <w:name w:val="Comment Subject Char"/>
    <w:basedOn w:val="CommentTextChar"/>
    <w:link w:val="CommentSubject"/>
    <w:uiPriority w:val="99"/>
    <w:semiHidden/>
    <w:rsid w:val="00C710A7"/>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C710A7"/>
    <w:rPr>
      <w:rFonts w:ascii="Tahoma" w:hAnsi="Tahoma" w:cs="Tahoma"/>
      <w:sz w:val="16"/>
      <w:szCs w:val="16"/>
    </w:rPr>
  </w:style>
  <w:style w:type="character" w:customStyle="1" w:styleId="BalloonTextChar">
    <w:name w:val="Balloon Text Char"/>
    <w:basedOn w:val="DefaultParagraphFont"/>
    <w:link w:val="BalloonText"/>
    <w:uiPriority w:val="99"/>
    <w:semiHidden/>
    <w:rsid w:val="00C710A7"/>
    <w:rPr>
      <w:rFonts w:ascii="Tahoma" w:eastAsia="SimSun" w:hAnsi="Tahoma" w:cs="Tahoma"/>
      <w:sz w:val="16"/>
      <w:szCs w:val="16"/>
      <w:lang w:eastAsia="zh-CN"/>
    </w:rPr>
  </w:style>
  <w:style w:type="paragraph" w:styleId="Revision">
    <w:name w:val="Revision"/>
    <w:hidden/>
    <w:uiPriority w:val="99"/>
    <w:semiHidden/>
    <w:rsid w:val="00C710A7"/>
    <w:pPr>
      <w:spacing w:after="0" w:line="240" w:lineRule="auto"/>
    </w:pPr>
    <w:rPr>
      <w:rFonts w:ascii="Times New Roman" w:eastAsia="SimSun" w:hAnsi="Times New Roman" w:cs="Times New Roman"/>
      <w:sz w:val="24"/>
      <w:szCs w:val="24"/>
      <w:lang w:eastAsia="zh-CN"/>
    </w:rPr>
  </w:style>
  <w:style w:type="paragraph" w:styleId="NormalWeb">
    <w:name w:val="Normal (Web)"/>
    <w:basedOn w:val="Normal"/>
    <w:uiPriority w:val="99"/>
    <w:unhideWhenUsed/>
    <w:rsid w:val="00C710A7"/>
    <w:pPr>
      <w:spacing w:before="100" w:beforeAutospacing="1" w:after="100" w:afterAutospacing="1"/>
    </w:pPr>
    <w:rPr>
      <w:rFonts w:eastAsia="Times New Roman"/>
      <w:lang w:eastAsia="en-GB"/>
    </w:rPr>
  </w:style>
  <w:style w:type="character" w:customStyle="1" w:styleId="apple-converted-space">
    <w:name w:val="apple-converted-space"/>
    <w:basedOn w:val="DefaultParagraphFont"/>
    <w:rsid w:val="00C710A7"/>
  </w:style>
  <w:style w:type="character" w:styleId="FollowedHyperlink">
    <w:name w:val="FollowedHyperlink"/>
    <w:basedOn w:val="DefaultParagraphFont"/>
    <w:uiPriority w:val="99"/>
    <w:semiHidden/>
    <w:unhideWhenUsed/>
    <w:rsid w:val="00C710A7"/>
    <w:rPr>
      <w:color w:val="800080" w:themeColor="followedHyperlink"/>
      <w:u w:val="single"/>
    </w:rPr>
  </w:style>
  <w:style w:type="table" w:styleId="TableGrid">
    <w:name w:val="Table Grid"/>
    <w:basedOn w:val="TableNormal"/>
    <w:uiPriority w:val="59"/>
    <w:rsid w:val="00C71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710A7"/>
    <w:pPr>
      <w:spacing w:after="200"/>
    </w:pPr>
    <w:rPr>
      <w:b/>
      <w:bCs/>
      <w:color w:val="4F81BD" w:themeColor="accent1"/>
      <w:sz w:val="18"/>
      <w:szCs w:val="18"/>
    </w:rPr>
  </w:style>
  <w:style w:type="paragraph" w:styleId="Header">
    <w:name w:val="header"/>
    <w:basedOn w:val="Normal"/>
    <w:link w:val="HeaderChar"/>
    <w:uiPriority w:val="99"/>
    <w:unhideWhenUsed/>
    <w:rsid w:val="00C710A7"/>
    <w:pPr>
      <w:tabs>
        <w:tab w:val="center" w:pos="4513"/>
        <w:tab w:val="right" w:pos="9026"/>
      </w:tabs>
    </w:pPr>
  </w:style>
  <w:style w:type="character" w:customStyle="1" w:styleId="HeaderChar">
    <w:name w:val="Header Char"/>
    <w:basedOn w:val="DefaultParagraphFont"/>
    <w:link w:val="Header"/>
    <w:uiPriority w:val="99"/>
    <w:rsid w:val="00C710A7"/>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C710A7"/>
    <w:pPr>
      <w:tabs>
        <w:tab w:val="center" w:pos="4513"/>
        <w:tab w:val="right" w:pos="9026"/>
      </w:tabs>
    </w:pPr>
  </w:style>
  <w:style w:type="character" w:customStyle="1" w:styleId="FooterChar">
    <w:name w:val="Footer Char"/>
    <w:basedOn w:val="DefaultParagraphFont"/>
    <w:link w:val="Footer"/>
    <w:uiPriority w:val="99"/>
    <w:rsid w:val="00C710A7"/>
    <w:rPr>
      <w:rFonts w:ascii="Times New Roman" w:eastAsia="SimSun" w:hAnsi="Times New Roman" w:cs="Times New Roman"/>
      <w:sz w:val="24"/>
      <w:szCs w:val="24"/>
      <w:lang w:eastAsia="zh-CN"/>
    </w:rPr>
  </w:style>
  <w:style w:type="character" w:styleId="Strong">
    <w:name w:val="Strong"/>
    <w:basedOn w:val="DefaultParagraphFont"/>
    <w:uiPriority w:val="22"/>
    <w:qFormat/>
    <w:rsid w:val="00C710A7"/>
    <w:rPr>
      <w:b/>
      <w:bCs/>
    </w:rPr>
  </w:style>
  <w:style w:type="character" w:styleId="Emphasis">
    <w:name w:val="Emphasis"/>
    <w:basedOn w:val="DefaultParagraphFont"/>
    <w:uiPriority w:val="20"/>
    <w:qFormat/>
    <w:rsid w:val="00C710A7"/>
    <w:rPr>
      <w:i/>
      <w:iCs/>
    </w:rPr>
  </w:style>
  <w:style w:type="paragraph" w:customStyle="1" w:styleId="body">
    <w:name w:val="body"/>
    <w:basedOn w:val="Normal"/>
    <w:rsid w:val="00DA47A0"/>
    <w:pPr>
      <w:spacing w:before="100" w:beforeAutospacing="1" w:after="100" w:afterAutospacing="1"/>
    </w:pPr>
    <w:rPr>
      <w:rFonts w:ascii="Arial" w:hAnsi="Arial" w:cs="Arial"/>
      <w:color w:val="000000"/>
      <w:lang w:bidi="he-IL"/>
    </w:rPr>
  </w:style>
  <w:style w:type="paragraph" w:customStyle="1" w:styleId="heading3">
    <w:name w:val="heading3"/>
    <w:basedOn w:val="Normal"/>
    <w:rsid w:val="00DA47A0"/>
    <w:pPr>
      <w:spacing w:before="100" w:beforeAutospacing="1" w:after="100" w:afterAutospacing="1"/>
    </w:pPr>
    <w:rPr>
      <w:rFonts w:ascii="Arial" w:hAnsi="Arial" w:cs="Arial"/>
      <w:b/>
      <w:bCs/>
      <w:color w:val="000000"/>
      <w:lang w:bidi="he-IL"/>
    </w:rPr>
  </w:style>
  <w:style w:type="paragraph" w:customStyle="1" w:styleId="Default">
    <w:name w:val="Default"/>
    <w:rsid w:val="00AE5B83"/>
    <w:pPr>
      <w:autoSpaceDE w:val="0"/>
      <w:autoSpaceDN w:val="0"/>
      <w:adjustRightInd w:val="0"/>
      <w:spacing w:after="0" w:line="240" w:lineRule="auto"/>
    </w:pPr>
    <w:rPr>
      <w:rFonts w:ascii="Calibri" w:hAnsi="Calibri" w:cs="Calibri"/>
      <w:color w:val="000000"/>
      <w:sz w:val="24"/>
      <w:szCs w:val="24"/>
    </w:rPr>
  </w:style>
  <w:style w:type="paragraph" w:customStyle="1" w:styleId="Eduelaboration">
    <w:name w:val="Edu elaboration"/>
    <w:basedOn w:val="Normal"/>
    <w:link w:val="EduelaborationChar"/>
    <w:qFormat/>
    <w:rsid w:val="00294B5B"/>
    <w:pPr>
      <w:ind w:left="2858" w:hanging="1440"/>
    </w:pPr>
    <w:rPr>
      <w:rFonts w:ascii="Calibri" w:eastAsia="Times New Roman" w:hAnsi="Calibri"/>
      <w:bCs/>
      <w:sz w:val="20"/>
      <w:szCs w:val="18"/>
      <w:lang w:eastAsia="en-GB"/>
    </w:rPr>
  </w:style>
  <w:style w:type="character" w:customStyle="1" w:styleId="EduelaborationChar">
    <w:name w:val="Edu elaboration Char"/>
    <w:basedOn w:val="DefaultParagraphFont"/>
    <w:link w:val="Eduelaboration"/>
    <w:rsid w:val="00294B5B"/>
    <w:rPr>
      <w:rFonts w:ascii="Calibri" w:eastAsia="Times New Roman" w:hAnsi="Calibri" w:cs="Times New Roman"/>
      <w:bCs/>
      <w:sz w:val="20"/>
      <w:szCs w:val="18"/>
      <w:lang w:eastAsia="en-GB"/>
    </w:rPr>
  </w:style>
  <w:style w:type="character" w:customStyle="1" w:styleId="Heading2Char">
    <w:name w:val="Heading 2 Char"/>
    <w:basedOn w:val="DefaultParagraphFont"/>
    <w:link w:val="Heading2"/>
    <w:uiPriority w:val="9"/>
    <w:rsid w:val="00863C00"/>
    <w:rPr>
      <w:rFonts w:asciiTheme="majorHAnsi" w:eastAsiaTheme="majorEastAsia" w:hAnsiTheme="majorHAnsi" w:cstheme="majorBidi"/>
      <w:b/>
      <w:bCs/>
      <w:color w:val="4F81BD" w:themeColor="accent1"/>
      <w:sz w:val="26"/>
      <w:szCs w:val="26"/>
    </w:rPr>
  </w:style>
  <w:style w:type="table" w:customStyle="1" w:styleId="LightShading-Accent11">
    <w:name w:val="Light Shading - Accent 11"/>
    <w:basedOn w:val="TableNormal"/>
    <w:uiPriority w:val="60"/>
    <w:rsid w:val="00863C00"/>
    <w:pPr>
      <w:spacing w:after="0" w:line="240" w:lineRule="auto"/>
    </w:pPr>
    <w:rPr>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lainText">
    <w:name w:val="Plain Text"/>
    <w:basedOn w:val="Normal"/>
    <w:link w:val="PlainTextChar"/>
    <w:uiPriority w:val="99"/>
    <w:semiHidden/>
    <w:unhideWhenUsed/>
    <w:rsid w:val="00CA6AE3"/>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CA6AE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664">
      <w:bodyDiv w:val="1"/>
      <w:marLeft w:val="0"/>
      <w:marRight w:val="0"/>
      <w:marTop w:val="0"/>
      <w:marBottom w:val="0"/>
      <w:divBdr>
        <w:top w:val="none" w:sz="0" w:space="0" w:color="auto"/>
        <w:left w:val="none" w:sz="0" w:space="0" w:color="auto"/>
        <w:bottom w:val="none" w:sz="0" w:space="0" w:color="auto"/>
        <w:right w:val="none" w:sz="0" w:space="0" w:color="auto"/>
      </w:divBdr>
      <w:divsChild>
        <w:div w:id="937296916">
          <w:marLeft w:val="0"/>
          <w:marRight w:val="0"/>
          <w:marTop w:val="0"/>
          <w:marBottom w:val="0"/>
          <w:divBdr>
            <w:top w:val="none" w:sz="0" w:space="0" w:color="auto"/>
            <w:left w:val="none" w:sz="0" w:space="0" w:color="auto"/>
            <w:bottom w:val="none" w:sz="0" w:space="0" w:color="auto"/>
            <w:right w:val="none" w:sz="0" w:space="0" w:color="auto"/>
          </w:divBdr>
          <w:divsChild>
            <w:div w:id="1052339990">
              <w:marLeft w:val="0"/>
              <w:marRight w:val="0"/>
              <w:marTop w:val="0"/>
              <w:marBottom w:val="0"/>
              <w:divBdr>
                <w:top w:val="none" w:sz="0" w:space="0" w:color="auto"/>
                <w:left w:val="none" w:sz="0" w:space="0" w:color="auto"/>
                <w:bottom w:val="none" w:sz="0" w:space="0" w:color="auto"/>
                <w:right w:val="none" w:sz="0" w:space="0" w:color="auto"/>
              </w:divBdr>
              <w:divsChild>
                <w:div w:id="11033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633304">
      <w:bodyDiv w:val="1"/>
      <w:marLeft w:val="0"/>
      <w:marRight w:val="0"/>
      <w:marTop w:val="0"/>
      <w:marBottom w:val="0"/>
      <w:divBdr>
        <w:top w:val="none" w:sz="0" w:space="0" w:color="auto"/>
        <w:left w:val="none" w:sz="0" w:space="0" w:color="auto"/>
        <w:bottom w:val="none" w:sz="0" w:space="0" w:color="auto"/>
        <w:right w:val="none" w:sz="0" w:space="0" w:color="auto"/>
      </w:divBdr>
      <w:divsChild>
        <w:div w:id="87117013">
          <w:marLeft w:val="0"/>
          <w:marRight w:val="0"/>
          <w:marTop w:val="0"/>
          <w:marBottom w:val="0"/>
          <w:divBdr>
            <w:top w:val="none" w:sz="0" w:space="0" w:color="auto"/>
            <w:left w:val="none" w:sz="0" w:space="0" w:color="auto"/>
            <w:bottom w:val="none" w:sz="0" w:space="0" w:color="auto"/>
            <w:right w:val="none" w:sz="0" w:space="0" w:color="auto"/>
          </w:divBdr>
          <w:divsChild>
            <w:div w:id="1972246967">
              <w:marLeft w:val="0"/>
              <w:marRight w:val="0"/>
              <w:marTop w:val="0"/>
              <w:marBottom w:val="0"/>
              <w:divBdr>
                <w:top w:val="none" w:sz="0" w:space="0" w:color="auto"/>
                <w:left w:val="none" w:sz="0" w:space="0" w:color="auto"/>
                <w:bottom w:val="none" w:sz="0" w:space="0" w:color="auto"/>
                <w:right w:val="none" w:sz="0" w:space="0" w:color="auto"/>
              </w:divBdr>
              <w:divsChild>
                <w:div w:id="1012075697">
                  <w:marLeft w:val="0"/>
                  <w:marRight w:val="0"/>
                  <w:marTop w:val="598"/>
                  <w:marBottom w:val="0"/>
                  <w:divBdr>
                    <w:top w:val="none" w:sz="0" w:space="0" w:color="auto"/>
                    <w:left w:val="none" w:sz="0" w:space="0" w:color="auto"/>
                    <w:bottom w:val="none" w:sz="0" w:space="0" w:color="auto"/>
                    <w:right w:val="none" w:sz="0" w:space="0" w:color="auto"/>
                  </w:divBdr>
                  <w:divsChild>
                    <w:div w:id="1166361279">
                      <w:marLeft w:val="0"/>
                      <w:marRight w:val="0"/>
                      <w:marTop w:val="0"/>
                      <w:marBottom w:val="231"/>
                      <w:divBdr>
                        <w:top w:val="none" w:sz="0" w:space="0" w:color="auto"/>
                        <w:left w:val="none" w:sz="0" w:space="0" w:color="auto"/>
                        <w:bottom w:val="none" w:sz="0" w:space="0" w:color="auto"/>
                        <w:right w:val="none" w:sz="0" w:space="0" w:color="auto"/>
                      </w:divBdr>
                      <w:divsChild>
                        <w:div w:id="1195918759">
                          <w:marLeft w:val="0"/>
                          <w:marRight w:val="0"/>
                          <w:marTop w:val="0"/>
                          <w:marBottom w:val="0"/>
                          <w:divBdr>
                            <w:top w:val="none" w:sz="0" w:space="0" w:color="auto"/>
                            <w:left w:val="none" w:sz="0" w:space="0" w:color="auto"/>
                            <w:bottom w:val="none" w:sz="0" w:space="0" w:color="auto"/>
                            <w:right w:val="none" w:sz="0" w:space="0" w:color="auto"/>
                          </w:divBdr>
                          <w:divsChild>
                            <w:div w:id="78603950">
                              <w:marLeft w:val="0"/>
                              <w:marRight w:val="0"/>
                              <w:marTop w:val="0"/>
                              <w:marBottom w:val="0"/>
                              <w:divBdr>
                                <w:top w:val="none" w:sz="0" w:space="0" w:color="auto"/>
                                <w:left w:val="none" w:sz="0" w:space="0" w:color="auto"/>
                                <w:bottom w:val="none" w:sz="0" w:space="0" w:color="auto"/>
                                <w:right w:val="none" w:sz="0" w:space="0" w:color="auto"/>
                              </w:divBdr>
                              <w:divsChild>
                                <w:div w:id="1066418140">
                                  <w:marLeft w:val="0"/>
                                  <w:marRight w:val="0"/>
                                  <w:marTop w:val="0"/>
                                  <w:marBottom w:val="0"/>
                                  <w:divBdr>
                                    <w:top w:val="none" w:sz="0" w:space="0" w:color="auto"/>
                                    <w:left w:val="none" w:sz="0" w:space="0" w:color="auto"/>
                                    <w:bottom w:val="none" w:sz="0" w:space="0" w:color="auto"/>
                                    <w:right w:val="none" w:sz="0" w:space="0" w:color="auto"/>
                                  </w:divBdr>
                                  <w:divsChild>
                                    <w:div w:id="450974697">
                                      <w:marLeft w:val="0"/>
                                      <w:marRight w:val="0"/>
                                      <w:marTop w:val="0"/>
                                      <w:marBottom w:val="0"/>
                                      <w:divBdr>
                                        <w:top w:val="none" w:sz="0" w:space="0" w:color="auto"/>
                                        <w:left w:val="none" w:sz="0" w:space="0" w:color="auto"/>
                                        <w:bottom w:val="none" w:sz="0" w:space="0" w:color="auto"/>
                                        <w:right w:val="none" w:sz="0" w:space="0" w:color="auto"/>
                                      </w:divBdr>
                                      <w:divsChild>
                                        <w:div w:id="754210809">
                                          <w:marLeft w:val="0"/>
                                          <w:marRight w:val="0"/>
                                          <w:marTop w:val="0"/>
                                          <w:marBottom w:val="0"/>
                                          <w:divBdr>
                                            <w:top w:val="none" w:sz="0" w:space="0" w:color="auto"/>
                                            <w:left w:val="none" w:sz="0" w:space="0" w:color="auto"/>
                                            <w:bottom w:val="none" w:sz="0" w:space="0" w:color="auto"/>
                                            <w:right w:val="none" w:sz="0" w:space="0" w:color="auto"/>
                                          </w:divBdr>
                                          <w:divsChild>
                                            <w:div w:id="1513446734">
                                              <w:marLeft w:val="0"/>
                                              <w:marRight w:val="0"/>
                                              <w:marTop w:val="0"/>
                                              <w:marBottom w:val="0"/>
                                              <w:divBdr>
                                                <w:top w:val="none" w:sz="0" w:space="0" w:color="auto"/>
                                                <w:left w:val="none" w:sz="0" w:space="0" w:color="auto"/>
                                                <w:bottom w:val="none" w:sz="0" w:space="0" w:color="auto"/>
                                                <w:right w:val="none" w:sz="0" w:space="0" w:color="auto"/>
                                              </w:divBdr>
                                              <w:divsChild>
                                                <w:div w:id="1134565487">
                                                  <w:marLeft w:val="0"/>
                                                  <w:marRight w:val="0"/>
                                                  <w:marTop w:val="0"/>
                                                  <w:marBottom w:val="0"/>
                                                  <w:divBdr>
                                                    <w:top w:val="none" w:sz="0" w:space="0" w:color="auto"/>
                                                    <w:left w:val="none" w:sz="0" w:space="0" w:color="auto"/>
                                                    <w:bottom w:val="none" w:sz="0" w:space="0" w:color="auto"/>
                                                    <w:right w:val="none" w:sz="0" w:space="0" w:color="auto"/>
                                                  </w:divBdr>
                                                  <w:divsChild>
                                                    <w:div w:id="565652291">
                                                      <w:marLeft w:val="0"/>
                                                      <w:marRight w:val="0"/>
                                                      <w:marTop w:val="0"/>
                                                      <w:marBottom w:val="0"/>
                                                      <w:divBdr>
                                                        <w:top w:val="none" w:sz="0" w:space="0" w:color="auto"/>
                                                        <w:left w:val="none" w:sz="0" w:space="0" w:color="auto"/>
                                                        <w:bottom w:val="none" w:sz="0" w:space="0" w:color="auto"/>
                                                        <w:right w:val="none" w:sz="0" w:space="0" w:color="auto"/>
                                                      </w:divBdr>
                                                      <w:divsChild>
                                                        <w:div w:id="434062982">
                                                          <w:marLeft w:val="0"/>
                                                          <w:marRight w:val="0"/>
                                                          <w:marTop w:val="0"/>
                                                          <w:marBottom w:val="0"/>
                                                          <w:divBdr>
                                                            <w:top w:val="none" w:sz="0" w:space="0" w:color="auto"/>
                                                            <w:left w:val="none" w:sz="0" w:space="0" w:color="auto"/>
                                                            <w:bottom w:val="none" w:sz="0" w:space="0" w:color="auto"/>
                                                            <w:right w:val="none" w:sz="0" w:space="0" w:color="auto"/>
                                                          </w:divBdr>
                                                          <w:divsChild>
                                                            <w:div w:id="2384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9568801">
      <w:bodyDiv w:val="1"/>
      <w:marLeft w:val="0"/>
      <w:marRight w:val="0"/>
      <w:marTop w:val="0"/>
      <w:marBottom w:val="0"/>
      <w:divBdr>
        <w:top w:val="none" w:sz="0" w:space="0" w:color="auto"/>
        <w:left w:val="none" w:sz="0" w:space="0" w:color="auto"/>
        <w:bottom w:val="none" w:sz="0" w:space="0" w:color="auto"/>
        <w:right w:val="none" w:sz="0" w:space="0" w:color="auto"/>
      </w:divBdr>
      <w:divsChild>
        <w:div w:id="62529989">
          <w:marLeft w:val="0"/>
          <w:marRight w:val="0"/>
          <w:marTop w:val="0"/>
          <w:marBottom w:val="0"/>
          <w:divBdr>
            <w:top w:val="none" w:sz="0" w:space="0" w:color="auto"/>
            <w:left w:val="none" w:sz="0" w:space="0" w:color="auto"/>
            <w:bottom w:val="none" w:sz="0" w:space="0" w:color="auto"/>
            <w:right w:val="none" w:sz="0" w:space="0" w:color="auto"/>
          </w:divBdr>
          <w:divsChild>
            <w:div w:id="1831746778">
              <w:marLeft w:val="0"/>
              <w:marRight w:val="0"/>
              <w:marTop w:val="0"/>
              <w:marBottom w:val="0"/>
              <w:divBdr>
                <w:top w:val="none" w:sz="0" w:space="0" w:color="auto"/>
                <w:left w:val="none" w:sz="0" w:space="0" w:color="auto"/>
                <w:bottom w:val="none" w:sz="0" w:space="0" w:color="auto"/>
                <w:right w:val="none" w:sz="0" w:space="0" w:color="auto"/>
              </w:divBdr>
              <w:divsChild>
                <w:div w:id="2128624981">
                  <w:marLeft w:val="0"/>
                  <w:marRight w:val="0"/>
                  <w:marTop w:val="0"/>
                  <w:marBottom w:val="0"/>
                  <w:divBdr>
                    <w:top w:val="none" w:sz="0" w:space="0" w:color="auto"/>
                    <w:left w:val="none" w:sz="0" w:space="0" w:color="auto"/>
                    <w:bottom w:val="none" w:sz="0" w:space="0" w:color="auto"/>
                    <w:right w:val="none" w:sz="0" w:space="0" w:color="auto"/>
                  </w:divBdr>
                  <w:divsChild>
                    <w:div w:id="1539704682">
                      <w:marLeft w:val="0"/>
                      <w:marRight w:val="0"/>
                      <w:marTop w:val="0"/>
                      <w:marBottom w:val="0"/>
                      <w:divBdr>
                        <w:top w:val="none" w:sz="0" w:space="0" w:color="auto"/>
                        <w:left w:val="none" w:sz="0" w:space="0" w:color="auto"/>
                        <w:bottom w:val="none" w:sz="0" w:space="0" w:color="auto"/>
                        <w:right w:val="none" w:sz="0" w:space="0" w:color="auto"/>
                      </w:divBdr>
                      <w:divsChild>
                        <w:div w:id="1971279170">
                          <w:marLeft w:val="0"/>
                          <w:marRight w:val="-27"/>
                          <w:marTop w:val="0"/>
                          <w:marBottom w:val="0"/>
                          <w:divBdr>
                            <w:top w:val="single" w:sz="6" w:space="0" w:color="D9E1E5"/>
                            <w:left w:val="single" w:sz="6" w:space="0" w:color="D9E1E5"/>
                            <w:bottom w:val="single" w:sz="6" w:space="0" w:color="D9E1E5"/>
                            <w:right w:val="single" w:sz="6" w:space="0" w:color="D9E1E5"/>
                          </w:divBdr>
                          <w:divsChild>
                            <w:div w:id="7148428">
                              <w:marLeft w:val="0"/>
                              <w:marRight w:val="0"/>
                              <w:marTop w:val="0"/>
                              <w:marBottom w:val="0"/>
                              <w:divBdr>
                                <w:top w:val="none" w:sz="0" w:space="0" w:color="auto"/>
                                <w:left w:val="single" w:sz="6" w:space="0" w:color="D9E1E5"/>
                                <w:bottom w:val="none" w:sz="0" w:space="0" w:color="auto"/>
                                <w:right w:val="none" w:sz="0" w:space="0" w:color="auto"/>
                              </w:divBdr>
                              <w:divsChild>
                                <w:div w:id="1703087472">
                                  <w:marLeft w:val="0"/>
                                  <w:marRight w:val="0"/>
                                  <w:marTop w:val="0"/>
                                  <w:marBottom w:val="0"/>
                                  <w:divBdr>
                                    <w:top w:val="none" w:sz="0" w:space="0" w:color="auto"/>
                                    <w:left w:val="none" w:sz="0" w:space="0" w:color="auto"/>
                                    <w:bottom w:val="none" w:sz="0" w:space="0" w:color="auto"/>
                                    <w:right w:val="none" w:sz="0" w:space="0" w:color="auto"/>
                                  </w:divBdr>
                                  <w:divsChild>
                                    <w:div w:id="374081696">
                                      <w:marLeft w:val="0"/>
                                      <w:marRight w:val="0"/>
                                      <w:marTop w:val="0"/>
                                      <w:marBottom w:val="0"/>
                                      <w:divBdr>
                                        <w:top w:val="none" w:sz="0" w:space="0" w:color="auto"/>
                                        <w:left w:val="none" w:sz="0" w:space="0" w:color="auto"/>
                                        <w:bottom w:val="none" w:sz="0" w:space="0" w:color="auto"/>
                                        <w:right w:val="none" w:sz="0" w:space="0" w:color="auto"/>
                                      </w:divBdr>
                                      <w:divsChild>
                                        <w:div w:id="1237663325">
                                          <w:marLeft w:val="0"/>
                                          <w:marRight w:val="3260"/>
                                          <w:marTop w:val="0"/>
                                          <w:marBottom w:val="0"/>
                                          <w:divBdr>
                                            <w:top w:val="none" w:sz="0" w:space="0" w:color="auto"/>
                                            <w:left w:val="none" w:sz="0" w:space="0" w:color="auto"/>
                                            <w:bottom w:val="none" w:sz="0" w:space="0" w:color="auto"/>
                                            <w:right w:val="none" w:sz="0" w:space="0" w:color="auto"/>
                                          </w:divBdr>
                                          <w:divsChild>
                                            <w:div w:id="18763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2735756">
      <w:bodyDiv w:val="1"/>
      <w:marLeft w:val="0"/>
      <w:marRight w:val="0"/>
      <w:marTop w:val="0"/>
      <w:marBottom w:val="0"/>
      <w:divBdr>
        <w:top w:val="none" w:sz="0" w:space="0" w:color="auto"/>
        <w:left w:val="none" w:sz="0" w:space="0" w:color="auto"/>
        <w:bottom w:val="none" w:sz="0" w:space="0" w:color="auto"/>
        <w:right w:val="none" w:sz="0" w:space="0" w:color="auto"/>
      </w:divBdr>
      <w:divsChild>
        <w:div w:id="1406292942">
          <w:marLeft w:val="0"/>
          <w:marRight w:val="0"/>
          <w:marTop w:val="0"/>
          <w:marBottom w:val="0"/>
          <w:divBdr>
            <w:top w:val="none" w:sz="0" w:space="0" w:color="auto"/>
            <w:left w:val="none" w:sz="0" w:space="0" w:color="auto"/>
            <w:bottom w:val="none" w:sz="0" w:space="0" w:color="auto"/>
            <w:right w:val="none" w:sz="0" w:space="0" w:color="auto"/>
          </w:divBdr>
          <w:divsChild>
            <w:div w:id="1804612297">
              <w:marLeft w:val="0"/>
              <w:marRight w:val="0"/>
              <w:marTop w:val="0"/>
              <w:marBottom w:val="0"/>
              <w:divBdr>
                <w:top w:val="none" w:sz="0" w:space="0" w:color="auto"/>
                <w:left w:val="none" w:sz="0" w:space="0" w:color="auto"/>
                <w:bottom w:val="none" w:sz="0" w:space="0" w:color="auto"/>
                <w:right w:val="none" w:sz="0" w:space="0" w:color="auto"/>
              </w:divBdr>
              <w:divsChild>
                <w:div w:id="1541480366">
                  <w:marLeft w:val="0"/>
                  <w:marRight w:val="0"/>
                  <w:marTop w:val="0"/>
                  <w:marBottom w:val="0"/>
                  <w:divBdr>
                    <w:top w:val="none" w:sz="0" w:space="0" w:color="auto"/>
                    <w:left w:val="none" w:sz="0" w:space="0" w:color="auto"/>
                    <w:bottom w:val="none" w:sz="0" w:space="0" w:color="auto"/>
                    <w:right w:val="none" w:sz="0" w:space="0" w:color="auto"/>
                  </w:divBdr>
                  <w:divsChild>
                    <w:div w:id="1562717086">
                      <w:marLeft w:val="0"/>
                      <w:marRight w:val="0"/>
                      <w:marTop w:val="0"/>
                      <w:marBottom w:val="0"/>
                      <w:divBdr>
                        <w:top w:val="none" w:sz="0" w:space="0" w:color="auto"/>
                        <w:left w:val="none" w:sz="0" w:space="0" w:color="auto"/>
                        <w:bottom w:val="none" w:sz="0" w:space="0" w:color="auto"/>
                        <w:right w:val="none" w:sz="0" w:space="0" w:color="auto"/>
                      </w:divBdr>
                      <w:divsChild>
                        <w:div w:id="1769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869412">
      <w:bodyDiv w:val="1"/>
      <w:marLeft w:val="0"/>
      <w:marRight w:val="0"/>
      <w:marTop w:val="0"/>
      <w:marBottom w:val="0"/>
      <w:divBdr>
        <w:top w:val="none" w:sz="0" w:space="0" w:color="auto"/>
        <w:left w:val="none" w:sz="0" w:space="0" w:color="auto"/>
        <w:bottom w:val="none" w:sz="0" w:space="0" w:color="auto"/>
        <w:right w:val="none" w:sz="0" w:space="0" w:color="auto"/>
      </w:divBdr>
    </w:div>
    <w:div w:id="1783839073">
      <w:bodyDiv w:val="1"/>
      <w:marLeft w:val="0"/>
      <w:marRight w:val="0"/>
      <w:marTop w:val="0"/>
      <w:marBottom w:val="0"/>
      <w:divBdr>
        <w:top w:val="none" w:sz="0" w:space="0" w:color="auto"/>
        <w:left w:val="none" w:sz="0" w:space="0" w:color="auto"/>
        <w:bottom w:val="none" w:sz="0" w:space="0" w:color="auto"/>
        <w:right w:val="none" w:sz="0" w:space="0" w:color="auto"/>
      </w:divBdr>
      <w:divsChild>
        <w:div w:id="198784764">
          <w:marLeft w:val="547"/>
          <w:marRight w:val="0"/>
          <w:marTop w:val="77"/>
          <w:marBottom w:val="0"/>
          <w:divBdr>
            <w:top w:val="none" w:sz="0" w:space="0" w:color="auto"/>
            <w:left w:val="none" w:sz="0" w:space="0" w:color="auto"/>
            <w:bottom w:val="none" w:sz="0" w:space="0" w:color="auto"/>
            <w:right w:val="none" w:sz="0" w:space="0" w:color="auto"/>
          </w:divBdr>
        </w:div>
        <w:div w:id="93134414">
          <w:marLeft w:val="547"/>
          <w:marRight w:val="0"/>
          <w:marTop w:val="77"/>
          <w:marBottom w:val="0"/>
          <w:divBdr>
            <w:top w:val="none" w:sz="0" w:space="0" w:color="auto"/>
            <w:left w:val="none" w:sz="0" w:space="0" w:color="auto"/>
            <w:bottom w:val="none" w:sz="0" w:space="0" w:color="auto"/>
            <w:right w:val="none" w:sz="0" w:space="0" w:color="auto"/>
          </w:divBdr>
        </w:div>
        <w:div w:id="581060576">
          <w:marLeft w:val="547"/>
          <w:marRight w:val="0"/>
          <w:marTop w:val="77"/>
          <w:marBottom w:val="0"/>
          <w:divBdr>
            <w:top w:val="none" w:sz="0" w:space="0" w:color="auto"/>
            <w:left w:val="none" w:sz="0" w:space="0" w:color="auto"/>
            <w:bottom w:val="none" w:sz="0" w:space="0" w:color="auto"/>
            <w:right w:val="none" w:sz="0" w:space="0" w:color="auto"/>
          </w:divBdr>
        </w:div>
      </w:divsChild>
    </w:div>
    <w:div w:id="1803765544">
      <w:bodyDiv w:val="1"/>
      <w:marLeft w:val="0"/>
      <w:marRight w:val="0"/>
      <w:marTop w:val="0"/>
      <w:marBottom w:val="0"/>
      <w:divBdr>
        <w:top w:val="none" w:sz="0" w:space="0" w:color="auto"/>
        <w:left w:val="none" w:sz="0" w:space="0" w:color="auto"/>
        <w:bottom w:val="none" w:sz="0" w:space="0" w:color="auto"/>
        <w:right w:val="none" w:sz="0" w:space="0" w:color="auto"/>
      </w:divBdr>
      <w:divsChild>
        <w:div w:id="518393798">
          <w:marLeft w:val="547"/>
          <w:marRight w:val="0"/>
          <w:marTop w:val="67"/>
          <w:marBottom w:val="0"/>
          <w:divBdr>
            <w:top w:val="none" w:sz="0" w:space="0" w:color="auto"/>
            <w:left w:val="none" w:sz="0" w:space="0" w:color="auto"/>
            <w:bottom w:val="none" w:sz="0" w:space="0" w:color="auto"/>
            <w:right w:val="none" w:sz="0" w:space="0" w:color="auto"/>
          </w:divBdr>
        </w:div>
        <w:div w:id="2020962168">
          <w:marLeft w:val="547"/>
          <w:marRight w:val="0"/>
          <w:marTop w:val="67"/>
          <w:marBottom w:val="0"/>
          <w:divBdr>
            <w:top w:val="none" w:sz="0" w:space="0" w:color="auto"/>
            <w:left w:val="none" w:sz="0" w:space="0" w:color="auto"/>
            <w:bottom w:val="none" w:sz="0" w:space="0" w:color="auto"/>
            <w:right w:val="none" w:sz="0" w:space="0" w:color="auto"/>
          </w:divBdr>
        </w:div>
        <w:div w:id="2022584289">
          <w:marLeft w:val="547"/>
          <w:marRight w:val="0"/>
          <w:marTop w:val="67"/>
          <w:marBottom w:val="0"/>
          <w:divBdr>
            <w:top w:val="none" w:sz="0" w:space="0" w:color="auto"/>
            <w:left w:val="none" w:sz="0" w:space="0" w:color="auto"/>
            <w:bottom w:val="none" w:sz="0" w:space="0" w:color="auto"/>
            <w:right w:val="none" w:sz="0" w:space="0" w:color="auto"/>
          </w:divBdr>
        </w:div>
        <w:div w:id="1953587460">
          <w:marLeft w:val="547"/>
          <w:marRight w:val="0"/>
          <w:marTop w:val="67"/>
          <w:marBottom w:val="0"/>
          <w:divBdr>
            <w:top w:val="none" w:sz="0" w:space="0" w:color="auto"/>
            <w:left w:val="none" w:sz="0" w:space="0" w:color="auto"/>
            <w:bottom w:val="none" w:sz="0" w:space="0" w:color="auto"/>
            <w:right w:val="none" w:sz="0" w:space="0" w:color="auto"/>
          </w:divBdr>
        </w:div>
      </w:divsChild>
    </w:div>
    <w:div w:id="1837187488">
      <w:bodyDiv w:val="1"/>
      <w:marLeft w:val="0"/>
      <w:marRight w:val="0"/>
      <w:marTop w:val="0"/>
      <w:marBottom w:val="0"/>
      <w:divBdr>
        <w:top w:val="none" w:sz="0" w:space="0" w:color="auto"/>
        <w:left w:val="none" w:sz="0" w:space="0" w:color="auto"/>
        <w:bottom w:val="none" w:sz="0" w:space="0" w:color="auto"/>
        <w:right w:val="none" w:sz="0" w:space="0" w:color="auto"/>
      </w:divBdr>
      <w:divsChild>
        <w:div w:id="700201854">
          <w:marLeft w:val="0"/>
          <w:marRight w:val="0"/>
          <w:marTop w:val="0"/>
          <w:marBottom w:val="0"/>
          <w:divBdr>
            <w:top w:val="none" w:sz="0" w:space="0" w:color="auto"/>
            <w:left w:val="none" w:sz="0" w:space="0" w:color="auto"/>
            <w:bottom w:val="none" w:sz="0" w:space="0" w:color="auto"/>
            <w:right w:val="none" w:sz="0" w:space="0" w:color="auto"/>
          </w:divBdr>
          <w:divsChild>
            <w:div w:id="2025860430">
              <w:marLeft w:val="0"/>
              <w:marRight w:val="0"/>
              <w:marTop w:val="0"/>
              <w:marBottom w:val="0"/>
              <w:divBdr>
                <w:top w:val="none" w:sz="0" w:space="0" w:color="auto"/>
                <w:left w:val="none" w:sz="0" w:space="0" w:color="auto"/>
                <w:bottom w:val="none" w:sz="0" w:space="0" w:color="auto"/>
                <w:right w:val="none" w:sz="0" w:space="0" w:color="auto"/>
              </w:divBdr>
              <w:divsChild>
                <w:div w:id="106190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6063</Words>
  <Characters>30924</Characters>
  <Application>Microsoft Office Word</Application>
  <DocSecurity>0</DocSecurity>
  <Lines>533</Lines>
  <Paragraphs>234</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36753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Thompson</dc:creator>
  <cp:lastModifiedBy>MDXTech</cp:lastModifiedBy>
  <cp:revision>2</cp:revision>
  <dcterms:created xsi:type="dcterms:W3CDTF">2014-07-30T09:43:00Z</dcterms:created>
  <dcterms:modified xsi:type="dcterms:W3CDTF">2014-07-30T09:43:00Z</dcterms:modified>
</cp:coreProperties>
</file>