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93907" w14:textId="77777777" w:rsidR="00763F9F" w:rsidRDefault="00A8343B">
      <w:pPr>
        <w:spacing w:after="0" w:line="480" w:lineRule="auto"/>
        <w:jc w:val="center"/>
        <w:rPr>
          <w:rFonts w:ascii="Times New Roman" w:hAnsi="Times New Roman" w:cs="Tahoma"/>
          <w:b/>
          <w:bCs/>
          <w:sz w:val="28"/>
          <w:szCs w:val="36"/>
          <w:lang w:val="en-US"/>
        </w:rPr>
      </w:pPr>
      <w:r>
        <w:rPr>
          <w:rFonts w:ascii="Times New Roman" w:hAnsi="Times New Roman" w:cs="Tahoma"/>
          <w:b/>
          <w:bCs/>
          <w:sz w:val="28"/>
          <w:szCs w:val="36"/>
          <w:lang w:val="en-US"/>
        </w:rPr>
        <w:t>Work–Life Balance in Times of Recession, Austerity and Beyond</w:t>
      </w:r>
    </w:p>
    <w:p w14:paraId="583DA858" w14:textId="77777777" w:rsidR="00763F9F" w:rsidRDefault="00763F9F">
      <w:pPr>
        <w:spacing w:after="0" w:line="480" w:lineRule="auto"/>
        <w:jc w:val="center"/>
        <w:rPr>
          <w:rFonts w:ascii="Times New Roman" w:hAnsi="Times New Roman" w:cs="Tahoma"/>
          <w:b/>
          <w:bCs/>
          <w:sz w:val="28"/>
          <w:szCs w:val="36"/>
          <w:lang w:val="en-US"/>
        </w:rPr>
      </w:pPr>
    </w:p>
    <w:p w14:paraId="507019E6" w14:textId="77777777" w:rsidR="00763F9F" w:rsidRDefault="00A8343B">
      <w:pPr>
        <w:spacing w:after="0" w:line="480" w:lineRule="auto"/>
        <w:jc w:val="center"/>
      </w:pPr>
      <w:r>
        <w:rPr>
          <w:rFonts w:ascii="Times New Roman" w:hAnsi="Times New Roman" w:cs="Tahoma"/>
          <w:b/>
          <w:bCs/>
          <w:sz w:val="28"/>
          <w:szCs w:val="36"/>
          <w:lang w:val="en-US"/>
        </w:rPr>
        <w:t xml:space="preserve">Edited by Suzan Lewis, Deirdre Anderson, Clare </w:t>
      </w:r>
      <w:proofErr w:type="spellStart"/>
      <w:r>
        <w:rPr>
          <w:rFonts w:ascii="Times New Roman" w:hAnsi="Times New Roman" w:cs="Tahoma"/>
          <w:b/>
          <w:bCs/>
          <w:sz w:val="28"/>
          <w:szCs w:val="36"/>
          <w:lang w:val="en-US"/>
        </w:rPr>
        <w:t>Lyonette</w:t>
      </w:r>
      <w:proofErr w:type="spellEnd"/>
      <w:r>
        <w:rPr>
          <w:rFonts w:ascii="Times New Roman" w:hAnsi="Times New Roman" w:cs="Tahoma"/>
          <w:b/>
          <w:bCs/>
          <w:sz w:val="28"/>
          <w:szCs w:val="36"/>
          <w:lang w:val="en-US"/>
        </w:rPr>
        <w:t>, Nicola Payne and Stephen Wood</w:t>
      </w:r>
    </w:p>
    <w:p w14:paraId="779E75E7" w14:textId="77777777" w:rsidR="00763F9F" w:rsidRPr="00C63B6C" w:rsidRDefault="00A8343B">
      <w:pPr>
        <w:spacing w:after="0" w:line="480" w:lineRule="auto"/>
        <w:jc w:val="both"/>
        <w:rPr>
          <w:rFonts w:ascii="Times New Roman" w:hAnsi="Times New Roman" w:cs="Tahoma"/>
          <w:bCs/>
          <w:sz w:val="32"/>
          <w:szCs w:val="36"/>
          <w:lang w:val="en-US"/>
        </w:rPr>
      </w:pPr>
      <w:r>
        <w:br w:type="page"/>
      </w:r>
      <w:r w:rsidR="00812C28">
        <w:rPr>
          <w:rFonts w:ascii="Times New Roman" w:hAnsi="Times New Roman" w:cs="Tahoma"/>
          <w:b/>
          <w:bCs/>
          <w:sz w:val="24"/>
          <w:szCs w:val="36"/>
          <w:lang w:val="en-US"/>
        </w:rPr>
        <w:lastRenderedPageBreak/>
        <w:t>C</w:t>
      </w:r>
      <w:r>
        <w:rPr>
          <w:rFonts w:ascii="Times New Roman" w:hAnsi="Times New Roman" w:cs="Tahoma"/>
          <w:b/>
          <w:bCs/>
          <w:sz w:val="24"/>
          <w:szCs w:val="36"/>
          <w:lang w:val="en-US"/>
        </w:rPr>
        <w:t>ontents</w:t>
      </w:r>
    </w:p>
    <w:p w14:paraId="151E0799" w14:textId="77777777" w:rsidR="00763F9F" w:rsidRDefault="00A8343B">
      <w:pPr>
        <w:spacing w:after="0" w:line="480" w:lineRule="auto"/>
        <w:ind w:left="1134" w:hanging="1134"/>
        <w:jc w:val="both"/>
        <w:rPr>
          <w:rFonts w:ascii="Times New Roman" w:hAnsi="Times New Roman" w:cs="Times New Roman"/>
          <w:sz w:val="24"/>
          <w:szCs w:val="24"/>
        </w:rPr>
      </w:pPr>
      <w:r>
        <w:rPr>
          <w:rFonts w:ascii="Times New Roman" w:hAnsi="Times New Roman" w:cs="Tahoma"/>
          <w:bCs/>
          <w:sz w:val="24"/>
          <w:szCs w:val="36"/>
          <w:lang w:val="en-US"/>
        </w:rPr>
        <w:t xml:space="preserve">Chapter 1: </w:t>
      </w:r>
      <w:r>
        <w:rPr>
          <w:rFonts w:ascii="Times New Roman" w:hAnsi="Times New Roman" w:cs="Times New Roman"/>
          <w:sz w:val="24"/>
          <w:szCs w:val="24"/>
        </w:rPr>
        <w:t>Working time trends and work–life balance in Europe since the onset of the Great Recession</w:t>
      </w:r>
    </w:p>
    <w:p w14:paraId="3C16229E" w14:textId="77777777" w:rsidR="00763F9F" w:rsidRDefault="00A8343B">
      <w:pPr>
        <w:spacing w:after="0" w:line="480" w:lineRule="auto"/>
        <w:ind w:left="1134"/>
        <w:jc w:val="both"/>
        <w:rPr>
          <w:rFonts w:ascii="Times New Roman" w:hAnsi="Times New Roman" w:cs="Tahoma"/>
          <w:bCs/>
          <w:i/>
          <w:sz w:val="24"/>
          <w:szCs w:val="36"/>
          <w:lang w:val="en-US"/>
        </w:rPr>
      </w:pPr>
      <w:r>
        <w:rPr>
          <w:rFonts w:ascii="Times New Roman" w:hAnsi="Times New Roman" w:cs="Tahoma"/>
          <w:bCs/>
          <w:i/>
          <w:sz w:val="24"/>
          <w:szCs w:val="36"/>
          <w:lang w:val="en-US"/>
        </w:rPr>
        <w:t>Colette Fagan and</w:t>
      </w:r>
      <w:r>
        <w:rPr>
          <w:rFonts w:ascii="Times New Roman" w:hAnsi="Times New Roman"/>
          <w:i/>
          <w:sz w:val="24"/>
        </w:rPr>
        <w:t xml:space="preserve"> Greet </w:t>
      </w:r>
      <w:proofErr w:type="spellStart"/>
      <w:r>
        <w:rPr>
          <w:rFonts w:ascii="Times New Roman" w:hAnsi="Times New Roman"/>
          <w:i/>
          <w:sz w:val="24"/>
        </w:rPr>
        <w:t>Vermeylen</w:t>
      </w:r>
      <w:proofErr w:type="spellEnd"/>
    </w:p>
    <w:p w14:paraId="383ADD6B" w14:textId="77777777" w:rsidR="00763F9F" w:rsidRDefault="00A8343B">
      <w:pPr>
        <w:pStyle w:val="PlainText"/>
        <w:spacing w:line="480" w:lineRule="auto"/>
        <w:jc w:val="both"/>
        <w:rPr>
          <w:rFonts w:ascii="Times New Roman" w:hAnsi="Times New Roman" w:cs="Times New Roman"/>
          <w:sz w:val="24"/>
          <w:szCs w:val="28"/>
        </w:rPr>
      </w:pPr>
      <w:r>
        <w:rPr>
          <w:rFonts w:ascii="Times New Roman" w:hAnsi="Times New Roman" w:cs="Times New Roman"/>
          <w:sz w:val="24"/>
          <w:szCs w:val="28"/>
        </w:rPr>
        <w:t xml:space="preserve">Chapter 2: Work–life balance, health and well-being in times of austerity </w:t>
      </w:r>
    </w:p>
    <w:p w14:paraId="454D196D" w14:textId="77777777" w:rsidR="00763F9F" w:rsidRDefault="00A8343B">
      <w:pPr>
        <w:pStyle w:val="PlainText"/>
        <w:spacing w:line="480" w:lineRule="auto"/>
        <w:ind w:left="1134"/>
        <w:jc w:val="both"/>
        <w:rPr>
          <w:rFonts w:ascii="Times New Roman" w:hAnsi="Times New Roman" w:cs="Times New Roman"/>
          <w:i/>
          <w:sz w:val="24"/>
          <w:szCs w:val="24"/>
        </w:rPr>
      </w:pPr>
      <w:r>
        <w:rPr>
          <w:rFonts w:ascii="Times New Roman" w:hAnsi="Times New Roman" w:cs="Times New Roman"/>
          <w:i/>
          <w:sz w:val="24"/>
          <w:szCs w:val="24"/>
        </w:rPr>
        <w:t xml:space="preserve">Gail </w:t>
      </w:r>
      <w:proofErr w:type="spellStart"/>
      <w:r>
        <w:rPr>
          <w:rFonts w:ascii="Times New Roman" w:hAnsi="Times New Roman" w:cs="Times New Roman"/>
          <w:i/>
          <w:sz w:val="24"/>
          <w:szCs w:val="24"/>
        </w:rPr>
        <w:t>Kinman</w:t>
      </w:r>
      <w:proofErr w:type="spellEnd"/>
      <w:r>
        <w:rPr>
          <w:rFonts w:ascii="Times New Roman" w:hAnsi="Times New Roman" w:cs="Times New Roman"/>
          <w:i/>
          <w:sz w:val="24"/>
          <w:szCs w:val="24"/>
        </w:rPr>
        <w:t xml:space="preserve"> and </w:t>
      </w:r>
      <w:proofErr w:type="spellStart"/>
      <w:r>
        <w:rPr>
          <w:rFonts w:ascii="Times New Roman" w:hAnsi="Times New Roman" w:cs="Times New Roman"/>
          <w:i/>
          <w:sz w:val="24"/>
          <w:szCs w:val="24"/>
        </w:rPr>
        <w:t>Almuth</w:t>
      </w:r>
      <w:proofErr w:type="spellEnd"/>
      <w:r>
        <w:rPr>
          <w:rFonts w:ascii="Times New Roman" w:hAnsi="Times New Roman" w:cs="Times New Roman"/>
          <w:i/>
          <w:sz w:val="24"/>
          <w:szCs w:val="24"/>
        </w:rPr>
        <w:t xml:space="preserve"> McDowall</w:t>
      </w:r>
    </w:p>
    <w:p w14:paraId="39D55658" w14:textId="77777777" w:rsidR="00763F9F" w:rsidRDefault="00A8343B">
      <w:pPr>
        <w:tabs>
          <w:tab w:val="left" w:pos="1134"/>
        </w:tabs>
        <w:spacing w:after="0" w:line="480" w:lineRule="auto"/>
        <w:ind w:left="1134" w:hanging="1134"/>
        <w:jc w:val="both"/>
        <w:rPr>
          <w:rFonts w:ascii="Times New Roman" w:hAnsi="Times New Roman" w:cs="Times New Roman"/>
          <w:sz w:val="24"/>
        </w:rPr>
      </w:pPr>
      <w:r>
        <w:rPr>
          <w:rFonts w:ascii="Times New Roman" w:hAnsi="Times New Roman" w:cs="Times New Roman"/>
          <w:sz w:val="24"/>
        </w:rPr>
        <w:t xml:space="preserve">Chapter 3: </w:t>
      </w:r>
      <w:bookmarkStart w:id="0" w:name="__DdeLink__1856_453419215"/>
      <w:bookmarkEnd w:id="0"/>
      <w:r>
        <w:rPr>
          <w:rFonts w:ascii="Times New Roman" w:hAnsi="Times New Roman" w:cs="Times New Roman"/>
          <w:bCs/>
          <w:sz w:val="24"/>
        </w:rPr>
        <w:t>Employer support for w</w:t>
      </w:r>
      <w:r w:rsidR="00C63B6C">
        <w:rPr>
          <w:rFonts w:ascii="Times New Roman" w:hAnsi="Times New Roman" w:cs="Times New Roman"/>
          <w:bCs/>
          <w:sz w:val="24"/>
        </w:rPr>
        <w:t>ork–life balance in recession: F</w:t>
      </w:r>
      <w:r>
        <w:rPr>
          <w:rFonts w:ascii="Times New Roman" w:hAnsi="Times New Roman" w:cs="Times New Roman"/>
          <w:bCs/>
          <w:sz w:val="24"/>
        </w:rPr>
        <w:t>indings for Britain from the Workplace Employment Relations Survey</w:t>
      </w:r>
    </w:p>
    <w:p w14:paraId="485E4F73" w14:textId="77777777" w:rsidR="00763F9F" w:rsidRDefault="00A8343B">
      <w:pPr>
        <w:tabs>
          <w:tab w:val="left" w:pos="1134"/>
        </w:tabs>
        <w:spacing w:after="0" w:line="480" w:lineRule="auto"/>
        <w:ind w:left="1134"/>
        <w:jc w:val="both"/>
        <w:rPr>
          <w:rFonts w:ascii="Times New Roman" w:hAnsi="Times New Roman" w:cs="Times New Roman"/>
          <w:i/>
          <w:sz w:val="24"/>
        </w:rPr>
      </w:pPr>
      <w:r>
        <w:rPr>
          <w:rFonts w:ascii="Times New Roman" w:hAnsi="Times New Roman" w:cs="Times New Roman"/>
          <w:i/>
          <w:sz w:val="24"/>
        </w:rPr>
        <w:t>Lucy Stokes and Stephen Wood</w:t>
      </w:r>
    </w:p>
    <w:p w14:paraId="651AD4AE" w14:textId="77777777" w:rsidR="00763F9F" w:rsidRDefault="00A8343B">
      <w:pPr>
        <w:spacing w:after="0" w:line="480" w:lineRule="auto"/>
        <w:ind w:left="1134" w:hanging="1134"/>
        <w:jc w:val="both"/>
        <w:rPr>
          <w:rFonts w:ascii="Times New Roman" w:hAnsi="Times New Roman" w:cs="Times New Roman"/>
          <w:sz w:val="24"/>
        </w:rPr>
      </w:pPr>
      <w:r>
        <w:rPr>
          <w:rFonts w:ascii="Times New Roman" w:hAnsi="Times New Roman" w:cs="Times New Roman"/>
          <w:sz w:val="24"/>
        </w:rPr>
        <w:t>Chapter 4: Wo</w:t>
      </w:r>
      <w:r w:rsidR="00C63B6C">
        <w:rPr>
          <w:rFonts w:ascii="Times New Roman" w:hAnsi="Times New Roman" w:cs="Times New Roman"/>
          <w:sz w:val="24"/>
        </w:rPr>
        <w:t>rk–life balance and austerity: I</w:t>
      </w:r>
      <w:r>
        <w:rPr>
          <w:rFonts w:ascii="Times New Roman" w:hAnsi="Times New Roman" w:cs="Times New Roman"/>
          <w:sz w:val="24"/>
        </w:rPr>
        <w:t>mplications of new ways of working in British public sector organisations</w:t>
      </w:r>
    </w:p>
    <w:p w14:paraId="515DF240" w14:textId="77777777" w:rsidR="00763F9F" w:rsidRDefault="00A8343B">
      <w:pPr>
        <w:spacing w:after="0" w:line="480" w:lineRule="auto"/>
        <w:ind w:left="1134"/>
        <w:jc w:val="both"/>
        <w:rPr>
          <w:rFonts w:ascii="Times New Roman" w:hAnsi="Times New Roman" w:cs="Tahoma"/>
          <w:bCs/>
          <w:i/>
          <w:sz w:val="24"/>
          <w:szCs w:val="36"/>
          <w:lang w:val="en-US"/>
        </w:rPr>
      </w:pPr>
      <w:r>
        <w:rPr>
          <w:rFonts w:ascii="Times New Roman" w:hAnsi="Times New Roman" w:cs="Tahoma"/>
          <w:bCs/>
          <w:i/>
          <w:sz w:val="24"/>
          <w:szCs w:val="36"/>
          <w:lang w:val="en-US"/>
        </w:rPr>
        <w:t xml:space="preserve">Clare </w:t>
      </w:r>
      <w:proofErr w:type="spellStart"/>
      <w:r>
        <w:rPr>
          <w:rFonts w:ascii="Times New Roman" w:hAnsi="Times New Roman" w:cs="Tahoma"/>
          <w:bCs/>
          <w:i/>
          <w:sz w:val="24"/>
          <w:szCs w:val="36"/>
          <w:lang w:val="en-US"/>
        </w:rPr>
        <w:t>Lyonette</w:t>
      </w:r>
      <w:proofErr w:type="spellEnd"/>
      <w:r>
        <w:rPr>
          <w:rFonts w:ascii="Times New Roman" w:hAnsi="Times New Roman" w:cs="Tahoma"/>
          <w:bCs/>
          <w:i/>
          <w:sz w:val="24"/>
          <w:szCs w:val="36"/>
          <w:lang w:val="en-US"/>
        </w:rPr>
        <w:t>, Deirdre Anderson, Suzan Lewis, Nicola Payne and Stephen Wood</w:t>
      </w:r>
    </w:p>
    <w:p w14:paraId="1C234F54" w14:textId="77777777" w:rsidR="00763F9F" w:rsidRDefault="00A8343B">
      <w:pPr>
        <w:tabs>
          <w:tab w:val="left" w:pos="1134"/>
        </w:tabs>
        <w:spacing w:after="0" w:line="480" w:lineRule="auto"/>
        <w:jc w:val="both"/>
      </w:pPr>
      <w:r>
        <w:rPr>
          <w:rFonts w:ascii="Times New Roman" w:hAnsi="Times New Roman"/>
          <w:sz w:val="24"/>
          <w:szCs w:val="24"/>
        </w:rPr>
        <w:t>Chapter 5: Regulating work and care relatio</w:t>
      </w:r>
      <w:r w:rsidR="00C63B6C">
        <w:rPr>
          <w:rFonts w:ascii="Times New Roman" w:hAnsi="Times New Roman"/>
          <w:sz w:val="24"/>
          <w:szCs w:val="24"/>
        </w:rPr>
        <w:t>nships in a time of austerity: A</w:t>
      </w:r>
      <w:r>
        <w:rPr>
          <w:rFonts w:ascii="Times New Roman" w:hAnsi="Times New Roman"/>
          <w:sz w:val="24"/>
          <w:szCs w:val="24"/>
        </w:rPr>
        <w:t xml:space="preserve"> legal perspective</w:t>
      </w:r>
    </w:p>
    <w:p w14:paraId="11A70756" w14:textId="77777777" w:rsidR="00763F9F" w:rsidRDefault="00A8343B">
      <w:pPr>
        <w:spacing w:after="0" w:line="480" w:lineRule="auto"/>
        <w:ind w:left="1134"/>
        <w:jc w:val="both"/>
        <w:rPr>
          <w:rFonts w:ascii="Times New Roman" w:hAnsi="Times New Roman"/>
          <w:i/>
          <w:sz w:val="24"/>
          <w:szCs w:val="24"/>
        </w:rPr>
      </w:pPr>
      <w:r>
        <w:rPr>
          <w:rFonts w:ascii="Times New Roman" w:hAnsi="Times New Roman"/>
          <w:i/>
          <w:sz w:val="24"/>
          <w:szCs w:val="24"/>
        </w:rPr>
        <w:t xml:space="preserve">Nicole Busby and Grace James </w:t>
      </w:r>
    </w:p>
    <w:p w14:paraId="4FD11C19" w14:textId="77777777" w:rsidR="00763F9F" w:rsidRDefault="00A8343B">
      <w:pPr>
        <w:spacing w:after="0" w:line="480" w:lineRule="auto"/>
        <w:ind w:left="1134" w:hanging="1134"/>
        <w:jc w:val="both"/>
        <w:rPr>
          <w:rFonts w:ascii="Times New Roman" w:hAnsi="Times New Roman"/>
          <w:sz w:val="24"/>
          <w:szCs w:val="24"/>
        </w:rPr>
      </w:pPr>
      <w:r>
        <w:rPr>
          <w:rFonts w:ascii="Times New Roman" w:hAnsi="Times New Roman"/>
          <w:sz w:val="24"/>
          <w:szCs w:val="24"/>
        </w:rPr>
        <w:t>Chapter 6: Trade</w:t>
      </w:r>
      <w:r w:rsidR="00C63B6C">
        <w:rPr>
          <w:rFonts w:ascii="Times New Roman" w:hAnsi="Times New Roman"/>
          <w:sz w:val="24"/>
          <w:szCs w:val="24"/>
        </w:rPr>
        <w:t xml:space="preserve"> unions and work–life balance: T</w:t>
      </w:r>
      <w:r>
        <w:rPr>
          <w:rFonts w:ascii="Times New Roman" w:hAnsi="Times New Roman"/>
          <w:sz w:val="24"/>
          <w:szCs w:val="24"/>
        </w:rPr>
        <w:t>he impact of the Great Recession in France and the UK</w:t>
      </w:r>
    </w:p>
    <w:p w14:paraId="242FCB38" w14:textId="77777777" w:rsidR="00763F9F" w:rsidRDefault="00A8343B">
      <w:pPr>
        <w:spacing w:after="0" w:line="480" w:lineRule="auto"/>
        <w:ind w:firstLine="1134"/>
        <w:jc w:val="both"/>
        <w:rPr>
          <w:rFonts w:ascii="Times New Roman" w:hAnsi="Times New Roman"/>
          <w:i/>
          <w:sz w:val="24"/>
          <w:szCs w:val="24"/>
        </w:rPr>
      </w:pPr>
      <w:r>
        <w:rPr>
          <w:rFonts w:ascii="Times New Roman" w:hAnsi="Times New Roman"/>
          <w:i/>
          <w:sz w:val="24"/>
          <w:szCs w:val="24"/>
        </w:rPr>
        <w:t>Susan Milner</w:t>
      </w:r>
    </w:p>
    <w:p w14:paraId="5893D88B" w14:textId="77777777" w:rsidR="00763F9F" w:rsidRDefault="00A8343B">
      <w:pPr>
        <w:pStyle w:val="PlainText"/>
        <w:spacing w:line="480" w:lineRule="auto"/>
        <w:jc w:val="both"/>
        <w:rPr>
          <w:rFonts w:ascii="Times New Roman" w:hAnsi="Times New Roman" w:cs="Times New Roman"/>
          <w:sz w:val="24"/>
          <w:szCs w:val="28"/>
        </w:rPr>
      </w:pPr>
      <w:r>
        <w:rPr>
          <w:rFonts w:ascii="Times New Roman" w:hAnsi="Times New Roman" w:cs="Times New Roman"/>
          <w:sz w:val="24"/>
          <w:szCs w:val="28"/>
        </w:rPr>
        <w:t xml:space="preserve">Chapter 7: </w:t>
      </w:r>
      <w:r w:rsidR="00C63B6C">
        <w:rPr>
          <w:rFonts w:ascii="Times New Roman" w:hAnsi="Times New Roman"/>
          <w:sz w:val="24"/>
          <w:szCs w:val="24"/>
        </w:rPr>
        <w:t>Work–life balance and class: I</w:t>
      </w:r>
      <w:r>
        <w:rPr>
          <w:rFonts w:ascii="Times New Roman" w:hAnsi="Times New Roman"/>
          <w:sz w:val="24"/>
          <w:szCs w:val="24"/>
        </w:rPr>
        <w:t>n search of working-class work-lives.</w:t>
      </w:r>
    </w:p>
    <w:p w14:paraId="3AE724FD" w14:textId="77777777" w:rsidR="00763F9F" w:rsidRDefault="00A8343B">
      <w:pPr>
        <w:pStyle w:val="PlainText"/>
        <w:spacing w:line="480" w:lineRule="auto"/>
        <w:ind w:left="1134"/>
        <w:jc w:val="both"/>
        <w:rPr>
          <w:rFonts w:ascii="Times New Roman" w:hAnsi="Times New Roman" w:cs="Times New Roman"/>
          <w:i/>
          <w:sz w:val="24"/>
          <w:szCs w:val="28"/>
        </w:rPr>
      </w:pPr>
      <w:r>
        <w:rPr>
          <w:rFonts w:ascii="Times New Roman" w:hAnsi="Times New Roman" w:cs="Times New Roman"/>
          <w:i/>
          <w:sz w:val="24"/>
          <w:szCs w:val="28"/>
        </w:rPr>
        <w:t>Tracey Warren</w:t>
      </w:r>
    </w:p>
    <w:p w14:paraId="5082C53E" w14:textId="77777777" w:rsidR="00763F9F" w:rsidRDefault="00A8343B">
      <w:pPr>
        <w:spacing w:after="0" w:line="480" w:lineRule="auto"/>
        <w:jc w:val="both"/>
        <w:rPr>
          <w:sz w:val="24"/>
        </w:rPr>
      </w:pPr>
      <w:r>
        <w:rPr>
          <w:rFonts w:ascii="Times New Roman" w:hAnsi="Times New Roman"/>
          <w:sz w:val="24"/>
          <w:szCs w:val="24"/>
        </w:rPr>
        <w:t xml:space="preserve">Chapter 8: </w:t>
      </w:r>
      <w:r>
        <w:rPr>
          <w:rFonts w:ascii="Times New Roman" w:hAnsi="Times New Roman" w:cs="Times New Roman"/>
          <w:sz w:val="24"/>
          <w:szCs w:val="28"/>
        </w:rPr>
        <w:t>Self-employmen</w:t>
      </w:r>
      <w:r w:rsidR="00C63B6C">
        <w:rPr>
          <w:rFonts w:ascii="Times New Roman" w:hAnsi="Times New Roman" w:cs="Times New Roman"/>
          <w:sz w:val="24"/>
          <w:szCs w:val="28"/>
        </w:rPr>
        <w:t>t in times of economic crisis: W</w:t>
      </w:r>
      <w:r>
        <w:rPr>
          <w:rFonts w:ascii="Times New Roman" w:hAnsi="Times New Roman" w:cs="Times New Roman"/>
          <w:sz w:val="24"/>
          <w:szCs w:val="28"/>
        </w:rPr>
        <w:t>ork</w:t>
      </w:r>
      <w:r>
        <w:rPr>
          <w:rFonts w:ascii="Times New Roman" w:hAnsi="Times New Roman" w:cs="Times New Roman"/>
          <w:sz w:val="24"/>
          <w:szCs w:val="24"/>
        </w:rPr>
        <w:t>–</w:t>
      </w:r>
      <w:r>
        <w:rPr>
          <w:rFonts w:ascii="Times New Roman" w:hAnsi="Times New Roman" w:cs="Times New Roman"/>
          <w:sz w:val="24"/>
          <w:szCs w:val="28"/>
        </w:rPr>
        <w:t xml:space="preserve">life challenges </w:t>
      </w:r>
    </w:p>
    <w:p w14:paraId="43D5B25E" w14:textId="77777777" w:rsidR="00763F9F" w:rsidRDefault="00A8343B">
      <w:pPr>
        <w:spacing w:after="0" w:line="480" w:lineRule="auto"/>
        <w:ind w:left="1134"/>
        <w:jc w:val="both"/>
        <w:rPr>
          <w:rFonts w:ascii="Times New Roman" w:hAnsi="Times New Roman"/>
          <w:i/>
          <w:sz w:val="24"/>
          <w:szCs w:val="24"/>
        </w:rPr>
      </w:pPr>
      <w:r>
        <w:rPr>
          <w:rFonts w:ascii="Times New Roman" w:hAnsi="Times New Roman"/>
          <w:i/>
          <w:sz w:val="24"/>
        </w:rPr>
        <w:t xml:space="preserve">Laura Den </w:t>
      </w:r>
      <w:proofErr w:type="spellStart"/>
      <w:r>
        <w:rPr>
          <w:rFonts w:ascii="Times New Roman" w:hAnsi="Times New Roman"/>
          <w:i/>
          <w:sz w:val="24"/>
        </w:rPr>
        <w:t>Dulk</w:t>
      </w:r>
      <w:proofErr w:type="spellEnd"/>
      <w:r>
        <w:rPr>
          <w:rFonts w:ascii="Times New Roman" w:hAnsi="Times New Roman"/>
          <w:i/>
          <w:sz w:val="24"/>
        </w:rPr>
        <w:t xml:space="preserve">, Anne </w:t>
      </w:r>
      <w:proofErr w:type="spellStart"/>
      <w:r>
        <w:rPr>
          <w:rFonts w:ascii="Times New Roman" w:hAnsi="Times New Roman"/>
          <w:i/>
          <w:sz w:val="24"/>
        </w:rPr>
        <w:t>Annink</w:t>
      </w:r>
      <w:proofErr w:type="spellEnd"/>
      <w:r>
        <w:rPr>
          <w:rFonts w:ascii="Times New Roman" w:hAnsi="Times New Roman"/>
          <w:i/>
          <w:sz w:val="24"/>
        </w:rPr>
        <w:t xml:space="preserve"> and Bram </w:t>
      </w:r>
      <w:proofErr w:type="spellStart"/>
      <w:r>
        <w:rPr>
          <w:rFonts w:ascii="Times New Roman" w:hAnsi="Times New Roman"/>
          <w:i/>
          <w:sz w:val="24"/>
        </w:rPr>
        <w:t>Peper</w:t>
      </w:r>
      <w:proofErr w:type="spellEnd"/>
      <w:r>
        <w:rPr>
          <w:rFonts w:ascii="Times New Roman" w:hAnsi="Times New Roman"/>
          <w:i/>
          <w:sz w:val="24"/>
        </w:rPr>
        <w:t xml:space="preserve"> </w:t>
      </w:r>
    </w:p>
    <w:p w14:paraId="782887A0" w14:textId="77777777" w:rsidR="00763F9F" w:rsidRDefault="00A8343B">
      <w:pPr>
        <w:spacing w:after="0" w:line="480" w:lineRule="auto"/>
        <w:jc w:val="both"/>
        <w:rPr>
          <w:rFonts w:ascii="Times New Roman" w:hAnsi="Times New Roman" w:cs="Times New Roman"/>
          <w:sz w:val="24"/>
        </w:rPr>
      </w:pPr>
      <w:r>
        <w:rPr>
          <w:rFonts w:ascii="Times New Roman" w:hAnsi="Times New Roman" w:cs="Times New Roman"/>
          <w:sz w:val="24"/>
        </w:rPr>
        <w:t>Chapter 9: The physical workplace and work–life balance: perspectives from practice</w:t>
      </w:r>
    </w:p>
    <w:p w14:paraId="45E81044" w14:textId="77777777" w:rsidR="00763F9F" w:rsidRDefault="00A8343B">
      <w:pPr>
        <w:widowControl w:val="0"/>
        <w:spacing w:after="0" w:line="480" w:lineRule="auto"/>
        <w:ind w:left="1134"/>
        <w:jc w:val="both"/>
        <w:rPr>
          <w:rFonts w:ascii="Times New Roman" w:hAnsi="Times New Roman" w:cs="Times New Roman"/>
          <w:i/>
          <w:sz w:val="24"/>
        </w:rPr>
      </w:pPr>
      <w:proofErr w:type="spellStart"/>
      <w:r>
        <w:rPr>
          <w:rFonts w:ascii="Times New Roman" w:hAnsi="Times New Roman" w:cs="Times New Roman"/>
          <w:i/>
          <w:sz w:val="24"/>
        </w:rPr>
        <w:t>Ziona</w:t>
      </w:r>
      <w:proofErr w:type="spellEnd"/>
      <w:r>
        <w:rPr>
          <w:rFonts w:ascii="Times New Roman" w:hAnsi="Times New Roman" w:cs="Times New Roman"/>
          <w:i/>
          <w:sz w:val="24"/>
        </w:rPr>
        <w:t xml:space="preserve"> Strelitz  </w:t>
      </w:r>
    </w:p>
    <w:p w14:paraId="72C4E661" w14:textId="77777777" w:rsidR="00763F9F" w:rsidRDefault="00A8343B">
      <w:pPr>
        <w:keepLines/>
        <w:spacing w:after="0" w:line="480" w:lineRule="auto"/>
        <w:ind w:left="1134" w:hanging="1134"/>
        <w:jc w:val="both"/>
        <w:rPr>
          <w:rFonts w:ascii="Times New Roman" w:hAnsi="Times New Roman"/>
          <w:sz w:val="24"/>
          <w:szCs w:val="28"/>
        </w:rPr>
      </w:pPr>
      <w:r>
        <w:rPr>
          <w:rFonts w:ascii="Times New Roman" w:hAnsi="Times New Roman"/>
          <w:sz w:val="24"/>
          <w:szCs w:val="28"/>
        </w:rPr>
        <w:t>Chapter 1</w:t>
      </w:r>
      <w:r w:rsidR="00C63B6C">
        <w:rPr>
          <w:rFonts w:ascii="Times New Roman" w:hAnsi="Times New Roman"/>
          <w:sz w:val="24"/>
          <w:szCs w:val="28"/>
        </w:rPr>
        <w:t>0: Revisiting the dual agenda: W</w:t>
      </w:r>
      <w:r>
        <w:rPr>
          <w:rFonts w:ascii="Times New Roman" w:hAnsi="Times New Roman"/>
          <w:sz w:val="24"/>
          <w:szCs w:val="28"/>
        </w:rPr>
        <w:t xml:space="preserve">hy companies miss the point if they retract flexible work arrangements during bad times </w:t>
      </w:r>
    </w:p>
    <w:p w14:paraId="06C703BD" w14:textId="77777777" w:rsidR="00763F9F" w:rsidRDefault="00A8343B">
      <w:pPr>
        <w:spacing w:after="0" w:line="480" w:lineRule="auto"/>
        <w:ind w:left="1134"/>
        <w:jc w:val="both"/>
        <w:rPr>
          <w:rFonts w:ascii="Times New Roman" w:hAnsi="Times New Roman"/>
          <w:i/>
          <w:sz w:val="24"/>
        </w:rPr>
      </w:pPr>
      <w:proofErr w:type="spellStart"/>
      <w:r>
        <w:rPr>
          <w:rFonts w:ascii="Times New Roman" w:hAnsi="Times New Roman"/>
          <w:i/>
          <w:sz w:val="24"/>
        </w:rPr>
        <w:lastRenderedPageBreak/>
        <w:t>Hyosun</w:t>
      </w:r>
      <w:proofErr w:type="spellEnd"/>
      <w:r>
        <w:rPr>
          <w:rFonts w:ascii="Times New Roman" w:hAnsi="Times New Roman"/>
          <w:i/>
          <w:sz w:val="24"/>
        </w:rPr>
        <w:t xml:space="preserve"> Kim, </w:t>
      </w:r>
      <w:proofErr w:type="spellStart"/>
      <w:r>
        <w:rPr>
          <w:rFonts w:ascii="Times New Roman" w:hAnsi="Times New Roman"/>
          <w:i/>
          <w:sz w:val="24"/>
        </w:rPr>
        <w:t>Lotte</w:t>
      </w:r>
      <w:proofErr w:type="spellEnd"/>
      <w:r>
        <w:rPr>
          <w:rFonts w:ascii="Times New Roman" w:hAnsi="Times New Roman"/>
          <w:i/>
          <w:sz w:val="24"/>
        </w:rPr>
        <w:t xml:space="preserve"> </w:t>
      </w:r>
      <w:proofErr w:type="spellStart"/>
      <w:r>
        <w:rPr>
          <w:rFonts w:ascii="Times New Roman" w:hAnsi="Times New Roman"/>
          <w:i/>
          <w:sz w:val="24"/>
        </w:rPr>
        <w:t>Bailyn</w:t>
      </w:r>
      <w:proofErr w:type="spellEnd"/>
      <w:r>
        <w:rPr>
          <w:rFonts w:ascii="Times New Roman" w:hAnsi="Times New Roman"/>
          <w:i/>
          <w:sz w:val="24"/>
        </w:rPr>
        <w:t xml:space="preserve"> and Deborah M. Kolb</w:t>
      </w:r>
    </w:p>
    <w:p w14:paraId="1BE71DBD" w14:textId="77777777" w:rsidR="00763F9F" w:rsidRDefault="00A8343B">
      <w:pPr>
        <w:spacing w:after="0" w:line="480" w:lineRule="auto"/>
        <w:jc w:val="both"/>
      </w:pPr>
      <w:r>
        <w:rPr>
          <w:rFonts w:ascii="Times New Roman" w:hAnsi="Times New Roman"/>
          <w:sz w:val="24"/>
          <w:szCs w:val="24"/>
        </w:rPr>
        <w:t xml:space="preserve">Chapter 11: </w:t>
      </w:r>
      <w:r w:rsidR="007972F6">
        <w:rPr>
          <w:rFonts w:ascii="Times New Roman" w:hAnsi="Times New Roman" w:cs="Times New Roman"/>
          <w:sz w:val="24"/>
          <w:szCs w:val="24"/>
        </w:rPr>
        <w:t>Towards a triple agenda for work–life b</w:t>
      </w:r>
      <w:r>
        <w:rPr>
          <w:rFonts w:ascii="Times New Roman" w:hAnsi="Times New Roman" w:cs="Times New Roman"/>
          <w:sz w:val="24"/>
          <w:szCs w:val="24"/>
        </w:rPr>
        <w:t>alance beyond recession and austerity</w:t>
      </w:r>
    </w:p>
    <w:p w14:paraId="0C6C985B" w14:textId="77777777" w:rsidR="00763F9F" w:rsidRDefault="00A8343B">
      <w:pPr>
        <w:spacing w:after="0" w:line="480" w:lineRule="auto"/>
        <w:ind w:left="1134"/>
        <w:jc w:val="both"/>
        <w:rPr>
          <w:rFonts w:ascii="Times New Roman" w:hAnsi="Times New Roman"/>
          <w:i/>
          <w:sz w:val="24"/>
          <w:szCs w:val="24"/>
        </w:rPr>
      </w:pPr>
      <w:r>
        <w:rPr>
          <w:rFonts w:ascii="Times New Roman" w:hAnsi="Times New Roman"/>
          <w:i/>
          <w:sz w:val="24"/>
          <w:szCs w:val="24"/>
        </w:rPr>
        <w:t xml:space="preserve">Deirdre Anderson, Jonathan Swan and Suzan Lewis </w:t>
      </w:r>
    </w:p>
    <w:p w14:paraId="3D1D937B" w14:textId="77777777" w:rsidR="00763F9F" w:rsidRDefault="00A8343B">
      <w:pPr>
        <w:spacing w:after="0" w:line="480" w:lineRule="auto"/>
        <w:jc w:val="both"/>
        <w:rPr>
          <w:rFonts w:ascii="Times New Roman" w:hAnsi="Times New Roman"/>
          <w:sz w:val="24"/>
          <w:highlight w:val="yellow"/>
        </w:rPr>
      </w:pPr>
      <w:r>
        <w:br w:type="page"/>
      </w:r>
    </w:p>
    <w:p w14:paraId="32AFA6E8" w14:textId="77777777" w:rsidR="00763F9F" w:rsidRDefault="00A8343B">
      <w:pPr>
        <w:spacing w:after="0" w:line="480" w:lineRule="auto"/>
        <w:jc w:val="both"/>
        <w:rPr>
          <w:rFonts w:ascii="Times New Roman" w:hAnsi="Times New Roman" w:cs="Tahoma"/>
          <w:b/>
          <w:bCs/>
          <w:sz w:val="24"/>
          <w:szCs w:val="36"/>
          <w:lang w:val="en-US"/>
        </w:rPr>
      </w:pPr>
      <w:r>
        <w:rPr>
          <w:rFonts w:ascii="Times New Roman" w:hAnsi="Times New Roman" w:cs="Tahoma"/>
          <w:b/>
          <w:bCs/>
          <w:sz w:val="24"/>
          <w:szCs w:val="36"/>
          <w:lang w:val="en-US"/>
        </w:rPr>
        <w:lastRenderedPageBreak/>
        <w:t>Introduction</w:t>
      </w:r>
    </w:p>
    <w:p w14:paraId="17A2E83A" w14:textId="77777777" w:rsidR="00763F9F" w:rsidRDefault="00A8343B">
      <w:pPr>
        <w:spacing w:after="0" w:line="480" w:lineRule="auto"/>
        <w:jc w:val="both"/>
      </w:pPr>
      <w:r>
        <w:rPr>
          <w:rFonts w:ascii="Times New Roman" w:hAnsi="Times New Roman"/>
          <w:sz w:val="24"/>
        </w:rPr>
        <w:t>This book reflects enormous ongoing interest in work–life balance (WLB), as well as pressing concerns about the impacts of post-2008 recession on individuals, workplaces and societies.</w:t>
      </w:r>
      <w:r w:rsidR="00F6070F">
        <w:rPr>
          <w:rFonts w:ascii="Times New Roman" w:hAnsi="Times New Roman"/>
          <w:sz w:val="24"/>
        </w:rPr>
        <w:t xml:space="preserve"> </w:t>
      </w:r>
      <w:r>
        <w:rPr>
          <w:rFonts w:ascii="Times New Roman" w:hAnsi="Times New Roman"/>
          <w:sz w:val="24"/>
        </w:rPr>
        <w:t>Traditional gendered workplace cultures, and expectations about ideal workers and the separation of work and non-work lives, have been exacerbated by global competitive capitalism and technological connectedness, making it even more difficult for many people to manage their work and personal lives. Nevertheless, prior to the financial crisis and subsequent turbulent economic times, workplace policies and practices to support time flexibility and combining working and caring were growing in many contexts. This book explores the challenges for WLB and related workplace practices and social policy when governments are following austerity policies, and considers the implications for the achievement of the triple agenda of meeting the needs of employees, employers and social justice. Below we discuss three key terms and themes used throughout the book: austerity, work–life balance and the triple agenda, before introducing the aims and chapters of the book.</w:t>
      </w:r>
    </w:p>
    <w:p w14:paraId="5FB3B9A8" w14:textId="77777777" w:rsidR="00763F9F" w:rsidRDefault="00763F9F">
      <w:pPr>
        <w:spacing w:after="0" w:line="480" w:lineRule="auto"/>
        <w:jc w:val="both"/>
        <w:rPr>
          <w:rFonts w:ascii="Times New Roman" w:hAnsi="Times New Roman"/>
          <w:sz w:val="24"/>
        </w:rPr>
      </w:pPr>
    </w:p>
    <w:p w14:paraId="0CE651E7" w14:textId="77777777" w:rsidR="00763F9F" w:rsidRDefault="00A8343B">
      <w:pPr>
        <w:spacing w:after="0" w:line="480" w:lineRule="auto"/>
        <w:jc w:val="both"/>
        <w:rPr>
          <w:rFonts w:ascii="Times New Roman" w:hAnsi="Times New Roman"/>
          <w:sz w:val="24"/>
        </w:rPr>
      </w:pPr>
      <w:r>
        <w:rPr>
          <w:rFonts w:ascii="Times New Roman" w:hAnsi="Times New Roman"/>
          <w:sz w:val="24"/>
        </w:rPr>
        <w:t>There is no simple agreed definition of financial austerity but this usually refers to government spending cuts to reduce budget deficits, following a period of recession or poor economic performance. Many politicians and economists view austerity as the only way that national economies can recover from the ongoing impact of the 2008 financial crash, whereas others view it as a value-laden political strategy that disproportionately impacts on women and vulnerable sectors of society (</w:t>
      </w:r>
      <w:proofErr w:type="spellStart"/>
      <w:r>
        <w:rPr>
          <w:rFonts w:ascii="Times New Roman" w:hAnsi="Times New Roman"/>
          <w:sz w:val="24"/>
        </w:rPr>
        <w:t>Walby</w:t>
      </w:r>
      <w:proofErr w:type="spellEnd"/>
      <w:r>
        <w:rPr>
          <w:rFonts w:ascii="Times New Roman" w:hAnsi="Times New Roman"/>
          <w:sz w:val="24"/>
        </w:rPr>
        <w:t xml:space="preserve">, 2015; </w:t>
      </w:r>
      <w:proofErr w:type="spellStart"/>
      <w:r>
        <w:rPr>
          <w:rFonts w:ascii="Times New Roman" w:hAnsi="Times New Roman"/>
          <w:sz w:val="24"/>
        </w:rPr>
        <w:t>Guerrina</w:t>
      </w:r>
      <w:proofErr w:type="spellEnd"/>
      <w:r>
        <w:rPr>
          <w:rFonts w:ascii="Times New Roman" w:hAnsi="Times New Roman"/>
          <w:sz w:val="24"/>
        </w:rPr>
        <w:t xml:space="preserve">, 2015). The chapters in this book explore the implications of national and/or workplace responses to difficult economic contexts for aspects of WLB, including employer policies and practices, experiences of </w:t>
      </w:r>
      <w:r>
        <w:rPr>
          <w:rFonts w:ascii="Times New Roman" w:hAnsi="Times New Roman"/>
          <w:sz w:val="24"/>
        </w:rPr>
        <w:lastRenderedPageBreak/>
        <w:t xml:space="preserve">working and caring, employment relations, health and well-being, workplace innovation, fairness and social justice. </w:t>
      </w:r>
    </w:p>
    <w:p w14:paraId="7AE0C5A9" w14:textId="77777777" w:rsidR="00763F9F" w:rsidRDefault="00763F9F">
      <w:pPr>
        <w:spacing w:after="0" w:line="480" w:lineRule="auto"/>
        <w:jc w:val="both"/>
        <w:rPr>
          <w:rFonts w:ascii="Times New Roman" w:hAnsi="Times New Roman"/>
          <w:sz w:val="24"/>
        </w:rPr>
      </w:pPr>
    </w:p>
    <w:p w14:paraId="1C0BCDD2" w14:textId="77777777" w:rsidR="00763F9F" w:rsidRDefault="00A8343B">
      <w:pPr>
        <w:spacing w:after="0" w:line="480" w:lineRule="auto"/>
        <w:jc w:val="both"/>
        <w:rPr>
          <w:rFonts w:ascii="Times New Roman" w:hAnsi="Times New Roman"/>
          <w:sz w:val="24"/>
        </w:rPr>
      </w:pPr>
      <w:r>
        <w:rPr>
          <w:rFonts w:ascii="Times New Roman" w:hAnsi="Times New Roman"/>
          <w:sz w:val="24"/>
        </w:rPr>
        <w:t>WLB is usually defined in terms of having the time (and energy) for both work and personal life activities, that is without work dominating people’s lives. However, although the WLB discourse is widely used by scholars, policy makers, employers, the media and the general public, its meaning is contested (Fleetwood, 2007; Lewis et al., 2007). A very basic criticism is that work (paid and unpaid) is part of life and not something separate to be balanced with life (Gambles et al., 2006). Suggestions for alternative terminologies</w:t>
      </w:r>
      <w:r w:rsidR="0078009A">
        <w:rPr>
          <w:rFonts w:ascii="Times New Roman" w:hAnsi="Times New Roman"/>
          <w:sz w:val="24"/>
        </w:rPr>
        <w:t>,</w:t>
      </w:r>
      <w:r>
        <w:rPr>
          <w:rFonts w:ascii="Times New Roman" w:hAnsi="Times New Roman"/>
          <w:sz w:val="24"/>
        </w:rPr>
        <w:t xml:space="preserve"> which attempt to counter this false dichotomy</w:t>
      </w:r>
      <w:r w:rsidR="0078009A">
        <w:rPr>
          <w:rFonts w:ascii="Times New Roman" w:hAnsi="Times New Roman"/>
          <w:sz w:val="24"/>
        </w:rPr>
        <w:t>,</w:t>
      </w:r>
      <w:r>
        <w:rPr>
          <w:rFonts w:ascii="Times New Roman" w:hAnsi="Times New Roman"/>
          <w:sz w:val="24"/>
        </w:rPr>
        <w:t xml:space="preserve"> include </w:t>
      </w:r>
      <w:r w:rsidR="00763F9F" w:rsidRPr="00763F9F">
        <w:rPr>
          <w:rFonts w:ascii="Times New Roman" w:hAnsi="Times New Roman"/>
          <w:sz w:val="24"/>
        </w:rPr>
        <w:t xml:space="preserve">the integration or harmonisation of paid work and personal life </w:t>
      </w:r>
      <w:r>
        <w:rPr>
          <w:rFonts w:ascii="Times New Roman" w:hAnsi="Times New Roman"/>
          <w:sz w:val="24"/>
        </w:rPr>
        <w:t>(Gambles et al, 2006). However, these terms do not trip off the tongue in the same way as WLB. Moreover, the language of WLB, however problematic, has focused awareness on issues raised by current trends, including the intensification of work and blurring of work–non work boundaries by technology. Given its persistence in popular discourse, we use the term WLB in this book, applying a critical lens where appropriate. In fact, there is no single understanding or use of the term WLB. Rather, multiple and overlapping WLB discourses are dynamic, shifting over time and place (Lewis et al.,</w:t>
      </w:r>
      <w:r w:rsidR="00812C28">
        <w:rPr>
          <w:rFonts w:ascii="Times New Roman" w:hAnsi="Times New Roman"/>
          <w:sz w:val="24"/>
        </w:rPr>
        <w:t xml:space="preserve"> 2007; Lewis et al.,</w:t>
      </w:r>
      <w:r>
        <w:rPr>
          <w:rFonts w:ascii="Times New Roman" w:hAnsi="Times New Roman"/>
          <w:sz w:val="24"/>
        </w:rPr>
        <w:t xml:space="preserve"> 2016). WLB can be used as a noun to refer to an outcome or aspiration to be achieved by individuals, or as an adjective to describe practices or other means of contributing to such outcomes. The former usage typically implies that WLB is an important but often elusive aspect of well-being which is a major focus of this book. The latter is commonly used in relation to workplace initiatives, such as flexible working arrangements, for managing time and work–non work boundaries. These are often referred to as WLB policies, provisions or practices, which are also discussed in a number of chapters.  </w:t>
      </w:r>
    </w:p>
    <w:p w14:paraId="0BE3BAA6" w14:textId="77777777" w:rsidR="00763F9F" w:rsidRDefault="00763F9F">
      <w:pPr>
        <w:spacing w:after="0" w:line="480" w:lineRule="auto"/>
        <w:jc w:val="both"/>
        <w:rPr>
          <w:rFonts w:ascii="Times New Roman" w:hAnsi="Times New Roman"/>
          <w:sz w:val="24"/>
        </w:rPr>
      </w:pPr>
    </w:p>
    <w:p w14:paraId="3A7C1F1D" w14:textId="77777777" w:rsidR="00763F9F" w:rsidRDefault="00A8343B">
      <w:pPr>
        <w:spacing w:after="0" w:line="480" w:lineRule="auto"/>
        <w:jc w:val="both"/>
      </w:pPr>
      <w:r>
        <w:rPr>
          <w:rFonts w:ascii="Times New Roman" w:hAnsi="Times New Roman"/>
          <w:sz w:val="24"/>
        </w:rPr>
        <w:lastRenderedPageBreak/>
        <w:t>There is also a growing critical literature which argues that the use of the term workplace WLB policies or practices implies an employee-led focus or “favours” which can mask the employer benefits of some so-called WLB policies and practices (Fleetwood, 2007; Lewis et al.,</w:t>
      </w:r>
      <w:r w:rsidR="00812C28">
        <w:rPr>
          <w:rFonts w:ascii="Times New Roman" w:hAnsi="Times New Roman"/>
          <w:sz w:val="24"/>
        </w:rPr>
        <w:t xml:space="preserve"> 2007; Lewis et al.,</w:t>
      </w:r>
      <w:r>
        <w:rPr>
          <w:rFonts w:ascii="Times New Roman" w:hAnsi="Times New Roman"/>
          <w:sz w:val="24"/>
        </w:rPr>
        <w:t xml:space="preserve"> 2016; </w:t>
      </w:r>
      <w:proofErr w:type="spellStart"/>
      <w:r>
        <w:rPr>
          <w:rFonts w:ascii="Times New Roman" w:hAnsi="Times New Roman"/>
          <w:sz w:val="24"/>
        </w:rPr>
        <w:t>Özbilgin</w:t>
      </w:r>
      <w:proofErr w:type="spellEnd"/>
      <w:r>
        <w:rPr>
          <w:rFonts w:ascii="Times New Roman" w:hAnsi="Times New Roman"/>
          <w:sz w:val="24"/>
        </w:rPr>
        <w:t xml:space="preserve"> et al., 2011; Smithson and </w:t>
      </w:r>
      <w:proofErr w:type="spellStart"/>
      <w:r>
        <w:rPr>
          <w:rFonts w:ascii="Times New Roman" w:hAnsi="Times New Roman"/>
          <w:sz w:val="24"/>
        </w:rPr>
        <w:t>Stokoe</w:t>
      </w:r>
      <w:proofErr w:type="spellEnd"/>
      <w:r>
        <w:rPr>
          <w:rFonts w:ascii="Times New Roman" w:hAnsi="Times New Roman"/>
          <w:sz w:val="24"/>
        </w:rPr>
        <w:t xml:space="preserve">, 2005; </w:t>
      </w:r>
      <w:proofErr w:type="spellStart"/>
      <w:r>
        <w:rPr>
          <w:rFonts w:ascii="Times New Roman" w:hAnsi="Times New Roman"/>
          <w:sz w:val="24"/>
        </w:rPr>
        <w:t>Gatrell</w:t>
      </w:r>
      <w:proofErr w:type="spellEnd"/>
      <w:r>
        <w:rPr>
          <w:rFonts w:ascii="Times New Roman" w:hAnsi="Times New Roman"/>
          <w:sz w:val="24"/>
        </w:rPr>
        <w:t xml:space="preserve"> and Cooper, 2008), as well as masking the effects of wider global competitive capitalism and spread of neo-liberal values (Fleetwood, 2007). This raises issues of fairness and social justice. The WLB discourse has also been criticised for implying gender neutrality (Smithson and </w:t>
      </w:r>
      <w:proofErr w:type="spellStart"/>
      <w:r>
        <w:rPr>
          <w:rFonts w:ascii="Times New Roman" w:hAnsi="Times New Roman"/>
          <w:sz w:val="24"/>
        </w:rPr>
        <w:t>Stokoe</w:t>
      </w:r>
      <w:proofErr w:type="spellEnd"/>
      <w:r>
        <w:rPr>
          <w:rFonts w:ascii="Times New Roman" w:hAnsi="Times New Roman"/>
          <w:sz w:val="24"/>
        </w:rPr>
        <w:t>, 2005; Lewis et al., 2007). However, austerity is deepening gender inequalities (</w:t>
      </w:r>
      <w:proofErr w:type="spellStart"/>
      <w:r>
        <w:rPr>
          <w:rFonts w:ascii="Times New Roman" w:hAnsi="Times New Roman"/>
          <w:sz w:val="24"/>
        </w:rPr>
        <w:t>Walby</w:t>
      </w:r>
      <w:proofErr w:type="spellEnd"/>
      <w:r>
        <w:rPr>
          <w:rFonts w:ascii="Times New Roman" w:hAnsi="Times New Roman"/>
          <w:sz w:val="24"/>
        </w:rPr>
        <w:t>, 2015) and gender inequity is a key aspect of social justice, considered in this book.</w:t>
      </w:r>
    </w:p>
    <w:p w14:paraId="46C266D7" w14:textId="77777777" w:rsidR="00763F9F" w:rsidRDefault="00763F9F">
      <w:pPr>
        <w:spacing w:after="0" w:line="480" w:lineRule="auto"/>
        <w:jc w:val="both"/>
        <w:rPr>
          <w:rFonts w:ascii="Times New Roman" w:hAnsi="Times New Roman"/>
          <w:sz w:val="24"/>
        </w:rPr>
      </w:pPr>
    </w:p>
    <w:p w14:paraId="2AF00EA3" w14:textId="77777777" w:rsidR="00763F9F" w:rsidRDefault="00A8343B">
      <w:pPr>
        <w:spacing w:after="0" w:line="480" w:lineRule="auto"/>
        <w:jc w:val="both"/>
      </w:pPr>
      <w:r>
        <w:rPr>
          <w:rFonts w:ascii="Times New Roman" w:hAnsi="Times New Roman"/>
          <w:sz w:val="24"/>
        </w:rPr>
        <w:t>The impact on WLB of financial turbulence and austerity is examined through a triple agenda lens throughout the book. That is, authors consider, in various ways, the impact of the economic context on three important outcomes: individuals' WLB and well-being, workplace effectiveness, and social justice. The notion of a dual agenda of both workplace effectiveness and WLB (and especially gender equity) is not new (</w:t>
      </w:r>
      <w:proofErr w:type="spellStart"/>
      <w:r>
        <w:rPr>
          <w:rFonts w:ascii="Times New Roman" w:hAnsi="Times New Roman"/>
          <w:sz w:val="24"/>
        </w:rPr>
        <w:t>Rapoport</w:t>
      </w:r>
      <w:proofErr w:type="spellEnd"/>
      <w:r>
        <w:rPr>
          <w:rFonts w:ascii="Times New Roman" w:hAnsi="Times New Roman"/>
          <w:sz w:val="24"/>
        </w:rPr>
        <w:t xml:space="preserve"> et al., 2002; </w:t>
      </w:r>
      <w:proofErr w:type="spellStart"/>
      <w:r>
        <w:rPr>
          <w:rFonts w:ascii="Times New Roman" w:hAnsi="Times New Roman"/>
          <w:sz w:val="24"/>
        </w:rPr>
        <w:t>Bailyn</w:t>
      </w:r>
      <w:proofErr w:type="spellEnd"/>
      <w:r>
        <w:rPr>
          <w:rFonts w:ascii="Times New Roman" w:hAnsi="Times New Roman"/>
          <w:sz w:val="24"/>
        </w:rPr>
        <w:t xml:space="preserve"> and Harrington, 2004) and is similar in some respects to the business-ca</w:t>
      </w:r>
      <w:r w:rsidR="00812C28">
        <w:rPr>
          <w:rFonts w:ascii="Times New Roman" w:hAnsi="Times New Roman"/>
          <w:sz w:val="24"/>
        </w:rPr>
        <w:t>se agenda for WLB support, in so far as it</w:t>
      </w:r>
      <w:r>
        <w:rPr>
          <w:rFonts w:ascii="Times New Roman" w:hAnsi="Times New Roman"/>
          <w:sz w:val="24"/>
        </w:rPr>
        <w:t xml:space="preserve"> emphasises that both the business and WLB agendas are equally important. The triple agenda, which has the potential to extend debates about WLB by foregrounding aspects of fairness and social justice, is more challenging. </w:t>
      </w:r>
    </w:p>
    <w:p w14:paraId="566E5676" w14:textId="77777777" w:rsidR="00763F9F" w:rsidRDefault="00763F9F">
      <w:pPr>
        <w:spacing w:after="0" w:line="480" w:lineRule="auto"/>
        <w:jc w:val="both"/>
        <w:rPr>
          <w:rFonts w:ascii="Times New Roman" w:hAnsi="Times New Roman"/>
          <w:sz w:val="24"/>
        </w:rPr>
      </w:pPr>
    </w:p>
    <w:p w14:paraId="61F7BF23" w14:textId="77777777" w:rsidR="00763F9F" w:rsidRDefault="00A8343B">
      <w:pPr>
        <w:spacing w:after="0" w:line="480" w:lineRule="auto"/>
        <w:jc w:val="both"/>
      </w:pPr>
      <w:r>
        <w:rPr>
          <w:rFonts w:ascii="Times New Roman" w:hAnsi="Times New Roman"/>
          <w:sz w:val="24"/>
        </w:rPr>
        <w:t>This book is based on an Economic and Social Science Research Counci</w:t>
      </w:r>
      <w:r w:rsidR="00F6070F">
        <w:rPr>
          <w:rFonts w:ascii="Times New Roman" w:hAnsi="Times New Roman"/>
          <w:sz w:val="24"/>
        </w:rPr>
        <w:t>l</w:t>
      </w:r>
      <w:r>
        <w:rPr>
          <w:rFonts w:ascii="Times New Roman" w:hAnsi="Times New Roman"/>
          <w:sz w:val="24"/>
        </w:rPr>
        <w:t xml:space="preserve"> research seminar series, ‘Work–Life Balance in the Recession and Beyond,’ which took place in the UK in 2014–15. The main aims of this interdisciplinary seminar series were, first, to understand the WLB challenges for employees, employers and policy-makers posed by the recession and subsequent economic challenges and, secondly, to provide a forum for academic researchers </w:t>
      </w:r>
      <w:r>
        <w:rPr>
          <w:rFonts w:ascii="Times New Roman" w:hAnsi="Times New Roman"/>
          <w:sz w:val="24"/>
        </w:rPr>
        <w:lastRenderedPageBreak/>
        <w:t>and a range of research users, including employers, policy-makers, unions, charities and non-governmental organisations, to debate how to address these challenges post-recession. These aims are mirrored in the aims of the book which includes research on how WLB and WLB policies and practices have been affected by the 2008 recession and associated austerity programmes. We have also endeavoured to incorporate some of the ideas emerging from the practitioner–academic discussions. Like the seminar series, the book aims to move beyond documenting problems in supporting WLB and concludes by focusing on ideas for strategies for sustaining a triple agenda to support WLB.</w:t>
      </w:r>
    </w:p>
    <w:p w14:paraId="786C8C7C" w14:textId="77777777" w:rsidR="00763F9F" w:rsidRDefault="00A8343B">
      <w:pPr>
        <w:spacing w:after="0" w:line="480" w:lineRule="auto"/>
        <w:jc w:val="both"/>
        <w:rPr>
          <w:rFonts w:ascii="Times New Roman" w:hAnsi="Times New Roman"/>
          <w:sz w:val="24"/>
        </w:rPr>
      </w:pPr>
      <w:r>
        <w:rPr>
          <w:rFonts w:ascii="Times New Roman" w:hAnsi="Times New Roman"/>
          <w:sz w:val="24"/>
        </w:rPr>
        <w:t xml:space="preserve">  </w:t>
      </w:r>
    </w:p>
    <w:p w14:paraId="77566B07" w14:textId="77777777" w:rsidR="00763F9F" w:rsidRDefault="00A8343B">
      <w:pPr>
        <w:spacing w:after="0" w:line="480" w:lineRule="auto"/>
        <w:jc w:val="both"/>
        <w:rPr>
          <w:rFonts w:ascii="Times New Roman" w:hAnsi="Times New Roman"/>
          <w:b/>
          <w:sz w:val="24"/>
        </w:rPr>
      </w:pPr>
      <w:r>
        <w:rPr>
          <w:rFonts w:ascii="Times New Roman" w:hAnsi="Times New Roman"/>
          <w:b/>
          <w:sz w:val="24"/>
        </w:rPr>
        <w:t>Overview of the book</w:t>
      </w:r>
    </w:p>
    <w:p w14:paraId="4954E0A8" w14:textId="77777777" w:rsidR="00763F9F" w:rsidRDefault="00A8343B">
      <w:pPr>
        <w:spacing w:after="0" w:line="480" w:lineRule="auto"/>
        <w:jc w:val="both"/>
      </w:pPr>
      <w:r>
        <w:rPr>
          <w:rFonts w:ascii="Times New Roman" w:eastAsia="PMingLiU" w:hAnsi="Times New Roman" w:cs="Times New Roman"/>
          <w:sz w:val="24"/>
        </w:rPr>
        <w:t xml:space="preserve">The main aim of the book is to assess the impact of recession and austerity policies on WLB and supports for it, and particularly how they affect our ability to achieve the triple agenda of </w:t>
      </w:r>
      <w:r>
        <w:rPr>
          <w:rFonts w:ascii="Times New Roman" w:hAnsi="Times New Roman"/>
          <w:sz w:val="24"/>
        </w:rPr>
        <w:t xml:space="preserve">individuals' WLB and well-being, workplace effectiveness, and social justice, </w:t>
      </w:r>
      <w:r>
        <w:rPr>
          <w:rFonts w:ascii="Times New Roman" w:eastAsia="PMingLiU" w:hAnsi="Times New Roman" w:cs="Times New Roman"/>
          <w:sz w:val="24"/>
        </w:rPr>
        <w:t>drawing on state of the art research in the UK and elsewhere</w:t>
      </w:r>
      <w:r>
        <w:rPr>
          <w:rFonts w:ascii="Times New Roman" w:eastAsia="PMingLiU" w:hAnsi="Times New Roman" w:cs="Times New Roman"/>
          <w:i/>
          <w:iCs/>
          <w:sz w:val="24"/>
        </w:rPr>
        <w:t xml:space="preserve">. </w:t>
      </w:r>
      <w:r>
        <w:rPr>
          <w:rFonts w:ascii="Times New Roman" w:hAnsi="Times New Roman" w:cs="Times New Roman"/>
          <w:sz w:val="24"/>
        </w:rPr>
        <w:t xml:space="preserve">In Chapter 1, Colette Fagan and Greet </w:t>
      </w:r>
      <w:proofErr w:type="spellStart"/>
      <w:r>
        <w:rPr>
          <w:rFonts w:ascii="Times New Roman" w:hAnsi="Times New Roman" w:cs="Times New Roman"/>
          <w:sz w:val="24"/>
        </w:rPr>
        <w:t>Vermeylen</w:t>
      </w:r>
      <w:proofErr w:type="spellEnd"/>
      <w:r>
        <w:rPr>
          <w:rFonts w:ascii="Times New Roman" w:hAnsi="Times New Roman" w:cs="Times New Roman"/>
          <w:sz w:val="24"/>
        </w:rPr>
        <w:t xml:space="preserve"> provide a European-wide overview of inequalities in employment and WLB since the onset of the 2008 recession, while also highlighting relevant country-level policy changes in the context of austerity. Using the European-wide European Working Conditions Survey, they outline differences by country, as well as by gender, age and occupational groupings. In Chapter 2, Gail </w:t>
      </w:r>
      <w:proofErr w:type="spellStart"/>
      <w:r>
        <w:rPr>
          <w:rFonts w:ascii="Times New Roman" w:hAnsi="Times New Roman" w:cs="Times New Roman"/>
          <w:sz w:val="24"/>
        </w:rPr>
        <w:t>Kinman</w:t>
      </w:r>
      <w:proofErr w:type="spellEnd"/>
      <w:r>
        <w:rPr>
          <w:rFonts w:ascii="Times New Roman" w:hAnsi="Times New Roman" w:cs="Times New Roman"/>
          <w:sz w:val="24"/>
        </w:rPr>
        <w:t xml:space="preserve"> and </w:t>
      </w:r>
      <w:proofErr w:type="spellStart"/>
      <w:r>
        <w:rPr>
          <w:rFonts w:ascii="Times New Roman" w:hAnsi="Times New Roman" w:cs="Times New Roman"/>
          <w:sz w:val="24"/>
        </w:rPr>
        <w:t>Almuth</w:t>
      </w:r>
      <w:proofErr w:type="spellEnd"/>
      <w:r>
        <w:rPr>
          <w:rFonts w:ascii="Times New Roman" w:hAnsi="Times New Roman" w:cs="Times New Roman"/>
          <w:sz w:val="24"/>
        </w:rPr>
        <w:t xml:space="preserve"> McDowall consider how features of the economic downturn, such as the intensification of work, increased job insecurity, financial hardship and non-standard or precarious work arrangements, coupled with longer-term trends in flexible working practices and technological change, may have detrimental effects for WLB, health and wellbeing. They argue that such negative effects are likely to be accentuated by the persistence of traditional gendered assumptions which associate long hours with career success and devalue certain types of flexible working. Chapter 3, by Lucy Stokes and </w:t>
      </w:r>
      <w:r>
        <w:rPr>
          <w:rFonts w:ascii="Times New Roman" w:hAnsi="Times New Roman" w:cs="Times New Roman"/>
          <w:sz w:val="24"/>
        </w:rPr>
        <w:lastRenderedPageBreak/>
        <w:t>Stephen Wood, focuses on the provision of WLB practices and management’s attitudes towards WLB before and after the recession. Using data from Britain’s Workplace Employment Relations Survey (WERS) series, they show that the main changes took place within the public sector, as managers became less supportive of employees' WLB needs and employees, who experienced recessionary action, were less likely than others to make use of some WLB practices. All employees who experienced such action had greater levels of work-</w:t>
      </w:r>
      <w:proofErr w:type="spellStart"/>
      <w:r>
        <w:rPr>
          <w:rFonts w:ascii="Times New Roman" w:hAnsi="Times New Roman" w:cs="Times New Roman"/>
          <w:sz w:val="24"/>
        </w:rPr>
        <w:t>nonwork</w:t>
      </w:r>
      <w:proofErr w:type="spellEnd"/>
      <w:r>
        <w:rPr>
          <w:rFonts w:ascii="Times New Roman" w:hAnsi="Times New Roman" w:cs="Times New Roman"/>
          <w:sz w:val="24"/>
        </w:rPr>
        <w:t xml:space="preserve"> conflict. Clare </w:t>
      </w:r>
      <w:proofErr w:type="spellStart"/>
      <w:r>
        <w:rPr>
          <w:rFonts w:ascii="Times New Roman" w:hAnsi="Times New Roman" w:cs="Times New Roman"/>
          <w:sz w:val="24"/>
        </w:rPr>
        <w:t>Lyonette</w:t>
      </w:r>
      <w:proofErr w:type="spellEnd"/>
      <w:r>
        <w:rPr>
          <w:rFonts w:ascii="Times New Roman" w:hAnsi="Times New Roman" w:cs="Times New Roman"/>
          <w:sz w:val="24"/>
        </w:rPr>
        <w:t xml:space="preserve">, Deirdre Anderson, Suzan Lewis, Nicola Payne and Stephen Wood in Chapter 4 highlight </w:t>
      </w:r>
      <w:r>
        <w:rPr>
          <w:rFonts w:ascii="Times New Roman" w:hAnsi="Times New Roman" w:cs="Courier"/>
          <w:sz w:val="24"/>
          <w:szCs w:val="26"/>
          <w:lang w:val="en-US"/>
        </w:rPr>
        <w:t>the strategic use of what they call evolved flexible working arrangements, including enforced remote working, in order to manage austerity-related financial cuts</w:t>
      </w:r>
      <w:r>
        <w:rPr>
          <w:rFonts w:ascii="Times New Roman" w:hAnsi="Times New Roman" w:cs="Times New Roman"/>
          <w:sz w:val="24"/>
        </w:rPr>
        <w:t xml:space="preserve"> in the British public sector</w:t>
      </w:r>
      <w:r>
        <w:rPr>
          <w:rFonts w:ascii="Times New Roman" w:hAnsi="Times New Roman" w:cs="Courier"/>
          <w:sz w:val="24"/>
          <w:szCs w:val="26"/>
          <w:lang w:val="en-US"/>
        </w:rPr>
        <w:t xml:space="preserve">. Drawing on qualitative data from interviews with HR directors </w:t>
      </w:r>
      <w:r>
        <w:rPr>
          <w:rFonts w:ascii="Times New Roman" w:hAnsi="Times New Roman" w:cs="Times New Roman"/>
          <w:sz w:val="24"/>
        </w:rPr>
        <w:t xml:space="preserve">in </w:t>
      </w:r>
      <w:r>
        <w:rPr>
          <w:rFonts w:ascii="Times New Roman" w:hAnsi="Times New Roman" w:cs="Courier"/>
          <w:sz w:val="24"/>
          <w:szCs w:val="26"/>
          <w:lang w:val="en-US"/>
        </w:rPr>
        <w:t>local councils, they highlight that this strategy has been aided by the longer-term trend in IT developments, and they also discuss the implications for employees, line managers and service delivery. In Chapter 5,</w:t>
      </w:r>
      <w:r>
        <w:rPr>
          <w:rFonts w:ascii="Times New Roman" w:hAnsi="Times New Roman" w:cs="Times New Roman"/>
          <w:sz w:val="24"/>
        </w:rPr>
        <w:t xml:space="preserve"> Nicole Busby and Grace James examine how changes in employment law, welfare provisions and public sector cuts impact particularly on women’s capacity to work and care, and also exacerbate gender inequality. They challenge current conceptualisations of austerity and offer an alternative feminist response capable of guarding against the reversal of gains made in gender equality on the grounds of political ideology. Susan Milner</w:t>
      </w:r>
      <w:r>
        <w:rPr>
          <w:rFonts w:ascii="Times New Roman" w:hAnsi="Times New Roman" w:cs="Times New Roman"/>
          <w:color w:val="ED7D31"/>
          <w:sz w:val="24"/>
        </w:rPr>
        <w:t xml:space="preserve"> </w:t>
      </w:r>
      <w:r>
        <w:rPr>
          <w:rFonts w:ascii="Times New Roman" w:hAnsi="Times New Roman" w:cs="Times New Roman"/>
          <w:sz w:val="24"/>
        </w:rPr>
        <w:t>in Chapter 6 discusses</w:t>
      </w:r>
      <w:r>
        <w:rPr>
          <w:rFonts w:ascii="Times New Roman" w:hAnsi="Times New Roman" w:cs="Times New Roman"/>
          <w:color w:val="ED7D31"/>
          <w:sz w:val="24"/>
        </w:rPr>
        <w:t xml:space="preserve"> </w:t>
      </w:r>
      <w:r>
        <w:rPr>
          <w:rFonts w:ascii="Times New Roman" w:hAnsi="Times New Roman" w:cs="Times New Roman"/>
          <w:sz w:val="24"/>
        </w:rPr>
        <w:t xml:space="preserve">the impact of the economic crisis on trade unions’ policies towards WLB. Comparing France and the UK, she shows that the ability of trade unions to develop and pursue WLB policies has been adversely affected by the recession. The legal protection for collective bargaining in France has meant that the effect has been lower in large companies; the general trend applies to both countries, however, and so the provision of WLB practices at the workplace remains concentrated in large organisations. </w:t>
      </w:r>
    </w:p>
    <w:p w14:paraId="583B6346" w14:textId="77777777" w:rsidR="00763F9F" w:rsidRDefault="00763F9F">
      <w:pPr>
        <w:spacing w:after="0" w:line="480" w:lineRule="auto"/>
        <w:jc w:val="both"/>
        <w:rPr>
          <w:rFonts w:ascii="Times New Roman" w:hAnsi="Times New Roman"/>
          <w:sz w:val="24"/>
        </w:rPr>
      </w:pPr>
    </w:p>
    <w:p w14:paraId="795C50E3" w14:textId="77777777" w:rsidR="00763F9F" w:rsidRDefault="00A8343B">
      <w:pPr>
        <w:spacing w:after="0" w:line="480" w:lineRule="auto"/>
        <w:jc w:val="both"/>
      </w:pPr>
      <w:r>
        <w:rPr>
          <w:rFonts w:ascii="Times New Roman" w:hAnsi="Times New Roman" w:cs="Times New Roman"/>
          <w:sz w:val="24"/>
        </w:rPr>
        <w:lastRenderedPageBreak/>
        <w:t xml:space="preserve">Tracey Warren in Chapter 6 focuses on the financial insecurity engendered by the recession. She argues that financial security is a vital and potentially neglected contributor to WLB, a neglect that reflects an over-emphasis on middle-class lifestyles in discussions (and research) on WLB and the time pressures associated with them. Laura Den </w:t>
      </w:r>
      <w:proofErr w:type="spellStart"/>
      <w:r>
        <w:rPr>
          <w:rFonts w:ascii="Times New Roman" w:hAnsi="Times New Roman" w:cs="Times New Roman"/>
          <w:sz w:val="24"/>
        </w:rPr>
        <w:t>Dulk</w:t>
      </w:r>
      <w:proofErr w:type="spellEnd"/>
      <w:r>
        <w:rPr>
          <w:rFonts w:ascii="Times New Roman" w:hAnsi="Times New Roman" w:cs="Times New Roman"/>
          <w:sz w:val="24"/>
        </w:rPr>
        <w:t xml:space="preserve">, Anne </w:t>
      </w:r>
      <w:proofErr w:type="spellStart"/>
      <w:r>
        <w:rPr>
          <w:rFonts w:ascii="Times New Roman" w:hAnsi="Times New Roman" w:cs="Times New Roman"/>
          <w:sz w:val="24"/>
        </w:rPr>
        <w:t>Annink</w:t>
      </w:r>
      <w:proofErr w:type="spellEnd"/>
      <w:r>
        <w:rPr>
          <w:rFonts w:ascii="Times New Roman" w:hAnsi="Times New Roman" w:cs="Times New Roman"/>
          <w:sz w:val="24"/>
        </w:rPr>
        <w:t xml:space="preserve">, and Bram </w:t>
      </w:r>
      <w:proofErr w:type="spellStart"/>
      <w:r>
        <w:rPr>
          <w:rFonts w:ascii="Times New Roman" w:hAnsi="Times New Roman" w:cs="Times New Roman"/>
          <w:sz w:val="24"/>
        </w:rPr>
        <w:t>Peper</w:t>
      </w:r>
      <w:proofErr w:type="spellEnd"/>
      <w:r>
        <w:rPr>
          <w:rFonts w:ascii="Times New Roman" w:hAnsi="Times New Roman" w:cs="Times New Roman"/>
          <w:sz w:val="24"/>
        </w:rPr>
        <w:t xml:space="preserve"> extend this discussion in Chapter 7, which concentrates on the neglected category of self-employed workers. Using a comparative case study of independent professionals in Spain and the Netherlands, they highlight the financial and personal insecurities generated by the fluctuations in work and the difficulties of finding clients, and show that the role of the family in providing support is much stronger in Spain than in the </w:t>
      </w:r>
    </w:p>
    <w:p w14:paraId="65981A36" w14:textId="77777777" w:rsidR="008C18BF" w:rsidRDefault="00A8343B">
      <w:pPr>
        <w:spacing w:after="0" w:line="480" w:lineRule="auto"/>
        <w:jc w:val="both"/>
        <w:rPr>
          <w:rFonts w:ascii="Times New Roman" w:hAnsi="Times New Roman" w:cs="Times New Roman"/>
          <w:sz w:val="24"/>
        </w:rPr>
      </w:pPr>
      <w:r>
        <w:rPr>
          <w:rFonts w:ascii="Times New Roman" w:hAnsi="Times New Roman" w:cs="Times New Roman"/>
          <w:sz w:val="24"/>
        </w:rPr>
        <w:t xml:space="preserve">Netherlands. In Chapter 9, </w:t>
      </w:r>
      <w:proofErr w:type="spellStart"/>
      <w:r>
        <w:rPr>
          <w:rFonts w:ascii="Times New Roman" w:hAnsi="Times New Roman" w:cs="Times New Roman"/>
          <w:sz w:val="24"/>
        </w:rPr>
        <w:t>Ziona</w:t>
      </w:r>
      <w:proofErr w:type="spellEnd"/>
      <w:r>
        <w:rPr>
          <w:rFonts w:ascii="Times New Roman" w:hAnsi="Times New Roman" w:cs="Times New Roman"/>
          <w:sz w:val="24"/>
        </w:rPr>
        <w:t xml:space="preserve"> Strelitz </w:t>
      </w:r>
      <w:r>
        <w:rPr>
          <w:rFonts w:ascii="Times New Roman" w:hAnsi="Times New Roman" w:cs="Times New Roman"/>
          <w:sz w:val="24"/>
          <w:szCs w:val="24"/>
        </w:rPr>
        <w:t>examines the physical workplace, focusing on two trends that affect WLB in opposing ways</w:t>
      </w:r>
      <w:r w:rsidR="004648CB">
        <w:rPr>
          <w:rFonts w:ascii="Times New Roman" w:hAnsi="Times New Roman" w:cs="Times New Roman"/>
          <w:sz w:val="24"/>
          <w:szCs w:val="24"/>
        </w:rPr>
        <w:t>:</w:t>
      </w:r>
      <w:r>
        <w:rPr>
          <w:rFonts w:ascii="Times New Roman" w:hAnsi="Times New Roman" w:cs="Times New Roman"/>
          <w:sz w:val="24"/>
          <w:szCs w:val="24"/>
        </w:rPr>
        <w:t xml:space="preserve"> </w:t>
      </w:r>
      <w:r w:rsidR="004648CB">
        <w:rPr>
          <w:rFonts w:ascii="Times New Roman" w:hAnsi="Times New Roman" w:cs="Times New Roman"/>
          <w:sz w:val="24"/>
          <w:szCs w:val="24"/>
        </w:rPr>
        <w:t>t</w:t>
      </w:r>
      <w:r>
        <w:rPr>
          <w:rFonts w:ascii="Times New Roman" w:hAnsi="Times New Roman" w:cs="Times New Roman"/>
          <w:sz w:val="24"/>
          <w:szCs w:val="24"/>
        </w:rPr>
        <w:t>he consolidation of large organisations’ workspace in single locations, which impose strains on employees through longer journeys to work that on-site lifestyle amenities fail to offset and the increasing use of third places to support working close to but away from the home. Both trends commenced before the recession but it has promoted them. If centralizing organizations adopt flexible work strategies, as some do, the impact of the first trend can be mitigated</w:t>
      </w:r>
      <w:r>
        <w:rPr>
          <w:rFonts w:ascii="Times New Roman" w:hAnsi="Times New Roman" w:cs="Times New Roman"/>
          <w:sz w:val="24"/>
        </w:rPr>
        <w:t xml:space="preserve">. </w:t>
      </w:r>
      <w:proofErr w:type="spellStart"/>
      <w:r>
        <w:rPr>
          <w:rFonts w:ascii="Times New Roman" w:hAnsi="Times New Roman" w:cs="Times New Roman"/>
          <w:sz w:val="24"/>
        </w:rPr>
        <w:t>Hyosun</w:t>
      </w:r>
      <w:proofErr w:type="spellEnd"/>
      <w:r>
        <w:rPr>
          <w:rFonts w:ascii="Times New Roman" w:hAnsi="Times New Roman" w:cs="Times New Roman"/>
          <w:sz w:val="24"/>
        </w:rPr>
        <w:t xml:space="preserve"> </w:t>
      </w:r>
      <w:r w:rsidR="008C18BF">
        <w:rPr>
          <w:rFonts w:ascii="Times New Roman" w:hAnsi="Times New Roman" w:cs="Times New Roman"/>
          <w:sz w:val="24"/>
        </w:rPr>
        <w:t xml:space="preserve">Kim, </w:t>
      </w:r>
      <w:proofErr w:type="spellStart"/>
      <w:r w:rsidR="008C18BF">
        <w:rPr>
          <w:rFonts w:ascii="Times New Roman" w:hAnsi="Times New Roman" w:cs="Times New Roman"/>
          <w:sz w:val="24"/>
        </w:rPr>
        <w:t>Lotte</w:t>
      </w:r>
      <w:proofErr w:type="spellEnd"/>
      <w:r w:rsidR="008C18BF">
        <w:rPr>
          <w:rFonts w:ascii="Times New Roman" w:hAnsi="Times New Roman" w:cs="Times New Roman"/>
          <w:sz w:val="24"/>
        </w:rPr>
        <w:t xml:space="preserve"> </w:t>
      </w:r>
      <w:proofErr w:type="spellStart"/>
      <w:r w:rsidR="008C18BF">
        <w:rPr>
          <w:rFonts w:ascii="Times New Roman" w:hAnsi="Times New Roman" w:cs="Times New Roman"/>
          <w:sz w:val="24"/>
        </w:rPr>
        <w:t>Bailyn</w:t>
      </w:r>
      <w:proofErr w:type="spellEnd"/>
      <w:r w:rsidR="008C18BF">
        <w:rPr>
          <w:rFonts w:ascii="Times New Roman" w:hAnsi="Times New Roman" w:cs="Times New Roman"/>
          <w:sz w:val="24"/>
        </w:rPr>
        <w:t xml:space="preserve"> and </w:t>
      </w:r>
      <w:proofErr w:type="gramStart"/>
      <w:r w:rsidR="008C18BF">
        <w:rPr>
          <w:rFonts w:ascii="Times New Roman" w:hAnsi="Times New Roman" w:cs="Times New Roman"/>
          <w:sz w:val="24"/>
        </w:rPr>
        <w:t xml:space="preserve">Deborah </w:t>
      </w:r>
      <w:r>
        <w:rPr>
          <w:rFonts w:ascii="Times New Roman" w:hAnsi="Times New Roman" w:cs="Times New Roman"/>
          <w:sz w:val="24"/>
        </w:rPr>
        <w:t xml:space="preserve"> Kolb</w:t>
      </w:r>
      <w:proofErr w:type="gramEnd"/>
      <w:r>
        <w:rPr>
          <w:rFonts w:ascii="Times New Roman" w:hAnsi="Times New Roman" w:cs="Times New Roman"/>
          <w:sz w:val="24"/>
        </w:rPr>
        <w:t xml:space="preserve">, in Chapter 10, note that employers often reverse their use of remote working in difficult economic times and argue that this reflects their emphasis on </w:t>
      </w:r>
      <w:r w:rsidR="008C18BF">
        <w:rPr>
          <w:rFonts w:ascii="Times New Roman" w:hAnsi="Times New Roman" w:cs="Times New Roman"/>
          <w:sz w:val="24"/>
        </w:rPr>
        <w:t xml:space="preserve">the control of labour, which is </w:t>
      </w:r>
      <w:r>
        <w:rPr>
          <w:rFonts w:ascii="Times New Roman" w:hAnsi="Times New Roman" w:cs="Times New Roman"/>
          <w:sz w:val="24"/>
        </w:rPr>
        <w:t>counterproductive. The authors present</w:t>
      </w:r>
      <w:r w:rsidR="004648CB">
        <w:rPr>
          <w:rFonts w:ascii="Times New Roman" w:hAnsi="Times New Roman" w:cs="Times New Roman"/>
          <w:sz w:val="24"/>
        </w:rPr>
        <w:t xml:space="preserve"> an</w:t>
      </w:r>
      <w:r>
        <w:rPr>
          <w:rFonts w:ascii="Times New Roman" w:hAnsi="Times New Roman" w:cs="Times New Roman"/>
          <w:sz w:val="24"/>
        </w:rPr>
        <w:t xml:space="preserve"> alternative collaborative approach that aims to challenge traditional assumptions about working practices in order to reconcile the triple agenda of employee and employer needs and the gender equity aspect of social justice. This is illustrated with collaborative interactive action research cases in the USA and South Korea. </w:t>
      </w:r>
    </w:p>
    <w:p w14:paraId="17326C4D" w14:textId="77777777" w:rsidR="008C18BF" w:rsidRDefault="008C18BF">
      <w:pPr>
        <w:spacing w:after="0" w:line="480" w:lineRule="auto"/>
        <w:jc w:val="both"/>
        <w:rPr>
          <w:rFonts w:ascii="Times New Roman" w:hAnsi="Times New Roman" w:cs="Times New Roman"/>
          <w:sz w:val="24"/>
        </w:rPr>
      </w:pPr>
    </w:p>
    <w:p w14:paraId="047181EB" w14:textId="77777777" w:rsidR="00E62804" w:rsidRDefault="00A8343B">
      <w:pPr>
        <w:spacing w:after="0" w:line="480" w:lineRule="auto"/>
        <w:jc w:val="both"/>
        <w:rPr>
          <w:rFonts w:ascii="Times New Roman" w:hAnsi="Times New Roman" w:cs="Times New Roman"/>
          <w:sz w:val="24"/>
        </w:rPr>
      </w:pPr>
      <w:r>
        <w:rPr>
          <w:rFonts w:ascii="Times New Roman" w:hAnsi="Times New Roman" w:cs="Times New Roman"/>
          <w:sz w:val="24"/>
        </w:rPr>
        <w:t>Finally, Deirdre Anderson, Jonathan Swan and Suzan Lewis in Chapter 11</w:t>
      </w:r>
      <w:r w:rsidR="00F03586">
        <w:rPr>
          <w:rFonts w:ascii="Times New Roman" w:hAnsi="Times New Roman" w:cs="Times New Roman"/>
          <w:sz w:val="24"/>
        </w:rPr>
        <w:t>,</w:t>
      </w:r>
      <w:r w:rsidR="008C18BF">
        <w:rPr>
          <w:rFonts w:ascii="Times New Roman" w:hAnsi="Times New Roman" w:cs="Times New Roman"/>
          <w:sz w:val="24"/>
        </w:rPr>
        <w:t xml:space="preserve"> draw</w:t>
      </w:r>
      <w:r>
        <w:rPr>
          <w:rFonts w:ascii="Times New Roman" w:hAnsi="Times New Roman" w:cs="Times New Roman"/>
          <w:sz w:val="24"/>
        </w:rPr>
        <w:t xml:space="preserve"> on the findings from earlier chapters, as well as case studies of </w:t>
      </w:r>
      <w:r>
        <w:rPr>
          <w:rFonts w:ascii="Times New Roman" w:hAnsi="Times New Roman" w:cs="Times New Roman"/>
          <w:sz w:val="24"/>
          <w:szCs w:val="24"/>
        </w:rPr>
        <w:t>organisations from the public, pri</w:t>
      </w:r>
      <w:r w:rsidR="008C18BF">
        <w:rPr>
          <w:rFonts w:ascii="Times New Roman" w:hAnsi="Times New Roman" w:cs="Times New Roman"/>
          <w:sz w:val="24"/>
          <w:szCs w:val="24"/>
        </w:rPr>
        <w:t xml:space="preserve">vate </w:t>
      </w:r>
      <w:r w:rsidR="008C18BF">
        <w:rPr>
          <w:rFonts w:ascii="Times New Roman" w:hAnsi="Times New Roman" w:cs="Times New Roman"/>
          <w:sz w:val="24"/>
          <w:szCs w:val="24"/>
        </w:rPr>
        <w:lastRenderedPageBreak/>
        <w:t xml:space="preserve">and small business sectors to </w:t>
      </w:r>
      <w:r>
        <w:rPr>
          <w:rFonts w:ascii="Times New Roman" w:hAnsi="Times New Roman" w:cs="Times New Roman"/>
          <w:sz w:val="24"/>
        </w:rPr>
        <w:t xml:space="preserve">consider whether social justice, insofar as it was ever implied in the WLB agenda, gets lost in turbulent economic times or whether the three prongs of the triple agenda can be reconciled. </w:t>
      </w:r>
      <w:r w:rsidR="008C18BF">
        <w:rPr>
          <w:rFonts w:ascii="Times New Roman" w:hAnsi="Times New Roman" w:cs="Times New Roman"/>
          <w:sz w:val="24"/>
        </w:rPr>
        <w:t xml:space="preserve">They </w:t>
      </w:r>
      <w:r>
        <w:rPr>
          <w:rFonts w:ascii="Times New Roman" w:hAnsi="Times New Roman" w:cs="Times New Roman"/>
          <w:sz w:val="24"/>
        </w:rPr>
        <w:t>note that although employers appear to find it difficult to articulate the third (social justice) aspect of the triple agenda, there have been some</w:t>
      </w:r>
      <w:r w:rsidR="00265EE1">
        <w:rPr>
          <w:rFonts w:ascii="Times New Roman" w:hAnsi="Times New Roman" w:cs="Times New Roman"/>
          <w:sz w:val="24"/>
        </w:rPr>
        <w:t xml:space="preserve"> </w:t>
      </w:r>
      <w:r w:rsidR="00DA0F60" w:rsidRPr="00DA0F60">
        <w:rPr>
          <w:rFonts w:ascii="Times New Roman" w:hAnsi="Times New Roman" w:cs="Times New Roman"/>
          <w:sz w:val="24"/>
        </w:rPr>
        <w:t>attempts to extend a fairness dimension</w:t>
      </w:r>
      <w:r w:rsidR="0078009A">
        <w:rPr>
          <w:rFonts w:ascii="Times New Roman" w:hAnsi="Times New Roman" w:cs="Times New Roman"/>
          <w:sz w:val="24"/>
        </w:rPr>
        <w:t>,</w:t>
      </w:r>
      <w:r w:rsidR="00DA0F60" w:rsidRPr="00DA0F60">
        <w:rPr>
          <w:rFonts w:ascii="Times New Roman" w:hAnsi="Times New Roman" w:cs="Times New Roman"/>
          <w:sz w:val="24"/>
        </w:rPr>
        <w:t xml:space="preserve"> even in post-recessional times</w:t>
      </w:r>
      <w:r w:rsidR="0078009A">
        <w:rPr>
          <w:rFonts w:ascii="Times New Roman" w:hAnsi="Times New Roman" w:cs="Times New Roman"/>
          <w:sz w:val="24"/>
        </w:rPr>
        <w:t>,</w:t>
      </w:r>
      <w:r w:rsidR="007326AC">
        <w:rPr>
          <w:rFonts w:ascii="Times New Roman" w:hAnsi="Times New Roman" w:cs="Times New Roman"/>
          <w:sz w:val="24"/>
        </w:rPr>
        <w:t xml:space="preserve"> leading to some promising changes in workplace practices.</w:t>
      </w:r>
      <w:r>
        <w:rPr>
          <w:rFonts w:ascii="Times New Roman" w:hAnsi="Times New Roman" w:cs="Times New Roman"/>
          <w:sz w:val="24"/>
        </w:rPr>
        <w:t xml:space="preserve"> </w:t>
      </w:r>
      <w:r w:rsidR="00E62804">
        <w:rPr>
          <w:rFonts w:ascii="Times New Roman" w:hAnsi="Times New Roman" w:cs="Times New Roman"/>
          <w:sz w:val="24"/>
        </w:rPr>
        <w:t>However,</w:t>
      </w:r>
      <w:r>
        <w:rPr>
          <w:rFonts w:ascii="Times New Roman" w:hAnsi="Times New Roman" w:cs="Times New Roman"/>
          <w:sz w:val="24"/>
        </w:rPr>
        <w:t xml:space="preserve"> </w:t>
      </w:r>
      <w:r w:rsidR="007326AC">
        <w:rPr>
          <w:rFonts w:ascii="Times New Roman" w:hAnsi="Times New Roman" w:cs="Times New Roman"/>
          <w:sz w:val="24"/>
        </w:rPr>
        <w:t xml:space="preserve">in most cases </w:t>
      </w:r>
      <w:r>
        <w:rPr>
          <w:rFonts w:ascii="Times New Roman" w:hAnsi="Times New Roman" w:cs="Times New Roman"/>
          <w:sz w:val="24"/>
        </w:rPr>
        <w:t xml:space="preserve">these initiatives </w:t>
      </w:r>
      <w:r w:rsidR="007326AC">
        <w:rPr>
          <w:rFonts w:ascii="Times New Roman" w:hAnsi="Times New Roman" w:cs="Times New Roman"/>
          <w:sz w:val="24"/>
        </w:rPr>
        <w:t xml:space="preserve">fall short </w:t>
      </w:r>
      <w:r w:rsidR="00FD272D">
        <w:rPr>
          <w:rFonts w:ascii="Times New Roman" w:hAnsi="Times New Roman" w:cs="Times New Roman"/>
          <w:sz w:val="24"/>
        </w:rPr>
        <w:t>of fundamental</w:t>
      </w:r>
      <w:r w:rsidR="0078009A">
        <w:rPr>
          <w:rFonts w:ascii="Times New Roman" w:hAnsi="Times New Roman" w:cs="Times New Roman"/>
          <w:sz w:val="24"/>
        </w:rPr>
        <w:t xml:space="preserve"> organis</w:t>
      </w:r>
      <w:r w:rsidR="007326AC">
        <w:rPr>
          <w:rFonts w:ascii="Times New Roman" w:hAnsi="Times New Roman" w:cs="Times New Roman"/>
          <w:sz w:val="24"/>
        </w:rPr>
        <w:t xml:space="preserve">ational change </w:t>
      </w:r>
      <w:r w:rsidR="00FD272D">
        <w:rPr>
          <w:rFonts w:ascii="Times New Roman" w:hAnsi="Times New Roman" w:cs="Times New Roman"/>
          <w:sz w:val="24"/>
        </w:rPr>
        <w:t>and tend</w:t>
      </w:r>
      <w:r w:rsidR="007326AC">
        <w:rPr>
          <w:rFonts w:ascii="Times New Roman" w:hAnsi="Times New Roman" w:cs="Times New Roman"/>
          <w:sz w:val="24"/>
        </w:rPr>
        <w:t xml:space="preserve"> to </w:t>
      </w:r>
      <w:r>
        <w:rPr>
          <w:rFonts w:ascii="Times New Roman" w:hAnsi="Times New Roman" w:cs="Times New Roman"/>
          <w:sz w:val="24"/>
        </w:rPr>
        <w:t>apply to relatively privileged workers</w:t>
      </w:r>
      <w:r w:rsidR="0078009A">
        <w:rPr>
          <w:rFonts w:ascii="Times New Roman" w:hAnsi="Times New Roman" w:cs="Times New Roman"/>
          <w:sz w:val="24"/>
        </w:rPr>
        <w:t>,</w:t>
      </w:r>
      <w:r>
        <w:rPr>
          <w:rFonts w:ascii="Times New Roman" w:hAnsi="Times New Roman" w:cs="Times New Roman"/>
          <w:sz w:val="24"/>
        </w:rPr>
        <w:t xml:space="preserve"> while the struggles of the most vulnerable, including those in low paid and/or precarious work remain less visible. Natio</w:t>
      </w:r>
      <w:r w:rsidR="00F03586">
        <w:rPr>
          <w:rFonts w:ascii="Times New Roman" w:hAnsi="Times New Roman" w:cs="Times New Roman"/>
          <w:sz w:val="24"/>
        </w:rPr>
        <w:t xml:space="preserve">nal social policy and regulation </w:t>
      </w:r>
      <w:r>
        <w:rPr>
          <w:rFonts w:ascii="Times New Roman" w:hAnsi="Times New Roman" w:cs="Times New Roman"/>
          <w:sz w:val="24"/>
        </w:rPr>
        <w:t>are important bases for s</w:t>
      </w:r>
      <w:r w:rsidR="0078009A">
        <w:rPr>
          <w:rFonts w:ascii="Times New Roman" w:hAnsi="Times New Roman" w:cs="Times New Roman"/>
          <w:sz w:val="24"/>
        </w:rPr>
        <w:t xml:space="preserve">ocial justice in this respect. </w:t>
      </w:r>
      <w:r w:rsidR="008C18BF">
        <w:rPr>
          <w:rFonts w:ascii="Times New Roman" w:hAnsi="Times New Roman" w:cs="Times New Roman"/>
          <w:sz w:val="24"/>
        </w:rPr>
        <w:t>The chapter concludes</w:t>
      </w:r>
      <w:r>
        <w:rPr>
          <w:rFonts w:ascii="Times New Roman" w:hAnsi="Times New Roman" w:cs="Times New Roman"/>
          <w:sz w:val="24"/>
        </w:rPr>
        <w:t xml:space="preserve"> by discussing ways of addressing the triple agenda </w:t>
      </w:r>
      <w:r w:rsidR="00E62804">
        <w:rPr>
          <w:rFonts w:ascii="Times New Roman" w:hAnsi="Times New Roman" w:cs="Times New Roman"/>
          <w:sz w:val="24"/>
        </w:rPr>
        <w:t xml:space="preserve">and the challenge of </w:t>
      </w:r>
      <w:r w:rsidR="00E753F8">
        <w:rPr>
          <w:rFonts w:ascii="Times New Roman" w:hAnsi="Times New Roman" w:cs="Times New Roman"/>
          <w:sz w:val="24"/>
        </w:rPr>
        <w:t>extending debates on WLB by</w:t>
      </w:r>
      <w:r w:rsidR="00E62804" w:rsidRPr="00E62804">
        <w:rPr>
          <w:rFonts w:ascii="Times New Roman" w:hAnsi="Times New Roman" w:cs="Times New Roman"/>
          <w:sz w:val="24"/>
        </w:rPr>
        <w:t xml:space="preserve"> rethinking and </w:t>
      </w:r>
      <w:r w:rsidR="00583CD6">
        <w:rPr>
          <w:rFonts w:ascii="Times New Roman" w:hAnsi="Times New Roman" w:cs="Times New Roman"/>
          <w:sz w:val="24"/>
        </w:rPr>
        <w:t>redesigning work</w:t>
      </w:r>
      <w:r w:rsidR="00E62804">
        <w:rPr>
          <w:rFonts w:ascii="Times New Roman" w:hAnsi="Times New Roman" w:cs="Times New Roman"/>
          <w:sz w:val="24"/>
        </w:rPr>
        <w:t xml:space="preserve"> </w:t>
      </w:r>
      <w:r w:rsidR="007326AC" w:rsidRPr="007326AC">
        <w:rPr>
          <w:rFonts w:ascii="Times New Roman" w:hAnsi="Times New Roman" w:cs="Times New Roman"/>
          <w:sz w:val="24"/>
        </w:rPr>
        <w:t>to achieve its three objectives</w:t>
      </w:r>
      <w:r w:rsidR="00583CD6">
        <w:rPr>
          <w:rFonts w:ascii="Times New Roman" w:hAnsi="Times New Roman" w:cs="Times New Roman"/>
          <w:sz w:val="24"/>
        </w:rPr>
        <w:t>.</w:t>
      </w:r>
    </w:p>
    <w:p w14:paraId="1191D3D7" w14:textId="77777777" w:rsidR="004870A7" w:rsidRDefault="004870A7">
      <w:pPr>
        <w:spacing w:after="0" w:line="480" w:lineRule="auto"/>
        <w:jc w:val="both"/>
        <w:rPr>
          <w:rFonts w:ascii="Times New Roman" w:hAnsi="Times New Roman"/>
          <w:b/>
          <w:sz w:val="24"/>
        </w:rPr>
      </w:pPr>
    </w:p>
    <w:p w14:paraId="22788CD0" w14:textId="77777777" w:rsidR="00763F9F" w:rsidRDefault="004870A7">
      <w:pPr>
        <w:spacing w:after="0" w:line="480" w:lineRule="auto"/>
        <w:jc w:val="both"/>
        <w:rPr>
          <w:rFonts w:ascii="Times New Roman" w:hAnsi="Times New Roman"/>
          <w:sz w:val="24"/>
        </w:rPr>
      </w:pPr>
      <w:r w:rsidRPr="004870A7">
        <w:rPr>
          <w:rFonts w:ascii="Times New Roman" w:hAnsi="Times New Roman"/>
          <w:b/>
          <w:sz w:val="24"/>
        </w:rPr>
        <w:t>References</w:t>
      </w:r>
    </w:p>
    <w:p w14:paraId="05BED9C3" w14:textId="77777777" w:rsidR="004870A7" w:rsidRPr="00FA2CA9" w:rsidRDefault="00A8343B" w:rsidP="004870A7">
      <w:pPr>
        <w:spacing w:after="0" w:line="480" w:lineRule="auto"/>
        <w:ind w:left="567" w:hanging="567"/>
        <w:jc w:val="both"/>
        <w:rPr>
          <w:rFonts w:ascii="Times New Roman" w:hAnsi="Times New Roman"/>
          <w:sz w:val="24"/>
        </w:rPr>
      </w:pPr>
      <w:r>
        <w:t xml:space="preserve"> </w:t>
      </w:r>
      <w:proofErr w:type="spellStart"/>
      <w:r w:rsidR="004870A7" w:rsidRPr="00FA2CA9">
        <w:rPr>
          <w:rFonts w:ascii="Times New Roman" w:hAnsi="Times New Roman"/>
          <w:sz w:val="24"/>
        </w:rPr>
        <w:t>Bailyn</w:t>
      </w:r>
      <w:proofErr w:type="spellEnd"/>
      <w:r w:rsidR="004870A7" w:rsidRPr="00FA2CA9">
        <w:rPr>
          <w:rFonts w:ascii="Times New Roman" w:hAnsi="Times New Roman"/>
          <w:sz w:val="24"/>
        </w:rPr>
        <w:t>, L., &amp; Harrington, M. (2004). Redesigning work for work–family integration</w:t>
      </w:r>
      <w:r w:rsidR="004870A7" w:rsidRPr="00FA2CA9">
        <w:rPr>
          <w:rFonts w:ascii="Times New Roman" w:hAnsi="Times New Roman"/>
          <w:i/>
          <w:sz w:val="24"/>
        </w:rPr>
        <w:t>. Community, Work &amp; Family</w:t>
      </w:r>
      <w:r w:rsidR="004870A7" w:rsidRPr="00FA2CA9">
        <w:rPr>
          <w:rFonts w:ascii="Times New Roman" w:hAnsi="Times New Roman"/>
          <w:sz w:val="24"/>
        </w:rPr>
        <w:t>, 7(2): 197</w:t>
      </w:r>
      <w:r w:rsidR="004870A7" w:rsidRPr="00FA2CA9">
        <w:rPr>
          <w:rFonts w:ascii="Times New Roman" w:hAnsi="Times New Roman" w:cs="Arial"/>
          <w:sz w:val="24"/>
          <w:szCs w:val="32"/>
        </w:rPr>
        <w:t>–</w:t>
      </w:r>
      <w:r w:rsidR="004870A7" w:rsidRPr="00FA2CA9">
        <w:rPr>
          <w:rFonts w:ascii="Times New Roman" w:hAnsi="Times New Roman"/>
          <w:sz w:val="24"/>
        </w:rPr>
        <w:t>208.</w:t>
      </w:r>
    </w:p>
    <w:p w14:paraId="05B4CB49" w14:textId="77777777" w:rsidR="004870A7" w:rsidRPr="00FA2CA9" w:rsidRDefault="004870A7" w:rsidP="004870A7">
      <w:pPr>
        <w:spacing w:after="0" w:line="480" w:lineRule="auto"/>
        <w:ind w:left="567" w:hanging="567"/>
        <w:jc w:val="both"/>
        <w:rPr>
          <w:rFonts w:ascii="Times New Roman" w:hAnsi="Times New Roman"/>
          <w:sz w:val="24"/>
        </w:rPr>
      </w:pPr>
      <w:r w:rsidRPr="00FA2CA9">
        <w:rPr>
          <w:rFonts w:ascii="Times New Roman" w:hAnsi="Times New Roman"/>
          <w:sz w:val="24"/>
        </w:rPr>
        <w:t xml:space="preserve">Fleetwood, S. (2007). Why work–life balance now? </w:t>
      </w:r>
      <w:r w:rsidRPr="00FA2CA9">
        <w:rPr>
          <w:rFonts w:ascii="Times New Roman" w:hAnsi="Times New Roman"/>
          <w:i/>
          <w:sz w:val="24"/>
        </w:rPr>
        <w:t>The International Journal of Human Resource Management,</w:t>
      </w:r>
      <w:r w:rsidRPr="00FA2CA9">
        <w:rPr>
          <w:rFonts w:ascii="Times New Roman" w:hAnsi="Times New Roman"/>
          <w:sz w:val="24"/>
        </w:rPr>
        <w:t xml:space="preserve"> 18(3): 387</w:t>
      </w:r>
      <w:r w:rsidRPr="00FA2CA9">
        <w:rPr>
          <w:rFonts w:ascii="Times New Roman" w:hAnsi="Times New Roman" w:cs="Arial"/>
          <w:sz w:val="24"/>
          <w:szCs w:val="32"/>
        </w:rPr>
        <w:t>–</w:t>
      </w:r>
      <w:r w:rsidRPr="00FA2CA9">
        <w:rPr>
          <w:rFonts w:ascii="Times New Roman" w:hAnsi="Times New Roman"/>
          <w:sz w:val="24"/>
        </w:rPr>
        <w:t>400.</w:t>
      </w:r>
    </w:p>
    <w:p w14:paraId="03E760E7" w14:textId="77777777" w:rsidR="004870A7" w:rsidRPr="00FA2CA9" w:rsidRDefault="004870A7" w:rsidP="004870A7">
      <w:pPr>
        <w:spacing w:after="0" w:line="480" w:lineRule="auto"/>
        <w:ind w:left="567" w:hanging="567"/>
        <w:jc w:val="both"/>
        <w:rPr>
          <w:rFonts w:ascii="Times New Roman" w:hAnsi="Times New Roman"/>
          <w:sz w:val="24"/>
        </w:rPr>
      </w:pPr>
      <w:r w:rsidRPr="00FA2CA9">
        <w:rPr>
          <w:rFonts w:ascii="Times New Roman" w:hAnsi="Times New Roman"/>
          <w:sz w:val="24"/>
        </w:rPr>
        <w:t xml:space="preserve">Gambles, R., Lewis, S., &amp; </w:t>
      </w:r>
      <w:proofErr w:type="spellStart"/>
      <w:r w:rsidRPr="00FA2CA9">
        <w:rPr>
          <w:rFonts w:ascii="Times New Roman" w:hAnsi="Times New Roman"/>
          <w:sz w:val="24"/>
        </w:rPr>
        <w:t>Rapoport</w:t>
      </w:r>
      <w:proofErr w:type="spellEnd"/>
      <w:r w:rsidRPr="00FA2CA9">
        <w:rPr>
          <w:rFonts w:ascii="Times New Roman" w:hAnsi="Times New Roman"/>
          <w:sz w:val="24"/>
        </w:rPr>
        <w:t xml:space="preserve">, R. (2006). </w:t>
      </w:r>
      <w:r w:rsidRPr="00FA2CA9">
        <w:rPr>
          <w:rFonts w:ascii="Times New Roman" w:hAnsi="Times New Roman"/>
          <w:i/>
          <w:sz w:val="24"/>
        </w:rPr>
        <w:t>The Myth of Work-Life Balance: The Challenge of Our Time for Men, Women and Societies.</w:t>
      </w:r>
      <w:r w:rsidRPr="00FA2CA9">
        <w:rPr>
          <w:rFonts w:ascii="Times New Roman" w:hAnsi="Times New Roman"/>
          <w:sz w:val="24"/>
        </w:rPr>
        <w:t xml:space="preserve"> Chichester: John Wiley &amp; Sons.</w:t>
      </w:r>
    </w:p>
    <w:p w14:paraId="5E7D25EE" w14:textId="77777777" w:rsidR="004870A7" w:rsidRPr="00FA2CA9" w:rsidRDefault="004870A7" w:rsidP="004870A7">
      <w:pPr>
        <w:spacing w:after="0" w:line="480" w:lineRule="auto"/>
        <w:ind w:left="567" w:hanging="567"/>
        <w:jc w:val="both"/>
        <w:rPr>
          <w:rFonts w:ascii="Times New Roman" w:hAnsi="Times New Roman"/>
          <w:sz w:val="24"/>
        </w:rPr>
      </w:pPr>
      <w:proofErr w:type="spellStart"/>
      <w:r w:rsidRPr="00FA2CA9">
        <w:rPr>
          <w:rFonts w:ascii="Times New Roman" w:hAnsi="Times New Roman"/>
          <w:sz w:val="24"/>
        </w:rPr>
        <w:t>Gatrell</w:t>
      </w:r>
      <w:proofErr w:type="spellEnd"/>
      <w:r w:rsidRPr="00FA2CA9">
        <w:rPr>
          <w:rFonts w:ascii="Times New Roman" w:hAnsi="Times New Roman"/>
          <w:sz w:val="24"/>
        </w:rPr>
        <w:t xml:space="preserve">, C. J., &amp; Cooper, C. L. (2008). Work-life balance: working for whom? </w:t>
      </w:r>
      <w:r w:rsidRPr="00FA2CA9">
        <w:rPr>
          <w:rFonts w:ascii="Times New Roman" w:hAnsi="Times New Roman"/>
          <w:i/>
          <w:sz w:val="24"/>
        </w:rPr>
        <w:t>European Journal of International Management</w:t>
      </w:r>
      <w:r w:rsidRPr="00FA2CA9">
        <w:rPr>
          <w:rFonts w:ascii="Times New Roman" w:hAnsi="Times New Roman"/>
          <w:sz w:val="24"/>
        </w:rPr>
        <w:t>, 2(1): 71</w:t>
      </w:r>
      <w:r w:rsidRPr="00FA2CA9">
        <w:rPr>
          <w:rFonts w:ascii="Times New Roman" w:hAnsi="Times New Roman" w:cs="Arial"/>
          <w:sz w:val="24"/>
          <w:szCs w:val="32"/>
        </w:rPr>
        <w:t>–</w:t>
      </w:r>
      <w:r w:rsidRPr="00FA2CA9">
        <w:rPr>
          <w:rFonts w:ascii="Times New Roman" w:hAnsi="Times New Roman"/>
          <w:sz w:val="24"/>
        </w:rPr>
        <w:t>86.</w:t>
      </w:r>
    </w:p>
    <w:p w14:paraId="0224F527" w14:textId="77777777" w:rsidR="004870A7" w:rsidRPr="00FA2CA9" w:rsidRDefault="004870A7" w:rsidP="004870A7">
      <w:pPr>
        <w:spacing w:after="0" w:line="480" w:lineRule="auto"/>
        <w:ind w:left="567" w:hanging="567"/>
        <w:jc w:val="both"/>
        <w:rPr>
          <w:rFonts w:ascii="Times New Roman" w:hAnsi="Times New Roman"/>
          <w:sz w:val="24"/>
        </w:rPr>
      </w:pPr>
      <w:proofErr w:type="spellStart"/>
      <w:r w:rsidRPr="00FA2CA9">
        <w:rPr>
          <w:rFonts w:ascii="Times New Roman" w:hAnsi="Times New Roman"/>
          <w:sz w:val="24"/>
        </w:rPr>
        <w:t>Guerrina</w:t>
      </w:r>
      <w:proofErr w:type="spellEnd"/>
      <w:r w:rsidRPr="00FA2CA9">
        <w:rPr>
          <w:rFonts w:ascii="Times New Roman" w:hAnsi="Times New Roman"/>
          <w:sz w:val="24"/>
        </w:rPr>
        <w:t xml:space="preserve">, R. (2015). Socio-economic challenges to work-life balance at times of crisis. </w:t>
      </w:r>
      <w:r w:rsidRPr="00FA2CA9">
        <w:rPr>
          <w:rFonts w:ascii="Times New Roman" w:hAnsi="Times New Roman"/>
          <w:i/>
          <w:sz w:val="24"/>
        </w:rPr>
        <w:t xml:space="preserve">Journal of Social Welfare and Family Law, </w:t>
      </w:r>
      <w:r w:rsidRPr="00FA2CA9">
        <w:rPr>
          <w:rFonts w:ascii="Times New Roman" w:hAnsi="Times New Roman"/>
          <w:sz w:val="24"/>
        </w:rPr>
        <w:t>37(3): 368</w:t>
      </w:r>
      <w:r w:rsidRPr="00FA2CA9">
        <w:rPr>
          <w:rFonts w:ascii="Times New Roman" w:hAnsi="Times New Roman" w:cs="Arial"/>
          <w:sz w:val="24"/>
          <w:szCs w:val="32"/>
        </w:rPr>
        <w:t>–</w:t>
      </w:r>
      <w:r w:rsidRPr="00FA2CA9">
        <w:rPr>
          <w:rFonts w:ascii="Times New Roman" w:hAnsi="Times New Roman"/>
          <w:sz w:val="24"/>
        </w:rPr>
        <w:t>377.</w:t>
      </w:r>
    </w:p>
    <w:p w14:paraId="5EDD9CE7" w14:textId="77777777" w:rsidR="004870A7" w:rsidRPr="00FA2CA9" w:rsidRDefault="004870A7" w:rsidP="004870A7">
      <w:pPr>
        <w:spacing w:after="0" w:line="480" w:lineRule="auto"/>
        <w:ind w:left="567" w:hanging="567"/>
        <w:jc w:val="both"/>
        <w:rPr>
          <w:rFonts w:ascii="Times New Roman" w:hAnsi="Times New Roman"/>
          <w:sz w:val="24"/>
        </w:rPr>
      </w:pPr>
      <w:r w:rsidRPr="00FA2CA9">
        <w:rPr>
          <w:rFonts w:ascii="Times New Roman" w:hAnsi="Times New Roman"/>
          <w:sz w:val="24"/>
        </w:rPr>
        <w:lastRenderedPageBreak/>
        <w:t xml:space="preserve">Lewis, S., Gambles, R., &amp; </w:t>
      </w:r>
      <w:proofErr w:type="spellStart"/>
      <w:r w:rsidRPr="00FA2CA9">
        <w:rPr>
          <w:rFonts w:ascii="Times New Roman" w:hAnsi="Times New Roman"/>
          <w:sz w:val="24"/>
        </w:rPr>
        <w:t>Rapoport</w:t>
      </w:r>
      <w:proofErr w:type="spellEnd"/>
      <w:r w:rsidRPr="00FA2CA9">
        <w:rPr>
          <w:rFonts w:ascii="Times New Roman" w:hAnsi="Times New Roman"/>
          <w:sz w:val="24"/>
        </w:rPr>
        <w:t xml:space="preserve">, R. (2007). The constraints of a ‘work–life </w:t>
      </w:r>
      <w:proofErr w:type="spellStart"/>
      <w:r w:rsidRPr="00FA2CA9">
        <w:rPr>
          <w:rFonts w:ascii="Times New Roman" w:hAnsi="Times New Roman"/>
          <w:sz w:val="24"/>
        </w:rPr>
        <w:t>balance’approach</w:t>
      </w:r>
      <w:proofErr w:type="spellEnd"/>
      <w:r w:rsidRPr="00FA2CA9">
        <w:rPr>
          <w:rFonts w:ascii="Times New Roman" w:hAnsi="Times New Roman"/>
          <w:sz w:val="24"/>
        </w:rPr>
        <w:t>: An international perspective</w:t>
      </w:r>
      <w:r w:rsidRPr="00FA2CA9">
        <w:rPr>
          <w:rFonts w:ascii="Times New Roman" w:hAnsi="Times New Roman"/>
          <w:i/>
          <w:sz w:val="24"/>
        </w:rPr>
        <w:t>. The International Journal of Human Resource Management</w:t>
      </w:r>
      <w:r w:rsidRPr="00FA2CA9">
        <w:rPr>
          <w:rFonts w:ascii="Times New Roman" w:hAnsi="Times New Roman"/>
          <w:sz w:val="24"/>
        </w:rPr>
        <w:t>, 18(3): 360</w:t>
      </w:r>
      <w:r w:rsidRPr="00FA2CA9">
        <w:rPr>
          <w:rFonts w:ascii="Times New Roman" w:hAnsi="Times New Roman" w:cs="Arial"/>
          <w:sz w:val="24"/>
          <w:szCs w:val="32"/>
        </w:rPr>
        <w:t>–</w:t>
      </w:r>
      <w:r w:rsidRPr="00FA2CA9">
        <w:rPr>
          <w:rFonts w:ascii="Times New Roman" w:hAnsi="Times New Roman"/>
          <w:sz w:val="24"/>
        </w:rPr>
        <w:t>373.</w:t>
      </w:r>
    </w:p>
    <w:p w14:paraId="76D92B8D" w14:textId="77777777" w:rsidR="004870A7" w:rsidRPr="00FA2CA9" w:rsidRDefault="004870A7" w:rsidP="004870A7">
      <w:pPr>
        <w:spacing w:after="0" w:line="480" w:lineRule="auto"/>
        <w:ind w:left="567" w:hanging="567"/>
        <w:jc w:val="both"/>
        <w:rPr>
          <w:rFonts w:ascii="Times New Roman" w:hAnsi="Times New Roman"/>
          <w:sz w:val="24"/>
        </w:rPr>
      </w:pPr>
      <w:r w:rsidRPr="00FA2CA9">
        <w:rPr>
          <w:rFonts w:ascii="Times New Roman" w:hAnsi="Times New Roman"/>
          <w:sz w:val="24"/>
        </w:rPr>
        <w:t xml:space="preserve">Lewis, S., Anderson, D., </w:t>
      </w:r>
      <w:proofErr w:type="spellStart"/>
      <w:r w:rsidRPr="00FA2CA9">
        <w:rPr>
          <w:rFonts w:ascii="Times New Roman" w:hAnsi="Times New Roman"/>
          <w:sz w:val="24"/>
        </w:rPr>
        <w:t>Lyonette</w:t>
      </w:r>
      <w:proofErr w:type="spellEnd"/>
      <w:r w:rsidRPr="00FA2CA9">
        <w:rPr>
          <w:rFonts w:ascii="Times New Roman" w:hAnsi="Times New Roman"/>
          <w:sz w:val="24"/>
        </w:rPr>
        <w:t>, C., Pay</w:t>
      </w:r>
      <w:r w:rsidR="00812C28">
        <w:rPr>
          <w:rFonts w:ascii="Times New Roman" w:hAnsi="Times New Roman"/>
          <w:sz w:val="24"/>
        </w:rPr>
        <w:t>ne, N., &amp; Wood, S. (</w:t>
      </w:r>
      <w:r w:rsidRPr="00FA2CA9">
        <w:rPr>
          <w:rFonts w:ascii="Times New Roman" w:hAnsi="Times New Roman"/>
          <w:sz w:val="24"/>
        </w:rPr>
        <w:t xml:space="preserve">2016). Public sector austerity cuts in the UK and the changing discourse of work–life balance. </w:t>
      </w:r>
      <w:r w:rsidRPr="00FA2CA9">
        <w:rPr>
          <w:rFonts w:ascii="Times New Roman" w:hAnsi="Times New Roman"/>
          <w:i/>
          <w:sz w:val="24"/>
        </w:rPr>
        <w:t>Work, Employment and Society.</w:t>
      </w:r>
      <w:r w:rsidR="00812C28">
        <w:rPr>
          <w:rFonts w:ascii="Times New Roman" w:hAnsi="Times New Roman"/>
          <w:i/>
          <w:sz w:val="24"/>
        </w:rPr>
        <w:t xml:space="preserve"> </w:t>
      </w:r>
      <w:r w:rsidR="00812C28" w:rsidRPr="00963E1E">
        <w:rPr>
          <w:rFonts w:ascii="Times New Roman" w:hAnsi="Times New Roman"/>
          <w:sz w:val="24"/>
        </w:rPr>
        <w:t>Online first</w:t>
      </w:r>
      <w:r w:rsidR="00963E1E">
        <w:rPr>
          <w:rFonts w:ascii="Times New Roman" w:hAnsi="Times New Roman"/>
          <w:sz w:val="24"/>
        </w:rPr>
        <w:t>: 1-16</w:t>
      </w:r>
      <w:bookmarkStart w:id="1" w:name="_GoBack"/>
      <w:bookmarkEnd w:id="1"/>
      <w:r w:rsidR="00812C28" w:rsidRPr="00963E1E">
        <w:rPr>
          <w:rFonts w:ascii="Times New Roman" w:hAnsi="Times New Roman"/>
          <w:sz w:val="24"/>
        </w:rPr>
        <w:t>.</w:t>
      </w:r>
    </w:p>
    <w:p w14:paraId="0468A4B5" w14:textId="77777777" w:rsidR="004870A7" w:rsidRPr="00FA2CA9" w:rsidRDefault="004870A7" w:rsidP="004870A7">
      <w:pPr>
        <w:spacing w:after="0" w:line="480" w:lineRule="auto"/>
        <w:ind w:left="567" w:hanging="567"/>
        <w:jc w:val="both"/>
        <w:rPr>
          <w:rFonts w:ascii="Times New Roman" w:hAnsi="Times New Roman"/>
          <w:sz w:val="24"/>
        </w:rPr>
      </w:pPr>
      <w:proofErr w:type="spellStart"/>
      <w:r w:rsidRPr="00FA2CA9">
        <w:rPr>
          <w:rFonts w:ascii="Times New Roman" w:hAnsi="Times New Roman"/>
          <w:sz w:val="24"/>
        </w:rPr>
        <w:t>Ozbilgin</w:t>
      </w:r>
      <w:proofErr w:type="spellEnd"/>
      <w:r w:rsidRPr="00FA2CA9">
        <w:rPr>
          <w:rFonts w:ascii="Times New Roman" w:hAnsi="Times New Roman"/>
          <w:sz w:val="24"/>
        </w:rPr>
        <w:t xml:space="preserve">, M.F., Beauregard, T.A., </w:t>
      </w:r>
      <w:proofErr w:type="spellStart"/>
      <w:r w:rsidRPr="00FA2CA9">
        <w:rPr>
          <w:rFonts w:ascii="Times New Roman" w:hAnsi="Times New Roman"/>
          <w:sz w:val="24"/>
        </w:rPr>
        <w:t>Tatli</w:t>
      </w:r>
      <w:proofErr w:type="spellEnd"/>
      <w:r w:rsidRPr="00FA2CA9">
        <w:rPr>
          <w:rFonts w:ascii="Times New Roman" w:hAnsi="Times New Roman"/>
          <w:sz w:val="24"/>
        </w:rPr>
        <w:t xml:space="preserve">, A., and Bell, M.P. (2011). Work-Life, Diversity and Intersectionality: A Critical Review and Research Agenda. </w:t>
      </w:r>
      <w:r w:rsidRPr="00FA2CA9">
        <w:rPr>
          <w:rFonts w:ascii="Times New Roman" w:hAnsi="Times New Roman"/>
          <w:i/>
          <w:sz w:val="24"/>
        </w:rPr>
        <w:t>International Journal of Management Reviews</w:t>
      </w:r>
      <w:r w:rsidRPr="00FA2CA9">
        <w:rPr>
          <w:rFonts w:ascii="Times New Roman" w:hAnsi="Times New Roman"/>
          <w:sz w:val="24"/>
        </w:rPr>
        <w:t xml:space="preserve"> 13(2): 177</w:t>
      </w:r>
      <w:r w:rsidRPr="00FA2CA9">
        <w:rPr>
          <w:rFonts w:ascii="Times New Roman" w:hAnsi="Times New Roman" w:cs="Arial"/>
          <w:sz w:val="24"/>
          <w:szCs w:val="32"/>
        </w:rPr>
        <w:t>–</w:t>
      </w:r>
      <w:r w:rsidRPr="00FA2CA9">
        <w:rPr>
          <w:rFonts w:ascii="Times New Roman" w:hAnsi="Times New Roman"/>
          <w:sz w:val="24"/>
        </w:rPr>
        <w:t>198.</w:t>
      </w:r>
    </w:p>
    <w:p w14:paraId="3D835732" w14:textId="77777777" w:rsidR="004870A7" w:rsidRPr="00FA2CA9" w:rsidRDefault="004870A7" w:rsidP="004870A7">
      <w:pPr>
        <w:spacing w:after="0" w:line="480" w:lineRule="auto"/>
        <w:ind w:left="567" w:hanging="567"/>
        <w:jc w:val="both"/>
        <w:rPr>
          <w:rFonts w:ascii="Times New Roman" w:hAnsi="Times New Roman"/>
          <w:sz w:val="24"/>
        </w:rPr>
      </w:pPr>
      <w:proofErr w:type="spellStart"/>
      <w:r w:rsidRPr="00FA2CA9">
        <w:rPr>
          <w:rFonts w:ascii="Times New Roman" w:hAnsi="Times New Roman"/>
          <w:sz w:val="24"/>
        </w:rPr>
        <w:t>Rapoport</w:t>
      </w:r>
      <w:proofErr w:type="spellEnd"/>
      <w:r w:rsidRPr="00FA2CA9">
        <w:rPr>
          <w:rFonts w:ascii="Times New Roman" w:hAnsi="Times New Roman"/>
          <w:sz w:val="24"/>
        </w:rPr>
        <w:t xml:space="preserve">, R., </w:t>
      </w:r>
      <w:proofErr w:type="spellStart"/>
      <w:r w:rsidRPr="00FA2CA9">
        <w:rPr>
          <w:rFonts w:ascii="Times New Roman" w:hAnsi="Times New Roman"/>
          <w:sz w:val="24"/>
        </w:rPr>
        <w:t>Bailyn</w:t>
      </w:r>
      <w:proofErr w:type="spellEnd"/>
      <w:r w:rsidRPr="00FA2CA9">
        <w:rPr>
          <w:rFonts w:ascii="Times New Roman" w:hAnsi="Times New Roman"/>
          <w:sz w:val="24"/>
        </w:rPr>
        <w:t xml:space="preserve">, L., Fletcher, J. K., &amp; Pruitt, B. H. (2002). </w:t>
      </w:r>
      <w:r w:rsidRPr="00FA2CA9">
        <w:rPr>
          <w:rFonts w:ascii="Times New Roman" w:hAnsi="Times New Roman"/>
          <w:i/>
          <w:sz w:val="24"/>
        </w:rPr>
        <w:t xml:space="preserve">Beyond Work-Family Balance: Advancing Gender </w:t>
      </w:r>
      <w:proofErr w:type="spellStart"/>
      <w:r w:rsidRPr="00FA2CA9">
        <w:rPr>
          <w:rFonts w:ascii="Times New Roman" w:hAnsi="Times New Roman"/>
          <w:i/>
          <w:sz w:val="24"/>
        </w:rPr>
        <w:t>Equaity</w:t>
      </w:r>
      <w:proofErr w:type="spellEnd"/>
      <w:r w:rsidRPr="00FA2CA9">
        <w:rPr>
          <w:rFonts w:ascii="Times New Roman" w:hAnsi="Times New Roman"/>
          <w:i/>
          <w:sz w:val="24"/>
        </w:rPr>
        <w:t xml:space="preserve"> and Workplace Performance</w:t>
      </w:r>
      <w:r w:rsidRPr="00FA2CA9">
        <w:rPr>
          <w:rFonts w:ascii="Times New Roman" w:hAnsi="Times New Roman"/>
          <w:sz w:val="24"/>
        </w:rPr>
        <w:t xml:space="preserve">. San Francisco CA, </w:t>
      </w:r>
      <w:proofErr w:type="spellStart"/>
      <w:r w:rsidRPr="00FA2CA9">
        <w:rPr>
          <w:rFonts w:ascii="Times New Roman" w:hAnsi="Times New Roman"/>
          <w:sz w:val="24"/>
        </w:rPr>
        <w:t>Jossey</w:t>
      </w:r>
      <w:proofErr w:type="spellEnd"/>
      <w:r w:rsidRPr="00FA2CA9">
        <w:rPr>
          <w:rFonts w:ascii="Times New Roman" w:hAnsi="Times New Roman"/>
          <w:sz w:val="24"/>
        </w:rPr>
        <w:t>-Bass.</w:t>
      </w:r>
    </w:p>
    <w:p w14:paraId="72B4EFC7" w14:textId="77777777" w:rsidR="004870A7" w:rsidRPr="00FA2CA9" w:rsidRDefault="004870A7" w:rsidP="004870A7">
      <w:pPr>
        <w:spacing w:after="0" w:line="480" w:lineRule="auto"/>
        <w:ind w:left="567" w:hanging="567"/>
        <w:jc w:val="both"/>
        <w:rPr>
          <w:rFonts w:ascii="Times New Roman" w:hAnsi="Times New Roman"/>
          <w:sz w:val="24"/>
        </w:rPr>
      </w:pPr>
      <w:r w:rsidRPr="00FA2CA9">
        <w:rPr>
          <w:rFonts w:ascii="Times New Roman" w:hAnsi="Times New Roman"/>
          <w:sz w:val="24"/>
        </w:rPr>
        <w:t xml:space="preserve">Smithson, J., &amp; </w:t>
      </w:r>
      <w:proofErr w:type="spellStart"/>
      <w:r w:rsidRPr="00FA2CA9">
        <w:rPr>
          <w:rFonts w:ascii="Times New Roman" w:hAnsi="Times New Roman"/>
          <w:sz w:val="24"/>
        </w:rPr>
        <w:t>Stokoe</w:t>
      </w:r>
      <w:proofErr w:type="spellEnd"/>
      <w:r w:rsidRPr="00FA2CA9">
        <w:rPr>
          <w:rFonts w:ascii="Times New Roman" w:hAnsi="Times New Roman"/>
          <w:sz w:val="24"/>
        </w:rPr>
        <w:t xml:space="preserve">, E. H. (2005). Discourses of work–life balance: negotiating ‘genderblind’ terms in organizations. </w:t>
      </w:r>
      <w:r w:rsidRPr="00FA2CA9">
        <w:rPr>
          <w:rFonts w:ascii="Times New Roman" w:hAnsi="Times New Roman"/>
          <w:i/>
          <w:sz w:val="24"/>
        </w:rPr>
        <w:t>Gender, Work &amp; Organization, 12</w:t>
      </w:r>
      <w:r w:rsidRPr="00FA2CA9">
        <w:rPr>
          <w:rFonts w:ascii="Times New Roman" w:hAnsi="Times New Roman"/>
          <w:sz w:val="24"/>
        </w:rPr>
        <w:t>(2): 147</w:t>
      </w:r>
      <w:r w:rsidRPr="00FA2CA9">
        <w:rPr>
          <w:rFonts w:ascii="Times New Roman" w:hAnsi="Times New Roman" w:cs="Arial"/>
          <w:sz w:val="24"/>
          <w:szCs w:val="32"/>
        </w:rPr>
        <w:t>–</w:t>
      </w:r>
      <w:r w:rsidRPr="00FA2CA9">
        <w:rPr>
          <w:rFonts w:ascii="Times New Roman" w:hAnsi="Times New Roman"/>
          <w:sz w:val="24"/>
        </w:rPr>
        <w:t>168.</w:t>
      </w:r>
    </w:p>
    <w:p w14:paraId="225FA499" w14:textId="77777777" w:rsidR="004870A7" w:rsidRDefault="004870A7" w:rsidP="004870A7">
      <w:proofErr w:type="spellStart"/>
      <w:r w:rsidRPr="00FA2CA9">
        <w:rPr>
          <w:rFonts w:ascii="Times New Roman" w:hAnsi="Times New Roman"/>
          <w:sz w:val="24"/>
        </w:rPr>
        <w:t>Walby</w:t>
      </w:r>
      <w:proofErr w:type="spellEnd"/>
      <w:r w:rsidRPr="00FA2CA9">
        <w:rPr>
          <w:rFonts w:ascii="Times New Roman" w:hAnsi="Times New Roman"/>
          <w:sz w:val="24"/>
        </w:rPr>
        <w:t xml:space="preserve">, S. (2015). </w:t>
      </w:r>
      <w:r w:rsidRPr="00FA2CA9">
        <w:rPr>
          <w:rFonts w:ascii="Times New Roman" w:hAnsi="Times New Roman"/>
          <w:i/>
          <w:sz w:val="24"/>
        </w:rPr>
        <w:t>Crisis.</w:t>
      </w:r>
      <w:r w:rsidRPr="00FA2CA9">
        <w:rPr>
          <w:rFonts w:ascii="Times New Roman" w:hAnsi="Times New Roman"/>
          <w:sz w:val="24"/>
        </w:rPr>
        <w:t xml:space="preserve"> Cambridge: Policy Press </w:t>
      </w:r>
    </w:p>
    <w:p w14:paraId="4A3A4C6F" w14:textId="77777777" w:rsidR="00763F9F" w:rsidRDefault="00763F9F">
      <w:pPr>
        <w:pStyle w:val="NormalWeb"/>
        <w:spacing w:beforeAutospacing="0" w:after="0" w:afterAutospacing="0" w:line="480" w:lineRule="auto"/>
        <w:jc w:val="both"/>
      </w:pPr>
    </w:p>
    <w:sectPr w:rsidR="00763F9F" w:rsidSect="00763F9F">
      <w:headerReference w:type="default" r:id="rId6"/>
      <w:footerReference w:type="even" r:id="rId7"/>
      <w:footerReference w:type="default" r:id="rId8"/>
      <w:pgSz w:w="11906" w:h="16838"/>
      <w:pgMar w:top="1440" w:right="1440" w:bottom="1440" w:left="1440" w:header="709" w:footer="709" w:gutter="0"/>
      <w:cols w:space="720"/>
      <w:formProt w:val="0"/>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5B99F" w14:textId="77777777" w:rsidR="009148B3" w:rsidRDefault="009148B3">
      <w:pPr>
        <w:spacing w:after="0" w:line="240" w:lineRule="auto"/>
      </w:pPr>
      <w:r>
        <w:separator/>
      </w:r>
    </w:p>
  </w:endnote>
  <w:endnote w:type="continuationSeparator" w:id="0">
    <w:p w14:paraId="7BD27BF0" w14:textId="77777777" w:rsidR="009148B3" w:rsidRDefault="00914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iberation Sans">
    <w:altName w:val="Arial"/>
    <w:charset w:val="00"/>
    <w:family w:val="swiss"/>
    <w:pitch w:val="variable"/>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Segoe UI">
    <w:altName w:val="Calibri"/>
    <w:charset w:val="00"/>
    <w:family w:val="swiss"/>
    <w:pitch w:val="variable"/>
    <w:sig w:usb0="E10022FF" w:usb1="C000E47F" w:usb2="00000029" w:usb3="00000000" w:csb0="000001DF" w:csb1="00000000"/>
  </w:font>
  <w:font w:name="Courier">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PMingLiU">
    <w:panose1 w:val="02020500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08109" w14:textId="77777777" w:rsidR="00F353BD" w:rsidRDefault="00970C6C" w:rsidP="00D575D2">
    <w:pPr>
      <w:pStyle w:val="Footer"/>
      <w:framePr w:wrap="around" w:vAnchor="text" w:hAnchor="margin" w:xAlign="center" w:y="1"/>
      <w:rPr>
        <w:rStyle w:val="PageNumber"/>
      </w:rPr>
    </w:pPr>
    <w:r>
      <w:rPr>
        <w:rStyle w:val="PageNumber"/>
      </w:rPr>
      <w:fldChar w:fldCharType="begin"/>
    </w:r>
    <w:r w:rsidR="00F353BD">
      <w:rPr>
        <w:rStyle w:val="PageNumber"/>
      </w:rPr>
      <w:instrText xml:space="preserve">PAGE  </w:instrText>
    </w:r>
    <w:r>
      <w:rPr>
        <w:rStyle w:val="PageNumber"/>
      </w:rPr>
      <w:fldChar w:fldCharType="end"/>
    </w:r>
  </w:p>
  <w:p w14:paraId="05E317AE" w14:textId="77777777" w:rsidR="00F353BD" w:rsidRDefault="00F353B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CA5D1" w14:textId="77777777" w:rsidR="00F353BD" w:rsidRDefault="00970C6C" w:rsidP="00D575D2">
    <w:pPr>
      <w:pStyle w:val="Footer"/>
      <w:framePr w:wrap="around" w:vAnchor="text" w:hAnchor="margin" w:xAlign="center" w:y="1"/>
      <w:rPr>
        <w:rStyle w:val="PageNumber"/>
      </w:rPr>
    </w:pPr>
    <w:r>
      <w:rPr>
        <w:rStyle w:val="PageNumber"/>
      </w:rPr>
      <w:fldChar w:fldCharType="begin"/>
    </w:r>
    <w:r w:rsidR="00F353BD">
      <w:rPr>
        <w:rStyle w:val="PageNumber"/>
      </w:rPr>
      <w:instrText xml:space="preserve">PAGE  </w:instrText>
    </w:r>
    <w:r>
      <w:rPr>
        <w:rStyle w:val="PageNumber"/>
      </w:rPr>
      <w:fldChar w:fldCharType="separate"/>
    </w:r>
    <w:r w:rsidR="00963E1E">
      <w:rPr>
        <w:rStyle w:val="PageNumber"/>
        <w:noProof/>
      </w:rPr>
      <w:t>11</w:t>
    </w:r>
    <w:r>
      <w:rPr>
        <w:rStyle w:val="PageNumber"/>
      </w:rPr>
      <w:fldChar w:fldCharType="end"/>
    </w:r>
  </w:p>
  <w:p w14:paraId="3C6210C7" w14:textId="77777777" w:rsidR="007972F6" w:rsidRDefault="007972F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EC9E5" w14:textId="77777777" w:rsidR="009148B3" w:rsidRDefault="009148B3">
      <w:pPr>
        <w:spacing w:after="0" w:line="240" w:lineRule="auto"/>
      </w:pPr>
      <w:r>
        <w:separator/>
      </w:r>
    </w:p>
  </w:footnote>
  <w:footnote w:type="continuationSeparator" w:id="0">
    <w:p w14:paraId="71E6EBC8" w14:textId="77777777" w:rsidR="009148B3" w:rsidRDefault="009148B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9B8AE" w14:textId="77777777" w:rsidR="007972F6" w:rsidRDefault="007972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9F"/>
    <w:rsid w:val="00050F61"/>
    <w:rsid w:val="0015624B"/>
    <w:rsid w:val="00265EE1"/>
    <w:rsid w:val="002E41AF"/>
    <w:rsid w:val="004648CB"/>
    <w:rsid w:val="0048166E"/>
    <w:rsid w:val="004870A7"/>
    <w:rsid w:val="00583CD6"/>
    <w:rsid w:val="005E5207"/>
    <w:rsid w:val="007326AC"/>
    <w:rsid w:val="00763F9F"/>
    <w:rsid w:val="0078009A"/>
    <w:rsid w:val="007972F6"/>
    <w:rsid w:val="00812C28"/>
    <w:rsid w:val="008C18BF"/>
    <w:rsid w:val="009148B3"/>
    <w:rsid w:val="00963E1E"/>
    <w:rsid w:val="00970C6C"/>
    <w:rsid w:val="009849E1"/>
    <w:rsid w:val="00A8343B"/>
    <w:rsid w:val="00B3256C"/>
    <w:rsid w:val="00C63B6C"/>
    <w:rsid w:val="00DA0F60"/>
    <w:rsid w:val="00E22927"/>
    <w:rsid w:val="00E62804"/>
    <w:rsid w:val="00E753F8"/>
    <w:rsid w:val="00F03586"/>
    <w:rsid w:val="00F10890"/>
    <w:rsid w:val="00F353BD"/>
    <w:rsid w:val="00F6070F"/>
    <w:rsid w:val="00FD272D"/>
    <w:rsid w:val="00FF7180"/>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A0B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GB" w:eastAsia="en-US" w:bidi="ar-SA"/>
      </w:rPr>
    </w:rPrDefault>
    <w:pPrDefault>
      <w:pPr>
        <w:spacing w:line="259" w:lineRule="auto"/>
      </w:pPr>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D1915"/>
    <w:pPr>
      <w:spacing w:after="160"/>
    </w:pPr>
    <w:rPr>
      <w:color w:val="00000A"/>
      <w:sz w:val="22"/>
    </w:rPr>
  </w:style>
  <w:style w:type="paragraph" w:styleId="Heading1">
    <w:name w:val="heading 1"/>
    <w:basedOn w:val="Heading"/>
    <w:qFormat/>
    <w:rsid w:val="00F378E7"/>
    <w:pPr>
      <w:outlineLvl w:val="0"/>
    </w:pPr>
  </w:style>
  <w:style w:type="paragraph" w:styleId="Heading2">
    <w:name w:val="heading 2"/>
    <w:basedOn w:val="Heading"/>
    <w:qFormat/>
    <w:rsid w:val="00F378E7"/>
    <w:pPr>
      <w:outlineLvl w:val="1"/>
    </w:pPr>
  </w:style>
  <w:style w:type="paragraph" w:styleId="Heading3">
    <w:name w:val="heading 3"/>
    <w:basedOn w:val="Heading"/>
    <w:qFormat/>
    <w:rsid w:val="00F378E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E176D7"/>
    <w:rPr>
      <w:sz w:val="16"/>
      <w:szCs w:val="16"/>
    </w:rPr>
  </w:style>
  <w:style w:type="character" w:customStyle="1" w:styleId="CommentTextChar">
    <w:name w:val="Comment Text Char"/>
    <w:basedOn w:val="DefaultParagraphFont"/>
    <w:link w:val="CommentText"/>
    <w:uiPriority w:val="99"/>
    <w:qFormat/>
    <w:rsid w:val="00E176D7"/>
    <w:rPr>
      <w:sz w:val="20"/>
      <w:szCs w:val="20"/>
    </w:rPr>
  </w:style>
  <w:style w:type="character" w:customStyle="1" w:styleId="CommentSubjectChar">
    <w:name w:val="Comment Subject Char"/>
    <w:basedOn w:val="CommentTextChar"/>
    <w:link w:val="CommentSubject"/>
    <w:uiPriority w:val="99"/>
    <w:semiHidden/>
    <w:qFormat/>
    <w:rsid w:val="00E176D7"/>
    <w:rPr>
      <w:b/>
      <w:bCs/>
      <w:sz w:val="20"/>
      <w:szCs w:val="20"/>
    </w:rPr>
  </w:style>
  <w:style w:type="character" w:customStyle="1" w:styleId="BalloonTextChar">
    <w:name w:val="Balloon Text Char"/>
    <w:basedOn w:val="DefaultParagraphFont"/>
    <w:link w:val="BalloonText"/>
    <w:uiPriority w:val="99"/>
    <w:semiHidden/>
    <w:qFormat/>
    <w:rsid w:val="00E176D7"/>
    <w:rPr>
      <w:rFonts w:ascii="Segoe UI" w:hAnsi="Segoe UI" w:cs="Segoe UI"/>
      <w:sz w:val="18"/>
      <w:szCs w:val="18"/>
    </w:rPr>
  </w:style>
  <w:style w:type="character" w:customStyle="1" w:styleId="HeaderChar">
    <w:name w:val="Header Char"/>
    <w:basedOn w:val="DefaultParagraphFont"/>
    <w:link w:val="Header"/>
    <w:uiPriority w:val="99"/>
    <w:qFormat/>
    <w:rsid w:val="004D0F64"/>
  </w:style>
  <w:style w:type="character" w:customStyle="1" w:styleId="FooterChar">
    <w:name w:val="Footer Char"/>
    <w:basedOn w:val="DefaultParagraphFont"/>
    <w:link w:val="Footer"/>
    <w:uiPriority w:val="99"/>
    <w:qFormat/>
    <w:rsid w:val="004D0F64"/>
  </w:style>
  <w:style w:type="character" w:customStyle="1" w:styleId="PlainTextChar">
    <w:name w:val="Plain Text Char"/>
    <w:basedOn w:val="DefaultParagraphFont"/>
    <w:uiPriority w:val="99"/>
    <w:qFormat/>
    <w:rsid w:val="008E2640"/>
    <w:rPr>
      <w:rFonts w:ascii="Calibri" w:hAnsi="Calibri"/>
      <w:szCs w:val="21"/>
    </w:rPr>
  </w:style>
  <w:style w:type="character" w:customStyle="1" w:styleId="PlainTextChar1">
    <w:name w:val="Plain Text Char1"/>
    <w:basedOn w:val="DefaultParagraphFont"/>
    <w:link w:val="PlainText"/>
    <w:uiPriority w:val="99"/>
    <w:semiHidden/>
    <w:qFormat/>
    <w:rsid w:val="008E2640"/>
    <w:rPr>
      <w:rFonts w:ascii="Courier" w:hAnsi="Courier"/>
      <w:sz w:val="21"/>
      <w:szCs w:val="21"/>
    </w:rPr>
  </w:style>
  <w:style w:type="character" w:customStyle="1" w:styleId="InternetLink">
    <w:name w:val="Internet Link"/>
    <w:rsid w:val="005C1479"/>
    <w:rPr>
      <w:color w:val="0000FF"/>
      <w:u w:val="single"/>
    </w:rPr>
  </w:style>
  <w:style w:type="character" w:customStyle="1" w:styleId="ListLabel1">
    <w:name w:val="ListLabel 1"/>
    <w:qFormat/>
    <w:rsid w:val="00F378E7"/>
    <w:rPr>
      <w:rFonts w:cs="Courier New"/>
    </w:rPr>
  </w:style>
  <w:style w:type="paragraph" w:customStyle="1" w:styleId="Heading">
    <w:name w:val="Heading"/>
    <w:basedOn w:val="Normal"/>
    <w:next w:val="TextBody"/>
    <w:qFormat/>
    <w:rsid w:val="00F378E7"/>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F378E7"/>
    <w:pPr>
      <w:spacing w:after="140" w:line="288" w:lineRule="auto"/>
    </w:pPr>
  </w:style>
  <w:style w:type="paragraph" w:styleId="List">
    <w:name w:val="List"/>
    <w:basedOn w:val="TextBody"/>
    <w:rsid w:val="00F378E7"/>
    <w:rPr>
      <w:rFonts w:cs="Mangal"/>
    </w:rPr>
  </w:style>
  <w:style w:type="paragraph" w:styleId="Caption">
    <w:name w:val="caption"/>
    <w:basedOn w:val="Normal"/>
    <w:qFormat/>
    <w:rsid w:val="00F378E7"/>
    <w:pPr>
      <w:suppressLineNumbers/>
      <w:spacing w:before="120" w:after="120"/>
    </w:pPr>
    <w:rPr>
      <w:rFonts w:cs="Mangal"/>
      <w:i/>
      <w:iCs/>
      <w:sz w:val="24"/>
      <w:szCs w:val="24"/>
    </w:rPr>
  </w:style>
  <w:style w:type="paragraph" w:customStyle="1" w:styleId="Index">
    <w:name w:val="Index"/>
    <w:basedOn w:val="Normal"/>
    <w:qFormat/>
    <w:rsid w:val="00F378E7"/>
    <w:pPr>
      <w:suppressLineNumbers/>
    </w:pPr>
    <w:rPr>
      <w:rFonts w:cs="Mangal"/>
    </w:rPr>
  </w:style>
  <w:style w:type="paragraph" w:styleId="ListParagraph">
    <w:name w:val="List Paragraph"/>
    <w:basedOn w:val="Normal"/>
    <w:uiPriority w:val="34"/>
    <w:qFormat/>
    <w:rsid w:val="00254981"/>
    <w:pPr>
      <w:ind w:left="720"/>
      <w:contextualSpacing/>
    </w:pPr>
  </w:style>
  <w:style w:type="paragraph" w:styleId="CommentText">
    <w:name w:val="annotation text"/>
    <w:basedOn w:val="Normal"/>
    <w:link w:val="CommentTextChar"/>
    <w:uiPriority w:val="99"/>
    <w:unhideWhenUsed/>
    <w:qFormat/>
    <w:rsid w:val="00E176D7"/>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E176D7"/>
    <w:rPr>
      <w:b/>
      <w:bCs/>
    </w:rPr>
  </w:style>
  <w:style w:type="paragraph" w:styleId="BalloonText">
    <w:name w:val="Balloon Text"/>
    <w:basedOn w:val="Normal"/>
    <w:link w:val="BalloonTextChar"/>
    <w:uiPriority w:val="99"/>
    <w:semiHidden/>
    <w:unhideWhenUsed/>
    <w:qFormat/>
    <w:rsid w:val="00E176D7"/>
    <w:pPr>
      <w:spacing w:after="0" w:line="240" w:lineRule="auto"/>
    </w:pPr>
    <w:rPr>
      <w:rFonts w:ascii="Segoe UI" w:hAnsi="Segoe UI" w:cs="Segoe UI"/>
      <w:sz w:val="18"/>
      <w:szCs w:val="18"/>
    </w:rPr>
  </w:style>
  <w:style w:type="paragraph" w:styleId="Revision">
    <w:name w:val="Revision"/>
    <w:uiPriority w:val="99"/>
    <w:semiHidden/>
    <w:qFormat/>
    <w:rsid w:val="000549D9"/>
    <w:pPr>
      <w:spacing w:line="240" w:lineRule="auto"/>
    </w:pPr>
    <w:rPr>
      <w:color w:val="00000A"/>
      <w:sz w:val="22"/>
    </w:rPr>
  </w:style>
  <w:style w:type="paragraph" w:styleId="Header">
    <w:name w:val="header"/>
    <w:basedOn w:val="Normal"/>
    <w:link w:val="HeaderChar"/>
    <w:uiPriority w:val="99"/>
    <w:unhideWhenUsed/>
    <w:rsid w:val="004D0F64"/>
    <w:pPr>
      <w:tabs>
        <w:tab w:val="center" w:pos="4513"/>
        <w:tab w:val="right" w:pos="9026"/>
      </w:tabs>
      <w:spacing w:after="0" w:line="240" w:lineRule="auto"/>
    </w:pPr>
  </w:style>
  <w:style w:type="paragraph" w:styleId="Footer">
    <w:name w:val="footer"/>
    <w:basedOn w:val="Normal"/>
    <w:link w:val="FooterChar"/>
    <w:uiPriority w:val="99"/>
    <w:unhideWhenUsed/>
    <w:rsid w:val="004D0F64"/>
    <w:pPr>
      <w:tabs>
        <w:tab w:val="center" w:pos="4513"/>
        <w:tab w:val="right" w:pos="9026"/>
      </w:tabs>
      <w:spacing w:after="0" w:line="240" w:lineRule="auto"/>
    </w:pPr>
  </w:style>
  <w:style w:type="paragraph" w:styleId="PlainText">
    <w:name w:val="Plain Text"/>
    <w:basedOn w:val="Normal"/>
    <w:link w:val="PlainTextChar1"/>
    <w:uiPriority w:val="99"/>
    <w:unhideWhenUsed/>
    <w:qFormat/>
    <w:rsid w:val="008E2640"/>
    <w:pPr>
      <w:spacing w:after="0" w:line="240" w:lineRule="auto"/>
    </w:pPr>
    <w:rPr>
      <w:rFonts w:ascii="Calibri" w:hAnsi="Calibri"/>
      <w:szCs w:val="21"/>
    </w:rPr>
  </w:style>
  <w:style w:type="paragraph" w:styleId="NormalWeb">
    <w:name w:val="Normal (Web)"/>
    <w:basedOn w:val="Normal"/>
    <w:uiPriority w:val="99"/>
    <w:unhideWhenUsed/>
    <w:qFormat/>
    <w:rsid w:val="00D8751A"/>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Quotations">
    <w:name w:val="Quotations"/>
    <w:basedOn w:val="Normal"/>
    <w:qFormat/>
    <w:rsid w:val="00F378E7"/>
  </w:style>
  <w:style w:type="paragraph" w:styleId="Title">
    <w:name w:val="Title"/>
    <w:basedOn w:val="Heading"/>
    <w:qFormat/>
    <w:rsid w:val="00F378E7"/>
  </w:style>
  <w:style w:type="paragraph" w:styleId="Subtitle">
    <w:name w:val="Subtitle"/>
    <w:basedOn w:val="Heading"/>
    <w:qFormat/>
    <w:rsid w:val="00F378E7"/>
  </w:style>
  <w:style w:type="character" w:styleId="PageNumber">
    <w:name w:val="page number"/>
    <w:basedOn w:val="DefaultParagraphFont"/>
    <w:semiHidden/>
    <w:unhideWhenUsed/>
    <w:rsid w:val="00F35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2416</Words>
  <Characters>14184</Characters>
  <Application>Microsoft Macintosh Word</Application>
  <DocSecurity>0</DocSecurity>
  <Lines>208</Lines>
  <Paragraphs>37</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16563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Nicola Payne</cp:lastModifiedBy>
  <cp:revision>2</cp:revision>
  <cp:lastPrinted>2016-03-30T16:00:00Z</cp:lastPrinted>
  <dcterms:created xsi:type="dcterms:W3CDTF">2017-01-04T02:13:00Z</dcterms:created>
  <dcterms:modified xsi:type="dcterms:W3CDTF">2017-01-04T02:13:00Z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Middlesex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