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91" w:rsidRDefault="005A42CE" w:rsidP="005A42CE">
      <w:pPr>
        <w:spacing w:after="0"/>
      </w:pPr>
      <w:r>
        <w:t>Table 1 Factor</w:t>
      </w:r>
      <w:r w:rsidR="006D6574">
        <w:t>s underlying contingent self-definition</w:t>
      </w:r>
      <w:r>
        <w:t xml:space="preserve"> </w:t>
      </w:r>
      <w:r w:rsidR="009249BE">
        <w:t xml:space="preserve"> </w:t>
      </w:r>
    </w:p>
    <w:p w:rsidR="00AF3F5A" w:rsidRDefault="00AF3F5A" w:rsidP="005A42CE">
      <w:pPr>
        <w:spacing w:after="0"/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27"/>
        <w:gridCol w:w="2126"/>
        <w:gridCol w:w="4763"/>
      </w:tblGrid>
      <w:tr w:rsidR="00BA0E2B" w:rsidRPr="00BA0E2B" w:rsidTr="00C17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780C5B" w:rsidRDefault="00BA0E2B" w:rsidP="00BA0E2B">
            <w:pPr>
              <w:rPr>
                <w:sz w:val="20"/>
                <w:szCs w:val="20"/>
              </w:rPr>
            </w:pPr>
            <w:r w:rsidRPr="00780C5B">
              <w:rPr>
                <w:sz w:val="20"/>
                <w:szCs w:val="20"/>
              </w:rPr>
              <w:t>Thematic category</w:t>
            </w:r>
          </w:p>
        </w:tc>
        <w:tc>
          <w:tcPr>
            <w:tcW w:w="2126" w:type="dxa"/>
          </w:tcPr>
          <w:p w:rsidR="00BA0E2B" w:rsidRPr="00780C5B" w:rsidRDefault="00BA0E2B" w:rsidP="00BA0E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0C5B">
              <w:rPr>
                <w:sz w:val="20"/>
                <w:szCs w:val="20"/>
              </w:rPr>
              <w:t>Factor</w:t>
            </w:r>
          </w:p>
        </w:tc>
        <w:tc>
          <w:tcPr>
            <w:tcW w:w="4763" w:type="dxa"/>
          </w:tcPr>
          <w:p w:rsidR="00BA0E2B" w:rsidRPr="00780C5B" w:rsidRDefault="00BA0E2B" w:rsidP="00BA0E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0C5B">
              <w:rPr>
                <w:sz w:val="20"/>
                <w:szCs w:val="20"/>
              </w:rPr>
              <w:t>Pertains to…</w:t>
            </w:r>
          </w:p>
        </w:tc>
      </w:tr>
      <w:tr w:rsidR="00BA0E2B" w:rsidRPr="00BA0E2B" w:rsidTr="00C1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780C5B" w:rsidRDefault="00BA0E2B" w:rsidP="00BA0E2B">
            <w:pPr>
              <w:rPr>
                <w:b w:val="0"/>
                <w:i/>
                <w:sz w:val="20"/>
                <w:szCs w:val="20"/>
              </w:rPr>
            </w:pPr>
            <w:r w:rsidRPr="00780C5B">
              <w:rPr>
                <w:b w:val="0"/>
                <w:i/>
                <w:sz w:val="20"/>
                <w:szCs w:val="20"/>
              </w:rPr>
              <w:t>External perceptions</w:t>
            </w:r>
          </w:p>
        </w:tc>
        <w:tc>
          <w:tcPr>
            <w:tcW w:w="2126" w:type="dxa"/>
          </w:tcPr>
          <w:p w:rsidR="00BA0E2B" w:rsidRPr="00BA0E2B" w:rsidRDefault="00BA0E2B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0E2B">
              <w:rPr>
                <w:sz w:val="20"/>
                <w:szCs w:val="20"/>
              </w:rPr>
              <w:t>Blurred boundaries (BB)</w:t>
            </w:r>
          </w:p>
        </w:tc>
        <w:tc>
          <w:tcPr>
            <w:tcW w:w="4763" w:type="dxa"/>
          </w:tcPr>
          <w:p w:rsidR="00BA0E2B" w:rsidRPr="00BA0E2B" w:rsidRDefault="00BA0E2B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0E2B">
              <w:rPr>
                <w:sz w:val="20"/>
                <w:szCs w:val="20"/>
              </w:rPr>
              <w:t>The diminishing importance of regional and national boundaries in the context of multi-country single markets and customs unions</w:t>
            </w:r>
          </w:p>
        </w:tc>
      </w:tr>
      <w:tr w:rsidR="00BA0E2B" w:rsidRPr="00BA0E2B" w:rsidTr="00C17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BA0E2B" w:rsidRDefault="00BA0E2B" w:rsidP="00BA0E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0E2B" w:rsidRPr="00BA0E2B" w:rsidRDefault="00BA0E2B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0E2B">
              <w:rPr>
                <w:sz w:val="20"/>
                <w:szCs w:val="20"/>
              </w:rPr>
              <w:t>Knowledge deficits (KD)</w:t>
            </w:r>
          </w:p>
        </w:tc>
        <w:tc>
          <w:tcPr>
            <w:tcW w:w="4763" w:type="dxa"/>
          </w:tcPr>
          <w:p w:rsidR="00BA0E2B" w:rsidRPr="00BA0E2B" w:rsidRDefault="00BA0E2B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0E2B">
              <w:rPr>
                <w:sz w:val="20"/>
                <w:szCs w:val="20"/>
              </w:rPr>
              <w:t>The limited knowledge that actors have of the places that they may interact with at any given point in time</w:t>
            </w:r>
          </w:p>
        </w:tc>
      </w:tr>
      <w:tr w:rsidR="00BA0E2B" w:rsidRPr="00BA0E2B" w:rsidTr="00C1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BA0E2B" w:rsidRDefault="00BA0E2B" w:rsidP="00BA0E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0E2B" w:rsidRPr="00BA0E2B" w:rsidRDefault="00842923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Target audience (TA)</w:t>
            </w:r>
          </w:p>
        </w:tc>
        <w:tc>
          <w:tcPr>
            <w:tcW w:w="4763" w:type="dxa"/>
          </w:tcPr>
          <w:p w:rsidR="00BA0E2B" w:rsidRPr="00BA0E2B" w:rsidRDefault="00842923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The importance of integrating target audiences in the construction of the brand as a complex social process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42923" w:rsidRPr="00BA0E2B" w:rsidTr="00C17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42923" w:rsidRPr="00BA0E2B" w:rsidRDefault="00842923" w:rsidP="00BA0E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2923" w:rsidRPr="00BA0E2B" w:rsidRDefault="00842923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42923">
              <w:rPr>
                <w:sz w:val="20"/>
                <w:szCs w:val="20"/>
              </w:rPr>
              <w:t>Toponymic</w:t>
            </w:r>
            <w:proofErr w:type="spellEnd"/>
            <w:r w:rsidRPr="00842923">
              <w:rPr>
                <w:sz w:val="20"/>
                <w:szCs w:val="20"/>
              </w:rPr>
              <w:t xml:space="preserve"> clarity (TC)</w:t>
            </w:r>
          </w:p>
        </w:tc>
        <w:tc>
          <w:tcPr>
            <w:tcW w:w="4763" w:type="dxa"/>
          </w:tcPr>
          <w:p w:rsidR="00842923" w:rsidRPr="00BA0E2B" w:rsidRDefault="00842923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The degree to which a place name has clear meaning for intended audiences</w:t>
            </w:r>
          </w:p>
        </w:tc>
      </w:tr>
      <w:tr w:rsidR="00BA0E2B" w:rsidRPr="00BA0E2B" w:rsidTr="00C1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780C5B" w:rsidRDefault="00B86070" w:rsidP="00BA0E2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</w:t>
            </w:r>
            <w:bookmarkStart w:id="0" w:name="_GoBack"/>
            <w:bookmarkEnd w:id="0"/>
            <w:r w:rsidR="00842923" w:rsidRPr="00780C5B">
              <w:rPr>
                <w:b w:val="0"/>
                <w:i/>
                <w:sz w:val="20"/>
                <w:szCs w:val="20"/>
              </w:rPr>
              <w:t>roximity</w:t>
            </w:r>
          </w:p>
        </w:tc>
        <w:tc>
          <w:tcPr>
            <w:tcW w:w="2126" w:type="dxa"/>
          </w:tcPr>
          <w:p w:rsidR="00BA0E2B" w:rsidRPr="00BA0E2B" w:rsidRDefault="00842923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Cultural proximity (CP)</w:t>
            </w:r>
          </w:p>
        </w:tc>
        <w:tc>
          <w:tcPr>
            <w:tcW w:w="4763" w:type="dxa"/>
          </w:tcPr>
          <w:p w:rsidR="00BA0E2B" w:rsidRPr="00BA0E2B" w:rsidRDefault="00842923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 xml:space="preserve">Cultural and linguistic similarities between places that are not necessarily geographically close  </w:t>
            </w:r>
          </w:p>
        </w:tc>
      </w:tr>
      <w:tr w:rsidR="00BA0E2B" w:rsidRPr="00BA0E2B" w:rsidTr="00C17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BA0E2B" w:rsidRDefault="00BA0E2B" w:rsidP="00BA0E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0E2B" w:rsidRPr="00BA0E2B" w:rsidRDefault="00842923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Geographic proximity (GP)</w:t>
            </w:r>
          </w:p>
        </w:tc>
        <w:tc>
          <w:tcPr>
            <w:tcW w:w="4763" w:type="dxa"/>
          </w:tcPr>
          <w:p w:rsidR="00BA0E2B" w:rsidRPr="00BA0E2B" w:rsidRDefault="00842923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The potential influence of sharing a border or otherwise being geographically close to intended audiences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A0E2B" w:rsidRPr="00BA0E2B" w:rsidTr="00C1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780C5B" w:rsidRDefault="00842923" w:rsidP="00BA0E2B">
            <w:pPr>
              <w:rPr>
                <w:b w:val="0"/>
                <w:i/>
                <w:sz w:val="20"/>
                <w:szCs w:val="20"/>
              </w:rPr>
            </w:pPr>
            <w:r w:rsidRPr="00780C5B">
              <w:rPr>
                <w:b w:val="0"/>
                <w:i/>
                <w:sz w:val="20"/>
                <w:szCs w:val="20"/>
              </w:rPr>
              <w:t>Brand relationships</w:t>
            </w:r>
          </w:p>
        </w:tc>
        <w:tc>
          <w:tcPr>
            <w:tcW w:w="2126" w:type="dxa"/>
          </w:tcPr>
          <w:p w:rsidR="00BA0E2B" w:rsidRPr="00BA0E2B" w:rsidRDefault="00842923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Diversity (DV)</w:t>
            </w:r>
          </w:p>
        </w:tc>
        <w:tc>
          <w:tcPr>
            <w:tcW w:w="4763" w:type="dxa"/>
          </w:tcPr>
          <w:p w:rsidR="00BA0E2B" w:rsidRPr="00BA0E2B" w:rsidRDefault="00842923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The challenge of integrating the diversity of a place within a brand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A0E2B" w:rsidRPr="00BA0E2B" w:rsidTr="00C17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BA0E2B" w:rsidRDefault="00BA0E2B" w:rsidP="00BA0E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0E2B" w:rsidRPr="00BA0E2B" w:rsidRDefault="00842923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Halo effect (HE)</w:t>
            </w:r>
          </w:p>
        </w:tc>
        <w:tc>
          <w:tcPr>
            <w:tcW w:w="4763" w:type="dxa"/>
          </w:tcPr>
          <w:p w:rsidR="00BA0E2B" w:rsidRPr="00BA0E2B" w:rsidRDefault="00842923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The way in which place brand image may serve as a halo from which actors infer the attributes of other related places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A0E2B" w:rsidRPr="00BA0E2B" w:rsidTr="00C1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BA0E2B" w:rsidRDefault="00BA0E2B" w:rsidP="00BA0E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0E2B" w:rsidRPr="00BA0E2B" w:rsidRDefault="00842923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Regional exceptionalism (RE)</w:t>
            </w:r>
          </w:p>
        </w:tc>
        <w:tc>
          <w:tcPr>
            <w:tcW w:w="4763" w:type="dxa"/>
          </w:tcPr>
          <w:p w:rsidR="00BA0E2B" w:rsidRPr="00BA0E2B" w:rsidRDefault="00842923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923">
              <w:rPr>
                <w:sz w:val="20"/>
                <w:szCs w:val="20"/>
              </w:rPr>
              <w:t>The perception that a region is unique or exceptional in some w</w:t>
            </w:r>
            <w:r>
              <w:rPr>
                <w:sz w:val="20"/>
                <w:szCs w:val="20"/>
              </w:rPr>
              <w:t xml:space="preserve">ay </w:t>
            </w:r>
          </w:p>
        </w:tc>
      </w:tr>
      <w:tr w:rsidR="00BA0E2B" w:rsidRPr="00BA0E2B" w:rsidTr="00C17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A0E2B" w:rsidRPr="00780C5B" w:rsidRDefault="00895F0D" w:rsidP="00BA0E2B">
            <w:pPr>
              <w:rPr>
                <w:b w:val="0"/>
                <w:i/>
                <w:sz w:val="20"/>
                <w:szCs w:val="20"/>
              </w:rPr>
            </w:pPr>
            <w:r w:rsidRPr="00780C5B">
              <w:rPr>
                <w:b w:val="0"/>
                <w:i/>
                <w:sz w:val="20"/>
                <w:szCs w:val="20"/>
              </w:rPr>
              <w:t>Politics and power</w:t>
            </w:r>
          </w:p>
        </w:tc>
        <w:tc>
          <w:tcPr>
            <w:tcW w:w="2126" w:type="dxa"/>
          </w:tcPr>
          <w:p w:rsidR="00BA0E2B" w:rsidRPr="00BA0E2B" w:rsidRDefault="00895F0D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F0D">
              <w:rPr>
                <w:sz w:val="20"/>
                <w:szCs w:val="20"/>
              </w:rPr>
              <w:t>Critical mass (CM)</w:t>
            </w:r>
          </w:p>
        </w:tc>
        <w:tc>
          <w:tcPr>
            <w:tcW w:w="4763" w:type="dxa"/>
          </w:tcPr>
          <w:p w:rsidR="00BA0E2B" w:rsidRPr="00BA0E2B" w:rsidRDefault="00895F0D" w:rsidP="00BA0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F0D">
              <w:rPr>
                <w:sz w:val="20"/>
                <w:szCs w:val="20"/>
              </w:rPr>
              <w:t>The geographic scale required for the place brand to resonate with target audiences</w:t>
            </w:r>
          </w:p>
        </w:tc>
      </w:tr>
      <w:tr w:rsidR="00842923" w:rsidRPr="00BA0E2B" w:rsidTr="00C1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42923" w:rsidRPr="00BA0E2B" w:rsidRDefault="00842923" w:rsidP="00BA0E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2923" w:rsidRPr="00BA0E2B" w:rsidRDefault="009C7F48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7F48">
              <w:rPr>
                <w:sz w:val="20"/>
                <w:szCs w:val="20"/>
              </w:rPr>
              <w:t>Political environment (PE)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3" w:type="dxa"/>
          </w:tcPr>
          <w:p w:rsidR="00842923" w:rsidRPr="00BA0E2B" w:rsidRDefault="00895F0D" w:rsidP="00BA0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F0D">
              <w:rPr>
                <w:sz w:val="20"/>
                <w:szCs w:val="20"/>
              </w:rPr>
              <w:t>The competing claims and sources of legitimacy in the environment within which place brands are constructed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75B1B" w:rsidRDefault="00675B1B" w:rsidP="005A42CE">
      <w:pPr>
        <w:spacing w:after="0"/>
      </w:pPr>
    </w:p>
    <w:p w:rsidR="00675B1B" w:rsidRDefault="007E232B" w:rsidP="005A42CE">
      <w:pPr>
        <w:spacing w:after="0"/>
      </w:pPr>
      <w:r>
        <w:t xml:space="preserve"> </w:t>
      </w:r>
      <w:r w:rsidR="00675B1B">
        <w:t xml:space="preserve"> </w:t>
      </w:r>
    </w:p>
    <w:sectPr w:rsidR="00675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4A" w:rsidRDefault="00E3204A" w:rsidP="00DA4C9A">
      <w:pPr>
        <w:spacing w:after="0" w:line="240" w:lineRule="auto"/>
      </w:pPr>
      <w:r>
        <w:separator/>
      </w:r>
    </w:p>
  </w:endnote>
  <w:endnote w:type="continuationSeparator" w:id="0">
    <w:p w:rsidR="00E3204A" w:rsidRDefault="00E3204A" w:rsidP="00DA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9A" w:rsidRDefault="00DA4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9A" w:rsidRDefault="00DA4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9A" w:rsidRDefault="00DA4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4A" w:rsidRDefault="00E3204A" w:rsidP="00DA4C9A">
      <w:pPr>
        <w:spacing w:after="0" w:line="240" w:lineRule="auto"/>
      </w:pPr>
      <w:r>
        <w:separator/>
      </w:r>
    </w:p>
  </w:footnote>
  <w:footnote w:type="continuationSeparator" w:id="0">
    <w:p w:rsidR="00E3204A" w:rsidRDefault="00E3204A" w:rsidP="00DA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9A" w:rsidRDefault="00DA4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9A" w:rsidRDefault="00DA4C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9A" w:rsidRDefault="00DA4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CE"/>
    <w:rsid w:val="000725E1"/>
    <w:rsid w:val="000A139C"/>
    <w:rsid w:val="001D39F0"/>
    <w:rsid w:val="002211B2"/>
    <w:rsid w:val="00270EA1"/>
    <w:rsid w:val="00280934"/>
    <w:rsid w:val="00301023"/>
    <w:rsid w:val="00315758"/>
    <w:rsid w:val="003A017C"/>
    <w:rsid w:val="003A0A5D"/>
    <w:rsid w:val="003D6E81"/>
    <w:rsid w:val="004238E9"/>
    <w:rsid w:val="00462E6E"/>
    <w:rsid w:val="004C46EB"/>
    <w:rsid w:val="004F3832"/>
    <w:rsid w:val="00557B70"/>
    <w:rsid w:val="00571EBB"/>
    <w:rsid w:val="005A42CE"/>
    <w:rsid w:val="005E15EC"/>
    <w:rsid w:val="00675B1B"/>
    <w:rsid w:val="006D6574"/>
    <w:rsid w:val="00724FF2"/>
    <w:rsid w:val="0074327F"/>
    <w:rsid w:val="00770862"/>
    <w:rsid w:val="00780C5B"/>
    <w:rsid w:val="007D18EC"/>
    <w:rsid w:val="007E232B"/>
    <w:rsid w:val="00822E50"/>
    <w:rsid w:val="00842923"/>
    <w:rsid w:val="00851836"/>
    <w:rsid w:val="00895F0D"/>
    <w:rsid w:val="008A0E00"/>
    <w:rsid w:val="008C7B94"/>
    <w:rsid w:val="009249BE"/>
    <w:rsid w:val="00937E53"/>
    <w:rsid w:val="0096791A"/>
    <w:rsid w:val="009B57B0"/>
    <w:rsid w:val="009C2D51"/>
    <w:rsid w:val="009C7F48"/>
    <w:rsid w:val="00A41E82"/>
    <w:rsid w:val="00AC5EF3"/>
    <w:rsid w:val="00AF3F5A"/>
    <w:rsid w:val="00B03AA9"/>
    <w:rsid w:val="00B86070"/>
    <w:rsid w:val="00BA0E2B"/>
    <w:rsid w:val="00BC5E1F"/>
    <w:rsid w:val="00C17A5A"/>
    <w:rsid w:val="00C40290"/>
    <w:rsid w:val="00CA26F0"/>
    <w:rsid w:val="00CD1846"/>
    <w:rsid w:val="00CF2BF6"/>
    <w:rsid w:val="00D127D4"/>
    <w:rsid w:val="00D44F91"/>
    <w:rsid w:val="00D566E1"/>
    <w:rsid w:val="00DA4C9A"/>
    <w:rsid w:val="00E3204A"/>
    <w:rsid w:val="00E93201"/>
    <w:rsid w:val="00F13FB0"/>
    <w:rsid w:val="00F15D21"/>
    <w:rsid w:val="00F8685F"/>
    <w:rsid w:val="00FA4610"/>
    <w:rsid w:val="00FB1947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EA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15D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9A"/>
  </w:style>
  <w:style w:type="paragraph" w:styleId="Footer">
    <w:name w:val="footer"/>
    <w:basedOn w:val="Normal"/>
    <w:link w:val="FooterChar"/>
    <w:uiPriority w:val="99"/>
    <w:unhideWhenUsed/>
    <w:rsid w:val="00DA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9A"/>
  </w:style>
  <w:style w:type="paragraph" w:styleId="BalloonText">
    <w:name w:val="Balloon Text"/>
    <w:basedOn w:val="Normal"/>
    <w:link w:val="BalloonTextChar"/>
    <w:uiPriority w:val="99"/>
    <w:semiHidden/>
    <w:unhideWhenUsed/>
    <w:rsid w:val="00DA4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2017-01-15T14:10:00Z</dcterms:created>
  <dcterms:modified xsi:type="dcterms:W3CDTF">2017-01-15T14:57:00Z</dcterms:modified>
</cp:coreProperties>
</file>