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709D8" w14:textId="77777777" w:rsidR="00F04BAD" w:rsidRPr="004E557D" w:rsidRDefault="00F04BAD" w:rsidP="00F04BAD">
      <w:pPr>
        <w:spacing w:line="320" w:lineRule="exact"/>
        <w:rPr>
          <w:b/>
        </w:rPr>
      </w:pPr>
      <w:r w:rsidRPr="004E557D">
        <w:rPr>
          <w:b/>
        </w:rPr>
        <w:t>Higher-level Skills and Work-based Learning</w:t>
      </w:r>
    </w:p>
    <w:p w14:paraId="1F91852D" w14:textId="77777777" w:rsidR="00F04BAD" w:rsidRPr="004E557D" w:rsidRDefault="00F04BAD" w:rsidP="00F04BAD">
      <w:pPr>
        <w:spacing w:line="320" w:lineRule="exact"/>
        <w:rPr>
          <w:b/>
        </w:rPr>
      </w:pPr>
      <w:r w:rsidRPr="004E557D">
        <w:rPr>
          <w:b/>
        </w:rPr>
        <w:t>Special Issue: Higher and Degree Apprenticeships: creating the future workforce</w:t>
      </w:r>
    </w:p>
    <w:p w14:paraId="2CAEE3CB" w14:textId="77777777" w:rsidR="00F04BAD" w:rsidRPr="004E557D" w:rsidRDefault="00F04BAD" w:rsidP="00F04BAD">
      <w:pPr>
        <w:spacing w:line="320" w:lineRule="exact"/>
      </w:pPr>
    </w:p>
    <w:p w14:paraId="4C65B16C" w14:textId="65B8B08F" w:rsidR="00F04BAD" w:rsidRPr="004E557D" w:rsidRDefault="00F04BAD" w:rsidP="00F04BAD">
      <w:pPr>
        <w:spacing w:line="320" w:lineRule="exact"/>
        <w:rPr>
          <w:b/>
        </w:rPr>
      </w:pPr>
      <w:r w:rsidRPr="004E557D">
        <w:rPr>
          <w:b/>
        </w:rPr>
        <w:t xml:space="preserve">Title: </w:t>
      </w:r>
      <w:r w:rsidRPr="004E557D">
        <w:rPr>
          <w:b/>
          <w:i/>
        </w:rPr>
        <w:t>Why co-design and delivery is ‘a no brainer’ for Higher and Degree Apprenticeship</w:t>
      </w:r>
      <w:r w:rsidR="00835CFD" w:rsidRPr="004E557D">
        <w:rPr>
          <w:b/>
          <w:i/>
        </w:rPr>
        <w:t xml:space="preserve"> p</w:t>
      </w:r>
      <w:r w:rsidR="008B7C3E" w:rsidRPr="004E557D">
        <w:rPr>
          <w:b/>
          <w:i/>
        </w:rPr>
        <w:t>olicy</w:t>
      </w:r>
    </w:p>
    <w:p w14:paraId="7CB36C5D" w14:textId="77777777" w:rsidR="00F04BAD" w:rsidRPr="004E557D" w:rsidRDefault="00F04BAD" w:rsidP="005D6AC4">
      <w:pPr>
        <w:spacing w:line="320" w:lineRule="exact"/>
        <w:rPr>
          <w:b/>
        </w:rPr>
      </w:pPr>
    </w:p>
    <w:p w14:paraId="69E548F0" w14:textId="77777777" w:rsidR="00743385" w:rsidRDefault="00F04BAD" w:rsidP="005D6AC4">
      <w:pPr>
        <w:spacing w:line="320" w:lineRule="exact"/>
        <w:rPr>
          <w:b/>
        </w:rPr>
      </w:pPr>
      <w:r w:rsidRPr="004E557D">
        <w:rPr>
          <w:b/>
        </w:rPr>
        <w:t xml:space="preserve">Author: Darryll Bravenboer, </w:t>
      </w:r>
      <w:r w:rsidR="00743385">
        <w:rPr>
          <w:b/>
        </w:rPr>
        <w:t xml:space="preserve">Institute for Work Based Learning, </w:t>
      </w:r>
      <w:r w:rsidRPr="004E557D">
        <w:rPr>
          <w:b/>
        </w:rPr>
        <w:t>Middlesex University</w:t>
      </w:r>
    </w:p>
    <w:p w14:paraId="62921E73" w14:textId="77777777" w:rsidR="00743385" w:rsidRDefault="00743385" w:rsidP="005D6AC4">
      <w:pPr>
        <w:spacing w:line="320" w:lineRule="exact"/>
        <w:rPr>
          <w:b/>
        </w:rPr>
      </w:pPr>
    </w:p>
    <w:p w14:paraId="74544B6E" w14:textId="1C2C179A" w:rsidR="00F04BAD" w:rsidRDefault="00743385" w:rsidP="005D6AC4">
      <w:pPr>
        <w:spacing w:line="320" w:lineRule="exact"/>
        <w:rPr>
          <w:b/>
        </w:rPr>
      </w:pPr>
      <w:r>
        <w:rPr>
          <w:b/>
        </w:rPr>
        <w:t>Contact: d.bravenboer@mdx.ac.uk</w:t>
      </w:r>
    </w:p>
    <w:p w14:paraId="598064B5" w14:textId="77777777" w:rsidR="00743385" w:rsidRDefault="00743385" w:rsidP="005D6AC4">
      <w:pPr>
        <w:spacing w:line="320" w:lineRule="exact"/>
        <w:rPr>
          <w:b/>
        </w:rPr>
      </w:pPr>
    </w:p>
    <w:p w14:paraId="3801E448" w14:textId="77777777" w:rsidR="00743385" w:rsidRPr="00743385" w:rsidRDefault="00743385" w:rsidP="00743385">
      <w:pPr>
        <w:spacing w:line="320" w:lineRule="exact"/>
        <w:rPr>
          <w:b/>
        </w:rPr>
      </w:pPr>
      <w:r w:rsidRPr="00743385">
        <w:rPr>
          <w:b/>
        </w:rPr>
        <w:t>Abstract</w:t>
      </w:r>
    </w:p>
    <w:p w14:paraId="3B9F729A" w14:textId="77777777" w:rsidR="00743385" w:rsidRPr="00743385" w:rsidRDefault="00743385" w:rsidP="00743385">
      <w:pPr>
        <w:spacing w:line="320" w:lineRule="exact"/>
        <w:rPr>
          <w:b/>
        </w:rPr>
      </w:pPr>
      <w:r w:rsidRPr="00743385">
        <w:rPr>
          <w:b/>
        </w:rPr>
        <w:t xml:space="preserve">Purpose </w:t>
      </w:r>
      <w:r w:rsidRPr="00743385">
        <w:t>– The purpose of this paper is to contend that collaboration between employers and universities in the design and delivery of programmes of work-based study is an effective way to align the higher-level skills needs of employers with the aspirations of individuals who wish to gain university qualifications in the workplace. In mapping the fluctuations of UK higher-level skills policy through workforce development to degree apprenticeships it is argued that the facility for employers and universities to co-design and develop degree apprenticeship standards should be extended to the development of Higher Apprenticeships in England.</w:t>
      </w:r>
    </w:p>
    <w:p w14:paraId="6EFC4C9E" w14:textId="77777777" w:rsidR="00743385" w:rsidRPr="00743385" w:rsidRDefault="00743385" w:rsidP="00743385">
      <w:pPr>
        <w:spacing w:line="320" w:lineRule="exact"/>
        <w:rPr>
          <w:b/>
        </w:rPr>
      </w:pPr>
      <w:r w:rsidRPr="00743385">
        <w:rPr>
          <w:b/>
        </w:rPr>
        <w:t xml:space="preserve">Design/methodology/approach </w:t>
      </w:r>
      <w:r w:rsidRPr="00743385">
        <w:t>– The paper provides an analysis of a broad range of higher education (HE) skills related UK policy documents to map the fluctuations in policy that underpin the opportunities for employers and universities to collaborate in the design and delivery of HE programmes in England, including degree apprenticeships.</w:t>
      </w:r>
    </w:p>
    <w:p w14:paraId="60143EF6" w14:textId="77777777" w:rsidR="00743385" w:rsidRPr="00743385" w:rsidRDefault="00743385" w:rsidP="00743385">
      <w:pPr>
        <w:spacing w:line="320" w:lineRule="exact"/>
        <w:rPr>
          <w:b/>
        </w:rPr>
      </w:pPr>
      <w:r w:rsidRPr="00743385">
        <w:rPr>
          <w:b/>
        </w:rPr>
        <w:t xml:space="preserve">Findings </w:t>
      </w:r>
      <w:r w:rsidRPr="00743385">
        <w:t>– It is noted that the approach to collaborative employer-university development signalled for degree apprenticeships described in policy documents unhelpfully perpetuates the presumed distinction between “academic learning” and “on the job training”. However, it is also concluded that despite this, the rationale for co-design and delivery should equally apply to the development of all higher apprenticeships to ensure that the expertise that universities can bring in designing and assessing higher-level learning is not unnecessarily excluded from the process.</w:t>
      </w:r>
    </w:p>
    <w:p w14:paraId="03C03D0F" w14:textId="77777777" w:rsidR="00743385" w:rsidRPr="00743385" w:rsidRDefault="00743385" w:rsidP="00743385">
      <w:pPr>
        <w:spacing w:line="320" w:lineRule="exact"/>
        <w:rPr>
          <w:b/>
        </w:rPr>
      </w:pPr>
      <w:r w:rsidRPr="00743385">
        <w:rPr>
          <w:b/>
        </w:rPr>
        <w:t xml:space="preserve">Originality/value </w:t>
      </w:r>
      <w:r w:rsidRPr="00743385">
        <w:t>– This paper provides value through its analysis of how the fluctuations of HE and skills policy has affected the basis upon which employers and universities can collaborate in the design and delivery of work-based HE including higher and degree apprenticeships in England. It also seeks to inform HE policy and practice in the development of employer-responsive provision.</w:t>
      </w:r>
    </w:p>
    <w:p w14:paraId="2DA4632C" w14:textId="0BF2E8B6" w:rsidR="00743385" w:rsidRPr="004E557D" w:rsidRDefault="00743385" w:rsidP="00743385">
      <w:pPr>
        <w:spacing w:line="320" w:lineRule="exact"/>
        <w:rPr>
          <w:b/>
        </w:rPr>
      </w:pPr>
      <w:r w:rsidRPr="00743385">
        <w:rPr>
          <w:b/>
        </w:rPr>
        <w:t>Keywords</w:t>
      </w:r>
      <w:r>
        <w:rPr>
          <w:b/>
        </w:rPr>
        <w:t>:</w:t>
      </w:r>
      <w:r w:rsidRPr="00743385">
        <w:rPr>
          <w:b/>
        </w:rPr>
        <w:t xml:space="preserve"> </w:t>
      </w:r>
      <w:r w:rsidRPr="00743385">
        <w:t>Workforce development, Work-based learning, Higher education policy, Employer-university collaboration, Higher and degree apprenticeships, Higher-level skills policy</w:t>
      </w:r>
    </w:p>
    <w:p w14:paraId="0A5135BB" w14:textId="77777777" w:rsidR="00F04BAD" w:rsidRPr="004E557D" w:rsidRDefault="00F04BAD" w:rsidP="005D6AC4">
      <w:pPr>
        <w:spacing w:line="320" w:lineRule="exact"/>
        <w:rPr>
          <w:b/>
        </w:rPr>
      </w:pPr>
    </w:p>
    <w:p w14:paraId="37F0624B" w14:textId="77777777" w:rsidR="00725EEE" w:rsidRPr="004E557D" w:rsidRDefault="00725EEE" w:rsidP="005D6AC4">
      <w:pPr>
        <w:spacing w:line="320" w:lineRule="exact"/>
        <w:rPr>
          <w:b/>
        </w:rPr>
      </w:pPr>
      <w:r w:rsidRPr="004E557D">
        <w:rPr>
          <w:b/>
        </w:rPr>
        <w:t>Introduction</w:t>
      </w:r>
    </w:p>
    <w:p w14:paraId="011C4AEE" w14:textId="37727205" w:rsidR="0042579F" w:rsidRPr="004E557D" w:rsidRDefault="0042579F" w:rsidP="0042579F">
      <w:pPr>
        <w:spacing w:line="320" w:lineRule="exact"/>
      </w:pPr>
      <w:r w:rsidRPr="004E557D">
        <w:t>U</w:t>
      </w:r>
      <w:r w:rsidR="00847890" w:rsidRPr="004E557D">
        <w:t xml:space="preserve">nited </w:t>
      </w:r>
      <w:r w:rsidRPr="004E557D">
        <w:t>K</w:t>
      </w:r>
      <w:r w:rsidR="00847890" w:rsidRPr="004E557D">
        <w:t>ingdom (UK)</w:t>
      </w:r>
      <w:r w:rsidRPr="004E557D">
        <w:t xml:space="preserve"> Government approaches to raising skills levels and encouraging employers to invest in their workforce are anything but new. </w:t>
      </w:r>
      <w:r w:rsidR="007A31A9" w:rsidRPr="004E557D">
        <w:t>S</w:t>
      </w:r>
      <w:r w:rsidR="003726AF" w:rsidRPr="004E557D">
        <w:t xml:space="preserve">trategies to encourage collaborative working between universities </w:t>
      </w:r>
      <w:r w:rsidR="005B0FAC" w:rsidRPr="004E557D">
        <w:t xml:space="preserve">(taken here as referring to all higher education </w:t>
      </w:r>
      <w:r w:rsidR="00790078" w:rsidRPr="004E557D">
        <w:t xml:space="preserve">(HE) </w:t>
      </w:r>
      <w:r w:rsidR="005B0FAC" w:rsidRPr="004E557D">
        <w:t xml:space="preserve">providers) </w:t>
      </w:r>
      <w:r w:rsidR="003726AF" w:rsidRPr="004E557D">
        <w:t>and employers have come and gone with some successes along the way</w:t>
      </w:r>
      <w:r w:rsidR="0026383A" w:rsidRPr="004E557D">
        <w:t xml:space="preserve"> (</w:t>
      </w:r>
      <w:r w:rsidR="00D34A74" w:rsidRPr="004E557D">
        <w:t>Little, 2005;</w:t>
      </w:r>
      <w:r w:rsidR="00635238" w:rsidRPr="004E557D">
        <w:t xml:space="preserve"> Birds, 2010;</w:t>
      </w:r>
      <w:r w:rsidR="00D34A74" w:rsidRPr="004E557D">
        <w:t xml:space="preserve"> </w:t>
      </w:r>
      <w:proofErr w:type="spellStart"/>
      <w:r w:rsidR="0026383A" w:rsidRPr="004E557D">
        <w:t>Kewin</w:t>
      </w:r>
      <w:proofErr w:type="spellEnd"/>
      <w:r w:rsidR="0026383A" w:rsidRPr="004E557D">
        <w:t xml:space="preserve"> et al, 2011</w:t>
      </w:r>
      <w:r w:rsidR="00635238" w:rsidRPr="004E557D">
        <w:t xml:space="preserve">; </w:t>
      </w:r>
      <w:proofErr w:type="spellStart"/>
      <w:r w:rsidR="00635238" w:rsidRPr="004E557D">
        <w:t>Hordern</w:t>
      </w:r>
      <w:proofErr w:type="spellEnd"/>
      <w:r w:rsidR="00635238" w:rsidRPr="004E557D">
        <w:t>, 2012, 2013</w:t>
      </w:r>
      <w:r w:rsidR="0026383A" w:rsidRPr="004E557D">
        <w:t>)</w:t>
      </w:r>
      <w:r w:rsidR="003726AF" w:rsidRPr="004E557D">
        <w:t xml:space="preserve">. However, none of these initiatives have brought about the major shift in cultural </w:t>
      </w:r>
      <w:r w:rsidR="00790078" w:rsidRPr="004E557D">
        <w:t>mind-set</w:t>
      </w:r>
      <w:r w:rsidR="003726AF" w:rsidRPr="004E557D">
        <w:t xml:space="preserve"> required to make employer investment in professional learning a standard expectation of being an employee. </w:t>
      </w:r>
      <w:r w:rsidRPr="004E557D">
        <w:t>In the shifting policy emphasis from ‘employer involvement’ in design and delivery of Foundation Degrees, through ‘demand-led’ workforce development initiatives to ‘employer ownership’ of skills and ‘employer design’ of Apprenticeship Standards the landscape of employer-university collaboration has been challenging for all parties to navigate.</w:t>
      </w:r>
    </w:p>
    <w:p w14:paraId="35734721" w14:textId="77777777" w:rsidR="0042579F" w:rsidRPr="004E557D" w:rsidRDefault="0042579F" w:rsidP="003726AF">
      <w:pPr>
        <w:spacing w:line="320" w:lineRule="exact"/>
      </w:pPr>
    </w:p>
    <w:p w14:paraId="331DFFE9" w14:textId="14151223" w:rsidR="003726AF" w:rsidRPr="004E557D" w:rsidRDefault="007932F2" w:rsidP="003726AF">
      <w:pPr>
        <w:spacing w:line="320" w:lineRule="exact"/>
        <w:rPr>
          <w:bCs/>
          <w:iCs/>
        </w:rPr>
      </w:pPr>
      <w:r w:rsidRPr="004E557D">
        <w:t>I</w:t>
      </w:r>
      <w:r w:rsidR="003726AF" w:rsidRPr="004E557D">
        <w:t>ndus</w:t>
      </w:r>
      <w:r w:rsidR="002D672D" w:rsidRPr="004E557D">
        <w:t xml:space="preserve">try levies have been </w:t>
      </w:r>
      <w:r w:rsidR="003726AF" w:rsidRPr="004E557D">
        <w:t xml:space="preserve">under pressure </w:t>
      </w:r>
      <w:r w:rsidR="004276E4" w:rsidRPr="004E557D">
        <w:t xml:space="preserve">for some time </w:t>
      </w:r>
      <w:r w:rsidR="003726AF" w:rsidRPr="004E557D">
        <w:t>to justify their continuation</w:t>
      </w:r>
      <w:r w:rsidR="00DF3354" w:rsidRPr="004E557D">
        <w:t xml:space="preserve"> (</w:t>
      </w:r>
      <w:proofErr w:type="spellStart"/>
      <w:r w:rsidR="0094530B" w:rsidRPr="004E557D">
        <w:t>Greenhalgh</w:t>
      </w:r>
      <w:proofErr w:type="spellEnd"/>
      <w:r w:rsidR="0094530B" w:rsidRPr="004E557D">
        <w:t xml:space="preserve">, 2002; </w:t>
      </w:r>
      <w:r w:rsidR="00B06050" w:rsidRPr="004E557D">
        <w:t>Abde</w:t>
      </w:r>
      <w:r w:rsidR="00DF3354" w:rsidRPr="004E557D">
        <w:t>l-</w:t>
      </w:r>
      <w:proofErr w:type="spellStart"/>
      <w:r w:rsidR="00DF3354" w:rsidRPr="004E557D">
        <w:t>Wahab</w:t>
      </w:r>
      <w:proofErr w:type="spellEnd"/>
      <w:r w:rsidR="00DF3354" w:rsidRPr="004E557D">
        <w:t xml:space="preserve"> et al, 2010)</w:t>
      </w:r>
      <w:r w:rsidR="003726AF" w:rsidRPr="004E557D">
        <w:t xml:space="preserve">, </w:t>
      </w:r>
      <w:r w:rsidRPr="004E557D">
        <w:t xml:space="preserve">however, </w:t>
      </w:r>
      <w:r w:rsidR="003726AF" w:rsidRPr="004E557D">
        <w:t xml:space="preserve">the </w:t>
      </w:r>
      <w:r w:rsidR="00032DEA" w:rsidRPr="004E557D">
        <w:t>introduction of the</w:t>
      </w:r>
      <w:r w:rsidR="003726AF" w:rsidRPr="004E557D">
        <w:t xml:space="preserve"> Apprenticeship Levy has the benefit of having a clear purpose at a macro economic level. The Apprenticeship Levy is explicitly positioned as the means to tackle head on the lack of willingness of UK employers to invest in higher level skills and workforce development which is perceived as a major barrier to enha</w:t>
      </w:r>
      <w:r w:rsidR="00032DEA" w:rsidRPr="004E557D">
        <w:t>ncing UK productivity</w:t>
      </w:r>
      <w:r w:rsidRPr="004E557D">
        <w:t xml:space="preserve"> (BIS, 2015)</w:t>
      </w:r>
      <w:r w:rsidR="00032DEA" w:rsidRPr="004E557D">
        <w:t xml:space="preserve">. Raising a projected </w:t>
      </w:r>
      <w:r w:rsidR="003726AF" w:rsidRPr="004E557D">
        <w:t>£3</w:t>
      </w:r>
      <w:r w:rsidR="00847890" w:rsidRPr="004E557D">
        <w:t>bn</w:t>
      </w:r>
      <w:r w:rsidR="003726AF" w:rsidRPr="004E557D">
        <w:t xml:space="preserve"> per year from large employers</w:t>
      </w:r>
      <w:r w:rsidR="00847890" w:rsidRPr="004E557D">
        <w:t xml:space="preserve"> (with a payroll of over £3m)</w:t>
      </w:r>
      <w:r w:rsidR="00F86F7E" w:rsidRPr="004E557D">
        <w:t>,</w:t>
      </w:r>
      <w:r w:rsidR="003726AF" w:rsidRPr="004E557D">
        <w:t xml:space="preserve"> </w:t>
      </w:r>
      <w:r w:rsidR="003A53E1" w:rsidRPr="004E557D">
        <w:t xml:space="preserve">it </w:t>
      </w:r>
      <w:r w:rsidR="003726AF" w:rsidRPr="004E557D">
        <w:t xml:space="preserve">has the potential to shift strategic workforce development to the centre stage for the first time. </w:t>
      </w:r>
      <w:r w:rsidR="00411FBB" w:rsidRPr="004E557D">
        <w:t>P</w:t>
      </w:r>
      <w:r w:rsidR="003726AF" w:rsidRPr="004E557D">
        <w:t xml:space="preserve">revious approaches such as the </w:t>
      </w:r>
      <w:r w:rsidR="003C75A6" w:rsidRPr="004E557D">
        <w:t>Higher Education Funding Council for England (</w:t>
      </w:r>
      <w:r w:rsidR="003726AF" w:rsidRPr="004E557D">
        <w:t>HEFCE</w:t>
      </w:r>
      <w:r w:rsidR="003C75A6" w:rsidRPr="004E557D">
        <w:t>)</w:t>
      </w:r>
      <w:r w:rsidR="003726AF" w:rsidRPr="004E557D">
        <w:t xml:space="preserve"> funded university led workforce development projects, the </w:t>
      </w:r>
      <w:r w:rsidR="003C75A6" w:rsidRPr="004E557D">
        <w:t>Skills Funding Agency (</w:t>
      </w:r>
      <w:proofErr w:type="spellStart"/>
      <w:r w:rsidR="003726AF" w:rsidRPr="004E557D">
        <w:t>SfA</w:t>
      </w:r>
      <w:proofErr w:type="spellEnd"/>
      <w:r w:rsidR="003C75A6" w:rsidRPr="004E557D">
        <w:t>)</w:t>
      </w:r>
      <w:r w:rsidR="003726AF" w:rsidRPr="004E557D">
        <w:t xml:space="preserve"> Higher Apprenticeship Development Fund or the </w:t>
      </w:r>
      <w:r w:rsidR="003C75A6" w:rsidRPr="004E557D">
        <w:t>UK Commission for Employment and Skills (</w:t>
      </w:r>
      <w:r w:rsidR="003726AF" w:rsidRPr="004E557D">
        <w:t>UKCES</w:t>
      </w:r>
      <w:r w:rsidR="003C75A6" w:rsidRPr="004E557D">
        <w:t>)</w:t>
      </w:r>
      <w:r w:rsidR="003726AF" w:rsidRPr="004E557D">
        <w:t xml:space="preserve"> Employer Ownership of Skills initiatives, are all perceived as insufficiently meeting employer needs. W</w:t>
      </w:r>
      <w:r w:rsidR="00CF3498" w:rsidRPr="004E557D">
        <w:t>hether it is the largely supply-</w:t>
      </w:r>
      <w:r w:rsidR="003726AF" w:rsidRPr="004E557D">
        <w:t>led approaches of the university sector, the complexities of mediated approval of apprenticeship</w:t>
      </w:r>
      <w:r w:rsidR="00051AC6" w:rsidRPr="004E557D">
        <w:t>s</w:t>
      </w:r>
      <w:r w:rsidR="003726AF" w:rsidRPr="004E557D">
        <w:t xml:space="preserve"> via </w:t>
      </w:r>
      <w:r w:rsidR="00D53ED1" w:rsidRPr="004E557D">
        <w:t>Sector Skills Council</w:t>
      </w:r>
      <w:r w:rsidR="003726AF" w:rsidRPr="004E557D">
        <w:t xml:space="preserve">s </w:t>
      </w:r>
      <w:r w:rsidR="00D53ED1" w:rsidRPr="004E557D">
        <w:t xml:space="preserve">(SSCs) </w:t>
      </w:r>
      <w:r w:rsidR="003726AF" w:rsidRPr="004E557D">
        <w:t xml:space="preserve">or the </w:t>
      </w:r>
      <w:r w:rsidR="003726AF" w:rsidRPr="004E557D">
        <w:rPr>
          <w:bCs/>
          <w:iCs/>
        </w:rPr>
        <w:t>bureaucratic irrationalities of HE/</w:t>
      </w:r>
      <w:r w:rsidR="00916672" w:rsidRPr="004E557D">
        <w:rPr>
          <w:bCs/>
          <w:iCs/>
        </w:rPr>
        <w:t>Further Education (</w:t>
      </w:r>
      <w:r w:rsidR="003726AF" w:rsidRPr="004E557D">
        <w:rPr>
          <w:bCs/>
          <w:iCs/>
        </w:rPr>
        <w:t>FE</w:t>
      </w:r>
      <w:r w:rsidR="00916672" w:rsidRPr="004E557D">
        <w:rPr>
          <w:bCs/>
          <w:iCs/>
        </w:rPr>
        <w:t>)</w:t>
      </w:r>
      <w:r w:rsidR="003726AF" w:rsidRPr="004E557D">
        <w:rPr>
          <w:bCs/>
          <w:iCs/>
        </w:rPr>
        <w:t xml:space="preserve"> funding regulations, </w:t>
      </w:r>
      <w:r w:rsidR="00CA122F" w:rsidRPr="004E557D">
        <w:rPr>
          <w:bCs/>
          <w:iCs/>
        </w:rPr>
        <w:t xml:space="preserve">arguably </w:t>
      </w:r>
      <w:r w:rsidR="003726AF" w:rsidRPr="004E557D">
        <w:rPr>
          <w:bCs/>
          <w:iCs/>
        </w:rPr>
        <w:t xml:space="preserve">none have sufficiently put the employer in the </w:t>
      </w:r>
      <w:proofErr w:type="gramStart"/>
      <w:r w:rsidR="003726AF" w:rsidRPr="004E557D">
        <w:rPr>
          <w:bCs/>
          <w:iCs/>
        </w:rPr>
        <w:t>purchaser driving</w:t>
      </w:r>
      <w:proofErr w:type="gramEnd"/>
      <w:r w:rsidR="003726AF" w:rsidRPr="004E557D">
        <w:rPr>
          <w:bCs/>
          <w:iCs/>
        </w:rPr>
        <w:t xml:space="preserve"> seat.</w:t>
      </w:r>
      <w:r w:rsidR="00D1708F" w:rsidRPr="004E557D">
        <w:rPr>
          <w:bCs/>
          <w:iCs/>
        </w:rPr>
        <w:t xml:space="preserve"> While many of the previous approaches have concentrated on the ‘pull’ of attempting to make sure that the education and training ‘product’ is appropriately related to employer need, the Apprenticeship Levy has the potential to provide the ‘push’ that has hither too been avoided.</w:t>
      </w:r>
    </w:p>
    <w:p w14:paraId="20EF6EAE" w14:textId="77777777" w:rsidR="003726AF" w:rsidRPr="004E557D" w:rsidRDefault="003726AF" w:rsidP="003726AF">
      <w:pPr>
        <w:spacing w:line="320" w:lineRule="exact"/>
        <w:rPr>
          <w:bCs/>
          <w:iCs/>
        </w:rPr>
      </w:pPr>
    </w:p>
    <w:p w14:paraId="7C23648D" w14:textId="402D80E8" w:rsidR="00513F13" w:rsidRPr="004E557D" w:rsidRDefault="003726AF" w:rsidP="003726AF">
      <w:pPr>
        <w:spacing w:line="320" w:lineRule="exact"/>
        <w:rPr>
          <w:b/>
        </w:rPr>
      </w:pPr>
      <w:r w:rsidRPr="004E557D">
        <w:rPr>
          <w:bCs/>
          <w:iCs/>
        </w:rPr>
        <w:t xml:space="preserve">This paper argues that it makes political sense for employers to be given the means to determine the ‘standards’ that they require as they are expected to pay for the expansion of apprentice numbers. It is also welcomed that the potential for integrating professional body requirements within Higher and Degree Apprenticeships has remained despite the major shift in approach </w:t>
      </w:r>
      <w:r w:rsidR="00854C6D" w:rsidRPr="004E557D">
        <w:rPr>
          <w:bCs/>
          <w:iCs/>
        </w:rPr>
        <w:t>f</w:t>
      </w:r>
      <w:r w:rsidR="003D7412" w:rsidRPr="004E557D">
        <w:rPr>
          <w:bCs/>
          <w:iCs/>
        </w:rPr>
        <w:t>rom</w:t>
      </w:r>
      <w:r w:rsidRPr="004E557D">
        <w:rPr>
          <w:bCs/>
          <w:iCs/>
        </w:rPr>
        <w:t xml:space="preserve"> Apprenticeship Frameworks to Standards. However, the paper also identifies a risk that much of the good work undertaken in aligning Higher Apprenticeships with university qualifications built into the revised 2013 Specification for Apprenticeship Standards in England </w:t>
      </w:r>
      <w:r w:rsidR="003C75A6" w:rsidRPr="004E557D">
        <w:rPr>
          <w:bCs/>
          <w:iCs/>
        </w:rPr>
        <w:t xml:space="preserve">(SASE) </w:t>
      </w:r>
      <w:r w:rsidR="007B1997" w:rsidRPr="004E557D">
        <w:rPr>
          <w:bCs/>
          <w:iCs/>
        </w:rPr>
        <w:t xml:space="preserve">(BIS, 2013) </w:t>
      </w:r>
      <w:r w:rsidRPr="004E557D">
        <w:rPr>
          <w:bCs/>
          <w:iCs/>
        </w:rPr>
        <w:t xml:space="preserve">could be lost if universities are not afforded the opportunity to collaborate with employers who are setting the standards. While the advent of Degree Apprenticeships opens the door for explicit </w:t>
      </w:r>
      <w:r w:rsidR="00B63273" w:rsidRPr="004E557D">
        <w:rPr>
          <w:bCs/>
          <w:iCs/>
        </w:rPr>
        <w:t>employer</w:t>
      </w:r>
      <w:r w:rsidRPr="004E557D">
        <w:rPr>
          <w:bCs/>
          <w:iCs/>
        </w:rPr>
        <w:t>-</w:t>
      </w:r>
      <w:r w:rsidR="00B63273" w:rsidRPr="004E557D">
        <w:rPr>
          <w:bCs/>
          <w:iCs/>
        </w:rPr>
        <w:t>university</w:t>
      </w:r>
      <w:r w:rsidRPr="004E557D">
        <w:rPr>
          <w:bCs/>
          <w:iCs/>
        </w:rPr>
        <w:t xml:space="preserve"> collaboration</w:t>
      </w:r>
      <w:r w:rsidR="00A13D5A" w:rsidRPr="004E557D">
        <w:rPr>
          <w:bCs/>
          <w:iCs/>
        </w:rPr>
        <w:t xml:space="preserve"> in England</w:t>
      </w:r>
      <w:r w:rsidRPr="004E557D">
        <w:rPr>
          <w:bCs/>
          <w:iCs/>
        </w:rPr>
        <w:t xml:space="preserve">, which is welcomed, the </w:t>
      </w:r>
      <w:r w:rsidR="00952457" w:rsidRPr="004E557D">
        <w:rPr>
          <w:bCs/>
          <w:iCs/>
        </w:rPr>
        <w:t xml:space="preserve">process </w:t>
      </w:r>
      <w:r w:rsidR="008D5F14" w:rsidRPr="004E557D">
        <w:rPr>
          <w:bCs/>
          <w:iCs/>
        </w:rPr>
        <w:t xml:space="preserve">of </w:t>
      </w:r>
      <w:r w:rsidRPr="004E557D">
        <w:rPr>
          <w:bCs/>
          <w:iCs/>
        </w:rPr>
        <w:t xml:space="preserve">development of non-full-Degree Higher </w:t>
      </w:r>
      <w:r w:rsidR="007E0573" w:rsidRPr="004E557D">
        <w:rPr>
          <w:bCs/>
          <w:iCs/>
        </w:rPr>
        <w:t>Apprenticeship Standards</w:t>
      </w:r>
      <w:r w:rsidRPr="004E557D">
        <w:rPr>
          <w:bCs/>
          <w:iCs/>
        </w:rPr>
        <w:t xml:space="preserve"> does not provide a space for automatic university involvement. </w:t>
      </w:r>
    </w:p>
    <w:p w14:paraId="6A815D04" w14:textId="77777777" w:rsidR="00B66BF5" w:rsidRPr="004E557D" w:rsidRDefault="00B66BF5" w:rsidP="005D6AC4">
      <w:pPr>
        <w:spacing w:line="320" w:lineRule="exact"/>
        <w:rPr>
          <w:b/>
        </w:rPr>
      </w:pPr>
    </w:p>
    <w:p w14:paraId="74D56F81" w14:textId="52954501" w:rsidR="00513F13" w:rsidRPr="004E557D" w:rsidRDefault="00CB097D" w:rsidP="005D6AC4">
      <w:pPr>
        <w:spacing w:line="320" w:lineRule="exact"/>
        <w:rPr>
          <w:b/>
        </w:rPr>
      </w:pPr>
      <w:r w:rsidRPr="004E557D">
        <w:rPr>
          <w:b/>
        </w:rPr>
        <w:t xml:space="preserve">Higher education </w:t>
      </w:r>
      <w:r w:rsidR="00032DEA" w:rsidRPr="004E557D">
        <w:rPr>
          <w:b/>
        </w:rPr>
        <w:t>responsive to the needs of industry</w:t>
      </w:r>
    </w:p>
    <w:p w14:paraId="1CF44183" w14:textId="0536FD87" w:rsidR="008F50BB" w:rsidRPr="004E557D" w:rsidRDefault="0026383A" w:rsidP="00191CA3">
      <w:pPr>
        <w:spacing w:line="320" w:lineRule="exact"/>
        <w:rPr>
          <w:bCs/>
        </w:rPr>
      </w:pPr>
      <w:r w:rsidRPr="004E557D">
        <w:t>E</w:t>
      </w:r>
      <w:r w:rsidR="005D6AC4" w:rsidRPr="004E557D">
        <w:t xml:space="preserve">ven if we restrict ourselves to fairly recent policy history, </w:t>
      </w:r>
      <w:r w:rsidRPr="004E557D">
        <w:t xml:space="preserve">as Birds (2010) has pointed out, </w:t>
      </w:r>
      <w:r w:rsidR="005D6AC4" w:rsidRPr="004E557D">
        <w:t xml:space="preserve">there is a track record of policy interventions since the Dearing Report </w:t>
      </w:r>
      <w:r w:rsidR="005D6AC4" w:rsidRPr="004E557D">
        <w:rPr>
          <w:i/>
        </w:rPr>
        <w:t>Higher Education in the Learning Society</w:t>
      </w:r>
      <w:r w:rsidR="005D6AC4" w:rsidRPr="004E557D">
        <w:t xml:space="preserve"> </w:t>
      </w:r>
      <w:r w:rsidR="005D6AC4" w:rsidRPr="004E557D">
        <w:rPr>
          <w:bCs/>
        </w:rPr>
        <w:t>(NCIHE 1997)</w:t>
      </w:r>
      <w:r w:rsidR="00870BCA" w:rsidRPr="004E557D">
        <w:rPr>
          <w:bCs/>
        </w:rPr>
        <w:t xml:space="preserve"> </w:t>
      </w:r>
      <w:r w:rsidR="00725EEE" w:rsidRPr="004E557D">
        <w:rPr>
          <w:bCs/>
        </w:rPr>
        <w:t xml:space="preserve">that </w:t>
      </w:r>
      <w:r w:rsidR="00A00E4A" w:rsidRPr="004E557D">
        <w:rPr>
          <w:bCs/>
        </w:rPr>
        <w:t xml:space="preserve">have </w:t>
      </w:r>
      <w:r w:rsidR="00725EEE" w:rsidRPr="004E557D">
        <w:rPr>
          <w:bCs/>
        </w:rPr>
        <w:t xml:space="preserve">sought </w:t>
      </w:r>
      <w:r w:rsidR="00AC5901" w:rsidRPr="004E557D">
        <w:rPr>
          <w:bCs/>
        </w:rPr>
        <w:t xml:space="preserve">to ensure that </w:t>
      </w:r>
      <w:r w:rsidR="00790078" w:rsidRPr="004E557D">
        <w:rPr>
          <w:bCs/>
        </w:rPr>
        <w:t>HE</w:t>
      </w:r>
      <w:r w:rsidR="00AC5901" w:rsidRPr="004E557D">
        <w:rPr>
          <w:bCs/>
        </w:rPr>
        <w:t xml:space="preserve"> is “responsive to the needs of industry and commerce” (NCIHE 1997, recommendation 38).</w:t>
      </w:r>
      <w:r w:rsidR="00575207" w:rsidRPr="004E557D">
        <w:rPr>
          <w:bCs/>
        </w:rPr>
        <w:t xml:space="preserve"> </w:t>
      </w:r>
      <w:r w:rsidR="00AC5901" w:rsidRPr="004E557D">
        <w:rPr>
          <w:bCs/>
        </w:rPr>
        <w:t>I</w:t>
      </w:r>
      <w:r w:rsidR="003B5E86" w:rsidRPr="004E557D">
        <w:rPr>
          <w:bCs/>
        </w:rPr>
        <w:t>n</w:t>
      </w:r>
      <w:r w:rsidR="00AC5901" w:rsidRPr="004E557D">
        <w:rPr>
          <w:bCs/>
        </w:rPr>
        <w:t xml:space="preserve"> following up on the Dearing Report recommendations for sub-degree qualifications, the </w:t>
      </w:r>
      <w:r w:rsidR="00D53ED1" w:rsidRPr="004E557D">
        <w:rPr>
          <w:bCs/>
        </w:rPr>
        <w:t>HEFCE</w:t>
      </w:r>
      <w:r w:rsidR="00AC5901" w:rsidRPr="004E557D">
        <w:rPr>
          <w:bCs/>
        </w:rPr>
        <w:t xml:space="preserve"> launched its </w:t>
      </w:r>
      <w:r w:rsidR="00AC5901" w:rsidRPr="004E557D">
        <w:rPr>
          <w:bCs/>
          <w:i/>
        </w:rPr>
        <w:t>Foundation Degree Prospectus</w:t>
      </w:r>
      <w:r w:rsidR="00AC5901" w:rsidRPr="004E557D">
        <w:rPr>
          <w:bCs/>
        </w:rPr>
        <w:t xml:space="preserve"> a few years later (HEFCE, 2000</w:t>
      </w:r>
      <w:r w:rsidR="003740F1" w:rsidRPr="004E557D">
        <w:rPr>
          <w:bCs/>
        </w:rPr>
        <w:t>/27</w:t>
      </w:r>
      <w:r w:rsidR="00AC5901" w:rsidRPr="004E557D">
        <w:rPr>
          <w:bCs/>
        </w:rPr>
        <w:t>).</w:t>
      </w:r>
      <w:r w:rsidR="00C36C69" w:rsidRPr="004E557D">
        <w:rPr>
          <w:bCs/>
        </w:rPr>
        <w:t xml:space="preserve"> The ‘essential features’ described included a requirement that employers were involved with the ‘design and regular review’ of the programmes, ‘recognition from employers and professional bodies’, involvement with ‘local organisations and national </w:t>
      </w:r>
      <w:proofErr w:type="spellStart"/>
      <w:r w:rsidR="00C36C69" w:rsidRPr="004E557D">
        <w:rPr>
          <w:bCs/>
        </w:rPr>
        <w:t>sectoral</w:t>
      </w:r>
      <w:proofErr w:type="spellEnd"/>
      <w:r w:rsidR="00C36C69" w:rsidRPr="004E557D">
        <w:rPr>
          <w:bCs/>
        </w:rPr>
        <w:t xml:space="preserve"> bodies, to establish demand’</w:t>
      </w:r>
      <w:r w:rsidR="00191CA3" w:rsidRPr="004E557D">
        <w:rPr>
          <w:bCs/>
        </w:rPr>
        <w:t>. In addition, the new Foundation Degree qualification</w:t>
      </w:r>
      <w:r w:rsidR="00C36C69" w:rsidRPr="004E557D">
        <w:rPr>
          <w:bCs/>
        </w:rPr>
        <w:t xml:space="preserve"> </w:t>
      </w:r>
      <w:r w:rsidR="00191CA3" w:rsidRPr="004E557D">
        <w:rPr>
          <w:bCs/>
        </w:rPr>
        <w:t xml:space="preserve">would also require the demonstration of skills applied in the workplace and work experience should be assessed </w:t>
      </w:r>
      <w:r w:rsidR="00C36C69" w:rsidRPr="004E557D">
        <w:rPr>
          <w:bCs/>
        </w:rPr>
        <w:t>(HEFCE, 2000/27</w:t>
      </w:r>
      <w:r w:rsidR="00191CA3" w:rsidRPr="004E557D">
        <w:rPr>
          <w:bCs/>
        </w:rPr>
        <w:t xml:space="preserve">, p7). Lastly, the Prospectus also </w:t>
      </w:r>
      <w:proofErr w:type="gramStart"/>
      <w:r w:rsidR="00191CA3" w:rsidRPr="004E557D">
        <w:rPr>
          <w:bCs/>
        </w:rPr>
        <w:t>stated that</w:t>
      </w:r>
      <w:proofErr w:type="gramEnd"/>
      <w:r w:rsidR="00191CA3" w:rsidRPr="004E557D">
        <w:rPr>
          <w:bCs/>
        </w:rPr>
        <w:t xml:space="preserve"> “it would be highly desirable</w:t>
      </w:r>
      <w:r w:rsidR="00191CA3" w:rsidRPr="004E557D">
        <w:rPr>
          <w:b/>
          <w:bCs/>
        </w:rPr>
        <w:t xml:space="preserve"> </w:t>
      </w:r>
      <w:r w:rsidR="00191CA3" w:rsidRPr="004E557D">
        <w:rPr>
          <w:bCs/>
        </w:rPr>
        <w:t>if employers took an active part in the delivery of fou</w:t>
      </w:r>
      <w:r w:rsidR="008305F5" w:rsidRPr="004E557D">
        <w:rPr>
          <w:bCs/>
        </w:rPr>
        <w:t>ndation degrees</w:t>
      </w:r>
      <w:r w:rsidR="00191CA3" w:rsidRPr="004E557D">
        <w:rPr>
          <w:bCs/>
        </w:rPr>
        <w:t xml:space="preserve">” (HEFCE, 2000/27, p8). </w:t>
      </w:r>
    </w:p>
    <w:p w14:paraId="50E2AB57" w14:textId="77777777" w:rsidR="008F50BB" w:rsidRPr="004E557D" w:rsidRDefault="008F50BB" w:rsidP="00191CA3">
      <w:pPr>
        <w:spacing w:line="320" w:lineRule="exact"/>
        <w:rPr>
          <w:bCs/>
        </w:rPr>
      </w:pPr>
    </w:p>
    <w:p w14:paraId="6B645D42" w14:textId="4DB7171C" w:rsidR="00191CA3" w:rsidRPr="004E557D" w:rsidRDefault="001968A6" w:rsidP="00191CA3">
      <w:pPr>
        <w:spacing w:line="320" w:lineRule="exact"/>
        <w:rPr>
          <w:bCs/>
        </w:rPr>
      </w:pPr>
      <w:r w:rsidRPr="004E557D">
        <w:rPr>
          <w:bCs/>
        </w:rPr>
        <w:t xml:space="preserve">Subsequently, the Quality Assurance Agency for Higher Education’s (QAA) requirement that all Foundation Degrees “are underpinned by work-based learning” (QAA, 2010, </w:t>
      </w:r>
      <w:proofErr w:type="spellStart"/>
      <w:r w:rsidRPr="004E557D">
        <w:rPr>
          <w:bCs/>
        </w:rPr>
        <w:t>para</w:t>
      </w:r>
      <w:proofErr w:type="spellEnd"/>
      <w:r w:rsidRPr="004E557D">
        <w:rPr>
          <w:bCs/>
        </w:rPr>
        <w:t xml:space="preserve">. 24), </w:t>
      </w:r>
      <w:r w:rsidR="008F50BB" w:rsidRPr="004E557D">
        <w:rPr>
          <w:bCs/>
        </w:rPr>
        <w:t>has also been identified as a key feature (</w:t>
      </w:r>
      <w:proofErr w:type="spellStart"/>
      <w:r w:rsidR="008F50BB" w:rsidRPr="004E557D">
        <w:rPr>
          <w:bCs/>
        </w:rPr>
        <w:t>Longhurst</w:t>
      </w:r>
      <w:proofErr w:type="spellEnd"/>
      <w:r w:rsidR="008F50BB" w:rsidRPr="004E557D">
        <w:rPr>
          <w:bCs/>
        </w:rPr>
        <w:t xml:space="preserve">, 2010) </w:t>
      </w:r>
      <w:r w:rsidR="00EE4429" w:rsidRPr="004E557D">
        <w:rPr>
          <w:bCs/>
        </w:rPr>
        <w:t>as it necessarily involves actual learning in the workplace rather than ‘work-related’ or simulated learning experiences</w:t>
      </w:r>
      <w:r w:rsidRPr="004E557D">
        <w:rPr>
          <w:bCs/>
        </w:rPr>
        <w:t>.</w:t>
      </w:r>
      <w:r w:rsidRPr="004E557D">
        <w:rPr>
          <w:b/>
          <w:bCs/>
        </w:rPr>
        <w:t xml:space="preserve"> </w:t>
      </w:r>
      <w:r w:rsidR="00CD1718" w:rsidRPr="004E557D">
        <w:rPr>
          <w:bCs/>
        </w:rPr>
        <w:t xml:space="preserve">It is this feature that provided the opportunity for employers to contribute directly to the delivery of this </w:t>
      </w:r>
      <w:r w:rsidR="008F50BB" w:rsidRPr="004E557D">
        <w:rPr>
          <w:bCs/>
        </w:rPr>
        <w:t>new work-based</w:t>
      </w:r>
      <w:r w:rsidR="00CD1718" w:rsidRPr="004E557D">
        <w:rPr>
          <w:bCs/>
        </w:rPr>
        <w:t xml:space="preserve"> qualification. </w:t>
      </w:r>
      <w:r w:rsidR="00191CA3" w:rsidRPr="004E557D">
        <w:rPr>
          <w:bCs/>
        </w:rPr>
        <w:t>While, it has been argued that the expectation for employers to be involved with the design and delivery of Foundation Degrees may not have</w:t>
      </w:r>
      <w:r w:rsidR="00DA3089" w:rsidRPr="004E557D">
        <w:rPr>
          <w:bCs/>
        </w:rPr>
        <w:t>,</w:t>
      </w:r>
      <w:r w:rsidR="00191CA3" w:rsidRPr="004E557D">
        <w:rPr>
          <w:bCs/>
        </w:rPr>
        <w:t xml:space="preserve"> in all cases</w:t>
      </w:r>
      <w:r w:rsidR="00DA3089" w:rsidRPr="004E557D">
        <w:rPr>
          <w:bCs/>
        </w:rPr>
        <w:t>,</w:t>
      </w:r>
      <w:r w:rsidR="00191CA3" w:rsidRPr="004E557D">
        <w:rPr>
          <w:bCs/>
        </w:rPr>
        <w:t xml:space="preserve"> been fully adhered to in practice (</w:t>
      </w:r>
      <w:r w:rsidR="00974C16" w:rsidRPr="004E557D">
        <w:rPr>
          <w:bCs/>
        </w:rPr>
        <w:t>Morgan et al</w:t>
      </w:r>
      <w:r w:rsidR="003D7412" w:rsidRPr="004E557D">
        <w:rPr>
          <w:bCs/>
        </w:rPr>
        <w:t>,</w:t>
      </w:r>
      <w:r w:rsidR="00974C16" w:rsidRPr="004E557D">
        <w:rPr>
          <w:bCs/>
        </w:rPr>
        <w:t xml:space="preserve"> 2004</w:t>
      </w:r>
      <w:r w:rsidR="00191CA3" w:rsidRPr="004E557D">
        <w:rPr>
          <w:bCs/>
        </w:rPr>
        <w:t xml:space="preserve">), it is clear that the policy intent </w:t>
      </w:r>
      <w:r w:rsidRPr="004E557D">
        <w:rPr>
          <w:bCs/>
        </w:rPr>
        <w:t>was</w:t>
      </w:r>
      <w:r w:rsidR="00191CA3" w:rsidRPr="004E557D">
        <w:rPr>
          <w:bCs/>
        </w:rPr>
        <w:t xml:space="preserve"> to encourage collaborative working between employers</w:t>
      </w:r>
      <w:r w:rsidR="00A00E4A" w:rsidRPr="004E557D">
        <w:rPr>
          <w:bCs/>
        </w:rPr>
        <w:t xml:space="preserve"> and </w:t>
      </w:r>
      <w:r w:rsidR="00790078" w:rsidRPr="004E557D">
        <w:rPr>
          <w:bCs/>
        </w:rPr>
        <w:t>HE</w:t>
      </w:r>
      <w:r w:rsidR="00A00E4A" w:rsidRPr="004E557D">
        <w:rPr>
          <w:bCs/>
        </w:rPr>
        <w:t xml:space="preserve"> providers</w:t>
      </w:r>
      <w:r w:rsidR="00CE7394" w:rsidRPr="004E557D">
        <w:rPr>
          <w:bCs/>
        </w:rPr>
        <w:t>.</w:t>
      </w:r>
      <w:r w:rsidR="00DE366C" w:rsidRPr="004E557D">
        <w:rPr>
          <w:bCs/>
        </w:rPr>
        <w:t xml:space="preserve"> Little (2005) has also argued that </w:t>
      </w:r>
      <w:r w:rsidR="0074410B" w:rsidRPr="004E557D">
        <w:rPr>
          <w:bCs/>
        </w:rPr>
        <w:t xml:space="preserve">the advent of students using the Foundation degree primarily as a stepping stone towards Honours degree qualification </w:t>
      </w:r>
      <w:r w:rsidR="00731739" w:rsidRPr="004E557D">
        <w:rPr>
          <w:bCs/>
        </w:rPr>
        <w:t xml:space="preserve">rather than entering the workplace, </w:t>
      </w:r>
      <w:r w:rsidR="0074410B" w:rsidRPr="004E557D">
        <w:rPr>
          <w:bCs/>
        </w:rPr>
        <w:t>undermined its efficacy from a skills policy perspective.</w:t>
      </w:r>
    </w:p>
    <w:p w14:paraId="52B3C23F" w14:textId="77777777" w:rsidR="00EE4429" w:rsidRPr="004E557D" w:rsidRDefault="00EE4429" w:rsidP="00191CA3">
      <w:pPr>
        <w:spacing w:line="320" w:lineRule="exact"/>
        <w:rPr>
          <w:bCs/>
        </w:rPr>
      </w:pPr>
    </w:p>
    <w:p w14:paraId="586B15C8" w14:textId="40B528C9" w:rsidR="00957CCB" w:rsidRPr="004E557D" w:rsidRDefault="00957CCB" w:rsidP="00191CA3">
      <w:pPr>
        <w:spacing w:line="320" w:lineRule="exact"/>
        <w:rPr>
          <w:b/>
          <w:bCs/>
        </w:rPr>
      </w:pPr>
      <w:r w:rsidRPr="004E557D">
        <w:rPr>
          <w:b/>
          <w:bCs/>
        </w:rPr>
        <w:t>The rise of the workforce development policy</w:t>
      </w:r>
      <w:r w:rsidR="00575207" w:rsidRPr="004E557D">
        <w:rPr>
          <w:b/>
          <w:bCs/>
        </w:rPr>
        <w:t xml:space="preserve"> and flexible higher education</w:t>
      </w:r>
    </w:p>
    <w:p w14:paraId="552FD73B" w14:textId="2BFF5370" w:rsidR="00EE4429" w:rsidRPr="004E557D" w:rsidRDefault="008B7B67" w:rsidP="00191CA3">
      <w:pPr>
        <w:spacing w:line="320" w:lineRule="exact"/>
        <w:rPr>
          <w:bCs/>
        </w:rPr>
      </w:pPr>
      <w:r w:rsidRPr="004E557D">
        <w:rPr>
          <w:bCs/>
        </w:rPr>
        <w:t xml:space="preserve">While the Lambert Review </w:t>
      </w:r>
      <w:r w:rsidR="000D7ADE" w:rsidRPr="004E557D">
        <w:rPr>
          <w:bCs/>
        </w:rPr>
        <w:t>(HM Treasury</w:t>
      </w:r>
      <w:r w:rsidR="002006B2" w:rsidRPr="004E557D">
        <w:rPr>
          <w:bCs/>
        </w:rPr>
        <w:t>,</w:t>
      </w:r>
      <w:r w:rsidR="000D7ADE" w:rsidRPr="004E557D">
        <w:rPr>
          <w:bCs/>
        </w:rPr>
        <w:t xml:space="preserve"> 2003) </w:t>
      </w:r>
      <w:r w:rsidRPr="004E557D">
        <w:rPr>
          <w:bCs/>
        </w:rPr>
        <w:t>identified</w:t>
      </w:r>
      <w:r w:rsidR="000D7ADE" w:rsidRPr="004E557D">
        <w:rPr>
          <w:bCs/>
        </w:rPr>
        <w:t xml:space="preserve"> the need for closer business-university</w:t>
      </w:r>
      <w:r w:rsidRPr="004E557D">
        <w:rPr>
          <w:bCs/>
        </w:rPr>
        <w:t xml:space="preserve"> collaboration</w:t>
      </w:r>
      <w:r w:rsidR="007115F5" w:rsidRPr="004E557D">
        <w:rPr>
          <w:bCs/>
        </w:rPr>
        <w:t xml:space="preserve"> in relation to research and ‘knowledge exchange’</w:t>
      </w:r>
      <w:r w:rsidR="00425D83" w:rsidRPr="004E557D">
        <w:rPr>
          <w:bCs/>
        </w:rPr>
        <w:t>, t</w:t>
      </w:r>
      <w:r w:rsidRPr="004E557D">
        <w:rPr>
          <w:bCs/>
        </w:rPr>
        <w:t xml:space="preserve">he </w:t>
      </w:r>
      <w:r w:rsidR="00EE4429" w:rsidRPr="004E557D">
        <w:rPr>
          <w:bCs/>
        </w:rPr>
        <w:t xml:space="preserve">theme of </w:t>
      </w:r>
      <w:r w:rsidRPr="004E557D">
        <w:rPr>
          <w:bCs/>
        </w:rPr>
        <w:t>higher-level skills was</w:t>
      </w:r>
      <w:r w:rsidR="00EE4429" w:rsidRPr="004E557D">
        <w:rPr>
          <w:bCs/>
        </w:rPr>
        <w:t xml:space="preserve"> </w:t>
      </w:r>
      <w:r w:rsidRPr="004E557D">
        <w:rPr>
          <w:bCs/>
        </w:rPr>
        <w:t>picked up in</w:t>
      </w:r>
      <w:r w:rsidR="00EE4429" w:rsidRPr="004E557D">
        <w:rPr>
          <w:bCs/>
        </w:rPr>
        <w:t xml:space="preserve"> the Government White Paper, </w:t>
      </w:r>
      <w:r w:rsidR="00EE4429" w:rsidRPr="004E557D">
        <w:rPr>
          <w:bCs/>
          <w:i/>
        </w:rPr>
        <w:t>The Future of Higher Education</w:t>
      </w:r>
      <w:r w:rsidR="00EE4429" w:rsidRPr="004E557D">
        <w:rPr>
          <w:bCs/>
        </w:rPr>
        <w:t xml:space="preserve"> (</w:t>
      </w:r>
      <w:proofErr w:type="spellStart"/>
      <w:r w:rsidR="00EE4429" w:rsidRPr="004E557D">
        <w:rPr>
          <w:bCs/>
        </w:rPr>
        <w:t>DfES</w:t>
      </w:r>
      <w:proofErr w:type="spellEnd"/>
      <w:r w:rsidR="00EE4429" w:rsidRPr="004E557D">
        <w:rPr>
          <w:bCs/>
        </w:rPr>
        <w:t xml:space="preserve">, 2003). The rationale for the expansion of </w:t>
      </w:r>
      <w:r w:rsidR="00870BCA" w:rsidRPr="004E557D">
        <w:rPr>
          <w:bCs/>
        </w:rPr>
        <w:t xml:space="preserve">HE </w:t>
      </w:r>
      <w:r w:rsidR="009D2E01" w:rsidRPr="004E557D">
        <w:rPr>
          <w:bCs/>
        </w:rPr>
        <w:t>was aligned with “the economy’s need for higher-level skills” indicating that “universities need strong links with business and the economy” (</w:t>
      </w:r>
      <w:proofErr w:type="spellStart"/>
      <w:r w:rsidR="009D2E01" w:rsidRPr="004E557D">
        <w:rPr>
          <w:bCs/>
        </w:rPr>
        <w:t>DfES</w:t>
      </w:r>
      <w:proofErr w:type="spellEnd"/>
      <w:r w:rsidR="009D2E01" w:rsidRPr="004E557D">
        <w:rPr>
          <w:bCs/>
        </w:rPr>
        <w:t xml:space="preserve">, 2003, p4). In addition to promoting the need for </w:t>
      </w:r>
      <w:r w:rsidR="00790078" w:rsidRPr="004E557D">
        <w:rPr>
          <w:bCs/>
        </w:rPr>
        <w:t>HE</w:t>
      </w:r>
      <w:r w:rsidR="009D2E01" w:rsidRPr="004E557D">
        <w:rPr>
          <w:bCs/>
        </w:rPr>
        <w:t xml:space="preserve"> providers to collaborate with employers to develop more Foundation Degrees and other ‘flexible courses’, the White Paper also saw a key role for </w:t>
      </w:r>
      <w:r w:rsidR="00854C6D" w:rsidRPr="004E557D">
        <w:rPr>
          <w:bCs/>
        </w:rPr>
        <w:t>SSC</w:t>
      </w:r>
      <w:r w:rsidR="009D2E01" w:rsidRPr="004E557D">
        <w:rPr>
          <w:bCs/>
        </w:rPr>
        <w:t>s. It stated that the U</w:t>
      </w:r>
      <w:r w:rsidR="001436C5" w:rsidRPr="004E557D">
        <w:rPr>
          <w:bCs/>
        </w:rPr>
        <w:t xml:space="preserve">K Government would support </w:t>
      </w:r>
      <w:r w:rsidR="00854C6D" w:rsidRPr="004E557D">
        <w:rPr>
          <w:bCs/>
        </w:rPr>
        <w:t>SSC</w:t>
      </w:r>
      <w:r w:rsidR="009D2E01" w:rsidRPr="004E557D">
        <w:rPr>
          <w:bCs/>
        </w:rPr>
        <w:t>s to “forge stronger alliances between businesses and relevant departments in universities and colleges”</w:t>
      </w:r>
      <w:r w:rsidR="001436C5" w:rsidRPr="004E557D">
        <w:rPr>
          <w:bCs/>
        </w:rPr>
        <w:t xml:space="preserve"> (</w:t>
      </w:r>
      <w:proofErr w:type="spellStart"/>
      <w:r w:rsidR="001436C5" w:rsidRPr="004E557D">
        <w:rPr>
          <w:bCs/>
        </w:rPr>
        <w:t>DfES</w:t>
      </w:r>
      <w:proofErr w:type="spellEnd"/>
      <w:r w:rsidR="001436C5" w:rsidRPr="004E557D">
        <w:rPr>
          <w:bCs/>
        </w:rPr>
        <w:t>, 2003, p7).</w:t>
      </w:r>
    </w:p>
    <w:p w14:paraId="76F5E2B4" w14:textId="77777777" w:rsidR="008305F5" w:rsidRPr="004E557D" w:rsidRDefault="008305F5" w:rsidP="00191CA3">
      <w:pPr>
        <w:spacing w:line="320" w:lineRule="exact"/>
        <w:rPr>
          <w:bCs/>
        </w:rPr>
      </w:pPr>
    </w:p>
    <w:p w14:paraId="52070EA6" w14:textId="74CC978A" w:rsidR="008305F5" w:rsidRPr="004E557D" w:rsidRDefault="008305F5" w:rsidP="00191CA3">
      <w:pPr>
        <w:spacing w:line="320" w:lineRule="exact"/>
        <w:rPr>
          <w:bCs/>
        </w:rPr>
      </w:pPr>
      <w:r w:rsidRPr="004E557D">
        <w:rPr>
          <w:bCs/>
        </w:rPr>
        <w:t>The Leitch Report (HM Treasury, 2006) again related the pro</w:t>
      </w:r>
      <w:r w:rsidR="002134EA" w:rsidRPr="004E557D">
        <w:rPr>
          <w:bCs/>
        </w:rPr>
        <w:t>sperity of the UK economy with the</w:t>
      </w:r>
      <w:r w:rsidRPr="004E557D">
        <w:rPr>
          <w:bCs/>
        </w:rPr>
        <w:t xml:space="preserve"> need to raise higher-level skills. In pointing out that </w:t>
      </w:r>
      <w:r w:rsidR="0084794C" w:rsidRPr="004E557D">
        <w:rPr>
          <w:bCs/>
        </w:rPr>
        <w:t>70</w:t>
      </w:r>
      <w:r w:rsidRPr="004E557D">
        <w:rPr>
          <w:bCs/>
        </w:rPr>
        <w:t xml:space="preserve">% of the UK workforce of 2020 had already (in 2006) left </w:t>
      </w:r>
      <w:r w:rsidR="0084794C" w:rsidRPr="004E557D">
        <w:rPr>
          <w:bCs/>
        </w:rPr>
        <w:t>compulsory</w:t>
      </w:r>
      <w:r w:rsidRPr="004E557D">
        <w:rPr>
          <w:bCs/>
        </w:rPr>
        <w:t xml:space="preserve"> education, Leitch argued that there was a clear need to raise the skills levels of those in work</w:t>
      </w:r>
      <w:r w:rsidR="0085601A" w:rsidRPr="004E557D">
        <w:rPr>
          <w:bCs/>
        </w:rPr>
        <w:t xml:space="preserve"> and proposed a target of 40% of adults </w:t>
      </w:r>
      <w:r w:rsidR="001C7257" w:rsidRPr="004E557D">
        <w:rPr>
          <w:bCs/>
        </w:rPr>
        <w:t xml:space="preserve">that </w:t>
      </w:r>
      <w:r w:rsidR="0085601A" w:rsidRPr="004E557D">
        <w:rPr>
          <w:bCs/>
        </w:rPr>
        <w:t xml:space="preserve">should be qualified to </w:t>
      </w:r>
      <w:r w:rsidR="00790078" w:rsidRPr="004E557D">
        <w:rPr>
          <w:bCs/>
        </w:rPr>
        <w:t>HE</w:t>
      </w:r>
      <w:r w:rsidR="0085601A" w:rsidRPr="004E557D">
        <w:rPr>
          <w:bCs/>
        </w:rPr>
        <w:t xml:space="preserve"> level by 2020. To achieve this target</w:t>
      </w:r>
      <w:r w:rsidR="00795310" w:rsidRPr="004E557D">
        <w:rPr>
          <w:bCs/>
        </w:rPr>
        <w:t>,</w:t>
      </w:r>
      <w:r w:rsidR="0085601A" w:rsidRPr="004E557D">
        <w:rPr>
          <w:bCs/>
        </w:rPr>
        <w:t xml:space="preserve"> the Report argued that partnerships would need to be forged between Government, employers and individuals to promote investment in the development of the workforce and that this would require an increase in employer engagement and workplace delivery.</w:t>
      </w:r>
      <w:r w:rsidR="0084794C" w:rsidRPr="004E557D">
        <w:rPr>
          <w:bCs/>
        </w:rPr>
        <w:t xml:space="preserve"> The engagement of employers in higher-level skills would, it w</w:t>
      </w:r>
      <w:r w:rsidR="00555A2A" w:rsidRPr="004E557D">
        <w:rPr>
          <w:bCs/>
        </w:rPr>
        <w:t xml:space="preserve">as </w:t>
      </w:r>
      <w:proofErr w:type="gramStart"/>
      <w:r w:rsidR="00555A2A" w:rsidRPr="004E557D">
        <w:rPr>
          <w:bCs/>
        </w:rPr>
        <w:t>proposed,</w:t>
      </w:r>
      <w:proofErr w:type="gramEnd"/>
      <w:r w:rsidR="00555A2A" w:rsidRPr="004E557D">
        <w:rPr>
          <w:bCs/>
        </w:rPr>
        <w:t xml:space="preserve"> bring about</w:t>
      </w:r>
      <w:r w:rsidR="0084794C" w:rsidRPr="004E557D">
        <w:rPr>
          <w:bCs/>
        </w:rPr>
        <w:t xml:space="preserve"> the provision</w:t>
      </w:r>
      <w:r w:rsidR="00555A2A" w:rsidRPr="004E557D">
        <w:rPr>
          <w:bCs/>
        </w:rPr>
        <w:t xml:space="preserve"> of ‘demand-led’ rather than ‘centrally planned’ education and training. The relationship between economic prosperity and the provision of higher-level skills can of course be questioned. Birds (2010) mounts a critique of the Leitch Report’s ‘unanalysed and oversimplified assumptions’ about the drivers for change and argues that unless the </w:t>
      </w:r>
      <w:r w:rsidR="0031184D" w:rsidRPr="004E557D">
        <w:rPr>
          <w:bCs/>
        </w:rPr>
        <w:t>relationship</w:t>
      </w:r>
      <w:r w:rsidR="00B105B7" w:rsidRPr="004E557D">
        <w:rPr>
          <w:bCs/>
        </w:rPr>
        <w:t>s</w:t>
      </w:r>
      <w:r w:rsidR="0031184D" w:rsidRPr="004E557D">
        <w:rPr>
          <w:bCs/>
        </w:rPr>
        <w:t xml:space="preserve"> between employers and universities </w:t>
      </w:r>
      <w:r w:rsidR="00795310" w:rsidRPr="004E557D">
        <w:rPr>
          <w:bCs/>
        </w:rPr>
        <w:t>are</w:t>
      </w:r>
      <w:r w:rsidR="0031184D" w:rsidRPr="004E557D">
        <w:rPr>
          <w:bCs/>
        </w:rPr>
        <w:t xml:space="preserve"> addressed that the Leitch recommendations </w:t>
      </w:r>
      <w:r w:rsidR="00E23013" w:rsidRPr="004E557D">
        <w:rPr>
          <w:bCs/>
        </w:rPr>
        <w:t>were</w:t>
      </w:r>
      <w:r w:rsidR="0031184D" w:rsidRPr="004E557D">
        <w:rPr>
          <w:bCs/>
        </w:rPr>
        <w:t xml:space="preserve"> unlikely to be realised.</w:t>
      </w:r>
    </w:p>
    <w:p w14:paraId="54C5A587" w14:textId="77777777" w:rsidR="00B00D8C" w:rsidRPr="004E557D" w:rsidRDefault="00B00D8C" w:rsidP="00191CA3">
      <w:pPr>
        <w:spacing w:line="320" w:lineRule="exact"/>
        <w:rPr>
          <w:bCs/>
        </w:rPr>
      </w:pPr>
    </w:p>
    <w:p w14:paraId="7EAF9281" w14:textId="01AF1016" w:rsidR="00D25EF7" w:rsidRPr="004E557D" w:rsidRDefault="002C0911" w:rsidP="00191CA3">
      <w:pPr>
        <w:spacing w:line="320" w:lineRule="exact"/>
        <w:rPr>
          <w:bCs/>
        </w:rPr>
      </w:pPr>
      <w:r w:rsidRPr="004E557D">
        <w:rPr>
          <w:bCs/>
        </w:rPr>
        <w:t>The UK Government’s response and plan to implement the Leitch Review</w:t>
      </w:r>
      <w:r w:rsidR="002A5DC4" w:rsidRPr="004E557D">
        <w:rPr>
          <w:bCs/>
        </w:rPr>
        <w:t xml:space="preserve"> entitled </w:t>
      </w:r>
      <w:r w:rsidRPr="004E557D">
        <w:rPr>
          <w:bCs/>
          <w:i/>
        </w:rPr>
        <w:t>World Class Skills</w:t>
      </w:r>
      <w:r w:rsidR="002A5DC4" w:rsidRPr="004E557D">
        <w:rPr>
          <w:bCs/>
          <w:i/>
        </w:rPr>
        <w:t xml:space="preserve"> </w:t>
      </w:r>
      <w:r w:rsidR="002A5DC4" w:rsidRPr="004E557D">
        <w:rPr>
          <w:bCs/>
        </w:rPr>
        <w:t>(</w:t>
      </w:r>
      <w:r w:rsidRPr="004E557D">
        <w:rPr>
          <w:bCs/>
        </w:rPr>
        <w:t>DIUS, 2007) described a broad range of policy initiatives designed to address the issues raise by Leitch</w:t>
      </w:r>
      <w:r w:rsidR="00D25EF7" w:rsidRPr="004E557D">
        <w:rPr>
          <w:bCs/>
        </w:rPr>
        <w:t xml:space="preserve">. </w:t>
      </w:r>
      <w:r w:rsidR="000A6904" w:rsidRPr="004E557D">
        <w:rPr>
          <w:bCs/>
          <w:i/>
        </w:rPr>
        <w:t>World Class Skills</w:t>
      </w:r>
      <w:r w:rsidR="000A6904" w:rsidRPr="004E557D">
        <w:rPr>
          <w:bCs/>
        </w:rPr>
        <w:t xml:space="preserve"> </w:t>
      </w:r>
      <w:r w:rsidR="002A5DC4" w:rsidRPr="004E557D">
        <w:rPr>
          <w:bCs/>
        </w:rPr>
        <w:t>signalled</w:t>
      </w:r>
      <w:r w:rsidR="000A6904" w:rsidRPr="004E557D">
        <w:rPr>
          <w:bCs/>
        </w:rPr>
        <w:t xml:space="preserve"> the need for vocational qualification reform and the introduction of new 14-19 Diplomas. It also indicated that </w:t>
      </w:r>
      <w:r w:rsidR="00854C6D" w:rsidRPr="004E557D">
        <w:rPr>
          <w:bCs/>
        </w:rPr>
        <w:t>SSC</w:t>
      </w:r>
      <w:r w:rsidR="000A6904" w:rsidRPr="004E557D">
        <w:rPr>
          <w:bCs/>
        </w:rPr>
        <w:t>s needed to be reformed and annou</w:t>
      </w:r>
      <w:r w:rsidR="007729D6" w:rsidRPr="004E557D">
        <w:rPr>
          <w:bCs/>
        </w:rPr>
        <w:t>nced the creation of the UKCES</w:t>
      </w:r>
      <w:r w:rsidR="00224F48" w:rsidRPr="004E557D">
        <w:rPr>
          <w:bCs/>
        </w:rPr>
        <w:t>. To support the achievement of basic or functional skills</w:t>
      </w:r>
      <w:r w:rsidR="00790078" w:rsidRPr="004E557D">
        <w:rPr>
          <w:bCs/>
        </w:rPr>
        <w:t>,</w:t>
      </w:r>
      <w:r w:rsidR="00224F48" w:rsidRPr="004E557D">
        <w:rPr>
          <w:bCs/>
        </w:rPr>
        <w:t xml:space="preserve"> </w:t>
      </w:r>
      <w:r w:rsidR="00224F48" w:rsidRPr="004E557D">
        <w:rPr>
          <w:bCs/>
          <w:i/>
        </w:rPr>
        <w:t>World Class Skills</w:t>
      </w:r>
      <w:r w:rsidR="00224F48" w:rsidRPr="004E557D">
        <w:rPr>
          <w:bCs/>
        </w:rPr>
        <w:t xml:space="preserve"> also promoted the voluntary ‘Skills Pledge’ and the ‘Train to Gain’ initiative designed to encourage employers to invest in the skills development of their employees.</w:t>
      </w:r>
      <w:r w:rsidR="009A47B3" w:rsidRPr="004E557D">
        <w:rPr>
          <w:bCs/>
        </w:rPr>
        <w:t xml:space="preserve"> </w:t>
      </w:r>
      <w:r w:rsidR="00400EE0" w:rsidRPr="004E557D">
        <w:rPr>
          <w:bCs/>
        </w:rPr>
        <w:t>It</w:t>
      </w:r>
      <w:r w:rsidR="00150814" w:rsidRPr="004E557D">
        <w:rPr>
          <w:bCs/>
        </w:rPr>
        <w:t xml:space="preserve"> proposed a review of the ‘apprenticeship blueprint’ that set the standards for apprenticeship frameworks to make sure it met the needs of employers and did not operate as a barrier to employer engagement. </w:t>
      </w:r>
      <w:r w:rsidR="00D25EF7" w:rsidRPr="004E557D">
        <w:rPr>
          <w:bCs/>
        </w:rPr>
        <w:t>In describing the need to address higher-level skills needs, the document stated that:</w:t>
      </w:r>
    </w:p>
    <w:p w14:paraId="47DED79C" w14:textId="77777777" w:rsidR="00D25EF7" w:rsidRPr="004E557D" w:rsidRDefault="00D25EF7" w:rsidP="00191CA3">
      <w:pPr>
        <w:spacing w:line="320" w:lineRule="exact"/>
        <w:rPr>
          <w:bCs/>
        </w:rPr>
      </w:pPr>
    </w:p>
    <w:p w14:paraId="4B026638" w14:textId="03FE5E06" w:rsidR="00D25EF7" w:rsidRPr="004E557D" w:rsidRDefault="00D25EF7" w:rsidP="00D25EF7">
      <w:pPr>
        <w:spacing w:line="320" w:lineRule="exact"/>
        <w:ind w:left="720"/>
        <w:rPr>
          <w:bCs/>
        </w:rPr>
      </w:pPr>
      <w:r w:rsidRPr="004E557D">
        <w:rPr>
          <w:bCs/>
        </w:rPr>
        <w:t>In creating the new Department for Innovation, Universities and Skills</w:t>
      </w:r>
      <w:r w:rsidR="007E1C92" w:rsidRPr="004E557D">
        <w:rPr>
          <w:bCs/>
        </w:rPr>
        <w:t xml:space="preserve"> [DIUS]</w:t>
      </w:r>
      <w:r w:rsidRPr="004E557D">
        <w:rPr>
          <w:bCs/>
        </w:rPr>
        <w:t>, we recognised that the UK needs to foster greater and more sustained engagement between universities, colleges and employers in training, skill development and innovation. This implies a culture change within HE as well as FE</w:t>
      </w:r>
      <w:r w:rsidR="008B0AA9" w:rsidRPr="004E557D">
        <w:rPr>
          <w:bCs/>
        </w:rPr>
        <w:t xml:space="preserve">. </w:t>
      </w:r>
      <w:r w:rsidRPr="004E557D">
        <w:rPr>
          <w:bCs/>
        </w:rPr>
        <w:t>(DIUS, 2007,p50)</w:t>
      </w:r>
    </w:p>
    <w:p w14:paraId="3618576C" w14:textId="77777777" w:rsidR="00D25EF7" w:rsidRPr="004E557D" w:rsidRDefault="00D25EF7" w:rsidP="00191CA3">
      <w:pPr>
        <w:spacing w:line="320" w:lineRule="exact"/>
        <w:rPr>
          <w:bCs/>
        </w:rPr>
      </w:pPr>
    </w:p>
    <w:p w14:paraId="51702C00" w14:textId="4972BE3A" w:rsidR="00D25EF7" w:rsidRPr="004E557D" w:rsidRDefault="00914ADF" w:rsidP="00914ADF">
      <w:pPr>
        <w:spacing w:line="320" w:lineRule="exact"/>
        <w:rPr>
          <w:bCs/>
        </w:rPr>
      </w:pPr>
      <w:r w:rsidRPr="004E557D">
        <w:rPr>
          <w:bCs/>
        </w:rPr>
        <w:t xml:space="preserve">The document acknowledged that many universities had “excellent working relationships with employers through their research and enterprise programmes” (DIUS, 2007, p50) but identified </w:t>
      </w:r>
      <w:r w:rsidR="001A0512" w:rsidRPr="004E557D">
        <w:rPr>
          <w:bCs/>
        </w:rPr>
        <w:t>that</w:t>
      </w:r>
      <w:r w:rsidRPr="004E557D">
        <w:rPr>
          <w:bCs/>
        </w:rPr>
        <w:t xml:space="preserve"> “all HE institutions need to grow their capacity to engage on a large scale with employers” (DIUS, 2007, p50). To address this perceived</w:t>
      </w:r>
      <w:r w:rsidR="00246AD5" w:rsidRPr="004E557D">
        <w:rPr>
          <w:bCs/>
        </w:rPr>
        <w:t xml:space="preserve"> need,</w:t>
      </w:r>
      <w:r w:rsidRPr="004E557D">
        <w:rPr>
          <w:bCs/>
        </w:rPr>
        <w:t xml:space="preserve"> </w:t>
      </w:r>
      <w:r w:rsidR="009A47B3" w:rsidRPr="004E557D">
        <w:rPr>
          <w:bCs/>
          <w:i/>
        </w:rPr>
        <w:t>World Class Skills</w:t>
      </w:r>
      <w:r w:rsidR="009A47B3" w:rsidRPr="004E557D">
        <w:rPr>
          <w:bCs/>
        </w:rPr>
        <w:t xml:space="preserve"> </w:t>
      </w:r>
      <w:r w:rsidRPr="004E557D">
        <w:rPr>
          <w:bCs/>
        </w:rPr>
        <w:t>announced</w:t>
      </w:r>
      <w:r w:rsidR="009A47B3" w:rsidRPr="004E557D">
        <w:rPr>
          <w:bCs/>
        </w:rPr>
        <w:t xml:space="preserve"> that the UK Government would support ‘Higher-level Skills Pathfinders’ in </w:t>
      </w:r>
      <w:r w:rsidR="00523EED" w:rsidRPr="004E557D">
        <w:rPr>
          <w:bCs/>
        </w:rPr>
        <w:t>the North West, North East and Sout</w:t>
      </w:r>
      <w:r w:rsidRPr="004E557D">
        <w:rPr>
          <w:bCs/>
        </w:rPr>
        <w:t xml:space="preserve">h West regions and </w:t>
      </w:r>
      <w:r w:rsidR="00D9729D" w:rsidRPr="004E557D">
        <w:rPr>
          <w:bCs/>
        </w:rPr>
        <w:t xml:space="preserve">would be funding ‘demand-led’ projects and making available </w:t>
      </w:r>
      <w:r w:rsidRPr="004E557D">
        <w:rPr>
          <w:bCs/>
        </w:rPr>
        <w:t xml:space="preserve">employer </w:t>
      </w:r>
      <w:r w:rsidR="00D9729D" w:rsidRPr="004E557D">
        <w:rPr>
          <w:bCs/>
        </w:rPr>
        <w:t xml:space="preserve">‘co-funded’ additional student numbers (ASNs) for </w:t>
      </w:r>
      <w:r w:rsidR="00790078" w:rsidRPr="004E557D">
        <w:rPr>
          <w:bCs/>
        </w:rPr>
        <w:t>HE</w:t>
      </w:r>
      <w:r w:rsidR="00D9729D" w:rsidRPr="004E557D">
        <w:rPr>
          <w:bCs/>
        </w:rPr>
        <w:t xml:space="preserve"> providers to encourage greater employer engagement in </w:t>
      </w:r>
      <w:r w:rsidR="00790078" w:rsidRPr="004E557D">
        <w:rPr>
          <w:bCs/>
        </w:rPr>
        <w:t>HE</w:t>
      </w:r>
      <w:r w:rsidR="00D9729D" w:rsidRPr="004E557D">
        <w:rPr>
          <w:bCs/>
        </w:rPr>
        <w:t>.</w:t>
      </w:r>
      <w:r w:rsidR="001B3A59" w:rsidRPr="004E557D">
        <w:rPr>
          <w:bCs/>
        </w:rPr>
        <w:t xml:space="preserve"> </w:t>
      </w:r>
    </w:p>
    <w:p w14:paraId="09B82543" w14:textId="77777777" w:rsidR="00914ADF" w:rsidRPr="004E557D" w:rsidRDefault="00914ADF" w:rsidP="00191CA3">
      <w:pPr>
        <w:spacing w:line="320" w:lineRule="exact"/>
        <w:rPr>
          <w:bCs/>
        </w:rPr>
      </w:pPr>
    </w:p>
    <w:p w14:paraId="5754D8D6" w14:textId="5069BF48" w:rsidR="00D25EF7" w:rsidRPr="004E557D" w:rsidRDefault="00D25EF7" w:rsidP="00191CA3">
      <w:pPr>
        <w:spacing w:line="320" w:lineRule="exact"/>
        <w:rPr>
          <w:bCs/>
        </w:rPr>
      </w:pPr>
      <w:r w:rsidRPr="004E557D">
        <w:rPr>
          <w:bCs/>
        </w:rPr>
        <w:t xml:space="preserve">At this time, although both apprenticeships and </w:t>
      </w:r>
      <w:r w:rsidR="0099426D" w:rsidRPr="004E557D">
        <w:rPr>
          <w:bCs/>
        </w:rPr>
        <w:t xml:space="preserve">other </w:t>
      </w:r>
      <w:r w:rsidRPr="004E557D">
        <w:rPr>
          <w:bCs/>
        </w:rPr>
        <w:t xml:space="preserve">significant higher-level skills policy initiatives are both included in </w:t>
      </w:r>
      <w:r w:rsidRPr="004E557D">
        <w:rPr>
          <w:bCs/>
          <w:i/>
        </w:rPr>
        <w:t>World Class Skills</w:t>
      </w:r>
      <w:r w:rsidRPr="004E557D">
        <w:rPr>
          <w:bCs/>
        </w:rPr>
        <w:t xml:space="preserve">, they are not explicitly related in the text. </w:t>
      </w:r>
      <w:r w:rsidR="00163485" w:rsidRPr="004E557D">
        <w:rPr>
          <w:bCs/>
        </w:rPr>
        <w:t>T</w:t>
      </w:r>
      <w:r w:rsidRPr="004E557D">
        <w:rPr>
          <w:bCs/>
        </w:rPr>
        <w:t xml:space="preserve">his </w:t>
      </w:r>
      <w:r w:rsidR="00FF7AF9" w:rsidRPr="004E557D">
        <w:rPr>
          <w:bCs/>
        </w:rPr>
        <w:t>may be</w:t>
      </w:r>
      <w:r w:rsidRPr="004E557D">
        <w:rPr>
          <w:bCs/>
        </w:rPr>
        <w:t xml:space="preserve"> because the apprenticeship system had been set up almost exclusively to support work-based further education (</w:t>
      </w:r>
      <w:r w:rsidR="00CB48CB" w:rsidRPr="004E557D">
        <w:rPr>
          <w:bCs/>
        </w:rPr>
        <w:t xml:space="preserve">at </w:t>
      </w:r>
      <w:r w:rsidRPr="004E557D">
        <w:rPr>
          <w:bCs/>
        </w:rPr>
        <w:t xml:space="preserve">levels 2-3) rather than (levels 4 to 8) </w:t>
      </w:r>
      <w:r w:rsidR="00AB5593" w:rsidRPr="004E557D">
        <w:rPr>
          <w:bCs/>
        </w:rPr>
        <w:t>at this point</w:t>
      </w:r>
      <w:r w:rsidRPr="004E557D">
        <w:rPr>
          <w:bCs/>
        </w:rPr>
        <w:t>.</w:t>
      </w:r>
    </w:p>
    <w:p w14:paraId="464699E4" w14:textId="77777777" w:rsidR="00A540B2" w:rsidRPr="004E557D" w:rsidRDefault="00A540B2" w:rsidP="00191CA3">
      <w:pPr>
        <w:spacing w:line="320" w:lineRule="exact"/>
        <w:rPr>
          <w:bCs/>
        </w:rPr>
      </w:pPr>
    </w:p>
    <w:p w14:paraId="23573183" w14:textId="31338451" w:rsidR="00C27B2F" w:rsidRPr="004E557D" w:rsidRDefault="00A540B2" w:rsidP="00191CA3">
      <w:pPr>
        <w:spacing w:line="320" w:lineRule="exact"/>
        <w:rPr>
          <w:bCs/>
        </w:rPr>
      </w:pPr>
      <w:r w:rsidRPr="004E557D">
        <w:rPr>
          <w:bCs/>
        </w:rPr>
        <w:t xml:space="preserve">During 2008, DIUS </w:t>
      </w:r>
      <w:r w:rsidR="00231256" w:rsidRPr="004E557D">
        <w:rPr>
          <w:bCs/>
        </w:rPr>
        <w:t xml:space="preserve">also </w:t>
      </w:r>
      <w:r w:rsidRPr="004E557D">
        <w:rPr>
          <w:bCs/>
        </w:rPr>
        <w:t>conducted a consultation with a</w:t>
      </w:r>
      <w:r w:rsidR="00EC3596" w:rsidRPr="004E557D">
        <w:rPr>
          <w:bCs/>
        </w:rPr>
        <w:t xml:space="preserve"> </w:t>
      </w:r>
      <w:r w:rsidRPr="004E557D">
        <w:rPr>
          <w:bCs/>
        </w:rPr>
        <w:t>broad range of stak</w:t>
      </w:r>
      <w:r w:rsidR="00C27B2F" w:rsidRPr="004E557D">
        <w:rPr>
          <w:bCs/>
        </w:rPr>
        <w:t>e</w:t>
      </w:r>
      <w:r w:rsidRPr="004E557D">
        <w:rPr>
          <w:bCs/>
        </w:rPr>
        <w:t xml:space="preserve">holders </w:t>
      </w:r>
      <w:r w:rsidR="00C27B2F" w:rsidRPr="004E557D">
        <w:rPr>
          <w:bCs/>
        </w:rPr>
        <w:t xml:space="preserve">to inform the UK Government’s higher-level skills strategy. </w:t>
      </w:r>
      <w:r w:rsidR="00A14F08" w:rsidRPr="004E557D">
        <w:rPr>
          <w:bCs/>
        </w:rPr>
        <w:t xml:space="preserve">The groups participating included: higher education institutions (HEIs); further education colleges; employers (including SMEs); students; employer, business or student organisations; government departments. </w:t>
      </w:r>
      <w:r w:rsidR="00AA00D0" w:rsidRPr="004E557D">
        <w:rPr>
          <w:bCs/>
        </w:rPr>
        <w:t xml:space="preserve">The report from the consultation, </w:t>
      </w:r>
      <w:r w:rsidR="00AA00D0" w:rsidRPr="004E557D">
        <w:rPr>
          <w:bCs/>
          <w:i/>
        </w:rPr>
        <w:t>Higher Education at Work</w:t>
      </w:r>
      <w:r w:rsidR="00AA00D0" w:rsidRPr="004E557D">
        <w:rPr>
          <w:bCs/>
        </w:rPr>
        <w:t xml:space="preserve"> (DIUS, 2008) stated that:</w:t>
      </w:r>
    </w:p>
    <w:p w14:paraId="14139D77" w14:textId="77777777" w:rsidR="001A638E" w:rsidRPr="004E557D" w:rsidRDefault="001A638E" w:rsidP="00C27B2F">
      <w:pPr>
        <w:spacing w:line="320" w:lineRule="exact"/>
        <w:ind w:left="720"/>
        <w:rPr>
          <w:bCs/>
        </w:rPr>
      </w:pPr>
    </w:p>
    <w:p w14:paraId="70B57058" w14:textId="03DC025B" w:rsidR="00C27B2F" w:rsidRPr="004E557D" w:rsidRDefault="00C27B2F" w:rsidP="00C27B2F">
      <w:pPr>
        <w:spacing w:line="320" w:lineRule="exact"/>
        <w:ind w:left="720"/>
        <w:rPr>
          <w:bCs/>
        </w:rPr>
      </w:pPr>
      <w:r w:rsidRPr="004E557D">
        <w:rPr>
          <w:bCs/>
        </w:rPr>
        <w:t xml:space="preserve">The Government’s </w:t>
      </w:r>
      <w:proofErr w:type="gramStart"/>
      <w:r w:rsidRPr="004E557D">
        <w:rPr>
          <w:bCs/>
        </w:rPr>
        <w:t>high level</w:t>
      </w:r>
      <w:proofErr w:type="gramEnd"/>
      <w:r w:rsidRPr="004E557D">
        <w:rPr>
          <w:bCs/>
        </w:rPr>
        <w:t xml:space="preserve"> skills strategy has two main goals: to generate more, and more employable, graduates (quality and quantity) and to raise the skills and capacity for innovation and enterprise of those already in the workforce</w:t>
      </w:r>
      <w:r w:rsidR="008B0AA9" w:rsidRPr="004E557D">
        <w:rPr>
          <w:bCs/>
        </w:rPr>
        <w:t>.</w:t>
      </w:r>
      <w:r w:rsidRPr="004E557D">
        <w:rPr>
          <w:bCs/>
        </w:rPr>
        <w:t xml:space="preserve"> (DIUS, 2008, p2)</w:t>
      </w:r>
    </w:p>
    <w:p w14:paraId="7BA3D6E0" w14:textId="77777777" w:rsidR="00C27B2F" w:rsidRPr="004E557D" w:rsidRDefault="00C27B2F" w:rsidP="00191CA3">
      <w:pPr>
        <w:spacing w:line="320" w:lineRule="exact"/>
        <w:rPr>
          <w:bCs/>
        </w:rPr>
      </w:pPr>
    </w:p>
    <w:p w14:paraId="1D8AA3B6" w14:textId="6F743E21" w:rsidR="00A540B2" w:rsidRPr="004E557D" w:rsidRDefault="00A94ED4" w:rsidP="00191CA3">
      <w:pPr>
        <w:spacing w:line="320" w:lineRule="exact"/>
        <w:rPr>
          <w:bCs/>
        </w:rPr>
      </w:pPr>
      <w:r w:rsidRPr="004E557D">
        <w:rPr>
          <w:bCs/>
        </w:rPr>
        <w:t xml:space="preserve">One of the themes from the consultation concerned fostering cooperation and collaboration between </w:t>
      </w:r>
      <w:r w:rsidR="00CA6107" w:rsidRPr="004E557D">
        <w:rPr>
          <w:bCs/>
        </w:rPr>
        <w:t>HEIs</w:t>
      </w:r>
      <w:r w:rsidRPr="004E557D">
        <w:rPr>
          <w:bCs/>
        </w:rPr>
        <w:t xml:space="preserve"> and employers</w:t>
      </w:r>
      <w:r w:rsidR="007C0CC9" w:rsidRPr="004E557D">
        <w:rPr>
          <w:bCs/>
        </w:rPr>
        <w:t xml:space="preserve"> (</w:t>
      </w:r>
      <w:proofErr w:type="spellStart"/>
      <w:r w:rsidR="007C0CC9" w:rsidRPr="004E557D">
        <w:rPr>
          <w:bCs/>
        </w:rPr>
        <w:t>Hordern</w:t>
      </w:r>
      <w:proofErr w:type="spellEnd"/>
      <w:r w:rsidR="007C0CC9" w:rsidRPr="004E557D">
        <w:rPr>
          <w:bCs/>
        </w:rPr>
        <w:t>, 2013)</w:t>
      </w:r>
      <w:r w:rsidRPr="004E557D">
        <w:rPr>
          <w:bCs/>
        </w:rPr>
        <w:t>.</w:t>
      </w:r>
      <w:r w:rsidR="00867EB2" w:rsidRPr="004E557D">
        <w:rPr>
          <w:bCs/>
        </w:rPr>
        <w:t xml:space="preserve"> The outcomes from the consultation identified that developing on</w:t>
      </w:r>
      <w:r w:rsidR="00077CBF" w:rsidRPr="004E557D">
        <w:rPr>
          <w:bCs/>
        </w:rPr>
        <w:t>-</w:t>
      </w:r>
      <w:r w:rsidR="00867EB2" w:rsidRPr="004E557D">
        <w:rPr>
          <w:bCs/>
        </w:rPr>
        <w:t xml:space="preserve">going working relationships between employers and HEIs would be preferable to the often </w:t>
      </w:r>
      <w:proofErr w:type="gramStart"/>
      <w:r w:rsidR="00867EB2" w:rsidRPr="004E557D">
        <w:rPr>
          <w:bCs/>
        </w:rPr>
        <w:t>‘transa</w:t>
      </w:r>
      <w:r w:rsidR="00BC41C9" w:rsidRPr="004E557D">
        <w:rPr>
          <w:bCs/>
        </w:rPr>
        <w:t>ctional’</w:t>
      </w:r>
      <w:proofErr w:type="gramEnd"/>
      <w:r w:rsidR="00BC41C9" w:rsidRPr="004E557D">
        <w:rPr>
          <w:bCs/>
        </w:rPr>
        <w:t xml:space="preserve"> nature of existing rela</w:t>
      </w:r>
      <w:r w:rsidR="00867EB2" w:rsidRPr="004E557D">
        <w:rPr>
          <w:bCs/>
        </w:rPr>
        <w:t>tionships</w:t>
      </w:r>
      <w:r w:rsidR="00372A47" w:rsidRPr="004E557D">
        <w:rPr>
          <w:bCs/>
        </w:rPr>
        <w:t xml:space="preserve"> (</w:t>
      </w:r>
      <w:proofErr w:type="spellStart"/>
      <w:r w:rsidR="00372A47" w:rsidRPr="004E557D">
        <w:rPr>
          <w:bCs/>
        </w:rPr>
        <w:t>Bruneel</w:t>
      </w:r>
      <w:proofErr w:type="spellEnd"/>
      <w:r w:rsidR="00372A47" w:rsidRPr="004E557D">
        <w:rPr>
          <w:bCs/>
        </w:rPr>
        <w:t xml:space="preserve"> et al, 2010)</w:t>
      </w:r>
      <w:r w:rsidR="00867EB2" w:rsidRPr="004E557D">
        <w:rPr>
          <w:bCs/>
        </w:rPr>
        <w:t xml:space="preserve">. The role of </w:t>
      </w:r>
      <w:r w:rsidR="005137B7" w:rsidRPr="004E557D">
        <w:rPr>
          <w:bCs/>
        </w:rPr>
        <w:t>SSC</w:t>
      </w:r>
      <w:r w:rsidR="00867EB2" w:rsidRPr="004E557D">
        <w:rPr>
          <w:bCs/>
        </w:rPr>
        <w:t xml:space="preserve">s received a mixed response but was thought ‘pivotal’ to </w:t>
      </w:r>
      <w:r w:rsidR="00BC41C9" w:rsidRPr="004E557D">
        <w:rPr>
          <w:bCs/>
        </w:rPr>
        <w:t xml:space="preserve">encouraging </w:t>
      </w:r>
      <w:r w:rsidR="00867EB2" w:rsidRPr="004E557D">
        <w:rPr>
          <w:bCs/>
        </w:rPr>
        <w:t>employer engagement</w:t>
      </w:r>
      <w:r w:rsidR="00BC41C9" w:rsidRPr="004E557D">
        <w:rPr>
          <w:bCs/>
        </w:rPr>
        <w:t>.</w:t>
      </w:r>
      <w:r w:rsidR="00AA00D0" w:rsidRPr="004E557D">
        <w:rPr>
          <w:bCs/>
        </w:rPr>
        <w:t xml:space="preserve"> The report identified that respondents thought it important that the </w:t>
      </w:r>
      <w:r w:rsidR="00790078" w:rsidRPr="004E557D">
        <w:rPr>
          <w:bCs/>
        </w:rPr>
        <w:t>HE</w:t>
      </w:r>
      <w:r w:rsidR="00AA00D0" w:rsidRPr="004E557D">
        <w:rPr>
          <w:bCs/>
        </w:rPr>
        <w:t xml:space="preserve"> sector</w:t>
      </w:r>
      <w:r w:rsidR="007458D6" w:rsidRPr="004E557D">
        <w:rPr>
          <w:bCs/>
        </w:rPr>
        <w:t xml:space="preserve"> ‘speak the language of employers’, identify a ‘single point of contact’ for employers, provide opportunities for employer delivery </w:t>
      </w:r>
      <w:r w:rsidR="00D17A91" w:rsidRPr="004E557D">
        <w:rPr>
          <w:bCs/>
        </w:rPr>
        <w:t xml:space="preserve">within </w:t>
      </w:r>
      <w:r w:rsidR="00790078" w:rsidRPr="004E557D">
        <w:rPr>
          <w:bCs/>
        </w:rPr>
        <w:t>HE</w:t>
      </w:r>
      <w:r w:rsidR="00D17A91" w:rsidRPr="004E557D">
        <w:rPr>
          <w:bCs/>
        </w:rPr>
        <w:t xml:space="preserve"> programmes, </w:t>
      </w:r>
      <w:r w:rsidR="007458D6" w:rsidRPr="004E557D">
        <w:rPr>
          <w:bCs/>
        </w:rPr>
        <w:t>secondments of HEI staff in industry</w:t>
      </w:r>
      <w:r w:rsidR="00D17A91" w:rsidRPr="004E557D">
        <w:rPr>
          <w:bCs/>
        </w:rPr>
        <w:t xml:space="preserve"> and </w:t>
      </w:r>
      <w:proofErr w:type="spellStart"/>
      <w:r w:rsidR="00D17A91" w:rsidRPr="004E557D">
        <w:rPr>
          <w:bCs/>
        </w:rPr>
        <w:t>upskill</w:t>
      </w:r>
      <w:proofErr w:type="spellEnd"/>
      <w:r w:rsidR="00D17A91" w:rsidRPr="004E557D">
        <w:rPr>
          <w:bCs/>
        </w:rPr>
        <w:t xml:space="preserve"> the HEI workforce “to be more responsive to employer need”  (DIUS, 2008, p4). </w:t>
      </w:r>
      <w:r w:rsidR="00F615DE" w:rsidRPr="004E557D">
        <w:rPr>
          <w:bCs/>
        </w:rPr>
        <w:t xml:space="preserve">This seemed </w:t>
      </w:r>
      <w:r w:rsidR="00F453E2" w:rsidRPr="004E557D">
        <w:rPr>
          <w:bCs/>
        </w:rPr>
        <w:t>to</w:t>
      </w:r>
      <w:r w:rsidR="00F615DE" w:rsidRPr="004E557D">
        <w:rPr>
          <w:bCs/>
        </w:rPr>
        <w:t xml:space="preserve"> indicate the need for more comprehensive collaborative arrangements between employers and universities to achieve the Government’s higher-level skills strategy goals</w:t>
      </w:r>
      <w:r w:rsidR="00F84284" w:rsidRPr="004E557D">
        <w:rPr>
          <w:bCs/>
        </w:rPr>
        <w:t xml:space="preserve"> through the ‘added value’ of public funding </w:t>
      </w:r>
      <w:r w:rsidR="00B571B3" w:rsidRPr="004E557D">
        <w:rPr>
          <w:bCs/>
        </w:rPr>
        <w:t xml:space="preserve">initiatives </w:t>
      </w:r>
      <w:r w:rsidR="00743385">
        <w:rPr>
          <w:bCs/>
        </w:rPr>
        <w:t>(Parsons and Rowe</w:t>
      </w:r>
      <w:r w:rsidR="00F84284" w:rsidRPr="004E557D">
        <w:rPr>
          <w:bCs/>
        </w:rPr>
        <w:t>, 2007)</w:t>
      </w:r>
      <w:r w:rsidR="00F615DE" w:rsidRPr="004E557D">
        <w:rPr>
          <w:bCs/>
        </w:rPr>
        <w:t>.</w:t>
      </w:r>
    </w:p>
    <w:p w14:paraId="4E608B64" w14:textId="77777777" w:rsidR="00A4365E" w:rsidRPr="004E557D" w:rsidRDefault="00A4365E" w:rsidP="00191CA3">
      <w:pPr>
        <w:spacing w:line="320" w:lineRule="exact"/>
        <w:rPr>
          <w:bCs/>
        </w:rPr>
      </w:pPr>
    </w:p>
    <w:p w14:paraId="68D05610" w14:textId="2F9ABF37" w:rsidR="00A4365E" w:rsidRPr="004E557D" w:rsidRDefault="00A4365E" w:rsidP="00191CA3">
      <w:pPr>
        <w:spacing w:line="320" w:lineRule="exact"/>
        <w:rPr>
          <w:bCs/>
        </w:rPr>
      </w:pPr>
      <w:r w:rsidRPr="004E557D">
        <w:rPr>
          <w:bCs/>
        </w:rPr>
        <w:t xml:space="preserve">The 2009 Government strategy document, </w:t>
      </w:r>
      <w:r w:rsidRPr="004E557D">
        <w:rPr>
          <w:bCs/>
          <w:i/>
        </w:rPr>
        <w:t>Higher Ambitions</w:t>
      </w:r>
      <w:r w:rsidRPr="004E557D">
        <w:rPr>
          <w:bCs/>
        </w:rPr>
        <w:t xml:space="preserve"> (</w:t>
      </w:r>
      <w:r w:rsidR="005005AC" w:rsidRPr="004E557D">
        <w:rPr>
          <w:bCs/>
        </w:rPr>
        <w:t>Department for Business Innovation and Skills (</w:t>
      </w:r>
      <w:r w:rsidRPr="004E557D">
        <w:rPr>
          <w:bCs/>
        </w:rPr>
        <w:t>BIS</w:t>
      </w:r>
      <w:r w:rsidR="005005AC" w:rsidRPr="004E557D">
        <w:rPr>
          <w:bCs/>
        </w:rPr>
        <w:t>)</w:t>
      </w:r>
      <w:r w:rsidR="00425D83" w:rsidRPr="004E557D">
        <w:rPr>
          <w:bCs/>
        </w:rPr>
        <w:t>,</w:t>
      </w:r>
      <w:r w:rsidRPr="004E557D">
        <w:rPr>
          <w:bCs/>
        </w:rPr>
        <w:t xml:space="preserve"> 2009)</w:t>
      </w:r>
      <w:r w:rsidR="00142015" w:rsidRPr="004E557D">
        <w:rPr>
          <w:bCs/>
        </w:rPr>
        <w:t xml:space="preserve"> positioned raising the qualifications of those in work to </w:t>
      </w:r>
      <w:r w:rsidR="00790078" w:rsidRPr="004E557D">
        <w:rPr>
          <w:bCs/>
        </w:rPr>
        <w:t>HE</w:t>
      </w:r>
      <w:r w:rsidR="00142015" w:rsidRPr="004E557D">
        <w:rPr>
          <w:bCs/>
        </w:rPr>
        <w:t xml:space="preserve"> level not only as of benefit to economic prosperity but also as a vehicle for </w:t>
      </w:r>
      <w:r w:rsidR="00D00CE2" w:rsidRPr="004E557D">
        <w:rPr>
          <w:bCs/>
        </w:rPr>
        <w:t>fair</w:t>
      </w:r>
      <w:r w:rsidR="00142015" w:rsidRPr="004E557D">
        <w:rPr>
          <w:bCs/>
        </w:rPr>
        <w:t xml:space="preserve"> access and </w:t>
      </w:r>
      <w:r w:rsidR="00D00CE2" w:rsidRPr="004E557D">
        <w:rPr>
          <w:bCs/>
        </w:rPr>
        <w:t xml:space="preserve">widening </w:t>
      </w:r>
      <w:r w:rsidR="00142015" w:rsidRPr="004E557D">
        <w:rPr>
          <w:bCs/>
        </w:rPr>
        <w:t xml:space="preserve">participation </w:t>
      </w:r>
      <w:r w:rsidR="00D00CE2" w:rsidRPr="004E557D">
        <w:rPr>
          <w:bCs/>
        </w:rPr>
        <w:t>in</w:t>
      </w:r>
      <w:r w:rsidR="00142015" w:rsidRPr="004E557D">
        <w:rPr>
          <w:bCs/>
        </w:rPr>
        <w:t xml:space="preserve"> </w:t>
      </w:r>
      <w:r w:rsidR="00790078" w:rsidRPr="004E557D">
        <w:rPr>
          <w:bCs/>
        </w:rPr>
        <w:t>HE</w:t>
      </w:r>
      <w:r w:rsidR="00142015" w:rsidRPr="004E557D">
        <w:rPr>
          <w:bCs/>
        </w:rPr>
        <w:t xml:space="preserve">. To do this, </w:t>
      </w:r>
      <w:r w:rsidR="00142015" w:rsidRPr="004E557D">
        <w:rPr>
          <w:bCs/>
          <w:i/>
        </w:rPr>
        <w:t>Higher Ambitions</w:t>
      </w:r>
      <w:r w:rsidR="00F04BAD" w:rsidRPr="004E557D">
        <w:rPr>
          <w:bCs/>
        </w:rPr>
        <w:t xml:space="preserve"> explicitly promoted</w:t>
      </w:r>
      <w:r w:rsidR="00142015" w:rsidRPr="004E557D">
        <w:rPr>
          <w:bCs/>
        </w:rPr>
        <w:t xml:space="preserve"> an increase in flexible approaches to </w:t>
      </w:r>
      <w:r w:rsidR="00790078" w:rsidRPr="004E557D">
        <w:rPr>
          <w:bCs/>
        </w:rPr>
        <w:t>HE</w:t>
      </w:r>
      <w:r w:rsidR="00142015" w:rsidRPr="004E557D">
        <w:rPr>
          <w:bCs/>
        </w:rPr>
        <w:t xml:space="preserve"> provision including</w:t>
      </w:r>
      <w:r w:rsidR="00D00CE2" w:rsidRPr="004E557D">
        <w:rPr>
          <w:bCs/>
        </w:rPr>
        <w:t xml:space="preserve"> increasing vocational Foundation Degrees</w:t>
      </w:r>
      <w:r w:rsidR="007F79C0" w:rsidRPr="004E557D">
        <w:rPr>
          <w:bCs/>
        </w:rPr>
        <w:t xml:space="preserve"> as well as </w:t>
      </w:r>
      <w:r w:rsidR="00D00CE2" w:rsidRPr="004E557D">
        <w:rPr>
          <w:bCs/>
        </w:rPr>
        <w:t xml:space="preserve">part-time and work-based </w:t>
      </w:r>
      <w:r w:rsidR="00790078" w:rsidRPr="004E557D">
        <w:rPr>
          <w:bCs/>
        </w:rPr>
        <w:t>HE</w:t>
      </w:r>
      <w:r w:rsidR="00D00CE2" w:rsidRPr="004E557D">
        <w:rPr>
          <w:bCs/>
        </w:rPr>
        <w:t>.</w:t>
      </w:r>
      <w:r w:rsidR="00AE5882" w:rsidRPr="004E557D">
        <w:rPr>
          <w:bCs/>
        </w:rPr>
        <w:t xml:space="preserve"> The strategy document proposed</w:t>
      </w:r>
      <w:r w:rsidR="00AC332A" w:rsidRPr="004E557D">
        <w:rPr>
          <w:bCs/>
        </w:rPr>
        <w:t xml:space="preserve"> a new role for UKCES in working with </w:t>
      </w:r>
      <w:r w:rsidR="00854C6D" w:rsidRPr="004E557D">
        <w:rPr>
          <w:bCs/>
        </w:rPr>
        <w:t>SSC</w:t>
      </w:r>
      <w:r w:rsidR="00AC332A" w:rsidRPr="004E557D">
        <w:rPr>
          <w:bCs/>
        </w:rPr>
        <w:t>s and Regional Development Agencies to identify sk</w:t>
      </w:r>
      <w:r w:rsidR="007F79C0" w:rsidRPr="004E557D">
        <w:rPr>
          <w:bCs/>
        </w:rPr>
        <w:t xml:space="preserve">ills gaps and more opportunities to progress to </w:t>
      </w:r>
      <w:r w:rsidR="00790078" w:rsidRPr="004E557D">
        <w:rPr>
          <w:bCs/>
        </w:rPr>
        <w:t>HE</w:t>
      </w:r>
      <w:r w:rsidR="007F79C0" w:rsidRPr="004E557D">
        <w:rPr>
          <w:bCs/>
        </w:rPr>
        <w:t xml:space="preserve"> level from apprenticeships and ‘technician level’ vocational qualifications. </w:t>
      </w:r>
      <w:r w:rsidR="007F79C0" w:rsidRPr="004E557D">
        <w:rPr>
          <w:bCs/>
          <w:i/>
        </w:rPr>
        <w:t xml:space="preserve">Higher Ambitions </w:t>
      </w:r>
      <w:r w:rsidR="00AE5882" w:rsidRPr="004E557D">
        <w:rPr>
          <w:bCs/>
        </w:rPr>
        <w:t>also promoted</w:t>
      </w:r>
      <w:r w:rsidR="007F79C0" w:rsidRPr="004E557D">
        <w:rPr>
          <w:bCs/>
        </w:rPr>
        <w:t xml:space="preserve"> business collaboration with universities as ‘active partners’ rather than ‘passive customers’.</w:t>
      </w:r>
    </w:p>
    <w:p w14:paraId="603E375F" w14:textId="77777777" w:rsidR="004A46C3" w:rsidRPr="004E557D" w:rsidRDefault="004A46C3" w:rsidP="00191CA3">
      <w:pPr>
        <w:spacing w:line="320" w:lineRule="exact"/>
        <w:rPr>
          <w:bCs/>
        </w:rPr>
      </w:pPr>
    </w:p>
    <w:p w14:paraId="4DDF2189" w14:textId="3C39A13A" w:rsidR="004A46C3" w:rsidRPr="004E557D" w:rsidRDefault="004A46C3" w:rsidP="004A46C3">
      <w:pPr>
        <w:spacing w:line="320" w:lineRule="exact"/>
        <w:ind w:left="720"/>
        <w:rPr>
          <w:bCs/>
        </w:rPr>
      </w:pPr>
      <w:r w:rsidRPr="004E557D">
        <w:rPr>
          <w:bCs/>
        </w:rPr>
        <w:t>As the key definers of the skills needs of our economy and the key beneficiaries of the skilled workers produced by higher education, businesses have a crucial role in the funding and design of programmes</w:t>
      </w:r>
      <w:r w:rsidR="008B0AA9" w:rsidRPr="004E557D">
        <w:rPr>
          <w:bCs/>
        </w:rPr>
        <w:t>.</w:t>
      </w:r>
      <w:r w:rsidRPr="004E557D">
        <w:rPr>
          <w:bCs/>
        </w:rPr>
        <w:t xml:space="preserve"> (BIS, 2009, p10)</w:t>
      </w:r>
    </w:p>
    <w:p w14:paraId="045AAAC9" w14:textId="77777777" w:rsidR="00AC5901" w:rsidRPr="004E557D" w:rsidRDefault="00AC5901" w:rsidP="005D6AC4">
      <w:pPr>
        <w:spacing w:line="320" w:lineRule="exact"/>
      </w:pPr>
    </w:p>
    <w:p w14:paraId="5E6B24A2" w14:textId="64028081" w:rsidR="00991F1C" w:rsidRPr="004E557D" w:rsidRDefault="0068167A" w:rsidP="005D6AC4">
      <w:pPr>
        <w:spacing w:line="320" w:lineRule="exact"/>
      </w:pPr>
      <w:r w:rsidRPr="004E557D">
        <w:t>The HEFCE ‘Higher Education Transforming Workforce Development</w:t>
      </w:r>
      <w:r w:rsidR="00341127" w:rsidRPr="004E557D">
        <w:t xml:space="preserve"> Programme’ signalled in </w:t>
      </w:r>
      <w:r w:rsidR="00341127" w:rsidRPr="004E557D">
        <w:rPr>
          <w:i/>
        </w:rPr>
        <w:t>World Class Skills</w:t>
      </w:r>
      <w:r w:rsidRPr="004E557D">
        <w:t xml:space="preserve"> (DIUS, 2007)</w:t>
      </w:r>
      <w:r w:rsidR="002327FD" w:rsidRPr="004E557D">
        <w:t xml:space="preserve"> included Gove</w:t>
      </w:r>
      <w:r w:rsidR="006A49B9" w:rsidRPr="004E557D">
        <w:t>rnment investment of £103m in thirty-seven</w:t>
      </w:r>
      <w:r w:rsidR="002327FD" w:rsidRPr="004E557D">
        <w:t xml:space="preserve"> workforce d</w:t>
      </w:r>
      <w:r w:rsidR="006A49B9" w:rsidRPr="004E557D">
        <w:t>evelopment projects, £11.8m in three</w:t>
      </w:r>
      <w:r w:rsidR="002327FD" w:rsidRPr="004E557D">
        <w:t xml:space="preserve"> regional Higher-level Skills Pathfinders and £48m in support of </w:t>
      </w:r>
      <w:r w:rsidR="001E4AC9" w:rsidRPr="004E557D">
        <w:t xml:space="preserve">employer co-funded </w:t>
      </w:r>
      <w:r w:rsidR="00790078" w:rsidRPr="004E557D">
        <w:t>HE</w:t>
      </w:r>
      <w:r w:rsidR="001E4AC9" w:rsidRPr="004E557D">
        <w:t xml:space="preserve"> students (</w:t>
      </w:r>
      <w:proofErr w:type="spellStart"/>
      <w:r w:rsidR="001E4AC9" w:rsidRPr="004E557D">
        <w:t>Kewin</w:t>
      </w:r>
      <w:proofErr w:type="spellEnd"/>
      <w:r w:rsidR="001E4AC9" w:rsidRPr="004E557D">
        <w:t xml:space="preserve"> et al</w:t>
      </w:r>
      <w:r w:rsidR="000D155B" w:rsidRPr="004E557D">
        <w:t>,</w:t>
      </w:r>
      <w:r w:rsidR="001E4AC9" w:rsidRPr="004E557D">
        <w:t xml:space="preserve"> 2011).</w:t>
      </w:r>
      <w:r w:rsidR="004A4B89" w:rsidRPr="004E557D">
        <w:t xml:space="preserve"> The HEFCE </w:t>
      </w:r>
      <w:proofErr w:type="gramStart"/>
      <w:r w:rsidR="004A4B89" w:rsidRPr="004E557D">
        <w:t>programme was initiated by</w:t>
      </w:r>
      <w:r w:rsidR="009D2D6E" w:rsidRPr="004E557D">
        <w:t xml:space="preserve"> the HEFCE Grant Letter</w:t>
      </w:r>
      <w:proofErr w:type="gramEnd"/>
      <w:r w:rsidR="009D2D6E" w:rsidRPr="004E557D">
        <w:t xml:space="preserve"> </w:t>
      </w:r>
      <w:r w:rsidR="00054BF9" w:rsidRPr="004E557D">
        <w:t>for</w:t>
      </w:r>
      <w:r w:rsidR="009D2D6E" w:rsidRPr="004E557D">
        <w:t xml:space="preserve"> 2007-8</w:t>
      </w:r>
      <w:r w:rsidR="00BD2777" w:rsidRPr="004E557D">
        <w:t>,</w:t>
      </w:r>
      <w:r w:rsidR="009D2D6E" w:rsidRPr="004E557D">
        <w:t xml:space="preserve"> which asked HEFCE to establish a “new relationship between higher education and employers” (HEFCE CL</w:t>
      </w:r>
      <w:r w:rsidR="000D155B" w:rsidRPr="004E557D">
        <w:t>,</w:t>
      </w:r>
      <w:r w:rsidR="009D2D6E" w:rsidRPr="004E557D">
        <w:t xml:space="preserve"> 03/2008) and deliver 5,000 </w:t>
      </w:r>
      <w:r w:rsidR="00790078" w:rsidRPr="004E557D">
        <w:t>HE</w:t>
      </w:r>
      <w:r w:rsidR="009D2D6E" w:rsidRPr="004E557D">
        <w:t xml:space="preserve"> places that were part funded by employers. </w:t>
      </w:r>
      <w:r w:rsidR="00787BC9" w:rsidRPr="004E557D">
        <w:t xml:space="preserve">The evaluation of the HEFCE Workforce Development Programme </w:t>
      </w:r>
      <w:r w:rsidR="00CC522C" w:rsidRPr="004E557D">
        <w:t>identified that significant success had been achieved in meeting the objectives set by Government but</w:t>
      </w:r>
      <w:r w:rsidR="00787BC9" w:rsidRPr="004E557D">
        <w:t xml:space="preserve"> </w:t>
      </w:r>
      <w:r w:rsidR="00CC522C" w:rsidRPr="004E557D">
        <w:t xml:space="preserve">also </w:t>
      </w:r>
      <w:r w:rsidR="00787BC9" w:rsidRPr="004E557D">
        <w:t>recommended that</w:t>
      </w:r>
      <w:r w:rsidR="00CC522C" w:rsidRPr="004E557D">
        <w:t>:</w:t>
      </w:r>
      <w:r w:rsidR="00787BC9" w:rsidRPr="004E557D">
        <w:t xml:space="preserve"> </w:t>
      </w:r>
    </w:p>
    <w:p w14:paraId="50843B4E" w14:textId="77777777" w:rsidR="00787BC9" w:rsidRPr="004E557D" w:rsidRDefault="00787BC9" w:rsidP="005D6AC4">
      <w:pPr>
        <w:spacing w:line="320" w:lineRule="exact"/>
      </w:pPr>
    </w:p>
    <w:p w14:paraId="7BE3F979" w14:textId="2A52FE54" w:rsidR="00787BC9" w:rsidRPr="004E557D" w:rsidRDefault="00787BC9" w:rsidP="00787BC9">
      <w:pPr>
        <w:spacing w:line="320" w:lineRule="exact"/>
        <w:ind w:left="720"/>
      </w:pPr>
      <w:r w:rsidRPr="004E557D">
        <w:t>HEIs should approach working with employers as a collaborative venture and engage in a dialogue to better understand the nature of their business and the challenges they face.</w:t>
      </w:r>
      <w:r w:rsidR="009A1C89" w:rsidRPr="004E557D">
        <w:t>..</w:t>
      </w:r>
      <w:r w:rsidRPr="004E557D">
        <w:t>It will require a shift away from the ‘product push’ approach that HEIs have tested in the past by bringing together the HEI’s wider employer offer (applied and near-market research, consultancy, education and training, graduate recruitment, etc.) as many have begun to explore</w:t>
      </w:r>
      <w:r w:rsidR="008B0AA9" w:rsidRPr="004E557D">
        <w:t>.</w:t>
      </w:r>
      <w:r w:rsidRPr="004E557D">
        <w:t xml:space="preserve"> (</w:t>
      </w:r>
      <w:proofErr w:type="spellStart"/>
      <w:r w:rsidRPr="004E557D">
        <w:t>Kewin</w:t>
      </w:r>
      <w:proofErr w:type="spellEnd"/>
      <w:r w:rsidRPr="004E557D">
        <w:t xml:space="preserve"> et al, 2011, p118)</w:t>
      </w:r>
    </w:p>
    <w:p w14:paraId="77E0784C" w14:textId="77777777" w:rsidR="004B7A81" w:rsidRPr="004E557D" w:rsidRDefault="004B7A81" w:rsidP="007F15BA">
      <w:pPr>
        <w:spacing w:line="320" w:lineRule="exact"/>
        <w:rPr>
          <w:b/>
        </w:rPr>
      </w:pPr>
    </w:p>
    <w:p w14:paraId="7E4B7451" w14:textId="48218E3B" w:rsidR="00957CCB" w:rsidRPr="004E557D" w:rsidRDefault="001235B4" w:rsidP="007F15BA">
      <w:pPr>
        <w:spacing w:line="320" w:lineRule="exact"/>
        <w:rPr>
          <w:b/>
        </w:rPr>
      </w:pPr>
      <w:r w:rsidRPr="004E557D">
        <w:rPr>
          <w:b/>
        </w:rPr>
        <w:t>A new focus on fees</w:t>
      </w:r>
      <w:r w:rsidR="00957CCB" w:rsidRPr="004E557D">
        <w:rPr>
          <w:b/>
        </w:rPr>
        <w:t xml:space="preserve"> </w:t>
      </w:r>
      <w:r w:rsidR="002D75AA" w:rsidRPr="004E557D">
        <w:rPr>
          <w:b/>
        </w:rPr>
        <w:t>and the demands of students</w:t>
      </w:r>
    </w:p>
    <w:p w14:paraId="036D5799" w14:textId="20DCF136" w:rsidR="007F15BA" w:rsidRPr="004E557D" w:rsidRDefault="007F15BA" w:rsidP="007F15BA">
      <w:pPr>
        <w:spacing w:line="320" w:lineRule="exact"/>
      </w:pPr>
      <w:r w:rsidRPr="004E557D">
        <w:t>However, the significant progress that had been made in this regard was undermined by a change in pol</w:t>
      </w:r>
      <w:r w:rsidR="004A63EE" w:rsidRPr="004E557D">
        <w:t>icy with the advent of the new c</w:t>
      </w:r>
      <w:r w:rsidRPr="004E557D">
        <w:t>oalition Government in 2010</w:t>
      </w:r>
      <w:r w:rsidR="00F44BDD" w:rsidRPr="004E557D">
        <w:t xml:space="preserve">, as signalled in </w:t>
      </w:r>
      <w:r w:rsidR="00F44BDD" w:rsidRPr="004E557D">
        <w:rPr>
          <w:i/>
        </w:rPr>
        <w:t>Skills for Sustainable Growth</w:t>
      </w:r>
      <w:r w:rsidR="0003328B" w:rsidRPr="004E557D">
        <w:t xml:space="preserve"> (BIS, 2010). This new </w:t>
      </w:r>
      <w:r w:rsidR="00276B15" w:rsidRPr="004E557D">
        <w:t xml:space="preserve">Government </w:t>
      </w:r>
      <w:r w:rsidR="0003328B" w:rsidRPr="004E557D">
        <w:t xml:space="preserve">direction removed the workforce qualification level targets established by the previous administration and </w:t>
      </w:r>
      <w:r w:rsidR="00A3036B" w:rsidRPr="004E557D">
        <w:t>the employer co-funded model was dropped. T</w:t>
      </w:r>
      <w:r w:rsidR="0003328B" w:rsidRPr="004E557D">
        <w:t xml:space="preserve">he emphasis </w:t>
      </w:r>
      <w:r w:rsidR="00A3036B" w:rsidRPr="004E557D">
        <w:t xml:space="preserve">in the report shifted </w:t>
      </w:r>
      <w:r w:rsidR="0003328B" w:rsidRPr="004E557D">
        <w:t xml:space="preserve">strongly towards apprenticeships, mostly </w:t>
      </w:r>
      <w:r w:rsidR="00303AEA" w:rsidRPr="004E557D">
        <w:t>prioritising</w:t>
      </w:r>
      <w:r w:rsidR="0003328B" w:rsidRPr="004E557D">
        <w:t xml:space="preserve"> </w:t>
      </w:r>
      <w:r w:rsidR="004A63EE" w:rsidRPr="004E557D">
        <w:t>level 3</w:t>
      </w:r>
      <w:r w:rsidR="007C6F2E" w:rsidRPr="004E557D">
        <w:t xml:space="preserve"> but </w:t>
      </w:r>
      <w:r w:rsidR="0054641F" w:rsidRPr="004E557D">
        <w:t>also</w:t>
      </w:r>
      <w:r w:rsidR="0003328B" w:rsidRPr="004E557D">
        <w:t xml:space="preserve"> </w:t>
      </w:r>
      <w:r w:rsidR="00303AEA" w:rsidRPr="004E557D">
        <w:t>progression opportunities for “further learning at higher levels including, but not exclusively, Level 4 Apprenticeships” (BIS, 2010, p18)</w:t>
      </w:r>
      <w:r w:rsidR="0003328B" w:rsidRPr="004E557D">
        <w:t>.</w:t>
      </w:r>
      <w:r w:rsidR="002105C2" w:rsidRPr="004E557D">
        <w:t xml:space="preserve"> The report identified that </w:t>
      </w:r>
      <w:r w:rsidR="00790078" w:rsidRPr="004E557D">
        <w:t>SSC</w:t>
      </w:r>
      <w:r w:rsidR="002105C2" w:rsidRPr="004E557D">
        <w:t>s should work with provider</w:t>
      </w:r>
      <w:r w:rsidR="003C702A" w:rsidRPr="004E557D">
        <w:t>s</w:t>
      </w:r>
      <w:r w:rsidR="002105C2" w:rsidRPr="004E557D">
        <w:t xml:space="preserve"> of </w:t>
      </w:r>
      <w:r w:rsidR="00790078" w:rsidRPr="004E557D">
        <w:t>HE</w:t>
      </w:r>
      <w:r w:rsidR="002105C2" w:rsidRPr="004E557D">
        <w:t xml:space="preserve"> to ensure there were ‘clear ladder</w:t>
      </w:r>
      <w:r w:rsidR="00F3438C" w:rsidRPr="004E557D">
        <w:t>s</w:t>
      </w:r>
      <w:r w:rsidR="002105C2" w:rsidRPr="004E557D">
        <w:t xml:space="preserve"> of progression’ and that this was likely to re</w:t>
      </w:r>
      <w:r w:rsidR="00740E74" w:rsidRPr="004E557D">
        <w:t>quire ‘more flexible provision’. T</w:t>
      </w:r>
      <w:r w:rsidR="002105C2" w:rsidRPr="004E557D">
        <w:t>he document emphasised “internships, work experience opportunities and fully integrated work place training”</w:t>
      </w:r>
      <w:r w:rsidR="002539F7" w:rsidRPr="004E557D">
        <w:t xml:space="preserve"> (BIS, 2010, p19) as examples of </w:t>
      </w:r>
      <w:r w:rsidR="00F922AA" w:rsidRPr="004E557D">
        <w:t>what such flexibility might look like</w:t>
      </w:r>
      <w:r w:rsidR="002539F7" w:rsidRPr="004E557D">
        <w:t>.</w:t>
      </w:r>
    </w:p>
    <w:p w14:paraId="26A27283" w14:textId="77777777" w:rsidR="004A63EE" w:rsidRPr="004E557D" w:rsidRDefault="004A63EE" w:rsidP="007F15BA">
      <w:pPr>
        <w:spacing w:line="320" w:lineRule="exact"/>
      </w:pPr>
    </w:p>
    <w:p w14:paraId="07FD32CC" w14:textId="7EE05C9A" w:rsidR="00B91280" w:rsidRPr="004E557D" w:rsidRDefault="00AA410E" w:rsidP="007F15BA">
      <w:pPr>
        <w:spacing w:line="320" w:lineRule="exact"/>
      </w:pPr>
      <w:r w:rsidRPr="004E557D">
        <w:t>At the same time that higher-level ‘workforce development’ was dropped</w:t>
      </w:r>
      <w:r w:rsidR="0068780C" w:rsidRPr="004E557D">
        <w:t>,</w:t>
      </w:r>
      <w:r w:rsidRPr="004E557D">
        <w:t xml:space="preserve"> the skills agenda focussed on apprenticeships, which were at the time not perceived to be</w:t>
      </w:r>
      <w:r w:rsidR="00C02A87" w:rsidRPr="004E557D">
        <w:t xml:space="preserve"> particularly relevant to the provision </w:t>
      </w:r>
      <w:r w:rsidR="00DE6331" w:rsidRPr="004E557D">
        <w:t xml:space="preserve">of </w:t>
      </w:r>
      <w:r w:rsidR="00790078" w:rsidRPr="004E557D">
        <w:t>HE</w:t>
      </w:r>
      <w:r w:rsidR="00C02A87" w:rsidRPr="004E557D">
        <w:t xml:space="preserve"> by most universities</w:t>
      </w:r>
      <w:r w:rsidR="002438DB" w:rsidRPr="004E557D">
        <w:t xml:space="preserve"> (</w:t>
      </w:r>
      <w:r w:rsidR="002329AE">
        <w:t>Anderson et al, 2012</w:t>
      </w:r>
      <w:r w:rsidR="002438DB" w:rsidRPr="004E557D">
        <w:t>)</w:t>
      </w:r>
      <w:r w:rsidR="00C02A87" w:rsidRPr="004E557D">
        <w:t>. The result was a vacuum of policy incentives for universities to work collaboratively with employers beyond those relationships that had previously been established.</w:t>
      </w:r>
      <w:r w:rsidR="00B35726" w:rsidRPr="004E557D">
        <w:t xml:space="preserve"> </w:t>
      </w:r>
      <w:r w:rsidR="00A23DB6" w:rsidRPr="004E557D">
        <w:t>In any case, the prime preoccupation for universities in 2010 was the outcomes of the Brown</w:t>
      </w:r>
      <w:r w:rsidR="00390652" w:rsidRPr="004E557D">
        <w:t>e</w:t>
      </w:r>
      <w:r w:rsidR="00A23DB6" w:rsidRPr="004E557D">
        <w:t xml:space="preserve"> </w:t>
      </w:r>
      <w:r w:rsidR="00B01258" w:rsidRPr="004E557D">
        <w:t>Review</w:t>
      </w:r>
      <w:r w:rsidR="00EB47D9" w:rsidRPr="004E557D">
        <w:t xml:space="preserve"> into</w:t>
      </w:r>
      <w:r w:rsidR="00A23DB6" w:rsidRPr="004E557D">
        <w:t xml:space="preserve"> </w:t>
      </w:r>
      <w:r w:rsidR="00790078" w:rsidRPr="004E557D">
        <w:t>HE</w:t>
      </w:r>
      <w:r w:rsidR="00A23DB6" w:rsidRPr="004E557D">
        <w:t xml:space="preserve"> funding and student finance,</w:t>
      </w:r>
      <w:r w:rsidR="00A23DB6" w:rsidRPr="004E557D">
        <w:rPr>
          <w:i/>
        </w:rPr>
        <w:t xml:space="preserve"> Securing a Sustainable Future for Higher Education</w:t>
      </w:r>
      <w:r w:rsidR="00A23DB6" w:rsidRPr="004E557D">
        <w:t xml:space="preserve"> (</w:t>
      </w:r>
      <w:r w:rsidR="00AF7D0E" w:rsidRPr="004E557D">
        <w:rPr>
          <w:iCs/>
        </w:rPr>
        <w:t>Browne</w:t>
      </w:r>
      <w:r w:rsidR="00A23DB6" w:rsidRPr="004E557D">
        <w:t>, 2010)</w:t>
      </w:r>
      <w:r w:rsidR="00A4365E" w:rsidRPr="004E557D">
        <w:t>.</w:t>
      </w:r>
      <w:r w:rsidR="00A23DB6" w:rsidRPr="004E557D">
        <w:t xml:space="preserve"> </w:t>
      </w:r>
    </w:p>
    <w:p w14:paraId="66E9A982" w14:textId="77777777" w:rsidR="00B91280" w:rsidRPr="004E557D" w:rsidRDefault="00B91280" w:rsidP="007F15BA">
      <w:pPr>
        <w:spacing w:line="320" w:lineRule="exact"/>
      </w:pPr>
    </w:p>
    <w:p w14:paraId="0EADA51A" w14:textId="1808A2D1" w:rsidR="00A23DB6" w:rsidRPr="004E557D" w:rsidRDefault="00D27CC2" w:rsidP="007F15BA">
      <w:pPr>
        <w:spacing w:line="320" w:lineRule="exact"/>
      </w:pPr>
      <w:r w:rsidRPr="004E557D">
        <w:t xml:space="preserve">In paving the way for </w:t>
      </w:r>
      <w:r w:rsidR="00EB47D9" w:rsidRPr="004E557D">
        <w:t xml:space="preserve">a major change in the funding of </w:t>
      </w:r>
      <w:r w:rsidR="00790078" w:rsidRPr="004E557D">
        <w:t>HE</w:t>
      </w:r>
      <w:r w:rsidR="00EB47D9" w:rsidRPr="004E557D">
        <w:t xml:space="preserve">, </w:t>
      </w:r>
      <w:r w:rsidR="00390652" w:rsidRPr="004E557D">
        <w:t>the Browne</w:t>
      </w:r>
      <w:r w:rsidR="00EB47D9" w:rsidRPr="004E557D">
        <w:t xml:space="preserve"> </w:t>
      </w:r>
      <w:r w:rsidR="00B01258" w:rsidRPr="004E557D">
        <w:t>Review</w:t>
      </w:r>
      <w:r w:rsidR="00EB47D9" w:rsidRPr="004E557D">
        <w:t xml:space="preserve"> proposed that </w:t>
      </w:r>
      <w:r w:rsidRPr="004E557D">
        <w:t xml:space="preserve">individual students, as the main beneficiaries of </w:t>
      </w:r>
      <w:r w:rsidR="00790078" w:rsidRPr="004E557D">
        <w:t>HE</w:t>
      </w:r>
      <w:r w:rsidRPr="004E557D">
        <w:t>, bear the majority of the cost</w:t>
      </w:r>
      <w:r w:rsidR="00EB47D9" w:rsidRPr="004E557D">
        <w:t xml:space="preserve">. </w:t>
      </w:r>
      <w:r w:rsidR="004D4CF0" w:rsidRPr="004E557D">
        <w:t>T</w:t>
      </w:r>
      <w:r w:rsidR="00CB30D7" w:rsidRPr="004E557D">
        <w:t xml:space="preserve">he </w:t>
      </w:r>
      <w:r w:rsidR="00EB47D9" w:rsidRPr="004E557D">
        <w:t xml:space="preserve">Browne </w:t>
      </w:r>
      <w:r w:rsidR="00B01258" w:rsidRPr="004E557D">
        <w:t>Review</w:t>
      </w:r>
      <w:r w:rsidR="004D4CF0" w:rsidRPr="004E557D">
        <w:t xml:space="preserve"> refer</w:t>
      </w:r>
      <w:r w:rsidR="00EF271A" w:rsidRPr="004E557D">
        <w:t>r</w:t>
      </w:r>
      <w:r w:rsidR="0079796B" w:rsidRPr="004E557D">
        <w:t>ed</w:t>
      </w:r>
      <w:r w:rsidR="004D4CF0" w:rsidRPr="004E557D">
        <w:t xml:space="preserve"> to UKCES evidence that the current </w:t>
      </w:r>
      <w:r w:rsidR="00790078" w:rsidRPr="004E557D">
        <w:t>HE</w:t>
      </w:r>
      <w:r w:rsidR="004D4CF0" w:rsidRPr="004E557D">
        <w:t xml:space="preserve"> system </w:t>
      </w:r>
      <w:r w:rsidR="00061AFF" w:rsidRPr="004E557D">
        <w:t>was</w:t>
      </w:r>
      <w:r w:rsidR="004D4CF0" w:rsidRPr="004E557D">
        <w:t xml:space="preserve"> not meeting th</w:t>
      </w:r>
      <w:r w:rsidR="009A31D2" w:rsidRPr="004E557D">
        <w:t>e skills needs of business and the</w:t>
      </w:r>
      <w:r w:rsidR="004D4CF0" w:rsidRPr="004E557D">
        <w:t xml:space="preserve"> “need for a closer fit between what is taught in higher education and the skills needed in the economy” (</w:t>
      </w:r>
      <w:r w:rsidR="00E028FC" w:rsidRPr="004E557D">
        <w:rPr>
          <w:iCs/>
        </w:rPr>
        <w:t>Browne</w:t>
      </w:r>
      <w:r w:rsidR="004D4CF0" w:rsidRPr="004E557D">
        <w:t>, 2010, p23)</w:t>
      </w:r>
      <w:r w:rsidR="00D06071" w:rsidRPr="004E557D">
        <w:t xml:space="preserve"> but did</w:t>
      </w:r>
      <w:r w:rsidRPr="004E557D">
        <w:t xml:space="preserve"> not recommend compelling businesses to invest more in </w:t>
      </w:r>
      <w:r w:rsidR="00790078" w:rsidRPr="004E557D">
        <w:t>HE</w:t>
      </w:r>
      <w:r w:rsidR="00231BD2" w:rsidRPr="004E557D">
        <w:t xml:space="preserve">. The rationale for this stance </w:t>
      </w:r>
      <w:r w:rsidR="00AC32A4" w:rsidRPr="004E557D">
        <w:t>was</w:t>
      </w:r>
      <w:r w:rsidR="00231BD2" w:rsidRPr="004E557D">
        <w:t xml:space="preserve"> that such a move would detract from placing ‘students at the heart of the system’ because employers would expect a </w:t>
      </w:r>
      <w:r w:rsidR="007A5075" w:rsidRPr="004E557D">
        <w:t>return on their investment</w:t>
      </w:r>
      <w:r w:rsidR="00AC32A4" w:rsidRPr="004E557D">
        <w:t>,</w:t>
      </w:r>
      <w:r w:rsidR="007A5075" w:rsidRPr="004E557D">
        <w:t xml:space="preserve"> or as the Report states:</w:t>
      </w:r>
    </w:p>
    <w:p w14:paraId="1751AF6E" w14:textId="77777777" w:rsidR="00231BD2" w:rsidRPr="004E557D" w:rsidRDefault="00231BD2" w:rsidP="007F15BA">
      <w:pPr>
        <w:spacing w:line="320" w:lineRule="exact"/>
      </w:pPr>
    </w:p>
    <w:p w14:paraId="782F528C" w14:textId="4CF3A8DE" w:rsidR="00231BD2" w:rsidRPr="004E557D" w:rsidRDefault="00231BD2" w:rsidP="00231BD2">
      <w:pPr>
        <w:spacing w:line="320" w:lineRule="exact"/>
        <w:ind w:left="720"/>
      </w:pPr>
      <w:r w:rsidRPr="004E557D">
        <w:t>Asking businesses to contribute through a new tax is also likely to mean that the higher education system will have to be more responsive to their demands; and there is a risk that these may displace the choices made by students</w:t>
      </w:r>
      <w:r w:rsidR="000D155B" w:rsidRPr="004E557D">
        <w:t>.</w:t>
      </w:r>
      <w:r w:rsidRPr="004E557D">
        <w:t xml:space="preserve"> (</w:t>
      </w:r>
      <w:r w:rsidR="00E028FC" w:rsidRPr="004E557D">
        <w:rPr>
          <w:iCs/>
        </w:rPr>
        <w:t>Browne</w:t>
      </w:r>
      <w:r w:rsidRPr="004E557D">
        <w:t>, 2010, p54)</w:t>
      </w:r>
    </w:p>
    <w:p w14:paraId="08DF6AA9" w14:textId="77777777" w:rsidR="00747D09" w:rsidRPr="004E557D" w:rsidRDefault="00747D09" w:rsidP="00231BD2">
      <w:pPr>
        <w:spacing w:line="320" w:lineRule="exact"/>
        <w:ind w:left="720"/>
      </w:pPr>
    </w:p>
    <w:p w14:paraId="7E0B85B8" w14:textId="6D0582A8" w:rsidR="00747D09" w:rsidRPr="004E557D" w:rsidRDefault="009C08CD" w:rsidP="00747D09">
      <w:pPr>
        <w:spacing w:line="320" w:lineRule="exact"/>
      </w:pPr>
      <w:r w:rsidRPr="004E557D">
        <w:t xml:space="preserve">Whereas previous </w:t>
      </w:r>
      <w:r w:rsidR="00790078" w:rsidRPr="004E557D">
        <w:t>HE</w:t>
      </w:r>
      <w:r w:rsidRPr="004E557D">
        <w:t xml:space="preserve"> policy initiatives had sought an increasing alignment between the perceived needs of business and employers with </w:t>
      </w:r>
      <w:r w:rsidR="00790078" w:rsidRPr="004E557D">
        <w:t>HE</w:t>
      </w:r>
      <w:r w:rsidRPr="004E557D">
        <w:t>,</w:t>
      </w:r>
      <w:r w:rsidR="002135CC" w:rsidRPr="004E557D">
        <w:t xml:space="preserve"> including clear information on ‘return on investment’ (</w:t>
      </w:r>
      <w:proofErr w:type="spellStart"/>
      <w:r w:rsidR="002135CC" w:rsidRPr="004E557D">
        <w:t>Bartel</w:t>
      </w:r>
      <w:proofErr w:type="spellEnd"/>
      <w:r w:rsidR="002135CC" w:rsidRPr="004E557D">
        <w:t xml:space="preserve">, 2000, p523), </w:t>
      </w:r>
      <w:r w:rsidRPr="004E557D">
        <w:t>the rationale for students bearing most of</w:t>
      </w:r>
      <w:r w:rsidR="006E6DEA" w:rsidRPr="004E557D">
        <w:t xml:space="preserve"> the costs of </w:t>
      </w:r>
      <w:r w:rsidR="00790078" w:rsidRPr="004E557D">
        <w:t>HE</w:t>
      </w:r>
      <w:r w:rsidR="006E6DEA" w:rsidRPr="004E557D">
        <w:t xml:space="preserve"> places the ‘demands’ of students in tension with those of employers.</w:t>
      </w:r>
      <w:r w:rsidR="008107A1" w:rsidRPr="004E557D">
        <w:t xml:space="preserve"> However, it </w:t>
      </w:r>
      <w:r w:rsidR="00445284" w:rsidRPr="004E557D">
        <w:t>has been</w:t>
      </w:r>
      <w:r w:rsidR="008107A1" w:rsidRPr="004E557D">
        <w:t xml:space="preserve"> argued (</w:t>
      </w:r>
      <w:proofErr w:type="spellStart"/>
      <w:r w:rsidR="008107A1" w:rsidRPr="004E557D">
        <w:t>Cognard</w:t>
      </w:r>
      <w:proofErr w:type="spellEnd"/>
      <w:r w:rsidR="008107A1" w:rsidRPr="004E557D">
        <w:t>, 2011) that compulsory levies can be useful if employe</w:t>
      </w:r>
      <w:r w:rsidR="004307DE" w:rsidRPr="004E557D">
        <w:t>r representative organisations (</w:t>
      </w:r>
      <w:r w:rsidR="008107A1" w:rsidRPr="004E557D">
        <w:t xml:space="preserve">such as </w:t>
      </w:r>
      <w:r w:rsidR="00854C6D" w:rsidRPr="004E557D">
        <w:t>SSC</w:t>
      </w:r>
      <w:r w:rsidR="004307DE" w:rsidRPr="004E557D">
        <w:t>s)</w:t>
      </w:r>
      <w:r w:rsidR="008107A1" w:rsidRPr="004E557D">
        <w:t xml:space="preserve"> are not able to effectively coordinate financial support from employers for skills development.</w:t>
      </w:r>
    </w:p>
    <w:p w14:paraId="34C3D7BB" w14:textId="77777777" w:rsidR="004B0C08" w:rsidRPr="004E557D" w:rsidRDefault="004B0C08" w:rsidP="00747D09">
      <w:pPr>
        <w:spacing w:line="320" w:lineRule="exact"/>
      </w:pPr>
    </w:p>
    <w:p w14:paraId="0C1D774A" w14:textId="617604FB" w:rsidR="008E2D0D" w:rsidRPr="004E557D" w:rsidRDefault="008E2D0D" w:rsidP="00747D09">
      <w:pPr>
        <w:spacing w:line="320" w:lineRule="exact"/>
        <w:rPr>
          <w:b/>
        </w:rPr>
      </w:pPr>
      <w:r w:rsidRPr="004E557D">
        <w:rPr>
          <w:b/>
        </w:rPr>
        <w:t>Vocational education and employer ownership of skills</w:t>
      </w:r>
    </w:p>
    <w:p w14:paraId="177B1796" w14:textId="77777777" w:rsidR="00294A9D" w:rsidRPr="004E557D" w:rsidRDefault="0068006B" w:rsidP="0068006B">
      <w:pPr>
        <w:spacing w:line="320" w:lineRule="exact"/>
      </w:pPr>
      <w:r w:rsidRPr="004E557D">
        <w:rPr>
          <w:i/>
        </w:rPr>
        <w:t>Skills for Sustainable Growth</w:t>
      </w:r>
      <w:r w:rsidRPr="004E557D">
        <w:t xml:space="preserve"> </w:t>
      </w:r>
      <w:r w:rsidR="00035D7E" w:rsidRPr="004E557D">
        <w:t xml:space="preserve">(BIS, 2010) </w:t>
      </w:r>
      <w:r w:rsidRPr="004E557D">
        <w:t xml:space="preserve">also announced that the </w:t>
      </w:r>
      <w:r w:rsidRPr="004E557D">
        <w:rPr>
          <w:i/>
        </w:rPr>
        <w:t>Wolf</w:t>
      </w:r>
      <w:r w:rsidRPr="004E557D">
        <w:t xml:space="preserve"> </w:t>
      </w:r>
      <w:r w:rsidRPr="004E557D">
        <w:rPr>
          <w:i/>
        </w:rPr>
        <w:t>Review of Vocational Education</w:t>
      </w:r>
      <w:r w:rsidRPr="004E557D">
        <w:t xml:space="preserve"> would take place in 2011. The </w:t>
      </w:r>
      <w:r w:rsidR="00C331FD" w:rsidRPr="004E557D">
        <w:t xml:space="preserve">resulting </w:t>
      </w:r>
      <w:r w:rsidRPr="004E557D">
        <w:t>Wolf Report (</w:t>
      </w:r>
      <w:proofErr w:type="spellStart"/>
      <w:r w:rsidRPr="004E557D">
        <w:t>DfE</w:t>
      </w:r>
      <w:proofErr w:type="spellEnd"/>
      <w:r w:rsidRPr="004E557D">
        <w:t>, 2011) explicitly focused on vocationa</w:t>
      </w:r>
      <w:r w:rsidR="002A3E79" w:rsidRPr="004E557D">
        <w:t xml:space="preserve">l education for 14-19 year olds. </w:t>
      </w:r>
      <w:r w:rsidRPr="004E557D">
        <w:t>Universities are referenced as important progression end points for level</w:t>
      </w:r>
      <w:r w:rsidR="00650A41" w:rsidRPr="004E557D">
        <w:t xml:space="preserve"> 3</w:t>
      </w:r>
      <w:r w:rsidRPr="004E557D">
        <w:t xml:space="preserve"> vocational qualifications or as a comparator for the market value that qualifications </w:t>
      </w:r>
      <w:r w:rsidR="00650A41" w:rsidRPr="004E557D">
        <w:t xml:space="preserve">(per se) </w:t>
      </w:r>
      <w:r w:rsidRPr="004E557D">
        <w:t>bring</w:t>
      </w:r>
      <w:r w:rsidR="002A3E79" w:rsidRPr="004E557D">
        <w:t xml:space="preserve"> but not specifically as providers of vocational qualifications</w:t>
      </w:r>
      <w:r w:rsidRPr="004E557D">
        <w:t xml:space="preserve">. Apprenticeships feature strongly in that they necessarily provide access to the experience of work, which is seen by Wolf as having value above and beyond qualifications </w:t>
      </w:r>
      <w:r w:rsidR="002A3E79" w:rsidRPr="004E557D">
        <w:t>per se</w:t>
      </w:r>
      <w:r w:rsidRPr="004E557D">
        <w:t xml:space="preserve">. </w:t>
      </w:r>
    </w:p>
    <w:p w14:paraId="28CE7DB0" w14:textId="77777777" w:rsidR="00294A9D" w:rsidRPr="004E557D" w:rsidRDefault="00294A9D" w:rsidP="0068006B">
      <w:pPr>
        <w:spacing w:line="320" w:lineRule="exact"/>
      </w:pPr>
    </w:p>
    <w:p w14:paraId="75C95821" w14:textId="465D4F1B" w:rsidR="0068006B" w:rsidRPr="004E557D" w:rsidRDefault="0068006B" w:rsidP="0068006B">
      <w:pPr>
        <w:spacing w:line="320" w:lineRule="exact"/>
      </w:pPr>
      <w:r w:rsidRPr="004E557D">
        <w:t xml:space="preserve">The </w:t>
      </w:r>
      <w:r w:rsidR="00294A9D" w:rsidRPr="004E557D">
        <w:t xml:space="preserve">Wolf </w:t>
      </w:r>
      <w:r w:rsidRPr="004E557D">
        <w:t xml:space="preserve">Report </w:t>
      </w:r>
      <w:r w:rsidR="00294A9D" w:rsidRPr="004E557D">
        <w:t xml:space="preserve">also questioned the appropriateness of </w:t>
      </w:r>
      <w:r w:rsidRPr="004E557D">
        <w:t xml:space="preserve">apprenticeships </w:t>
      </w:r>
      <w:r w:rsidR="00294A9D" w:rsidRPr="004E557D">
        <w:t>being</w:t>
      </w:r>
      <w:r w:rsidRPr="004E557D">
        <w:t xml:space="preserve"> approved by </w:t>
      </w:r>
      <w:r w:rsidR="00854C6D" w:rsidRPr="004E557D">
        <w:t>SSC</w:t>
      </w:r>
      <w:r w:rsidRPr="004E557D">
        <w:t>s as employ</w:t>
      </w:r>
      <w:r w:rsidR="00294A9D" w:rsidRPr="004E557D">
        <w:t xml:space="preserve">er representative organisations. </w:t>
      </w:r>
      <w:r w:rsidRPr="004E557D">
        <w:t>The Report recommends rather that “employers are involved directly in development and specification of qualifications” (Wolf, 2011, p18) but does not indicate how this might take place.</w:t>
      </w:r>
      <w:r w:rsidR="00940DEF" w:rsidRPr="004E557D">
        <w:t xml:space="preserve"> Earlier research had also questioned the legitimacy of </w:t>
      </w:r>
      <w:r w:rsidR="00854C6D" w:rsidRPr="004E557D">
        <w:t>SSC</w:t>
      </w:r>
      <w:r w:rsidR="00940DEF" w:rsidRPr="004E557D">
        <w:t>s as employer-led bodies given the general lack of employer willingness to fund them (Payne, 2008).</w:t>
      </w:r>
      <w:r w:rsidR="00B73387" w:rsidRPr="004E557D">
        <w:t xml:space="preserve"> Ryan et al (</w:t>
      </w:r>
      <w:r w:rsidR="00544927" w:rsidRPr="004E557D">
        <w:t xml:space="preserve">2006, </w:t>
      </w:r>
      <w:r w:rsidR="00B73387" w:rsidRPr="004E557D">
        <w:t>2007) had also</w:t>
      </w:r>
      <w:r w:rsidR="00F608A6" w:rsidRPr="004E557D">
        <w:t xml:space="preserve"> </w:t>
      </w:r>
      <w:r w:rsidR="00CD697B" w:rsidRPr="004E557D">
        <w:t>argued that</w:t>
      </w:r>
      <w:r w:rsidR="00430DF8" w:rsidRPr="004E557D">
        <w:t xml:space="preserve"> the low availability o</w:t>
      </w:r>
      <w:r w:rsidR="00F608A6" w:rsidRPr="004E557D">
        <w:t>f apprenticeship places, even from larger employers, in ‘educationally impoverished’ sectors such as construction and retail</w:t>
      </w:r>
      <w:r w:rsidR="00964081" w:rsidRPr="004E557D">
        <w:t xml:space="preserve"> indicate</w:t>
      </w:r>
      <w:r w:rsidR="00CD697B" w:rsidRPr="004E557D">
        <w:t>d</w:t>
      </w:r>
      <w:r w:rsidR="00964081" w:rsidRPr="004E557D">
        <w:t xml:space="preserve"> a lack of willingness </w:t>
      </w:r>
      <w:r w:rsidR="00430DF8" w:rsidRPr="004E557D">
        <w:t xml:space="preserve">on the part of employers </w:t>
      </w:r>
      <w:r w:rsidR="00964081" w:rsidRPr="004E557D">
        <w:t>to take responsibility for skills development.</w:t>
      </w:r>
      <w:r w:rsidR="006C1883" w:rsidRPr="004E557D">
        <w:t xml:space="preserve"> </w:t>
      </w:r>
    </w:p>
    <w:p w14:paraId="4846E6E5" w14:textId="77777777" w:rsidR="0068006B" w:rsidRPr="004E557D" w:rsidRDefault="0068006B" w:rsidP="0068006B">
      <w:pPr>
        <w:spacing w:line="320" w:lineRule="exact"/>
      </w:pPr>
    </w:p>
    <w:p w14:paraId="6314B13C" w14:textId="32EDDFFC" w:rsidR="0068006B" w:rsidRPr="004E557D" w:rsidRDefault="0068006B" w:rsidP="0068006B">
      <w:pPr>
        <w:spacing w:line="320" w:lineRule="exact"/>
      </w:pPr>
      <w:r w:rsidRPr="004E557D">
        <w:t>Around the same time</w:t>
      </w:r>
      <w:r w:rsidR="00B26249" w:rsidRPr="004E557D">
        <w:t xml:space="preserve">, </w:t>
      </w:r>
      <w:r w:rsidRPr="004E557D">
        <w:t xml:space="preserve">UKCES published its report into </w:t>
      </w:r>
      <w:r w:rsidRPr="004E557D">
        <w:rPr>
          <w:i/>
        </w:rPr>
        <w:t>Employer Ownership of Skills</w:t>
      </w:r>
      <w:r w:rsidRPr="004E557D">
        <w:t xml:space="preserve"> (UKCES, 2011), which identified that one third of employers in England offered no training at all </w:t>
      </w:r>
      <w:r w:rsidR="001F61CF" w:rsidRPr="004E557D">
        <w:t xml:space="preserve">to their employees </w:t>
      </w:r>
      <w:r w:rsidRPr="004E557D">
        <w:t xml:space="preserve">and only 8% offered apprenticeships. </w:t>
      </w:r>
      <w:r w:rsidR="006C1883" w:rsidRPr="004E557D">
        <w:t>However,</w:t>
      </w:r>
      <w:r w:rsidRPr="004E557D">
        <w:t xml:space="preserve"> the </w:t>
      </w:r>
      <w:r w:rsidR="00C416A7" w:rsidRPr="004E557D">
        <w:t>UKCES</w:t>
      </w:r>
      <w:r w:rsidR="00B33D1A" w:rsidRPr="004E557D">
        <w:t xml:space="preserve"> </w:t>
      </w:r>
      <w:r w:rsidRPr="004E557D">
        <w:t xml:space="preserve">Report </w:t>
      </w:r>
      <w:r w:rsidR="006C1883" w:rsidRPr="004E557D">
        <w:t>proposed the problem</w:t>
      </w:r>
      <w:r w:rsidRPr="004E557D">
        <w:t xml:space="preserve"> </w:t>
      </w:r>
      <w:r w:rsidR="006C1883" w:rsidRPr="004E557D">
        <w:t>be resolved through</w:t>
      </w:r>
      <w:r w:rsidRPr="004E557D">
        <w:t xml:space="preserve"> a change from government </w:t>
      </w:r>
      <w:r w:rsidR="006C1883" w:rsidRPr="004E557D">
        <w:t xml:space="preserve">and provider </w:t>
      </w:r>
      <w:r w:rsidRPr="004E557D">
        <w:t>led, employer engagement focused</w:t>
      </w:r>
      <w:r w:rsidR="00D241C5" w:rsidRPr="004E557D">
        <w:t xml:space="preserve"> skills policy initiatives </w:t>
      </w:r>
      <w:r w:rsidRPr="004E557D">
        <w:t>“to employer-owned adult workforce development” (UKCES, 2011, p6). The distinction between the idea of ‘employer-owned’ and ‘demand-led’ (as promoted by the Leitch Report) lies</w:t>
      </w:r>
      <w:r w:rsidR="00F963C6" w:rsidRPr="004E557D">
        <w:t xml:space="preserve"> </w:t>
      </w:r>
      <w:r w:rsidR="00BC07CB" w:rsidRPr="004E557D">
        <w:t xml:space="preserve">in that the former </w:t>
      </w:r>
      <w:r w:rsidR="00DE0324" w:rsidRPr="004E557D">
        <w:t>promotes</w:t>
      </w:r>
      <w:r w:rsidRPr="004E557D">
        <w:t xml:space="preserve"> public funding incentives channelled through employers</w:t>
      </w:r>
      <w:r w:rsidR="00DE0324" w:rsidRPr="004E557D">
        <w:t>,</w:t>
      </w:r>
      <w:r w:rsidRPr="004E557D">
        <w:t xml:space="preserve"> rather than public providers.  It is argued that such incentives would encourage employers to further invest in the skills development of their employees and that the binary markets of publicly funded qualifications and private training should be better aligned and combined to create:</w:t>
      </w:r>
    </w:p>
    <w:p w14:paraId="2BE04708" w14:textId="77777777" w:rsidR="0068006B" w:rsidRPr="004E557D" w:rsidRDefault="0068006B" w:rsidP="0068006B">
      <w:pPr>
        <w:spacing w:line="320" w:lineRule="exact"/>
      </w:pPr>
    </w:p>
    <w:p w14:paraId="5611B786" w14:textId="3AA22A02" w:rsidR="0068006B" w:rsidRPr="004E557D" w:rsidRDefault="0068006B" w:rsidP="0068006B">
      <w:pPr>
        <w:spacing w:line="320" w:lineRule="exact"/>
        <w:ind w:left="720"/>
      </w:pPr>
      <w:r w:rsidRPr="004E557D">
        <w:t>A single market for skills development, where further education colleges and training providers respond to genuine demand rather than state funding incentives, would deliver more economically valuable skills, for which people and businesses would be prepared to pay. (UKCES, 2011, p4)</w:t>
      </w:r>
    </w:p>
    <w:p w14:paraId="00BA83AC" w14:textId="77777777" w:rsidR="0068006B" w:rsidRPr="004E557D" w:rsidRDefault="0068006B" w:rsidP="0068006B">
      <w:pPr>
        <w:spacing w:line="320" w:lineRule="exact"/>
      </w:pPr>
    </w:p>
    <w:p w14:paraId="45A23075" w14:textId="4D87243B" w:rsidR="0068006B" w:rsidRPr="004E557D" w:rsidRDefault="0068006B" w:rsidP="00747D09">
      <w:pPr>
        <w:spacing w:line="320" w:lineRule="exact"/>
      </w:pPr>
      <w:r w:rsidRPr="004E557D">
        <w:t xml:space="preserve">Whilst </w:t>
      </w:r>
      <w:r w:rsidRPr="004E557D">
        <w:rPr>
          <w:i/>
        </w:rPr>
        <w:t>Employer Ownership of Skills</w:t>
      </w:r>
      <w:r w:rsidRPr="004E557D">
        <w:t xml:space="preserve"> does not actually mention universities at all and focuses entirely on colleges and private training providers, it is the clearest indication of a policy sea change away from </w:t>
      </w:r>
      <w:r w:rsidR="00832392" w:rsidRPr="004E557D">
        <w:t xml:space="preserve">demand-led but provider-funded </w:t>
      </w:r>
      <w:r w:rsidRPr="004E557D">
        <w:t>strategies such as the HECFE Workforce Development Programme.</w:t>
      </w:r>
    </w:p>
    <w:p w14:paraId="7A29D257" w14:textId="77777777" w:rsidR="0068006B" w:rsidRPr="004E557D" w:rsidRDefault="0068006B" w:rsidP="00747D09">
      <w:pPr>
        <w:spacing w:line="320" w:lineRule="exact"/>
      </w:pPr>
    </w:p>
    <w:p w14:paraId="07AA0CBE" w14:textId="0B944E4F" w:rsidR="008E2D0D" w:rsidRPr="004E557D" w:rsidRDefault="008E2D0D" w:rsidP="00747D09">
      <w:pPr>
        <w:spacing w:line="320" w:lineRule="exact"/>
        <w:rPr>
          <w:b/>
        </w:rPr>
      </w:pPr>
      <w:r w:rsidRPr="004E557D">
        <w:rPr>
          <w:b/>
        </w:rPr>
        <w:t>The bifurcation of higher-level skills</w:t>
      </w:r>
      <w:r w:rsidR="00F45EC9" w:rsidRPr="004E557D">
        <w:rPr>
          <w:b/>
        </w:rPr>
        <w:t xml:space="preserve"> policy</w:t>
      </w:r>
    </w:p>
    <w:p w14:paraId="5837EE2F" w14:textId="16814EB8" w:rsidR="004B0C08" w:rsidRPr="004E557D" w:rsidRDefault="004B0C08" w:rsidP="00747D09">
      <w:pPr>
        <w:spacing w:line="320" w:lineRule="exact"/>
      </w:pPr>
      <w:r w:rsidRPr="004E557D">
        <w:t xml:space="preserve">The </w:t>
      </w:r>
      <w:r w:rsidR="00782F03" w:rsidRPr="004E557D">
        <w:t xml:space="preserve">UK Government </w:t>
      </w:r>
      <w:r w:rsidRPr="004E557D">
        <w:t>White Paper</w:t>
      </w:r>
      <w:r w:rsidR="00711A4C" w:rsidRPr="004E557D">
        <w:t xml:space="preserve">, </w:t>
      </w:r>
      <w:r w:rsidR="00711A4C" w:rsidRPr="004E557D">
        <w:rPr>
          <w:i/>
        </w:rPr>
        <w:t xml:space="preserve">Higher Education: Students at the heart of the system (BIS, 2011), </w:t>
      </w:r>
      <w:r w:rsidR="00AC5049" w:rsidRPr="004E557D">
        <w:t>focused on the shift of emphasis from block teaching grants from HEFCE to individual tuition fee loans. The White Paper signposts the forthcoming Wilson Review into Business-University collaboration and does state that:</w:t>
      </w:r>
    </w:p>
    <w:p w14:paraId="191BFFD2" w14:textId="77777777" w:rsidR="00711A4C" w:rsidRPr="004E557D" w:rsidRDefault="00711A4C" w:rsidP="00747D09">
      <w:pPr>
        <w:spacing w:line="320" w:lineRule="exact"/>
        <w:rPr>
          <w:i/>
        </w:rPr>
      </w:pPr>
    </w:p>
    <w:p w14:paraId="48AC2122" w14:textId="77777777" w:rsidR="009A024F" w:rsidRPr="004E557D" w:rsidRDefault="00711A4C" w:rsidP="00711A4C">
      <w:pPr>
        <w:spacing w:line="320" w:lineRule="exact"/>
        <w:ind w:left="720"/>
      </w:pPr>
      <w:r w:rsidRPr="004E557D">
        <w:t xml:space="preserve">Graduates are more likely to be equipped with the skills that employers want if there is genuine collaboration between institutions and employers in the design and delivery of courses. </w:t>
      </w:r>
    </w:p>
    <w:p w14:paraId="2F905BF1" w14:textId="0E7FE18F" w:rsidR="00711A4C" w:rsidRPr="004E557D" w:rsidRDefault="009A024F" w:rsidP="00711A4C">
      <w:pPr>
        <w:spacing w:line="320" w:lineRule="exact"/>
        <w:ind w:left="720"/>
      </w:pPr>
      <w:r w:rsidRPr="004E557D">
        <w:t>(BIS, 2011, p39)</w:t>
      </w:r>
    </w:p>
    <w:p w14:paraId="7FE8758C" w14:textId="77777777" w:rsidR="004F285F" w:rsidRPr="004E557D" w:rsidRDefault="004F285F" w:rsidP="00711A4C">
      <w:pPr>
        <w:spacing w:line="320" w:lineRule="exact"/>
        <w:ind w:left="720"/>
        <w:rPr>
          <w:i/>
        </w:rPr>
      </w:pPr>
    </w:p>
    <w:p w14:paraId="13F27446" w14:textId="07A4B48C" w:rsidR="004F285F" w:rsidRPr="004E557D" w:rsidRDefault="004F285F" w:rsidP="004F285F">
      <w:pPr>
        <w:spacing w:line="320" w:lineRule="exact"/>
      </w:pPr>
      <w:r w:rsidRPr="004E557D">
        <w:t xml:space="preserve">However, this </w:t>
      </w:r>
      <w:r w:rsidR="00684D1A" w:rsidRPr="004E557D">
        <w:t xml:space="preserve">issue </w:t>
      </w:r>
      <w:r w:rsidRPr="004E557D">
        <w:t>is not substantively discussed in the White Paper itself</w:t>
      </w:r>
      <w:r w:rsidR="002A67E9" w:rsidRPr="004E557D">
        <w:t xml:space="preserve"> beyond reference to the Wilson Review. The main vehicle for ensuring that </w:t>
      </w:r>
      <w:r w:rsidR="00790078" w:rsidRPr="004E557D">
        <w:t>HE</w:t>
      </w:r>
      <w:r w:rsidR="002A67E9" w:rsidRPr="004E557D">
        <w:t xml:space="preserve"> provision is appropriate in meeting employer needs seems to be through opening up the </w:t>
      </w:r>
      <w:r w:rsidR="00790078" w:rsidRPr="004E557D">
        <w:t>HE</w:t>
      </w:r>
      <w:r w:rsidR="002A67E9" w:rsidRPr="004E557D">
        <w:t xml:space="preserve"> market place</w:t>
      </w:r>
      <w:r w:rsidR="00C31780" w:rsidRPr="004E557D">
        <w:t xml:space="preserve"> and providing better information for the purchaser</w:t>
      </w:r>
      <w:r w:rsidR="005069E9" w:rsidRPr="004E557D">
        <w:t xml:space="preserve"> (the student)</w:t>
      </w:r>
      <w:r w:rsidR="00B41886" w:rsidRPr="004E557D">
        <w:t>. The White Paper proposes that a</w:t>
      </w:r>
      <w:r w:rsidR="002A67E9" w:rsidRPr="004E557D">
        <w:t xml:space="preserve"> broader range of </w:t>
      </w:r>
      <w:r w:rsidR="00790078" w:rsidRPr="004E557D">
        <w:t>HE</w:t>
      </w:r>
      <w:r w:rsidR="002A67E9" w:rsidRPr="004E557D">
        <w:t xml:space="preserve"> providers will be able to gain access to this market and </w:t>
      </w:r>
      <w:r w:rsidR="00B41886" w:rsidRPr="004E557D">
        <w:t xml:space="preserve">that </w:t>
      </w:r>
      <w:r w:rsidR="002A67E9" w:rsidRPr="004E557D">
        <w:t xml:space="preserve">where employers are offering to sponsor students this will not count towards </w:t>
      </w:r>
      <w:r w:rsidR="00130875" w:rsidRPr="004E557D">
        <w:t xml:space="preserve">institutional </w:t>
      </w:r>
      <w:r w:rsidR="002A67E9" w:rsidRPr="004E557D">
        <w:t xml:space="preserve">‘student number controls’ that regulate the places available. Apprenticeships are mentioned a total of four times in the White Paper and this is either as an aspect of provision that colleges can offer or as an alternative route into the professions. The relative exclusion of apprenticeships from the White Paper made it very clear to all universities that </w:t>
      </w:r>
      <w:r w:rsidR="00055666" w:rsidRPr="004E557D">
        <w:t>this and other areas of skills policy were not central to the purpose of universities.</w:t>
      </w:r>
      <w:r w:rsidR="00733422" w:rsidRPr="004E557D">
        <w:t xml:space="preserve"> The combined effect of </w:t>
      </w:r>
      <w:r w:rsidR="00563FAC" w:rsidRPr="004E557D">
        <w:t>a requirement for universities to demonstrate to student customers that their product was ‘excellent’ and as such worth the maximum £27k tuition fee</w:t>
      </w:r>
      <w:r w:rsidR="00F810AA" w:rsidRPr="004E557D">
        <w:t>,</w:t>
      </w:r>
      <w:r w:rsidR="00563FAC" w:rsidRPr="004E557D">
        <w:t xml:space="preserve"> together with the effective separation of universities from the skills agenda</w:t>
      </w:r>
      <w:r w:rsidR="00BE1A01" w:rsidRPr="004E557D">
        <w:t>,</w:t>
      </w:r>
      <w:r w:rsidR="00563FAC" w:rsidRPr="004E557D">
        <w:t xml:space="preserve"> resulted in signifi</w:t>
      </w:r>
      <w:r w:rsidR="009515C5" w:rsidRPr="004E557D">
        <w:t>cant changes in many university’s</w:t>
      </w:r>
      <w:r w:rsidR="00563FAC" w:rsidRPr="004E557D">
        <w:t xml:space="preserve"> mission</w:t>
      </w:r>
      <w:r w:rsidR="009515C5" w:rsidRPr="004E557D">
        <w:t>s</w:t>
      </w:r>
      <w:r w:rsidR="00ED5451" w:rsidRPr="004E557D">
        <w:t xml:space="preserve"> (</w:t>
      </w:r>
      <w:proofErr w:type="spellStart"/>
      <w:r w:rsidR="00ED5451" w:rsidRPr="004E557D">
        <w:t>Hordern</w:t>
      </w:r>
      <w:proofErr w:type="spellEnd"/>
      <w:r w:rsidR="00ED5451" w:rsidRPr="004E557D">
        <w:t>, 2012)</w:t>
      </w:r>
      <w:r w:rsidR="00563FAC" w:rsidRPr="004E557D">
        <w:t>.</w:t>
      </w:r>
      <w:r w:rsidR="00CF793E" w:rsidRPr="004E557D">
        <w:t xml:space="preserve"> </w:t>
      </w:r>
      <w:r w:rsidR="00AF0BF3" w:rsidRPr="004E557D">
        <w:t>As an indicator of this, several universities at the time sought to become members of the elite Russell Group of universities</w:t>
      </w:r>
      <w:r w:rsidR="00733422" w:rsidRPr="004E557D">
        <w:t xml:space="preserve"> to better signify their </w:t>
      </w:r>
      <w:r w:rsidR="009515C5" w:rsidRPr="004E557D">
        <w:t>‘</w:t>
      </w:r>
      <w:r w:rsidR="00733422" w:rsidRPr="004E557D">
        <w:t>academic excel</w:t>
      </w:r>
      <w:r w:rsidR="00394F8E" w:rsidRPr="004E557D">
        <w:t>l</w:t>
      </w:r>
      <w:r w:rsidR="00733422" w:rsidRPr="004E557D">
        <w:t>ence</w:t>
      </w:r>
      <w:r w:rsidR="009515C5" w:rsidRPr="004E557D">
        <w:t>’ to the student market through brand association</w:t>
      </w:r>
      <w:r w:rsidR="0017425B" w:rsidRPr="004E557D">
        <w:t xml:space="preserve"> (</w:t>
      </w:r>
      <w:proofErr w:type="spellStart"/>
      <w:r w:rsidR="0017425B" w:rsidRPr="004E557D">
        <w:t>Marg</w:t>
      </w:r>
      <w:r w:rsidR="00434CA7" w:rsidRPr="004E557D">
        <w:t>inson</w:t>
      </w:r>
      <w:proofErr w:type="spellEnd"/>
      <w:r w:rsidR="00AC5C05" w:rsidRPr="004E557D">
        <w:t>, 2006</w:t>
      </w:r>
      <w:r w:rsidR="0017425B" w:rsidRPr="004E557D">
        <w:t>)</w:t>
      </w:r>
      <w:r w:rsidR="00AF0BF3" w:rsidRPr="004E557D">
        <w:t>. For example, when the University of Surrey left the 1994 Group to join the Russell Group, the University was reported to say that the decision was the  “university’s response to the changing higher education environment” (Grove, 2012).</w:t>
      </w:r>
    </w:p>
    <w:p w14:paraId="5C6A0632" w14:textId="77777777" w:rsidR="00E603A5" w:rsidRPr="004E557D" w:rsidRDefault="00E603A5" w:rsidP="004F285F">
      <w:pPr>
        <w:spacing w:line="320" w:lineRule="exact"/>
      </w:pPr>
    </w:p>
    <w:p w14:paraId="7621C60F" w14:textId="304BC33D" w:rsidR="00E603A5" w:rsidRPr="004E557D" w:rsidRDefault="00FE309A" w:rsidP="00E603A5">
      <w:pPr>
        <w:spacing w:line="320" w:lineRule="exact"/>
      </w:pPr>
      <w:r w:rsidRPr="004E557D">
        <w:t xml:space="preserve">In announcing the Wilson Review of Business-University Collaboration, </w:t>
      </w:r>
      <w:r w:rsidR="00E603A5" w:rsidRPr="004E557D">
        <w:t>the White Paper (BIS, 2011) made it clear that the purpose of the review was to “inform the Government’s research and innovation strategy” (BIS, 2011, p39). This remit seemed similar to that of the previous Lambert Review into business-university collaboration (HM Treasury, 2003). However, following submissions from the Higher Education Academy’s Employer Engagement Exchange Group (which was still active at the time of the Review) the Wilson Review when published did in fact include workforce development activity as examples of good practice in business-university collaboration.</w:t>
      </w:r>
      <w:r w:rsidR="001F29A8" w:rsidRPr="004E557D">
        <w:t xml:space="preserve"> For example:</w:t>
      </w:r>
    </w:p>
    <w:p w14:paraId="08B8287C" w14:textId="77777777" w:rsidR="00E603A5" w:rsidRPr="004E557D" w:rsidRDefault="00E603A5" w:rsidP="00E603A5">
      <w:pPr>
        <w:spacing w:line="320" w:lineRule="exact"/>
      </w:pPr>
    </w:p>
    <w:p w14:paraId="1BF5DA6A" w14:textId="77777777" w:rsidR="00E603A5" w:rsidRPr="004E557D" w:rsidRDefault="00E603A5" w:rsidP="00E603A5">
      <w:pPr>
        <w:spacing w:line="320" w:lineRule="exact"/>
        <w:ind w:left="720"/>
      </w:pPr>
      <w:r w:rsidRPr="004E557D">
        <w:rPr>
          <w:rFonts w:hint="eastAsia"/>
        </w:rPr>
        <w:t xml:space="preserve">Halifax Community Bank and Middlesex collaborate to deliver an innovative and sustainable approach to workforce development. The bank identified the need for higher-level training for around 1,000 of its managers. This major investment in workforce development, called </w:t>
      </w:r>
      <w:r w:rsidRPr="004E557D">
        <w:t>‘</w:t>
      </w:r>
      <w:r w:rsidRPr="004E557D">
        <w:rPr>
          <w:rFonts w:hint="eastAsia"/>
        </w:rPr>
        <w:t>Journey in Practice</w:t>
      </w:r>
      <w:r w:rsidRPr="004E557D">
        <w:t xml:space="preserve">’ </w:t>
      </w:r>
      <w:r w:rsidRPr="004E557D">
        <w:rPr>
          <w:rFonts w:hint="eastAsia"/>
        </w:rPr>
        <w:t>(JIP), was designed to raise the standards of retail banking practice across the company. The combined use of the University</w:t>
      </w:r>
      <w:r w:rsidRPr="004E557D">
        <w:t>’</w:t>
      </w:r>
      <w:r w:rsidRPr="004E557D">
        <w:rPr>
          <w:rFonts w:hint="eastAsia"/>
        </w:rPr>
        <w:t>s accreditation services and work-based learning framework has meant that Middlesex has the academic infrastructure to deliver high-quality learning that is responsive to the needs of the employer and their employees, and award credit towards university qualifications: Advanced Diploma and Postgraduate Certificate in Retail Banking Practice programme</w:t>
      </w:r>
      <w:r w:rsidRPr="004E557D">
        <w:t>s. (Wilson, 2012, p44)</w:t>
      </w:r>
    </w:p>
    <w:p w14:paraId="41C8E548" w14:textId="77777777" w:rsidR="00E603A5" w:rsidRPr="004E557D" w:rsidRDefault="00E603A5" w:rsidP="00E603A5">
      <w:pPr>
        <w:spacing w:line="320" w:lineRule="exact"/>
      </w:pPr>
    </w:p>
    <w:p w14:paraId="5310CDA7" w14:textId="4340B0D7" w:rsidR="00E603A5" w:rsidRPr="004E557D" w:rsidRDefault="00E603A5" w:rsidP="00E603A5">
      <w:pPr>
        <w:spacing w:line="320" w:lineRule="exact"/>
      </w:pPr>
      <w:r w:rsidRPr="004E557D">
        <w:t>While the Wilson Review promotes the active involvement of employers in defining the knowledge and skills that they need</w:t>
      </w:r>
      <w:r w:rsidR="00677773" w:rsidRPr="004E557D">
        <w:t>,</w:t>
      </w:r>
      <w:r w:rsidRPr="004E557D">
        <w:t xml:space="preserve"> </w:t>
      </w:r>
      <w:r w:rsidR="0017425B" w:rsidRPr="004E557D">
        <w:t>it</w:t>
      </w:r>
      <w:r w:rsidRPr="004E557D">
        <w:t xml:space="preserve"> also re</w:t>
      </w:r>
      <w:r w:rsidR="00B312BA" w:rsidRPr="004E557D">
        <w:t>-</w:t>
      </w:r>
      <w:r w:rsidRPr="004E557D">
        <w:t>emphasised the academic autonomy of universities to design, develop and approve the degree</w:t>
      </w:r>
      <w:r w:rsidR="005C414E" w:rsidRPr="004E557D">
        <w:t>s</w:t>
      </w:r>
      <w:r w:rsidRPr="004E557D">
        <w:t xml:space="preserve"> awarded in their name as “a fundamental role of academe” (Wilson, 2012, p41). Perhaps as a consequence of the explicit Government policy shift away from workforce development strategies, the Review’s recommendation related to this area of collaboration is telling in its ambivalence:</w:t>
      </w:r>
    </w:p>
    <w:p w14:paraId="46AE58FB" w14:textId="77777777" w:rsidR="00E603A5" w:rsidRPr="004E557D" w:rsidRDefault="00E603A5" w:rsidP="00E603A5">
      <w:pPr>
        <w:spacing w:line="320" w:lineRule="exact"/>
      </w:pPr>
    </w:p>
    <w:p w14:paraId="299882CE" w14:textId="77777777" w:rsidR="00E603A5" w:rsidRPr="004E557D" w:rsidRDefault="00E603A5" w:rsidP="00E603A5">
      <w:pPr>
        <w:spacing w:line="320" w:lineRule="exact"/>
        <w:ind w:left="720"/>
      </w:pPr>
      <w:r w:rsidRPr="004E557D">
        <w:rPr>
          <w:rFonts w:hint="eastAsia"/>
        </w:rPr>
        <w:t>This government-subsidised scheme has now finished, and future in-house corporate programmes will fall within the new funding environment. HEFCE should monitor the sustainability of university activity in this field and report trends and significant market</w:t>
      </w:r>
      <w:r w:rsidRPr="004E557D">
        <w:t xml:space="preserve"> failures to government. (Wilson, 2012, p44)</w:t>
      </w:r>
    </w:p>
    <w:p w14:paraId="5ADEE8B5" w14:textId="77777777" w:rsidR="00E603A5" w:rsidRPr="004E557D" w:rsidRDefault="00E603A5" w:rsidP="00E603A5">
      <w:pPr>
        <w:spacing w:line="320" w:lineRule="exact"/>
      </w:pPr>
    </w:p>
    <w:p w14:paraId="6A7C81BB" w14:textId="54AF2478" w:rsidR="00E603A5" w:rsidRPr="004E557D" w:rsidRDefault="00E603A5" w:rsidP="004F285F">
      <w:pPr>
        <w:spacing w:line="320" w:lineRule="exact"/>
      </w:pPr>
      <w:r w:rsidRPr="004E557D">
        <w:t xml:space="preserve">The </w:t>
      </w:r>
      <w:r w:rsidR="005C414E" w:rsidRPr="004E557D">
        <w:t xml:space="preserve">Wilson </w:t>
      </w:r>
      <w:r w:rsidRPr="004E557D">
        <w:t xml:space="preserve">Review recognises that Higher Apprenticeships can play </w:t>
      </w:r>
      <w:r w:rsidR="00736C9B" w:rsidRPr="004E557D">
        <w:t xml:space="preserve">an important role </w:t>
      </w:r>
      <w:r w:rsidRPr="004E557D">
        <w:t xml:space="preserve">in meeting the ‘long term skills needs of employers’ and provide “a highly valued alternative for school leavers who wish to combine work with gaining a higher qualification” (Wilson, 2012, p46). The Review also goes on to recommend that work-based pathways to </w:t>
      </w:r>
      <w:r w:rsidR="00790078" w:rsidRPr="004E557D">
        <w:t>HE</w:t>
      </w:r>
      <w:r w:rsidRPr="004E557D">
        <w:t xml:space="preserve"> qualification such as higher apprenticeships should become ‘a priority development’. However, the Review also makes it clear that Higher Apprenticeships, along with professional qualifications, “are not congruent with the requirements of an honours degree but are equal in rigour and esteem” (Wilson, 2012, p46). </w:t>
      </w:r>
      <w:r w:rsidR="007E7D67" w:rsidRPr="004E557D">
        <w:t xml:space="preserve">The positioning of Higher Apprenticeships as ‘not congruent’ but ‘equal’ </w:t>
      </w:r>
      <w:r w:rsidR="00BC2D20" w:rsidRPr="004E557D">
        <w:t>effectively ‘muddied the water’ and arguably marginalised Higher Apprenticeships in terms of ‘core’ university business. Perhaps one of the reasons for this was that a</w:t>
      </w:r>
      <w:r w:rsidRPr="004E557D">
        <w:t>t the time, the highest university qualification that could deliver a Higher Apprenticeships was a</w:t>
      </w:r>
      <w:r w:rsidR="00BC2D20" w:rsidRPr="004E557D">
        <w:t xml:space="preserve"> level 5 Foundation Degree. T</w:t>
      </w:r>
      <w:r w:rsidRPr="004E557D">
        <w:t xml:space="preserve">he advent of level 6 Higher Apprenticeships that include an Honours degree would challenge the </w:t>
      </w:r>
      <w:r w:rsidR="005D3EE2" w:rsidRPr="004E557D">
        <w:t xml:space="preserve">oft repeated policy </w:t>
      </w:r>
      <w:r w:rsidRPr="004E557D">
        <w:t xml:space="preserve">idea that </w:t>
      </w:r>
      <w:r w:rsidR="005D3EE2" w:rsidRPr="004E557D">
        <w:t>apprenticeships</w:t>
      </w:r>
      <w:r w:rsidRPr="004E557D">
        <w:t xml:space="preserve"> represented an ‘alternative’ to university.</w:t>
      </w:r>
    </w:p>
    <w:p w14:paraId="34107603" w14:textId="77777777" w:rsidR="00E603A5" w:rsidRPr="004E557D" w:rsidRDefault="00E603A5" w:rsidP="004F285F">
      <w:pPr>
        <w:spacing w:line="320" w:lineRule="exact"/>
      </w:pPr>
    </w:p>
    <w:p w14:paraId="1F4D5B98" w14:textId="53ADCD5D" w:rsidR="00A15975" w:rsidRPr="004E557D" w:rsidRDefault="006B2265" w:rsidP="004F285F">
      <w:pPr>
        <w:spacing w:line="320" w:lineRule="exact"/>
      </w:pPr>
      <w:r w:rsidRPr="004E557D">
        <w:t xml:space="preserve">Some months prior to the publication of the Wilson Review, the </w:t>
      </w:r>
      <w:r w:rsidR="00E603A5" w:rsidRPr="004E557D">
        <w:t xml:space="preserve">National Apprenticeship Service (NAS) </w:t>
      </w:r>
      <w:r w:rsidR="00F104D6" w:rsidRPr="004E557D">
        <w:t>had</w:t>
      </w:r>
      <w:r w:rsidR="00C11C97" w:rsidRPr="004E557D">
        <w:t xml:space="preserve"> </w:t>
      </w:r>
      <w:r w:rsidR="00E603A5" w:rsidRPr="004E557D">
        <w:t>published the Higher Apprenticeship Fund Prospectus (NAS, 2011) which announced the allocation of £25m to support the develop</w:t>
      </w:r>
      <w:r w:rsidR="00600225" w:rsidRPr="004E557D">
        <w:t>ment of Higher Apprenticeships.</w:t>
      </w:r>
      <w:r w:rsidR="00F104D6" w:rsidRPr="004E557D">
        <w:t xml:space="preserve"> This Fund was also referred to in the Government’s response to the Wilson Review</w:t>
      </w:r>
      <w:r w:rsidR="00A21561" w:rsidRPr="004E557D">
        <w:t xml:space="preserve"> </w:t>
      </w:r>
      <w:r w:rsidR="00600225" w:rsidRPr="004E557D">
        <w:t>(BIS, 2012)</w:t>
      </w:r>
      <w:r w:rsidR="007824EB" w:rsidRPr="004E557D">
        <w:t>.</w:t>
      </w:r>
      <w:r w:rsidR="00792BF4" w:rsidRPr="004E557D">
        <w:t xml:space="preserve"> </w:t>
      </w:r>
      <w:r w:rsidR="00A15975" w:rsidRPr="004E557D">
        <w:t xml:space="preserve">The BIS response restated the Government’s intention to raise the numbers of starts on Higher Apprenticeships from the 2,200 in 2010/11 on 8 </w:t>
      </w:r>
      <w:r w:rsidR="002D5A42" w:rsidRPr="004E557D">
        <w:t>f</w:t>
      </w:r>
      <w:r w:rsidR="00A15975" w:rsidRPr="004E557D">
        <w:t xml:space="preserve">rameworks to 25,000 starts </w:t>
      </w:r>
      <w:r w:rsidR="002D5A42" w:rsidRPr="004E557D">
        <w:t xml:space="preserve">on ‘many more frameworks’ </w:t>
      </w:r>
      <w:r w:rsidR="00A15975" w:rsidRPr="004E557D">
        <w:t xml:space="preserve">in the following three years. </w:t>
      </w:r>
    </w:p>
    <w:p w14:paraId="4FD8C5EC" w14:textId="77777777" w:rsidR="00A15975" w:rsidRPr="004E557D" w:rsidRDefault="00A15975" w:rsidP="004F285F">
      <w:pPr>
        <w:spacing w:line="320" w:lineRule="exact"/>
      </w:pPr>
    </w:p>
    <w:p w14:paraId="7C615924" w14:textId="7D6E7834" w:rsidR="007824EB" w:rsidRPr="004E557D" w:rsidRDefault="00792BF4" w:rsidP="004F285F">
      <w:pPr>
        <w:spacing w:line="320" w:lineRule="exact"/>
      </w:pPr>
      <w:r w:rsidRPr="004E557D">
        <w:t xml:space="preserve">One of the key aims of the </w:t>
      </w:r>
      <w:r w:rsidR="00600225" w:rsidRPr="004E557D">
        <w:t xml:space="preserve">Higher Apprenticeship </w:t>
      </w:r>
      <w:r w:rsidRPr="004E557D">
        <w:t>Fund</w:t>
      </w:r>
      <w:r w:rsidR="00F45EC9" w:rsidRPr="004E557D">
        <w:t xml:space="preserve"> (chann</w:t>
      </w:r>
      <w:r w:rsidR="00B810C7" w:rsidRPr="004E557D">
        <w:t>el</w:t>
      </w:r>
      <w:r w:rsidR="00F45EC9" w:rsidRPr="004E557D">
        <w:t>l</w:t>
      </w:r>
      <w:r w:rsidR="00B810C7" w:rsidRPr="004E557D">
        <w:t>ed through the</w:t>
      </w:r>
      <w:r w:rsidR="00D55E64" w:rsidRPr="004E557D">
        <w:t xml:space="preserve"> </w:t>
      </w:r>
      <w:proofErr w:type="spellStart"/>
      <w:r w:rsidR="00D55E64" w:rsidRPr="004E557D">
        <w:t>SfA</w:t>
      </w:r>
      <w:proofErr w:type="spellEnd"/>
      <w:r w:rsidR="00296ABA" w:rsidRPr="004E557D">
        <w:t>, not HEFCE</w:t>
      </w:r>
      <w:r w:rsidR="00B810C7" w:rsidRPr="004E557D">
        <w:t xml:space="preserve">) </w:t>
      </w:r>
      <w:r w:rsidRPr="004E557D">
        <w:t>was to address the lack of apprenticeship progression route</w:t>
      </w:r>
      <w:r w:rsidR="0090223C" w:rsidRPr="004E557D">
        <w:t>s</w:t>
      </w:r>
      <w:r w:rsidRPr="004E557D">
        <w:t xml:space="preserve"> for people undertaking (Level 3) Advanced Apprenticeships. The Prospectus noted </w:t>
      </w:r>
      <w:r w:rsidR="00F161AC" w:rsidRPr="004E557D">
        <w:t xml:space="preserve">HEFCE </w:t>
      </w:r>
      <w:r w:rsidRPr="004E557D">
        <w:t>research that indicted that only 6% of Adva</w:t>
      </w:r>
      <w:r w:rsidR="00296ABA" w:rsidRPr="004E557D">
        <w:t xml:space="preserve">nced Apprentices progressed to </w:t>
      </w:r>
      <w:r w:rsidR="00790078" w:rsidRPr="004E557D">
        <w:t>HE</w:t>
      </w:r>
      <w:r w:rsidRPr="004E557D">
        <w:t xml:space="preserve"> compared with 90% of those completing A Levels within four years (NAS, 2011, p11)</w:t>
      </w:r>
      <w:r w:rsidR="00C032DE" w:rsidRPr="004E557D">
        <w:t>.</w:t>
      </w:r>
      <w:r w:rsidR="00FD6187" w:rsidRPr="004E557D">
        <w:t xml:space="preserve"> The prospectus also</w:t>
      </w:r>
      <w:r w:rsidR="0027217A" w:rsidRPr="004E557D">
        <w:t xml:space="preserve"> presented Higher Apprenticeships as a potential alternative to university education with regards to accessing </w:t>
      </w:r>
      <w:r w:rsidR="003E3AB3" w:rsidRPr="004E557D">
        <w:t>‘highly-skilled careers’</w:t>
      </w:r>
      <w:r w:rsidR="0027217A" w:rsidRPr="004E557D">
        <w:t>.</w:t>
      </w:r>
    </w:p>
    <w:p w14:paraId="5C1F5C86" w14:textId="77777777" w:rsidR="00FD6187" w:rsidRPr="004E557D" w:rsidRDefault="00FD6187" w:rsidP="004F285F">
      <w:pPr>
        <w:spacing w:line="320" w:lineRule="exact"/>
      </w:pPr>
    </w:p>
    <w:p w14:paraId="3A2D550D" w14:textId="7A327500" w:rsidR="00FD6187" w:rsidRPr="004E557D" w:rsidRDefault="00FD6187" w:rsidP="00FD6187">
      <w:pPr>
        <w:spacing w:line="320" w:lineRule="exact"/>
        <w:ind w:left="720"/>
      </w:pPr>
      <w:r w:rsidRPr="004E557D">
        <w:t>The idea of an Apprenticeship as being a route to professional status goes against the grain of universities being the ‘gateway to the professions’. (NAS, 2011, p11)</w:t>
      </w:r>
    </w:p>
    <w:p w14:paraId="3C81624D" w14:textId="77777777" w:rsidR="00A23DB6" w:rsidRPr="004E557D" w:rsidRDefault="00A23DB6" w:rsidP="007F15BA">
      <w:pPr>
        <w:spacing w:line="320" w:lineRule="exact"/>
      </w:pPr>
    </w:p>
    <w:p w14:paraId="61322577" w14:textId="37ED5783" w:rsidR="00AE3956" w:rsidRPr="004E557D" w:rsidRDefault="000470A1" w:rsidP="0086732E">
      <w:pPr>
        <w:spacing w:line="320" w:lineRule="exact"/>
      </w:pPr>
      <w:r w:rsidRPr="004E557D">
        <w:t xml:space="preserve">This oppositional positioning of ‘apprenticeships’ and ‘university’ was perhaps indicative of a degree of ambivalence, in policy terms, at the time regarding the extent of university involvement with the higher apprenticeship initiative. </w:t>
      </w:r>
      <w:r w:rsidR="00B810C7" w:rsidRPr="004E557D">
        <w:t>The Prospectus mentions universities three times</w:t>
      </w:r>
      <w:r w:rsidR="00FD781F" w:rsidRPr="004E557D">
        <w:t xml:space="preserve"> including the reference above</w:t>
      </w:r>
      <w:r w:rsidR="00B810C7" w:rsidRPr="004E557D">
        <w:t xml:space="preserve">. </w:t>
      </w:r>
      <w:r w:rsidR="00FD781F" w:rsidRPr="004E557D">
        <w:t>The other two references</w:t>
      </w:r>
      <w:r w:rsidR="00B810C7" w:rsidRPr="004E557D">
        <w:t xml:space="preserve"> </w:t>
      </w:r>
      <w:r w:rsidR="008456E5" w:rsidRPr="004E557D">
        <w:t xml:space="preserve">are </w:t>
      </w:r>
      <w:r w:rsidRPr="004E557D">
        <w:t xml:space="preserve">firstly, </w:t>
      </w:r>
      <w:r w:rsidR="00FD781F" w:rsidRPr="004E557D">
        <w:t>in terms of ensuring that universities are “fully able to support Higher Apprenticeships” (NAS, 2011, p12)</w:t>
      </w:r>
      <w:r w:rsidRPr="004E557D">
        <w:t xml:space="preserve"> although it is not clear </w:t>
      </w:r>
      <w:r w:rsidR="00EA504C" w:rsidRPr="004E557D">
        <w:t>what</w:t>
      </w:r>
      <w:r w:rsidRPr="004E557D">
        <w:t xml:space="preserve"> ‘support’ meant in this regard</w:t>
      </w:r>
      <w:r w:rsidR="007C4F45" w:rsidRPr="004E557D">
        <w:t xml:space="preserve"> and </w:t>
      </w:r>
      <w:r w:rsidRPr="004E557D">
        <w:t xml:space="preserve">secondly, </w:t>
      </w:r>
      <w:r w:rsidR="007C4F45" w:rsidRPr="004E557D">
        <w:t xml:space="preserve">NAS wanting universities (amongst other types of provider) to </w:t>
      </w:r>
      <w:r w:rsidR="008C466D" w:rsidRPr="004E557D">
        <w:t>‘</w:t>
      </w:r>
      <w:r w:rsidR="007C4F45" w:rsidRPr="004E557D">
        <w:t>work alongside</w:t>
      </w:r>
      <w:r w:rsidR="008C466D" w:rsidRPr="004E557D">
        <w:t>’</w:t>
      </w:r>
      <w:r w:rsidR="007C4F45" w:rsidRPr="004E557D">
        <w:t xml:space="preserve"> employers to develop innovative model</w:t>
      </w:r>
      <w:r w:rsidR="007B01D7" w:rsidRPr="004E557D">
        <w:t>s</w:t>
      </w:r>
      <w:r w:rsidR="007C4F45" w:rsidRPr="004E557D">
        <w:t xml:space="preserve"> for Higher Apprenticeships</w:t>
      </w:r>
      <w:r w:rsidR="00FD781F" w:rsidRPr="004E557D">
        <w:t>.</w:t>
      </w:r>
      <w:r w:rsidR="008A719D" w:rsidRPr="004E557D">
        <w:t xml:space="preserve"> </w:t>
      </w:r>
      <w:r w:rsidR="00F82C1E" w:rsidRPr="004E557D">
        <w:t xml:space="preserve">The Fund aimed at: </w:t>
      </w:r>
      <w:r w:rsidR="00F82C1E" w:rsidRPr="004E557D">
        <w:rPr>
          <w:i/>
        </w:rPr>
        <w:t>co-investment</w:t>
      </w:r>
      <w:r w:rsidR="00F82C1E" w:rsidRPr="004E557D">
        <w:t xml:space="preserve"> to ‘kick-start’ employer contribution to the cost of Apprenticeships; </w:t>
      </w:r>
      <w:r w:rsidR="00F82C1E" w:rsidRPr="004E557D">
        <w:rPr>
          <w:i/>
        </w:rPr>
        <w:t>employer leadership</w:t>
      </w:r>
      <w:r w:rsidR="00F82C1E" w:rsidRPr="004E557D">
        <w:t xml:space="preserve"> to drive ‘occupational partnerships’ and programme development; </w:t>
      </w:r>
      <w:r w:rsidR="00F82C1E" w:rsidRPr="004E557D">
        <w:rPr>
          <w:i/>
        </w:rPr>
        <w:t>transformation</w:t>
      </w:r>
      <w:r w:rsidR="00F82C1E" w:rsidRPr="004E557D">
        <w:t xml:space="preserve"> of employer recruitment and training; </w:t>
      </w:r>
      <w:r w:rsidR="00F82C1E" w:rsidRPr="004E557D">
        <w:rPr>
          <w:i/>
        </w:rPr>
        <w:t>innovation</w:t>
      </w:r>
      <w:r w:rsidR="00F82C1E" w:rsidRPr="004E557D">
        <w:t xml:space="preserve"> to produce new models of Higher Apprenticeship (NAS, 2011, p15)</w:t>
      </w:r>
      <w:r w:rsidR="009051B5" w:rsidRPr="004E557D">
        <w:t>.</w:t>
      </w:r>
      <w:r w:rsidR="00B66807" w:rsidRPr="004E557D">
        <w:t xml:space="preserve"> The kinds of organisations that were eligible to apply for funding included: employers; </w:t>
      </w:r>
      <w:r w:rsidR="00854C6D" w:rsidRPr="004E557D">
        <w:t>SSC</w:t>
      </w:r>
      <w:r w:rsidR="00B66807" w:rsidRPr="004E557D">
        <w:t xml:space="preserve">s; Professional Bodies; National Skills Academies; employer groups; learning providers, including independents; FE colleges and (lastly) HE institutions. Of the </w:t>
      </w:r>
      <w:r w:rsidR="00A3708B" w:rsidRPr="004E557D">
        <w:t xml:space="preserve">17 projects approved, </w:t>
      </w:r>
      <w:r w:rsidR="00635562" w:rsidRPr="004E557D">
        <w:t xml:space="preserve">only 2 were from universities. </w:t>
      </w:r>
      <w:r w:rsidR="004B3668" w:rsidRPr="004E557D">
        <w:t xml:space="preserve">Given the concurrent exclusion of the skills agenda and apprenticeships from the 2011 </w:t>
      </w:r>
      <w:r w:rsidR="00790078" w:rsidRPr="004E557D">
        <w:t>HE</w:t>
      </w:r>
      <w:r w:rsidR="004B3668" w:rsidRPr="004E557D">
        <w:t xml:space="preserve"> White Paper (as discussed above), it is perhaps unsurprising</w:t>
      </w:r>
      <w:r w:rsidR="00A6106C" w:rsidRPr="004E557D">
        <w:t xml:space="preserve"> that univ</w:t>
      </w:r>
      <w:r w:rsidR="00DF1927" w:rsidRPr="004E557D">
        <w:t>ersities’</w:t>
      </w:r>
      <w:r w:rsidR="004B3668" w:rsidRPr="004E557D">
        <w:t xml:space="preserve"> seeming interest in the Higher Apprenticeship Fund was low. It has been argued (Anderson et al, 2012) that this should have been of concern to policy makers given the considerable expertise that a significant number of universities had demonstrated through HEFCE workforce development activity in collaboration with employers</w:t>
      </w:r>
      <w:r w:rsidR="00A6106C" w:rsidRPr="004E557D">
        <w:t xml:space="preserve"> that could have been brought to bear to support the development of innovative models of </w:t>
      </w:r>
      <w:r w:rsidR="004321EB" w:rsidRPr="004E557D">
        <w:t>Higher Apprenticeships</w:t>
      </w:r>
      <w:r w:rsidR="004B3668" w:rsidRPr="004E557D">
        <w:t>.</w:t>
      </w:r>
    </w:p>
    <w:p w14:paraId="7654A7E3" w14:textId="77777777" w:rsidR="00AE3956" w:rsidRPr="004E557D" w:rsidRDefault="00AE3956" w:rsidP="0086732E">
      <w:pPr>
        <w:spacing w:line="320" w:lineRule="exact"/>
      </w:pPr>
    </w:p>
    <w:p w14:paraId="45ADB1A3" w14:textId="30D7B987" w:rsidR="00CA7245" w:rsidRPr="004E557D" w:rsidRDefault="00AE3956" w:rsidP="0086732E">
      <w:pPr>
        <w:spacing w:line="320" w:lineRule="exact"/>
      </w:pPr>
      <w:r w:rsidRPr="004E557D">
        <w:t xml:space="preserve">Anderson et al (2012) also argue that other issues were operating as a barrier to university engagement with the Higher Apprenticeship initiative. </w:t>
      </w:r>
      <w:r w:rsidR="00417601" w:rsidRPr="004E557D">
        <w:t>While the Higher Apprenticeship Fund invited</w:t>
      </w:r>
      <w:r w:rsidR="004B3668" w:rsidRPr="004E557D">
        <w:t xml:space="preserve"> </w:t>
      </w:r>
      <w:r w:rsidR="00417601" w:rsidRPr="004E557D">
        <w:t>the development of innovative new models</w:t>
      </w:r>
      <w:r w:rsidR="0029163D" w:rsidRPr="004E557D">
        <w:t>,</w:t>
      </w:r>
      <w:r w:rsidR="00417601" w:rsidRPr="004E557D">
        <w:t xml:space="preserve"> significant aspects of the FE focussed system for approving and funding Apprenticeships discouraged university involvement. Specifically, the presumption that ‘knowledge’ and ‘competence’ must be separately </w:t>
      </w:r>
      <w:r w:rsidR="00C60CE4" w:rsidRPr="004E557D">
        <w:t xml:space="preserve">delivered or </w:t>
      </w:r>
      <w:r w:rsidR="00417601" w:rsidRPr="004E557D">
        <w:t xml:space="preserve">assessed ran counter to the </w:t>
      </w:r>
      <w:r w:rsidR="0029163D" w:rsidRPr="004E557D">
        <w:t xml:space="preserve">best practice </w:t>
      </w:r>
      <w:r w:rsidR="00417601" w:rsidRPr="004E557D">
        <w:t xml:space="preserve">experience of universities who had collaborated with employers to deliver professional and work-based programmes </w:t>
      </w:r>
      <w:r w:rsidR="0049773D" w:rsidRPr="004E557D">
        <w:t xml:space="preserve">including apprenticeships </w:t>
      </w:r>
      <w:r w:rsidR="00417601" w:rsidRPr="004E557D">
        <w:t>(</w:t>
      </w:r>
      <w:r w:rsidR="000D7604">
        <w:t>Jansen et al, 2015</w:t>
      </w:r>
      <w:r w:rsidR="0049773D" w:rsidRPr="004E557D">
        <w:t xml:space="preserve">; </w:t>
      </w:r>
      <w:r w:rsidR="00CA748C" w:rsidRPr="004E557D">
        <w:t>Bravenboer and Workman</w:t>
      </w:r>
      <w:r w:rsidR="001653C6" w:rsidRPr="004E557D">
        <w:t>,</w:t>
      </w:r>
      <w:r w:rsidR="00CA748C" w:rsidRPr="004E557D">
        <w:t xml:space="preserve"> 2016,</w:t>
      </w:r>
      <w:r w:rsidR="00621EEC" w:rsidRPr="004E557D">
        <w:t xml:space="preserve"> 2016a;</w:t>
      </w:r>
      <w:r w:rsidR="00CA748C" w:rsidRPr="004E557D">
        <w:t xml:space="preserve"> </w:t>
      </w:r>
      <w:r w:rsidR="00417601" w:rsidRPr="004E557D">
        <w:t>Bravenboer and Lester</w:t>
      </w:r>
      <w:r w:rsidR="001653C6" w:rsidRPr="004E557D">
        <w:t>,</w:t>
      </w:r>
      <w:r w:rsidR="00417601" w:rsidRPr="004E557D">
        <w:t xml:space="preserve"> 2016). </w:t>
      </w:r>
    </w:p>
    <w:p w14:paraId="03FAC03E" w14:textId="77777777" w:rsidR="00CA7245" w:rsidRPr="004E557D" w:rsidRDefault="00CA7245" w:rsidP="0086732E">
      <w:pPr>
        <w:spacing w:line="320" w:lineRule="exact"/>
      </w:pPr>
    </w:p>
    <w:p w14:paraId="5565EC93" w14:textId="21FAC4C7" w:rsidR="00B810C7" w:rsidRPr="004E557D" w:rsidRDefault="00417601" w:rsidP="0086732E">
      <w:pPr>
        <w:spacing w:line="320" w:lineRule="exact"/>
      </w:pPr>
      <w:r w:rsidRPr="004E557D">
        <w:t>Perhaps most significantly,</w:t>
      </w:r>
      <w:r w:rsidR="009E0316" w:rsidRPr="004E557D">
        <w:t xml:space="preserve"> the lack of a level playing field in terms of the public funding available for </w:t>
      </w:r>
      <w:r w:rsidR="0029163D" w:rsidRPr="004E557D">
        <w:t>university</w:t>
      </w:r>
      <w:r w:rsidR="00CA748C" w:rsidRPr="004E557D">
        <w:t xml:space="preserve"> qualifications </w:t>
      </w:r>
      <w:r w:rsidR="00E4519E" w:rsidRPr="004E557D">
        <w:t>compared with</w:t>
      </w:r>
      <w:r w:rsidR="0029163D" w:rsidRPr="004E557D">
        <w:t xml:space="preserve"> ‘</w:t>
      </w:r>
      <w:r w:rsidR="00CA748C" w:rsidRPr="004E557D">
        <w:t>non-prescribed</w:t>
      </w:r>
      <w:r w:rsidR="0029163D" w:rsidRPr="004E557D">
        <w:t>’</w:t>
      </w:r>
      <w:r w:rsidR="00CA748C" w:rsidRPr="004E557D">
        <w:t xml:space="preserve"> </w:t>
      </w:r>
      <w:proofErr w:type="spellStart"/>
      <w:r w:rsidR="0029163D" w:rsidRPr="004E557D">
        <w:t>SfA</w:t>
      </w:r>
      <w:proofErr w:type="spellEnd"/>
      <w:r w:rsidR="0029163D" w:rsidRPr="004E557D">
        <w:t xml:space="preserve"> funded </w:t>
      </w:r>
      <w:r w:rsidR="00CA748C" w:rsidRPr="004E557D">
        <w:t xml:space="preserve">qualifications </w:t>
      </w:r>
      <w:r w:rsidR="00E4519E" w:rsidRPr="004E557D">
        <w:t xml:space="preserve">(up to 50% of training costs for 19+ apprentices) </w:t>
      </w:r>
      <w:r w:rsidR="00CA748C" w:rsidRPr="004E557D">
        <w:t>presented a major barrier to em</w:t>
      </w:r>
      <w:r w:rsidR="0029163D" w:rsidRPr="004E557D">
        <w:t>ployer ‘buy-in’</w:t>
      </w:r>
      <w:r w:rsidR="00CA748C" w:rsidRPr="004E557D">
        <w:t>.</w:t>
      </w:r>
      <w:r w:rsidR="000624E1" w:rsidRPr="004E557D">
        <w:t xml:space="preserve"> </w:t>
      </w:r>
      <w:r w:rsidR="008737BF" w:rsidRPr="004E557D">
        <w:t xml:space="preserve">Keep (2014) </w:t>
      </w:r>
      <w:r w:rsidR="00777980" w:rsidRPr="004E557D">
        <w:t>identified that “the Byzantine and un-coordinated set of structures that fund, direct and inform skills provision at various levels”</w:t>
      </w:r>
      <w:r w:rsidR="008737BF" w:rsidRPr="004E557D">
        <w:t xml:space="preserve"> (Keep, 2014, p254) represent a ‘key stumbling block’</w:t>
      </w:r>
      <w:r w:rsidR="005A2B62" w:rsidRPr="004E557D">
        <w:t xml:space="preserve"> in developing skills provision</w:t>
      </w:r>
      <w:r w:rsidR="005945AA" w:rsidRPr="004E557D">
        <w:t>.</w:t>
      </w:r>
    </w:p>
    <w:p w14:paraId="5BAE0D1D" w14:textId="77777777" w:rsidR="00703499" w:rsidRPr="004E557D" w:rsidRDefault="00703499" w:rsidP="0086732E">
      <w:pPr>
        <w:spacing w:line="320" w:lineRule="exact"/>
      </w:pPr>
    </w:p>
    <w:p w14:paraId="304EC246" w14:textId="4C5CB623" w:rsidR="00703499" w:rsidRPr="004E557D" w:rsidRDefault="00703499" w:rsidP="0086732E">
      <w:pPr>
        <w:spacing w:line="320" w:lineRule="exact"/>
      </w:pPr>
      <w:r w:rsidRPr="004E557D">
        <w:t>The Higher Apprenticeship Fund Prospectus referenced research from the Professional A</w:t>
      </w:r>
      <w:r w:rsidR="00090EFC" w:rsidRPr="004E557D">
        <w:t>ssociation</w:t>
      </w:r>
      <w:r w:rsidRPr="004E557D">
        <w:t xml:space="preserve"> </w:t>
      </w:r>
      <w:r w:rsidR="00B25465" w:rsidRPr="004E557D">
        <w:t>Research</w:t>
      </w:r>
      <w:r w:rsidRPr="004E557D">
        <w:t xml:space="preserve"> Network (PARN) that indicated that 70% of Professional Associations thought that Higher Apprenticeships could be an appropriate route to</w:t>
      </w:r>
      <w:r w:rsidR="003E634A" w:rsidRPr="004E557D">
        <w:t xml:space="preserve"> achieve</w:t>
      </w:r>
      <w:r w:rsidRPr="004E557D">
        <w:t xml:space="preserve"> professional status</w:t>
      </w:r>
      <w:r w:rsidR="00443A57">
        <w:t xml:space="preserve"> (Williams and Hanso</w:t>
      </w:r>
      <w:r w:rsidR="00F64C30" w:rsidRPr="004E557D">
        <w:t>n</w:t>
      </w:r>
      <w:r w:rsidR="00B25465" w:rsidRPr="004E557D">
        <w:t>, 2011)</w:t>
      </w:r>
      <w:r w:rsidR="00F64C30" w:rsidRPr="004E557D">
        <w:t xml:space="preserve">. However, </w:t>
      </w:r>
      <w:r w:rsidR="00443A57">
        <w:t>Williams and Hanso</w:t>
      </w:r>
      <w:bookmarkStart w:id="0" w:name="_GoBack"/>
      <w:bookmarkEnd w:id="0"/>
      <w:r w:rsidR="00B33CE4" w:rsidRPr="004E557D">
        <w:t>n</w:t>
      </w:r>
      <w:r w:rsidR="00F64C30" w:rsidRPr="004E557D">
        <w:t xml:space="preserve"> </w:t>
      </w:r>
      <w:r w:rsidR="00B33CE4" w:rsidRPr="004E557D">
        <w:t xml:space="preserve">(2011) </w:t>
      </w:r>
      <w:r w:rsidR="00F64C30" w:rsidRPr="004E557D">
        <w:t xml:space="preserve">also </w:t>
      </w:r>
      <w:r w:rsidR="00B33CE4" w:rsidRPr="004E557D">
        <w:t>identify</w:t>
      </w:r>
      <w:r w:rsidR="00F64C30" w:rsidRPr="004E557D">
        <w:t xml:space="preserve"> that the level </w:t>
      </w:r>
      <w:r w:rsidR="00B33CE4" w:rsidRPr="004E557D">
        <w:t>at which</w:t>
      </w:r>
      <w:r w:rsidR="00F64C30" w:rsidRPr="004E557D">
        <w:t xml:space="preserve"> professional status</w:t>
      </w:r>
      <w:r w:rsidR="00B33CE4" w:rsidRPr="004E557D">
        <w:t xml:space="preserve"> is recognised</w:t>
      </w:r>
      <w:r w:rsidR="00F64C30" w:rsidRPr="004E557D">
        <w:t xml:space="preserve"> for the majority of Professional Associations</w:t>
      </w:r>
      <w:r w:rsidR="00B33CE4" w:rsidRPr="004E557D">
        <w:t xml:space="preserve"> was at level 6 and above</w:t>
      </w:r>
      <w:r w:rsidR="000F5DE3" w:rsidRPr="004E557D">
        <w:t xml:space="preserve"> (although this is </w:t>
      </w:r>
      <w:r w:rsidR="0085191C" w:rsidRPr="004E557D">
        <w:t>not m</w:t>
      </w:r>
      <w:r w:rsidR="000F5DE3" w:rsidRPr="004E557D">
        <w:t>e</w:t>
      </w:r>
      <w:r w:rsidR="0085191C" w:rsidRPr="004E557D">
        <w:t>n</w:t>
      </w:r>
      <w:r w:rsidR="000F5DE3" w:rsidRPr="004E557D">
        <w:t>tioned in the prospectus)</w:t>
      </w:r>
      <w:r w:rsidR="00B33CE4" w:rsidRPr="004E557D">
        <w:t>.</w:t>
      </w:r>
      <w:r w:rsidR="007323B7" w:rsidRPr="004E557D">
        <w:t xml:space="preserve"> The limitation of Higher Apprenticeships to level 5, as regulated by </w:t>
      </w:r>
      <w:r w:rsidR="003A2A17" w:rsidRPr="004E557D">
        <w:t>SASE</w:t>
      </w:r>
      <w:r w:rsidR="0089732C" w:rsidRPr="004E557D">
        <w:t xml:space="preserve"> </w:t>
      </w:r>
      <w:r w:rsidR="007323B7" w:rsidRPr="004E557D">
        <w:t>(BIS, 2011</w:t>
      </w:r>
      <w:r w:rsidR="00710005" w:rsidRPr="004E557D">
        <w:t>a</w:t>
      </w:r>
      <w:r w:rsidR="007323B7" w:rsidRPr="004E557D">
        <w:t xml:space="preserve">), meant that degree level apprenticeships were seemingly excluded. Given that degree level provision was </w:t>
      </w:r>
      <w:r w:rsidR="003E634A" w:rsidRPr="004E557D">
        <w:t>(</w:t>
      </w:r>
      <w:r w:rsidR="007323B7" w:rsidRPr="004E557D">
        <w:t>and remains</w:t>
      </w:r>
      <w:r w:rsidR="003E634A" w:rsidRPr="004E557D">
        <w:t>)</w:t>
      </w:r>
      <w:r w:rsidR="007323B7" w:rsidRPr="004E557D">
        <w:t xml:space="preserve"> the mainstay of university business, it is perhaps unsurprising that most universities (including those previously engaged in workforce development activity) considered </w:t>
      </w:r>
      <w:r w:rsidR="00EA504C" w:rsidRPr="004E557D">
        <w:t xml:space="preserve">the </w:t>
      </w:r>
      <w:r w:rsidR="007323B7" w:rsidRPr="004E557D">
        <w:t>Higher Apprenticeship agenda ‘off mission’.</w:t>
      </w:r>
    </w:p>
    <w:p w14:paraId="1D9BFC0F" w14:textId="77777777" w:rsidR="0089732C" w:rsidRPr="004E557D" w:rsidRDefault="0089732C" w:rsidP="004B3668">
      <w:pPr>
        <w:spacing w:line="320" w:lineRule="exact"/>
      </w:pPr>
    </w:p>
    <w:p w14:paraId="04218021" w14:textId="070FCC36" w:rsidR="0089732C" w:rsidRPr="004E557D" w:rsidRDefault="0089732C" w:rsidP="004B3668">
      <w:pPr>
        <w:spacing w:line="320" w:lineRule="exact"/>
        <w:rPr>
          <w:b/>
        </w:rPr>
      </w:pPr>
      <w:r w:rsidRPr="004E557D">
        <w:rPr>
          <w:b/>
        </w:rPr>
        <w:t>The alignment of Higher Apprenticeships with university qualifications</w:t>
      </w:r>
    </w:p>
    <w:p w14:paraId="143D19B4" w14:textId="1251FCAB" w:rsidR="0089732C" w:rsidRPr="004E557D" w:rsidRDefault="00F14D0B" w:rsidP="004B3668">
      <w:pPr>
        <w:spacing w:line="320" w:lineRule="exact"/>
      </w:pPr>
      <w:r w:rsidRPr="004E557D">
        <w:t>T</w:t>
      </w:r>
      <w:r w:rsidR="0089732C" w:rsidRPr="004E557D">
        <w:t>he limitations of the 2011 SASE</w:t>
      </w:r>
      <w:r w:rsidR="005E042E" w:rsidRPr="004E557D">
        <w:t xml:space="preserve"> in restricting Higher Apprenticeships to level 5 presented a barrier to the aspiration that Higher Apprenticeships could provide an ‘alternative’ route to the professions. </w:t>
      </w:r>
      <w:r w:rsidR="00973416" w:rsidRPr="004E557D">
        <w:t xml:space="preserve">More than this, </w:t>
      </w:r>
      <w:r w:rsidRPr="004E557D">
        <w:t xml:space="preserve">the 2011 </w:t>
      </w:r>
      <w:r w:rsidR="00973416" w:rsidRPr="004E557D">
        <w:t xml:space="preserve">SASE did not significantly emphasis the role of professional recognition as it primarily focused on requiring ‘knowledge’ qualifications (typically provided by colleges or private training providers) and </w:t>
      </w:r>
      <w:r w:rsidR="00BE5E52" w:rsidRPr="004E557D">
        <w:t>National Vocational Qualifications (</w:t>
      </w:r>
      <w:r w:rsidR="00973416" w:rsidRPr="004E557D">
        <w:t>NVQs</w:t>
      </w:r>
      <w:r w:rsidR="00BE5E52" w:rsidRPr="004E557D">
        <w:t>)</w:t>
      </w:r>
      <w:r w:rsidR="00973416" w:rsidRPr="004E557D">
        <w:t xml:space="preserve"> build around National Occupational Standards. Another issue with the 2011 SASE was the significant variation in what might constitute an Apprenticeship. The qualifications required by SASE could range from 10 credits in size to 240 credits for Foundation Degrees</w:t>
      </w:r>
      <w:r w:rsidR="00DC400C" w:rsidRPr="004E557D">
        <w:t xml:space="preserve"> or</w:t>
      </w:r>
      <w:r w:rsidR="00B94092" w:rsidRPr="004E557D">
        <w:t xml:space="preserve"> </w:t>
      </w:r>
      <w:r w:rsidR="00BE5E52" w:rsidRPr="004E557D">
        <w:t>Higher National Diplomas (</w:t>
      </w:r>
      <w:r w:rsidR="00B94092" w:rsidRPr="004E557D">
        <w:t>HNDs</w:t>
      </w:r>
      <w:r w:rsidR="00BE5E52" w:rsidRPr="004E557D">
        <w:t>)</w:t>
      </w:r>
      <w:r w:rsidR="00B94092" w:rsidRPr="004E557D">
        <w:t>. T</w:t>
      </w:r>
      <w:r w:rsidR="00973416" w:rsidRPr="004E557D">
        <w:t xml:space="preserve">hese issues meant that there was a major misalignment between the potential requirements </w:t>
      </w:r>
      <w:r w:rsidR="00B94092" w:rsidRPr="004E557D">
        <w:t>for</w:t>
      </w:r>
      <w:r w:rsidR="00973416" w:rsidRPr="004E557D">
        <w:t xml:space="preserve"> Higher Apprenticeship</w:t>
      </w:r>
      <w:r w:rsidR="00B94092" w:rsidRPr="004E557D">
        <w:t>s</w:t>
      </w:r>
      <w:r w:rsidR="00973416" w:rsidRPr="004E557D">
        <w:t xml:space="preserve"> and university </w:t>
      </w:r>
      <w:r w:rsidR="00790078" w:rsidRPr="004E557D">
        <w:t>HE</w:t>
      </w:r>
      <w:r w:rsidR="00973416" w:rsidRPr="004E557D">
        <w:t xml:space="preserve"> qualifications.</w:t>
      </w:r>
    </w:p>
    <w:p w14:paraId="02646BA9" w14:textId="77777777" w:rsidR="0076684C" w:rsidRPr="004E557D" w:rsidRDefault="0076684C" w:rsidP="004B3668">
      <w:pPr>
        <w:spacing w:line="320" w:lineRule="exact"/>
      </w:pPr>
    </w:p>
    <w:p w14:paraId="6182F155" w14:textId="14FA0E78" w:rsidR="0076684C" w:rsidRPr="004E557D" w:rsidRDefault="00F33506" w:rsidP="004B3668">
      <w:pPr>
        <w:spacing w:line="320" w:lineRule="exact"/>
        <w:rPr>
          <w:iCs/>
        </w:rPr>
      </w:pPr>
      <w:r w:rsidRPr="004E557D">
        <w:t>In 2012</w:t>
      </w:r>
      <w:r w:rsidR="0076684C" w:rsidRPr="004E557D">
        <w:t xml:space="preserve">, NAS </w:t>
      </w:r>
      <w:r w:rsidRPr="004E557D">
        <w:t>conducted</w:t>
      </w:r>
      <w:r w:rsidR="0076684C" w:rsidRPr="004E557D">
        <w:t xml:space="preserve"> a national consultation on</w:t>
      </w:r>
      <w:r w:rsidR="00A248D4" w:rsidRPr="004E557D">
        <w:t xml:space="preserve"> </w:t>
      </w:r>
      <w:r w:rsidR="00A248D4" w:rsidRPr="004E557D">
        <w:rPr>
          <w:i/>
          <w:iCs/>
        </w:rPr>
        <w:t xml:space="preserve">Meeting Employer Skills Needs: Consultation on Criteria for Higher Apprenticeships at Degree Levels </w:t>
      </w:r>
      <w:r w:rsidR="00BE2E62" w:rsidRPr="004E557D">
        <w:rPr>
          <w:iCs/>
        </w:rPr>
        <w:t>(NAS, 2012</w:t>
      </w:r>
      <w:r w:rsidR="00A248D4" w:rsidRPr="004E557D">
        <w:rPr>
          <w:iCs/>
        </w:rPr>
        <w:t>)</w:t>
      </w:r>
      <w:r w:rsidR="00E457CA" w:rsidRPr="004E557D">
        <w:rPr>
          <w:iCs/>
        </w:rPr>
        <w:t xml:space="preserve"> which resulted in significant revisions to SASE</w:t>
      </w:r>
      <w:r w:rsidR="00187223" w:rsidRPr="004E557D">
        <w:rPr>
          <w:iCs/>
        </w:rPr>
        <w:t xml:space="preserve"> that sought to address many of the issues of misalignment with university qualifications outlined above. The revised SASE (BIS, 2013) </w:t>
      </w:r>
      <w:r w:rsidR="000D7E2A" w:rsidRPr="004E557D">
        <w:rPr>
          <w:iCs/>
        </w:rPr>
        <w:t xml:space="preserve">included changes </w:t>
      </w:r>
      <w:r w:rsidR="00410A22" w:rsidRPr="004E557D">
        <w:rPr>
          <w:iCs/>
        </w:rPr>
        <w:t xml:space="preserve">to raise </w:t>
      </w:r>
      <w:r w:rsidR="00187223" w:rsidRPr="004E557D">
        <w:rPr>
          <w:iCs/>
        </w:rPr>
        <w:t xml:space="preserve">Higher Apprenticeships </w:t>
      </w:r>
      <w:r w:rsidR="000D7E2A" w:rsidRPr="004E557D">
        <w:rPr>
          <w:iCs/>
        </w:rPr>
        <w:t>Bachelors and Masters degree levels (</w:t>
      </w:r>
      <w:r w:rsidR="00187223" w:rsidRPr="004E557D">
        <w:rPr>
          <w:iCs/>
        </w:rPr>
        <w:t>6 and 7</w:t>
      </w:r>
      <w:r w:rsidR="000D7E2A" w:rsidRPr="004E557D">
        <w:rPr>
          <w:iCs/>
        </w:rPr>
        <w:t>)</w:t>
      </w:r>
      <w:r w:rsidR="000F1450" w:rsidRPr="004E557D">
        <w:rPr>
          <w:iCs/>
        </w:rPr>
        <w:t xml:space="preserve">. The qualifications included </w:t>
      </w:r>
      <w:r w:rsidR="00410A22" w:rsidRPr="004E557D">
        <w:rPr>
          <w:iCs/>
        </w:rPr>
        <w:t xml:space="preserve">in Higher Apprenticeships </w:t>
      </w:r>
      <w:r w:rsidR="000F1450" w:rsidRPr="004E557D">
        <w:rPr>
          <w:iCs/>
        </w:rPr>
        <w:t>would now</w:t>
      </w:r>
      <w:r w:rsidR="00187223" w:rsidRPr="004E557D">
        <w:rPr>
          <w:iCs/>
        </w:rPr>
        <w:t xml:space="preserve"> need to constitute at least 90 credits at level 4 and 5 and</w:t>
      </w:r>
      <w:r w:rsidR="000F1450" w:rsidRPr="004E557D">
        <w:rPr>
          <w:iCs/>
        </w:rPr>
        <w:t xml:space="preserve"> 120 credits at levels 6 and 7 and could be </w:t>
      </w:r>
      <w:r w:rsidR="00187223" w:rsidRPr="004E557D">
        <w:rPr>
          <w:iCs/>
        </w:rPr>
        <w:t>a single integrated qualification that did not require separate assessment of ‘knowledge’ and ‘c</w:t>
      </w:r>
      <w:r w:rsidR="000F1450" w:rsidRPr="004E557D">
        <w:rPr>
          <w:iCs/>
        </w:rPr>
        <w:t xml:space="preserve">ompetence’. The alignment of Higher Apprenticeships with professional status recognition was now also required where a relevant Professional Association existed. Whilst these changes left the </w:t>
      </w:r>
      <w:r w:rsidR="00FD4B88" w:rsidRPr="004E557D">
        <w:rPr>
          <w:iCs/>
        </w:rPr>
        <w:t xml:space="preserve">matter of the HE/FE </w:t>
      </w:r>
      <w:r w:rsidR="00945F85" w:rsidRPr="004E557D">
        <w:rPr>
          <w:iCs/>
        </w:rPr>
        <w:t xml:space="preserve">apprenticeship </w:t>
      </w:r>
      <w:r w:rsidR="00FD4B88" w:rsidRPr="004E557D">
        <w:rPr>
          <w:iCs/>
        </w:rPr>
        <w:t>funding issue unresolved, the revised SASE opened the door for those universities who had an interest (and expertise) in collaborating with employers to develop degree level apprenticeships</w:t>
      </w:r>
      <w:r w:rsidR="00C87DFE" w:rsidRPr="004E557D">
        <w:rPr>
          <w:iCs/>
        </w:rPr>
        <w:t xml:space="preserve"> (Bravenboer and Lester</w:t>
      </w:r>
      <w:r w:rsidR="00332ECE" w:rsidRPr="004E557D">
        <w:rPr>
          <w:iCs/>
        </w:rPr>
        <w:t>,</w:t>
      </w:r>
      <w:r w:rsidR="00C87DFE" w:rsidRPr="004E557D">
        <w:rPr>
          <w:iCs/>
        </w:rPr>
        <w:t xml:space="preserve"> 2016)</w:t>
      </w:r>
      <w:r w:rsidR="00FD4B88" w:rsidRPr="004E557D">
        <w:rPr>
          <w:iCs/>
        </w:rPr>
        <w:t>.</w:t>
      </w:r>
      <w:r w:rsidR="00EF30CA" w:rsidRPr="004E557D">
        <w:rPr>
          <w:iCs/>
        </w:rPr>
        <w:t xml:space="preserve"> </w:t>
      </w:r>
    </w:p>
    <w:p w14:paraId="1A8E77C6" w14:textId="77777777" w:rsidR="0059402C" w:rsidRPr="004E557D" w:rsidRDefault="0059402C" w:rsidP="004B3668">
      <w:pPr>
        <w:spacing w:line="320" w:lineRule="exact"/>
        <w:rPr>
          <w:iCs/>
        </w:rPr>
      </w:pPr>
    </w:p>
    <w:p w14:paraId="66959CF3" w14:textId="2B852A1B" w:rsidR="0059402C" w:rsidRPr="004E557D" w:rsidRDefault="0059402C" w:rsidP="004B3668">
      <w:pPr>
        <w:spacing w:line="320" w:lineRule="exact"/>
        <w:rPr>
          <w:b/>
          <w:iCs/>
        </w:rPr>
      </w:pPr>
      <w:r w:rsidRPr="004E557D">
        <w:rPr>
          <w:b/>
          <w:iCs/>
        </w:rPr>
        <w:t>Back to the future of apprenticeships</w:t>
      </w:r>
    </w:p>
    <w:p w14:paraId="0F48A882" w14:textId="77777777" w:rsidR="00FA4338" w:rsidRPr="004E557D" w:rsidRDefault="0059402C" w:rsidP="00CE7B80">
      <w:pPr>
        <w:spacing w:line="320" w:lineRule="exact"/>
        <w:rPr>
          <w:iCs/>
        </w:rPr>
      </w:pPr>
      <w:r w:rsidRPr="004E557D">
        <w:rPr>
          <w:iCs/>
        </w:rPr>
        <w:t>During the same period that NAS were conducting the consultation on the revised SASE, the UK Government had also commissioned a separate review of apprenticeships. The Richard Review (Richard, 2012)</w:t>
      </w:r>
      <w:r w:rsidR="00B14396" w:rsidRPr="004E557D">
        <w:rPr>
          <w:iCs/>
        </w:rPr>
        <w:t xml:space="preserve"> primarily considered apprenticeships at level 2 and 3 and did not explicitly focus on higher apprenticeships. However, the recommendations from the review were related to all apprenticeships </w:t>
      </w:r>
      <w:r w:rsidR="004D36B8" w:rsidRPr="004E557D">
        <w:rPr>
          <w:iCs/>
        </w:rPr>
        <w:t>but</w:t>
      </w:r>
      <w:r w:rsidR="00B14396" w:rsidRPr="004E557D">
        <w:rPr>
          <w:iCs/>
        </w:rPr>
        <w:t xml:space="preserve"> did not </w:t>
      </w:r>
      <w:r w:rsidR="004D36B8" w:rsidRPr="004E557D">
        <w:rPr>
          <w:iCs/>
        </w:rPr>
        <w:t xml:space="preserve">reflect </w:t>
      </w:r>
      <w:r w:rsidR="00B14396" w:rsidRPr="004E557D">
        <w:rPr>
          <w:iCs/>
        </w:rPr>
        <w:t xml:space="preserve">the </w:t>
      </w:r>
      <w:r w:rsidR="003E76A9" w:rsidRPr="004E557D">
        <w:rPr>
          <w:iCs/>
        </w:rPr>
        <w:t>outcomes of the consultation on Higher Apprenticeships at Degree Levels.</w:t>
      </w:r>
      <w:r w:rsidR="004D36B8" w:rsidRPr="004E557D">
        <w:rPr>
          <w:iCs/>
        </w:rPr>
        <w:t xml:space="preserve"> </w:t>
      </w:r>
      <w:r w:rsidR="00CC6665" w:rsidRPr="004E557D">
        <w:rPr>
          <w:iCs/>
        </w:rPr>
        <w:t>The Review does recognis</w:t>
      </w:r>
      <w:r w:rsidR="00E20D0B" w:rsidRPr="004E557D">
        <w:rPr>
          <w:iCs/>
        </w:rPr>
        <w:t xml:space="preserve">e that it would be beneficial if apprenticeships were held in the same esteem as university qualifications but does not consider how they might be integrated with apprenticeships. </w:t>
      </w:r>
    </w:p>
    <w:p w14:paraId="3789F708" w14:textId="77777777" w:rsidR="00FA4338" w:rsidRPr="004E557D" w:rsidRDefault="00FA4338" w:rsidP="00CE7B80">
      <w:pPr>
        <w:spacing w:line="320" w:lineRule="exact"/>
        <w:rPr>
          <w:iCs/>
        </w:rPr>
      </w:pPr>
    </w:p>
    <w:p w14:paraId="0316B884" w14:textId="5F8B14F2" w:rsidR="00CE7B80" w:rsidRPr="004E557D" w:rsidRDefault="004D36B8" w:rsidP="00CE7B80">
      <w:pPr>
        <w:spacing w:line="320" w:lineRule="exact"/>
        <w:rPr>
          <w:iCs/>
        </w:rPr>
      </w:pPr>
      <w:r w:rsidRPr="004E557D">
        <w:rPr>
          <w:iCs/>
        </w:rPr>
        <w:t xml:space="preserve">This rather schizophrenic approach to policy making may have been a consequence of coalition Government but the outcomes shifted the ground </w:t>
      </w:r>
      <w:r w:rsidR="00963C6F" w:rsidRPr="004E557D">
        <w:rPr>
          <w:iCs/>
        </w:rPr>
        <w:t>for employer-university collaboration once more. Th</w:t>
      </w:r>
      <w:r w:rsidR="00757EF7" w:rsidRPr="004E557D">
        <w:rPr>
          <w:iCs/>
        </w:rPr>
        <w:t>e Richard Review recommended</w:t>
      </w:r>
      <w:r w:rsidR="00963C6F" w:rsidRPr="004E557D">
        <w:rPr>
          <w:iCs/>
        </w:rPr>
        <w:t xml:space="preserve"> that employers should determine the design of apprenticeship</w:t>
      </w:r>
      <w:r w:rsidR="00CB5068" w:rsidRPr="004E557D">
        <w:rPr>
          <w:iCs/>
        </w:rPr>
        <w:t xml:space="preserve"> ‘</w:t>
      </w:r>
      <w:r w:rsidR="00963C6F" w:rsidRPr="004E557D">
        <w:rPr>
          <w:iCs/>
        </w:rPr>
        <w:t>s</w:t>
      </w:r>
      <w:r w:rsidR="00CB5068" w:rsidRPr="004E557D">
        <w:rPr>
          <w:iCs/>
        </w:rPr>
        <w:t>tandards’</w:t>
      </w:r>
      <w:r w:rsidR="00963C6F" w:rsidRPr="004E557D">
        <w:rPr>
          <w:iCs/>
        </w:rPr>
        <w:t xml:space="preserve"> to ensure that they meet their needs. This would be a major change</w:t>
      </w:r>
      <w:r w:rsidR="003A58D7" w:rsidRPr="004E557D">
        <w:rPr>
          <w:iCs/>
        </w:rPr>
        <w:t>, echoing the recommendations made in the Wolf Report (2011),</w:t>
      </w:r>
      <w:r w:rsidR="00963C6F" w:rsidRPr="004E557D">
        <w:rPr>
          <w:iCs/>
        </w:rPr>
        <w:t xml:space="preserve"> from the arrangement</w:t>
      </w:r>
      <w:r w:rsidR="002D610B" w:rsidRPr="004E557D">
        <w:rPr>
          <w:iCs/>
        </w:rPr>
        <w:t xml:space="preserve">s for Apprenticeship Frameworks, </w:t>
      </w:r>
      <w:r w:rsidR="00963C6F" w:rsidRPr="004E557D">
        <w:rPr>
          <w:iCs/>
        </w:rPr>
        <w:t xml:space="preserve">which were approved by ‘issuing authorities’ </w:t>
      </w:r>
      <w:r w:rsidR="00935E18" w:rsidRPr="004E557D">
        <w:rPr>
          <w:iCs/>
        </w:rPr>
        <w:t xml:space="preserve">(usually </w:t>
      </w:r>
      <w:r w:rsidR="00854C6D" w:rsidRPr="004E557D">
        <w:rPr>
          <w:iCs/>
        </w:rPr>
        <w:t>SSC</w:t>
      </w:r>
      <w:r w:rsidR="00963C6F" w:rsidRPr="004E557D">
        <w:rPr>
          <w:iCs/>
        </w:rPr>
        <w:t>s</w:t>
      </w:r>
      <w:r w:rsidR="00935E18" w:rsidRPr="004E557D">
        <w:rPr>
          <w:iCs/>
        </w:rPr>
        <w:t>)</w:t>
      </w:r>
      <w:r w:rsidR="00AC1D51" w:rsidRPr="004E557D">
        <w:rPr>
          <w:iCs/>
        </w:rPr>
        <w:t>. The Richard recomme</w:t>
      </w:r>
      <w:r w:rsidR="00FB59B8" w:rsidRPr="004E557D">
        <w:rPr>
          <w:iCs/>
        </w:rPr>
        <w:t>n</w:t>
      </w:r>
      <w:r w:rsidR="00AC1D51" w:rsidRPr="004E557D">
        <w:rPr>
          <w:iCs/>
        </w:rPr>
        <w:t xml:space="preserve">dations also </w:t>
      </w:r>
      <w:r w:rsidR="00FB59B8" w:rsidRPr="004E557D">
        <w:rPr>
          <w:iCs/>
        </w:rPr>
        <w:t xml:space="preserve">proposed that employers should be given the purchasing power for apprenticeships rather than routing public funding through </w:t>
      </w:r>
      <w:r w:rsidR="00D64570" w:rsidRPr="004E557D">
        <w:rPr>
          <w:iCs/>
        </w:rPr>
        <w:t xml:space="preserve">education and training </w:t>
      </w:r>
      <w:r w:rsidR="00FB59B8" w:rsidRPr="004E557D">
        <w:rPr>
          <w:iCs/>
        </w:rPr>
        <w:t>providers</w:t>
      </w:r>
      <w:r w:rsidR="00284DC1" w:rsidRPr="004E557D">
        <w:rPr>
          <w:iCs/>
        </w:rPr>
        <w:t>,</w:t>
      </w:r>
      <w:r w:rsidR="00FB59B8" w:rsidRPr="004E557D">
        <w:rPr>
          <w:iCs/>
        </w:rPr>
        <w:t xml:space="preserve"> as also recommended by the UKCES </w:t>
      </w:r>
      <w:r w:rsidR="00FB59B8" w:rsidRPr="004E557D">
        <w:rPr>
          <w:i/>
          <w:iCs/>
        </w:rPr>
        <w:t>Employer Ownership of Skills</w:t>
      </w:r>
      <w:r w:rsidR="00FB59B8" w:rsidRPr="004E557D">
        <w:rPr>
          <w:iCs/>
        </w:rPr>
        <w:t xml:space="preserve"> report (2011).</w:t>
      </w:r>
      <w:r w:rsidR="00E20D0B" w:rsidRPr="004E557D">
        <w:rPr>
          <w:iCs/>
        </w:rPr>
        <w:t xml:space="preserve"> The Richard recommendations proposed a move away from the complexity demonstrated in Apprenticeship Framework documents to a greatly simplified statement of </w:t>
      </w:r>
      <w:r w:rsidR="00CE7B80" w:rsidRPr="004E557D">
        <w:rPr>
          <w:iCs/>
        </w:rPr>
        <w:t xml:space="preserve">the </w:t>
      </w:r>
      <w:r w:rsidR="003B18CA" w:rsidRPr="004E557D">
        <w:rPr>
          <w:iCs/>
        </w:rPr>
        <w:t>‘</w:t>
      </w:r>
      <w:r w:rsidR="00CE7B80" w:rsidRPr="004E557D">
        <w:rPr>
          <w:iCs/>
        </w:rPr>
        <w:t>standard</w:t>
      </w:r>
      <w:r w:rsidR="003B18CA" w:rsidRPr="004E557D">
        <w:rPr>
          <w:iCs/>
        </w:rPr>
        <w:t>’</w:t>
      </w:r>
      <w:r w:rsidR="00CE7B80" w:rsidRPr="004E557D">
        <w:rPr>
          <w:iCs/>
        </w:rPr>
        <w:t xml:space="preserve"> of what </w:t>
      </w:r>
      <w:r w:rsidR="007847E3" w:rsidRPr="004E557D">
        <w:rPr>
          <w:iCs/>
        </w:rPr>
        <w:t>an apprentice</w:t>
      </w:r>
      <w:r w:rsidR="00CE7B80" w:rsidRPr="004E557D">
        <w:rPr>
          <w:iCs/>
        </w:rPr>
        <w:t xml:space="preserve"> should know and be able to do at the end of an apprenticeship. Richard also recommends that the quality of apprenticeships should be assured through rigorous ‘end tests</w:t>
      </w:r>
      <w:r w:rsidR="00D73526" w:rsidRPr="004E557D">
        <w:rPr>
          <w:iCs/>
        </w:rPr>
        <w:t>’</w:t>
      </w:r>
      <w:r w:rsidR="00CE7B80" w:rsidRPr="004E557D">
        <w:rPr>
          <w:iCs/>
        </w:rPr>
        <w:t xml:space="preserve">. </w:t>
      </w:r>
    </w:p>
    <w:p w14:paraId="406AB0B3" w14:textId="77777777" w:rsidR="00CE7B80" w:rsidRPr="004E557D" w:rsidRDefault="00CE7B80" w:rsidP="00CE7B80">
      <w:pPr>
        <w:spacing w:line="320" w:lineRule="exact"/>
        <w:rPr>
          <w:iCs/>
        </w:rPr>
      </w:pPr>
    </w:p>
    <w:p w14:paraId="2EAD21A8" w14:textId="033E490D" w:rsidR="0059402C" w:rsidRPr="004E557D" w:rsidRDefault="00CE7B80" w:rsidP="00CE7B80">
      <w:pPr>
        <w:spacing w:line="320" w:lineRule="exact"/>
        <w:ind w:left="720"/>
        <w:rPr>
          <w:iCs/>
        </w:rPr>
      </w:pPr>
      <w:r w:rsidRPr="004E557D">
        <w:rPr>
          <w:iCs/>
        </w:rPr>
        <w:t>The test should be holistic, at the end, and assess whether the individual is fully competent and employable, within their job and their sector. Employers should be directly involved in assessment. (Richard, 2012, p18)</w:t>
      </w:r>
    </w:p>
    <w:p w14:paraId="79D56F23" w14:textId="77777777" w:rsidR="00052BFE" w:rsidRPr="004E557D" w:rsidRDefault="00052BFE" w:rsidP="00CE7B80">
      <w:pPr>
        <w:spacing w:line="320" w:lineRule="exact"/>
        <w:ind w:left="720"/>
        <w:rPr>
          <w:iCs/>
        </w:rPr>
      </w:pPr>
    </w:p>
    <w:p w14:paraId="0C158F00" w14:textId="59735D92" w:rsidR="00052BFE" w:rsidRPr="004E557D" w:rsidRDefault="00052BFE" w:rsidP="00052BFE">
      <w:pPr>
        <w:spacing w:line="320" w:lineRule="exact"/>
        <w:rPr>
          <w:iCs/>
        </w:rPr>
      </w:pPr>
      <w:r w:rsidRPr="004E557D">
        <w:rPr>
          <w:iCs/>
        </w:rPr>
        <w:t xml:space="preserve">More recently, </w:t>
      </w:r>
      <w:r w:rsidRPr="004E557D">
        <w:rPr>
          <w:i/>
          <w:iCs/>
        </w:rPr>
        <w:t>The Future of Apprenticeships</w:t>
      </w:r>
      <w:r w:rsidRPr="004E557D">
        <w:rPr>
          <w:iCs/>
        </w:rPr>
        <w:t xml:space="preserve"> (BIS, 2015)</w:t>
      </w:r>
      <w:r w:rsidR="001834A9" w:rsidRPr="004E557D">
        <w:rPr>
          <w:iCs/>
        </w:rPr>
        <w:t xml:space="preserve"> describes the ‘Trailblazer’ process by which new Apprenticeship Standards are approved. </w:t>
      </w:r>
      <w:r w:rsidR="00036020" w:rsidRPr="004E557D">
        <w:rPr>
          <w:iCs/>
        </w:rPr>
        <w:t xml:space="preserve">In summary, the process involves a consortium of at least ten employers (including at least two SMEs) submitting an Expression of Interest in forming a Trailblazer Consortium to design and develop and </w:t>
      </w:r>
      <w:r w:rsidR="00250B62" w:rsidRPr="004E557D">
        <w:rPr>
          <w:iCs/>
        </w:rPr>
        <w:t>‘</w:t>
      </w:r>
      <w:r w:rsidR="00036020" w:rsidRPr="004E557D">
        <w:rPr>
          <w:iCs/>
        </w:rPr>
        <w:t>Apprenticeship Standard</w:t>
      </w:r>
      <w:r w:rsidR="00250B62" w:rsidRPr="004E557D">
        <w:rPr>
          <w:iCs/>
        </w:rPr>
        <w:t>’</w:t>
      </w:r>
      <w:r w:rsidR="00036020" w:rsidRPr="004E557D">
        <w:rPr>
          <w:iCs/>
        </w:rPr>
        <w:t xml:space="preserve"> for specified job roles to BIS. Once approval has been given to proceed</w:t>
      </w:r>
      <w:r w:rsidR="00790078" w:rsidRPr="004E557D">
        <w:rPr>
          <w:iCs/>
        </w:rPr>
        <w:t>,</w:t>
      </w:r>
      <w:r w:rsidR="00036020" w:rsidRPr="004E557D">
        <w:rPr>
          <w:iCs/>
        </w:rPr>
        <w:t xml:space="preserve"> the Trailblazer Consortium designs the Apprenticeship Standard, which must define the knowledge, skills and behaviours that are required to perform a specified job role in a simple two-page document. Once the Apprenticeship Standard is approved</w:t>
      </w:r>
      <w:r w:rsidR="00250B62" w:rsidRPr="004E557D">
        <w:rPr>
          <w:iCs/>
        </w:rPr>
        <w:t xml:space="preserve">, the Trailblazer Consortium then design the ‘Assessment Plan’ that describes how the achievement of the Apprenticeship Standard will be assessed. Once </w:t>
      </w:r>
      <w:proofErr w:type="gramStart"/>
      <w:r w:rsidR="00250B62" w:rsidRPr="004E557D">
        <w:rPr>
          <w:iCs/>
        </w:rPr>
        <w:t>the Assessment Plan is also approved by BIS</w:t>
      </w:r>
      <w:proofErr w:type="gramEnd"/>
      <w:r w:rsidR="00250B62" w:rsidRPr="004E557D">
        <w:rPr>
          <w:iCs/>
        </w:rPr>
        <w:t>, the Apprenticeship is fully approved an</w:t>
      </w:r>
      <w:r w:rsidR="003B23F6" w:rsidRPr="004E557D">
        <w:rPr>
          <w:iCs/>
        </w:rPr>
        <w:t>d</w:t>
      </w:r>
      <w:r w:rsidR="00250B62" w:rsidRPr="004E557D">
        <w:rPr>
          <w:iCs/>
        </w:rPr>
        <w:t xml:space="preserve"> publicly available.</w:t>
      </w:r>
    </w:p>
    <w:p w14:paraId="5052A215" w14:textId="77777777" w:rsidR="00250B62" w:rsidRPr="004E557D" w:rsidRDefault="00250B62" w:rsidP="00052BFE">
      <w:pPr>
        <w:spacing w:line="320" w:lineRule="exact"/>
        <w:rPr>
          <w:iCs/>
        </w:rPr>
      </w:pPr>
    </w:p>
    <w:p w14:paraId="4234EBE4" w14:textId="7902F059" w:rsidR="00250B62" w:rsidRPr="004E557D" w:rsidRDefault="00250B62" w:rsidP="00052BFE">
      <w:pPr>
        <w:spacing w:line="320" w:lineRule="exact"/>
        <w:rPr>
          <w:iCs/>
        </w:rPr>
      </w:pPr>
      <w:r w:rsidRPr="004E557D">
        <w:rPr>
          <w:iCs/>
        </w:rPr>
        <w:t xml:space="preserve">It is important to note that in the attempt to move firmly away from </w:t>
      </w:r>
      <w:r w:rsidR="00151870" w:rsidRPr="004E557D">
        <w:rPr>
          <w:iCs/>
        </w:rPr>
        <w:t>the perception of supply</w:t>
      </w:r>
      <w:r w:rsidRPr="004E557D">
        <w:rPr>
          <w:iCs/>
        </w:rPr>
        <w:t>-led approaches</w:t>
      </w:r>
      <w:r w:rsidR="00151870" w:rsidRPr="004E557D">
        <w:rPr>
          <w:iCs/>
        </w:rPr>
        <w:t xml:space="preserve"> associated with Apprenticeship Frameworks, particularly in sector</w:t>
      </w:r>
      <w:r w:rsidR="00D96B24" w:rsidRPr="004E557D">
        <w:rPr>
          <w:iCs/>
        </w:rPr>
        <w:t>s</w:t>
      </w:r>
      <w:r w:rsidR="00151870" w:rsidRPr="004E557D">
        <w:rPr>
          <w:iCs/>
        </w:rPr>
        <w:t xml:space="preserve"> like construction (Hogarth and </w:t>
      </w:r>
      <w:proofErr w:type="spellStart"/>
      <w:r w:rsidR="00151870" w:rsidRPr="004E557D">
        <w:rPr>
          <w:iCs/>
        </w:rPr>
        <w:t>Gambin</w:t>
      </w:r>
      <w:proofErr w:type="spellEnd"/>
      <w:r w:rsidR="00151870" w:rsidRPr="004E557D">
        <w:rPr>
          <w:iCs/>
        </w:rPr>
        <w:t xml:space="preserve"> 2014)</w:t>
      </w:r>
      <w:r w:rsidRPr="004E557D">
        <w:rPr>
          <w:iCs/>
        </w:rPr>
        <w:t xml:space="preserve">, the new Apprenticeship Standards do not necessarily require apprentices to undertake any qualifications. </w:t>
      </w:r>
      <w:r w:rsidR="00A6643C" w:rsidRPr="004E557D">
        <w:rPr>
          <w:iCs/>
        </w:rPr>
        <w:t>A</w:t>
      </w:r>
      <w:r w:rsidR="00D96B24" w:rsidRPr="004E557D">
        <w:rPr>
          <w:iCs/>
        </w:rPr>
        <w:t xml:space="preserve">s long as there is an approved Assessment Plan that indicates how the Standard will be demonstrated, </w:t>
      </w:r>
      <w:r w:rsidRPr="004E557D">
        <w:rPr>
          <w:iCs/>
        </w:rPr>
        <w:t>this could</w:t>
      </w:r>
      <w:r w:rsidR="0023648D" w:rsidRPr="004E557D">
        <w:rPr>
          <w:iCs/>
        </w:rPr>
        <w:t>, for example,</w:t>
      </w:r>
      <w:r w:rsidRPr="004E557D">
        <w:rPr>
          <w:iCs/>
        </w:rPr>
        <w:t xml:space="preserve"> be through meeting Professional Body membership requirements.</w:t>
      </w:r>
      <w:r w:rsidR="002F0E0F" w:rsidRPr="004E557D">
        <w:rPr>
          <w:iCs/>
        </w:rPr>
        <w:t xml:space="preserve"> While ma</w:t>
      </w:r>
      <w:r w:rsidR="00D63BE0" w:rsidRPr="004E557D">
        <w:rPr>
          <w:iCs/>
        </w:rPr>
        <w:t>n</w:t>
      </w:r>
      <w:r w:rsidR="002F0E0F" w:rsidRPr="004E557D">
        <w:rPr>
          <w:iCs/>
        </w:rPr>
        <w:t>y Trailblazer Consortia have established ‘Provider Reference Groups’, some of which have included universities, there is no required role for any providers in the design of Apprenticeship Standards.</w:t>
      </w:r>
      <w:r w:rsidR="00FE77D7" w:rsidRPr="004E557D">
        <w:rPr>
          <w:iCs/>
        </w:rPr>
        <w:t xml:space="preserve"> </w:t>
      </w:r>
      <w:r w:rsidR="00EE3397" w:rsidRPr="004E557D">
        <w:rPr>
          <w:iCs/>
        </w:rPr>
        <w:t>This presented a</w:t>
      </w:r>
      <w:r w:rsidR="00ED4DDF" w:rsidRPr="004E557D">
        <w:rPr>
          <w:iCs/>
        </w:rPr>
        <w:t xml:space="preserve"> highly uncertain</w:t>
      </w:r>
      <w:r w:rsidR="00EE3397" w:rsidRPr="004E557D">
        <w:rPr>
          <w:iCs/>
        </w:rPr>
        <w:t>,</w:t>
      </w:r>
      <w:r w:rsidR="00ED4DDF" w:rsidRPr="004E557D">
        <w:rPr>
          <w:iCs/>
        </w:rPr>
        <w:t xml:space="preserve"> if not hostile</w:t>
      </w:r>
      <w:r w:rsidR="00EE3397" w:rsidRPr="004E557D">
        <w:rPr>
          <w:iCs/>
        </w:rPr>
        <w:t>,</w:t>
      </w:r>
      <w:r w:rsidR="00ED4DDF" w:rsidRPr="004E557D">
        <w:rPr>
          <w:iCs/>
        </w:rPr>
        <w:t xml:space="preserve"> terrain for employer-university collaboration in the design and delivery of apprenti</w:t>
      </w:r>
      <w:r w:rsidR="00EE3397" w:rsidRPr="004E557D">
        <w:rPr>
          <w:iCs/>
        </w:rPr>
        <w:t>ceships and arguably constituted</w:t>
      </w:r>
      <w:r w:rsidR="00ED4DDF" w:rsidRPr="004E557D">
        <w:rPr>
          <w:iCs/>
        </w:rPr>
        <w:t xml:space="preserve"> a significant barrier to university engagement in the skills agenda</w:t>
      </w:r>
      <w:r w:rsidR="005D5FF2" w:rsidRPr="004E557D">
        <w:rPr>
          <w:iCs/>
        </w:rPr>
        <w:t xml:space="preserve"> once more</w:t>
      </w:r>
      <w:r w:rsidR="00ED4DDF" w:rsidRPr="004E557D">
        <w:rPr>
          <w:iCs/>
        </w:rPr>
        <w:t>.</w:t>
      </w:r>
    </w:p>
    <w:p w14:paraId="1195B932" w14:textId="77777777" w:rsidR="00621A10" w:rsidRPr="004E557D" w:rsidRDefault="00621A10" w:rsidP="00052BFE">
      <w:pPr>
        <w:spacing w:line="320" w:lineRule="exact"/>
        <w:rPr>
          <w:iCs/>
        </w:rPr>
      </w:pPr>
    </w:p>
    <w:p w14:paraId="37EE631E" w14:textId="085C54C6" w:rsidR="00621A10" w:rsidRPr="004E557D" w:rsidRDefault="00621A10" w:rsidP="00052BFE">
      <w:pPr>
        <w:spacing w:line="320" w:lineRule="exact"/>
        <w:rPr>
          <w:b/>
          <w:iCs/>
        </w:rPr>
      </w:pPr>
      <w:r w:rsidRPr="004E557D">
        <w:rPr>
          <w:b/>
          <w:iCs/>
        </w:rPr>
        <w:t>The collabo</w:t>
      </w:r>
      <w:r w:rsidR="006D1CEE" w:rsidRPr="004E557D">
        <w:rPr>
          <w:b/>
          <w:iCs/>
        </w:rPr>
        <w:t>rative light at the end of the a</w:t>
      </w:r>
      <w:r w:rsidRPr="004E557D">
        <w:rPr>
          <w:b/>
          <w:iCs/>
        </w:rPr>
        <w:t>pprenticeship tunnel</w:t>
      </w:r>
    </w:p>
    <w:p w14:paraId="1CCA424F" w14:textId="5C2305BA" w:rsidR="0047468F" w:rsidRPr="004E557D" w:rsidRDefault="0047468F" w:rsidP="00052BFE">
      <w:pPr>
        <w:spacing w:line="320" w:lineRule="exact"/>
        <w:rPr>
          <w:iCs/>
        </w:rPr>
      </w:pPr>
      <w:r w:rsidRPr="004E557D">
        <w:rPr>
          <w:iCs/>
        </w:rPr>
        <w:t>The Future of Apprenticeship</w:t>
      </w:r>
      <w:r w:rsidR="000C7A94" w:rsidRPr="004E557D">
        <w:rPr>
          <w:iCs/>
        </w:rPr>
        <w:t>s in England</w:t>
      </w:r>
      <w:r w:rsidRPr="004E557D">
        <w:rPr>
          <w:iCs/>
        </w:rPr>
        <w:t xml:space="preserve"> (BIS, 2015) also describes a new member of the Apprenticeship family, ‘Degree Apprenticeships’. </w:t>
      </w:r>
      <w:r w:rsidR="00DE5A6A" w:rsidRPr="004E557D">
        <w:rPr>
          <w:iCs/>
        </w:rPr>
        <w:t xml:space="preserve">Degree Apprenticeships can be either Apprenticeship Frameworks or Standards </w:t>
      </w:r>
      <w:r w:rsidR="00254168" w:rsidRPr="004E557D">
        <w:rPr>
          <w:iCs/>
        </w:rPr>
        <w:t>but</w:t>
      </w:r>
      <w:r w:rsidR="00DE5A6A" w:rsidRPr="004E557D">
        <w:rPr>
          <w:iCs/>
        </w:rPr>
        <w:t xml:space="preserve"> unlike other Apprenticeship Standards, they must include the achievement of a full Bachelors </w:t>
      </w:r>
      <w:r w:rsidR="00493169" w:rsidRPr="004E557D">
        <w:rPr>
          <w:iCs/>
        </w:rPr>
        <w:t xml:space="preserve">degree </w:t>
      </w:r>
      <w:r w:rsidR="00DE5A6A" w:rsidRPr="004E557D">
        <w:rPr>
          <w:iCs/>
        </w:rPr>
        <w:t xml:space="preserve">or Masters </w:t>
      </w:r>
      <w:r w:rsidR="00493169" w:rsidRPr="004E557D">
        <w:rPr>
          <w:iCs/>
        </w:rPr>
        <w:t>level</w:t>
      </w:r>
      <w:r w:rsidR="00C3028C" w:rsidRPr="004E557D">
        <w:rPr>
          <w:iCs/>
        </w:rPr>
        <w:t xml:space="preserve"> qualification</w:t>
      </w:r>
      <w:r w:rsidR="00DE5A6A" w:rsidRPr="004E557D">
        <w:rPr>
          <w:iCs/>
        </w:rPr>
        <w:t xml:space="preserve">. Where a Degree Apprenticeship Standard is developed it must </w:t>
      </w:r>
      <w:r w:rsidR="001D409E" w:rsidRPr="004E557D">
        <w:rPr>
          <w:iCs/>
        </w:rPr>
        <w:t>be</w:t>
      </w:r>
      <w:r w:rsidR="001C2142" w:rsidRPr="004E557D">
        <w:rPr>
          <w:iCs/>
        </w:rPr>
        <w:t xml:space="preserve"> co-designed by employers, </w:t>
      </w:r>
      <w:r w:rsidR="00CA6107" w:rsidRPr="004E557D">
        <w:rPr>
          <w:iCs/>
        </w:rPr>
        <w:t>HEIs</w:t>
      </w:r>
      <w:r w:rsidR="001C2142" w:rsidRPr="004E557D">
        <w:rPr>
          <w:iCs/>
        </w:rPr>
        <w:t xml:space="preserve"> and where appropriate professional bodies</w:t>
      </w:r>
      <w:r w:rsidR="00DE5A6A" w:rsidRPr="004E557D">
        <w:rPr>
          <w:iCs/>
        </w:rPr>
        <w:t xml:space="preserve">. </w:t>
      </w:r>
      <w:r w:rsidR="001C2142" w:rsidRPr="004E557D">
        <w:rPr>
          <w:iCs/>
        </w:rPr>
        <w:t>Degree Apprenticeships can be comprised of</w:t>
      </w:r>
      <w:r w:rsidR="00DE5A6A" w:rsidRPr="004E557D">
        <w:rPr>
          <w:iCs/>
        </w:rPr>
        <w:t xml:space="preserve"> either an existing</w:t>
      </w:r>
      <w:r w:rsidR="001C2142" w:rsidRPr="004E557D">
        <w:rPr>
          <w:iCs/>
        </w:rPr>
        <w:t xml:space="preserve"> or new degree plus a separate ‘end-test’ or:</w:t>
      </w:r>
    </w:p>
    <w:p w14:paraId="011E302A" w14:textId="77777777" w:rsidR="001C2142" w:rsidRPr="004E557D" w:rsidRDefault="001C2142" w:rsidP="00052BFE">
      <w:pPr>
        <w:spacing w:line="320" w:lineRule="exact"/>
        <w:rPr>
          <w:iCs/>
        </w:rPr>
      </w:pPr>
    </w:p>
    <w:p w14:paraId="7F2E9582" w14:textId="77777777" w:rsidR="001C2142" w:rsidRPr="004E557D" w:rsidRDefault="001C2142" w:rsidP="001C2142">
      <w:pPr>
        <w:spacing w:line="320" w:lineRule="exact"/>
        <w:ind w:left="720"/>
        <w:rPr>
          <w:iCs/>
        </w:rPr>
      </w:pPr>
      <w:r w:rsidRPr="004E557D">
        <w:rPr>
          <w:iCs/>
        </w:rPr>
        <w:t xml:space="preserve">Employers, universities and professional bodies can come together to co-design a </w:t>
      </w:r>
      <w:proofErr w:type="gramStart"/>
      <w:r w:rsidRPr="004E557D">
        <w:rPr>
          <w:iCs/>
        </w:rPr>
        <w:t>fully-integrated</w:t>
      </w:r>
      <w:proofErr w:type="gramEnd"/>
      <w:r w:rsidRPr="004E557D">
        <w:rPr>
          <w:iCs/>
        </w:rPr>
        <w:t xml:space="preserve"> degree course specifically for apprentices, which delivers and tests both academic learning and on-the-job training. We think this will be the preferred approach for many sectors, as the learning is seamless and does not require a separate assessment of occupational competence. </w:t>
      </w:r>
    </w:p>
    <w:p w14:paraId="7E2A7CBE" w14:textId="392A9CCE" w:rsidR="001C2142" w:rsidRPr="004E557D" w:rsidRDefault="001C2142" w:rsidP="001C2142">
      <w:pPr>
        <w:spacing w:line="320" w:lineRule="exact"/>
        <w:ind w:left="720"/>
        <w:rPr>
          <w:iCs/>
        </w:rPr>
      </w:pPr>
      <w:r w:rsidRPr="004E557D">
        <w:rPr>
          <w:iCs/>
        </w:rPr>
        <w:t>(BIS, 2015, p13)</w:t>
      </w:r>
    </w:p>
    <w:p w14:paraId="3F72DD60" w14:textId="77777777" w:rsidR="005F26F2" w:rsidRPr="004E557D" w:rsidRDefault="005F26F2" w:rsidP="001C2142">
      <w:pPr>
        <w:spacing w:line="320" w:lineRule="exact"/>
        <w:ind w:left="720"/>
        <w:rPr>
          <w:iCs/>
        </w:rPr>
      </w:pPr>
    </w:p>
    <w:p w14:paraId="75C6AACF" w14:textId="3F39052D" w:rsidR="00E93F60" w:rsidRPr="004E557D" w:rsidRDefault="00AB1F62" w:rsidP="005F26F2">
      <w:pPr>
        <w:spacing w:line="320" w:lineRule="exact"/>
        <w:rPr>
          <w:iCs/>
        </w:rPr>
      </w:pPr>
      <w:r w:rsidRPr="004E557D">
        <w:rPr>
          <w:iCs/>
        </w:rPr>
        <w:t xml:space="preserve">This builds on the good work of the revised 2013 SASE to highlight professional body involvement in the co-design process. </w:t>
      </w:r>
      <w:r w:rsidR="00C86998" w:rsidRPr="004E557D">
        <w:rPr>
          <w:iCs/>
        </w:rPr>
        <w:t>Degree Apprenticeship</w:t>
      </w:r>
      <w:r w:rsidR="008766CB" w:rsidRPr="004E557D">
        <w:rPr>
          <w:iCs/>
        </w:rPr>
        <w:t>s also have a specific section within the chapter on ‘Choice’ i</w:t>
      </w:r>
      <w:r w:rsidR="00C86998" w:rsidRPr="004E557D">
        <w:rPr>
          <w:iCs/>
        </w:rPr>
        <w:t xml:space="preserve">n the 2016 </w:t>
      </w:r>
      <w:r w:rsidR="00790078" w:rsidRPr="004E557D">
        <w:rPr>
          <w:iCs/>
        </w:rPr>
        <w:t>HE</w:t>
      </w:r>
      <w:r w:rsidR="00C86998" w:rsidRPr="004E557D">
        <w:rPr>
          <w:iCs/>
        </w:rPr>
        <w:t xml:space="preserve"> White Paper, </w:t>
      </w:r>
      <w:r w:rsidR="00C86998" w:rsidRPr="004E557D">
        <w:rPr>
          <w:i/>
          <w:iCs/>
        </w:rPr>
        <w:t>Success as a knowledge economy</w:t>
      </w:r>
      <w:r w:rsidR="00C86998" w:rsidRPr="004E557D">
        <w:rPr>
          <w:iCs/>
        </w:rPr>
        <w:t xml:space="preserve"> (BIS, 2016)</w:t>
      </w:r>
      <w:r w:rsidR="008766CB" w:rsidRPr="004E557D">
        <w:rPr>
          <w:iCs/>
        </w:rPr>
        <w:t>,</w:t>
      </w:r>
      <w:r w:rsidR="00C86998" w:rsidRPr="004E557D">
        <w:rPr>
          <w:iCs/>
        </w:rPr>
        <w:t xml:space="preserve"> which </w:t>
      </w:r>
      <w:r w:rsidR="008766CB" w:rsidRPr="004E557D">
        <w:rPr>
          <w:iCs/>
        </w:rPr>
        <w:t>clearly positions</w:t>
      </w:r>
      <w:r w:rsidR="00C86998" w:rsidRPr="004E557D">
        <w:rPr>
          <w:iCs/>
        </w:rPr>
        <w:t xml:space="preserve"> </w:t>
      </w:r>
      <w:r w:rsidR="008766CB" w:rsidRPr="004E557D">
        <w:rPr>
          <w:iCs/>
        </w:rPr>
        <w:t xml:space="preserve">the significance of </w:t>
      </w:r>
      <w:r w:rsidR="00C86998" w:rsidRPr="004E557D">
        <w:rPr>
          <w:iCs/>
        </w:rPr>
        <w:t xml:space="preserve">this policy area for universities. </w:t>
      </w:r>
      <w:r w:rsidR="00891BB0" w:rsidRPr="004E557D">
        <w:rPr>
          <w:iCs/>
        </w:rPr>
        <w:t>The White Paper proposes a review of ‘flexible, innovative and lifelong learning’ the lack of which other studies have described as a barrier</w:t>
      </w:r>
      <w:r w:rsidR="00E8718C" w:rsidRPr="004E557D">
        <w:rPr>
          <w:iCs/>
        </w:rPr>
        <w:t xml:space="preserve"> to employer engagement (</w:t>
      </w:r>
      <w:proofErr w:type="spellStart"/>
      <w:r w:rsidR="00E8718C" w:rsidRPr="004E557D">
        <w:rPr>
          <w:iCs/>
        </w:rPr>
        <w:t>Mazenod</w:t>
      </w:r>
      <w:proofErr w:type="spellEnd"/>
      <w:r w:rsidR="00891BB0" w:rsidRPr="004E557D">
        <w:rPr>
          <w:iCs/>
        </w:rPr>
        <w:t>, 2013)</w:t>
      </w:r>
      <w:r w:rsidR="00AF32F1" w:rsidRPr="004E557D">
        <w:rPr>
          <w:iCs/>
        </w:rPr>
        <w:t xml:space="preserve">. </w:t>
      </w:r>
      <w:r w:rsidR="00E93F60" w:rsidRPr="004E557D">
        <w:rPr>
          <w:iCs/>
        </w:rPr>
        <w:t>According to the White Paper</w:t>
      </w:r>
      <w:r w:rsidR="00AA1178" w:rsidRPr="004E557D">
        <w:rPr>
          <w:iCs/>
        </w:rPr>
        <w:t>,</w:t>
      </w:r>
      <w:r w:rsidR="00E93F60" w:rsidRPr="004E557D">
        <w:rPr>
          <w:iCs/>
        </w:rPr>
        <w:t xml:space="preserve"> employers will want Degree Apprenticeships as a high quality means to boost their productivity and the introduction of the Apprenticeship Levy is described as a ‘powerful incentive’ to work with universities. </w:t>
      </w:r>
      <w:r w:rsidR="00790078" w:rsidRPr="004E557D">
        <w:rPr>
          <w:iCs/>
        </w:rPr>
        <w:t>While</w:t>
      </w:r>
      <w:r w:rsidR="00E93F60" w:rsidRPr="004E557D">
        <w:rPr>
          <w:iCs/>
        </w:rPr>
        <w:t xml:space="preserve"> the quality of apprenticeships will be overseen by the ‘Institute of Apprenticeships’ </w:t>
      </w:r>
      <w:r w:rsidR="002A2880" w:rsidRPr="004E557D">
        <w:rPr>
          <w:iCs/>
        </w:rPr>
        <w:t>(</w:t>
      </w:r>
      <w:r w:rsidR="00E93F60" w:rsidRPr="004E557D">
        <w:rPr>
          <w:iCs/>
        </w:rPr>
        <w:t>a new, employer led independent</w:t>
      </w:r>
      <w:r w:rsidR="002A2880" w:rsidRPr="004E557D">
        <w:rPr>
          <w:iCs/>
        </w:rPr>
        <w:t xml:space="preserve"> body):</w:t>
      </w:r>
    </w:p>
    <w:p w14:paraId="08EAC009" w14:textId="77777777" w:rsidR="00E93F60" w:rsidRPr="004E557D" w:rsidRDefault="00E93F60" w:rsidP="005F26F2">
      <w:pPr>
        <w:spacing w:line="320" w:lineRule="exact"/>
        <w:rPr>
          <w:iCs/>
        </w:rPr>
      </w:pPr>
    </w:p>
    <w:p w14:paraId="14A3D27E" w14:textId="25F90891" w:rsidR="00E93F60" w:rsidRPr="004E557D" w:rsidRDefault="00E93F60" w:rsidP="00E93F60">
      <w:pPr>
        <w:spacing w:line="320" w:lineRule="exact"/>
        <w:ind w:left="720"/>
        <w:rPr>
          <w:iCs/>
        </w:rPr>
      </w:pPr>
      <w:r w:rsidRPr="004E557D">
        <w:rPr>
          <w:iCs/>
        </w:rPr>
        <w:t>The success of Degree Apprenticeships will depend on employers and universities working together. Employers will take the lead in designing the occupational standard taking account of the innovation and excellence universities can offer. (BIS, 2016, p52)</w:t>
      </w:r>
    </w:p>
    <w:p w14:paraId="7A47AF57" w14:textId="77777777" w:rsidR="00E93F60" w:rsidRPr="004E557D" w:rsidRDefault="00E93F60" w:rsidP="005F26F2">
      <w:pPr>
        <w:spacing w:line="320" w:lineRule="exact"/>
        <w:rPr>
          <w:iCs/>
        </w:rPr>
      </w:pPr>
    </w:p>
    <w:p w14:paraId="0C21D70D" w14:textId="20464743" w:rsidR="007C6114" w:rsidRPr="004E557D" w:rsidRDefault="005F26F2" w:rsidP="005F26F2">
      <w:pPr>
        <w:spacing w:line="320" w:lineRule="exact"/>
        <w:rPr>
          <w:iCs/>
        </w:rPr>
      </w:pPr>
      <w:r w:rsidRPr="004E557D">
        <w:rPr>
          <w:iCs/>
        </w:rPr>
        <w:t>The model presented for Degree Apprenticeship development constitutes</w:t>
      </w:r>
      <w:r w:rsidR="004819C2" w:rsidRPr="004E557D">
        <w:rPr>
          <w:iCs/>
        </w:rPr>
        <w:t xml:space="preserve"> a</w:t>
      </w:r>
      <w:r w:rsidR="00623D0C" w:rsidRPr="004E557D">
        <w:rPr>
          <w:iCs/>
        </w:rPr>
        <w:t xml:space="preserve"> partial</w:t>
      </w:r>
      <w:r w:rsidR="004819C2" w:rsidRPr="004E557D">
        <w:rPr>
          <w:iCs/>
        </w:rPr>
        <w:t xml:space="preserve"> resolution to the fluctuating </w:t>
      </w:r>
      <w:r w:rsidR="00AB1F62" w:rsidRPr="004E557D">
        <w:rPr>
          <w:iCs/>
        </w:rPr>
        <w:t xml:space="preserve">policy </w:t>
      </w:r>
      <w:r w:rsidR="004819C2" w:rsidRPr="004E557D">
        <w:rPr>
          <w:iCs/>
        </w:rPr>
        <w:t xml:space="preserve">position </w:t>
      </w:r>
      <w:r w:rsidR="00AF4578" w:rsidRPr="004E557D">
        <w:rPr>
          <w:iCs/>
        </w:rPr>
        <w:t>concerning</w:t>
      </w:r>
      <w:r w:rsidR="004819C2" w:rsidRPr="004E557D">
        <w:rPr>
          <w:iCs/>
        </w:rPr>
        <w:t xml:space="preserve"> employer-university collaboration </w:t>
      </w:r>
      <w:r w:rsidR="00AF4578" w:rsidRPr="004E557D">
        <w:rPr>
          <w:iCs/>
        </w:rPr>
        <w:t xml:space="preserve">and the extent to which </w:t>
      </w:r>
      <w:r w:rsidR="00AB1F62" w:rsidRPr="004E557D">
        <w:rPr>
          <w:iCs/>
        </w:rPr>
        <w:t>policy initiatives that are either employe</w:t>
      </w:r>
      <w:r w:rsidR="00E8267A" w:rsidRPr="004E557D">
        <w:rPr>
          <w:iCs/>
        </w:rPr>
        <w:t xml:space="preserve">r or provider </w:t>
      </w:r>
      <w:r w:rsidR="00AB1F62" w:rsidRPr="004E557D">
        <w:rPr>
          <w:iCs/>
        </w:rPr>
        <w:t>driven</w:t>
      </w:r>
      <w:r w:rsidR="004819C2" w:rsidRPr="004E557D">
        <w:rPr>
          <w:iCs/>
        </w:rPr>
        <w:t xml:space="preserve">. </w:t>
      </w:r>
      <w:r w:rsidR="00AF4578" w:rsidRPr="004E557D">
        <w:rPr>
          <w:iCs/>
        </w:rPr>
        <w:t>The table below</w:t>
      </w:r>
      <w:r w:rsidR="00AB1F62" w:rsidRPr="004E557D">
        <w:rPr>
          <w:iCs/>
        </w:rPr>
        <w:t xml:space="preserve"> present</w:t>
      </w:r>
      <w:r w:rsidR="00AF4578" w:rsidRPr="004E557D">
        <w:rPr>
          <w:iCs/>
        </w:rPr>
        <w:t>s</w:t>
      </w:r>
      <w:r w:rsidR="00AB1F62" w:rsidRPr="004E557D">
        <w:rPr>
          <w:iCs/>
        </w:rPr>
        <w:t xml:space="preserve"> </w:t>
      </w:r>
      <w:r w:rsidR="009521E1" w:rsidRPr="004E557D">
        <w:rPr>
          <w:iCs/>
        </w:rPr>
        <w:t xml:space="preserve">some of the key policy initiatives </w:t>
      </w:r>
      <w:r w:rsidR="00B36A3D" w:rsidRPr="004E557D">
        <w:rPr>
          <w:iCs/>
        </w:rPr>
        <w:t>discussed above, to illustrate their relative positioning in the policy terrain described</w:t>
      </w:r>
      <w:r w:rsidR="00624A20" w:rsidRPr="004E557D">
        <w:rPr>
          <w:iCs/>
        </w:rPr>
        <w:t>:</w:t>
      </w:r>
    </w:p>
    <w:p w14:paraId="0A24F7B1" w14:textId="77777777" w:rsidR="00AB1F62" w:rsidRPr="004E557D" w:rsidRDefault="00AB1F62" w:rsidP="005F26F2">
      <w:pPr>
        <w:spacing w:line="320" w:lineRule="exact"/>
        <w:rPr>
          <w:iCs/>
        </w:rPr>
      </w:pPr>
    </w:p>
    <w:p w14:paraId="2ED41D59" w14:textId="77777777" w:rsidR="008B7C3E" w:rsidRPr="004E557D" w:rsidRDefault="008B7C3E" w:rsidP="005F26F2">
      <w:pPr>
        <w:spacing w:line="320" w:lineRule="exact"/>
        <w:rPr>
          <w:iCs/>
        </w:rPr>
      </w:pPr>
    </w:p>
    <w:p w14:paraId="1A76B547" w14:textId="77777777" w:rsidR="008B7C3E" w:rsidRPr="004E557D" w:rsidRDefault="008B7C3E" w:rsidP="005F26F2">
      <w:pPr>
        <w:spacing w:line="320" w:lineRule="exact"/>
        <w:rPr>
          <w:iCs/>
        </w:rPr>
      </w:pPr>
    </w:p>
    <w:p w14:paraId="57152561" w14:textId="77777777" w:rsidR="008B7C3E" w:rsidRPr="004E557D" w:rsidRDefault="008B7C3E" w:rsidP="005F26F2">
      <w:pPr>
        <w:spacing w:line="320" w:lineRule="exact"/>
        <w:rPr>
          <w:iCs/>
        </w:rPr>
      </w:pPr>
    </w:p>
    <w:p w14:paraId="6147EA1B" w14:textId="77777777" w:rsidR="008B7C3E" w:rsidRPr="004E557D" w:rsidRDefault="008B7C3E" w:rsidP="005F26F2">
      <w:pPr>
        <w:spacing w:line="320" w:lineRule="exact"/>
        <w:rPr>
          <w:iCs/>
        </w:rPr>
      </w:pPr>
    </w:p>
    <w:p w14:paraId="1EECEEEB" w14:textId="77777777" w:rsidR="008B7C3E" w:rsidRPr="004E557D" w:rsidRDefault="008B7C3E" w:rsidP="005F26F2">
      <w:pPr>
        <w:spacing w:line="320" w:lineRule="exact"/>
        <w:rPr>
          <w:iCs/>
        </w:rPr>
      </w:pPr>
    </w:p>
    <w:tbl>
      <w:tblPr>
        <w:tblStyle w:val="TableGrid"/>
        <w:tblW w:w="0" w:type="auto"/>
        <w:tblLook w:val="04A0" w:firstRow="1" w:lastRow="0" w:firstColumn="1" w:lastColumn="0" w:noHBand="0" w:noVBand="1"/>
      </w:tblPr>
      <w:tblGrid>
        <w:gridCol w:w="3282"/>
        <w:gridCol w:w="3283"/>
        <w:gridCol w:w="3283"/>
      </w:tblGrid>
      <w:tr w:rsidR="00AB1F62" w:rsidRPr="004E557D" w14:paraId="6F9F3F5F" w14:textId="77777777" w:rsidTr="009521E1">
        <w:tc>
          <w:tcPr>
            <w:tcW w:w="3282" w:type="dxa"/>
            <w:vMerge w:val="restart"/>
          </w:tcPr>
          <w:p w14:paraId="16A33BD6" w14:textId="100FF95C" w:rsidR="00AB1F62" w:rsidRPr="004E557D" w:rsidRDefault="00AB1F62" w:rsidP="009521E1">
            <w:pPr>
              <w:spacing w:line="320" w:lineRule="exact"/>
              <w:rPr>
                <w:b/>
                <w:iCs/>
              </w:rPr>
            </w:pPr>
            <w:r w:rsidRPr="004E557D">
              <w:rPr>
                <w:b/>
                <w:iCs/>
              </w:rPr>
              <w:t xml:space="preserve">Level of </w:t>
            </w:r>
            <w:r w:rsidR="00624A20" w:rsidRPr="004E557D">
              <w:rPr>
                <w:b/>
                <w:iCs/>
              </w:rPr>
              <w:t xml:space="preserve">required </w:t>
            </w:r>
            <w:r w:rsidRPr="004E557D">
              <w:rPr>
                <w:b/>
                <w:iCs/>
              </w:rPr>
              <w:t xml:space="preserve">employer-university collaboration </w:t>
            </w:r>
          </w:p>
        </w:tc>
        <w:tc>
          <w:tcPr>
            <w:tcW w:w="6566" w:type="dxa"/>
            <w:gridSpan w:val="2"/>
          </w:tcPr>
          <w:p w14:paraId="0F3B43A8" w14:textId="77777777" w:rsidR="00AB1F62" w:rsidRPr="004E557D" w:rsidRDefault="00AB1F62" w:rsidP="009521E1">
            <w:pPr>
              <w:spacing w:line="320" w:lineRule="exact"/>
              <w:jc w:val="center"/>
              <w:rPr>
                <w:b/>
                <w:iCs/>
              </w:rPr>
            </w:pPr>
            <w:r w:rsidRPr="004E557D">
              <w:rPr>
                <w:b/>
                <w:iCs/>
              </w:rPr>
              <w:t>Development driver</w:t>
            </w:r>
          </w:p>
        </w:tc>
      </w:tr>
      <w:tr w:rsidR="00AB1F62" w:rsidRPr="004E557D" w14:paraId="5824AD77" w14:textId="77777777" w:rsidTr="009521E1">
        <w:tc>
          <w:tcPr>
            <w:tcW w:w="3282" w:type="dxa"/>
            <w:vMerge/>
          </w:tcPr>
          <w:p w14:paraId="4B4F1A52" w14:textId="77777777" w:rsidR="00AB1F62" w:rsidRPr="004E557D" w:rsidRDefault="00AB1F62" w:rsidP="009521E1">
            <w:pPr>
              <w:spacing w:line="320" w:lineRule="exact"/>
              <w:rPr>
                <w:iCs/>
              </w:rPr>
            </w:pPr>
          </w:p>
        </w:tc>
        <w:tc>
          <w:tcPr>
            <w:tcW w:w="3283" w:type="dxa"/>
          </w:tcPr>
          <w:p w14:paraId="34B18A8A" w14:textId="77777777" w:rsidR="00AB1F62" w:rsidRPr="004E557D" w:rsidRDefault="00AB1F62" w:rsidP="009521E1">
            <w:pPr>
              <w:spacing w:line="320" w:lineRule="exact"/>
              <w:jc w:val="center"/>
              <w:rPr>
                <w:i/>
                <w:iCs/>
              </w:rPr>
            </w:pPr>
            <w:r w:rsidRPr="004E557D">
              <w:rPr>
                <w:i/>
                <w:iCs/>
              </w:rPr>
              <w:t>Employer-driven</w:t>
            </w:r>
          </w:p>
        </w:tc>
        <w:tc>
          <w:tcPr>
            <w:tcW w:w="3283" w:type="dxa"/>
          </w:tcPr>
          <w:p w14:paraId="1A1CA64E" w14:textId="666E9A4F" w:rsidR="00AB1F62" w:rsidRPr="004E557D" w:rsidRDefault="00E8267A" w:rsidP="009521E1">
            <w:pPr>
              <w:spacing w:line="320" w:lineRule="exact"/>
              <w:jc w:val="center"/>
              <w:rPr>
                <w:i/>
                <w:iCs/>
              </w:rPr>
            </w:pPr>
            <w:r w:rsidRPr="004E557D">
              <w:rPr>
                <w:i/>
                <w:iCs/>
              </w:rPr>
              <w:t>Provider</w:t>
            </w:r>
            <w:r w:rsidR="00AB1F62" w:rsidRPr="004E557D">
              <w:rPr>
                <w:i/>
                <w:iCs/>
              </w:rPr>
              <w:t>-driven</w:t>
            </w:r>
          </w:p>
        </w:tc>
      </w:tr>
      <w:tr w:rsidR="00AB1F62" w:rsidRPr="004E557D" w14:paraId="2E1E29FF" w14:textId="77777777" w:rsidTr="009521E1">
        <w:tc>
          <w:tcPr>
            <w:tcW w:w="3282" w:type="dxa"/>
          </w:tcPr>
          <w:p w14:paraId="121F91BD" w14:textId="77777777" w:rsidR="00AB1F62" w:rsidRPr="004E557D" w:rsidRDefault="00AB1F62" w:rsidP="009521E1">
            <w:pPr>
              <w:spacing w:line="320" w:lineRule="exact"/>
              <w:ind w:right="-53"/>
              <w:rPr>
                <w:i/>
                <w:iCs/>
              </w:rPr>
            </w:pPr>
            <w:r w:rsidRPr="004E557D">
              <w:rPr>
                <w:i/>
                <w:iCs/>
              </w:rPr>
              <w:t>High collaboration</w:t>
            </w:r>
          </w:p>
        </w:tc>
        <w:tc>
          <w:tcPr>
            <w:tcW w:w="3283" w:type="dxa"/>
          </w:tcPr>
          <w:p w14:paraId="3FF11D6F" w14:textId="77777777" w:rsidR="00AB1F62" w:rsidRPr="004E557D" w:rsidRDefault="00AB1F62" w:rsidP="009521E1">
            <w:pPr>
              <w:pStyle w:val="ListParagraph"/>
              <w:numPr>
                <w:ilvl w:val="0"/>
                <w:numId w:val="1"/>
              </w:numPr>
              <w:spacing w:line="320" w:lineRule="exact"/>
              <w:rPr>
                <w:iCs/>
              </w:rPr>
            </w:pPr>
            <w:r w:rsidRPr="004E557D">
              <w:rPr>
                <w:iCs/>
              </w:rPr>
              <w:t>Degree Apprenticeship Standards</w:t>
            </w:r>
          </w:p>
          <w:p w14:paraId="6026BB87" w14:textId="2002FFD8" w:rsidR="00E8267A" w:rsidRPr="004E557D" w:rsidRDefault="00E8267A" w:rsidP="009521E1">
            <w:pPr>
              <w:pStyle w:val="ListParagraph"/>
              <w:numPr>
                <w:ilvl w:val="0"/>
                <w:numId w:val="1"/>
              </w:numPr>
              <w:spacing w:line="320" w:lineRule="exact"/>
              <w:rPr>
                <w:iCs/>
              </w:rPr>
            </w:pPr>
            <w:r w:rsidRPr="004E557D">
              <w:rPr>
                <w:iCs/>
              </w:rPr>
              <w:t>Workforce Development Programmes</w:t>
            </w:r>
          </w:p>
        </w:tc>
        <w:tc>
          <w:tcPr>
            <w:tcW w:w="3283" w:type="dxa"/>
          </w:tcPr>
          <w:p w14:paraId="48F508E7" w14:textId="77777777" w:rsidR="00AB1F62" w:rsidRPr="004E557D" w:rsidRDefault="00AB1F62" w:rsidP="009521E1">
            <w:pPr>
              <w:pStyle w:val="ListParagraph"/>
              <w:numPr>
                <w:ilvl w:val="0"/>
                <w:numId w:val="1"/>
              </w:numPr>
              <w:spacing w:line="320" w:lineRule="exact"/>
              <w:rPr>
                <w:iCs/>
              </w:rPr>
            </w:pPr>
            <w:r w:rsidRPr="004E557D">
              <w:rPr>
                <w:iCs/>
              </w:rPr>
              <w:t xml:space="preserve">Foundation Degrees </w:t>
            </w:r>
          </w:p>
          <w:p w14:paraId="62E5C59C" w14:textId="23DACB10" w:rsidR="00E8267A" w:rsidRPr="004E557D" w:rsidRDefault="00E8267A" w:rsidP="009521E1">
            <w:pPr>
              <w:pStyle w:val="ListParagraph"/>
              <w:numPr>
                <w:ilvl w:val="0"/>
                <w:numId w:val="1"/>
              </w:numPr>
              <w:spacing w:line="320" w:lineRule="exact"/>
              <w:rPr>
                <w:iCs/>
              </w:rPr>
            </w:pPr>
            <w:r w:rsidRPr="004E557D">
              <w:rPr>
                <w:iCs/>
              </w:rPr>
              <w:t>Higher Apprenticeship Frameworks</w:t>
            </w:r>
          </w:p>
          <w:p w14:paraId="7B635E1B" w14:textId="45A0ABF1" w:rsidR="00AB1F62" w:rsidRPr="004E557D" w:rsidRDefault="00AB1F62" w:rsidP="00E8267A">
            <w:pPr>
              <w:spacing w:line="320" w:lineRule="exact"/>
              <w:rPr>
                <w:iCs/>
              </w:rPr>
            </w:pPr>
          </w:p>
        </w:tc>
      </w:tr>
      <w:tr w:rsidR="00AB1F62" w:rsidRPr="004E557D" w14:paraId="31C053AA" w14:textId="77777777" w:rsidTr="009521E1">
        <w:tc>
          <w:tcPr>
            <w:tcW w:w="3282" w:type="dxa"/>
          </w:tcPr>
          <w:p w14:paraId="563DDC99" w14:textId="77777777" w:rsidR="00AB1F62" w:rsidRPr="004E557D" w:rsidRDefault="00AB1F62" w:rsidP="009521E1">
            <w:pPr>
              <w:spacing w:line="320" w:lineRule="exact"/>
              <w:rPr>
                <w:i/>
                <w:iCs/>
              </w:rPr>
            </w:pPr>
            <w:r w:rsidRPr="004E557D">
              <w:rPr>
                <w:i/>
                <w:iCs/>
              </w:rPr>
              <w:t>Low collaboration</w:t>
            </w:r>
          </w:p>
        </w:tc>
        <w:tc>
          <w:tcPr>
            <w:tcW w:w="3283" w:type="dxa"/>
          </w:tcPr>
          <w:p w14:paraId="1E44C5EE" w14:textId="77777777" w:rsidR="00AB1F62" w:rsidRPr="004E557D" w:rsidRDefault="00AB1F62" w:rsidP="009521E1">
            <w:pPr>
              <w:pStyle w:val="ListParagraph"/>
              <w:numPr>
                <w:ilvl w:val="0"/>
                <w:numId w:val="2"/>
              </w:numPr>
              <w:spacing w:line="320" w:lineRule="exact"/>
              <w:rPr>
                <w:iCs/>
              </w:rPr>
            </w:pPr>
            <w:r w:rsidRPr="004E557D">
              <w:rPr>
                <w:iCs/>
              </w:rPr>
              <w:t>Higher Apprenticeship Standards</w:t>
            </w:r>
          </w:p>
        </w:tc>
        <w:tc>
          <w:tcPr>
            <w:tcW w:w="3283" w:type="dxa"/>
          </w:tcPr>
          <w:p w14:paraId="078F5A03" w14:textId="217CE17C" w:rsidR="003C69AE" w:rsidRPr="004E557D" w:rsidRDefault="003C69AE" w:rsidP="009521E1">
            <w:pPr>
              <w:pStyle w:val="ListParagraph"/>
              <w:numPr>
                <w:ilvl w:val="0"/>
                <w:numId w:val="2"/>
              </w:numPr>
              <w:spacing w:line="320" w:lineRule="exact"/>
              <w:rPr>
                <w:iCs/>
              </w:rPr>
            </w:pPr>
            <w:r w:rsidRPr="004E557D">
              <w:rPr>
                <w:iCs/>
              </w:rPr>
              <w:t>Flexible higher education</w:t>
            </w:r>
          </w:p>
          <w:p w14:paraId="4F6A07F6" w14:textId="4FDDE78F" w:rsidR="00624A20" w:rsidRPr="004E557D" w:rsidRDefault="00624A20" w:rsidP="009521E1">
            <w:pPr>
              <w:pStyle w:val="ListParagraph"/>
              <w:numPr>
                <w:ilvl w:val="0"/>
                <w:numId w:val="2"/>
              </w:numPr>
              <w:spacing w:line="320" w:lineRule="exact"/>
              <w:rPr>
                <w:iCs/>
              </w:rPr>
            </w:pPr>
            <w:r w:rsidRPr="004E557D">
              <w:rPr>
                <w:iCs/>
              </w:rPr>
              <w:t>Employability initiatives</w:t>
            </w:r>
          </w:p>
        </w:tc>
      </w:tr>
    </w:tbl>
    <w:p w14:paraId="473F0988" w14:textId="77777777" w:rsidR="00AB1F62" w:rsidRPr="004E557D" w:rsidRDefault="00AB1F62" w:rsidP="005F26F2">
      <w:pPr>
        <w:spacing w:line="320" w:lineRule="exact"/>
        <w:rPr>
          <w:iCs/>
        </w:rPr>
      </w:pPr>
    </w:p>
    <w:p w14:paraId="58ED4321" w14:textId="577AA01C" w:rsidR="00624A20" w:rsidRPr="004E557D" w:rsidRDefault="00624A20" w:rsidP="00ED4DE5">
      <w:pPr>
        <w:spacing w:line="320" w:lineRule="exact"/>
        <w:jc w:val="center"/>
        <w:rPr>
          <w:i/>
          <w:iCs/>
        </w:rPr>
      </w:pPr>
      <w:r w:rsidRPr="004E557D">
        <w:rPr>
          <w:i/>
          <w:iCs/>
        </w:rPr>
        <w:t>Table 1: Mapping higher-level skills policy initiatives</w:t>
      </w:r>
    </w:p>
    <w:p w14:paraId="057D488B" w14:textId="77777777" w:rsidR="007C6114" w:rsidRPr="004E557D" w:rsidRDefault="007C6114" w:rsidP="005F26F2">
      <w:pPr>
        <w:spacing w:line="320" w:lineRule="exact"/>
        <w:rPr>
          <w:iCs/>
        </w:rPr>
      </w:pPr>
    </w:p>
    <w:p w14:paraId="14B37D97" w14:textId="4A9774C0" w:rsidR="00ED4DE5" w:rsidRPr="004E557D" w:rsidRDefault="00EF4ADD" w:rsidP="005F26F2">
      <w:pPr>
        <w:spacing w:line="320" w:lineRule="exact"/>
        <w:rPr>
          <w:iCs/>
        </w:rPr>
      </w:pPr>
      <w:r w:rsidRPr="004E557D">
        <w:rPr>
          <w:iCs/>
        </w:rPr>
        <w:t>This summary table is designed to be illustrative and not definitive. Some</w:t>
      </w:r>
      <w:r w:rsidR="00521AF1" w:rsidRPr="004E557D">
        <w:rPr>
          <w:iCs/>
        </w:rPr>
        <w:t>, for example,</w:t>
      </w:r>
      <w:r w:rsidRPr="004E557D">
        <w:rPr>
          <w:iCs/>
        </w:rPr>
        <w:t xml:space="preserve"> may argue that </w:t>
      </w:r>
      <w:r w:rsidR="002B50E8" w:rsidRPr="004E557D">
        <w:rPr>
          <w:iCs/>
        </w:rPr>
        <w:t xml:space="preserve">the development of </w:t>
      </w:r>
      <w:r w:rsidRPr="004E557D">
        <w:rPr>
          <w:iCs/>
        </w:rPr>
        <w:t>Foundation Degree</w:t>
      </w:r>
      <w:r w:rsidR="00246E98" w:rsidRPr="004E557D">
        <w:rPr>
          <w:iCs/>
        </w:rPr>
        <w:t>s</w:t>
      </w:r>
      <w:r w:rsidRPr="004E557D">
        <w:rPr>
          <w:iCs/>
        </w:rPr>
        <w:t xml:space="preserve"> in practice may not </w:t>
      </w:r>
      <w:r w:rsidR="00521AF1" w:rsidRPr="004E557D">
        <w:rPr>
          <w:iCs/>
        </w:rPr>
        <w:t xml:space="preserve">have always </w:t>
      </w:r>
      <w:r w:rsidR="00E554E3" w:rsidRPr="004E557D">
        <w:rPr>
          <w:iCs/>
        </w:rPr>
        <w:t>included</w:t>
      </w:r>
      <w:r w:rsidRPr="004E557D">
        <w:rPr>
          <w:iCs/>
        </w:rPr>
        <w:t xml:space="preserve"> high levels of collaboration</w:t>
      </w:r>
      <w:r w:rsidR="002B50E8" w:rsidRPr="004E557D">
        <w:rPr>
          <w:iCs/>
        </w:rPr>
        <w:t xml:space="preserve"> with employers</w:t>
      </w:r>
      <w:r w:rsidR="00376C42" w:rsidRPr="004E557D">
        <w:rPr>
          <w:iCs/>
        </w:rPr>
        <w:t xml:space="preserve"> (QAA, 2003)</w:t>
      </w:r>
      <w:r w:rsidR="00246E98" w:rsidRPr="004E557D">
        <w:rPr>
          <w:iCs/>
        </w:rPr>
        <w:t>.</w:t>
      </w:r>
      <w:r w:rsidRPr="004E557D">
        <w:rPr>
          <w:iCs/>
        </w:rPr>
        <w:t xml:space="preserve"> </w:t>
      </w:r>
      <w:r w:rsidR="00246E98" w:rsidRPr="004E557D">
        <w:rPr>
          <w:iCs/>
        </w:rPr>
        <w:t>O</w:t>
      </w:r>
      <w:r w:rsidRPr="004E557D">
        <w:rPr>
          <w:iCs/>
        </w:rPr>
        <w:t>ther</w:t>
      </w:r>
      <w:r w:rsidR="00305DF4" w:rsidRPr="004E557D">
        <w:rPr>
          <w:iCs/>
        </w:rPr>
        <w:t>s</w:t>
      </w:r>
      <w:r w:rsidRPr="004E557D">
        <w:rPr>
          <w:iCs/>
        </w:rPr>
        <w:t xml:space="preserve"> may argue that workforce dev</w:t>
      </w:r>
      <w:r w:rsidR="00060B63" w:rsidRPr="004E557D">
        <w:rPr>
          <w:iCs/>
        </w:rPr>
        <w:t>elopment is provider</w:t>
      </w:r>
      <w:r w:rsidRPr="004E557D">
        <w:rPr>
          <w:iCs/>
        </w:rPr>
        <w:t>-driven</w:t>
      </w:r>
      <w:r w:rsidR="00060B63" w:rsidRPr="004E557D">
        <w:rPr>
          <w:iCs/>
        </w:rPr>
        <w:t xml:space="preserve"> as </w:t>
      </w:r>
      <w:r w:rsidR="00521AF1" w:rsidRPr="004E557D">
        <w:rPr>
          <w:iCs/>
        </w:rPr>
        <w:t xml:space="preserve">the public funding </w:t>
      </w:r>
      <w:r w:rsidR="00C07F0D" w:rsidRPr="004E557D">
        <w:rPr>
          <w:iCs/>
        </w:rPr>
        <w:t xml:space="preserve">for it </w:t>
      </w:r>
      <w:r w:rsidR="00521AF1" w:rsidRPr="004E557D">
        <w:rPr>
          <w:iCs/>
        </w:rPr>
        <w:t>flowed through universities</w:t>
      </w:r>
      <w:r w:rsidR="006A36FF" w:rsidRPr="004E557D">
        <w:rPr>
          <w:iCs/>
        </w:rPr>
        <w:t xml:space="preserve"> (BIS, 2012)</w:t>
      </w:r>
      <w:r w:rsidRPr="004E557D">
        <w:rPr>
          <w:iCs/>
        </w:rPr>
        <w:t xml:space="preserve">. </w:t>
      </w:r>
      <w:r w:rsidR="00305DF4" w:rsidRPr="004E557D">
        <w:rPr>
          <w:iCs/>
        </w:rPr>
        <w:t xml:space="preserve">Whilst the latter is true, those workforce development </w:t>
      </w:r>
      <w:r w:rsidR="003E631B" w:rsidRPr="004E557D">
        <w:rPr>
          <w:iCs/>
        </w:rPr>
        <w:t xml:space="preserve">programmes </w:t>
      </w:r>
      <w:r w:rsidR="00305DF4" w:rsidRPr="004E557D">
        <w:rPr>
          <w:iCs/>
        </w:rPr>
        <w:t xml:space="preserve">that have been sustained post HEFCE </w:t>
      </w:r>
      <w:r w:rsidR="007E569A" w:rsidRPr="004E557D">
        <w:rPr>
          <w:iCs/>
        </w:rPr>
        <w:t>co-</w:t>
      </w:r>
      <w:r w:rsidR="00305DF4" w:rsidRPr="004E557D">
        <w:rPr>
          <w:iCs/>
        </w:rPr>
        <w:t>funding are certainly employer-driven</w:t>
      </w:r>
      <w:r w:rsidR="00C80900" w:rsidRPr="004E557D">
        <w:rPr>
          <w:iCs/>
        </w:rPr>
        <w:t xml:space="preserve"> in funding terms</w:t>
      </w:r>
      <w:r w:rsidR="00305DF4" w:rsidRPr="004E557D">
        <w:rPr>
          <w:iCs/>
        </w:rPr>
        <w:t xml:space="preserve">. </w:t>
      </w:r>
      <w:r w:rsidRPr="004E557D">
        <w:rPr>
          <w:iCs/>
        </w:rPr>
        <w:t xml:space="preserve">The point is that </w:t>
      </w:r>
      <w:r w:rsidR="00BC5A26" w:rsidRPr="004E557D">
        <w:rPr>
          <w:iCs/>
        </w:rPr>
        <w:t xml:space="preserve">if </w:t>
      </w:r>
      <w:r w:rsidRPr="004E557D">
        <w:rPr>
          <w:iCs/>
        </w:rPr>
        <w:t>the ideal state for higher-level skills provision is that it is both employer-driven and requires high levels of collaboration with universities (</w:t>
      </w:r>
      <w:r w:rsidR="00060B63" w:rsidRPr="004E557D">
        <w:rPr>
          <w:iCs/>
        </w:rPr>
        <w:t>and/</w:t>
      </w:r>
      <w:r w:rsidRPr="004E557D">
        <w:rPr>
          <w:iCs/>
        </w:rPr>
        <w:t>or other HE providers)</w:t>
      </w:r>
      <w:r w:rsidR="00F61B0E" w:rsidRPr="004E557D">
        <w:rPr>
          <w:iCs/>
        </w:rPr>
        <w:t>,</w:t>
      </w:r>
      <w:r w:rsidR="00BC5A26" w:rsidRPr="004E557D">
        <w:rPr>
          <w:iCs/>
        </w:rPr>
        <w:t xml:space="preserve"> the other initiatives should also move in that direction, including Higher Apprenticeship Standards</w:t>
      </w:r>
      <w:r w:rsidRPr="004E557D">
        <w:rPr>
          <w:iCs/>
        </w:rPr>
        <w:t>.</w:t>
      </w:r>
    </w:p>
    <w:p w14:paraId="44E5C62C" w14:textId="77777777" w:rsidR="00ED4DE5" w:rsidRPr="004E557D" w:rsidRDefault="00ED4DE5" w:rsidP="005F26F2">
      <w:pPr>
        <w:spacing w:line="320" w:lineRule="exact"/>
        <w:rPr>
          <w:iCs/>
        </w:rPr>
      </w:pPr>
    </w:p>
    <w:p w14:paraId="74492823" w14:textId="4CB825CE" w:rsidR="007C6114" w:rsidRPr="004E557D" w:rsidRDefault="007C6114" w:rsidP="005F26F2">
      <w:pPr>
        <w:spacing w:line="320" w:lineRule="exact"/>
        <w:rPr>
          <w:b/>
          <w:iCs/>
        </w:rPr>
      </w:pPr>
      <w:r w:rsidRPr="004E557D">
        <w:rPr>
          <w:b/>
          <w:iCs/>
        </w:rPr>
        <w:t>Discussion and conclusions</w:t>
      </w:r>
    </w:p>
    <w:p w14:paraId="34A36FC3" w14:textId="6EA39B71" w:rsidR="005F26F2" w:rsidRPr="004E557D" w:rsidRDefault="004819C2" w:rsidP="005F26F2">
      <w:pPr>
        <w:spacing w:line="320" w:lineRule="exact"/>
        <w:rPr>
          <w:iCs/>
        </w:rPr>
      </w:pPr>
      <w:r w:rsidRPr="004E557D">
        <w:rPr>
          <w:iCs/>
        </w:rPr>
        <w:t xml:space="preserve">This </w:t>
      </w:r>
      <w:r w:rsidR="007C6114" w:rsidRPr="004E557D">
        <w:rPr>
          <w:iCs/>
        </w:rPr>
        <w:t xml:space="preserve">latest policy position </w:t>
      </w:r>
      <w:r w:rsidRPr="004E557D">
        <w:rPr>
          <w:iCs/>
        </w:rPr>
        <w:t xml:space="preserve">presents a major opportunity for those universities that have developed significant expertise in collaborating with employers in the co-design of work-based </w:t>
      </w:r>
      <w:r w:rsidR="00790078" w:rsidRPr="004E557D">
        <w:rPr>
          <w:iCs/>
        </w:rPr>
        <w:t>HE</w:t>
      </w:r>
      <w:r w:rsidRPr="004E557D">
        <w:rPr>
          <w:iCs/>
        </w:rPr>
        <w:t xml:space="preserve"> programmes as a consequence of their engagement with the HEFCE Workforce Development Programme.</w:t>
      </w:r>
      <w:r w:rsidR="004902B9" w:rsidRPr="004E557D">
        <w:rPr>
          <w:iCs/>
        </w:rPr>
        <w:t xml:space="preserve"> The model recognises that while employers </w:t>
      </w:r>
      <w:r w:rsidR="00047B1B" w:rsidRPr="004E557D">
        <w:rPr>
          <w:iCs/>
        </w:rPr>
        <w:t>may be</w:t>
      </w:r>
      <w:r w:rsidR="004902B9" w:rsidRPr="004E557D">
        <w:rPr>
          <w:iCs/>
        </w:rPr>
        <w:t xml:space="preserve"> best </w:t>
      </w:r>
      <w:r w:rsidR="00047B1B" w:rsidRPr="004E557D">
        <w:rPr>
          <w:iCs/>
        </w:rPr>
        <w:t xml:space="preserve">placed </w:t>
      </w:r>
      <w:r w:rsidR="00A433DD" w:rsidRPr="004E557D">
        <w:rPr>
          <w:iCs/>
        </w:rPr>
        <w:t xml:space="preserve">to </w:t>
      </w:r>
      <w:r w:rsidR="004902B9" w:rsidRPr="004E557D">
        <w:rPr>
          <w:iCs/>
        </w:rPr>
        <w:t>understand the knowledge, skills and behaviours required to perform</w:t>
      </w:r>
      <w:r w:rsidR="00550E3F" w:rsidRPr="004E557D">
        <w:rPr>
          <w:iCs/>
        </w:rPr>
        <w:t xml:space="preserve"> particular job roles, </w:t>
      </w:r>
      <w:r w:rsidR="0006302D" w:rsidRPr="004E557D">
        <w:rPr>
          <w:iCs/>
        </w:rPr>
        <w:t>HEIs</w:t>
      </w:r>
      <w:r w:rsidR="00550E3F" w:rsidRPr="004E557D">
        <w:rPr>
          <w:iCs/>
        </w:rPr>
        <w:t xml:space="preserve"> are best placed to understand the requirements for achieving </w:t>
      </w:r>
      <w:r w:rsidR="00790078" w:rsidRPr="004E557D">
        <w:rPr>
          <w:iCs/>
        </w:rPr>
        <w:t>HE</w:t>
      </w:r>
      <w:r w:rsidR="00550E3F" w:rsidRPr="004E557D">
        <w:rPr>
          <w:iCs/>
        </w:rPr>
        <w:t xml:space="preserve"> qualifications, </w:t>
      </w:r>
      <w:r w:rsidR="00047B1B" w:rsidRPr="004E557D">
        <w:rPr>
          <w:iCs/>
        </w:rPr>
        <w:t xml:space="preserve">and certainly have the required expertise in designing </w:t>
      </w:r>
      <w:r w:rsidR="00651B17" w:rsidRPr="004E557D">
        <w:rPr>
          <w:iCs/>
        </w:rPr>
        <w:t xml:space="preserve">work-based </w:t>
      </w:r>
      <w:r w:rsidR="00047B1B" w:rsidRPr="004E557D">
        <w:rPr>
          <w:iCs/>
        </w:rPr>
        <w:t xml:space="preserve">assessment. </w:t>
      </w:r>
      <w:r w:rsidR="00550E3F" w:rsidRPr="004E557D">
        <w:rPr>
          <w:iCs/>
        </w:rPr>
        <w:t>Similarly, it acknowledges that professional bodies are best placed to understand what constitutes ‘professional competence’ in the relevant area of practice.</w:t>
      </w:r>
      <w:r w:rsidR="003D1C36" w:rsidRPr="004E557D">
        <w:rPr>
          <w:iCs/>
        </w:rPr>
        <w:t xml:space="preserve"> This three-way alignment of employers, </w:t>
      </w:r>
      <w:r w:rsidR="00DF0EF6" w:rsidRPr="004E557D">
        <w:rPr>
          <w:iCs/>
        </w:rPr>
        <w:t xml:space="preserve">HEIs and professional bodies presents the powerful prospect of bridging the perceived divide between the professional </w:t>
      </w:r>
      <w:proofErr w:type="gramStart"/>
      <w:r w:rsidR="00DF0EF6" w:rsidRPr="004E557D">
        <w:rPr>
          <w:iCs/>
        </w:rPr>
        <w:t>competence</w:t>
      </w:r>
      <w:proofErr w:type="gramEnd"/>
      <w:r w:rsidR="00DF0EF6" w:rsidRPr="004E557D">
        <w:rPr>
          <w:iCs/>
        </w:rPr>
        <w:t xml:space="preserve"> required by employers and academic qualification (Bravenboer and Lester, 2016). </w:t>
      </w:r>
      <w:r w:rsidR="00233D4F" w:rsidRPr="004E557D">
        <w:rPr>
          <w:iCs/>
        </w:rPr>
        <w:t xml:space="preserve">It is also an opportunity to </w:t>
      </w:r>
      <w:r w:rsidR="00360E92" w:rsidRPr="004E557D">
        <w:rPr>
          <w:iCs/>
        </w:rPr>
        <w:t xml:space="preserve">move beyond the traditional separation of work and learning and </w:t>
      </w:r>
      <w:r w:rsidR="00233D4F" w:rsidRPr="004E557D">
        <w:rPr>
          <w:iCs/>
        </w:rPr>
        <w:t>develop</w:t>
      </w:r>
      <w:r w:rsidR="00360E92" w:rsidRPr="004E557D">
        <w:rPr>
          <w:iCs/>
        </w:rPr>
        <w:t xml:space="preserve"> the</w:t>
      </w:r>
      <w:r w:rsidR="00233D4F" w:rsidRPr="004E557D">
        <w:rPr>
          <w:iCs/>
        </w:rPr>
        <w:t xml:space="preserve"> ‘trust’ relationships that are required to overcome the barriers to effective employer-university collaboration (</w:t>
      </w:r>
      <w:proofErr w:type="spellStart"/>
      <w:r w:rsidR="00233D4F" w:rsidRPr="004E557D">
        <w:rPr>
          <w:iCs/>
        </w:rPr>
        <w:t>Bruneel</w:t>
      </w:r>
      <w:proofErr w:type="spellEnd"/>
      <w:r w:rsidR="00F47F00">
        <w:rPr>
          <w:iCs/>
        </w:rPr>
        <w:t xml:space="preserve"> et al</w:t>
      </w:r>
      <w:r w:rsidR="00233D4F" w:rsidRPr="004E557D">
        <w:rPr>
          <w:iCs/>
        </w:rPr>
        <w:t xml:space="preserve">, 2010).  </w:t>
      </w:r>
      <w:r w:rsidR="00DF0EF6" w:rsidRPr="004E557D">
        <w:rPr>
          <w:iCs/>
        </w:rPr>
        <w:t xml:space="preserve">The opportunity to have a coherent </w:t>
      </w:r>
      <w:r w:rsidR="00790078" w:rsidRPr="004E557D">
        <w:rPr>
          <w:iCs/>
        </w:rPr>
        <w:t>HE</w:t>
      </w:r>
      <w:r w:rsidR="00DF0EF6" w:rsidRPr="004E557D">
        <w:rPr>
          <w:iCs/>
        </w:rPr>
        <w:t xml:space="preserve"> and skills policy has been a long time in the making</w:t>
      </w:r>
      <w:r w:rsidR="00183C09" w:rsidRPr="004E557D">
        <w:rPr>
          <w:iCs/>
        </w:rPr>
        <w:t xml:space="preserve"> but the model for three-way collaboration in the design</w:t>
      </w:r>
      <w:r w:rsidR="00047B1B" w:rsidRPr="004E557D">
        <w:rPr>
          <w:iCs/>
        </w:rPr>
        <w:t xml:space="preserve">, </w:t>
      </w:r>
      <w:r w:rsidR="00183C09" w:rsidRPr="004E557D">
        <w:rPr>
          <w:iCs/>
        </w:rPr>
        <w:t xml:space="preserve">delivery </w:t>
      </w:r>
      <w:r w:rsidR="00047B1B" w:rsidRPr="004E557D">
        <w:rPr>
          <w:iCs/>
        </w:rPr>
        <w:t xml:space="preserve">and assessment </w:t>
      </w:r>
      <w:r w:rsidR="00183C09" w:rsidRPr="004E557D">
        <w:rPr>
          <w:iCs/>
        </w:rPr>
        <w:t xml:space="preserve">of Degree Apprenticeships could be </w:t>
      </w:r>
      <w:r w:rsidR="00FE0FD4" w:rsidRPr="004E557D">
        <w:rPr>
          <w:iCs/>
        </w:rPr>
        <w:t xml:space="preserve">truly </w:t>
      </w:r>
      <w:r w:rsidR="00183C09" w:rsidRPr="004E557D">
        <w:rPr>
          <w:iCs/>
        </w:rPr>
        <w:t>transformational.</w:t>
      </w:r>
    </w:p>
    <w:p w14:paraId="28BDE04C" w14:textId="77777777" w:rsidR="00FD7DCB" w:rsidRPr="004E557D" w:rsidRDefault="00FD7DCB" w:rsidP="005F26F2">
      <w:pPr>
        <w:spacing w:line="320" w:lineRule="exact"/>
        <w:rPr>
          <w:iCs/>
        </w:rPr>
      </w:pPr>
    </w:p>
    <w:p w14:paraId="1752846D" w14:textId="5C0C727B" w:rsidR="00FD7DCB" w:rsidRPr="004E557D" w:rsidRDefault="00FD7DCB" w:rsidP="005F26F2">
      <w:pPr>
        <w:spacing w:line="320" w:lineRule="exact"/>
        <w:rPr>
          <w:iCs/>
        </w:rPr>
      </w:pPr>
      <w:r w:rsidRPr="004E557D">
        <w:rPr>
          <w:iCs/>
        </w:rPr>
        <w:t>However, the story should not end there.</w:t>
      </w:r>
      <w:r w:rsidR="006E62C2" w:rsidRPr="004E557D">
        <w:rPr>
          <w:iCs/>
        </w:rPr>
        <w:t xml:space="preserve"> </w:t>
      </w:r>
      <w:r w:rsidR="00940A15" w:rsidRPr="004E557D">
        <w:rPr>
          <w:iCs/>
        </w:rPr>
        <w:t>T</w:t>
      </w:r>
      <w:r w:rsidR="006E62C2" w:rsidRPr="004E557D">
        <w:rPr>
          <w:iCs/>
        </w:rPr>
        <w:t xml:space="preserve">he evaluation of the successful HEFCE Workforce Development Programme </w:t>
      </w:r>
      <w:r w:rsidR="009B3319" w:rsidRPr="004E557D">
        <w:rPr>
          <w:iCs/>
        </w:rPr>
        <w:t>also identified</w:t>
      </w:r>
      <w:r w:rsidR="006E62C2" w:rsidRPr="004E557D">
        <w:rPr>
          <w:iCs/>
        </w:rPr>
        <w:t xml:space="preserve"> that</w:t>
      </w:r>
      <w:r w:rsidR="00940A15" w:rsidRPr="004E557D">
        <w:rPr>
          <w:iCs/>
        </w:rPr>
        <w:t>:</w:t>
      </w:r>
      <w:r w:rsidR="006E62C2" w:rsidRPr="004E557D">
        <w:rPr>
          <w:iCs/>
        </w:rPr>
        <w:t xml:space="preserve"> </w:t>
      </w:r>
    </w:p>
    <w:p w14:paraId="121ACCDC" w14:textId="77777777" w:rsidR="00D635E0" w:rsidRPr="004E557D" w:rsidRDefault="00D635E0" w:rsidP="005F26F2">
      <w:pPr>
        <w:spacing w:line="320" w:lineRule="exact"/>
        <w:rPr>
          <w:iCs/>
        </w:rPr>
      </w:pPr>
    </w:p>
    <w:p w14:paraId="2931DC9B" w14:textId="6DF1131B" w:rsidR="00D635E0" w:rsidRPr="004E557D" w:rsidRDefault="00D635E0" w:rsidP="00D635E0">
      <w:pPr>
        <w:spacing w:line="320" w:lineRule="exact"/>
        <w:ind w:left="720"/>
        <w:rPr>
          <w:iCs/>
        </w:rPr>
      </w:pPr>
      <w:r w:rsidRPr="004E557D">
        <w:rPr>
          <w:iCs/>
        </w:rPr>
        <w:t>Many of the HEIs in the Programme offered employee learners the opportunity to undertake less than 30 credits. (</w:t>
      </w:r>
      <w:proofErr w:type="spellStart"/>
      <w:r w:rsidRPr="004E557D">
        <w:rPr>
          <w:iCs/>
        </w:rPr>
        <w:t>Kewin</w:t>
      </w:r>
      <w:proofErr w:type="spellEnd"/>
      <w:r w:rsidR="00443A57">
        <w:rPr>
          <w:iCs/>
        </w:rPr>
        <w:t xml:space="preserve"> et al</w:t>
      </w:r>
      <w:r w:rsidRPr="004E557D">
        <w:rPr>
          <w:iCs/>
        </w:rPr>
        <w:t>, 2011, p</w:t>
      </w:r>
      <w:r w:rsidR="00940A15" w:rsidRPr="004E557D">
        <w:rPr>
          <w:iCs/>
        </w:rPr>
        <w:t>121)</w:t>
      </w:r>
    </w:p>
    <w:p w14:paraId="61DAFDE8" w14:textId="77777777" w:rsidR="00940A15" w:rsidRPr="004E557D" w:rsidRDefault="00940A15" w:rsidP="00D635E0">
      <w:pPr>
        <w:spacing w:line="320" w:lineRule="exact"/>
        <w:ind w:left="720"/>
        <w:rPr>
          <w:iCs/>
        </w:rPr>
      </w:pPr>
    </w:p>
    <w:p w14:paraId="41A2D80E" w14:textId="73DD9AF4" w:rsidR="000A55B2" w:rsidRPr="004E557D" w:rsidRDefault="00940A15" w:rsidP="00940A15">
      <w:pPr>
        <w:spacing w:line="320" w:lineRule="exact"/>
        <w:rPr>
          <w:iCs/>
        </w:rPr>
      </w:pPr>
      <w:r w:rsidRPr="004E557D">
        <w:rPr>
          <w:iCs/>
        </w:rPr>
        <w:t>This can be taken as an indication that employers do not always think that a full degree is required to meet their skills needs</w:t>
      </w:r>
      <w:r w:rsidR="00D641B7" w:rsidRPr="004E557D">
        <w:rPr>
          <w:iCs/>
        </w:rPr>
        <w:t>.</w:t>
      </w:r>
      <w:r w:rsidR="0019254E" w:rsidRPr="004E557D">
        <w:rPr>
          <w:iCs/>
        </w:rPr>
        <w:t xml:space="preserve"> </w:t>
      </w:r>
      <w:r w:rsidR="0049307D" w:rsidRPr="004E557D">
        <w:rPr>
          <w:iCs/>
        </w:rPr>
        <w:t>It is also the case that universities do not only design and deliver degree programmes</w:t>
      </w:r>
      <w:r w:rsidR="00623D0C" w:rsidRPr="004E557D">
        <w:rPr>
          <w:iCs/>
        </w:rPr>
        <w:t>. T</w:t>
      </w:r>
      <w:r w:rsidR="00E77F78" w:rsidRPr="004E557D">
        <w:rPr>
          <w:iCs/>
        </w:rPr>
        <w:t>hey also design and deliver smaller qualifications such as university certificates, higher diplomas and graduate certificates/diplomas</w:t>
      </w:r>
      <w:r w:rsidR="00D641B7" w:rsidRPr="004E557D">
        <w:rPr>
          <w:iCs/>
        </w:rPr>
        <w:t xml:space="preserve">, as exemplified by the case study cited </w:t>
      </w:r>
      <w:r w:rsidR="00BC1748" w:rsidRPr="004E557D">
        <w:rPr>
          <w:iCs/>
        </w:rPr>
        <w:t xml:space="preserve">above </w:t>
      </w:r>
      <w:r w:rsidR="00D641B7" w:rsidRPr="004E557D">
        <w:rPr>
          <w:iCs/>
        </w:rPr>
        <w:t>in the Wilson Review (2012)</w:t>
      </w:r>
      <w:r w:rsidR="00E77F78" w:rsidRPr="004E557D">
        <w:rPr>
          <w:iCs/>
        </w:rPr>
        <w:t xml:space="preserve">. </w:t>
      </w:r>
      <w:r w:rsidR="00960635" w:rsidRPr="004E557D">
        <w:rPr>
          <w:iCs/>
        </w:rPr>
        <w:t>The rationale (if there is one) for the separation between the requirement for ‘Degree Apprenticeships’ and non-Degree ‘Higher Ap</w:t>
      </w:r>
      <w:r w:rsidR="00035CB6" w:rsidRPr="004E557D">
        <w:rPr>
          <w:iCs/>
        </w:rPr>
        <w:t>prenticeship’ Standards</w:t>
      </w:r>
      <w:r w:rsidR="00960635" w:rsidRPr="004E557D">
        <w:rPr>
          <w:iCs/>
        </w:rPr>
        <w:t xml:space="preserve"> is unclear but it seem</w:t>
      </w:r>
      <w:r w:rsidR="00F32671" w:rsidRPr="004E557D">
        <w:rPr>
          <w:iCs/>
        </w:rPr>
        <w:t>s</w:t>
      </w:r>
      <w:r w:rsidR="00960635" w:rsidRPr="004E557D">
        <w:rPr>
          <w:iCs/>
        </w:rPr>
        <w:t xml:space="preserve"> unlikely that it is driven by employer demand.</w:t>
      </w:r>
    </w:p>
    <w:p w14:paraId="10C9E430" w14:textId="77777777" w:rsidR="000A55B2" w:rsidRPr="004E557D" w:rsidRDefault="000A55B2" w:rsidP="00940A15">
      <w:pPr>
        <w:spacing w:line="320" w:lineRule="exact"/>
        <w:rPr>
          <w:iCs/>
        </w:rPr>
      </w:pPr>
    </w:p>
    <w:p w14:paraId="3B39015E" w14:textId="3EA24932" w:rsidR="00DF1F4D" w:rsidRPr="004E557D" w:rsidRDefault="00C3028C" w:rsidP="00940A15">
      <w:pPr>
        <w:spacing w:line="320" w:lineRule="exact"/>
        <w:rPr>
          <w:iCs/>
        </w:rPr>
      </w:pPr>
      <w:r w:rsidRPr="004E557D">
        <w:rPr>
          <w:iCs/>
        </w:rPr>
        <w:t xml:space="preserve">One distinctive </w:t>
      </w:r>
      <w:r w:rsidR="00960635" w:rsidRPr="004E557D">
        <w:rPr>
          <w:iCs/>
        </w:rPr>
        <w:t>aspect of a De</w:t>
      </w:r>
      <w:r w:rsidRPr="004E557D">
        <w:rPr>
          <w:iCs/>
        </w:rPr>
        <w:t>gree Apprenticeship is that ‘degrees’ are</w:t>
      </w:r>
      <w:r w:rsidR="00960635" w:rsidRPr="004E557D">
        <w:rPr>
          <w:iCs/>
        </w:rPr>
        <w:t xml:space="preserve"> fairly well understood </w:t>
      </w:r>
      <w:r w:rsidR="00D80BD0" w:rsidRPr="004E557D">
        <w:rPr>
          <w:iCs/>
        </w:rPr>
        <w:t xml:space="preserve">by employers </w:t>
      </w:r>
      <w:r w:rsidR="00960635" w:rsidRPr="004E557D">
        <w:rPr>
          <w:iCs/>
        </w:rPr>
        <w:t xml:space="preserve">in terms of size, </w:t>
      </w:r>
      <w:r w:rsidR="00686E74" w:rsidRPr="004E557D">
        <w:rPr>
          <w:iCs/>
        </w:rPr>
        <w:t xml:space="preserve">i.e. </w:t>
      </w:r>
      <w:r w:rsidR="00960635" w:rsidRPr="004E557D">
        <w:rPr>
          <w:iCs/>
        </w:rPr>
        <w:t>normally equivalent to</w:t>
      </w:r>
      <w:r w:rsidR="00D80BD0" w:rsidRPr="004E557D">
        <w:rPr>
          <w:iCs/>
        </w:rPr>
        <w:t xml:space="preserve"> three years of full time study</w:t>
      </w:r>
      <w:r w:rsidR="00960635" w:rsidRPr="004E557D">
        <w:rPr>
          <w:iCs/>
        </w:rPr>
        <w:t xml:space="preserve">. </w:t>
      </w:r>
      <w:r w:rsidR="000A55B2" w:rsidRPr="004E557D">
        <w:rPr>
          <w:iCs/>
        </w:rPr>
        <w:t xml:space="preserve">The requirement for an Apprenticeship Standard is </w:t>
      </w:r>
      <w:r w:rsidR="00D80BD0" w:rsidRPr="004E557D">
        <w:rPr>
          <w:iCs/>
        </w:rPr>
        <w:t>that</w:t>
      </w:r>
      <w:r w:rsidR="000A55B2" w:rsidRPr="004E557D">
        <w:rPr>
          <w:iCs/>
        </w:rPr>
        <w:t xml:space="preserve"> it must take place over a period of not less that one year</w:t>
      </w:r>
      <w:r w:rsidR="00D80BD0" w:rsidRPr="004E557D">
        <w:rPr>
          <w:iCs/>
        </w:rPr>
        <w:t xml:space="preserve">, which potentially means that other non-Degree </w:t>
      </w:r>
      <w:r w:rsidR="00790078" w:rsidRPr="004E557D">
        <w:rPr>
          <w:iCs/>
        </w:rPr>
        <w:t>HE</w:t>
      </w:r>
      <w:r w:rsidR="00D80BD0" w:rsidRPr="004E557D">
        <w:rPr>
          <w:iCs/>
        </w:rPr>
        <w:t xml:space="preserve"> qualifications could feature </w:t>
      </w:r>
      <w:r w:rsidR="00617D66" w:rsidRPr="004E557D">
        <w:rPr>
          <w:iCs/>
        </w:rPr>
        <w:t>a</w:t>
      </w:r>
      <w:r w:rsidR="00D80BD0" w:rsidRPr="004E557D">
        <w:rPr>
          <w:iCs/>
        </w:rPr>
        <w:t>s the means to achieve an Apprenticeship Standard</w:t>
      </w:r>
      <w:r w:rsidR="000A55B2" w:rsidRPr="004E557D">
        <w:rPr>
          <w:iCs/>
        </w:rPr>
        <w:t xml:space="preserve">. No indication is given </w:t>
      </w:r>
      <w:r w:rsidRPr="004E557D">
        <w:rPr>
          <w:iCs/>
        </w:rPr>
        <w:t xml:space="preserve">to date </w:t>
      </w:r>
      <w:r w:rsidR="000A55B2" w:rsidRPr="004E557D">
        <w:rPr>
          <w:iCs/>
        </w:rPr>
        <w:t>of the required ‘intensity’ for Apprenticeship Standards (</w:t>
      </w:r>
      <w:r w:rsidR="00790078" w:rsidRPr="004E557D">
        <w:rPr>
          <w:iCs/>
        </w:rPr>
        <w:t>i.e.</w:t>
      </w:r>
      <w:r w:rsidR="000A55B2" w:rsidRPr="004E557D">
        <w:rPr>
          <w:iCs/>
        </w:rPr>
        <w:t xml:space="preserve"> how much learning wi</w:t>
      </w:r>
      <w:r w:rsidR="00960635" w:rsidRPr="004E557D">
        <w:rPr>
          <w:iCs/>
        </w:rPr>
        <w:t>thin the required year minimum)</w:t>
      </w:r>
      <w:r w:rsidR="00790078" w:rsidRPr="004E557D">
        <w:rPr>
          <w:iCs/>
        </w:rPr>
        <w:t>;</w:t>
      </w:r>
      <w:r w:rsidR="000A55B2" w:rsidRPr="004E557D">
        <w:rPr>
          <w:iCs/>
        </w:rPr>
        <w:t xml:space="preserve"> the only vague indication is that at least 20% of the apprenticeship must be ‘off the job’</w:t>
      </w:r>
      <w:r w:rsidR="00164477" w:rsidRPr="004E557D">
        <w:rPr>
          <w:iCs/>
        </w:rPr>
        <w:t xml:space="preserve"> (BIS, 2015)</w:t>
      </w:r>
      <w:r w:rsidR="000A55B2" w:rsidRPr="004E557D">
        <w:rPr>
          <w:iCs/>
        </w:rPr>
        <w:t xml:space="preserve">. For those </w:t>
      </w:r>
      <w:r w:rsidR="00960635" w:rsidRPr="004E557D">
        <w:rPr>
          <w:iCs/>
        </w:rPr>
        <w:t>university’s</w:t>
      </w:r>
      <w:r w:rsidR="000A55B2" w:rsidRPr="004E557D">
        <w:rPr>
          <w:iCs/>
        </w:rPr>
        <w:t xml:space="preserve"> that have exp</w:t>
      </w:r>
      <w:r w:rsidR="00960635" w:rsidRPr="004E557D">
        <w:rPr>
          <w:iCs/>
        </w:rPr>
        <w:t>erience of working wi</w:t>
      </w:r>
      <w:r w:rsidR="000A55B2" w:rsidRPr="004E557D">
        <w:rPr>
          <w:iCs/>
        </w:rPr>
        <w:t xml:space="preserve">th employers to co-design programmes of work-based </w:t>
      </w:r>
      <w:r w:rsidR="00790078" w:rsidRPr="004E557D">
        <w:rPr>
          <w:iCs/>
        </w:rPr>
        <w:t>HE</w:t>
      </w:r>
      <w:r w:rsidR="00960635" w:rsidRPr="004E557D">
        <w:rPr>
          <w:iCs/>
        </w:rPr>
        <w:t xml:space="preserve"> </w:t>
      </w:r>
      <w:r w:rsidR="000A55B2" w:rsidRPr="004E557D">
        <w:rPr>
          <w:iCs/>
        </w:rPr>
        <w:t>study</w:t>
      </w:r>
      <w:r w:rsidR="00DF1F4D" w:rsidRPr="004E557D">
        <w:rPr>
          <w:iCs/>
        </w:rPr>
        <w:t xml:space="preserve"> </w:t>
      </w:r>
      <w:r w:rsidR="000A55B2" w:rsidRPr="004E557D">
        <w:rPr>
          <w:iCs/>
        </w:rPr>
        <w:t xml:space="preserve">the idea of ‘off the job’ is largely unhelpful as it only serves to perpetuate the notion that </w:t>
      </w:r>
      <w:r w:rsidR="00DF1F4D" w:rsidRPr="004E557D">
        <w:rPr>
          <w:iCs/>
        </w:rPr>
        <w:t>‘</w:t>
      </w:r>
      <w:r w:rsidR="00960635" w:rsidRPr="004E557D">
        <w:rPr>
          <w:iCs/>
        </w:rPr>
        <w:t>on the job’ learning is somehow different from ‘off the job’ learning.</w:t>
      </w:r>
      <w:r w:rsidR="000A55B2" w:rsidRPr="004E557D">
        <w:rPr>
          <w:iCs/>
        </w:rPr>
        <w:t xml:space="preserve"> </w:t>
      </w:r>
      <w:r w:rsidR="00164477" w:rsidRPr="004E557D">
        <w:rPr>
          <w:iCs/>
        </w:rPr>
        <w:t>Employer-university collaboration</w:t>
      </w:r>
      <w:r w:rsidR="00D80BD0" w:rsidRPr="004E557D">
        <w:rPr>
          <w:iCs/>
        </w:rPr>
        <w:t>s</w:t>
      </w:r>
      <w:r w:rsidR="00164477" w:rsidRPr="004E557D">
        <w:rPr>
          <w:iCs/>
        </w:rPr>
        <w:t xml:space="preserve"> in the design and delivery of </w:t>
      </w:r>
      <w:r w:rsidR="00790078" w:rsidRPr="004E557D">
        <w:rPr>
          <w:iCs/>
        </w:rPr>
        <w:t>HE</w:t>
      </w:r>
      <w:r w:rsidR="00164477" w:rsidRPr="004E557D">
        <w:rPr>
          <w:iCs/>
        </w:rPr>
        <w:t xml:space="preserve"> level programmes that include the combination</w:t>
      </w:r>
      <w:r w:rsidR="00DF1F4D" w:rsidRPr="004E557D">
        <w:rPr>
          <w:iCs/>
        </w:rPr>
        <w:t xml:space="preserve"> of accredited in-company training and </w:t>
      </w:r>
      <w:r w:rsidR="00164477" w:rsidRPr="004E557D">
        <w:rPr>
          <w:iCs/>
        </w:rPr>
        <w:t xml:space="preserve">‘on the job’ </w:t>
      </w:r>
      <w:r w:rsidR="00DF1F4D" w:rsidRPr="004E557D">
        <w:rPr>
          <w:iCs/>
        </w:rPr>
        <w:t>work-based learning (Bravenboer</w:t>
      </w:r>
      <w:r w:rsidR="007A6B7D" w:rsidRPr="004E557D">
        <w:rPr>
          <w:iCs/>
        </w:rPr>
        <w:t>,</w:t>
      </w:r>
      <w:r w:rsidR="00DF1F4D" w:rsidRPr="004E557D">
        <w:rPr>
          <w:iCs/>
        </w:rPr>
        <w:t xml:space="preserve"> 2011</w:t>
      </w:r>
      <w:r w:rsidR="00F81D05" w:rsidRPr="004E557D">
        <w:rPr>
          <w:iCs/>
        </w:rPr>
        <w:t>, Wilson, 2012</w:t>
      </w:r>
      <w:r w:rsidR="00DF1F4D" w:rsidRPr="004E557D">
        <w:rPr>
          <w:iCs/>
        </w:rPr>
        <w:t xml:space="preserve">) </w:t>
      </w:r>
      <w:r w:rsidR="00164477" w:rsidRPr="004E557D">
        <w:rPr>
          <w:iCs/>
        </w:rPr>
        <w:t>significantly undermines this presumed distinction.</w:t>
      </w:r>
      <w:r w:rsidR="00CC6DCC" w:rsidRPr="004E557D">
        <w:rPr>
          <w:iCs/>
        </w:rPr>
        <w:t xml:space="preserve"> </w:t>
      </w:r>
    </w:p>
    <w:p w14:paraId="4913CAA6" w14:textId="77777777" w:rsidR="00DF1F4D" w:rsidRPr="004E557D" w:rsidRDefault="00DF1F4D" w:rsidP="00940A15">
      <w:pPr>
        <w:spacing w:line="320" w:lineRule="exact"/>
        <w:rPr>
          <w:iCs/>
        </w:rPr>
      </w:pPr>
    </w:p>
    <w:p w14:paraId="294B9895" w14:textId="64556648" w:rsidR="000A121B" w:rsidRPr="004E557D" w:rsidRDefault="00E77F78" w:rsidP="007A6B7D">
      <w:pPr>
        <w:spacing w:line="320" w:lineRule="exact"/>
        <w:rPr>
          <w:iCs/>
        </w:rPr>
      </w:pPr>
      <w:r w:rsidRPr="004E557D">
        <w:rPr>
          <w:iCs/>
        </w:rPr>
        <w:t xml:space="preserve">The rationale for involving </w:t>
      </w:r>
      <w:r w:rsidR="00686E74" w:rsidRPr="004E557D">
        <w:rPr>
          <w:iCs/>
        </w:rPr>
        <w:t>HEIs</w:t>
      </w:r>
      <w:r w:rsidRPr="004E557D">
        <w:rPr>
          <w:iCs/>
        </w:rPr>
        <w:t xml:space="preserve"> in the co-design of Degree Apprenticeships </w:t>
      </w:r>
      <w:r w:rsidR="00F81D05" w:rsidRPr="004E557D">
        <w:rPr>
          <w:iCs/>
        </w:rPr>
        <w:t xml:space="preserve">in the 2016 White Paper </w:t>
      </w:r>
      <w:r w:rsidR="00617D66" w:rsidRPr="004E557D">
        <w:rPr>
          <w:iCs/>
        </w:rPr>
        <w:t xml:space="preserve">is </w:t>
      </w:r>
      <w:r w:rsidR="00F81D05" w:rsidRPr="004E557D">
        <w:rPr>
          <w:iCs/>
        </w:rPr>
        <w:t>that universities can provide ‘high qu</w:t>
      </w:r>
      <w:r w:rsidR="007A6B7D" w:rsidRPr="004E557D">
        <w:rPr>
          <w:iCs/>
        </w:rPr>
        <w:t>ality</w:t>
      </w:r>
      <w:r w:rsidR="00F81D05" w:rsidRPr="004E557D">
        <w:rPr>
          <w:iCs/>
        </w:rPr>
        <w:t xml:space="preserve"> degrees</w:t>
      </w:r>
      <w:r w:rsidR="007A6B7D" w:rsidRPr="004E557D">
        <w:rPr>
          <w:iCs/>
        </w:rPr>
        <w:t>’</w:t>
      </w:r>
      <w:r w:rsidR="00F81D05" w:rsidRPr="004E557D">
        <w:rPr>
          <w:iCs/>
        </w:rPr>
        <w:t xml:space="preserve"> and contribute ‘innovation and excellence’</w:t>
      </w:r>
      <w:r w:rsidR="007A6B7D" w:rsidRPr="004E557D">
        <w:rPr>
          <w:iCs/>
        </w:rPr>
        <w:t xml:space="preserve"> to the process of co-design</w:t>
      </w:r>
      <w:r w:rsidR="00617D66" w:rsidRPr="004E557D">
        <w:rPr>
          <w:iCs/>
        </w:rPr>
        <w:t>.</w:t>
      </w:r>
      <w:r w:rsidR="007A6B7D" w:rsidRPr="004E557D">
        <w:rPr>
          <w:iCs/>
        </w:rPr>
        <w:t xml:space="preserve"> The White Paper also acknowledges that </w:t>
      </w:r>
      <w:r w:rsidR="00FC5621" w:rsidRPr="004E557D">
        <w:rPr>
          <w:iCs/>
        </w:rPr>
        <w:t xml:space="preserve">this may </w:t>
      </w:r>
      <w:r w:rsidR="007A6B7D" w:rsidRPr="004E557D">
        <w:rPr>
          <w:iCs/>
        </w:rPr>
        <w:t>“involve</w:t>
      </w:r>
      <w:r w:rsidR="00FC5621" w:rsidRPr="004E557D">
        <w:rPr>
          <w:iCs/>
        </w:rPr>
        <w:t xml:space="preserve"> </w:t>
      </w:r>
      <w:r w:rsidR="007A6B7D" w:rsidRPr="004E557D">
        <w:rPr>
          <w:iCs/>
        </w:rPr>
        <w:t>changes to the way universities design and deliver courses to meet the standard” (BIS, 2016, p52).</w:t>
      </w:r>
      <w:r w:rsidR="00617D66" w:rsidRPr="004E557D">
        <w:rPr>
          <w:iCs/>
        </w:rPr>
        <w:t xml:space="preserve"> The fact that for Degree Apprenticeships </w:t>
      </w:r>
      <w:r w:rsidR="000D568D" w:rsidRPr="004E557D">
        <w:rPr>
          <w:iCs/>
        </w:rPr>
        <w:t>the co-designed degree</w:t>
      </w:r>
      <w:r w:rsidR="00617D66" w:rsidRPr="004E557D">
        <w:rPr>
          <w:iCs/>
        </w:rPr>
        <w:t xml:space="preserve"> </w:t>
      </w:r>
      <w:r w:rsidR="000D568D" w:rsidRPr="004E557D">
        <w:rPr>
          <w:iCs/>
        </w:rPr>
        <w:t>“delivers and tests both academic learning and on-the-job training” (BIS, 2015, p13) perpetuates the distinction between ‘academic learning’ and ‘on-the job training’ but at least would seem to indicate that universities are capable of contributing productively to the design and delivery of Apprenticeships.</w:t>
      </w:r>
      <w:r w:rsidR="00617D66" w:rsidRPr="004E557D">
        <w:rPr>
          <w:iCs/>
        </w:rPr>
        <w:t xml:space="preserve"> If the rationale for the involvement of universities includes their expertise in designing and assessing </w:t>
      </w:r>
      <w:r w:rsidR="00790078" w:rsidRPr="004E557D">
        <w:rPr>
          <w:iCs/>
        </w:rPr>
        <w:t>HE</w:t>
      </w:r>
      <w:r w:rsidR="00617D66" w:rsidRPr="004E557D">
        <w:rPr>
          <w:iCs/>
        </w:rPr>
        <w:t xml:space="preserve">, </w:t>
      </w:r>
      <w:r w:rsidR="000D568D" w:rsidRPr="004E557D">
        <w:rPr>
          <w:iCs/>
        </w:rPr>
        <w:t xml:space="preserve">then this </w:t>
      </w:r>
      <w:r w:rsidRPr="004E557D">
        <w:rPr>
          <w:iCs/>
        </w:rPr>
        <w:t xml:space="preserve">surely also holds true for Higher Apprenticeship Standards that might include other </w:t>
      </w:r>
      <w:r w:rsidR="00790078" w:rsidRPr="004E557D">
        <w:rPr>
          <w:iCs/>
        </w:rPr>
        <w:t>HE</w:t>
      </w:r>
      <w:r w:rsidRPr="004E557D">
        <w:rPr>
          <w:iCs/>
        </w:rPr>
        <w:t xml:space="preserve"> qualifications in the associated Assessment Plans.</w:t>
      </w:r>
      <w:r w:rsidR="00AF3543" w:rsidRPr="004E557D">
        <w:rPr>
          <w:iCs/>
        </w:rPr>
        <w:t xml:space="preserve"> It is entirely possible to maintain the ‘employer driven’ requirement for Higher Apprenticeships and at the same time build in a facility to include </w:t>
      </w:r>
      <w:r w:rsidR="00C76BC9" w:rsidRPr="004E557D">
        <w:rPr>
          <w:iCs/>
        </w:rPr>
        <w:t>universities</w:t>
      </w:r>
      <w:r w:rsidR="00AF3543" w:rsidRPr="004E557D">
        <w:rPr>
          <w:iCs/>
        </w:rPr>
        <w:t xml:space="preserve"> </w:t>
      </w:r>
      <w:r w:rsidR="005C19F1" w:rsidRPr="004E557D">
        <w:rPr>
          <w:iCs/>
        </w:rPr>
        <w:t>and professional bodies in the c</w:t>
      </w:r>
      <w:r w:rsidR="00AF3543" w:rsidRPr="004E557D">
        <w:rPr>
          <w:iCs/>
        </w:rPr>
        <w:t xml:space="preserve">onsortia undertaking the design of Apprenticeship Standards. </w:t>
      </w:r>
      <w:r w:rsidR="000D568D" w:rsidRPr="004E557D">
        <w:rPr>
          <w:iCs/>
        </w:rPr>
        <w:t>The requirements for the D</w:t>
      </w:r>
      <w:r w:rsidR="009A1C89" w:rsidRPr="004E557D">
        <w:rPr>
          <w:iCs/>
        </w:rPr>
        <w:t>egree Apprenticeship</w:t>
      </w:r>
      <w:r w:rsidR="000D568D" w:rsidRPr="004E557D">
        <w:rPr>
          <w:iCs/>
        </w:rPr>
        <w:t xml:space="preserve"> make this clear. However, t</w:t>
      </w:r>
      <w:r w:rsidR="00AF3543" w:rsidRPr="004E557D">
        <w:rPr>
          <w:iCs/>
        </w:rPr>
        <w:t xml:space="preserve">here is a danger that the process for developing non-Degree </w:t>
      </w:r>
      <w:r w:rsidR="00287930" w:rsidRPr="004E557D">
        <w:rPr>
          <w:iCs/>
        </w:rPr>
        <w:t xml:space="preserve">Higher </w:t>
      </w:r>
      <w:r w:rsidR="00AF3543" w:rsidRPr="004E557D">
        <w:rPr>
          <w:iCs/>
        </w:rPr>
        <w:t>Appre</w:t>
      </w:r>
      <w:r w:rsidR="00EC4E15" w:rsidRPr="004E557D">
        <w:rPr>
          <w:iCs/>
        </w:rPr>
        <w:t>nticeship Standards will throw</w:t>
      </w:r>
      <w:r w:rsidR="00AF3543" w:rsidRPr="004E557D">
        <w:rPr>
          <w:iCs/>
        </w:rPr>
        <w:t xml:space="preserve"> the </w:t>
      </w:r>
      <w:r w:rsidR="00790078" w:rsidRPr="004E557D">
        <w:rPr>
          <w:iCs/>
        </w:rPr>
        <w:t>HE</w:t>
      </w:r>
      <w:r w:rsidR="00420F5D" w:rsidRPr="004E557D">
        <w:rPr>
          <w:iCs/>
        </w:rPr>
        <w:t xml:space="preserve"> expertise </w:t>
      </w:r>
      <w:r w:rsidR="00B62B0B" w:rsidRPr="004E557D">
        <w:rPr>
          <w:iCs/>
        </w:rPr>
        <w:t>‘</w:t>
      </w:r>
      <w:r w:rsidR="00420F5D" w:rsidRPr="004E557D">
        <w:rPr>
          <w:iCs/>
        </w:rPr>
        <w:t>baby</w:t>
      </w:r>
      <w:r w:rsidR="00B62B0B" w:rsidRPr="004E557D">
        <w:rPr>
          <w:iCs/>
        </w:rPr>
        <w:t>’</w:t>
      </w:r>
      <w:r w:rsidR="00420F5D" w:rsidRPr="004E557D">
        <w:rPr>
          <w:iCs/>
        </w:rPr>
        <w:t xml:space="preserve"> out with the </w:t>
      </w:r>
      <w:r w:rsidR="00B62B0B" w:rsidRPr="004E557D">
        <w:rPr>
          <w:iCs/>
        </w:rPr>
        <w:t>‘</w:t>
      </w:r>
      <w:r w:rsidR="00420F5D" w:rsidRPr="004E557D">
        <w:rPr>
          <w:iCs/>
        </w:rPr>
        <w:t>bathwater</w:t>
      </w:r>
      <w:r w:rsidR="00B62B0B" w:rsidRPr="004E557D">
        <w:rPr>
          <w:iCs/>
        </w:rPr>
        <w:t>’</w:t>
      </w:r>
      <w:r w:rsidR="00420F5D" w:rsidRPr="004E557D">
        <w:rPr>
          <w:iCs/>
        </w:rPr>
        <w:t xml:space="preserve"> of provider-led approaches.</w:t>
      </w:r>
      <w:r w:rsidR="001F7E9C" w:rsidRPr="004E557D">
        <w:rPr>
          <w:iCs/>
        </w:rPr>
        <w:t xml:space="preserve"> </w:t>
      </w:r>
      <w:r w:rsidR="006200BC" w:rsidRPr="004E557D">
        <w:rPr>
          <w:iCs/>
        </w:rPr>
        <w:t xml:space="preserve">This will of course also require a corresponding shift in approaches to the development of higher-level skills provision by universities to avoid the sector being </w:t>
      </w:r>
      <w:r w:rsidR="00C81882" w:rsidRPr="004E557D">
        <w:rPr>
          <w:iCs/>
        </w:rPr>
        <w:t>‘</w:t>
      </w:r>
      <w:r w:rsidR="006200BC" w:rsidRPr="004E557D">
        <w:rPr>
          <w:iCs/>
        </w:rPr>
        <w:t>blamed for policy failure</w:t>
      </w:r>
      <w:r w:rsidR="00C81882" w:rsidRPr="004E557D">
        <w:rPr>
          <w:iCs/>
        </w:rPr>
        <w:t>’</w:t>
      </w:r>
      <w:r w:rsidR="006200BC" w:rsidRPr="004E557D">
        <w:rPr>
          <w:iCs/>
        </w:rPr>
        <w:t xml:space="preserve"> (Keep, 2014). </w:t>
      </w:r>
      <w:r w:rsidR="001F7E9C" w:rsidRPr="004E557D">
        <w:rPr>
          <w:iCs/>
        </w:rPr>
        <w:t xml:space="preserve">More than this, it seems inconsistent </w:t>
      </w:r>
      <w:r w:rsidR="0061010A" w:rsidRPr="004E557D">
        <w:rPr>
          <w:iCs/>
        </w:rPr>
        <w:t xml:space="preserve">in policy terms </w:t>
      </w:r>
      <w:r w:rsidR="001F7E9C" w:rsidRPr="004E557D">
        <w:rPr>
          <w:iCs/>
        </w:rPr>
        <w:t>to promote a model of development for Higher Apprenticeships that by design limits employer-university collaboration</w:t>
      </w:r>
      <w:r w:rsidR="0061010A" w:rsidRPr="004E557D">
        <w:rPr>
          <w:iCs/>
        </w:rPr>
        <w:t xml:space="preserve"> when </w:t>
      </w:r>
      <w:r w:rsidR="009A1C89" w:rsidRPr="004E557D">
        <w:rPr>
          <w:iCs/>
        </w:rPr>
        <w:t>Government describes this as the preferred approach</w:t>
      </w:r>
      <w:r w:rsidR="0061010A" w:rsidRPr="004E557D">
        <w:rPr>
          <w:iCs/>
        </w:rPr>
        <w:t xml:space="preserve"> </w:t>
      </w:r>
      <w:r w:rsidR="009E69A6" w:rsidRPr="004E557D">
        <w:rPr>
          <w:iCs/>
        </w:rPr>
        <w:t xml:space="preserve">for Degree Apprenticeships </w:t>
      </w:r>
      <w:r w:rsidR="0061010A" w:rsidRPr="004E557D">
        <w:rPr>
          <w:iCs/>
        </w:rPr>
        <w:t>(BIS, 2015). It really is a ‘no-brainer’.</w:t>
      </w:r>
    </w:p>
    <w:p w14:paraId="724C04D3" w14:textId="61D12C5B" w:rsidR="00E4319B" w:rsidRPr="004E557D" w:rsidRDefault="000A121B" w:rsidP="00766EB8">
      <w:pPr>
        <w:rPr>
          <w:iCs/>
        </w:rPr>
      </w:pPr>
      <w:r w:rsidRPr="004E557D">
        <w:rPr>
          <w:iCs/>
        </w:rPr>
        <w:br w:type="page"/>
      </w:r>
      <w:r w:rsidR="00E4319B" w:rsidRPr="004E557D">
        <w:rPr>
          <w:b/>
          <w:iCs/>
        </w:rPr>
        <w:t>References</w:t>
      </w:r>
    </w:p>
    <w:p w14:paraId="3A2BAAA3" w14:textId="383E0B27" w:rsidR="00743385" w:rsidRPr="00743385" w:rsidRDefault="00743385" w:rsidP="00743385">
      <w:pPr>
        <w:spacing w:line="320" w:lineRule="exact"/>
        <w:rPr>
          <w:lang w:val="en-US"/>
        </w:rPr>
      </w:pPr>
      <w:r w:rsidRPr="00743385">
        <w:rPr>
          <w:lang w:val="en-US"/>
        </w:rPr>
        <w:t>Abdel-</w:t>
      </w:r>
      <w:proofErr w:type="spellStart"/>
      <w:r w:rsidRPr="00743385">
        <w:rPr>
          <w:lang w:val="en-US"/>
        </w:rPr>
        <w:t>Wahab</w:t>
      </w:r>
      <w:proofErr w:type="spellEnd"/>
      <w:r w:rsidRPr="00743385">
        <w:rPr>
          <w:lang w:val="en-US"/>
        </w:rPr>
        <w:t xml:space="preserve">, M., Dainty, A. and </w:t>
      </w:r>
      <w:proofErr w:type="spellStart"/>
      <w:r w:rsidRPr="00743385">
        <w:rPr>
          <w:lang w:val="en-US"/>
        </w:rPr>
        <w:t>Ison</w:t>
      </w:r>
      <w:proofErr w:type="spellEnd"/>
      <w:r w:rsidRPr="00743385">
        <w:rPr>
          <w:lang w:val="en-US"/>
        </w:rPr>
        <w:t xml:space="preserve">, S. (2010), “A review of the case of a levy-grant scheme (LGS) in the UK construction industry”, Journal of Vocational Education and Training, Vol. 62 No. 3, pp. 273-283, </w:t>
      </w:r>
      <w:proofErr w:type="spellStart"/>
      <w:r w:rsidRPr="00743385">
        <w:rPr>
          <w:lang w:val="en-US"/>
        </w:rPr>
        <w:t>doi</w:t>
      </w:r>
      <w:proofErr w:type="spellEnd"/>
      <w:r w:rsidRPr="00743385">
        <w:rPr>
          <w:lang w:val="en-US"/>
        </w:rPr>
        <w:t>: 10.1080/13636820.2010.495412.</w:t>
      </w:r>
    </w:p>
    <w:p w14:paraId="3F3EAC23" w14:textId="77777777" w:rsidR="00743385" w:rsidRDefault="00743385" w:rsidP="00743385">
      <w:pPr>
        <w:spacing w:line="320" w:lineRule="exact"/>
        <w:rPr>
          <w:lang w:val="en-US"/>
        </w:rPr>
      </w:pPr>
    </w:p>
    <w:p w14:paraId="610B6A36" w14:textId="77777777" w:rsidR="00743385" w:rsidRPr="00743385" w:rsidRDefault="00743385" w:rsidP="00743385">
      <w:pPr>
        <w:spacing w:line="320" w:lineRule="exact"/>
        <w:rPr>
          <w:lang w:val="en-US"/>
        </w:rPr>
      </w:pPr>
      <w:r w:rsidRPr="00743385">
        <w:rPr>
          <w:lang w:val="en-US"/>
        </w:rPr>
        <w:t xml:space="preserve">Anderson, A., Bravenboer, D.W. and </w:t>
      </w:r>
      <w:proofErr w:type="spellStart"/>
      <w:r w:rsidRPr="00743385">
        <w:rPr>
          <w:lang w:val="en-US"/>
        </w:rPr>
        <w:t>Hemsworth</w:t>
      </w:r>
      <w:proofErr w:type="spellEnd"/>
      <w:r w:rsidRPr="00743385">
        <w:rPr>
          <w:lang w:val="en-US"/>
        </w:rPr>
        <w:t xml:space="preserve">, D. (2012), “The role of universities in higher apprenticeship development”, Higher Education, Skills and Work-Based Learning, Vol. 2 No. 3, pp. 240-255, </w:t>
      </w:r>
      <w:proofErr w:type="spellStart"/>
      <w:r w:rsidRPr="00743385">
        <w:rPr>
          <w:lang w:val="en-US"/>
        </w:rPr>
        <w:t>doi</w:t>
      </w:r>
      <w:proofErr w:type="spellEnd"/>
      <w:r w:rsidRPr="00743385">
        <w:rPr>
          <w:lang w:val="en-US"/>
        </w:rPr>
        <w:t>: 10.1108/20423891211271773.</w:t>
      </w:r>
    </w:p>
    <w:p w14:paraId="625E93CE" w14:textId="77777777" w:rsidR="00743385" w:rsidRDefault="00743385" w:rsidP="00743385">
      <w:pPr>
        <w:spacing w:line="320" w:lineRule="exact"/>
        <w:rPr>
          <w:lang w:val="en-US"/>
        </w:rPr>
      </w:pPr>
    </w:p>
    <w:p w14:paraId="0DF68D3C" w14:textId="77777777" w:rsidR="00743385" w:rsidRPr="00743385" w:rsidRDefault="00743385" w:rsidP="00743385">
      <w:pPr>
        <w:spacing w:line="320" w:lineRule="exact"/>
        <w:rPr>
          <w:lang w:val="en-US"/>
        </w:rPr>
      </w:pPr>
      <w:proofErr w:type="spellStart"/>
      <w:r w:rsidRPr="00743385">
        <w:rPr>
          <w:lang w:val="en-US"/>
        </w:rPr>
        <w:t>Bartel</w:t>
      </w:r>
      <w:proofErr w:type="spellEnd"/>
      <w:r w:rsidRPr="00743385">
        <w:rPr>
          <w:lang w:val="en-US"/>
        </w:rPr>
        <w:t>, A.P. (2000), Measuring the Employer’s Return Measuring the Employer’s Return on Investments in Training: Evidence from the Literature Industrial Relations, Vol. 39 No. 3, Blackwell Publishers, Oxford.</w:t>
      </w:r>
    </w:p>
    <w:p w14:paraId="61591E8D" w14:textId="77777777" w:rsidR="00743385" w:rsidRDefault="00743385" w:rsidP="00743385">
      <w:pPr>
        <w:spacing w:line="320" w:lineRule="exact"/>
        <w:rPr>
          <w:lang w:val="en-US"/>
        </w:rPr>
      </w:pPr>
    </w:p>
    <w:p w14:paraId="4694F4B0" w14:textId="77777777" w:rsidR="00743385" w:rsidRPr="00743385" w:rsidRDefault="00743385" w:rsidP="00743385">
      <w:pPr>
        <w:spacing w:line="320" w:lineRule="exact"/>
        <w:rPr>
          <w:lang w:val="en-US"/>
        </w:rPr>
      </w:pPr>
      <w:r w:rsidRPr="00743385">
        <w:rPr>
          <w:lang w:val="en-US"/>
        </w:rPr>
        <w:t xml:space="preserve">Birds, R. (2010), “Leitch and higher education: the impact and relevance of the review of skills”, Perspectives: Policy and Practice in Higher Education, Vol. 14 No. 1, pp. 7-11, </w:t>
      </w:r>
      <w:proofErr w:type="spellStart"/>
      <w:r w:rsidRPr="00743385">
        <w:rPr>
          <w:lang w:val="en-US"/>
        </w:rPr>
        <w:t>doi</w:t>
      </w:r>
      <w:proofErr w:type="spellEnd"/>
      <w:r w:rsidRPr="00743385">
        <w:rPr>
          <w:lang w:val="en-US"/>
        </w:rPr>
        <w:t>: 10.1080/ 13603100903450510.</w:t>
      </w:r>
    </w:p>
    <w:p w14:paraId="32F5E376" w14:textId="77777777" w:rsidR="00743385" w:rsidRDefault="00743385" w:rsidP="00743385">
      <w:pPr>
        <w:spacing w:line="320" w:lineRule="exact"/>
        <w:rPr>
          <w:lang w:val="en-US"/>
        </w:rPr>
      </w:pPr>
    </w:p>
    <w:p w14:paraId="6E232444" w14:textId="5B7BDF20" w:rsidR="00EA2E7F" w:rsidRPr="004E557D" w:rsidRDefault="00743385" w:rsidP="00743385">
      <w:pPr>
        <w:spacing w:line="320" w:lineRule="exact"/>
        <w:rPr>
          <w:iCs/>
        </w:rPr>
      </w:pPr>
      <w:r w:rsidRPr="00743385">
        <w:rPr>
          <w:lang w:val="en-US"/>
        </w:rPr>
        <w:t xml:space="preserve">Bravenboer, D. and Lester, S. (2016), “Towards an integrated approach to the recognition of professional competence and academic learning”, Education + Training, Vol. 58 No. 4, pp. 409-421, </w:t>
      </w:r>
      <w:proofErr w:type="spellStart"/>
      <w:proofErr w:type="gramStart"/>
      <w:r w:rsidRPr="00743385">
        <w:rPr>
          <w:lang w:val="en-US"/>
        </w:rPr>
        <w:t>doi</w:t>
      </w:r>
      <w:proofErr w:type="spellEnd"/>
      <w:proofErr w:type="gramEnd"/>
      <w:r w:rsidRPr="00743385">
        <w:rPr>
          <w:lang w:val="en-US"/>
        </w:rPr>
        <w:t>: 10.1108/ET-10-2015-0091.</w:t>
      </w:r>
    </w:p>
    <w:p w14:paraId="1E23F059" w14:textId="77777777" w:rsidR="00743385" w:rsidRDefault="00743385" w:rsidP="00EA2E7F">
      <w:pPr>
        <w:spacing w:line="320" w:lineRule="exact"/>
        <w:rPr>
          <w:iCs/>
        </w:rPr>
      </w:pPr>
    </w:p>
    <w:p w14:paraId="3B987E87" w14:textId="77777777" w:rsidR="00743385" w:rsidRDefault="00743385" w:rsidP="00743385">
      <w:pPr>
        <w:spacing w:line="320" w:lineRule="exact"/>
        <w:rPr>
          <w:iCs/>
        </w:rPr>
      </w:pPr>
      <w:r w:rsidRPr="00743385">
        <w:rPr>
          <w:iCs/>
        </w:rPr>
        <w:t xml:space="preserve">Bravenboer, D.W. (2011), “Maximising employer-responsive progression through organisational development”, in </w:t>
      </w:r>
      <w:proofErr w:type="spellStart"/>
      <w:r w:rsidRPr="00743385">
        <w:rPr>
          <w:iCs/>
        </w:rPr>
        <w:t>Tallantyre</w:t>
      </w:r>
      <w:proofErr w:type="spellEnd"/>
      <w:r w:rsidRPr="00743385">
        <w:rPr>
          <w:iCs/>
        </w:rPr>
        <w:t>, F. and Kettle, J. (</w:t>
      </w:r>
      <w:proofErr w:type="spellStart"/>
      <w:r w:rsidRPr="00743385">
        <w:rPr>
          <w:iCs/>
        </w:rPr>
        <w:t>Eds</w:t>
      </w:r>
      <w:proofErr w:type="spellEnd"/>
      <w:r w:rsidRPr="00743385">
        <w:rPr>
          <w:iCs/>
        </w:rPr>
        <w:t>), Learning from Experience in Employer Engagement, Higher Education Academy, York, pp. 34-44.</w:t>
      </w:r>
    </w:p>
    <w:p w14:paraId="408EEE9A" w14:textId="77777777" w:rsidR="00743385" w:rsidRPr="00743385" w:rsidRDefault="00743385" w:rsidP="00743385">
      <w:pPr>
        <w:spacing w:line="320" w:lineRule="exact"/>
        <w:rPr>
          <w:iCs/>
        </w:rPr>
      </w:pPr>
    </w:p>
    <w:p w14:paraId="643AE392" w14:textId="77777777" w:rsidR="00743385" w:rsidRDefault="00743385" w:rsidP="00743385">
      <w:pPr>
        <w:spacing w:line="320" w:lineRule="exact"/>
        <w:rPr>
          <w:iCs/>
        </w:rPr>
      </w:pPr>
      <w:r w:rsidRPr="00743385">
        <w:rPr>
          <w:iCs/>
        </w:rPr>
        <w:t xml:space="preserve">Bravenboer, D.W. and Workman, B. (2016a), “Developing a transdisciplinary work based learning curriculum: a model for recognising learning from work”, in </w:t>
      </w:r>
      <w:proofErr w:type="spellStart"/>
      <w:r w:rsidRPr="00743385">
        <w:rPr>
          <w:iCs/>
        </w:rPr>
        <w:t>Keppell</w:t>
      </w:r>
      <w:proofErr w:type="spellEnd"/>
      <w:r w:rsidRPr="00743385">
        <w:rPr>
          <w:iCs/>
        </w:rPr>
        <w:t xml:space="preserve">, M., </w:t>
      </w:r>
      <w:proofErr w:type="spellStart"/>
      <w:r w:rsidRPr="00743385">
        <w:rPr>
          <w:iCs/>
        </w:rPr>
        <w:t>Reushle</w:t>
      </w:r>
      <w:proofErr w:type="spellEnd"/>
      <w:r w:rsidRPr="00743385">
        <w:rPr>
          <w:iCs/>
        </w:rPr>
        <w:t>, S. and Antonio, A. (</w:t>
      </w:r>
      <w:proofErr w:type="spellStart"/>
      <w:r w:rsidRPr="00743385">
        <w:rPr>
          <w:iCs/>
        </w:rPr>
        <w:t>Eds</w:t>
      </w:r>
      <w:proofErr w:type="spellEnd"/>
      <w:r w:rsidRPr="00743385">
        <w:rPr>
          <w:iCs/>
        </w:rPr>
        <w:t>), Open Learning and Formal Credentialing in Higher Education: Curriculum Models and Institutional Policies, IGI Global, Hershey PA, pp. 144-167.</w:t>
      </w:r>
    </w:p>
    <w:p w14:paraId="64A59D43" w14:textId="77777777" w:rsidR="00743385" w:rsidRPr="00743385" w:rsidRDefault="00743385" w:rsidP="00743385">
      <w:pPr>
        <w:spacing w:line="320" w:lineRule="exact"/>
        <w:rPr>
          <w:iCs/>
        </w:rPr>
      </w:pPr>
    </w:p>
    <w:p w14:paraId="423952C6" w14:textId="77777777" w:rsidR="00743385" w:rsidRDefault="00743385" w:rsidP="00743385">
      <w:pPr>
        <w:spacing w:line="320" w:lineRule="exact"/>
        <w:rPr>
          <w:iCs/>
        </w:rPr>
      </w:pPr>
      <w:proofErr w:type="gramStart"/>
      <w:r w:rsidRPr="00743385">
        <w:rPr>
          <w:iCs/>
        </w:rPr>
        <w:t xml:space="preserve">Bravenboer, D.W. and Workman, B. (2016b), “Flexible frameworks and building blocks”, in </w:t>
      </w:r>
      <w:proofErr w:type="spellStart"/>
      <w:r w:rsidRPr="00743385">
        <w:rPr>
          <w:iCs/>
        </w:rPr>
        <w:t>Helyer</w:t>
      </w:r>
      <w:proofErr w:type="spellEnd"/>
      <w:r w:rsidRPr="00743385">
        <w:rPr>
          <w:iCs/>
        </w:rPr>
        <w:t>, R. (Ed.), Facilitating Work-Based Learning, Palgrave Macmillan, London, pp. 52-72.</w:t>
      </w:r>
      <w:proofErr w:type="gramEnd"/>
    </w:p>
    <w:p w14:paraId="2ACBB9DA" w14:textId="77777777" w:rsidR="00743385" w:rsidRPr="00743385" w:rsidRDefault="00743385" w:rsidP="00743385">
      <w:pPr>
        <w:spacing w:line="320" w:lineRule="exact"/>
        <w:rPr>
          <w:iCs/>
        </w:rPr>
      </w:pPr>
    </w:p>
    <w:p w14:paraId="2C293DA3" w14:textId="77777777" w:rsidR="00743385" w:rsidRDefault="00743385" w:rsidP="00743385">
      <w:pPr>
        <w:spacing w:line="320" w:lineRule="exact"/>
        <w:rPr>
          <w:iCs/>
        </w:rPr>
      </w:pPr>
      <w:r w:rsidRPr="00743385">
        <w:rPr>
          <w:iCs/>
        </w:rPr>
        <w:t>Browne, J. (2010), “The Browne review: securing a sustainable future for higher education”, Independent Review of Higher Education Funding and Student Finance.</w:t>
      </w:r>
    </w:p>
    <w:p w14:paraId="6EA42927" w14:textId="77777777" w:rsidR="00743385" w:rsidRPr="00743385" w:rsidRDefault="00743385" w:rsidP="00743385">
      <w:pPr>
        <w:spacing w:line="320" w:lineRule="exact"/>
        <w:rPr>
          <w:iCs/>
        </w:rPr>
      </w:pPr>
    </w:p>
    <w:p w14:paraId="452E6989" w14:textId="77777777" w:rsidR="00743385" w:rsidRDefault="00743385" w:rsidP="00743385">
      <w:pPr>
        <w:spacing w:line="320" w:lineRule="exact"/>
        <w:rPr>
          <w:iCs/>
        </w:rPr>
      </w:pPr>
      <w:proofErr w:type="spellStart"/>
      <w:r w:rsidRPr="00743385">
        <w:rPr>
          <w:iCs/>
        </w:rPr>
        <w:t>Bruneel</w:t>
      </w:r>
      <w:proofErr w:type="spellEnd"/>
      <w:r w:rsidRPr="00743385">
        <w:rPr>
          <w:iCs/>
        </w:rPr>
        <w:t xml:space="preserve">, J., </w:t>
      </w:r>
      <w:proofErr w:type="spellStart"/>
      <w:r w:rsidRPr="00743385">
        <w:rPr>
          <w:iCs/>
        </w:rPr>
        <w:t>D’Este</w:t>
      </w:r>
      <w:proofErr w:type="spellEnd"/>
      <w:r w:rsidRPr="00743385">
        <w:rPr>
          <w:iCs/>
        </w:rPr>
        <w:t xml:space="preserve">, P. and Salter, A. (2010), “Investigating the factors that diminish the barriers to university-industry collaboration”, Research Policy, Vol. 39 No. 7, pp. 858-868, </w:t>
      </w:r>
      <w:proofErr w:type="spellStart"/>
      <w:proofErr w:type="gramStart"/>
      <w:r w:rsidRPr="00743385">
        <w:rPr>
          <w:iCs/>
        </w:rPr>
        <w:t>doi</w:t>
      </w:r>
      <w:proofErr w:type="spellEnd"/>
      <w:proofErr w:type="gramEnd"/>
      <w:r w:rsidRPr="00743385">
        <w:rPr>
          <w:iCs/>
        </w:rPr>
        <w:t>: 10.1016/j. respol.2010.03.006.</w:t>
      </w:r>
    </w:p>
    <w:p w14:paraId="1CA12F66" w14:textId="77777777" w:rsidR="00743385" w:rsidRPr="00743385" w:rsidRDefault="00743385" w:rsidP="00743385">
      <w:pPr>
        <w:spacing w:line="320" w:lineRule="exact"/>
        <w:rPr>
          <w:iCs/>
        </w:rPr>
      </w:pPr>
    </w:p>
    <w:p w14:paraId="20938603" w14:textId="77777777" w:rsidR="00743385" w:rsidRDefault="00743385" w:rsidP="00743385">
      <w:pPr>
        <w:spacing w:line="320" w:lineRule="exact"/>
        <w:rPr>
          <w:iCs/>
        </w:rPr>
      </w:pPr>
      <w:r w:rsidRPr="00743385">
        <w:rPr>
          <w:iCs/>
        </w:rPr>
        <w:t>BIS (2009), “Higher ambitions: the future of universities in a knowledge economy”, The Stationery Office, London.</w:t>
      </w:r>
    </w:p>
    <w:p w14:paraId="3F82EBE9" w14:textId="77777777" w:rsidR="00743385" w:rsidRPr="00743385" w:rsidRDefault="00743385" w:rsidP="00743385">
      <w:pPr>
        <w:spacing w:line="320" w:lineRule="exact"/>
        <w:rPr>
          <w:iCs/>
        </w:rPr>
      </w:pPr>
    </w:p>
    <w:p w14:paraId="5688E161" w14:textId="77777777" w:rsidR="00743385" w:rsidRDefault="00743385" w:rsidP="00743385">
      <w:pPr>
        <w:spacing w:line="320" w:lineRule="exact"/>
        <w:rPr>
          <w:iCs/>
        </w:rPr>
      </w:pPr>
      <w:r w:rsidRPr="00743385">
        <w:rPr>
          <w:iCs/>
        </w:rPr>
        <w:t>BIS (2010), “Skills for sustainable growth”, The Stationary Office, London.</w:t>
      </w:r>
    </w:p>
    <w:p w14:paraId="5A530F68" w14:textId="77777777" w:rsidR="00743385" w:rsidRPr="00743385" w:rsidRDefault="00743385" w:rsidP="00743385">
      <w:pPr>
        <w:spacing w:line="320" w:lineRule="exact"/>
        <w:rPr>
          <w:iCs/>
        </w:rPr>
      </w:pPr>
    </w:p>
    <w:p w14:paraId="5C3B1A3B" w14:textId="77777777" w:rsidR="00743385" w:rsidRPr="00743385" w:rsidRDefault="00743385" w:rsidP="00743385">
      <w:pPr>
        <w:spacing w:line="320" w:lineRule="exact"/>
        <w:rPr>
          <w:iCs/>
        </w:rPr>
      </w:pPr>
      <w:r w:rsidRPr="00743385">
        <w:rPr>
          <w:iCs/>
        </w:rPr>
        <w:t>BIS (2011a), “Higher education: students at the heart of the system”, The Stationary Office,</w:t>
      </w:r>
    </w:p>
    <w:p w14:paraId="626A3B06" w14:textId="77777777" w:rsidR="00743385" w:rsidRDefault="00743385" w:rsidP="00743385">
      <w:pPr>
        <w:spacing w:line="320" w:lineRule="exact"/>
        <w:rPr>
          <w:iCs/>
        </w:rPr>
      </w:pPr>
      <w:r w:rsidRPr="00743385">
        <w:rPr>
          <w:iCs/>
        </w:rPr>
        <w:t>London.</w:t>
      </w:r>
    </w:p>
    <w:p w14:paraId="7CB8D868" w14:textId="77777777" w:rsidR="00743385" w:rsidRPr="00743385" w:rsidRDefault="00743385" w:rsidP="00743385">
      <w:pPr>
        <w:spacing w:line="320" w:lineRule="exact"/>
        <w:rPr>
          <w:iCs/>
        </w:rPr>
      </w:pPr>
    </w:p>
    <w:p w14:paraId="20673D1C" w14:textId="77777777" w:rsidR="00743385" w:rsidRDefault="00743385" w:rsidP="00743385">
      <w:pPr>
        <w:spacing w:line="320" w:lineRule="exact"/>
        <w:rPr>
          <w:iCs/>
        </w:rPr>
      </w:pPr>
      <w:r w:rsidRPr="00743385">
        <w:rPr>
          <w:iCs/>
        </w:rPr>
        <w:t>BIS (2011b), “The specification of apprenticeship standards in England”, The Stationary Office, London.</w:t>
      </w:r>
    </w:p>
    <w:p w14:paraId="1DA92338" w14:textId="77777777" w:rsidR="00743385" w:rsidRPr="00743385" w:rsidRDefault="00743385" w:rsidP="00743385">
      <w:pPr>
        <w:spacing w:line="320" w:lineRule="exact"/>
        <w:rPr>
          <w:iCs/>
        </w:rPr>
      </w:pPr>
    </w:p>
    <w:p w14:paraId="33A00C2D" w14:textId="77777777" w:rsidR="00743385" w:rsidRDefault="00743385" w:rsidP="00743385">
      <w:pPr>
        <w:spacing w:line="320" w:lineRule="exact"/>
        <w:rPr>
          <w:iCs/>
        </w:rPr>
      </w:pPr>
      <w:r w:rsidRPr="00743385">
        <w:rPr>
          <w:iCs/>
        </w:rPr>
        <w:t>BIS (2012), “Following up the Wilson review of business-university collaboration”, The Stationary Office, London.</w:t>
      </w:r>
    </w:p>
    <w:p w14:paraId="72F4352E" w14:textId="77777777" w:rsidR="00743385" w:rsidRPr="00743385" w:rsidRDefault="00743385" w:rsidP="00743385">
      <w:pPr>
        <w:spacing w:line="320" w:lineRule="exact"/>
        <w:rPr>
          <w:iCs/>
        </w:rPr>
      </w:pPr>
    </w:p>
    <w:p w14:paraId="1DFFEC3F" w14:textId="77777777" w:rsidR="00743385" w:rsidRDefault="00743385" w:rsidP="00743385">
      <w:pPr>
        <w:spacing w:line="320" w:lineRule="exact"/>
        <w:rPr>
          <w:iCs/>
        </w:rPr>
      </w:pPr>
      <w:r w:rsidRPr="00743385">
        <w:rPr>
          <w:iCs/>
        </w:rPr>
        <w:t>BIS (2013), “The specification of apprenticeship standards in England”, The Stationary Office, London.</w:t>
      </w:r>
    </w:p>
    <w:p w14:paraId="3193175E" w14:textId="77777777" w:rsidR="00743385" w:rsidRPr="00743385" w:rsidRDefault="00743385" w:rsidP="00743385">
      <w:pPr>
        <w:spacing w:line="320" w:lineRule="exact"/>
        <w:rPr>
          <w:iCs/>
        </w:rPr>
      </w:pPr>
    </w:p>
    <w:p w14:paraId="7E16F4D0" w14:textId="77777777" w:rsidR="00743385" w:rsidRDefault="00743385" w:rsidP="00743385">
      <w:pPr>
        <w:spacing w:line="320" w:lineRule="exact"/>
        <w:rPr>
          <w:iCs/>
        </w:rPr>
      </w:pPr>
      <w:r w:rsidRPr="00743385">
        <w:rPr>
          <w:iCs/>
        </w:rPr>
        <w:t>BIS (2015), “The future of apprenticeships in England”, The Stationery Office, London.</w:t>
      </w:r>
    </w:p>
    <w:p w14:paraId="4A6C234D" w14:textId="77777777" w:rsidR="00743385" w:rsidRPr="00743385" w:rsidRDefault="00743385" w:rsidP="00743385">
      <w:pPr>
        <w:spacing w:line="320" w:lineRule="exact"/>
        <w:rPr>
          <w:iCs/>
        </w:rPr>
      </w:pPr>
    </w:p>
    <w:p w14:paraId="51BADE26" w14:textId="77777777" w:rsidR="00743385" w:rsidRPr="00743385" w:rsidRDefault="00743385" w:rsidP="00743385">
      <w:pPr>
        <w:spacing w:line="320" w:lineRule="exact"/>
        <w:rPr>
          <w:iCs/>
        </w:rPr>
      </w:pPr>
      <w:r w:rsidRPr="00743385">
        <w:rPr>
          <w:iCs/>
        </w:rPr>
        <w:t>BIS (2016), “Success as a knowledge economy: teaching excellence, social mobility and student</w:t>
      </w:r>
    </w:p>
    <w:p w14:paraId="08E94B1F" w14:textId="77777777" w:rsidR="00743385" w:rsidRPr="00743385" w:rsidRDefault="00743385" w:rsidP="00743385">
      <w:pPr>
        <w:spacing w:line="320" w:lineRule="exact"/>
        <w:rPr>
          <w:iCs/>
        </w:rPr>
      </w:pPr>
      <w:proofErr w:type="gramStart"/>
      <w:r w:rsidRPr="00743385">
        <w:rPr>
          <w:iCs/>
        </w:rPr>
        <w:t>choice</w:t>
      </w:r>
      <w:proofErr w:type="gramEnd"/>
      <w:r w:rsidRPr="00743385">
        <w:rPr>
          <w:iCs/>
        </w:rPr>
        <w:t>”, The Stationary Office, London.</w:t>
      </w:r>
    </w:p>
    <w:p w14:paraId="78F3ACA4" w14:textId="77777777" w:rsidR="00743385" w:rsidRDefault="00743385" w:rsidP="00743385">
      <w:pPr>
        <w:spacing w:line="320" w:lineRule="exact"/>
        <w:rPr>
          <w:iCs/>
        </w:rPr>
      </w:pPr>
      <w:proofErr w:type="spellStart"/>
      <w:r w:rsidRPr="00743385">
        <w:rPr>
          <w:iCs/>
        </w:rPr>
        <w:t>Cognard</w:t>
      </w:r>
      <w:proofErr w:type="spellEnd"/>
      <w:r w:rsidRPr="00743385">
        <w:rPr>
          <w:iCs/>
        </w:rPr>
        <w:t xml:space="preserve">, E. (2011), “Varieties of capitalism and financial cooperation between employers: the initial and continuous vocational training in comparison”, European Journal of Industrial Relations, Vol. 17 No. 1, pp. 25-40, </w:t>
      </w:r>
      <w:proofErr w:type="spellStart"/>
      <w:r w:rsidRPr="00743385">
        <w:rPr>
          <w:iCs/>
        </w:rPr>
        <w:t>doi</w:t>
      </w:r>
      <w:proofErr w:type="spellEnd"/>
      <w:r w:rsidRPr="00743385">
        <w:rPr>
          <w:iCs/>
        </w:rPr>
        <w:t>: 10.1177/0959680110394370.</w:t>
      </w:r>
    </w:p>
    <w:p w14:paraId="12A476BE" w14:textId="77777777" w:rsidR="00743385" w:rsidRPr="00743385" w:rsidRDefault="00743385" w:rsidP="00743385">
      <w:pPr>
        <w:spacing w:line="320" w:lineRule="exact"/>
        <w:rPr>
          <w:iCs/>
        </w:rPr>
      </w:pPr>
    </w:p>
    <w:p w14:paraId="3732FB40" w14:textId="77777777" w:rsidR="00743385" w:rsidRDefault="00743385" w:rsidP="00743385">
      <w:pPr>
        <w:spacing w:line="320" w:lineRule="exact"/>
        <w:rPr>
          <w:iCs/>
        </w:rPr>
      </w:pPr>
      <w:proofErr w:type="gramStart"/>
      <w:r w:rsidRPr="00743385">
        <w:rPr>
          <w:iCs/>
        </w:rPr>
        <w:t>Department for Education and Skills (</w:t>
      </w:r>
      <w:proofErr w:type="spellStart"/>
      <w:r w:rsidRPr="00743385">
        <w:rPr>
          <w:iCs/>
        </w:rPr>
        <w:t>DfES</w:t>
      </w:r>
      <w:proofErr w:type="spellEnd"/>
      <w:r w:rsidRPr="00743385">
        <w:rPr>
          <w:iCs/>
        </w:rPr>
        <w:t>) (2003), “The future of higher education”, The Stationary Office, London.</w:t>
      </w:r>
      <w:proofErr w:type="gramEnd"/>
    </w:p>
    <w:p w14:paraId="137BE247" w14:textId="77777777" w:rsidR="00743385" w:rsidRPr="00743385" w:rsidRDefault="00743385" w:rsidP="00743385">
      <w:pPr>
        <w:spacing w:line="320" w:lineRule="exact"/>
        <w:rPr>
          <w:iCs/>
        </w:rPr>
      </w:pPr>
    </w:p>
    <w:p w14:paraId="39DDA0D7" w14:textId="77777777" w:rsidR="00743385" w:rsidRDefault="00743385" w:rsidP="00743385">
      <w:pPr>
        <w:spacing w:line="320" w:lineRule="exact"/>
        <w:rPr>
          <w:iCs/>
        </w:rPr>
      </w:pPr>
      <w:r w:rsidRPr="00743385">
        <w:rPr>
          <w:iCs/>
        </w:rPr>
        <w:t>Department for Innovation, Universities and Skills (2007), “</w:t>
      </w:r>
      <w:proofErr w:type="gramStart"/>
      <w:r w:rsidRPr="00743385">
        <w:rPr>
          <w:iCs/>
        </w:rPr>
        <w:t>World class</w:t>
      </w:r>
      <w:proofErr w:type="gramEnd"/>
      <w:r w:rsidRPr="00743385">
        <w:rPr>
          <w:iCs/>
        </w:rPr>
        <w:t xml:space="preserve"> skills: implementing the Leitch review of skills in England”, The Stationary Office, London.</w:t>
      </w:r>
    </w:p>
    <w:p w14:paraId="02EB2F22" w14:textId="77777777" w:rsidR="00743385" w:rsidRPr="00743385" w:rsidRDefault="00743385" w:rsidP="00743385">
      <w:pPr>
        <w:spacing w:line="320" w:lineRule="exact"/>
        <w:rPr>
          <w:iCs/>
        </w:rPr>
      </w:pPr>
    </w:p>
    <w:p w14:paraId="067022BD" w14:textId="77777777" w:rsidR="00743385" w:rsidRDefault="00743385" w:rsidP="00743385">
      <w:pPr>
        <w:spacing w:line="320" w:lineRule="exact"/>
        <w:rPr>
          <w:iCs/>
        </w:rPr>
      </w:pPr>
      <w:r w:rsidRPr="00743385">
        <w:rPr>
          <w:iCs/>
        </w:rPr>
        <w:t>Department for Innovation, Universities and Skills (2008), “Higher education at work, high skills: high value”, The Central Office of Information, London.</w:t>
      </w:r>
    </w:p>
    <w:p w14:paraId="72AD7194" w14:textId="77777777" w:rsidR="00743385" w:rsidRPr="00743385" w:rsidRDefault="00743385" w:rsidP="00743385">
      <w:pPr>
        <w:spacing w:line="320" w:lineRule="exact"/>
        <w:rPr>
          <w:iCs/>
        </w:rPr>
      </w:pPr>
    </w:p>
    <w:p w14:paraId="16F15CD8" w14:textId="77777777" w:rsidR="00743385" w:rsidRDefault="00743385" w:rsidP="00743385">
      <w:pPr>
        <w:spacing w:line="320" w:lineRule="exact"/>
        <w:rPr>
          <w:iCs/>
        </w:rPr>
      </w:pPr>
      <w:proofErr w:type="spellStart"/>
      <w:r w:rsidRPr="00743385">
        <w:rPr>
          <w:iCs/>
        </w:rPr>
        <w:t>Greenhalgh</w:t>
      </w:r>
      <w:proofErr w:type="spellEnd"/>
      <w:r w:rsidRPr="00743385">
        <w:rPr>
          <w:iCs/>
        </w:rPr>
        <w:t xml:space="preserve">, C. (2002), “Does an employer training levy work? The incidence of and returns to adult vocational training in France and Britain”, Fiscal Studies, Vol. 23 No. 2, pp. 223-263, </w:t>
      </w:r>
      <w:proofErr w:type="spellStart"/>
      <w:r w:rsidRPr="00743385">
        <w:rPr>
          <w:iCs/>
        </w:rPr>
        <w:t>doi</w:t>
      </w:r>
      <w:proofErr w:type="spellEnd"/>
      <w:r w:rsidRPr="00743385">
        <w:rPr>
          <w:iCs/>
        </w:rPr>
        <w:t>: 10.1111/j.1475-5890.2002.tb00060.x.</w:t>
      </w:r>
    </w:p>
    <w:p w14:paraId="3CA72118" w14:textId="77777777" w:rsidR="00743385" w:rsidRPr="00743385" w:rsidRDefault="00743385" w:rsidP="00743385">
      <w:pPr>
        <w:spacing w:line="320" w:lineRule="exact"/>
        <w:rPr>
          <w:iCs/>
        </w:rPr>
      </w:pPr>
    </w:p>
    <w:p w14:paraId="44837614" w14:textId="77777777" w:rsidR="00743385" w:rsidRDefault="00743385" w:rsidP="00743385">
      <w:pPr>
        <w:spacing w:line="320" w:lineRule="exact"/>
        <w:rPr>
          <w:iCs/>
        </w:rPr>
      </w:pPr>
      <w:r w:rsidRPr="00743385">
        <w:rPr>
          <w:iCs/>
        </w:rPr>
        <w:t>Grove, J. (2012), Will the Last University to Leave the 1994 Group Please Turn Out the Lights, Times Higher Education.</w:t>
      </w:r>
    </w:p>
    <w:p w14:paraId="39924D2A" w14:textId="77777777" w:rsidR="00743385" w:rsidRPr="00743385" w:rsidRDefault="00743385" w:rsidP="00743385">
      <w:pPr>
        <w:spacing w:line="320" w:lineRule="exact"/>
        <w:rPr>
          <w:iCs/>
        </w:rPr>
      </w:pPr>
    </w:p>
    <w:p w14:paraId="0255AC2B" w14:textId="77777777" w:rsidR="00743385" w:rsidRDefault="00743385" w:rsidP="00743385">
      <w:pPr>
        <w:spacing w:line="320" w:lineRule="exact"/>
        <w:rPr>
          <w:iCs/>
        </w:rPr>
      </w:pPr>
      <w:proofErr w:type="gramStart"/>
      <w:r w:rsidRPr="00743385">
        <w:rPr>
          <w:iCs/>
        </w:rPr>
        <w:t>Higher Education Funding Council for England (2000), “Foundation degree prospectus”, CL 2000/27, HEFCE, Bristol.</w:t>
      </w:r>
      <w:proofErr w:type="gramEnd"/>
    </w:p>
    <w:p w14:paraId="26A24087" w14:textId="77777777" w:rsidR="00743385" w:rsidRPr="00743385" w:rsidRDefault="00743385" w:rsidP="00743385">
      <w:pPr>
        <w:spacing w:line="320" w:lineRule="exact"/>
        <w:rPr>
          <w:iCs/>
        </w:rPr>
      </w:pPr>
    </w:p>
    <w:p w14:paraId="2ED5EBCB" w14:textId="2BBAAB5D" w:rsidR="00E4319B" w:rsidRDefault="00743385" w:rsidP="00743385">
      <w:pPr>
        <w:spacing w:line="320" w:lineRule="exact"/>
        <w:rPr>
          <w:iCs/>
        </w:rPr>
      </w:pPr>
      <w:r w:rsidRPr="00743385">
        <w:rPr>
          <w:iCs/>
        </w:rPr>
        <w:t>Higher Education Funding Council for England (2008), “HEFCE grant letter for 2007-8”, CL 03/2008, HEFCE, Bristol.</w:t>
      </w:r>
    </w:p>
    <w:p w14:paraId="334CDC0A" w14:textId="77777777" w:rsidR="00743385" w:rsidRPr="004E557D" w:rsidRDefault="00743385" w:rsidP="00743385">
      <w:pPr>
        <w:spacing w:line="320" w:lineRule="exact"/>
        <w:rPr>
          <w:iCs/>
        </w:rPr>
      </w:pPr>
    </w:p>
    <w:p w14:paraId="5FC3A362" w14:textId="37655364" w:rsidR="00E4319B" w:rsidRPr="004E557D" w:rsidRDefault="00E4319B" w:rsidP="00E4319B">
      <w:pPr>
        <w:spacing w:line="320" w:lineRule="exact"/>
        <w:rPr>
          <w:iCs/>
        </w:rPr>
      </w:pPr>
      <w:r w:rsidRPr="004E557D">
        <w:rPr>
          <w:iCs/>
        </w:rPr>
        <w:t xml:space="preserve">Higher Education Funding Council for England (2016) </w:t>
      </w:r>
      <w:r w:rsidRPr="004E557D">
        <w:rPr>
          <w:i/>
          <w:iCs/>
        </w:rPr>
        <w:t>DADF phase 1: Invitation to submit proposals for funding to stimulate development of degree apprenticeships</w:t>
      </w:r>
      <w:r w:rsidRPr="004E557D">
        <w:rPr>
          <w:iCs/>
        </w:rPr>
        <w:t xml:space="preserve">, </w:t>
      </w:r>
      <w:r w:rsidR="005D788D" w:rsidRPr="004E557D">
        <w:rPr>
          <w:iCs/>
        </w:rPr>
        <w:t>CL 2016</w:t>
      </w:r>
      <w:proofErr w:type="gramStart"/>
      <w:r w:rsidR="005D788D" w:rsidRPr="004E557D">
        <w:rPr>
          <w:iCs/>
        </w:rPr>
        <w:t>/ ,</w:t>
      </w:r>
      <w:proofErr w:type="gramEnd"/>
      <w:r w:rsidR="005D788D" w:rsidRPr="004E557D">
        <w:rPr>
          <w:iCs/>
        </w:rPr>
        <w:t xml:space="preserve"> </w:t>
      </w:r>
      <w:r w:rsidR="005E2AEC" w:rsidRPr="004E557D">
        <w:rPr>
          <w:iCs/>
        </w:rPr>
        <w:t>HEFCE</w:t>
      </w:r>
    </w:p>
    <w:p w14:paraId="1C6A835B" w14:textId="77777777" w:rsidR="00821050" w:rsidRPr="004E557D" w:rsidRDefault="00821050" w:rsidP="00E4319B">
      <w:pPr>
        <w:spacing w:line="320" w:lineRule="exact"/>
        <w:rPr>
          <w:iCs/>
        </w:rPr>
      </w:pPr>
    </w:p>
    <w:p w14:paraId="174881D3" w14:textId="77777777" w:rsidR="00743385" w:rsidRDefault="00743385" w:rsidP="00743385">
      <w:pPr>
        <w:spacing w:line="320" w:lineRule="exact"/>
        <w:rPr>
          <w:iCs/>
        </w:rPr>
      </w:pPr>
      <w:proofErr w:type="gramStart"/>
      <w:r w:rsidRPr="00743385">
        <w:rPr>
          <w:iCs/>
        </w:rPr>
        <w:t>HM Treasury (2003), “Lambert review of business-university collaboration”, final report, December, The Stationery Office, London.</w:t>
      </w:r>
      <w:proofErr w:type="gramEnd"/>
    </w:p>
    <w:p w14:paraId="5B9A4F15" w14:textId="77777777" w:rsidR="00743385" w:rsidRPr="00743385" w:rsidRDefault="00743385" w:rsidP="00743385">
      <w:pPr>
        <w:spacing w:line="320" w:lineRule="exact"/>
        <w:rPr>
          <w:iCs/>
        </w:rPr>
      </w:pPr>
    </w:p>
    <w:p w14:paraId="53A948AE" w14:textId="77777777" w:rsidR="00743385" w:rsidRDefault="00743385" w:rsidP="00743385">
      <w:pPr>
        <w:spacing w:line="320" w:lineRule="exact"/>
        <w:rPr>
          <w:iCs/>
        </w:rPr>
      </w:pPr>
      <w:r w:rsidRPr="00743385">
        <w:rPr>
          <w:iCs/>
        </w:rPr>
        <w:t>HM Treasury (2006), “Leitch review: prosperity for all in the global economy”, final report, The Stationery Office, London.</w:t>
      </w:r>
    </w:p>
    <w:p w14:paraId="49D8CD38" w14:textId="77777777" w:rsidR="00743385" w:rsidRPr="00743385" w:rsidRDefault="00743385" w:rsidP="00743385">
      <w:pPr>
        <w:spacing w:line="320" w:lineRule="exact"/>
        <w:rPr>
          <w:iCs/>
        </w:rPr>
      </w:pPr>
    </w:p>
    <w:p w14:paraId="20560A90" w14:textId="77777777" w:rsidR="00743385" w:rsidRDefault="00743385" w:rsidP="00743385">
      <w:pPr>
        <w:spacing w:line="320" w:lineRule="exact"/>
        <w:rPr>
          <w:iCs/>
        </w:rPr>
      </w:pPr>
      <w:r w:rsidRPr="00743385">
        <w:rPr>
          <w:iCs/>
        </w:rPr>
        <w:t xml:space="preserve">Hogarth, T. and </w:t>
      </w:r>
      <w:proofErr w:type="spellStart"/>
      <w:r w:rsidRPr="00743385">
        <w:rPr>
          <w:iCs/>
        </w:rPr>
        <w:t>Gambin</w:t>
      </w:r>
      <w:proofErr w:type="spellEnd"/>
      <w:r w:rsidRPr="00743385">
        <w:rPr>
          <w:iCs/>
        </w:rPr>
        <w:t xml:space="preserve">, L. (2014), “Employer investment in apprenticeships in England: an exploration of the sensitivity of employers in the construction sector to the net costs of training”, Construction Management and Economics, Vol. 32 No. 9, pp. 845-856, </w:t>
      </w:r>
      <w:proofErr w:type="spellStart"/>
      <w:r w:rsidRPr="00743385">
        <w:rPr>
          <w:iCs/>
        </w:rPr>
        <w:t>doi</w:t>
      </w:r>
      <w:proofErr w:type="spellEnd"/>
      <w:r w:rsidRPr="00743385">
        <w:rPr>
          <w:iCs/>
        </w:rPr>
        <w:t>: 10.1080/01446193.2014.923577.</w:t>
      </w:r>
    </w:p>
    <w:p w14:paraId="1D45A919" w14:textId="77777777" w:rsidR="00743385" w:rsidRPr="00743385" w:rsidRDefault="00743385" w:rsidP="00743385">
      <w:pPr>
        <w:spacing w:line="320" w:lineRule="exact"/>
        <w:rPr>
          <w:iCs/>
        </w:rPr>
      </w:pPr>
    </w:p>
    <w:p w14:paraId="1FDFF781" w14:textId="77777777" w:rsidR="00743385" w:rsidRDefault="00743385" w:rsidP="00743385">
      <w:pPr>
        <w:spacing w:line="320" w:lineRule="exact"/>
        <w:rPr>
          <w:iCs/>
        </w:rPr>
      </w:pPr>
      <w:proofErr w:type="spellStart"/>
      <w:r w:rsidRPr="00743385">
        <w:rPr>
          <w:iCs/>
        </w:rPr>
        <w:t>Hordern</w:t>
      </w:r>
      <w:proofErr w:type="spellEnd"/>
      <w:r w:rsidRPr="00743385">
        <w:rPr>
          <w:iCs/>
        </w:rPr>
        <w:t xml:space="preserve">, J. (2012), “Institutional strategies in response to higher skills policy in England”, Higher Education Management and Policy, Vol. 24 No. 1, pp. 1-20, </w:t>
      </w:r>
      <w:proofErr w:type="spellStart"/>
      <w:r w:rsidRPr="00743385">
        <w:rPr>
          <w:iCs/>
        </w:rPr>
        <w:t>doi</w:t>
      </w:r>
      <w:proofErr w:type="spellEnd"/>
      <w:r w:rsidRPr="00743385">
        <w:rPr>
          <w:iCs/>
        </w:rPr>
        <w:t>: 10.1787/hemp-24- 5k9bdtj62zs3.</w:t>
      </w:r>
    </w:p>
    <w:p w14:paraId="1474F010" w14:textId="77777777" w:rsidR="00743385" w:rsidRPr="00743385" w:rsidRDefault="00743385" w:rsidP="00743385">
      <w:pPr>
        <w:spacing w:line="320" w:lineRule="exact"/>
        <w:rPr>
          <w:iCs/>
        </w:rPr>
      </w:pPr>
    </w:p>
    <w:p w14:paraId="6E26C463" w14:textId="77777777" w:rsidR="00743385" w:rsidRDefault="00743385" w:rsidP="00743385">
      <w:pPr>
        <w:spacing w:line="320" w:lineRule="exact"/>
        <w:rPr>
          <w:iCs/>
        </w:rPr>
      </w:pPr>
      <w:proofErr w:type="spellStart"/>
      <w:r w:rsidRPr="00743385">
        <w:rPr>
          <w:iCs/>
        </w:rPr>
        <w:t>Hordern</w:t>
      </w:r>
      <w:proofErr w:type="spellEnd"/>
      <w:r w:rsidRPr="00743385">
        <w:rPr>
          <w:iCs/>
        </w:rPr>
        <w:t xml:space="preserve">, J. (2013), “Skills governance and the workforce development programme”, Journal of Higher Education Policy and Management, Vol. 35 No. 1, pp. 54-65, </w:t>
      </w:r>
      <w:proofErr w:type="spellStart"/>
      <w:r w:rsidRPr="00743385">
        <w:rPr>
          <w:iCs/>
        </w:rPr>
        <w:t>doi</w:t>
      </w:r>
      <w:proofErr w:type="spellEnd"/>
      <w:r w:rsidRPr="00743385">
        <w:rPr>
          <w:iCs/>
        </w:rPr>
        <w:t>: 10.1080/ 1360080X.2013.748476.</w:t>
      </w:r>
    </w:p>
    <w:p w14:paraId="652A5054" w14:textId="77777777" w:rsidR="00743385" w:rsidRPr="00743385" w:rsidRDefault="00743385" w:rsidP="00743385">
      <w:pPr>
        <w:spacing w:line="320" w:lineRule="exact"/>
        <w:rPr>
          <w:iCs/>
        </w:rPr>
      </w:pPr>
    </w:p>
    <w:p w14:paraId="6048F077" w14:textId="77777777" w:rsidR="00743385" w:rsidRDefault="00743385" w:rsidP="00743385">
      <w:pPr>
        <w:spacing w:line="320" w:lineRule="exact"/>
        <w:rPr>
          <w:iCs/>
        </w:rPr>
      </w:pPr>
      <w:r w:rsidRPr="00743385">
        <w:rPr>
          <w:iCs/>
        </w:rPr>
        <w:t xml:space="preserve">Keep, E. (2014), “The role of higher education within broader skills policies, a comparison of emerging Scottish and </w:t>
      </w:r>
      <w:proofErr w:type="spellStart"/>
      <w:r w:rsidRPr="00743385">
        <w:rPr>
          <w:iCs/>
        </w:rPr>
        <w:t>english</w:t>
      </w:r>
      <w:proofErr w:type="spellEnd"/>
      <w:r w:rsidRPr="00743385">
        <w:rPr>
          <w:iCs/>
        </w:rPr>
        <w:t xml:space="preserve"> approaches: higher education and skills policies”, Higher Education Quarterly, Vol. 68 No. 3, pp. 249-266, </w:t>
      </w:r>
      <w:proofErr w:type="spellStart"/>
      <w:r w:rsidRPr="00743385">
        <w:rPr>
          <w:iCs/>
        </w:rPr>
        <w:t>doi</w:t>
      </w:r>
      <w:proofErr w:type="spellEnd"/>
      <w:r w:rsidRPr="00743385">
        <w:rPr>
          <w:iCs/>
        </w:rPr>
        <w:t>: 10.1111/hequ.12050.</w:t>
      </w:r>
    </w:p>
    <w:p w14:paraId="2358A166" w14:textId="77777777" w:rsidR="00743385" w:rsidRPr="00743385" w:rsidRDefault="00743385" w:rsidP="00743385">
      <w:pPr>
        <w:spacing w:line="320" w:lineRule="exact"/>
        <w:rPr>
          <w:iCs/>
        </w:rPr>
      </w:pPr>
    </w:p>
    <w:p w14:paraId="693DF1A6" w14:textId="77777777" w:rsidR="00743385" w:rsidRDefault="00743385" w:rsidP="00743385">
      <w:pPr>
        <w:spacing w:line="320" w:lineRule="exact"/>
        <w:rPr>
          <w:iCs/>
        </w:rPr>
      </w:pPr>
      <w:proofErr w:type="spellStart"/>
      <w:proofErr w:type="gramStart"/>
      <w:r w:rsidRPr="00743385">
        <w:rPr>
          <w:iCs/>
        </w:rPr>
        <w:t>Kewin</w:t>
      </w:r>
      <w:proofErr w:type="spellEnd"/>
      <w:r w:rsidRPr="00743385">
        <w:rPr>
          <w:iCs/>
        </w:rPr>
        <w:t>, K., Nixon, I., Diamond, A., Haywood, M., Connor, H. and Michael, A. (2011), “Evaluation of the Higher Education Transforming Workforce Development Programme”, HEFCE.</w:t>
      </w:r>
      <w:proofErr w:type="gramEnd"/>
    </w:p>
    <w:p w14:paraId="1A349BB3" w14:textId="77777777" w:rsidR="00743385" w:rsidRPr="00743385" w:rsidRDefault="00743385" w:rsidP="00743385">
      <w:pPr>
        <w:spacing w:line="320" w:lineRule="exact"/>
        <w:rPr>
          <w:iCs/>
        </w:rPr>
      </w:pPr>
    </w:p>
    <w:p w14:paraId="086C6724" w14:textId="77777777" w:rsidR="00743385" w:rsidRDefault="00743385" w:rsidP="00743385">
      <w:pPr>
        <w:spacing w:line="320" w:lineRule="exact"/>
        <w:rPr>
          <w:iCs/>
        </w:rPr>
      </w:pPr>
      <w:r w:rsidRPr="00743385">
        <w:rPr>
          <w:iCs/>
        </w:rPr>
        <w:t xml:space="preserve">Jansen, A., </w:t>
      </w:r>
      <w:proofErr w:type="spellStart"/>
      <w:r w:rsidRPr="00743385">
        <w:rPr>
          <w:iCs/>
        </w:rPr>
        <w:t>Leiser</w:t>
      </w:r>
      <w:proofErr w:type="spellEnd"/>
      <w:r w:rsidRPr="00743385">
        <w:rPr>
          <w:iCs/>
        </w:rPr>
        <w:t xml:space="preserve">, M.S., </w:t>
      </w:r>
      <w:proofErr w:type="spellStart"/>
      <w:r w:rsidRPr="00743385">
        <w:rPr>
          <w:iCs/>
        </w:rPr>
        <w:t>Wenzelmann</w:t>
      </w:r>
      <w:proofErr w:type="spellEnd"/>
      <w:r w:rsidRPr="00743385">
        <w:rPr>
          <w:iCs/>
        </w:rPr>
        <w:t xml:space="preserve">, F. and </w:t>
      </w:r>
      <w:proofErr w:type="spellStart"/>
      <w:r w:rsidRPr="00743385">
        <w:rPr>
          <w:iCs/>
        </w:rPr>
        <w:t>Wolter</w:t>
      </w:r>
      <w:proofErr w:type="spellEnd"/>
      <w:r w:rsidRPr="00743385">
        <w:rPr>
          <w:iCs/>
        </w:rPr>
        <w:t xml:space="preserve">, S.C. (2015), “Labour market deregulation and apprenticeship training: a comparison of German and Swiss employers”, European Journal of Industrial Relations, Vol. 21 No. 4, pp. 353-368, </w:t>
      </w:r>
      <w:proofErr w:type="spellStart"/>
      <w:r w:rsidRPr="00743385">
        <w:rPr>
          <w:iCs/>
        </w:rPr>
        <w:t>doi</w:t>
      </w:r>
      <w:proofErr w:type="spellEnd"/>
      <w:r w:rsidRPr="00743385">
        <w:rPr>
          <w:iCs/>
        </w:rPr>
        <w:t>: 10.1177/0959680115580687.</w:t>
      </w:r>
    </w:p>
    <w:p w14:paraId="6F45ED1A" w14:textId="77777777" w:rsidR="00743385" w:rsidRPr="00743385" w:rsidRDefault="00743385" w:rsidP="00743385">
      <w:pPr>
        <w:spacing w:line="320" w:lineRule="exact"/>
        <w:rPr>
          <w:iCs/>
        </w:rPr>
      </w:pPr>
    </w:p>
    <w:p w14:paraId="41BD90E4" w14:textId="77777777" w:rsidR="00743385" w:rsidRDefault="00743385" w:rsidP="00743385">
      <w:pPr>
        <w:spacing w:line="320" w:lineRule="exact"/>
        <w:rPr>
          <w:iCs/>
        </w:rPr>
      </w:pPr>
      <w:r w:rsidRPr="00743385">
        <w:rPr>
          <w:iCs/>
        </w:rPr>
        <w:t>Little, B. (2005), “Policies towards work-focused higher education – are they meeting employers’ needs?</w:t>
      </w:r>
      <w:proofErr w:type="gramStart"/>
      <w:r w:rsidRPr="00743385">
        <w:rPr>
          <w:iCs/>
        </w:rPr>
        <w:t>”,</w:t>
      </w:r>
      <w:proofErr w:type="gramEnd"/>
      <w:r w:rsidRPr="00743385">
        <w:rPr>
          <w:iCs/>
        </w:rPr>
        <w:t xml:space="preserve"> Tertiary Education and Management, Vol. 11 No. 2, pp. 131-146, </w:t>
      </w:r>
      <w:proofErr w:type="spellStart"/>
      <w:r w:rsidRPr="00743385">
        <w:rPr>
          <w:iCs/>
        </w:rPr>
        <w:t>doi</w:t>
      </w:r>
      <w:proofErr w:type="spellEnd"/>
      <w:r w:rsidRPr="00743385">
        <w:rPr>
          <w:iCs/>
        </w:rPr>
        <w:t>: 10.1007/ s11233-005-0348-z.</w:t>
      </w:r>
    </w:p>
    <w:p w14:paraId="68A5FECC" w14:textId="77777777" w:rsidR="00743385" w:rsidRPr="00743385" w:rsidRDefault="00743385" w:rsidP="00743385">
      <w:pPr>
        <w:spacing w:line="320" w:lineRule="exact"/>
        <w:rPr>
          <w:iCs/>
        </w:rPr>
      </w:pPr>
    </w:p>
    <w:p w14:paraId="206C593D" w14:textId="77777777" w:rsidR="00743385" w:rsidRDefault="00743385" w:rsidP="00743385">
      <w:pPr>
        <w:spacing w:line="320" w:lineRule="exact"/>
        <w:rPr>
          <w:iCs/>
        </w:rPr>
      </w:pPr>
      <w:proofErr w:type="spellStart"/>
      <w:r w:rsidRPr="00743385">
        <w:rPr>
          <w:iCs/>
        </w:rPr>
        <w:t>Longhurst</w:t>
      </w:r>
      <w:proofErr w:type="spellEnd"/>
      <w:r w:rsidRPr="00743385">
        <w:rPr>
          <w:iCs/>
        </w:rPr>
        <w:t xml:space="preserve">, D. (2010), “Crossing boundaries: foundation degrees in England”, Community College Review, Vol. 38 No. 2, pp. 151-175, </w:t>
      </w:r>
      <w:proofErr w:type="spellStart"/>
      <w:r w:rsidRPr="00743385">
        <w:rPr>
          <w:iCs/>
        </w:rPr>
        <w:t>doi</w:t>
      </w:r>
      <w:proofErr w:type="spellEnd"/>
      <w:r w:rsidRPr="00743385">
        <w:rPr>
          <w:iCs/>
        </w:rPr>
        <w:t>: 10.1177/0091552110383975.</w:t>
      </w:r>
    </w:p>
    <w:p w14:paraId="432CB7CB" w14:textId="77777777" w:rsidR="00743385" w:rsidRPr="00743385" w:rsidRDefault="00743385" w:rsidP="00743385">
      <w:pPr>
        <w:spacing w:line="320" w:lineRule="exact"/>
        <w:rPr>
          <w:iCs/>
        </w:rPr>
      </w:pPr>
    </w:p>
    <w:p w14:paraId="77A84DE7" w14:textId="77777777" w:rsidR="00743385" w:rsidRDefault="00743385" w:rsidP="00743385">
      <w:pPr>
        <w:spacing w:line="320" w:lineRule="exact"/>
        <w:rPr>
          <w:iCs/>
        </w:rPr>
      </w:pPr>
      <w:proofErr w:type="spellStart"/>
      <w:r w:rsidRPr="00743385">
        <w:rPr>
          <w:iCs/>
        </w:rPr>
        <w:t>Marginson</w:t>
      </w:r>
      <w:proofErr w:type="spellEnd"/>
      <w:r w:rsidRPr="00743385">
        <w:rPr>
          <w:iCs/>
        </w:rPr>
        <w:t xml:space="preserve">, S. (2006), “Dynamics of national and global competition in higher education”, Higher Education, Vol. 52 No. 1, pp. 1-39, </w:t>
      </w:r>
      <w:proofErr w:type="spellStart"/>
      <w:r w:rsidRPr="00743385">
        <w:rPr>
          <w:iCs/>
        </w:rPr>
        <w:t>doi</w:t>
      </w:r>
      <w:proofErr w:type="spellEnd"/>
      <w:r w:rsidRPr="00743385">
        <w:rPr>
          <w:iCs/>
        </w:rPr>
        <w:t>: 10.1007/s10734-004-7649-x.</w:t>
      </w:r>
    </w:p>
    <w:p w14:paraId="2593BEDD" w14:textId="77777777" w:rsidR="00743385" w:rsidRPr="00743385" w:rsidRDefault="00743385" w:rsidP="00743385">
      <w:pPr>
        <w:spacing w:line="320" w:lineRule="exact"/>
        <w:rPr>
          <w:iCs/>
        </w:rPr>
      </w:pPr>
    </w:p>
    <w:p w14:paraId="0EC18178" w14:textId="77777777" w:rsidR="00743385" w:rsidRDefault="00743385" w:rsidP="00743385">
      <w:pPr>
        <w:spacing w:line="320" w:lineRule="exact"/>
        <w:rPr>
          <w:iCs/>
        </w:rPr>
      </w:pPr>
      <w:proofErr w:type="spellStart"/>
      <w:r w:rsidRPr="00743385">
        <w:rPr>
          <w:iCs/>
        </w:rPr>
        <w:t>Mazenod</w:t>
      </w:r>
      <w:proofErr w:type="spellEnd"/>
      <w:r w:rsidRPr="00743385">
        <w:rPr>
          <w:iCs/>
        </w:rPr>
        <w:t xml:space="preserve">, A. (2013), “Engaging employers in workplace training – lessons from the English train to gain programme”, International Journal of Training and Development, Vol. 18 No. 1, pp. 53-65, </w:t>
      </w:r>
      <w:proofErr w:type="spellStart"/>
      <w:r w:rsidRPr="00743385">
        <w:rPr>
          <w:iCs/>
        </w:rPr>
        <w:t>doi</w:t>
      </w:r>
      <w:proofErr w:type="spellEnd"/>
      <w:r w:rsidRPr="00743385">
        <w:rPr>
          <w:iCs/>
        </w:rPr>
        <w:t>: 10.1111/ijtd.12020.</w:t>
      </w:r>
    </w:p>
    <w:p w14:paraId="300DEF24" w14:textId="77777777" w:rsidR="00743385" w:rsidRPr="00743385" w:rsidRDefault="00743385" w:rsidP="00743385">
      <w:pPr>
        <w:spacing w:line="320" w:lineRule="exact"/>
        <w:rPr>
          <w:iCs/>
        </w:rPr>
      </w:pPr>
    </w:p>
    <w:p w14:paraId="30909776" w14:textId="77777777" w:rsidR="00743385" w:rsidRDefault="00743385" w:rsidP="00743385">
      <w:pPr>
        <w:spacing w:line="320" w:lineRule="exact"/>
        <w:rPr>
          <w:iCs/>
        </w:rPr>
      </w:pPr>
      <w:r w:rsidRPr="00743385">
        <w:rPr>
          <w:iCs/>
        </w:rPr>
        <w:t xml:space="preserve">Morgan, A., Jones, N. and Fitzgibbon, K. (2004), “Critical reflections on the development of a foundation degree”, Research in Post-Compulsory Education, Vol. 9 No. 3 p. 353, </w:t>
      </w:r>
      <w:proofErr w:type="spellStart"/>
      <w:r w:rsidRPr="00743385">
        <w:rPr>
          <w:iCs/>
        </w:rPr>
        <w:t>doi</w:t>
      </w:r>
      <w:proofErr w:type="spellEnd"/>
      <w:r w:rsidRPr="00743385">
        <w:rPr>
          <w:iCs/>
        </w:rPr>
        <w:t>: 10.1080/13596740400200183.</w:t>
      </w:r>
    </w:p>
    <w:p w14:paraId="219BFD2A" w14:textId="77777777" w:rsidR="00743385" w:rsidRPr="00743385" w:rsidRDefault="00743385" w:rsidP="00743385">
      <w:pPr>
        <w:spacing w:line="320" w:lineRule="exact"/>
        <w:rPr>
          <w:iCs/>
        </w:rPr>
      </w:pPr>
    </w:p>
    <w:p w14:paraId="360F4C8E" w14:textId="77777777" w:rsidR="00743385" w:rsidRDefault="00743385" w:rsidP="00743385">
      <w:pPr>
        <w:spacing w:line="320" w:lineRule="exact"/>
        <w:rPr>
          <w:iCs/>
        </w:rPr>
      </w:pPr>
      <w:r w:rsidRPr="00743385">
        <w:rPr>
          <w:iCs/>
        </w:rPr>
        <w:t>National Apprenticeship Service (NAS) (2011), “Higher apprenticeship fund prospectus”, NAS, Coventry.</w:t>
      </w:r>
    </w:p>
    <w:p w14:paraId="784BF9DD" w14:textId="77777777" w:rsidR="00743385" w:rsidRPr="00743385" w:rsidRDefault="00743385" w:rsidP="00743385">
      <w:pPr>
        <w:spacing w:line="320" w:lineRule="exact"/>
        <w:rPr>
          <w:iCs/>
        </w:rPr>
      </w:pPr>
    </w:p>
    <w:p w14:paraId="03F8B064" w14:textId="77777777" w:rsidR="00743385" w:rsidRPr="00743385" w:rsidRDefault="00743385" w:rsidP="00743385">
      <w:pPr>
        <w:spacing w:line="320" w:lineRule="exact"/>
        <w:rPr>
          <w:iCs/>
        </w:rPr>
      </w:pPr>
      <w:r w:rsidRPr="00743385">
        <w:rPr>
          <w:iCs/>
        </w:rPr>
        <w:t>National Apprenticeship Service (NAS) (2012), Meeting Employer Skills Needs: Consultation on Criteria for Higher Apprenticeships at Degree Levels, NAS.</w:t>
      </w:r>
    </w:p>
    <w:p w14:paraId="7693A6C5" w14:textId="77777777" w:rsidR="00743385" w:rsidRDefault="00743385" w:rsidP="00743385">
      <w:pPr>
        <w:spacing w:line="320" w:lineRule="exact"/>
        <w:rPr>
          <w:iCs/>
        </w:rPr>
      </w:pPr>
      <w:r w:rsidRPr="00743385">
        <w:rPr>
          <w:iCs/>
        </w:rPr>
        <w:t xml:space="preserve">Parsons, R.T.D. and Rowe, J.B.V. (2007), “Employer co-funded training in the UK”, Education + Training, Vol. 49 No. 2, pp. 112-125, </w:t>
      </w:r>
      <w:proofErr w:type="spellStart"/>
      <w:proofErr w:type="gramStart"/>
      <w:r w:rsidRPr="00743385">
        <w:rPr>
          <w:iCs/>
        </w:rPr>
        <w:t>doi</w:t>
      </w:r>
      <w:proofErr w:type="spellEnd"/>
      <w:proofErr w:type="gramEnd"/>
      <w:r w:rsidRPr="00743385">
        <w:rPr>
          <w:iCs/>
        </w:rPr>
        <w:t>: 10.1108/00400910710739478.</w:t>
      </w:r>
    </w:p>
    <w:p w14:paraId="15BD89AD" w14:textId="77777777" w:rsidR="00743385" w:rsidRPr="00743385" w:rsidRDefault="00743385" w:rsidP="00743385">
      <w:pPr>
        <w:spacing w:line="320" w:lineRule="exact"/>
        <w:rPr>
          <w:iCs/>
        </w:rPr>
      </w:pPr>
    </w:p>
    <w:p w14:paraId="1971C77C" w14:textId="77777777" w:rsidR="00743385" w:rsidRDefault="00743385" w:rsidP="00743385">
      <w:pPr>
        <w:spacing w:line="320" w:lineRule="exact"/>
        <w:rPr>
          <w:iCs/>
        </w:rPr>
      </w:pPr>
      <w:r w:rsidRPr="00743385">
        <w:rPr>
          <w:iCs/>
        </w:rPr>
        <w:t xml:space="preserve">Payne, J. (2008), “Sector skills councils and employer engagement – delivering the ‘employer-led’ skills agenda in England”, Journal of Education and Work, Vol. 21 No. 2, pp. 93-113, </w:t>
      </w:r>
      <w:proofErr w:type="spellStart"/>
      <w:r w:rsidRPr="00743385">
        <w:rPr>
          <w:iCs/>
        </w:rPr>
        <w:t>doi</w:t>
      </w:r>
      <w:proofErr w:type="spellEnd"/>
      <w:r w:rsidRPr="00743385">
        <w:rPr>
          <w:iCs/>
        </w:rPr>
        <w:t>: 10.1080/13639080802090260.</w:t>
      </w:r>
    </w:p>
    <w:p w14:paraId="23576507" w14:textId="77777777" w:rsidR="00743385" w:rsidRPr="00743385" w:rsidRDefault="00743385" w:rsidP="00743385">
      <w:pPr>
        <w:spacing w:line="320" w:lineRule="exact"/>
        <w:rPr>
          <w:iCs/>
        </w:rPr>
      </w:pPr>
    </w:p>
    <w:p w14:paraId="3CFE9386" w14:textId="77777777" w:rsidR="00743385" w:rsidRDefault="00743385" w:rsidP="00743385">
      <w:pPr>
        <w:spacing w:line="320" w:lineRule="exact"/>
        <w:rPr>
          <w:iCs/>
        </w:rPr>
      </w:pPr>
      <w:proofErr w:type="gramStart"/>
      <w:r w:rsidRPr="00743385">
        <w:rPr>
          <w:iCs/>
        </w:rPr>
        <w:t>Quality Assurance Agency for Higher Education (2003), “Overview report on foundation degrees”, QAA, Gloucester.</w:t>
      </w:r>
      <w:proofErr w:type="gramEnd"/>
    </w:p>
    <w:p w14:paraId="6ACB7357" w14:textId="77777777" w:rsidR="00743385" w:rsidRPr="00743385" w:rsidRDefault="00743385" w:rsidP="00743385">
      <w:pPr>
        <w:spacing w:line="320" w:lineRule="exact"/>
        <w:rPr>
          <w:iCs/>
        </w:rPr>
      </w:pPr>
    </w:p>
    <w:p w14:paraId="4F51A1A8" w14:textId="0D6E4D5B" w:rsidR="00811BCB" w:rsidRDefault="00743385" w:rsidP="00743385">
      <w:pPr>
        <w:spacing w:line="320" w:lineRule="exact"/>
        <w:rPr>
          <w:iCs/>
        </w:rPr>
      </w:pPr>
      <w:r w:rsidRPr="00743385">
        <w:rPr>
          <w:iCs/>
        </w:rPr>
        <w:t>Quality Assurance Agency for Higher Education (2010), “Foundation degree qualification Benchmark statement”, QAA, Gloucester.</w:t>
      </w:r>
    </w:p>
    <w:p w14:paraId="1A14BA7B" w14:textId="77777777" w:rsidR="00743385" w:rsidRPr="004E557D" w:rsidRDefault="00743385" w:rsidP="00743385">
      <w:pPr>
        <w:spacing w:line="320" w:lineRule="exact"/>
        <w:rPr>
          <w:iCs/>
          <w:lang w:val="en-US"/>
        </w:rPr>
      </w:pPr>
    </w:p>
    <w:p w14:paraId="09B39841" w14:textId="766A22E7" w:rsidR="00811BCB" w:rsidRPr="004E557D" w:rsidRDefault="00811BCB" w:rsidP="00E4319B">
      <w:pPr>
        <w:spacing w:line="320" w:lineRule="exact"/>
        <w:rPr>
          <w:iCs/>
        </w:rPr>
      </w:pPr>
      <w:r w:rsidRPr="004E557D">
        <w:rPr>
          <w:iCs/>
        </w:rPr>
        <w:t>Quality Assurance Agency for Higher Education (2010) Foundation Degree Qualification Benchmark Statement, QAA</w:t>
      </w:r>
    </w:p>
    <w:p w14:paraId="6A67DE16" w14:textId="77777777" w:rsidR="00CF0E0B" w:rsidRPr="004E557D" w:rsidRDefault="00CF0E0B" w:rsidP="00E4319B">
      <w:pPr>
        <w:spacing w:line="320" w:lineRule="exact"/>
        <w:rPr>
          <w:iCs/>
        </w:rPr>
      </w:pPr>
    </w:p>
    <w:p w14:paraId="31C4135F" w14:textId="77777777" w:rsidR="00743385" w:rsidRDefault="00743385" w:rsidP="00743385">
      <w:pPr>
        <w:spacing w:line="320" w:lineRule="exact"/>
        <w:rPr>
          <w:iCs/>
        </w:rPr>
      </w:pPr>
      <w:r w:rsidRPr="00743385">
        <w:rPr>
          <w:iCs/>
        </w:rPr>
        <w:t xml:space="preserve">Richard, D. (2012), The Richard Review of Apprenticeships, School for </w:t>
      </w:r>
      <w:proofErr w:type="spellStart"/>
      <w:r w:rsidRPr="00743385">
        <w:rPr>
          <w:iCs/>
        </w:rPr>
        <w:t>Startups</w:t>
      </w:r>
      <w:proofErr w:type="spellEnd"/>
      <w:r w:rsidRPr="00743385">
        <w:rPr>
          <w:iCs/>
        </w:rPr>
        <w:t>, London.</w:t>
      </w:r>
    </w:p>
    <w:p w14:paraId="7294936C" w14:textId="77777777" w:rsidR="00743385" w:rsidRPr="00743385" w:rsidRDefault="00743385" w:rsidP="00743385">
      <w:pPr>
        <w:spacing w:line="320" w:lineRule="exact"/>
        <w:rPr>
          <w:iCs/>
        </w:rPr>
      </w:pPr>
    </w:p>
    <w:p w14:paraId="4A27F5A2" w14:textId="77777777" w:rsidR="00743385" w:rsidRDefault="00743385" w:rsidP="00743385">
      <w:pPr>
        <w:spacing w:line="320" w:lineRule="exact"/>
        <w:rPr>
          <w:iCs/>
        </w:rPr>
      </w:pPr>
      <w:r w:rsidRPr="00743385">
        <w:rPr>
          <w:iCs/>
        </w:rPr>
        <w:t xml:space="preserve">Ryan, P., Gospel, H. and Lewis, P. (2006), “Educational and contractual attributes of the apprenticeship programmes of large employers in Britain”, Journal of Vocational Education &amp; Training, Vol. 58 No. 3, pp. 359-383, </w:t>
      </w:r>
      <w:proofErr w:type="spellStart"/>
      <w:r w:rsidRPr="00743385">
        <w:rPr>
          <w:iCs/>
        </w:rPr>
        <w:t>doi</w:t>
      </w:r>
      <w:proofErr w:type="spellEnd"/>
      <w:r w:rsidRPr="00743385">
        <w:rPr>
          <w:iCs/>
        </w:rPr>
        <w:t>: 10.1080/13636820600955807.</w:t>
      </w:r>
    </w:p>
    <w:p w14:paraId="48E89337" w14:textId="77777777" w:rsidR="00743385" w:rsidRPr="00743385" w:rsidRDefault="00743385" w:rsidP="00743385">
      <w:pPr>
        <w:spacing w:line="320" w:lineRule="exact"/>
        <w:rPr>
          <w:iCs/>
        </w:rPr>
      </w:pPr>
    </w:p>
    <w:p w14:paraId="7A0724AF" w14:textId="77777777" w:rsidR="00743385" w:rsidRDefault="00743385" w:rsidP="00743385">
      <w:pPr>
        <w:spacing w:line="320" w:lineRule="exact"/>
        <w:rPr>
          <w:iCs/>
        </w:rPr>
      </w:pPr>
      <w:r w:rsidRPr="00743385">
        <w:rPr>
          <w:iCs/>
        </w:rPr>
        <w:t xml:space="preserve">Ryan, P., Gospel, H. and Lewis, P. (2007), “Large employers and apprenticeship training in Britain”, British Journal of Industrial Relations, Vol. 45 No. 1, pp. 127-153, </w:t>
      </w:r>
      <w:proofErr w:type="spellStart"/>
      <w:r w:rsidRPr="00743385">
        <w:rPr>
          <w:iCs/>
        </w:rPr>
        <w:t>doi</w:t>
      </w:r>
      <w:proofErr w:type="spellEnd"/>
      <w:r w:rsidRPr="00743385">
        <w:rPr>
          <w:iCs/>
        </w:rPr>
        <w:t>: 10.1111/ j.1467-8543.2007.00605.x.</w:t>
      </w:r>
    </w:p>
    <w:p w14:paraId="1D647DEC" w14:textId="77777777" w:rsidR="00743385" w:rsidRPr="00743385" w:rsidRDefault="00743385" w:rsidP="00743385">
      <w:pPr>
        <w:spacing w:line="320" w:lineRule="exact"/>
        <w:rPr>
          <w:iCs/>
        </w:rPr>
      </w:pPr>
    </w:p>
    <w:p w14:paraId="7F174FCC" w14:textId="77777777" w:rsidR="00743385" w:rsidRDefault="00743385" w:rsidP="00743385">
      <w:pPr>
        <w:spacing w:line="320" w:lineRule="exact"/>
        <w:rPr>
          <w:iCs/>
        </w:rPr>
      </w:pPr>
      <w:r w:rsidRPr="00743385">
        <w:rPr>
          <w:iCs/>
        </w:rPr>
        <w:t>The National Committee of Inquiry into Higher Education (1997), “Higher education in the learning society”, the Dearing report, Her Majesty’s Stationery Office, London.</w:t>
      </w:r>
    </w:p>
    <w:p w14:paraId="333F9184" w14:textId="77777777" w:rsidR="00743385" w:rsidRPr="00743385" w:rsidRDefault="00743385" w:rsidP="00743385">
      <w:pPr>
        <w:spacing w:line="320" w:lineRule="exact"/>
        <w:rPr>
          <w:iCs/>
        </w:rPr>
      </w:pPr>
    </w:p>
    <w:p w14:paraId="3C5D39A0" w14:textId="77777777" w:rsidR="00743385" w:rsidRDefault="00743385" w:rsidP="00743385">
      <w:pPr>
        <w:spacing w:line="320" w:lineRule="exact"/>
        <w:rPr>
          <w:iCs/>
        </w:rPr>
      </w:pPr>
      <w:r w:rsidRPr="00743385">
        <w:rPr>
          <w:iCs/>
        </w:rPr>
        <w:t xml:space="preserve">UK Commission for Employment and Skills (2011), “Employer ownership of skills pilot”, UKCES, </w:t>
      </w:r>
      <w:proofErr w:type="spellStart"/>
      <w:r w:rsidRPr="00743385">
        <w:rPr>
          <w:iCs/>
        </w:rPr>
        <w:t>Wath</w:t>
      </w:r>
      <w:proofErr w:type="spellEnd"/>
      <w:r w:rsidRPr="00743385">
        <w:rPr>
          <w:iCs/>
        </w:rPr>
        <w:t xml:space="preserve"> Upon Deane.</w:t>
      </w:r>
    </w:p>
    <w:p w14:paraId="28BE3312" w14:textId="77777777" w:rsidR="00743385" w:rsidRPr="00743385" w:rsidRDefault="00743385" w:rsidP="00743385">
      <w:pPr>
        <w:spacing w:line="320" w:lineRule="exact"/>
        <w:rPr>
          <w:iCs/>
        </w:rPr>
      </w:pPr>
    </w:p>
    <w:p w14:paraId="5F7873FC" w14:textId="77777777" w:rsidR="00743385" w:rsidRPr="00743385" w:rsidRDefault="00743385" w:rsidP="00743385">
      <w:pPr>
        <w:spacing w:line="320" w:lineRule="exact"/>
        <w:rPr>
          <w:iCs/>
        </w:rPr>
      </w:pPr>
      <w:proofErr w:type="gramStart"/>
      <w:r w:rsidRPr="00743385">
        <w:rPr>
          <w:iCs/>
        </w:rPr>
        <w:t>Williams, C. and Hanson, W. (2011), “Higher apprenticeships and professional bodies”, PARN, Bristol.</w:t>
      </w:r>
      <w:proofErr w:type="gramEnd"/>
    </w:p>
    <w:p w14:paraId="2B06619D" w14:textId="77777777" w:rsidR="00743385" w:rsidRDefault="00743385" w:rsidP="00743385">
      <w:pPr>
        <w:spacing w:line="320" w:lineRule="exact"/>
        <w:rPr>
          <w:iCs/>
        </w:rPr>
      </w:pPr>
      <w:proofErr w:type="gramStart"/>
      <w:r w:rsidRPr="00743385">
        <w:rPr>
          <w:iCs/>
        </w:rPr>
        <w:t>Wilson, T. (2012), “A review of business-university collaboration”, Department for Business, Innovation and Skills, London.</w:t>
      </w:r>
      <w:proofErr w:type="gramEnd"/>
    </w:p>
    <w:p w14:paraId="23BA0345" w14:textId="77777777" w:rsidR="00743385" w:rsidRPr="00743385" w:rsidRDefault="00743385" w:rsidP="00743385">
      <w:pPr>
        <w:spacing w:line="320" w:lineRule="exact"/>
        <w:rPr>
          <w:iCs/>
        </w:rPr>
      </w:pPr>
    </w:p>
    <w:p w14:paraId="2EDBA06C" w14:textId="77777777" w:rsidR="00743385" w:rsidRDefault="00743385" w:rsidP="00743385">
      <w:pPr>
        <w:spacing w:line="320" w:lineRule="exact"/>
        <w:rPr>
          <w:iCs/>
        </w:rPr>
      </w:pPr>
      <w:r w:rsidRPr="00743385">
        <w:rPr>
          <w:iCs/>
        </w:rPr>
        <w:t xml:space="preserve">Wolf, A. (2011), “The wolf report: review of vocational education”, available at: http://webarchive. </w:t>
      </w:r>
      <w:proofErr w:type="gramStart"/>
      <w:r w:rsidRPr="00743385">
        <w:rPr>
          <w:iCs/>
        </w:rPr>
        <w:t>nationalarchives.gov.uk</w:t>
      </w:r>
      <w:proofErr w:type="gramEnd"/>
      <w:r w:rsidRPr="00743385">
        <w:rPr>
          <w:iCs/>
        </w:rPr>
        <w:t>/20130401151715/; www.education.gov.uk/publications/eordering download/wolf-report.pdf (accessed May 19, 2016).</w:t>
      </w:r>
    </w:p>
    <w:p w14:paraId="321C3DB7" w14:textId="77777777" w:rsidR="00743385" w:rsidRPr="00743385" w:rsidRDefault="00743385" w:rsidP="00743385">
      <w:pPr>
        <w:spacing w:line="320" w:lineRule="exact"/>
        <w:rPr>
          <w:iCs/>
        </w:rPr>
      </w:pPr>
    </w:p>
    <w:p w14:paraId="3AA627A7" w14:textId="77777777" w:rsidR="00743385" w:rsidRPr="00743385" w:rsidRDefault="00743385" w:rsidP="00743385">
      <w:pPr>
        <w:spacing w:line="320" w:lineRule="exact"/>
        <w:rPr>
          <w:b/>
          <w:iCs/>
        </w:rPr>
      </w:pPr>
      <w:r w:rsidRPr="00743385">
        <w:rPr>
          <w:b/>
          <w:iCs/>
        </w:rPr>
        <w:t>Further reading</w:t>
      </w:r>
    </w:p>
    <w:p w14:paraId="134BF209" w14:textId="77777777" w:rsidR="00743385" w:rsidRDefault="00743385" w:rsidP="00743385">
      <w:pPr>
        <w:spacing w:line="320" w:lineRule="exact"/>
        <w:rPr>
          <w:iCs/>
        </w:rPr>
      </w:pPr>
      <w:r w:rsidRPr="00743385">
        <w:rPr>
          <w:iCs/>
        </w:rPr>
        <w:t>Higher Education Funding Council for England (2016), “DADF phase 1: invitation to submit proposals for funding to stimulate development of degree apprenticeships”, CL 2016/, HEFCE, Bristol.</w:t>
      </w:r>
    </w:p>
    <w:p w14:paraId="0078728C" w14:textId="77777777" w:rsidR="00743385" w:rsidRPr="00743385" w:rsidRDefault="00743385" w:rsidP="00743385">
      <w:pPr>
        <w:spacing w:line="320" w:lineRule="exact"/>
        <w:rPr>
          <w:iCs/>
        </w:rPr>
      </w:pPr>
    </w:p>
    <w:p w14:paraId="6390F7DE" w14:textId="77777777" w:rsidR="00743385" w:rsidRDefault="00743385" w:rsidP="00743385">
      <w:pPr>
        <w:spacing w:line="320" w:lineRule="exact"/>
        <w:rPr>
          <w:iCs/>
        </w:rPr>
      </w:pPr>
      <w:r w:rsidRPr="00743385">
        <w:rPr>
          <w:iCs/>
        </w:rPr>
        <w:t xml:space="preserve">Lewis, P. (2014), “The over-training of apprentices by employers in advanced manufacturing: a theoretical and policy analysis”, Human Resource Management Journal, Vol. 24 No. 4, pp. 496-513, </w:t>
      </w:r>
      <w:proofErr w:type="spellStart"/>
      <w:r w:rsidRPr="00743385">
        <w:rPr>
          <w:iCs/>
        </w:rPr>
        <w:t>doi</w:t>
      </w:r>
      <w:proofErr w:type="spellEnd"/>
      <w:r w:rsidRPr="00743385">
        <w:rPr>
          <w:iCs/>
        </w:rPr>
        <w:t>: 10.1111/1748-8583.12039.</w:t>
      </w:r>
    </w:p>
    <w:p w14:paraId="27CF08E7" w14:textId="77777777" w:rsidR="00743385" w:rsidRPr="00743385" w:rsidRDefault="00743385" w:rsidP="00743385">
      <w:pPr>
        <w:spacing w:line="320" w:lineRule="exact"/>
        <w:rPr>
          <w:iCs/>
        </w:rPr>
      </w:pPr>
    </w:p>
    <w:p w14:paraId="4B81ED1E" w14:textId="77777777" w:rsidR="00743385" w:rsidRDefault="00743385" w:rsidP="00743385">
      <w:pPr>
        <w:spacing w:line="320" w:lineRule="exact"/>
        <w:rPr>
          <w:iCs/>
        </w:rPr>
      </w:pPr>
      <w:proofErr w:type="gramStart"/>
      <w:r w:rsidRPr="00743385">
        <w:rPr>
          <w:iCs/>
        </w:rPr>
        <w:t>National Apprenticeship Service and Alliance of Sector Skills Councils (2013), “Developing quality higher apprenticeship frameworks for England”, NAS and Alliance of SSCs, Coventry.</w:t>
      </w:r>
      <w:proofErr w:type="gramEnd"/>
    </w:p>
    <w:p w14:paraId="4C95478E" w14:textId="77777777" w:rsidR="00743385" w:rsidRPr="00743385" w:rsidRDefault="00743385" w:rsidP="00743385">
      <w:pPr>
        <w:spacing w:line="320" w:lineRule="exact"/>
        <w:rPr>
          <w:iCs/>
        </w:rPr>
      </w:pPr>
    </w:p>
    <w:p w14:paraId="52728033" w14:textId="77777777" w:rsidR="00743385" w:rsidRDefault="00743385" w:rsidP="00743385">
      <w:pPr>
        <w:spacing w:line="320" w:lineRule="exact"/>
        <w:rPr>
          <w:iCs/>
        </w:rPr>
      </w:pPr>
      <w:r w:rsidRPr="00743385">
        <w:rPr>
          <w:iCs/>
        </w:rPr>
        <w:t xml:space="preserve">Williams, C. and Hanson, W. (2010), “Foundation degrees: barriers and opportunities in the professional </w:t>
      </w:r>
      <w:proofErr w:type="gramStart"/>
      <w:r w:rsidRPr="00743385">
        <w:rPr>
          <w:iCs/>
        </w:rPr>
        <w:t>bodies</w:t>
      </w:r>
      <w:proofErr w:type="gramEnd"/>
      <w:r w:rsidRPr="00743385">
        <w:rPr>
          <w:iCs/>
        </w:rPr>
        <w:t xml:space="preserve"> sector”, PARN, Bristol.</w:t>
      </w:r>
    </w:p>
    <w:p w14:paraId="3B147026" w14:textId="596E97B2" w:rsidR="000A121B" w:rsidRPr="002C024E" w:rsidRDefault="000A121B" w:rsidP="00743385">
      <w:pPr>
        <w:spacing w:line="320" w:lineRule="exact"/>
        <w:rPr>
          <w:iCs/>
        </w:rPr>
      </w:pPr>
    </w:p>
    <w:sectPr w:rsidR="000A121B" w:rsidRPr="002C024E" w:rsidSect="00FB2597">
      <w:footerReference w:type="even" r:id="rId8"/>
      <w:footerReference w:type="default" r:id="rId9"/>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257F4" w14:textId="77777777" w:rsidR="000D7604" w:rsidRDefault="000D7604" w:rsidP="006E4EE3">
      <w:r>
        <w:separator/>
      </w:r>
    </w:p>
  </w:endnote>
  <w:endnote w:type="continuationSeparator" w:id="0">
    <w:p w14:paraId="4E8ADB93" w14:textId="77777777" w:rsidR="000D7604" w:rsidRDefault="000D7604" w:rsidP="006E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76BB" w14:textId="77777777" w:rsidR="000D7604" w:rsidRDefault="000D7604" w:rsidP="00DE3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520AD5" w14:textId="77777777" w:rsidR="000D7604" w:rsidRDefault="000D7604" w:rsidP="006E4E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D9AA" w14:textId="77777777" w:rsidR="000D7604" w:rsidRDefault="000D7604" w:rsidP="00DE3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A57">
      <w:rPr>
        <w:rStyle w:val="PageNumber"/>
        <w:noProof/>
      </w:rPr>
      <w:t>13</w:t>
    </w:r>
    <w:r>
      <w:rPr>
        <w:rStyle w:val="PageNumber"/>
      </w:rPr>
      <w:fldChar w:fldCharType="end"/>
    </w:r>
  </w:p>
  <w:p w14:paraId="38B78F36" w14:textId="77777777" w:rsidR="000D7604" w:rsidRDefault="000D7604" w:rsidP="006E4E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711E8" w14:textId="77777777" w:rsidR="000D7604" w:rsidRDefault="000D7604" w:rsidP="006E4EE3">
      <w:r>
        <w:separator/>
      </w:r>
    </w:p>
  </w:footnote>
  <w:footnote w:type="continuationSeparator" w:id="0">
    <w:p w14:paraId="566D701C" w14:textId="77777777" w:rsidR="000D7604" w:rsidRDefault="000D7604" w:rsidP="006E4E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F3142"/>
    <w:multiLevelType w:val="hybridMultilevel"/>
    <w:tmpl w:val="026E7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6262EF"/>
    <w:multiLevelType w:val="hybridMultilevel"/>
    <w:tmpl w:val="B22C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C4"/>
    <w:rsid w:val="00011A0F"/>
    <w:rsid w:val="0001688C"/>
    <w:rsid w:val="000314B2"/>
    <w:rsid w:val="00032DEA"/>
    <w:rsid w:val="0003328B"/>
    <w:rsid w:val="00035CB6"/>
    <w:rsid w:val="00035D7E"/>
    <w:rsid w:val="00036020"/>
    <w:rsid w:val="000470A1"/>
    <w:rsid w:val="00047B1B"/>
    <w:rsid w:val="00051AC6"/>
    <w:rsid w:val="00052BFE"/>
    <w:rsid w:val="00054BF9"/>
    <w:rsid w:val="00055666"/>
    <w:rsid w:val="00060B63"/>
    <w:rsid w:val="00061AFF"/>
    <w:rsid w:val="000624E1"/>
    <w:rsid w:val="0006302D"/>
    <w:rsid w:val="00073230"/>
    <w:rsid w:val="000745F2"/>
    <w:rsid w:val="00077CBF"/>
    <w:rsid w:val="00090EFC"/>
    <w:rsid w:val="000A121B"/>
    <w:rsid w:val="000A1AA2"/>
    <w:rsid w:val="000A55B2"/>
    <w:rsid w:val="000A6904"/>
    <w:rsid w:val="000C0C4B"/>
    <w:rsid w:val="000C7A94"/>
    <w:rsid w:val="000D155B"/>
    <w:rsid w:val="000D44E7"/>
    <w:rsid w:val="000D568D"/>
    <w:rsid w:val="000D7604"/>
    <w:rsid w:val="000D7ADE"/>
    <w:rsid w:val="000D7E2A"/>
    <w:rsid w:val="000E7F6F"/>
    <w:rsid w:val="000F1450"/>
    <w:rsid w:val="000F3C27"/>
    <w:rsid w:val="000F522E"/>
    <w:rsid w:val="000F5DE3"/>
    <w:rsid w:val="00101736"/>
    <w:rsid w:val="00120260"/>
    <w:rsid w:val="001235B4"/>
    <w:rsid w:val="00130875"/>
    <w:rsid w:val="00131533"/>
    <w:rsid w:val="001335D1"/>
    <w:rsid w:val="0013386C"/>
    <w:rsid w:val="001347BD"/>
    <w:rsid w:val="00142015"/>
    <w:rsid w:val="0014363A"/>
    <w:rsid w:val="001436C5"/>
    <w:rsid w:val="00150814"/>
    <w:rsid w:val="00151870"/>
    <w:rsid w:val="00154B6B"/>
    <w:rsid w:val="00157E9D"/>
    <w:rsid w:val="00163485"/>
    <w:rsid w:val="00164477"/>
    <w:rsid w:val="001653C6"/>
    <w:rsid w:val="0017425B"/>
    <w:rsid w:val="00176201"/>
    <w:rsid w:val="00180496"/>
    <w:rsid w:val="001829AB"/>
    <w:rsid w:val="001834A9"/>
    <w:rsid w:val="00183C09"/>
    <w:rsid w:val="00186CD9"/>
    <w:rsid w:val="00187223"/>
    <w:rsid w:val="0019084B"/>
    <w:rsid w:val="00191CA3"/>
    <w:rsid w:val="0019254E"/>
    <w:rsid w:val="001968A6"/>
    <w:rsid w:val="001A0512"/>
    <w:rsid w:val="001A1D01"/>
    <w:rsid w:val="001A638E"/>
    <w:rsid w:val="001B10D6"/>
    <w:rsid w:val="001B2299"/>
    <w:rsid w:val="001B3A59"/>
    <w:rsid w:val="001C2142"/>
    <w:rsid w:val="001C37A5"/>
    <w:rsid w:val="001C4B11"/>
    <w:rsid w:val="001C61F0"/>
    <w:rsid w:val="001C7257"/>
    <w:rsid w:val="001D409E"/>
    <w:rsid w:val="001D615E"/>
    <w:rsid w:val="001E260F"/>
    <w:rsid w:val="001E4AC9"/>
    <w:rsid w:val="001E6877"/>
    <w:rsid w:val="001F29A8"/>
    <w:rsid w:val="001F61CF"/>
    <w:rsid w:val="001F7E9C"/>
    <w:rsid w:val="002006B2"/>
    <w:rsid w:val="002105C2"/>
    <w:rsid w:val="00212CBB"/>
    <w:rsid w:val="002134EA"/>
    <w:rsid w:val="002135CC"/>
    <w:rsid w:val="002143C1"/>
    <w:rsid w:val="002156A1"/>
    <w:rsid w:val="00216391"/>
    <w:rsid w:val="0021679D"/>
    <w:rsid w:val="0022130D"/>
    <w:rsid w:val="00223FE4"/>
    <w:rsid w:val="00224F48"/>
    <w:rsid w:val="00231256"/>
    <w:rsid w:val="00231BD2"/>
    <w:rsid w:val="002327FD"/>
    <w:rsid w:val="002329AE"/>
    <w:rsid w:val="00233D4F"/>
    <w:rsid w:val="0023648D"/>
    <w:rsid w:val="00242DBA"/>
    <w:rsid w:val="002438DB"/>
    <w:rsid w:val="00246AD5"/>
    <w:rsid w:val="00246E98"/>
    <w:rsid w:val="00250B62"/>
    <w:rsid w:val="002532A5"/>
    <w:rsid w:val="002539F7"/>
    <w:rsid w:val="00254168"/>
    <w:rsid w:val="0026383A"/>
    <w:rsid w:val="0027217A"/>
    <w:rsid w:val="00276B15"/>
    <w:rsid w:val="00284DC1"/>
    <w:rsid w:val="002857E2"/>
    <w:rsid w:val="00287930"/>
    <w:rsid w:val="0029163D"/>
    <w:rsid w:val="00294A9D"/>
    <w:rsid w:val="00296ABA"/>
    <w:rsid w:val="002A2880"/>
    <w:rsid w:val="002A3676"/>
    <w:rsid w:val="002A3E79"/>
    <w:rsid w:val="002A5391"/>
    <w:rsid w:val="002A5DC4"/>
    <w:rsid w:val="002A5EA3"/>
    <w:rsid w:val="002A67E9"/>
    <w:rsid w:val="002A7EA3"/>
    <w:rsid w:val="002B50E8"/>
    <w:rsid w:val="002C024E"/>
    <w:rsid w:val="002C0911"/>
    <w:rsid w:val="002C6BE9"/>
    <w:rsid w:val="002C7C00"/>
    <w:rsid w:val="002D5A42"/>
    <w:rsid w:val="002D610B"/>
    <w:rsid w:val="002D672D"/>
    <w:rsid w:val="002D75AA"/>
    <w:rsid w:val="002E4B68"/>
    <w:rsid w:val="002F0E0F"/>
    <w:rsid w:val="00303AEA"/>
    <w:rsid w:val="00305DF4"/>
    <w:rsid w:val="0031184D"/>
    <w:rsid w:val="00316A4E"/>
    <w:rsid w:val="00332ECE"/>
    <w:rsid w:val="00341127"/>
    <w:rsid w:val="00342F07"/>
    <w:rsid w:val="00360E92"/>
    <w:rsid w:val="00371034"/>
    <w:rsid w:val="003726AF"/>
    <w:rsid w:val="00372A47"/>
    <w:rsid w:val="003740F1"/>
    <w:rsid w:val="00376C42"/>
    <w:rsid w:val="00384719"/>
    <w:rsid w:val="00390652"/>
    <w:rsid w:val="00394F8E"/>
    <w:rsid w:val="003953C9"/>
    <w:rsid w:val="003A2A17"/>
    <w:rsid w:val="003A53E1"/>
    <w:rsid w:val="003A58D7"/>
    <w:rsid w:val="003B18CA"/>
    <w:rsid w:val="003B1F15"/>
    <w:rsid w:val="003B23F6"/>
    <w:rsid w:val="003B550A"/>
    <w:rsid w:val="003B5E86"/>
    <w:rsid w:val="003C69AE"/>
    <w:rsid w:val="003C702A"/>
    <w:rsid w:val="003C75A6"/>
    <w:rsid w:val="003D1C36"/>
    <w:rsid w:val="003D7412"/>
    <w:rsid w:val="003E3AB3"/>
    <w:rsid w:val="003E631B"/>
    <w:rsid w:val="003E634A"/>
    <w:rsid w:val="003E7124"/>
    <w:rsid w:val="003E76A9"/>
    <w:rsid w:val="00400EE0"/>
    <w:rsid w:val="00410A22"/>
    <w:rsid w:val="00411FBB"/>
    <w:rsid w:val="00417601"/>
    <w:rsid w:val="00420F5D"/>
    <w:rsid w:val="00424B21"/>
    <w:rsid w:val="0042579F"/>
    <w:rsid w:val="00425D83"/>
    <w:rsid w:val="004276E4"/>
    <w:rsid w:val="004307DE"/>
    <w:rsid w:val="004308CF"/>
    <w:rsid w:val="00430DF8"/>
    <w:rsid w:val="004317F9"/>
    <w:rsid w:val="004321EB"/>
    <w:rsid w:val="00434CA7"/>
    <w:rsid w:val="00443A57"/>
    <w:rsid w:val="00445284"/>
    <w:rsid w:val="00447EDB"/>
    <w:rsid w:val="0046009F"/>
    <w:rsid w:val="004671A8"/>
    <w:rsid w:val="0047468F"/>
    <w:rsid w:val="004819C2"/>
    <w:rsid w:val="00484775"/>
    <w:rsid w:val="004902B9"/>
    <w:rsid w:val="0049307D"/>
    <w:rsid w:val="00493169"/>
    <w:rsid w:val="0049773D"/>
    <w:rsid w:val="004A46C3"/>
    <w:rsid w:val="004A4B89"/>
    <w:rsid w:val="004A63EE"/>
    <w:rsid w:val="004B0C08"/>
    <w:rsid w:val="004B3668"/>
    <w:rsid w:val="004B7A81"/>
    <w:rsid w:val="004C5098"/>
    <w:rsid w:val="004C7A9C"/>
    <w:rsid w:val="004D20E7"/>
    <w:rsid w:val="004D36B8"/>
    <w:rsid w:val="004D3A1F"/>
    <w:rsid w:val="004D4CF0"/>
    <w:rsid w:val="004E557D"/>
    <w:rsid w:val="004F285F"/>
    <w:rsid w:val="005005AC"/>
    <w:rsid w:val="00502C59"/>
    <w:rsid w:val="005069E9"/>
    <w:rsid w:val="0051184C"/>
    <w:rsid w:val="005137B7"/>
    <w:rsid w:val="00513F13"/>
    <w:rsid w:val="005209AF"/>
    <w:rsid w:val="00521AF1"/>
    <w:rsid w:val="00523EED"/>
    <w:rsid w:val="00531723"/>
    <w:rsid w:val="0054083F"/>
    <w:rsid w:val="00544005"/>
    <w:rsid w:val="00544927"/>
    <w:rsid w:val="0054641F"/>
    <w:rsid w:val="00550E3F"/>
    <w:rsid w:val="00555A2A"/>
    <w:rsid w:val="00563FAC"/>
    <w:rsid w:val="0056429F"/>
    <w:rsid w:val="00575207"/>
    <w:rsid w:val="005759F3"/>
    <w:rsid w:val="0059402C"/>
    <w:rsid w:val="005945AA"/>
    <w:rsid w:val="005A2B62"/>
    <w:rsid w:val="005B0FAC"/>
    <w:rsid w:val="005C19F1"/>
    <w:rsid w:val="005C414E"/>
    <w:rsid w:val="005D3EE2"/>
    <w:rsid w:val="005D429F"/>
    <w:rsid w:val="005D5FF2"/>
    <w:rsid w:val="005D6AC4"/>
    <w:rsid w:val="005D788D"/>
    <w:rsid w:val="005E042E"/>
    <w:rsid w:val="005E04C4"/>
    <w:rsid w:val="005E2AEC"/>
    <w:rsid w:val="005E2E93"/>
    <w:rsid w:val="005F26F2"/>
    <w:rsid w:val="00600225"/>
    <w:rsid w:val="006043DB"/>
    <w:rsid w:val="0061010A"/>
    <w:rsid w:val="00617D66"/>
    <w:rsid w:val="006200BC"/>
    <w:rsid w:val="00621A10"/>
    <w:rsid w:val="00621EEC"/>
    <w:rsid w:val="00622D28"/>
    <w:rsid w:val="00623D0C"/>
    <w:rsid w:val="00624A20"/>
    <w:rsid w:val="0062767A"/>
    <w:rsid w:val="00635238"/>
    <w:rsid w:val="00635562"/>
    <w:rsid w:val="00641E46"/>
    <w:rsid w:val="00650A41"/>
    <w:rsid w:val="00651B17"/>
    <w:rsid w:val="00655266"/>
    <w:rsid w:val="00661217"/>
    <w:rsid w:val="00662AF4"/>
    <w:rsid w:val="0066353C"/>
    <w:rsid w:val="00677773"/>
    <w:rsid w:val="0068006B"/>
    <w:rsid w:val="0068167A"/>
    <w:rsid w:val="006838B0"/>
    <w:rsid w:val="00684D1A"/>
    <w:rsid w:val="00686E74"/>
    <w:rsid w:val="0068780C"/>
    <w:rsid w:val="006A36FF"/>
    <w:rsid w:val="006A49B9"/>
    <w:rsid w:val="006B2265"/>
    <w:rsid w:val="006C1883"/>
    <w:rsid w:val="006C583D"/>
    <w:rsid w:val="006D1CEE"/>
    <w:rsid w:val="006E2703"/>
    <w:rsid w:val="006E4EE3"/>
    <w:rsid w:val="006E62C2"/>
    <w:rsid w:val="006E6DEA"/>
    <w:rsid w:val="006F61FC"/>
    <w:rsid w:val="00703499"/>
    <w:rsid w:val="00710005"/>
    <w:rsid w:val="007115F5"/>
    <w:rsid w:val="00711A4C"/>
    <w:rsid w:val="00720E3E"/>
    <w:rsid w:val="00725EEE"/>
    <w:rsid w:val="00731739"/>
    <w:rsid w:val="0073186A"/>
    <w:rsid w:val="007323B7"/>
    <w:rsid w:val="00732509"/>
    <w:rsid w:val="00733422"/>
    <w:rsid w:val="00736C9B"/>
    <w:rsid w:val="00740E74"/>
    <w:rsid w:val="00743385"/>
    <w:rsid w:val="0074410B"/>
    <w:rsid w:val="00744941"/>
    <w:rsid w:val="007458D6"/>
    <w:rsid w:val="00747D09"/>
    <w:rsid w:val="007552DE"/>
    <w:rsid w:val="00757EF7"/>
    <w:rsid w:val="00764B9A"/>
    <w:rsid w:val="00765B41"/>
    <w:rsid w:val="0076684C"/>
    <w:rsid w:val="00766EB8"/>
    <w:rsid w:val="007729D6"/>
    <w:rsid w:val="00777980"/>
    <w:rsid w:val="007824EB"/>
    <w:rsid w:val="00782F03"/>
    <w:rsid w:val="007847E3"/>
    <w:rsid w:val="00787BC9"/>
    <w:rsid w:val="00787EE8"/>
    <w:rsid w:val="00790078"/>
    <w:rsid w:val="00792914"/>
    <w:rsid w:val="00792BF4"/>
    <w:rsid w:val="007932F2"/>
    <w:rsid w:val="00795310"/>
    <w:rsid w:val="0079796B"/>
    <w:rsid w:val="007A31A9"/>
    <w:rsid w:val="007A3D2C"/>
    <w:rsid w:val="007A5075"/>
    <w:rsid w:val="007A6B7D"/>
    <w:rsid w:val="007B01D7"/>
    <w:rsid w:val="007B1997"/>
    <w:rsid w:val="007C0CC9"/>
    <w:rsid w:val="007C4F45"/>
    <w:rsid w:val="007C6114"/>
    <w:rsid w:val="007C6F2E"/>
    <w:rsid w:val="007E0573"/>
    <w:rsid w:val="007E1C92"/>
    <w:rsid w:val="007E569A"/>
    <w:rsid w:val="007E7D67"/>
    <w:rsid w:val="007F15BA"/>
    <w:rsid w:val="007F79C0"/>
    <w:rsid w:val="008107A1"/>
    <w:rsid w:val="00811904"/>
    <w:rsid w:val="00811BCB"/>
    <w:rsid w:val="00813C59"/>
    <w:rsid w:val="00821050"/>
    <w:rsid w:val="008305F5"/>
    <w:rsid w:val="00832392"/>
    <w:rsid w:val="00835999"/>
    <w:rsid w:val="00835CFD"/>
    <w:rsid w:val="0084417B"/>
    <w:rsid w:val="008456E5"/>
    <w:rsid w:val="00847890"/>
    <w:rsid w:val="0084794C"/>
    <w:rsid w:val="0085191C"/>
    <w:rsid w:val="00854C6D"/>
    <w:rsid w:val="0085601A"/>
    <w:rsid w:val="00860FC2"/>
    <w:rsid w:val="00863ACE"/>
    <w:rsid w:val="0086732E"/>
    <w:rsid w:val="00867EB2"/>
    <w:rsid w:val="00870BCA"/>
    <w:rsid w:val="00871C8D"/>
    <w:rsid w:val="008737BF"/>
    <w:rsid w:val="00874F9F"/>
    <w:rsid w:val="008766CB"/>
    <w:rsid w:val="00877F5A"/>
    <w:rsid w:val="00891BB0"/>
    <w:rsid w:val="0089732C"/>
    <w:rsid w:val="008A0017"/>
    <w:rsid w:val="008A719D"/>
    <w:rsid w:val="008B0AA9"/>
    <w:rsid w:val="008B7B67"/>
    <w:rsid w:val="008B7C3E"/>
    <w:rsid w:val="008C466D"/>
    <w:rsid w:val="008D5F14"/>
    <w:rsid w:val="008E2D0D"/>
    <w:rsid w:val="008F50BB"/>
    <w:rsid w:val="0090223C"/>
    <w:rsid w:val="009051B5"/>
    <w:rsid w:val="009069EF"/>
    <w:rsid w:val="00914ADF"/>
    <w:rsid w:val="00914E72"/>
    <w:rsid w:val="00916672"/>
    <w:rsid w:val="00935E18"/>
    <w:rsid w:val="00940A15"/>
    <w:rsid w:val="00940DEF"/>
    <w:rsid w:val="0094530B"/>
    <w:rsid w:val="00945F85"/>
    <w:rsid w:val="009515C5"/>
    <w:rsid w:val="009521E1"/>
    <w:rsid w:val="00952457"/>
    <w:rsid w:val="00954DCD"/>
    <w:rsid w:val="00957CCB"/>
    <w:rsid w:val="00960635"/>
    <w:rsid w:val="00963C6F"/>
    <w:rsid w:val="00964081"/>
    <w:rsid w:val="0097018B"/>
    <w:rsid w:val="00973416"/>
    <w:rsid w:val="00974C16"/>
    <w:rsid w:val="00983585"/>
    <w:rsid w:val="00991F1C"/>
    <w:rsid w:val="0099426D"/>
    <w:rsid w:val="009A024F"/>
    <w:rsid w:val="009A1C89"/>
    <w:rsid w:val="009A31D2"/>
    <w:rsid w:val="009A47B3"/>
    <w:rsid w:val="009A74F5"/>
    <w:rsid w:val="009B19AB"/>
    <w:rsid w:val="009B3319"/>
    <w:rsid w:val="009B52AD"/>
    <w:rsid w:val="009B6BA2"/>
    <w:rsid w:val="009B7208"/>
    <w:rsid w:val="009C08CD"/>
    <w:rsid w:val="009C6E28"/>
    <w:rsid w:val="009C6FAA"/>
    <w:rsid w:val="009D2D6E"/>
    <w:rsid w:val="009D2E01"/>
    <w:rsid w:val="009E0316"/>
    <w:rsid w:val="009E0F90"/>
    <w:rsid w:val="009E69A6"/>
    <w:rsid w:val="00A00E4A"/>
    <w:rsid w:val="00A05CDD"/>
    <w:rsid w:val="00A13D5A"/>
    <w:rsid w:val="00A14F08"/>
    <w:rsid w:val="00A15975"/>
    <w:rsid w:val="00A21561"/>
    <w:rsid w:val="00A218D4"/>
    <w:rsid w:val="00A23DB6"/>
    <w:rsid w:val="00A248D4"/>
    <w:rsid w:val="00A24E04"/>
    <w:rsid w:val="00A24F42"/>
    <w:rsid w:val="00A3036B"/>
    <w:rsid w:val="00A3505A"/>
    <w:rsid w:val="00A3708B"/>
    <w:rsid w:val="00A433DD"/>
    <w:rsid w:val="00A4365E"/>
    <w:rsid w:val="00A540B2"/>
    <w:rsid w:val="00A56954"/>
    <w:rsid w:val="00A6106C"/>
    <w:rsid w:val="00A6643C"/>
    <w:rsid w:val="00A727CB"/>
    <w:rsid w:val="00A94ED4"/>
    <w:rsid w:val="00AA00D0"/>
    <w:rsid w:val="00AA1178"/>
    <w:rsid w:val="00AA1935"/>
    <w:rsid w:val="00AA410E"/>
    <w:rsid w:val="00AB1F62"/>
    <w:rsid w:val="00AB5593"/>
    <w:rsid w:val="00AB6AFE"/>
    <w:rsid w:val="00AC1D51"/>
    <w:rsid w:val="00AC2BB4"/>
    <w:rsid w:val="00AC32A4"/>
    <w:rsid w:val="00AC332A"/>
    <w:rsid w:val="00AC5049"/>
    <w:rsid w:val="00AC5901"/>
    <w:rsid w:val="00AC5C05"/>
    <w:rsid w:val="00AE07E2"/>
    <w:rsid w:val="00AE26FB"/>
    <w:rsid w:val="00AE3956"/>
    <w:rsid w:val="00AE5882"/>
    <w:rsid w:val="00AE65A9"/>
    <w:rsid w:val="00AE756C"/>
    <w:rsid w:val="00AF0BF3"/>
    <w:rsid w:val="00AF2D95"/>
    <w:rsid w:val="00AF32F1"/>
    <w:rsid w:val="00AF3543"/>
    <w:rsid w:val="00AF4578"/>
    <w:rsid w:val="00AF46C2"/>
    <w:rsid w:val="00AF7D0E"/>
    <w:rsid w:val="00B00D8C"/>
    <w:rsid w:val="00B01258"/>
    <w:rsid w:val="00B06050"/>
    <w:rsid w:val="00B105B7"/>
    <w:rsid w:val="00B14396"/>
    <w:rsid w:val="00B25465"/>
    <w:rsid w:val="00B26249"/>
    <w:rsid w:val="00B312BA"/>
    <w:rsid w:val="00B32D8D"/>
    <w:rsid w:val="00B33CE4"/>
    <w:rsid w:val="00B33D1A"/>
    <w:rsid w:val="00B35726"/>
    <w:rsid w:val="00B35EDF"/>
    <w:rsid w:val="00B36A3D"/>
    <w:rsid w:val="00B41886"/>
    <w:rsid w:val="00B473FB"/>
    <w:rsid w:val="00B542DE"/>
    <w:rsid w:val="00B571B3"/>
    <w:rsid w:val="00B57C54"/>
    <w:rsid w:val="00B62B0B"/>
    <w:rsid w:val="00B63273"/>
    <w:rsid w:val="00B65CE3"/>
    <w:rsid w:val="00B66807"/>
    <w:rsid w:val="00B66BF5"/>
    <w:rsid w:val="00B66F7A"/>
    <w:rsid w:val="00B73387"/>
    <w:rsid w:val="00B810C7"/>
    <w:rsid w:val="00B91280"/>
    <w:rsid w:val="00B94092"/>
    <w:rsid w:val="00BC07CB"/>
    <w:rsid w:val="00BC1748"/>
    <w:rsid w:val="00BC2D20"/>
    <w:rsid w:val="00BC41C9"/>
    <w:rsid w:val="00BC5A26"/>
    <w:rsid w:val="00BD2777"/>
    <w:rsid w:val="00BD5AC7"/>
    <w:rsid w:val="00BD727B"/>
    <w:rsid w:val="00BD7E99"/>
    <w:rsid w:val="00BE0B55"/>
    <w:rsid w:val="00BE1A01"/>
    <w:rsid w:val="00BE2E62"/>
    <w:rsid w:val="00BE5E52"/>
    <w:rsid w:val="00BE674B"/>
    <w:rsid w:val="00BF1FCD"/>
    <w:rsid w:val="00C02A87"/>
    <w:rsid w:val="00C032DE"/>
    <w:rsid w:val="00C07F0D"/>
    <w:rsid w:val="00C11C97"/>
    <w:rsid w:val="00C141C7"/>
    <w:rsid w:val="00C223BE"/>
    <w:rsid w:val="00C23953"/>
    <w:rsid w:val="00C27B2F"/>
    <w:rsid w:val="00C3028C"/>
    <w:rsid w:val="00C31780"/>
    <w:rsid w:val="00C331FD"/>
    <w:rsid w:val="00C36C69"/>
    <w:rsid w:val="00C40048"/>
    <w:rsid w:val="00C416A7"/>
    <w:rsid w:val="00C4509A"/>
    <w:rsid w:val="00C60CE4"/>
    <w:rsid w:val="00C76BC9"/>
    <w:rsid w:val="00C80900"/>
    <w:rsid w:val="00C81882"/>
    <w:rsid w:val="00C86998"/>
    <w:rsid w:val="00C87DFE"/>
    <w:rsid w:val="00C92B40"/>
    <w:rsid w:val="00CA122F"/>
    <w:rsid w:val="00CA39C7"/>
    <w:rsid w:val="00CA6107"/>
    <w:rsid w:val="00CA7245"/>
    <w:rsid w:val="00CA748C"/>
    <w:rsid w:val="00CB097D"/>
    <w:rsid w:val="00CB2C3B"/>
    <w:rsid w:val="00CB30D7"/>
    <w:rsid w:val="00CB48CB"/>
    <w:rsid w:val="00CB5068"/>
    <w:rsid w:val="00CC522C"/>
    <w:rsid w:val="00CC6665"/>
    <w:rsid w:val="00CC6DCC"/>
    <w:rsid w:val="00CD1718"/>
    <w:rsid w:val="00CD697B"/>
    <w:rsid w:val="00CE2C1E"/>
    <w:rsid w:val="00CE7394"/>
    <w:rsid w:val="00CE7B80"/>
    <w:rsid w:val="00CF0E0B"/>
    <w:rsid w:val="00CF3498"/>
    <w:rsid w:val="00CF793E"/>
    <w:rsid w:val="00D00CE2"/>
    <w:rsid w:val="00D06071"/>
    <w:rsid w:val="00D13D8A"/>
    <w:rsid w:val="00D1708F"/>
    <w:rsid w:val="00D17A91"/>
    <w:rsid w:val="00D22FBA"/>
    <w:rsid w:val="00D241C5"/>
    <w:rsid w:val="00D25EF7"/>
    <w:rsid w:val="00D27CC2"/>
    <w:rsid w:val="00D34A74"/>
    <w:rsid w:val="00D50C2B"/>
    <w:rsid w:val="00D52CDB"/>
    <w:rsid w:val="00D53ED1"/>
    <w:rsid w:val="00D55E64"/>
    <w:rsid w:val="00D635E0"/>
    <w:rsid w:val="00D63BE0"/>
    <w:rsid w:val="00D641B7"/>
    <w:rsid w:val="00D64570"/>
    <w:rsid w:val="00D671A4"/>
    <w:rsid w:val="00D73526"/>
    <w:rsid w:val="00D80BD0"/>
    <w:rsid w:val="00D823F6"/>
    <w:rsid w:val="00D82C78"/>
    <w:rsid w:val="00D9547C"/>
    <w:rsid w:val="00D96B24"/>
    <w:rsid w:val="00D9729D"/>
    <w:rsid w:val="00DA1B84"/>
    <w:rsid w:val="00DA3089"/>
    <w:rsid w:val="00DA494D"/>
    <w:rsid w:val="00DB2531"/>
    <w:rsid w:val="00DC400C"/>
    <w:rsid w:val="00DE0324"/>
    <w:rsid w:val="00DE1D87"/>
    <w:rsid w:val="00DE366C"/>
    <w:rsid w:val="00DE5A6A"/>
    <w:rsid w:val="00DE6331"/>
    <w:rsid w:val="00DF0027"/>
    <w:rsid w:val="00DF0EF6"/>
    <w:rsid w:val="00DF1927"/>
    <w:rsid w:val="00DF1F4D"/>
    <w:rsid w:val="00DF3354"/>
    <w:rsid w:val="00E028FC"/>
    <w:rsid w:val="00E04498"/>
    <w:rsid w:val="00E06B64"/>
    <w:rsid w:val="00E135EB"/>
    <w:rsid w:val="00E16200"/>
    <w:rsid w:val="00E20D0B"/>
    <w:rsid w:val="00E23013"/>
    <w:rsid w:val="00E31A43"/>
    <w:rsid w:val="00E4319B"/>
    <w:rsid w:val="00E4519E"/>
    <w:rsid w:val="00E457CA"/>
    <w:rsid w:val="00E554E3"/>
    <w:rsid w:val="00E603A5"/>
    <w:rsid w:val="00E77F78"/>
    <w:rsid w:val="00E80345"/>
    <w:rsid w:val="00E81C37"/>
    <w:rsid w:val="00E8267A"/>
    <w:rsid w:val="00E8718C"/>
    <w:rsid w:val="00E93F60"/>
    <w:rsid w:val="00EA2085"/>
    <w:rsid w:val="00EA2E7F"/>
    <w:rsid w:val="00EA504C"/>
    <w:rsid w:val="00EB47D9"/>
    <w:rsid w:val="00EB5A22"/>
    <w:rsid w:val="00EC3596"/>
    <w:rsid w:val="00EC4B10"/>
    <w:rsid w:val="00EC4E15"/>
    <w:rsid w:val="00ED4DDF"/>
    <w:rsid w:val="00ED4DE5"/>
    <w:rsid w:val="00ED5451"/>
    <w:rsid w:val="00EE04EC"/>
    <w:rsid w:val="00EE3397"/>
    <w:rsid w:val="00EE4429"/>
    <w:rsid w:val="00EF271A"/>
    <w:rsid w:val="00EF30CA"/>
    <w:rsid w:val="00EF4ADD"/>
    <w:rsid w:val="00F04BAD"/>
    <w:rsid w:val="00F071CC"/>
    <w:rsid w:val="00F104D6"/>
    <w:rsid w:val="00F10FA7"/>
    <w:rsid w:val="00F114E5"/>
    <w:rsid w:val="00F14D0B"/>
    <w:rsid w:val="00F161AC"/>
    <w:rsid w:val="00F32671"/>
    <w:rsid w:val="00F33506"/>
    <w:rsid w:val="00F3438C"/>
    <w:rsid w:val="00F44BDD"/>
    <w:rsid w:val="00F453E2"/>
    <w:rsid w:val="00F45EC9"/>
    <w:rsid w:val="00F47F00"/>
    <w:rsid w:val="00F57FE3"/>
    <w:rsid w:val="00F60460"/>
    <w:rsid w:val="00F608A6"/>
    <w:rsid w:val="00F615DE"/>
    <w:rsid w:val="00F61B0E"/>
    <w:rsid w:val="00F62EB1"/>
    <w:rsid w:val="00F63223"/>
    <w:rsid w:val="00F64C30"/>
    <w:rsid w:val="00F72267"/>
    <w:rsid w:val="00F74964"/>
    <w:rsid w:val="00F810AA"/>
    <w:rsid w:val="00F81D05"/>
    <w:rsid w:val="00F82C1E"/>
    <w:rsid w:val="00F84284"/>
    <w:rsid w:val="00F86F7E"/>
    <w:rsid w:val="00F87DA8"/>
    <w:rsid w:val="00F922AA"/>
    <w:rsid w:val="00F9566B"/>
    <w:rsid w:val="00F963C6"/>
    <w:rsid w:val="00FA13CA"/>
    <w:rsid w:val="00FA14C3"/>
    <w:rsid w:val="00FA4338"/>
    <w:rsid w:val="00FB12B0"/>
    <w:rsid w:val="00FB2597"/>
    <w:rsid w:val="00FB59B8"/>
    <w:rsid w:val="00FB6D77"/>
    <w:rsid w:val="00FC5621"/>
    <w:rsid w:val="00FD2A2C"/>
    <w:rsid w:val="00FD4A4C"/>
    <w:rsid w:val="00FD4B88"/>
    <w:rsid w:val="00FD5BE4"/>
    <w:rsid w:val="00FD6187"/>
    <w:rsid w:val="00FD6972"/>
    <w:rsid w:val="00FD781F"/>
    <w:rsid w:val="00FD7DCB"/>
    <w:rsid w:val="00FE0FD4"/>
    <w:rsid w:val="00FE1FF6"/>
    <w:rsid w:val="00FE309A"/>
    <w:rsid w:val="00FE77D7"/>
    <w:rsid w:val="00FF5324"/>
    <w:rsid w:val="00FF7A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69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CA3"/>
    <w:rPr>
      <w:rFonts w:ascii="Times New Roman" w:hAnsi="Times New Roman" w:cs="Times New Roman"/>
      <w:sz w:val="24"/>
      <w:szCs w:val="24"/>
    </w:rPr>
  </w:style>
  <w:style w:type="table" w:styleId="TableGrid">
    <w:name w:val="Table Grid"/>
    <w:basedOn w:val="TableNormal"/>
    <w:uiPriority w:val="59"/>
    <w:rsid w:val="000A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7E9C"/>
    <w:pPr>
      <w:ind w:left="720"/>
      <w:contextualSpacing/>
    </w:pPr>
  </w:style>
  <w:style w:type="paragraph" w:styleId="Footer">
    <w:name w:val="footer"/>
    <w:basedOn w:val="Normal"/>
    <w:link w:val="FooterChar"/>
    <w:uiPriority w:val="99"/>
    <w:unhideWhenUsed/>
    <w:rsid w:val="006E4EE3"/>
    <w:pPr>
      <w:tabs>
        <w:tab w:val="center" w:pos="4320"/>
        <w:tab w:val="right" w:pos="8640"/>
      </w:tabs>
    </w:pPr>
  </w:style>
  <w:style w:type="character" w:customStyle="1" w:styleId="FooterChar">
    <w:name w:val="Footer Char"/>
    <w:basedOn w:val="DefaultParagraphFont"/>
    <w:link w:val="Footer"/>
    <w:uiPriority w:val="99"/>
    <w:rsid w:val="006E4EE3"/>
  </w:style>
  <w:style w:type="character" w:styleId="PageNumber">
    <w:name w:val="page number"/>
    <w:basedOn w:val="DefaultParagraphFont"/>
    <w:uiPriority w:val="99"/>
    <w:semiHidden/>
    <w:unhideWhenUsed/>
    <w:rsid w:val="006E4EE3"/>
  </w:style>
  <w:style w:type="character" w:styleId="Hyperlink">
    <w:name w:val="Hyperlink"/>
    <w:basedOn w:val="DefaultParagraphFont"/>
    <w:uiPriority w:val="99"/>
    <w:unhideWhenUsed/>
    <w:rsid w:val="00A727CB"/>
    <w:rPr>
      <w:color w:val="0000FF" w:themeColor="hyperlink"/>
      <w:u w:val="single"/>
    </w:rPr>
  </w:style>
  <w:style w:type="paragraph" w:styleId="BalloonText">
    <w:name w:val="Balloon Text"/>
    <w:basedOn w:val="Normal"/>
    <w:link w:val="BalloonTextChar"/>
    <w:uiPriority w:val="99"/>
    <w:semiHidden/>
    <w:unhideWhenUsed/>
    <w:rsid w:val="0051184C"/>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84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1CA3"/>
    <w:rPr>
      <w:rFonts w:ascii="Times New Roman" w:hAnsi="Times New Roman" w:cs="Times New Roman"/>
      <w:sz w:val="24"/>
      <w:szCs w:val="24"/>
    </w:rPr>
  </w:style>
  <w:style w:type="table" w:styleId="TableGrid">
    <w:name w:val="Table Grid"/>
    <w:basedOn w:val="TableNormal"/>
    <w:uiPriority w:val="59"/>
    <w:rsid w:val="000A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7E9C"/>
    <w:pPr>
      <w:ind w:left="720"/>
      <w:contextualSpacing/>
    </w:pPr>
  </w:style>
  <w:style w:type="paragraph" w:styleId="Footer">
    <w:name w:val="footer"/>
    <w:basedOn w:val="Normal"/>
    <w:link w:val="FooterChar"/>
    <w:uiPriority w:val="99"/>
    <w:unhideWhenUsed/>
    <w:rsid w:val="006E4EE3"/>
    <w:pPr>
      <w:tabs>
        <w:tab w:val="center" w:pos="4320"/>
        <w:tab w:val="right" w:pos="8640"/>
      </w:tabs>
    </w:pPr>
  </w:style>
  <w:style w:type="character" w:customStyle="1" w:styleId="FooterChar">
    <w:name w:val="Footer Char"/>
    <w:basedOn w:val="DefaultParagraphFont"/>
    <w:link w:val="Footer"/>
    <w:uiPriority w:val="99"/>
    <w:rsid w:val="006E4EE3"/>
  </w:style>
  <w:style w:type="character" w:styleId="PageNumber">
    <w:name w:val="page number"/>
    <w:basedOn w:val="DefaultParagraphFont"/>
    <w:uiPriority w:val="99"/>
    <w:semiHidden/>
    <w:unhideWhenUsed/>
    <w:rsid w:val="006E4EE3"/>
  </w:style>
  <w:style w:type="character" w:styleId="Hyperlink">
    <w:name w:val="Hyperlink"/>
    <w:basedOn w:val="DefaultParagraphFont"/>
    <w:uiPriority w:val="99"/>
    <w:unhideWhenUsed/>
    <w:rsid w:val="00A727CB"/>
    <w:rPr>
      <w:color w:val="0000FF" w:themeColor="hyperlink"/>
      <w:u w:val="single"/>
    </w:rPr>
  </w:style>
  <w:style w:type="paragraph" w:styleId="BalloonText">
    <w:name w:val="Balloon Text"/>
    <w:basedOn w:val="Normal"/>
    <w:link w:val="BalloonTextChar"/>
    <w:uiPriority w:val="99"/>
    <w:semiHidden/>
    <w:unhideWhenUsed/>
    <w:rsid w:val="0051184C"/>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84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13877">
      <w:bodyDiv w:val="1"/>
      <w:marLeft w:val="0"/>
      <w:marRight w:val="0"/>
      <w:marTop w:val="0"/>
      <w:marBottom w:val="0"/>
      <w:divBdr>
        <w:top w:val="none" w:sz="0" w:space="0" w:color="auto"/>
        <w:left w:val="none" w:sz="0" w:space="0" w:color="auto"/>
        <w:bottom w:val="none" w:sz="0" w:space="0" w:color="auto"/>
        <w:right w:val="none" w:sz="0" w:space="0" w:color="auto"/>
      </w:divBdr>
      <w:divsChild>
        <w:div w:id="391655926">
          <w:marLeft w:val="0"/>
          <w:marRight w:val="0"/>
          <w:marTop w:val="0"/>
          <w:marBottom w:val="0"/>
          <w:divBdr>
            <w:top w:val="none" w:sz="0" w:space="0" w:color="auto"/>
            <w:left w:val="none" w:sz="0" w:space="0" w:color="auto"/>
            <w:bottom w:val="none" w:sz="0" w:space="0" w:color="auto"/>
            <w:right w:val="none" w:sz="0" w:space="0" w:color="auto"/>
          </w:divBdr>
          <w:divsChild>
            <w:div w:id="1516380113">
              <w:marLeft w:val="0"/>
              <w:marRight w:val="0"/>
              <w:marTop w:val="0"/>
              <w:marBottom w:val="0"/>
              <w:divBdr>
                <w:top w:val="none" w:sz="0" w:space="0" w:color="auto"/>
                <w:left w:val="none" w:sz="0" w:space="0" w:color="auto"/>
                <w:bottom w:val="none" w:sz="0" w:space="0" w:color="auto"/>
                <w:right w:val="none" w:sz="0" w:space="0" w:color="auto"/>
              </w:divBdr>
              <w:divsChild>
                <w:div w:id="1698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0815">
      <w:bodyDiv w:val="1"/>
      <w:marLeft w:val="0"/>
      <w:marRight w:val="0"/>
      <w:marTop w:val="0"/>
      <w:marBottom w:val="0"/>
      <w:divBdr>
        <w:top w:val="none" w:sz="0" w:space="0" w:color="auto"/>
        <w:left w:val="none" w:sz="0" w:space="0" w:color="auto"/>
        <w:bottom w:val="none" w:sz="0" w:space="0" w:color="auto"/>
        <w:right w:val="none" w:sz="0" w:space="0" w:color="auto"/>
      </w:divBdr>
      <w:divsChild>
        <w:div w:id="1071855563">
          <w:marLeft w:val="0"/>
          <w:marRight w:val="0"/>
          <w:marTop w:val="0"/>
          <w:marBottom w:val="0"/>
          <w:divBdr>
            <w:top w:val="none" w:sz="0" w:space="0" w:color="auto"/>
            <w:left w:val="none" w:sz="0" w:space="0" w:color="auto"/>
            <w:bottom w:val="none" w:sz="0" w:space="0" w:color="auto"/>
            <w:right w:val="none" w:sz="0" w:space="0" w:color="auto"/>
          </w:divBdr>
          <w:divsChild>
            <w:div w:id="383529736">
              <w:marLeft w:val="0"/>
              <w:marRight w:val="0"/>
              <w:marTop w:val="0"/>
              <w:marBottom w:val="0"/>
              <w:divBdr>
                <w:top w:val="none" w:sz="0" w:space="0" w:color="auto"/>
                <w:left w:val="none" w:sz="0" w:space="0" w:color="auto"/>
                <w:bottom w:val="none" w:sz="0" w:space="0" w:color="auto"/>
                <w:right w:val="none" w:sz="0" w:space="0" w:color="auto"/>
              </w:divBdr>
              <w:divsChild>
                <w:div w:id="121770830">
                  <w:marLeft w:val="0"/>
                  <w:marRight w:val="0"/>
                  <w:marTop w:val="0"/>
                  <w:marBottom w:val="0"/>
                  <w:divBdr>
                    <w:top w:val="none" w:sz="0" w:space="0" w:color="auto"/>
                    <w:left w:val="none" w:sz="0" w:space="0" w:color="auto"/>
                    <w:bottom w:val="none" w:sz="0" w:space="0" w:color="auto"/>
                    <w:right w:val="none" w:sz="0" w:space="0" w:color="auto"/>
                  </w:divBdr>
                  <w:divsChild>
                    <w:div w:id="296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9032</Words>
  <Characters>51488</Characters>
  <Application>Microsoft Macintosh Word</Application>
  <DocSecurity>0</DocSecurity>
  <Lines>429</Lines>
  <Paragraphs>120</Paragraphs>
  <ScaleCrop>false</ScaleCrop>
  <Company>Middlesex University</Company>
  <LinksUpToDate>false</LinksUpToDate>
  <CharactersWithSpaces>60400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2016-05-31T21:38:00Z</cp:lastPrinted>
  <dcterms:created xsi:type="dcterms:W3CDTF">2016-11-08T17:56:00Z</dcterms:created>
  <dcterms:modified xsi:type="dcterms:W3CDTF">2016-11-08T18:01:00Z</dcterms:modified>
</cp:coreProperties>
</file>